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C4876" w:rsidRDefault="00193461" w:rsidP="00C63713">
      <w:pPr>
        <w:rPr>
          <w:sz w:val="28"/>
        </w:rPr>
      </w:pPr>
      <w:r w:rsidRPr="00DC4876">
        <w:rPr>
          <w:noProof/>
          <w:lang w:eastAsia="en-AU"/>
        </w:rPr>
        <w:drawing>
          <wp:inline distT="0" distB="0" distL="0" distR="0" wp14:anchorId="68C22E82" wp14:editId="7C7F10D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C4876" w:rsidRDefault="0048364F" w:rsidP="0048364F">
      <w:pPr>
        <w:rPr>
          <w:sz w:val="19"/>
        </w:rPr>
      </w:pPr>
    </w:p>
    <w:p w:rsidR="0048364F" w:rsidRPr="00DC4876" w:rsidRDefault="00882E86" w:rsidP="0048364F">
      <w:pPr>
        <w:pStyle w:val="ShortT"/>
      </w:pPr>
      <w:r w:rsidRPr="00DC4876">
        <w:t>Health Insurance Legislation Amendment (2017 Measures No.</w:t>
      </w:r>
      <w:r w:rsidR="00DC4876" w:rsidRPr="00DC4876">
        <w:t> </w:t>
      </w:r>
      <w:r w:rsidRPr="00DC4876">
        <w:t>2) Regulations</w:t>
      </w:r>
      <w:r w:rsidR="00DC4876" w:rsidRPr="00DC4876">
        <w:t> </w:t>
      </w:r>
      <w:r w:rsidRPr="00DC4876">
        <w:t>2017</w:t>
      </w:r>
    </w:p>
    <w:p w:rsidR="00882E86" w:rsidRPr="00DC4876" w:rsidRDefault="00882E86" w:rsidP="00867CE3">
      <w:pPr>
        <w:pStyle w:val="SignCoverPageStart"/>
        <w:spacing w:before="240"/>
        <w:rPr>
          <w:szCs w:val="22"/>
        </w:rPr>
      </w:pPr>
      <w:r w:rsidRPr="00DC4876">
        <w:rPr>
          <w:szCs w:val="22"/>
        </w:rPr>
        <w:t xml:space="preserve">I, General the Honourable Sir Peter Cosgrove AK MC (Ret’d), </w:t>
      </w:r>
      <w:r w:rsidR="00DC4876" w:rsidRPr="00DC4876">
        <w:rPr>
          <w:szCs w:val="22"/>
        </w:rPr>
        <w:t>Governor</w:t>
      </w:r>
      <w:r w:rsidR="00DC4876">
        <w:rPr>
          <w:szCs w:val="22"/>
        </w:rPr>
        <w:noBreakHyphen/>
      </w:r>
      <w:r w:rsidR="00DC4876" w:rsidRPr="00DC4876">
        <w:rPr>
          <w:szCs w:val="22"/>
        </w:rPr>
        <w:t>General</w:t>
      </w:r>
      <w:r w:rsidRPr="00DC4876">
        <w:rPr>
          <w:szCs w:val="22"/>
        </w:rPr>
        <w:t xml:space="preserve"> of the Commonwealth of Australia, acting with the advice of the Federal Executive Council, make the following regulation</w:t>
      </w:r>
      <w:r w:rsidR="007906C8" w:rsidRPr="00DC4876">
        <w:rPr>
          <w:szCs w:val="22"/>
        </w:rPr>
        <w:t>s</w:t>
      </w:r>
      <w:r w:rsidRPr="00DC4876">
        <w:rPr>
          <w:szCs w:val="22"/>
        </w:rPr>
        <w:t>.</w:t>
      </w:r>
    </w:p>
    <w:p w:rsidR="00882E86" w:rsidRPr="00DC4876" w:rsidRDefault="00882E86" w:rsidP="00867CE3">
      <w:pPr>
        <w:keepNext/>
        <w:spacing w:before="720" w:line="240" w:lineRule="atLeast"/>
        <w:ind w:right="397"/>
        <w:jc w:val="both"/>
        <w:rPr>
          <w:szCs w:val="22"/>
        </w:rPr>
      </w:pPr>
      <w:r w:rsidRPr="00DC4876">
        <w:rPr>
          <w:szCs w:val="22"/>
        </w:rPr>
        <w:t xml:space="preserve">Dated </w:t>
      </w:r>
      <w:r w:rsidRPr="00DC4876">
        <w:rPr>
          <w:szCs w:val="22"/>
        </w:rPr>
        <w:fldChar w:fldCharType="begin"/>
      </w:r>
      <w:r w:rsidRPr="00DC4876">
        <w:rPr>
          <w:szCs w:val="22"/>
        </w:rPr>
        <w:instrText xml:space="preserve"> DOCPROPERTY  DateMade </w:instrText>
      </w:r>
      <w:r w:rsidRPr="00DC4876">
        <w:rPr>
          <w:szCs w:val="22"/>
        </w:rPr>
        <w:fldChar w:fldCharType="separate"/>
      </w:r>
      <w:r w:rsidR="006342AB">
        <w:rPr>
          <w:szCs w:val="22"/>
        </w:rPr>
        <w:t>09 October 2017</w:t>
      </w:r>
      <w:r w:rsidRPr="00DC4876">
        <w:rPr>
          <w:szCs w:val="22"/>
        </w:rPr>
        <w:fldChar w:fldCharType="end"/>
      </w:r>
    </w:p>
    <w:p w:rsidR="00882E86" w:rsidRPr="00DC4876" w:rsidRDefault="00882E86" w:rsidP="00867CE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C4876">
        <w:rPr>
          <w:szCs w:val="22"/>
        </w:rPr>
        <w:t>Peter Cosgrove</w:t>
      </w:r>
    </w:p>
    <w:p w:rsidR="00882E86" w:rsidRPr="00DC4876" w:rsidRDefault="00DC4876" w:rsidP="00867CE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C4876">
        <w:rPr>
          <w:szCs w:val="22"/>
        </w:rPr>
        <w:t>Governor</w:t>
      </w:r>
      <w:r>
        <w:rPr>
          <w:szCs w:val="22"/>
        </w:rPr>
        <w:noBreakHyphen/>
      </w:r>
      <w:r w:rsidRPr="00DC4876">
        <w:rPr>
          <w:szCs w:val="22"/>
        </w:rPr>
        <w:t>General</w:t>
      </w:r>
    </w:p>
    <w:p w:rsidR="00882E86" w:rsidRPr="00DC4876" w:rsidRDefault="00882E86" w:rsidP="00867CE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C4876">
        <w:rPr>
          <w:szCs w:val="22"/>
        </w:rPr>
        <w:t>By His Excellency’s Command</w:t>
      </w:r>
    </w:p>
    <w:p w:rsidR="00882E86" w:rsidRPr="00DC4876" w:rsidRDefault="00882E86" w:rsidP="00867CE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C4876">
        <w:rPr>
          <w:szCs w:val="22"/>
        </w:rPr>
        <w:t>Greg Hunt</w:t>
      </w:r>
    </w:p>
    <w:p w:rsidR="00882E86" w:rsidRPr="00DC4876" w:rsidRDefault="00882E86" w:rsidP="00867CE3">
      <w:pPr>
        <w:pStyle w:val="SignCoverPageEnd"/>
        <w:rPr>
          <w:szCs w:val="22"/>
        </w:rPr>
      </w:pPr>
      <w:r w:rsidRPr="00DC4876">
        <w:rPr>
          <w:szCs w:val="22"/>
        </w:rPr>
        <w:t>Minister for Health</w:t>
      </w:r>
    </w:p>
    <w:p w:rsidR="00882E86" w:rsidRPr="00DC4876" w:rsidRDefault="00882E86" w:rsidP="00867CE3"/>
    <w:p w:rsidR="0048364F" w:rsidRPr="00DC4876" w:rsidRDefault="0048364F" w:rsidP="0048364F">
      <w:pPr>
        <w:pStyle w:val="Header"/>
        <w:tabs>
          <w:tab w:val="clear" w:pos="4150"/>
          <w:tab w:val="clear" w:pos="8307"/>
        </w:tabs>
      </w:pPr>
      <w:r w:rsidRPr="00DC4876">
        <w:rPr>
          <w:rStyle w:val="CharAmSchNo"/>
        </w:rPr>
        <w:t xml:space="preserve"> </w:t>
      </w:r>
      <w:r w:rsidRPr="00DC4876">
        <w:rPr>
          <w:rStyle w:val="CharAmSchText"/>
        </w:rPr>
        <w:t xml:space="preserve"> </w:t>
      </w:r>
    </w:p>
    <w:p w:rsidR="0048364F" w:rsidRPr="00DC4876" w:rsidRDefault="0048364F" w:rsidP="0048364F">
      <w:pPr>
        <w:pStyle w:val="Header"/>
        <w:tabs>
          <w:tab w:val="clear" w:pos="4150"/>
          <w:tab w:val="clear" w:pos="8307"/>
        </w:tabs>
      </w:pPr>
      <w:r w:rsidRPr="00DC4876">
        <w:rPr>
          <w:rStyle w:val="CharAmPartNo"/>
        </w:rPr>
        <w:t xml:space="preserve"> </w:t>
      </w:r>
      <w:r w:rsidRPr="00DC4876">
        <w:rPr>
          <w:rStyle w:val="CharAmPartText"/>
        </w:rPr>
        <w:t xml:space="preserve"> </w:t>
      </w:r>
    </w:p>
    <w:p w:rsidR="0048364F" w:rsidRPr="00DC4876" w:rsidRDefault="0048364F" w:rsidP="0048364F">
      <w:pPr>
        <w:sectPr w:rsidR="0048364F" w:rsidRPr="00DC4876" w:rsidSect="00850E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DC4876" w:rsidRDefault="0048364F" w:rsidP="001C4A8E">
      <w:pPr>
        <w:rPr>
          <w:sz w:val="36"/>
        </w:rPr>
      </w:pPr>
      <w:r w:rsidRPr="00DC4876">
        <w:rPr>
          <w:sz w:val="36"/>
        </w:rPr>
        <w:lastRenderedPageBreak/>
        <w:t>Contents</w:t>
      </w:r>
    </w:p>
    <w:p w:rsidR="00237136" w:rsidRPr="00DC4876" w:rsidRDefault="002371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fldChar w:fldCharType="begin"/>
      </w:r>
      <w:r w:rsidRPr="00DC4876">
        <w:instrText xml:space="preserve"> TOC \o "1-9" </w:instrText>
      </w:r>
      <w:r w:rsidRPr="00DC4876">
        <w:fldChar w:fldCharType="separate"/>
      </w:r>
      <w:r w:rsidRPr="00DC4876">
        <w:rPr>
          <w:noProof/>
        </w:rPr>
        <w:t>1</w:t>
      </w:r>
      <w:r w:rsidRPr="00DC4876">
        <w:rPr>
          <w:noProof/>
        </w:rPr>
        <w:tab/>
        <w:t>Name</w:t>
      </w:r>
      <w:r w:rsidRPr="00DC4876">
        <w:rPr>
          <w:noProof/>
        </w:rPr>
        <w:tab/>
      </w:r>
      <w:r w:rsidRPr="00DC4876">
        <w:rPr>
          <w:noProof/>
        </w:rPr>
        <w:fldChar w:fldCharType="begin"/>
      </w:r>
      <w:r w:rsidRPr="00DC4876">
        <w:rPr>
          <w:noProof/>
        </w:rPr>
        <w:instrText xml:space="preserve"> PAGEREF _Toc492985195 \h </w:instrText>
      </w:r>
      <w:r w:rsidRPr="00DC4876">
        <w:rPr>
          <w:noProof/>
        </w:rPr>
      </w:r>
      <w:r w:rsidRPr="00DC4876">
        <w:rPr>
          <w:noProof/>
        </w:rPr>
        <w:fldChar w:fldCharType="separate"/>
      </w:r>
      <w:r w:rsidR="006342AB">
        <w:rPr>
          <w:noProof/>
        </w:rPr>
        <w:t>1</w:t>
      </w:r>
      <w:r w:rsidRPr="00DC4876">
        <w:rPr>
          <w:noProof/>
        </w:rPr>
        <w:fldChar w:fldCharType="end"/>
      </w:r>
    </w:p>
    <w:p w:rsidR="00237136" w:rsidRPr="00DC4876" w:rsidRDefault="002371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rPr>
          <w:noProof/>
        </w:rPr>
        <w:t>2</w:t>
      </w:r>
      <w:r w:rsidRPr="00DC4876">
        <w:rPr>
          <w:noProof/>
        </w:rPr>
        <w:tab/>
        <w:t>Commencement</w:t>
      </w:r>
      <w:r w:rsidRPr="00DC4876">
        <w:rPr>
          <w:noProof/>
        </w:rPr>
        <w:tab/>
      </w:r>
      <w:r w:rsidRPr="00DC4876">
        <w:rPr>
          <w:noProof/>
        </w:rPr>
        <w:fldChar w:fldCharType="begin"/>
      </w:r>
      <w:r w:rsidRPr="00DC4876">
        <w:rPr>
          <w:noProof/>
        </w:rPr>
        <w:instrText xml:space="preserve"> PAGEREF _Toc492985196 \h </w:instrText>
      </w:r>
      <w:r w:rsidRPr="00DC4876">
        <w:rPr>
          <w:noProof/>
        </w:rPr>
      </w:r>
      <w:r w:rsidRPr="00DC4876">
        <w:rPr>
          <w:noProof/>
        </w:rPr>
        <w:fldChar w:fldCharType="separate"/>
      </w:r>
      <w:r w:rsidR="006342AB">
        <w:rPr>
          <w:noProof/>
        </w:rPr>
        <w:t>1</w:t>
      </w:r>
      <w:r w:rsidRPr="00DC4876">
        <w:rPr>
          <w:noProof/>
        </w:rPr>
        <w:fldChar w:fldCharType="end"/>
      </w:r>
    </w:p>
    <w:p w:rsidR="00237136" w:rsidRPr="00DC4876" w:rsidRDefault="002371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rPr>
          <w:noProof/>
        </w:rPr>
        <w:t>3</w:t>
      </w:r>
      <w:r w:rsidRPr="00DC4876">
        <w:rPr>
          <w:noProof/>
        </w:rPr>
        <w:tab/>
        <w:t>Authority</w:t>
      </w:r>
      <w:r w:rsidRPr="00DC4876">
        <w:rPr>
          <w:noProof/>
        </w:rPr>
        <w:tab/>
      </w:r>
      <w:r w:rsidRPr="00DC4876">
        <w:rPr>
          <w:noProof/>
        </w:rPr>
        <w:fldChar w:fldCharType="begin"/>
      </w:r>
      <w:r w:rsidRPr="00DC4876">
        <w:rPr>
          <w:noProof/>
        </w:rPr>
        <w:instrText xml:space="preserve"> PAGEREF _Toc492985197 \h </w:instrText>
      </w:r>
      <w:r w:rsidRPr="00DC4876">
        <w:rPr>
          <w:noProof/>
        </w:rPr>
      </w:r>
      <w:r w:rsidRPr="00DC4876">
        <w:rPr>
          <w:noProof/>
        </w:rPr>
        <w:fldChar w:fldCharType="separate"/>
      </w:r>
      <w:r w:rsidR="006342AB">
        <w:rPr>
          <w:noProof/>
        </w:rPr>
        <w:t>1</w:t>
      </w:r>
      <w:r w:rsidRPr="00DC4876">
        <w:rPr>
          <w:noProof/>
        </w:rPr>
        <w:fldChar w:fldCharType="end"/>
      </w:r>
    </w:p>
    <w:p w:rsidR="00237136" w:rsidRPr="00DC4876" w:rsidRDefault="002371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rPr>
          <w:noProof/>
        </w:rPr>
        <w:t>4</w:t>
      </w:r>
      <w:r w:rsidRPr="00DC4876">
        <w:rPr>
          <w:noProof/>
        </w:rPr>
        <w:tab/>
        <w:t>Schedules</w:t>
      </w:r>
      <w:r w:rsidRPr="00DC4876">
        <w:rPr>
          <w:noProof/>
        </w:rPr>
        <w:tab/>
      </w:r>
      <w:r w:rsidRPr="00DC4876">
        <w:rPr>
          <w:noProof/>
        </w:rPr>
        <w:fldChar w:fldCharType="begin"/>
      </w:r>
      <w:r w:rsidRPr="00DC4876">
        <w:rPr>
          <w:noProof/>
        </w:rPr>
        <w:instrText xml:space="preserve"> PAGEREF _Toc492985198 \h </w:instrText>
      </w:r>
      <w:r w:rsidRPr="00DC4876">
        <w:rPr>
          <w:noProof/>
        </w:rPr>
      </w:r>
      <w:r w:rsidRPr="00DC4876">
        <w:rPr>
          <w:noProof/>
        </w:rPr>
        <w:fldChar w:fldCharType="separate"/>
      </w:r>
      <w:r w:rsidR="006342AB">
        <w:rPr>
          <w:noProof/>
        </w:rPr>
        <w:t>1</w:t>
      </w:r>
      <w:r w:rsidRPr="00DC4876">
        <w:rPr>
          <w:noProof/>
        </w:rPr>
        <w:fldChar w:fldCharType="end"/>
      </w:r>
    </w:p>
    <w:p w:rsidR="00237136" w:rsidRPr="00DC4876" w:rsidRDefault="002371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4876">
        <w:rPr>
          <w:noProof/>
        </w:rPr>
        <w:t>Schedule</w:t>
      </w:r>
      <w:r w:rsidR="00DC4876" w:rsidRPr="00DC4876">
        <w:rPr>
          <w:noProof/>
        </w:rPr>
        <w:t> </w:t>
      </w:r>
      <w:r w:rsidRPr="00DC4876">
        <w:rPr>
          <w:noProof/>
        </w:rPr>
        <w:t>1—Medicare Benefits Schedule Review: general</w:t>
      </w:r>
      <w:r w:rsidRPr="00DC4876">
        <w:rPr>
          <w:b w:val="0"/>
          <w:noProof/>
          <w:sz w:val="18"/>
        </w:rPr>
        <w:tab/>
      </w:r>
      <w:r w:rsidRPr="00DC4876">
        <w:rPr>
          <w:b w:val="0"/>
          <w:noProof/>
          <w:sz w:val="18"/>
        </w:rPr>
        <w:fldChar w:fldCharType="begin"/>
      </w:r>
      <w:r w:rsidRPr="00DC4876">
        <w:rPr>
          <w:b w:val="0"/>
          <w:noProof/>
          <w:sz w:val="18"/>
        </w:rPr>
        <w:instrText xml:space="preserve"> PAGEREF _Toc492985199 \h </w:instrText>
      </w:r>
      <w:r w:rsidRPr="00DC4876">
        <w:rPr>
          <w:b w:val="0"/>
          <w:noProof/>
          <w:sz w:val="18"/>
        </w:rPr>
      </w:r>
      <w:r w:rsidRPr="00DC4876">
        <w:rPr>
          <w:b w:val="0"/>
          <w:noProof/>
          <w:sz w:val="18"/>
        </w:rPr>
        <w:fldChar w:fldCharType="separate"/>
      </w:r>
      <w:r w:rsidR="006342AB">
        <w:rPr>
          <w:b w:val="0"/>
          <w:noProof/>
          <w:sz w:val="18"/>
        </w:rPr>
        <w:t>2</w:t>
      </w:r>
      <w:r w:rsidRPr="00DC4876">
        <w:rPr>
          <w:b w:val="0"/>
          <w:noProof/>
          <w:sz w:val="18"/>
        </w:rPr>
        <w:fldChar w:fldCharType="end"/>
      </w:r>
    </w:p>
    <w:p w:rsidR="00237136" w:rsidRPr="00DC4876" w:rsidRDefault="0023713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rPr>
          <w:noProof/>
        </w:rPr>
        <w:t>Part</w:t>
      </w:r>
      <w:r w:rsidR="00DC4876" w:rsidRPr="00DC4876">
        <w:rPr>
          <w:noProof/>
        </w:rPr>
        <w:t> </w:t>
      </w:r>
      <w:r w:rsidRPr="00DC4876">
        <w:rPr>
          <w:noProof/>
        </w:rPr>
        <w:t>1—Main amendments</w:t>
      </w:r>
      <w:r w:rsidRPr="00DC4876">
        <w:rPr>
          <w:noProof/>
          <w:sz w:val="18"/>
        </w:rPr>
        <w:tab/>
      </w:r>
      <w:r w:rsidRPr="00DC4876">
        <w:rPr>
          <w:noProof/>
          <w:sz w:val="18"/>
        </w:rPr>
        <w:fldChar w:fldCharType="begin"/>
      </w:r>
      <w:r w:rsidRPr="00DC4876">
        <w:rPr>
          <w:noProof/>
          <w:sz w:val="18"/>
        </w:rPr>
        <w:instrText xml:space="preserve"> PAGEREF _Toc492985200 \h </w:instrText>
      </w:r>
      <w:r w:rsidRPr="00DC4876">
        <w:rPr>
          <w:noProof/>
          <w:sz w:val="18"/>
        </w:rPr>
      </w:r>
      <w:r w:rsidRPr="00DC4876">
        <w:rPr>
          <w:noProof/>
          <w:sz w:val="18"/>
        </w:rPr>
        <w:fldChar w:fldCharType="separate"/>
      </w:r>
      <w:r w:rsidR="006342AB">
        <w:rPr>
          <w:noProof/>
          <w:sz w:val="18"/>
        </w:rPr>
        <w:t>2</w:t>
      </w:r>
      <w:r w:rsidRPr="00DC4876">
        <w:rPr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(Diagnostic Imaging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_Toc492985201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2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(General Medical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_Toc492985203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2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Regulations</w:t>
      </w:r>
      <w:r w:rsidR="00DC4876" w:rsidRPr="00DC4876">
        <w:rPr>
          <w:noProof/>
        </w:rPr>
        <w:t> </w:t>
      </w:r>
      <w:r w:rsidRPr="00DC4876">
        <w:rPr>
          <w:noProof/>
        </w:rPr>
        <w:t>1975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_Toc492985206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7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rPr>
          <w:noProof/>
        </w:rPr>
        <w:t>Part</w:t>
      </w:r>
      <w:r w:rsidR="00DC4876" w:rsidRPr="00DC4876">
        <w:rPr>
          <w:noProof/>
        </w:rPr>
        <w:t> </w:t>
      </w:r>
      <w:r w:rsidRPr="00DC4876">
        <w:rPr>
          <w:noProof/>
        </w:rPr>
        <w:t>2—References to the symbol (G)</w:t>
      </w:r>
      <w:r w:rsidRPr="00DC4876">
        <w:rPr>
          <w:noProof/>
          <w:sz w:val="18"/>
        </w:rPr>
        <w:tab/>
      </w:r>
      <w:r w:rsidRPr="00DC4876">
        <w:rPr>
          <w:noProof/>
          <w:sz w:val="18"/>
        </w:rPr>
        <w:fldChar w:fldCharType="begin"/>
      </w:r>
      <w:r w:rsidRPr="00DC4876">
        <w:rPr>
          <w:noProof/>
          <w:sz w:val="18"/>
        </w:rPr>
        <w:instrText xml:space="preserve"> PAGEREF _Toc492985208 \h </w:instrText>
      </w:r>
      <w:r w:rsidRPr="00DC4876">
        <w:rPr>
          <w:noProof/>
          <w:sz w:val="18"/>
        </w:rPr>
      </w:r>
      <w:r w:rsidRPr="00DC4876">
        <w:rPr>
          <w:noProof/>
          <w:sz w:val="18"/>
        </w:rPr>
        <w:fldChar w:fldCharType="separate"/>
      </w:r>
      <w:r w:rsidR="006342AB">
        <w:rPr>
          <w:noProof/>
          <w:sz w:val="18"/>
        </w:rPr>
        <w:t>8</w:t>
      </w:r>
      <w:r w:rsidRPr="00DC4876">
        <w:rPr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(General Medical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_Toc492985209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8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4876">
        <w:rPr>
          <w:noProof/>
        </w:rPr>
        <w:t>Part</w:t>
      </w:r>
      <w:r w:rsidR="00DC4876" w:rsidRPr="00DC4876">
        <w:rPr>
          <w:noProof/>
        </w:rPr>
        <w:t> </w:t>
      </w:r>
      <w:r w:rsidRPr="00DC4876">
        <w:rPr>
          <w:noProof/>
        </w:rPr>
        <w:t>3—References to the symbol (S)</w:t>
      </w:r>
      <w:r w:rsidRPr="00DC4876">
        <w:rPr>
          <w:noProof/>
          <w:sz w:val="18"/>
        </w:rPr>
        <w:tab/>
      </w:r>
      <w:r w:rsidRPr="00DC4876">
        <w:rPr>
          <w:noProof/>
          <w:sz w:val="18"/>
        </w:rPr>
        <w:fldChar w:fldCharType="begin"/>
      </w:r>
      <w:r w:rsidRPr="00DC4876">
        <w:rPr>
          <w:noProof/>
          <w:sz w:val="18"/>
        </w:rPr>
        <w:instrText xml:space="preserve"> PAGEREF _Toc492985210 \h </w:instrText>
      </w:r>
      <w:r w:rsidRPr="00DC4876">
        <w:rPr>
          <w:noProof/>
          <w:sz w:val="18"/>
        </w:rPr>
      </w:r>
      <w:r w:rsidRPr="00DC4876">
        <w:rPr>
          <w:noProof/>
          <w:sz w:val="18"/>
        </w:rPr>
        <w:fldChar w:fldCharType="separate"/>
      </w:r>
      <w:r w:rsidR="006342AB">
        <w:rPr>
          <w:noProof/>
          <w:sz w:val="18"/>
        </w:rPr>
        <w:t>9</w:t>
      </w:r>
      <w:r w:rsidRPr="00DC4876">
        <w:rPr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(General Medical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_Toc492985211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9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4876">
        <w:rPr>
          <w:noProof/>
        </w:rPr>
        <w:t>Schedule</w:t>
      </w:r>
      <w:r w:rsidR="00DC4876" w:rsidRPr="00DC4876">
        <w:rPr>
          <w:noProof/>
        </w:rPr>
        <w:t> </w:t>
      </w:r>
      <w:r w:rsidRPr="00DC4876">
        <w:rPr>
          <w:noProof/>
        </w:rPr>
        <w:t>2—Medicare Benefits Schedule Review: co</w:t>
      </w:r>
      <w:r w:rsidR="00DC4876">
        <w:rPr>
          <w:noProof/>
        </w:rPr>
        <w:noBreakHyphen/>
      </w:r>
      <w:r w:rsidRPr="00DC4876">
        <w:rPr>
          <w:noProof/>
        </w:rPr>
        <w:t>claim restriction</w:t>
      </w:r>
      <w:r w:rsidRPr="00DC4876">
        <w:rPr>
          <w:b w:val="0"/>
          <w:noProof/>
          <w:sz w:val="18"/>
        </w:rPr>
        <w:tab/>
      </w:r>
      <w:r w:rsidRPr="00DC4876">
        <w:rPr>
          <w:b w:val="0"/>
          <w:noProof/>
          <w:sz w:val="18"/>
        </w:rPr>
        <w:fldChar w:fldCharType="begin"/>
      </w:r>
      <w:r w:rsidRPr="00DC4876">
        <w:rPr>
          <w:b w:val="0"/>
          <w:noProof/>
          <w:sz w:val="18"/>
        </w:rPr>
        <w:instrText xml:space="preserve"> PAGEREF _Toc492985212 \h </w:instrText>
      </w:r>
      <w:r w:rsidRPr="00DC4876">
        <w:rPr>
          <w:b w:val="0"/>
          <w:noProof/>
          <w:sz w:val="18"/>
        </w:rPr>
      </w:r>
      <w:r w:rsidRPr="00DC4876">
        <w:rPr>
          <w:b w:val="0"/>
          <w:noProof/>
          <w:sz w:val="18"/>
        </w:rPr>
        <w:fldChar w:fldCharType="separate"/>
      </w:r>
      <w:r w:rsidR="006342AB">
        <w:rPr>
          <w:b w:val="0"/>
          <w:noProof/>
          <w:sz w:val="18"/>
        </w:rPr>
        <w:t>10</w:t>
      </w:r>
      <w:r w:rsidRPr="00DC4876">
        <w:rPr>
          <w:b w:val="0"/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(General Medical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_Toc492985213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10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4876">
        <w:rPr>
          <w:noProof/>
        </w:rPr>
        <w:t>Schedule</w:t>
      </w:r>
      <w:r w:rsidR="00DC4876" w:rsidRPr="00DC4876">
        <w:rPr>
          <w:noProof/>
        </w:rPr>
        <w:t> </w:t>
      </w:r>
      <w:r w:rsidRPr="00DC4876">
        <w:rPr>
          <w:noProof/>
        </w:rPr>
        <w:t>3—Other amendments</w:t>
      </w:r>
      <w:r w:rsidRPr="00DC4876">
        <w:rPr>
          <w:b w:val="0"/>
          <w:noProof/>
          <w:sz w:val="18"/>
        </w:rPr>
        <w:tab/>
      </w:r>
      <w:r w:rsidRPr="00DC4876">
        <w:rPr>
          <w:b w:val="0"/>
          <w:noProof/>
          <w:sz w:val="18"/>
        </w:rPr>
        <w:fldChar w:fldCharType="begin"/>
      </w:r>
      <w:r w:rsidRPr="00DC4876">
        <w:rPr>
          <w:b w:val="0"/>
          <w:noProof/>
          <w:sz w:val="18"/>
        </w:rPr>
        <w:instrText xml:space="preserve"> PAGEREF _Toc492985215 \h </w:instrText>
      </w:r>
      <w:r w:rsidRPr="00DC4876">
        <w:rPr>
          <w:b w:val="0"/>
          <w:noProof/>
          <w:sz w:val="18"/>
        </w:rPr>
      </w:r>
      <w:r w:rsidRPr="00DC4876">
        <w:rPr>
          <w:b w:val="0"/>
          <w:noProof/>
          <w:sz w:val="18"/>
        </w:rPr>
        <w:fldChar w:fldCharType="separate"/>
      </w:r>
      <w:r w:rsidR="006342AB">
        <w:rPr>
          <w:b w:val="0"/>
          <w:noProof/>
          <w:sz w:val="18"/>
        </w:rPr>
        <w:t>12</w:t>
      </w:r>
      <w:r w:rsidRPr="00DC4876">
        <w:rPr>
          <w:b w:val="0"/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(Diagnostic Imaging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_Toc492985216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12</w:t>
      </w:r>
      <w:r w:rsidRPr="00DC4876">
        <w:rPr>
          <w:i w:val="0"/>
          <w:noProof/>
          <w:sz w:val="18"/>
        </w:rPr>
        <w:fldChar w:fldCharType="end"/>
      </w:r>
    </w:p>
    <w:p w:rsidR="00237136" w:rsidRPr="00DC4876" w:rsidRDefault="002371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4876">
        <w:rPr>
          <w:noProof/>
        </w:rPr>
        <w:t>Health Insurance (General Medical Services Table) Regulations</w:t>
      </w:r>
      <w:r w:rsidR="00DC4876" w:rsidRPr="00DC4876">
        <w:rPr>
          <w:noProof/>
        </w:rPr>
        <w:t> </w:t>
      </w:r>
      <w:r w:rsidRPr="00DC4876">
        <w:rPr>
          <w:noProof/>
        </w:rPr>
        <w:t>2017</w:t>
      </w:r>
      <w:r w:rsidRPr="00DC4876">
        <w:rPr>
          <w:i w:val="0"/>
          <w:noProof/>
          <w:sz w:val="18"/>
        </w:rPr>
        <w:tab/>
      </w:r>
      <w:r w:rsidRPr="00DC4876">
        <w:rPr>
          <w:i w:val="0"/>
          <w:noProof/>
          <w:sz w:val="18"/>
        </w:rPr>
        <w:fldChar w:fldCharType="begin"/>
      </w:r>
      <w:r w:rsidRPr="00DC4876">
        <w:rPr>
          <w:i w:val="0"/>
          <w:noProof/>
          <w:sz w:val="18"/>
        </w:rPr>
        <w:instrText xml:space="preserve"> PAGEREF _Toc492985217 \h </w:instrText>
      </w:r>
      <w:r w:rsidRPr="00DC4876">
        <w:rPr>
          <w:i w:val="0"/>
          <w:noProof/>
          <w:sz w:val="18"/>
        </w:rPr>
      </w:r>
      <w:r w:rsidRPr="00DC4876">
        <w:rPr>
          <w:i w:val="0"/>
          <w:noProof/>
          <w:sz w:val="18"/>
        </w:rPr>
        <w:fldChar w:fldCharType="separate"/>
      </w:r>
      <w:r w:rsidR="006342AB">
        <w:rPr>
          <w:i w:val="0"/>
          <w:noProof/>
          <w:sz w:val="18"/>
        </w:rPr>
        <w:t>12</w:t>
      </w:r>
      <w:r w:rsidRPr="00DC4876">
        <w:rPr>
          <w:i w:val="0"/>
          <w:noProof/>
          <w:sz w:val="18"/>
        </w:rPr>
        <w:fldChar w:fldCharType="end"/>
      </w:r>
    </w:p>
    <w:p w:rsidR="00833416" w:rsidRPr="00DC4876" w:rsidRDefault="00237136" w:rsidP="0048364F">
      <w:r w:rsidRPr="00DC4876">
        <w:fldChar w:fldCharType="end"/>
      </w:r>
    </w:p>
    <w:p w:rsidR="00722023" w:rsidRPr="00DC4876" w:rsidRDefault="00722023" w:rsidP="0048364F">
      <w:pPr>
        <w:sectPr w:rsidR="00722023" w:rsidRPr="00DC4876" w:rsidSect="00850E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C4876" w:rsidRDefault="0048364F" w:rsidP="0048364F">
      <w:pPr>
        <w:pStyle w:val="ActHead5"/>
      </w:pPr>
      <w:bookmarkStart w:id="0" w:name="_Toc492985195"/>
      <w:r w:rsidRPr="00DC4876">
        <w:rPr>
          <w:rStyle w:val="CharSectno"/>
        </w:rPr>
        <w:lastRenderedPageBreak/>
        <w:t>1</w:t>
      </w:r>
      <w:r w:rsidRPr="00DC4876">
        <w:t xml:space="preserve">  </w:t>
      </w:r>
      <w:r w:rsidR="004F676E" w:rsidRPr="00DC4876">
        <w:t>Name</w:t>
      </w:r>
      <w:bookmarkEnd w:id="0"/>
    </w:p>
    <w:p w:rsidR="0048364F" w:rsidRPr="00DC4876" w:rsidRDefault="0048364F" w:rsidP="0048364F">
      <w:pPr>
        <w:pStyle w:val="subsection"/>
      </w:pPr>
      <w:r w:rsidRPr="00DC4876">
        <w:tab/>
      </w:r>
      <w:r w:rsidRPr="00DC4876">
        <w:tab/>
        <w:t>Th</w:t>
      </w:r>
      <w:r w:rsidR="00F24C35" w:rsidRPr="00DC4876">
        <w:t>is</w:t>
      </w:r>
      <w:r w:rsidR="007906C8" w:rsidRPr="00DC4876">
        <w:t xml:space="preserve"> instrument</w:t>
      </w:r>
      <w:r w:rsidRPr="00DC4876">
        <w:t xml:space="preserve"> </w:t>
      </w:r>
      <w:r w:rsidR="00F24C35" w:rsidRPr="00DC4876">
        <w:t>is</w:t>
      </w:r>
      <w:r w:rsidR="003801D0" w:rsidRPr="00DC4876">
        <w:t xml:space="preserve"> the</w:t>
      </w:r>
      <w:r w:rsidRPr="00DC4876">
        <w:t xml:space="preserve"> </w:t>
      </w:r>
      <w:r w:rsidR="00CB0180" w:rsidRPr="00DC4876">
        <w:rPr>
          <w:i/>
        </w:rPr>
        <w:fldChar w:fldCharType="begin"/>
      </w:r>
      <w:r w:rsidR="00CB0180" w:rsidRPr="00DC4876">
        <w:rPr>
          <w:i/>
        </w:rPr>
        <w:instrText xml:space="preserve"> STYLEREF  ShortT </w:instrText>
      </w:r>
      <w:r w:rsidR="00CB0180" w:rsidRPr="00DC4876">
        <w:rPr>
          <w:i/>
        </w:rPr>
        <w:fldChar w:fldCharType="separate"/>
      </w:r>
      <w:r w:rsidR="006342AB">
        <w:rPr>
          <w:i/>
          <w:noProof/>
        </w:rPr>
        <w:t>Health Insurance Legislation Amendment (2017 Measures No. 2) Regulations 2017</w:t>
      </w:r>
      <w:r w:rsidR="00CB0180" w:rsidRPr="00DC4876">
        <w:rPr>
          <w:i/>
        </w:rPr>
        <w:fldChar w:fldCharType="end"/>
      </w:r>
      <w:r w:rsidRPr="00DC4876">
        <w:t>.</w:t>
      </w:r>
    </w:p>
    <w:p w:rsidR="0048364F" w:rsidRPr="00DC4876" w:rsidRDefault="0048364F" w:rsidP="0048364F">
      <w:pPr>
        <w:pStyle w:val="ActHead5"/>
      </w:pPr>
      <w:bookmarkStart w:id="1" w:name="_Toc492985196"/>
      <w:r w:rsidRPr="00DC4876">
        <w:rPr>
          <w:rStyle w:val="CharSectno"/>
        </w:rPr>
        <w:t>2</w:t>
      </w:r>
      <w:r w:rsidRPr="00DC4876">
        <w:t xml:space="preserve">  Commencement</w:t>
      </w:r>
      <w:bookmarkEnd w:id="1"/>
    </w:p>
    <w:p w:rsidR="00947D5F" w:rsidRPr="00DC4876" w:rsidRDefault="00947D5F" w:rsidP="005B1F91">
      <w:pPr>
        <w:pStyle w:val="subsection"/>
      </w:pPr>
      <w:bookmarkStart w:id="2" w:name="_GoBack"/>
      <w:r w:rsidRPr="00DC4876">
        <w:tab/>
        <w:t>(1)</w:t>
      </w:r>
      <w:r w:rsidRPr="00DC487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947D5F" w:rsidRPr="00DC4876" w:rsidRDefault="00947D5F" w:rsidP="005B1F91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47D5F" w:rsidRPr="00DC4876" w:rsidTr="005B1F9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Commencement information</w:t>
            </w:r>
          </w:p>
        </w:tc>
      </w:tr>
      <w:tr w:rsidR="00947D5F" w:rsidRPr="00DC4876" w:rsidTr="005B1F9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Column 3</w:t>
            </w:r>
          </w:p>
        </w:tc>
      </w:tr>
      <w:tr w:rsidR="00947D5F" w:rsidRPr="00DC4876" w:rsidTr="005B1F9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7D5F" w:rsidRPr="00DC4876" w:rsidRDefault="00947D5F" w:rsidP="005B1F91">
            <w:pPr>
              <w:pStyle w:val="TableHeading"/>
            </w:pPr>
            <w:r w:rsidRPr="00DC4876">
              <w:t>Date/Details</w:t>
            </w:r>
          </w:p>
        </w:tc>
      </w:tr>
      <w:tr w:rsidR="00085B03" w:rsidRPr="00DC4876" w:rsidTr="00085B03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085B03" w:rsidRPr="00DC4876" w:rsidRDefault="00085B03" w:rsidP="00085B03">
            <w:pPr>
              <w:pStyle w:val="Tabletext"/>
            </w:pPr>
            <w:r w:rsidRPr="00DC4876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085B03" w:rsidRPr="00DC4876" w:rsidRDefault="00085B03" w:rsidP="00520E5B">
            <w:pPr>
              <w:pStyle w:val="Tabletext"/>
            </w:pPr>
            <w:r w:rsidRPr="00DC4876">
              <w:t>1</w:t>
            </w:r>
            <w:r w:rsidR="00DC4876" w:rsidRPr="00DC4876">
              <w:t> </w:t>
            </w:r>
            <w:r w:rsidRPr="00DC4876">
              <w:t>November 2017.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085B03" w:rsidRPr="00DC4876" w:rsidRDefault="00085B03" w:rsidP="00520E5B">
            <w:pPr>
              <w:pStyle w:val="Tabletext"/>
            </w:pPr>
            <w:r w:rsidRPr="00DC4876">
              <w:t>1</w:t>
            </w:r>
            <w:r w:rsidR="00DC4876" w:rsidRPr="00DC4876">
              <w:t> </w:t>
            </w:r>
            <w:r w:rsidRPr="00DC4876">
              <w:t>November 2017</w:t>
            </w:r>
          </w:p>
        </w:tc>
      </w:tr>
    </w:tbl>
    <w:p w:rsidR="00947D5F" w:rsidRPr="00DC4876" w:rsidRDefault="00947D5F" w:rsidP="005B1F91">
      <w:pPr>
        <w:pStyle w:val="notetext"/>
      </w:pPr>
      <w:r w:rsidRPr="00DC4876">
        <w:rPr>
          <w:snapToGrid w:val="0"/>
          <w:lang w:eastAsia="en-US"/>
        </w:rPr>
        <w:t>Note:</w:t>
      </w:r>
      <w:r w:rsidRPr="00DC4876">
        <w:rPr>
          <w:snapToGrid w:val="0"/>
          <w:lang w:eastAsia="en-US"/>
        </w:rPr>
        <w:tab/>
        <w:t xml:space="preserve">This table relates only to the provisions of this </w:t>
      </w:r>
      <w:r w:rsidRPr="00DC4876">
        <w:t xml:space="preserve">instrument </w:t>
      </w:r>
      <w:r w:rsidRPr="00DC4876">
        <w:rPr>
          <w:snapToGrid w:val="0"/>
          <w:lang w:eastAsia="en-US"/>
        </w:rPr>
        <w:t xml:space="preserve">as originally made. It will not be amended to deal with any later amendments of this </w:t>
      </w:r>
      <w:r w:rsidRPr="00DC4876">
        <w:t>instrument</w:t>
      </w:r>
      <w:r w:rsidRPr="00DC4876">
        <w:rPr>
          <w:snapToGrid w:val="0"/>
          <w:lang w:eastAsia="en-US"/>
        </w:rPr>
        <w:t>.</w:t>
      </w:r>
    </w:p>
    <w:p w:rsidR="00947D5F" w:rsidRPr="00DC4876" w:rsidRDefault="00947D5F" w:rsidP="005B1F91">
      <w:pPr>
        <w:pStyle w:val="subsection"/>
      </w:pPr>
      <w:r w:rsidRPr="00DC4876">
        <w:tab/>
        <w:t>(2)</w:t>
      </w:r>
      <w:r w:rsidRPr="00DC48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C4876" w:rsidRDefault="007769D4" w:rsidP="007769D4">
      <w:pPr>
        <w:pStyle w:val="ActHead5"/>
      </w:pPr>
      <w:bookmarkStart w:id="3" w:name="_Toc492985197"/>
      <w:r w:rsidRPr="00DC4876">
        <w:rPr>
          <w:rStyle w:val="CharSectno"/>
        </w:rPr>
        <w:t>3</w:t>
      </w:r>
      <w:r w:rsidRPr="00DC4876">
        <w:t xml:space="preserve">  Authority</w:t>
      </w:r>
      <w:bookmarkEnd w:id="3"/>
    </w:p>
    <w:p w:rsidR="007769D4" w:rsidRPr="00DC4876" w:rsidRDefault="007769D4" w:rsidP="007769D4">
      <w:pPr>
        <w:pStyle w:val="subsection"/>
      </w:pPr>
      <w:r w:rsidRPr="00DC4876">
        <w:tab/>
      </w:r>
      <w:r w:rsidRPr="00DC4876">
        <w:tab/>
      </w:r>
      <w:r w:rsidR="00AF0336" w:rsidRPr="00DC4876">
        <w:t xml:space="preserve">This </w:t>
      </w:r>
      <w:r w:rsidR="00882E86" w:rsidRPr="00DC4876">
        <w:t>instrument</w:t>
      </w:r>
      <w:r w:rsidR="00AF0336" w:rsidRPr="00DC4876">
        <w:t xml:space="preserve"> is made under the </w:t>
      </w:r>
      <w:r w:rsidR="00882E86" w:rsidRPr="00DC4876">
        <w:rPr>
          <w:i/>
        </w:rPr>
        <w:t>Health Insurance Act 1973</w:t>
      </w:r>
      <w:r w:rsidR="00D83D21" w:rsidRPr="00DC4876">
        <w:rPr>
          <w:i/>
        </w:rPr>
        <w:t>.</w:t>
      </w:r>
    </w:p>
    <w:p w:rsidR="00557C7A" w:rsidRPr="00DC4876" w:rsidRDefault="007769D4" w:rsidP="00557C7A">
      <w:pPr>
        <w:pStyle w:val="ActHead5"/>
      </w:pPr>
      <w:bookmarkStart w:id="4" w:name="_Toc492985198"/>
      <w:r w:rsidRPr="00DC4876">
        <w:rPr>
          <w:rStyle w:val="CharSectno"/>
        </w:rPr>
        <w:t>4</w:t>
      </w:r>
      <w:r w:rsidR="00557C7A" w:rsidRPr="00DC4876">
        <w:t xml:space="preserve">  </w:t>
      </w:r>
      <w:r w:rsidR="00B332B8" w:rsidRPr="00DC4876">
        <w:t>Schedules</w:t>
      </w:r>
      <w:bookmarkEnd w:id="4"/>
    </w:p>
    <w:p w:rsidR="000F6B02" w:rsidRPr="00DC4876" w:rsidRDefault="00557C7A" w:rsidP="000F6B02">
      <w:pPr>
        <w:pStyle w:val="subsection"/>
      </w:pPr>
      <w:r w:rsidRPr="00DC4876">
        <w:tab/>
      </w:r>
      <w:r w:rsidRPr="00DC4876">
        <w:tab/>
      </w:r>
      <w:r w:rsidR="000F6B02" w:rsidRPr="00DC4876">
        <w:t xml:space="preserve">Each instrument that is specified in a Schedule to </w:t>
      </w:r>
      <w:r w:rsidR="00882E86" w:rsidRPr="00DC4876">
        <w:t>this instrument</w:t>
      </w:r>
      <w:r w:rsidR="000F6B02" w:rsidRPr="00DC4876">
        <w:t xml:space="preserve"> is amended or repealed as set out in the applicable items in the Schedule concerned, and any other item in a Schedule to </w:t>
      </w:r>
      <w:r w:rsidR="00882E86" w:rsidRPr="00DC4876">
        <w:t>this instrument</w:t>
      </w:r>
      <w:r w:rsidR="000F6B02" w:rsidRPr="00DC4876">
        <w:t xml:space="preserve"> has effect according to its terms.</w:t>
      </w:r>
    </w:p>
    <w:p w:rsidR="0048364F" w:rsidRPr="00DC4876" w:rsidRDefault="0048364F" w:rsidP="00FF3089">
      <w:pPr>
        <w:pStyle w:val="ActHead6"/>
        <w:pageBreakBefore/>
      </w:pPr>
      <w:bookmarkStart w:id="5" w:name="_Toc492985199"/>
      <w:bookmarkStart w:id="6" w:name="opcAmSched"/>
      <w:r w:rsidRPr="00DC4876">
        <w:rPr>
          <w:rStyle w:val="CharAmSchNo"/>
        </w:rPr>
        <w:t>Schedule</w:t>
      </w:r>
      <w:r w:rsidR="00DC4876" w:rsidRPr="00DC4876">
        <w:rPr>
          <w:rStyle w:val="CharAmSchNo"/>
        </w:rPr>
        <w:t> </w:t>
      </w:r>
      <w:r w:rsidRPr="00DC4876">
        <w:rPr>
          <w:rStyle w:val="CharAmSchNo"/>
        </w:rPr>
        <w:t>1</w:t>
      </w:r>
      <w:r w:rsidRPr="00DC4876">
        <w:t>—</w:t>
      </w:r>
      <w:r w:rsidR="00D66682" w:rsidRPr="00DC4876">
        <w:rPr>
          <w:rStyle w:val="CharAmSchText"/>
        </w:rPr>
        <w:t>Medicare Benefits Schedule Review</w:t>
      </w:r>
      <w:r w:rsidR="000F662A" w:rsidRPr="00DC4876">
        <w:rPr>
          <w:rStyle w:val="CharAmSchText"/>
        </w:rPr>
        <w:t>: general</w:t>
      </w:r>
      <w:bookmarkEnd w:id="5"/>
    </w:p>
    <w:p w:rsidR="0004044E" w:rsidRPr="00DC4876" w:rsidRDefault="00FF4275" w:rsidP="00D800B5">
      <w:pPr>
        <w:pStyle w:val="ActHead7"/>
      </w:pPr>
      <w:bookmarkStart w:id="7" w:name="_Toc492985200"/>
      <w:bookmarkEnd w:id="6"/>
      <w:r w:rsidRPr="00DC4876">
        <w:rPr>
          <w:rStyle w:val="CharAmPartNo"/>
        </w:rPr>
        <w:t>Part</w:t>
      </w:r>
      <w:r w:rsidR="00DC4876" w:rsidRPr="00DC4876">
        <w:rPr>
          <w:rStyle w:val="CharAmPartNo"/>
        </w:rPr>
        <w:t> </w:t>
      </w:r>
      <w:r w:rsidRPr="00DC4876">
        <w:rPr>
          <w:rStyle w:val="CharAmPartNo"/>
        </w:rPr>
        <w:t>1</w:t>
      </w:r>
      <w:r w:rsidRPr="00DC4876">
        <w:t>—</w:t>
      </w:r>
      <w:r w:rsidR="000F662A" w:rsidRPr="00DC4876">
        <w:rPr>
          <w:rStyle w:val="CharAmPartText"/>
        </w:rPr>
        <w:t>Main</w:t>
      </w:r>
      <w:r w:rsidR="00F31E3E" w:rsidRPr="00DC4876">
        <w:rPr>
          <w:rStyle w:val="CharAmPartText"/>
        </w:rPr>
        <w:t xml:space="preserve"> a</w:t>
      </w:r>
      <w:r w:rsidRPr="00DC4876">
        <w:rPr>
          <w:rStyle w:val="CharAmPartText"/>
        </w:rPr>
        <w:t>mendments</w:t>
      </w:r>
      <w:bookmarkEnd w:id="7"/>
    </w:p>
    <w:p w:rsidR="000350D1" w:rsidRPr="00DC4876" w:rsidRDefault="000350D1" w:rsidP="000350D1">
      <w:pPr>
        <w:pStyle w:val="ActHead9"/>
      </w:pPr>
      <w:bookmarkStart w:id="8" w:name="_Toc492985201"/>
      <w:r w:rsidRPr="00DC4876">
        <w:t>Health Insurance (Diagnostic Imaging Services Table) Regulations</w:t>
      </w:r>
      <w:r w:rsidR="00DC4876" w:rsidRPr="00DC4876">
        <w:t> </w:t>
      </w:r>
      <w:r w:rsidRPr="00DC4876">
        <w:t>2017</w:t>
      </w:r>
      <w:bookmarkEnd w:id="8"/>
    </w:p>
    <w:p w:rsidR="000350D1" w:rsidRPr="00DC4876" w:rsidRDefault="008C0B9F" w:rsidP="000350D1">
      <w:pPr>
        <w:pStyle w:val="ItemHead"/>
      </w:pPr>
      <w:r w:rsidRPr="00DC4876">
        <w:t>1</w:t>
      </w:r>
      <w:r w:rsidR="000350D1" w:rsidRPr="00DC4876">
        <w:t xml:space="preserve">  After clause</w:t>
      </w:r>
      <w:r w:rsidR="00DC4876" w:rsidRPr="00DC4876">
        <w:t> </w:t>
      </w:r>
      <w:r w:rsidR="000350D1" w:rsidRPr="00DC4876">
        <w:t>2.3.1</w:t>
      </w:r>
      <w:r w:rsidR="002F219B" w:rsidRPr="00DC4876">
        <w:t xml:space="preserve"> of Schedule</w:t>
      </w:r>
      <w:r w:rsidR="00DC4876" w:rsidRPr="00DC4876">
        <w:t> </w:t>
      </w:r>
      <w:r w:rsidR="002F219B" w:rsidRPr="00DC4876">
        <w:t>1</w:t>
      </w:r>
    </w:p>
    <w:p w:rsidR="000350D1" w:rsidRPr="00DC4876" w:rsidRDefault="000350D1" w:rsidP="000350D1">
      <w:pPr>
        <w:pStyle w:val="Item"/>
      </w:pPr>
      <w:r w:rsidRPr="00DC4876">
        <w:t>Insert:</w:t>
      </w:r>
    </w:p>
    <w:p w:rsidR="000350D1" w:rsidRPr="00DC4876" w:rsidRDefault="000350D1" w:rsidP="000350D1">
      <w:pPr>
        <w:pStyle w:val="ActHead5"/>
      </w:pPr>
      <w:bookmarkStart w:id="9" w:name="_Toc492985202"/>
      <w:r w:rsidRPr="00DC4876">
        <w:rPr>
          <w:rStyle w:val="CharSectno"/>
        </w:rPr>
        <w:t>2.3.1A</w:t>
      </w:r>
      <w:r w:rsidRPr="00DC4876">
        <w:t xml:space="preserve"> </w:t>
      </w:r>
      <w:r w:rsidR="005C410A" w:rsidRPr="00DC4876">
        <w:t xml:space="preserve"> Limitation</w:t>
      </w:r>
      <w:r w:rsidR="005A1169" w:rsidRPr="00DC4876">
        <w:t xml:space="preserve"> of</w:t>
      </w:r>
      <w:r w:rsidRPr="00DC4876">
        <w:t xml:space="preserve"> items</w:t>
      </w:r>
      <w:r w:rsidR="005C410A" w:rsidRPr="00DC4876">
        <w:t xml:space="preserve">—certain services </w:t>
      </w:r>
      <w:r w:rsidR="005C3088" w:rsidRPr="00DC4876">
        <w:t>requested</w:t>
      </w:r>
      <w:r w:rsidR="005C410A" w:rsidRPr="00DC4876">
        <w:t xml:space="preserve"> by </w:t>
      </w:r>
      <w:r w:rsidRPr="00DC4876">
        <w:t>chiropractors</w:t>
      </w:r>
      <w:r w:rsidR="005C3088" w:rsidRPr="00DC4876">
        <w:t>, osteopaths and physiotherapists</w:t>
      </w:r>
      <w:bookmarkEnd w:id="9"/>
    </w:p>
    <w:p w:rsidR="005C410A" w:rsidRPr="00DC4876" w:rsidRDefault="000350D1" w:rsidP="000350D1">
      <w:pPr>
        <w:pStyle w:val="subsection"/>
      </w:pPr>
      <w:r w:rsidRPr="00DC4876">
        <w:tab/>
      </w:r>
      <w:r w:rsidRPr="00DC4876">
        <w:tab/>
      </w:r>
      <w:r w:rsidR="005C410A" w:rsidRPr="00DC4876">
        <w:t xml:space="preserve">For any </w:t>
      </w:r>
      <w:r w:rsidR="00D73717" w:rsidRPr="00DC4876">
        <w:t xml:space="preserve">particular </w:t>
      </w:r>
      <w:r w:rsidR="005C410A" w:rsidRPr="00DC4876">
        <w:t xml:space="preserve">patient, if the service mentioned in any of the following items is </w:t>
      </w:r>
      <w:r w:rsidR="005C3088" w:rsidRPr="00DC4876">
        <w:t>requested</w:t>
      </w:r>
      <w:r w:rsidR="005C410A" w:rsidRPr="00DC4876">
        <w:t xml:space="preserve"> </w:t>
      </w:r>
      <w:r w:rsidR="00D73717" w:rsidRPr="00DC4876">
        <w:t xml:space="preserve">more than once on the same day </w:t>
      </w:r>
      <w:r w:rsidR="005C410A" w:rsidRPr="00DC4876">
        <w:t xml:space="preserve">by the same </w:t>
      </w:r>
      <w:r w:rsidR="00846829" w:rsidRPr="00DC4876">
        <w:t xml:space="preserve">chiropractor, physiotherapist, or osteopath, </w:t>
      </w:r>
      <w:r w:rsidR="005C410A" w:rsidRPr="00DC4876">
        <w:t>the item applies to the service only once on that day:</w:t>
      </w:r>
    </w:p>
    <w:p w:rsidR="005C410A" w:rsidRPr="00DC4876" w:rsidRDefault="005C3088" w:rsidP="005C410A">
      <w:pPr>
        <w:pStyle w:val="paragraph"/>
      </w:pPr>
      <w:r w:rsidRPr="00DC4876">
        <w:tab/>
        <w:t>(a</w:t>
      </w:r>
      <w:r w:rsidR="005C410A" w:rsidRPr="00DC4876">
        <w:t>)</w:t>
      </w:r>
      <w:r w:rsidR="005C410A" w:rsidRPr="00DC4876">
        <w:tab/>
        <w:t>items</w:t>
      </w:r>
      <w:r w:rsidR="00DC4876" w:rsidRPr="00DC4876">
        <w:t> </w:t>
      </w:r>
      <w:r w:rsidR="005C410A" w:rsidRPr="00DC4876">
        <w:t>58100 to 58106;</w:t>
      </w:r>
    </w:p>
    <w:p w:rsidR="005C410A" w:rsidRPr="00DC4876" w:rsidRDefault="005C3088" w:rsidP="005C410A">
      <w:pPr>
        <w:pStyle w:val="paragraph"/>
      </w:pPr>
      <w:r w:rsidRPr="00DC4876">
        <w:tab/>
        <w:t>(b</w:t>
      </w:r>
      <w:r w:rsidR="005C410A" w:rsidRPr="00DC4876">
        <w:t>)</w:t>
      </w:r>
      <w:r w:rsidR="005C410A" w:rsidRPr="00DC4876">
        <w:tab/>
        <w:t>items</w:t>
      </w:r>
      <w:r w:rsidR="00DC4876" w:rsidRPr="00DC4876">
        <w:t> </w:t>
      </w:r>
      <w:r w:rsidR="005C410A" w:rsidRPr="00DC4876">
        <w:t>58109, 58111, 58112, 58117 and 58123.</w:t>
      </w:r>
    </w:p>
    <w:p w:rsidR="004F5E23" w:rsidRPr="00DC4876" w:rsidRDefault="004F5E23" w:rsidP="004F5E23">
      <w:pPr>
        <w:pStyle w:val="ActHead9"/>
      </w:pPr>
      <w:bookmarkStart w:id="10" w:name="_Toc492985203"/>
      <w:r w:rsidRPr="00DC4876">
        <w:t>Health Insurance (General Medical Services Table) Regulations</w:t>
      </w:r>
      <w:r w:rsidR="00DC4876" w:rsidRPr="00DC4876">
        <w:t> </w:t>
      </w:r>
      <w:r w:rsidRPr="00DC4876">
        <w:t>2017</w:t>
      </w:r>
      <w:bookmarkEnd w:id="10"/>
    </w:p>
    <w:p w:rsidR="00EE3BFF" w:rsidRPr="00DC4876" w:rsidRDefault="008C0B9F" w:rsidP="00943B45">
      <w:pPr>
        <w:pStyle w:val="ItemHead"/>
      </w:pPr>
      <w:r w:rsidRPr="00DC4876">
        <w:t>2</w:t>
      </w:r>
      <w:r w:rsidR="003D7833" w:rsidRPr="00DC4876">
        <w:t xml:space="preserve">  </w:t>
      </w:r>
      <w:r w:rsidR="00EE3BFF" w:rsidRPr="00DC4876">
        <w:t>After clause</w:t>
      </w:r>
      <w:r w:rsidR="00DC4876" w:rsidRPr="00DC4876">
        <w:t> </w:t>
      </w:r>
      <w:r w:rsidR="00EE3BFF" w:rsidRPr="00DC4876">
        <w:t>2.34.3 of Schedule</w:t>
      </w:r>
      <w:r w:rsidR="00DC4876" w:rsidRPr="00DC4876">
        <w:t> </w:t>
      </w:r>
      <w:r w:rsidR="00EE3BFF" w:rsidRPr="00DC4876">
        <w:t>1</w:t>
      </w:r>
      <w:r w:rsidR="005913AD" w:rsidRPr="00DC4876">
        <w:t xml:space="preserve"> (before the table)</w:t>
      </w:r>
    </w:p>
    <w:p w:rsidR="00EE3BFF" w:rsidRPr="00DC4876" w:rsidRDefault="00EE3BFF" w:rsidP="00EE3BFF">
      <w:pPr>
        <w:pStyle w:val="Item"/>
      </w:pPr>
      <w:r w:rsidRPr="00DC4876">
        <w:t>Insert:</w:t>
      </w:r>
    </w:p>
    <w:p w:rsidR="00681398" w:rsidRPr="00DC4876" w:rsidRDefault="00EE3BFF" w:rsidP="00D40825">
      <w:pPr>
        <w:pStyle w:val="ActHead5"/>
      </w:pPr>
      <w:bookmarkStart w:id="11" w:name="_Toc492985204"/>
      <w:r w:rsidRPr="00DC4876">
        <w:rPr>
          <w:rStyle w:val="CharSectno"/>
        </w:rPr>
        <w:t>2.34.4</w:t>
      </w:r>
      <w:r w:rsidRPr="00DC4876">
        <w:t xml:space="preserve">  </w:t>
      </w:r>
      <w:r w:rsidR="00681398" w:rsidRPr="00DC4876">
        <w:t>Application of items</w:t>
      </w:r>
      <w:r w:rsidR="00DC4876" w:rsidRPr="00DC4876">
        <w:t> </w:t>
      </w:r>
      <w:r w:rsidR="00681398" w:rsidRPr="00DC4876">
        <w:t>12306</w:t>
      </w:r>
      <w:r w:rsidR="00E5200D" w:rsidRPr="00DC4876">
        <w:t xml:space="preserve"> to 12322</w:t>
      </w:r>
      <w:bookmarkEnd w:id="11"/>
    </w:p>
    <w:p w:rsidR="00BA3CFE" w:rsidRPr="00DC4876" w:rsidRDefault="00BF3A3D" w:rsidP="00BF3A3D">
      <w:pPr>
        <w:pStyle w:val="subsection"/>
      </w:pPr>
      <w:r w:rsidRPr="00DC4876">
        <w:tab/>
        <w:t>(1)</w:t>
      </w:r>
      <w:r w:rsidRPr="00DC4876">
        <w:tab/>
      </w:r>
      <w:r w:rsidR="00BA3CFE" w:rsidRPr="00DC4876">
        <w:t>Items</w:t>
      </w:r>
      <w:r w:rsidR="00DC4876" w:rsidRPr="00DC4876">
        <w:t> </w:t>
      </w:r>
      <w:r w:rsidR="00BA3CFE" w:rsidRPr="00DC4876">
        <w:t>12306 to 12322 apply to a service for a patient only as set out in this clause.</w:t>
      </w:r>
    </w:p>
    <w:p w:rsidR="00BF3A3D" w:rsidRPr="00DC4876" w:rsidRDefault="00BA3CFE" w:rsidP="00BA3CFE">
      <w:pPr>
        <w:pStyle w:val="subsection"/>
      </w:pPr>
      <w:r w:rsidRPr="00DC4876">
        <w:tab/>
        <w:t>(2)</w:t>
      </w:r>
      <w:r w:rsidRPr="00DC4876">
        <w:tab/>
      </w:r>
      <w:r w:rsidR="006D072B" w:rsidRPr="00DC4876">
        <w:t xml:space="preserve">Subject to </w:t>
      </w:r>
      <w:r w:rsidR="00DC4876" w:rsidRPr="00DC4876">
        <w:t>subclause (</w:t>
      </w:r>
      <w:r w:rsidR="006D072B" w:rsidRPr="00DC4876">
        <w:t>4), the</w:t>
      </w:r>
      <w:r w:rsidR="00EA7494" w:rsidRPr="00DC4876">
        <w:t xml:space="preserve"> items</w:t>
      </w:r>
      <w:r w:rsidR="006D072B" w:rsidRPr="00DC4876">
        <w:t xml:space="preserve"> </w:t>
      </w:r>
      <w:r w:rsidRPr="00DC4876">
        <w:t>apply to a service that</w:t>
      </w:r>
      <w:r w:rsidR="00BC079A" w:rsidRPr="00DC4876">
        <w:t xml:space="preserve"> is provided by </w:t>
      </w:r>
      <w:r w:rsidR="00BF3A3D" w:rsidRPr="00DC4876">
        <w:t xml:space="preserve">a specialist or consultant physician to whom the patient has been referred by another </w:t>
      </w:r>
      <w:r w:rsidR="00BC079A" w:rsidRPr="00DC4876">
        <w:t xml:space="preserve">medical </w:t>
      </w:r>
      <w:r w:rsidRPr="00DC4876">
        <w:t>practitioner.</w:t>
      </w:r>
    </w:p>
    <w:p w:rsidR="001364EE" w:rsidRPr="00DC4876" w:rsidRDefault="006D072B" w:rsidP="00BA3CFE">
      <w:pPr>
        <w:pStyle w:val="subsection"/>
      </w:pPr>
      <w:r w:rsidRPr="00DC4876">
        <w:tab/>
        <w:t>(3)</w:t>
      </w:r>
      <w:r w:rsidRPr="00DC4876">
        <w:tab/>
        <w:t xml:space="preserve">Subject to </w:t>
      </w:r>
      <w:r w:rsidR="00DC4876" w:rsidRPr="00DC4876">
        <w:t>subclause (</w:t>
      </w:r>
      <w:r w:rsidRPr="00DC4876">
        <w:t>4), t</w:t>
      </w:r>
      <w:r w:rsidR="00BA3CFE" w:rsidRPr="00DC4876">
        <w:t xml:space="preserve">he items </w:t>
      </w:r>
      <w:r w:rsidR="00EA7494" w:rsidRPr="00DC4876">
        <w:t xml:space="preserve">also </w:t>
      </w:r>
      <w:r w:rsidR="00BA3CFE" w:rsidRPr="00DC4876">
        <w:t>apply to a service that is provided as follows:</w:t>
      </w:r>
    </w:p>
    <w:p w:rsidR="001364EE" w:rsidRPr="00DC4876" w:rsidRDefault="001364EE" w:rsidP="00BA3CFE">
      <w:pPr>
        <w:pStyle w:val="paragraph"/>
      </w:pPr>
      <w:r w:rsidRPr="00DC4876">
        <w:tab/>
        <w:t>(</w:t>
      </w:r>
      <w:r w:rsidR="00BA3CFE" w:rsidRPr="00DC4876">
        <w:t>a</w:t>
      </w:r>
      <w:r w:rsidRPr="00DC4876">
        <w:t>)</w:t>
      </w:r>
      <w:r w:rsidRPr="00DC4876">
        <w:tab/>
      </w:r>
      <w:r w:rsidR="00BF3A3D" w:rsidRPr="00DC4876">
        <w:t>a perso</w:t>
      </w:r>
      <w:r w:rsidRPr="00DC4876">
        <w:t xml:space="preserve">n </w:t>
      </w:r>
      <w:r w:rsidR="00FD1BFD" w:rsidRPr="00DC4876">
        <w:t xml:space="preserve">(the </w:t>
      </w:r>
      <w:r w:rsidR="00FD1BFD" w:rsidRPr="00DC4876">
        <w:rPr>
          <w:b/>
          <w:i/>
        </w:rPr>
        <w:t>radiation licence holder</w:t>
      </w:r>
      <w:r w:rsidR="00FD1BFD" w:rsidRPr="00DC4876">
        <w:t>) who holds a radiation licence</w:t>
      </w:r>
      <w:r w:rsidR="00BF3A3D" w:rsidRPr="00DC4876">
        <w:t xml:space="preserve"> under a law of a State or Territory</w:t>
      </w:r>
      <w:r w:rsidRPr="00DC4876">
        <w:t xml:space="preserve"> </w:t>
      </w:r>
      <w:r w:rsidR="00BF3A3D" w:rsidRPr="00DC4876">
        <w:t>performs the service</w:t>
      </w:r>
      <w:r w:rsidR="00BC079A" w:rsidRPr="00DC4876">
        <w:t xml:space="preserve"> (other than</w:t>
      </w:r>
      <w:r w:rsidR="00C17F60" w:rsidRPr="00DC4876">
        <w:t xml:space="preserve"> interpretation and reporting) under the supervision of a specialist or consultant physician</w:t>
      </w:r>
      <w:r w:rsidR="00BA3CFE" w:rsidRPr="00DC4876">
        <w:t>;</w:t>
      </w:r>
    </w:p>
    <w:p w:rsidR="0048216C" w:rsidRPr="00DC4876" w:rsidRDefault="00BA3CFE" w:rsidP="00BA3CFE">
      <w:pPr>
        <w:pStyle w:val="paragraph"/>
      </w:pPr>
      <w:r w:rsidRPr="00DC4876">
        <w:tab/>
        <w:t>(b</w:t>
      </w:r>
      <w:r w:rsidR="001364EE" w:rsidRPr="00DC4876">
        <w:t>)</w:t>
      </w:r>
      <w:r w:rsidR="001364EE" w:rsidRPr="00DC4876">
        <w:tab/>
        <w:t xml:space="preserve">the specialist or consultant physician </w:t>
      </w:r>
      <w:r w:rsidR="0048216C" w:rsidRPr="00DC4876">
        <w:t>performs</w:t>
      </w:r>
      <w:r w:rsidR="001364EE" w:rsidRPr="00DC4876">
        <w:t xml:space="preserve"> the interpretation and reporting for the service</w:t>
      </w:r>
      <w:r w:rsidRPr="00DC4876">
        <w:t>;</w:t>
      </w:r>
    </w:p>
    <w:p w:rsidR="00BA3CFE" w:rsidRPr="00DC4876" w:rsidRDefault="00BA3CFE" w:rsidP="00BA3CFE">
      <w:pPr>
        <w:pStyle w:val="paragraph"/>
      </w:pPr>
      <w:r w:rsidRPr="00DC4876">
        <w:tab/>
        <w:t>(c)</w:t>
      </w:r>
      <w:r w:rsidRPr="00DC4876">
        <w:tab/>
        <w:t xml:space="preserve">the </w:t>
      </w:r>
      <w:r w:rsidR="006D072B" w:rsidRPr="00DC4876">
        <w:t xml:space="preserve">radiation </w:t>
      </w:r>
      <w:r w:rsidRPr="00DC4876">
        <w:t>licence authorises the</w:t>
      </w:r>
      <w:r w:rsidR="006D072B" w:rsidRPr="00DC4876">
        <w:t xml:space="preserve"> radiation licence</w:t>
      </w:r>
      <w:r w:rsidRPr="00DC4876">
        <w:t xml:space="preserve"> holder to undertake the activities involved in performing the service (other than interpretation and reporting);</w:t>
      </w:r>
    </w:p>
    <w:p w:rsidR="00BA3CFE" w:rsidRPr="00DC4876" w:rsidRDefault="00BA3CFE" w:rsidP="00BA3CFE">
      <w:pPr>
        <w:pStyle w:val="paragraph"/>
      </w:pPr>
      <w:r w:rsidRPr="00DC4876">
        <w:tab/>
        <w:t>(d)</w:t>
      </w:r>
      <w:r w:rsidRPr="00DC4876">
        <w:tab/>
        <w:t>the patient has been referred to the specialist or consultant physician by another medical practitioner;</w:t>
      </w:r>
    </w:p>
    <w:p w:rsidR="007035A9" w:rsidRPr="00DC4876" w:rsidRDefault="007035A9" w:rsidP="007035A9">
      <w:pPr>
        <w:pStyle w:val="paragraph"/>
      </w:pPr>
      <w:r w:rsidRPr="00DC4876">
        <w:tab/>
        <w:t>(e)</w:t>
      </w:r>
      <w:r w:rsidRPr="00DC4876">
        <w:tab/>
        <w:t>for items</w:t>
      </w:r>
      <w:r w:rsidR="00DC4876" w:rsidRPr="00DC4876">
        <w:t> </w:t>
      </w:r>
      <w:r w:rsidRPr="00DC4876">
        <w:t>12320 and 12322—if the service is performed using quantitative computed tomography:</w:t>
      </w:r>
    </w:p>
    <w:p w:rsidR="007035A9" w:rsidRPr="00DC4876" w:rsidRDefault="007035A9" w:rsidP="007035A9">
      <w:pPr>
        <w:pStyle w:val="paragraphsub"/>
      </w:pPr>
      <w:r w:rsidRPr="00DC4876">
        <w:tab/>
        <w:t>(i)</w:t>
      </w:r>
      <w:r w:rsidRPr="00DC4876">
        <w:tab/>
        <w:t>the radiation licence holder is registered as a medical radiation practitioner under a law of a State or Territory; and</w:t>
      </w:r>
    </w:p>
    <w:p w:rsidR="007035A9" w:rsidRPr="00DC4876" w:rsidRDefault="007035A9" w:rsidP="007035A9">
      <w:pPr>
        <w:pStyle w:val="paragraphsub"/>
      </w:pPr>
      <w:r w:rsidRPr="00DC4876">
        <w:tab/>
        <w:t>(ii)</w:t>
      </w:r>
      <w:r w:rsidRPr="00DC4876">
        <w:tab/>
        <w:t>the specialist or consultant physician is available to monitor and influence the conduct and diagnostic quality of the examination and, if necessary, to attend on the patient personally.</w:t>
      </w:r>
    </w:p>
    <w:p w:rsidR="00D40825" w:rsidRPr="00DC4876" w:rsidRDefault="00091B3A" w:rsidP="007035A9">
      <w:pPr>
        <w:pStyle w:val="subsection"/>
      </w:pPr>
      <w:r w:rsidRPr="00DC4876">
        <w:tab/>
        <w:t>(4</w:t>
      </w:r>
      <w:r w:rsidR="00D40825" w:rsidRPr="00DC4876">
        <w:t>)</w:t>
      </w:r>
      <w:r w:rsidR="00D40825" w:rsidRPr="00DC4876">
        <w:tab/>
      </w:r>
      <w:r w:rsidR="006D072B" w:rsidRPr="00DC4876">
        <w:t>I</w:t>
      </w:r>
      <w:r w:rsidR="00D40825" w:rsidRPr="00DC4876">
        <w:t>tems</w:t>
      </w:r>
      <w:r w:rsidR="00DC4876" w:rsidRPr="00DC4876">
        <w:t> </w:t>
      </w:r>
      <w:r w:rsidR="00D40825" w:rsidRPr="00DC4876">
        <w:t>12312 and 12315 apply to a service for a patient only if:</w:t>
      </w:r>
    </w:p>
    <w:p w:rsidR="00D40825" w:rsidRPr="00DC4876" w:rsidRDefault="00D40825" w:rsidP="00D40825">
      <w:pPr>
        <w:pStyle w:val="paragraph"/>
      </w:pPr>
      <w:r w:rsidRPr="00DC4876">
        <w:tab/>
        <w:t>(a)</w:t>
      </w:r>
      <w:r w:rsidRPr="00DC4876">
        <w:tab/>
        <w:t>the patient has a condition mentioned in the item to which the service relates; and</w:t>
      </w:r>
    </w:p>
    <w:p w:rsidR="00821E9F" w:rsidRPr="00DC4876" w:rsidRDefault="00D40825" w:rsidP="00821E9F">
      <w:pPr>
        <w:pStyle w:val="paragraph"/>
      </w:pPr>
      <w:r w:rsidRPr="00DC4876">
        <w:tab/>
        <w:t>(b)</w:t>
      </w:r>
      <w:r w:rsidRPr="00DC4876">
        <w:tab/>
        <w:t>the performing of the service will contribute to the management of that condition.</w:t>
      </w:r>
    </w:p>
    <w:p w:rsidR="00D40825" w:rsidRPr="00DC4876" w:rsidRDefault="008C0B9F" w:rsidP="00D40825">
      <w:pPr>
        <w:pStyle w:val="ItemHead"/>
      </w:pPr>
      <w:r w:rsidRPr="00DC4876">
        <w:t>3</w:t>
      </w:r>
      <w:r w:rsidR="00D40825" w:rsidRPr="00DC4876">
        <w:t xml:space="preserve">  Schedule</w:t>
      </w:r>
      <w:r w:rsidR="00DC4876" w:rsidRPr="00DC4876">
        <w:t> </w:t>
      </w:r>
      <w:r w:rsidR="00D40825" w:rsidRPr="00DC4876">
        <w:t>1 (item</w:t>
      </w:r>
      <w:r w:rsidR="00DC4876" w:rsidRPr="00DC4876">
        <w:t> </w:t>
      </w:r>
      <w:r w:rsidR="00D40825" w:rsidRPr="00DC4876">
        <w:t xml:space="preserve">11820, column headed </w:t>
      </w:r>
      <w:r w:rsidR="00626E31" w:rsidRPr="00DC4876">
        <w:t>“</w:t>
      </w:r>
      <w:r w:rsidR="00D40825" w:rsidRPr="00DC4876">
        <w:t>Description</w:t>
      </w:r>
      <w:r w:rsidR="00626E31" w:rsidRPr="00DC4876">
        <w:t>”</w:t>
      </w:r>
      <w:r w:rsidR="00AD40C2" w:rsidRPr="00DC4876">
        <w:t xml:space="preserve">, </w:t>
      </w:r>
      <w:r w:rsidR="00DC4876" w:rsidRPr="00DC4876">
        <w:t>paragraph (</w:t>
      </w:r>
      <w:r w:rsidR="00AD40C2" w:rsidRPr="00DC4876">
        <w:t>a)</w:t>
      </w:r>
      <w:r w:rsidR="00D40825" w:rsidRPr="00DC4876">
        <w:t>)</w:t>
      </w:r>
    </w:p>
    <w:p w:rsidR="00D40825" w:rsidRPr="00DC4876" w:rsidRDefault="00D40825" w:rsidP="00D40825">
      <w:pPr>
        <w:pStyle w:val="Item"/>
      </w:pPr>
      <w:r w:rsidRPr="00DC4876">
        <w:t>Repeal the paragraph, substitute:</w:t>
      </w:r>
    </w:p>
    <w:p w:rsidR="00487CBC" w:rsidRPr="00DC4876" w:rsidRDefault="00487CBC" w:rsidP="00487CBC">
      <w:pPr>
        <w:pStyle w:val="Tablea"/>
      </w:pPr>
      <w:r w:rsidRPr="00DC4876">
        <w:t xml:space="preserve">(a) </w:t>
      </w:r>
      <w:r w:rsidR="00FB0C45" w:rsidRPr="00DC4876">
        <w:t>the service is provided to a patient who</w:t>
      </w:r>
      <w:r w:rsidRPr="00DC4876">
        <w:t>:</w:t>
      </w:r>
    </w:p>
    <w:p w:rsidR="00487CBC" w:rsidRPr="00DC4876" w:rsidRDefault="00487CBC" w:rsidP="00487CBC">
      <w:pPr>
        <w:pStyle w:val="Tablei"/>
      </w:pPr>
      <w:r w:rsidRPr="00DC4876">
        <w:t xml:space="preserve">(i) </w:t>
      </w:r>
      <w:r w:rsidR="003772AF" w:rsidRPr="00DC4876">
        <w:t xml:space="preserve">has </w:t>
      </w:r>
      <w:r w:rsidR="008474BA" w:rsidRPr="00DC4876">
        <w:t>overt gastrointestinal bleeding</w:t>
      </w:r>
      <w:r w:rsidRPr="00DC4876">
        <w:t>;</w:t>
      </w:r>
      <w:r w:rsidR="008474BA" w:rsidRPr="00DC4876">
        <w:t xml:space="preserve"> or</w:t>
      </w:r>
    </w:p>
    <w:p w:rsidR="00E07F47" w:rsidRPr="00DC4876" w:rsidRDefault="00487CBC" w:rsidP="00487CBC">
      <w:pPr>
        <w:pStyle w:val="Tablei"/>
      </w:pPr>
      <w:r w:rsidRPr="00DC4876">
        <w:t xml:space="preserve">(ii) </w:t>
      </w:r>
      <w:r w:rsidR="003772AF" w:rsidRPr="00DC4876">
        <w:t xml:space="preserve">has </w:t>
      </w:r>
      <w:r w:rsidRPr="00DC4876">
        <w:t>gastrointestinal bleeding that is recurrent or persistent</w:t>
      </w:r>
      <w:r w:rsidR="00FB0C45" w:rsidRPr="00DC4876">
        <w:t>,</w:t>
      </w:r>
      <w:r w:rsidRPr="00DC4876">
        <w:t xml:space="preserve"> and iron deficiency anaemia that is not due to coeliac disease</w:t>
      </w:r>
      <w:r w:rsidR="00FB0C45" w:rsidRPr="00DC4876">
        <w:t>, and, if the patient also has</w:t>
      </w:r>
      <w:r w:rsidR="003772AF" w:rsidRPr="00DC4876">
        <w:t xml:space="preserve"> menorrhagia</w:t>
      </w:r>
      <w:r w:rsidR="00FB0C45" w:rsidRPr="00DC4876">
        <w:t xml:space="preserve">, </w:t>
      </w:r>
      <w:r w:rsidR="00E07F47" w:rsidRPr="00DC4876">
        <w:t>has had the menorrhagia considered and managed; and</w:t>
      </w:r>
    </w:p>
    <w:p w:rsidR="00D40825" w:rsidRPr="00DC4876" w:rsidRDefault="008C0B9F" w:rsidP="00D40825">
      <w:pPr>
        <w:pStyle w:val="ItemHead"/>
      </w:pPr>
      <w:r w:rsidRPr="00DC4876">
        <w:t>4</w:t>
      </w:r>
      <w:r w:rsidR="00D40825" w:rsidRPr="00DC4876">
        <w:t xml:space="preserve">  Schedule</w:t>
      </w:r>
      <w:r w:rsidR="00DC4876" w:rsidRPr="00DC4876">
        <w:t> </w:t>
      </w:r>
      <w:r w:rsidR="00D40825" w:rsidRPr="00DC4876">
        <w:t>1 (item</w:t>
      </w:r>
      <w:r w:rsidR="00DC4876" w:rsidRPr="00DC4876">
        <w:t> </w:t>
      </w:r>
      <w:r w:rsidR="00D40825" w:rsidRPr="00DC4876">
        <w:t xml:space="preserve">11820, column headed </w:t>
      </w:r>
      <w:r w:rsidR="00626E31" w:rsidRPr="00DC4876">
        <w:t>“</w:t>
      </w:r>
      <w:r w:rsidR="00D40825" w:rsidRPr="00DC4876">
        <w:t>Description</w:t>
      </w:r>
      <w:r w:rsidR="00626E31" w:rsidRPr="00DC4876">
        <w:t>”</w:t>
      </w:r>
      <w:r w:rsidR="00AD40C2" w:rsidRPr="00DC4876">
        <w:t xml:space="preserve">, </w:t>
      </w:r>
      <w:r w:rsidR="00DC4876" w:rsidRPr="00DC4876">
        <w:t>paragraph (</w:t>
      </w:r>
      <w:r w:rsidR="00AD40C2" w:rsidRPr="00DC4876">
        <w:t>e)</w:t>
      </w:r>
      <w:r w:rsidR="00D40825" w:rsidRPr="00DC4876">
        <w:t>)</w:t>
      </w:r>
    </w:p>
    <w:p w:rsidR="00D40825" w:rsidRPr="00DC4876" w:rsidRDefault="00D40825" w:rsidP="00D40825">
      <w:pPr>
        <w:pStyle w:val="Item"/>
      </w:pPr>
      <w:r w:rsidRPr="00DC4876">
        <w:t>Repeal the paragraph, substitute:</w:t>
      </w:r>
    </w:p>
    <w:p w:rsidR="00D40825" w:rsidRPr="00DC4876" w:rsidRDefault="00D40825" w:rsidP="00712A09">
      <w:pPr>
        <w:pStyle w:val="Tablea"/>
      </w:pPr>
      <w:r w:rsidRPr="00DC4876">
        <w:t>(e)</w:t>
      </w:r>
      <w:r w:rsidR="00254251" w:rsidRPr="00DC4876">
        <w:t xml:space="preserve"> </w:t>
      </w:r>
      <w:r w:rsidRPr="00DC4876">
        <w:t>the serv</w:t>
      </w:r>
      <w:r w:rsidRPr="00DC4876">
        <w:rPr>
          <w:lang w:eastAsia="en-US"/>
        </w:rPr>
        <w:t>i</w:t>
      </w:r>
      <w:r w:rsidRPr="00DC4876">
        <w:t>ce is not associated with a service to which item</w:t>
      </w:r>
      <w:r w:rsidR="00DC4876" w:rsidRPr="00DC4876">
        <w:t> </w:t>
      </w:r>
      <w:r w:rsidRPr="00DC4876">
        <w:t>30680</w:t>
      </w:r>
      <w:r w:rsidR="00CE7442" w:rsidRPr="00DC4876">
        <w:t>, 30682, 30684 or 30686 applies</w:t>
      </w:r>
    </w:p>
    <w:p w:rsidR="00304F34" w:rsidRPr="00DC4876" w:rsidRDefault="008C0B9F" w:rsidP="00943B45">
      <w:pPr>
        <w:pStyle w:val="ItemHead"/>
      </w:pPr>
      <w:r w:rsidRPr="00DC4876">
        <w:t>5</w:t>
      </w:r>
      <w:r w:rsidR="00007DEB" w:rsidRPr="00DC4876">
        <w:t xml:space="preserve">  </w:t>
      </w:r>
      <w:r w:rsidR="00304F34" w:rsidRPr="00DC4876">
        <w:t>Schedule</w:t>
      </w:r>
      <w:r w:rsidR="00DC4876" w:rsidRPr="00DC4876">
        <w:t> </w:t>
      </w:r>
      <w:r w:rsidR="00304F34" w:rsidRPr="00DC4876">
        <w:t>1 (after item</w:t>
      </w:r>
      <w:r w:rsidR="00DC4876" w:rsidRPr="00DC4876">
        <w:t> </w:t>
      </w:r>
      <w:r w:rsidR="00304F34" w:rsidRPr="00DC4876">
        <w:t>12250)</w:t>
      </w:r>
    </w:p>
    <w:p w:rsidR="00304F34" w:rsidRPr="00DC4876" w:rsidRDefault="00304F34" w:rsidP="00304F34">
      <w:pPr>
        <w:pStyle w:val="Item"/>
      </w:pPr>
      <w:r w:rsidRPr="00DC4876">
        <w:t>Insert:</w:t>
      </w:r>
    </w:p>
    <w:p w:rsidR="00304F34" w:rsidRPr="00DC4876" w:rsidRDefault="00304F34" w:rsidP="00304F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304F34" w:rsidRPr="00DC4876" w:rsidTr="00521BBC"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757D32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12306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304F34">
            <w:pPr>
              <w:pStyle w:val="Tabletext"/>
            </w:pPr>
            <w:r w:rsidRPr="00DC4876">
              <w:t>Bone densitometry, using dual energy X</w:t>
            </w:r>
            <w:r w:rsidR="00DC4876">
              <w:noBreakHyphen/>
            </w:r>
            <w:r w:rsidRPr="00DC4876">
              <w:t xml:space="preserve">ray absorptiometry, </w:t>
            </w:r>
            <w:r w:rsidR="0084700B" w:rsidRPr="00DC4876">
              <w:t xml:space="preserve">involving </w:t>
            </w:r>
            <w:r w:rsidR="00EE3BFF" w:rsidRPr="00DC4876">
              <w:t>the measurement of 2 or more sites</w:t>
            </w:r>
            <w:r w:rsidR="0006615B" w:rsidRPr="00DC4876">
              <w:t xml:space="preserve"> (including interpretation</w:t>
            </w:r>
            <w:r w:rsidR="00E42329" w:rsidRPr="00DC4876">
              <w:t xml:space="preserve"> and</w:t>
            </w:r>
            <w:r w:rsidR="0006615B" w:rsidRPr="00DC4876">
              <w:t xml:space="preserve"> report</w:t>
            </w:r>
            <w:r w:rsidR="00E42329" w:rsidRPr="00DC4876">
              <w:t>ing</w:t>
            </w:r>
            <w:r w:rsidR="0006615B" w:rsidRPr="00DC4876">
              <w:t>)</w:t>
            </w:r>
            <w:r w:rsidR="0084700B" w:rsidRPr="00DC4876">
              <w:t xml:space="preserve">, </w:t>
            </w:r>
            <w:r w:rsidRPr="00DC4876">
              <w:t>for:</w:t>
            </w:r>
          </w:p>
          <w:p w:rsidR="00304F34" w:rsidRPr="00DC4876" w:rsidRDefault="006D072B" w:rsidP="00304F34">
            <w:pPr>
              <w:pStyle w:val="Tablea"/>
            </w:pPr>
            <w:r w:rsidRPr="00DC4876">
              <w:t xml:space="preserve">(a) </w:t>
            </w:r>
            <w:r w:rsidR="00012797" w:rsidRPr="00DC4876">
              <w:t xml:space="preserve">confirmation of </w:t>
            </w:r>
            <w:r w:rsidR="00304F34" w:rsidRPr="00DC4876">
              <w:t xml:space="preserve">a presumptive diagnosis of low bone mineral density made on the basis of </w:t>
            </w:r>
            <w:r w:rsidR="006C027A" w:rsidRPr="00DC4876">
              <w:t>one</w:t>
            </w:r>
            <w:r w:rsidR="00304F34" w:rsidRPr="00DC4876">
              <w:t xml:space="preserve"> or more fractures occurring after minimal trauma; or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>(b) monitoring of</w:t>
            </w:r>
            <w:r w:rsidR="006D072B" w:rsidRPr="00DC4876">
              <w:t xml:space="preserve"> low bone mineral density</w:t>
            </w:r>
            <w:r w:rsidRPr="00DC4876">
              <w:t xml:space="preserve"> </w:t>
            </w:r>
            <w:r w:rsidR="000138B4" w:rsidRPr="00DC4876">
              <w:t>proven</w:t>
            </w:r>
            <w:r w:rsidR="006D072B" w:rsidRPr="00DC4876">
              <w:t xml:space="preserve"> </w:t>
            </w:r>
            <w:r w:rsidRPr="00DC4876">
              <w:t>by bone densitometry</w:t>
            </w:r>
            <w:r w:rsidR="000138B4" w:rsidRPr="00DC4876">
              <w:t xml:space="preserve"> </w:t>
            </w:r>
            <w:r w:rsidRPr="00DC4876">
              <w:t>at least 12 months previously</w:t>
            </w:r>
            <w:r w:rsidR="006D072B" w:rsidRPr="00DC4876">
              <w:t>;</w:t>
            </w:r>
          </w:p>
          <w:p w:rsidR="00291334" w:rsidRPr="00DC4876" w:rsidRDefault="00291334" w:rsidP="00291334">
            <w:pPr>
              <w:pStyle w:val="Tabletext"/>
            </w:pPr>
            <w:r w:rsidRPr="00DC4876">
              <w:t xml:space="preserve">other than a service </w:t>
            </w:r>
            <w:r w:rsidR="00ED7AF3" w:rsidRPr="00DC4876">
              <w:t xml:space="preserve">associated with a service </w:t>
            </w:r>
            <w:r w:rsidRPr="00DC4876">
              <w:t>to which item</w:t>
            </w:r>
            <w:r w:rsidR="00DC4876" w:rsidRPr="00DC4876">
              <w:t> </w:t>
            </w:r>
            <w:r w:rsidRPr="00DC4876">
              <w:t>12312, 12315 or 12321 applies</w:t>
            </w:r>
          </w:p>
          <w:p w:rsidR="00304F34" w:rsidRPr="00DC4876" w:rsidRDefault="006D072B" w:rsidP="005913AD">
            <w:pPr>
              <w:pStyle w:val="Tabletext"/>
            </w:pPr>
            <w:r w:rsidRPr="00DC4876">
              <w:t>For any particular patient, once only</w:t>
            </w:r>
            <w:r w:rsidR="00304F34" w:rsidRPr="00DC4876">
              <w:t xml:space="preserve"> in </w:t>
            </w:r>
            <w:r w:rsidR="005913AD" w:rsidRPr="00DC4876">
              <w:t>a 24 month period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304F34">
            <w:pPr>
              <w:pStyle w:val="Tabletext"/>
              <w:jc w:val="right"/>
            </w:pPr>
            <w:r w:rsidRPr="00DC4876">
              <w:t>102.40</w:t>
            </w:r>
          </w:p>
        </w:tc>
      </w:tr>
      <w:tr w:rsidR="00304F34" w:rsidRPr="00DC4876" w:rsidTr="00757D32"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757D32">
            <w:pPr>
              <w:pStyle w:val="Tabletext"/>
            </w:pPr>
            <w:r w:rsidRPr="00DC4876">
              <w:t>12312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304F34">
            <w:pPr>
              <w:pStyle w:val="Tabletext"/>
            </w:pPr>
            <w:r w:rsidRPr="00DC4876">
              <w:t>Bone densitometry, using dual energy X</w:t>
            </w:r>
            <w:r w:rsidR="00DC4876">
              <w:noBreakHyphen/>
            </w:r>
            <w:r w:rsidRPr="00DC4876">
              <w:t xml:space="preserve">ray absorptiometry, </w:t>
            </w:r>
            <w:r w:rsidR="00EE3BFF" w:rsidRPr="00DC4876">
              <w:t>involving the measurement of 2 or more sites</w:t>
            </w:r>
            <w:r w:rsidR="0006615B" w:rsidRPr="00DC4876">
              <w:t xml:space="preserve"> </w:t>
            </w:r>
            <w:r w:rsidR="00E42329" w:rsidRPr="00DC4876">
              <w:t>(including interpretation and reporting)</w:t>
            </w:r>
            <w:r w:rsidR="00EE3BFF" w:rsidRPr="00DC4876">
              <w:t xml:space="preserve"> </w:t>
            </w:r>
            <w:r w:rsidRPr="00DC4876">
              <w:t>for diagnosis and</w:t>
            </w:r>
            <w:r w:rsidRPr="00DC4876">
              <w:rPr>
                <w:lang w:eastAsia="en-US"/>
              </w:rPr>
              <w:t xml:space="preserve"> </w:t>
            </w:r>
            <w:r w:rsidRPr="00DC4876">
              <w:t xml:space="preserve">monitoring of bone loss associated with </w:t>
            </w:r>
            <w:r w:rsidR="00EE3BFF" w:rsidRPr="00DC4876">
              <w:t>one</w:t>
            </w:r>
            <w:r w:rsidRPr="00DC4876">
              <w:t xml:space="preserve"> or </w:t>
            </w:r>
            <w:r w:rsidR="004F09B6" w:rsidRPr="00DC4876">
              <w:t>more of the following</w:t>
            </w:r>
            <w:r w:rsidRPr="00DC4876">
              <w:t>: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>(a) pr</w:t>
            </w:r>
            <w:r w:rsidR="00DE0243" w:rsidRPr="00DC4876">
              <w:t>olonged glucocorticoid therapy;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(b) </w:t>
            </w:r>
            <w:r w:rsidR="00BB2461" w:rsidRPr="00DC4876">
              <w:t>any condition</w:t>
            </w:r>
            <w:r w:rsidRPr="00DC4876">
              <w:t xml:space="preserve"> associated with e</w:t>
            </w:r>
            <w:r w:rsidR="00DE0243" w:rsidRPr="00DC4876">
              <w:t>xcess glucocorticoid secretion;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(c) </w:t>
            </w:r>
            <w:r w:rsidR="00DE0243" w:rsidRPr="00DC4876">
              <w:t xml:space="preserve">male </w:t>
            </w:r>
            <w:r w:rsidR="004834AE" w:rsidRPr="00DC4876">
              <w:t>hypogonadism;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>(d) female hypogonadism lasting more tha</w:t>
            </w:r>
            <w:r w:rsidR="00CE7442" w:rsidRPr="00DC4876">
              <w:t>n 6 months before the age of 45</w:t>
            </w:r>
            <w:r w:rsidR="002F113C" w:rsidRPr="00DC4876">
              <w:t>;</w:t>
            </w:r>
          </w:p>
          <w:p w:rsidR="00291334" w:rsidRPr="00DC4876" w:rsidRDefault="00291334" w:rsidP="00291334">
            <w:pPr>
              <w:pStyle w:val="Tabletext"/>
            </w:pPr>
            <w:r w:rsidRPr="00DC4876">
              <w:t>other than a service</w:t>
            </w:r>
            <w:r w:rsidR="002D0F73" w:rsidRPr="00DC4876">
              <w:t xml:space="preserve"> associated with a service</w:t>
            </w:r>
            <w:r w:rsidRPr="00DC4876">
              <w:t xml:space="preserve"> to which item</w:t>
            </w:r>
            <w:r w:rsidR="00DC4876" w:rsidRPr="00DC4876">
              <w:t> </w:t>
            </w:r>
            <w:r w:rsidRPr="00DC4876">
              <w:t>12306, 12315 or 12321 applies</w:t>
            </w:r>
          </w:p>
          <w:p w:rsidR="00304F34" w:rsidRPr="00DC4876" w:rsidRDefault="002F113C" w:rsidP="005913AD">
            <w:pPr>
              <w:pStyle w:val="Tabletext"/>
            </w:pPr>
            <w:r w:rsidRPr="00DC4876">
              <w:t>For any particular patient, once only</w:t>
            </w:r>
            <w:r w:rsidR="00C03174" w:rsidRPr="00DC4876">
              <w:t xml:space="preserve"> </w:t>
            </w:r>
            <w:r w:rsidR="00EE3BFF" w:rsidRPr="00DC4876">
              <w:t xml:space="preserve">in </w:t>
            </w:r>
            <w:r w:rsidR="005913AD" w:rsidRPr="00DC4876">
              <w:t>a 12 month period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304F34">
            <w:pPr>
              <w:pStyle w:val="Tabletext"/>
              <w:jc w:val="right"/>
            </w:pPr>
            <w:r w:rsidRPr="00DC4876">
              <w:t>102.40</w:t>
            </w:r>
          </w:p>
        </w:tc>
      </w:tr>
      <w:tr w:rsidR="00304F34" w:rsidRPr="00DC4876" w:rsidTr="00757D32"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757D32">
            <w:pPr>
              <w:pStyle w:val="Tabletext"/>
            </w:pPr>
            <w:r w:rsidRPr="00DC4876">
              <w:t>12315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304F34">
            <w:pPr>
              <w:pStyle w:val="Tabletext"/>
            </w:pPr>
            <w:r w:rsidRPr="00DC4876">
              <w:t>Bone densitometry, using dual energy X</w:t>
            </w:r>
            <w:r w:rsidR="00DC4876">
              <w:noBreakHyphen/>
            </w:r>
            <w:r w:rsidRPr="00DC4876">
              <w:t xml:space="preserve">ray absorptiometry, </w:t>
            </w:r>
            <w:r w:rsidR="004834AE" w:rsidRPr="00DC4876">
              <w:t>involving the measurement of 2 or more sites</w:t>
            </w:r>
            <w:r w:rsidR="0006615B" w:rsidRPr="00DC4876">
              <w:t xml:space="preserve"> </w:t>
            </w:r>
            <w:r w:rsidR="00E42329" w:rsidRPr="00DC4876">
              <w:t>(including interpretation and reporting)</w:t>
            </w:r>
            <w:r w:rsidR="004834AE" w:rsidRPr="00DC4876">
              <w:t xml:space="preserve"> </w:t>
            </w:r>
            <w:r w:rsidRPr="00DC4876">
              <w:t xml:space="preserve">for diagnosis and monitoring of bone loss associated with </w:t>
            </w:r>
            <w:r w:rsidR="004834AE" w:rsidRPr="00DC4876">
              <w:t>one</w:t>
            </w:r>
            <w:r w:rsidRPr="00DC4876">
              <w:t xml:space="preserve"> or more of the following conditions: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(a) </w:t>
            </w:r>
            <w:r w:rsidR="00DE0243" w:rsidRPr="00DC4876">
              <w:t>primary hyperparathyroidism;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(b) </w:t>
            </w:r>
            <w:r w:rsidR="00DE0243" w:rsidRPr="00DC4876">
              <w:t>chronic liver disease;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(c) </w:t>
            </w:r>
            <w:r w:rsidR="00DE0243" w:rsidRPr="00DC4876">
              <w:t>chronic renal disease;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(d) </w:t>
            </w:r>
            <w:r w:rsidR="00BB2461" w:rsidRPr="00DC4876">
              <w:t>any proven malabsorptive disorder</w:t>
            </w:r>
            <w:r w:rsidR="00DE0243" w:rsidRPr="00DC4876">
              <w:t>;</w:t>
            </w:r>
          </w:p>
          <w:p w:rsidR="00304F34" w:rsidRPr="00DC4876" w:rsidRDefault="00304F34" w:rsidP="00304F34">
            <w:pPr>
              <w:pStyle w:val="Tablea"/>
            </w:pPr>
            <w:r w:rsidRPr="00DC4876">
              <w:t xml:space="preserve">(e) </w:t>
            </w:r>
            <w:r w:rsidR="004834AE" w:rsidRPr="00DC4876">
              <w:t>rheumatoid arthritis;</w:t>
            </w:r>
          </w:p>
          <w:p w:rsidR="00304F34" w:rsidRPr="00DC4876" w:rsidRDefault="00304F34" w:rsidP="00DE0243">
            <w:pPr>
              <w:pStyle w:val="Tablea"/>
            </w:pPr>
            <w:r w:rsidRPr="00DC4876">
              <w:t xml:space="preserve">(f) </w:t>
            </w:r>
            <w:r w:rsidR="00BB2461" w:rsidRPr="00DC4876">
              <w:t>any condition</w:t>
            </w:r>
            <w:r w:rsidRPr="00DC4876">
              <w:t xml:space="preserve"> as</w:t>
            </w:r>
            <w:r w:rsidR="004834AE" w:rsidRPr="00DC4876">
              <w:t>sociated with thyroxine excess</w:t>
            </w:r>
            <w:r w:rsidR="005C034A" w:rsidRPr="00DC4876">
              <w:t>;</w:t>
            </w:r>
          </w:p>
          <w:p w:rsidR="00291334" w:rsidRPr="00DC4876" w:rsidRDefault="00291334" w:rsidP="00291334">
            <w:pPr>
              <w:pStyle w:val="Tabletext"/>
            </w:pPr>
            <w:r w:rsidRPr="00DC4876">
              <w:t>other than a service</w:t>
            </w:r>
            <w:r w:rsidR="002D0F73" w:rsidRPr="00DC4876">
              <w:t xml:space="preserve"> associated with a service</w:t>
            </w:r>
            <w:r w:rsidRPr="00DC4876">
              <w:t xml:space="preserve"> to which item</w:t>
            </w:r>
            <w:r w:rsidR="00DC4876" w:rsidRPr="00DC4876">
              <w:t> </w:t>
            </w:r>
            <w:r w:rsidRPr="00DC4876">
              <w:t>12306, 12312 or 12321 applies</w:t>
            </w:r>
          </w:p>
          <w:p w:rsidR="00304F34" w:rsidRPr="00DC4876" w:rsidRDefault="002F113C" w:rsidP="005913AD">
            <w:pPr>
              <w:pStyle w:val="Tabletext"/>
            </w:pPr>
            <w:r w:rsidRPr="00DC4876">
              <w:t>For any particular patient, once only</w:t>
            </w:r>
            <w:r w:rsidR="00304F34" w:rsidRPr="00DC4876">
              <w:t xml:space="preserve"> in </w:t>
            </w:r>
            <w:r w:rsidR="005913AD" w:rsidRPr="00DC4876">
              <w:t>a 24 month period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F34" w:rsidRPr="00DC4876" w:rsidRDefault="00304F34" w:rsidP="00304F34">
            <w:pPr>
              <w:pStyle w:val="Tabletext"/>
              <w:jc w:val="right"/>
            </w:pPr>
            <w:r w:rsidRPr="00DC4876">
              <w:t>102.40</w:t>
            </w:r>
          </w:p>
        </w:tc>
      </w:tr>
      <w:tr w:rsidR="003C1662" w:rsidRPr="00DC4876" w:rsidTr="00757D32"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662" w:rsidRPr="00DC4876" w:rsidRDefault="003C1662" w:rsidP="00757D32">
            <w:pPr>
              <w:pStyle w:val="Tabletext"/>
            </w:pPr>
            <w:r w:rsidRPr="00DC4876">
              <w:t>12320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662" w:rsidRPr="00DC4876" w:rsidRDefault="003C1662" w:rsidP="00757D32">
            <w:pPr>
              <w:pStyle w:val="Tabletext"/>
            </w:pPr>
            <w:r w:rsidRPr="00DC4876">
              <w:t>Bone densitometry, using dual energy X</w:t>
            </w:r>
            <w:r w:rsidR="00DC4876">
              <w:noBreakHyphen/>
            </w:r>
            <w:r w:rsidRPr="00DC4876">
              <w:t>ray absorptio</w:t>
            </w:r>
            <w:r w:rsidR="00D94931" w:rsidRPr="00DC4876">
              <w:t>metry or quantitative comput</w:t>
            </w:r>
            <w:r w:rsidRPr="00DC4876">
              <w:t>ed tomography, involving the measurement of 2 or more sites (including interpretation</w:t>
            </w:r>
            <w:r w:rsidR="00ED7AF3" w:rsidRPr="00DC4876">
              <w:t xml:space="preserve"> and reporting</w:t>
            </w:r>
            <w:r w:rsidR="002D0F73" w:rsidRPr="00DC4876">
              <w:t>)</w:t>
            </w:r>
            <w:r w:rsidRPr="00DC4876">
              <w:t xml:space="preserve"> for the measurement of bone mineral density</w:t>
            </w:r>
            <w:r w:rsidR="00790256" w:rsidRPr="00DC4876">
              <w:t>, if:</w:t>
            </w:r>
          </w:p>
          <w:p w:rsidR="00790256" w:rsidRPr="00DC4876" w:rsidRDefault="00790256" w:rsidP="00790256">
            <w:pPr>
              <w:pStyle w:val="Tablea"/>
            </w:pPr>
            <w:r w:rsidRPr="00DC4876">
              <w:t>(a) the patient is 70 years</w:t>
            </w:r>
            <w:r w:rsidR="005C034A" w:rsidRPr="00DC4876">
              <w:t xml:space="preserve"> of age or over</w:t>
            </w:r>
            <w:r w:rsidRPr="00DC4876">
              <w:t>; and</w:t>
            </w:r>
          </w:p>
          <w:p w:rsidR="00291334" w:rsidRPr="00DC4876" w:rsidRDefault="00790256" w:rsidP="00291334">
            <w:pPr>
              <w:pStyle w:val="Tablea"/>
            </w:pPr>
            <w:r w:rsidRPr="00DC4876">
              <w:t xml:space="preserve">(b) the patient has normal to mild osteopenia as </w:t>
            </w:r>
            <w:r w:rsidR="000138B4" w:rsidRPr="00DC4876">
              <w:t>measured</w:t>
            </w:r>
            <w:r w:rsidRPr="00DC4876">
              <w:t xml:space="preserve"> by a t</w:t>
            </w:r>
            <w:r w:rsidR="00DC4876">
              <w:noBreakHyphen/>
            </w:r>
            <w:r w:rsidRPr="00DC4876">
              <w:t xml:space="preserve">score </w:t>
            </w:r>
            <w:r w:rsidR="00902522" w:rsidRPr="00DC4876">
              <w:t xml:space="preserve">within the range of 0 to </w:t>
            </w:r>
            <w:r w:rsidR="00DC4876">
              <w:noBreakHyphen/>
            </w:r>
            <w:r w:rsidR="00902522" w:rsidRPr="00DC4876">
              <w:t>1.5</w:t>
            </w:r>
            <w:r w:rsidR="005C034A" w:rsidRPr="00DC4876">
              <w:t>;</w:t>
            </w:r>
          </w:p>
          <w:p w:rsidR="00291334" w:rsidRPr="00DC4876" w:rsidRDefault="00291334" w:rsidP="00291334">
            <w:pPr>
              <w:pStyle w:val="Tabletext"/>
            </w:pPr>
            <w:r w:rsidRPr="00DC4876">
              <w:t>other than a service associated with a service to which item</w:t>
            </w:r>
            <w:r w:rsidR="00DC4876" w:rsidRPr="00DC4876">
              <w:t> </w:t>
            </w:r>
            <w:r w:rsidRPr="00DC4876">
              <w:t>12306, 12312, 12315</w:t>
            </w:r>
            <w:r w:rsidR="00624DE0" w:rsidRPr="00DC4876">
              <w:t>, 12321 or 12322</w:t>
            </w:r>
            <w:r w:rsidRPr="00DC4876">
              <w:t xml:space="preserve"> applies</w:t>
            </w:r>
          </w:p>
          <w:p w:rsidR="003C1662" w:rsidRPr="00DC4876" w:rsidRDefault="002F113C" w:rsidP="005913AD">
            <w:pPr>
              <w:pStyle w:val="Tabletext"/>
            </w:pPr>
            <w:r w:rsidRPr="00DC4876">
              <w:t>For any particular patient, once only</w:t>
            </w:r>
            <w:r w:rsidR="00291334" w:rsidRPr="00DC4876">
              <w:t xml:space="preserve"> in </w:t>
            </w:r>
            <w:r w:rsidR="005913AD" w:rsidRPr="00DC4876">
              <w:t>a 5 year period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662" w:rsidRPr="00DC4876" w:rsidRDefault="003C1662" w:rsidP="00757D32">
            <w:pPr>
              <w:pStyle w:val="Tabletext"/>
              <w:jc w:val="right"/>
            </w:pPr>
            <w:r w:rsidRPr="00DC4876">
              <w:t>102.40</w:t>
            </w:r>
          </w:p>
        </w:tc>
      </w:tr>
      <w:tr w:rsidR="003C1662" w:rsidRPr="00DC4876" w:rsidTr="00521BBC"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662" w:rsidRPr="00DC4876" w:rsidRDefault="003C1662" w:rsidP="00757D32">
            <w:pPr>
              <w:pStyle w:val="Tabletext"/>
            </w:pPr>
            <w:r w:rsidRPr="00DC4876">
              <w:t>12321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662" w:rsidRPr="00DC4876" w:rsidRDefault="003C1662" w:rsidP="00304F34">
            <w:pPr>
              <w:pStyle w:val="Tabletext"/>
            </w:pPr>
            <w:r w:rsidRPr="00DC4876">
              <w:t>Bone densitometry, using dual energy X</w:t>
            </w:r>
            <w:r w:rsidR="00DC4876">
              <w:noBreakHyphen/>
            </w:r>
            <w:r w:rsidRPr="00DC4876">
              <w:t xml:space="preserve">ray absorptiometry, involving the measurement of 2 or more sites </w:t>
            </w:r>
            <w:r w:rsidR="000138B4" w:rsidRPr="00DC4876">
              <w:t xml:space="preserve">at least </w:t>
            </w:r>
            <w:r w:rsidRPr="00DC4876">
              <w:t>12 months after a significant change in therapy (including interpretation and reporting), for:</w:t>
            </w:r>
          </w:p>
          <w:p w:rsidR="003C1662" w:rsidRPr="00DC4876" w:rsidRDefault="003C1662" w:rsidP="00DE0243">
            <w:pPr>
              <w:pStyle w:val="Tablea"/>
            </w:pPr>
            <w:r w:rsidRPr="00DC4876">
              <w:t>(a) esta</w:t>
            </w:r>
            <w:r w:rsidR="00B33446" w:rsidRPr="00DC4876">
              <w:t>blished</w:t>
            </w:r>
            <w:r w:rsidR="00200BA0" w:rsidRPr="00DC4876">
              <w:rPr>
                <w:i/>
              </w:rPr>
              <w:t xml:space="preserve"> </w:t>
            </w:r>
            <w:r w:rsidRPr="00DC4876">
              <w:t>low bone mineral density; or</w:t>
            </w:r>
          </w:p>
          <w:p w:rsidR="003C1662" w:rsidRPr="00DC4876" w:rsidRDefault="003C1662" w:rsidP="00DE0243">
            <w:pPr>
              <w:pStyle w:val="Tablea"/>
            </w:pPr>
            <w:r w:rsidRPr="00DC4876">
              <w:t>(b) confirming a presumptive diagnosis of low bone mineral density made on the basis of one or more fractures</w:t>
            </w:r>
            <w:r w:rsidR="002D0F73" w:rsidRPr="00DC4876">
              <w:t xml:space="preserve"> occurring after minimal trauma</w:t>
            </w:r>
            <w:r w:rsidR="00D15FC6" w:rsidRPr="00DC4876">
              <w:t>;</w:t>
            </w:r>
          </w:p>
          <w:p w:rsidR="002D0F73" w:rsidRPr="00DC4876" w:rsidRDefault="002D0F73" w:rsidP="00291334">
            <w:pPr>
              <w:pStyle w:val="Tabletext"/>
            </w:pPr>
            <w:r w:rsidRPr="00DC4876">
              <w:t>o</w:t>
            </w:r>
            <w:r w:rsidR="00291334" w:rsidRPr="00DC4876">
              <w:t xml:space="preserve">ther than a service </w:t>
            </w:r>
            <w:r w:rsidRPr="00DC4876">
              <w:t xml:space="preserve">associated with a service </w:t>
            </w:r>
            <w:r w:rsidR="00291334" w:rsidRPr="00DC4876">
              <w:t>to which item</w:t>
            </w:r>
            <w:r w:rsidR="00DC4876" w:rsidRPr="00DC4876">
              <w:t> </w:t>
            </w:r>
            <w:r w:rsidR="00291334" w:rsidRPr="00DC4876">
              <w:t>12306, 12312 or 12315 applies</w:t>
            </w:r>
          </w:p>
          <w:p w:rsidR="003C1662" w:rsidRPr="00DC4876" w:rsidRDefault="002F113C" w:rsidP="005913AD">
            <w:pPr>
              <w:pStyle w:val="Tabletext"/>
            </w:pPr>
            <w:r w:rsidRPr="00DC4876">
              <w:t>For any particular patient, once only</w:t>
            </w:r>
            <w:r w:rsidR="00291334" w:rsidRPr="00DC4876">
              <w:t xml:space="preserve"> in </w:t>
            </w:r>
            <w:r w:rsidR="005913AD" w:rsidRPr="00DC4876">
              <w:t>a 12 month period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662" w:rsidRPr="00DC4876" w:rsidRDefault="003C1662" w:rsidP="00304F34">
            <w:pPr>
              <w:pStyle w:val="Tabletext"/>
              <w:jc w:val="right"/>
            </w:pPr>
            <w:r w:rsidRPr="00DC4876">
              <w:t>102.40</w:t>
            </w:r>
          </w:p>
        </w:tc>
      </w:tr>
      <w:tr w:rsidR="003C1662" w:rsidRPr="00DC4876" w:rsidTr="00521BBC"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662" w:rsidRPr="00DC4876" w:rsidRDefault="003C1662" w:rsidP="00757D32">
            <w:pPr>
              <w:pStyle w:val="Tabletext"/>
            </w:pPr>
            <w:r w:rsidRPr="00DC4876">
              <w:t>12322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662" w:rsidRPr="00DC4876" w:rsidRDefault="003C1662" w:rsidP="00304F34">
            <w:pPr>
              <w:pStyle w:val="Tabletext"/>
            </w:pPr>
            <w:r w:rsidRPr="00DC4876">
              <w:t>Bone densitometry, using dual energy X</w:t>
            </w:r>
            <w:r w:rsidR="00DC4876">
              <w:noBreakHyphen/>
            </w:r>
            <w:r w:rsidRPr="00DC4876">
              <w:t>ray absorptio</w:t>
            </w:r>
            <w:r w:rsidR="00D94931" w:rsidRPr="00DC4876">
              <w:t>metry or quantitative comput</w:t>
            </w:r>
            <w:r w:rsidRPr="00DC4876">
              <w:t>ed tomography, involving the measurement of 2 or more sites (including interpretation</w:t>
            </w:r>
            <w:r w:rsidR="00277E34" w:rsidRPr="00DC4876">
              <w:t xml:space="preserve"> and reporting)</w:t>
            </w:r>
            <w:r w:rsidR="005C034A" w:rsidRPr="00DC4876">
              <w:t xml:space="preserve"> for</w:t>
            </w:r>
            <w:r w:rsidRPr="00DC4876">
              <w:t xml:space="preserve"> measurement of bone mineral density</w:t>
            </w:r>
            <w:r w:rsidR="00EA7494" w:rsidRPr="00DC4876">
              <w:t xml:space="preserve">, </w:t>
            </w:r>
            <w:r w:rsidR="00790256" w:rsidRPr="00DC4876">
              <w:t>if:</w:t>
            </w:r>
          </w:p>
          <w:p w:rsidR="00790256" w:rsidRPr="00DC4876" w:rsidRDefault="00790256" w:rsidP="00790256">
            <w:pPr>
              <w:pStyle w:val="Tablea"/>
            </w:pPr>
            <w:r w:rsidRPr="00DC4876">
              <w:t>(a) the patient is 70 years</w:t>
            </w:r>
            <w:r w:rsidR="005C034A" w:rsidRPr="00DC4876">
              <w:t xml:space="preserve"> of age or over</w:t>
            </w:r>
            <w:r w:rsidRPr="00DC4876">
              <w:t>; and</w:t>
            </w:r>
          </w:p>
          <w:p w:rsidR="00790256" w:rsidRPr="00DC4876" w:rsidRDefault="00790256" w:rsidP="00790256">
            <w:pPr>
              <w:pStyle w:val="Tablea"/>
            </w:pPr>
            <w:r w:rsidRPr="00DC4876">
              <w:t>(b) the patient has moderate to mark</w:t>
            </w:r>
            <w:r w:rsidR="000138B4" w:rsidRPr="00DC4876">
              <w:t>ed osteopenia as measured</w:t>
            </w:r>
            <w:r w:rsidRPr="00DC4876">
              <w:t xml:space="preserve"> by a t</w:t>
            </w:r>
            <w:r w:rsidR="00DC4876">
              <w:noBreakHyphen/>
            </w:r>
            <w:r w:rsidRPr="00DC4876">
              <w:t xml:space="preserve">score of between </w:t>
            </w:r>
            <w:r w:rsidR="00DC4876">
              <w:noBreakHyphen/>
            </w:r>
            <w:r w:rsidRPr="00DC4876">
              <w:t xml:space="preserve">1.5 to </w:t>
            </w:r>
            <w:r w:rsidR="00DC4876">
              <w:noBreakHyphen/>
            </w:r>
            <w:r w:rsidRPr="00DC4876">
              <w:t>2.5</w:t>
            </w:r>
            <w:r w:rsidR="005C034A" w:rsidRPr="00DC4876">
              <w:t>;</w:t>
            </w:r>
          </w:p>
          <w:p w:rsidR="00291334" w:rsidRPr="00DC4876" w:rsidRDefault="00291334" w:rsidP="00291334">
            <w:pPr>
              <w:pStyle w:val="Tabletext"/>
            </w:pPr>
            <w:r w:rsidRPr="00DC4876">
              <w:t xml:space="preserve">other than a service associated with a service to which </w:t>
            </w:r>
            <w:r w:rsidR="00CE7442" w:rsidRPr="00DC4876">
              <w:t>item</w:t>
            </w:r>
            <w:r w:rsidR="00DC4876" w:rsidRPr="00DC4876">
              <w:t> </w:t>
            </w:r>
            <w:r w:rsidR="00CE7442" w:rsidRPr="00DC4876">
              <w:t>12306, 12312, 12315, 12320 or</w:t>
            </w:r>
            <w:r w:rsidRPr="00DC4876">
              <w:t xml:space="preserve"> 12321 applies</w:t>
            </w:r>
          </w:p>
          <w:p w:rsidR="003C1662" w:rsidRPr="00DC4876" w:rsidRDefault="002F113C" w:rsidP="005913AD">
            <w:pPr>
              <w:pStyle w:val="Tabletext"/>
            </w:pPr>
            <w:r w:rsidRPr="00DC4876">
              <w:t>For any particular patient, once only</w:t>
            </w:r>
            <w:r w:rsidR="003C1662" w:rsidRPr="00DC4876">
              <w:t xml:space="preserve"> in </w:t>
            </w:r>
            <w:r w:rsidR="005913AD" w:rsidRPr="00DC4876">
              <w:t>a 2 year period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662" w:rsidRPr="00DC4876" w:rsidRDefault="003C1662" w:rsidP="00304F34">
            <w:pPr>
              <w:pStyle w:val="Tabletext"/>
              <w:jc w:val="right"/>
            </w:pPr>
            <w:r w:rsidRPr="00DC4876">
              <w:t>102.40</w:t>
            </w:r>
          </w:p>
        </w:tc>
      </w:tr>
    </w:tbl>
    <w:p w:rsidR="002F2435" w:rsidRPr="00DC4876" w:rsidRDefault="008C0B9F" w:rsidP="00943B45">
      <w:pPr>
        <w:pStyle w:val="ItemHead"/>
      </w:pPr>
      <w:r w:rsidRPr="00DC4876">
        <w:t>6</w:t>
      </w:r>
      <w:r w:rsidR="002F2435" w:rsidRPr="00DC4876">
        <w:t xml:space="preserve">  Schedule</w:t>
      </w:r>
      <w:r w:rsidR="00DC4876" w:rsidRPr="00DC4876">
        <w:t> </w:t>
      </w:r>
      <w:r w:rsidR="002F2435" w:rsidRPr="00DC4876">
        <w:t>1 (item</w:t>
      </w:r>
      <w:r w:rsidR="00DC4876" w:rsidRPr="00DC4876">
        <w:t> </w:t>
      </w:r>
      <w:r w:rsidR="002F2435" w:rsidRPr="00DC4876">
        <w:t>30473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2F2435" w:rsidRPr="00DC4876">
        <w:t>)</w:t>
      </w:r>
    </w:p>
    <w:p w:rsidR="002F2435" w:rsidRPr="00DC4876" w:rsidRDefault="002F2435" w:rsidP="002F2435">
      <w:pPr>
        <w:pStyle w:val="Item"/>
      </w:pPr>
      <w:r w:rsidRPr="00DC4876">
        <w:t>Omit “30476 or 30478”, substitute “30478 or 30479”.</w:t>
      </w:r>
    </w:p>
    <w:p w:rsidR="0031586F" w:rsidRPr="00DC4876" w:rsidRDefault="008C0B9F" w:rsidP="0031586F">
      <w:pPr>
        <w:pStyle w:val="ItemHead"/>
      </w:pPr>
      <w:r w:rsidRPr="00DC4876">
        <w:t>7</w:t>
      </w:r>
      <w:r w:rsidR="0031586F" w:rsidRPr="00DC4876">
        <w:t xml:space="preserve">  Schedule</w:t>
      </w:r>
      <w:r w:rsidR="00DC4876" w:rsidRPr="00DC4876">
        <w:t> </w:t>
      </w:r>
      <w:r w:rsidR="0031586F" w:rsidRPr="00DC4876">
        <w:t>1 (item</w:t>
      </w:r>
      <w:r w:rsidR="00DC4876" w:rsidRPr="00DC4876">
        <w:t> </w:t>
      </w:r>
      <w:r w:rsidR="0031586F" w:rsidRPr="00DC4876">
        <w:t>30475)</w:t>
      </w:r>
    </w:p>
    <w:p w:rsidR="0031586F" w:rsidRPr="00DC4876" w:rsidRDefault="0031586F" w:rsidP="0031586F">
      <w:pPr>
        <w:pStyle w:val="Item"/>
      </w:pPr>
      <w:r w:rsidRPr="00DC4876">
        <w:t>Repeal the item, substitute:</w:t>
      </w:r>
    </w:p>
    <w:p w:rsidR="0031586F" w:rsidRPr="00DC4876" w:rsidRDefault="0031586F" w:rsidP="0031586F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31586F" w:rsidRPr="00DC4876" w:rsidTr="000A734F">
        <w:tc>
          <w:tcPr>
            <w:tcW w:w="527" w:type="pct"/>
            <w:shd w:val="clear" w:color="auto" w:fill="auto"/>
          </w:tcPr>
          <w:p w:rsidR="0031586F" w:rsidRPr="00DC4876" w:rsidRDefault="0031586F" w:rsidP="00421FB6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30475</w:t>
            </w:r>
          </w:p>
        </w:tc>
        <w:tc>
          <w:tcPr>
            <w:tcW w:w="3692" w:type="pct"/>
            <w:shd w:val="clear" w:color="auto" w:fill="auto"/>
          </w:tcPr>
          <w:p w:rsidR="0031586F" w:rsidRPr="00DC4876" w:rsidRDefault="0031586F" w:rsidP="00421FB6">
            <w:pPr>
              <w:pStyle w:val="Tabletext"/>
            </w:pPr>
            <w:r w:rsidRPr="00DC4876">
              <w:t>Endoscopic dila</w:t>
            </w:r>
            <w:r w:rsidR="000A734F" w:rsidRPr="00DC4876">
              <w:t>ta</w:t>
            </w:r>
            <w:r w:rsidRPr="00DC4876">
              <w:t>tion of stricture of upper gastrointestinal tract (including the use of imaging intensification where clinically indicated) (Anaes.)</w:t>
            </w:r>
          </w:p>
        </w:tc>
        <w:tc>
          <w:tcPr>
            <w:tcW w:w="781" w:type="pct"/>
            <w:shd w:val="clear" w:color="auto" w:fill="auto"/>
          </w:tcPr>
          <w:p w:rsidR="0031586F" w:rsidRPr="00DC4876" w:rsidRDefault="0031586F" w:rsidP="00421FB6">
            <w:pPr>
              <w:pStyle w:val="Tabletext"/>
              <w:jc w:val="right"/>
            </w:pPr>
            <w:r w:rsidRPr="00DC4876">
              <w:t>348.95</w:t>
            </w:r>
          </w:p>
        </w:tc>
      </w:tr>
    </w:tbl>
    <w:p w:rsidR="003B70B1" w:rsidRPr="00DC4876" w:rsidRDefault="008C0B9F" w:rsidP="003B70B1">
      <w:pPr>
        <w:pStyle w:val="ItemHead"/>
      </w:pPr>
      <w:r w:rsidRPr="00DC4876">
        <w:t>8</w:t>
      </w:r>
      <w:r w:rsidR="003B70B1" w:rsidRPr="00DC4876">
        <w:t xml:space="preserve">  Schedule</w:t>
      </w:r>
      <w:r w:rsidR="00DC4876" w:rsidRPr="00DC4876">
        <w:t> </w:t>
      </w:r>
      <w:r w:rsidR="003B70B1" w:rsidRPr="00DC4876">
        <w:t>1 (items</w:t>
      </w:r>
      <w:r w:rsidR="00DC4876" w:rsidRPr="00DC4876">
        <w:t> </w:t>
      </w:r>
      <w:r w:rsidR="00D15FC6" w:rsidRPr="00DC4876">
        <w:t xml:space="preserve">30476, </w:t>
      </w:r>
      <w:r w:rsidR="003B70B1" w:rsidRPr="00DC4876">
        <w:t>30478 and 30479)</w:t>
      </w:r>
    </w:p>
    <w:p w:rsidR="003B70B1" w:rsidRPr="00DC4876" w:rsidRDefault="003B70B1" w:rsidP="003B70B1">
      <w:pPr>
        <w:pStyle w:val="Item"/>
      </w:pPr>
      <w:r w:rsidRPr="00DC4876">
        <w:t>Repeal the items, substitute:</w:t>
      </w:r>
    </w:p>
    <w:p w:rsidR="003B70B1" w:rsidRPr="00DC4876" w:rsidRDefault="003B70B1" w:rsidP="003B70B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3B70B1" w:rsidRPr="00DC4876" w:rsidTr="00521BBC"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0B1" w:rsidRPr="00DC4876" w:rsidRDefault="003B70B1" w:rsidP="00D5779F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30478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0B1" w:rsidRPr="00DC4876" w:rsidRDefault="003B70B1" w:rsidP="00D5779F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Oesophagoscopy (other than a service to which item</w:t>
            </w:r>
            <w:r w:rsidR="00DC4876" w:rsidRPr="00DC4876">
              <w:rPr>
                <w:snapToGrid w:val="0"/>
              </w:rPr>
              <w:t> </w:t>
            </w:r>
            <w:r w:rsidRPr="00DC4876">
              <w:rPr>
                <w:snapToGrid w:val="0"/>
              </w:rPr>
              <w:t>41816, 41822 or 41825 applies), gastroscopy, duodenoscopy, pa</w:t>
            </w:r>
            <w:r w:rsidR="00A40E8B" w:rsidRPr="00DC4876">
              <w:rPr>
                <w:snapToGrid w:val="0"/>
              </w:rPr>
              <w:t>nendoscopy or push enteroscopy, one or more such procedures, if</w:t>
            </w:r>
            <w:r w:rsidRPr="00DC4876">
              <w:rPr>
                <w:snapToGrid w:val="0"/>
              </w:rPr>
              <w:t>:</w:t>
            </w:r>
          </w:p>
          <w:p w:rsidR="003B70B1" w:rsidRPr="00DC4876" w:rsidRDefault="003B70B1" w:rsidP="00A40E8B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 xml:space="preserve">(a) </w:t>
            </w:r>
            <w:r w:rsidR="00A40E8B" w:rsidRPr="00DC4876">
              <w:rPr>
                <w:snapToGrid w:val="0"/>
              </w:rPr>
              <w:t>the procedures are performed using</w:t>
            </w:r>
            <w:r w:rsidRPr="00DC4876">
              <w:rPr>
                <w:snapToGrid w:val="0"/>
              </w:rPr>
              <w:t xml:space="preserve"> one or more of the following endoscopic procedures:</w:t>
            </w:r>
          </w:p>
          <w:p w:rsidR="003B70B1" w:rsidRPr="00DC4876" w:rsidRDefault="003B70B1" w:rsidP="003B70B1">
            <w:pPr>
              <w:pStyle w:val="Tablei"/>
            </w:pPr>
            <w:r w:rsidRPr="00DC4876">
              <w:t>(i) polypectomy;</w:t>
            </w:r>
          </w:p>
          <w:p w:rsidR="003B70B1" w:rsidRPr="00DC4876" w:rsidRDefault="003B70B1" w:rsidP="003B70B1">
            <w:pPr>
              <w:pStyle w:val="Tablei"/>
            </w:pPr>
            <w:r w:rsidRPr="00DC4876">
              <w:t>(ii) sclerosing or adrenalin injections;</w:t>
            </w:r>
          </w:p>
          <w:p w:rsidR="003B70B1" w:rsidRPr="00DC4876" w:rsidRDefault="003B70B1" w:rsidP="003B70B1">
            <w:pPr>
              <w:pStyle w:val="Tablei"/>
            </w:pPr>
            <w:r w:rsidRPr="00DC4876">
              <w:t>(iii) banding;</w:t>
            </w:r>
          </w:p>
          <w:p w:rsidR="003B70B1" w:rsidRPr="00DC4876" w:rsidRDefault="003B70B1" w:rsidP="003B70B1">
            <w:pPr>
              <w:pStyle w:val="Tablei"/>
            </w:pPr>
            <w:r w:rsidRPr="00DC4876">
              <w:t>(iv) endoscopic clips;</w:t>
            </w:r>
          </w:p>
          <w:p w:rsidR="003B70B1" w:rsidRPr="00DC4876" w:rsidRDefault="003B70B1" w:rsidP="003B70B1">
            <w:pPr>
              <w:pStyle w:val="Tablei"/>
            </w:pPr>
            <w:r w:rsidRPr="00DC4876">
              <w:t>(v) haemostatic powders;</w:t>
            </w:r>
          </w:p>
          <w:p w:rsidR="003B70B1" w:rsidRPr="00DC4876" w:rsidRDefault="006C027A" w:rsidP="003B70B1">
            <w:pPr>
              <w:pStyle w:val="Tablei"/>
            </w:pPr>
            <w:r w:rsidRPr="00DC4876">
              <w:t>(vi</w:t>
            </w:r>
            <w:r w:rsidR="003B70B1" w:rsidRPr="00DC4876">
              <w:t>) diathermy;</w:t>
            </w:r>
          </w:p>
          <w:p w:rsidR="00C71393" w:rsidRPr="00DC4876" w:rsidRDefault="006C027A" w:rsidP="003B70B1">
            <w:pPr>
              <w:pStyle w:val="Tablei"/>
              <w:rPr>
                <w:snapToGrid w:val="0"/>
              </w:rPr>
            </w:pPr>
            <w:r w:rsidRPr="00DC4876">
              <w:t>(vii</w:t>
            </w:r>
            <w:r w:rsidR="003B70B1" w:rsidRPr="00DC4876">
              <w:t>) argon plas</w:t>
            </w:r>
            <w:r w:rsidR="003B70B1" w:rsidRPr="00DC4876">
              <w:rPr>
                <w:snapToGrid w:val="0"/>
              </w:rPr>
              <w:t>ma coagulation</w:t>
            </w:r>
            <w:r w:rsidR="00C71393" w:rsidRPr="00DC4876">
              <w:rPr>
                <w:snapToGrid w:val="0"/>
              </w:rPr>
              <w:t>; and</w:t>
            </w:r>
          </w:p>
          <w:p w:rsidR="003B70B1" w:rsidRPr="00DC4876" w:rsidRDefault="00C71393" w:rsidP="00C71393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 xml:space="preserve">(b) </w:t>
            </w:r>
            <w:r w:rsidR="00A40E8B" w:rsidRPr="00DC4876">
              <w:rPr>
                <w:snapToGrid w:val="0"/>
              </w:rPr>
              <w:t xml:space="preserve">the procedures are </w:t>
            </w:r>
            <w:r w:rsidRPr="00DC4876">
              <w:rPr>
                <w:snapToGrid w:val="0"/>
              </w:rPr>
              <w:t>f</w:t>
            </w:r>
            <w:r w:rsidR="003B70B1" w:rsidRPr="00DC4876">
              <w:rPr>
                <w:snapToGrid w:val="0"/>
              </w:rPr>
              <w:t>or the treatment of</w:t>
            </w:r>
            <w:r w:rsidR="00F63D81" w:rsidRPr="00DC4876">
              <w:rPr>
                <w:snapToGrid w:val="0"/>
              </w:rPr>
              <w:t xml:space="preserve"> one or more of the following</w:t>
            </w:r>
            <w:r w:rsidR="003B70B1" w:rsidRPr="00DC4876">
              <w:rPr>
                <w:snapToGrid w:val="0"/>
              </w:rPr>
              <w:t>: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(i) upper gastrointestinal tract bleeding;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(ii) polyps;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(iii) removal of foreign body;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(iv) oesophageal or gastric varices;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(v) peptic ulcers;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(vi) neoplasia;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(vii) benign vascular lesions;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(viii) strictures of the gastrointestinal tract;</w:t>
            </w:r>
          </w:p>
          <w:p w:rsidR="00C71393" w:rsidRPr="00DC4876" w:rsidRDefault="00C71393" w:rsidP="00C71393">
            <w:pPr>
              <w:pStyle w:val="Tablei"/>
              <w:rPr>
                <w:snapToGrid w:val="0"/>
              </w:rPr>
            </w:pPr>
            <w:r w:rsidRPr="00DC4876">
              <w:rPr>
                <w:snapToGrid w:val="0"/>
              </w:rPr>
              <w:t>(ix) tumorous overgrowth through or over oesophageal stents</w:t>
            </w:r>
            <w:r w:rsidR="005C034A" w:rsidRPr="00DC4876">
              <w:rPr>
                <w:snapToGrid w:val="0"/>
              </w:rPr>
              <w:t>;</w:t>
            </w:r>
          </w:p>
          <w:p w:rsidR="003B70B1" w:rsidRPr="00DC4876" w:rsidRDefault="00A40E8B" w:rsidP="00C71393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o</w:t>
            </w:r>
            <w:r w:rsidR="003B70B1" w:rsidRPr="00DC4876">
              <w:rPr>
                <w:snapToGrid w:val="0"/>
              </w:rPr>
              <w:t>ther than a service associated with a service to which item</w:t>
            </w:r>
            <w:r w:rsidR="00DC4876" w:rsidRPr="00DC4876">
              <w:rPr>
                <w:snapToGrid w:val="0"/>
              </w:rPr>
              <w:t> </w:t>
            </w:r>
            <w:r w:rsidR="003B70B1" w:rsidRPr="00DC4876">
              <w:rPr>
                <w:snapToGrid w:val="0"/>
              </w:rPr>
              <w:t>30473 or 3047</w:t>
            </w:r>
            <w:r w:rsidR="00C71393" w:rsidRPr="00DC4876">
              <w:rPr>
                <w:snapToGrid w:val="0"/>
              </w:rPr>
              <w:t>9</w:t>
            </w:r>
            <w:r w:rsidR="003B70B1" w:rsidRPr="00DC4876">
              <w:rPr>
                <w:snapToGrid w:val="0"/>
              </w:rPr>
              <w:t xml:space="preserve"> applies (Anaes.)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0B1" w:rsidRPr="00DC4876" w:rsidRDefault="003B70B1" w:rsidP="00D5779F">
            <w:pPr>
              <w:pStyle w:val="Tabletext"/>
              <w:jc w:val="right"/>
            </w:pPr>
            <w:r w:rsidRPr="00DC4876">
              <w:t>245.55</w:t>
            </w:r>
          </w:p>
        </w:tc>
      </w:tr>
      <w:tr w:rsidR="003B70B1" w:rsidRPr="00DC4876" w:rsidTr="00521BBC">
        <w:trPr>
          <w:cantSplit/>
        </w:trPr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0B1" w:rsidRPr="00DC4876" w:rsidRDefault="003B70B1" w:rsidP="00D5779F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30479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27F" w:rsidRPr="00DC4876" w:rsidRDefault="0058327F" w:rsidP="0058327F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Endoscopy with laser therapy</w:t>
            </w:r>
            <w:r w:rsidR="003B70B1" w:rsidRPr="00DC4876">
              <w:rPr>
                <w:snapToGrid w:val="0"/>
              </w:rPr>
              <w:t xml:space="preserve">, for the treatment of </w:t>
            </w:r>
            <w:r w:rsidRPr="00DC4876">
              <w:rPr>
                <w:snapToGrid w:val="0"/>
              </w:rPr>
              <w:t>one or more of the following: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 xml:space="preserve">(a) </w:t>
            </w:r>
            <w:r w:rsidR="003B70B1" w:rsidRPr="00DC4876">
              <w:rPr>
                <w:snapToGrid w:val="0"/>
              </w:rPr>
              <w:t>neoplasia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>(b)</w:t>
            </w:r>
            <w:r w:rsidR="003B70B1" w:rsidRPr="00DC4876">
              <w:rPr>
                <w:snapToGrid w:val="0"/>
              </w:rPr>
              <w:t xml:space="preserve"> benign vascular lesions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>(c)</w:t>
            </w:r>
            <w:r w:rsidR="003B70B1" w:rsidRPr="00DC4876">
              <w:rPr>
                <w:snapToGrid w:val="0"/>
              </w:rPr>
              <w:t xml:space="preserve"> strictures of the gastrointestinal tract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 xml:space="preserve">(d) </w:t>
            </w:r>
            <w:r w:rsidR="003B70B1" w:rsidRPr="00DC4876">
              <w:rPr>
                <w:snapToGrid w:val="0"/>
              </w:rPr>
              <w:t>tumorous overgrowth through or over oesophageal stents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 xml:space="preserve">(e) </w:t>
            </w:r>
            <w:r w:rsidR="003B70B1" w:rsidRPr="00DC4876">
              <w:rPr>
                <w:snapToGrid w:val="0"/>
              </w:rPr>
              <w:t>peptic ulcers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 xml:space="preserve">(f) </w:t>
            </w:r>
            <w:r w:rsidR="003B70B1" w:rsidRPr="00DC4876">
              <w:rPr>
                <w:snapToGrid w:val="0"/>
              </w:rPr>
              <w:t>angiodysplasia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>(g)</w:t>
            </w:r>
            <w:r w:rsidR="003B70B1" w:rsidRPr="00DC4876">
              <w:rPr>
                <w:snapToGrid w:val="0"/>
              </w:rPr>
              <w:t xml:space="preserve"> gastric antral vascular ectasia</w:t>
            </w:r>
            <w:r w:rsidRPr="00DC4876">
              <w:rPr>
                <w:snapToGrid w:val="0"/>
              </w:rPr>
              <w:t>;</w:t>
            </w:r>
          </w:p>
          <w:p w:rsidR="0058327F" w:rsidRPr="00DC4876" w:rsidRDefault="0058327F" w:rsidP="0058327F">
            <w:pPr>
              <w:pStyle w:val="Tablea"/>
              <w:rPr>
                <w:snapToGrid w:val="0"/>
              </w:rPr>
            </w:pPr>
            <w:r w:rsidRPr="00DC4876">
              <w:rPr>
                <w:snapToGrid w:val="0"/>
              </w:rPr>
              <w:t>(h)</w:t>
            </w:r>
            <w:r w:rsidR="003B70B1" w:rsidRPr="00DC4876">
              <w:rPr>
                <w:snapToGrid w:val="0"/>
              </w:rPr>
              <w:t xml:space="preserve"> post</w:t>
            </w:r>
            <w:r w:rsidR="00DC4876">
              <w:rPr>
                <w:snapToGrid w:val="0"/>
              </w:rPr>
              <w:noBreakHyphen/>
            </w:r>
            <w:r w:rsidR="003B70B1" w:rsidRPr="00DC4876">
              <w:rPr>
                <w:snapToGrid w:val="0"/>
              </w:rPr>
              <w:t>polypectomy bleeding</w:t>
            </w:r>
            <w:r w:rsidR="005C034A" w:rsidRPr="00DC4876">
              <w:rPr>
                <w:snapToGrid w:val="0"/>
              </w:rPr>
              <w:t>;</w:t>
            </w:r>
          </w:p>
          <w:p w:rsidR="003B70B1" w:rsidRPr="00DC4876" w:rsidRDefault="00AA4E1D" w:rsidP="00A079B5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o</w:t>
            </w:r>
            <w:r w:rsidR="00A079B5" w:rsidRPr="00DC4876">
              <w:rPr>
                <w:snapToGrid w:val="0"/>
              </w:rPr>
              <w:t>ther than a service associated with a service to which item</w:t>
            </w:r>
            <w:r w:rsidR="00DC4876" w:rsidRPr="00DC4876">
              <w:rPr>
                <w:snapToGrid w:val="0"/>
              </w:rPr>
              <w:t> </w:t>
            </w:r>
            <w:r w:rsidR="00A079B5" w:rsidRPr="00DC4876">
              <w:rPr>
                <w:snapToGrid w:val="0"/>
              </w:rPr>
              <w:t xml:space="preserve">30473 or 30478 applies </w:t>
            </w:r>
            <w:r w:rsidR="003B70B1" w:rsidRPr="00DC4876">
              <w:rPr>
                <w:snapToGrid w:val="0"/>
              </w:rPr>
              <w:t>(Anaes.)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0B1" w:rsidRPr="00DC4876" w:rsidRDefault="003B70B1" w:rsidP="00D5779F">
            <w:pPr>
              <w:pStyle w:val="Tabletext"/>
              <w:jc w:val="right"/>
            </w:pPr>
            <w:r w:rsidRPr="00DC4876">
              <w:t>476.10</w:t>
            </w:r>
          </w:p>
        </w:tc>
      </w:tr>
    </w:tbl>
    <w:p w:rsidR="000513D1" w:rsidRPr="00DC4876" w:rsidRDefault="008C0B9F" w:rsidP="00943B45">
      <w:pPr>
        <w:pStyle w:val="ItemHead"/>
      </w:pPr>
      <w:r w:rsidRPr="00DC4876">
        <w:t>9</w:t>
      </w:r>
      <w:r w:rsidR="000513D1" w:rsidRPr="00DC4876">
        <w:t xml:space="preserve"> </w:t>
      </w:r>
      <w:r w:rsidR="00200861" w:rsidRPr="00DC4876">
        <w:t xml:space="preserve"> Schedule</w:t>
      </w:r>
      <w:r w:rsidR="00DC4876" w:rsidRPr="00DC4876">
        <w:t> </w:t>
      </w:r>
      <w:r w:rsidR="00200861" w:rsidRPr="00DC4876">
        <w:t>1 (items</w:t>
      </w:r>
      <w:r w:rsidR="00DC4876" w:rsidRPr="00DC4876">
        <w:t> </w:t>
      </w:r>
      <w:r w:rsidR="000513D1" w:rsidRPr="00DC4876">
        <w:t>30487 and 30493)</w:t>
      </w:r>
    </w:p>
    <w:p w:rsidR="000513D1" w:rsidRPr="00DC4876" w:rsidRDefault="000513D1" w:rsidP="000513D1">
      <w:pPr>
        <w:pStyle w:val="Item"/>
      </w:pPr>
      <w:r w:rsidRPr="00DC4876">
        <w:t>Repeal the items.</w:t>
      </w:r>
    </w:p>
    <w:p w:rsidR="00AA3745" w:rsidRPr="00DC4876" w:rsidRDefault="008C0B9F" w:rsidP="00943B45">
      <w:pPr>
        <w:pStyle w:val="ItemHead"/>
      </w:pPr>
      <w:r w:rsidRPr="00DC4876">
        <w:t>10</w:t>
      </w:r>
      <w:r w:rsidR="00AA3745" w:rsidRPr="00DC4876">
        <w:t xml:space="preserve">  Schedule</w:t>
      </w:r>
      <w:r w:rsidR="00DC4876" w:rsidRPr="00DC4876">
        <w:t> </w:t>
      </w:r>
      <w:r w:rsidR="00AA3745" w:rsidRPr="00DC4876">
        <w:t>1 (item</w:t>
      </w:r>
      <w:r w:rsidR="00AF3046" w:rsidRPr="00DC4876">
        <w:t>s</w:t>
      </w:r>
      <w:r w:rsidR="00DC4876" w:rsidRPr="00DC4876">
        <w:t> </w:t>
      </w:r>
      <w:r w:rsidR="00AA3745" w:rsidRPr="00DC4876">
        <w:t>30631</w:t>
      </w:r>
      <w:r w:rsidR="00AF3046" w:rsidRPr="00DC4876">
        <w:t xml:space="preserve"> and 30635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AA3745" w:rsidRPr="00DC4876">
        <w:t>)</w:t>
      </w:r>
    </w:p>
    <w:p w:rsidR="00AA3745" w:rsidRPr="00DC4876" w:rsidRDefault="00AA3745" w:rsidP="00AA3745">
      <w:pPr>
        <w:pStyle w:val="Item"/>
      </w:pPr>
      <w:r w:rsidRPr="00DC4876">
        <w:t>Omit “30638,”.</w:t>
      </w:r>
    </w:p>
    <w:p w:rsidR="00AA3745" w:rsidRPr="00DC4876" w:rsidRDefault="008C0B9F" w:rsidP="00943B45">
      <w:pPr>
        <w:pStyle w:val="ItemHead"/>
      </w:pPr>
      <w:r w:rsidRPr="00DC4876">
        <w:t>11</w:t>
      </w:r>
      <w:r w:rsidR="00AA3745" w:rsidRPr="00DC4876">
        <w:t xml:space="preserve">  Schedule</w:t>
      </w:r>
      <w:r w:rsidR="00DC4876" w:rsidRPr="00DC4876">
        <w:t> </w:t>
      </w:r>
      <w:r w:rsidR="00AA3745" w:rsidRPr="00DC4876">
        <w:t>1 (item</w:t>
      </w:r>
      <w:r w:rsidR="00DC4876" w:rsidRPr="00DC4876">
        <w:t> </w:t>
      </w:r>
      <w:r w:rsidR="00AA3745" w:rsidRPr="00DC4876">
        <w:t>30640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AA3745" w:rsidRPr="00DC4876">
        <w:t>)</w:t>
      </w:r>
    </w:p>
    <w:p w:rsidR="00AA3745" w:rsidRPr="00DC4876" w:rsidRDefault="00AA3745" w:rsidP="00AA3745">
      <w:pPr>
        <w:pStyle w:val="Item"/>
      </w:pPr>
      <w:r w:rsidRPr="00DC4876">
        <w:t>Omit “, 30620”.</w:t>
      </w:r>
    </w:p>
    <w:p w:rsidR="001D7E4A" w:rsidRPr="00DC4876" w:rsidRDefault="008C0B9F" w:rsidP="00943B45">
      <w:pPr>
        <w:pStyle w:val="ItemHead"/>
      </w:pPr>
      <w:r w:rsidRPr="00DC4876">
        <w:t>12</w:t>
      </w:r>
      <w:r w:rsidR="001D7E4A" w:rsidRPr="00DC4876">
        <w:t xml:space="preserve">  Schedule</w:t>
      </w:r>
      <w:r w:rsidR="00DC4876" w:rsidRPr="00DC4876">
        <w:t> </w:t>
      </w:r>
      <w:r w:rsidR="001D7E4A" w:rsidRPr="00DC4876">
        <w:t>1 (item</w:t>
      </w:r>
      <w:r w:rsidR="00DC4876" w:rsidRPr="00DC4876">
        <w:t> </w:t>
      </w:r>
      <w:r w:rsidR="001D7E4A" w:rsidRPr="00DC4876">
        <w:t>30642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1D7E4A" w:rsidRPr="00DC4876">
        <w:t>)</w:t>
      </w:r>
    </w:p>
    <w:p w:rsidR="001D7E4A" w:rsidRPr="00DC4876" w:rsidRDefault="001D7E4A" w:rsidP="001D7E4A">
      <w:pPr>
        <w:pStyle w:val="Item"/>
      </w:pPr>
      <w:r w:rsidRPr="00DC4876">
        <w:t>Omit “30634, 30635, 30638</w:t>
      </w:r>
      <w:r w:rsidR="005C034A" w:rsidRPr="00DC4876">
        <w:t>,</w:t>
      </w:r>
      <w:r w:rsidRPr="00DC4876">
        <w:t>”, substitute “30635</w:t>
      </w:r>
      <w:r w:rsidR="005C034A" w:rsidRPr="00DC4876">
        <w:t>,</w:t>
      </w:r>
      <w:r w:rsidRPr="00DC4876">
        <w:t>”.</w:t>
      </w:r>
    </w:p>
    <w:p w:rsidR="00F63D81" w:rsidRPr="00DC4876" w:rsidRDefault="008C0B9F" w:rsidP="00F63D81">
      <w:pPr>
        <w:pStyle w:val="ItemHead"/>
      </w:pPr>
      <w:r w:rsidRPr="00DC4876">
        <w:t>13</w:t>
      </w:r>
      <w:r w:rsidR="00F63D81" w:rsidRPr="00DC4876">
        <w:t xml:space="preserve">  Schedule</w:t>
      </w:r>
      <w:r w:rsidR="00DC4876" w:rsidRPr="00DC4876">
        <w:t> </w:t>
      </w:r>
      <w:r w:rsidR="00F63D81" w:rsidRPr="00DC4876">
        <w:t>1 (</w:t>
      </w:r>
      <w:r w:rsidR="000A734F" w:rsidRPr="00DC4876">
        <w:t>item</w:t>
      </w:r>
      <w:r w:rsidR="00AA4E1D" w:rsidRPr="00DC4876">
        <w:t>s</w:t>
      </w:r>
      <w:r w:rsidR="00DC4876" w:rsidRPr="00DC4876">
        <w:t> </w:t>
      </w:r>
      <w:r w:rsidR="00F63D81" w:rsidRPr="00DC4876">
        <w:t>30688, 30690, 30692 and 30694</w:t>
      </w:r>
      <w:r w:rsidR="000A734F" w:rsidRPr="00DC4876">
        <w:t>, column headed “Description”</w:t>
      </w:r>
      <w:r w:rsidR="00F63D81" w:rsidRPr="00DC4876">
        <w:t>)</w:t>
      </w:r>
    </w:p>
    <w:p w:rsidR="00F63D81" w:rsidRPr="00DC4876" w:rsidRDefault="00F63D81" w:rsidP="00F63D81">
      <w:pPr>
        <w:pStyle w:val="Item"/>
      </w:pPr>
      <w:r w:rsidRPr="00DC4876">
        <w:t>After “Subg</w:t>
      </w:r>
      <w:r w:rsidR="00CE7442" w:rsidRPr="00DC4876">
        <w:t>roup”, insert “(other than item</w:t>
      </w:r>
      <w:r w:rsidR="00DC4876" w:rsidRPr="00DC4876">
        <w:t> </w:t>
      </w:r>
      <w:r w:rsidRPr="00DC4876">
        <w:t>30484, 30485, 30491 or 30494)”.</w:t>
      </w:r>
    </w:p>
    <w:p w:rsidR="00CC2027" w:rsidRPr="00DC4876" w:rsidRDefault="008C0B9F" w:rsidP="00CC2027">
      <w:pPr>
        <w:pStyle w:val="ItemHead"/>
      </w:pPr>
      <w:r w:rsidRPr="00DC4876">
        <w:t>14</w:t>
      </w:r>
      <w:r w:rsidR="00CC2027" w:rsidRPr="00DC4876">
        <w:t xml:space="preserve">  </w:t>
      </w:r>
      <w:r w:rsidR="005C034A" w:rsidRPr="00DC4876">
        <w:t xml:space="preserve">Before </w:t>
      </w:r>
      <w:r w:rsidR="00CC2027" w:rsidRPr="00DC4876">
        <w:t>clause</w:t>
      </w:r>
      <w:r w:rsidR="00DC4876" w:rsidRPr="00DC4876">
        <w:t> </w:t>
      </w:r>
      <w:r w:rsidR="005C034A" w:rsidRPr="00DC4876">
        <w:t>2.44.14</w:t>
      </w:r>
      <w:r w:rsidR="00CC2027" w:rsidRPr="00DC4876">
        <w:t xml:space="preserve"> of Schedule</w:t>
      </w:r>
      <w:r w:rsidR="00DC4876" w:rsidRPr="00DC4876">
        <w:t> </w:t>
      </w:r>
      <w:r w:rsidR="00CC2027" w:rsidRPr="00DC4876">
        <w:t>1</w:t>
      </w:r>
    </w:p>
    <w:p w:rsidR="00CC2027" w:rsidRPr="00DC4876" w:rsidRDefault="00CC2027" w:rsidP="00CC2027">
      <w:pPr>
        <w:pStyle w:val="Item"/>
      </w:pPr>
      <w:r w:rsidRPr="00DC4876">
        <w:t>Insert:</w:t>
      </w:r>
    </w:p>
    <w:p w:rsidR="00CC2027" w:rsidRPr="00DC4876" w:rsidRDefault="00CC2027" w:rsidP="00CC2027">
      <w:pPr>
        <w:pStyle w:val="ActHead5"/>
      </w:pPr>
      <w:bookmarkStart w:id="12" w:name="_Toc492985205"/>
      <w:r w:rsidRPr="00DC4876">
        <w:rPr>
          <w:rStyle w:val="CharSectno"/>
        </w:rPr>
        <w:t>2.44.13B</w:t>
      </w:r>
      <w:r w:rsidRPr="00DC4876">
        <w:t xml:space="preserve">  Application of items</w:t>
      </w:r>
      <w:r w:rsidR="00DC4876" w:rsidRPr="00DC4876">
        <w:t> </w:t>
      </w:r>
      <w:r w:rsidRPr="00DC4876">
        <w:t>32084, 32087, 32090 and 32093</w:t>
      </w:r>
      <w:bookmarkEnd w:id="12"/>
    </w:p>
    <w:p w:rsidR="00CC2027" w:rsidRPr="00DC4876" w:rsidRDefault="00CC2027" w:rsidP="006272CB">
      <w:pPr>
        <w:pStyle w:val="subsection"/>
      </w:pPr>
      <w:r w:rsidRPr="00DC4876">
        <w:tab/>
      </w:r>
      <w:r w:rsidRPr="00DC4876">
        <w:tab/>
        <w:t>If a service to which item</w:t>
      </w:r>
      <w:r w:rsidR="00DC4876" w:rsidRPr="00DC4876">
        <w:t> </w:t>
      </w:r>
      <w:r w:rsidRPr="00DC4876">
        <w:t>32084, 32087, 32090 or 32093 applies is provided by a practitioner to a patient on more than one occasion on a day, the second service is taken to be a separate service for the purposes of the item if the second service is provided under a second episode of anaesthesia or other sedation.</w:t>
      </w:r>
    </w:p>
    <w:p w:rsidR="00A8451E" w:rsidRPr="00DC4876" w:rsidRDefault="008C0B9F" w:rsidP="00A8451E">
      <w:pPr>
        <w:pStyle w:val="ItemHead"/>
      </w:pPr>
      <w:r w:rsidRPr="00DC4876">
        <w:t>15</w:t>
      </w:r>
      <w:r w:rsidR="00A8451E" w:rsidRPr="00DC4876">
        <w:t xml:space="preserve">  Schedule</w:t>
      </w:r>
      <w:r w:rsidR="00DC4876" w:rsidRPr="00DC4876">
        <w:t> </w:t>
      </w:r>
      <w:r w:rsidR="00A8451E" w:rsidRPr="00DC4876">
        <w:t>1 (item</w:t>
      </w:r>
      <w:r w:rsidR="00DC4876" w:rsidRPr="00DC4876">
        <w:t> </w:t>
      </w:r>
      <w:r w:rsidR="00A8451E" w:rsidRPr="00DC4876">
        <w:t xml:space="preserve">32084, column headed </w:t>
      </w:r>
      <w:r w:rsidR="00626E31" w:rsidRPr="00DC4876">
        <w:t>“</w:t>
      </w:r>
      <w:r w:rsidR="00A8451E" w:rsidRPr="00DC4876">
        <w:t>Description</w:t>
      </w:r>
      <w:r w:rsidR="00626E31" w:rsidRPr="00DC4876">
        <w:t>”</w:t>
      </w:r>
      <w:r w:rsidR="00A8451E" w:rsidRPr="00DC4876">
        <w:t>)</w:t>
      </w:r>
    </w:p>
    <w:p w:rsidR="00A8451E" w:rsidRPr="00DC4876" w:rsidRDefault="00A8451E" w:rsidP="00A8451E">
      <w:pPr>
        <w:pStyle w:val="Item"/>
      </w:pPr>
      <w:r w:rsidRPr="00DC4876">
        <w:t>After “biopsy”, insert “, other than a service associated with a service to which item</w:t>
      </w:r>
      <w:r w:rsidR="00DC4876" w:rsidRPr="00DC4876">
        <w:t> </w:t>
      </w:r>
      <w:r w:rsidRPr="00DC4876">
        <w:t>32090 or 32093 applies”.</w:t>
      </w:r>
    </w:p>
    <w:p w:rsidR="00A8451E" w:rsidRPr="00DC4876" w:rsidRDefault="008C0B9F" w:rsidP="00A8451E">
      <w:pPr>
        <w:pStyle w:val="ItemHead"/>
      </w:pPr>
      <w:r w:rsidRPr="00DC4876">
        <w:t>16</w:t>
      </w:r>
      <w:r w:rsidR="00A8451E" w:rsidRPr="00DC4876">
        <w:t xml:space="preserve">  Schedule</w:t>
      </w:r>
      <w:r w:rsidR="00DC4876" w:rsidRPr="00DC4876">
        <w:t> </w:t>
      </w:r>
      <w:r w:rsidR="00A8451E" w:rsidRPr="00DC4876">
        <w:t>1 (item</w:t>
      </w:r>
      <w:r w:rsidR="00DC4876" w:rsidRPr="00DC4876">
        <w:t> </w:t>
      </w:r>
      <w:r w:rsidR="00A8451E" w:rsidRPr="00DC4876">
        <w:t xml:space="preserve">32087, column headed </w:t>
      </w:r>
      <w:r w:rsidR="00626E31" w:rsidRPr="00DC4876">
        <w:t>“</w:t>
      </w:r>
      <w:r w:rsidR="00A8451E" w:rsidRPr="00DC4876">
        <w:t>Description</w:t>
      </w:r>
      <w:r w:rsidR="00626E31" w:rsidRPr="00DC4876">
        <w:t>”</w:t>
      </w:r>
      <w:r w:rsidR="00A8451E" w:rsidRPr="00DC4876">
        <w:t>)</w:t>
      </w:r>
    </w:p>
    <w:p w:rsidR="00A8451E" w:rsidRPr="00DC4876" w:rsidRDefault="00A8451E" w:rsidP="00A8451E">
      <w:pPr>
        <w:pStyle w:val="Item"/>
      </w:pPr>
      <w:r w:rsidRPr="00DC4876">
        <w:t>After “one or more of”, insert “, other than a service associated with a service to which item</w:t>
      </w:r>
      <w:r w:rsidR="00DC4876" w:rsidRPr="00DC4876">
        <w:t> </w:t>
      </w:r>
      <w:r w:rsidRPr="00DC4876">
        <w:t>32090 or 32093 applies”.</w:t>
      </w:r>
    </w:p>
    <w:p w:rsidR="00965709" w:rsidRPr="00DC4876" w:rsidRDefault="008C0B9F" w:rsidP="00965709">
      <w:pPr>
        <w:pStyle w:val="ItemHead"/>
      </w:pPr>
      <w:r w:rsidRPr="00DC4876">
        <w:t>17</w:t>
      </w:r>
      <w:r w:rsidR="00965709" w:rsidRPr="00DC4876">
        <w:t xml:space="preserve">  Schedule</w:t>
      </w:r>
      <w:r w:rsidR="00DC4876" w:rsidRPr="00DC4876">
        <w:t> </w:t>
      </w:r>
      <w:r w:rsidR="00965709" w:rsidRPr="00DC4876">
        <w:t>1 (</w:t>
      </w:r>
      <w:r w:rsidR="00AD40C2" w:rsidRPr="00DC4876">
        <w:t>i</w:t>
      </w:r>
      <w:r w:rsidR="00965709" w:rsidRPr="00DC4876">
        <w:t>tem</w:t>
      </w:r>
      <w:r w:rsidR="00DC4876" w:rsidRPr="00DC4876">
        <w:t> </w:t>
      </w:r>
      <w:r w:rsidR="00965709" w:rsidRPr="00DC4876">
        <w:t>35643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965709" w:rsidRPr="00DC4876">
        <w:t>)</w:t>
      </w:r>
    </w:p>
    <w:p w:rsidR="00965709" w:rsidRPr="00DC4876" w:rsidRDefault="00965709" w:rsidP="00965709">
      <w:pPr>
        <w:pStyle w:val="Item"/>
      </w:pPr>
      <w:r w:rsidRPr="00DC4876">
        <w:t>Omit “35639 or”.</w:t>
      </w:r>
    </w:p>
    <w:p w:rsidR="00965709" w:rsidRPr="00DC4876" w:rsidRDefault="008C0B9F" w:rsidP="00965709">
      <w:pPr>
        <w:pStyle w:val="ItemHead"/>
      </w:pPr>
      <w:r w:rsidRPr="00DC4876">
        <w:t>18</w:t>
      </w:r>
      <w:r w:rsidR="00965709" w:rsidRPr="00DC4876">
        <w:t xml:space="preserve">  Schedule</w:t>
      </w:r>
      <w:r w:rsidR="00DC4876" w:rsidRPr="00DC4876">
        <w:t> </w:t>
      </w:r>
      <w:r w:rsidR="00965709" w:rsidRPr="00DC4876">
        <w:t>1 (item</w:t>
      </w:r>
      <w:r w:rsidR="00DC4876" w:rsidRPr="00DC4876">
        <w:t> </w:t>
      </w:r>
      <w:r w:rsidR="00965709" w:rsidRPr="00DC4876">
        <w:t>35644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965709" w:rsidRPr="00DC4876">
        <w:t>)</w:t>
      </w:r>
    </w:p>
    <w:p w:rsidR="00965709" w:rsidRPr="00DC4876" w:rsidRDefault="00D15FC6" w:rsidP="00965709">
      <w:pPr>
        <w:pStyle w:val="Item"/>
      </w:pPr>
      <w:r w:rsidRPr="00DC4876">
        <w:t>Omit “35639</w:t>
      </w:r>
      <w:r w:rsidR="00965709" w:rsidRPr="00DC4876">
        <w:t>,”.</w:t>
      </w:r>
    </w:p>
    <w:p w:rsidR="00943B45" w:rsidRPr="00DC4876" w:rsidRDefault="008C0B9F" w:rsidP="00943B45">
      <w:pPr>
        <w:pStyle w:val="ItemHead"/>
      </w:pPr>
      <w:r w:rsidRPr="00DC4876">
        <w:t>19</w:t>
      </w:r>
      <w:r w:rsidR="00304F34" w:rsidRPr="00DC4876">
        <w:t xml:space="preserve">  </w:t>
      </w:r>
      <w:r w:rsidR="00007DEB" w:rsidRPr="00DC4876">
        <w:t>Schedule</w:t>
      </w:r>
      <w:r w:rsidR="00DC4876" w:rsidRPr="00DC4876">
        <w:t> </w:t>
      </w:r>
      <w:r w:rsidR="00007DEB" w:rsidRPr="00DC4876">
        <w:t>1 (item</w:t>
      </w:r>
      <w:r w:rsidR="00DC4876" w:rsidRPr="00DC4876">
        <w:t> </w:t>
      </w:r>
      <w:r w:rsidR="00943B45" w:rsidRPr="00DC4876">
        <w:t>41674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007DEB" w:rsidRPr="00DC4876">
        <w:t>)</w:t>
      </w:r>
    </w:p>
    <w:p w:rsidR="00943B45" w:rsidRPr="00DC4876" w:rsidRDefault="00943B45" w:rsidP="00943B45">
      <w:pPr>
        <w:pStyle w:val="Item"/>
      </w:pPr>
      <w:r w:rsidRPr="00DC4876">
        <w:t>Omit “septum, turbinates or pharynx”, substitute “septum or turbinates”.</w:t>
      </w:r>
    </w:p>
    <w:p w:rsidR="00943B45" w:rsidRPr="00DC4876" w:rsidRDefault="008C0B9F" w:rsidP="00943B45">
      <w:pPr>
        <w:pStyle w:val="ItemHead"/>
      </w:pPr>
      <w:r w:rsidRPr="00DC4876">
        <w:t>20</w:t>
      </w:r>
      <w:r w:rsidR="00943B45" w:rsidRPr="00DC4876">
        <w:t xml:space="preserve">  </w:t>
      </w:r>
      <w:r w:rsidR="004F5E23" w:rsidRPr="00DC4876">
        <w:t>Schedule</w:t>
      </w:r>
      <w:r w:rsidR="00DC4876" w:rsidRPr="00DC4876">
        <w:t> </w:t>
      </w:r>
      <w:r w:rsidR="004F5E23" w:rsidRPr="00DC4876">
        <w:t>1 (item</w:t>
      </w:r>
      <w:r w:rsidR="00DC4876" w:rsidRPr="00DC4876">
        <w:t> </w:t>
      </w:r>
      <w:r w:rsidR="004F5E23" w:rsidRPr="00DC4876">
        <w:t>41789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4F5E23" w:rsidRPr="00DC4876">
        <w:t>)</w:t>
      </w:r>
    </w:p>
    <w:p w:rsidR="004F5E23" w:rsidRPr="00DC4876" w:rsidRDefault="00764FD4" w:rsidP="004F5E23">
      <w:pPr>
        <w:pStyle w:val="Item"/>
      </w:pPr>
      <w:r w:rsidRPr="00DC4876">
        <w:t>After</w:t>
      </w:r>
      <w:r w:rsidR="004F5E23" w:rsidRPr="00DC4876">
        <w:t xml:space="preserve"> “</w:t>
      </w:r>
      <w:r w:rsidRPr="00DC4876">
        <w:t>years</w:t>
      </w:r>
      <w:r w:rsidR="004F5E23" w:rsidRPr="00DC4876">
        <w:t xml:space="preserve">”, </w:t>
      </w:r>
      <w:r w:rsidRPr="00DC4876">
        <w:t>insert</w:t>
      </w:r>
      <w:r w:rsidR="004F5E23" w:rsidRPr="00DC4876">
        <w:t xml:space="preserve"> “(including </w:t>
      </w:r>
      <w:r w:rsidR="00936996" w:rsidRPr="00DC4876">
        <w:t xml:space="preserve">any </w:t>
      </w:r>
      <w:r w:rsidR="00CE7442" w:rsidRPr="00DC4876">
        <w:t>examination of the postnasal</w:t>
      </w:r>
      <w:r w:rsidR="004F5E23" w:rsidRPr="00DC4876">
        <w:t xml:space="preserve"> space and nasopharynx and </w:t>
      </w:r>
      <w:r w:rsidR="00936996" w:rsidRPr="00DC4876">
        <w:t xml:space="preserve">the </w:t>
      </w:r>
      <w:r w:rsidR="004F5E23" w:rsidRPr="00DC4876">
        <w:t>infiltration</w:t>
      </w:r>
      <w:r w:rsidR="00613A29" w:rsidRPr="00DC4876">
        <w:t xml:space="preserve"> </w:t>
      </w:r>
      <w:r w:rsidR="004F5E23" w:rsidRPr="00DC4876">
        <w:t xml:space="preserve">of local anaesthetic), not being a service </w:t>
      </w:r>
      <w:r w:rsidR="00D13B5E" w:rsidRPr="00DC4876">
        <w:t>to which</w:t>
      </w:r>
      <w:r w:rsidR="004F5E23" w:rsidRPr="00DC4876">
        <w:t xml:space="preserve"> item</w:t>
      </w:r>
      <w:r w:rsidR="00DC4876" w:rsidRPr="00DC4876">
        <w:t> </w:t>
      </w:r>
      <w:r w:rsidR="004F5E23" w:rsidRPr="00DC4876">
        <w:t>41764</w:t>
      </w:r>
      <w:r w:rsidR="00D13B5E" w:rsidRPr="00DC4876">
        <w:t xml:space="preserve"> applies</w:t>
      </w:r>
      <w:r w:rsidRPr="00DC4876">
        <w:t>”.</w:t>
      </w:r>
    </w:p>
    <w:p w:rsidR="00764FD4" w:rsidRPr="00DC4876" w:rsidRDefault="008C0B9F" w:rsidP="00764FD4">
      <w:pPr>
        <w:pStyle w:val="ItemHead"/>
      </w:pPr>
      <w:r w:rsidRPr="00DC4876">
        <w:t>21</w:t>
      </w:r>
      <w:r w:rsidR="00764FD4" w:rsidRPr="00DC4876">
        <w:t xml:space="preserve">  Schedule</w:t>
      </w:r>
      <w:r w:rsidR="00DC4876" w:rsidRPr="00DC4876">
        <w:t> </w:t>
      </w:r>
      <w:r w:rsidR="00764FD4" w:rsidRPr="00DC4876">
        <w:t>1 (item</w:t>
      </w:r>
      <w:r w:rsidR="00DC4876" w:rsidRPr="00DC4876">
        <w:t> </w:t>
      </w:r>
      <w:r w:rsidR="00764FD4" w:rsidRPr="00DC4876">
        <w:t>41793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764FD4" w:rsidRPr="00DC4876">
        <w:t>)</w:t>
      </w:r>
    </w:p>
    <w:p w:rsidR="00764FD4" w:rsidRPr="00DC4876" w:rsidRDefault="00764FD4" w:rsidP="00764FD4">
      <w:pPr>
        <w:pStyle w:val="Item"/>
      </w:pPr>
      <w:r w:rsidRPr="00DC4876">
        <w:t>After “over”, insert “</w:t>
      </w:r>
      <w:r w:rsidR="00936996" w:rsidRPr="00DC4876">
        <w:t>(including any examination of the postna</w:t>
      </w:r>
      <w:r w:rsidR="00CE7442" w:rsidRPr="00DC4876">
        <w:t>s</w:t>
      </w:r>
      <w:r w:rsidR="00936996" w:rsidRPr="00DC4876">
        <w:t>al space and n</w:t>
      </w:r>
      <w:r w:rsidR="00613A29" w:rsidRPr="00DC4876">
        <w:t xml:space="preserve">asopharynx and the infiltration </w:t>
      </w:r>
      <w:r w:rsidR="00936996" w:rsidRPr="00DC4876">
        <w:t>of local anaesthetic),</w:t>
      </w:r>
      <w:r w:rsidRPr="00DC4876">
        <w:t xml:space="preserve"> not being a service to which item</w:t>
      </w:r>
      <w:r w:rsidR="00DC4876" w:rsidRPr="00DC4876">
        <w:t> </w:t>
      </w:r>
      <w:r w:rsidRPr="00DC4876">
        <w:t>41764 applies”.</w:t>
      </w:r>
    </w:p>
    <w:p w:rsidR="00764FD4" w:rsidRPr="00DC4876" w:rsidRDefault="008C0B9F" w:rsidP="00764FD4">
      <w:pPr>
        <w:pStyle w:val="ItemHead"/>
      </w:pPr>
      <w:r w:rsidRPr="00DC4876">
        <w:t>22</w:t>
      </w:r>
      <w:r w:rsidR="00764FD4" w:rsidRPr="00DC4876">
        <w:t xml:space="preserve">  Schedule</w:t>
      </w:r>
      <w:r w:rsidR="00DC4876" w:rsidRPr="00DC4876">
        <w:t> </w:t>
      </w:r>
      <w:r w:rsidR="00764FD4" w:rsidRPr="00DC4876">
        <w:t>1 (item</w:t>
      </w:r>
      <w:r w:rsidR="00DC4876" w:rsidRPr="00DC4876">
        <w:t> </w:t>
      </w:r>
      <w:r w:rsidR="00764FD4" w:rsidRPr="00DC4876">
        <w:t>41801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764FD4" w:rsidRPr="00DC4876">
        <w:t>)</w:t>
      </w:r>
    </w:p>
    <w:p w:rsidR="00764FD4" w:rsidRPr="00DC4876" w:rsidRDefault="00764FD4" w:rsidP="00764FD4">
      <w:pPr>
        <w:pStyle w:val="Item"/>
      </w:pPr>
      <w:r w:rsidRPr="00DC4876">
        <w:t xml:space="preserve">After “removal of”, insert </w:t>
      </w:r>
      <w:r w:rsidR="006C027A" w:rsidRPr="00DC4876">
        <w:t>“</w:t>
      </w:r>
      <w:r w:rsidR="00936996" w:rsidRPr="00DC4876">
        <w:t>(including any examination of the postna</w:t>
      </w:r>
      <w:r w:rsidR="009A1BDE" w:rsidRPr="00DC4876">
        <w:t>s</w:t>
      </w:r>
      <w:r w:rsidR="00936996" w:rsidRPr="00DC4876">
        <w:t>al space and n</w:t>
      </w:r>
      <w:r w:rsidR="00613A29" w:rsidRPr="00DC4876">
        <w:t xml:space="preserve">asopharynx and the infiltration </w:t>
      </w:r>
      <w:r w:rsidR="00936996" w:rsidRPr="00DC4876">
        <w:t>of local anaesthetic),</w:t>
      </w:r>
      <w:r w:rsidRPr="00DC4876">
        <w:t xml:space="preserve"> not being a service to which item</w:t>
      </w:r>
      <w:r w:rsidR="00DC4876" w:rsidRPr="00DC4876">
        <w:t> </w:t>
      </w:r>
      <w:r w:rsidRPr="00DC4876">
        <w:t>41764 applies”.</w:t>
      </w:r>
    </w:p>
    <w:p w:rsidR="000513D1" w:rsidRPr="00DC4876" w:rsidRDefault="008C0B9F" w:rsidP="000513D1">
      <w:pPr>
        <w:pStyle w:val="ItemHead"/>
      </w:pPr>
      <w:r w:rsidRPr="00DC4876">
        <w:t>23</w:t>
      </w:r>
      <w:r w:rsidR="000513D1" w:rsidRPr="00DC4876">
        <w:t xml:space="preserve">  Schedule</w:t>
      </w:r>
      <w:r w:rsidR="00DC4876" w:rsidRPr="00DC4876">
        <w:t> </w:t>
      </w:r>
      <w:r w:rsidR="000513D1" w:rsidRPr="00DC4876">
        <w:t>1 (items</w:t>
      </w:r>
      <w:r w:rsidR="00DC4876" w:rsidRPr="00DC4876">
        <w:t> </w:t>
      </w:r>
      <w:r w:rsidR="000513D1" w:rsidRPr="00DC4876">
        <w:t>41819 and 41820)</w:t>
      </w:r>
    </w:p>
    <w:p w:rsidR="000513D1" w:rsidRPr="00DC4876" w:rsidRDefault="000513D1" w:rsidP="000513D1">
      <w:pPr>
        <w:pStyle w:val="Item"/>
      </w:pPr>
      <w:r w:rsidRPr="00DC4876">
        <w:t>Repeal the items.</w:t>
      </w:r>
    </w:p>
    <w:p w:rsidR="00BF326A" w:rsidRPr="00DC4876" w:rsidRDefault="008C0B9F" w:rsidP="00BF326A">
      <w:pPr>
        <w:pStyle w:val="ItemHead"/>
      </w:pPr>
      <w:r w:rsidRPr="00DC4876">
        <w:t>24</w:t>
      </w:r>
      <w:r w:rsidR="00BF326A" w:rsidRPr="00DC4876">
        <w:t xml:space="preserve">  Schedule</w:t>
      </w:r>
      <w:r w:rsidR="00DC4876" w:rsidRPr="00DC4876">
        <w:t> </w:t>
      </w:r>
      <w:r w:rsidR="00BF326A" w:rsidRPr="00DC4876">
        <w:t>1 (item</w:t>
      </w:r>
      <w:r w:rsidR="00DC4876" w:rsidRPr="00DC4876">
        <w:t> </w:t>
      </w:r>
      <w:r w:rsidR="00BF326A" w:rsidRPr="00DC4876">
        <w:t xml:space="preserve">41831, </w:t>
      </w:r>
      <w:r w:rsidR="000A734F" w:rsidRPr="00DC4876">
        <w:t xml:space="preserve">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0A734F" w:rsidRPr="00DC4876">
        <w:t>)</w:t>
      </w:r>
    </w:p>
    <w:p w:rsidR="000A734F" w:rsidRPr="00DC4876" w:rsidRDefault="000A734F" w:rsidP="000A734F">
      <w:pPr>
        <w:pStyle w:val="Item"/>
      </w:pPr>
      <w:r w:rsidRPr="00DC4876">
        <w:t>After “dilatation of”, insert “, for treatment of achalasia”.</w:t>
      </w:r>
    </w:p>
    <w:p w:rsidR="00AA3745" w:rsidRPr="00DC4876" w:rsidRDefault="008C0B9F" w:rsidP="00AA3745">
      <w:pPr>
        <w:pStyle w:val="ItemHead"/>
      </w:pPr>
      <w:r w:rsidRPr="00DC4876">
        <w:t>25</w:t>
      </w:r>
      <w:r w:rsidR="00AA3745" w:rsidRPr="00DC4876">
        <w:t xml:space="preserve">  Schedule</w:t>
      </w:r>
      <w:r w:rsidR="00DC4876" w:rsidRPr="00DC4876">
        <w:t> </w:t>
      </w:r>
      <w:r w:rsidR="00AA3745" w:rsidRPr="00DC4876">
        <w:t>1 (</w:t>
      </w:r>
      <w:r w:rsidR="000A734F" w:rsidRPr="00DC4876">
        <w:t>item</w:t>
      </w:r>
      <w:r w:rsidR="00352D21" w:rsidRPr="00DC4876">
        <w:t>s</w:t>
      </w:r>
      <w:r w:rsidR="00DC4876" w:rsidRPr="00DC4876">
        <w:t> </w:t>
      </w:r>
      <w:r w:rsidR="00AA3745" w:rsidRPr="00DC4876">
        <w:t>46495, 46498, 46500, 46501, 46502 and 46503</w:t>
      </w:r>
      <w:r w:rsidR="000A734F" w:rsidRPr="00DC4876">
        <w:t xml:space="preserve">, column headed </w:t>
      </w:r>
      <w:r w:rsidR="00626E31" w:rsidRPr="00DC4876">
        <w:t>“</w:t>
      </w:r>
      <w:r w:rsidR="000A734F" w:rsidRPr="00DC4876">
        <w:t>Description</w:t>
      </w:r>
      <w:r w:rsidR="00626E31" w:rsidRPr="00DC4876">
        <w:t>”</w:t>
      </w:r>
      <w:r w:rsidR="00AA3745" w:rsidRPr="00DC4876">
        <w:t>)</w:t>
      </w:r>
    </w:p>
    <w:p w:rsidR="00AA3745" w:rsidRPr="00DC4876" w:rsidRDefault="00AA3745" w:rsidP="00AA3745">
      <w:pPr>
        <w:pStyle w:val="Item"/>
      </w:pPr>
      <w:r w:rsidRPr="00DC4876">
        <w:t>Omit “30106 or”.</w:t>
      </w:r>
    </w:p>
    <w:p w:rsidR="00FF4275" w:rsidRPr="00DC4876" w:rsidRDefault="00FF4275" w:rsidP="00FF4275">
      <w:pPr>
        <w:pStyle w:val="ActHead9"/>
      </w:pPr>
      <w:bookmarkStart w:id="13" w:name="_Toc492985206"/>
      <w:r w:rsidRPr="00DC4876">
        <w:t>Health Insurance Regulations</w:t>
      </w:r>
      <w:r w:rsidR="00DC4876" w:rsidRPr="00DC4876">
        <w:t> </w:t>
      </w:r>
      <w:r w:rsidRPr="00DC4876">
        <w:t>1975</w:t>
      </w:r>
      <w:bookmarkEnd w:id="13"/>
    </w:p>
    <w:p w:rsidR="00FF4275" w:rsidRPr="00DC4876" w:rsidRDefault="008C0B9F" w:rsidP="00FF4275">
      <w:pPr>
        <w:pStyle w:val="ItemHead"/>
      </w:pPr>
      <w:r w:rsidRPr="00DC4876">
        <w:t>26</w:t>
      </w:r>
      <w:r w:rsidR="00EA7C3E" w:rsidRPr="00DC4876">
        <w:t xml:space="preserve">  </w:t>
      </w:r>
      <w:r w:rsidR="008250AE" w:rsidRPr="00DC4876">
        <w:t>Regulation</w:t>
      </w:r>
      <w:r w:rsidR="00DC4876" w:rsidRPr="00DC4876">
        <w:t> </w:t>
      </w:r>
      <w:r w:rsidR="008250AE" w:rsidRPr="00DC4876">
        <w:t>11</w:t>
      </w:r>
    </w:p>
    <w:p w:rsidR="008250AE" w:rsidRPr="00DC4876" w:rsidRDefault="008250AE" w:rsidP="008250AE">
      <w:pPr>
        <w:pStyle w:val="Item"/>
      </w:pPr>
      <w:r w:rsidRPr="00DC4876">
        <w:t>Repeal the regulation, substitute:</w:t>
      </w:r>
    </w:p>
    <w:p w:rsidR="008250AE" w:rsidRPr="00DC4876" w:rsidRDefault="008250AE" w:rsidP="008250AE">
      <w:pPr>
        <w:pStyle w:val="ActHead5"/>
      </w:pPr>
      <w:bookmarkStart w:id="14" w:name="_Toc492985207"/>
      <w:r w:rsidRPr="00DC4876">
        <w:rPr>
          <w:rStyle w:val="CharSectno"/>
        </w:rPr>
        <w:t>11</w:t>
      </w:r>
      <w:r w:rsidRPr="00DC4876">
        <w:t xml:space="preserve">  R</w:t>
      </w:r>
      <w:r w:rsidR="00DC4876">
        <w:noBreakHyphen/>
      </w:r>
      <w:r w:rsidRPr="00DC4876">
        <w:t>type diagnostic imaging services that chiropractors, osteopaths, physiotherapists and podiatrists may request</w:t>
      </w:r>
      <w:bookmarkEnd w:id="14"/>
    </w:p>
    <w:p w:rsidR="008250AE" w:rsidRPr="00DC4876" w:rsidRDefault="008250AE" w:rsidP="008250AE">
      <w:pPr>
        <w:pStyle w:val="SubsectionHead"/>
      </w:pPr>
      <w:r w:rsidRPr="00DC4876">
        <w:t>Services that chiropractors may request</w:t>
      </w:r>
    </w:p>
    <w:p w:rsidR="008250AE" w:rsidRPr="00DC4876" w:rsidRDefault="008250AE" w:rsidP="008250AE">
      <w:pPr>
        <w:pStyle w:val="subsection"/>
        <w:rPr>
          <w:szCs w:val="24"/>
        </w:rPr>
      </w:pPr>
      <w:r w:rsidRPr="00DC4876">
        <w:tab/>
        <w:t>(1)</w:t>
      </w:r>
      <w:r w:rsidRPr="00DC4876">
        <w:tab/>
        <w:t>For the purposes of subsection</w:t>
      </w:r>
      <w:r w:rsidR="00DC4876" w:rsidRPr="00DC4876">
        <w:t> </w:t>
      </w:r>
      <w:r w:rsidRPr="00DC4876">
        <w:t xml:space="preserve">16B(3) of the Act, the services are those mentioned in the diagnostic </w:t>
      </w:r>
      <w:r w:rsidR="009A1BDE" w:rsidRPr="00DC4876">
        <w:t>imaging</w:t>
      </w:r>
      <w:r w:rsidRPr="00DC4876">
        <w:t xml:space="preserve"> </w:t>
      </w:r>
      <w:r w:rsidR="009A1BDE" w:rsidRPr="00DC4876">
        <w:t>services</w:t>
      </w:r>
      <w:r w:rsidRPr="00DC4876">
        <w:t xml:space="preserve"> table in items</w:t>
      </w:r>
      <w:r w:rsidR="00DC4876" w:rsidRPr="00DC4876">
        <w:t> </w:t>
      </w:r>
      <w:r w:rsidRPr="00DC4876">
        <w:rPr>
          <w:szCs w:val="24"/>
        </w:rPr>
        <w:t>57712, 57714, 57715, 57717, 58100 to 58106, 58109, 58111, 58112, 58117 and 58123.</w:t>
      </w:r>
    </w:p>
    <w:p w:rsidR="008250AE" w:rsidRPr="00DC4876" w:rsidRDefault="008250AE" w:rsidP="008250AE">
      <w:pPr>
        <w:pStyle w:val="SubsectionHead"/>
      </w:pPr>
      <w:r w:rsidRPr="00DC4876">
        <w:t>Services that physiotherapists and osteopaths may request</w:t>
      </w:r>
    </w:p>
    <w:p w:rsidR="008250AE" w:rsidRPr="00DC4876" w:rsidRDefault="008250AE" w:rsidP="008250AE">
      <w:pPr>
        <w:pStyle w:val="subsection"/>
        <w:rPr>
          <w:szCs w:val="24"/>
        </w:rPr>
      </w:pPr>
      <w:r w:rsidRPr="00DC4876">
        <w:tab/>
        <w:t>(2)</w:t>
      </w:r>
      <w:r w:rsidRPr="00DC4876">
        <w:tab/>
        <w:t>For the purposes of subsections</w:t>
      </w:r>
      <w:r w:rsidR="00DC4876" w:rsidRPr="00DC4876">
        <w:t> </w:t>
      </w:r>
      <w:r w:rsidRPr="00DC4876">
        <w:t xml:space="preserve">16B(3A) and (3C) of the Act, the services are those mentioned in the diagnostic imaging </w:t>
      </w:r>
      <w:r w:rsidR="009A1BDE" w:rsidRPr="00DC4876">
        <w:t xml:space="preserve">services </w:t>
      </w:r>
      <w:r w:rsidRPr="00DC4876">
        <w:t>table in items</w:t>
      </w:r>
      <w:r w:rsidR="00DC4876" w:rsidRPr="00DC4876">
        <w:t> </w:t>
      </w:r>
      <w:r w:rsidRPr="00DC4876">
        <w:rPr>
          <w:szCs w:val="24"/>
        </w:rPr>
        <w:t>57712, 57714, 57715, 57717, 58100 to 58106, 58109, 58111, 58112, 58117, 58120, 58121, 58123, 58126 and 58127.</w:t>
      </w:r>
    </w:p>
    <w:p w:rsidR="008250AE" w:rsidRPr="00DC4876" w:rsidRDefault="008250AE" w:rsidP="008250AE">
      <w:pPr>
        <w:pStyle w:val="SubsectionHead"/>
      </w:pPr>
      <w:r w:rsidRPr="00DC4876">
        <w:t>Services that podiatrists may request</w:t>
      </w:r>
    </w:p>
    <w:p w:rsidR="008250AE" w:rsidRPr="00DC4876" w:rsidRDefault="008250AE" w:rsidP="008250AE">
      <w:pPr>
        <w:pStyle w:val="subsection"/>
        <w:rPr>
          <w:szCs w:val="24"/>
        </w:rPr>
      </w:pPr>
      <w:r w:rsidRPr="00DC4876">
        <w:rPr>
          <w:szCs w:val="24"/>
        </w:rPr>
        <w:tab/>
        <w:t>(3)</w:t>
      </w:r>
      <w:r w:rsidRPr="00DC4876">
        <w:rPr>
          <w:szCs w:val="24"/>
        </w:rPr>
        <w:tab/>
        <w:t>For the purposes of subsection</w:t>
      </w:r>
      <w:r w:rsidR="00DC4876" w:rsidRPr="00DC4876">
        <w:rPr>
          <w:szCs w:val="24"/>
        </w:rPr>
        <w:t> </w:t>
      </w:r>
      <w:r w:rsidRPr="00DC4876">
        <w:rPr>
          <w:szCs w:val="24"/>
        </w:rPr>
        <w:t xml:space="preserve">16B(3B) of the Act, the services </w:t>
      </w:r>
      <w:r w:rsidR="009576AD" w:rsidRPr="00DC4876">
        <w:rPr>
          <w:szCs w:val="24"/>
        </w:rPr>
        <w:t>are those mentioned in the diagnostic imaging services table in items</w:t>
      </w:r>
      <w:r w:rsidR="00DC4876" w:rsidRPr="00DC4876">
        <w:rPr>
          <w:szCs w:val="24"/>
        </w:rPr>
        <w:t> </w:t>
      </w:r>
      <w:r w:rsidR="009576AD" w:rsidRPr="00DC4876">
        <w:rPr>
          <w:szCs w:val="24"/>
        </w:rPr>
        <w:t>55836,</w:t>
      </w:r>
      <w:r w:rsidR="00CA61CC" w:rsidRPr="00DC4876">
        <w:rPr>
          <w:szCs w:val="24"/>
        </w:rPr>
        <w:t xml:space="preserve"> </w:t>
      </w:r>
      <w:r w:rsidR="009576AD" w:rsidRPr="00DC4876">
        <w:rPr>
          <w:szCs w:val="24"/>
        </w:rPr>
        <w:t>55837, 55840,</w:t>
      </w:r>
      <w:r w:rsidR="00CA61CC" w:rsidRPr="00DC4876">
        <w:rPr>
          <w:szCs w:val="24"/>
        </w:rPr>
        <w:t xml:space="preserve"> </w:t>
      </w:r>
      <w:r w:rsidR="009576AD" w:rsidRPr="00DC4876">
        <w:rPr>
          <w:szCs w:val="24"/>
        </w:rPr>
        <w:t>55841, 55844,</w:t>
      </w:r>
      <w:r w:rsidR="00CA61CC" w:rsidRPr="00DC4876">
        <w:rPr>
          <w:szCs w:val="24"/>
        </w:rPr>
        <w:t xml:space="preserve"> </w:t>
      </w:r>
      <w:r w:rsidR="009576AD" w:rsidRPr="00DC4876">
        <w:rPr>
          <w:szCs w:val="24"/>
        </w:rPr>
        <w:t>55845, 57521, 57527, 57536 and 57539.</w:t>
      </w:r>
    </w:p>
    <w:p w:rsidR="00145242" w:rsidRPr="00DC4876" w:rsidRDefault="00145242" w:rsidP="00145242">
      <w:pPr>
        <w:pStyle w:val="ActHead7"/>
        <w:pageBreakBefore/>
      </w:pPr>
      <w:bookmarkStart w:id="15" w:name="_Toc492985208"/>
      <w:r w:rsidRPr="00DC4876">
        <w:rPr>
          <w:rStyle w:val="CharAmPartNo"/>
        </w:rPr>
        <w:t>Part</w:t>
      </w:r>
      <w:r w:rsidR="00DC4876" w:rsidRPr="00DC4876">
        <w:rPr>
          <w:rStyle w:val="CharAmPartNo"/>
        </w:rPr>
        <w:t> </w:t>
      </w:r>
      <w:r w:rsidRPr="00DC4876">
        <w:rPr>
          <w:rStyle w:val="CharAmPartNo"/>
        </w:rPr>
        <w:t>2</w:t>
      </w:r>
      <w:r w:rsidRPr="00DC4876">
        <w:t>—</w:t>
      </w:r>
      <w:r w:rsidR="002D4FB3" w:rsidRPr="00DC4876">
        <w:rPr>
          <w:rStyle w:val="CharAmPartText"/>
        </w:rPr>
        <w:t>R</w:t>
      </w:r>
      <w:r w:rsidRPr="00DC4876">
        <w:rPr>
          <w:rStyle w:val="CharAmPartText"/>
        </w:rPr>
        <w:t>eferences to the symbol (G)</w:t>
      </w:r>
      <w:bookmarkEnd w:id="15"/>
    </w:p>
    <w:p w:rsidR="002A33F4" w:rsidRPr="00DC4876" w:rsidRDefault="002A33F4" w:rsidP="002A33F4">
      <w:pPr>
        <w:pStyle w:val="ActHead9"/>
      </w:pPr>
      <w:bookmarkStart w:id="16" w:name="_Toc492985209"/>
      <w:r w:rsidRPr="00DC4876">
        <w:t>Health Insurance (General Medical Services Table) Regulations</w:t>
      </w:r>
      <w:r w:rsidR="00DC4876" w:rsidRPr="00DC4876">
        <w:t> </w:t>
      </w:r>
      <w:r w:rsidRPr="00DC4876">
        <w:t>2017</w:t>
      </w:r>
      <w:bookmarkEnd w:id="16"/>
    </w:p>
    <w:p w:rsidR="00145242" w:rsidRPr="00DC4876" w:rsidRDefault="008C0B9F" w:rsidP="00145242">
      <w:pPr>
        <w:pStyle w:val="ItemHead"/>
      </w:pPr>
      <w:r w:rsidRPr="00DC4876">
        <w:t>27</w:t>
      </w:r>
      <w:r w:rsidR="00145242" w:rsidRPr="00DC4876">
        <w:t xml:space="preserve">  Clause</w:t>
      </w:r>
      <w:r w:rsidR="00DC4876" w:rsidRPr="00DC4876">
        <w:t> </w:t>
      </w:r>
      <w:r w:rsidR="00145242" w:rsidRPr="00DC4876">
        <w:t>1.1.5</w:t>
      </w:r>
      <w:r w:rsidR="00A5605F" w:rsidRPr="00DC4876">
        <w:t xml:space="preserve"> of Schedule</w:t>
      </w:r>
      <w:r w:rsidR="00DC4876" w:rsidRPr="00DC4876">
        <w:t> </w:t>
      </w:r>
      <w:r w:rsidR="00A5605F" w:rsidRPr="00DC4876">
        <w:t>1</w:t>
      </w:r>
    </w:p>
    <w:p w:rsidR="00145242" w:rsidRPr="00DC4876" w:rsidRDefault="00145242" w:rsidP="00145242">
      <w:pPr>
        <w:pStyle w:val="Item"/>
      </w:pPr>
      <w:r w:rsidRPr="00DC4876">
        <w:t>Repeal the clause.</w:t>
      </w:r>
    </w:p>
    <w:p w:rsidR="00145242" w:rsidRPr="00DC4876" w:rsidRDefault="008C0B9F" w:rsidP="00145242">
      <w:pPr>
        <w:pStyle w:val="ItemHead"/>
      </w:pPr>
      <w:r w:rsidRPr="00DC4876">
        <w:t>28</w:t>
      </w:r>
      <w:r w:rsidR="00145242" w:rsidRPr="00DC4876">
        <w:t xml:space="preserve">  Clause</w:t>
      </w:r>
      <w:r w:rsidR="00DC4876" w:rsidRPr="00DC4876">
        <w:t> </w:t>
      </w:r>
      <w:r w:rsidR="00145242" w:rsidRPr="00DC4876">
        <w:t>3.1 of Schedule</w:t>
      </w:r>
      <w:r w:rsidR="00DC4876" w:rsidRPr="00DC4876">
        <w:t> </w:t>
      </w:r>
      <w:r w:rsidR="00145242" w:rsidRPr="00DC4876">
        <w:t xml:space="preserve">1 (definition of </w:t>
      </w:r>
      <w:r w:rsidR="00145242" w:rsidRPr="00DC4876">
        <w:rPr>
          <w:i/>
        </w:rPr>
        <w:t>(G)</w:t>
      </w:r>
      <w:r w:rsidR="00145242" w:rsidRPr="00DC4876">
        <w:t>)</w:t>
      </w:r>
    </w:p>
    <w:p w:rsidR="00145242" w:rsidRPr="00DC4876" w:rsidRDefault="00145242" w:rsidP="00145242">
      <w:pPr>
        <w:pStyle w:val="Item"/>
      </w:pPr>
      <w:r w:rsidRPr="00DC4876">
        <w:t>Repeal the definition.</w:t>
      </w:r>
    </w:p>
    <w:p w:rsidR="00145242" w:rsidRPr="00DC4876" w:rsidRDefault="008C0B9F" w:rsidP="00145242">
      <w:pPr>
        <w:pStyle w:val="ItemHead"/>
      </w:pPr>
      <w:r w:rsidRPr="00DC4876">
        <w:t>29</w:t>
      </w:r>
      <w:r w:rsidR="00145242" w:rsidRPr="00DC4876">
        <w:t xml:space="preserve">  Amendments of listed provisions—repeals</w:t>
      </w:r>
    </w:p>
    <w:p w:rsidR="00145242" w:rsidRPr="00DC4876" w:rsidRDefault="00145242" w:rsidP="00145242">
      <w:pPr>
        <w:pStyle w:val="Item"/>
      </w:pPr>
      <w:r w:rsidRPr="00DC4876">
        <w:t>Repeal the following items of the table in Schedule</w:t>
      </w:r>
      <w:r w:rsidR="00DC4876" w:rsidRPr="00DC4876">
        <w:t> </w:t>
      </w:r>
      <w:r w:rsidRPr="00DC4876">
        <w:t>1:</w:t>
      </w:r>
    </w:p>
    <w:p w:rsidR="00145242" w:rsidRPr="00DC4876" w:rsidRDefault="00145242" w:rsidP="00145242">
      <w:pPr>
        <w:pStyle w:val="paragraph"/>
      </w:pPr>
      <w:r w:rsidRPr="00DC4876">
        <w:tab/>
        <w:t>(a)</w:t>
      </w:r>
      <w:r w:rsidRPr="00DC4876">
        <w:tab/>
        <w:t>item</w:t>
      </w:r>
      <w:r w:rsidR="00DC4876" w:rsidRPr="00DC4876">
        <w:t> </w:t>
      </w:r>
      <w:r w:rsidRPr="00DC4876">
        <w:t>30009;</w:t>
      </w:r>
    </w:p>
    <w:p w:rsidR="00145242" w:rsidRPr="00DC4876" w:rsidRDefault="00145242" w:rsidP="00145242">
      <w:pPr>
        <w:pStyle w:val="paragraph"/>
      </w:pPr>
      <w:r w:rsidRPr="00DC4876">
        <w:tab/>
        <w:t>(b)</w:t>
      </w:r>
      <w:r w:rsidRPr="00DC4876">
        <w:tab/>
        <w:t>item</w:t>
      </w:r>
      <w:r w:rsidR="00DC4876" w:rsidRPr="00DC4876">
        <w:t> </w:t>
      </w:r>
      <w:r w:rsidRPr="00DC4876">
        <w:t>30013;</w:t>
      </w:r>
    </w:p>
    <w:p w:rsidR="00145242" w:rsidRPr="00DC4876" w:rsidRDefault="00145242" w:rsidP="00145242">
      <w:pPr>
        <w:pStyle w:val="paragraph"/>
      </w:pPr>
      <w:r w:rsidRPr="00DC4876">
        <w:tab/>
        <w:t>(c)</w:t>
      </w:r>
      <w:r w:rsidRPr="00DC4876">
        <w:tab/>
        <w:t>item</w:t>
      </w:r>
      <w:r w:rsidR="00DC4876" w:rsidRPr="00DC4876">
        <w:t> </w:t>
      </w:r>
      <w:r w:rsidRPr="00DC4876">
        <w:t>30041;</w:t>
      </w:r>
    </w:p>
    <w:p w:rsidR="00145242" w:rsidRPr="00DC4876" w:rsidRDefault="00145242" w:rsidP="00145242">
      <w:pPr>
        <w:pStyle w:val="paragraph"/>
      </w:pPr>
      <w:r w:rsidRPr="00DC4876">
        <w:tab/>
        <w:t>(d)</w:t>
      </w:r>
      <w:r w:rsidRPr="00DC4876">
        <w:tab/>
        <w:t>item</w:t>
      </w:r>
      <w:r w:rsidR="00DC4876" w:rsidRPr="00DC4876">
        <w:t> </w:t>
      </w:r>
      <w:r w:rsidRPr="00DC4876">
        <w:t>30048;</w:t>
      </w:r>
    </w:p>
    <w:p w:rsidR="00145242" w:rsidRPr="00DC4876" w:rsidRDefault="00145242" w:rsidP="00145242">
      <w:pPr>
        <w:pStyle w:val="paragraph"/>
      </w:pPr>
      <w:r w:rsidRPr="00DC4876">
        <w:tab/>
        <w:t>(e)</w:t>
      </w:r>
      <w:r w:rsidRPr="00DC4876">
        <w:tab/>
        <w:t>item</w:t>
      </w:r>
      <w:r w:rsidR="00DC4876" w:rsidRPr="00DC4876">
        <w:t> </w:t>
      </w:r>
      <w:r w:rsidRPr="00DC4876">
        <w:t>30067;</w:t>
      </w:r>
    </w:p>
    <w:p w:rsidR="00145242" w:rsidRPr="00DC4876" w:rsidRDefault="00145242" w:rsidP="00145242">
      <w:pPr>
        <w:pStyle w:val="paragraph"/>
      </w:pPr>
      <w:r w:rsidRPr="00DC4876">
        <w:tab/>
        <w:t>(f)</w:t>
      </w:r>
      <w:r w:rsidRPr="00DC4876">
        <w:tab/>
        <w:t>item</w:t>
      </w:r>
      <w:r w:rsidR="00DC4876" w:rsidRPr="00DC4876">
        <w:t> </w:t>
      </w:r>
      <w:r w:rsidRPr="00DC4876">
        <w:t>30074;</w:t>
      </w:r>
    </w:p>
    <w:p w:rsidR="00145242" w:rsidRPr="00DC4876" w:rsidRDefault="00145242" w:rsidP="00145242">
      <w:pPr>
        <w:pStyle w:val="paragraph"/>
      </w:pPr>
      <w:r w:rsidRPr="00DC4876">
        <w:tab/>
        <w:t>(g)</w:t>
      </w:r>
      <w:r w:rsidRPr="00DC4876">
        <w:tab/>
        <w:t>item</w:t>
      </w:r>
      <w:r w:rsidR="00DC4876" w:rsidRPr="00DC4876">
        <w:t> </w:t>
      </w:r>
      <w:r w:rsidRPr="00DC4876">
        <w:t>30102;</w:t>
      </w:r>
    </w:p>
    <w:p w:rsidR="00145242" w:rsidRPr="00DC4876" w:rsidRDefault="00145242" w:rsidP="00145242">
      <w:pPr>
        <w:pStyle w:val="paragraph"/>
      </w:pPr>
      <w:r w:rsidRPr="00DC4876">
        <w:tab/>
        <w:t>(h)</w:t>
      </w:r>
      <w:r w:rsidRPr="00DC4876">
        <w:tab/>
        <w:t>item</w:t>
      </w:r>
      <w:r w:rsidR="00DC4876" w:rsidRPr="00DC4876">
        <w:t> </w:t>
      </w:r>
      <w:r w:rsidRPr="00DC4876">
        <w:t>30106;</w:t>
      </w:r>
    </w:p>
    <w:p w:rsidR="00145242" w:rsidRPr="00DC4876" w:rsidRDefault="00145242" w:rsidP="00145242">
      <w:pPr>
        <w:pStyle w:val="paragraph"/>
      </w:pPr>
      <w:r w:rsidRPr="00DC4876">
        <w:tab/>
        <w:t>(i)</w:t>
      </w:r>
      <w:r w:rsidRPr="00DC4876">
        <w:tab/>
        <w:t>item</w:t>
      </w:r>
      <w:r w:rsidR="00DC4876" w:rsidRPr="00DC4876">
        <w:t> </w:t>
      </w:r>
      <w:r w:rsidRPr="00DC4876">
        <w:t>30110;</w:t>
      </w:r>
    </w:p>
    <w:p w:rsidR="00145242" w:rsidRPr="00DC4876" w:rsidRDefault="00145242" w:rsidP="00145242">
      <w:pPr>
        <w:pStyle w:val="paragraph"/>
      </w:pPr>
      <w:r w:rsidRPr="00DC4876">
        <w:tab/>
        <w:t>(j)</w:t>
      </w:r>
      <w:r w:rsidRPr="00DC4876">
        <w:tab/>
        <w:t>item</w:t>
      </w:r>
      <w:r w:rsidR="00DC4876" w:rsidRPr="00DC4876">
        <w:t> </w:t>
      </w:r>
      <w:r w:rsidRPr="00DC4876">
        <w:t>30265;</w:t>
      </w:r>
    </w:p>
    <w:p w:rsidR="00145242" w:rsidRPr="00DC4876" w:rsidRDefault="00145242" w:rsidP="00145242">
      <w:pPr>
        <w:pStyle w:val="paragraph"/>
      </w:pPr>
      <w:r w:rsidRPr="00DC4876">
        <w:tab/>
        <w:t>(k)</w:t>
      </w:r>
      <w:r w:rsidRPr="00DC4876">
        <w:tab/>
        <w:t>item</w:t>
      </w:r>
      <w:r w:rsidR="00DC4876" w:rsidRPr="00DC4876">
        <w:t> </w:t>
      </w:r>
      <w:r w:rsidRPr="00DC4876">
        <w:t>30282;</w:t>
      </w:r>
    </w:p>
    <w:p w:rsidR="00145242" w:rsidRPr="00DC4876" w:rsidRDefault="00145242" w:rsidP="00145242">
      <w:pPr>
        <w:pStyle w:val="paragraph"/>
      </w:pPr>
      <w:r w:rsidRPr="00DC4876">
        <w:tab/>
        <w:t>(l)</w:t>
      </w:r>
      <w:r w:rsidRPr="00DC4876">
        <w:tab/>
        <w:t>item</w:t>
      </w:r>
      <w:r w:rsidR="00DC4876" w:rsidRPr="00DC4876">
        <w:t> </w:t>
      </w:r>
      <w:r w:rsidRPr="00DC4876">
        <w:t>30620;</w:t>
      </w:r>
    </w:p>
    <w:p w:rsidR="00145242" w:rsidRPr="00DC4876" w:rsidRDefault="00145242" w:rsidP="00145242">
      <w:pPr>
        <w:pStyle w:val="paragraph"/>
      </w:pPr>
      <w:r w:rsidRPr="00DC4876">
        <w:tab/>
        <w:t>(m)</w:t>
      </w:r>
      <w:r w:rsidRPr="00DC4876">
        <w:tab/>
        <w:t>item</w:t>
      </w:r>
      <w:r w:rsidR="00DC4876" w:rsidRPr="00DC4876">
        <w:t> </w:t>
      </w:r>
      <w:r w:rsidRPr="00DC4876">
        <w:t>30634;</w:t>
      </w:r>
    </w:p>
    <w:p w:rsidR="00145242" w:rsidRPr="00DC4876" w:rsidRDefault="00145242" w:rsidP="00145242">
      <w:pPr>
        <w:pStyle w:val="paragraph"/>
      </w:pPr>
      <w:r w:rsidRPr="00DC4876">
        <w:tab/>
        <w:t>(n)</w:t>
      </w:r>
      <w:r w:rsidRPr="00DC4876">
        <w:tab/>
        <w:t>item</w:t>
      </w:r>
      <w:r w:rsidR="00DC4876" w:rsidRPr="00DC4876">
        <w:t> </w:t>
      </w:r>
      <w:r w:rsidRPr="00DC4876">
        <w:t>30638;</w:t>
      </w:r>
    </w:p>
    <w:p w:rsidR="00145242" w:rsidRPr="00DC4876" w:rsidRDefault="00145242" w:rsidP="00145242">
      <w:pPr>
        <w:pStyle w:val="paragraph"/>
      </w:pPr>
      <w:r w:rsidRPr="00DC4876">
        <w:tab/>
        <w:t>(o)</w:t>
      </w:r>
      <w:r w:rsidRPr="00DC4876">
        <w:tab/>
        <w:t>item</w:t>
      </w:r>
      <w:r w:rsidR="00DC4876" w:rsidRPr="00DC4876">
        <w:t> </w:t>
      </w:r>
      <w:r w:rsidRPr="00DC4876">
        <w:t>30675;</w:t>
      </w:r>
    </w:p>
    <w:p w:rsidR="00145242" w:rsidRPr="00DC4876" w:rsidRDefault="00145242" w:rsidP="00145242">
      <w:pPr>
        <w:pStyle w:val="paragraph"/>
      </w:pPr>
      <w:r w:rsidRPr="00DC4876">
        <w:tab/>
        <w:t>(p)</w:t>
      </w:r>
      <w:r w:rsidRPr="00DC4876">
        <w:tab/>
        <w:t>item</w:t>
      </w:r>
      <w:r w:rsidR="00DC4876" w:rsidRPr="00DC4876">
        <w:t> </w:t>
      </w:r>
      <w:r w:rsidRPr="00DC4876">
        <w:t>35512;</w:t>
      </w:r>
    </w:p>
    <w:p w:rsidR="00145242" w:rsidRPr="00DC4876" w:rsidRDefault="00145242" w:rsidP="00145242">
      <w:pPr>
        <w:pStyle w:val="paragraph"/>
      </w:pPr>
      <w:r w:rsidRPr="00DC4876">
        <w:tab/>
        <w:t>(q)</w:t>
      </w:r>
      <w:r w:rsidRPr="00DC4876">
        <w:tab/>
        <w:t>item</w:t>
      </w:r>
      <w:r w:rsidR="00DC4876" w:rsidRPr="00DC4876">
        <w:t> </w:t>
      </w:r>
      <w:r w:rsidRPr="00DC4876">
        <w:t>35516;</w:t>
      </w:r>
    </w:p>
    <w:p w:rsidR="00145242" w:rsidRPr="00DC4876" w:rsidRDefault="00145242" w:rsidP="00145242">
      <w:pPr>
        <w:pStyle w:val="paragraph"/>
      </w:pPr>
      <w:r w:rsidRPr="00DC4876">
        <w:tab/>
        <w:t>(r)</w:t>
      </w:r>
      <w:r w:rsidRPr="00DC4876">
        <w:tab/>
        <w:t>item</w:t>
      </w:r>
      <w:r w:rsidR="00DC4876" w:rsidRPr="00DC4876">
        <w:t> </w:t>
      </w:r>
      <w:r w:rsidRPr="00DC4876">
        <w:t>35526;</w:t>
      </w:r>
    </w:p>
    <w:p w:rsidR="00145242" w:rsidRPr="00DC4876" w:rsidRDefault="00145242" w:rsidP="00145242">
      <w:pPr>
        <w:pStyle w:val="paragraph"/>
      </w:pPr>
      <w:r w:rsidRPr="00DC4876">
        <w:tab/>
        <w:t>(s)</w:t>
      </w:r>
      <w:r w:rsidRPr="00DC4876">
        <w:tab/>
        <w:t>item</w:t>
      </w:r>
      <w:r w:rsidR="00DC4876" w:rsidRPr="00DC4876">
        <w:t> </w:t>
      </w:r>
      <w:r w:rsidRPr="00DC4876">
        <w:t>35617;</w:t>
      </w:r>
    </w:p>
    <w:p w:rsidR="00145242" w:rsidRPr="00DC4876" w:rsidRDefault="00145242" w:rsidP="00145242">
      <w:pPr>
        <w:pStyle w:val="paragraph"/>
      </w:pPr>
      <w:r w:rsidRPr="00DC4876">
        <w:tab/>
        <w:t>(t)</w:t>
      </w:r>
      <w:r w:rsidRPr="00DC4876">
        <w:tab/>
        <w:t>item</w:t>
      </w:r>
      <w:r w:rsidR="00DC4876" w:rsidRPr="00DC4876">
        <w:t> </w:t>
      </w:r>
      <w:r w:rsidRPr="00DC4876">
        <w:t>35639;</w:t>
      </w:r>
    </w:p>
    <w:p w:rsidR="00145242" w:rsidRPr="00DC4876" w:rsidRDefault="00145242" w:rsidP="00145242">
      <w:pPr>
        <w:pStyle w:val="paragraph"/>
      </w:pPr>
      <w:r w:rsidRPr="00DC4876">
        <w:tab/>
        <w:t>(u)</w:t>
      </w:r>
      <w:r w:rsidRPr="00DC4876">
        <w:tab/>
        <w:t>item</w:t>
      </w:r>
      <w:r w:rsidR="00DC4876" w:rsidRPr="00DC4876">
        <w:t> </w:t>
      </w:r>
      <w:r w:rsidRPr="00DC4876">
        <w:t>35676;</w:t>
      </w:r>
    </w:p>
    <w:p w:rsidR="00145242" w:rsidRPr="00DC4876" w:rsidRDefault="00145242" w:rsidP="00145242">
      <w:pPr>
        <w:pStyle w:val="paragraph"/>
      </w:pPr>
      <w:r w:rsidRPr="00DC4876">
        <w:tab/>
        <w:t>(v)</w:t>
      </w:r>
      <w:r w:rsidRPr="00DC4876">
        <w:tab/>
        <w:t>item</w:t>
      </w:r>
      <w:r w:rsidR="00DC4876" w:rsidRPr="00DC4876">
        <w:t> </w:t>
      </w:r>
      <w:r w:rsidRPr="00DC4876">
        <w:t>35683;</w:t>
      </w:r>
    </w:p>
    <w:p w:rsidR="00145242" w:rsidRPr="00DC4876" w:rsidRDefault="00145242" w:rsidP="00145242">
      <w:pPr>
        <w:pStyle w:val="paragraph"/>
      </w:pPr>
      <w:r w:rsidRPr="00DC4876">
        <w:tab/>
        <w:t>(w)</w:t>
      </w:r>
      <w:r w:rsidRPr="00DC4876">
        <w:tab/>
        <w:t>item</w:t>
      </w:r>
      <w:r w:rsidR="00DC4876" w:rsidRPr="00DC4876">
        <w:t> </w:t>
      </w:r>
      <w:r w:rsidRPr="00DC4876">
        <w:t>35687;</w:t>
      </w:r>
    </w:p>
    <w:p w:rsidR="00145242" w:rsidRPr="00DC4876" w:rsidRDefault="00145242" w:rsidP="00145242">
      <w:pPr>
        <w:pStyle w:val="paragraph"/>
      </w:pPr>
      <w:r w:rsidRPr="00DC4876">
        <w:tab/>
        <w:t>(x)</w:t>
      </w:r>
      <w:r w:rsidRPr="00DC4876">
        <w:tab/>
        <w:t>item</w:t>
      </w:r>
      <w:r w:rsidR="00DC4876" w:rsidRPr="00DC4876">
        <w:t> </w:t>
      </w:r>
      <w:r w:rsidRPr="00DC4876">
        <w:t>35712;</w:t>
      </w:r>
    </w:p>
    <w:p w:rsidR="00145242" w:rsidRPr="00DC4876" w:rsidRDefault="00145242" w:rsidP="00145242">
      <w:pPr>
        <w:pStyle w:val="paragraph"/>
      </w:pPr>
      <w:r w:rsidRPr="00DC4876">
        <w:tab/>
        <w:t>(y)</w:t>
      </w:r>
      <w:r w:rsidRPr="00DC4876">
        <w:tab/>
        <w:t>item</w:t>
      </w:r>
      <w:r w:rsidR="00DC4876" w:rsidRPr="00DC4876">
        <w:t> </w:t>
      </w:r>
      <w:r w:rsidRPr="00DC4876">
        <w:t>35716;</w:t>
      </w:r>
    </w:p>
    <w:p w:rsidR="00145242" w:rsidRPr="00DC4876" w:rsidRDefault="00145242" w:rsidP="00145242">
      <w:pPr>
        <w:pStyle w:val="paragraph"/>
      </w:pPr>
      <w:r w:rsidRPr="00DC4876">
        <w:tab/>
        <w:t>(z)</w:t>
      </w:r>
      <w:r w:rsidRPr="00DC4876">
        <w:tab/>
        <w:t>item</w:t>
      </w:r>
      <w:r w:rsidR="00DC4876" w:rsidRPr="00DC4876">
        <w:t> </w:t>
      </w:r>
      <w:r w:rsidRPr="00DC4876">
        <w:t>37622;</w:t>
      </w:r>
    </w:p>
    <w:p w:rsidR="00145242" w:rsidRPr="00DC4876" w:rsidRDefault="00145242" w:rsidP="00145242">
      <w:pPr>
        <w:pStyle w:val="paragraph"/>
      </w:pPr>
      <w:r w:rsidRPr="00DC4876">
        <w:tab/>
        <w:t>(za)</w:t>
      </w:r>
      <w:r w:rsidRPr="00DC4876">
        <w:tab/>
        <w:t>item</w:t>
      </w:r>
      <w:r w:rsidR="00DC4876" w:rsidRPr="00DC4876">
        <w:t> </w:t>
      </w:r>
      <w:r w:rsidRPr="00DC4876">
        <w:t>41665;</w:t>
      </w:r>
    </w:p>
    <w:p w:rsidR="00145242" w:rsidRPr="00DC4876" w:rsidRDefault="00145242" w:rsidP="00145242">
      <w:pPr>
        <w:pStyle w:val="paragraph"/>
      </w:pPr>
      <w:r w:rsidRPr="00DC4876">
        <w:tab/>
        <w:t>(zb)</w:t>
      </w:r>
      <w:r w:rsidRPr="00DC4876">
        <w:tab/>
        <w:t>item</w:t>
      </w:r>
      <w:r w:rsidR="00DC4876" w:rsidRPr="00DC4876">
        <w:t> </w:t>
      </w:r>
      <w:r w:rsidRPr="00DC4876">
        <w:t>41788;</w:t>
      </w:r>
    </w:p>
    <w:p w:rsidR="00145242" w:rsidRPr="00DC4876" w:rsidRDefault="00145242" w:rsidP="00145242">
      <w:pPr>
        <w:pStyle w:val="paragraph"/>
      </w:pPr>
      <w:r w:rsidRPr="00DC4876">
        <w:tab/>
        <w:t>(zc)</w:t>
      </w:r>
      <w:r w:rsidRPr="00DC4876">
        <w:tab/>
        <w:t>item</w:t>
      </w:r>
      <w:r w:rsidR="00DC4876" w:rsidRPr="00DC4876">
        <w:t> </w:t>
      </w:r>
      <w:r w:rsidRPr="00DC4876">
        <w:t>41792;</w:t>
      </w:r>
    </w:p>
    <w:p w:rsidR="00145242" w:rsidRPr="00DC4876" w:rsidRDefault="00145242" w:rsidP="00145242">
      <w:pPr>
        <w:pStyle w:val="paragraph"/>
      </w:pPr>
      <w:r w:rsidRPr="00DC4876">
        <w:tab/>
        <w:t>(zd)</w:t>
      </w:r>
      <w:r w:rsidRPr="00DC4876">
        <w:tab/>
        <w:t>item</w:t>
      </w:r>
      <w:r w:rsidR="00DC4876" w:rsidRPr="00DC4876">
        <w:t> </w:t>
      </w:r>
      <w:r w:rsidRPr="00DC4876">
        <w:t>41796;</w:t>
      </w:r>
    </w:p>
    <w:p w:rsidR="00145242" w:rsidRPr="00DC4876" w:rsidRDefault="00145242" w:rsidP="00145242">
      <w:pPr>
        <w:pStyle w:val="paragraph"/>
      </w:pPr>
      <w:r w:rsidRPr="00DC4876">
        <w:tab/>
        <w:t>(ze)</w:t>
      </w:r>
      <w:r w:rsidRPr="00DC4876">
        <w:tab/>
        <w:t>item</w:t>
      </w:r>
      <w:r w:rsidR="00DC4876" w:rsidRPr="00DC4876">
        <w:t> </w:t>
      </w:r>
      <w:r w:rsidRPr="00DC4876">
        <w:t>41800.</w:t>
      </w:r>
    </w:p>
    <w:p w:rsidR="00B26B03" w:rsidRPr="00DC4876" w:rsidRDefault="00B26B03" w:rsidP="00CA61CC">
      <w:pPr>
        <w:pStyle w:val="ActHead7"/>
        <w:pageBreakBefore/>
      </w:pPr>
      <w:bookmarkStart w:id="17" w:name="_Toc492985210"/>
      <w:r w:rsidRPr="00DC4876">
        <w:rPr>
          <w:rStyle w:val="CharAmPartNo"/>
        </w:rPr>
        <w:t>Part</w:t>
      </w:r>
      <w:r w:rsidR="00DC4876" w:rsidRPr="00DC4876">
        <w:rPr>
          <w:rStyle w:val="CharAmPartNo"/>
        </w:rPr>
        <w:t> </w:t>
      </w:r>
      <w:r w:rsidR="00145242" w:rsidRPr="00DC4876">
        <w:rPr>
          <w:rStyle w:val="CharAmPartNo"/>
        </w:rPr>
        <w:t>3</w:t>
      </w:r>
      <w:r w:rsidRPr="00DC4876">
        <w:t>—</w:t>
      </w:r>
      <w:r w:rsidR="002D4FB3" w:rsidRPr="00DC4876">
        <w:rPr>
          <w:rStyle w:val="CharAmPartText"/>
        </w:rPr>
        <w:t>R</w:t>
      </w:r>
      <w:r w:rsidR="00F31E3E" w:rsidRPr="00DC4876">
        <w:rPr>
          <w:rStyle w:val="CharAmPartText"/>
        </w:rPr>
        <w:t xml:space="preserve">eferences to </w:t>
      </w:r>
      <w:r w:rsidR="005219A5" w:rsidRPr="00DC4876">
        <w:rPr>
          <w:rStyle w:val="CharAmPartText"/>
        </w:rPr>
        <w:t xml:space="preserve">the symbol </w:t>
      </w:r>
      <w:r w:rsidR="00F31E3E" w:rsidRPr="00DC4876">
        <w:rPr>
          <w:rStyle w:val="CharAmPartText"/>
        </w:rPr>
        <w:t>(S)</w:t>
      </w:r>
      <w:bookmarkEnd w:id="17"/>
    </w:p>
    <w:p w:rsidR="00B26B03" w:rsidRPr="00DC4876" w:rsidRDefault="00B26B03" w:rsidP="00B26B03">
      <w:pPr>
        <w:pStyle w:val="ActHead9"/>
      </w:pPr>
      <w:bookmarkStart w:id="18" w:name="_Toc492985211"/>
      <w:r w:rsidRPr="00DC4876">
        <w:t>Health Insurance (General Medical Services Table) Regulations</w:t>
      </w:r>
      <w:r w:rsidR="00DC4876" w:rsidRPr="00DC4876">
        <w:t> </w:t>
      </w:r>
      <w:r w:rsidRPr="00DC4876">
        <w:t>2017</w:t>
      </w:r>
      <w:bookmarkEnd w:id="18"/>
    </w:p>
    <w:p w:rsidR="00145242" w:rsidRPr="00DC4876" w:rsidRDefault="008C0B9F" w:rsidP="00145242">
      <w:pPr>
        <w:pStyle w:val="ItemHead"/>
      </w:pPr>
      <w:r w:rsidRPr="00DC4876">
        <w:t>30</w:t>
      </w:r>
      <w:r w:rsidR="001B3DA6" w:rsidRPr="00DC4876">
        <w:t xml:space="preserve">  Clause</w:t>
      </w:r>
      <w:r w:rsidR="00DC4876" w:rsidRPr="00DC4876">
        <w:t> </w:t>
      </w:r>
      <w:r w:rsidR="00145242" w:rsidRPr="00DC4876">
        <w:t>1.1.7 of Schedule</w:t>
      </w:r>
      <w:r w:rsidR="00DC4876" w:rsidRPr="00DC4876">
        <w:t> </w:t>
      </w:r>
      <w:r w:rsidR="00145242" w:rsidRPr="00DC4876">
        <w:t>1</w:t>
      </w:r>
    </w:p>
    <w:p w:rsidR="00145242" w:rsidRPr="00DC4876" w:rsidRDefault="00145242" w:rsidP="00145242">
      <w:pPr>
        <w:pStyle w:val="Item"/>
      </w:pPr>
      <w:r w:rsidRPr="00DC4876">
        <w:t>Repeal the clause.</w:t>
      </w:r>
    </w:p>
    <w:p w:rsidR="0034136C" w:rsidRPr="00DC4876" w:rsidRDefault="008C0B9F" w:rsidP="0034136C">
      <w:pPr>
        <w:pStyle w:val="ItemHead"/>
      </w:pPr>
      <w:r w:rsidRPr="00DC4876">
        <w:t>31</w:t>
      </w:r>
      <w:r w:rsidR="0034136C" w:rsidRPr="00DC4876">
        <w:t xml:space="preserve">  Clause</w:t>
      </w:r>
      <w:r w:rsidR="00DC4876" w:rsidRPr="00DC4876">
        <w:t> </w:t>
      </w:r>
      <w:r w:rsidR="0034136C" w:rsidRPr="00DC4876">
        <w:t>3.1 of Schedule</w:t>
      </w:r>
      <w:r w:rsidR="00DC4876" w:rsidRPr="00DC4876">
        <w:t> </w:t>
      </w:r>
      <w:r w:rsidR="0034136C" w:rsidRPr="00DC4876">
        <w:t xml:space="preserve">1 (definition of </w:t>
      </w:r>
      <w:r w:rsidR="0034136C" w:rsidRPr="00DC4876">
        <w:rPr>
          <w:i/>
        </w:rPr>
        <w:t>(S)</w:t>
      </w:r>
      <w:r w:rsidR="0034136C" w:rsidRPr="00DC4876">
        <w:t>)</w:t>
      </w:r>
    </w:p>
    <w:p w:rsidR="0034136C" w:rsidRPr="00DC4876" w:rsidRDefault="0034136C" w:rsidP="0034136C">
      <w:pPr>
        <w:pStyle w:val="Item"/>
      </w:pPr>
      <w:r w:rsidRPr="00DC4876">
        <w:t>Repeal the definition.</w:t>
      </w:r>
    </w:p>
    <w:p w:rsidR="00B26B03" w:rsidRPr="00DC4876" w:rsidRDefault="008C0B9F" w:rsidP="00B26B03">
      <w:pPr>
        <w:pStyle w:val="ItemHead"/>
      </w:pPr>
      <w:r w:rsidRPr="00DC4876">
        <w:t>32</w:t>
      </w:r>
      <w:r w:rsidR="00B26B03" w:rsidRPr="00DC4876">
        <w:t xml:space="preserve">  Amendments of listed provisions—(S)</w:t>
      </w:r>
    </w:p>
    <w:p w:rsidR="00B26B03" w:rsidRPr="00DC4876" w:rsidRDefault="00B26B03" w:rsidP="00B26B03">
      <w:pPr>
        <w:pStyle w:val="Item"/>
      </w:pPr>
      <w:r w:rsidRPr="00DC4876">
        <w:t>Omit “(S)” in the following items of the table in Schedule</w:t>
      </w:r>
      <w:r w:rsidR="00DC4876" w:rsidRPr="00DC4876">
        <w:t> </w:t>
      </w:r>
      <w:r w:rsidRPr="00DC4876">
        <w:t>1:</w:t>
      </w:r>
    </w:p>
    <w:p w:rsidR="00B26B03" w:rsidRPr="00DC4876" w:rsidRDefault="00B26B03" w:rsidP="00B26B03">
      <w:pPr>
        <w:pStyle w:val="paragraph"/>
      </w:pPr>
      <w:r w:rsidRPr="00DC4876">
        <w:tab/>
        <w:t>(a)</w:t>
      </w:r>
      <w:r w:rsidRPr="00DC4876">
        <w:tab/>
        <w:t>item</w:t>
      </w:r>
      <w:r w:rsidR="00DC4876" w:rsidRPr="00DC4876">
        <w:t> </w:t>
      </w:r>
      <w:r w:rsidRPr="00DC4876">
        <w:t>30010;</w:t>
      </w:r>
    </w:p>
    <w:p w:rsidR="00B26B03" w:rsidRPr="00DC4876" w:rsidRDefault="00B26B03" w:rsidP="00B26B03">
      <w:pPr>
        <w:pStyle w:val="paragraph"/>
      </w:pPr>
      <w:r w:rsidRPr="00DC4876">
        <w:tab/>
        <w:t>(b)</w:t>
      </w:r>
      <w:r w:rsidRPr="00DC4876">
        <w:tab/>
        <w:t>item</w:t>
      </w:r>
      <w:r w:rsidR="00DC4876" w:rsidRPr="00DC4876">
        <w:t> </w:t>
      </w:r>
      <w:r w:rsidRPr="00DC4876">
        <w:t>30014;</w:t>
      </w:r>
    </w:p>
    <w:p w:rsidR="00B26B03" w:rsidRPr="00DC4876" w:rsidRDefault="00B26B03" w:rsidP="00B26B03">
      <w:pPr>
        <w:pStyle w:val="paragraph"/>
      </w:pPr>
      <w:r w:rsidRPr="00DC4876">
        <w:tab/>
        <w:t>(c)</w:t>
      </w:r>
      <w:r w:rsidRPr="00DC4876">
        <w:tab/>
        <w:t>item</w:t>
      </w:r>
      <w:r w:rsidR="00DC4876" w:rsidRPr="00DC4876">
        <w:t> </w:t>
      </w:r>
      <w:r w:rsidRPr="00DC4876">
        <w:t>30042;</w:t>
      </w:r>
    </w:p>
    <w:p w:rsidR="00B26B03" w:rsidRPr="00DC4876" w:rsidRDefault="00B26B03" w:rsidP="00B26B03">
      <w:pPr>
        <w:pStyle w:val="paragraph"/>
      </w:pPr>
      <w:r w:rsidRPr="00DC4876">
        <w:tab/>
        <w:t>(d)</w:t>
      </w:r>
      <w:r w:rsidRPr="00DC4876">
        <w:tab/>
        <w:t>item</w:t>
      </w:r>
      <w:r w:rsidR="00DC4876" w:rsidRPr="00DC4876">
        <w:t> </w:t>
      </w:r>
      <w:r w:rsidRPr="00DC4876">
        <w:t>30049;</w:t>
      </w:r>
    </w:p>
    <w:p w:rsidR="00B26B03" w:rsidRPr="00DC4876" w:rsidRDefault="00B26B03" w:rsidP="00B26B03">
      <w:pPr>
        <w:pStyle w:val="paragraph"/>
      </w:pPr>
      <w:r w:rsidRPr="00DC4876">
        <w:tab/>
        <w:t>(e)</w:t>
      </w:r>
      <w:r w:rsidRPr="00DC4876">
        <w:tab/>
        <w:t>item</w:t>
      </w:r>
      <w:r w:rsidR="00DC4876" w:rsidRPr="00DC4876">
        <w:t> </w:t>
      </w:r>
      <w:r w:rsidRPr="00DC4876">
        <w:t>30068;</w:t>
      </w:r>
    </w:p>
    <w:p w:rsidR="00B26B03" w:rsidRPr="00DC4876" w:rsidRDefault="00B26B03" w:rsidP="00B26B03">
      <w:pPr>
        <w:pStyle w:val="paragraph"/>
      </w:pPr>
      <w:r w:rsidRPr="00DC4876">
        <w:tab/>
        <w:t>(f)</w:t>
      </w:r>
      <w:r w:rsidRPr="00DC4876">
        <w:tab/>
        <w:t>item</w:t>
      </w:r>
      <w:r w:rsidR="00DC4876" w:rsidRPr="00DC4876">
        <w:t> </w:t>
      </w:r>
      <w:r w:rsidRPr="00DC4876">
        <w:t>30075;</w:t>
      </w:r>
    </w:p>
    <w:p w:rsidR="00B26B03" w:rsidRPr="00DC4876" w:rsidRDefault="00B26B03" w:rsidP="00B26B03">
      <w:pPr>
        <w:pStyle w:val="paragraph"/>
      </w:pPr>
      <w:r w:rsidRPr="00DC4876">
        <w:tab/>
        <w:t>(g)</w:t>
      </w:r>
      <w:r w:rsidRPr="00DC4876">
        <w:tab/>
        <w:t>item</w:t>
      </w:r>
      <w:r w:rsidR="00DC4876" w:rsidRPr="00DC4876">
        <w:t> </w:t>
      </w:r>
      <w:r w:rsidRPr="00DC4876">
        <w:t>30103;</w:t>
      </w:r>
    </w:p>
    <w:p w:rsidR="00B26B03" w:rsidRPr="00DC4876" w:rsidRDefault="00B26B03" w:rsidP="00B26B03">
      <w:pPr>
        <w:pStyle w:val="paragraph"/>
      </w:pPr>
      <w:r w:rsidRPr="00DC4876">
        <w:tab/>
        <w:t>(h)</w:t>
      </w:r>
      <w:r w:rsidRPr="00DC4876">
        <w:tab/>
        <w:t>item</w:t>
      </w:r>
      <w:r w:rsidR="00DC4876" w:rsidRPr="00DC4876">
        <w:t> </w:t>
      </w:r>
      <w:r w:rsidRPr="00DC4876">
        <w:t>30107;</w:t>
      </w:r>
    </w:p>
    <w:p w:rsidR="00B26B03" w:rsidRPr="00DC4876" w:rsidRDefault="00B26B03" w:rsidP="00B26B03">
      <w:pPr>
        <w:pStyle w:val="paragraph"/>
      </w:pPr>
      <w:r w:rsidRPr="00DC4876">
        <w:tab/>
        <w:t>(i)</w:t>
      </w:r>
      <w:r w:rsidRPr="00DC4876">
        <w:tab/>
        <w:t>item</w:t>
      </w:r>
      <w:r w:rsidR="00DC4876" w:rsidRPr="00DC4876">
        <w:t> </w:t>
      </w:r>
      <w:r w:rsidRPr="00DC4876">
        <w:t>30111;</w:t>
      </w:r>
    </w:p>
    <w:p w:rsidR="00B26B03" w:rsidRPr="00DC4876" w:rsidRDefault="00B26B03" w:rsidP="00B26B03">
      <w:pPr>
        <w:pStyle w:val="paragraph"/>
      </w:pPr>
      <w:r w:rsidRPr="00DC4876">
        <w:tab/>
        <w:t>(j)</w:t>
      </w:r>
      <w:r w:rsidRPr="00DC4876">
        <w:tab/>
        <w:t>item</w:t>
      </w:r>
      <w:r w:rsidR="00DC4876" w:rsidRPr="00DC4876">
        <w:t> </w:t>
      </w:r>
      <w:r w:rsidRPr="00DC4876">
        <w:t>30266;</w:t>
      </w:r>
    </w:p>
    <w:p w:rsidR="00B26B03" w:rsidRPr="00DC4876" w:rsidRDefault="00B26B03" w:rsidP="00B26B03">
      <w:pPr>
        <w:pStyle w:val="paragraph"/>
      </w:pPr>
      <w:r w:rsidRPr="00DC4876">
        <w:tab/>
        <w:t>(k)</w:t>
      </w:r>
      <w:r w:rsidRPr="00DC4876">
        <w:tab/>
        <w:t>item</w:t>
      </w:r>
      <w:r w:rsidR="00DC4876" w:rsidRPr="00DC4876">
        <w:t> </w:t>
      </w:r>
      <w:r w:rsidRPr="00DC4876">
        <w:t>30283;</w:t>
      </w:r>
    </w:p>
    <w:p w:rsidR="00B26B03" w:rsidRPr="00DC4876" w:rsidRDefault="00B26B03" w:rsidP="00B26B03">
      <w:pPr>
        <w:pStyle w:val="paragraph"/>
      </w:pPr>
      <w:r w:rsidRPr="00DC4876">
        <w:tab/>
        <w:t>(l)</w:t>
      </w:r>
      <w:r w:rsidRPr="00DC4876">
        <w:tab/>
        <w:t>item</w:t>
      </w:r>
      <w:r w:rsidR="00DC4876" w:rsidRPr="00DC4876">
        <w:t> </w:t>
      </w:r>
      <w:r w:rsidRPr="00DC4876">
        <w:t>30621;</w:t>
      </w:r>
    </w:p>
    <w:p w:rsidR="00B26B03" w:rsidRPr="00DC4876" w:rsidRDefault="00B26B03" w:rsidP="00B26B03">
      <w:pPr>
        <w:pStyle w:val="paragraph"/>
      </w:pPr>
      <w:r w:rsidRPr="00DC4876">
        <w:tab/>
        <w:t>(m)</w:t>
      </w:r>
      <w:r w:rsidRPr="00DC4876">
        <w:tab/>
        <w:t>item</w:t>
      </w:r>
      <w:r w:rsidR="00DC4876" w:rsidRPr="00DC4876">
        <w:t> </w:t>
      </w:r>
      <w:r w:rsidRPr="00DC4876">
        <w:t>30635;</w:t>
      </w:r>
    </w:p>
    <w:p w:rsidR="00B26B03" w:rsidRPr="00DC4876" w:rsidRDefault="00B26B03" w:rsidP="00B26B03">
      <w:pPr>
        <w:pStyle w:val="paragraph"/>
      </w:pPr>
      <w:r w:rsidRPr="00DC4876">
        <w:tab/>
        <w:t>(n)</w:t>
      </w:r>
      <w:r w:rsidRPr="00DC4876">
        <w:tab/>
        <w:t>item</w:t>
      </w:r>
      <w:r w:rsidR="00DC4876" w:rsidRPr="00DC4876">
        <w:t> </w:t>
      </w:r>
      <w:r w:rsidRPr="00DC4876">
        <w:t>30641;</w:t>
      </w:r>
    </w:p>
    <w:p w:rsidR="00B26B03" w:rsidRPr="00DC4876" w:rsidRDefault="00B26B03" w:rsidP="00B26B03">
      <w:pPr>
        <w:pStyle w:val="paragraph"/>
      </w:pPr>
      <w:r w:rsidRPr="00DC4876">
        <w:tab/>
        <w:t>(o)</w:t>
      </w:r>
      <w:r w:rsidRPr="00DC4876">
        <w:tab/>
        <w:t>item</w:t>
      </w:r>
      <w:r w:rsidR="00DC4876" w:rsidRPr="00DC4876">
        <w:t> </w:t>
      </w:r>
      <w:r w:rsidRPr="00DC4876">
        <w:t>30676;</w:t>
      </w:r>
    </w:p>
    <w:p w:rsidR="00B26B03" w:rsidRPr="00DC4876" w:rsidRDefault="00B26B03" w:rsidP="00B26B03">
      <w:pPr>
        <w:pStyle w:val="paragraph"/>
      </w:pPr>
      <w:r w:rsidRPr="00DC4876">
        <w:tab/>
        <w:t>(p)</w:t>
      </w:r>
      <w:r w:rsidRPr="00DC4876">
        <w:tab/>
        <w:t>item</w:t>
      </w:r>
      <w:r w:rsidR="00DC4876" w:rsidRPr="00DC4876">
        <w:t> </w:t>
      </w:r>
      <w:r w:rsidRPr="00DC4876">
        <w:t>35513;</w:t>
      </w:r>
    </w:p>
    <w:p w:rsidR="00B26B03" w:rsidRPr="00DC4876" w:rsidRDefault="00B26B03" w:rsidP="00B26B03">
      <w:pPr>
        <w:pStyle w:val="paragraph"/>
      </w:pPr>
      <w:r w:rsidRPr="00DC4876">
        <w:tab/>
        <w:t>(q)</w:t>
      </w:r>
      <w:r w:rsidRPr="00DC4876">
        <w:tab/>
        <w:t>item</w:t>
      </w:r>
      <w:r w:rsidR="00DC4876" w:rsidRPr="00DC4876">
        <w:t> </w:t>
      </w:r>
      <w:r w:rsidRPr="00DC4876">
        <w:t>35517;</w:t>
      </w:r>
    </w:p>
    <w:p w:rsidR="00B26B03" w:rsidRPr="00DC4876" w:rsidRDefault="00B26B03" w:rsidP="00B26B03">
      <w:pPr>
        <w:pStyle w:val="paragraph"/>
      </w:pPr>
      <w:r w:rsidRPr="00DC4876">
        <w:tab/>
        <w:t>(r)</w:t>
      </w:r>
      <w:r w:rsidRPr="00DC4876">
        <w:tab/>
        <w:t>item</w:t>
      </w:r>
      <w:r w:rsidR="00DC4876" w:rsidRPr="00DC4876">
        <w:t> </w:t>
      </w:r>
      <w:r w:rsidRPr="00DC4876">
        <w:t>35527;</w:t>
      </w:r>
    </w:p>
    <w:p w:rsidR="00B26B03" w:rsidRPr="00DC4876" w:rsidRDefault="00B26B03" w:rsidP="00B26B03">
      <w:pPr>
        <w:pStyle w:val="paragraph"/>
      </w:pPr>
      <w:r w:rsidRPr="00DC4876">
        <w:tab/>
        <w:t>(s)</w:t>
      </w:r>
      <w:r w:rsidRPr="00DC4876">
        <w:tab/>
        <w:t>item</w:t>
      </w:r>
      <w:r w:rsidR="00DC4876" w:rsidRPr="00DC4876">
        <w:t> </w:t>
      </w:r>
      <w:r w:rsidRPr="00DC4876">
        <w:t>35618;</w:t>
      </w:r>
    </w:p>
    <w:p w:rsidR="00B26B03" w:rsidRPr="00DC4876" w:rsidRDefault="00B26B03" w:rsidP="00B26B03">
      <w:pPr>
        <w:pStyle w:val="paragraph"/>
      </w:pPr>
      <w:r w:rsidRPr="00DC4876">
        <w:tab/>
        <w:t>(t)</w:t>
      </w:r>
      <w:r w:rsidRPr="00DC4876">
        <w:tab/>
        <w:t>item</w:t>
      </w:r>
      <w:r w:rsidR="00DC4876" w:rsidRPr="00DC4876">
        <w:t> </w:t>
      </w:r>
      <w:r w:rsidRPr="00DC4876">
        <w:t>35640;</w:t>
      </w:r>
    </w:p>
    <w:p w:rsidR="00B26B03" w:rsidRPr="00DC4876" w:rsidRDefault="00B26B03" w:rsidP="00B26B03">
      <w:pPr>
        <w:pStyle w:val="paragraph"/>
      </w:pPr>
      <w:r w:rsidRPr="00DC4876">
        <w:tab/>
        <w:t>(u)</w:t>
      </w:r>
      <w:r w:rsidRPr="00DC4876">
        <w:tab/>
        <w:t>item</w:t>
      </w:r>
      <w:r w:rsidR="00DC4876" w:rsidRPr="00DC4876">
        <w:t> </w:t>
      </w:r>
      <w:r w:rsidRPr="00DC4876">
        <w:t>35677;</w:t>
      </w:r>
    </w:p>
    <w:p w:rsidR="00B26B03" w:rsidRPr="00DC4876" w:rsidRDefault="00B26B03" w:rsidP="00B26B03">
      <w:pPr>
        <w:pStyle w:val="paragraph"/>
      </w:pPr>
      <w:r w:rsidRPr="00DC4876">
        <w:tab/>
        <w:t>(v)</w:t>
      </w:r>
      <w:r w:rsidRPr="00DC4876">
        <w:tab/>
        <w:t>item</w:t>
      </w:r>
      <w:r w:rsidR="00DC4876" w:rsidRPr="00DC4876">
        <w:t> </w:t>
      </w:r>
      <w:r w:rsidRPr="00DC4876">
        <w:t>35684;</w:t>
      </w:r>
    </w:p>
    <w:p w:rsidR="00B26B03" w:rsidRPr="00DC4876" w:rsidRDefault="00B26B03" w:rsidP="00B26B03">
      <w:pPr>
        <w:pStyle w:val="paragraph"/>
      </w:pPr>
      <w:r w:rsidRPr="00DC4876">
        <w:tab/>
        <w:t>(w)</w:t>
      </w:r>
      <w:r w:rsidRPr="00DC4876">
        <w:tab/>
        <w:t>item</w:t>
      </w:r>
      <w:r w:rsidR="00DC4876" w:rsidRPr="00DC4876">
        <w:t> </w:t>
      </w:r>
      <w:r w:rsidRPr="00DC4876">
        <w:t>35688;</w:t>
      </w:r>
    </w:p>
    <w:p w:rsidR="00B26B03" w:rsidRPr="00DC4876" w:rsidRDefault="00B26B03" w:rsidP="00B26B03">
      <w:pPr>
        <w:pStyle w:val="paragraph"/>
      </w:pPr>
      <w:r w:rsidRPr="00DC4876">
        <w:tab/>
        <w:t>(x)</w:t>
      </w:r>
      <w:r w:rsidRPr="00DC4876">
        <w:tab/>
        <w:t>item</w:t>
      </w:r>
      <w:r w:rsidR="00DC4876" w:rsidRPr="00DC4876">
        <w:t> </w:t>
      </w:r>
      <w:r w:rsidRPr="00DC4876">
        <w:t>35713;</w:t>
      </w:r>
    </w:p>
    <w:p w:rsidR="00B26B03" w:rsidRPr="00DC4876" w:rsidRDefault="00B26B03" w:rsidP="00B26B03">
      <w:pPr>
        <w:pStyle w:val="paragraph"/>
      </w:pPr>
      <w:r w:rsidRPr="00DC4876">
        <w:tab/>
        <w:t>(y)</w:t>
      </w:r>
      <w:r w:rsidRPr="00DC4876">
        <w:tab/>
        <w:t>item</w:t>
      </w:r>
      <w:r w:rsidR="00DC4876" w:rsidRPr="00DC4876">
        <w:t> </w:t>
      </w:r>
      <w:r w:rsidRPr="00DC4876">
        <w:t>35717;</w:t>
      </w:r>
    </w:p>
    <w:p w:rsidR="00B26B03" w:rsidRPr="00DC4876" w:rsidRDefault="00B26B03" w:rsidP="00B26B03">
      <w:pPr>
        <w:pStyle w:val="paragraph"/>
      </w:pPr>
      <w:r w:rsidRPr="00DC4876">
        <w:tab/>
        <w:t>(z)</w:t>
      </w:r>
      <w:r w:rsidRPr="00DC4876">
        <w:tab/>
        <w:t>item</w:t>
      </w:r>
      <w:r w:rsidR="00DC4876" w:rsidRPr="00DC4876">
        <w:t> </w:t>
      </w:r>
      <w:r w:rsidRPr="00DC4876">
        <w:t>37623;</w:t>
      </w:r>
    </w:p>
    <w:p w:rsidR="00B26B03" w:rsidRPr="00DC4876" w:rsidRDefault="00B26B03" w:rsidP="00B26B03">
      <w:pPr>
        <w:pStyle w:val="paragraph"/>
      </w:pPr>
      <w:r w:rsidRPr="00DC4876">
        <w:tab/>
        <w:t>(za)</w:t>
      </w:r>
      <w:r w:rsidRPr="00DC4876">
        <w:tab/>
        <w:t>item</w:t>
      </w:r>
      <w:r w:rsidR="00DC4876" w:rsidRPr="00DC4876">
        <w:t> </w:t>
      </w:r>
      <w:r w:rsidRPr="00DC4876">
        <w:t>41668;</w:t>
      </w:r>
    </w:p>
    <w:p w:rsidR="00B26B03" w:rsidRPr="00DC4876" w:rsidRDefault="00B26B03" w:rsidP="00B26B03">
      <w:pPr>
        <w:pStyle w:val="paragraph"/>
      </w:pPr>
      <w:r w:rsidRPr="00DC4876">
        <w:tab/>
        <w:t>(zb)</w:t>
      </w:r>
      <w:r w:rsidRPr="00DC4876">
        <w:tab/>
        <w:t>item</w:t>
      </w:r>
      <w:r w:rsidR="00DC4876" w:rsidRPr="00DC4876">
        <w:t> </w:t>
      </w:r>
      <w:r w:rsidRPr="00DC4876">
        <w:t>41789;</w:t>
      </w:r>
    </w:p>
    <w:p w:rsidR="00B26B03" w:rsidRPr="00DC4876" w:rsidRDefault="00B26B03" w:rsidP="00B26B03">
      <w:pPr>
        <w:pStyle w:val="paragraph"/>
      </w:pPr>
      <w:r w:rsidRPr="00DC4876">
        <w:tab/>
        <w:t>(zc)</w:t>
      </w:r>
      <w:r w:rsidRPr="00DC4876">
        <w:tab/>
        <w:t>item</w:t>
      </w:r>
      <w:r w:rsidR="00DC4876" w:rsidRPr="00DC4876">
        <w:t> </w:t>
      </w:r>
      <w:r w:rsidRPr="00DC4876">
        <w:t>41793;</w:t>
      </w:r>
    </w:p>
    <w:p w:rsidR="00B26B03" w:rsidRPr="00DC4876" w:rsidRDefault="00B26B03" w:rsidP="00B26B03">
      <w:pPr>
        <w:pStyle w:val="paragraph"/>
      </w:pPr>
      <w:r w:rsidRPr="00DC4876">
        <w:tab/>
        <w:t>(zd)</w:t>
      </w:r>
      <w:r w:rsidRPr="00DC4876">
        <w:tab/>
        <w:t>item</w:t>
      </w:r>
      <w:r w:rsidR="00DC4876" w:rsidRPr="00DC4876">
        <w:t> </w:t>
      </w:r>
      <w:r w:rsidRPr="00DC4876">
        <w:t>41797;</w:t>
      </w:r>
    </w:p>
    <w:p w:rsidR="00B26B03" w:rsidRPr="00DC4876" w:rsidRDefault="00B26B03" w:rsidP="00B26B03">
      <w:pPr>
        <w:pStyle w:val="paragraph"/>
      </w:pPr>
      <w:r w:rsidRPr="00DC4876">
        <w:tab/>
        <w:t>(ze)</w:t>
      </w:r>
      <w:r w:rsidRPr="00DC4876">
        <w:tab/>
        <w:t>item</w:t>
      </w:r>
      <w:r w:rsidR="00DC4876" w:rsidRPr="00DC4876">
        <w:t> </w:t>
      </w:r>
      <w:r w:rsidRPr="00DC4876">
        <w:t>41801.</w:t>
      </w:r>
    </w:p>
    <w:p w:rsidR="008A6003" w:rsidRPr="00DC4876" w:rsidRDefault="00155776" w:rsidP="00155776">
      <w:pPr>
        <w:pStyle w:val="ActHead6"/>
        <w:pageBreakBefore/>
      </w:pPr>
      <w:bookmarkStart w:id="19" w:name="_Toc492985212"/>
      <w:r w:rsidRPr="00DC4876">
        <w:rPr>
          <w:rStyle w:val="CharAmSchNo"/>
        </w:rPr>
        <w:t>Schedule</w:t>
      </w:r>
      <w:r w:rsidR="00DC4876" w:rsidRPr="00DC4876">
        <w:rPr>
          <w:rStyle w:val="CharAmSchNo"/>
        </w:rPr>
        <w:t> </w:t>
      </w:r>
      <w:r w:rsidRPr="00DC4876">
        <w:rPr>
          <w:rStyle w:val="CharAmSchNo"/>
        </w:rPr>
        <w:t>2</w:t>
      </w:r>
      <w:r w:rsidRPr="00DC4876">
        <w:t>—</w:t>
      </w:r>
      <w:r w:rsidR="000F662A" w:rsidRPr="00DC4876">
        <w:rPr>
          <w:rStyle w:val="CharAmSchText"/>
        </w:rPr>
        <w:t>Medicare Benefits Schedule Review: c</w:t>
      </w:r>
      <w:r w:rsidRPr="00DC4876">
        <w:rPr>
          <w:rStyle w:val="CharAmSchText"/>
        </w:rPr>
        <w:t>o</w:t>
      </w:r>
      <w:r w:rsidR="00DC4876" w:rsidRPr="00DC4876">
        <w:rPr>
          <w:rStyle w:val="CharAmSchText"/>
        </w:rPr>
        <w:noBreakHyphen/>
      </w:r>
      <w:r w:rsidRPr="00DC4876">
        <w:rPr>
          <w:rStyle w:val="CharAmSchText"/>
        </w:rPr>
        <w:t>claim restriction</w:t>
      </w:r>
      <w:bookmarkEnd w:id="19"/>
    </w:p>
    <w:p w:rsidR="005913AD" w:rsidRPr="00DC4876" w:rsidRDefault="005913AD" w:rsidP="005913AD">
      <w:pPr>
        <w:pStyle w:val="Header"/>
      </w:pPr>
      <w:r w:rsidRPr="00DC4876">
        <w:rPr>
          <w:rStyle w:val="CharAmPartNo"/>
        </w:rPr>
        <w:t xml:space="preserve"> </w:t>
      </w:r>
      <w:r w:rsidRPr="00DC4876">
        <w:rPr>
          <w:rStyle w:val="CharAmPartText"/>
        </w:rPr>
        <w:t xml:space="preserve"> </w:t>
      </w:r>
    </w:p>
    <w:p w:rsidR="00155776" w:rsidRPr="00DC4876" w:rsidRDefault="00E56099" w:rsidP="00155776">
      <w:pPr>
        <w:pStyle w:val="ActHead9"/>
      </w:pPr>
      <w:bookmarkStart w:id="20" w:name="_Toc492985213"/>
      <w:r w:rsidRPr="00DC4876">
        <w:t>Health Insurance (General Medical Services Table) Regulations</w:t>
      </w:r>
      <w:r w:rsidR="00DC4876" w:rsidRPr="00DC4876">
        <w:t> </w:t>
      </w:r>
      <w:r w:rsidRPr="00DC4876">
        <w:t>2017</w:t>
      </w:r>
      <w:bookmarkEnd w:id="20"/>
    </w:p>
    <w:p w:rsidR="00155776" w:rsidRPr="00DC4876" w:rsidRDefault="008C0B9F" w:rsidP="00155776">
      <w:pPr>
        <w:pStyle w:val="ItemHead"/>
      </w:pPr>
      <w:r w:rsidRPr="00DC4876">
        <w:t>1</w:t>
      </w:r>
      <w:r w:rsidR="00155776" w:rsidRPr="00DC4876">
        <w:t xml:space="preserve">  After clause</w:t>
      </w:r>
      <w:r w:rsidR="00DC4876" w:rsidRPr="00DC4876">
        <w:t> </w:t>
      </w:r>
      <w:r w:rsidR="00155776" w:rsidRPr="00DC4876">
        <w:t>1.2.2 of Schedule</w:t>
      </w:r>
      <w:r w:rsidR="00DC4876" w:rsidRPr="00DC4876">
        <w:t> </w:t>
      </w:r>
      <w:r w:rsidR="00155776" w:rsidRPr="00DC4876">
        <w:t>1</w:t>
      </w:r>
    </w:p>
    <w:p w:rsidR="00155776" w:rsidRPr="00DC4876" w:rsidRDefault="00155776" w:rsidP="00155776">
      <w:pPr>
        <w:pStyle w:val="Item"/>
      </w:pPr>
      <w:r w:rsidRPr="00DC4876">
        <w:t>Insert:</w:t>
      </w:r>
    </w:p>
    <w:p w:rsidR="00155776" w:rsidRPr="00DC4876" w:rsidRDefault="00155776" w:rsidP="00155776">
      <w:pPr>
        <w:pStyle w:val="ActHead5"/>
      </w:pPr>
      <w:bookmarkStart w:id="21" w:name="_Toc492985214"/>
      <w:r w:rsidRPr="00DC4876">
        <w:rPr>
          <w:rStyle w:val="CharSectno"/>
        </w:rPr>
        <w:t>1.2.2A</w:t>
      </w:r>
      <w:r w:rsidRPr="00DC4876">
        <w:t xml:space="preserve">  Limitation of items—certain attendances by specialists and consultant physicians</w:t>
      </w:r>
      <w:bookmarkEnd w:id="21"/>
    </w:p>
    <w:p w:rsidR="00155776" w:rsidRPr="00DC4876" w:rsidRDefault="00155776" w:rsidP="00155776">
      <w:pPr>
        <w:pStyle w:val="subsection"/>
      </w:pPr>
      <w:r w:rsidRPr="00DC4876">
        <w:tab/>
        <w:t>(1)</w:t>
      </w:r>
      <w:r w:rsidRPr="00DC4876">
        <w:tab/>
        <w:t>Use this clause for items</w:t>
      </w:r>
      <w:r w:rsidR="00DC4876" w:rsidRPr="00DC4876">
        <w:t> </w:t>
      </w:r>
      <w:r w:rsidRPr="00DC4876">
        <w:t>105, 116, 119, 386, 2806, 2814, 3010, 3014, 6019, 6052 and 16404.</w:t>
      </w:r>
    </w:p>
    <w:p w:rsidR="00155776" w:rsidRPr="00DC4876" w:rsidRDefault="00155776" w:rsidP="00155776">
      <w:pPr>
        <w:pStyle w:val="subsection"/>
      </w:pPr>
      <w:r w:rsidRPr="00DC4876">
        <w:tab/>
        <w:t>(2)</w:t>
      </w:r>
      <w:r w:rsidRPr="00DC4876">
        <w:tab/>
        <w:t>The item does not apply to a service if:</w:t>
      </w:r>
    </w:p>
    <w:p w:rsidR="00155776" w:rsidRPr="00DC4876" w:rsidRDefault="00155776" w:rsidP="00155776">
      <w:pPr>
        <w:pStyle w:val="paragraph"/>
      </w:pPr>
      <w:r w:rsidRPr="00DC4876">
        <w:tab/>
        <w:t>(a)</w:t>
      </w:r>
      <w:r w:rsidRPr="00DC4876">
        <w:tab/>
        <w:t>the service is an attendance on a patient by a specialist or a consultant physician on the same day as the day on which an operation is performed on the patient by the specialist or consultant physician; and</w:t>
      </w:r>
    </w:p>
    <w:p w:rsidR="00155776" w:rsidRPr="00DC4876" w:rsidRDefault="00155776" w:rsidP="00155776">
      <w:pPr>
        <w:pStyle w:val="paragraph"/>
      </w:pPr>
      <w:r w:rsidRPr="00DC4876">
        <w:tab/>
        <w:t>(b)</w:t>
      </w:r>
      <w:r w:rsidRPr="00DC4876">
        <w:tab/>
        <w:t>the operation is a service to which an item in Group T8 applies; and</w:t>
      </w:r>
    </w:p>
    <w:p w:rsidR="00155776" w:rsidRPr="00DC4876" w:rsidRDefault="00155776" w:rsidP="00155776">
      <w:pPr>
        <w:pStyle w:val="paragraph"/>
      </w:pPr>
      <w:r w:rsidRPr="00DC4876">
        <w:tab/>
        <w:t>(c)</w:t>
      </w:r>
      <w:r w:rsidRPr="00DC4876">
        <w:tab/>
        <w:t>the amount specified in the item in Group T8 as the fee for a service to which that item applies is $300 or more.</w:t>
      </w:r>
    </w:p>
    <w:p w:rsidR="00155776" w:rsidRPr="00DC4876" w:rsidRDefault="008C0B9F" w:rsidP="00155776">
      <w:pPr>
        <w:pStyle w:val="ItemHead"/>
      </w:pPr>
      <w:r w:rsidRPr="00DC4876">
        <w:t>2</w:t>
      </w:r>
      <w:r w:rsidR="00155776" w:rsidRPr="00DC4876">
        <w:t xml:space="preserve">  Schedule</w:t>
      </w:r>
      <w:r w:rsidR="00DC4876" w:rsidRPr="00DC4876">
        <w:t> </w:t>
      </w:r>
      <w:r w:rsidR="00155776" w:rsidRPr="00DC4876">
        <w:t>1 (after item</w:t>
      </w:r>
      <w:r w:rsidR="00DC4876" w:rsidRPr="00DC4876">
        <w:t> </w:t>
      </w:r>
      <w:r w:rsidR="00155776" w:rsidRPr="00DC4876">
        <w:t>109)</w:t>
      </w:r>
    </w:p>
    <w:p w:rsidR="00155776" w:rsidRPr="00DC4876" w:rsidRDefault="00155776" w:rsidP="00155776">
      <w:pPr>
        <w:pStyle w:val="Item"/>
      </w:pPr>
      <w:r w:rsidRPr="00DC4876">
        <w:t>Insert:</w:t>
      </w:r>
    </w:p>
    <w:p w:rsidR="00155776" w:rsidRPr="00DC4876" w:rsidRDefault="00155776" w:rsidP="00155776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155776" w:rsidRPr="00DC4876" w:rsidTr="00832BA0">
        <w:tc>
          <w:tcPr>
            <w:tcW w:w="527" w:type="pct"/>
            <w:shd w:val="clear" w:color="auto" w:fill="auto"/>
          </w:tcPr>
          <w:p w:rsidR="00155776" w:rsidRPr="00DC4876" w:rsidRDefault="00155776" w:rsidP="00832BA0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111</w:t>
            </w:r>
          </w:p>
        </w:tc>
        <w:tc>
          <w:tcPr>
            <w:tcW w:w="3692" w:type="pct"/>
            <w:shd w:val="clear" w:color="auto" w:fill="auto"/>
          </w:tcPr>
          <w:p w:rsidR="00155776" w:rsidRPr="00DC4876" w:rsidRDefault="00155776" w:rsidP="00832BA0">
            <w:pPr>
              <w:pStyle w:val="Tabletext"/>
            </w:pPr>
            <w:r w:rsidRPr="00DC4876">
              <w:t>Professional attendance at consulting rooms or in hospital by a specialist in the practice of his or her specialty following referral of the patient to him or her</w:t>
            </w:r>
            <w:r w:rsidR="00E76C7C" w:rsidRPr="00DC4876">
              <w:t xml:space="preserve"> </w:t>
            </w:r>
            <w:r w:rsidRPr="00DC4876">
              <w:t>by a referring practitioner—an attendance after the first attendance in a single course of treatment, if:</w:t>
            </w:r>
          </w:p>
          <w:p w:rsidR="00155776" w:rsidRPr="00DC4876" w:rsidRDefault="00E76C7C" w:rsidP="00832BA0">
            <w:pPr>
              <w:pStyle w:val="Tablea"/>
            </w:pPr>
            <w:r w:rsidRPr="00DC4876">
              <w:t xml:space="preserve">(a) </w:t>
            </w:r>
            <w:r w:rsidR="00155776" w:rsidRPr="00DC4876">
              <w:t xml:space="preserve">during the attendance, the specialist determines the need </w:t>
            </w:r>
            <w:r w:rsidR="00901A20" w:rsidRPr="00DC4876">
              <w:t>to perform an operation on the patient that had not otherwise been scheduled</w:t>
            </w:r>
            <w:r w:rsidR="00155776" w:rsidRPr="00DC4876">
              <w:t>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(b) the spe</w:t>
            </w:r>
            <w:r w:rsidR="00901A20" w:rsidRPr="00DC4876">
              <w:t>cialist subsequently performs the</w:t>
            </w:r>
            <w:r w:rsidRPr="00DC4876">
              <w:t xml:space="preserve"> operation on the patient, on the same day;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(c) the operation is a service to which an item in Group T8 applies;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(d) the amount specified in the item in Group T8 as the fee for a service to which that item applies is $300 or more</w:t>
            </w:r>
          </w:p>
          <w:p w:rsidR="00155776" w:rsidRPr="00DC4876" w:rsidRDefault="00155776" w:rsidP="00832BA0">
            <w:pPr>
              <w:pStyle w:val="Tabletext"/>
            </w:pPr>
            <w:r w:rsidRPr="00DC4876">
              <w:t>For any particular patient, once only on the same day</w:t>
            </w:r>
          </w:p>
        </w:tc>
        <w:tc>
          <w:tcPr>
            <w:tcW w:w="781" w:type="pct"/>
            <w:shd w:val="clear" w:color="auto" w:fill="auto"/>
          </w:tcPr>
          <w:p w:rsidR="00155776" w:rsidRPr="00DC4876" w:rsidRDefault="00155776" w:rsidP="00832BA0">
            <w:pPr>
              <w:pStyle w:val="Tabletext"/>
              <w:jc w:val="right"/>
            </w:pPr>
            <w:r w:rsidRPr="00DC4876">
              <w:t>43.00</w:t>
            </w:r>
          </w:p>
        </w:tc>
      </w:tr>
    </w:tbl>
    <w:p w:rsidR="00155776" w:rsidRPr="00DC4876" w:rsidRDefault="008C0B9F" w:rsidP="00155776">
      <w:pPr>
        <w:pStyle w:val="ItemHead"/>
      </w:pPr>
      <w:r w:rsidRPr="00DC4876">
        <w:t>3</w:t>
      </w:r>
      <w:r w:rsidR="00155776" w:rsidRPr="00DC4876">
        <w:t xml:space="preserve">  Schedule</w:t>
      </w:r>
      <w:r w:rsidR="00DC4876" w:rsidRPr="00DC4876">
        <w:t> </w:t>
      </w:r>
      <w:r w:rsidR="00155776" w:rsidRPr="00DC4876">
        <w:t>1 (after item</w:t>
      </w:r>
      <w:r w:rsidR="00DC4876" w:rsidRPr="00DC4876">
        <w:t> </w:t>
      </w:r>
      <w:r w:rsidR="00155776" w:rsidRPr="00DC4876">
        <w:t>116)</w:t>
      </w:r>
    </w:p>
    <w:p w:rsidR="00155776" w:rsidRPr="00DC4876" w:rsidRDefault="00155776" w:rsidP="00155776">
      <w:pPr>
        <w:pStyle w:val="Item"/>
      </w:pPr>
      <w:r w:rsidRPr="00DC4876">
        <w:t>Insert:</w:t>
      </w:r>
    </w:p>
    <w:p w:rsidR="00155776" w:rsidRPr="00DC4876" w:rsidRDefault="00155776" w:rsidP="00155776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155776" w:rsidRPr="00DC4876" w:rsidTr="00832BA0">
        <w:tc>
          <w:tcPr>
            <w:tcW w:w="527" w:type="pct"/>
            <w:shd w:val="clear" w:color="auto" w:fill="auto"/>
          </w:tcPr>
          <w:p w:rsidR="00155776" w:rsidRPr="00DC4876" w:rsidRDefault="00155776" w:rsidP="00832BA0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117</w:t>
            </w:r>
          </w:p>
        </w:tc>
        <w:tc>
          <w:tcPr>
            <w:tcW w:w="3692" w:type="pct"/>
            <w:shd w:val="clear" w:color="auto" w:fill="auto"/>
          </w:tcPr>
          <w:p w:rsidR="00155776" w:rsidRPr="00DC4876" w:rsidRDefault="00155776" w:rsidP="00832BA0">
            <w:pPr>
              <w:pStyle w:val="Tabletext"/>
            </w:pPr>
            <w:r w:rsidRPr="00DC4876">
              <w:t>Professional attendance at consulting rooms or in hospital, by a consultant physician in the practice of his or her specialty (other than psychiatry) following referral of the patient to him or her by a referring practitioner—an attendance after the first attendance in a single course of treatment, if: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(a) the attendance is not a minor attendance;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 xml:space="preserve">(b) during the attendance, the consultant physician determines the need </w:t>
            </w:r>
            <w:r w:rsidR="00E2395C" w:rsidRPr="00DC4876">
              <w:t>to perform an operation on the patient that had not otherwise been scheduled;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(c) the consultant ph</w:t>
            </w:r>
            <w:r w:rsidR="00E2395C" w:rsidRPr="00DC4876">
              <w:t>ysician subsequently performs the</w:t>
            </w:r>
            <w:r w:rsidRPr="00DC4876">
              <w:t xml:space="preserve"> operation on the patient, on the same day</w:t>
            </w:r>
            <w:r w:rsidR="00E76C7C" w:rsidRPr="00DC4876">
              <w:t>;</w:t>
            </w:r>
            <w:r w:rsidRPr="00DC4876">
              <w:t xml:space="preserve">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(d) the operation is a service to which an item in Group T8 applies;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(e) the amount specified in the item in Group T8 as the fee for a service to which that item applies is $300 or more</w:t>
            </w:r>
          </w:p>
          <w:p w:rsidR="00155776" w:rsidRPr="00DC4876" w:rsidRDefault="00155776" w:rsidP="00832BA0">
            <w:pPr>
              <w:pStyle w:val="Tabletext"/>
            </w:pPr>
            <w:r w:rsidRPr="00DC4876">
              <w:t>For any particular patient, once only on the same day</w:t>
            </w:r>
          </w:p>
        </w:tc>
        <w:tc>
          <w:tcPr>
            <w:tcW w:w="781" w:type="pct"/>
            <w:shd w:val="clear" w:color="auto" w:fill="auto"/>
          </w:tcPr>
          <w:p w:rsidR="00155776" w:rsidRPr="00DC4876" w:rsidRDefault="00155776" w:rsidP="00832BA0">
            <w:pPr>
              <w:pStyle w:val="Tabletext"/>
              <w:jc w:val="right"/>
            </w:pPr>
            <w:r w:rsidRPr="00DC4876">
              <w:t>75.50</w:t>
            </w:r>
          </w:p>
        </w:tc>
      </w:tr>
    </w:tbl>
    <w:p w:rsidR="00155776" w:rsidRPr="00DC4876" w:rsidRDefault="008C0B9F" w:rsidP="00155776">
      <w:pPr>
        <w:pStyle w:val="ItemHead"/>
      </w:pPr>
      <w:r w:rsidRPr="00DC4876">
        <w:t>4</w:t>
      </w:r>
      <w:r w:rsidR="00155776" w:rsidRPr="00DC4876">
        <w:t xml:space="preserve">  Schedule</w:t>
      </w:r>
      <w:r w:rsidR="00DC4876" w:rsidRPr="00DC4876">
        <w:t> </w:t>
      </w:r>
      <w:r w:rsidR="00155776" w:rsidRPr="00DC4876">
        <w:t>1 (after item</w:t>
      </w:r>
      <w:r w:rsidR="00DC4876" w:rsidRPr="00DC4876">
        <w:t> </w:t>
      </w:r>
      <w:r w:rsidR="00155776" w:rsidRPr="00DC4876">
        <w:t>119)</w:t>
      </w:r>
    </w:p>
    <w:p w:rsidR="00155776" w:rsidRPr="00DC4876" w:rsidRDefault="00155776" w:rsidP="00155776">
      <w:pPr>
        <w:pStyle w:val="Item"/>
      </w:pPr>
      <w:r w:rsidRPr="00DC4876">
        <w:t>Insert:</w:t>
      </w:r>
    </w:p>
    <w:p w:rsidR="00155776" w:rsidRPr="00DC4876" w:rsidRDefault="00155776" w:rsidP="00155776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155776" w:rsidRPr="00DC4876" w:rsidTr="00832BA0">
        <w:tc>
          <w:tcPr>
            <w:tcW w:w="527" w:type="pct"/>
            <w:shd w:val="clear" w:color="auto" w:fill="auto"/>
          </w:tcPr>
          <w:p w:rsidR="00155776" w:rsidRPr="00DC4876" w:rsidRDefault="00155776" w:rsidP="00832BA0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120</w:t>
            </w:r>
          </w:p>
        </w:tc>
        <w:tc>
          <w:tcPr>
            <w:tcW w:w="3692" w:type="pct"/>
            <w:shd w:val="clear" w:color="auto" w:fill="auto"/>
          </w:tcPr>
          <w:p w:rsidR="00155776" w:rsidRPr="00DC4876" w:rsidRDefault="00155776" w:rsidP="00832BA0">
            <w:pPr>
              <w:pStyle w:val="Tabletext"/>
            </w:pPr>
            <w:r w:rsidRPr="00DC4876">
              <w:t>Professional attendance at consulting rooms or in hospital by a consultant physician in the practice of his or her specialty (other than psychiatry) following referral of the patient to him or her by a referring practitioner—an attendance after the first attendance in a single course of treatment, if: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(a) the attendance is a minor attendance;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 xml:space="preserve">(b) during the attendance, the consultant physician determines the need </w:t>
            </w:r>
            <w:r w:rsidR="00E2395C" w:rsidRPr="00DC4876">
              <w:t>to perform an operation on the patient that had not otherwise been scheduled;</w:t>
            </w:r>
            <w:r w:rsidRPr="00DC4876">
              <w:t xml:space="preserve">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(c) the consultant physician subsequently performs</w:t>
            </w:r>
            <w:r w:rsidR="00E2395C" w:rsidRPr="00DC4876">
              <w:t xml:space="preserve"> the</w:t>
            </w:r>
            <w:r w:rsidRPr="00DC4876">
              <w:t xml:space="preserve"> operation o</w:t>
            </w:r>
            <w:r w:rsidR="00E76C7C" w:rsidRPr="00DC4876">
              <w:t>n the patient, on the same day</w:t>
            </w:r>
            <w:r w:rsidRPr="00DC4876">
              <w:t>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(d) the operation is a service to which an item in Group T8 applies; and</w:t>
            </w:r>
          </w:p>
          <w:p w:rsidR="00155776" w:rsidRPr="00DC4876" w:rsidRDefault="00155776" w:rsidP="00832BA0">
            <w:pPr>
              <w:pStyle w:val="Tablea"/>
            </w:pPr>
            <w:r w:rsidRPr="00DC4876">
              <w:t>(e) the amount specified in the item in Group T8 as the fee for a service to which that item applies is $300 or more</w:t>
            </w:r>
          </w:p>
          <w:p w:rsidR="00155776" w:rsidRPr="00DC4876" w:rsidRDefault="00155776" w:rsidP="00832BA0">
            <w:pPr>
              <w:pStyle w:val="Tabletext"/>
            </w:pPr>
            <w:r w:rsidRPr="00DC4876">
              <w:t>For any particular patient, once only on the same day</w:t>
            </w:r>
          </w:p>
        </w:tc>
        <w:tc>
          <w:tcPr>
            <w:tcW w:w="781" w:type="pct"/>
            <w:shd w:val="clear" w:color="auto" w:fill="auto"/>
          </w:tcPr>
          <w:p w:rsidR="00155776" w:rsidRPr="00DC4876" w:rsidRDefault="00155776" w:rsidP="00832BA0">
            <w:pPr>
              <w:pStyle w:val="Tabletext"/>
              <w:jc w:val="right"/>
            </w:pPr>
            <w:r w:rsidRPr="00DC4876">
              <w:t>43.00</w:t>
            </w:r>
          </w:p>
        </w:tc>
      </w:tr>
    </w:tbl>
    <w:p w:rsidR="00943B45" w:rsidRPr="00DC4876" w:rsidRDefault="00943B45" w:rsidP="00943B45">
      <w:pPr>
        <w:pStyle w:val="Item"/>
        <w:sectPr w:rsidR="00943B45" w:rsidRPr="00DC4876" w:rsidSect="00850EC3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</w:p>
    <w:p w:rsidR="0019303F" w:rsidRPr="00DC4876" w:rsidRDefault="0019303F" w:rsidP="0019303F">
      <w:pPr>
        <w:pStyle w:val="ActHead6"/>
      </w:pPr>
      <w:bookmarkStart w:id="22" w:name="_Toc492985215"/>
      <w:bookmarkStart w:id="23" w:name="opcCurrentFind"/>
      <w:r w:rsidRPr="00DC4876">
        <w:rPr>
          <w:rStyle w:val="CharAmSchNo"/>
        </w:rPr>
        <w:t>Schedule</w:t>
      </w:r>
      <w:r w:rsidR="00DC4876" w:rsidRPr="00DC4876">
        <w:rPr>
          <w:rStyle w:val="CharAmSchNo"/>
        </w:rPr>
        <w:t> </w:t>
      </w:r>
      <w:r w:rsidR="00155776" w:rsidRPr="00DC4876">
        <w:rPr>
          <w:rStyle w:val="CharAmSchNo"/>
        </w:rPr>
        <w:t>3</w:t>
      </w:r>
      <w:r w:rsidRPr="00DC4876">
        <w:t>—</w:t>
      </w:r>
      <w:r w:rsidR="00BD759A" w:rsidRPr="00DC4876">
        <w:rPr>
          <w:rStyle w:val="CharAmSchText"/>
        </w:rPr>
        <w:t>Other a</w:t>
      </w:r>
      <w:r w:rsidRPr="00DC4876">
        <w:rPr>
          <w:rStyle w:val="CharAmSchText"/>
        </w:rPr>
        <w:t>mendments</w:t>
      </w:r>
      <w:bookmarkEnd w:id="22"/>
    </w:p>
    <w:bookmarkEnd w:id="23"/>
    <w:p w:rsidR="0019303F" w:rsidRPr="00DC4876" w:rsidRDefault="0019303F">
      <w:pPr>
        <w:pStyle w:val="Header"/>
      </w:pPr>
      <w:r w:rsidRPr="00DC4876">
        <w:rPr>
          <w:rStyle w:val="CharAmPartNo"/>
        </w:rPr>
        <w:t xml:space="preserve"> </w:t>
      </w:r>
      <w:r w:rsidRPr="00DC4876">
        <w:rPr>
          <w:rStyle w:val="CharAmPartText"/>
        </w:rPr>
        <w:t xml:space="preserve"> </w:t>
      </w:r>
    </w:p>
    <w:p w:rsidR="00D66682" w:rsidRPr="00DC4876" w:rsidRDefault="00D66682" w:rsidP="00D66682">
      <w:pPr>
        <w:pStyle w:val="ActHead9"/>
      </w:pPr>
      <w:bookmarkStart w:id="24" w:name="_Toc492985216"/>
      <w:r w:rsidRPr="00DC4876">
        <w:t>Health Insurance (Diagnostic Imaging Services Table) Regulations</w:t>
      </w:r>
      <w:r w:rsidR="00DC4876" w:rsidRPr="00DC4876">
        <w:t> </w:t>
      </w:r>
      <w:r w:rsidRPr="00DC4876">
        <w:t>2017</w:t>
      </w:r>
      <w:bookmarkEnd w:id="24"/>
    </w:p>
    <w:p w:rsidR="00D66682" w:rsidRPr="00DC4876" w:rsidRDefault="008C0B9F" w:rsidP="00D66682">
      <w:pPr>
        <w:pStyle w:val="ItemHead"/>
      </w:pPr>
      <w:r w:rsidRPr="00DC4876">
        <w:t>1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(item</w:t>
      </w:r>
      <w:r w:rsidR="00DC4876" w:rsidRPr="00DC4876">
        <w:t> </w:t>
      </w:r>
      <w:r w:rsidR="00D66682" w:rsidRPr="00DC4876">
        <w:t>61616)</w:t>
      </w:r>
    </w:p>
    <w:p w:rsidR="00D66682" w:rsidRPr="00DC4876" w:rsidRDefault="00D66682" w:rsidP="00D66682">
      <w:pPr>
        <w:pStyle w:val="Item"/>
      </w:pPr>
      <w:r w:rsidRPr="00DC4876">
        <w:t>Repeal the item.</w:t>
      </w:r>
    </w:p>
    <w:p w:rsidR="00D66682" w:rsidRPr="00DC4876" w:rsidRDefault="008C0B9F" w:rsidP="00D66682">
      <w:pPr>
        <w:pStyle w:val="ItemHead"/>
      </w:pPr>
      <w:r w:rsidRPr="00DC4876">
        <w:t>2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</w:t>
      </w:r>
      <w:r w:rsidR="000A734F" w:rsidRPr="00DC4876">
        <w:t>item</w:t>
      </w:r>
      <w:r w:rsidR="006C027A" w:rsidRPr="00DC4876">
        <w:t>s</w:t>
      </w:r>
      <w:r w:rsidR="00DC4876" w:rsidRPr="00DC4876">
        <w:t> </w:t>
      </w:r>
      <w:r w:rsidR="00FF01EA" w:rsidRPr="00DC4876">
        <w:t>61620, 61622 and</w:t>
      </w:r>
      <w:r w:rsidR="00D66682" w:rsidRPr="00DC4876">
        <w:t xml:space="preserve"> 61628</w:t>
      </w:r>
      <w:r w:rsidR="000A734F" w:rsidRPr="00DC4876">
        <w:t>, column headed “Description”</w:t>
      </w:r>
      <w:r w:rsidR="00D66682" w:rsidRPr="00DC4876">
        <w:t>)</w:t>
      </w:r>
    </w:p>
    <w:p w:rsidR="00D66682" w:rsidRPr="00DC4876" w:rsidRDefault="00D66682" w:rsidP="00D66682">
      <w:pPr>
        <w:pStyle w:val="Item"/>
      </w:pPr>
      <w:r w:rsidRPr="00DC4876">
        <w:t>Omit “Hodgkin’s or non</w:t>
      </w:r>
      <w:r w:rsidR="00DC4876">
        <w:noBreakHyphen/>
      </w:r>
      <w:r w:rsidRPr="00DC4876">
        <w:t>Hodgkin’s lymphoma (excluding indolent non</w:t>
      </w:r>
      <w:r w:rsidR="00DC4876">
        <w:noBreakHyphen/>
      </w:r>
      <w:r w:rsidRPr="00DC4876">
        <w:t>Hodgkin’s lymphoma)”, substitute “Hodgkin or non</w:t>
      </w:r>
      <w:r w:rsidR="00DC4876">
        <w:noBreakHyphen/>
      </w:r>
      <w:r w:rsidRPr="00DC4876">
        <w:t>Hodgkin lymphoma”.</w:t>
      </w:r>
    </w:p>
    <w:p w:rsidR="00FF01EA" w:rsidRPr="00DC4876" w:rsidRDefault="008C0B9F" w:rsidP="00FF01EA">
      <w:pPr>
        <w:pStyle w:val="ItemHead"/>
      </w:pPr>
      <w:r w:rsidRPr="00DC4876">
        <w:t>3</w:t>
      </w:r>
      <w:r w:rsidR="00FF01EA" w:rsidRPr="00DC4876">
        <w:t xml:space="preserve">  Schedule</w:t>
      </w:r>
      <w:r w:rsidR="00DC4876" w:rsidRPr="00DC4876">
        <w:t> </w:t>
      </w:r>
      <w:r w:rsidR="00FF01EA" w:rsidRPr="00DC4876">
        <w:t>1 (item</w:t>
      </w:r>
      <w:r w:rsidR="00DC4876" w:rsidRPr="00DC4876">
        <w:t> </w:t>
      </w:r>
      <w:r w:rsidR="00FF01EA" w:rsidRPr="00DC4876">
        <w:t xml:space="preserve">61632, column headed </w:t>
      </w:r>
      <w:r w:rsidR="00626E31" w:rsidRPr="00DC4876">
        <w:t>“</w:t>
      </w:r>
      <w:r w:rsidR="00FF01EA" w:rsidRPr="00DC4876">
        <w:t>Description</w:t>
      </w:r>
      <w:r w:rsidR="00626E31" w:rsidRPr="00DC4876">
        <w:t>”</w:t>
      </w:r>
      <w:r w:rsidR="00FF01EA" w:rsidRPr="00DC4876">
        <w:t>)</w:t>
      </w:r>
    </w:p>
    <w:p w:rsidR="00FF01EA" w:rsidRPr="00DC4876" w:rsidRDefault="00FF01EA" w:rsidP="00FF01EA">
      <w:pPr>
        <w:pStyle w:val="Item"/>
      </w:pPr>
      <w:r w:rsidRPr="00DC4876">
        <w:t>Omit “stem cell transplantation is being considered for Hodgkin’s or non</w:t>
      </w:r>
      <w:r w:rsidR="00DC4876">
        <w:noBreakHyphen/>
      </w:r>
      <w:r w:rsidRPr="00DC4876">
        <w:t>Hodgkin’s lymphoma (excluding indolent non</w:t>
      </w:r>
      <w:r w:rsidR="00DC4876">
        <w:noBreakHyphen/>
      </w:r>
      <w:r w:rsidRPr="00DC4876">
        <w:t>Hodgkin’s lymphoma)”, substitute “haemopoietic stem cell transplantation is being considered for Hodgkin or non</w:t>
      </w:r>
      <w:r w:rsidR="00DC4876">
        <w:noBreakHyphen/>
      </w:r>
      <w:r w:rsidRPr="00DC4876">
        <w:t>Hodgkin lymphoma”.</w:t>
      </w:r>
    </w:p>
    <w:p w:rsidR="00D66682" w:rsidRPr="00DC4876" w:rsidRDefault="00D66682" w:rsidP="00D66682">
      <w:pPr>
        <w:pStyle w:val="ActHead9"/>
      </w:pPr>
      <w:bookmarkStart w:id="25" w:name="_Toc492985217"/>
      <w:r w:rsidRPr="00DC4876">
        <w:t>Health Insurance (General Medical Services Table) Regulations</w:t>
      </w:r>
      <w:r w:rsidR="00DC4876" w:rsidRPr="00DC4876">
        <w:t> </w:t>
      </w:r>
      <w:r w:rsidRPr="00DC4876">
        <w:t>2017</w:t>
      </w:r>
      <w:bookmarkEnd w:id="25"/>
    </w:p>
    <w:p w:rsidR="00D66682" w:rsidRPr="00DC4876" w:rsidRDefault="008C0B9F" w:rsidP="00D66682">
      <w:pPr>
        <w:pStyle w:val="ItemHead"/>
        <w:tabs>
          <w:tab w:val="left" w:pos="6663"/>
        </w:tabs>
      </w:pPr>
      <w:r w:rsidRPr="00DC4876">
        <w:t>4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(item</w:t>
      </w:r>
      <w:r w:rsidR="0083693B" w:rsidRPr="00DC4876">
        <w:t>s</w:t>
      </w:r>
      <w:r w:rsidR="00DC4876" w:rsidRPr="00DC4876">
        <w:t> </w:t>
      </w:r>
      <w:r w:rsidR="00D66682" w:rsidRPr="00DC4876">
        <w:t>11204</w:t>
      </w:r>
      <w:r w:rsidR="0083693B" w:rsidRPr="00DC4876">
        <w:t xml:space="preserve"> and 11205</w:t>
      </w:r>
      <w:r w:rsidR="00D66682" w:rsidRPr="00DC4876">
        <w:t xml:space="preserve">, column headed </w:t>
      </w:r>
      <w:r w:rsidR="00626E31" w:rsidRPr="00DC4876">
        <w:t>“</w:t>
      </w:r>
      <w:r w:rsidR="00D66682" w:rsidRPr="00DC4876">
        <w:t>Description</w:t>
      </w:r>
      <w:r w:rsidR="00626E31" w:rsidRPr="00DC4876">
        <w:t>”</w:t>
      </w:r>
      <w:r w:rsidR="00D66682" w:rsidRPr="00DC4876">
        <w:t>)</w:t>
      </w:r>
    </w:p>
    <w:p w:rsidR="00D66682" w:rsidRPr="00DC4876" w:rsidRDefault="00DF6001" w:rsidP="00D66682">
      <w:pPr>
        <w:pStyle w:val="Item"/>
      </w:pPr>
      <w:r w:rsidRPr="00DC4876">
        <w:t xml:space="preserve">After “standards”, insert “, </w:t>
      </w:r>
      <w:r w:rsidR="00D66682" w:rsidRPr="00DC4876">
        <w:t>performed by or on behalf of a spec</w:t>
      </w:r>
      <w:r w:rsidR="0083693B" w:rsidRPr="00DC4876">
        <w:t>ialist or consultant physician</w:t>
      </w:r>
      <w:r w:rsidR="00D66682" w:rsidRPr="00DC4876">
        <w:t xml:space="preserve"> in the practice of his or her speciality”.</w:t>
      </w:r>
    </w:p>
    <w:p w:rsidR="00D66682" w:rsidRPr="00DC4876" w:rsidRDefault="008C0B9F" w:rsidP="00D66682">
      <w:pPr>
        <w:pStyle w:val="ItemHead"/>
      </w:pPr>
      <w:r w:rsidRPr="00DC4876">
        <w:t>5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</w:t>
      </w:r>
      <w:r w:rsidR="006C027A" w:rsidRPr="00DC4876">
        <w:t xml:space="preserve">cell at </w:t>
      </w:r>
      <w:r w:rsidR="00D66682" w:rsidRPr="00DC4876">
        <w:t>item</w:t>
      </w:r>
      <w:r w:rsidR="00DC4876" w:rsidRPr="00DC4876">
        <w:t> </w:t>
      </w:r>
      <w:r w:rsidR="00D66682" w:rsidRPr="00DC4876">
        <w:t xml:space="preserve">20560, column headed </w:t>
      </w:r>
      <w:r w:rsidR="00626E31" w:rsidRPr="00DC4876">
        <w:t>“</w:t>
      </w:r>
      <w:r w:rsidR="00D66682" w:rsidRPr="00DC4876">
        <w:t>Description</w:t>
      </w:r>
      <w:r w:rsidR="00626E31" w:rsidRPr="00DC4876">
        <w:t>”</w:t>
      </w:r>
      <w:r w:rsidR="00D66682" w:rsidRPr="00DC4876">
        <w:t>)</w:t>
      </w:r>
    </w:p>
    <w:p w:rsidR="00D66682" w:rsidRPr="00DC4876" w:rsidRDefault="00D66682" w:rsidP="00D66682">
      <w:pPr>
        <w:pStyle w:val="Item"/>
      </w:pPr>
      <w:r w:rsidRPr="00DC4876">
        <w:t>Repeal the cell, substitute:</w:t>
      </w:r>
    </w:p>
    <w:p w:rsidR="00D66682" w:rsidRPr="00DC4876" w:rsidRDefault="00D66682" w:rsidP="00D66682">
      <w:pPr>
        <w:pStyle w:val="Tabletext"/>
      </w:pPr>
    </w:p>
    <w:tbl>
      <w:tblPr>
        <w:tblW w:w="4521" w:type="pct"/>
        <w:tblInd w:w="817" w:type="dxa"/>
        <w:tblLook w:val="0000" w:firstRow="0" w:lastRow="0" w:firstColumn="0" w:lastColumn="0" w:noHBand="0" w:noVBand="0"/>
      </w:tblPr>
      <w:tblGrid>
        <w:gridCol w:w="7712"/>
      </w:tblGrid>
      <w:tr w:rsidR="00D66682" w:rsidRPr="00DC4876" w:rsidTr="004B7462">
        <w:tc>
          <w:tcPr>
            <w:tcW w:w="5000" w:type="pct"/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>Initiation of the management of anaesthesia for: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 xml:space="preserve">(a) open procedures on the heart, pericardium or great vessels of </w:t>
            </w:r>
            <w:r w:rsidR="0083693B" w:rsidRPr="00DC4876">
              <w:t xml:space="preserve">the </w:t>
            </w:r>
            <w:r w:rsidRPr="00DC4876">
              <w:t>chest; or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>(b) percutaneous insertion of a valvular prosthesis</w:t>
            </w:r>
          </w:p>
        </w:tc>
      </w:tr>
    </w:tbl>
    <w:p w:rsidR="00D66682" w:rsidRPr="00DC4876" w:rsidRDefault="008C0B9F" w:rsidP="00D66682">
      <w:pPr>
        <w:pStyle w:val="ItemHead"/>
      </w:pPr>
      <w:r w:rsidRPr="00DC4876">
        <w:t>6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(items</w:t>
      </w:r>
      <w:r w:rsidR="00DC4876" w:rsidRPr="00DC4876">
        <w:t> </w:t>
      </w:r>
      <w:r w:rsidR="00D66682" w:rsidRPr="00DC4876">
        <w:t>36658, 36660 and 36662)</w:t>
      </w:r>
    </w:p>
    <w:p w:rsidR="00D66682" w:rsidRPr="00DC4876" w:rsidRDefault="00D66682" w:rsidP="00D66682">
      <w:pPr>
        <w:pStyle w:val="Item"/>
      </w:pPr>
      <w:r w:rsidRPr="00DC4876">
        <w:t>Repeal the items.</w:t>
      </w:r>
    </w:p>
    <w:p w:rsidR="00D66682" w:rsidRPr="00DC4876" w:rsidRDefault="008C0B9F" w:rsidP="00D66682">
      <w:pPr>
        <w:pStyle w:val="ItemHead"/>
      </w:pPr>
      <w:r w:rsidRPr="00DC4876">
        <w:t>7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(after item</w:t>
      </w:r>
      <w:r w:rsidR="00DC4876" w:rsidRPr="00DC4876">
        <w:t> </w:t>
      </w:r>
      <w:r w:rsidR="00D66682" w:rsidRPr="00DC4876">
        <w:t>38275)</w:t>
      </w:r>
    </w:p>
    <w:p w:rsidR="00D66682" w:rsidRPr="00DC4876" w:rsidRDefault="00D66682" w:rsidP="00D66682">
      <w:pPr>
        <w:pStyle w:val="Item"/>
      </w:pPr>
      <w:r w:rsidRPr="00DC4876">
        <w:t>Insert:</w:t>
      </w:r>
    </w:p>
    <w:p w:rsidR="00D66682" w:rsidRPr="00DC4876" w:rsidRDefault="00D66682" w:rsidP="00D66682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D66682" w:rsidRPr="00DC4876" w:rsidTr="004F5E23">
        <w:tc>
          <w:tcPr>
            <w:tcW w:w="527" w:type="pct"/>
            <w:shd w:val="clear" w:color="auto" w:fill="auto"/>
            <w:hideMark/>
          </w:tcPr>
          <w:p w:rsidR="00D66682" w:rsidRPr="00DC4876" w:rsidRDefault="00D66682" w:rsidP="004F5E23">
            <w:pPr>
              <w:pStyle w:val="Tabletext"/>
              <w:rPr>
                <w:snapToGrid w:val="0"/>
              </w:rPr>
            </w:pPr>
            <w:r w:rsidRPr="00DC4876">
              <w:rPr>
                <w:snapToGrid w:val="0"/>
              </w:rPr>
              <w:t>38276</w:t>
            </w:r>
          </w:p>
        </w:tc>
        <w:tc>
          <w:tcPr>
            <w:tcW w:w="3692" w:type="pct"/>
            <w:shd w:val="clear" w:color="auto" w:fill="auto"/>
            <w:hideMark/>
          </w:tcPr>
          <w:p w:rsidR="00E5660E" w:rsidRPr="00DC4876" w:rsidRDefault="00D66682" w:rsidP="00E5660E">
            <w:pPr>
              <w:pStyle w:val="Tabletext"/>
            </w:pPr>
            <w:r w:rsidRPr="00DC4876">
              <w:t>Transcatheter occlusion of left atrial appendage</w:t>
            </w:r>
            <w:r w:rsidR="0062106D" w:rsidRPr="00DC4876">
              <w:t>,</w:t>
            </w:r>
            <w:r w:rsidRPr="00DC4876">
              <w:t xml:space="preserve"> and cardiac catheterisation performed by the same practitioner, for str</w:t>
            </w:r>
            <w:r w:rsidR="00E5660E" w:rsidRPr="00DC4876">
              <w:t xml:space="preserve">oke prevention in a patient who </w:t>
            </w:r>
            <w:r w:rsidRPr="00DC4876">
              <w:t>has non</w:t>
            </w:r>
            <w:r w:rsidR="00DC4876">
              <w:noBreakHyphen/>
            </w:r>
            <w:r w:rsidRPr="00DC4876">
              <w:t>valvular atrial fibrillation</w:t>
            </w:r>
            <w:r w:rsidR="0083693B" w:rsidRPr="00DC4876">
              <w:t xml:space="preserve"> and</w:t>
            </w:r>
            <w:r w:rsidR="00DB2254" w:rsidRPr="00DC4876">
              <w:t xml:space="preserve"> </w:t>
            </w:r>
            <w:r w:rsidR="00E5660E" w:rsidRPr="00DC4876">
              <w:t>a contraindication to life</w:t>
            </w:r>
            <w:r w:rsidR="00DC4876">
              <w:noBreakHyphen/>
            </w:r>
            <w:r w:rsidR="00E5660E" w:rsidRPr="00DC4876">
              <w:t>long oral anticoagulation therapy</w:t>
            </w:r>
            <w:r w:rsidR="0083693B" w:rsidRPr="00DC4876">
              <w:t>,</w:t>
            </w:r>
            <w:r w:rsidR="00DB2254" w:rsidRPr="00DC4876">
              <w:t xml:space="preserve"> </w:t>
            </w:r>
            <w:r w:rsidR="00E5660E" w:rsidRPr="00DC4876">
              <w:t>and is at inc</w:t>
            </w:r>
            <w:r w:rsidR="00DB2254" w:rsidRPr="00DC4876">
              <w:t xml:space="preserve">reased risk of thromboembolism </w:t>
            </w:r>
            <w:r w:rsidR="00E5660E" w:rsidRPr="00DC4876">
              <w:t>demonstrated by:</w:t>
            </w:r>
          </w:p>
          <w:p w:rsidR="00E5660E" w:rsidRPr="00DC4876" w:rsidRDefault="00E5660E" w:rsidP="004F5E23">
            <w:pPr>
              <w:pStyle w:val="Tablea"/>
            </w:pPr>
            <w:r w:rsidRPr="00DC4876">
              <w:t>(a) a prior stroke (whether of an ischaemic or unknown type), transient ischaemic attack or non</w:t>
            </w:r>
            <w:r w:rsidR="00DC4876">
              <w:noBreakHyphen/>
            </w:r>
            <w:r w:rsidRPr="00DC4876">
              <w:t>central nervous system systemic embolism; or</w:t>
            </w:r>
          </w:p>
          <w:p w:rsidR="00E5660E" w:rsidRPr="00DC4876" w:rsidRDefault="00E5660E" w:rsidP="004F5E23">
            <w:pPr>
              <w:pStyle w:val="Tablea"/>
            </w:pPr>
            <w:r w:rsidRPr="00DC4876">
              <w:t xml:space="preserve">(b) at least </w:t>
            </w:r>
            <w:r w:rsidR="0054264D" w:rsidRPr="00DC4876">
              <w:t xml:space="preserve">2 </w:t>
            </w:r>
            <w:r w:rsidRPr="00DC4876">
              <w:t>of the following</w:t>
            </w:r>
            <w:r w:rsidR="0054264D" w:rsidRPr="00DC4876">
              <w:t xml:space="preserve"> risk factors</w:t>
            </w:r>
            <w:r w:rsidRPr="00DC4876">
              <w:t>:</w:t>
            </w:r>
          </w:p>
          <w:p w:rsidR="00E5660E" w:rsidRPr="00DC4876" w:rsidRDefault="00DB2254" w:rsidP="00E5660E">
            <w:pPr>
              <w:pStyle w:val="Tablei"/>
            </w:pPr>
            <w:r w:rsidRPr="00DC4876">
              <w:t xml:space="preserve">(i) </w:t>
            </w:r>
            <w:r w:rsidR="00447C9D" w:rsidRPr="00DC4876">
              <w:t>a</w:t>
            </w:r>
            <w:r w:rsidR="0083693B" w:rsidRPr="00DC4876">
              <w:t>n</w:t>
            </w:r>
            <w:r w:rsidR="00A9151D" w:rsidRPr="00DC4876">
              <w:t xml:space="preserve"> age of </w:t>
            </w:r>
            <w:r w:rsidR="00E5660E" w:rsidRPr="00DC4876">
              <w:t>65 years</w:t>
            </w:r>
            <w:r w:rsidRPr="00DC4876">
              <w:t xml:space="preserve"> </w:t>
            </w:r>
            <w:r w:rsidR="00E943EE" w:rsidRPr="00DC4876">
              <w:t>or more</w:t>
            </w:r>
            <w:r w:rsidR="00E5660E" w:rsidRPr="00DC4876">
              <w:t>;</w:t>
            </w:r>
          </w:p>
          <w:p w:rsidR="00E5660E" w:rsidRPr="00DC4876" w:rsidRDefault="00E5660E" w:rsidP="00E5660E">
            <w:pPr>
              <w:pStyle w:val="Tablei"/>
            </w:pPr>
            <w:r w:rsidRPr="00DC4876">
              <w:t>(ii) hypertension;</w:t>
            </w:r>
          </w:p>
          <w:p w:rsidR="00E5660E" w:rsidRPr="00DC4876" w:rsidRDefault="00E5660E" w:rsidP="00E5660E">
            <w:pPr>
              <w:pStyle w:val="Tablei"/>
            </w:pPr>
            <w:r w:rsidRPr="00DC4876">
              <w:t>(iii) diabetes mellitus;</w:t>
            </w:r>
          </w:p>
          <w:p w:rsidR="00E5660E" w:rsidRPr="00DC4876" w:rsidRDefault="00E5660E" w:rsidP="00E5660E">
            <w:pPr>
              <w:pStyle w:val="Tablei"/>
            </w:pPr>
            <w:r w:rsidRPr="00DC4876">
              <w:t>(iv) heart failure or left ventricular ejection fraction of 35% or less</w:t>
            </w:r>
            <w:r w:rsidR="00D446BD" w:rsidRPr="00DC4876">
              <w:t xml:space="preserve"> (or both)</w:t>
            </w:r>
            <w:r w:rsidRPr="00DC4876">
              <w:t>;</w:t>
            </w:r>
          </w:p>
          <w:p w:rsidR="00D66682" w:rsidRPr="00DC4876" w:rsidRDefault="00E5660E" w:rsidP="00E5660E">
            <w:pPr>
              <w:pStyle w:val="Tablei"/>
            </w:pPr>
            <w:r w:rsidRPr="00DC4876">
              <w:t>(v) vascular disease (prior myocardial infarction, peripheral a</w:t>
            </w:r>
            <w:r w:rsidR="00DB2254" w:rsidRPr="00DC4876">
              <w:t>rtery disease or aortic plaque)</w:t>
            </w:r>
          </w:p>
          <w:p w:rsidR="00D66682" w:rsidRPr="00DC4876" w:rsidRDefault="00D66682" w:rsidP="004F5E23">
            <w:pPr>
              <w:pStyle w:val="Tabletext"/>
            </w:pPr>
            <w:r w:rsidRPr="00DC4876">
              <w:t>(H) (Anaes.) (Assist.)</w:t>
            </w:r>
          </w:p>
        </w:tc>
        <w:tc>
          <w:tcPr>
            <w:tcW w:w="781" w:type="pct"/>
            <w:shd w:val="clear" w:color="auto" w:fill="auto"/>
          </w:tcPr>
          <w:p w:rsidR="00D66682" w:rsidRPr="00DC4876" w:rsidRDefault="00D66682" w:rsidP="00D15FC6">
            <w:pPr>
              <w:pStyle w:val="Tabletext"/>
              <w:jc w:val="right"/>
            </w:pPr>
            <w:r w:rsidRPr="00DC4876">
              <w:t>912.30</w:t>
            </w:r>
          </w:p>
        </w:tc>
      </w:tr>
    </w:tbl>
    <w:p w:rsidR="00944144" w:rsidRPr="00DC4876" w:rsidRDefault="008C0B9F" w:rsidP="00944144">
      <w:pPr>
        <w:pStyle w:val="ItemHead"/>
      </w:pPr>
      <w:r w:rsidRPr="00DC4876">
        <w:t>8</w:t>
      </w:r>
      <w:r w:rsidR="00944144" w:rsidRPr="00DC4876">
        <w:t xml:space="preserve">  Schedule</w:t>
      </w:r>
      <w:r w:rsidR="00DC4876" w:rsidRPr="00DC4876">
        <w:t> </w:t>
      </w:r>
      <w:r w:rsidR="00944144" w:rsidRPr="00DC4876">
        <w:t>1 (item</w:t>
      </w:r>
      <w:r w:rsidR="00DC4876" w:rsidRPr="00DC4876">
        <w:t> </w:t>
      </w:r>
      <w:r w:rsidR="00944144" w:rsidRPr="00DC4876">
        <w:t xml:space="preserve">38452, column headed </w:t>
      </w:r>
      <w:r w:rsidR="00626E31" w:rsidRPr="00DC4876">
        <w:t>“</w:t>
      </w:r>
      <w:r w:rsidR="00944144" w:rsidRPr="00DC4876">
        <w:t>Description</w:t>
      </w:r>
      <w:r w:rsidR="00626E31" w:rsidRPr="00DC4876">
        <w:t>”</w:t>
      </w:r>
      <w:r w:rsidR="00944144" w:rsidRPr="00DC4876">
        <w:t>)</w:t>
      </w:r>
    </w:p>
    <w:p w:rsidR="00944144" w:rsidRPr="00DC4876" w:rsidRDefault="00944144" w:rsidP="00944144">
      <w:pPr>
        <w:pStyle w:val="Item"/>
      </w:pPr>
      <w:r w:rsidRPr="00DC4876">
        <w:t>Omit “sub</w:t>
      </w:r>
      <w:r w:rsidR="00DC4876">
        <w:noBreakHyphen/>
      </w:r>
      <w:r w:rsidRPr="00DC4876">
        <w:t>xyphoid”, substitute “subxiphoid”.</w:t>
      </w:r>
    </w:p>
    <w:p w:rsidR="00D66682" w:rsidRPr="00DC4876" w:rsidRDefault="008C0B9F" w:rsidP="00D66682">
      <w:pPr>
        <w:pStyle w:val="ItemHead"/>
      </w:pPr>
      <w:r w:rsidRPr="00DC4876">
        <w:t>9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(after item</w:t>
      </w:r>
      <w:r w:rsidR="00DC4876" w:rsidRPr="00DC4876">
        <w:t> </w:t>
      </w:r>
      <w:r w:rsidR="00D66682" w:rsidRPr="00DC4876">
        <w:t>40700)</w:t>
      </w:r>
    </w:p>
    <w:p w:rsidR="00D66682" w:rsidRPr="00DC4876" w:rsidRDefault="00D66682" w:rsidP="00D66682">
      <w:pPr>
        <w:pStyle w:val="Item"/>
      </w:pPr>
      <w:r w:rsidRPr="00DC4876">
        <w:t>Insert:</w:t>
      </w:r>
    </w:p>
    <w:p w:rsidR="00D66682" w:rsidRPr="00DC4876" w:rsidRDefault="00D66682" w:rsidP="00D66682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D66682" w:rsidRPr="00DC4876" w:rsidTr="00521BBC">
        <w:tc>
          <w:tcPr>
            <w:tcW w:w="527" w:type="pct"/>
            <w:shd w:val="clear" w:color="auto" w:fill="auto"/>
            <w:hideMark/>
          </w:tcPr>
          <w:p w:rsidR="00D66682" w:rsidRPr="00DC4876" w:rsidRDefault="00D66682" w:rsidP="004F5E23">
            <w:pPr>
              <w:pStyle w:val="Tabletext"/>
            </w:pPr>
            <w:r w:rsidRPr="00DC4876">
              <w:t>40701</w:t>
            </w:r>
          </w:p>
        </w:tc>
        <w:tc>
          <w:tcPr>
            <w:tcW w:w="3692" w:type="pct"/>
            <w:shd w:val="clear" w:color="auto" w:fill="auto"/>
            <w:hideMark/>
          </w:tcPr>
          <w:p w:rsidR="00D66682" w:rsidRPr="00DC4876" w:rsidRDefault="00271DE3" w:rsidP="004F5E23">
            <w:pPr>
              <w:pStyle w:val="Tabletext"/>
            </w:pPr>
            <w:r w:rsidRPr="00DC4876">
              <w:t>Vagus nerve stimulation therapy</w:t>
            </w:r>
            <w:r w:rsidR="00FD48FA" w:rsidRPr="00DC4876">
              <w:t xml:space="preserve"> through stimulation of the left vagus nerve</w:t>
            </w:r>
            <w:r w:rsidRPr="00DC4876">
              <w:t xml:space="preserve">, </w:t>
            </w:r>
            <w:r w:rsidR="00D66682" w:rsidRPr="00DC4876">
              <w:t>subcutaneous placement of</w:t>
            </w:r>
            <w:r w:rsidRPr="00DC4876">
              <w:t xml:space="preserve"> electrical pulse generator</w:t>
            </w:r>
            <w:r w:rsidR="00D66682" w:rsidRPr="00DC4876">
              <w:t>, for: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>(a) management of refractory generalised epilepsy; or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 xml:space="preserve">(b) </w:t>
            </w:r>
            <w:r w:rsidR="00BD27BB" w:rsidRPr="00DC4876">
              <w:t>treatment of</w:t>
            </w:r>
            <w:r w:rsidRPr="00DC4876">
              <w:t xml:space="preserve"> refractory focal epilepsy not suitable for resective epilepsy surgery</w:t>
            </w:r>
          </w:p>
          <w:p w:rsidR="00D66682" w:rsidRPr="00DC4876" w:rsidRDefault="00D66682" w:rsidP="004F5E23">
            <w:pPr>
              <w:pStyle w:val="Tabletext"/>
            </w:pPr>
            <w:r w:rsidRPr="00DC4876">
              <w:t>(H) (Anaes.) (Assist.)</w:t>
            </w:r>
          </w:p>
        </w:tc>
        <w:tc>
          <w:tcPr>
            <w:tcW w:w="781" w:type="pct"/>
            <w:shd w:val="clear" w:color="auto" w:fill="auto"/>
          </w:tcPr>
          <w:p w:rsidR="00D66682" w:rsidRPr="00DC4876" w:rsidRDefault="00D66682" w:rsidP="00D15FC6">
            <w:pPr>
              <w:pStyle w:val="Tabletext"/>
              <w:jc w:val="right"/>
            </w:pPr>
            <w:r w:rsidRPr="00DC4876">
              <w:t>340.60</w:t>
            </w:r>
          </w:p>
        </w:tc>
      </w:tr>
      <w:tr w:rsidR="00D66682" w:rsidRPr="00DC4876" w:rsidTr="00521BBC">
        <w:tc>
          <w:tcPr>
            <w:tcW w:w="527" w:type="pct"/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>40702</w:t>
            </w:r>
          </w:p>
        </w:tc>
        <w:tc>
          <w:tcPr>
            <w:tcW w:w="3692" w:type="pct"/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>Vagus nerve stimulation therapy</w:t>
            </w:r>
            <w:r w:rsidR="00FD48FA" w:rsidRPr="00DC4876">
              <w:t xml:space="preserve"> through stimulation of the left vagus nerve,</w:t>
            </w:r>
            <w:r w:rsidRPr="00DC4876">
              <w:rPr>
                <w:i/>
              </w:rPr>
              <w:t xml:space="preserve"> </w:t>
            </w:r>
            <w:r w:rsidRPr="00DC4876">
              <w:t>surgical repositioning or removal of electrical pulse generator inserted for: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>(a) management of refractory generalised epilepsy; or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 xml:space="preserve">(b) </w:t>
            </w:r>
            <w:r w:rsidR="00BD27BB" w:rsidRPr="00DC4876">
              <w:t>treatment of</w:t>
            </w:r>
            <w:r w:rsidRPr="00DC4876">
              <w:t xml:space="preserve"> refractory focal epilepsy not suitable for resective epilepsy surgery</w:t>
            </w:r>
          </w:p>
          <w:p w:rsidR="00D66682" w:rsidRPr="00DC4876" w:rsidRDefault="00D66682" w:rsidP="004F5E23">
            <w:pPr>
              <w:pStyle w:val="Tabletext"/>
            </w:pPr>
            <w:r w:rsidRPr="00DC4876">
              <w:t>(H) (Anaes.)</w:t>
            </w:r>
            <w:r w:rsidR="00773481" w:rsidRPr="00DC4876">
              <w:t xml:space="preserve"> (Assist.)</w:t>
            </w:r>
          </w:p>
        </w:tc>
        <w:tc>
          <w:tcPr>
            <w:tcW w:w="781" w:type="pct"/>
            <w:shd w:val="clear" w:color="auto" w:fill="auto"/>
          </w:tcPr>
          <w:p w:rsidR="00D66682" w:rsidRPr="00DC4876" w:rsidRDefault="00D66682" w:rsidP="00D15FC6">
            <w:pPr>
              <w:pStyle w:val="Tabletext"/>
              <w:jc w:val="right"/>
            </w:pPr>
            <w:r w:rsidRPr="00DC4876">
              <w:t>159.40</w:t>
            </w:r>
          </w:p>
        </w:tc>
      </w:tr>
    </w:tbl>
    <w:p w:rsidR="000B1881" w:rsidRPr="00DC4876" w:rsidRDefault="008C0B9F" w:rsidP="000B1881">
      <w:pPr>
        <w:pStyle w:val="ItemHead"/>
      </w:pPr>
      <w:r w:rsidRPr="00DC4876">
        <w:t>10</w:t>
      </w:r>
      <w:r w:rsidR="000B1881" w:rsidRPr="00DC4876">
        <w:t xml:space="preserve">  Schedule</w:t>
      </w:r>
      <w:r w:rsidR="00DC4876" w:rsidRPr="00DC4876">
        <w:t> </w:t>
      </w:r>
      <w:r w:rsidR="000B1881" w:rsidRPr="00DC4876">
        <w:t>1 (after item</w:t>
      </w:r>
      <w:r w:rsidR="00DC4876" w:rsidRPr="00DC4876">
        <w:t> </w:t>
      </w:r>
      <w:r w:rsidR="000B1881" w:rsidRPr="00DC4876">
        <w:t>40703)</w:t>
      </w:r>
    </w:p>
    <w:p w:rsidR="000B1881" w:rsidRPr="00DC4876" w:rsidRDefault="000B1881" w:rsidP="000B1881">
      <w:pPr>
        <w:pStyle w:val="Item"/>
      </w:pPr>
      <w:r w:rsidRPr="00DC4876">
        <w:t>Insert:</w:t>
      </w:r>
    </w:p>
    <w:p w:rsidR="000B1881" w:rsidRPr="00DC4876" w:rsidRDefault="000B1881" w:rsidP="000B1881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0B1881" w:rsidRPr="00DC4876" w:rsidTr="00CA61CC">
        <w:tc>
          <w:tcPr>
            <w:tcW w:w="527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40704</w:t>
            </w:r>
          </w:p>
        </w:tc>
        <w:tc>
          <w:tcPr>
            <w:tcW w:w="3692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Vagus nerve stimulation therapy through stimulation of the left vagus nerve, surgical placement of lead, including connection of lead to left vagus nerve and intra</w:t>
            </w:r>
            <w:r w:rsidR="00DC4876">
              <w:noBreakHyphen/>
            </w:r>
            <w:r w:rsidRPr="00DC4876">
              <w:t>operative test stimulation, for:</w:t>
            </w:r>
          </w:p>
          <w:p w:rsidR="000B1881" w:rsidRPr="00DC4876" w:rsidRDefault="000B1881" w:rsidP="00CA61CC">
            <w:pPr>
              <w:pStyle w:val="Tablea"/>
            </w:pPr>
            <w:r w:rsidRPr="00DC4876">
              <w:t>(a) management of refractory generalised epilepsy; or</w:t>
            </w:r>
          </w:p>
          <w:p w:rsidR="000B1881" w:rsidRPr="00DC4876" w:rsidRDefault="000B1881" w:rsidP="00CA61CC">
            <w:pPr>
              <w:pStyle w:val="Tablea"/>
            </w:pPr>
            <w:r w:rsidRPr="00DC4876">
              <w:t>(b) treatment of refractory focal epilepsy not suitable for resective</w:t>
            </w:r>
            <w:r w:rsidRPr="00DC4876">
              <w:rPr>
                <w:i/>
              </w:rPr>
              <w:t xml:space="preserve"> </w:t>
            </w:r>
            <w:r w:rsidRPr="00DC4876">
              <w:t>epilepsy surgery</w:t>
            </w:r>
          </w:p>
          <w:p w:rsidR="000B1881" w:rsidRPr="00DC4876" w:rsidRDefault="000B1881" w:rsidP="00CA61CC">
            <w:pPr>
              <w:pStyle w:val="Tabletext"/>
            </w:pPr>
            <w:r w:rsidRPr="00DC4876">
              <w:t>(H) (Anaes.) (Assist.)</w:t>
            </w:r>
          </w:p>
        </w:tc>
        <w:tc>
          <w:tcPr>
            <w:tcW w:w="781" w:type="pct"/>
            <w:shd w:val="clear" w:color="auto" w:fill="auto"/>
          </w:tcPr>
          <w:p w:rsidR="000B1881" w:rsidRPr="00DC4876" w:rsidRDefault="000B1881" w:rsidP="00D15FC6">
            <w:pPr>
              <w:pStyle w:val="Tabletext"/>
              <w:jc w:val="right"/>
            </w:pPr>
            <w:r w:rsidRPr="00DC4876">
              <w:t>674.15</w:t>
            </w:r>
          </w:p>
        </w:tc>
      </w:tr>
      <w:tr w:rsidR="000B1881" w:rsidRPr="00DC4876" w:rsidTr="00CA61CC">
        <w:tc>
          <w:tcPr>
            <w:tcW w:w="527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40705</w:t>
            </w:r>
          </w:p>
        </w:tc>
        <w:tc>
          <w:tcPr>
            <w:tcW w:w="3692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Vagus nerve stimulation therapy through stimulation of the left vagus nerve, surgical repositioning or removal of lead attached to left vagus nerve for:</w:t>
            </w:r>
          </w:p>
          <w:p w:rsidR="000B1881" w:rsidRPr="00DC4876" w:rsidRDefault="000B1881" w:rsidP="00CA61CC">
            <w:pPr>
              <w:pStyle w:val="Tablea"/>
            </w:pPr>
            <w:r w:rsidRPr="00DC4876">
              <w:t>(a) management of refractory generalised epilepsy; or</w:t>
            </w:r>
          </w:p>
          <w:p w:rsidR="000B1881" w:rsidRPr="00DC4876" w:rsidRDefault="000B1881" w:rsidP="00CA61CC">
            <w:pPr>
              <w:pStyle w:val="Tablea"/>
            </w:pPr>
            <w:r w:rsidRPr="00DC4876">
              <w:t>(b) treatment of refractory focal epilepsy not suitable for resective</w:t>
            </w:r>
            <w:r w:rsidRPr="00DC4876">
              <w:rPr>
                <w:i/>
              </w:rPr>
              <w:t xml:space="preserve"> </w:t>
            </w:r>
            <w:r w:rsidRPr="00DC4876">
              <w:t>epilepsy surgery</w:t>
            </w:r>
          </w:p>
          <w:p w:rsidR="000B1881" w:rsidRPr="00DC4876" w:rsidRDefault="000B1881" w:rsidP="00CA61CC">
            <w:pPr>
              <w:pStyle w:val="Tabletext"/>
            </w:pPr>
            <w:r w:rsidRPr="00DC4876">
              <w:t>(H) (Anaes.)</w:t>
            </w:r>
            <w:r w:rsidR="00773481" w:rsidRPr="00DC4876">
              <w:t xml:space="preserve"> (Assist.)</w:t>
            </w:r>
          </w:p>
        </w:tc>
        <w:tc>
          <w:tcPr>
            <w:tcW w:w="781" w:type="pct"/>
            <w:shd w:val="clear" w:color="auto" w:fill="auto"/>
          </w:tcPr>
          <w:p w:rsidR="000B1881" w:rsidRPr="00DC4876" w:rsidRDefault="000B1881" w:rsidP="00D15FC6">
            <w:pPr>
              <w:pStyle w:val="Tabletext"/>
              <w:jc w:val="right"/>
            </w:pPr>
            <w:r w:rsidRPr="00DC4876">
              <w:t>605.35</w:t>
            </w:r>
          </w:p>
        </w:tc>
      </w:tr>
    </w:tbl>
    <w:p w:rsidR="000B1881" w:rsidRPr="00DC4876" w:rsidRDefault="008C0B9F" w:rsidP="000B1881">
      <w:pPr>
        <w:pStyle w:val="ItemHead"/>
      </w:pPr>
      <w:r w:rsidRPr="00DC4876">
        <w:t>11</w:t>
      </w:r>
      <w:r w:rsidR="000B1881" w:rsidRPr="00DC4876">
        <w:t xml:space="preserve">  Schedule</w:t>
      </w:r>
      <w:r w:rsidR="00DC4876" w:rsidRPr="00DC4876">
        <w:t> </w:t>
      </w:r>
      <w:r w:rsidR="000B1881" w:rsidRPr="00DC4876">
        <w:t>1 (after item</w:t>
      </w:r>
      <w:r w:rsidR="00DC4876" w:rsidRPr="00DC4876">
        <w:t> </w:t>
      </w:r>
      <w:r w:rsidR="000B1881" w:rsidRPr="00DC4876">
        <w:t>40706)</w:t>
      </w:r>
    </w:p>
    <w:p w:rsidR="000B1881" w:rsidRPr="00DC4876" w:rsidRDefault="000B1881" w:rsidP="000B1881">
      <w:pPr>
        <w:pStyle w:val="Item"/>
      </w:pPr>
      <w:r w:rsidRPr="00DC4876">
        <w:t>Insert:</w:t>
      </w:r>
    </w:p>
    <w:p w:rsidR="000B1881" w:rsidRPr="00DC4876" w:rsidRDefault="000B1881" w:rsidP="000B1881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99"/>
        <w:gridCol w:w="6296"/>
        <w:gridCol w:w="1332"/>
      </w:tblGrid>
      <w:tr w:rsidR="000B1881" w:rsidRPr="00DC4876" w:rsidTr="00CA61CC">
        <w:tc>
          <w:tcPr>
            <w:tcW w:w="527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40707</w:t>
            </w:r>
          </w:p>
        </w:tc>
        <w:tc>
          <w:tcPr>
            <w:tcW w:w="3692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Vagus nerve stimulation therapy through stimulation of the left vagus nerve, electrical analysis and programming of vagus nerve stimulation therapy device using external wand, for:</w:t>
            </w:r>
          </w:p>
          <w:p w:rsidR="000B1881" w:rsidRPr="00DC4876" w:rsidRDefault="000B1881" w:rsidP="00CA61CC">
            <w:pPr>
              <w:pStyle w:val="Tablea"/>
            </w:pPr>
            <w:r w:rsidRPr="00DC4876">
              <w:t>(a) management of refractory generalised epilepsy; or</w:t>
            </w:r>
          </w:p>
          <w:p w:rsidR="000B1881" w:rsidRPr="00DC4876" w:rsidRDefault="000B1881" w:rsidP="00CA61CC">
            <w:pPr>
              <w:pStyle w:val="Tablea"/>
            </w:pPr>
            <w:r w:rsidRPr="00DC4876">
              <w:t>(b) treatment of refractory focal epilepsy not suitable for resective epilepsy surgery</w:t>
            </w:r>
          </w:p>
        </w:tc>
        <w:tc>
          <w:tcPr>
            <w:tcW w:w="781" w:type="pct"/>
            <w:shd w:val="clear" w:color="auto" w:fill="auto"/>
          </w:tcPr>
          <w:p w:rsidR="000B1881" w:rsidRPr="00DC4876" w:rsidRDefault="000B1881" w:rsidP="00D15FC6">
            <w:pPr>
              <w:pStyle w:val="Tabletext"/>
              <w:jc w:val="right"/>
            </w:pPr>
            <w:r w:rsidRPr="00DC4876">
              <w:t>189.70</w:t>
            </w:r>
          </w:p>
        </w:tc>
      </w:tr>
      <w:tr w:rsidR="000B1881" w:rsidRPr="00DC4876" w:rsidTr="00CA61CC">
        <w:tc>
          <w:tcPr>
            <w:tcW w:w="527" w:type="pct"/>
            <w:shd w:val="clear" w:color="auto" w:fill="auto"/>
          </w:tcPr>
          <w:p w:rsidR="000B1881" w:rsidRPr="00DC4876" w:rsidRDefault="000B1881" w:rsidP="00CA61CC">
            <w:pPr>
              <w:pStyle w:val="Tabletext"/>
            </w:pPr>
            <w:r w:rsidRPr="00DC4876">
              <w:t>40708</w:t>
            </w:r>
          </w:p>
        </w:tc>
        <w:tc>
          <w:tcPr>
            <w:tcW w:w="3692" w:type="pct"/>
            <w:shd w:val="clear" w:color="auto" w:fill="auto"/>
          </w:tcPr>
          <w:p w:rsidR="00773481" w:rsidRPr="00DC4876" w:rsidRDefault="000B1881" w:rsidP="00773481">
            <w:pPr>
              <w:pStyle w:val="Tabletext"/>
            </w:pPr>
            <w:r w:rsidRPr="00DC4876">
              <w:t xml:space="preserve">Vagus nerve stimulation therapy through stimulation of the left vagus nerve, </w:t>
            </w:r>
            <w:r w:rsidR="00773481" w:rsidRPr="00DC4876">
              <w:t xml:space="preserve">surgical replacement of battery in </w:t>
            </w:r>
            <w:r w:rsidRPr="00DC4876">
              <w:t>electric</w:t>
            </w:r>
            <w:r w:rsidR="00773481" w:rsidRPr="00DC4876">
              <w:t>al pulse generator inserted for:</w:t>
            </w:r>
          </w:p>
          <w:p w:rsidR="00773481" w:rsidRPr="00DC4876" w:rsidRDefault="00773481" w:rsidP="00773481">
            <w:pPr>
              <w:pStyle w:val="Tablea"/>
            </w:pPr>
            <w:r w:rsidRPr="00DC4876">
              <w:t xml:space="preserve">(a) </w:t>
            </w:r>
            <w:r w:rsidR="000B1881" w:rsidRPr="00DC4876">
              <w:t>management of refractory generalised epilepsy</w:t>
            </w:r>
            <w:r w:rsidRPr="00DC4876">
              <w:t>;</w:t>
            </w:r>
            <w:r w:rsidR="000B1881" w:rsidRPr="00DC4876">
              <w:t xml:space="preserve"> or</w:t>
            </w:r>
          </w:p>
          <w:p w:rsidR="00773481" w:rsidRPr="00DC4876" w:rsidRDefault="00773481" w:rsidP="00773481">
            <w:pPr>
              <w:pStyle w:val="Tablea"/>
            </w:pPr>
            <w:r w:rsidRPr="00DC4876">
              <w:t>(b) treatment of</w:t>
            </w:r>
            <w:r w:rsidR="000B1881" w:rsidRPr="00DC4876">
              <w:t xml:space="preserve"> refractory focal epilepsy not suitable </w:t>
            </w:r>
            <w:r w:rsidRPr="00DC4876">
              <w:t>for resective epilepsy surgery</w:t>
            </w:r>
          </w:p>
          <w:p w:rsidR="000B1881" w:rsidRPr="00DC4876" w:rsidRDefault="000B1881" w:rsidP="00773481">
            <w:pPr>
              <w:pStyle w:val="Tablea"/>
            </w:pPr>
            <w:r w:rsidRPr="00DC4876">
              <w:t>(H) (Anaes.) (Assist.)</w:t>
            </w:r>
          </w:p>
        </w:tc>
        <w:tc>
          <w:tcPr>
            <w:tcW w:w="781" w:type="pct"/>
            <w:shd w:val="clear" w:color="auto" w:fill="auto"/>
          </w:tcPr>
          <w:p w:rsidR="000B1881" w:rsidRPr="00DC4876" w:rsidRDefault="000B1881" w:rsidP="00D15FC6">
            <w:pPr>
              <w:pStyle w:val="Tabletext"/>
              <w:jc w:val="right"/>
            </w:pPr>
            <w:r w:rsidRPr="00DC4876">
              <w:t>340.60</w:t>
            </w:r>
          </w:p>
        </w:tc>
      </w:tr>
    </w:tbl>
    <w:p w:rsidR="00D66682" w:rsidRPr="00DC4876" w:rsidRDefault="00DF7B53" w:rsidP="00D66682">
      <w:pPr>
        <w:pStyle w:val="ItemHead"/>
      </w:pPr>
      <w:r w:rsidRPr="00DC4876">
        <w:t>12</w:t>
      </w:r>
      <w:r w:rsidR="00D66682" w:rsidRPr="00DC4876">
        <w:t xml:space="preserve">  Schedule</w:t>
      </w:r>
      <w:r w:rsidR="00DC4876" w:rsidRPr="00DC4876">
        <w:t> </w:t>
      </w:r>
      <w:r w:rsidR="00D66682" w:rsidRPr="00DC4876">
        <w:t>1 (items</w:t>
      </w:r>
      <w:r w:rsidR="00DC4876" w:rsidRPr="00DC4876">
        <w:t> </w:t>
      </w:r>
      <w:r w:rsidR="00D66682" w:rsidRPr="00DC4876">
        <w:t>50950 and 50952)</w:t>
      </w:r>
    </w:p>
    <w:p w:rsidR="00D66682" w:rsidRPr="00DC4876" w:rsidRDefault="00D66682" w:rsidP="00D66682">
      <w:pPr>
        <w:pStyle w:val="Item"/>
      </w:pPr>
      <w:r w:rsidRPr="00DC4876">
        <w:t xml:space="preserve">Repeal the items (including the </w:t>
      </w:r>
      <w:r w:rsidR="00DF6001" w:rsidRPr="00DC4876">
        <w:t xml:space="preserve">Subgroup 16 </w:t>
      </w:r>
      <w:r w:rsidRPr="00DC4876">
        <w:t>heading), substitute:</w:t>
      </w:r>
    </w:p>
    <w:p w:rsidR="00D66682" w:rsidRPr="00DC4876" w:rsidRDefault="00D66682" w:rsidP="00D6668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8"/>
        <w:gridCol w:w="6337"/>
        <w:gridCol w:w="1332"/>
      </w:tblGrid>
      <w:tr w:rsidR="00D66682" w:rsidRPr="00DC4876" w:rsidTr="000B1881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6682" w:rsidRPr="00DC4876" w:rsidRDefault="00D66682" w:rsidP="004F5E23">
            <w:pPr>
              <w:pStyle w:val="TableHeading"/>
            </w:pPr>
            <w:r w:rsidRPr="00DC4876">
              <w:t>Subgroup 16—Radiofrequency and microwave tissue ablation</w:t>
            </w:r>
          </w:p>
        </w:tc>
      </w:tr>
      <w:tr w:rsidR="00D66682" w:rsidRPr="00DC4876" w:rsidTr="000B1881"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>50950</w:t>
            </w:r>
          </w:p>
        </w:tc>
        <w:tc>
          <w:tcPr>
            <w:tcW w:w="3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>Unresectable primary malignant tumour of the liver, destruction of, by percutaneous radiofrequency ablation or percutan</w:t>
            </w:r>
            <w:r w:rsidR="00CF16CF" w:rsidRPr="00DC4876">
              <w:t>eous microwave tissue ablation (</w:t>
            </w:r>
            <w:r w:rsidRPr="00DC4876">
              <w:t xml:space="preserve">including </w:t>
            </w:r>
            <w:r w:rsidR="00CF16CF" w:rsidRPr="00DC4876">
              <w:t>any associated imaging services),</w:t>
            </w:r>
            <w:r w:rsidRPr="00DC4876">
              <w:t xml:space="preserve"> other than a service associated with a service to which item</w:t>
            </w:r>
            <w:r w:rsidR="00DC4876" w:rsidRPr="00DC4876">
              <w:t> </w:t>
            </w:r>
            <w:r w:rsidRPr="00DC4876">
              <w:t>30419 or 50952 applies (Anaes.)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682" w:rsidRPr="00DC4876" w:rsidRDefault="00D66682" w:rsidP="00D15FC6">
            <w:pPr>
              <w:pStyle w:val="Tabletext"/>
              <w:jc w:val="right"/>
            </w:pPr>
            <w:r w:rsidRPr="00DC4876">
              <w:t>817.10</w:t>
            </w:r>
          </w:p>
        </w:tc>
      </w:tr>
      <w:tr w:rsidR="00D66682" w:rsidRPr="00DC4876" w:rsidTr="000B1881">
        <w:tc>
          <w:tcPr>
            <w:tcW w:w="50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>50952</w:t>
            </w:r>
          </w:p>
        </w:tc>
        <w:tc>
          <w:tcPr>
            <w:tcW w:w="37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6682" w:rsidRPr="00DC4876" w:rsidRDefault="00D66682" w:rsidP="004F5E23">
            <w:pPr>
              <w:pStyle w:val="Tabletext"/>
            </w:pPr>
            <w:r w:rsidRPr="00DC4876">
              <w:t xml:space="preserve">Unresectable primary malignant tumour of the liver, destruction of, by open or laparoscopic radiofrequency ablation or open or </w:t>
            </w:r>
            <w:r w:rsidR="00CF16CF" w:rsidRPr="00DC4876">
              <w:t xml:space="preserve">laparoscopic </w:t>
            </w:r>
            <w:r w:rsidRPr="00DC4876">
              <w:t>microwave tissue ablation</w:t>
            </w:r>
            <w:r w:rsidR="00CF16CF" w:rsidRPr="00DC4876">
              <w:t xml:space="preserve"> (including any associated imaging services)</w:t>
            </w:r>
            <w:r w:rsidRPr="00DC4876">
              <w:t>, if a multi</w:t>
            </w:r>
            <w:r w:rsidR="00DC4876">
              <w:noBreakHyphen/>
            </w:r>
            <w:r w:rsidRPr="00DC4876">
              <w:t>disciplinary team has assessed that percutaneous radiofrequency ablation or percutaneous microwave tissue ablation cannot be performed or is not practical because of one or more of the following clinical circumstances: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>(a) percutaneous access cannot be achieved;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>(b) vital organs or tissues are at risk of damage from the percutaneous radiofrequency ablation or percutan</w:t>
            </w:r>
            <w:r w:rsidR="0083693B" w:rsidRPr="00DC4876">
              <w:t xml:space="preserve">eous microwave tissue ablation </w:t>
            </w:r>
            <w:r w:rsidRPr="00DC4876">
              <w:t>procedure;</w:t>
            </w:r>
          </w:p>
          <w:p w:rsidR="00D66682" w:rsidRPr="00DC4876" w:rsidRDefault="00D66682" w:rsidP="004F5E23">
            <w:pPr>
              <w:pStyle w:val="Tablea"/>
            </w:pPr>
            <w:r w:rsidRPr="00DC4876">
              <w:t xml:space="preserve">(c) resection of one part of the liver is possible, however there is at least one primary </w:t>
            </w:r>
            <w:r w:rsidR="0077652C" w:rsidRPr="00DC4876">
              <w:t>liver tumour in an un</w:t>
            </w:r>
            <w:r w:rsidRPr="00DC4876">
              <w:t>resectable portion of the liver that is suitable for radiofrequency ablati</w:t>
            </w:r>
            <w:r w:rsidR="00CF16CF" w:rsidRPr="00DC4876">
              <w:t>on or microwave tissue ablation</w:t>
            </w:r>
            <w:r w:rsidR="00091B3A" w:rsidRPr="00DC4876">
              <w:t>;</w:t>
            </w:r>
          </w:p>
          <w:p w:rsidR="00D66682" w:rsidRPr="00DC4876" w:rsidRDefault="00D66682" w:rsidP="004F5E23">
            <w:pPr>
              <w:pStyle w:val="Tabletext"/>
            </w:pPr>
            <w:r w:rsidRPr="00DC4876">
              <w:t>other than a service associated with a service to which item</w:t>
            </w:r>
            <w:r w:rsidR="00DC4876" w:rsidRPr="00DC4876">
              <w:t> </w:t>
            </w:r>
            <w:r w:rsidRPr="00DC4876">
              <w:t>30419 or 50950 applies (Anaes.)</w:t>
            </w:r>
          </w:p>
        </w:tc>
        <w:tc>
          <w:tcPr>
            <w:tcW w:w="78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6682" w:rsidRPr="00DC4876" w:rsidRDefault="00D66682" w:rsidP="00D15FC6">
            <w:pPr>
              <w:pStyle w:val="Tabletext"/>
              <w:jc w:val="right"/>
            </w:pPr>
            <w:r w:rsidRPr="00DC4876">
              <w:t>817.10</w:t>
            </w:r>
          </w:p>
        </w:tc>
      </w:tr>
    </w:tbl>
    <w:p w:rsidR="00D66682" w:rsidRPr="00DC4876" w:rsidRDefault="00D66682" w:rsidP="00D66682">
      <w:pPr>
        <w:pStyle w:val="Tabletext"/>
      </w:pPr>
    </w:p>
    <w:p w:rsidR="0019303F" w:rsidRPr="00DC4876" w:rsidRDefault="0019303F">
      <w:pPr>
        <w:sectPr w:rsidR="0019303F" w:rsidRPr="00DC4876" w:rsidSect="00850EC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675" w:right="1797" w:bottom="1440" w:left="1797" w:header="720" w:footer="709" w:gutter="0"/>
          <w:cols w:space="720"/>
          <w:docGrid w:linePitch="299"/>
        </w:sectPr>
      </w:pPr>
    </w:p>
    <w:p w:rsidR="0019303F" w:rsidRPr="00DC4876" w:rsidRDefault="0019303F" w:rsidP="00FF0928"/>
    <w:sectPr w:rsidR="0019303F" w:rsidRPr="00DC4876" w:rsidSect="00850EC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92" w:rsidRDefault="00405392" w:rsidP="0048364F">
      <w:pPr>
        <w:spacing w:line="240" w:lineRule="auto"/>
      </w:pPr>
      <w:r>
        <w:separator/>
      </w:r>
    </w:p>
  </w:endnote>
  <w:endnote w:type="continuationSeparator" w:id="0">
    <w:p w:rsidR="00405392" w:rsidRDefault="004053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850EC3" w:rsidRDefault="00850EC3" w:rsidP="00850E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0EC3">
      <w:rPr>
        <w:i/>
        <w:sz w:val="18"/>
      </w:rPr>
      <w:t>OPC62363 -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D90ABA" w:rsidRDefault="00405392" w:rsidP="001930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05392" w:rsidTr="0019303F">
      <w:tc>
        <w:tcPr>
          <w:tcW w:w="942" w:type="pct"/>
        </w:tcPr>
        <w:p w:rsidR="00405392" w:rsidRDefault="00405392" w:rsidP="004F5E2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364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Default="00405392">
    <w:pPr>
      <w:pBdr>
        <w:top w:val="single" w:sz="6" w:space="1" w:color="auto"/>
      </w:pBdr>
      <w:rPr>
        <w:sz w:val="18"/>
      </w:rPr>
    </w:pPr>
  </w:p>
  <w:p w:rsidR="00405392" w:rsidRDefault="0040539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342AB">
      <w:rPr>
        <w:i/>
        <w:noProof/>
        <w:sz w:val="18"/>
      </w:rPr>
      <w:t>Health Insurance Legislation Amendment (2017 Measures No. 2)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342A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B03543">
      <w:rPr>
        <w:i/>
        <w:noProof/>
        <w:sz w:val="18"/>
      </w:rPr>
      <w:t>12</w:t>
    </w:r>
    <w:r>
      <w:rPr>
        <w:i/>
        <w:sz w:val="18"/>
      </w:rPr>
      <w:fldChar w:fldCharType="end"/>
    </w:r>
  </w:p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1930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05392" w:rsidTr="0019303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543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1930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05392" w:rsidTr="0019303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543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05392" w:rsidTr="0019303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867CE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867C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05392" w:rsidRDefault="00405392" w:rsidP="00867C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543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Default="00405392" w:rsidP="00AC2A34"/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850EC3" w:rsidRDefault="00850EC3" w:rsidP="00850E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0EC3">
      <w:rPr>
        <w:i/>
        <w:sz w:val="18"/>
      </w:rPr>
      <w:t>OPC62363 -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AC2A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5392" w:rsidTr="00DC487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543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AC2A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5392" w:rsidTr="00DC487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2F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AC2A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5392" w:rsidTr="00DC487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364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AC2A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5392" w:rsidTr="004F5E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2F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33C1C" w:rsidRDefault="00405392" w:rsidP="00AC2A3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5392" w:rsidTr="004F5E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3543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D90ABA" w:rsidRDefault="00405392" w:rsidP="001930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05392" w:rsidTr="0019303F">
      <w:tc>
        <w:tcPr>
          <w:tcW w:w="365" w:type="pct"/>
        </w:tcPr>
        <w:p w:rsidR="00405392" w:rsidRDefault="00405392" w:rsidP="004F5E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364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05392" w:rsidRDefault="00405392" w:rsidP="004F5E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2AB">
            <w:rPr>
              <w:i/>
              <w:sz w:val="18"/>
            </w:rPr>
            <w:t>Health Insurance Legislation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05392" w:rsidRDefault="00405392" w:rsidP="004F5E23">
          <w:pPr>
            <w:spacing w:line="0" w:lineRule="atLeast"/>
            <w:jc w:val="right"/>
            <w:rPr>
              <w:sz w:val="18"/>
            </w:rPr>
          </w:pPr>
        </w:p>
      </w:tc>
    </w:tr>
  </w:tbl>
  <w:p w:rsidR="00405392" w:rsidRPr="00850EC3" w:rsidRDefault="00850EC3" w:rsidP="00850EC3">
    <w:pPr>
      <w:rPr>
        <w:rFonts w:cs="Times New Roman"/>
        <w:i/>
        <w:sz w:val="18"/>
      </w:rPr>
    </w:pPr>
    <w:r w:rsidRPr="00850EC3">
      <w:rPr>
        <w:rFonts w:cs="Times New Roman"/>
        <w:i/>
        <w:sz w:val="18"/>
      </w:rPr>
      <w:t>OPC62363 -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92" w:rsidRDefault="00405392" w:rsidP="0048364F">
      <w:pPr>
        <w:spacing w:line="240" w:lineRule="auto"/>
      </w:pPr>
      <w:r>
        <w:separator/>
      </w:r>
    </w:p>
  </w:footnote>
  <w:footnote w:type="continuationSeparator" w:id="0">
    <w:p w:rsidR="00405392" w:rsidRDefault="004053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5F1388" w:rsidRDefault="00405392" w:rsidP="00AC2A3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Default="0040539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6364">
      <w:rPr>
        <w:noProof/>
        <w:sz w:val="20"/>
      </w:rPr>
      <w:t>Other 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6364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05392" w:rsidRDefault="0040539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05392" w:rsidRDefault="00405392" w:rsidP="0019303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Default="0040539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A961C4" w:rsidRDefault="0040539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342AB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342AB">
      <w:rPr>
        <w:noProof/>
        <w:sz w:val="20"/>
      </w:rPr>
      <w:t>Other amendments</w:t>
    </w:r>
    <w:r>
      <w:rPr>
        <w:sz w:val="20"/>
      </w:rPr>
      <w:fldChar w:fldCharType="end"/>
    </w:r>
  </w:p>
  <w:p w:rsidR="00405392" w:rsidRPr="00A961C4" w:rsidRDefault="0040539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05392" w:rsidRPr="00A961C4" w:rsidRDefault="00405392" w:rsidP="0019303F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A961C4" w:rsidRDefault="00405392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342AB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342AB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05392" w:rsidRPr="00A961C4" w:rsidRDefault="00405392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05392" w:rsidRPr="00A961C4" w:rsidRDefault="00405392" w:rsidP="0019303F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A961C4" w:rsidRDefault="00405392" w:rsidP="007220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5F1388" w:rsidRDefault="00405392" w:rsidP="00AC2A3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5F1388" w:rsidRDefault="00405392" w:rsidP="00AC2A3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D79B6" w:rsidRDefault="00405392" w:rsidP="00AC2A3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ED79B6" w:rsidRDefault="00405392" w:rsidP="00AC2A3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A961C4" w:rsidRDefault="00405392" w:rsidP="00AC2A3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A961C4" w:rsidRDefault="00405392" w:rsidP="00AC2A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16364">
      <w:rPr>
        <w:b/>
        <w:sz w:val="20"/>
      </w:rPr>
      <w:fldChar w:fldCharType="separate"/>
    </w:r>
    <w:r w:rsidR="0091636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16364">
      <w:rPr>
        <w:sz w:val="20"/>
      </w:rPr>
      <w:fldChar w:fldCharType="separate"/>
    </w:r>
    <w:r w:rsidR="00916364">
      <w:rPr>
        <w:noProof/>
        <w:sz w:val="20"/>
      </w:rPr>
      <w:t>Medicare Benefits Schedule Review: co-claim restriction</w:t>
    </w:r>
    <w:r>
      <w:rPr>
        <w:sz w:val="20"/>
      </w:rPr>
      <w:fldChar w:fldCharType="end"/>
    </w:r>
  </w:p>
  <w:p w:rsidR="00405392" w:rsidRPr="00A961C4" w:rsidRDefault="00405392" w:rsidP="00AC2A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05392" w:rsidRPr="00A961C4" w:rsidRDefault="00405392" w:rsidP="00AC2A3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Pr="00A961C4" w:rsidRDefault="00405392" w:rsidP="00AC2A3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05392" w:rsidRPr="00A961C4" w:rsidRDefault="00405392" w:rsidP="00AC2A3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05392" w:rsidRPr="00A961C4" w:rsidRDefault="00405392" w:rsidP="00AC2A3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92" w:rsidRDefault="0040539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6364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6364">
      <w:rPr>
        <w:noProof/>
        <w:sz w:val="20"/>
      </w:rPr>
      <w:t>Other amendments</w:t>
    </w:r>
    <w:r>
      <w:rPr>
        <w:sz w:val="20"/>
      </w:rPr>
      <w:fldChar w:fldCharType="end"/>
    </w:r>
  </w:p>
  <w:p w:rsidR="00405392" w:rsidRDefault="004053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05392" w:rsidRDefault="00405392" w:rsidP="0019303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64C4E"/>
    <w:multiLevelType w:val="hybridMultilevel"/>
    <w:tmpl w:val="B76AD79A"/>
    <w:lvl w:ilvl="0" w:tplc="4E5E02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788298B0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83CF2"/>
    <w:multiLevelType w:val="hybridMultilevel"/>
    <w:tmpl w:val="38DE2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60B011C2"/>
    <w:multiLevelType w:val="hybridMultilevel"/>
    <w:tmpl w:val="836667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342D5F"/>
    <w:multiLevelType w:val="hybridMultilevel"/>
    <w:tmpl w:val="27288F2A"/>
    <w:lvl w:ilvl="0" w:tplc="BA2A5C38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86"/>
    <w:rsid w:val="00001233"/>
    <w:rsid w:val="00003154"/>
    <w:rsid w:val="000041C6"/>
    <w:rsid w:val="00004F87"/>
    <w:rsid w:val="00005AEC"/>
    <w:rsid w:val="000063E4"/>
    <w:rsid w:val="00007DEB"/>
    <w:rsid w:val="00011222"/>
    <w:rsid w:val="000113BC"/>
    <w:rsid w:val="00012797"/>
    <w:rsid w:val="000136AF"/>
    <w:rsid w:val="000138B4"/>
    <w:rsid w:val="00013EEF"/>
    <w:rsid w:val="00022A7C"/>
    <w:rsid w:val="00023557"/>
    <w:rsid w:val="00025060"/>
    <w:rsid w:val="000335F9"/>
    <w:rsid w:val="000350D1"/>
    <w:rsid w:val="0004044E"/>
    <w:rsid w:val="00041954"/>
    <w:rsid w:val="000513D1"/>
    <w:rsid w:val="000561A8"/>
    <w:rsid w:val="000614BF"/>
    <w:rsid w:val="000628BF"/>
    <w:rsid w:val="0006615B"/>
    <w:rsid w:val="00072445"/>
    <w:rsid w:val="000749E3"/>
    <w:rsid w:val="00085B03"/>
    <w:rsid w:val="00085DFC"/>
    <w:rsid w:val="00085EB2"/>
    <w:rsid w:val="00091B3A"/>
    <w:rsid w:val="00092EF4"/>
    <w:rsid w:val="000977E3"/>
    <w:rsid w:val="00097802"/>
    <w:rsid w:val="000A1E73"/>
    <w:rsid w:val="000A6505"/>
    <w:rsid w:val="000A734F"/>
    <w:rsid w:val="000B1881"/>
    <w:rsid w:val="000B3214"/>
    <w:rsid w:val="000B5B78"/>
    <w:rsid w:val="000B737B"/>
    <w:rsid w:val="000B7E63"/>
    <w:rsid w:val="000C4E79"/>
    <w:rsid w:val="000D05EF"/>
    <w:rsid w:val="000D2D79"/>
    <w:rsid w:val="000D7639"/>
    <w:rsid w:val="000D7786"/>
    <w:rsid w:val="000E008F"/>
    <w:rsid w:val="000E32D5"/>
    <w:rsid w:val="000F21C1"/>
    <w:rsid w:val="000F662A"/>
    <w:rsid w:val="000F6B02"/>
    <w:rsid w:val="000F7427"/>
    <w:rsid w:val="0010745C"/>
    <w:rsid w:val="00110B51"/>
    <w:rsid w:val="001119F5"/>
    <w:rsid w:val="001128D8"/>
    <w:rsid w:val="00116975"/>
    <w:rsid w:val="001229C2"/>
    <w:rsid w:val="00122FDC"/>
    <w:rsid w:val="00126F1A"/>
    <w:rsid w:val="001364EE"/>
    <w:rsid w:val="001443C6"/>
    <w:rsid w:val="00145242"/>
    <w:rsid w:val="0015210B"/>
    <w:rsid w:val="00154EAC"/>
    <w:rsid w:val="00155776"/>
    <w:rsid w:val="001614B0"/>
    <w:rsid w:val="0016156B"/>
    <w:rsid w:val="001643C9"/>
    <w:rsid w:val="00165568"/>
    <w:rsid w:val="00166C2F"/>
    <w:rsid w:val="001716C9"/>
    <w:rsid w:val="00171EAE"/>
    <w:rsid w:val="00185AD3"/>
    <w:rsid w:val="00187A5A"/>
    <w:rsid w:val="00191655"/>
    <w:rsid w:val="00191859"/>
    <w:rsid w:val="0019303F"/>
    <w:rsid w:val="00193461"/>
    <w:rsid w:val="001939E1"/>
    <w:rsid w:val="00194608"/>
    <w:rsid w:val="00195382"/>
    <w:rsid w:val="001953BA"/>
    <w:rsid w:val="001A26D0"/>
    <w:rsid w:val="001B2C0B"/>
    <w:rsid w:val="001B2CB1"/>
    <w:rsid w:val="001B3097"/>
    <w:rsid w:val="001B3DA6"/>
    <w:rsid w:val="001B7A5D"/>
    <w:rsid w:val="001C447B"/>
    <w:rsid w:val="001C4A8E"/>
    <w:rsid w:val="001C69C4"/>
    <w:rsid w:val="001D23CA"/>
    <w:rsid w:val="001D4229"/>
    <w:rsid w:val="001D44DE"/>
    <w:rsid w:val="001D4E7D"/>
    <w:rsid w:val="001D7E4A"/>
    <w:rsid w:val="001D7F83"/>
    <w:rsid w:val="001E0224"/>
    <w:rsid w:val="001E04A3"/>
    <w:rsid w:val="001E16D0"/>
    <w:rsid w:val="001E3590"/>
    <w:rsid w:val="001E562E"/>
    <w:rsid w:val="001E7407"/>
    <w:rsid w:val="001F6924"/>
    <w:rsid w:val="00200861"/>
    <w:rsid w:val="00200BA0"/>
    <w:rsid w:val="00201420"/>
    <w:rsid w:val="00201D27"/>
    <w:rsid w:val="002072E6"/>
    <w:rsid w:val="0021257A"/>
    <w:rsid w:val="00216E16"/>
    <w:rsid w:val="00221BC1"/>
    <w:rsid w:val="002259A6"/>
    <w:rsid w:val="00225E05"/>
    <w:rsid w:val="00230F2F"/>
    <w:rsid w:val="00231427"/>
    <w:rsid w:val="00235935"/>
    <w:rsid w:val="00237136"/>
    <w:rsid w:val="0023738A"/>
    <w:rsid w:val="0023771B"/>
    <w:rsid w:val="00240749"/>
    <w:rsid w:val="00243DE2"/>
    <w:rsid w:val="00251D7D"/>
    <w:rsid w:val="00254251"/>
    <w:rsid w:val="0026175B"/>
    <w:rsid w:val="00265FBC"/>
    <w:rsid w:val="00266D05"/>
    <w:rsid w:val="002672E1"/>
    <w:rsid w:val="00271DE3"/>
    <w:rsid w:val="00277E34"/>
    <w:rsid w:val="002822CF"/>
    <w:rsid w:val="0029028E"/>
    <w:rsid w:val="00291334"/>
    <w:rsid w:val="00292D23"/>
    <w:rsid w:val="002932B1"/>
    <w:rsid w:val="00294204"/>
    <w:rsid w:val="00295408"/>
    <w:rsid w:val="00297ECB"/>
    <w:rsid w:val="00297FD5"/>
    <w:rsid w:val="002A0FFD"/>
    <w:rsid w:val="002A33F4"/>
    <w:rsid w:val="002A454A"/>
    <w:rsid w:val="002A4D79"/>
    <w:rsid w:val="002A5544"/>
    <w:rsid w:val="002B0AEC"/>
    <w:rsid w:val="002B2731"/>
    <w:rsid w:val="002B3F25"/>
    <w:rsid w:val="002B5678"/>
    <w:rsid w:val="002B5B89"/>
    <w:rsid w:val="002B72C7"/>
    <w:rsid w:val="002B7D96"/>
    <w:rsid w:val="002C3FCE"/>
    <w:rsid w:val="002D043A"/>
    <w:rsid w:val="002D0F73"/>
    <w:rsid w:val="002D19B0"/>
    <w:rsid w:val="002D2FFE"/>
    <w:rsid w:val="002D4FB3"/>
    <w:rsid w:val="002E6694"/>
    <w:rsid w:val="002E7846"/>
    <w:rsid w:val="002F113C"/>
    <w:rsid w:val="002F14A6"/>
    <w:rsid w:val="002F219B"/>
    <w:rsid w:val="002F2435"/>
    <w:rsid w:val="00304E75"/>
    <w:rsid w:val="00304F34"/>
    <w:rsid w:val="0030500F"/>
    <w:rsid w:val="00306C05"/>
    <w:rsid w:val="003072FA"/>
    <w:rsid w:val="003151BA"/>
    <w:rsid w:val="0031586F"/>
    <w:rsid w:val="0031713F"/>
    <w:rsid w:val="0032041A"/>
    <w:rsid w:val="0033030B"/>
    <w:rsid w:val="0033157F"/>
    <w:rsid w:val="00332EF4"/>
    <w:rsid w:val="0034136C"/>
    <w:rsid w:val="003415D3"/>
    <w:rsid w:val="0034263F"/>
    <w:rsid w:val="00343AAC"/>
    <w:rsid w:val="00344AD5"/>
    <w:rsid w:val="00347699"/>
    <w:rsid w:val="0035078A"/>
    <w:rsid w:val="00352B0F"/>
    <w:rsid w:val="00352D21"/>
    <w:rsid w:val="00356A8A"/>
    <w:rsid w:val="00361BD9"/>
    <w:rsid w:val="00362F39"/>
    <w:rsid w:val="00363549"/>
    <w:rsid w:val="00370B3E"/>
    <w:rsid w:val="00374CA9"/>
    <w:rsid w:val="003772AF"/>
    <w:rsid w:val="003801D0"/>
    <w:rsid w:val="0038582A"/>
    <w:rsid w:val="0039228E"/>
    <w:rsid w:val="003926B5"/>
    <w:rsid w:val="003956D3"/>
    <w:rsid w:val="003965A8"/>
    <w:rsid w:val="00396F73"/>
    <w:rsid w:val="003A387E"/>
    <w:rsid w:val="003B04EC"/>
    <w:rsid w:val="003B4B48"/>
    <w:rsid w:val="003B70B1"/>
    <w:rsid w:val="003B7168"/>
    <w:rsid w:val="003C0438"/>
    <w:rsid w:val="003C1662"/>
    <w:rsid w:val="003C420F"/>
    <w:rsid w:val="003C5F2B"/>
    <w:rsid w:val="003D0BFE"/>
    <w:rsid w:val="003D299E"/>
    <w:rsid w:val="003D50F0"/>
    <w:rsid w:val="003D5700"/>
    <w:rsid w:val="003D7833"/>
    <w:rsid w:val="003E26DA"/>
    <w:rsid w:val="003E5FF5"/>
    <w:rsid w:val="003F09EB"/>
    <w:rsid w:val="003F3204"/>
    <w:rsid w:val="003F422D"/>
    <w:rsid w:val="003F4CA9"/>
    <w:rsid w:val="003F567B"/>
    <w:rsid w:val="003F7955"/>
    <w:rsid w:val="004010E7"/>
    <w:rsid w:val="00401403"/>
    <w:rsid w:val="00405392"/>
    <w:rsid w:val="00406CB9"/>
    <w:rsid w:val="004077C4"/>
    <w:rsid w:val="00410DE7"/>
    <w:rsid w:val="004116CD"/>
    <w:rsid w:val="00412B83"/>
    <w:rsid w:val="004135E2"/>
    <w:rsid w:val="0041470C"/>
    <w:rsid w:val="00414C25"/>
    <w:rsid w:val="00421FB6"/>
    <w:rsid w:val="00424CA9"/>
    <w:rsid w:val="00433910"/>
    <w:rsid w:val="00434C6A"/>
    <w:rsid w:val="00435468"/>
    <w:rsid w:val="00435ED0"/>
    <w:rsid w:val="0044291A"/>
    <w:rsid w:val="00447C9D"/>
    <w:rsid w:val="00452270"/>
    <w:rsid w:val="004541B9"/>
    <w:rsid w:val="00460499"/>
    <w:rsid w:val="00461E67"/>
    <w:rsid w:val="00462278"/>
    <w:rsid w:val="00471BA4"/>
    <w:rsid w:val="00471CF2"/>
    <w:rsid w:val="00480FB9"/>
    <w:rsid w:val="0048216C"/>
    <w:rsid w:val="004834AE"/>
    <w:rsid w:val="0048364F"/>
    <w:rsid w:val="00486382"/>
    <w:rsid w:val="00487CBC"/>
    <w:rsid w:val="00493D4D"/>
    <w:rsid w:val="00496F97"/>
    <w:rsid w:val="004A2484"/>
    <w:rsid w:val="004A39E1"/>
    <w:rsid w:val="004A5FD5"/>
    <w:rsid w:val="004B0071"/>
    <w:rsid w:val="004B6153"/>
    <w:rsid w:val="004B7462"/>
    <w:rsid w:val="004C0255"/>
    <w:rsid w:val="004C540E"/>
    <w:rsid w:val="004C55CC"/>
    <w:rsid w:val="004C5B5A"/>
    <w:rsid w:val="004C6444"/>
    <w:rsid w:val="004C6DE1"/>
    <w:rsid w:val="004D512A"/>
    <w:rsid w:val="004F09B6"/>
    <w:rsid w:val="004F1FAC"/>
    <w:rsid w:val="004F2343"/>
    <w:rsid w:val="004F235D"/>
    <w:rsid w:val="004F3A90"/>
    <w:rsid w:val="004F5E23"/>
    <w:rsid w:val="004F676E"/>
    <w:rsid w:val="0050016A"/>
    <w:rsid w:val="00515202"/>
    <w:rsid w:val="00515F24"/>
    <w:rsid w:val="00516B8D"/>
    <w:rsid w:val="00520A1E"/>
    <w:rsid w:val="00520E5B"/>
    <w:rsid w:val="005219A5"/>
    <w:rsid w:val="00521BBC"/>
    <w:rsid w:val="00527ABF"/>
    <w:rsid w:val="00533B4B"/>
    <w:rsid w:val="005346E2"/>
    <w:rsid w:val="00537FBC"/>
    <w:rsid w:val="0054264D"/>
    <w:rsid w:val="00543469"/>
    <w:rsid w:val="00543F9F"/>
    <w:rsid w:val="00545B43"/>
    <w:rsid w:val="00547DC4"/>
    <w:rsid w:val="005527E6"/>
    <w:rsid w:val="00557C7A"/>
    <w:rsid w:val="00563586"/>
    <w:rsid w:val="00570760"/>
    <w:rsid w:val="00573B21"/>
    <w:rsid w:val="0058327F"/>
    <w:rsid w:val="00584811"/>
    <w:rsid w:val="005851A5"/>
    <w:rsid w:val="0058646E"/>
    <w:rsid w:val="005913AD"/>
    <w:rsid w:val="00591E07"/>
    <w:rsid w:val="00593AA6"/>
    <w:rsid w:val="00594161"/>
    <w:rsid w:val="00594749"/>
    <w:rsid w:val="005A1169"/>
    <w:rsid w:val="005A3079"/>
    <w:rsid w:val="005A338F"/>
    <w:rsid w:val="005A4A0B"/>
    <w:rsid w:val="005A616F"/>
    <w:rsid w:val="005A6544"/>
    <w:rsid w:val="005B1F91"/>
    <w:rsid w:val="005B2393"/>
    <w:rsid w:val="005B29A2"/>
    <w:rsid w:val="005B4067"/>
    <w:rsid w:val="005B4608"/>
    <w:rsid w:val="005C034A"/>
    <w:rsid w:val="005C12DE"/>
    <w:rsid w:val="005C3088"/>
    <w:rsid w:val="005C3F41"/>
    <w:rsid w:val="005C410A"/>
    <w:rsid w:val="005C7A17"/>
    <w:rsid w:val="005D3C70"/>
    <w:rsid w:val="005E140B"/>
    <w:rsid w:val="005E2234"/>
    <w:rsid w:val="005E552A"/>
    <w:rsid w:val="005F11B9"/>
    <w:rsid w:val="00600219"/>
    <w:rsid w:val="00607E20"/>
    <w:rsid w:val="00612A24"/>
    <w:rsid w:val="00612F79"/>
    <w:rsid w:val="00613933"/>
    <w:rsid w:val="00613A29"/>
    <w:rsid w:val="00614F89"/>
    <w:rsid w:val="0062106D"/>
    <w:rsid w:val="006210C6"/>
    <w:rsid w:val="00621AAF"/>
    <w:rsid w:val="006249E6"/>
    <w:rsid w:val="00624DE0"/>
    <w:rsid w:val="0062502D"/>
    <w:rsid w:val="00625EB7"/>
    <w:rsid w:val="00626E31"/>
    <w:rsid w:val="006272CB"/>
    <w:rsid w:val="00630733"/>
    <w:rsid w:val="00630E55"/>
    <w:rsid w:val="0063295B"/>
    <w:rsid w:val="006342AB"/>
    <w:rsid w:val="0064468A"/>
    <w:rsid w:val="006509E4"/>
    <w:rsid w:val="00652C22"/>
    <w:rsid w:val="00654CCA"/>
    <w:rsid w:val="00656DE9"/>
    <w:rsid w:val="00663BDD"/>
    <w:rsid w:val="006766D3"/>
    <w:rsid w:val="006776DE"/>
    <w:rsid w:val="00677CC2"/>
    <w:rsid w:val="00680F17"/>
    <w:rsid w:val="00681398"/>
    <w:rsid w:val="00685F42"/>
    <w:rsid w:val="0069207B"/>
    <w:rsid w:val="006937E2"/>
    <w:rsid w:val="0069392E"/>
    <w:rsid w:val="006977FB"/>
    <w:rsid w:val="006A2B9B"/>
    <w:rsid w:val="006A4B19"/>
    <w:rsid w:val="006B262A"/>
    <w:rsid w:val="006B3B53"/>
    <w:rsid w:val="006C0175"/>
    <w:rsid w:val="006C027A"/>
    <w:rsid w:val="006C2C12"/>
    <w:rsid w:val="006C3FFF"/>
    <w:rsid w:val="006C4206"/>
    <w:rsid w:val="006C478D"/>
    <w:rsid w:val="006C4E49"/>
    <w:rsid w:val="006C7F8C"/>
    <w:rsid w:val="006D072B"/>
    <w:rsid w:val="006D3667"/>
    <w:rsid w:val="006D4E91"/>
    <w:rsid w:val="006E004B"/>
    <w:rsid w:val="006E7147"/>
    <w:rsid w:val="006F0DE2"/>
    <w:rsid w:val="006F1242"/>
    <w:rsid w:val="006F319D"/>
    <w:rsid w:val="006F399F"/>
    <w:rsid w:val="006F461C"/>
    <w:rsid w:val="007003F6"/>
    <w:rsid w:val="00700B2C"/>
    <w:rsid w:val="00700F20"/>
    <w:rsid w:val="00701E6A"/>
    <w:rsid w:val="007035A9"/>
    <w:rsid w:val="00704632"/>
    <w:rsid w:val="0070641E"/>
    <w:rsid w:val="00707244"/>
    <w:rsid w:val="00712A09"/>
    <w:rsid w:val="00712C0E"/>
    <w:rsid w:val="00713084"/>
    <w:rsid w:val="00715BF9"/>
    <w:rsid w:val="00722023"/>
    <w:rsid w:val="00723786"/>
    <w:rsid w:val="007275AC"/>
    <w:rsid w:val="00727D23"/>
    <w:rsid w:val="0073064D"/>
    <w:rsid w:val="00731C0D"/>
    <w:rsid w:val="00731E00"/>
    <w:rsid w:val="007440B7"/>
    <w:rsid w:val="007504EC"/>
    <w:rsid w:val="00754A30"/>
    <w:rsid w:val="0075622D"/>
    <w:rsid w:val="00757113"/>
    <w:rsid w:val="00757D32"/>
    <w:rsid w:val="007634AD"/>
    <w:rsid w:val="00764BB0"/>
    <w:rsid w:val="00764FD4"/>
    <w:rsid w:val="00770FE6"/>
    <w:rsid w:val="007715C9"/>
    <w:rsid w:val="00773481"/>
    <w:rsid w:val="00774EDD"/>
    <w:rsid w:val="007757EC"/>
    <w:rsid w:val="0077652C"/>
    <w:rsid w:val="007769D4"/>
    <w:rsid w:val="00782EFA"/>
    <w:rsid w:val="00785AFA"/>
    <w:rsid w:val="00787F1F"/>
    <w:rsid w:val="00790256"/>
    <w:rsid w:val="007903AC"/>
    <w:rsid w:val="007906C8"/>
    <w:rsid w:val="00795C7A"/>
    <w:rsid w:val="007A2811"/>
    <w:rsid w:val="007A7F9F"/>
    <w:rsid w:val="007B5F43"/>
    <w:rsid w:val="007C262C"/>
    <w:rsid w:val="007C61DF"/>
    <w:rsid w:val="007D29B0"/>
    <w:rsid w:val="007D7D87"/>
    <w:rsid w:val="007D7E8A"/>
    <w:rsid w:val="007E6F25"/>
    <w:rsid w:val="007E7D4A"/>
    <w:rsid w:val="007F42C5"/>
    <w:rsid w:val="007F6A4E"/>
    <w:rsid w:val="008011A1"/>
    <w:rsid w:val="008036BD"/>
    <w:rsid w:val="00806DAB"/>
    <w:rsid w:val="00810F05"/>
    <w:rsid w:val="008151B5"/>
    <w:rsid w:val="00821E9F"/>
    <w:rsid w:val="008250AE"/>
    <w:rsid w:val="00825A30"/>
    <w:rsid w:val="0082636F"/>
    <w:rsid w:val="00826DA5"/>
    <w:rsid w:val="00831AD4"/>
    <w:rsid w:val="00832BA0"/>
    <w:rsid w:val="00833416"/>
    <w:rsid w:val="008343EF"/>
    <w:rsid w:val="0083693B"/>
    <w:rsid w:val="00846829"/>
    <w:rsid w:val="0084700B"/>
    <w:rsid w:val="008474BA"/>
    <w:rsid w:val="00850EC3"/>
    <w:rsid w:val="00856A31"/>
    <w:rsid w:val="00860B8C"/>
    <w:rsid w:val="008648AA"/>
    <w:rsid w:val="00867493"/>
    <w:rsid w:val="00867CE3"/>
    <w:rsid w:val="0087206C"/>
    <w:rsid w:val="00874B69"/>
    <w:rsid w:val="008750E4"/>
    <w:rsid w:val="008754D0"/>
    <w:rsid w:val="00877D48"/>
    <w:rsid w:val="00880795"/>
    <w:rsid w:val="00882E86"/>
    <w:rsid w:val="008932D8"/>
    <w:rsid w:val="008935D6"/>
    <w:rsid w:val="008943F4"/>
    <w:rsid w:val="0089783B"/>
    <w:rsid w:val="008A05AF"/>
    <w:rsid w:val="008A098C"/>
    <w:rsid w:val="008A6003"/>
    <w:rsid w:val="008A777D"/>
    <w:rsid w:val="008A77A5"/>
    <w:rsid w:val="008B123A"/>
    <w:rsid w:val="008B1FC2"/>
    <w:rsid w:val="008B65FD"/>
    <w:rsid w:val="008C0B9F"/>
    <w:rsid w:val="008C4B40"/>
    <w:rsid w:val="008C7F18"/>
    <w:rsid w:val="008D0EE0"/>
    <w:rsid w:val="008D15FC"/>
    <w:rsid w:val="008D2342"/>
    <w:rsid w:val="008F07E3"/>
    <w:rsid w:val="008F30CD"/>
    <w:rsid w:val="008F4F1C"/>
    <w:rsid w:val="008F56CC"/>
    <w:rsid w:val="008F7262"/>
    <w:rsid w:val="008F7FC4"/>
    <w:rsid w:val="0090187D"/>
    <w:rsid w:val="00901A20"/>
    <w:rsid w:val="00902522"/>
    <w:rsid w:val="009036FC"/>
    <w:rsid w:val="00907271"/>
    <w:rsid w:val="00910047"/>
    <w:rsid w:val="0091452A"/>
    <w:rsid w:val="009146EB"/>
    <w:rsid w:val="00914C0B"/>
    <w:rsid w:val="00916364"/>
    <w:rsid w:val="00921E90"/>
    <w:rsid w:val="00922232"/>
    <w:rsid w:val="0092551B"/>
    <w:rsid w:val="0092569E"/>
    <w:rsid w:val="00931962"/>
    <w:rsid w:val="00932377"/>
    <w:rsid w:val="00932A33"/>
    <w:rsid w:val="00933DC0"/>
    <w:rsid w:val="00935BCC"/>
    <w:rsid w:val="00936996"/>
    <w:rsid w:val="00937D1D"/>
    <w:rsid w:val="00943B45"/>
    <w:rsid w:val="00944144"/>
    <w:rsid w:val="0094677C"/>
    <w:rsid w:val="00947D5F"/>
    <w:rsid w:val="009576AD"/>
    <w:rsid w:val="00965709"/>
    <w:rsid w:val="009848EC"/>
    <w:rsid w:val="009A1BDE"/>
    <w:rsid w:val="009A4121"/>
    <w:rsid w:val="009A4B5D"/>
    <w:rsid w:val="009A68C4"/>
    <w:rsid w:val="009B3629"/>
    <w:rsid w:val="009B4149"/>
    <w:rsid w:val="009B5FF1"/>
    <w:rsid w:val="009B69CE"/>
    <w:rsid w:val="009C2370"/>
    <w:rsid w:val="009C49D8"/>
    <w:rsid w:val="009D40D2"/>
    <w:rsid w:val="009D7011"/>
    <w:rsid w:val="009E0C5C"/>
    <w:rsid w:val="009E3601"/>
    <w:rsid w:val="009E4949"/>
    <w:rsid w:val="009E6730"/>
    <w:rsid w:val="009E69A1"/>
    <w:rsid w:val="009F423F"/>
    <w:rsid w:val="009F428B"/>
    <w:rsid w:val="009F727E"/>
    <w:rsid w:val="00A06C03"/>
    <w:rsid w:val="00A079B5"/>
    <w:rsid w:val="00A1027A"/>
    <w:rsid w:val="00A2057D"/>
    <w:rsid w:val="00A2245D"/>
    <w:rsid w:val="00A231E2"/>
    <w:rsid w:val="00A23827"/>
    <w:rsid w:val="00A24DB2"/>
    <w:rsid w:val="00A2550D"/>
    <w:rsid w:val="00A26DBE"/>
    <w:rsid w:val="00A278D6"/>
    <w:rsid w:val="00A326A4"/>
    <w:rsid w:val="00A340F1"/>
    <w:rsid w:val="00A40E8B"/>
    <w:rsid w:val="00A4169B"/>
    <w:rsid w:val="00A4361F"/>
    <w:rsid w:val="00A5197F"/>
    <w:rsid w:val="00A532A5"/>
    <w:rsid w:val="00A5605F"/>
    <w:rsid w:val="00A64912"/>
    <w:rsid w:val="00A652D3"/>
    <w:rsid w:val="00A67A25"/>
    <w:rsid w:val="00A70582"/>
    <w:rsid w:val="00A70A74"/>
    <w:rsid w:val="00A71C4E"/>
    <w:rsid w:val="00A74D0B"/>
    <w:rsid w:val="00A74F11"/>
    <w:rsid w:val="00A76D42"/>
    <w:rsid w:val="00A840CE"/>
    <w:rsid w:val="00A842D3"/>
    <w:rsid w:val="00A8451E"/>
    <w:rsid w:val="00A87511"/>
    <w:rsid w:val="00A87AB9"/>
    <w:rsid w:val="00A9021A"/>
    <w:rsid w:val="00A9151D"/>
    <w:rsid w:val="00A91B19"/>
    <w:rsid w:val="00A93983"/>
    <w:rsid w:val="00AA296C"/>
    <w:rsid w:val="00AA31D5"/>
    <w:rsid w:val="00AA3745"/>
    <w:rsid w:val="00AA4E1D"/>
    <w:rsid w:val="00AA6A6A"/>
    <w:rsid w:val="00AB0CEB"/>
    <w:rsid w:val="00AB3315"/>
    <w:rsid w:val="00AB7B41"/>
    <w:rsid w:val="00AC06B3"/>
    <w:rsid w:val="00AC2A34"/>
    <w:rsid w:val="00AC6D1F"/>
    <w:rsid w:val="00AD0203"/>
    <w:rsid w:val="00AD40C2"/>
    <w:rsid w:val="00AD5641"/>
    <w:rsid w:val="00AE50A2"/>
    <w:rsid w:val="00AF0336"/>
    <w:rsid w:val="00AF3046"/>
    <w:rsid w:val="00AF6613"/>
    <w:rsid w:val="00B00902"/>
    <w:rsid w:val="00B0238E"/>
    <w:rsid w:val="00B030F6"/>
    <w:rsid w:val="00B032D8"/>
    <w:rsid w:val="00B03543"/>
    <w:rsid w:val="00B03DAE"/>
    <w:rsid w:val="00B04B2E"/>
    <w:rsid w:val="00B26B03"/>
    <w:rsid w:val="00B332B8"/>
    <w:rsid w:val="00B33446"/>
    <w:rsid w:val="00B33B3C"/>
    <w:rsid w:val="00B402B5"/>
    <w:rsid w:val="00B4095A"/>
    <w:rsid w:val="00B41428"/>
    <w:rsid w:val="00B44332"/>
    <w:rsid w:val="00B444AE"/>
    <w:rsid w:val="00B44657"/>
    <w:rsid w:val="00B46762"/>
    <w:rsid w:val="00B5385D"/>
    <w:rsid w:val="00B61D2C"/>
    <w:rsid w:val="00B63BDE"/>
    <w:rsid w:val="00B655DE"/>
    <w:rsid w:val="00B712B3"/>
    <w:rsid w:val="00B71722"/>
    <w:rsid w:val="00B72856"/>
    <w:rsid w:val="00B776ED"/>
    <w:rsid w:val="00B80086"/>
    <w:rsid w:val="00B83129"/>
    <w:rsid w:val="00B9164B"/>
    <w:rsid w:val="00B95EBE"/>
    <w:rsid w:val="00B96D2E"/>
    <w:rsid w:val="00B97738"/>
    <w:rsid w:val="00BA3CFE"/>
    <w:rsid w:val="00BA5026"/>
    <w:rsid w:val="00BB1214"/>
    <w:rsid w:val="00BB189A"/>
    <w:rsid w:val="00BB2461"/>
    <w:rsid w:val="00BB3ACD"/>
    <w:rsid w:val="00BB57E5"/>
    <w:rsid w:val="00BB6E79"/>
    <w:rsid w:val="00BC079A"/>
    <w:rsid w:val="00BC1DAF"/>
    <w:rsid w:val="00BC2C33"/>
    <w:rsid w:val="00BC4F91"/>
    <w:rsid w:val="00BD27BB"/>
    <w:rsid w:val="00BD60E6"/>
    <w:rsid w:val="00BD624D"/>
    <w:rsid w:val="00BD759A"/>
    <w:rsid w:val="00BE253A"/>
    <w:rsid w:val="00BE6E0B"/>
    <w:rsid w:val="00BE719A"/>
    <w:rsid w:val="00BE720A"/>
    <w:rsid w:val="00BF17EB"/>
    <w:rsid w:val="00BF2E5B"/>
    <w:rsid w:val="00BF326A"/>
    <w:rsid w:val="00BF3A3D"/>
    <w:rsid w:val="00BF4533"/>
    <w:rsid w:val="00BF475D"/>
    <w:rsid w:val="00BF4E0C"/>
    <w:rsid w:val="00C03174"/>
    <w:rsid w:val="00C067E5"/>
    <w:rsid w:val="00C077FB"/>
    <w:rsid w:val="00C07EED"/>
    <w:rsid w:val="00C11563"/>
    <w:rsid w:val="00C1414F"/>
    <w:rsid w:val="00C15528"/>
    <w:rsid w:val="00C164CA"/>
    <w:rsid w:val="00C164D4"/>
    <w:rsid w:val="00C16617"/>
    <w:rsid w:val="00C17F60"/>
    <w:rsid w:val="00C21B63"/>
    <w:rsid w:val="00C22D40"/>
    <w:rsid w:val="00C24235"/>
    <w:rsid w:val="00C271CF"/>
    <w:rsid w:val="00C42BF8"/>
    <w:rsid w:val="00C460AE"/>
    <w:rsid w:val="00C46515"/>
    <w:rsid w:val="00C50043"/>
    <w:rsid w:val="00C50107"/>
    <w:rsid w:val="00C5733F"/>
    <w:rsid w:val="00C62B06"/>
    <w:rsid w:val="00C635B3"/>
    <w:rsid w:val="00C63713"/>
    <w:rsid w:val="00C66A66"/>
    <w:rsid w:val="00C71393"/>
    <w:rsid w:val="00C74880"/>
    <w:rsid w:val="00C74E5E"/>
    <w:rsid w:val="00C7573B"/>
    <w:rsid w:val="00C76309"/>
    <w:rsid w:val="00C76CF3"/>
    <w:rsid w:val="00C77E30"/>
    <w:rsid w:val="00C80995"/>
    <w:rsid w:val="00C814F5"/>
    <w:rsid w:val="00C819C4"/>
    <w:rsid w:val="00C84186"/>
    <w:rsid w:val="00C85FCF"/>
    <w:rsid w:val="00C9023B"/>
    <w:rsid w:val="00CA61CC"/>
    <w:rsid w:val="00CB0180"/>
    <w:rsid w:val="00CB2E76"/>
    <w:rsid w:val="00CB3470"/>
    <w:rsid w:val="00CB3B3F"/>
    <w:rsid w:val="00CB7311"/>
    <w:rsid w:val="00CC2027"/>
    <w:rsid w:val="00CC6873"/>
    <w:rsid w:val="00CD2034"/>
    <w:rsid w:val="00CD606E"/>
    <w:rsid w:val="00CD7ECB"/>
    <w:rsid w:val="00CE1D66"/>
    <w:rsid w:val="00CE3885"/>
    <w:rsid w:val="00CE48DC"/>
    <w:rsid w:val="00CE7442"/>
    <w:rsid w:val="00CF02BF"/>
    <w:rsid w:val="00CF0BB2"/>
    <w:rsid w:val="00CF16CF"/>
    <w:rsid w:val="00CF594C"/>
    <w:rsid w:val="00D0104A"/>
    <w:rsid w:val="00D02FD3"/>
    <w:rsid w:val="00D110DA"/>
    <w:rsid w:val="00D13441"/>
    <w:rsid w:val="00D13B5E"/>
    <w:rsid w:val="00D14A5B"/>
    <w:rsid w:val="00D15FC6"/>
    <w:rsid w:val="00D17B17"/>
    <w:rsid w:val="00D22560"/>
    <w:rsid w:val="00D243A3"/>
    <w:rsid w:val="00D333D9"/>
    <w:rsid w:val="00D33440"/>
    <w:rsid w:val="00D40403"/>
    <w:rsid w:val="00D40825"/>
    <w:rsid w:val="00D42AE0"/>
    <w:rsid w:val="00D4414F"/>
    <w:rsid w:val="00D446BD"/>
    <w:rsid w:val="00D47772"/>
    <w:rsid w:val="00D52EFE"/>
    <w:rsid w:val="00D535FE"/>
    <w:rsid w:val="00D54759"/>
    <w:rsid w:val="00D54C25"/>
    <w:rsid w:val="00D5779F"/>
    <w:rsid w:val="00D601A9"/>
    <w:rsid w:val="00D61298"/>
    <w:rsid w:val="00D63EF6"/>
    <w:rsid w:val="00D6650C"/>
    <w:rsid w:val="00D66682"/>
    <w:rsid w:val="00D70DFB"/>
    <w:rsid w:val="00D73717"/>
    <w:rsid w:val="00D766DF"/>
    <w:rsid w:val="00D800B5"/>
    <w:rsid w:val="00D83D21"/>
    <w:rsid w:val="00D84B58"/>
    <w:rsid w:val="00D91D5F"/>
    <w:rsid w:val="00D925D1"/>
    <w:rsid w:val="00D94931"/>
    <w:rsid w:val="00DA5215"/>
    <w:rsid w:val="00DA6B6A"/>
    <w:rsid w:val="00DB2254"/>
    <w:rsid w:val="00DB38B0"/>
    <w:rsid w:val="00DB56DB"/>
    <w:rsid w:val="00DC2579"/>
    <w:rsid w:val="00DC4876"/>
    <w:rsid w:val="00DC6629"/>
    <w:rsid w:val="00DD1031"/>
    <w:rsid w:val="00DD17DC"/>
    <w:rsid w:val="00DE0243"/>
    <w:rsid w:val="00DE2F4F"/>
    <w:rsid w:val="00DE60FE"/>
    <w:rsid w:val="00DF6001"/>
    <w:rsid w:val="00DF7B53"/>
    <w:rsid w:val="00E05704"/>
    <w:rsid w:val="00E05C46"/>
    <w:rsid w:val="00E07F47"/>
    <w:rsid w:val="00E14861"/>
    <w:rsid w:val="00E238A2"/>
    <w:rsid w:val="00E2395C"/>
    <w:rsid w:val="00E30206"/>
    <w:rsid w:val="00E311B7"/>
    <w:rsid w:val="00E33C1C"/>
    <w:rsid w:val="00E34ABB"/>
    <w:rsid w:val="00E34D9C"/>
    <w:rsid w:val="00E40994"/>
    <w:rsid w:val="00E42329"/>
    <w:rsid w:val="00E42EFC"/>
    <w:rsid w:val="00E43D8A"/>
    <w:rsid w:val="00E440CB"/>
    <w:rsid w:val="00E443FC"/>
    <w:rsid w:val="00E44445"/>
    <w:rsid w:val="00E45FE7"/>
    <w:rsid w:val="00E473BA"/>
    <w:rsid w:val="00E476B8"/>
    <w:rsid w:val="00E5200D"/>
    <w:rsid w:val="00E52016"/>
    <w:rsid w:val="00E52E28"/>
    <w:rsid w:val="00E54292"/>
    <w:rsid w:val="00E55BCD"/>
    <w:rsid w:val="00E56099"/>
    <w:rsid w:val="00E5660E"/>
    <w:rsid w:val="00E5675F"/>
    <w:rsid w:val="00E60385"/>
    <w:rsid w:val="00E653D7"/>
    <w:rsid w:val="00E67844"/>
    <w:rsid w:val="00E73EC4"/>
    <w:rsid w:val="00E74DC7"/>
    <w:rsid w:val="00E76C7C"/>
    <w:rsid w:val="00E76FAB"/>
    <w:rsid w:val="00E80AEE"/>
    <w:rsid w:val="00E83E2E"/>
    <w:rsid w:val="00E84B32"/>
    <w:rsid w:val="00E87699"/>
    <w:rsid w:val="00E918BF"/>
    <w:rsid w:val="00E92249"/>
    <w:rsid w:val="00E943EE"/>
    <w:rsid w:val="00E94B09"/>
    <w:rsid w:val="00EA1830"/>
    <w:rsid w:val="00EA7203"/>
    <w:rsid w:val="00EA7494"/>
    <w:rsid w:val="00EA7C3E"/>
    <w:rsid w:val="00EB4CF7"/>
    <w:rsid w:val="00EC03B6"/>
    <w:rsid w:val="00EC6EEC"/>
    <w:rsid w:val="00ED3333"/>
    <w:rsid w:val="00ED3A7D"/>
    <w:rsid w:val="00ED419E"/>
    <w:rsid w:val="00ED444C"/>
    <w:rsid w:val="00ED69BF"/>
    <w:rsid w:val="00ED7AF3"/>
    <w:rsid w:val="00EE33EC"/>
    <w:rsid w:val="00EE3BFF"/>
    <w:rsid w:val="00EE682C"/>
    <w:rsid w:val="00EF05BB"/>
    <w:rsid w:val="00EF2E3A"/>
    <w:rsid w:val="00EF33AA"/>
    <w:rsid w:val="00EF388F"/>
    <w:rsid w:val="00F00E54"/>
    <w:rsid w:val="00F047E2"/>
    <w:rsid w:val="00F065E4"/>
    <w:rsid w:val="00F078DC"/>
    <w:rsid w:val="00F07DE4"/>
    <w:rsid w:val="00F13E86"/>
    <w:rsid w:val="00F15701"/>
    <w:rsid w:val="00F20E12"/>
    <w:rsid w:val="00F233DE"/>
    <w:rsid w:val="00F24C35"/>
    <w:rsid w:val="00F26299"/>
    <w:rsid w:val="00F274C8"/>
    <w:rsid w:val="00F31E3E"/>
    <w:rsid w:val="00F32C42"/>
    <w:rsid w:val="00F34A45"/>
    <w:rsid w:val="00F37335"/>
    <w:rsid w:val="00F44658"/>
    <w:rsid w:val="00F50BB6"/>
    <w:rsid w:val="00F52EB6"/>
    <w:rsid w:val="00F52FD9"/>
    <w:rsid w:val="00F54D9D"/>
    <w:rsid w:val="00F56759"/>
    <w:rsid w:val="00F6158C"/>
    <w:rsid w:val="00F63D81"/>
    <w:rsid w:val="00F677A9"/>
    <w:rsid w:val="00F70163"/>
    <w:rsid w:val="00F70260"/>
    <w:rsid w:val="00F71D81"/>
    <w:rsid w:val="00F773CA"/>
    <w:rsid w:val="00F84CF5"/>
    <w:rsid w:val="00FA420B"/>
    <w:rsid w:val="00FA4528"/>
    <w:rsid w:val="00FA5059"/>
    <w:rsid w:val="00FB03B3"/>
    <w:rsid w:val="00FB0C45"/>
    <w:rsid w:val="00FB192C"/>
    <w:rsid w:val="00FB7536"/>
    <w:rsid w:val="00FC308E"/>
    <w:rsid w:val="00FC6451"/>
    <w:rsid w:val="00FD044C"/>
    <w:rsid w:val="00FD0618"/>
    <w:rsid w:val="00FD109D"/>
    <w:rsid w:val="00FD1BFD"/>
    <w:rsid w:val="00FD48FA"/>
    <w:rsid w:val="00FD508D"/>
    <w:rsid w:val="00FD7CFE"/>
    <w:rsid w:val="00FE0CA7"/>
    <w:rsid w:val="00FE304F"/>
    <w:rsid w:val="00FF01EA"/>
    <w:rsid w:val="00FF0928"/>
    <w:rsid w:val="00FF3089"/>
    <w:rsid w:val="00FF3B04"/>
    <w:rsid w:val="00FF4275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8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8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8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8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48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8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8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4876"/>
  </w:style>
  <w:style w:type="paragraph" w:customStyle="1" w:styleId="OPCParaBase">
    <w:name w:val="OPCParaBase"/>
    <w:qFormat/>
    <w:rsid w:val="00DC48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48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48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48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48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48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48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48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48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48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48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4876"/>
  </w:style>
  <w:style w:type="paragraph" w:customStyle="1" w:styleId="Blocks">
    <w:name w:val="Blocks"/>
    <w:aliases w:val="bb"/>
    <w:basedOn w:val="OPCParaBase"/>
    <w:qFormat/>
    <w:rsid w:val="00DC48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48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4876"/>
    <w:rPr>
      <w:i/>
    </w:rPr>
  </w:style>
  <w:style w:type="paragraph" w:customStyle="1" w:styleId="BoxList">
    <w:name w:val="BoxList"/>
    <w:aliases w:val="bl"/>
    <w:basedOn w:val="BoxText"/>
    <w:qFormat/>
    <w:rsid w:val="00DC48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48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48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4876"/>
    <w:pPr>
      <w:ind w:left="1985" w:hanging="851"/>
    </w:pPr>
  </w:style>
  <w:style w:type="character" w:customStyle="1" w:styleId="CharAmPartNo">
    <w:name w:val="CharAmPartNo"/>
    <w:basedOn w:val="OPCCharBase"/>
    <w:qFormat/>
    <w:rsid w:val="00DC4876"/>
  </w:style>
  <w:style w:type="character" w:customStyle="1" w:styleId="CharAmPartText">
    <w:name w:val="CharAmPartText"/>
    <w:basedOn w:val="OPCCharBase"/>
    <w:qFormat/>
    <w:rsid w:val="00DC4876"/>
  </w:style>
  <w:style w:type="character" w:customStyle="1" w:styleId="CharAmSchNo">
    <w:name w:val="CharAmSchNo"/>
    <w:basedOn w:val="OPCCharBase"/>
    <w:qFormat/>
    <w:rsid w:val="00DC4876"/>
  </w:style>
  <w:style w:type="character" w:customStyle="1" w:styleId="CharAmSchText">
    <w:name w:val="CharAmSchText"/>
    <w:basedOn w:val="OPCCharBase"/>
    <w:qFormat/>
    <w:rsid w:val="00DC4876"/>
  </w:style>
  <w:style w:type="character" w:customStyle="1" w:styleId="CharBoldItalic">
    <w:name w:val="CharBoldItalic"/>
    <w:basedOn w:val="OPCCharBase"/>
    <w:uiPriority w:val="1"/>
    <w:qFormat/>
    <w:rsid w:val="00DC48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4876"/>
  </w:style>
  <w:style w:type="character" w:customStyle="1" w:styleId="CharChapText">
    <w:name w:val="CharChapText"/>
    <w:basedOn w:val="OPCCharBase"/>
    <w:uiPriority w:val="1"/>
    <w:qFormat/>
    <w:rsid w:val="00DC4876"/>
  </w:style>
  <w:style w:type="character" w:customStyle="1" w:styleId="CharDivNo">
    <w:name w:val="CharDivNo"/>
    <w:basedOn w:val="OPCCharBase"/>
    <w:uiPriority w:val="1"/>
    <w:qFormat/>
    <w:rsid w:val="00DC4876"/>
  </w:style>
  <w:style w:type="character" w:customStyle="1" w:styleId="CharDivText">
    <w:name w:val="CharDivText"/>
    <w:basedOn w:val="OPCCharBase"/>
    <w:uiPriority w:val="1"/>
    <w:qFormat/>
    <w:rsid w:val="00DC4876"/>
  </w:style>
  <w:style w:type="character" w:customStyle="1" w:styleId="CharItalic">
    <w:name w:val="CharItalic"/>
    <w:basedOn w:val="OPCCharBase"/>
    <w:uiPriority w:val="1"/>
    <w:qFormat/>
    <w:rsid w:val="00DC4876"/>
    <w:rPr>
      <w:i/>
    </w:rPr>
  </w:style>
  <w:style w:type="character" w:customStyle="1" w:styleId="CharPartNo">
    <w:name w:val="CharPartNo"/>
    <w:basedOn w:val="OPCCharBase"/>
    <w:uiPriority w:val="1"/>
    <w:qFormat/>
    <w:rsid w:val="00DC4876"/>
  </w:style>
  <w:style w:type="character" w:customStyle="1" w:styleId="CharPartText">
    <w:name w:val="CharPartText"/>
    <w:basedOn w:val="OPCCharBase"/>
    <w:uiPriority w:val="1"/>
    <w:qFormat/>
    <w:rsid w:val="00DC4876"/>
  </w:style>
  <w:style w:type="character" w:customStyle="1" w:styleId="CharSectno">
    <w:name w:val="CharSectno"/>
    <w:basedOn w:val="OPCCharBase"/>
    <w:qFormat/>
    <w:rsid w:val="00DC4876"/>
  </w:style>
  <w:style w:type="character" w:customStyle="1" w:styleId="CharSubdNo">
    <w:name w:val="CharSubdNo"/>
    <w:basedOn w:val="OPCCharBase"/>
    <w:uiPriority w:val="1"/>
    <w:qFormat/>
    <w:rsid w:val="00DC4876"/>
  </w:style>
  <w:style w:type="character" w:customStyle="1" w:styleId="CharSubdText">
    <w:name w:val="CharSubdText"/>
    <w:basedOn w:val="OPCCharBase"/>
    <w:uiPriority w:val="1"/>
    <w:qFormat/>
    <w:rsid w:val="00DC4876"/>
  </w:style>
  <w:style w:type="paragraph" w:customStyle="1" w:styleId="CTA--">
    <w:name w:val="CTA --"/>
    <w:basedOn w:val="OPCParaBase"/>
    <w:next w:val="Normal"/>
    <w:rsid w:val="00DC48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48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48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48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48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48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48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48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48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48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48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48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48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48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48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48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48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48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48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48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48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48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48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48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48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48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48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48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48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48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48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48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48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48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48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48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48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48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48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48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48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48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48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48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48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48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48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48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48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48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48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48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48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48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48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48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48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487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48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487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C487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487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487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48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48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48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48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48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48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48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48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4876"/>
    <w:rPr>
      <w:sz w:val="16"/>
    </w:rPr>
  </w:style>
  <w:style w:type="table" w:customStyle="1" w:styleId="CFlag">
    <w:name w:val="CFlag"/>
    <w:basedOn w:val="TableNormal"/>
    <w:uiPriority w:val="99"/>
    <w:rsid w:val="00DC48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C4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C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48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48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48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48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48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487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C48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48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48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C487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C48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48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48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48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C48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48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48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48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48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48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C48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48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4876"/>
  </w:style>
  <w:style w:type="character" w:customStyle="1" w:styleId="CharSubPartNoCASA">
    <w:name w:val="CharSubPartNo(CASA)"/>
    <w:basedOn w:val="OPCCharBase"/>
    <w:uiPriority w:val="1"/>
    <w:rsid w:val="00DC4876"/>
  </w:style>
  <w:style w:type="paragraph" w:customStyle="1" w:styleId="ENoteTTIndentHeadingSub">
    <w:name w:val="ENoteTTIndentHeadingSub"/>
    <w:aliases w:val="enTTHis"/>
    <w:basedOn w:val="OPCParaBase"/>
    <w:rsid w:val="00DC48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48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48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48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48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30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4876"/>
    <w:rPr>
      <w:sz w:val="22"/>
    </w:rPr>
  </w:style>
  <w:style w:type="paragraph" w:customStyle="1" w:styleId="SOTextNote">
    <w:name w:val="SO TextNote"/>
    <w:aliases w:val="sont"/>
    <w:basedOn w:val="SOText"/>
    <w:qFormat/>
    <w:rsid w:val="00DC48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48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4876"/>
    <w:rPr>
      <w:sz w:val="22"/>
    </w:rPr>
  </w:style>
  <w:style w:type="paragraph" w:customStyle="1" w:styleId="FileName">
    <w:name w:val="FileName"/>
    <w:basedOn w:val="Normal"/>
    <w:rsid w:val="00DC4876"/>
  </w:style>
  <w:style w:type="paragraph" w:customStyle="1" w:styleId="TableHeading">
    <w:name w:val="TableHeading"/>
    <w:aliases w:val="th"/>
    <w:basedOn w:val="OPCParaBase"/>
    <w:next w:val="Tabletext"/>
    <w:rsid w:val="00DC48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48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48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48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48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48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48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48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48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48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48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48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48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8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8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8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48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8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8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8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8343EF"/>
    <w:rPr>
      <w:rFonts w:eastAsia="Times New Roman" w:cs="Times New Roman"/>
      <w:sz w:val="24"/>
    </w:rPr>
  </w:style>
  <w:style w:type="paragraph" w:customStyle="1" w:styleId="ENotesText">
    <w:name w:val="ENotesText"/>
    <w:aliases w:val="Ent"/>
    <w:basedOn w:val="OPCParaBase"/>
    <w:next w:val="Normal"/>
    <w:rsid w:val="00DC4876"/>
    <w:pPr>
      <w:spacing w:before="120"/>
    </w:pPr>
  </w:style>
  <w:style w:type="paragraph" w:customStyle="1" w:styleId="TableTextEndNotes">
    <w:name w:val="TableTextEndNotes"/>
    <w:aliases w:val="Tten"/>
    <w:basedOn w:val="Normal"/>
    <w:rsid w:val="00DC4876"/>
    <w:pPr>
      <w:spacing w:before="60" w:line="240" w:lineRule="auto"/>
    </w:pPr>
    <w:rPr>
      <w:rFonts w:cs="Arial"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822C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5C7A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5C7A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8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8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8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8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48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8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8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4876"/>
  </w:style>
  <w:style w:type="paragraph" w:customStyle="1" w:styleId="OPCParaBase">
    <w:name w:val="OPCParaBase"/>
    <w:qFormat/>
    <w:rsid w:val="00DC48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48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48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48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48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48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48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48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48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48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48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4876"/>
  </w:style>
  <w:style w:type="paragraph" w:customStyle="1" w:styleId="Blocks">
    <w:name w:val="Blocks"/>
    <w:aliases w:val="bb"/>
    <w:basedOn w:val="OPCParaBase"/>
    <w:qFormat/>
    <w:rsid w:val="00DC48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48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4876"/>
    <w:rPr>
      <w:i/>
    </w:rPr>
  </w:style>
  <w:style w:type="paragraph" w:customStyle="1" w:styleId="BoxList">
    <w:name w:val="BoxList"/>
    <w:aliases w:val="bl"/>
    <w:basedOn w:val="BoxText"/>
    <w:qFormat/>
    <w:rsid w:val="00DC48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48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48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4876"/>
    <w:pPr>
      <w:ind w:left="1985" w:hanging="851"/>
    </w:pPr>
  </w:style>
  <w:style w:type="character" w:customStyle="1" w:styleId="CharAmPartNo">
    <w:name w:val="CharAmPartNo"/>
    <w:basedOn w:val="OPCCharBase"/>
    <w:qFormat/>
    <w:rsid w:val="00DC4876"/>
  </w:style>
  <w:style w:type="character" w:customStyle="1" w:styleId="CharAmPartText">
    <w:name w:val="CharAmPartText"/>
    <w:basedOn w:val="OPCCharBase"/>
    <w:qFormat/>
    <w:rsid w:val="00DC4876"/>
  </w:style>
  <w:style w:type="character" w:customStyle="1" w:styleId="CharAmSchNo">
    <w:name w:val="CharAmSchNo"/>
    <w:basedOn w:val="OPCCharBase"/>
    <w:qFormat/>
    <w:rsid w:val="00DC4876"/>
  </w:style>
  <w:style w:type="character" w:customStyle="1" w:styleId="CharAmSchText">
    <w:name w:val="CharAmSchText"/>
    <w:basedOn w:val="OPCCharBase"/>
    <w:qFormat/>
    <w:rsid w:val="00DC4876"/>
  </w:style>
  <w:style w:type="character" w:customStyle="1" w:styleId="CharBoldItalic">
    <w:name w:val="CharBoldItalic"/>
    <w:basedOn w:val="OPCCharBase"/>
    <w:uiPriority w:val="1"/>
    <w:qFormat/>
    <w:rsid w:val="00DC48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4876"/>
  </w:style>
  <w:style w:type="character" w:customStyle="1" w:styleId="CharChapText">
    <w:name w:val="CharChapText"/>
    <w:basedOn w:val="OPCCharBase"/>
    <w:uiPriority w:val="1"/>
    <w:qFormat/>
    <w:rsid w:val="00DC4876"/>
  </w:style>
  <w:style w:type="character" w:customStyle="1" w:styleId="CharDivNo">
    <w:name w:val="CharDivNo"/>
    <w:basedOn w:val="OPCCharBase"/>
    <w:uiPriority w:val="1"/>
    <w:qFormat/>
    <w:rsid w:val="00DC4876"/>
  </w:style>
  <w:style w:type="character" w:customStyle="1" w:styleId="CharDivText">
    <w:name w:val="CharDivText"/>
    <w:basedOn w:val="OPCCharBase"/>
    <w:uiPriority w:val="1"/>
    <w:qFormat/>
    <w:rsid w:val="00DC4876"/>
  </w:style>
  <w:style w:type="character" w:customStyle="1" w:styleId="CharItalic">
    <w:name w:val="CharItalic"/>
    <w:basedOn w:val="OPCCharBase"/>
    <w:uiPriority w:val="1"/>
    <w:qFormat/>
    <w:rsid w:val="00DC4876"/>
    <w:rPr>
      <w:i/>
    </w:rPr>
  </w:style>
  <w:style w:type="character" w:customStyle="1" w:styleId="CharPartNo">
    <w:name w:val="CharPartNo"/>
    <w:basedOn w:val="OPCCharBase"/>
    <w:uiPriority w:val="1"/>
    <w:qFormat/>
    <w:rsid w:val="00DC4876"/>
  </w:style>
  <w:style w:type="character" w:customStyle="1" w:styleId="CharPartText">
    <w:name w:val="CharPartText"/>
    <w:basedOn w:val="OPCCharBase"/>
    <w:uiPriority w:val="1"/>
    <w:qFormat/>
    <w:rsid w:val="00DC4876"/>
  </w:style>
  <w:style w:type="character" w:customStyle="1" w:styleId="CharSectno">
    <w:name w:val="CharSectno"/>
    <w:basedOn w:val="OPCCharBase"/>
    <w:qFormat/>
    <w:rsid w:val="00DC4876"/>
  </w:style>
  <w:style w:type="character" w:customStyle="1" w:styleId="CharSubdNo">
    <w:name w:val="CharSubdNo"/>
    <w:basedOn w:val="OPCCharBase"/>
    <w:uiPriority w:val="1"/>
    <w:qFormat/>
    <w:rsid w:val="00DC4876"/>
  </w:style>
  <w:style w:type="character" w:customStyle="1" w:styleId="CharSubdText">
    <w:name w:val="CharSubdText"/>
    <w:basedOn w:val="OPCCharBase"/>
    <w:uiPriority w:val="1"/>
    <w:qFormat/>
    <w:rsid w:val="00DC4876"/>
  </w:style>
  <w:style w:type="paragraph" w:customStyle="1" w:styleId="CTA--">
    <w:name w:val="CTA --"/>
    <w:basedOn w:val="OPCParaBase"/>
    <w:next w:val="Normal"/>
    <w:rsid w:val="00DC48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48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48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48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48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48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48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48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48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48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48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48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48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48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48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48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48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48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48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48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48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48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48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48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48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48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48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48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48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48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48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48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48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48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48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48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48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48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48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48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48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48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48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48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48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48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48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48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48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48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48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48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48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48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48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48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48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487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48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487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C487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487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487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48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48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48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48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48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48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48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48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4876"/>
    <w:rPr>
      <w:sz w:val="16"/>
    </w:rPr>
  </w:style>
  <w:style w:type="table" w:customStyle="1" w:styleId="CFlag">
    <w:name w:val="CFlag"/>
    <w:basedOn w:val="TableNormal"/>
    <w:uiPriority w:val="99"/>
    <w:rsid w:val="00DC48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C4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C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48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48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48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48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48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487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C48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48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48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C487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C48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48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48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48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C48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48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48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48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48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48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C48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48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4876"/>
  </w:style>
  <w:style w:type="character" w:customStyle="1" w:styleId="CharSubPartNoCASA">
    <w:name w:val="CharSubPartNo(CASA)"/>
    <w:basedOn w:val="OPCCharBase"/>
    <w:uiPriority w:val="1"/>
    <w:rsid w:val="00DC4876"/>
  </w:style>
  <w:style w:type="paragraph" w:customStyle="1" w:styleId="ENoteTTIndentHeadingSub">
    <w:name w:val="ENoteTTIndentHeadingSub"/>
    <w:aliases w:val="enTTHis"/>
    <w:basedOn w:val="OPCParaBase"/>
    <w:rsid w:val="00DC48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48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48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48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48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30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4876"/>
    <w:rPr>
      <w:sz w:val="22"/>
    </w:rPr>
  </w:style>
  <w:style w:type="paragraph" w:customStyle="1" w:styleId="SOTextNote">
    <w:name w:val="SO TextNote"/>
    <w:aliases w:val="sont"/>
    <w:basedOn w:val="SOText"/>
    <w:qFormat/>
    <w:rsid w:val="00DC48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48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4876"/>
    <w:rPr>
      <w:sz w:val="22"/>
    </w:rPr>
  </w:style>
  <w:style w:type="paragraph" w:customStyle="1" w:styleId="FileName">
    <w:name w:val="FileName"/>
    <w:basedOn w:val="Normal"/>
    <w:rsid w:val="00DC4876"/>
  </w:style>
  <w:style w:type="paragraph" w:customStyle="1" w:styleId="TableHeading">
    <w:name w:val="TableHeading"/>
    <w:aliases w:val="th"/>
    <w:basedOn w:val="OPCParaBase"/>
    <w:next w:val="Tabletext"/>
    <w:rsid w:val="00DC48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48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48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48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48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48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48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48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48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48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48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48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48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48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8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8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8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48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8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8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8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8343EF"/>
    <w:rPr>
      <w:rFonts w:eastAsia="Times New Roman" w:cs="Times New Roman"/>
      <w:sz w:val="24"/>
    </w:rPr>
  </w:style>
  <w:style w:type="paragraph" w:customStyle="1" w:styleId="ENotesText">
    <w:name w:val="ENotesText"/>
    <w:aliases w:val="Ent"/>
    <w:basedOn w:val="OPCParaBase"/>
    <w:next w:val="Normal"/>
    <w:rsid w:val="00DC4876"/>
    <w:pPr>
      <w:spacing w:before="120"/>
    </w:pPr>
  </w:style>
  <w:style w:type="paragraph" w:customStyle="1" w:styleId="TableTextEndNotes">
    <w:name w:val="TableTextEndNotes"/>
    <w:aliases w:val="Tten"/>
    <w:basedOn w:val="Normal"/>
    <w:rsid w:val="00DC4876"/>
    <w:pPr>
      <w:spacing w:before="60" w:line="240" w:lineRule="auto"/>
    </w:pPr>
    <w:rPr>
      <w:rFonts w:cs="Arial"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822C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5C7A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5C7A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18</Pages>
  <Words>3912</Words>
  <Characters>21171</Characters>
  <Application>Microsoft Office Word</Application>
  <DocSecurity>0</DocSecurity>
  <PresentationFormat/>
  <Lines>616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(2017 Measures No. 2) Regulations 2017</vt:lpstr>
    </vt:vector>
  </TitlesOfParts>
  <Manager/>
  <Company/>
  <LinksUpToDate>false</LinksUpToDate>
  <CharactersWithSpaces>24794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2017-07-26T02:38:00Z</cp:lastPrinted>
  <dcterms:created xsi:type="dcterms:W3CDTF">2017-10-03T02:28:00Z</dcterms:created>
  <dcterms:modified xsi:type="dcterms:W3CDTF">2017-10-03T02:28:00Z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 Insurance Legislation Amendment (2017 Measures No. 2)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October 2017</vt:lpwstr>
  </property>
  <property fmtid="{D5CDD505-2E9C-101B-9397-08002B2CF9AE}" pid="10" name="Authority">
    <vt:lpwstr/>
  </property>
  <property fmtid="{D5CDD505-2E9C-101B-9397-08002B2CF9AE}" pid="11" name="ID">
    <vt:lpwstr>OPC62363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09 October 2017</vt:lpwstr>
  </property>
</Properties>
</file>