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C3" w:rsidRPr="00271B14" w:rsidRDefault="00BC6AC3" w:rsidP="00271B14">
      <w:pPr>
        <w:jc w:val="center"/>
        <w:rPr>
          <w:b/>
          <w:bCs/>
          <w:sz w:val="40"/>
        </w:rPr>
      </w:pPr>
    </w:p>
    <w:p w:rsidR="00BA4F48" w:rsidRPr="00271B14" w:rsidRDefault="00BA4F48" w:rsidP="00271B14">
      <w:pPr>
        <w:jc w:val="center"/>
        <w:rPr>
          <w:b/>
          <w:sz w:val="40"/>
          <w:szCs w:val="40"/>
        </w:rPr>
      </w:pPr>
      <w:r w:rsidRPr="00271B14">
        <w:rPr>
          <w:b/>
          <w:sz w:val="40"/>
          <w:szCs w:val="40"/>
        </w:rPr>
        <w:t>Vehicle Standard (Australian Design Rule </w:t>
      </w:r>
      <w:r w:rsidR="009E6091" w:rsidRPr="00271B14">
        <w:rPr>
          <w:b/>
          <w:sz w:val="40"/>
          <w:szCs w:val="40"/>
        </w:rPr>
        <w:t>3</w:t>
      </w:r>
      <w:r w:rsidR="003E4389">
        <w:rPr>
          <w:b/>
          <w:sz w:val="40"/>
          <w:szCs w:val="40"/>
        </w:rPr>
        <w:t>4</w:t>
      </w:r>
      <w:r w:rsidR="009E6091" w:rsidRPr="00271B14">
        <w:rPr>
          <w:b/>
          <w:sz w:val="40"/>
          <w:szCs w:val="40"/>
        </w:rPr>
        <w:t>/0</w:t>
      </w:r>
      <w:r w:rsidR="003E4389">
        <w:rPr>
          <w:b/>
          <w:sz w:val="40"/>
          <w:szCs w:val="40"/>
        </w:rPr>
        <w:t>3</w:t>
      </w:r>
      <w:r w:rsidR="00BA233E" w:rsidRPr="00271B14">
        <w:rPr>
          <w:b/>
          <w:sz w:val="40"/>
          <w:szCs w:val="40"/>
        </w:rPr>
        <w:t xml:space="preserve"> –</w:t>
      </w:r>
      <w:r w:rsidR="004D0B7A" w:rsidRPr="00271B14">
        <w:rPr>
          <w:b/>
          <w:sz w:val="40"/>
          <w:szCs w:val="40"/>
        </w:rPr>
        <w:t xml:space="preserve"> </w:t>
      </w:r>
      <w:r w:rsidR="003E4389" w:rsidRPr="003E4389">
        <w:rPr>
          <w:b/>
          <w:sz w:val="40"/>
          <w:szCs w:val="40"/>
        </w:rPr>
        <w:t>Child Restraint Anchorages and Child Restraint Anchor Fittings</w:t>
      </w:r>
      <w:r w:rsidR="00EC6915" w:rsidRPr="00271B14">
        <w:rPr>
          <w:b/>
          <w:sz w:val="40"/>
          <w:szCs w:val="40"/>
        </w:rPr>
        <w:t xml:space="preserve">) </w:t>
      </w:r>
      <w:r w:rsidR="009E6091" w:rsidRPr="00271B14">
        <w:rPr>
          <w:b/>
          <w:sz w:val="40"/>
          <w:szCs w:val="40"/>
        </w:rPr>
        <w:t>201</w:t>
      </w:r>
      <w:r w:rsidR="00C940D9" w:rsidRPr="00271B14">
        <w:rPr>
          <w:b/>
          <w:sz w:val="40"/>
          <w:szCs w:val="40"/>
        </w:rPr>
        <w:t>7</w:t>
      </w:r>
    </w:p>
    <w:p w:rsidR="00BA4F48" w:rsidRDefault="00BA4F48" w:rsidP="00D82CC0"/>
    <w:p w:rsidR="00485E16" w:rsidRPr="0069365C" w:rsidRDefault="00485E16" w:rsidP="00D82CC0"/>
    <w:p w:rsidR="00BA4F48" w:rsidRPr="0069365C" w:rsidRDefault="00BA4F48" w:rsidP="00D82CC0"/>
    <w:p w:rsidR="00BA4F48" w:rsidRPr="0069365C" w:rsidRDefault="00BA4F48" w:rsidP="00D82CC0"/>
    <w:p w:rsidR="00BA4F48" w:rsidRPr="0069365C" w:rsidRDefault="00BA4F48" w:rsidP="00D82CC0">
      <w:pPr>
        <w:jc w:val="center"/>
      </w:pPr>
      <w:r w:rsidRPr="0069365C">
        <w:t xml:space="preserve">Made under section 7 of the </w:t>
      </w:r>
      <w:r w:rsidRPr="00D82CC0">
        <w:rPr>
          <w:i/>
        </w:rPr>
        <w:t>Motor Vehicle Standards Act 1989</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271B14" w:rsidRDefault="00615E17" w:rsidP="00271B14">
      <w:pPr>
        <w:jc w:val="center"/>
        <w:rPr>
          <w:b/>
          <w:bCs/>
          <w:sz w:val="40"/>
        </w:rPr>
      </w:pPr>
      <w:r>
        <w:rPr>
          <w:b/>
          <w:bCs/>
          <w:sz w:val="40"/>
        </w:rPr>
        <w:t xml:space="preserve">Replacement </w:t>
      </w:r>
      <w:r w:rsidR="00BA4F48" w:rsidRPr="00271B14">
        <w:rPr>
          <w:b/>
          <w:bCs/>
          <w:sz w:val="40"/>
        </w:rPr>
        <w:t>Explanatory Statement</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Pr>
        <w:jc w:val="center"/>
      </w:pPr>
      <w:r w:rsidRPr="0069365C">
        <w:t xml:space="preserve">Issued by the authority of the </w:t>
      </w:r>
      <w:r w:rsidR="00BC2672" w:rsidRPr="00BC2672">
        <w:t xml:space="preserve">Minister for </w:t>
      </w:r>
      <w:r w:rsidR="00C937E6">
        <w:t xml:space="preserve">Urban </w:t>
      </w:r>
      <w:r w:rsidR="00BC2672" w:rsidRPr="00BC2672">
        <w:t>Infrastructure</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271B14" w:rsidRDefault="004F194F" w:rsidP="00271B14">
      <w:pPr>
        <w:jc w:val="center"/>
        <w:rPr>
          <w:b/>
          <w:bCs/>
          <w:sz w:val="40"/>
        </w:rPr>
      </w:pPr>
      <w:r>
        <w:rPr>
          <w:b/>
          <w:bCs/>
          <w:sz w:val="40"/>
        </w:rPr>
        <w:t>December</w:t>
      </w:r>
      <w:r w:rsidRPr="00271B14">
        <w:rPr>
          <w:b/>
          <w:bCs/>
          <w:sz w:val="40"/>
        </w:rPr>
        <w:t xml:space="preserve"> </w:t>
      </w:r>
      <w:r w:rsidR="0028346B" w:rsidRPr="00271B14">
        <w:rPr>
          <w:b/>
          <w:bCs/>
          <w:sz w:val="40"/>
        </w:rPr>
        <w:t>201</w:t>
      </w:r>
      <w:r w:rsidR="00C937E6" w:rsidRPr="00271B14">
        <w:rPr>
          <w:b/>
          <w:bCs/>
          <w:sz w:val="40"/>
        </w:rPr>
        <w:t>7</w:t>
      </w:r>
    </w:p>
    <w:p w:rsidR="00BA4F48" w:rsidRPr="0069365C" w:rsidRDefault="00BA4F48" w:rsidP="00D82CC0"/>
    <w:p w:rsidR="00BA4F48" w:rsidRPr="0028346B" w:rsidRDefault="00BA4F48" w:rsidP="00D82CC0"/>
    <w:p w:rsidR="00BA4F48" w:rsidRPr="00780DE8" w:rsidRDefault="00A27335" w:rsidP="00780DE8">
      <w:pPr>
        <w:pStyle w:val="ContentsHeading"/>
      </w:pPr>
      <w:r w:rsidRPr="0069365C">
        <w:br w:type="page"/>
      </w:r>
      <w:r w:rsidR="00BA4F48" w:rsidRPr="00780DE8">
        <w:lastRenderedPageBreak/>
        <w:t>CONTENTS</w:t>
      </w:r>
    </w:p>
    <w:p w:rsidR="00BA4F48" w:rsidRPr="00437142" w:rsidRDefault="00BA4F48" w:rsidP="00D82CC0"/>
    <w:sdt>
      <w:sdtPr>
        <w:rPr>
          <w:b/>
        </w:rPr>
        <w:id w:val="431557475"/>
        <w:docPartObj>
          <w:docPartGallery w:val="Table of Contents"/>
          <w:docPartUnique/>
        </w:docPartObj>
      </w:sdtPr>
      <w:sdtEndPr/>
      <w:sdtContent>
        <w:p w:rsidR="005654AD" w:rsidRDefault="00271B14">
          <w:pPr>
            <w:pStyle w:val="TOC1"/>
            <w:rPr>
              <w:rFonts w:asciiTheme="minorHAnsi" w:eastAsiaTheme="minorEastAsia" w:hAnsiTheme="minorHAnsi" w:cstheme="minorBidi"/>
              <w:caps w:val="0"/>
              <w:noProof/>
              <w:sz w:val="22"/>
              <w:szCs w:val="22"/>
            </w:rPr>
          </w:pPr>
          <w:r>
            <w:rPr>
              <w:b/>
            </w:rPr>
            <w:fldChar w:fldCharType="begin"/>
          </w:r>
          <w:r>
            <w:rPr>
              <w:b/>
            </w:rPr>
            <w:instrText xml:space="preserve"> TOC \o "1-2" \h \z \u </w:instrText>
          </w:r>
          <w:r>
            <w:rPr>
              <w:b/>
            </w:rPr>
            <w:fldChar w:fldCharType="separate"/>
          </w:r>
          <w:hyperlink w:anchor="_Toc500169581" w:history="1">
            <w:r w:rsidR="005654AD" w:rsidRPr="002623E8">
              <w:rPr>
                <w:rStyle w:val="Hyperlink"/>
                <w:noProof/>
              </w:rPr>
              <w:t>1.</w:t>
            </w:r>
            <w:r w:rsidR="005654AD">
              <w:rPr>
                <w:rFonts w:asciiTheme="minorHAnsi" w:eastAsiaTheme="minorEastAsia" w:hAnsiTheme="minorHAnsi" w:cstheme="minorBidi"/>
                <w:caps w:val="0"/>
                <w:noProof/>
                <w:sz w:val="22"/>
                <w:szCs w:val="22"/>
              </w:rPr>
              <w:tab/>
            </w:r>
            <w:r w:rsidR="005654AD" w:rsidRPr="002623E8">
              <w:rPr>
                <w:rStyle w:val="Hyperlink"/>
                <w:noProof/>
              </w:rPr>
              <w:t>legislative context</w:t>
            </w:r>
            <w:r w:rsidR="005654AD">
              <w:rPr>
                <w:noProof/>
                <w:webHidden/>
              </w:rPr>
              <w:tab/>
            </w:r>
            <w:r w:rsidR="005654AD">
              <w:rPr>
                <w:noProof/>
                <w:webHidden/>
              </w:rPr>
              <w:fldChar w:fldCharType="begin"/>
            </w:r>
            <w:r w:rsidR="005654AD">
              <w:rPr>
                <w:noProof/>
                <w:webHidden/>
              </w:rPr>
              <w:instrText xml:space="preserve"> PAGEREF _Toc500169581 \h </w:instrText>
            </w:r>
            <w:r w:rsidR="005654AD">
              <w:rPr>
                <w:noProof/>
                <w:webHidden/>
              </w:rPr>
            </w:r>
            <w:r w:rsidR="005654AD">
              <w:rPr>
                <w:noProof/>
                <w:webHidden/>
              </w:rPr>
              <w:fldChar w:fldCharType="separate"/>
            </w:r>
            <w:r w:rsidR="005654AD">
              <w:rPr>
                <w:noProof/>
                <w:webHidden/>
              </w:rPr>
              <w:t>3</w:t>
            </w:r>
            <w:r w:rsidR="005654AD">
              <w:rPr>
                <w:noProof/>
                <w:webHidden/>
              </w:rPr>
              <w:fldChar w:fldCharType="end"/>
            </w:r>
          </w:hyperlink>
        </w:p>
        <w:p w:rsidR="005654AD" w:rsidRDefault="005654AD">
          <w:pPr>
            <w:pStyle w:val="TOC1"/>
            <w:rPr>
              <w:rFonts w:asciiTheme="minorHAnsi" w:eastAsiaTheme="minorEastAsia" w:hAnsiTheme="minorHAnsi" w:cstheme="minorBidi"/>
              <w:caps w:val="0"/>
              <w:noProof/>
              <w:sz w:val="22"/>
              <w:szCs w:val="22"/>
            </w:rPr>
          </w:pPr>
          <w:hyperlink w:anchor="_Toc500169582" w:history="1">
            <w:r w:rsidRPr="002623E8">
              <w:rPr>
                <w:rStyle w:val="Hyperlink"/>
                <w:rFonts w:cs="Arial"/>
                <w:noProof/>
              </w:rPr>
              <w:t>2.</w:t>
            </w:r>
            <w:r>
              <w:rPr>
                <w:rFonts w:asciiTheme="minorHAnsi" w:eastAsiaTheme="minorEastAsia" w:hAnsiTheme="minorHAnsi" w:cstheme="minorBidi"/>
                <w:caps w:val="0"/>
                <w:noProof/>
                <w:sz w:val="22"/>
                <w:szCs w:val="22"/>
              </w:rPr>
              <w:tab/>
            </w:r>
            <w:r w:rsidRPr="002623E8">
              <w:rPr>
                <w:rStyle w:val="Hyperlink"/>
                <w:noProof/>
              </w:rPr>
              <w:t>content and effect of ADR 34/03 – Child Restraint Anchorages and Child Restraint Anchor Fittings</w:t>
            </w:r>
            <w:r>
              <w:rPr>
                <w:noProof/>
                <w:webHidden/>
              </w:rPr>
              <w:tab/>
            </w:r>
            <w:r>
              <w:rPr>
                <w:noProof/>
                <w:webHidden/>
              </w:rPr>
              <w:fldChar w:fldCharType="begin"/>
            </w:r>
            <w:r>
              <w:rPr>
                <w:noProof/>
                <w:webHidden/>
              </w:rPr>
              <w:instrText xml:space="preserve"> PAGEREF _Toc500169582 \h </w:instrText>
            </w:r>
            <w:r>
              <w:rPr>
                <w:noProof/>
                <w:webHidden/>
              </w:rPr>
            </w:r>
            <w:r>
              <w:rPr>
                <w:noProof/>
                <w:webHidden/>
              </w:rPr>
              <w:fldChar w:fldCharType="separate"/>
            </w:r>
            <w:r>
              <w:rPr>
                <w:noProof/>
                <w:webHidden/>
              </w:rPr>
              <w:t>3</w:t>
            </w:r>
            <w:r>
              <w:rPr>
                <w:noProof/>
                <w:webHidden/>
              </w:rPr>
              <w:fldChar w:fldCharType="end"/>
            </w:r>
          </w:hyperlink>
        </w:p>
        <w:p w:rsidR="005654AD" w:rsidRDefault="005654AD">
          <w:pPr>
            <w:pStyle w:val="TOC2"/>
            <w:rPr>
              <w:rFonts w:asciiTheme="minorHAnsi" w:eastAsiaTheme="minorEastAsia" w:hAnsiTheme="minorHAnsi" w:cstheme="minorBidi"/>
              <w:noProof/>
              <w:sz w:val="22"/>
              <w:szCs w:val="22"/>
            </w:rPr>
          </w:pPr>
          <w:hyperlink w:anchor="_Toc500169583" w:history="1">
            <w:r w:rsidRPr="002623E8">
              <w:rPr>
                <w:rStyle w:val="Hyperlink"/>
                <w:noProof/>
              </w:rPr>
              <w:t>2.1.</w:t>
            </w:r>
            <w:r>
              <w:rPr>
                <w:rFonts w:asciiTheme="minorHAnsi" w:eastAsiaTheme="minorEastAsia" w:hAnsiTheme="minorHAnsi" w:cstheme="minorBidi"/>
                <w:noProof/>
                <w:sz w:val="22"/>
                <w:szCs w:val="22"/>
              </w:rPr>
              <w:tab/>
            </w:r>
            <w:r w:rsidRPr="002623E8">
              <w:rPr>
                <w:rStyle w:val="Hyperlink"/>
                <w:noProof/>
              </w:rPr>
              <w:t>Overview of the ADR</w:t>
            </w:r>
            <w:r>
              <w:rPr>
                <w:noProof/>
                <w:webHidden/>
              </w:rPr>
              <w:tab/>
            </w:r>
            <w:r>
              <w:rPr>
                <w:noProof/>
                <w:webHidden/>
              </w:rPr>
              <w:fldChar w:fldCharType="begin"/>
            </w:r>
            <w:r>
              <w:rPr>
                <w:noProof/>
                <w:webHidden/>
              </w:rPr>
              <w:instrText xml:space="preserve"> PAGEREF _Toc500169583 \h </w:instrText>
            </w:r>
            <w:r>
              <w:rPr>
                <w:noProof/>
                <w:webHidden/>
              </w:rPr>
            </w:r>
            <w:r>
              <w:rPr>
                <w:noProof/>
                <w:webHidden/>
              </w:rPr>
              <w:fldChar w:fldCharType="separate"/>
            </w:r>
            <w:r>
              <w:rPr>
                <w:noProof/>
                <w:webHidden/>
              </w:rPr>
              <w:t>3</w:t>
            </w:r>
            <w:r>
              <w:rPr>
                <w:noProof/>
                <w:webHidden/>
              </w:rPr>
              <w:fldChar w:fldCharType="end"/>
            </w:r>
          </w:hyperlink>
        </w:p>
        <w:p w:rsidR="005654AD" w:rsidRDefault="005654AD">
          <w:pPr>
            <w:pStyle w:val="TOC2"/>
            <w:rPr>
              <w:rFonts w:asciiTheme="minorHAnsi" w:eastAsiaTheme="minorEastAsia" w:hAnsiTheme="minorHAnsi" w:cstheme="minorBidi"/>
              <w:noProof/>
              <w:sz w:val="22"/>
              <w:szCs w:val="22"/>
            </w:rPr>
          </w:pPr>
          <w:hyperlink w:anchor="_Toc500169584" w:history="1">
            <w:r w:rsidRPr="002623E8">
              <w:rPr>
                <w:rStyle w:val="Hyperlink"/>
                <w:noProof/>
              </w:rPr>
              <w:t>2.2.</w:t>
            </w:r>
            <w:r>
              <w:rPr>
                <w:rFonts w:asciiTheme="minorHAnsi" w:eastAsiaTheme="minorEastAsia" w:hAnsiTheme="minorHAnsi" w:cstheme="minorBidi"/>
                <w:noProof/>
                <w:sz w:val="22"/>
                <w:szCs w:val="22"/>
              </w:rPr>
              <w:tab/>
            </w:r>
            <w:r w:rsidRPr="002623E8">
              <w:rPr>
                <w:rStyle w:val="Hyperlink"/>
                <w:noProof/>
              </w:rPr>
              <w:t>Effect of the ADR</w:t>
            </w:r>
            <w:r>
              <w:rPr>
                <w:noProof/>
                <w:webHidden/>
              </w:rPr>
              <w:tab/>
            </w:r>
            <w:r>
              <w:rPr>
                <w:noProof/>
                <w:webHidden/>
              </w:rPr>
              <w:fldChar w:fldCharType="begin"/>
            </w:r>
            <w:r>
              <w:rPr>
                <w:noProof/>
                <w:webHidden/>
              </w:rPr>
              <w:instrText xml:space="preserve"> PAGEREF _Toc500169584 \h </w:instrText>
            </w:r>
            <w:r>
              <w:rPr>
                <w:noProof/>
                <w:webHidden/>
              </w:rPr>
            </w:r>
            <w:r>
              <w:rPr>
                <w:noProof/>
                <w:webHidden/>
              </w:rPr>
              <w:fldChar w:fldCharType="separate"/>
            </w:r>
            <w:r>
              <w:rPr>
                <w:noProof/>
                <w:webHidden/>
              </w:rPr>
              <w:t>3</w:t>
            </w:r>
            <w:r>
              <w:rPr>
                <w:noProof/>
                <w:webHidden/>
              </w:rPr>
              <w:fldChar w:fldCharType="end"/>
            </w:r>
          </w:hyperlink>
        </w:p>
        <w:p w:rsidR="005654AD" w:rsidRDefault="005654AD">
          <w:pPr>
            <w:pStyle w:val="TOC2"/>
            <w:rPr>
              <w:rFonts w:asciiTheme="minorHAnsi" w:eastAsiaTheme="minorEastAsia" w:hAnsiTheme="minorHAnsi" w:cstheme="minorBidi"/>
              <w:noProof/>
              <w:sz w:val="22"/>
              <w:szCs w:val="22"/>
            </w:rPr>
          </w:pPr>
          <w:hyperlink w:anchor="_Toc500169585" w:history="1">
            <w:r w:rsidRPr="002623E8">
              <w:rPr>
                <w:rStyle w:val="Hyperlink"/>
                <w:noProof/>
              </w:rPr>
              <w:t>2.3.</w:t>
            </w:r>
            <w:r>
              <w:rPr>
                <w:rFonts w:asciiTheme="minorHAnsi" w:eastAsiaTheme="minorEastAsia" w:hAnsiTheme="minorHAnsi" w:cstheme="minorBidi"/>
                <w:noProof/>
                <w:sz w:val="22"/>
                <w:szCs w:val="22"/>
              </w:rPr>
              <w:tab/>
            </w:r>
            <w:r w:rsidRPr="002623E8">
              <w:rPr>
                <w:rStyle w:val="Hyperlink"/>
                <w:noProof/>
              </w:rPr>
              <w:t>Incorporated Documents</w:t>
            </w:r>
            <w:r>
              <w:rPr>
                <w:noProof/>
                <w:webHidden/>
              </w:rPr>
              <w:tab/>
            </w:r>
            <w:r>
              <w:rPr>
                <w:noProof/>
                <w:webHidden/>
              </w:rPr>
              <w:fldChar w:fldCharType="begin"/>
            </w:r>
            <w:r>
              <w:rPr>
                <w:noProof/>
                <w:webHidden/>
              </w:rPr>
              <w:instrText xml:space="preserve"> PAGEREF _Toc500169585 \h </w:instrText>
            </w:r>
            <w:r>
              <w:rPr>
                <w:noProof/>
                <w:webHidden/>
              </w:rPr>
            </w:r>
            <w:r>
              <w:rPr>
                <w:noProof/>
                <w:webHidden/>
              </w:rPr>
              <w:fldChar w:fldCharType="separate"/>
            </w:r>
            <w:r>
              <w:rPr>
                <w:noProof/>
                <w:webHidden/>
              </w:rPr>
              <w:t>4</w:t>
            </w:r>
            <w:r>
              <w:rPr>
                <w:noProof/>
                <w:webHidden/>
              </w:rPr>
              <w:fldChar w:fldCharType="end"/>
            </w:r>
          </w:hyperlink>
        </w:p>
        <w:p w:rsidR="005654AD" w:rsidRDefault="005654AD">
          <w:pPr>
            <w:pStyle w:val="TOC1"/>
            <w:rPr>
              <w:rFonts w:asciiTheme="minorHAnsi" w:eastAsiaTheme="minorEastAsia" w:hAnsiTheme="minorHAnsi" w:cstheme="minorBidi"/>
              <w:caps w:val="0"/>
              <w:noProof/>
              <w:sz w:val="22"/>
              <w:szCs w:val="22"/>
            </w:rPr>
          </w:pPr>
          <w:hyperlink w:anchor="_Toc500169586" w:history="1">
            <w:r w:rsidRPr="002623E8">
              <w:rPr>
                <w:rStyle w:val="Hyperlink"/>
                <w:noProof/>
              </w:rPr>
              <w:t>3.</w:t>
            </w:r>
            <w:r>
              <w:rPr>
                <w:rFonts w:asciiTheme="minorHAnsi" w:eastAsiaTheme="minorEastAsia" w:hAnsiTheme="minorHAnsi" w:cstheme="minorBidi"/>
                <w:caps w:val="0"/>
                <w:noProof/>
                <w:sz w:val="22"/>
                <w:szCs w:val="22"/>
              </w:rPr>
              <w:tab/>
            </w:r>
            <w:r w:rsidRPr="002623E8">
              <w:rPr>
                <w:rStyle w:val="Hyperlink"/>
                <w:noProof/>
              </w:rPr>
              <w:t>best practice regulation</w:t>
            </w:r>
            <w:r>
              <w:rPr>
                <w:noProof/>
                <w:webHidden/>
              </w:rPr>
              <w:tab/>
            </w:r>
            <w:r>
              <w:rPr>
                <w:noProof/>
                <w:webHidden/>
              </w:rPr>
              <w:fldChar w:fldCharType="begin"/>
            </w:r>
            <w:r>
              <w:rPr>
                <w:noProof/>
                <w:webHidden/>
              </w:rPr>
              <w:instrText xml:space="preserve"> PAGEREF _Toc500169586 \h </w:instrText>
            </w:r>
            <w:r>
              <w:rPr>
                <w:noProof/>
                <w:webHidden/>
              </w:rPr>
            </w:r>
            <w:r>
              <w:rPr>
                <w:noProof/>
                <w:webHidden/>
              </w:rPr>
              <w:fldChar w:fldCharType="separate"/>
            </w:r>
            <w:r>
              <w:rPr>
                <w:noProof/>
                <w:webHidden/>
              </w:rPr>
              <w:t>5</w:t>
            </w:r>
            <w:r>
              <w:rPr>
                <w:noProof/>
                <w:webHidden/>
              </w:rPr>
              <w:fldChar w:fldCharType="end"/>
            </w:r>
          </w:hyperlink>
        </w:p>
        <w:p w:rsidR="005654AD" w:rsidRDefault="005654AD">
          <w:pPr>
            <w:pStyle w:val="TOC2"/>
            <w:rPr>
              <w:rFonts w:asciiTheme="minorHAnsi" w:eastAsiaTheme="minorEastAsia" w:hAnsiTheme="minorHAnsi" w:cstheme="minorBidi"/>
              <w:noProof/>
              <w:sz w:val="22"/>
              <w:szCs w:val="22"/>
            </w:rPr>
          </w:pPr>
          <w:hyperlink w:anchor="_Toc500169587" w:history="1">
            <w:r w:rsidRPr="002623E8">
              <w:rPr>
                <w:rStyle w:val="Hyperlink"/>
                <w:noProof/>
              </w:rPr>
              <w:t>3.1.</w:t>
            </w:r>
            <w:r>
              <w:rPr>
                <w:rFonts w:asciiTheme="minorHAnsi" w:eastAsiaTheme="minorEastAsia" w:hAnsiTheme="minorHAnsi" w:cstheme="minorBidi"/>
                <w:noProof/>
                <w:sz w:val="22"/>
                <w:szCs w:val="22"/>
              </w:rPr>
              <w:tab/>
            </w:r>
            <w:r w:rsidRPr="002623E8">
              <w:rPr>
                <w:rStyle w:val="Hyperlink"/>
                <w:noProof/>
              </w:rPr>
              <w:t>Benefits and Costs</w:t>
            </w:r>
            <w:r>
              <w:rPr>
                <w:noProof/>
                <w:webHidden/>
              </w:rPr>
              <w:tab/>
            </w:r>
            <w:r>
              <w:rPr>
                <w:noProof/>
                <w:webHidden/>
              </w:rPr>
              <w:fldChar w:fldCharType="begin"/>
            </w:r>
            <w:r>
              <w:rPr>
                <w:noProof/>
                <w:webHidden/>
              </w:rPr>
              <w:instrText xml:space="preserve"> PAGEREF _Toc500169587 \h </w:instrText>
            </w:r>
            <w:r>
              <w:rPr>
                <w:noProof/>
                <w:webHidden/>
              </w:rPr>
            </w:r>
            <w:r>
              <w:rPr>
                <w:noProof/>
                <w:webHidden/>
              </w:rPr>
              <w:fldChar w:fldCharType="separate"/>
            </w:r>
            <w:r>
              <w:rPr>
                <w:noProof/>
                <w:webHidden/>
              </w:rPr>
              <w:t>5</w:t>
            </w:r>
            <w:r>
              <w:rPr>
                <w:noProof/>
                <w:webHidden/>
              </w:rPr>
              <w:fldChar w:fldCharType="end"/>
            </w:r>
          </w:hyperlink>
        </w:p>
        <w:p w:rsidR="005654AD" w:rsidRDefault="005654AD">
          <w:pPr>
            <w:pStyle w:val="TOC2"/>
            <w:rPr>
              <w:rFonts w:asciiTheme="minorHAnsi" w:eastAsiaTheme="minorEastAsia" w:hAnsiTheme="minorHAnsi" w:cstheme="minorBidi"/>
              <w:noProof/>
              <w:sz w:val="22"/>
              <w:szCs w:val="22"/>
            </w:rPr>
          </w:pPr>
          <w:hyperlink w:anchor="_Toc500169588" w:history="1">
            <w:r w:rsidRPr="002623E8">
              <w:rPr>
                <w:rStyle w:val="Hyperlink"/>
                <w:noProof/>
              </w:rPr>
              <w:t>3.2.</w:t>
            </w:r>
            <w:r>
              <w:rPr>
                <w:rFonts w:asciiTheme="minorHAnsi" w:eastAsiaTheme="minorEastAsia" w:hAnsiTheme="minorHAnsi" w:cstheme="minorBidi"/>
                <w:noProof/>
                <w:sz w:val="22"/>
                <w:szCs w:val="22"/>
              </w:rPr>
              <w:tab/>
            </w:r>
            <w:r w:rsidRPr="002623E8">
              <w:rPr>
                <w:rStyle w:val="Hyperlink"/>
                <w:noProof/>
              </w:rPr>
              <w:t>General Consultation Arrangements</w:t>
            </w:r>
            <w:r>
              <w:rPr>
                <w:noProof/>
                <w:webHidden/>
              </w:rPr>
              <w:tab/>
            </w:r>
            <w:r>
              <w:rPr>
                <w:noProof/>
                <w:webHidden/>
              </w:rPr>
              <w:fldChar w:fldCharType="begin"/>
            </w:r>
            <w:r>
              <w:rPr>
                <w:noProof/>
                <w:webHidden/>
              </w:rPr>
              <w:instrText xml:space="preserve"> PAGEREF _Toc500169588 \h </w:instrText>
            </w:r>
            <w:r>
              <w:rPr>
                <w:noProof/>
                <w:webHidden/>
              </w:rPr>
            </w:r>
            <w:r>
              <w:rPr>
                <w:noProof/>
                <w:webHidden/>
              </w:rPr>
              <w:fldChar w:fldCharType="separate"/>
            </w:r>
            <w:r>
              <w:rPr>
                <w:noProof/>
                <w:webHidden/>
              </w:rPr>
              <w:t>5</w:t>
            </w:r>
            <w:r>
              <w:rPr>
                <w:noProof/>
                <w:webHidden/>
              </w:rPr>
              <w:fldChar w:fldCharType="end"/>
            </w:r>
          </w:hyperlink>
        </w:p>
        <w:p w:rsidR="005654AD" w:rsidRDefault="005654AD">
          <w:pPr>
            <w:pStyle w:val="TOC2"/>
            <w:rPr>
              <w:rFonts w:asciiTheme="minorHAnsi" w:eastAsiaTheme="minorEastAsia" w:hAnsiTheme="minorHAnsi" w:cstheme="minorBidi"/>
              <w:noProof/>
              <w:sz w:val="22"/>
              <w:szCs w:val="22"/>
            </w:rPr>
          </w:pPr>
          <w:hyperlink w:anchor="_Toc500169589" w:history="1">
            <w:r w:rsidRPr="002623E8">
              <w:rPr>
                <w:rStyle w:val="Hyperlink"/>
                <w:noProof/>
              </w:rPr>
              <w:t>3.3.</w:t>
            </w:r>
            <w:r>
              <w:rPr>
                <w:rFonts w:asciiTheme="minorHAnsi" w:eastAsiaTheme="minorEastAsia" w:hAnsiTheme="minorHAnsi" w:cstheme="minorBidi"/>
                <w:noProof/>
                <w:sz w:val="22"/>
                <w:szCs w:val="22"/>
              </w:rPr>
              <w:tab/>
            </w:r>
            <w:r w:rsidRPr="002623E8">
              <w:rPr>
                <w:rStyle w:val="Hyperlink"/>
                <w:noProof/>
              </w:rPr>
              <w:t>Specific Consultation Arrangements for this Vehicle Standard</w:t>
            </w:r>
            <w:r>
              <w:rPr>
                <w:noProof/>
                <w:webHidden/>
              </w:rPr>
              <w:tab/>
            </w:r>
            <w:r>
              <w:rPr>
                <w:noProof/>
                <w:webHidden/>
              </w:rPr>
              <w:fldChar w:fldCharType="begin"/>
            </w:r>
            <w:r>
              <w:rPr>
                <w:noProof/>
                <w:webHidden/>
              </w:rPr>
              <w:instrText xml:space="preserve"> PAGEREF _Toc500169589 \h </w:instrText>
            </w:r>
            <w:r>
              <w:rPr>
                <w:noProof/>
                <w:webHidden/>
              </w:rPr>
            </w:r>
            <w:r>
              <w:rPr>
                <w:noProof/>
                <w:webHidden/>
              </w:rPr>
              <w:fldChar w:fldCharType="separate"/>
            </w:r>
            <w:r>
              <w:rPr>
                <w:noProof/>
                <w:webHidden/>
              </w:rPr>
              <w:t>6</w:t>
            </w:r>
            <w:r>
              <w:rPr>
                <w:noProof/>
                <w:webHidden/>
              </w:rPr>
              <w:fldChar w:fldCharType="end"/>
            </w:r>
          </w:hyperlink>
        </w:p>
        <w:p w:rsidR="005654AD" w:rsidRDefault="005654AD">
          <w:pPr>
            <w:pStyle w:val="TOC1"/>
            <w:rPr>
              <w:rFonts w:asciiTheme="minorHAnsi" w:eastAsiaTheme="minorEastAsia" w:hAnsiTheme="minorHAnsi" w:cstheme="minorBidi"/>
              <w:caps w:val="0"/>
              <w:noProof/>
              <w:sz w:val="22"/>
              <w:szCs w:val="22"/>
            </w:rPr>
          </w:pPr>
          <w:hyperlink w:anchor="_Toc500169590" w:history="1">
            <w:r w:rsidRPr="002623E8">
              <w:rPr>
                <w:rStyle w:val="Hyperlink"/>
                <w:noProof/>
              </w:rPr>
              <w:t>4.</w:t>
            </w:r>
            <w:r>
              <w:rPr>
                <w:rFonts w:asciiTheme="minorHAnsi" w:eastAsiaTheme="minorEastAsia" w:hAnsiTheme="minorHAnsi" w:cstheme="minorBidi"/>
                <w:caps w:val="0"/>
                <w:noProof/>
                <w:sz w:val="22"/>
                <w:szCs w:val="22"/>
              </w:rPr>
              <w:tab/>
            </w:r>
            <w:r w:rsidRPr="002623E8">
              <w:rPr>
                <w:rStyle w:val="Hyperlink"/>
                <w:noProof/>
              </w:rPr>
              <w:t>STATEMENT OF COMPATIBILITY WITH HUMAN RIGHTS</w:t>
            </w:r>
            <w:r>
              <w:rPr>
                <w:noProof/>
                <w:webHidden/>
              </w:rPr>
              <w:tab/>
            </w:r>
            <w:r>
              <w:rPr>
                <w:noProof/>
                <w:webHidden/>
              </w:rPr>
              <w:fldChar w:fldCharType="begin"/>
            </w:r>
            <w:r>
              <w:rPr>
                <w:noProof/>
                <w:webHidden/>
              </w:rPr>
              <w:instrText xml:space="preserve"> PAGEREF _Toc500169590 \h </w:instrText>
            </w:r>
            <w:r>
              <w:rPr>
                <w:noProof/>
                <w:webHidden/>
              </w:rPr>
            </w:r>
            <w:r>
              <w:rPr>
                <w:noProof/>
                <w:webHidden/>
              </w:rPr>
              <w:fldChar w:fldCharType="separate"/>
            </w:r>
            <w:r>
              <w:rPr>
                <w:noProof/>
                <w:webHidden/>
              </w:rPr>
              <w:t>6</w:t>
            </w:r>
            <w:r>
              <w:rPr>
                <w:noProof/>
                <w:webHidden/>
              </w:rPr>
              <w:fldChar w:fldCharType="end"/>
            </w:r>
          </w:hyperlink>
        </w:p>
        <w:p w:rsidR="005654AD" w:rsidRDefault="005654AD">
          <w:pPr>
            <w:pStyle w:val="TOC2"/>
            <w:rPr>
              <w:rFonts w:asciiTheme="minorHAnsi" w:eastAsiaTheme="minorEastAsia" w:hAnsiTheme="minorHAnsi" w:cstheme="minorBidi"/>
              <w:noProof/>
              <w:sz w:val="22"/>
              <w:szCs w:val="22"/>
            </w:rPr>
          </w:pPr>
          <w:hyperlink w:anchor="_Toc500169591" w:history="1">
            <w:r w:rsidRPr="002623E8">
              <w:rPr>
                <w:rStyle w:val="Hyperlink"/>
                <w:noProof/>
              </w:rPr>
              <w:t>4.1.</w:t>
            </w:r>
            <w:r>
              <w:rPr>
                <w:rFonts w:asciiTheme="minorHAnsi" w:eastAsiaTheme="minorEastAsia" w:hAnsiTheme="minorHAnsi" w:cstheme="minorBidi"/>
                <w:noProof/>
                <w:sz w:val="22"/>
                <w:szCs w:val="22"/>
              </w:rPr>
              <w:tab/>
            </w:r>
            <w:r w:rsidRPr="002623E8">
              <w:rPr>
                <w:rStyle w:val="Hyperlink"/>
                <w:noProof/>
              </w:rPr>
              <w:t>Overview of the Legislative Instrument</w:t>
            </w:r>
            <w:r>
              <w:rPr>
                <w:noProof/>
                <w:webHidden/>
              </w:rPr>
              <w:tab/>
            </w:r>
            <w:r>
              <w:rPr>
                <w:noProof/>
                <w:webHidden/>
              </w:rPr>
              <w:fldChar w:fldCharType="begin"/>
            </w:r>
            <w:r>
              <w:rPr>
                <w:noProof/>
                <w:webHidden/>
              </w:rPr>
              <w:instrText xml:space="preserve"> PAGEREF _Toc500169591 \h </w:instrText>
            </w:r>
            <w:r>
              <w:rPr>
                <w:noProof/>
                <w:webHidden/>
              </w:rPr>
            </w:r>
            <w:r>
              <w:rPr>
                <w:noProof/>
                <w:webHidden/>
              </w:rPr>
              <w:fldChar w:fldCharType="separate"/>
            </w:r>
            <w:r>
              <w:rPr>
                <w:noProof/>
                <w:webHidden/>
              </w:rPr>
              <w:t>6</w:t>
            </w:r>
            <w:r>
              <w:rPr>
                <w:noProof/>
                <w:webHidden/>
              </w:rPr>
              <w:fldChar w:fldCharType="end"/>
            </w:r>
          </w:hyperlink>
        </w:p>
        <w:p w:rsidR="005654AD" w:rsidRDefault="005654AD">
          <w:pPr>
            <w:pStyle w:val="TOC2"/>
            <w:rPr>
              <w:rFonts w:asciiTheme="minorHAnsi" w:eastAsiaTheme="minorEastAsia" w:hAnsiTheme="minorHAnsi" w:cstheme="minorBidi"/>
              <w:noProof/>
              <w:sz w:val="22"/>
              <w:szCs w:val="22"/>
            </w:rPr>
          </w:pPr>
          <w:hyperlink w:anchor="_Toc500169592" w:history="1">
            <w:r w:rsidRPr="002623E8">
              <w:rPr>
                <w:rStyle w:val="Hyperlink"/>
                <w:noProof/>
              </w:rPr>
              <w:t>4.2.</w:t>
            </w:r>
            <w:r>
              <w:rPr>
                <w:rFonts w:asciiTheme="minorHAnsi" w:eastAsiaTheme="minorEastAsia" w:hAnsiTheme="minorHAnsi" w:cstheme="minorBidi"/>
                <w:noProof/>
                <w:sz w:val="22"/>
                <w:szCs w:val="22"/>
              </w:rPr>
              <w:tab/>
            </w:r>
            <w:r w:rsidRPr="002623E8">
              <w:rPr>
                <w:rStyle w:val="Hyperlink"/>
                <w:noProof/>
              </w:rPr>
              <w:t>Human Rights Implications</w:t>
            </w:r>
            <w:r>
              <w:rPr>
                <w:noProof/>
                <w:webHidden/>
              </w:rPr>
              <w:tab/>
            </w:r>
            <w:r>
              <w:rPr>
                <w:noProof/>
                <w:webHidden/>
              </w:rPr>
              <w:fldChar w:fldCharType="begin"/>
            </w:r>
            <w:r>
              <w:rPr>
                <w:noProof/>
                <w:webHidden/>
              </w:rPr>
              <w:instrText xml:space="preserve"> PAGEREF _Toc500169592 \h </w:instrText>
            </w:r>
            <w:r>
              <w:rPr>
                <w:noProof/>
                <w:webHidden/>
              </w:rPr>
            </w:r>
            <w:r>
              <w:rPr>
                <w:noProof/>
                <w:webHidden/>
              </w:rPr>
              <w:fldChar w:fldCharType="separate"/>
            </w:r>
            <w:r>
              <w:rPr>
                <w:noProof/>
                <w:webHidden/>
              </w:rPr>
              <w:t>6</w:t>
            </w:r>
            <w:r>
              <w:rPr>
                <w:noProof/>
                <w:webHidden/>
              </w:rPr>
              <w:fldChar w:fldCharType="end"/>
            </w:r>
          </w:hyperlink>
        </w:p>
        <w:p w:rsidR="005654AD" w:rsidRDefault="005654AD">
          <w:pPr>
            <w:pStyle w:val="TOC2"/>
            <w:rPr>
              <w:rFonts w:asciiTheme="minorHAnsi" w:eastAsiaTheme="minorEastAsia" w:hAnsiTheme="minorHAnsi" w:cstheme="minorBidi"/>
              <w:noProof/>
              <w:sz w:val="22"/>
              <w:szCs w:val="22"/>
            </w:rPr>
          </w:pPr>
          <w:hyperlink w:anchor="_Toc500169593" w:history="1">
            <w:r w:rsidRPr="002623E8">
              <w:rPr>
                <w:rStyle w:val="Hyperlink"/>
                <w:noProof/>
              </w:rPr>
              <w:t>4.3.</w:t>
            </w:r>
            <w:r>
              <w:rPr>
                <w:rFonts w:asciiTheme="minorHAnsi" w:eastAsiaTheme="minorEastAsia" w:hAnsiTheme="minorHAnsi" w:cstheme="minorBidi"/>
                <w:noProof/>
                <w:sz w:val="22"/>
                <w:szCs w:val="22"/>
              </w:rPr>
              <w:tab/>
            </w:r>
            <w:r w:rsidRPr="002623E8">
              <w:rPr>
                <w:rStyle w:val="Hyperlink"/>
                <w:noProof/>
              </w:rPr>
              <w:t>Conclusion</w:t>
            </w:r>
            <w:r>
              <w:rPr>
                <w:noProof/>
                <w:webHidden/>
              </w:rPr>
              <w:tab/>
            </w:r>
            <w:r>
              <w:rPr>
                <w:noProof/>
                <w:webHidden/>
              </w:rPr>
              <w:fldChar w:fldCharType="begin"/>
            </w:r>
            <w:r>
              <w:rPr>
                <w:noProof/>
                <w:webHidden/>
              </w:rPr>
              <w:instrText xml:space="preserve"> PAGEREF _Toc500169593 \h </w:instrText>
            </w:r>
            <w:r>
              <w:rPr>
                <w:noProof/>
                <w:webHidden/>
              </w:rPr>
            </w:r>
            <w:r>
              <w:rPr>
                <w:noProof/>
                <w:webHidden/>
              </w:rPr>
              <w:fldChar w:fldCharType="separate"/>
            </w:r>
            <w:r>
              <w:rPr>
                <w:noProof/>
                <w:webHidden/>
              </w:rPr>
              <w:t>7</w:t>
            </w:r>
            <w:r>
              <w:rPr>
                <w:noProof/>
                <w:webHidden/>
              </w:rPr>
              <w:fldChar w:fldCharType="end"/>
            </w:r>
          </w:hyperlink>
        </w:p>
        <w:p w:rsidR="003E56E7" w:rsidRPr="003E56E7" w:rsidRDefault="00271B14" w:rsidP="00271B14">
          <w:pPr>
            <w:pStyle w:val="TOC1"/>
          </w:pPr>
          <w:r>
            <w:rPr>
              <w:b/>
            </w:rPr>
            <w:fldChar w:fldCharType="end"/>
          </w:r>
        </w:p>
      </w:sdtContent>
    </w:sdt>
    <w:p w:rsidR="00BA4F48" w:rsidRPr="00EF1E7E" w:rsidRDefault="00BA4F48" w:rsidP="00D82CC0">
      <w:pPr>
        <w:pStyle w:val="MainHeadding"/>
      </w:pPr>
      <w:bookmarkStart w:id="0" w:name="_GoBack"/>
      <w:bookmarkEnd w:id="0"/>
      <w:r w:rsidRPr="0069365C">
        <w:rPr>
          <w:color w:val="3366FF"/>
        </w:rPr>
        <w:br w:type="page"/>
      </w:r>
      <w:bookmarkStart w:id="1" w:name="_Toc167864611"/>
      <w:bookmarkStart w:id="2" w:name="_Toc500163452"/>
      <w:bookmarkStart w:id="3" w:name="_Toc500169581"/>
      <w:r w:rsidRPr="00EF1E7E">
        <w:lastRenderedPageBreak/>
        <w:t>legislative context</w:t>
      </w:r>
      <w:bookmarkEnd w:id="1"/>
      <w:bookmarkEnd w:id="2"/>
      <w:bookmarkEnd w:id="3"/>
    </w:p>
    <w:p w:rsidR="003F01D5" w:rsidRPr="003C5E51" w:rsidRDefault="00EC6915" w:rsidP="003B6C6B">
      <w:pPr>
        <w:rPr>
          <w:i/>
        </w:rPr>
      </w:pPr>
      <w:r w:rsidRPr="00744CAF">
        <w:t>Vehicle Standard (Australian Design Rule 3</w:t>
      </w:r>
      <w:r w:rsidR="00BF60B2">
        <w:t>4</w:t>
      </w:r>
      <w:r w:rsidRPr="00744CAF">
        <w:t>/0</w:t>
      </w:r>
      <w:r w:rsidR="00BF60B2">
        <w:t>3</w:t>
      </w:r>
      <w:r w:rsidRPr="00744CAF">
        <w:t xml:space="preserve"> – </w:t>
      </w:r>
      <w:r w:rsidR="00BF60B2" w:rsidRPr="00BF60B2">
        <w:t>Child Restraint Anchorages and Child Restraint Anchor Fittings</w:t>
      </w:r>
      <w:r w:rsidRPr="00744CAF">
        <w:t>) 20</w:t>
      </w:r>
      <w:r w:rsidR="007D671C" w:rsidRPr="00744CAF">
        <w:t>1</w:t>
      </w:r>
      <w:r w:rsidR="00744CAF" w:rsidRPr="00744CAF">
        <w:t>7</w:t>
      </w:r>
      <w:r>
        <w:rPr>
          <w:i/>
        </w:rPr>
        <w:t xml:space="preserve"> </w:t>
      </w:r>
      <w:r w:rsidR="003F01D5" w:rsidRPr="003C5E51">
        <w:t xml:space="preserve">is made under the </w:t>
      </w:r>
      <w:r w:rsidR="003F01D5" w:rsidRPr="003C5E51">
        <w:rPr>
          <w:i/>
        </w:rPr>
        <w:t>Motor Vehicle Standards Act 1989</w:t>
      </w:r>
      <w:r w:rsidR="003F01D5" w:rsidRPr="003C5E51">
        <w:t xml:space="preserve"> (the Act).  </w:t>
      </w:r>
      <w:r w:rsidR="00373A7D" w:rsidRPr="00373A7D">
        <w:t>The Act enables the Australian Government to establish nationally uniform standards that apply to new road vehicles when they are first supplied to the market in Australia.  The Act applies to such vehicles whether they are manufactured in Australia or imported.</w:t>
      </w:r>
    </w:p>
    <w:p w:rsidR="003F01D5" w:rsidRPr="003C5E51" w:rsidRDefault="003F01D5" w:rsidP="003B6C6B">
      <w:pPr>
        <w:pStyle w:val="StyledotArialLeft0cmFirstline0cmAfter12pt"/>
        <w:spacing w:after="120"/>
      </w:pPr>
      <w:r w:rsidRPr="003C5E51">
        <w:t>The making of the vehicle standards necessary for the Act's effective operation is provided for in section 7 which empowers the Minister to "determine vehicle standards for road vehicles or vehicle components".</w:t>
      </w:r>
    </w:p>
    <w:p w:rsidR="003F01D5" w:rsidRPr="0069365C" w:rsidRDefault="00EC6915" w:rsidP="003B6C6B">
      <w:pPr>
        <w:rPr>
          <w:rFonts w:cs="Arial"/>
        </w:rPr>
      </w:pPr>
      <w:r w:rsidRPr="00EC6915">
        <w:t>Vehicle Standa</w:t>
      </w:r>
      <w:r w:rsidR="00BF60B2">
        <w:t>rd (Australian Design Rule 34/03</w:t>
      </w:r>
      <w:r w:rsidRPr="00EC6915">
        <w:t xml:space="preserve"> – </w:t>
      </w:r>
      <w:r w:rsidR="00BF60B2" w:rsidRPr="00BF60B2">
        <w:t>Child Restraint Anchorages and Child Restraint Anchor Fittings</w:t>
      </w:r>
      <w:r w:rsidR="00F14473">
        <w:t>) 201</w:t>
      </w:r>
      <w:r w:rsidR="00744CAF">
        <w:t>7</w:t>
      </w:r>
      <w:r w:rsidRPr="00EC6915">
        <w:t xml:space="preserve"> </w:t>
      </w:r>
      <w:r w:rsidR="003F01D5" w:rsidRPr="00EC6915">
        <w:t>(</w:t>
      </w:r>
      <w:r w:rsidR="00BF60B2">
        <w:t>ADR 34/03</w:t>
      </w:r>
      <w:r w:rsidR="003F01D5" w:rsidRPr="0069365C">
        <w:t xml:space="preserve">) </w:t>
      </w:r>
      <w:r w:rsidR="003F01D5">
        <w:t>is being made to replace</w:t>
      </w:r>
      <w:r w:rsidR="003F01D5">
        <w:rPr>
          <w:rFonts w:cs="Arial"/>
        </w:rPr>
        <w:t xml:space="preserve"> </w:t>
      </w:r>
      <w:r w:rsidRPr="00EC6915">
        <w:t>Vehicle Standa</w:t>
      </w:r>
      <w:r w:rsidR="00BF60B2">
        <w:t>rd (Australian Design Rule 34</w:t>
      </w:r>
      <w:r>
        <w:t>/0</w:t>
      </w:r>
      <w:r w:rsidR="00BF60B2">
        <w:t>2</w:t>
      </w:r>
      <w:r w:rsidRPr="00EC6915">
        <w:t xml:space="preserve"> – </w:t>
      </w:r>
      <w:r w:rsidR="00BF60B2" w:rsidRPr="00BF60B2">
        <w:t>Child Restraint Anchorages and Child Restraint Anchor Fittings</w:t>
      </w:r>
      <w:r>
        <w:t xml:space="preserve">) </w:t>
      </w:r>
      <w:r w:rsidR="00F14473">
        <w:t>20</w:t>
      </w:r>
      <w:r w:rsidR="00744CAF">
        <w:t>1</w:t>
      </w:r>
      <w:r w:rsidR="00BF60B2">
        <w:t>2</w:t>
      </w:r>
      <w:r w:rsidRPr="00EC6915">
        <w:t xml:space="preserve"> </w:t>
      </w:r>
      <w:r w:rsidR="00F14473">
        <w:t>(ADR 3</w:t>
      </w:r>
      <w:r w:rsidR="00BF60B2">
        <w:t>4/02</w:t>
      </w:r>
      <w:r w:rsidR="003F01D5" w:rsidRPr="0069365C">
        <w:t>)</w:t>
      </w:r>
      <w:r w:rsidR="003F01D5">
        <w:t>,</w:t>
      </w:r>
      <w:r w:rsidR="003F01D5" w:rsidRPr="0069365C">
        <w:t xml:space="preserve"> </w:t>
      </w:r>
      <w:r w:rsidR="003F01D5">
        <w:t xml:space="preserve">which </w:t>
      </w:r>
      <w:r w:rsidR="003F01D5" w:rsidRPr="0069365C">
        <w:t>w</w:t>
      </w:r>
      <w:r w:rsidR="005753E3">
        <w:t xml:space="preserve">as originally determined in </w:t>
      </w:r>
      <w:r w:rsidR="00F14473">
        <w:t>20</w:t>
      </w:r>
      <w:r w:rsidR="00744CAF">
        <w:t>1</w:t>
      </w:r>
      <w:r w:rsidR="00BF60B2">
        <w:t>2</w:t>
      </w:r>
      <w:r w:rsidR="003F01D5" w:rsidRPr="0069365C">
        <w:t>.</w:t>
      </w:r>
    </w:p>
    <w:p w:rsidR="00BA4F48" w:rsidRPr="0069365C" w:rsidRDefault="00BA4F48" w:rsidP="00BF60B2">
      <w:pPr>
        <w:pStyle w:val="MainHeadding"/>
        <w:rPr>
          <w:rFonts w:cs="Arial"/>
        </w:rPr>
      </w:pPr>
      <w:bookmarkStart w:id="4" w:name="_Toc167864612"/>
      <w:bookmarkStart w:id="5" w:name="_Toc500163453"/>
      <w:bookmarkStart w:id="6" w:name="_Toc500169582"/>
      <w:r w:rsidRPr="0069365C">
        <w:t xml:space="preserve">content and effect of ADR </w:t>
      </w:r>
      <w:bookmarkEnd w:id="4"/>
      <w:r w:rsidR="00BF60B2">
        <w:t>34/03</w:t>
      </w:r>
      <w:r w:rsidR="003F01D5" w:rsidRPr="0069365C">
        <w:t xml:space="preserve"> –</w:t>
      </w:r>
      <w:r w:rsidR="005B114C">
        <w:t xml:space="preserve"> </w:t>
      </w:r>
      <w:r w:rsidR="00BF60B2" w:rsidRPr="00BF60B2">
        <w:t>Child Restraint Anchorages and Child Restraint Anchor Fittings</w:t>
      </w:r>
      <w:bookmarkEnd w:id="5"/>
      <w:bookmarkEnd w:id="6"/>
    </w:p>
    <w:p w:rsidR="00BA4F48" w:rsidRPr="00DD24B1" w:rsidRDefault="00BA4F48" w:rsidP="00D82CC0">
      <w:pPr>
        <w:pStyle w:val="Subsection"/>
      </w:pPr>
      <w:bookmarkStart w:id="7" w:name="_Toc167864613"/>
      <w:bookmarkStart w:id="8" w:name="_Toc500163454"/>
      <w:bookmarkStart w:id="9" w:name="_Toc500169583"/>
      <w:r w:rsidRPr="00DD24B1">
        <w:t>Overview of the ADR</w:t>
      </w:r>
      <w:bookmarkEnd w:id="7"/>
      <w:bookmarkEnd w:id="8"/>
      <w:bookmarkEnd w:id="9"/>
    </w:p>
    <w:p w:rsidR="00BF60B2" w:rsidRDefault="00BF60B2" w:rsidP="00481ACE">
      <w:pPr>
        <w:rPr>
          <w:lang w:val="en"/>
        </w:rPr>
      </w:pPr>
      <w:r w:rsidRPr="00BF60B2">
        <w:rPr>
          <w:lang w:val="en"/>
        </w:rPr>
        <w:t xml:space="preserve">This vehicle standard prescribes requirements for top tether anchorages and their fittings so that child restraints may be adequately secured to the vehicle.  It specifies a standard package of fitting hardware and accessibility requirements to facilitate correct installation and interchangeability of child restraints.  It also specifies requirements for any </w:t>
      </w:r>
      <w:r w:rsidR="00D603A2">
        <w:rPr>
          <w:lang w:val="en"/>
        </w:rPr>
        <w:t xml:space="preserve">ISOFIX </w:t>
      </w:r>
      <w:r w:rsidRPr="00BF60B2">
        <w:rPr>
          <w:lang w:val="en"/>
        </w:rPr>
        <w:t>lower anchorages to which the lower portion of a child restraint may be attached on a vehicle seat.</w:t>
      </w:r>
    </w:p>
    <w:p w:rsidR="002C61DC" w:rsidRDefault="002C61DC" w:rsidP="00481ACE">
      <w:pPr>
        <w:rPr>
          <w:lang w:val="en"/>
        </w:rPr>
      </w:pPr>
      <w:r w:rsidRPr="00B36CDE">
        <w:t xml:space="preserve">ISOFIX </w:t>
      </w:r>
      <w:r>
        <w:t xml:space="preserve">is a </w:t>
      </w:r>
      <w:r w:rsidRPr="00B36CDE">
        <w:t xml:space="preserve">system </w:t>
      </w:r>
      <w:r>
        <w:t>for</w:t>
      </w:r>
      <w:r w:rsidRPr="00B36CDE">
        <w:t xml:space="preserve"> attaching child restraints to vehicles</w:t>
      </w:r>
      <w:r w:rsidR="00F93338">
        <w:t>,</w:t>
      </w:r>
      <w:r w:rsidRPr="00B36CDE">
        <w:t xml:space="preserve"> which has been adopted internationally by the United Nations</w:t>
      </w:r>
      <w:r>
        <w:t xml:space="preserve"> World Forum for the Harmonization of Vehicle Regulations</w:t>
      </w:r>
      <w:r w:rsidR="00F93338">
        <w:t>.</w:t>
      </w:r>
    </w:p>
    <w:p w:rsidR="003F01D5" w:rsidRDefault="003F01D5" w:rsidP="00D82CC0">
      <w:pPr>
        <w:pStyle w:val="Subsection"/>
      </w:pPr>
      <w:bookmarkStart w:id="10" w:name="_Toc167864614"/>
      <w:bookmarkStart w:id="11" w:name="_Toc500163455"/>
      <w:bookmarkStart w:id="12" w:name="_Toc500169584"/>
      <w:r>
        <w:t>Effect of</w:t>
      </w:r>
      <w:r w:rsidR="00BA4F48" w:rsidRPr="0069365C">
        <w:t xml:space="preserve"> the ADR</w:t>
      </w:r>
      <w:bookmarkEnd w:id="10"/>
      <w:bookmarkEnd w:id="11"/>
      <w:bookmarkEnd w:id="12"/>
    </w:p>
    <w:p w:rsidR="00C74258" w:rsidRDefault="00AE2320" w:rsidP="007D7CA7">
      <w:pPr>
        <w:widowControl w:val="0"/>
      </w:pPr>
      <w:r w:rsidRPr="00AE2320">
        <w:t xml:space="preserve">This vehicle standard is being made to </w:t>
      </w:r>
      <w:r>
        <w:t xml:space="preserve">combine </w:t>
      </w:r>
      <w:r w:rsidRPr="00AE2320">
        <w:t xml:space="preserve">safety requirements </w:t>
      </w:r>
      <w:r>
        <w:t xml:space="preserve">for child restraint anchorages </w:t>
      </w:r>
      <w:r w:rsidR="00982C7F">
        <w:t>from</w:t>
      </w:r>
      <w:r>
        <w:t xml:space="preserve"> ADRs 3/03 and 34/02 into a single ADR</w:t>
      </w:r>
      <w:r w:rsidR="00C74258">
        <w:t>.</w:t>
      </w:r>
      <w:r w:rsidR="001716F6">
        <w:t xml:space="preserve">  This will mean </w:t>
      </w:r>
      <w:r w:rsidR="001716F6">
        <w:lastRenderedPageBreak/>
        <w:t xml:space="preserve">light vehicle </w:t>
      </w:r>
      <w:r w:rsidR="001716F6" w:rsidRPr="001716F6">
        <w:t xml:space="preserve">manufacturers </w:t>
      </w:r>
      <w:r w:rsidR="001716F6">
        <w:t xml:space="preserve">will </w:t>
      </w:r>
      <w:r w:rsidR="001716F6" w:rsidRPr="001716F6">
        <w:t xml:space="preserve">only have to use one ADR </w:t>
      </w:r>
      <w:r w:rsidR="001716F6">
        <w:t xml:space="preserve">in future </w:t>
      </w:r>
      <w:r w:rsidR="001716F6" w:rsidRPr="001716F6">
        <w:t xml:space="preserve">to demonstrate compliance with child restraint </w:t>
      </w:r>
      <w:r w:rsidR="001716F6">
        <w:t xml:space="preserve">anchorage related </w:t>
      </w:r>
      <w:r w:rsidR="001716F6" w:rsidRPr="001716F6">
        <w:t>requirements</w:t>
      </w:r>
      <w:r w:rsidR="001716F6">
        <w:t>.</w:t>
      </w:r>
    </w:p>
    <w:p w:rsidR="00AE2320" w:rsidRDefault="00AE2320" w:rsidP="007D7CA7">
      <w:pPr>
        <w:widowControl w:val="0"/>
      </w:pPr>
      <w:r>
        <w:t xml:space="preserve">Safety requirements are also being set </w:t>
      </w:r>
      <w:r w:rsidR="000E5A98">
        <w:t xml:space="preserve">in this standard </w:t>
      </w:r>
      <w:r>
        <w:t>for</w:t>
      </w:r>
      <w:r w:rsidRPr="00AE2320">
        <w:t xml:space="preserve"> any child restraint anchorages fitted to </w:t>
      </w:r>
      <w:r>
        <w:t>ADR category MD2 or NA vehicles</w:t>
      </w:r>
      <w:r w:rsidRPr="00AE2320">
        <w:t>.</w:t>
      </w:r>
      <w:r w:rsidR="00C74258">
        <w:t xml:space="preserve">  Although it will n</w:t>
      </w:r>
      <w:r w:rsidR="00C74258" w:rsidRPr="00510ED2">
        <w:t xml:space="preserve">ot be mandatory </w:t>
      </w:r>
      <w:r w:rsidR="00C74258">
        <w:t>for manufacturers to</w:t>
      </w:r>
      <w:r w:rsidR="00C74258" w:rsidRPr="00510ED2">
        <w:t xml:space="preserve"> fit </w:t>
      </w:r>
      <w:r w:rsidR="00C74258">
        <w:t xml:space="preserve">child restraint </w:t>
      </w:r>
      <w:r w:rsidR="00C74258" w:rsidRPr="00510ED2">
        <w:t>anchorages</w:t>
      </w:r>
      <w:r w:rsidR="00C74258">
        <w:t xml:space="preserve"> to </w:t>
      </w:r>
      <w:r w:rsidR="000B4E59">
        <w:t>these</w:t>
      </w:r>
      <w:r w:rsidR="00620C8A">
        <w:t xml:space="preserve"> </w:t>
      </w:r>
      <w:r w:rsidR="00C74258">
        <w:t xml:space="preserve">vehicles, </w:t>
      </w:r>
      <w:r w:rsidR="00C74258" w:rsidRPr="002A32EB">
        <w:t xml:space="preserve">any </w:t>
      </w:r>
      <w:r w:rsidR="00C74258">
        <w:t xml:space="preserve">child restraint </w:t>
      </w:r>
      <w:r w:rsidR="00C74258" w:rsidRPr="002A32EB">
        <w:t>anchorage</w:t>
      </w:r>
      <w:r w:rsidR="00C74258">
        <w:t>s</w:t>
      </w:r>
      <w:r w:rsidR="00C74258" w:rsidRPr="002A32EB">
        <w:t xml:space="preserve"> </w:t>
      </w:r>
      <w:r w:rsidR="00C74258">
        <w:t>optionally fitted by manufacturer</w:t>
      </w:r>
      <w:r w:rsidR="00620C8A">
        <w:t>s</w:t>
      </w:r>
      <w:r w:rsidR="00FC7150">
        <w:t xml:space="preserve"> will need to meet </w:t>
      </w:r>
      <w:r w:rsidR="00412215">
        <w:t>a prescribed</w:t>
      </w:r>
      <w:r w:rsidR="00FC7150">
        <w:t xml:space="preserve"> </w:t>
      </w:r>
      <w:r w:rsidR="00412215">
        <w:t xml:space="preserve">set of </w:t>
      </w:r>
      <w:r w:rsidR="00FC7150" w:rsidRPr="002A32EB">
        <w:t>d</w:t>
      </w:r>
      <w:r w:rsidR="00FC7150">
        <w:t xml:space="preserve">esign, location and strength </w:t>
      </w:r>
      <w:r w:rsidR="00412215">
        <w:t xml:space="preserve">related </w:t>
      </w:r>
      <w:r w:rsidR="00FC7150">
        <w:t>requirements</w:t>
      </w:r>
      <w:r w:rsidR="00C74258">
        <w:t>.</w:t>
      </w:r>
    </w:p>
    <w:p w:rsidR="000E5A98" w:rsidRDefault="00105806" w:rsidP="007D7CA7">
      <w:pPr>
        <w:widowControl w:val="0"/>
      </w:pPr>
      <w:r w:rsidRPr="00105806">
        <w:t>The standard will apply to ADR category LEP (motor tricycles), category M vehicles (passenger vehicles and omnibuses) and category N</w:t>
      </w:r>
      <w:r>
        <w:t>A</w:t>
      </w:r>
      <w:r w:rsidRPr="00105806">
        <w:t xml:space="preserve"> vehicles (</w:t>
      </w:r>
      <w:r>
        <w:t xml:space="preserve">light </w:t>
      </w:r>
      <w:r w:rsidRPr="00105806">
        <w:t>goods vehicles).</w:t>
      </w:r>
    </w:p>
    <w:p w:rsidR="000E5A98" w:rsidRDefault="000E5A98">
      <w:pPr>
        <w:spacing w:before="0" w:after="0"/>
      </w:pPr>
      <w:r>
        <w:br w:type="page"/>
      </w:r>
    </w:p>
    <w:p w:rsidR="0047100B" w:rsidRDefault="00105806" w:rsidP="007D7CA7">
      <w:pPr>
        <w:widowControl w:val="0"/>
      </w:pPr>
      <w:r w:rsidRPr="00105806">
        <w:lastRenderedPageBreak/>
        <w:t>New model vehicles will need to be certifi</w:t>
      </w:r>
      <w:r>
        <w:t>ed to this standard from 1 </w:t>
      </w:r>
      <w:r w:rsidRPr="00105806">
        <w:t xml:space="preserve">November 2019.  </w:t>
      </w:r>
      <w:r>
        <w:t xml:space="preserve">All new category MD2 and NA vehicles </w:t>
      </w:r>
      <w:r w:rsidRPr="00934FA5">
        <w:t xml:space="preserve">equipped with one or more </w:t>
      </w:r>
      <w:r w:rsidRPr="00934FA5">
        <w:rPr>
          <w:i/>
        </w:rPr>
        <w:t>‘Upper Anchorages’</w:t>
      </w:r>
      <w:r w:rsidRPr="00934FA5">
        <w:t xml:space="preserve"> </w:t>
      </w:r>
      <w:r>
        <w:t xml:space="preserve">(top tether anchorages) </w:t>
      </w:r>
      <w:r w:rsidRPr="00934FA5">
        <w:t>and/or ISOFIX anchorage systems</w:t>
      </w:r>
      <w:r w:rsidRPr="00105806">
        <w:t xml:space="preserve"> </w:t>
      </w:r>
      <w:r>
        <w:t xml:space="preserve">will also need to be certified to this standard from 1 November 2022.  </w:t>
      </w:r>
      <w:r w:rsidRPr="00105806">
        <w:t xml:space="preserve">There is no mandatory application date for all other vehicles.  They may comply with this vehicle standard or continue to comply with </w:t>
      </w:r>
      <w:r w:rsidR="002F003A" w:rsidRPr="002F003A">
        <w:t>ADR 34/02 or its acceptable prior rule</w:t>
      </w:r>
      <w:r w:rsidRPr="00105806">
        <w:t>.</w:t>
      </w:r>
    </w:p>
    <w:p w:rsidR="0048787D" w:rsidRDefault="0048787D" w:rsidP="007D7CA7">
      <w:pPr>
        <w:widowControl w:val="0"/>
      </w:pPr>
      <w:r>
        <w:t>A complementary explanatory statement is available for ADR 3/04.</w:t>
      </w:r>
    </w:p>
    <w:p w:rsidR="00283EDF" w:rsidRDefault="00283EDF" w:rsidP="00283EDF">
      <w:pPr>
        <w:pStyle w:val="Subsection"/>
        <w:keepNext/>
      </w:pPr>
      <w:bookmarkStart w:id="13" w:name="_Toc500150424"/>
      <w:bookmarkStart w:id="14" w:name="_Toc500163456"/>
      <w:bookmarkStart w:id="15" w:name="_Toc500169585"/>
      <w:r>
        <w:t>Incorporated Documents</w:t>
      </w:r>
      <w:bookmarkEnd w:id="13"/>
      <w:bookmarkEnd w:id="14"/>
      <w:bookmarkEnd w:id="15"/>
    </w:p>
    <w:p w:rsidR="00283EDF" w:rsidRDefault="00283EDF" w:rsidP="00D953C2">
      <w:r w:rsidRPr="003F630A">
        <w:t>This standard incorporates references to a number of standards of a highly technical nature. These standards are typically accessed by vehicle manufacturers and test facilities as part of their professional library.</w:t>
      </w:r>
    </w:p>
    <w:p w:rsidR="00033D5A" w:rsidRDefault="00033D5A" w:rsidP="00D953C2">
      <w:r>
        <w:t xml:space="preserve">Clause 10 of this standard </w:t>
      </w:r>
      <w:r w:rsidR="00D977B1">
        <w:t>incorporates</w:t>
      </w:r>
      <w:r>
        <w:t xml:space="preserve"> a reference to technical </w:t>
      </w:r>
      <w:r w:rsidR="00DA6391" w:rsidRPr="00DA6391">
        <w:t xml:space="preserve">drawings produced by the TNO (Research Institute for Road Vehicles) </w:t>
      </w:r>
      <w:r w:rsidR="00DA6391">
        <w:t>–</w:t>
      </w:r>
      <w:r w:rsidR="00DA6391" w:rsidRPr="00DA6391">
        <w:t xml:space="preserve"> Netherlands</w:t>
      </w:r>
      <w:r w:rsidR="00DA6391">
        <w:t xml:space="preserve">.  These are the design drawings for a </w:t>
      </w:r>
      <w:r w:rsidR="00AE11B2">
        <w:t>test dummy</w:t>
      </w:r>
      <w:r w:rsidR="00DA6391">
        <w:t xml:space="preserve"> representing a 50</w:t>
      </w:r>
      <w:r w:rsidR="00DA6391" w:rsidRPr="00DA6391">
        <w:rPr>
          <w:vertAlign w:val="superscript"/>
        </w:rPr>
        <w:t>th</w:t>
      </w:r>
      <w:r w:rsidR="00DA6391">
        <w:t xml:space="preserve"> percentile 6</w:t>
      </w:r>
      <w:r w:rsidR="002739EF">
        <w:noBreakHyphen/>
      </w:r>
      <w:r w:rsidR="00DA6391">
        <w:t>year old child</w:t>
      </w:r>
      <w:r w:rsidR="00475C4D">
        <w:t>.</w:t>
      </w:r>
    </w:p>
    <w:p w:rsidR="00A90AD3" w:rsidRDefault="00A90AD3" w:rsidP="00D953C2">
      <w:r>
        <w:t xml:space="preserve">Clause 11 of this standard </w:t>
      </w:r>
      <w:r w:rsidR="00D977B1">
        <w:t>incorporates</w:t>
      </w:r>
      <w:r>
        <w:t xml:space="preserve"> a reference to </w:t>
      </w:r>
      <w:r w:rsidR="00207A4F">
        <w:t xml:space="preserve">the </w:t>
      </w:r>
      <w:r w:rsidR="009B2483" w:rsidRPr="009B2483">
        <w:t>Society o</w:t>
      </w:r>
      <w:r w:rsidR="009B2483">
        <w:t xml:space="preserve">f Automotive Engineers </w:t>
      </w:r>
      <w:r w:rsidR="009B2483" w:rsidRPr="009B2483">
        <w:t>J879b Motor Vehicle Seating Systems, July 1968</w:t>
      </w:r>
      <w:r w:rsidR="00FE1D67">
        <w:t xml:space="preserve"> (SAE J879b)</w:t>
      </w:r>
      <w:r w:rsidR="009B2483">
        <w:t>.</w:t>
      </w:r>
      <w:r w:rsidR="00033D5A">
        <w:t xml:space="preserve">  This </w:t>
      </w:r>
      <w:r w:rsidR="00345CE2">
        <w:t xml:space="preserve">SAE </w:t>
      </w:r>
      <w:r w:rsidR="00033D5A">
        <w:t>standard specifies test procedures for motor</w:t>
      </w:r>
      <w:r w:rsidR="00033D5A" w:rsidRPr="001D5263">
        <w:t xml:space="preserve"> vehicle</w:t>
      </w:r>
      <w:r w:rsidR="00033D5A">
        <w:t xml:space="preserve"> </w:t>
      </w:r>
      <w:r w:rsidR="00033D5A" w:rsidRPr="001D5263">
        <w:t>s</w:t>
      </w:r>
      <w:r w:rsidR="00033D5A">
        <w:t>eats and seat adjusters</w:t>
      </w:r>
      <w:r w:rsidR="001672CA">
        <w:t>.</w:t>
      </w:r>
    </w:p>
    <w:p w:rsidR="003F0951" w:rsidRDefault="003F0951" w:rsidP="00D953C2">
      <w:r>
        <w:t xml:space="preserve">Clause 12 of this standard </w:t>
      </w:r>
      <w:r w:rsidR="00D977B1">
        <w:t>incorporates</w:t>
      </w:r>
      <w:r>
        <w:t xml:space="preserve"> a reference to the Consolidated Resolution on the</w:t>
      </w:r>
      <w:r w:rsidR="00433EB2">
        <w:t xml:space="preserve"> </w:t>
      </w:r>
      <w:r>
        <w:t>Construction of Vehicles (R.E.3) – (Document TRANS/WP29/78/Rev.4)</w:t>
      </w:r>
      <w:r w:rsidR="00D953C2">
        <w:t>.</w:t>
      </w:r>
    </w:p>
    <w:p w:rsidR="00FC55E6" w:rsidRDefault="00FC55E6" w:rsidP="00283EDF">
      <w:r>
        <w:t>Clause 13 incorporates a reference to UN</w:t>
      </w:r>
      <w:r w:rsidRPr="00FC55E6">
        <w:t xml:space="preserve"> Regulation No.</w:t>
      </w:r>
      <w:r w:rsidR="00DC1DF4">
        <w:t> </w:t>
      </w:r>
      <w:r w:rsidRPr="00FC55E6">
        <w:t>44 – UNIFORM PROVISIONS CONCERNING THE APPROVAL OF RESTRAINING DEVICES FOR CHILD OCCUPANTS OF POWER-DRIVEN VEHICLES ("CHILD RESTRAINT SYSTEMS")</w:t>
      </w:r>
      <w:r w:rsidR="00B00081">
        <w:t xml:space="preserve"> (R 44)</w:t>
      </w:r>
      <w:r w:rsidR="0063234B">
        <w:t>.</w:t>
      </w:r>
    </w:p>
    <w:p w:rsidR="00283EDF" w:rsidRPr="001B029B" w:rsidRDefault="00283EDF" w:rsidP="00283EDF">
      <w:r>
        <w:t xml:space="preserve">Clause </w:t>
      </w:r>
      <w:r w:rsidR="00736075">
        <w:t>14</w:t>
      </w:r>
      <w:r>
        <w:t xml:space="preserve"> of t</w:t>
      </w:r>
      <w:r w:rsidRPr="001B029B">
        <w:t>h</w:t>
      </w:r>
      <w:r>
        <w:t xml:space="preserve">is standard </w:t>
      </w:r>
      <w:r w:rsidRPr="001B029B">
        <w:t>incorporates reference</w:t>
      </w:r>
      <w:r w:rsidR="00736075">
        <w:t>s</w:t>
      </w:r>
      <w:r w:rsidRPr="001B029B">
        <w:t xml:space="preserve"> to </w:t>
      </w:r>
      <w:r>
        <w:t>UN</w:t>
      </w:r>
      <w:r w:rsidR="00DC1DF4">
        <w:t> </w:t>
      </w:r>
      <w:r>
        <w:t xml:space="preserve">Regulation </w:t>
      </w:r>
      <w:r w:rsidRPr="00C31729">
        <w:t xml:space="preserve">No. </w:t>
      </w:r>
      <w:r>
        <w:t>1</w:t>
      </w:r>
      <w:r w:rsidR="00746638">
        <w:t>4</w:t>
      </w:r>
      <w:r w:rsidRPr="00C31729">
        <w:t xml:space="preserve"> - UNIFORM PROVISIONS CONCERNING THE APPROVAL OF VEHICLES WITH REGARD TO </w:t>
      </w:r>
      <w:r w:rsidR="00746638" w:rsidRPr="00746638">
        <w:t>SAFETY-BELT ANCHORAGES, ISOFIX ANCHORAGES SYSTEMS AND ISOFIX TOP TETHER ANCHORAGES AND ISIZE SEATING POSITIONS</w:t>
      </w:r>
      <w:r>
        <w:t xml:space="preserve"> (R 1</w:t>
      </w:r>
      <w:r w:rsidR="000E2CD1">
        <w:t>4</w:t>
      </w:r>
      <w:r>
        <w:t>)</w:t>
      </w:r>
      <w:r w:rsidR="00E4064E">
        <w:t xml:space="preserve"> and UN Regulation </w:t>
      </w:r>
      <w:r w:rsidR="00E4064E" w:rsidRPr="00C31729">
        <w:t>No.</w:t>
      </w:r>
      <w:r w:rsidR="007D7302">
        <w:t> </w:t>
      </w:r>
      <w:r w:rsidR="00E4064E">
        <w:t>16</w:t>
      </w:r>
      <w:r w:rsidR="00E4064E" w:rsidRPr="00C31729">
        <w:t xml:space="preserve"> - UNIFORM PROVISIONS CONCERNING THE APPROVAL OF</w:t>
      </w:r>
      <w:r w:rsidR="00E4064E" w:rsidRPr="00E4064E">
        <w:t xml:space="preserve">: I. SAFETY-BELTS, RESTRAINT SYSTEMS, CHILD RESTRAINT SYSTEMS AND ISOFIX CHILD RESTRAINT SYSTEMS FOR OCCUPANTS OF POWER-DRIVEN VEHICLES and II.VEHICLES EQUIPPED WITH SAFETY-BELTS, SAFETY-BELT </w:t>
      </w:r>
      <w:r w:rsidR="00E4064E" w:rsidRPr="00E4064E">
        <w:lastRenderedPageBreak/>
        <w:t>REMINDERS, RESTRAINT SYSTEMS, CHILD RESTRAINT SYSTEMS AND ISOFIX CHILD RESTRAINT SYSTEMS AND I-SIZE CHILD RESTRAINT SYSTEMS</w:t>
      </w:r>
      <w:r w:rsidR="00E4064E">
        <w:t xml:space="preserve"> (R 16)</w:t>
      </w:r>
      <w:r w:rsidRPr="001B029B">
        <w:t>.</w:t>
      </w:r>
    </w:p>
    <w:p w:rsidR="00283EDF" w:rsidRPr="009867AF" w:rsidRDefault="00283EDF" w:rsidP="00283EDF">
      <w:r w:rsidRPr="009867AF">
        <w:t xml:space="preserve">In accordance with subsections 14(1)(b) and 14(2) of the </w:t>
      </w:r>
      <w:r w:rsidRPr="009867AF">
        <w:rPr>
          <w:i/>
        </w:rPr>
        <w:t>Legislation Act 2003,</w:t>
      </w:r>
      <w:r w:rsidRPr="009867AF">
        <w:t xml:space="preserve"> these </w:t>
      </w:r>
      <w:r w:rsidR="00AC498E">
        <w:t xml:space="preserve">reference documents and </w:t>
      </w:r>
      <w:r w:rsidRPr="009867AF">
        <w:t>standards are incorporated as in force at the commencement of the Determination.</w:t>
      </w:r>
    </w:p>
    <w:p w:rsidR="006A1D77" w:rsidRDefault="006A1D77" w:rsidP="006A1D77">
      <w:pPr>
        <w:keepLines/>
        <w:widowControl w:val="0"/>
      </w:pPr>
      <w:r>
        <w:t xml:space="preserve">The technical </w:t>
      </w:r>
      <w:r w:rsidRPr="00DA6391">
        <w:t xml:space="preserve">drawings </w:t>
      </w:r>
      <w:r w:rsidR="002A502A">
        <w:t>incorporated by reference in clause 10 of this standard</w:t>
      </w:r>
      <w:r w:rsidR="002A502A" w:rsidRPr="00DA6391">
        <w:t xml:space="preserve"> </w:t>
      </w:r>
      <w:r w:rsidR="002A502A">
        <w:t xml:space="preserve">were </w:t>
      </w:r>
      <w:r w:rsidRPr="00DA6391">
        <w:t xml:space="preserve">produced by the TNO (Research Institute for Road Vehicles) </w:t>
      </w:r>
      <w:r>
        <w:t>–</w:t>
      </w:r>
      <w:r w:rsidRPr="00DA6391">
        <w:t xml:space="preserve"> Netherlands</w:t>
      </w:r>
      <w:r w:rsidR="002A502A">
        <w:t xml:space="preserve"> and</w:t>
      </w:r>
      <w:r>
        <w:t xml:space="preserve"> define a test dummy which also corresponds to the 6</w:t>
      </w:r>
      <w:r>
        <w:noBreakHyphen/>
        <w:t xml:space="preserve">year manikin described in Annex 8 – Appendix 1 of the UN Regulation No. 44 (R 44) – (Document </w:t>
      </w:r>
      <w:r w:rsidRPr="008A1492">
        <w:t>E/ECE/324/Rev.1/Add.43/Rev.3</w:t>
      </w:r>
      <w:r>
        <w:t>).  Compliance with these drawings is an option to another criterion directly specified in the ADR.</w:t>
      </w:r>
    </w:p>
    <w:p w:rsidR="0016631D" w:rsidRDefault="0016631D" w:rsidP="0016631D">
      <w:pPr>
        <w:widowControl w:val="0"/>
      </w:pPr>
      <w:r>
        <w:t xml:space="preserve">The </w:t>
      </w:r>
      <w:r w:rsidR="00FE1D67">
        <w:t>SAE</w:t>
      </w:r>
      <w:r>
        <w:t xml:space="preserve"> </w:t>
      </w:r>
      <w:r w:rsidRPr="009B2483">
        <w:t xml:space="preserve">J879b </w:t>
      </w:r>
      <w:r>
        <w:t xml:space="preserve">standard incorporated by reference in clause 11 of this standard is available for purchase only, through SAE International.  Vehicle manufacturers and test facilities (in particular crash test laboratories) access this </w:t>
      </w:r>
      <w:r w:rsidR="00FE1D67">
        <w:t xml:space="preserve">SAE </w:t>
      </w:r>
      <w:r>
        <w:t>standard as part of their professional library</w:t>
      </w:r>
      <w:r w:rsidR="00BC5C55">
        <w:t xml:space="preserve"> and it has been referenced in the ADRs for over 30 years</w:t>
      </w:r>
      <w:r>
        <w:t>.</w:t>
      </w:r>
      <w:r w:rsidR="00FE1D67">
        <w:t xml:space="preserve">  </w:t>
      </w:r>
      <w:r w:rsidR="002A502A">
        <w:t>In addition, c</w:t>
      </w:r>
      <w:r w:rsidR="00FE1D67" w:rsidRPr="00FE1D67">
        <w:t xml:space="preserve">ompliance with </w:t>
      </w:r>
      <w:r w:rsidR="00FE1D67">
        <w:t xml:space="preserve">the test </w:t>
      </w:r>
      <w:r w:rsidR="0027627D">
        <w:t>referencing</w:t>
      </w:r>
      <w:r w:rsidR="00FE1D67">
        <w:t xml:space="preserve"> SAE J879b</w:t>
      </w:r>
      <w:r w:rsidR="00FE1D67" w:rsidRPr="00FE1D67">
        <w:t xml:space="preserve"> is an option to another </w:t>
      </w:r>
      <w:r w:rsidR="00FE1D67">
        <w:t>test</w:t>
      </w:r>
      <w:r w:rsidR="00FE1D67" w:rsidRPr="00FE1D67">
        <w:t xml:space="preserve"> directly specified </w:t>
      </w:r>
      <w:r w:rsidR="00FE1D67">
        <w:t>through</w:t>
      </w:r>
      <w:r w:rsidR="00FE1D67" w:rsidRPr="00FE1D67">
        <w:t xml:space="preserve"> the ADR.</w:t>
      </w:r>
    </w:p>
    <w:p w:rsidR="00283EDF" w:rsidRPr="009867AF" w:rsidRDefault="00283EDF" w:rsidP="00283EDF">
      <w:r w:rsidRPr="009867AF">
        <w:t xml:space="preserve">The Consolidated Resolution on the Construction of Vehicles (R.E.3.) – </w:t>
      </w:r>
      <w:r w:rsidR="003F0951" w:rsidRPr="003F0951">
        <w:t>(Document TRANS/WP29/78/Rev.4)</w:t>
      </w:r>
      <w:r w:rsidRPr="009867AF">
        <w:t>, and the UN Regulations (including R 1</w:t>
      </w:r>
      <w:r w:rsidR="003F0951">
        <w:t>4</w:t>
      </w:r>
      <w:r w:rsidR="00DE7C09">
        <w:t>,</w:t>
      </w:r>
      <w:r w:rsidRPr="009867AF">
        <w:t xml:space="preserve"> R </w:t>
      </w:r>
      <w:r w:rsidR="003F0951">
        <w:t>16</w:t>
      </w:r>
      <w:r w:rsidR="00DE7C09">
        <w:t xml:space="preserve"> and R 44</w:t>
      </w:r>
      <w:r w:rsidRPr="009867AF">
        <w:t xml:space="preserve">) </w:t>
      </w:r>
      <w:r w:rsidR="00D2452E">
        <w:t>are international standards and guidance documents that</w:t>
      </w:r>
      <w:r w:rsidR="00D2452E" w:rsidRPr="009867AF">
        <w:t xml:space="preserve"> </w:t>
      </w:r>
      <w:r w:rsidRPr="009867AF">
        <w:t xml:space="preserve">may be freely accessed online through the UN World Forum for the Harmonization of Vehicle Regulations (WP.29).  The WP.29 website is </w:t>
      </w:r>
      <w:hyperlink r:id="rId11" w:history="1">
        <w:r w:rsidRPr="009867AF">
          <w:t>https://www.unece.org/trans/main/welcwp29.html</w:t>
        </w:r>
      </w:hyperlink>
      <w:r w:rsidRPr="009867AF">
        <w:t>.</w:t>
      </w:r>
    </w:p>
    <w:p w:rsidR="00BA4F48" w:rsidRPr="0069365C" w:rsidRDefault="00BA4F48" w:rsidP="00D82CC0">
      <w:pPr>
        <w:pStyle w:val="MainHeadding"/>
      </w:pPr>
      <w:bookmarkStart w:id="16" w:name="_Toc167864615"/>
      <w:bookmarkStart w:id="17" w:name="_Toc500163457"/>
      <w:bookmarkStart w:id="18" w:name="_Toc500169586"/>
      <w:r w:rsidRPr="0069365C">
        <w:t>best practice regulation</w:t>
      </w:r>
      <w:bookmarkEnd w:id="16"/>
      <w:bookmarkEnd w:id="17"/>
      <w:bookmarkEnd w:id="18"/>
    </w:p>
    <w:p w:rsidR="00BA4F48" w:rsidRPr="00096A9E" w:rsidRDefault="00BA4F48" w:rsidP="00D82CC0">
      <w:pPr>
        <w:pStyle w:val="Subsection"/>
      </w:pPr>
      <w:bookmarkStart w:id="19" w:name="_Toc167864616"/>
      <w:bookmarkStart w:id="20" w:name="_Toc500163458"/>
      <w:bookmarkStart w:id="21" w:name="_Toc500169587"/>
      <w:r w:rsidRPr="00096A9E">
        <w:t>B</w:t>
      </w:r>
      <w:bookmarkEnd w:id="19"/>
      <w:r w:rsidR="00E60568" w:rsidRPr="00096A9E">
        <w:t>enefits and Costs</w:t>
      </w:r>
      <w:bookmarkEnd w:id="20"/>
      <w:bookmarkEnd w:id="21"/>
    </w:p>
    <w:p w:rsidR="006B2A4B" w:rsidRDefault="00550622" w:rsidP="00D82CC0">
      <w:r>
        <w:t xml:space="preserve">This vehicle standard will </w:t>
      </w:r>
      <w:r w:rsidRPr="00550622">
        <w:t>have no more than a minor regulatory impact on business, community organisations or individuals</w:t>
      </w:r>
      <w:r>
        <w:t>.</w:t>
      </w:r>
    </w:p>
    <w:p w:rsidR="00626DBC" w:rsidRPr="0069365C" w:rsidRDefault="00626DBC" w:rsidP="00D82CC0">
      <w:pPr>
        <w:pStyle w:val="Subsection"/>
      </w:pPr>
      <w:bookmarkStart w:id="22" w:name="_Toc167864617"/>
      <w:bookmarkStart w:id="23" w:name="_Toc500163459"/>
      <w:bookmarkStart w:id="24" w:name="_Toc500169588"/>
      <w:r w:rsidRPr="0069365C">
        <w:t>General Consultation Arrangements</w:t>
      </w:r>
      <w:bookmarkEnd w:id="22"/>
      <w:bookmarkEnd w:id="23"/>
      <w:bookmarkEnd w:id="24"/>
    </w:p>
    <w:p w:rsidR="00C14345" w:rsidRPr="00D82CC0" w:rsidRDefault="00C14345" w:rsidP="00D82CC0">
      <w:bookmarkStart w:id="25" w:name="_Toc167864618"/>
      <w:r w:rsidRPr="00D82CC0">
        <w:t xml:space="preserve">It has been longstanding practice to consult widely on proposed new or amended vehicle standards.  For many years there has been active collaboration between the </w:t>
      </w:r>
      <w:r w:rsidRPr="00D82CC0">
        <w:lastRenderedPageBreak/>
        <w:t>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rsidR="00C14345" w:rsidRPr="001F0CA5" w:rsidRDefault="00C14345" w:rsidP="00D82CC0">
      <w:r w:rsidRPr="001F0CA5">
        <w:t>Depending on the nature of the proposed changes, consultation could involve the Technical Liaison Group (TLG), Strategic Vehicle Safety and Environment Group (SVSEG), Transport and Infrastructure Senior Officials’ Committee (TISOC) and the Transport and Infrastructure Council (the Council).</w:t>
      </w:r>
    </w:p>
    <w:p w:rsidR="00C14345" w:rsidRPr="00D065C8" w:rsidRDefault="00C14345" w:rsidP="00D065C8">
      <w:pPr>
        <w:pStyle w:val="BulletList"/>
      </w:pPr>
      <w:r w:rsidRPr="00D065C8">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rsidR="00C14345" w:rsidRPr="00D065C8" w:rsidRDefault="00C14345" w:rsidP="004B630C">
      <w:pPr>
        <w:pStyle w:val="BulletList"/>
        <w:keepLines/>
      </w:pPr>
      <w:r w:rsidRPr="00D065C8">
        <w:t>SVSEG consists of senior representatives of government (Australian and state/territory), the manufacturing and operational arms of the industry and of representative organisations of consumers and road users (at a higher level within each organisation as represented in TLG).</w:t>
      </w:r>
    </w:p>
    <w:p w:rsidR="00C14345" w:rsidRPr="00D065C8" w:rsidRDefault="00C14345" w:rsidP="0097431D">
      <w:pPr>
        <w:pStyle w:val="BulletList"/>
        <w:keepLines/>
      </w:pPr>
      <w:r w:rsidRPr="00D065C8">
        <w:t>TISOC consists of state and territory transport and/or infrastructure Chief Executive Officers (CEOs) (or equivalents), the CEO of the National Transport Commission, New Zealand and the Australian Local Government Association.</w:t>
      </w:r>
    </w:p>
    <w:p w:rsidR="00C14345" w:rsidRPr="00D065C8" w:rsidRDefault="00C14345" w:rsidP="00D065C8">
      <w:pPr>
        <w:pStyle w:val="BulletList"/>
      </w:pPr>
      <w:r w:rsidRPr="00D065C8">
        <w:t>The Council consists of the Australian, state/territory and New Zealand Ministers with responsibility for transport and infrastructure issues.</w:t>
      </w:r>
    </w:p>
    <w:p w:rsidR="00C14345" w:rsidRDefault="00C14345" w:rsidP="00D82CC0">
      <w:r w:rsidRPr="00CA7971">
        <w:t>Editorial changes and changes to correct errors are processed by the Department of Infrastructure</w:t>
      </w:r>
      <w:r>
        <w:t xml:space="preserve"> and Regional Development</w:t>
      </w:r>
      <w:r w:rsidRPr="00CA7971">
        <w:t>.  This approach is only used where the amendments do not vary the intent of the vehicle standard.</w:t>
      </w:r>
    </w:p>
    <w:p w:rsidR="00C14345" w:rsidRPr="00CA7971" w:rsidRDefault="00C14345" w:rsidP="00D82CC0">
      <w:r w:rsidRPr="00CA7971">
        <w:t xml:space="preserve">Proposals that are regarded as significant need to be supported by a RIS meeting the requirements of the Office of Best Practice Regulation (OBPR) as published in </w:t>
      </w:r>
      <w:r w:rsidRPr="009C4A2E">
        <w:rPr>
          <w:i/>
        </w:rPr>
        <w:t xml:space="preserve">the </w:t>
      </w:r>
      <w:r w:rsidRPr="009C4A2E">
        <w:rPr>
          <w:i/>
          <w:iCs/>
        </w:rPr>
        <w:t>Australian Government Guide to Regulation</w:t>
      </w:r>
      <w:r w:rsidRPr="009C4A2E">
        <w:t xml:space="preserve"> and the Council of Australian </w:t>
      </w:r>
      <w:r w:rsidRPr="009C4A2E">
        <w:lastRenderedPageBreak/>
        <w:t>Governments</w:t>
      </w:r>
      <w:r>
        <w:t>’</w:t>
      </w:r>
      <w:r w:rsidRPr="009C4A2E">
        <w:t xml:space="preserve"> </w:t>
      </w:r>
      <w:r w:rsidRPr="00BF3ADD">
        <w:rPr>
          <w:i/>
          <w:iCs/>
        </w:rPr>
        <w:t xml:space="preserve">Best Practice Regulation: A </w:t>
      </w:r>
      <w:r>
        <w:rPr>
          <w:i/>
          <w:iCs/>
        </w:rPr>
        <w:t>G</w:t>
      </w:r>
      <w:r w:rsidRPr="00BF3ADD">
        <w:rPr>
          <w:i/>
          <w:iCs/>
        </w:rPr>
        <w:t>uide for Ministerial Councils and National Standard Setting Bodies</w:t>
      </w:r>
      <w:r w:rsidRPr="009C4A2E">
        <w:rPr>
          <w:i/>
        </w:rPr>
        <w:t>.</w:t>
      </w:r>
    </w:p>
    <w:p w:rsidR="00066F93" w:rsidRPr="00225589" w:rsidRDefault="00BA4F48" w:rsidP="00D82CC0">
      <w:pPr>
        <w:pStyle w:val="Subsection"/>
      </w:pPr>
      <w:bookmarkStart w:id="26" w:name="_Toc500163460"/>
      <w:bookmarkStart w:id="27" w:name="_Toc500169589"/>
      <w:r w:rsidRPr="0069365C">
        <w:t>Specific Consultation Arrangements for this Vehicle Standard</w:t>
      </w:r>
      <w:bookmarkEnd w:id="25"/>
      <w:bookmarkEnd w:id="26"/>
      <w:bookmarkEnd w:id="27"/>
    </w:p>
    <w:p w:rsidR="00651832" w:rsidRDefault="008D37EE" w:rsidP="00651832">
      <w:r>
        <w:t>This standard</w:t>
      </w:r>
      <w:r w:rsidR="001B217D">
        <w:t xml:space="preserve"> was proposed, discussed and supported during 2016</w:t>
      </w:r>
      <w:r>
        <w:t>-</w:t>
      </w:r>
      <w:r w:rsidR="001B217D">
        <w:t xml:space="preserve">17 at meetings of AMVCB, TLG and SVSEG.  </w:t>
      </w:r>
      <w:r w:rsidR="00D77391">
        <w:t>I</w:t>
      </w:r>
      <w:r w:rsidR="00605DCE">
        <w:t>t</w:t>
      </w:r>
      <w:r w:rsidR="001B217D">
        <w:t xml:space="preserve"> was acknowledged that these groups are at the appropriate level to consider this type of change.</w:t>
      </w:r>
      <w:bookmarkStart w:id="28" w:name="_Toc318271645"/>
      <w:bookmarkStart w:id="29" w:name="_Toc317171517"/>
      <w:bookmarkStart w:id="30" w:name="_Toc317171391"/>
      <w:bookmarkStart w:id="31" w:name="_Toc317158948"/>
      <w:bookmarkStart w:id="32" w:name="_Toc318272904"/>
      <w:bookmarkStart w:id="33" w:name="_Toc319402529"/>
      <w:r w:rsidR="00D77391">
        <w:t xml:space="preserve">  A draft ADR was </w:t>
      </w:r>
      <w:r w:rsidR="00192F2E">
        <w:t xml:space="preserve">also </w:t>
      </w:r>
      <w:r w:rsidR="00D77391">
        <w:t xml:space="preserve">provided </w:t>
      </w:r>
      <w:r w:rsidR="00192F2E">
        <w:t xml:space="preserve">as part of this consultation process </w:t>
      </w:r>
      <w:r w:rsidR="00D77391">
        <w:t>to AMVCB.</w:t>
      </w:r>
    </w:p>
    <w:p w:rsidR="00462A19" w:rsidRDefault="00462A19" w:rsidP="00CD085E">
      <w:pPr>
        <w:autoSpaceDE w:val="0"/>
        <w:autoSpaceDN w:val="0"/>
        <w:adjustRightInd w:val="0"/>
        <w:spacing w:before="0" w:after="0"/>
      </w:pPr>
      <w:r>
        <w:t>The Department of Infrastructure and Regional Development also consulted with the Office of Best Practice Regulation (OBPR) within the Department of Prime Minister and Cabinet on this standard.  A Regulation Impact Statement is</w:t>
      </w:r>
      <w:r w:rsidR="00AB7541">
        <w:t xml:space="preserve"> not required, as </w:t>
      </w:r>
      <w:r w:rsidR="00D22DA8">
        <w:t xml:space="preserve">the decision maker is not the Australian Government’s Cabinet, and </w:t>
      </w:r>
      <w:r w:rsidR="005D37CF">
        <w:t>the changes will have no more than a minor regulatory impact</w:t>
      </w:r>
      <w:r w:rsidR="00CD085E">
        <w:t>.  Th</w:t>
      </w:r>
      <w:r w:rsidR="00E91D40">
        <w:t>e OBPR reference number is 22612</w:t>
      </w:r>
      <w:r w:rsidR="00CD085E">
        <w:t>.</w:t>
      </w:r>
    </w:p>
    <w:p w:rsidR="00586887" w:rsidRPr="00586887" w:rsidRDefault="00586887" w:rsidP="004E0001">
      <w:pPr>
        <w:pStyle w:val="HeadingLevel1"/>
      </w:pPr>
      <w:bookmarkStart w:id="34" w:name="_Toc500163461"/>
      <w:bookmarkStart w:id="35" w:name="_Toc500169590"/>
      <w:r w:rsidRPr="00586887">
        <w:t>STATEMENT OF COMPATIBILITY WITH HUMAN RIGHTS</w:t>
      </w:r>
      <w:bookmarkEnd w:id="28"/>
      <w:bookmarkEnd w:id="29"/>
      <w:bookmarkEnd w:id="30"/>
      <w:bookmarkEnd w:id="31"/>
      <w:bookmarkEnd w:id="32"/>
      <w:bookmarkEnd w:id="33"/>
      <w:bookmarkEnd w:id="34"/>
      <w:bookmarkEnd w:id="35"/>
    </w:p>
    <w:p w:rsidR="00586887" w:rsidRPr="002834A5" w:rsidRDefault="00586887" w:rsidP="00D82CC0">
      <w:r w:rsidRPr="00586887">
        <w:t xml:space="preserve">The following Statement is prepared in accordance with Part 3 of the </w:t>
      </w:r>
      <w:r w:rsidRPr="00586887">
        <w:rPr>
          <w:i/>
          <w:iCs/>
        </w:rPr>
        <w:t>Human Rights (Parliamentary Scrutiny) Act 2011.</w:t>
      </w:r>
    </w:p>
    <w:p w:rsidR="00586887" w:rsidRPr="00785284" w:rsidRDefault="00586887" w:rsidP="00D82CC0">
      <w:pPr>
        <w:pStyle w:val="Subsection"/>
      </w:pPr>
      <w:bookmarkStart w:id="36" w:name="_Toc318271646"/>
      <w:bookmarkStart w:id="37" w:name="_Toc317171518"/>
      <w:bookmarkStart w:id="38" w:name="_Toc317171392"/>
      <w:bookmarkStart w:id="39" w:name="_Toc318272905"/>
      <w:bookmarkStart w:id="40" w:name="_Toc319402530"/>
      <w:bookmarkStart w:id="41" w:name="_Toc500163462"/>
      <w:bookmarkStart w:id="42" w:name="_Toc500169591"/>
      <w:r w:rsidRPr="00785284">
        <w:t>Overview of the Legislative Instrument</w:t>
      </w:r>
      <w:bookmarkEnd w:id="36"/>
      <w:bookmarkEnd w:id="37"/>
      <w:bookmarkEnd w:id="38"/>
      <w:bookmarkEnd w:id="39"/>
      <w:bookmarkEnd w:id="40"/>
      <w:bookmarkEnd w:id="41"/>
      <w:bookmarkEnd w:id="42"/>
    </w:p>
    <w:p w:rsidR="00586887" w:rsidRPr="00586887" w:rsidRDefault="00586887" w:rsidP="00D82CC0">
      <w:r w:rsidRPr="00586887">
        <w:t xml:space="preserve">ADR </w:t>
      </w:r>
      <w:r w:rsidR="00F9393F">
        <w:t>34/03</w:t>
      </w:r>
      <w:r w:rsidRPr="00586887">
        <w:t xml:space="preserve"> is being made </w:t>
      </w:r>
      <w:r w:rsidR="00D76E6C">
        <w:t>to replace ADR </w:t>
      </w:r>
      <w:r w:rsidR="006A144D">
        <w:t>34/02</w:t>
      </w:r>
      <w:r w:rsidRPr="00586887">
        <w:t xml:space="preserve">.  </w:t>
      </w:r>
      <w:r w:rsidRPr="007C4577">
        <w:t xml:space="preserve">It </w:t>
      </w:r>
      <w:r w:rsidR="00FD6ED5" w:rsidRPr="007C4577">
        <w:rPr>
          <w:lang w:val="en"/>
        </w:rPr>
        <w:t xml:space="preserve">prescribes </w:t>
      </w:r>
      <w:r w:rsidR="007C4577" w:rsidRPr="007C4577">
        <w:rPr>
          <w:lang w:val="en"/>
        </w:rPr>
        <w:t>child restraint anchorage and anchor fitting</w:t>
      </w:r>
      <w:r w:rsidR="00FD6ED5" w:rsidRPr="007C4577">
        <w:rPr>
          <w:lang w:val="en"/>
        </w:rPr>
        <w:t xml:space="preserve"> requirements for passenger </w:t>
      </w:r>
      <w:r w:rsidR="007C4577" w:rsidRPr="007C4577">
        <w:rPr>
          <w:lang w:val="en"/>
        </w:rPr>
        <w:t>vehicles</w:t>
      </w:r>
      <w:r w:rsidR="00D065C8" w:rsidRPr="007C4577">
        <w:rPr>
          <w:lang w:val="en"/>
        </w:rPr>
        <w:t xml:space="preserve"> as well as</w:t>
      </w:r>
      <w:r w:rsidR="00FD6ED5" w:rsidRPr="007C4577">
        <w:t xml:space="preserve"> light commercial vehicles.</w:t>
      </w:r>
    </w:p>
    <w:p w:rsidR="00586887" w:rsidRPr="00586887" w:rsidRDefault="00586887" w:rsidP="00D82CC0">
      <w:pPr>
        <w:pStyle w:val="Subsection"/>
      </w:pPr>
      <w:bookmarkStart w:id="43" w:name="_Toc318271647"/>
      <w:bookmarkStart w:id="44" w:name="_Toc317171519"/>
      <w:bookmarkStart w:id="45" w:name="_Toc317171393"/>
      <w:bookmarkStart w:id="46" w:name="_Toc318272906"/>
      <w:bookmarkStart w:id="47" w:name="_Toc319402531"/>
      <w:bookmarkStart w:id="48" w:name="_Toc500163463"/>
      <w:bookmarkStart w:id="49" w:name="_Toc500169592"/>
      <w:r w:rsidRPr="00586887">
        <w:t>Human Rights Implications</w:t>
      </w:r>
      <w:bookmarkEnd w:id="43"/>
      <w:bookmarkEnd w:id="44"/>
      <w:bookmarkEnd w:id="45"/>
      <w:bookmarkEnd w:id="46"/>
      <w:bookmarkEnd w:id="47"/>
      <w:bookmarkEnd w:id="48"/>
      <w:bookmarkEnd w:id="49"/>
    </w:p>
    <w:p w:rsidR="00586887" w:rsidRPr="00586887" w:rsidRDefault="00586887" w:rsidP="00D82CC0">
      <w:r w:rsidRPr="00586887">
        <w:t xml:space="preserve">ADR </w:t>
      </w:r>
      <w:r w:rsidR="00F9393F">
        <w:t>34/03</w:t>
      </w:r>
      <w:r w:rsidRPr="00586887">
        <w:t xml:space="preserve"> does not engage any of the human rights and freedoms recognised or declared in the international instruments listed in section 3 of the </w:t>
      </w:r>
      <w:r w:rsidRPr="00586887">
        <w:rPr>
          <w:i/>
          <w:iCs/>
        </w:rPr>
        <w:t>Human Rights (Parliamentary Scrutiny) Act 2011</w:t>
      </w:r>
      <w:r w:rsidRPr="00586887">
        <w:t>.</w:t>
      </w:r>
    </w:p>
    <w:p w:rsidR="00586887" w:rsidRPr="00586887" w:rsidRDefault="00586887" w:rsidP="005654AD">
      <w:pPr>
        <w:pStyle w:val="Subsection"/>
        <w:keepNext/>
      </w:pPr>
      <w:bookmarkStart w:id="50" w:name="_Toc319402532"/>
      <w:bookmarkStart w:id="51" w:name="_Toc500163464"/>
      <w:bookmarkStart w:id="52" w:name="_Toc500169593"/>
      <w:r w:rsidRPr="00586887">
        <w:t>Conclusion</w:t>
      </w:r>
      <w:bookmarkEnd w:id="50"/>
      <w:bookmarkEnd w:id="51"/>
      <w:bookmarkEnd w:id="52"/>
    </w:p>
    <w:p w:rsidR="002D7277" w:rsidRPr="007A3BB4" w:rsidRDefault="00586887" w:rsidP="00D82CC0">
      <w:pPr>
        <w:rPr>
          <w:lang w:val="en"/>
        </w:rPr>
      </w:pPr>
      <w:r w:rsidRPr="00586887">
        <w:t xml:space="preserve">ADR </w:t>
      </w:r>
      <w:r w:rsidR="00F9393F">
        <w:t>34/03</w:t>
      </w:r>
      <w:r w:rsidRPr="00586887">
        <w:t xml:space="preserve"> is compatible with human rights</w:t>
      </w:r>
      <w:r w:rsidR="00DF5206">
        <w:t>,</w:t>
      </w:r>
      <w:r w:rsidRPr="00586887">
        <w:t xml:space="preserve"> as it does not raise any human rights issues.</w:t>
      </w:r>
    </w:p>
    <w:sectPr w:rsidR="002D7277" w:rsidRPr="007A3BB4" w:rsidSect="0012110B">
      <w:headerReference w:type="default" r:id="rId12"/>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AB0" w:rsidRDefault="003A6AB0" w:rsidP="00D82CC0">
      <w:r>
        <w:separator/>
      </w:r>
    </w:p>
  </w:endnote>
  <w:endnote w:type="continuationSeparator" w:id="0">
    <w:p w:rsidR="003A6AB0" w:rsidRDefault="003A6AB0"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AB0" w:rsidRDefault="003A6AB0" w:rsidP="00D82CC0">
      <w:r>
        <w:separator/>
      </w:r>
    </w:p>
  </w:footnote>
  <w:footnote w:type="continuationSeparator" w:id="0">
    <w:p w:rsidR="003A6AB0" w:rsidRDefault="003A6AB0"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4B" w:rsidRDefault="006B2A4B" w:rsidP="00D82CC0">
    <w:pPr>
      <w:pStyle w:val="Header"/>
    </w:pPr>
    <w:r>
      <w:fldChar w:fldCharType="begin"/>
    </w:r>
    <w:r>
      <w:instrText xml:space="preserve"> PAGE   \* MERGEFORMAT </w:instrText>
    </w:r>
    <w:r>
      <w:fldChar w:fldCharType="separate"/>
    </w:r>
    <w:r w:rsidR="00142E80">
      <w:rPr>
        <w:noProof/>
      </w:rPr>
      <w:t>5</w:t>
    </w:r>
    <w:r>
      <w:fldChar w:fldCharType="end"/>
    </w:r>
  </w:p>
  <w:p w:rsidR="006B2A4B" w:rsidRPr="003234FA" w:rsidRDefault="006B2A4B" w:rsidP="00D82CC0">
    <w:pPr>
      <w:pStyle w:val="Header"/>
    </w:pPr>
    <w:r w:rsidRPr="003234FA">
      <w:t>Explanatory Statement</w:t>
    </w:r>
  </w:p>
  <w:p w:rsidR="006B2A4B" w:rsidRDefault="00D5709E" w:rsidP="00D82CC0">
    <w:pPr>
      <w:pStyle w:val="Header"/>
    </w:pPr>
    <w:r w:rsidRPr="00DC33CF">
      <w:t>Vehicle Standard (</w:t>
    </w:r>
    <w:r w:rsidR="006B2A4B" w:rsidRPr="003234FA">
      <w:t xml:space="preserve">Australian Design Rule </w:t>
    </w:r>
    <w:r w:rsidR="003E4389">
      <w:t>34/03</w:t>
    </w:r>
    <w:r w:rsidR="006B2A4B" w:rsidRPr="003234FA">
      <w:t xml:space="preserve"> </w:t>
    </w:r>
    <w:r>
      <w:t xml:space="preserve">– </w:t>
    </w:r>
    <w:r w:rsidR="003E4389" w:rsidRPr="003E4389">
      <w:t>Child Restraint Anchorages and Child Restraint Anchor Fittings</w:t>
    </w:r>
    <w:r>
      <w:t>) 201</w:t>
    </w:r>
    <w:r w:rsidR="00C937E6">
      <w:t>7</w:t>
    </w:r>
  </w:p>
  <w:p w:rsidR="006B2A4B" w:rsidRDefault="006B2A4B" w:rsidP="00D82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8"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F7506F"/>
    <w:multiLevelType w:val="multilevel"/>
    <w:tmpl w:val="A296BECE"/>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1"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2"/>
  </w:num>
  <w:num w:numId="4">
    <w:abstractNumId w:val="13"/>
  </w:num>
  <w:num w:numId="5">
    <w:abstractNumId w:val="1"/>
  </w:num>
  <w:num w:numId="6">
    <w:abstractNumId w:val="12"/>
  </w:num>
  <w:num w:numId="7">
    <w:abstractNumId w:val="3"/>
  </w:num>
  <w:num w:numId="8">
    <w:abstractNumId w:val="9"/>
  </w:num>
  <w:num w:numId="9">
    <w:abstractNumId w:val="6"/>
  </w:num>
  <w:num w:numId="10">
    <w:abstractNumId w:val="11"/>
  </w:num>
  <w:num w:numId="11">
    <w:abstractNumId w:val="5"/>
  </w:num>
  <w:num w:numId="12">
    <w:abstractNumId w:val="8"/>
  </w:num>
  <w:num w:numId="13">
    <w:abstractNumId w:val="4"/>
  </w:num>
  <w:num w:numId="14">
    <w:abstractNumId w:val="7"/>
  </w:num>
  <w:num w:numId="15">
    <w:abstractNumId w:val="10"/>
  </w:num>
  <w:num w:numId="16">
    <w:abstractNumId w:val="10"/>
  </w:num>
  <w:num w:numId="17">
    <w:abstractNumId w:val="10"/>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040F7"/>
    <w:rsid w:val="00006525"/>
    <w:rsid w:val="00013DA2"/>
    <w:rsid w:val="000157B0"/>
    <w:rsid w:val="000166ED"/>
    <w:rsid w:val="000220C0"/>
    <w:rsid w:val="00022CA1"/>
    <w:rsid w:val="000245BE"/>
    <w:rsid w:val="000335E2"/>
    <w:rsid w:val="00033D5A"/>
    <w:rsid w:val="00050FB8"/>
    <w:rsid w:val="00052EF3"/>
    <w:rsid w:val="0005416F"/>
    <w:rsid w:val="000562F1"/>
    <w:rsid w:val="00066F93"/>
    <w:rsid w:val="00067219"/>
    <w:rsid w:val="000713D8"/>
    <w:rsid w:val="00073C9F"/>
    <w:rsid w:val="000740DE"/>
    <w:rsid w:val="00074D90"/>
    <w:rsid w:val="00076CAD"/>
    <w:rsid w:val="0008418F"/>
    <w:rsid w:val="0008652F"/>
    <w:rsid w:val="00094AC3"/>
    <w:rsid w:val="00096A9E"/>
    <w:rsid w:val="00097B77"/>
    <w:rsid w:val="000B0E53"/>
    <w:rsid w:val="000B1C73"/>
    <w:rsid w:val="000B3DBE"/>
    <w:rsid w:val="000B4E59"/>
    <w:rsid w:val="000C0E62"/>
    <w:rsid w:val="000C14D3"/>
    <w:rsid w:val="000C171E"/>
    <w:rsid w:val="000C2AF4"/>
    <w:rsid w:val="000C3C06"/>
    <w:rsid w:val="000C57AC"/>
    <w:rsid w:val="000D3459"/>
    <w:rsid w:val="000D3749"/>
    <w:rsid w:val="000D6331"/>
    <w:rsid w:val="000E2CD1"/>
    <w:rsid w:val="000E3161"/>
    <w:rsid w:val="000E3CB6"/>
    <w:rsid w:val="000E46B1"/>
    <w:rsid w:val="000E5A98"/>
    <w:rsid w:val="000E6F99"/>
    <w:rsid w:val="000E7A76"/>
    <w:rsid w:val="000F4182"/>
    <w:rsid w:val="000F4BA2"/>
    <w:rsid w:val="000F534E"/>
    <w:rsid w:val="000F6F83"/>
    <w:rsid w:val="000F793B"/>
    <w:rsid w:val="00101E42"/>
    <w:rsid w:val="00102EE7"/>
    <w:rsid w:val="00105209"/>
    <w:rsid w:val="00105806"/>
    <w:rsid w:val="00106C75"/>
    <w:rsid w:val="001143B9"/>
    <w:rsid w:val="0012110B"/>
    <w:rsid w:val="00131492"/>
    <w:rsid w:val="00141FF9"/>
    <w:rsid w:val="00142E80"/>
    <w:rsid w:val="00150C04"/>
    <w:rsid w:val="00152636"/>
    <w:rsid w:val="00155FE4"/>
    <w:rsid w:val="001606BF"/>
    <w:rsid w:val="00160C84"/>
    <w:rsid w:val="001651A6"/>
    <w:rsid w:val="0016631D"/>
    <w:rsid w:val="001672CA"/>
    <w:rsid w:val="00170AE8"/>
    <w:rsid w:val="001716F6"/>
    <w:rsid w:val="001717FC"/>
    <w:rsid w:val="00171B84"/>
    <w:rsid w:val="00177811"/>
    <w:rsid w:val="00177ADF"/>
    <w:rsid w:val="00187070"/>
    <w:rsid w:val="00187D37"/>
    <w:rsid w:val="00192F2E"/>
    <w:rsid w:val="00197EE4"/>
    <w:rsid w:val="001B0EFB"/>
    <w:rsid w:val="001B217D"/>
    <w:rsid w:val="001B38AA"/>
    <w:rsid w:val="001B5F38"/>
    <w:rsid w:val="001C69AE"/>
    <w:rsid w:val="001D17F3"/>
    <w:rsid w:val="001D592B"/>
    <w:rsid w:val="001E0A6A"/>
    <w:rsid w:val="001E1A19"/>
    <w:rsid w:val="001E5490"/>
    <w:rsid w:val="001E6F6F"/>
    <w:rsid w:val="001F566C"/>
    <w:rsid w:val="00200879"/>
    <w:rsid w:val="002019EC"/>
    <w:rsid w:val="00206EF3"/>
    <w:rsid w:val="00207A4F"/>
    <w:rsid w:val="00212153"/>
    <w:rsid w:val="00215C84"/>
    <w:rsid w:val="00216DD3"/>
    <w:rsid w:val="00225589"/>
    <w:rsid w:val="0022575C"/>
    <w:rsid w:val="00226CB6"/>
    <w:rsid w:val="0022719C"/>
    <w:rsid w:val="00227A72"/>
    <w:rsid w:val="0023125C"/>
    <w:rsid w:val="002325B1"/>
    <w:rsid w:val="00233F4B"/>
    <w:rsid w:val="00235D5D"/>
    <w:rsid w:val="00237831"/>
    <w:rsid w:val="0024155C"/>
    <w:rsid w:val="002425A0"/>
    <w:rsid w:val="00242D6F"/>
    <w:rsid w:val="002449FF"/>
    <w:rsid w:val="00246F06"/>
    <w:rsid w:val="00253F55"/>
    <w:rsid w:val="002550C2"/>
    <w:rsid w:val="002640E7"/>
    <w:rsid w:val="00266FE7"/>
    <w:rsid w:val="0027099F"/>
    <w:rsid w:val="00270FAD"/>
    <w:rsid w:val="002714C6"/>
    <w:rsid w:val="00271B14"/>
    <w:rsid w:val="002739EF"/>
    <w:rsid w:val="0027627D"/>
    <w:rsid w:val="00276EE7"/>
    <w:rsid w:val="002829DD"/>
    <w:rsid w:val="00282AAC"/>
    <w:rsid w:val="0028346B"/>
    <w:rsid w:val="002834A5"/>
    <w:rsid w:val="00283EDF"/>
    <w:rsid w:val="00285ADA"/>
    <w:rsid w:val="002904A2"/>
    <w:rsid w:val="00292D0D"/>
    <w:rsid w:val="002968C5"/>
    <w:rsid w:val="00297504"/>
    <w:rsid w:val="002975C7"/>
    <w:rsid w:val="002A063C"/>
    <w:rsid w:val="002A32C5"/>
    <w:rsid w:val="002A4357"/>
    <w:rsid w:val="002A502A"/>
    <w:rsid w:val="002B1FE3"/>
    <w:rsid w:val="002B574B"/>
    <w:rsid w:val="002B7491"/>
    <w:rsid w:val="002B7CA5"/>
    <w:rsid w:val="002C4578"/>
    <w:rsid w:val="002C61DC"/>
    <w:rsid w:val="002D070C"/>
    <w:rsid w:val="002D3608"/>
    <w:rsid w:val="002D508E"/>
    <w:rsid w:val="002D5B95"/>
    <w:rsid w:val="002D630E"/>
    <w:rsid w:val="002D7277"/>
    <w:rsid w:val="002E10E0"/>
    <w:rsid w:val="002E1691"/>
    <w:rsid w:val="002E1BBE"/>
    <w:rsid w:val="002E37E2"/>
    <w:rsid w:val="002E5035"/>
    <w:rsid w:val="002E6D99"/>
    <w:rsid w:val="002F003A"/>
    <w:rsid w:val="002F17FE"/>
    <w:rsid w:val="002F3EEF"/>
    <w:rsid w:val="0030081B"/>
    <w:rsid w:val="003039C0"/>
    <w:rsid w:val="00304422"/>
    <w:rsid w:val="003057C9"/>
    <w:rsid w:val="00310E9F"/>
    <w:rsid w:val="003119C5"/>
    <w:rsid w:val="003157F6"/>
    <w:rsid w:val="0031613B"/>
    <w:rsid w:val="003210C8"/>
    <w:rsid w:val="003319EF"/>
    <w:rsid w:val="00341EF6"/>
    <w:rsid w:val="003443C2"/>
    <w:rsid w:val="003447E5"/>
    <w:rsid w:val="00344A42"/>
    <w:rsid w:val="00345CE2"/>
    <w:rsid w:val="00347408"/>
    <w:rsid w:val="00347940"/>
    <w:rsid w:val="003502ED"/>
    <w:rsid w:val="0035037C"/>
    <w:rsid w:val="00353C97"/>
    <w:rsid w:val="00353DBD"/>
    <w:rsid w:val="003567BF"/>
    <w:rsid w:val="0036261D"/>
    <w:rsid w:val="00365500"/>
    <w:rsid w:val="00373116"/>
    <w:rsid w:val="003736E6"/>
    <w:rsid w:val="003737A4"/>
    <w:rsid w:val="00373A7D"/>
    <w:rsid w:val="003778A3"/>
    <w:rsid w:val="0038362C"/>
    <w:rsid w:val="003868ED"/>
    <w:rsid w:val="003917B0"/>
    <w:rsid w:val="0039439E"/>
    <w:rsid w:val="00395DAB"/>
    <w:rsid w:val="00396C92"/>
    <w:rsid w:val="00397976"/>
    <w:rsid w:val="003A3373"/>
    <w:rsid w:val="003A45FB"/>
    <w:rsid w:val="003A4F94"/>
    <w:rsid w:val="003A6AB0"/>
    <w:rsid w:val="003B220C"/>
    <w:rsid w:val="003B2EB6"/>
    <w:rsid w:val="003B4057"/>
    <w:rsid w:val="003B4482"/>
    <w:rsid w:val="003B6992"/>
    <w:rsid w:val="003B6C6B"/>
    <w:rsid w:val="003C06B1"/>
    <w:rsid w:val="003C0FCE"/>
    <w:rsid w:val="003C3B0E"/>
    <w:rsid w:val="003D1AB8"/>
    <w:rsid w:val="003D1BC8"/>
    <w:rsid w:val="003D3D19"/>
    <w:rsid w:val="003D7E2A"/>
    <w:rsid w:val="003E2ACE"/>
    <w:rsid w:val="003E4389"/>
    <w:rsid w:val="003E5643"/>
    <w:rsid w:val="003E56E7"/>
    <w:rsid w:val="003F01D5"/>
    <w:rsid w:val="003F0951"/>
    <w:rsid w:val="003F25A8"/>
    <w:rsid w:val="003F43E4"/>
    <w:rsid w:val="003F51E5"/>
    <w:rsid w:val="003F6981"/>
    <w:rsid w:val="00402B28"/>
    <w:rsid w:val="00404CC7"/>
    <w:rsid w:val="00410063"/>
    <w:rsid w:val="00412215"/>
    <w:rsid w:val="00412A94"/>
    <w:rsid w:val="004161CF"/>
    <w:rsid w:val="00422A41"/>
    <w:rsid w:val="00423778"/>
    <w:rsid w:val="00426BF7"/>
    <w:rsid w:val="00431883"/>
    <w:rsid w:val="00433473"/>
    <w:rsid w:val="00433EB2"/>
    <w:rsid w:val="00435D4D"/>
    <w:rsid w:val="00436451"/>
    <w:rsid w:val="00437142"/>
    <w:rsid w:val="004378B3"/>
    <w:rsid w:val="00441D7B"/>
    <w:rsid w:val="004433E1"/>
    <w:rsid w:val="004454CA"/>
    <w:rsid w:val="00445A77"/>
    <w:rsid w:val="00450F3A"/>
    <w:rsid w:val="00451F5B"/>
    <w:rsid w:val="004524F9"/>
    <w:rsid w:val="00453027"/>
    <w:rsid w:val="00454834"/>
    <w:rsid w:val="004619D3"/>
    <w:rsid w:val="00462092"/>
    <w:rsid w:val="004621A1"/>
    <w:rsid w:val="00462A19"/>
    <w:rsid w:val="0047100B"/>
    <w:rsid w:val="00471762"/>
    <w:rsid w:val="00472C2C"/>
    <w:rsid w:val="00475C4D"/>
    <w:rsid w:val="00476B93"/>
    <w:rsid w:val="00477592"/>
    <w:rsid w:val="00481ACE"/>
    <w:rsid w:val="004825A0"/>
    <w:rsid w:val="00485D93"/>
    <w:rsid w:val="00485E16"/>
    <w:rsid w:val="0048787D"/>
    <w:rsid w:val="0049097D"/>
    <w:rsid w:val="0049177C"/>
    <w:rsid w:val="004B17C6"/>
    <w:rsid w:val="004B182E"/>
    <w:rsid w:val="004B630C"/>
    <w:rsid w:val="004C457E"/>
    <w:rsid w:val="004C52F0"/>
    <w:rsid w:val="004C68B7"/>
    <w:rsid w:val="004C77FE"/>
    <w:rsid w:val="004D0B7A"/>
    <w:rsid w:val="004D6CC1"/>
    <w:rsid w:val="004D785B"/>
    <w:rsid w:val="004E0001"/>
    <w:rsid w:val="004E3E84"/>
    <w:rsid w:val="004E7515"/>
    <w:rsid w:val="004F194F"/>
    <w:rsid w:val="004F3265"/>
    <w:rsid w:val="005022F7"/>
    <w:rsid w:val="0050249B"/>
    <w:rsid w:val="0050439A"/>
    <w:rsid w:val="00510E74"/>
    <w:rsid w:val="0051368F"/>
    <w:rsid w:val="00515D0D"/>
    <w:rsid w:val="005242E3"/>
    <w:rsid w:val="00525905"/>
    <w:rsid w:val="00532F57"/>
    <w:rsid w:val="005338E3"/>
    <w:rsid w:val="00536F80"/>
    <w:rsid w:val="00542FE1"/>
    <w:rsid w:val="0054701F"/>
    <w:rsid w:val="00550622"/>
    <w:rsid w:val="00550A6B"/>
    <w:rsid w:val="00557504"/>
    <w:rsid w:val="00560C37"/>
    <w:rsid w:val="00561BCD"/>
    <w:rsid w:val="005637F3"/>
    <w:rsid w:val="00564C4B"/>
    <w:rsid w:val="005654AD"/>
    <w:rsid w:val="0056701E"/>
    <w:rsid w:val="005725C2"/>
    <w:rsid w:val="005753E3"/>
    <w:rsid w:val="00581C0B"/>
    <w:rsid w:val="00581CB5"/>
    <w:rsid w:val="00582135"/>
    <w:rsid w:val="005831BF"/>
    <w:rsid w:val="00586887"/>
    <w:rsid w:val="0059095D"/>
    <w:rsid w:val="00594765"/>
    <w:rsid w:val="00595B2F"/>
    <w:rsid w:val="005963A1"/>
    <w:rsid w:val="00596853"/>
    <w:rsid w:val="00597DB5"/>
    <w:rsid w:val="005A526D"/>
    <w:rsid w:val="005B114C"/>
    <w:rsid w:val="005B1D19"/>
    <w:rsid w:val="005B578B"/>
    <w:rsid w:val="005C46E4"/>
    <w:rsid w:val="005C48D4"/>
    <w:rsid w:val="005C65A4"/>
    <w:rsid w:val="005C7895"/>
    <w:rsid w:val="005D100B"/>
    <w:rsid w:val="005D2108"/>
    <w:rsid w:val="005D21F5"/>
    <w:rsid w:val="005D37CF"/>
    <w:rsid w:val="005D79C8"/>
    <w:rsid w:val="005E2B4C"/>
    <w:rsid w:val="005F0774"/>
    <w:rsid w:val="005F26EF"/>
    <w:rsid w:val="005F7F32"/>
    <w:rsid w:val="00605DCE"/>
    <w:rsid w:val="00606506"/>
    <w:rsid w:val="006073A4"/>
    <w:rsid w:val="006136AA"/>
    <w:rsid w:val="0061498D"/>
    <w:rsid w:val="00614AE7"/>
    <w:rsid w:val="0061509A"/>
    <w:rsid w:val="00615E17"/>
    <w:rsid w:val="0062031F"/>
    <w:rsid w:val="00620C8A"/>
    <w:rsid w:val="00621320"/>
    <w:rsid w:val="00621558"/>
    <w:rsid w:val="00626DBC"/>
    <w:rsid w:val="00630795"/>
    <w:rsid w:val="00631AE5"/>
    <w:rsid w:val="0063234B"/>
    <w:rsid w:val="00633730"/>
    <w:rsid w:val="00635090"/>
    <w:rsid w:val="00641391"/>
    <w:rsid w:val="006434F1"/>
    <w:rsid w:val="006438BB"/>
    <w:rsid w:val="006440AF"/>
    <w:rsid w:val="00645C09"/>
    <w:rsid w:val="00651832"/>
    <w:rsid w:val="00654C03"/>
    <w:rsid w:val="00662397"/>
    <w:rsid w:val="00663810"/>
    <w:rsid w:val="00672700"/>
    <w:rsid w:val="00680C49"/>
    <w:rsid w:val="0068132F"/>
    <w:rsid w:val="006815B3"/>
    <w:rsid w:val="00681FF3"/>
    <w:rsid w:val="00684A9B"/>
    <w:rsid w:val="0069365C"/>
    <w:rsid w:val="00694C9C"/>
    <w:rsid w:val="00696758"/>
    <w:rsid w:val="006A0D9E"/>
    <w:rsid w:val="006A144D"/>
    <w:rsid w:val="006A1D77"/>
    <w:rsid w:val="006A3C57"/>
    <w:rsid w:val="006A5E2A"/>
    <w:rsid w:val="006A5FCD"/>
    <w:rsid w:val="006A6CDC"/>
    <w:rsid w:val="006B2A4B"/>
    <w:rsid w:val="006B55BE"/>
    <w:rsid w:val="006B7D5F"/>
    <w:rsid w:val="006C1E06"/>
    <w:rsid w:val="006C415F"/>
    <w:rsid w:val="006C4478"/>
    <w:rsid w:val="006C69D9"/>
    <w:rsid w:val="006C6AFC"/>
    <w:rsid w:val="006D3E64"/>
    <w:rsid w:val="006D493C"/>
    <w:rsid w:val="006D5556"/>
    <w:rsid w:val="006D6283"/>
    <w:rsid w:val="006E498D"/>
    <w:rsid w:val="006F2BF5"/>
    <w:rsid w:val="006F6F26"/>
    <w:rsid w:val="007011DC"/>
    <w:rsid w:val="00702C58"/>
    <w:rsid w:val="00707003"/>
    <w:rsid w:val="007136C2"/>
    <w:rsid w:val="00713727"/>
    <w:rsid w:val="0071541C"/>
    <w:rsid w:val="007243F0"/>
    <w:rsid w:val="00725705"/>
    <w:rsid w:val="0073109B"/>
    <w:rsid w:val="0073531D"/>
    <w:rsid w:val="007358A7"/>
    <w:rsid w:val="00736075"/>
    <w:rsid w:val="00740F06"/>
    <w:rsid w:val="00743AC9"/>
    <w:rsid w:val="00743B9A"/>
    <w:rsid w:val="00744CAF"/>
    <w:rsid w:val="00746638"/>
    <w:rsid w:val="00747F6A"/>
    <w:rsid w:val="00760342"/>
    <w:rsid w:val="00760426"/>
    <w:rsid w:val="00760AC1"/>
    <w:rsid w:val="00762957"/>
    <w:rsid w:val="0076466E"/>
    <w:rsid w:val="007653BB"/>
    <w:rsid w:val="007668B6"/>
    <w:rsid w:val="007753E7"/>
    <w:rsid w:val="007808D8"/>
    <w:rsid w:val="00780DE8"/>
    <w:rsid w:val="0078303D"/>
    <w:rsid w:val="00785284"/>
    <w:rsid w:val="00785BEC"/>
    <w:rsid w:val="00785C95"/>
    <w:rsid w:val="00790656"/>
    <w:rsid w:val="00792C5E"/>
    <w:rsid w:val="00796570"/>
    <w:rsid w:val="00797ECB"/>
    <w:rsid w:val="007A1E1A"/>
    <w:rsid w:val="007A36C3"/>
    <w:rsid w:val="007A3BB4"/>
    <w:rsid w:val="007A576D"/>
    <w:rsid w:val="007B136E"/>
    <w:rsid w:val="007B14D6"/>
    <w:rsid w:val="007B247C"/>
    <w:rsid w:val="007B6B17"/>
    <w:rsid w:val="007C337C"/>
    <w:rsid w:val="007C4142"/>
    <w:rsid w:val="007C454A"/>
    <w:rsid w:val="007C4577"/>
    <w:rsid w:val="007D28E4"/>
    <w:rsid w:val="007D65A6"/>
    <w:rsid w:val="007D671C"/>
    <w:rsid w:val="007D7302"/>
    <w:rsid w:val="007D7CA7"/>
    <w:rsid w:val="007F1CA7"/>
    <w:rsid w:val="007F2A6F"/>
    <w:rsid w:val="007F3A3C"/>
    <w:rsid w:val="007F60ED"/>
    <w:rsid w:val="00803FD9"/>
    <w:rsid w:val="0080439B"/>
    <w:rsid w:val="00805CB4"/>
    <w:rsid w:val="00811BFA"/>
    <w:rsid w:val="00816F99"/>
    <w:rsid w:val="00816FAC"/>
    <w:rsid w:val="00820DA2"/>
    <w:rsid w:val="0082139D"/>
    <w:rsid w:val="008235EB"/>
    <w:rsid w:val="00827FAE"/>
    <w:rsid w:val="00833446"/>
    <w:rsid w:val="008353AD"/>
    <w:rsid w:val="008356AB"/>
    <w:rsid w:val="008439FD"/>
    <w:rsid w:val="0084493D"/>
    <w:rsid w:val="00845ABF"/>
    <w:rsid w:val="00846B0F"/>
    <w:rsid w:val="008470F8"/>
    <w:rsid w:val="0085194A"/>
    <w:rsid w:val="00854C95"/>
    <w:rsid w:val="008553C3"/>
    <w:rsid w:val="0085695A"/>
    <w:rsid w:val="0085751C"/>
    <w:rsid w:val="00861A90"/>
    <w:rsid w:val="00862803"/>
    <w:rsid w:val="00863EF3"/>
    <w:rsid w:val="00866749"/>
    <w:rsid w:val="00866C59"/>
    <w:rsid w:val="00867FEE"/>
    <w:rsid w:val="008701EA"/>
    <w:rsid w:val="00872B7C"/>
    <w:rsid w:val="00875846"/>
    <w:rsid w:val="00880D9C"/>
    <w:rsid w:val="00882145"/>
    <w:rsid w:val="0088281D"/>
    <w:rsid w:val="0088400D"/>
    <w:rsid w:val="00887FC8"/>
    <w:rsid w:val="008933EB"/>
    <w:rsid w:val="00896B15"/>
    <w:rsid w:val="008A1492"/>
    <w:rsid w:val="008A1EBB"/>
    <w:rsid w:val="008A4638"/>
    <w:rsid w:val="008A51A2"/>
    <w:rsid w:val="008A5F73"/>
    <w:rsid w:val="008B10C5"/>
    <w:rsid w:val="008B457B"/>
    <w:rsid w:val="008C0815"/>
    <w:rsid w:val="008C1BC3"/>
    <w:rsid w:val="008C2035"/>
    <w:rsid w:val="008C3DED"/>
    <w:rsid w:val="008C605A"/>
    <w:rsid w:val="008C7693"/>
    <w:rsid w:val="008D0660"/>
    <w:rsid w:val="008D374F"/>
    <w:rsid w:val="008D37EE"/>
    <w:rsid w:val="008F2C8A"/>
    <w:rsid w:val="008F6DCD"/>
    <w:rsid w:val="008F74E6"/>
    <w:rsid w:val="0090191B"/>
    <w:rsid w:val="009025D1"/>
    <w:rsid w:val="00902FF4"/>
    <w:rsid w:val="009043D9"/>
    <w:rsid w:val="009074B5"/>
    <w:rsid w:val="0091237F"/>
    <w:rsid w:val="00921439"/>
    <w:rsid w:val="009231EC"/>
    <w:rsid w:val="00925A90"/>
    <w:rsid w:val="00927FBE"/>
    <w:rsid w:val="009327EF"/>
    <w:rsid w:val="0093299E"/>
    <w:rsid w:val="00933218"/>
    <w:rsid w:val="00934F06"/>
    <w:rsid w:val="009379A5"/>
    <w:rsid w:val="00944396"/>
    <w:rsid w:val="00946AE0"/>
    <w:rsid w:val="009474AA"/>
    <w:rsid w:val="00950BD1"/>
    <w:rsid w:val="00950EA6"/>
    <w:rsid w:val="00950F8F"/>
    <w:rsid w:val="0095143D"/>
    <w:rsid w:val="0095255D"/>
    <w:rsid w:val="00952B82"/>
    <w:rsid w:val="0095554F"/>
    <w:rsid w:val="0095582D"/>
    <w:rsid w:val="00956D94"/>
    <w:rsid w:val="00957B66"/>
    <w:rsid w:val="00961F3B"/>
    <w:rsid w:val="00963ABC"/>
    <w:rsid w:val="00963CB4"/>
    <w:rsid w:val="00971128"/>
    <w:rsid w:val="0097431D"/>
    <w:rsid w:val="00976110"/>
    <w:rsid w:val="00982C7F"/>
    <w:rsid w:val="009835D6"/>
    <w:rsid w:val="009846F3"/>
    <w:rsid w:val="00985846"/>
    <w:rsid w:val="009860B3"/>
    <w:rsid w:val="00995292"/>
    <w:rsid w:val="009975C1"/>
    <w:rsid w:val="00997893"/>
    <w:rsid w:val="009A1670"/>
    <w:rsid w:val="009A269A"/>
    <w:rsid w:val="009A38D2"/>
    <w:rsid w:val="009A3B5E"/>
    <w:rsid w:val="009A40C7"/>
    <w:rsid w:val="009B2483"/>
    <w:rsid w:val="009C0B8F"/>
    <w:rsid w:val="009C1BA6"/>
    <w:rsid w:val="009C1F80"/>
    <w:rsid w:val="009C3304"/>
    <w:rsid w:val="009C407C"/>
    <w:rsid w:val="009C69B1"/>
    <w:rsid w:val="009C6FCA"/>
    <w:rsid w:val="009C70AE"/>
    <w:rsid w:val="009D2E35"/>
    <w:rsid w:val="009D5CB9"/>
    <w:rsid w:val="009D6FB6"/>
    <w:rsid w:val="009E6091"/>
    <w:rsid w:val="009E67A7"/>
    <w:rsid w:val="009E7D0B"/>
    <w:rsid w:val="009F04AC"/>
    <w:rsid w:val="009F5065"/>
    <w:rsid w:val="009F5254"/>
    <w:rsid w:val="009F6964"/>
    <w:rsid w:val="009F75E4"/>
    <w:rsid w:val="00A065ED"/>
    <w:rsid w:val="00A07A5E"/>
    <w:rsid w:val="00A1063D"/>
    <w:rsid w:val="00A10F22"/>
    <w:rsid w:val="00A12980"/>
    <w:rsid w:val="00A14B24"/>
    <w:rsid w:val="00A207E7"/>
    <w:rsid w:val="00A21CDC"/>
    <w:rsid w:val="00A27335"/>
    <w:rsid w:val="00A30939"/>
    <w:rsid w:val="00A30DC9"/>
    <w:rsid w:val="00A321D7"/>
    <w:rsid w:val="00A34A31"/>
    <w:rsid w:val="00A36FAB"/>
    <w:rsid w:val="00A41F5B"/>
    <w:rsid w:val="00A43237"/>
    <w:rsid w:val="00A45ACC"/>
    <w:rsid w:val="00A501A3"/>
    <w:rsid w:val="00A50649"/>
    <w:rsid w:val="00A50768"/>
    <w:rsid w:val="00A51E84"/>
    <w:rsid w:val="00A53C3C"/>
    <w:rsid w:val="00A54A7E"/>
    <w:rsid w:val="00A62388"/>
    <w:rsid w:val="00A626DD"/>
    <w:rsid w:val="00A63852"/>
    <w:rsid w:val="00A63A1A"/>
    <w:rsid w:val="00A63FE4"/>
    <w:rsid w:val="00A65769"/>
    <w:rsid w:val="00A65A2C"/>
    <w:rsid w:val="00A65E15"/>
    <w:rsid w:val="00A66D92"/>
    <w:rsid w:val="00A71585"/>
    <w:rsid w:val="00A73D37"/>
    <w:rsid w:val="00A77E87"/>
    <w:rsid w:val="00A82B4B"/>
    <w:rsid w:val="00A8398A"/>
    <w:rsid w:val="00A84BA6"/>
    <w:rsid w:val="00A8675A"/>
    <w:rsid w:val="00A90089"/>
    <w:rsid w:val="00A90821"/>
    <w:rsid w:val="00A90AD3"/>
    <w:rsid w:val="00A91A35"/>
    <w:rsid w:val="00A9660B"/>
    <w:rsid w:val="00AA61C9"/>
    <w:rsid w:val="00AA7B5C"/>
    <w:rsid w:val="00AB119D"/>
    <w:rsid w:val="00AB42B4"/>
    <w:rsid w:val="00AB7541"/>
    <w:rsid w:val="00AC498E"/>
    <w:rsid w:val="00AC74A7"/>
    <w:rsid w:val="00AD46A3"/>
    <w:rsid w:val="00AD4991"/>
    <w:rsid w:val="00AE11B2"/>
    <w:rsid w:val="00AE13EB"/>
    <w:rsid w:val="00AE2320"/>
    <w:rsid w:val="00AE5123"/>
    <w:rsid w:val="00AE52FE"/>
    <w:rsid w:val="00AE5AB2"/>
    <w:rsid w:val="00AE6EF0"/>
    <w:rsid w:val="00AE73B7"/>
    <w:rsid w:val="00AE744F"/>
    <w:rsid w:val="00AF0C8D"/>
    <w:rsid w:val="00AF44BE"/>
    <w:rsid w:val="00AF5477"/>
    <w:rsid w:val="00B00081"/>
    <w:rsid w:val="00B03FF8"/>
    <w:rsid w:val="00B065D6"/>
    <w:rsid w:val="00B07906"/>
    <w:rsid w:val="00B07B3F"/>
    <w:rsid w:val="00B12903"/>
    <w:rsid w:val="00B129D9"/>
    <w:rsid w:val="00B1441E"/>
    <w:rsid w:val="00B14F33"/>
    <w:rsid w:val="00B25A3B"/>
    <w:rsid w:val="00B27156"/>
    <w:rsid w:val="00B31E5C"/>
    <w:rsid w:val="00B36270"/>
    <w:rsid w:val="00B41A41"/>
    <w:rsid w:val="00B441BF"/>
    <w:rsid w:val="00B45F4C"/>
    <w:rsid w:val="00B468E6"/>
    <w:rsid w:val="00B50DFD"/>
    <w:rsid w:val="00B5379B"/>
    <w:rsid w:val="00B559A6"/>
    <w:rsid w:val="00B633CD"/>
    <w:rsid w:val="00B64155"/>
    <w:rsid w:val="00B64F65"/>
    <w:rsid w:val="00B779DB"/>
    <w:rsid w:val="00B82A8B"/>
    <w:rsid w:val="00B83C7F"/>
    <w:rsid w:val="00BA0190"/>
    <w:rsid w:val="00BA233E"/>
    <w:rsid w:val="00BA4F48"/>
    <w:rsid w:val="00BB05C3"/>
    <w:rsid w:val="00BB31F0"/>
    <w:rsid w:val="00BB5D41"/>
    <w:rsid w:val="00BC1371"/>
    <w:rsid w:val="00BC2672"/>
    <w:rsid w:val="00BC2B83"/>
    <w:rsid w:val="00BC5C55"/>
    <w:rsid w:val="00BC6AC3"/>
    <w:rsid w:val="00BC77EA"/>
    <w:rsid w:val="00BC77EE"/>
    <w:rsid w:val="00BD1CCA"/>
    <w:rsid w:val="00BD4AA2"/>
    <w:rsid w:val="00BD71DF"/>
    <w:rsid w:val="00BE4399"/>
    <w:rsid w:val="00BE44C6"/>
    <w:rsid w:val="00BE51BB"/>
    <w:rsid w:val="00BF60B2"/>
    <w:rsid w:val="00C02832"/>
    <w:rsid w:val="00C03DAD"/>
    <w:rsid w:val="00C04554"/>
    <w:rsid w:val="00C0461E"/>
    <w:rsid w:val="00C11D56"/>
    <w:rsid w:val="00C12E27"/>
    <w:rsid w:val="00C14345"/>
    <w:rsid w:val="00C14FE4"/>
    <w:rsid w:val="00C15408"/>
    <w:rsid w:val="00C16AC9"/>
    <w:rsid w:val="00C17636"/>
    <w:rsid w:val="00C20AA8"/>
    <w:rsid w:val="00C24B5D"/>
    <w:rsid w:val="00C262AF"/>
    <w:rsid w:val="00C271D6"/>
    <w:rsid w:val="00C319A8"/>
    <w:rsid w:val="00C319F9"/>
    <w:rsid w:val="00C3313F"/>
    <w:rsid w:val="00C3530A"/>
    <w:rsid w:val="00C35C89"/>
    <w:rsid w:val="00C45889"/>
    <w:rsid w:val="00C476BC"/>
    <w:rsid w:val="00C52421"/>
    <w:rsid w:val="00C52AD3"/>
    <w:rsid w:val="00C53DAD"/>
    <w:rsid w:val="00C56213"/>
    <w:rsid w:val="00C6582D"/>
    <w:rsid w:val="00C667DD"/>
    <w:rsid w:val="00C73560"/>
    <w:rsid w:val="00C74150"/>
    <w:rsid w:val="00C74258"/>
    <w:rsid w:val="00C77983"/>
    <w:rsid w:val="00C80926"/>
    <w:rsid w:val="00C818D7"/>
    <w:rsid w:val="00C847AA"/>
    <w:rsid w:val="00C87C30"/>
    <w:rsid w:val="00C90D80"/>
    <w:rsid w:val="00C92559"/>
    <w:rsid w:val="00C937E6"/>
    <w:rsid w:val="00C940D9"/>
    <w:rsid w:val="00CA0A84"/>
    <w:rsid w:val="00CA1826"/>
    <w:rsid w:val="00CA25DB"/>
    <w:rsid w:val="00CA46B8"/>
    <w:rsid w:val="00CA6875"/>
    <w:rsid w:val="00CA6F29"/>
    <w:rsid w:val="00CA7778"/>
    <w:rsid w:val="00CA7F62"/>
    <w:rsid w:val="00CA7FA6"/>
    <w:rsid w:val="00CB0314"/>
    <w:rsid w:val="00CB1379"/>
    <w:rsid w:val="00CB2CAE"/>
    <w:rsid w:val="00CB3A64"/>
    <w:rsid w:val="00CB5631"/>
    <w:rsid w:val="00CB5A16"/>
    <w:rsid w:val="00CB5E63"/>
    <w:rsid w:val="00CB6542"/>
    <w:rsid w:val="00CC28A7"/>
    <w:rsid w:val="00CD02EB"/>
    <w:rsid w:val="00CD085E"/>
    <w:rsid w:val="00CD3030"/>
    <w:rsid w:val="00CD3BF9"/>
    <w:rsid w:val="00CD4BC8"/>
    <w:rsid w:val="00CD5CEA"/>
    <w:rsid w:val="00CD7B08"/>
    <w:rsid w:val="00CE7CEC"/>
    <w:rsid w:val="00CF0DE5"/>
    <w:rsid w:val="00CF590A"/>
    <w:rsid w:val="00CF6DAA"/>
    <w:rsid w:val="00CF7B2E"/>
    <w:rsid w:val="00D0517D"/>
    <w:rsid w:val="00D0611E"/>
    <w:rsid w:val="00D065C8"/>
    <w:rsid w:val="00D160C9"/>
    <w:rsid w:val="00D21C2F"/>
    <w:rsid w:val="00D2209E"/>
    <w:rsid w:val="00D22DA8"/>
    <w:rsid w:val="00D2452E"/>
    <w:rsid w:val="00D320C8"/>
    <w:rsid w:val="00D3291A"/>
    <w:rsid w:val="00D36368"/>
    <w:rsid w:val="00D41C9A"/>
    <w:rsid w:val="00D42718"/>
    <w:rsid w:val="00D43A16"/>
    <w:rsid w:val="00D50541"/>
    <w:rsid w:val="00D514DB"/>
    <w:rsid w:val="00D5709E"/>
    <w:rsid w:val="00D600BE"/>
    <w:rsid w:val="00D603A2"/>
    <w:rsid w:val="00D647E7"/>
    <w:rsid w:val="00D6618A"/>
    <w:rsid w:val="00D7224B"/>
    <w:rsid w:val="00D74323"/>
    <w:rsid w:val="00D7635A"/>
    <w:rsid w:val="00D769DF"/>
    <w:rsid w:val="00D76E6C"/>
    <w:rsid w:val="00D77391"/>
    <w:rsid w:val="00D81A4E"/>
    <w:rsid w:val="00D82CC0"/>
    <w:rsid w:val="00D850AF"/>
    <w:rsid w:val="00D86FF6"/>
    <w:rsid w:val="00D91886"/>
    <w:rsid w:val="00D92FE3"/>
    <w:rsid w:val="00D952C5"/>
    <w:rsid w:val="00D953C2"/>
    <w:rsid w:val="00D96789"/>
    <w:rsid w:val="00D977B1"/>
    <w:rsid w:val="00DA4154"/>
    <w:rsid w:val="00DA45D5"/>
    <w:rsid w:val="00DA5969"/>
    <w:rsid w:val="00DA6391"/>
    <w:rsid w:val="00DB3101"/>
    <w:rsid w:val="00DB47E9"/>
    <w:rsid w:val="00DC1DF4"/>
    <w:rsid w:val="00DC233D"/>
    <w:rsid w:val="00DC4200"/>
    <w:rsid w:val="00DC6202"/>
    <w:rsid w:val="00DC6A07"/>
    <w:rsid w:val="00DD24B1"/>
    <w:rsid w:val="00DD375E"/>
    <w:rsid w:val="00DD3D05"/>
    <w:rsid w:val="00DD51BB"/>
    <w:rsid w:val="00DD5A80"/>
    <w:rsid w:val="00DD6F4A"/>
    <w:rsid w:val="00DD7376"/>
    <w:rsid w:val="00DE0385"/>
    <w:rsid w:val="00DE1C49"/>
    <w:rsid w:val="00DE3DEE"/>
    <w:rsid w:val="00DE7C09"/>
    <w:rsid w:val="00DF31B1"/>
    <w:rsid w:val="00DF4F8A"/>
    <w:rsid w:val="00DF5206"/>
    <w:rsid w:val="00DF536E"/>
    <w:rsid w:val="00DF6EAC"/>
    <w:rsid w:val="00DF7C51"/>
    <w:rsid w:val="00E03457"/>
    <w:rsid w:val="00E0625B"/>
    <w:rsid w:val="00E069A2"/>
    <w:rsid w:val="00E07050"/>
    <w:rsid w:val="00E13FD9"/>
    <w:rsid w:val="00E20518"/>
    <w:rsid w:val="00E22817"/>
    <w:rsid w:val="00E24EFB"/>
    <w:rsid w:val="00E32662"/>
    <w:rsid w:val="00E3785E"/>
    <w:rsid w:val="00E4064E"/>
    <w:rsid w:val="00E43E64"/>
    <w:rsid w:val="00E44BDA"/>
    <w:rsid w:val="00E4712A"/>
    <w:rsid w:val="00E539B9"/>
    <w:rsid w:val="00E56098"/>
    <w:rsid w:val="00E5721E"/>
    <w:rsid w:val="00E60568"/>
    <w:rsid w:val="00E61E45"/>
    <w:rsid w:val="00E62757"/>
    <w:rsid w:val="00E65EAB"/>
    <w:rsid w:val="00E708DE"/>
    <w:rsid w:val="00E71CF4"/>
    <w:rsid w:val="00E7436B"/>
    <w:rsid w:val="00E750F5"/>
    <w:rsid w:val="00E757F0"/>
    <w:rsid w:val="00E82C94"/>
    <w:rsid w:val="00E86850"/>
    <w:rsid w:val="00E87895"/>
    <w:rsid w:val="00E919FA"/>
    <w:rsid w:val="00E91D40"/>
    <w:rsid w:val="00E9460A"/>
    <w:rsid w:val="00E952CB"/>
    <w:rsid w:val="00EA57A3"/>
    <w:rsid w:val="00EB037C"/>
    <w:rsid w:val="00EB07AF"/>
    <w:rsid w:val="00EB0B49"/>
    <w:rsid w:val="00EB1C77"/>
    <w:rsid w:val="00EB293D"/>
    <w:rsid w:val="00EB3DE0"/>
    <w:rsid w:val="00EB7D96"/>
    <w:rsid w:val="00EC6915"/>
    <w:rsid w:val="00EC7758"/>
    <w:rsid w:val="00ED3152"/>
    <w:rsid w:val="00ED3E7E"/>
    <w:rsid w:val="00EE02BB"/>
    <w:rsid w:val="00EE276D"/>
    <w:rsid w:val="00EE32E7"/>
    <w:rsid w:val="00EE6384"/>
    <w:rsid w:val="00EF1E7E"/>
    <w:rsid w:val="00EF414D"/>
    <w:rsid w:val="00EF7A48"/>
    <w:rsid w:val="00F00724"/>
    <w:rsid w:val="00F061F9"/>
    <w:rsid w:val="00F10914"/>
    <w:rsid w:val="00F122DA"/>
    <w:rsid w:val="00F12511"/>
    <w:rsid w:val="00F14473"/>
    <w:rsid w:val="00F20ADC"/>
    <w:rsid w:val="00F231F5"/>
    <w:rsid w:val="00F24B9A"/>
    <w:rsid w:val="00F34566"/>
    <w:rsid w:val="00F45D54"/>
    <w:rsid w:val="00F4754C"/>
    <w:rsid w:val="00F51B92"/>
    <w:rsid w:val="00F52F01"/>
    <w:rsid w:val="00F53CDB"/>
    <w:rsid w:val="00F553C0"/>
    <w:rsid w:val="00F56EDC"/>
    <w:rsid w:val="00F57937"/>
    <w:rsid w:val="00F6085C"/>
    <w:rsid w:val="00F64443"/>
    <w:rsid w:val="00F648B2"/>
    <w:rsid w:val="00F65091"/>
    <w:rsid w:val="00F67361"/>
    <w:rsid w:val="00F7387B"/>
    <w:rsid w:val="00F7536E"/>
    <w:rsid w:val="00F80A33"/>
    <w:rsid w:val="00F815C4"/>
    <w:rsid w:val="00F82B48"/>
    <w:rsid w:val="00F8343B"/>
    <w:rsid w:val="00F8665A"/>
    <w:rsid w:val="00F90262"/>
    <w:rsid w:val="00F92159"/>
    <w:rsid w:val="00F93338"/>
    <w:rsid w:val="00F9393F"/>
    <w:rsid w:val="00FA6A12"/>
    <w:rsid w:val="00FB1598"/>
    <w:rsid w:val="00FC55E6"/>
    <w:rsid w:val="00FC7150"/>
    <w:rsid w:val="00FC7C4B"/>
    <w:rsid w:val="00FD0DE3"/>
    <w:rsid w:val="00FD59BF"/>
    <w:rsid w:val="00FD6ED5"/>
    <w:rsid w:val="00FE05F0"/>
    <w:rsid w:val="00FE1D67"/>
    <w:rsid w:val="00FE36E8"/>
    <w:rsid w:val="00FE666D"/>
    <w:rsid w:val="00FF14E5"/>
    <w:rsid w:val="00FF18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E14A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271B14"/>
    <w:pPr>
      <w:numPr>
        <w:numId w:val="1"/>
      </w:numPr>
      <w:spacing w:before="240"/>
      <w:outlineLvl w:val="0"/>
    </w:pPr>
    <w:rPr>
      <w:b/>
      <w:caps/>
    </w:rPr>
  </w:style>
  <w:style w:type="paragraph" w:customStyle="1" w:styleId="Subsection">
    <w:name w:val="Sub section"/>
    <w:basedOn w:val="Normal"/>
    <w:next w:val="Normal"/>
    <w:link w:val="SubsectionChar"/>
    <w:rsid w:val="00271B14"/>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271B14"/>
    <w:pPr>
      <w:tabs>
        <w:tab w:val="left" w:pos="851"/>
        <w:tab w:val="right" w:leader="dot" w:pos="8494"/>
      </w:tabs>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271B14"/>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Heading2"/>
    <w:link w:val="HeadingLevel2Char"/>
    <w:qFormat/>
    <w:rsid w:val="00D82CC0"/>
    <w:pPr>
      <w:spacing w:before="240" w:after="240"/>
    </w:pPr>
  </w:style>
  <w:style w:type="character" w:customStyle="1" w:styleId="MainHeaddingChar">
    <w:name w:val="Main Headding Char"/>
    <w:link w:val="MainHeadding"/>
    <w:rsid w:val="00271B14"/>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D065C8"/>
    <w:pPr>
      <w:widowControl w:val="0"/>
      <w:numPr>
        <w:numId w:val="19"/>
      </w:numPr>
      <w:spacing w:before="60" w:after="60" w:line="264" w:lineRule="auto"/>
      <w:ind w:left="357" w:hanging="357"/>
      <w:jc w:val="both"/>
    </w:pPr>
    <w:rPr>
      <w:rFonts w:eastAsia="Calibri"/>
      <w:szCs w:val="22"/>
      <w:lang w:eastAsia="en-US"/>
    </w:rPr>
  </w:style>
  <w:style w:type="character" w:customStyle="1" w:styleId="SubsectionChar">
    <w:name w:val="Sub section Char"/>
    <w:link w:val="Subsection"/>
    <w:rsid w:val="00271B14"/>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D82CC0"/>
    <w:rPr>
      <w:sz w:val="24"/>
      <w:szCs w:val="24"/>
    </w:rPr>
  </w:style>
  <w:style w:type="character" w:customStyle="1" w:styleId="BulletListChar">
    <w:name w:val="Bullet List Char"/>
    <w:link w:val="BulletList"/>
    <w:rsid w:val="00D065C8"/>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271B14"/>
    <w:rPr>
      <w:caps/>
      <w:sz w:val="24"/>
      <w:szCs w:val="24"/>
    </w:rPr>
  </w:style>
  <w:style w:type="character" w:customStyle="1" w:styleId="TOCLevel1Char">
    <w:name w:val="TOC Level 1 Char"/>
    <w:link w:val="TOCLevel1"/>
    <w:rsid w:val="002E10E0"/>
    <w:rPr>
      <w:cap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ece.org/trans/main/welcwp29.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A875FF0A8DD9444AD9F014171400977" ma:contentTypeVersion="" ma:contentTypeDescription="PDMS Document Site Content Type" ma:contentTypeScope="" ma:versionID="22679cd81a7a5344e38460f0c7e22c5f">
  <xsd:schema xmlns:xsd="http://www.w3.org/2001/XMLSchema" xmlns:xs="http://www.w3.org/2001/XMLSchema" xmlns:p="http://schemas.microsoft.com/office/2006/metadata/properties" xmlns:ns2="B111D2F4-B04D-4100-B4A7-1FB4FBA1E104" targetNamespace="http://schemas.microsoft.com/office/2006/metadata/properties" ma:root="true" ma:fieldsID="82f415b62fc637ff7fd0a11041f169c3" ns2:_="">
    <xsd:import namespace="B111D2F4-B04D-4100-B4A7-1FB4FBA1E10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1D2F4-B04D-4100-B4A7-1FB4FBA1E10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111D2F4-B04D-4100-B4A7-1FB4FBA1E10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143F7-6EEA-44FD-A587-56BAAB2AF924}">
  <ds:schemaRefs>
    <ds:schemaRef ds:uri="http://schemas.microsoft.com/sharepoint/v3/contenttype/forms"/>
  </ds:schemaRefs>
</ds:datastoreItem>
</file>

<file path=customXml/itemProps2.xml><?xml version="1.0" encoding="utf-8"?>
<ds:datastoreItem xmlns:ds="http://schemas.openxmlformats.org/officeDocument/2006/customXml" ds:itemID="{5E5DD2EE-2CF0-4933-9E9C-62777BEAA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1D2F4-B04D-4100-B4A7-1FB4FBA1E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471DC-FE7A-40BE-AC89-2DA617FC819C}">
  <ds:schemaRefs>
    <ds:schemaRef ds:uri="http://purl.org/dc/elements/1.1/"/>
    <ds:schemaRef ds:uri="http://schemas.microsoft.com/office/2006/metadata/properties"/>
    <ds:schemaRef ds:uri="http://schemas.microsoft.com/office/2006/documentManagement/types"/>
    <ds:schemaRef ds:uri="http://purl.org/dc/terms/"/>
    <ds:schemaRef ds:uri="B111D2F4-B04D-4100-B4A7-1FB4FBA1E104"/>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B80079A-BDD1-419B-807A-11C0B151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1679</Words>
  <Characters>10632</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
  <dc:creator/>
  <cp:keywords/>
  <cp:lastModifiedBy/>
  <cp:revision>1</cp:revision>
  <cp:lastPrinted>2009-02-16T01:57:00Z</cp:lastPrinted>
  <dcterms:created xsi:type="dcterms:W3CDTF">2018-02-15T23:27:00Z</dcterms:created>
  <dcterms:modified xsi:type="dcterms:W3CDTF">2018-02-15T23:27:00Z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0x010100266966F133664895A6EE3632470D45F5000A875FF0A8DD9444AD9F014171400977</vt:lpwstr>
  </property>
</Properties>
</file>