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335A2" w:rsidRDefault="00193461" w:rsidP="0020300C">
      <w:pPr>
        <w:rPr>
          <w:sz w:val="28"/>
        </w:rPr>
      </w:pPr>
      <w:r w:rsidRPr="005335A2">
        <w:rPr>
          <w:noProof/>
          <w:lang w:eastAsia="en-AU"/>
        </w:rPr>
        <w:drawing>
          <wp:inline distT="0" distB="0" distL="0" distR="0" wp14:anchorId="1DDF8D37" wp14:editId="243926B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335A2" w:rsidRDefault="0048364F" w:rsidP="0048364F">
      <w:pPr>
        <w:rPr>
          <w:sz w:val="19"/>
        </w:rPr>
      </w:pPr>
    </w:p>
    <w:p w:rsidR="0048364F" w:rsidRPr="005335A2" w:rsidRDefault="00F06018" w:rsidP="0048364F">
      <w:pPr>
        <w:pStyle w:val="ShortT"/>
      </w:pPr>
      <w:r>
        <w:t>Parliamentary</w:t>
      </w:r>
      <w:r w:rsidR="0072793C" w:rsidRPr="005335A2">
        <w:t xml:space="preserve"> Service Amendment </w:t>
      </w:r>
      <w:r w:rsidR="00C17F4A" w:rsidRPr="005335A2">
        <w:t>(</w:t>
      </w:r>
      <w:r w:rsidR="00C17F4A">
        <w:t xml:space="preserve">Managing Recruitment Activity </w:t>
      </w:r>
      <w:r w:rsidR="00F74803">
        <w:t>and Other Measures</w:t>
      </w:r>
      <w:r w:rsidR="0030644F" w:rsidRPr="005335A2">
        <w:t>) D</w:t>
      </w:r>
      <w:r>
        <w:t>eterminatio</w:t>
      </w:r>
      <w:r w:rsidR="0030644F" w:rsidRPr="005335A2">
        <w:t>n</w:t>
      </w:r>
      <w:r w:rsidR="005335A2" w:rsidRPr="005335A2">
        <w:t> </w:t>
      </w:r>
      <w:r w:rsidR="008479AF">
        <w:t>2017</w:t>
      </w:r>
    </w:p>
    <w:p w:rsidR="00C02CC0" w:rsidRPr="005335A2" w:rsidRDefault="006771BF" w:rsidP="00006981">
      <w:pPr>
        <w:pStyle w:val="SignCoverPageStart"/>
        <w:jc w:val="left"/>
        <w:rPr>
          <w:szCs w:val="22"/>
        </w:rPr>
      </w:pPr>
      <w:r>
        <w:rPr>
          <w:szCs w:val="22"/>
        </w:rPr>
        <w:t xml:space="preserve">We, Senator the Hon Stephen Parry, President of the Senate, and the Hon Tony Smith MP, Speaker of the House of Representatives, </w:t>
      </w:r>
      <w:r w:rsidR="00C02CC0" w:rsidRPr="005335A2">
        <w:rPr>
          <w:szCs w:val="22"/>
        </w:rPr>
        <w:t>make the following d</w:t>
      </w:r>
      <w:r>
        <w:rPr>
          <w:szCs w:val="22"/>
        </w:rPr>
        <w:t>etermina</w:t>
      </w:r>
      <w:r w:rsidR="00C02CC0" w:rsidRPr="005335A2">
        <w:rPr>
          <w:szCs w:val="22"/>
        </w:rPr>
        <w:t>tion.</w:t>
      </w:r>
    </w:p>
    <w:p w:rsidR="00C02CC0" w:rsidRPr="005335A2" w:rsidRDefault="00C02CC0" w:rsidP="00F375E8">
      <w:pPr>
        <w:keepNext/>
        <w:spacing w:before="300" w:line="240" w:lineRule="atLeast"/>
        <w:ind w:right="397"/>
        <w:jc w:val="both"/>
        <w:rPr>
          <w:szCs w:val="22"/>
        </w:rPr>
      </w:pPr>
      <w:r w:rsidRPr="005335A2">
        <w:rPr>
          <w:szCs w:val="22"/>
        </w:rPr>
        <w:t>Dated</w:t>
      </w:r>
      <w:bookmarkStart w:id="0" w:name="BKCheck15B_1"/>
      <w:bookmarkEnd w:id="0"/>
      <w:r w:rsidR="00EF7FB6">
        <w:rPr>
          <w:szCs w:val="22"/>
        </w:rPr>
        <w:t xml:space="preserve"> 21 September </w:t>
      </w:r>
      <w:r w:rsidR="008479AF">
        <w:rPr>
          <w:szCs w:val="22"/>
        </w:rPr>
        <w:t>2017</w:t>
      </w:r>
    </w:p>
    <w:p w:rsidR="00A5211B" w:rsidRDefault="00A5211B" w:rsidP="00F375E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:rsidR="00C02CC0" w:rsidRPr="005335A2" w:rsidRDefault="00A5211B" w:rsidP="00F375E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Senator the Hon </w:t>
      </w:r>
      <w:r w:rsidR="00C02CC0" w:rsidRPr="005335A2">
        <w:rPr>
          <w:szCs w:val="22"/>
        </w:rPr>
        <w:t xml:space="preserve">Stephen </w:t>
      </w:r>
      <w:r w:rsidR="006771BF">
        <w:rPr>
          <w:szCs w:val="22"/>
        </w:rPr>
        <w:t>Parry</w:t>
      </w:r>
      <w:r w:rsidR="006771BF">
        <w:rPr>
          <w:szCs w:val="22"/>
        </w:rPr>
        <w:tab/>
      </w:r>
      <w:r w:rsidR="006771BF">
        <w:rPr>
          <w:szCs w:val="22"/>
        </w:rPr>
        <w:tab/>
      </w:r>
      <w:r w:rsidR="006771BF">
        <w:rPr>
          <w:szCs w:val="22"/>
        </w:rPr>
        <w:tab/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Hon </w:t>
      </w:r>
      <w:r w:rsidR="006771BF">
        <w:rPr>
          <w:szCs w:val="22"/>
        </w:rPr>
        <w:t>Tony Smith</w:t>
      </w:r>
      <w:r>
        <w:rPr>
          <w:szCs w:val="22"/>
        </w:rPr>
        <w:t xml:space="preserve"> MP</w:t>
      </w:r>
      <w:r>
        <w:rPr>
          <w:szCs w:val="22"/>
        </w:rPr>
        <w:br/>
        <w:t>President of the Senate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Speaker of the House of Representatives</w:t>
      </w:r>
    </w:p>
    <w:p w:rsidR="0048364F" w:rsidRPr="005335A2" w:rsidRDefault="0048364F" w:rsidP="0048364F">
      <w:pPr>
        <w:pStyle w:val="Header"/>
        <w:tabs>
          <w:tab w:val="clear" w:pos="4150"/>
          <w:tab w:val="clear" w:pos="8307"/>
        </w:tabs>
      </w:pPr>
      <w:r w:rsidRPr="005335A2">
        <w:rPr>
          <w:rStyle w:val="CharAmSchNo"/>
        </w:rPr>
        <w:t xml:space="preserve"> </w:t>
      </w:r>
      <w:r w:rsidRPr="005335A2">
        <w:rPr>
          <w:rStyle w:val="CharAmSchText"/>
        </w:rPr>
        <w:t xml:space="preserve"> </w:t>
      </w:r>
    </w:p>
    <w:p w:rsidR="0048364F" w:rsidRPr="005335A2" w:rsidRDefault="0048364F" w:rsidP="0048364F">
      <w:pPr>
        <w:pStyle w:val="Header"/>
        <w:tabs>
          <w:tab w:val="clear" w:pos="4150"/>
          <w:tab w:val="clear" w:pos="8307"/>
        </w:tabs>
      </w:pPr>
      <w:r w:rsidRPr="005335A2">
        <w:rPr>
          <w:rStyle w:val="CharAmPartNo"/>
        </w:rPr>
        <w:t xml:space="preserve"> </w:t>
      </w:r>
      <w:r w:rsidRPr="005335A2">
        <w:rPr>
          <w:rStyle w:val="CharAmPartText"/>
        </w:rPr>
        <w:t xml:space="preserve"> </w:t>
      </w:r>
    </w:p>
    <w:p w:rsidR="0048364F" w:rsidRPr="005335A2" w:rsidRDefault="0048364F" w:rsidP="0048364F">
      <w:pPr>
        <w:sectPr w:rsidR="0048364F" w:rsidRPr="005335A2" w:rsidSect="008815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335A2" w:rsidRDefault="0048364F" w:rsidP="001D5EEE">
      <w:pPr>
        <w:rPr>
          <w:sz w:val="36"/>
        </w:rPr>
      </w:pPr>
      <w:r w:rsidRPr="005335A2">
        <w:rPr>
          <w:sz w:val="36"/>
        </w:rPr>
        <w:lastRenderedPageBreak/>
        <w:t>Contents</w:t>
      </w:r>
    </w:p>
    <w:bookmarkStart w:id="1" w:name="BKCheck15B_2"/>
    <w:bookmarkEnd w:id="1"/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fldChar w:fldCharType="begin"/>
      </w:r>
      <w:r w:rsidRPr="005335A2">
        <w:instrText xml:space="preserve"> TOC \o "1-9" </w:instrText>
      </w:r>
      <w:r w:rsidRPr="005335A2">
        <w:fldChar w:fldCharType="separate"/>
      </w:r>
      <w:r w:rsidRPr="005335A2">
        <w:rPr>
          <w:noProof/>
        </w:rPr>
        <w:t>1</w:t>
      </w:r>
      <w:r w:rsidRPr="005335A2">
        <w:rPr>
          <w:noProof/>
        </w:rPr>
        <w:tab/>
        <w:t>Name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_Toc401058174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F46ECF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rPr>
          <w:noProof/>
        </w:rPr>
        <w:t>2</w:t>
      </w:r>
      <w:r w:rsidRPr="005335A2">
        <w:rPr>
          <w:noProof/>
        </w:rPr>
        <w:tab/>
        <w:t>Commencement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_Toc401058175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F46ECF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rPr>
          <w:noProof/>
        </w:rPr>
        <w:t>3</w:t>
      </w:r>
      <w:r w:rsidRPr="005335A2">
        <w:rPr>
          <w:noProof/>
        </w:rPr>
        <w:tab/>
        <w:t>Authority</w:t>
      </w:r>
      <w:bookmarkStart w:id="2" w:name="_GoBack"/>
      <w:bookmarkEnd w:id="2"/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_Toc401058176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F46ECF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335A2">
        <w:rPr>
          <w:noProof/>
        </w:rPr>
        <w:t>4</w:t>
      </w:r>
      <w:r w:rsidRPr="005335A2">
        <w:rPr>
          <w:noProof/>
        </w:rPr>
        <w:tab/>
        <w:t>Schedules</w:t>
      </w:r>
      <w:r w:rsidRPr="005335A2">
        <w:rPr>
          <w:noProof/>
        </w:rPr>
        <w:tab/>
      </w:r>
      <w:r w:rsidRPr="005335A2">
        <w:rPr>
          <w:noProof/>
        </w:rPr>
        <w:fldChar w:fldCharType="begin"/>
      </w:r>
      <w:r w:rsidRPr="005335A2">
        <w:rPr>
          <w:noProof/>
        </w:rPr>
        <w:instrText xml:space="preserve"> PAGEREF _Toc401058177 \h </w:instrText>
      </w:r>
      <w:r w:rsidRPr="005335A2">
        <w:rPr>
          <w:noProof/>
        </w:rPr>
      </w:r>
      <w:r w:rsidRPr="005335A2">
        <w:rPr>
          <w:noProof/>
        </w:rPr>
        <w:fldChar w:fldCharType="separate"/>
      </w:r>
      <w:r w:rsidR="00F46ECF">
        <w:rPr>
          <w:noProof/>
        </w:rPr>
        <w:t>1</w:t>
      </w:r>
      <w:r w:rsidRPr="005335A2">
        <w:rPr>
          <w:noProof/>
        </w:rPr>
        <w:fldChar w:fldCharType="end"/>
      </w:r>
    </w:p>
    <w:p w:rsidR="00086588" w:rsidRPr="005335A2" w:rsidRDefault="0008658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35A2">
        <w:rPr>
          <w:noProof/>
        </w:rPr>
        <w:t>Schedule</w:t>
      </w:r>
      <w:r w:rsidR="005335A2" w:rsidRPr="005335A2">
        <w:rPr>
          <w:noProof/>
        </w:rPr>
        <w:t> </w:t>
      </w:r>
      <w:r w:rsidRPr="005335A2">
        <w:rPr>
          <w:noProof/>
        </w:rPr>
        <w:t>1—Amendments</w:t>
      </w:r>
      <w:r w:rsidRPr="005335A2">
        <w:rPr>
          <w:b w:val="0"/>
          <w:noProof/>
          <w:sz w:val="18"/>
        </w:rPr>
        <w:tab/>
      </w:r>
      <w:r w:rsidRPr="005335A2">
        <w:rPr>
          <w:b w:val="0"/>
          <w:noProof/>
          <w:sz w:val="18"/>
        </w:rPr>
        <w:fldChar w:fldCharType="begin"/>
      </w:r>
      <w:r w:rsidRPr="005335A2">
        <w:rPr>
          <w:b w:val="0"/>
          <w:noProof/>
          <w:sz w:val="18"/>
        </w:rPr>
        <w:instrText xml:space="preserve"> PAGEREF _Toc401058178 \h </w:instrText>
      </w:r>
      <w:r w:rsidRPr="005335A2">
        <w:rPr>
          <w:b w:val="0"/>
          <w:noProof/>
          <w:sz w:val="18"/>
        </w:rPr>
      </w:r>
      <w:r w:rsidRPr="005335A2">
        <w:rPr>
          <w:b w:val="0"/>
          <w:noProof/>
          <w:sz w:val="18"/>
        </w:rPr>
        <w:fldChar w:fldCharType="separate"/>
      </w:r>
      <w:r w:rsidR="00F46ECF">
        <w:rPr>
          <w:b w:val="0"/>
          <w:noProof/>
          <w:sz w:val="18"/>
        </w:rPr>
        <w:t>2</w:t>
      </w:r>
      <w:r w:rsidRPr="005335A2">
        <w:rPr>
          <w:b w:val="0"/>
          <w:noProof/>
          <w:sz w:val="18"/>
        </w:rPr>
        <w:fldChar w:fldCharType="end"/>
      </w:r>
    </w:p>
    <w:p w:rsidR="00086588" w:rsidRPr="005335A2" w:rsidRDefault="00F84FD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Service Determination</w:t>
      </w:r>
      <w:r w:rsidR="005335A2" w:rsidRPr="005335A2">
        <w:rPr>
          <w:noProof/>
        </w:rPr>
        <w:t> </w:t>
      </w:r>
      <w:r w:rsidR="00086588" w:rsidRPr="005335A2">
        <w:rPr>
          <w:noProof/>
        </w:rPr>
        <w:t>2013</w:t>
      </w:r>
      <w:r w:rsidR="00086588" w:rsidRPr="005335A2">
        <w:rPr>
          <w:i w:val="0"/>
          <w:noProof/>
          <w:sz w:val="18"/>
        </w:rPr>
        <w:tab/>
      </w:r>
      <w:r w:rsidR="00086588" w:rsidRPr="005335A2">
        <w:rPr>
          <w:i w:val="0"/>
          <w:noProof/>
          <w:sz w:val="18"/>
        </w:rPr>
        <w:fldChar w:fldCharType="begin"/>
      </w:r>
      <w:r w:rsidR="00086588" w:rsidRPr="005335A2">
        <w:rPr>
          <w:i w:val="0"/>
          <w:noProof/>
          <w:sz w:val="18"/>
        </w:rPr>
        <w:instrText xml:space="preserve"> PAGEREF _Toc401058179 \h </w:instrText>
      </w:r>
      <w:r w:rsidR="00086588" w:rsidRPr="005335A2">
        <w:rPr>
          <w:i w:val="0"/>
          <w:noProof/>
          <w:sz w:val="18"/>
        </w:rPr>
      </w:r>
      <w:r w:rsidR="00086588" w:rsidRPr="005335A2">
        <w:rPr>
          <w:i w:val="0"/>
          <w:noProof/>
          <w:sz w:val="18"/>
        </w:rPr>
        <w:fldChar w:fldCharType="separate"/>
      </w:r>
      <w:r w:rsidR="00F46ECF">
        <w:rPr>
          <w:i w:val="0"/>
          <w:noProof/>
          <w:sz w:val="18"/>
        </w:rPr>
        <w:t>2</w:t>
      </w:r>
      <w:r w:rsidR="00086588" w:rsidRPr="005335A2">
        <w:rPr>
          <w:i w:val="0"/>
          <w:noProof/>
          <w:sz w:val="18"/>
        </w:rPr>
        <w:fldChar w:fldCharType="end"/>
      </w:r>
    </w:p>
    <w:p w:rsidR="0048364F" w:rsidRPr="005335A2" w:rsidRDefault="00086588" w:rsidP="0048364F">
      <w:r w:rsidRPr="005335A2">
        <w:fldChar w:fldCharType="end"/>
      </w:r>
    </w:p>
    <w:p w:rsidR="0048364F" w:rsidRPr="005335A2" w:rsidRDefault="0048364F" w:rsidP="0048364F">
      <w:pPr>
        <w:sectPr w:rsidR="0048364F" w:rsidRPr="005335A2" w:rsidSect="008815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335A2" w:rsidRDefault="0048364F" w:rsidP="0048364F">
      <w:pPr>
        <w:pStyle w:val="ActHead5"/>
      </w:pPr>
      <w:bookmarkStart w:id="3" w:name="_Toc401058174"/>
      <w:proofErr w:type="gramStart"/>
      <w:r w:rsidRPr="005335A2">
        <w:rPr>
          <w:rStyle w:val="CharSectno"/>
        </w:rPr>
        <w:lastRenderedPageBreak/>
        <w:t>1</w:t>
      </w:r>
      <w:r w:rsidRPr="005335A2">
        <w:t xml:space="preserve">  </w:t>
      </w:r>
      <w:r w:rsidR="004F676E" w:rsidRPr="005335A2">
        <w:t>Name</w:t>
      </w:r>
      <w:bookmarkEnd w:id="3"/>
      <w:proofErr w:type="gramEnd"/>
    </w:p>
    <w:p w:rsidR="0048364F" w:rsidRPr="005335A2" w:rsidRDefault="0048364F" w:rsidP="0048364F">
      <w:pPr>
        <w:pStyle w:val="subsection"/>
      </w:pPr>
      <w:r w:rsidRPr="005335A2">
        <w:tab/>
      </w:r>
      <w:r w:rsidRPr="005335A2">
        <w:tab/>
        <w:t xml:space="preserve">This </w:t>
      </w:r>
      <w:r w:rsidR="00613EAD" w:rsidRPr="005335A2">
        <w:t>is</w:t>
      </w:r>
      <w:r w:rsidRPr="005335A2">
        <w:t xml:space="preserve"> the </w:t>
      </w:r>
      <w:bookmarkStart w:id="4" w:name="BKCheck15B_3"/>
      <w:bookmarkEnd w:id="4"/>
      <w:r w:rsidR="00414ADE" w:rsidRPr="005335A2">
        <w:rPr>
          <w:i/>
        </w:rPr>
        <w:fldChar w:fldCharType="begin"/>
      </w:r>
      <w:r w:rsidR="00414ADE" w:rsidRPr="005335A2">
        <w:rPr>
          <w:i/>
        </w:rPr>
        <w:instrText xml:space="preserve"> STYLEREF  ShortT </w:instrText>
      </w:r>
      <w:r w:rsidR="00414ADE" w:rsidRPr="005335A2">
        <w:rPr>
          <w:i/>
        </w:rPr>
        <w:fldChar w:fldCharType="separate"/>
      </w:r>
      <w:r w:rsidR="00946726">
        <w:rPr>
          <w:i/>
          <w:noProof/>
        </w:rPr>
        <w:t>Parliamentary Service Amendment (Managing Recruitment Activity and Other Measures) Determination 2017</w:t>
      </w:r>
      <w:r w:rsidR="00414ADE" w:rsidRPr="005335A2">
        <w:rPr>
          <w:i/>
        </w:rPr>
        <w:fldChar w:fldCharType="end"/>
      </w:r>
      <w:r w:rsidRPr="005335A2">
        <w:t>.</w:t>
      </w:r>
    </w:p>
    <w:p w:rsidR="0048364F" w:rsidRPr="005335A2" w:rsidRDefault="0048364F" w:rsidP="0048364F">
      <w:pPr>
        <w:pStyle w:val="ActHead5"/>
      </w:pPr>
      <w:bookmarkStart w:id="5" w:name="_Toc401058175"/>
      <w:proofErr w:type="gramStart"/>
      <w:r w:rsidRPr="005335A2">
        <w:rPr>
          <w:rStyle w:val="CharSectno"/>
        </w:rPr>
        <w:t>2</w:t>
      </w:r>
      <w:r w:rsidRPr="005335A2">
        <w:t xml:space="preserve">  Commencement</w:t>
      </w:r>
      <w:bookmarkEnd w:id="5"/>
      <w:proofErr w:type="gramEnd"/>
    </w:p>
    <w:p w:rsidR="004F676E" w:rsidRPr="005335A2" w:rsidRDefault="004F676E" w:rsidP="004F676E">
      <w:pPr>
        <w:pStyle w:val="subsection"/>
      </w:pPr>
      <w:r w:rsidRPr="005335A2">
        <w:tab/>
      </w:r>
      <w:r w:rsidRPr="005335A2">
        <w:tab/>
        <w:t>Th</w:t>
      </w:r>
      <w:r w:rsidR="00562A58" w:rsidRPr="005335A2">
        <w:t>is</w:t>
      </w:r>
      <w:r w:rsidRPr="005335A2">
        <w:t xml:space="preserve"> </w:t>
      </w:r>
      <w:r w:rsidR="006C2B37" w:rsidRPr="005335A2">
        <w:t xml:space="preserve">instrument </w:t>
      </w:r>
      <w:r w:rsidRPr="005335A2">
        <w:t>commence</w:t>
      </w:r>
      <w:r w:rsidR="00562A58" w:rsidRPr="005335A2">
        <w:t>s</w:t>
      </w:r>
      <w:r w:rsidRPr="005335A2">
        <w:t xml:space="preserve"> on</w:t>
      </w:r>
      <w:r w:rsidR="001A3B9F" w:rsidRPr="005335A2">
        <w:t xml:space="preserve"> </w:t>
      </w:r>
      <w:r w:rsidR="00113E84">
        <w:t>the day after registration</w:t>
      </w:r>
      <w:r w:rsidRPr="005335A2">
        <w:t>.</w:t>
      </w:r>
    </w:p>
    <w:p w:rsidR="00BF6650" w:rsidRPr="005335A2" w:rsidRDefault="00BF6650" w:rsidP="00BF6650">
      <w:pPr>
        <w:pStyle w:val="ActHead5"/>
      </w:pPr>
      <w:bookmarkStart w:id="6" w:name="_Toc401058176"/>
      <w:proofErr w:type="gramStart"/>
      <w:r w:rsidRPr="005335A2">
        <w:rPr>
          <w:rStyle w:val="CharSectno"/>
        </w:rPr>
        <w:t>3</w:t>
      </w:r>
      <w:r w:rsidRPr="005335A2">
        <w:t xml:space="preserve">  Authority</w:t>
      </w:r>
      <w:bookmarkEnd w:id="6"/>
      <w:proofErr w:type="gramEnd"/>
    </w:p>
    <w:p w:rsidR="00BF6650" w:rsidRPr="005335A2" w:rsidRDefault="00BF6650" w:rsidP="00BF6650">
      <w:pPr>
        <w:pStyle w:val="subsection"/>
      </w:pPr>
      <w:r w:rsidRPr="005335A2">
        <w:tab/>
      </w:r>
      <w:r w:rsidRPr="005335A2">
        <w:tab/>
        <w:t xml:space="preserve">This </w:t>
      </w:r>
      <w:r w:rsidR="006C2B37" w:rsidRPr="005335A2">
        <w:t xml:space="preserve">instrument </w:t>
      </w:r>
      <w:r w:rsidRPr="005335A2">
        <w:t xml:space="preserve">is made under </w:t>
      </w:r>
      <w:r w:rsidR="005705B7" w:rsidRPr="005335A2">
        <w:t>s</w:t>
      </w:r>
      <w:r w:rsidR="00113E84">
        <w:t>ubs</w:t>
      </w:r>
      <w:r w:rsidR="005705B7" w:rsidRPr="005335A2">
        <w:t>ection</w:t>
      </w:r>
      <w:r w:rsidR="005335A2" w:rsidRPr="005335A2">
        <w:t> </w:t>
      </w:r>
      <w:r w:rsidR="00113E84">
        <w:t>71(1)</w:t>
      </w:r>
      <w:r w:rsidR="005705B7" w:rsidRPr="005335A2">
        <w:t xml:space="preserve"> of </w:t>
      </w:r>
      <w:r w:rsidRPr="005335A2">
        <w:t xml:space="preserve">the </w:t>
      </w:r>
      <w:r w:rsidR="00113E84">
        <w:rPr>
          <w:i/>
        </w:rPr>
        <w:t>Parliamentary</w:t>
      </w:r>
      <w:r w:rsidR="0072793C" w:rsidRPr="005335A2">
        <w:rPr>
          <w:i/>
        </w:rPr>
        <w:t xml:space="preserve"> Service Act 1999</w:t>
      </w:r>
      <w:r w:rsidR="00546FA3" w:rsidRPr="005335A2">
        <w:rPr>
          <w:i/>
        </w:rPr>
        <w:t>.</w:t>
      </w:r>
    </w:p>
    <w:p w:rsidR="00557C7A" w:rsidRPr="005335A2" w:rsidRDefault="00BF6650" w:rsidP="00557C7A">
      <w:pPr>
        <w:pStyle w:val="ActHead5"/>
      </w:pPr>
      <w:bookmarkStart w:id="7" w:name="_Toc401058177"/>
      <w:proofErr w:type="gramStart"/>
      <w:r w:rsidRPr="005335A2">
        <w:rPr>
          <w:rStyle w:val="CharSectno"/>
        </w:rPr>
        <w:t>4</w:t>
      </w:r>
      <w:r w:rsidR="00557C7A" w:rsidRPr="005335A2">
        <w:t xml:space="preserve">  </w:t>
      </w:r>
      <w:r w:rsidR="00083F48" w:rsidRPr="005335A2">
        <w:t>Schedules</w:t>
      </w:r>
      <w:bookmarkEnd w:id="7"/>
      <w:proofErr w:type="gramEnd"/>
    </w:p>
    <w:p w:rsidR="00557C7A" w:rsidRPr="005335A2" w:rsidRDefault="00557C7A" w:rsidP="00557C7A">
      <w:pPr>
        <w:pStyle w:val="subsection"/>
      </w:pPr>
      <w:r w:rsidRPr="005335A2">
        <w:tab/>
      </w:r>
      <w:r w:rsidRPr="005335A2">
        <w:tab/>
      </w:r>
      <w:r w:rsidR="00083F48" w:rsidRPr="005335A2">
        <w:t xml:space="preserve">Each </w:t>
      </w:r>
      <w:r w:rsidR="00160BD7" w:rsidRPr="005335A2">
        <w:t>instrument</w:t>
      </w:r>
      <w:r w:rsidR="00083F48" w:rsidRPr="005335A2">
        <w:t xml:space="preserve"> that is specified in a Schedule to this</w:t>
      </w:r>
      <w:r w:rsidR="00160BD7" w:rsidRPr="005335A2">
        <w:t xml:space="preserve"> instrument</w:t>
      </w:r>
      <w:r w:rsidR="00083F48" w:rsidRPr="005335A2">
        <w:t xml:space="preserve"> is amended or repealed as set out in the applicable items in the Schedule concerned, and any other item in a Schedule to this </w:t>
      </w:r>
      <w:r w:rsidR="00160BD7" w:rsidRPr="005335A2">
        <w:t>instrument</w:t>
      </w:r>
      <w:r w:rsidR="00083F48" w:rsidRPr="005335A2">
        <w:t xml:space="preserve"> has effect according to its terms.</w:t>
      </w:r>
    </w:p>
    <w:p w:rsidR="0004044E" w:rsidRPr="005335A2" w:rsidRDefault="0048364F" w:rsidP="00A05274">
      <w:pPr>
        <w:pStyle w:val="ActHead6"/>
        <w:pageBreakBefore/>
      </w:pPr>
      <w:bookmarkStart w:id="8" w:name="_Toc401058178"/>
      <w:bookmarkStart w:id="9" w:name="opcAmSched"/>
      <w:bookmarkStart w:id="10" w:name="opcCurrentFind"/>
      <w:r w:rsidRPr="005335A2">
        <w:rPr>
          <w:rStyle w:val="CharAmSchNo"/>
        </w:rPr>
        <w:lastRenderedPageBreak/>
        <w:t>Schedule</w:t>
      </w:r>
      <w:r w:rsidR="005335A2" w:rsidRPr="005335A2">
        <w:rPr>
          <w:rStyle w:val="CharAmSchNo"/>
        </w:rPr>
        <w:t> </w:t>
      </w:r>
      <w:r w:rsidRPr="005335A2">
        <w:rPr>
          <w:rStyle w:val="CharAmSchNo"/>
        </w:rPr>
        <w:t>1</w:t>
      </w:r>
      <w:r w:rsidRPr="005335A2">
        <w:t>—</w:t>
      </w:r>
      <w:r w:rsidR="00460499" w:rsidRPr="005335A2">
        <w:rPr>
          <w:rStyle w:val="CharAmSchText"/>
        </w:rPr>
        <w:t>Amendments</w:t>
      </w:r>
      <w:bookmarkEnd w:id="8"/>
      <w:bookmarkEnd w:id="9"/>
      <w:bookmarkEnd w:id="10"/>
      <w:r w:rsidR="0004044E" w:rsidRPr="005335A2">
        <w:rPr>
          <w:rStyle w:val="CharAmPartText"/>
        </w:rPr>
        <w:t xml:space="preserve"> </w:t>
      </w:r>
    </w:p>
    <w:p w:rsidR="005705B7" w:rsidRPr="005335A2" w:rsidRDefault="00F84FDF" w:rsidP="005705B7">
      <w:pPr>
        <w:pStyle w:val="ActHead9"/>
      </w:pPr>
      <w:bookmarkStart w:id="11" w:name="_Toc401058179"/>
      <w:r>
        <w:t>Parliamentary Service Determination</w:t>
      </w:r>
      <w:r w:rsidR="005335A2" w:rsidRPr="005335A2">
        <w:t> </w:t>
      </w:r>
      <w:r w:rsidR="00622C49" w:rsidRPr="005335A2">
        <w:t>2013</w:t>
      </w:r>
      <w:bookmarkEnd w:id="11"/>
    </w:p>
    <w:p w:rsidR="002A4047" w:rsidRDefault="002A4047" w:rsidP="007A6863">
      <w:pPr>
        <w:pStyle w:val="ItemHead"/>
      </w:pPr>
      <w:proofErr w:type="gramStart"/>
      <w:r>
        <w:t xml:space="preserve">1  </w:t>
      </w:r>
      <w:r w:rsidR="00B43257">
        <w:t>Clause</w:t>
      </w:r>
      <w:proofErr w:type="gramEnd"/>
      <w:r w:rsidR="00B43257">
        <w:t xml:space="preserve"> </w:t>
      </w:r>
      <w:r w:rsidR="00B00D68">
        <w:t>6</w:t>
      </w:r>
    </w:p>
    <w:p w:rsidR="00215B85" w:rsidRDefault="00B43257" w:rsidP="00215B85">
      <w:pPr>
        <w:pStyle w:val="Item"/>
      </w:pPr>
      <w:r>
        <w:t>Repeal the clause, substitute:</w:t>
      </w:r>
    </w:p>
    <w:p w:rsidR="00B43257" w:rsidRDefault="0016156E" w:rsidP="00B43257">
      <w:pPr>
        <w:pStyle w:val="ActHead5"/>
      </w:pPr>
      <w:bookmarkStart w:id="12" w:name="_Toc461440406"/>
      <w:proofErr w:type="gramStart"/>
      <w:r>
        <w:rPr>
          <w:kern w:val="0"/>
          <w:szCs w:val="24"/>
        </w:rPr>
        <w:t>6</w:t>
      </w:r>
      <w:r w:rsidR="00B43257" w:rsidRPr="00B43257">
        <w:rPr>
          <w:kern w:val="0"/>
          <w:szCs w:val="24"/>
        </w:rPr>
        <w:t xml:space="preserve">  Parliamentary</w:t>
      </w:r>
      <w:proofErr w:type="gramEnd"/>
      <w:r w:rsidR="00B43257" w:rsidRPr="00B43257">
        <w:rPr>
          <w:kern w:val="0"/>
          <w:szCs w:val="24"/>
        </w:rPr>
        <w:t xml:space="preserve"> Service Value 1—Committed to Service</w:t>
      </w:r>
      <w:bookmarkEnd w:id="12"/>
    </w:p>
    <w:p w:rsidR="00B43257" w:rsidRDefault="00B43257" w:rsidP="00B43257">
      <w:pPr>
        <w:pStyle w:val="subsection"/>
      </w:pPr>
      <w:r>
        <w:tab/>
      </w:r>
      <w:r>
        <w:tab/>
        <w:t>Having regard to an individual’s duties and responsibilities, upholding the Parliamentary Service Value in subsection 10(1) of the Act requires the following:</w:t>
      </w:r>
    </w:p>
    <w:p w:rsidR="00B43257" w:rsidRPr="00B43257" w:rsidRDefault="00B43257" w:rsidP="00B43257">
      <w:pPr>
        <w:pStyle w:val="paragraph"/>
      </w:pPr>
      <w:r>
        <w:tab/>
      </w:r>
      <w:r w:rsidRPr="00B43257">
        <w:t>(a)</w:t>
      </w:r>
      <w:r w:rsidRPr="00B43257">
        <w:tab/>
      </w:r>
      <w:proofErr w:type="gramStart"/>
      <w:r w:rsidRPr="00B43257">
        <w:t>engaging</w:t>
      </w:r>
      <w:proofErr w:type="gramEnd"/>
      <w:r w:rsidRPr="00B43257">
        <w:t xml:space="preserve"> effectively and providing responsive, client</w:t>
      </w:r>
      <w:r w:rsidRPr="00B43257">
        <w:noBreakHyphen/>
        <w:t>focussed service delivery;</w:t>
      </w:r>
    </w:p>
    <w:p w:rsidR="00B43257" w:rsidRPr="00B43257" w:rsidRDefault="00B43257" w:rsidP="00B43257">
      <w:pPr>
        <w:pStyle w:val="paragraph"/>
      </w:pPr>
      <w:r>
        <w:tab/>
      </w:r>
      <w:r w:rsidRPr="00B43257">
        <w:t>(b)</w:t>
      </w:r>
      <w:r w:rsidRPr="00B43257">
        <w:tab/>
      </w:r>
      <w:proofErr w:type="gramStart"/>
      <w:r w:rsidRPr="00B43257">
        <w:t>ensuring</w:t>
      </w:r>
      <w:proofErr w:type="gramEnd"/>
      <w:r w:rsidRPr="00B43257">
        <w:t xml:space="preserve"> that decisions and interactions are objective and impartial;</w:t>
      </w:r>
    </w:p>
    <w:p w:rsidR="00B43257" w:rsidRPr="00B43257" w:rsidRDefault="00B43257" w:rsidP="00B43257">
      <w:pPr>
        <w:pStyle w:val="paragraph"/>
      </w:pPr>
      <w:r>
        <w:tab/>
      </w:r>
      <w:r w:rsidRPr="00B43257">
        <w:t>(c)</w:t>
      </w:r>
      <w:r w:rsidRPr="00B43257">
        <w:tab/>
      </w:r>
      <w:proofErr w:type="gramStart"/>
      <w:r w:rsidRPr="00B43257">
        <w:t>encouraging</w:t>
      </w:r>
      <w:proofErr w:type="gramEnd"/>
      <w:r w:rsidRPr="00B43257">
        <w:t xml:space="preserve"> innovative thought and supporting innovative solutions;</w:t>
      </w:r>
    </w:p>
    <w:p w:rsidR="00B43257" w:rsidRPr="00B43257" w:rsidRDefault="00B43257" w:rsidP="00B43257">
      <w:pPr>
        <w:pStyle w:val="paragraph"/>
      </w:pPr>
      <w:r>
        <w:tab/>
      </w:r>
      <w:r w:rsidRPr="00B43257">
        <w:t>(d)</w:t>
      </w:r>
      <w:r w:rsidRPr="00B43257">
        <w:tab/>
      </w:r>
      <w:proofErr w:type="gramStart"/>
      <w:r w:rsidRPr="00B43257">
        <w:t>supporting</w:t>
      </w:r>
      <w:proofErr w:type="gramEnd"/>
      <w:r w:rsidRPr="00B43257">
        <w:t xml:space="preserve"> collaboration and teamwork, both within a Department and with other Departments and APS agencies and the wider community;</w:t>
      </w:r>
    </w:p>
    <w:p w:rsidR="00B43257" w:rsidRPr="00B43257" w:rsidRDefault="00B43257" w:rsidP="00B43257">
      <w:pPr>
        <w:pStyle w:val="paragraph"/>
      </w:pPr>
      <w:r>
        <w:tab/>
      </w:r>
      <w:r w:rsidRPr="00B43257">
        <w:t>(e)</w:t>
      </w:r>
      <w:r w:rsidRPr="00B43257">
        <w:tab/>
      </w:r>
      <w:proofErr w:type="gramStart"/>
      <w:r w:rsidRPr="00B43257">
        <w:t>promoting</w:t>
      </w:r>
      <w:proofErr w:type="gramEnd"/>
      <w:r w:rsidRPr="00B43257">
        <w:t xml:space="preserve"> continuous improvement and managing change effectively;</w:t>
      </w:r>
    </w:p>
    <w:p w:rsidR="00B43257" w:rsidRPr="00B43257" w:rsidRDefault="00B43257" w:rsidP="00B43257">
      <w:pPr>
        <w:pStyle w:val="paragraph"/>
      </w:pPr>
      <w:r>
        <w:tab/>
      </w:r>
      <w:r w:rsidRPr="00B43257">
        <w:t>(f)</w:t>
      </w:r>
      <w:r w:rsidRPr="00B43257">
        <w:tab/>
      </w:r>
      <w:proofErr w:type="gramStart"/>
      <w:r w:rsidRPr="00B43257">
        <w:t>identifying</w:t>
      </w:r>
      <w:proofErr w:type="gramEnd"/>
      <w:r w:rsidRPr="00B43257">
        <w:t xml:space="preserve"> and managing areas of potential risk;</w:t>
      </w:r>
    </w:p>
    <w:p w:rsidR="00B43257" w:rsidRPr="00B43257" w:rsidRDefault="00B43257" w:rsidP="00B43257">
      <w:pPr>
        <w:pStyle w:val="paragraph"/>
      </w:pPr>
      <w:r>
        <w:tab/>
      </w:r>
      <w:r w:rsidRPr="00B43257">
        <w:t>(g)</w:t>
      </w:r>
      <w:r w:rsidRPr="00B43257">
        <w:tab/>
      </w:r>
      <w:proofErr w:type="gramStart"/>
      <w:r w:rsidRPr="00B43257">
        <w:t>pursuing</w:t>
      </w:r>
      <w:proofErr w:type="gramEnd"/>
      <w:r w:rsidRPr="00B43257">
        <w:t xml:space="preserve"> and supporting training and development to improve capability;</w:t>
      </w:r>
    </w:p>
    <w:p w:rsidR="00B43257" w:rsidRPr="00B43257" w:rsidRDefault="00B43257" w:rsidP="00B43257">
      <w:pPr>
        <w:pStyle w:val="paragraph"/>
      </w:pPr>
      <w:r>
        <w:tab/>
      </w:r>
      <w:r w:rsidRPr="00B43257">
        <w:t>(</w:t>
      </w:r>
      <w:proofErr w:type="gramStart"/>
      <w:r w:rsidRPr="00B43257">
        <w:t>h</w:t>
      </w:r>
      <w:proofErr w:type="gramEnd"/>
      <w:r w:rsidRPr="00B43257">
        <w:t>)</w:t>
      </w:r>
      <w:r w:rsidRPr="00B43257">
        <w:tab/>
        <w:t>being responsive to the needs of the Parliament and understanding the environment in which it operates.</w:t>
      </w:r>
    </w:p>
    <w:p w:rsidR="003F0368" w:rsidRPr="005335A2" w:rsidRDefault="009F4613" w:rsidP="003F0368">
      <w:pPr>
        <w:pStyle w:val="ItemHead"/>
      </w:pPr>
      <w:proofErr w:type="gramStart"/>
      <w:r>
        <w:t>2</w:t>
      </w:r>
      <w:r w:rsidR="003F0368" w:rsidRPr="005335A2">
        <w:t xml:space="preserve">  </w:t>
      </w:r>
      <w:r w:rsidR="00C17F4A">
        <w:t>Paragraph</w:t>
      </w:r>
      <w:proofErr w:type="gramEnd"/>
      <w:r w:rsidR="00C17F4A">
        <w:t xml:space="preserve"> </w:t>
      </w:r>
      <w:r w:rsidR="001D7714">
        <w:t>7(g</w:t>
      </w:r>
      <w:r w:rsidR="00593A24">
        <w:t>)</w:t>
      </w:r>
    </w:p>
    <w:p w:rsidR="003F0368" w:rsidRDefault="00EA6411" w:rsidP="000B091F">
      <w:pPr>
        <w:pStyle w:val="Item"/>
      </w:pPr>
      <w:r>
        <w:t xml:space="preserve">Repeal the </w:t>
      </w:r>
      <w:r w:rsidR="00C17F4A">
        <w:t>paragraph</w:t>
      </w:r>
      <w:r w:rsidR="00593A24">
        <w:t xml:space="preserve">. </w:t>
      </w:r>
    </w:p>
    <w:p w:rsidR="00593A24" w:rsidRDefault="009F4613" w:rsidP="007A6863">
      <w:pPr>
        <w:pStyle w:val="ItemHead"/>
      </w:pPr>
      <w:proofErr w:type="gramStart"/>
      <w:r>
        <w:t>3</w:t>
      </w:r>
      <w:r w:rsidR="00BB6E79" w:rsidRPr="005335A2">
        <w:t xml:space="preserve">  </w:t>
      </w:r>
      <w:r w:rsidR="00C17F4A">
        <w:t>Paragraph</w:t>
      </w:r>
      <w:proofErr w:type="gramEnd"/>
      <w:r w:rsidR="00C17F4A">
        <w:t xml:space="preserve"> </w:t>
      </w:r>
      <w:r w:rsidR="00593A24">
        <w:t>9(g)</w:t>
      </w:r>
    </w:p>
    <w:p w:rsidR="00593A24" w:rsidRDefault="00B442B0" w:rsidP="00593A24">
      <w:pPr>
        <w:pStyle w:val="Item"/>
      </w:pPr>
      <w:r>
        <w:t xml:space="preserve">Omit “through performance management systems”. </w:t>
      </w:r>
    </w:p>
    <w:p w:rsidR="00B442B0" w:rsidRDefault="00B442B0" w:rsidP="00B442B0">
      <w:pPr>
        <w:pStyle w:val="ItemHead"/>
      </w:pPr>
      <w:proofErr w:type="gramStart"/>
      <w:r>
        <w:t xml:space="preserve">4 </w:t>
      </w:r>
      <w:r w:rsidR="00AC4F14">
        <w:t xml:space="preserve"> </w:t>
      </w:r>
      <w:r w:rsidR="00C17F4A">
        <w:t>Paragraph</w:t>
      </w:r>
      <w:proofErr w:type="gramEnd"/>
      <w:r w:rsidR="00C17F4A">
        <w:t xml:space="preserve"> </w:t>
      </w:r>
      <w:r>
        <w:t>10</w:t>
      </w:r>
      <w:r w:rsidR="00BF270C">
        <w:t>(b</w:t>
      </w:r>
      <w:r>
        <w:t>)</w:t>
      </w:r>
    </w:p>
    <w:p w:rsidR="00B442B0" w:rsidRPr="00B442B0" w:rsidRDefault="003C2808" w:rsidP="00B442B0">
      <w:pPr>
        <w:pStyle w:val="Item"/>
      </w:pPr>
      <w:r>
        <w:t>Omit “question the ability of</w:t>
      </w:r>
      <w:r w:rsidR="00BF270C">
        <w:t xml:space="preserve"> the individual to serve the Parliament”, substitute “conclude that the individua</w:t>
      </w:r>
      <w:r w:rsidR="004B46FD">
        <w:t>l could not serve the Parliament</w:t>
      </w:r>
      <w:r w:rsidR="00BF270C">
        <w:t xml:space="preserve"> impartially”.</w:t>
      </w:r>
      <w:r>
        <w:t xml:space="preserve"> </w:t>
      </w:r>
      <w:r w:rsidR="00BF270C">
        <w:t xml:space="preserve">  </w:t>
      </w:r>
    </w:p>
    <w:p w:rsidR="00B9087E" w:rsidRDefault="009F4613" w:rsidP="00B9087E">
      <w:pPr>
        <w:pStyle w:val="ItemHead"/>
      </w:pPr>
      <w:proofErr w:type="gramStart"/>
      <w:r>
        <w:t>5</w:t>
      </w:r>
      <w:r w:rsidR="00C46386" w:rsidRPr="005335A2">
        <w:t xml:space="preserve">  </w:t>
      </w:r>
      <w:r w:rsidR="009B2470">
        <w:t>Clause</w:t>
      </w:r>
      <w:proofErr w:type="gramEnd"/>
      <w:r w:rsidR="009B2470">
        <w:t xml:space="preserve"> 13</w:t>
      </w:r>
    </w:p>
    <w:p w:rsidR="007E3437" w:rsidRDefault="007E3437" w:rsidP="007E3437">
      <w:pPr>
        <w:pStyle w:val="Item"/>
      </w:pPr>
      <w:r>
        <w:t>Repeal the clause, substitute:</w:t>
      </w:r>
    </w:p>
    <w:p w:rsidR="00C17F4A" w:rsidRPr="00C17F4A" w:rsidRDefault="00C17F4A" w:rsidP="00C17F4A">
      <w:pPr>
        <w:pStyle w:val="Item"/>
        <w:spacing w:before="240"/>
        <w:ind w:hanging="709"/>
        <w:rPr>
          <w:i/>
        </w:rPr>
      </w:pPr>
      <w:proofErr w:type="gramStart"/>
      <w:r>
        <w:rPr>
          <w:b/>
          <w:sz w:val="24"/>
          <w:szCs w:val="24"/>
        </w:rPr>
        <w:t>13  Meaning</w:t>
      </w:r>
      <w:proofErr w:type="gramEnd"/>
      <w:r>
        <w:rPr>
          <w:b/>
          <w:sz w:val="24"/>
          <w:szCs w:val="24"/>
        </w:rPr>
        <w:t xml:space="preserve"> of </w:t>
      </w:r>
      <w:r w:rsidRPr="00C17F4A">
        <w:rPr>
          <w:b/>
          <w:i/>
          <w:sz w:val="24"/>
          <w:szCs w:val="24"/>
        </w:rPr>
        <w:t>similar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vacancy</w:t>
      </w:r>
    </w:p>
    <w:p w:rsidR="007E3437" w:rsidRPr="0040373E" w:rsidRDefault="007E3437" w:rsidP="000D7257">
      <w:pPr>
        <w:pStyle w:val="subsection"/>
      </w:pPr>
      <w:r w:rsidRPr="0040373E">
        <w:tab/>
      </w:r>
      <w:r>
        <w:tab/>
      </w:r>
      <w:r w:rsidR="00C17F4A">
        <w:t>For this Part</w:t>
      </w:r>
      <w:r w:rsidRPr="0040373E">
        <w:t xml:space="preserve">, a vacancy is a </w:t>
      </w:r>
      <w:r w:rsidRPr="0040373E">
        <w:rPr>
          <w:b/>
          <w:i/>
        </w:rPr>
        <w:t xml:space="preserve">similar vacancy </w:t>
      </w:r>
      <w:r w:rsidRPr="0040373E">
        <w:t xml:space="preserve">to a </w:t>
      </w:r>
      <w:r w:rsidR="00C677C0">
        <w:t>vacanc</w:t>
      </w:r>
      <w:r w:rsidR="00E76275">
        <w:t>y that is notified under clause </w:t>
      </w:r>
      <w:r w:rsidR="00C677C0">
        <w:t xml:space="preserve">20 (a </w:t>
      </w:r>
      <w:r w:rsidRPr="00C677C0">
        <w:rPr>
          <w:b/>
          <w:i/>
        </w:rPr>
        <w:t>notified vacancy</w:t>
      </w:r>
      <w:r w:rsidR="00C677C0">
        <w:t>)</w:t>
      </w:r>
      <w:r w:rsidRPr="0040373E">
        <w:t xml:space="preserve"> if:</w:t>
      </w:r>
    </w:p>
    <w:p w:rsidR="007E3437" w:rsidRPr="0040373E" w:rsidRDefault="007E3437" w:rsidP="000D7257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one</w:t>
      </w:r>
      <w:proofErr w:type="gramEnd"/>
      <w:r w:rsidRPr="0040373E">
        <w:t xml:space="preserve"> of the following applies:</w:t>
      </w:r>
    </w:p>
    <w:p w:rsidR="007E3437" w:rsidRPr="0040373E" w:rsidRDefault="007E3437" w:rsidP="007E3437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is in the same </w:t>
      </w:r>
      <w:r w:rsidR="00C17F4A">
        <w:t>Department</w:t>
      </w:r>
      <w:r w:rsidRPr="0040373E">
        <w:t>;</w:t>
      </w:r>
    </w:p>
    <w:p w:rsidR="007E3437" w:rsidRPr="0040373E" w:rsidRDefault="007E3437" w:rsidP="007E3437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is an SES vacancy;</w:t>
      </w:r>
    </w:p>
    <w:p w:rsidR="007E3437" w:rsidRPr="0040373E" w:rsidRDefault="007E3437" w:rsidP="007E3437">
      <w:pPr>
        <w:pStyle w:val="paragraphsub"/>
      </w:pPr>
      <w:r w:rsidRPr="0040373E">
        <w:tab/>
        <w:t>(iii)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is a vacancy in a centrally coordinated entry</w:t>
      </w:r>
      <w:r>
        <w:noBreakHyphen/>
      </w:r>
      <w:r w:rsidRPr="0040373E">
        <w:t>level program;</w:t>
      </w:r>
    </w:p>
    <w:p w:rsidR="007E3437" w:rsidRPr="0040373E" w:rsidRDefault="007E3437" w:rsidP="007E3437">
      <w:pPr>
        <w:pStyle w:val="paragraphsub"/>
      </w:pPr>
      <w:r w:rsidRPr="0040373E">
        <w:tab/>
        <w:t>(iv)</w:t>
      </w:r>
      <w:r w:rsidRPr="0040373E">
        <w:tab/>
        <w:t xml:space="preserve">the </w:t>
      </w:r>
      <w:r w:rsidR="00C17F4A">
        <w:t>Secretary</w:t>
      </w:r>
      <w:r w:rsidRPr="0040373E">
        <w:t xml:space="preserve"> of the </w:t>
      </w:r>
      <w:r w:rsidR="00C17F4A">
        <w:t>Department</w:t>
      </w:r>
      <w:r w:rsidR="00C17F4A" w:rsidRPr="0040373E">
        <w:t xml:space="preserve"> </w:t>
      </w:r>
      <w:r w:rsidRPr="0040373E">
        <w:t xml:space="preserve">in which the notified vacancy existed, another </w:t>
      </w:r>
      <w:r w:rsidR="00C17F4A">
        <w:t>Secretary</w:t>
      </w:r>
      <w:r w:rsidRPr="0040373E">
        <w:t xml:space="preserve"> and a candidate who applied for the notified </w:t>
      </w:r>
      <w:r w:rsidRPr="0040373E">
        <w:lastRenderedPageBreak/>
        <w:t>vacancy agree, in writing, that the vacancy is a similar vacancy in relation to the candidate;</w:t>
      </w:r>
    </w:p>
    <w:p w:rsidR="007E3437" w:rsidRPr="0040373E" w:rsidRDefault="007E3437" w:rsidP="007E3437">
      <w:pPr>
        <w:pStyle w:val="paragraphsub"/>
      </w:pPr>
      <w:r w:rsidRPr="0040373E">
        <w:tab/>
        <w:t>(v)</w:t>
      </w:r>
      <w:r w:rsidRPr="0040373E">
        <w:tab/>
      </w:r>
      <w:proofErr w:type="gramStart"/>
      <w:r w:rsidRPr="0040373E">
        <w:t>if</w:t>
      </w:r>
      <w:proofErr w:type="gramEnd"/>
      <w:r w:rsidRPr="0040373E">
        <w:t xml:space="preserve"> the notified vacancy relates to a function that was moved to another </w:t>
      </w:r>
      <w:r w:rsidR="00C17F4A">
        <w:t>Department</w:t>
      </w:r>
      <w:r w:rsidR="00C17F4A" w:rsidRPr="0040373E">
        <w:t xml:space="preserve"> </w:t>
      </w:r>
      <w:r w:rsidRPr="0040373E">
        <w:t xml:space="preserve">after the notification—it is in the </w:t>
      </w:r>
      <w:r w:rsidR="00C17F4A">
        <w:t>Department</w:t>
      </w:r>
      <w:r w:rsidR="00C17F4A" w:rsidRPr="0040373E">
        <w:t xml:space="preserve"> </w:t>
      </w:r>
      <w:r w:rsidRPr="0040373E">
        <w:t>to which the function was moved; and</w:t>
      </w:r>
    </w:p>
    <w:p w:rsidR="007E3437" w:rsidRPr="0040373E" w:rsidRDefault="007E3437" w:rsidP="007E3437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all</w:t>
      </w:r>
      <w:proofErr w:type="gramEnd"/>
      <w:r w:rsidRPr="0040373E">
        <w:t xml:space="preserve"> of the following apply:</w:t>
      </w:r>
    </w:p>
    <w:p w:rsidR="007E3437" w:rsidRPr="0040373E" w:rsidRDefault="007E3437" w:rsidP="007E3437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is the same category of employment (ongoing or non</w:t>
      </w:r>
      <w:r>
        <w:noBreakHyphen/>
      </w:r>
      <w:r w:rsidRPr="0040373E">
        <w:t>ongoing);</w:t>
      </w:r>
    </w:p>
    <w:p w:rsidR="007E3437" w:rsidRPr="0040373E" w:rsidRDefault="007E3437" w:rsidP="007E3437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comprises similar duties;</w:t>
      </w:r>
    </w:p>
    <w:p w:rsidR="007E3437" w:rsidRPr="0040373E" w:rsidRDefault="007E3437" w:rsidP="007E3437">
      <w:pPr>
        <w:pStyle w:val="paragraphsub"/>
      </w:pPr>
      <w:r w:rsidRPr="0040373E">
        <w:tab/>
        <w:t>(iii)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is at the same classification;</w:t>
      </w:r>
    </w:p>
    <w:p w:rsidR="00B9087E" w:rsidRPr="005335A2" w:rsidRDefault="007E3437" w:rsidP="00DC6C69">
      <w:pPr>
        <w:pStyle w:val="paragraphsub"/>
      </w:pPr>
      <w:r w:rsidRPr="0040373E">
        <w:tab/>
        <w:t>(iv)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is to be performed in a similar location.</w:t>
      </w:r>
    </w:p>
    <w:p w:rsidR="00C677C0" w:rsidRDefault="009F4613" w:rsidP="00622C49">
      <w:pPr>
        <w:pStyle w:val="ItemHead"/>
      </w:pPr>
      <w:proofErr w:type="gramStart"/>
      <w:r>
        <w:t>6</w:t>
      </w:r>
      <w:r w:rsidR="00B9087E" w:rsidRPr="005335A2">
        <w:t xml:space="preserve">  </w:t>
      </w:r>
      <w:r w:rsidR="00C677C0">
        <w:t>After</w:t>
      </w:r>
      <w:proofErr w:type="gramEnd"/>
      <w:r w:rsidR="00C677C0">
        <w:t xml:space="preserve"> clause 13</w:t>
      </w:r>
    </w:p>
    <w:p w:rsidR="00C677C0" w:rsidRDefault="00C677C0" w:rsidP="00C1284C">
      <w:pPr>
        <w:pStyle w:val="Item"/>
      </w:pPr>
      <w:r w:rsidRPr="00C677C0">
        <w:t>Insert</w:t>
      </w:r>
      <w:r>
        <w:t>:</w:t>
      </w:r>
    </w:p>
    <w:p w:rsidR="00C677C0" w:rsidRPr="00C1284C" w:rsidRDefault="00C677C0" w:rsidP="00C1284C">
      <w:pPr>
        <w:pStyle w:val="Item"/>
        <w:spacing w:before="240"/>
        <w:ind w:hanging="709"/>
        <w:rPr>
          <w:b/>
          <w:sz w:val="24"/>
          <w:szCs w:val="24"/>
        </w:rPr>
      </w:pPr>
      <w:proofErr w:type="gramStart"/>
      <w:r w:rsidRPr="00C1284C">
        <w:rPr>
          <w:b/>
          <w:sz w:val="24"/>
          <w:szCs w:val="24"/>
        </w:rPr>
        <w:t>13A  Meaning</w:t>
      </w:r>
      <w:proofErr w:type="gramEnd"/>
      <w:r w:rsidRPr="00C1284C">
        <w:rPr>
          <w:b/>
          <w:sz w:val="24"/>
          <w:szCs w:val="24"/>
        </w:rPr>
        <w:t xml:space="preserve"> of </w:t>
      </w:r>
      <w:r w:rsidRPr="00C1284C">
        <w:rPr>
          <w:b/>
          <w:i/>
          <w:sz w:val="24"/>
          <w:szCs w:val="24"/>
        </w:rPr>
        <w:t>Senior Executive Service (SES)</w:t>
      </w:r>
      <w:r w:rsidRPr="00C1284C">
        <w:rPr>
          <w:b/>
          <w:sz w:val="24"/>
          <w:szCs w:val="24"/>
        </w:rPr>
        <w:t xml:space="preserve"> vacancy</w:t>
      </w:r>
    </w:p>
    <w:p w:rsidR="00C677C0" w:rsidRDefault="00C677C0" w:rsidP="000D7257">
      <w:pPr>
        <w:pStyle w:val="subsection"/>
      </w:pPr>
      <w:r>
        <w:tab/>
      </w:r>
      <w:r>
        <w:tab/>
        <w:t xml:space="preserve">In this </w:t>
      </w:r>
      <w:r w:rsidR="000D7257">
        <w:t>d</w:t>
      </w:r>
      <w:r>
        <w:t xml:space="preserve">etermination, </w:t>
      </w:r>
      <w:r>
        <w:rPr>
          <w:b/>
          <w:i/>
        </w:rPr>
        <w:t xml:space="preserve">SES vacancy </w:t>
      </w:r>
      <w:r>
        <w:t>means a vacancy at a</w:t>
      </w:r>
      <w:r w:rsidR="002E6A06">
        <w:t>n</w:t>
      </w:r>
      <w:r>
        <w:t xml:space="preserve"> SES classification as set out in the Classification Rules. </w:t>
      </w:r>
    </w:p>
    <w:p w:rsidR="00622C49" w:rsidRPr="005335A2" w:rsidRDefault="00C677C0" w:rsidP="007021AE">
      <w:pPr>
        <w:pStyle w:val="ItemHead"/>
      </w:pPr>
      <w:proofErr w:type="gramStart"/>
      <w:r>
        <w:t xml:space="preserve">7  </w:t>
      </w:r>
      <w:r w:rsidR="00AA26E8" w:rsidRPr="005335A2">
        <w:t>Clause</w:t>
      </w:r>
      <w:proofErr w:type="gramEnd"/>
      <w:r w:rsidR="005335A2" w:rsidRPr="005335A2">
        <w:t> </w:t>
      </w:r>
      <w:r w:rsidR="009B2470">
        <w:t>19</w:t>
      </w:r>
      <w:r w:rsidR="00AA26E8" w:rsidRPr="005335A2">
        <w:t xml:space="preserve"> </w:t>
      </w:r>
    </w:p>
    <w:p w:rsidR="00361EDD" w:rsidRPr="00923F69" w:rsidRDefault="00375895" w:rsidP="00923F69">
      <w:pPr>
        <w:pStyle w:val="Item"/>
      </w:pPr>
      <w:r w:rsidRPr="005335A2">
        <w:t xml:space="preserve">Repeal the </w:t>
      </w:r>
      <w:r>
        <w:t>clause</w:t>
      </w:r>
      <w:r w:rsidR="009B2470">
        <w:t>, substitute:</w:t>
      </w:r>
      <w:r w:rsidR="00923F69">
        <w:t xml:space="preserve">    </w:t>
      </w:r>
    </w:p>
    <w:p w:rsidR="00361EDD" w:rsidRPr="00CF783E" w:rsidRDefault="00F15983" w:rsidP="001562C6">
      <w:pPr>
        <w:pStyle w:val="Item"/>
        <w:spacing w:before="240"/>
        <w:ind w:hanging="709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19  </w:t>
      </w:r>
      <w:r w:rsidR="00361EDD" w:rsidRPr="00CF783E">
        <w:rPr>
          <w:b/>
          <w:sz w:val="24"/>
          <w:szCs w:val="24"/>
        </w:rPr>
        <w:t>Merit</w:t>
      </w:r>
      <w:proofErr w:type="gramEnd"/>
      <w:r w:rsidR="00361EDD" w:rsidRPr="00CF783E">
        <w:rPr>
          <w:b/>
          <w:sz w:val="24"/>
          <w:szCs w:val="24"/>
        </w:rPr>
        <w:t>-based selection process for engagement or promotion</w:t>
      </w:r>
    </w:p>
    <w:p w:rsidR="00923F69" w:rsidRPr="0040373E" w:rsidRDefault="000D7257" w:rsidP="000D7257">
      <w:pPr>
        <w:pStyle w:val="subsection"/>
      </w:pPr>
      <w:r>
        <w:tab/>
      </w:r>
      <w:r w:rsidR="00923F69" w:rsidRPr="0040373E">
        <w:t>(1)</w:t>
      </w:r>
      <w:r w:rsidR="00923F69" w:rsidRPr="0040373E">
        <w:tab/>
        <w:t>A selection process meets the requirements of this Subdivision if all of the following apply:</w:t>
      </w:r>
    </w:p>
    <w:p w:rsidR="00923F69" w:rsidRPr="0040373E" w:rsidRDefault="00923F69" w:rsidP="00923F69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aim and purpose of the selection process is determined in advance;</w:t>
      </w:r>
    </w:p>
    <w:p w:rsidR="00923F69" w:rsidRPr="0040373E" w:rsidRDefault="00923F69" w:rsidP="00923F69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information</w:t>
      </w:r>
      <w:proofErr w:type="gramEnd"/>
      <w:r w:rsidRPr="0040373E">
        <w:t xml:space="preserve"> about the selection process is readily available to applicants;</w:t>
      </w:r>
    </w:p>
    <w:p w:rsidR="00923F69" w:rsidRPr="0040373E" w:rsidRDefault="00923F69" w:rsidP="00923F69">
      <w:pPr>
        <w:pStyle w:val="paragraph"/>
      </w:pPr>
      <w:r w:rsidRPr="0040373E">
        <w:tab/>
        <w:t>(c)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selection process is applied fairly in relation to each eligible applicant;</w:t>
      </w:r>
    </w:p>
    <w:p w:rsidR="00923F69" w:rsidRPr="0040373E" w:rsidRDefault="00923F69" w:rsidP="00923F69">
      <w:pPr>
        <w:pStyle w:val="paragraph"/>
      </w:pPr>
      <w:r w:rsidRPr="0040373E">
        <w:tab/>
        <w:t>(d)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selection process is appropriately documented.</w:t>
      </w:r>
    </w:p>
    <w:p w:rsidR="00923F69" w:rsidRPr="0040373E" w:rsidRDefault="00923F69" w:rsidP="00923F69">
      <w:pPr>
        <w:pStyle w:val="notetext"/>
      </w:pPr>
      <w:r w:rsidRPr="0040373E">
        <w:t>Note:</w:t>
      </w:r>
      <w:r w:rsidRPr="0040373E">
        <w:tab/>
      </w:r>
      <w:r w:rsidR="00C86C47">
        <w:t>Clauses 15 and 16 provide</w:t>
      </w:r>
      <w:r w:rsidR="001D1220">
        <w:t xml:space="preserve"> for matters regarding the engagement of non-ongoing</w:t>
      </w:r>
      <w:r w:rsidR="00C86C47">
        <w:t xml:space="preserve"> Parliamentary Service</w:t>
      </w:r>
      <w:r w:rsidR="001D1220">
        <w:t xml:space="preserve"> employees.</w:t>
      </w:r>
    </w:p>
    <w:p w:rsidR="00923F69" w:rsidRPr="0040373E" w:rsidRDefault="00923F69" w:rsidP="00923F69">
      <w:pPr>
        <w:pStyle w:val="subsection"/>
      </w:pPr>
      <w:r w:rsidRPr="0040373E">
        <w:tab/>
        <w:t>(2)</w:t>
      </w:r>
      <w:r w:rsidRPr="0040373E">
        <w:tab/>
        <w:t>When making a decision using such a selection process:</w:t>
      </w:r>
    </w:p>
    <w:p w:rsidR="00923F69" w:rsidRPr="0040373E" w:rsidRDefault="00923F69" w:rsidP="00923F69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merit</w:t>
      </w:r>
      <w:proofErr w:type="gramEnd"/>
      <w:r w:rsidRPr="0040373E">
        <w:t xml:space="preserve"> is the primary consideration; and</w:t>
      </w:r>
    </w:p>
    <w:p w:rsidR="00923F69" w:rsidRPr="0040373E" w:rsidRDefault="00923F69" w:rsidP="00923F69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if</w:t>
      </w:r>
      <w:proofErr w:type="gramEnd"/>
      <w:r w:rsidRPr="0040373E">
        <w:t xml:space="preserve"> any eligible applicants are otherwise equal on merit—secondary considerations may be taken into account if they relate to matters within the control of the applicant.</w:t>
      </w:r>
    </w:p>
    <w:p w:rsidR="005265A6" w:rsidRPr="009B2470" w:rsidRDefault="00923F69" w:rsidP="009F6FEB">
      <w:pPr>
        <w:pStyle w:val="notetext"/>
      </w:pPr>
      <w:r w:rsidRPr="0040373E">
        <w:t>Note:</w:t>
      </w:r>
      <w:r w:rsidRPr="0040373E">
        <w:tab/>
        <w:t>Paragraph (b)—matters within the control of the applicant include the applicant’s ability to start by a particular date, willingness to relocate or</w:t>
      </w:r>
      <w:r w:rsidR="009F6FEB">
        <w:t xml:space="preserve"> to meet other reasonable Departmental</w:t>
      </w:r>
      <w:r w:rsidRPr="0040373E">
        <w:t xml:space="preserve"> requirements.</w:t>
      </w:r>
    </w:p>
    <w:p w:rsidR="00E2750C" w:rsidRPr="005335A2" w:rsidRDefault="007021AE" w:rsidP="00E2750C">
      <w:pPr>
        <w:pStyle w:val="ItemHead"/>
      </w:pPr>
      <w:proofErr w:type="gramStart"/>
      <w:r>
        <w:t xml:space="preserve">8  </w:t>
      </w:r>
      <w:r w:rsidR="00257336">
        <w:t>C</w:t>
      </w:r>
      <w:r w:rsidR="001F2A15">
        <w:t>lause</w:t>
      </w:r>
      <w:proofErr w:type="gramEnd"/>
      <w:r w:rsidR="00257336">
        <w:t xml:space="preserve"> 20</w:t>
      </w:r>
    </w:p>
    <w:p w:rsidR="007943A8" w:rsidRDefault="00655334" w:rsidP="007943A8">
      <w:pPr>
        <w:pStyle w:val="Item"/>
      </w:pPr>
      <w:r w:rsidRPr="005335A2">
        <w:t xml:space="preserve">Repeal the </w:t>
      </w:r>
      <w:r w:rsidR="002E3D59">
        <w:t>clause</w:t>
      </w:r>
      <w:r w:rsidRPr="005335A2">
        <w:t>, substitute:</w:t>
      </w:r>
    </w:p>
    <w:p w:rsidR="00F55D04" w:rsidRPr="00F55D04" w:rsidRDefault="00F55D04" w:rsidP="00005CFD">
      <w:pPr>
        <w:pStyle w:val="Item"/>
        <w:spacing w:before="240"/>
        <w:ind w:hanging="709"/>
      </w:pPr>
      <w:proofErr w:type="gramStart"/>
      <w:r>
        <w:rPr>
          <w:b/>
          <w:sz w:val="24"/>
          <w:szCs w:val="24"/>
        </w:rPr>
        <w:t>20  Notification</w:t>
      </w:r>
      <w:proofErr w:type="gramEnd"/>
      <w:r>
        <w:rPr>
          <w:b/>
          <w:sz w:val="24"/>
          <w:szCs w:val="24"/>
        </w:rPr>
        <w:t xml:space="preserve"> of vacancy in </w:t>
      </w:r>
      <w:r w:rsidR="00C86C47">
        <w:rPr>
          <w:b/>
          <w:sz w:val="24"/>
          <w:szCs w:val="24"/>
        </w:rPr>
        <w:t xml:space="preserve">Public Service </w:t>
      </w:r>
      <w:r w:rsidRPr="007021AE">
        <w:rPr>
          <w:b/>
          <w:i/>
          <w:sz w:val="24"/>
          <w:szCs w:val="24"/>
        </w:rPr>
        <w:t>Gazette</w:t>
      </w:r>
    </w:p>
    <w:p w:rsidR="00257336" w:rsidRPr="0040373E" w:rsidRDefault="00257336" w:rsidP="00257336">
      <w:pPr>
        <w:pStyle w:val="SubsectionHead"/>
      </w:pPr>
      <w:r w:rsidRPr="0040373E">
        <w:lastRenderedPageBreak/>
        <w:t>Basic requirement for notification of vacancy</w:t>
      </w:r>
    </w:p>
    <w:p w:rsidR="00257336" w:rsidRPr="0040373E" w:rsidRDefault="00257336" w:rsidP="00257336">
      <w:pPr>
        <w:pStyle w:val="subsection"/>
        <w:keepNext/>
      </w:pPr>
      <w:r w:rsidRPr="0040373E">
        <w:tab/>
        <w:t>(1)</w:t>
      </w:r>
      <w:r w:rsidRPr="0040373E">
        <w:tab/>
        <w:t xml:space="preserve">Subject to this </w:t>
      </w:r>
      <w:r w:rsidR="00F15983">
        <w:t>clause</w:t>
      </w:r>
      <w:r w:rsidRPr="0040373E">
        <w:t>, a selection process for a decision to fill a vacancy meets the requirements of this Subdivision only if:</w:t>
      </w:r>
    </w:p>
    <w:p w:rsidR="00257336" w:rsidRPr="0040373E" w:rsidRDefault="00257336" w:rsidP="00257336">
      <w:pPr>
        <w:pStyle w:val="paragraph"/>
      </w:pPr>
      <w:r w:rsidRPr="0040373E">
        <w:tab/>
        <w:t>(a)</w:t>
      </w:r>
      <w:r w:rsidRPr="0040373E">
        <w:tab/>
        <w:t>the vacancy</w:t>
      </w:r>
      <w:r w:rsidR="00F15983">
        <w:t xml:space="preserve"> in the Department</w:t>
      </w:r>
      <w:r w:rsidRPr="0040373E">
        <w:t xml:space="preserve">, or </w:t>
      </w:r>
      <w:r>
        <w:t xml:space="preserve">a similar vacancy, </w:t>
      </w:r>
      <w:r w:rsidRPr="0040373E">
        <w:t xml:space="preserve">was notified in the Public Service </w:t>
      </w:r>
      <w:r w:rsidRPr="00F15983">
        <w:rPr>
          <w:i/>
        </w:rPr>
        <w:t>Gazette</w:t>
      </w:r>
      <w:r w:rsidRPr="0040373E">
        <w:rPr>
          <w:i/>
        </w:rPr>
        <w:t xml:space="preserve"> </w:t>
      </w:r>
      <w:r w:rsidRPr="0040373E">
        <w:t>within a period of 12 months before the written decision to engage or promote the successful applicant; and</w:t>
      </w:r>
    </w:p>
    <w:p w:rsidR="00257336" w:rsidRPr="0040373E" w:rsidRDefault="00257336" w:rsidP="00257336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vacancy was notified as open to all eligible members of the community; and</w:t>
      </w:r>
    </w:p>
    <w:p w:rsidR="00257336" w:rsidRPr="0040373E" w:rsidRDefault="00257336" w:rsidP="00257336">
      <w:pPr>
        <w:pStyle w:val="paragraph"/>
      </w:pPr>
      <w:r w:rsidRPr="0040373E">
        <w:tab/>
        <w:t>(c)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vacancy was notified with a closing date for applications of:</w:t>
      </w:r>
    </w:p>
    <w:p w:rsidR="00257336" w:rsidRPr="0040373E" w:rsidRDefault="00257336" w:rsidP="00257336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at</w:t>
      </w:r>
      <w:proofErr w:type="gramEnd"/>
      <w:r w:rsidRPr="0040373E">
        <w:t xml:space="preserve"> least 7 calendar days after the notification; or</w:t>
      </w:r>
    </w:p>
    <w:p w:rsidR="00257336" w:rsidRPr="0040373E" w:rsidRDefault="00257336" w:rsidP="00D336BE">
      <w:pPr>
        <w:pStyle w:val="paragraphsub"/>
      </w:pPr>
      <w:r>
        <w:tab/>
        <w:t>(ii)</w:t>
      </w:r>
      <w:r>
        <w:tab/>
      </w:r>
      <w:proofErr w:type="gramStart"/>
      <w:r>
        <w:t>if</w:t>
      </w:r>
      <w:proofErr w:type="gramEnd"/>
      <w:r>
        <w:t xml:space="preserve"> the Secretary</w:t>
      </w:r>
      <w:r w:rsidRPr="0040373E">
        <w:t xml:space="preserve"> was satisfied that there were special c</w:t>
      </w:r>
      <w:r>
        <w:t>ircumstances and the Secretary</w:t>
      </w:r>
      <w:r w:rsidRPr="0040373E">
        <w:t xml:space="preserve"> approved a shorter period—the end of that shorter period</w:t>
      </w:r>
      <w:r w:rsidR="0043483D">
        <w:t>.</w:t>
      </w:r>
      <w:r w:rsidRPr="0040373E">
        <w:tab/>
      </w:r>
    </w:p>
    <w:p w:rsidR="00257336" w:rsidRPr="0040373E" w:rsidRDefault="00257336" w:rsidP="00257336">
      <w:pPr>
        <w:pStyle w:val="SubsectionHead"/>
      </w:pPr>
      <w:r>
        <w:t>Restricting applications to Parliamentary Service employees (other than Parliamentary Service</w:t>
      </w:r>
      <w:r w:rsidRPr="0040373E">
        <w:t xml:space="preserve"> Level 1 and training classifications)</w:t>
      </w:r>
    </w:p>
    <w:p w:rsidR="00257336" w:rsidRPr="0040373E" w:rsidRDefault="0065113C" w:rsidP="00257336">
      <w:pPr>
        <w:pStyle w:val="subsection"/>
      </w:pPr>
      <w:r>
        <w:tab/>
        <w:t>(</w:t>
      </w:r>
      <w:r w:rsidR="0043483D">
        <w:t>2</w:t>
      </w:r>
      <w:r>
        <w:t>)</w:t>
      </w:r>
      <w:r>
        <w:tab/>
        <w:t>If the Secretary</w:t>
      </w:r>
      <w:r w:rsidR="00257336" w:rsidRPr="0040373E">
        <w:t xml:space="preserve"> decides that, for reasons of cost or operational efficiency, a vacancy at a non</w:t>
      </w:r>
      <w:r w:rsidR="00257336">
        <w:noBreakHyphen/>
      </w:r>
      <w:r w:rsidR="00257336" w:rsidRPr="0040373E">
        <w:t>SES classification should be filled b</w:t>
      </w:r>
      <w:r>
        <w:t>y a person who is already a Parliamentary Service</w:t>
      </w:r>
      <w:r w:rsidR="00257336" w:rsidRPr="0040373E">
        <w:t xml:space="preserve"> </w:t>
      </w:r>
      <w:proofErr w:type="gramStart"/>
      <w:r w:rsidR="00257336" w:rsidRPr="0040373E">
        <w:t>employee,</w:t>
      </w:r>
      <w:proofErr w:type="gramEnd"/>
      <w:r w:rsidR="00257336" w:rsidRPr="0040373E">
        <w:t xml:space="preserve"> the vacancy may be notified in the Public Service </w:t>
      </w:r>
      <w:r w:rsidR="00257336" w:rsidRPr="00005CFD">
        <w:rPr>
          <w:i/>
        </w:rPr>
        <w:t>Gazette</w:t>
      </w:r>
      <w:r w:rsidR="00257336" w:rsidRPr="0040373E">
        <w:t xml:space="preserve"> as </w:t>
      </w:r>
      <w:r>
        <w:t>open only to persons who are Parliamentary Service</w:t>
      </w:r>
      <w:r w:rsidR="00257336" w:rsidRPr="0040373E">
        <w:t xml:space="preserve"> employees at the time of the notification.</w:t>
      </w:r>
    </w:p>
    <w:p w:rsidR="00257336" w:rsidRPr="0040373E" w:rsidRDefault="00257336" w:rsidP="00257336">
      <w:pPr>
        <w:pStyle w:val="subsection"/>
      </w:pPr>
      <w:r w:rsidRPr="0040373E">
        <w:tab/>
        <w:t>(</w:t>
      </w:r>
      <w:r w:rsidR="0043483D">
        <w:t>3</w:t>
      </w:r>
      <w:r w:rsidRPr="0040373E">
        <w:t>)</w:t>
      </w:r>
      <w:r w:rsidRPr="0040373E">
        <w:tab/>
      </w:r>
      <w:r w:rsidR="00C86C47" w:rsidRPr="0040373E">
        <w:t>Sub</w:t>
      </w:r>
      <w:r w:rsidR="00C86C47">
        <w:t>clause</w:t>
      </w:r>
      <w:r w:rsidR="00C86C47" w:rsidRPr="0040373E">
        <w:t> </w:t>
      </w:r>
      <w:r w:rsidRPr="0040373E">
        <w:t>(</w:t>
      </w:r>
      <w:r w:rsidR="0043483D">
        <w:t>2</w:t>
      </w:r>
      <w:r w:rsidRPr="0040373E">
        <w:t xml:space="preserve">) does not apply in </w:t>
      </w:r>
      <w:r w:rsidR="0065113C">
        <w:t xml:space="preserve">relation to a vacancy at </w:t>
      </w:r>
      <w:r w:rsidR="00C86C47">
        <w:t xml:space="preserve">the </w:t>
      </w:r>
      <w:r w:rsidR="0065113C">
        <w:t>Parliamentary Service</w:t>
      </w:r>
      <w:r w:rsidRPr="0040373E">
        <w:t xml:space="preserve"> Level 1 classification or a training classification, and these must be notified as open to all eligible members of the community.</w:t>
      </w:r>
    </w:p>
    <w:p w:rsidR="00257336" w:rsidRPr="0040373E" w:rsidRDefault="00257336" w:rsidP="00257336">
      <w:pPr>
        <w:pStyle w:val="SubsectionHead"/>
      </w:pPr>
      <w:r w:rsidRPr="0040373E">
        <w:t xml:space="preserve">Multiple </w:t>
      </w:r>
      <w:r w:rsidR="00C91DB8">
        <w:t>Department</w:t>
      </w:r>
      <w:r w:rsidRPr="0040373E">
        <w:t xml:space="preserve"> notification</w:t>
      </w:r>
    </w:p>
    <w:p w:rsidR="00257336" w:rsidRPr="0040373E" w:rsidRDefault="0065113C" w:rsidP="00257336">
      <w:pPr>
        <w:pStyle w:val="subsection"/>
      </w:pPr>
      <w:r>
        <w:tab/>
        <w:t>(</w:t>
      </w:r>
      <w:r w:rsidR="0043483D">
        <w:t>4</w:t>
      </w:r>
      <w:r>
        <w:t>)</w:t>
      </w:r>
      <w:r>
        <w:tab/>
        <w:t>A Department</w:t>
      </w:r>
      <w:r w:rsidR="00257336" w:rsidRPr="0040373E">
        <w:t xml:space="preserve"> pa</w:t>
      </w:r>
      <w:r>
        <w:t>rticipating in a multiple Department</w:t>
      </w:r>
      <w:r w:rsidR="00257336" w:rsidRPr="0040373E">
        <w:t xml:space="preserve"> selection process must ensure as far as practicable that a specified vacancy is brought to the notice of the community in a way that gives eligible members of the community a reasonable opportunity to apply for it.</w:t>
      </w:r>
    </w:p>
    <w:p w:rsidR="00257336" w:rsidRPr="0040373E" w:rsidRDefault="00257336" w:rsidP="00257336">
      <w:pPr>
        <w:pStyle w:val="SubsectionHead"/>
      </w:pPr>
      <w:r w:rsidRPr="0040373E">
        <w:t>External advertising</w:t>
      </w:r>
    </w:p>
    <w:p w:rsidR="00257336" w:rsidRPr="0040373E" w:rsidRDefault="00257336" w:rsidP="00257336">
      <w:pPr>
        <w:pStyle w:val="subsection"/>
      </w:pPr>
      <w:r w:rsidRPr="0040373E">
        <w:tab/>
        <w:t>(</w:t>
      </w:r>
      <w:r w:rsidR="0043483D">
        <w:t>5</w:t>
      </w:r>
      <w:r w:rsidRPr="0040373E">
        <w:t>)</w:t>
      </w:r>
      <w:r w:rsidRPr="0040373E">
        <w:tab/>
        <w:t xml:space="preserve">A vacancy notified in the Public Service </w:t>
      </w:r>
      <w:r w:rsidRPr="00005CFD">
        <w:rPr>
          <w:i/>
        </w:rPr>
        <w:t>Gazette</w:t>
      </w:r>
      <w:r w:rsidRPr="0040373E">
        <w:t xml:space="preserve"> as open to all eligible members of the community must, if also advertised externally, be advertised within 4 weeks before or 4 weeks after the </w:t>
      </w:r>
      <w:r w:rsidRPr="00005CFD">
        <w:rPr>
          <w:i/>
        </w:rPr>
        <w:t>Gazett</w:t>
      </w:r>
      <w:r w:rsidRPr="0040373E">
        <w:t>e notification.</w:t>
      </w:r>
    </w:p>
    <w:p w:rsidR="00257336" w:rsidRPr="0040373E" w:rsidRDefault="00257336" w:rsidP="00257336">
      <w:pPr>
        <w:pStyle w:val="notetext"/>
      </w:pPr>
      <w:r w:rsidRPr="0040373E">
        <w:t>Example:</w:t>
      </w:r>
      <w:r w:rsidRPr="0040373E">
        <w:tab/>
        <w:t>A vacancy may be advertised externally on a recruitment website.</w:t>
      </w:r>
    </w:p>
    <w:p w:rsidR="00257336" w:rsidRPr="0040373E" w:rsidRDefault="00257336" w:rsidP="00257336">
      <w:pPr>
        <w:pStyle w:val="subsection"/>
        <w:keepNext/>
        <w:keepLines/>
      </w:pPr>
      <w:r w:rsidRPr="0040373E">
        <w:tab/>
        <w:t>(</w:t>
      </w:r>
      <w:r w:rsidR="0043483D">
        <w:t>6</w:t>
      </w:r>
      <w:r w:rsidRPr="0040373E">
        <w:t>)</w:t>
      </w:r>
      <w:r w:rsidRPr="0040373E">
        <w:tab/>
        <w:t xml:space="preserve">A vacancy notified in the Public Service </w:t>
      </w:r>
      <w:r w:rsidRPr="00005CFD">
        <w:rPr>
          <w:i/>
        </w:rPr>
        <w:t>Gazette</w:t>
      </w:r>
      <w:r w:rsidRPr="00D25C3E">
        <w:rPr>
          <w:i/>
        </w:rPr>
        <w:t xml:space="preserve"> </w:t>
      </w:r>
      <w:r w:rsidRPr="0040373E">
        <w:t xml:space="preserve">as </w:t>
      </w:r>
      <w:r w:rsidR="0065113C">
        <w:t>open only to persons who are Parliamentary Service</w:t>
      </w:r>
      <w:r w:rsidRPr="0040373E">
        <w:t xml:space="preserve"> employees must, if it is later advertised externally as open to all eligible members of the community, be re</w:t>
      </w:r>
      <w:r>
        <w:noBreakHyphen/>
      </w:r>
      <w:r w:rsidRPr="0040373E">
        <w:t xml:space="preserve">notified in the Public Service </w:t>
      </w:r>
      <w:r w:rsidRPr="00005CFD">
        <w:rPr>
          <w:i/>
        </w:rPr>
        <w:t>Gazette</w:t>
      </w:r>
      <w:r w:rsidRPr="0040373E">
        <w:t xml:space="preserve"> as open to all eligible members of the community.</w:t>
      </w:r>
    </w:p>
    <w:p w:rsidR="00257336" w:rsidRPr="0040373E" w:rsidRDefault="0065113C" w:rsidP="00257336">
      <w:pPr>
        <w:pStyle w:val="SubsectionHead"/>
      </w:pPr>
      <w:r>
        <w:t>Meaning of Parliamentary Service</w:t>
      </w:r>
      <w:r w:rsidR="00257336" w:rsidRPr="0040373E">
        <w:t xml:space="preserve"> employee</w:t>
      </w:r>
    </w:p>
    <w:p w:rsidR="00257336" w:rsidRPr="0040373E" w:rsidRDefault="00257336" w:rsidP="00257336">
      <w:pPr>
        <w:pStyle w:val="subsection"/>
      </w:pPr>
      <w:r w:rsidRPr="0040373E">
        <w:tab/>
        <w:t>(</w:t>
      </w:r>
      <w:r w:rsidR="0043483D">
        <w:t>7</w:t>
      </w:r>
      <w:r w:rsidRPr="0040373E">
        <w:t>)</w:t>
      </w:r>
      <w:r w:rsidRPr="0040373E">
        <w:tab/>
        <w:t xml:space="preserve">In this </w:t>
      </w:r>
      <w:r w:rsidR="00184AB3">
        <w:t>clause</w:t>
      </w:r>
      <w:r w:rsidRPr="0040373E">
        <w:t>:</w:t>
      </w:r>
    </w:p>
    <w:p w:rsidR="00257336" w:rsidRPr="0040373E" w:rsidRDefault="0065113C" w:rsidP="00257336">
      <w:pPr>
        <w:pStyle w:val="Definition"/>
      </w:pPr>
      <w:r>
        <w:rPr>
          <w:b/>
          <w:i/>
        </w:rPr>
        <w:t>Parliamentary Service</w:t>
      </w:r>
      <w:r w:rsidR="00257336" w:rsidRPr="0040373E">
        <w:rPr>
          <w:b/>
          <w:i/>
        </w:rPr>
        <w:t xml:space="preserve"> employee </w:t>
      </w:r>
      <w:r w:rsidR="00257336" w:rsidRPr="0040373E">
        <w:t>means a person who:</w:t>
      </w:r>
    </w:p>
    <w:p w:rsidR="00257336" w:rsidRPr="0040373E" w:rsidRDefault="00257336" w:rsidP="00257336">
      <w:pPr>
        <w:pStyle w:val="paragraph"/>
      </w:pPr>
      <w:r w:rsidRPr="0040373E">
        <w:tab/>
        <w:t xml:space="preserve">(a) </w:t>
      </w:r>
      <w:r w:rsidRPr="0040373E">
        <w:tab/>
      </w:r>
      <w:proofErr w:type="gramStart"/>
      <w:r w:rsidRPr="0040373E">
        <w:t>is</w:t>
      </w:r>
      <w:proofErr w:type="gramEnd"/>
      <w:r w:rsidRPr="0040373E">
        <w:t xml:space="preserve"> a current ongoing Parliamentary Service employee</w:t>
      </w:r>
      <w:r w:rsidR="00D25C3E">
        <w:t xml:space="preserve"> or APS employee</w:t>
      </w:r>
      <w:r w:rsidRPr="0040373E">
        <w:t>; or</w:t>
      </w:r>
    </w:p>
    <w:p w:rsidR="00257336" w:rsidRPr="0040373E" w:rsidRDefault="00257336" w:rsidP="00257336">
      <w:pPr>
        <w:pStyle w:val="paragraph"/>
      </w:pPr>
      <w:r w:rsidRPr="0040373E">
        <w:lastRenderedPageBreak/>
        <w:tab/>
        <w:t>(b)</w:t>
      </w:r>
      <w:r w:rsidRPr="0040373E">
        <w:tab/>
      </w:r>
      <w:proofErr w:type="gramStart"/>
      <w:r w:rsidRPr="0040373E">
        <w:t>was</w:t>
      </w:r>
      <w:proofErr w:type="gramEnd"/>
      <w:r w:rsidRPr="0040373E">
        <w:t xml:space="preserve">, at the time of the relevant Public Service </w:t>
      </w:r>
      <w:r w:rsidRPr="00005CFD">
        <w:rPr>
          <w:i/>
        </w:rPr>
        <w:t>Gazette</w:t>
      </w:r>
      <w:r w:rsidRPr="0040373E">
        <w:rPr>
          <w:i/>
        </w:rPr>
        <w:t xml:space="preserve"> </w:t>
      </w:r>
      <w:r w:rsidRPr="0040373E">
        <w:t>notification, a non</w:t>
      </w:r>
      <w:r>
        <w:noBreakHyphen/>
      </w:r>
      <w:r w:rsidRPr="0040373E">
        <w:t xml:space="preserve">ongoing Parliamentary Service employee (within the meaning of the </w:t>
      </w:r>
      <w:r w:rsidRPr="0040373E">
        <w:rPr>
          <w:i/>
        </w:rPr>
        <w:t>Parliamentary Service Act 1999</w:t>
      </w:r>
      <w:r w:rsidRPr="0040373E">
        <w:t>)</w:t>
      </w:r>
      <w:r w:rsidR="00F55D04">
        <w:t xml:space="preserve"> or </w:t>
      </w:r>
      <w:r w:rsidR="00F55D04" w:rsidRPr="0040373E">
        <w:t>non</w:t>
      </w:r>
      <w:r w:rsidR="00F55D04">
        <w:noBreakHyphen/>
      </w:r>
      <w:r w:rsidR="00F55D04" w:rsidRPr="0040373E">
        <w:t>ongoing APS employee</w:t>
      </w:r>
      <w:r w:rsidR="00F55D04">
        <w:t xml:space="preserve"> (within the meaning of the </w:t>
      </w:r>
      <w:r w:rsidR="00F55D04">
        <w:rPr>
          <w:i/>
        </w:rPr>
        <w:t>Public Service Act 1999</w:t>
      </w:r>
      <w:r w:rsidR="00F55D04">
        <w:t>)</w:t>
      </w:r>
      <w:r w:rsidRPr="0040373E">
        <w:rPr>
          <w:i/>
        </w:rPr>
        <w:t>.</w:t>
      </w:r>
    </w:p>
    <w:p w:rsidR="0076229C" w:rsidRDefault="00E538DD" w:rsidP="007943A8">
      <w:pPr>
        <w:pStyle w:val="ItemHead"/>
      </w:pPr>
      <w:proofErr w:type="gramStart"/>
      <w:r>
        <w:t>9</w:t>
      </w:r>
      <w:r w:rsidR="007943A8">
        <w:t xml:space="preserve">  </w:t>
      </w:r>
      <w:r w:rsidR="0076229C">
        <w:t>Clause</w:t>
      </w:r>
      <w:proofErr w:type="gramEnd"/>
      <w:r w:rsidR="0076229C">
        <w:t xml:space="preserve"> 21</w:t>
      </w:r>
    </w:p>
    <w:p w:rsidR="0076229C" w:rsidRPr="0076229C" w:rsidRDefault="0076229C" w:rsidP="00005CFD">
      <w:pPr>
        <w:pStyle w:val="Item"/>
      </w:pPr>
      <w:r w:rsidRPr="0076229C">
        <w:t>Repeal the clause, substitute:</w:t>
      </w:r>
    </w:p>
    <w:p w:rsidR="0076229C" w:rsidRDefault="0076229C" w:rsidP="0076229C">
      <w:pPr>
        <w:pStyle w:val="ActHead5"/>
      </w:pPr>
      <w:proofErr w:type="gramStart"/>
      <w:r>
        <w:t>21  Additional</w:t>
      </w:r>
      <w:proofErr w:type="gramEnd"/>
      <w:r>
        <w:t xml:space="preserve"> requirements for SES engagement or promotion decisions</w:t>
      </w:r>
    </w:p>
    <w:p w:rsidR="0076229C" w:rsidRDefault="0076229C" w:rsidP="00184AB3">
      <w:pPr>
        <w:pStyle w:val="subsection"/>
      </w:pPr>
      <w:r>
        <w:tab/>
      </w:r>
      <w:r>
        <w:tab/>
        <w:t>A selection process for an SES vacancy meets the requirements of this Subdivision if, in addition</w:t>
      </w:r>
      <w:r w:rsidR="00E76275">
        <w:t xml:space="preserve"> to the requirements of clauses </w:t>
      </w:r>
      <w:r>
        <w:t>19 and 20, the following apply</w:t>
      </w:r>
      <w:r w:rsidRPr="0040373E">
        <w:t>:</w:t>
      </w:r>
    </w:p>
    <w:p w:rsidR="0076229C" w:rsidRPr="0040373E" w:rsidRDefault="0076229C" w:rsidP="00184AB3">
      <w:pPr>
        <w:pStyle w:val="paragraph"/>
      </w:pPr>
      <w:r w:rsidRPr="0040373E">
        <w:tab/>
        <w:t>(</w:t>
      </w:r>
      <w:r>
        <w:t>a</w:t>
      </w:r>
      <w:r w:rsidRPr="0040373E">
        <w:t>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</w:t>
      </w:r>
      <w:r>
        <w:t>Commissioner, or a representative of the Commissioner, was a full participant in the selection process;</w:t>
      </w:r>
    </w:p>
    <w:p w:rsidR="0076229C" w:rsidRPr="0040373E" w:rsidRDefault="0076229C" w:rsidP="00184AB3">
      <w:pPr>
        <w:pStyle w:val="paragraph"/>
      </w:pPr>
      <w:r w:rsidRPr="0040373E">
        <w:tab/>
        <w:t>(</w:t>
      </w:r>
      <w:r>
        <w:t>b</w:t>
      </w:r>
      <w:r w:rsidRPr="0040373E">
        <w:t>)</w:t>
      </w:r>
      <w:r w:rsidRPr="0040373E">
        <w:tab/>
      </w:r>
      <w:proofErr w:type="gramStart"/>
      <w:r w:rsidR="00C91DB8">
        <w:t>if</w:t>
      </w:r>
      <w:proofErr w:type="gramEnd"/>
      <w:r w:rsidR="00C91DB8">
        <w:t xml:space="preserve"> a representative </w:t>
      </w:r>
      <w:r w:rsidRPr="0076229C">
        <w:t xml:space="preserve">of the Commissioner participated in the selection process—the representative certified that the selection process complied with the Act and this </w:t>
      </w:r>
      <w:r>
        <w:t>Determination.</w:t>
      </w:r>
    </w:p>
    <w:p w:rsidR="007943A8" w:rsidRDefault="00E538DD" w:rsidP="007943A8">
      <w:pPr>
        <w:pStyle w:val="ItemHead"/>
      </w:pPr>
      <w:proofErr w:type="gramStart"/>
      <w:r>
        <w:t>10</w:t>
      </w:r>
      <w:r w:rsidR="0076229C">
        <w:t xml:space="preserve">  </w:t>
      </w:r>
      <w:r w:rsidR="005261AC">
        <w:t>Clause</w:t>
      </w:r>
      <w:proofErr w:type="gramEnd"/>
      <w:r w:rsidR="005261AC">
        <w:t xml:space="preserve"> 23</w:t>
      </w:r>
    </w:p>
    <w:p w:rsidR="006129FE" w:rsidRDefault="005261AC" w:rsidP="006129FE">
      <w:pPr>
        <w:pStyle w:val="Item"/>
      </w:pPr>
      <w:r>
        <w:t>Repeal the clause, substitute:</w:t>
      </w:r>
    </w:p>
    <w:p w:rsidR="00F55D04" w:rsidRPr="00F55D04" w:rsidRDefault="00F55D04" w:rsidP="00F55D04">
      <w:pPr>
        <w:pStyle w:val="Item"/>
        <w:spacing w:before="240"/>
        <w:ind w:hanging="709"/>
      </w:pPr>
      <w:proofErr w:type="gramStart"/>
      <w:r>
        <w:rPr>
          <w:b/>
          <w:sz w:val="24"/>
          <w:szCs w:val="24"/>
        </w:rPr>
        <w:t>23  Engagement</w:t>
      </w:r>
      <w:proofErr w:type="gramEnd"/>
      <w:r>
        <w:rPr>
          <w:b/>
          <w:sz w:val="24"/>
          <w:szCs w:val="24"/>
        </w:rPr>
        <w:t xml:space="preserve"> on a </w:t>
      </w:r>
      <w:bookmarkStart w:id="13" w:name="_Toc466539191"/>
      <w:r w:rsidRPr="00F55D04">
        <w:rPr>
          <w:b/>
          <w:sz w:val="24"/>
          <w:szCs w:val="24"/>
        </w:rPr>
        <w:t>short</w:t>
      </w:r>
      <w:r w:rsidRPr="00F55D04">
        <w:rPr>
          <w:b/>
          <w:sz w:val="24"/>
          <w:szCs w:val="24"/>
        </w:rPr>
        <w:noBreakHyphen/>
        <w:t>term</w:t>
      </w:r>
      <w:bookmarkEnd w:id="13"/>
      <w:r>
        <w:rPr>
          <w:b/>
          <w:sz w:val="24"/>
          <w:szCs w:val="24"/>
        </w:rPr>
        <w:t>, irregular or intermittent basis</w:t>
      </w:r>
    </w:p>
    <w:p w:rsidR="006129FE" w:rsidRPr="0040373E" w:rsidRDefault="00D06312" w:rsidP="00D06312">
      <w:pPr>
        <w:pStyle w:val="subsection"/>
      </w:pPr>
      <w:r>
        <w:tab/>
      </w:r>
      <w:r w:rsidR="006129FE" w:rsidRPr="0040373E">
        <w:t>(1)</w:t>
      </w:r>
      <w:r w:rsidR="006129FE" w:rsidRPr="0040373E">
        <w:tab/>
      </w:r>
      <w:r w:rsidR="002167B6">
        <w:t>A Secretary</w:t>
      </w:r>
      <w:r w:rsidR="006129FE" w:rsidRPr="0040373E">
        <w:t xml:space="preserve"> may engage a person to perform duties as a non</w:t>
      </w:r>
      <w:r w:rsidR="006129FE">
        <w:noBreakHyphen/>
      </w:r>
      <w:r w:rsidR="002167B6">
        <w:t>ongoing</w:t>
      </w:r>
      <w:r w:rsidR="006129FE" w:rsidRPr="0040373E">
        <w:t xml:space="preserve"> </w:t>
      </w:r>
      <w:r w:rsidR="00026199">
        <w:t xml:space="preserve">Parliamentary Service </w:t>
      </w:r>
      <w:r w:rsidR="006129FE" w:rsidRPr="0040373E">
        <w:t>employee if:</w:t>
      </w:r>
    </w:p>
    <w:p w:rsidR="006129FE" w:rsidRPr="0040373E" w:rsidRDefault="006129FE" w:rsidP="006129FE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engagement is for a specified term or the duration of a specified task and the period of employment is 18 months or less; or</w:t>
      </w:r>
    </w:p>
    <w:p w:rsidR="006129FE" w:rsidRPr="0040373E" w:rsidRDefault="006129FE" w:rsidP="006129FE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engagement is for duties that are irregular or intermittent.</w:t>
      </w:r>
    </w:p>
    <w:p w:rsidR="006129FE" w:rsidRPr="0040373E" w:rsidRDefault="002167B6" w:rsidP="006129FE">
      <w:pPr>
        <w:pStyle w:val="subsection"/>
      </w:pPr>
      <w:r>
        <w:tab/>
        <w:t>(2)</w:t>
      </w:r>
      <w:r>
        <w:tab/>
        <w:t>A Secretary</w:t>
      </w:r>
      <w:r w:rsidR="006129FE" w:rsidRPr="0040373E">
        <w:t xml:space="preserve"> may extend or further extend an engagement mentioned in paragraph (1</w:t>
      </w:r>
      <w:proofErr w:type="gramStart"/>
      <w:r w:rsidR="006129FE" w:rsidRPr="0040373E">
        <w:t>)(</w:t>
      </w:r>
      <w:proofErr w:type="gramEnd"/>
      <w:r w:rsidR="006129FE" w:rsidRPr="0040373E">
        <w:t>a) if:</w:t>
      </w:r>
    </w:p>
    <w:p w:rsidR="006129FE" w:rsidRPr="0040373E" w:rsidRDefault="006129FE" w:rsidP="006129FE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there</w:t>
      </w:r>
      <w:proofErr w:type="gramEnd"/>
      <w:r w:rsidRPr="0040373E">
        <w:t xml:space="preserve"> is a continuing need for the duties to be performed; and</w:t>
      </w:r>
    </w:p>
    <w:p w:rsidR="006129FE" w:rsidRPr="0040373E" w:rsidRDefault="006129FE" w:rsidP="006129FE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person engaged is performing the duties satisfactorily or better; and</w:t>
      </w:r>
    </w:p>
    <w:p w:rsidR="006129FE" w:rsidRPr="0040373E" w:rsidRDefault="002167B6" w:rsidP="006129FE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Secretary</w:t>
      </w:r>
      <w:r w:rsidR="006129FE" w:rsidRPr="0040373E">
        <w:t xml:space="preserve"> is satisfied that:</w:t>
      </w:r>
    </w:p>
    <w:p w:rsidR="006129FE" w:rsidRPr="0040373E" w:rsidRDefault="006129FE" w:rsidP="006129FE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is still appropriate for the duties to be performed on a non</w:t>
      </w:r>
      <w:r>
        <w:noBreakHyphen/>
      </w:r>
      <w:r w:rsidRPr="0040373E">
        <w:t>ongoing basis; and</w:t>
      </w:r>
    </w:p>
    <w:p w:rsidR="006129FE" w:rsidRPr="0040373E" w:rsidRDefault="006129FE" w:rsidP="006129FE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extension, or further extension, will contribute to efficient and effective organisational performance.</w:t>
      </w:r>
    </w:p>
    <w:p w:rsidR="006129FE" w:rsidRPr="0040373E" w:rsidRDefault="006129FE" w:rsidP="006129FE">
      <w:pPr>
        <w:pStyle w:val="subsection2"/>
      </w:pPr>
      <w:r w:rsidRPr="0040373E">
        <w:t>However, the total period of engagement (including any extension), must not exceed 3 years.</w:t>
      </w:r>
    </w:p>
    <w:p w:rsidR="006129FE" w:rsidRPr="0040373E" w:rsidRDefault="006129FE" w:rsidP="006129FE">
      <w:pPr>
        <w:pStyle w:val="subsection"/>
      </w:pPr>
      <w:r w:rsidRPr="0040373E">
        <w:tab/>
        <w:t>(3)</w:t>
      </w:r>
      <w:r w:rsidRPr="0040373E">
        <w:tab/>
        <w:t>The</w:t>
      </w:r>
      <w:r w:rsidR="002167B6">
        <w:t xml:space="preserve"> Secretary</w:t>
      </w:r>
      <w:r w:rsidRPr="0040373E">
        <w:t xml:space="preserve"> must ensure as far as practicable that such a vacancy is brought to the notice of the community in a way that gives eligible members of the community a reasonable opportunity to apply for it.</w:t>
      </w:r>
    </w:p>
    <w:p w:rsidR="006129FE" w:rsidRPr="0040373E" w:rsidRDefault="006129FE" w:rsidP="006129FE">
      <w:pPr>
        <w:pStyle w:val="notetext"/>
      </w:pPr>
      <w:r w:rsidRPr="0040373E">
        <w:t>Example:</w:t>
      </w:r>
      <w:r w:rsidRPr="0040373E">
        <w:tab/>
        <w:t>A vacancy may be brought to the notice of the community by being advertised or access being provided to non</w:t>
      </w:r>
      <w:r>
        <w:noBreakHyphen/>
      </w:r>
      <w:r w:rsidR="002167B6">
        <w:t xml:space="preserve">ongoing </w:t>
      </w:r>
      <w:r w:rsidRPr="0040373E">
        <w:t>employment registers.</w:t>
      </w:r>
    </w:p>
    <w:p w:rsidR="006129FE" w:rsidRPr="0040373E" w:rsidRDefault="006129FE" w:rsidP="006129FE">
      <w:pPr>
        <w:pStyle w:val="subsection"/>
      </w:pPr>
      <w:r w:rsidRPr="0040373E">
        <w:tab/>
        <w:t>(4)</w:t>
      </w:r>
      <w:r w:rsidRPr="0040373E">
        <w:tab/>
        <w:t xml:space="preserve">As a minimum requirement, the </w:t>
      </w:r>
      <w:r w:rsidR="002167B6">
        <w:t>Secretary</w:t>
      </w:r>
      <w:r w:rsidRPr="0040373E">
        <w:t xml:space="preserve"> must be satisfied that the person to be engaged has the work</w:t>
      </w:r>
      <w:r>
        <w:noBreakHyphen/>
      </w:r>
      <w:r w:rsidRPr="0040373E">
        <w:t>related qualities genuinely required to perform the relevant duties.</w:t>
      </w:r>
    </w:p>
    <w:p w:rsidR="002167B6" w:rsidRDefault="006129FE" w:rsidP="002167B6">
      <w:pPr>
        <w:pStyle w:val="notetext"/>
      </w:pPr>
      <w:r w:rsidRPr="0040373E">
        <w:lastRenderedPageBreak/>
        <w:t>Note:</w:t>
      </w:r>
      <w:r w:rsidRPr="0040373E">
        <w:tab/>
      </w:r>
      <w:r w:rsidR="00E76275">
        <w:t>Clauses </w:t>
      </w:r>
      <w:r w:rsidR="002167B6">
        <w:t xml:space="preserve">15 and 16 provide for matters regarding the engagement of non-ongoing </w:t>
      </w:r>
      <w:r w:rsidR="00F55D04">
        <w:t xml:space="preserve">Parliamentary Service </w:t>
      </w:r>
      <w:r w:rsidR="002167B6">
        <w:t>employees</w:t>
      </w:r>
      <w:r w:rsidRPr="0040373E">
        <w:t>.</w:t>
      </w:r>
    </w:p>
    <w:p w:rsidR="002167B6" w:rsidRDefault="00972D23" w:rsidP="002167B6">
      <w:pPr>
        <w:pStyle w:val="ItemHead"/>
      </w:pPr>
      <w:proofErr w:type="gramStart"/>
      <w:r>
        <w:t>1</w:t>
      </w:r>
      <w:r w:rsidR="00E538DD">
        <w:t>1</w:t>
      </w:r>
      <w:r>
        <w:t xml:space="preserve">  </w:t>
      </w:r>
      <w:r w:rsidR="002167B6">
        <w:t>Clause</w:t>
      </w:r>
      <w:proofErr w:type="gramEnd"/>
      <w:r w:rsidR="002167B6">
        <w:t xml:space="preserve"> 24</w:t>
      </w:r>
    </w:p>
    <w:p w:rsidR="005A7160" w:rsidRDefault="005A7160" w:rsidP="005A7160">
      <w:pPr>
        <w:pStyle w:val="Item"/>
      </w:pPr>
      <w:r>
        <w:t>Repeal the clause, substitute:</w:t>
      </w:r>
    </w:p>
    <w:p w:rsidR="005A7160" w:rsidRPr="0040373E" w:rsidRDefault="00F55D04" w:rsidP="00810F7D">
      <w:pPr>
        <w:pStyle w:val="ActHead5"/>
      </w:pPr>
      <w:bookmarkStart w:id="14" w:name="_Toc461440423"/>
      <w:proofErr w:type="gramStart"/>
      <w:r>
        <w:t xml:space="preserve">24  </w:t>
      </w:r>
      <w:r w:rsidR="005A7160" w:rsidRPr="0040373E">
        <w:t>Engagement</w:t>
      </w:r>
      <w:proofErr w:type="gramEnd"/>
      <w:r w:rsidR="005A7160" w:rsidRPr="0040373E">
        <w:t xml:space="preserve"> of non</w:t>
      </w:r>
      <w:r w:rsidR="005A7160">
        <w:noBreakHyphen/>
      </w:r>
      <w:r w:rsidR="00CF783E">
        <w:t>ongoing Parliamentary Service</w:t>
      </w:r>
      <w:r w:rsidR="004B6335">
        <w:t xml:space="preserve"> employee as ongoing</w:t>
      </w:r>
      <w:r w:rsidR="001562C6">
        <w:t xml:space="preserve"> </w:t>
      </w:r>
      <w:r w:rsidR="005A7160" w:rsidRPr="0040373E">
        <w:t>employee in exceptional circumstances</w:t>
      </w:r>
      <w:bookmarkEnd w:id="14"/>
    </w:p>
    <w:p w:rsidR="005A7160" w:rsidRPr="0040373E" w:rsidRDefault="005A7160" w:rsidP="005A7160">
      <w:pPr>
        <w:pStyle w:val="subsection"/>
      </w:pPr>
      <w:r w:rsidRPr="0040373E">
        <w:tab/>
        <w:t>(1)</w:t>
      </w:r>
      <w:r w:rsidRPr="0040373E">
        <w:tab/>
        <w:t xml:space="preserve">The Commissioner may authorise </w:t>
      </w:r>
      <w:r>
        <w:t>the engagement by a Secretary</w:t>
      </w:r>
      <w:r w:rsidRPr="0040373E">
        <w:t xml:space="preserve"> of a non</w:t>
      </w:r>
      <w:r>
        <w:noBreakHyphen/>
      </w:r>
      <w:r w:rsidRPr="0040373E">
        <w:t>ongoing</w:t>
      </w:r>
      <w:r>
        <w:t xml:space="preserve"> Parliamentary Service</w:t>
      </w:r>
      <w:r w:rsidRPr="0040373E">
        <w:t xml:space="preserve"> employee as an ongoing </w:t>
      </w:r>
      <w:r>
        <w:t>Parliamentary Service</w:t>
      </w:r>
      <w:r w:rsidRPr="0040373E">
        <w:t xml:space="preserve"> employee if:</w:t>
      </w:r>
    </w:p>
    <w:p w:rsidR="005A7160" w:rsidRPr="0040373E" w:rsidRDefault="005A7160" w:rsidP="005A7160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Secretary</w:t>
      </w:r>
      <w:r w:rsidRPr="0040373E">
        <w:t xml:space="preserve"> requests, in writing, such an authorisation in respect of the non</w:t>
      </w:r>
      <w:r>
        <w:noBreakHyphen/>
        <w:t>ongoing Parliamentary Service</w:t>
      </w:r>
      <w:r w:rsidRPr="0040373E">
        <w:t xml:space="preserve"> employee; and</w:t>
      </w:r>
    </w:p>
    <w:p w:rsidR="005A7160" w:rsidRPr="0040373E" w:rsidRDefault="005A7160" w:rsidP="005A7160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Commissioner is satisfied that exceptional circumstances justify such an engagement.</w:t>
      </w:r>
    </w:p>
    <w:p w:rsidR="005A7160" w:rsidRPr="0040373E" w:rsidRDefault="005A7160" w:rsidP="005A7160">
      <w:pPr>
        <w:pStyle w:val="subsection"/>
      </w:pPr>
      <w:r w:rsidRPr="0040373E">
        <w:tab/>
        <w:t>(2</w:t>
      </w:r>
      <w:r>
        <w:t>)</w:t>
      </w:r>
      <w:r>
        <w:tab/>
        <w:t>A Secretary</w:t>
      </w:r>
      <w:r w:rsidRPr="0040373E">
        <w:t xml:space="preserve"> may only make a request in respect of a non</w:t>
      </w:r>
      <w:r>
        <w:noBreakHyphen/>
        <w:t>ongoing Parliamentary Service</w:t>
      </w:r>
      <w:r w:rsidRPr="0040373E">
        <w:t xml:space="preserve"> employee</w:t>
      </w:r>
      <w:r>
        <w:t xml:space="preserve"> if the Secretary</w:t>
      </w:r>
      <w:r w:rsidRPr="0040373E">
        <w:t xml:space="preserve"> is satisfied that:</w:t>
      </w:r>
    </w:p>
    <w:p w:rsidR="005A7160" w:rsidRPr="0040373E" w:rsidRDefault="005A7160" w:rsidP="005A7160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duties of the relevant employment are more appropriat</w:t>
      </w:r>
      <w:r>
        <w:t>ely undertaken by an ongoing Parliamentary Service</w:t>
      </w:r>
      <w:r w:rsidRPr="0040373E">
        <w:t xml:space="preserve"> employee; and</w:t>
      </w:r>
    </w:p>
    <w:p w:rsidR="005A7160" w:rsidRPr="0040373E" w:rsidRDefault="005A7160" w:rsidP="005A7160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person to be en</w:t>
      </w:r>
      <w:r>
        <w:t>gaged as an ongoing Parliamentary Service</w:t>
      </w:r>
      <w:r w:rsidRPr="0040373E">
        <w:t xml:space="preserve"> employee has the work</w:t>
      </w:r>
      <w:r>
        <w:noBreakHyphen/>
      </w:r>
      <w:r w:rsidRPr="0040373E">
        <w:t>related qualities genuinely required to perform the relevant duties; and</w:t>
      </w:r>
    </w:p>
    <w:p w:rsidR="005A7160" w:rsidRPr="0040373E" w:rsidRDefault="005A7160" w:rsidP="005A7160">
      <w:pPr>
        <w:pStyle w:val="paragraph"/>
      </w:pPr>
      <w:r w:rsidRPr="0040373E">
        <w:tab/>
        <w:t>(c)</w:t>
      </w:r>
      <w:r w:rsidRPr="0040373E">
        <w:tab/>
      </w:r>
      <w:proofErr w:type="gramStart"/>
      <w:r>
        <w:t>the</w:t>
      </w:r>
      <w:proofErr w:type="gramEnd"/>
      <w:r>
        <w:t xml:space="preserve"> engagement as an ongoing Parliamentary Service</w:t>
      </w:r>
      <w:r w:rsidRPr="0040373E">
        <w:t xml:space="preserve"> employee is at the person’s classification (or equivalent) as a non</w:t>
      </w:r>
      <w:r>
        <w:noBreakHyphen/>
        <w:t>ongoing Parliamentary Service</w:t>
      </w:r>
      <w:r w:rsidRPr="0040373E">
        <w:t xml:space="preserve"> employee; and</w:t>
      </w:r>
    </w:p>
    <w:p w:rsidR="005A7160" w:rsidRPr="0040373E" w:rsidRDefault="005A7160" w:rsidP="005A7160">
      <w:pPr>
        <w:pStyle w:val="paragraph"/>
      </w:pPr>
      <w:r w:rsidRPr="0040373E">
        <w:tab/>
        <w:t xml:space="preserve">(d) </w:t>
      </w:r>
      <w:r w:rsidRPr="0040373E">
        <w:tab/>
        <w:t>the original engagement of the person as a non</w:t>
      </w:r>
      <w:r>
        <w:noBreakHyphen/>
        <w:t>ongoing Parliamentary Service</w:t>
      </w:r>
      <w:r w:rsidRPr="0040373E">
        <w:t xml:space="preserve"> employee, or an extension of the engagement of the person as a non</w:t>
      </w:r>
      <w:r>
        <w:noBreakHyphen/>
        <w:t>ongoing Parliamentary Service</w:t>
      </w:r>
      <w:r w:rsidRPr="0040373E">
        <w:t xml:space="preserve"> employee, complied with the requirements of </w:t>
      </w:r>
      <w:r>
        <w:t>Subdivision 1</w:t>
      </w:r>
      <w:r w:rsidRPr="0040373E">
        <w:t>; and</w:t>
      </w:r>
    </w:p>
    <w:p w:rsidR="006129FE" w:rsidRPr="006129FE" w:rsidRDefault="005A7160" w:rsidP="004B6335">
      <w:pPr>
        <w:pStyle w:val="paragraph"/>
      </w:pPr>
      <w:r w:rsidRPr="0040373E">
        <w:tab/>
        <w:t>(e)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engage</w:t>
      </w:r>
      <w:r>
        <w:t>ment is necessary for the Department</w:t>
      </w:r>
      <w:r w:rsidRPr="0040373E">
        <w:t>’s operations.</w:t>
      </w:r>
    </w:p>
    <w:p w:rsidR="00A52644" w:rsidRDefault="00972D23" w:rsidP="007943A8">
      <w:pPr>
        <w:pStyle w:val="ItemHead"/>
      </w:pPr>
      <w:proofErr w:type="gramStart"/>
      <w:r>
        <w:t>1</w:t>
      </w:r>
      <w:r w:rsidR="00E538DD">
        <w:t>2</w:t>
      </w:r>
      <w:r>
        <w:t xml:space="preserve">  </w:t>
      </w:r>
      <w:r w:rsidR="00A52644">
        <w:t>Clause</w:t>
      </w:r>
      <w:proofErr w:type="gramEnd"/>
      <w:r w:rsidR="00A52644">
        <w:t xml:space="preserve"> 25</w:t>
      </w:r>
    </w:p>
    <w:p w:rsidR="00A52644" w:rsidRDefault="00972D23" w:rsidP="00A52644">
      <w:pPr>
        <w:pStyle w:val="Item"/>
        <w:ind w:firstLine="11"/>
      </w:pPr>
      <w:r>
        <w:t>Repeal the clause, substitute:</w:t>
      </w:r>
    </w:p>
    <w:p w:rsidR="00972D23" w:rsidRDefault="00972D23" w:rsidP="00972D23">
      <w:pPr>
        <w:pStyle w:val="ActHead5"/>
      </w:pPr>
      <w:proofErr w:type="gramStart"/>
      <w:r>
        <w:t>25  Engagement</w:t>
      </w:r>
      <w:bookmarkStart w:id="15" w:name="_Toc461440422"/>
      <w:proofErr w:type="gramEnd"/>
      <w:r w:rsidRPr="00972D23">
        <w:t xml:space="preserve"> of ongoing </w:t>
      </w:r>
      <w:r w:rsidR="00026199">
        <w:t>Parliamentary Service</w:t>
      </w:r>
      <w:r w:rsidRPr="00972D23">
        <w:t xml:space="preserve"> employee as non</w:t>
      </w:r>
      <w:r w:rsidRPr="00972D23">
        <w:noBreakHyphen/>
        <w:t xml:space="preserve">ongoing </w:t>
      </w:r>
      <w:r w:rsidR="00026199">
        <w:t>Parliamentary Service</w:t>
      </w:r>
      <w:r w:rsidRPr="00972D23">
        <w:t xml:space="preserve"> employee</w:t>
      </w:r>
      <w:bookmarkEnd w:id="15"/>
    </w:p>
    <w:p w:rsidR="00972D23" w:rsidRDefault="00972D23" w:rsidP="00D06312">
      <w:pPr>
        <w:pStyle w:val="subsection"/>
      </w:pPr>
      <w:r>
        <w:tab/>
      </w:r>
      <w:r>
        <w:tab/>
        <w:t>A Secretary</w:t>
      </w:r>
      <w:r w:rsidRPr="0040373E">
        <w:t xml:space="preserve"> may engage a person </w:t>
      </w:r>
      <w:r>
        <w:t xml:space="preserve">who is an ongoing Parliamentary Service employee as </w:t>
      </w:r>
      <w:r w:rsidRPr="0040373E">
        <w:t>a non</w:t>
      </w:r>
      <w:r>
        <w:noBreakHyphen/>
        <w:t>ongoing Parliamentary Service</w:t>
      </w:r>
      <w:r w:rsidRPr="0040373E">
        <w:t xml:space="preserve"> employee if:</w:t>
      </w:r>
    </w:p>
    <w:p w:rsidR="00972D23" w:rsidRDefault="00972D23" w:rsidP="00D06312">
      <w:pPr>
        <w:pStyle w:val="paragraph"/>
      </w:pPr>
      <w:r w:rsidRPr="0040373E">
        <w:tab/>
        <w:t>(</w:t>
      </w:r>
      <w:r>
        <w:t>a</w:t>
      </w:r>
      <w:r w:rsidRPr="0040373E">
        <w:t>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person is </w:t>
      </w:r>
      <w:r>
        <w:t>to be engaged for a specified term or specified task</w:t>
      </w:r>
      <w:r w:rsidR="0053614A">
        <w:t>;</w:t>
      </w:r>
      <w:r>
        <w:t xml:space="preserve"> and</w:t>
      </w:r>
    </w:p>
    <w:p w:rsidR="00972D23" w:rsidRDefault="00972D23" w:rsidP="00D06312">
      <w:pPr>
        <w:pStyle w:val="paragraph"/>
      </w:pPr>
      <w:r w:rsidRPr="0040373E">
        <w:tab/>
        <w:t>(</w:t>
      </w:r>
      <w:r>
        <w:t>b</w:t>
      </w:r>
      <w:r w:rsidRPr="0040373E">
        <w:t>)</w:t>
      </w:r>
      <w:r w:rsidRPr="0040373E">
        <w:tab/>
      </w:r>
      <w:proofErr w:type="gramStart"/>
      <w:r>
        <w:t>the</w:t>
      </w:r>
      <w:proofErr w:type="gramEnd"/>
      <w:r>
        <w:t xml:space="preserve"> person resigns as an ongoing Parliamentary Service employee to start the engagement; and</w:t>
      </w:r>
    </w:p>
    <w:p w:rsidR="00A52644" w:rsidRDefault="00972D23" w:rsidP="00D06312">
      <w:pPr>
        <w:pStyle w:val="paragraph"/>
      </w:pPr>
      <w:r>
        <w:tab/>
      </w:r>
      <w:r w:rsidRPr="0040373E">
        <w:t>(</w:t>
      </w:r>
      <w:r>
        <w:t>c</w:t>
      </w:r>
      <w:r w:rsidRPr="0040373E">
        <w:t>)</w:t>
      </w:r>
      <w:r w:rsidRPr="0040373E">
        <w:tab/>
      </w:r>
      <w:proofErr w:type="gramStart"/>
      <w:r>
        <w:t>the</w:t>
      </w:r>
      <w:proofErr w:type="gramEnd"/>
      <w:r>
        <w:t xml:space="preserve"> </w:t>
      </w:r>
      <w:r w:rsidRPr="00972D23">
        <w:t>engagement is at the same classification as the person’s current classification or at a lower classification</w:t>
      </w:r>
      <w:r>
        <w:t>.</w:t>
      </w:r>
    </w:p>
    <w:p w:rsidR="00972D23" w:rsidRDefault="00972D23" w:rsidP="00D06312">
      <w:pPr>
        <w:pStyle w:val="notetext"/>
      </w:pPr>
      <w:r w:rsidRPr="0040373E">
        <w:t>Note:</w:t>
      </w:r>
      <w:r w:rsidRPr="0040373E">
        <w:tab/>
      </w:r>
      <w:r w:rsidR="00E76275">
        <w:t>Clauses </w:t>
      </w:r>
      <w:r>
        <w:t>15 and 16 provide for matters regarding the engagement of non-ongoing Parliamentary Service employees</w:t>
      </w:r>
      <w:r w:rsidRPr="0040373E">
        <w:t>.</w:t>
      </w:r>
    </w:p>
    <w:p w:rsidR="007943A8" w:rsidRDefault="00C907FF" w:rsidP="007943A8">
      <w:pPr>
        <w:pStyle w:val="ItemHead"/>
      </w:pPr>
      <w:proofErr w:type="gramStart"/>
      <w:r>
        <w:lastRenderedPageBreak/>
        <w:t>1</w:t>
      </w:r>
      <w:r w:rsidR="00E538DD">
        <w:t>3</w:t>
      </w:r>
      <w:r>
        <w:t xml:space="preserve">  </w:t>
      </w:r>
      <w:r w:rsidR="004B6335">
        <w:t>Clause</w:t>
      </w:r>
      <w:proofErr w:type="gramEnd"/>
      <w:r w:rsidR="004B6335">
        <w:t xml:space="preserve"> 26</w:t>
      </w:r>
    </w:p>
    <w:p w:rsidR="004B6335" w:rsidRDefault="004B6335" w:rsidP="004B6335">
      <w:pPr>
        <w:pStyle w:val="Item"/>
      </w:pPr>
      <w:r>
        <w:t>Repeal the clause, substitute:</w:t>
      </w:r>
    </w:p>
    <w:p w:rsidR="004B6335" w:rsidRPr="0040373E" w:rsidRDefault="00F55D04" w:rsidP="004B6335">
      <w:pPr>
        <w:pStyle w:val="ActHead5"/>
      </w:pPr>
      <w:bookmarkStart w:id="16" w:name="_Toc461440424"/>
      <w:proofErr w:type="gramStart"/>
      <w:r>
        <w:t xml:space="preserve">26  </w:t>
      </w:r>
      <w:r w:rsidR="004B6335" w:rsidRPr="0040373E">
        <w:t>Affirmative</w:t>
      </w:r>
      <w:proofErr w:type="gramEnd"/>
      <w:r w:rsidR="004B6335" w:rsidRPr="0040373E">
        <w:t xml:space="preserve"> measure—Indigenous employment</w:t>
      </w:r>
      <w:bookmarkEnd w:id="16"/>
    </w:p>
    <w:p w:rsidR="004B6335" w:rsidRPr="0040373E" w:rsidRDefault="004B6335" w:rsidP="004B6335">
      <w:pPr>
        <w:pStyle w:val="subsection"/>
      </w:pPr>
      <w:r w:rsidRPr="0040373E">
        <w:tab/>
        <w:t>(1)</w:t>
      </w:r>
      <w:r w:rsidRPr="0040373E">
        <w:tab/>
        <w:t>A</w:t>
      </w:r>
      <w:r w:rsidR="001562C6">
        <w:t xml:space="preserve"> Secretary</w:t>
      </w:r>
      <w:r w:rsidRPr="0040373E">
        <w:t xml:space="preserve"> may, consistently with Commonwealth law, identify a vacancy as open only to Aboriginal and/or Torres Strait Islander persons.</w:t>
      </w:r>
    </w:p>
    <w:p w:rsidR="004B6335" w:rsidRPr="0040373E" w:rsidRDefault="004B6335" w:rsidP="004B6335">
      <w:pPr>
        <w:pStyle w:val="subsection"/>
      </w:pPr>
      <w:r w:rsidRPr="0040373E">
        <w:tab/>
        <w:t>(2</w:t>
      </w:r>
      <w:r w:rsidR="001562C6">
        <w:t>)</w:t>
      </w:r>
      <w:r w:rsidR="001562C6">
        <w:tab/>
        <w:t>The Secretary</w:t>
      </w:r>
      <w:r w:rsidRPr="0040373E">
        <w:t xml:space="preserve"> must ensure that for such a vacancy:</w:t>
      </w:r>
    </w:p>
    <w:p w:rsidR="004B6335" w:rsidRPr="0040373E" w:rsidRDefault="004B6335" w:rsidP="004B6335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eligible</w:t>
      </w:r>
      <w:proofErr w:type="gramEnd"/>
      <w:r w:rsidRPr="0040373E">
        <w:t xml:space="preserve"> applicants are only persons:</w:t>
      </w:r>
    </w:p>
    <w:p w:rsidR="004B6335" w:rsidRPr="0040373E" w:rsidRDefault="004B6335" w:rsidP="004B6335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of</w:t>
      </w:r>
      <w:proofErr w:type="gramEnd"/>
      <w:r w:rsidRPr="0040373E">
        <w:t xml:space="preserve"> Aboriginal and/or Torres Strait Islander descent; and</w:t>
      </w:r>
    </w:p>
    <w:p w:rsidR="004B6335" w:rsidRPr="0040373E" w:rsidRDefault="004B6335" w:rsidP="004B6335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Pr="0040373E">
        <w:t>who</w:t>
      </w:r>
      <w:proofErr w:type="gramEnd"/>
      <w:r w:rsidRPr="0040373E">
        <w:t xml:space="preserve"> identify as Aboriginal and/or Torres Strait Islander; and</w:t>
      </w:r>
    </w:p>
    <w:p w:rsidR="004B6335" w:rsidRPr="0040373E" w:rsidRDefault="004B6335" w:rsidP="004B6335">
      <w:pPr>
        <w:pStyle w:val="paragraphsub"/>
      </w:pPr>
      <w:r w:rsidRPr="0040373E">
        <w:tab/>
        <w:t>(iii)</w:t>
      </w:r>
      <w:r w:rsidRPr="0040373E">
        <w:tab/>
      </w:r>
      <w:proofErr w:type="gramStart"/>
      <w:r w:rsidRPr="0040373E">
        <w:t>who</w:t>
      </w:r>
      <w:proofErr w:type="gramEnd"/>
      <w:r w:rsidRPr="0040373E">
        <w:t xml:space="preserve"> are accepted by their community as being Aboriginal and/or Torres Strait Islander; and</w:t>
      </w:r>
    </w:p>
    <w:p w:rsidR="004B6335" w:rsidRPr="0040373E" w:rsidRDefault="004B6335" w:rsidP="004B6335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either</w:t>
      </w:r>
      <w:proofErr w:type="gramEnd"/>
      <w:r w:rsidRPr="0040373E">
        <w:t>:</w:t>
      </w:r>
    </w:p>
    <w:p w:rsidR="004B6335" w:rsidRPr="0040373E" w:rsidRDefault="004B6335" w:rsidP="004B6335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selection process for the vacancy otherwise satisfies t</w:t>
      </w:r>
      <w:r w:rsidR="00E76275">
        <w:t>he requirements of Subdivision </w:t>
      </w:r>
      <w:r w:rsidR="001562C6">
        <w:t>1</w:t>
      </w:r>
      <w:r w:rsidRPr="0040373E">
        <w:t>; or</w:t>
      </w:r>
    </w:p>
    <w:p w:rsidR="004B6335" w:rsidRDefault="004B6335" w:rsidP="004B6335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="00F55D04">
        <w:t>clause</w:t>
      </w:r>
      <w:proofErr w:type="gramEnd"/>
      <w:r w:rsidR="00F55D04" w:rsidRPr="0040373E">
        <w:t> </w:t>
      </w:r>
      <w:r w:rsidR="007E6C17">
        <w:t>23</w:t>
      </w:r>
      <w:r w:rsidRPr="0040373E">
        <w:t xml:space="preserve"> is satisfied.</w:t>
      </w:r>
    </w:p>
    <w:p w:rsidR="00F55D04" w:rsidRDefault="00F55D04" w:rsidP="00F55D04">
      <w:pPr>
        <w:pStyle w:val="notetext"/>
      </w:pPr>
      <w:r w:rsidRPr="0040373E">
        <w:t>Note:</w:t>
      </w:r>
      <w:r w:rsidRPr="0040373E">
        <w:tab/>
      </w:r>
      <w:r w:rsidR="00E76275">
        <w:t>Clauses </w:t>
      </w:r>
      <w:r>
        <w:t>15 and 16 provide for matters regarding the engagement of non-ongoing Parliamentary Service employees</w:t>
      </w:r>
      <w:r w:rsidRPr="0040373E">
        <w:t>.</w:t>
      </w:r>
    </w:p>
    <w:p w:rsidR="004B6335" w:rsidRPr="0040373E" w:rsidRDefault="004B6335" w:rsidP="004B6335">
      <w:pPr>
        <w:pStyle w:val="subsection"/>
      </w:pPr>
      <w:r w:rsidRPr="0040373E">
        <w:tab/>
        <w:t>(3)</w:t>
      </w:r>
      <w:r w:rsidRPr="0040373E">
        <w:tab/>
        <w:t xml:space="preserve">In this </w:t>
      </w:r>
      <w:r w:rsidR="00F55D04">
        <w:t>clause</w:t>
      </w:r>
      <w:r w:rsidRPr="0040373E">
        <w:t>:</w:t>
      </w:r>
    </w:p>
    <w:p w:rsidR="004B6335" w:rsidRPr="0040373E" w:rsidRDefault="004B6335" w:rsidP="004B6335">
      <w:pPr>
        <w:pStyle w:val="Definition"/>
      </w:pPr>
      <w:r w:rsidRPr="0040373E">
        <w:rPr>
          <w:b/>
          <w:i/>
        </w:rPr>
        <w:t>Aboriginal</w:t>
      </w:r>
      <w:r w:rsidRPr="0040373E">
        <w:t xml:space="preserve"> has the same meaning as in the </w:t>
      </w:r>
      <w:r w:rsidRPr="0040373E">
        <w:rPr>
          <w:i/>
        </w:rPr>
        <w:t>Racial Discrimination Act 1975</w:t>
      </w:r>
      <w:r w:rsidRPr="0040373E">
        <w:t>.</w:t>
      </w:r>
    </w:p>
    <w:p w:rsidR="004B6335" w:rsidRPr="0040373E" w:rsidRDefault="004B6335" w:rsidP="004B6335">
      <w:pPr>
        <w:pStyle w:val="Definition"/>
      </w:pPr>
      <w:r w:rsidRPr="0040373E">
        <w:rPr>
          <w:b/>
          <w:i/>
        </w:rPr>
        <w:t>Torres Strait Islander</w:t>
      </w:r>
      <w:r w:rsidRPr="0040373E">
        <w:t xml:space="preserve"> has the same meaning as in the </w:t>
      </w:r>
      <w:r w:rsidRPr="0040373E">
        <w:rPr>
          <w:i/>
        </w:rPr>
        <w:t>Racial Discrimination Act 1975</w:t>
      </w:r>
      <w:r w:rsidRPr="0040373E">
        <w:t>.</w:t>
      </w:r>
    </w:p>
    <w:p w:rsidR="004B6335" w:rsidRDefault="00C907FF" w:rsidP="004B6335">
      <w:pPr>
        <w:pStyle w:val="ItemHead"/>
      </w:pPr>
      <w:proofErr w:type="gramStart"/>
      <w:r>
        <w:t>1</w:t>
      </w:r>
      <w:r w:rsidR="00E538DD">
        <w:t>4</w:t>
      </w:r>
      <w:r>
        <w:t xml:space="preserve">  </w:t>
      </w:r>
      <w:r w:rsidR="00632CFE">
        <w:t>Clause</w:t>
      </w:r>
      <w:proofErr w:type="gramEnd"/>
      <w:r w:rsidR="00632CFE">
        <w:t xml:space="preserve"> 27</w:t>
      </w:r>
    </w:p>
    <w:p w:rsidR="00632CFE" w:rsidRDefault="00632CFE" w:rsidP="00632CFE">
      <w:pPr>
        <w:pStyle w:val="Item"/>
      </w:pPr>
      <w:r>
        <w:t>Repeal the clause, substitute:</w:t>
      </w:r>
    </w:p>
    <w:p w:rsidR="00D612E3" w:rsidRPr="0040373E" w:rsidRDefault="00F55D04" w:rsidP="00D612E3">
      <w:pPr>
        <w:pStyle w:val="ActHead5"/>
      </w:pPr>
      <w:bookmarkStart w:id="17" w:name="_Toc461440425"/>
      <w:proofErr w:type="gramStart"/>
      <w:r>
        <w:t xml:space="preserve">27  </w:t>
      </w:r>
      <w:r w:rsidR="00D612E3" w:rsidRPr="0040373E">
        <w:t>Affirmative</w:t>
      </w:r>
      <w:proofErr w:type="gramEnd"/>
      <w:r w:rsidR="00D612E3" w:rsidRPr="0040373E">
        <w:t xml:space="preserve"> measure—disability</w:t>
      </w:r>
      <w:bookmarkEnd w:id="17"/>
    </w:p>
    <w:p w:rsidR="00D612E3" w:rsidRPr="0040373E" w:rsidRDefault="00D612E3" w:rsidP="00D612E3">
      <w:pPr>
        <w:pStyle w:val="subsection"/>
      </w:pPr>
      <w:r w:rsidRPr="0040373E">
        <w:tab/>
        <w:t>(1)</w:t>
      </w:r>
      <w:r w:rsidRPr="0040373E">
        <w:tab/>
        <w:t>A</w:t>
      </w:r>
      <w:r w:rsidR="00D34E2A">
        <w:t xml:space="preserve"> Secretary</w:t>
      </w:r>
      <w:r w:rsidRPr="0040373E">
        <w:t xml:space="preserve"> may, consistently with Commonwealth law, identify a vacancy as open only to persons who have a disability or a particular type of disability.</w:t>
      </w:r>
    </w:p>
    <w:p w:rsidR="00D612E3" w:rsidRPr="0040373E" w:rsidRDefault="00D612E3" w:rsidP="00D612E3">
      <w:pPr>
        <w:pStyle w:val="subsection"/>
      </w:pPr>
      <w:r w:rsidRPr="0040373E">
        <w:tab/>
        <w:t>(2)</w:t>
      </w:r>
      <w:r w:rsidRPr="0040373E">
        <w:tab/>
        <w:t>T</w:t>
      </w:r>
      <w:r w:rsidR="00D34E2A">
        <w:t>he Secretary</w:t>
      </w:r>
      <w:r w:rsidRPr="0040373E">
        <w:t xml:space="preserve"> must ensure that for such a vacancy:</w:t>
      </w:r>
    </w:p>
    <w:p w:rsidR="00D612E3" w:rsidRPr="0040373E" w:rsidRDefault="00D612E3" w:rsidP="00D612E3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eligible</w:t>
      </w:r>
      <w:proofErr w:type="gramEnd"/>
      <w:r w:rsidRPr="0040373E">
        <w:t xml:space="preserve"> applicants are only persons described in sub</w:t>
      </w:r>
      <w:r w:rsidR="00F55D04">
        <w:t>clause</w:t>
      </w:r>
      <w:r w:rsidRPr="0040373E">
        <w:t> (1); and</w:t>
      </w:r>
    </w:p>
    <w:p w:rsidR="00D612E3" w:rsidRPr="0040373E" w:rsidRDefault="00D612E3" w:rsidP="00D612E3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one</w:t>
      </w:r>
      <w:proofErr w:type="gramEnd"/>
      <w:r w:rsidRPr="0040373E">
        <w:t xml:space="preserve"> of the following applies:</w:t>
      </w:r>
    </w:p>
    <w:p w:rsidR="00D612E3" w:rsidRPr="0040373E" w:rsidRDefault="00D612E3" w:rsidP="00D612E3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selection process for the vacancy otherwise satisfies t</w:t>
      </w:r>
      <w:r w:rsidR="00E76275">
        <w:t>he requirements of Subdivision </w:t>
      </w:r>
      <w:r w:rsidR="00D34E2A">
        <w:t>1</w:t>
      </w:r>
      <w:r w:rsidRPr="0040373E">
        <w:t>;</w:t>
      </w:r>
    </w:p>
    <w:p w:rsidR="00D612E3" w:rsidRPr="0040373E" w:rsidRDefault="00D612E3" w:rsidP="00D612E3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="00F55D04">
        <w:t>clause</w:t>
      </w:r>
      <w:proofErr w:type="gramEnd"/>
      <w:r w:rsidR="00F55D04" w:rsidRPr="0040373E">
        <w:t> </w:t>
      </w:r>
      <w:r w:rsidR="0047616C">
        <w:t>23</w:t>
      </w:r>
      <w:r w:rsidRPr="0040373E">
        <w:t xml:space="preserve"> is satisfied;</w:t>
      </w:r>
    </w:p>
    <w:p w:rsidR="00AD5C7B" w:rsidRDefault="00D612E3" w:rsidP="00386D45">
      <w:pPr>
        <w:pStyle w:val="paragraphsub"/>
      </w:pPr>
      <w:r w:rsidRPr="0040373E">
        <w:tab/>
        <w:t>(iii)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disability employment service provider has assessed each applicant as being likely to be unable to compete successfully on merit in a competitive selection process.</w:t>
      </w:r>
    </w:p>
    <w:p w:rsidR="00F55D04" w:rsidRPr="00AD5C7B" w:rsidRDefault="00F55D04" w:rsidP="00810F7D">
      <w:pPr>
        <w:pStyle w:val="notetext"/>
      </w:pPr>
      <w:r w:rsidRPr="0040373E">
        <w:t>Note:</w:t>
      </w:r>
      <w:r w:rsidRPr="0040373E">
        <w:tab/>
      </w:r>
      <w:r w:rsidR="00E76275">
        <w:t>Clauses </w:t>
      </w:r>
      <w:r>
        <w:t>15 and 16 provide for matters regarding the engagement of non-ongoing Parliamentary Service employees</w:t>
      </w:r>
      <w:r w:rsidRPr="0040373E">
        <w:t>.</w:t>
      </w:r>
    </w:p>
    <w:p w:rsidR="00632CFE" w:rsidRDefault="00C907FF" w:rsidP="00632CFE">
      <w:pPr>
        <w:pStyle w:val="ItemHead"/>
      </w:pPr>
      <w:proofErr w:type="gramStart"/>
      <w:r>
        <w:t>1</w:t>
      </w:r>
      <w:r w:rsidR="00E538DD">
        <w:t>5</w:t>
      </w:r>
      <w:r>
        <w:t xml:space="preserve">  </w:t>
      </w:r>
      <w:r w:rsidR="00632CFE">
        <w:t>Clause</w:t>
      </w:r>
      <w:proofErr w:type="gramEnd"/>
      <w:r w:rsidR="00632CFE">
        <w:t xml:space="preserve"> 28</w:t>
      </w:r>
    </w:p>
    <w:p w:rsidR="00632CFE" w:rsidRDefault="00632CFE" w:rsidP="00632CFE">
      <w:pPr>
        <w:pStyle w:val="Item"/>
      </w:pPr>
      <w:r>
        <w:t>Repeal the clause.</w:t>
      </w:r>
    </w:p>
    <w:p w:rsidR="00FB6003" w:rsidRDefault="00C907FF" w:rsidP="00FB6003">
      <w:pPr>
        <w:pStyle w:val="ItemHead"/>
      </w:pPr>
      <w:proofErr w:type="gramStart"/>
      <w:r>
        <w:lastRenderedPageBreak/>
        <w:t>1</w:t>
      </w:r>
      <w:r w:rsidR="00E538DD">
        <w:t>6</w:t>
      </w:r>
      <w:r>
        <w:t xml:space="preserve">  </w:t>
      </w:r>
      <w:r w:rsidR="001955AC">
        <w:t>Clause</w:t>
      </w:r>
      <w:proofErr w:type="gramEnd"/>
      <w:r w:rsidR="00FB6003">
        <w:t xml:space="preserve"> 29</w:t>
      </w:r>
    </w:p>
    <w:p w:rsidR="00DD6884" w:rsidRDefault="00DD6884" w:rsidP="001955AC">
      <w:pPr>
        <w:pStyle w:val="Item"/>
      </w:pPr>
      <w:r>
        <w:t>Repeal the clause, substitute:</w:t>
      </w:r>
    </w:p>
    <w:p w:rsidR="00997B5A" w:rsidRDefault="00997B5A" w:rsidP="00810F7D">
      <w:pPr>
        <w:pStyle w:val="ActHead5"/>
      </w:pPr>
      <w:proofErr w:type="gramStart"/>
      <w:r>
        <w:t>29  Engagement</w:t>
      </w:r>
      <w:proofErr w:type="gramEnd"/>
      <w:r>
        <w:t xml:space="preserve"> of person from </w:t>
      </w:r>
      <w:r w:rsidR="0053614A">
        <w:t>State or T</w:t>
      </w:r>
      <w:r>
        <w:t>erritory jurisdiction</w:t>
      </w:r>
    </w:p>
    <w:p w:rsidR="00997B5A" w:rsidRDefault="00997B5A" w:rsidP="00D06312">
      <w:pPr>
        <w:pStyle w:val="subsection"/>
      </w:pPr>
      <w:r>
        <w:tab/>
      </w:r>
      <w:r>
        <w:tab/>
        <w:t>A Secretary</w:t>
      </w:r>
      <w:r w:rsidRPr="0040373E">
        <w:t xml:space="preserve"> may engage a person as a non</w:t>
      </w:r>
      <w:r>
        <w:noBreakHyphen/>
        <w:t>ongoing Parliamentary Service</w:t>
      </w:r>
      <w:r w:rsidRPr="0040373E">
        <w:t xml:space="preserve"> employee for a specified term if:</w:t>
      </w:r>
    </w:p>
    <w:p w:rsidR="00997B5A" w:rsidRPr="0040373E" w:rsidRDefault="00997B5A" w:rsidP="00D06312">
      <w:pPr>
        <w:pStyle w:val="paragraph"/>
      </w:pPr>
      <w:r w:rsidRPr="0040373E">
        <w:tab/>
        <w:t>(</w:t>
      </w:r>
      <w:r>
        <w:t>a</w:t>
      </w:r>
      <w:r w:rsidRPr="0040373E">
        <w:t>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person is an employee of:</w:t>
      </w:r>
    </w:p>
    <w:p w:rsidR="00997B5A" w:rsidRPr="0040373E" w:rsidRDefault="00997B5A" w:rsidP="00D06312">
      <w:pPr>
        <w:pStyle w:val="paragraphsub"/>
      </w:pPr>
      <w:r w:rsidRPr="0040373E">
        <w:tab/>
        <w:t>(</w:t>
      </w:r>
      <w:proofErr w:type="spellStart"/>
      <w:r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State or Territory; or</w:t>
      </w:r>
    </w:p>
    <w:p w:rsidR="00997B5A" w:rsidRPr="0040373E" w:rsidRDefault="00997B5A" w:rsidP="00D06312">
      <w:pPr>
        <w:pStyle w:val="paragraphsub"/>
      </w:pPr>
      <w:r w:rsidRPr="0040373E">
        <w:tab/>
        <w:t>(</w:t>
      </w:r>
      <w:r>
        <w:t>ii</w:t>
      </w:r>
      <w:r w:rsidRPr="0040373E">
        <w:t>)</w:t>
      </w:r>
      <w:r w:rsidRPr="0040373E">
        <w:tab/>
      </w:r>
      <w:proofErr w:type="gramStart"/>
      <w:r w:rsidRPr="0040373E">
        <w:t>an</w:t>
      </w:r>
      <w:proofErr w:type="gramEnd"/>
      <w:r w:rsidRPr="0040373E">
        <w:t xml:space="preserve"> authority of a State or Territory; and</w:t>
      </w:r>
    </w:p>
    <w:p w:rsidR="00997B5A" w:rsidRPr="0040373E" w:rsidRDefault="00997B5A" w:rsidP="00D06312">
      <w:pPr>
        <w:pStyle w:val="paragraph"/>
      </w:pPr>
      <w:r w:rsidRPr="0040373E">
        <w:tab/>
        <w:t>(</w:t>
      </w:r>
      <w:r>
        <w:t>b</w:t>
      </w:r>
      <w:r w:rsidRPr="0040373E">
        <w:t>)</w:t>
      </w:r>
      <w:r w:rsidRPr="0040373E">
        <w:tab/>
      </w:r>
      <w:proofErr w:type="gramStart"/>
      <w:r>
        <w:t>the</w:t>
      </w:r>
      <w:proofErr w:type="gramEnd"/>
      <w:r>
        <w:t xml:space="preserve"> Secretary</w:t>
      </w:r>
      <w:r w:rsidRPr="0040373E">
        <w:t xml:space="preserve"> has entered into an agreement with the State or Territory, or the authority of the State or Territory, to engage the person as a non</w:t>
      </w:r>
      <w:r>
        <w:noBreakHyphen/>
      </w:r>
      <w:r w:rsidRPr="0040373E">
        <w:t>ongoing employee for a specified term</w:t>
      </w:r>
      <w:r>
        <w:t>.</w:t>
      </w:r>
    </w:p>
    <w:p w:rsidR="00997B5A" w:rsidRPr="00D06312" w:rsidRDefault="00997B5A" w:rsidP="00810F7D">
      <w:pPr>
        <w:pStyle w:val="notetext"/>
      </w:pPr>
      <w:r w:rsidRPr="0040373E">
        <w:t>Note:</w:t>
      </w:r>
      <w:r w:rsidRPr="0040373E">
        <w:tab/>
      </w:r>
      <w:r w:rsidR="00E76275">
        <w:t>Clauses </w:t>
      </w:r>
      <w:r>
        <w:t>15 and 16 provide for matters regarding the engagement of non-ongoing Parliamentary Service employees</w:t>
      </w:r>
      <w:r w:rsidRPr="0040373E">
        <w:t>.</w:t>
      </w:r>
    </w:p>
    <w:p w:rsidR="00632CFE" w:rsidRDefault="00C907FF" w:rsidP="00632CFE">
      <w:pPr>
        <w:pStyle w:val="ItemHead"/>
      </w:pPr>
      <w:proofErr w:type="gramStart"/>
      <w:r>
        <w:t>1</w:t>
      </w:r>
      <w:r w:rsidR="00E538DD">
        <w:t>7</w:t>
      </w:r>
      <w:r>
        <w:t xml:space="preserve">  </w:t>
      </w:r>
      <w:r w:rsidR="006B22E6">
        <w:t>Clause</w:t>
      </w:r>
      <w:proofErr w:type="gramEnd"/>
      <w:r w:rsidR="006B22E6">
        <w:t xml:space="preserve"> 30</w:t>
      </w:r>
    </w:p>
    <w:p w:rsidR="00866691" w:rsidRDefault="008144CD" w:rsidP="00866691">
      <w:pPr>
        <w:pStyle w:val="Item"/>
      </w:pPr>
      <w:r>
        <w:t>Repeal the clause, substitute:</w:t>
      </w:r>
    </w:p>
    <w:p w:rsidR="00810F7D" w:rsidRPr="00810F7D" w:rsidRDefault="00810F7D" w:rsidP="00810F7D">
      <w:pPr>
        <w:pStyle w:val="ActHead5"/>
      </w:pPr>
      <w:proofErr w:type="gramStart"/>
      <w:r>
        <w:t xml:space="preserve">30  </w:t>
      </w:r>
      <w:bookmarkStart w:id="18" w:name="_Toc461440430"/>
      <w:r w:rsidRPr="00810F7D">
        <w:t>Re</w:t>
      </w:r>
      <w:proofErr w:type="gramEnd"/>
      <w:r w:rsidRPr="00810F7D">
        <w:noBreakHyphen/>
        <w:t>engagement of election candidates</w:t>
      </w:r>
      <w:bookmarkEnd w:id="18"/>
    </w:p>
    <w:p w:rsidR="00866691" w:rsidRPr="0040373E" w:rsidRDefault="00866691" w:rsidP="00866691">
      <w:pPr>
        <w:pStyle w:val="SubsectionHead"/>
      </w:pPr>
      <w:r w:rsidRPr="0040373E">
        <w:t>Person may apply to be re</w:t>
      </w:r>
      <w:r>
        <w:noBreakHyphen/>
      </w:r>
      <w:r w:rsidRPr="0040373E">
        <w:t xml:space="preserve">engaged </w:t>
      </w:r>
      <w:r w:rsidR="00BD007B">
        <w:t>as a</w:t>
      </w:r>
      <w:r>
        <w:t xml:space="preserve"> Parliamentary Service</w:t>
      </w:r>
      <w:r w:rsidRPr="0040373E">
        <w:t xml:space="preserve"> employee</w:t>
      </w:r>
    </w:p>
    <w:p w:rsidR="00866691" w:rsidRPr="0040373E" w:rsidRDefault="00866691" w:rsidP="00866691">
      <w:pPr>
        <w:pStyle w:val="subsection"/>
      </w:pPr>
      <w:r w:rsidRPr="0040373E">
        <w:tab/>
        <w:t>(1)</w:t>
      </w:r>
      <w:r w:rsidRPr="0040373E">
        <w:tab/>
        <w:t>A</w:t>
      </w:r>
      <w:r>
        <w:t xml:space="preserve"> Secretary</w:t>
      </w:r>
      <w:r w:rsidRPr="0040373E">
        <w:t xml:space="preserve"> </w:t>
      </w:r>
      <w:r>
        <w:t>may engage a person as a Parliamentary Service</w:t>
      </w:r>
      <w:r w:rsidRPr="0040373E">
        <w:t xml:space="preserve"> employee if:</w:t>
      </w:r>
    </w:p>
    <w:p w:rsidR="00866691" w:rsidRPr="0040373E" w:rsidRDefault="00866691" w:rsidP="00866691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person is a former Parliamentary Service employee</w:t>
      </w:r>
      <w:r w:rsidRPr="0040373E">
        <w:t xml:space="preserve">, whose employment ended because </w:t>
      </w:r>
      <w:r w:rsidR="002E3D59">
        <w:t xml:space="preserve">they </w:t>
      </w:r>
      <w:r w:rsidRPr="0040373E">
        <w:t>resigned to contest:</w:t>
      </w:r>
    </w:p>
    <w:p w:rsidR="00866691" w:rsidRPr="0040373E" w:rsidRDefault="00866691" w:rsidP="00866691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an</w:t>
      </w:r>
      <w:proofErr w:type="gramEnd"/>
      <w:r w:rsidRPr="0040373E">
        <w:t xml:space="preserve"> election for a member of a House of the Parliament of the Commonwealth or of a State; or</w:t>
      </w:r>
    </w:p>
    <w:p w:rsidR="00866691" w:rsidRPr="0040373E" w:rsidRDefault="00866691" w:rsidP="00866691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Pr="0040373E">
        <w:t>an</w:t>
      </w:r>
      <w:proofErr w:type="gramEnd"/>
      <w:r w:rsidRPr="0040373E">
        <w:t xml:space="preserve"> election for a member of the Legislative Assembly of the Australian Capital Territory or the Northern Territory; or</w:t>
      </w:r>
    </w:p>
    <w:p w:rsidR="00866691" w:rsidRPr="0040373E" w:rsidRDefault="00866691" w:rsidP="00866691">
      <w:pPr>
        <w:pStyle w:val="paragraphsub"/>
      </w:pPr>
      <w:r w:rsidRPr="0040373E">
        <w:tab/>
        <w:t>(iii)</w:t>
      </w:r>
      <w:r w:rsidRPr="0040373E">
        <w:tab/>
      </w:r>
      <w:proofErr w:type="gramStart"/>
      <w:r w:rsidRPr="0040373E">
        <w:t>an</w:t>
      </w:r>
      <w:proofErr w:type="gramEnd"/>
      <w:r w:rsidRPr="0040373E">
        <w:t xml:space="preserve"> election for a member of the Torres Strait Regional Authority; and</w:t>
      </w:r>
    </w:p>
    <w:p w:rsidR="00866691" w:rsidRPr="0040373E" w:rsidRDefault="00866691" w:rsidP="00866691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section</w:t>
      </w:r>
      <w:proofErr w:type="gramEnd"/>
      <w:r w:rsidRPr="0040373E">
        <w:t> 32 of the Act (right of return for election candidates) applies to the person; and</w:t>
      </w:r>
    </w:p>
    <w:p w:rsidR="00866691" w:rsidRPr="0040373E" w:rsidRDefault="00866691" w:rsidP="00866691">
      <w:pPr>
        <w:pStyle w:val="paragraph"/>
      </w:pPr>
      <w:r w:rsidRPr="0040373E">
        <w:tab/>
        <w:t>(c)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person applies to </w:t>
      </w:r>
      <w:r>
        <w:t>the Secretary</w:t>
      </w:r>
      <w:r w:rsidRPr="0040373E">
        <w:t xml:space="preserve"> to be engaged as a</w:t>
      </w:r>
      <w:r>
        <w:t xml:space="preserve"> Parliamentary Service</w:t>
      </w:r>
      <w:r w:rsidRPr="0040373E">
        <w:t xml:space="preserve"> employee within the applicable timeframe mentioned in sub</w:t>
      </w:r>
      <w:r w:rsidR="00810F7D">
        <w:t>clause</w:t>
      </w:r>
      <w:r w:rsidRPr="0040373E">
        <w:t> (2); and</w:t>
      </w:r>
    </w:p>
    <w:p w:rsidR="00866691" w:rsidRPr="0040373E" w:rsidRDefault="00866691" w:rsidP="00866691">
      <w:pPr>
        <w:pStyle w:val="paragraph"/>
      </w:pPr>
      <w:r w:rsidRPr="0040373E">
        <w:tab/>
        <w:t>(d)</w:t>
      </w:r>
      <w:r w:rsidRPr="0040373E">
        <w:tab/>
      </w:r>
      <w:proofErr w:type="gramStart"/>
      <w:r w:rsidRPr="0040373E">
        <w:t>if</w:t>
      </w:r>
      <w:proofErr w:type="gramEnd"/>
      <w:r w:rsidRPr="0040373E">
        <w:t xml:space="preserve"> the former employment was non</w:t>
      </w:r>
      <w:r>
        <w:noBreakHyphen/>
      </w:r>
      <w:r w:rsidRPr="0040373E">
        <w:t>ongoing:</w:t>
      </w:r>
    </w:p>
    <w:p w:rsidR="00866691" w:rsidRPr="0040373E" w:rsidRDefault="00866691" w:rsidP="00866691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employment would not have ended except for the resignation; and</w:t>
      </w:r>
    </w:p>
    <w:p w:rsidR="00866691" w:rsidRPr="0040373E" w:rsidRDefault="00866691" w:rsidP="00866691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p</w:t>
      </w:r>
      <w:r>
        <w:t>erson applies to the Secretary</w:t>
      </w:r>
      <w:r w:rsidRPr="0040373E">
        <w:t xml:space="preserve"> to be engaged before the employment would have ended if the person had not resigned.</w:t>
      </w:r>
    </w:p>
    <w:p w:rsidR="00866691" w:rsidRPr="0040373E" w:rsidRDefault="00866691" w:rsidP="00866691">
      <w:pPr>
        <w:pStyle w:val="subsection"/>
      </w:pPr>
      <w:r w:rsidRPr="0040373E">
        <w:tab/>
        <w:t>(2)</w:t>
      </w:r>
      <w:r w:rsidRPr="0040373E">
        <w:tab/>
        <w:t>A person mentioned in paragraph (1</w:t>
      </w:r>
      <w:proofErr w:type="gramStart"/>
      <w:r w:rsidRPr="0040373E">
        <w:t>)(</w:t>
      </w:r>
      <w:proofErr w:type="gramEnd"/>
      <w:r w:rsidRPr="0040373E">
        <w:t>a) must apply to the</w:t>
      </w:r>
      <w:r w:rsidR="00C86C47">
        <w:t xml:space="preserve"> relevant</w:t>
      </w:r>
      <w:r w:rsidRPr="0040373E">
        <w:t xml:space="preserve"> </w:t>
      </w:r>
      <w:r w:rsidR="008027EB">
        <w:t>Secretary</w:t>
      </w:r>
      <w:r w:rsidRPr="0040373E">
        <w:t>:</w:t>
      </w:r>
    </w:p>
    <w:p w:rsidR="00866691" w:rsidRPr="0040373E" w:rsidRDefault="00866691" w:rsidP="00866691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if</w:t>
      </w:r>
      <w:proofErr w:type="gramEnd"/>
      <w:r w:rsidRPr="0040373E">
        <w:t xml:space="preserve"> the result of the election is not disputed—within 2 months after the declaration of the result of the election; or</w:t>
      </w:r>
    </w:p>
    <w:p w:rsidR="00866691" w:rsidRPr="0040373E" w:rsidRDefault="00866691" w:rsidP="00866691">
      <w:pPr>
        <w:pStyle w:val="paragraph"/>
      </w:pPr>
      <w:r w:rsidRPr="0040373E">
        <w:tab/>
        <w:t>(b)</w:t>
      </w:r>
      <w:r w:rsidRPr="0040373E">
        <w:tab/>
        <w:t>if the result of the election is disputed—within 2 months after a court of disputed returns decides the petition disputing the result, or the petition is withdrawn or lapses; or</w:t>
      </w:r>
    </w:p>
    <w:p w:rsidR="00866691" w:rsidRPr="0040373E" w:rsidRDefault="00866691" w:rsidP="00866691">
      <w:pPr>
        <w:pStyle w:val="paragraph"/>
      </w:pPr>
      <w:r w:rsidRPr="0040373E">
        <w:tab/>
        <w:t>(c)</w:t>
      </w:r>
      <w:r w:rsidRPr="0040373E">
        <w:tab/>
      </w:r>
      <w:proofErr w:type="gramStart"/>
      <w:r w:rsidRPr="0040373E">
        <w:t>if</w:t>
      </w:r>
      <w:proofErr w:type="gramEnd"/>
      <w:r w:rsidRPr="0040373E">
        <w:t xml:space="preserve"> the Commissioner has made a declaration under sub</w:t>
      </w:r>
      <w:r w:rsidR="00810F7D">
        <w:t>clause</w:t>
      </w:r>
      <w:r w:rsidRPr="0040373E">
        <w:t> (3)—as soon as practicable after receiving notice of the declaration.</w:t>
      </w:r>
    </w:p>
    <w:p w:rsidR="00866691" w:rsidRPr="0040373E" w:rsidRDefault="00866691" w:rsidP="00866691">
      <w:pPr>
        <w:pStyle w:val="subsection"/>
        <w:keepNext/>
        <w:keepLines/>
      </w:pPr>
      <w:r w:rsidRPr="0040373E">
        <w:lastRenderedPageBreak/>
        <w:tab/>
        <w:t>(3)</w:t>
      </w:r>
      <w:r w:rsidRPr="0040373E">
        <w:tab/>
        <w:t>If the Commissioner is satisfied that it is appropriate to do so, the Commissioner may declare that the pe</w:t>
      </w:r>
      <w:r w:rsidR="006C3833">
        <w:t>rson is taken to be a former Parliamentary Service</w:t>
      </w:r>
      <w:r w:rsidRPr="0040373E">
        <w:t xml:space="preserve"> employee for the purposes of paragraph (2</w:t>
      </w:r>
      <w:proofErr w:type="gramStart"/>
      <w:r w:rsidRPr="0040373E">
        <w:t>)(</w:t>
      </w:r>
      <w:proofErr w:type="gramEnd"/>
      <w:r w:rsidRPr="0040373E">
        <w:t>c).</w:t>
      </w:r>
    </w:p>
    <w:p w:rsidR="00866691" w:rsidRPr="0040373E" w:rsidRDefault="00866691" w:rsidP="00866691">
      <w:pPr>
        <w:pStyle w:val="notetext"/>
      </w:pPr>
      <w:r w:rsidRPr="0040373E">
        <w:t>Example:</w:t>
      </w:r>
      <w:r w:rsidRPr="0040373E">
        <w:tab/>
        <w:t xml:space="preserve">The Commissioner may </w:t>
      </w:r>
      <w:r w:rsidR="006C3833">
        <w:t xml:space="preserve">make a declaration if the </w:t>
      </w:r>
      <w:r w:rsidR="00810F7D">
        <w:t>Department</w:t>
      </w:r>
      <w:r w:rsidRPr="0040373E">
        <w:t xml:space="preserve"> in which the person was employed no longer exists or is no longer responsible for duties that were previously carried out by the employee.</w:t>
      </w:r>
    </w:p>
    <w:p w:rsidR="00866691" w:rsidRPr="0040373E" w:rsidRDefault="00866691" w:rsidP="00866691">
      <w:pPr>
        <w:pStyle w:val="SubsectionHead"/>
      </w:pPr>
      <w:r w:rsidRPr="0040373E">
        <w:t>Basis on which person may be re</w:t>
      </w:r>
      <w:r>
        <w:noBreakHyphen/>
      </w:r>
      <w:r w:rsidR="006C3833">
        <w:t>engaged as a Parliamentary Service</w:t>
      </w:r>
      <w:r w:rsidRPr="0040373E">
        <w:t xml:space="preserve"> employee</w:t>
      </w:r>
    </w:p>
    <w:p w:rsidR="00866691" w:rsidRPr="0040373E" w:rsidRDefault="00866691" w:rsidP="00866691">
      <w:pPr>
        <w:pStyle w:val="subsection"/>
      </w:pPr>
      <w:r w:rsidRPr="0040373E">
        <w:tab/>
        <w:t>(4)</w:t>
      </w:r>
      <w:r w:rsidRPr="0040373E">
        <w:tab/>
        <w:t>If the</w:t>
      </w:r>
      <w:r w:rsidR="006000C5">
        <w:t xml:space="preserve"> Secretary engages the person as a Parliamentary Service</w:t>
      </w:r>
      <w:r w:rsidRPr="0040373E">
        <w:t xml:space="preserve"> employee, the person must be:</w:t>
      </w:r>
    </w:p>
    <w:p w:rsidR="00866691" w:rsidRPr="0040373E" w:rsidRDefault="00866691" w:rsidP="00866691">
      <w:pPr>
        <w:pStyle w:val="paragraph"/>
      </w:pPr>
      <w:r w:rsidRPr="0040373E">
        <w:t xml:space="preserve"> </w:t>
      </w:r>
      <w:r w:rsidRPr="0040373E">
        <w:tab/>
        <w:t>(a)</w:t>
      </w:r>
      <w:r w:rsidRPr="0040373E">
        <w:tab/>
      </w:r>
      <w:proofErr w:type="gramStart"/>
      <w:r w:rsidRPr="0040373E">
        <w:t>engaged</w:t>
      </w:r>
      <w:proofErr w:type="gramEnd"/>
      <w:r w:rsidRPr="0040373E">
        <w:t xml:space="preserve"> on the same basis (ongoing or non</w:t>
      </w:r>
      <w:r>
        <w:noBreakHyphen/>
      </w:r>
      <w:r w:rsidRPr="0040373E">
        <w:t>ongoing) as the person’s employment before resigning and at the same classification; and</w:t>
      </w:r>
    </w:p>
    <w:p w:rsidR="00866691" w:rsidRPr="0040373E" w:rsidRDefault="00866691" w:rsidP="00866691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assigned</w:t>
      </w:r>
      <w:proofErr w:type="gramEnd"/>
      <w:r w:rsidRPr="0040373E">
        <w:t xml:space="preserve"> duties that are the same as, or similar to, the duties the person had immediately before the resignation or, if such duties are unavailable, other duties at the same classification; and</w:t>
      </w:r>
    </w:p>
    <w:p w:rsidR="00866691" w:rsidRPr="0040373E" w:rsidRDefault="00866691" w:rsidP="00866691">
      <w:pPr>
        <w:pStyle w:val="paragraph"/>
      </w:pPr>
      <w:r w:rsidRPr="0040373E">
        <w:tab/>
        <w:t>(c)</w:t>
      </w:r>
      <w:r w:rsidRPr="0040373E">
        <w:tab/>
      </w:r>
      <w:proofErr w:type="gramStart"/>
      <w:r w:rsidRPr="0040373E">
        <w:t>engaged</w:t>
      </w:r>
      <w:proofErr w:type="gramEnd"/>
      <w:r w:rsidRPr="0040373E">
        <w:t xml:space="preserve"> on:</w:t>
      </w:r>
    </w:p>
    <w:p w:rsidR="00866691" w:rsidRPr="0040373E" w:rsidRDefault="00866691" w:rsidP="00866691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same terms and conditions of employment that applied to the person when the person resigned; or</w:t>
      </w:r>
    </w:p>
    <w:p w:rsidR="00866691" w:rsidRPr="0040373E" w:rsidRDefault="00866691" w:rsidP="00866691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Pr="0040373E">
        <w:t>if</w:t>
      </w:r>
      <w:proofErr w:type="gramEnd"/>
      <w:r w:rsidRPr="0040373E">
        <w:t xml:space="preserve"> the remuneration, or another term or condition, applying to the person’s previous classification has changed since the person resigned—the changed terms and conditions.</w:t>
      </w:r>
    </w:p>
    <w:p w:rsidR="00866691" w:rsidRPr="0040373E" w:rsidRDefault="00866691" w:rsidP="00866691">
      <w:pPr>
        <w:pStyle w:val="subsection"/>
      </w:pPr>
      <w:r w:rsidRPr="0040373E">
        <w:tab/>
        <w:t>(5)</w:t>
      </w:r>
      <w:r w:rsidRPr="0040373E">
        <w:tab/>
        <w:t>The person’s continuity of service is taken not to have been broken by the period between the person’s resignation and the person’s re</w:t>
      </w:r>
      <w:r>
        <w:noBreakHyphen/>
      </w:r>
      <w:r w:rsidR="006000C5">
        <w:t>engagement as a</w:t>
      </w:r>
      <w:r w:rsidRPr="0040373E">
        <w:t xml:space="preserve"> </w:t>
      </w:r>
      <w:r w:rsidR="006000C5">
        <w:t xml:space="preserve">Parliamentary Service </w:t>
      </w:r>
      <w:r w:rsidRPr="0040373E">
        <w:t>employee, but that period does not count as service for the purposes of:</w:t>
      </w:r>
    </w:p>
    <w:p w:rsidR="00866691" w:rsidRPr="0040373E" w:rsidRDefault="00866691" w:rsidP="00866691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National Employment Standards; or</w:t>
      </w:r>
    </w:p>
    <w:p w:rsidR="00866691" w:rsidRPr="0040373E" w:rsidRDefault="00866691" w:rsidP="00866691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an</w:t>
      </w:r>
      <w:proofErr w:type="gramEnd"/>
      <w:r w:rsidRPr="0040373E">
        <w:t xml:space="preserve"> employment arrangement that applies to the person.</w:t>
      </w:r>
    </w:p>
    <w:p w:rsidR="00866691" w:rsidRPr="0040373E" w:rsidRDefault="00866691" w:rsidP="00866691">
      <w:pPr>
        <w:pStyle w:val="notetext"/>
      </w:pPr>
      <w:r w:rsidRPr="0040373E">
        <w:t>Note:</w:t>
      </w:r>
      <w:r w:rsidRPr="0040373E">
        <w:tab/>
        <w:t xml:space="preserve">For entitlements to long service leave and paid maternity leave, see the </w:t>
      </w:r>
      <w:r w:rsidRPr="005A7FF2">
        <w:rPr>
          <w:i/>
        </w:rPr>
        <w:t>Long Service Leave (Commonwealth Employees) Act 1976</w:t>
      </w:r>
      <w:r w:rsidRPr="0040373E">
        <w:t xml:space="preserve"> and the </w:t>
      </w:r>
      <w:r w:rsidRPr="005A7FF2">
        <w:rPr>
          <w:i/>
        </w:rPr>
        <w:t>Maternity Leave (Commonwealth Employees) Act 1973</w:t>
      </w:r>
      <w:r w:rsidRPr="0040373E">
        <w:t>.</w:t>
      </w:r>
    </w:p>
    <w:p w:rsidR="00866691" w:rsidRPr="0040373E" w:rsidRDefault="00866691" w:rsidP="00866691">
      <w:pPr>
        <w:pStyle w:val="SubsectionHead"/>
      </w:pPr>
      <w:r w:rsidRPr="0040373E">
        <w:t>Specified elections</w:t>
      </w:r>
    </w:p>
    <w:p w:rsidR="006000C5" w:rsidRDefault="00866691" w:rsidP="003E68E7">
      <w:pPr>
        <w:pStyle w:val="subsection"/>
      </w:pPr>
      <w:r w:rsidRPr="0040373E">
        <w:tab/>
        <w:t>(6)</w:t>
      </w:r>
      <w:r w:rsidRPr="0040373E">
        <w:tab/>
        <w:t>For the purposes of paragraph </w:t>
      </w:r>
      <w:r w:rsidR="006000C5">
        <w:t>3</w:t>
      </w:r>
      <w:r w:rsidR="00810F7D">
        <w:t>2</w:t>
      </w:r>
      <w:r w:rsidRPr="0040373E">
        <w:t>(1</w:t>
      </w:r>
      <w:proofErr w:type="gramStart"/>
      <w:r w:rsidRPr="0040373E">
        <w:t>)(</w:t>
      </w:r>
      <w:proofErr w:type="gramEnd"/>
      <w:r w:rsidRPr="0040373E">
        <w:t>a) of the Act, the elections mentioned in subparagraphs (1)(a)(</w:t>
      </w:r>
      <w:proofErr w:type="spellStart"/>
      <w:r w:rsidRPr="0040373E">
        <w:t>i</w:t>
      </w:r>
      <w:proofErr w:type="spellEnd"/>
      <w:r w:rsidR="006000C5">
        <w:t>), (ii) and (iii) are specified.</w:t>
      </w:r>
    </w:p>
    <w:p w:rsidR="006000C5" w:rsidRDefault="00C907FF" w:rsidP="006000C5">
      <w:pPr>
        <w:pStyle w:val="ItemHead"/>
      </w:pPr>
      <w:proofErr w:type="gramStart"/>
      <w:r>
        <w:t>1</w:t>
      </w:r>
      <w:r w:rsidR="00E538DD">
        <w:t>8</w:t>
      </w:r>
      <w:r>
        <w:t xml:space="preserve">  </w:t>
      </w:r>
      <w:r w:rsidR="005257A1">
        <w:t>Clause</w:t>
      </w:r>
      <w:proofErr w:type="gramEnd"/>
      <w:r w:rsidR="005257A1">
        <w:t xml:space="preserve"> 32</w:t>
      </w:r>
    </w:p>
    <w:p w:rsidR="005257A1" w:rsidRDefault="005257A1" w:rsidP="005257A1">
      <w:pPr>
        <w:pStyle w:val="Item"/>
      </w:pPr>
      <w:r>
        <w:t>Repeal the clause, substitute:</w:t>
      </w:r>
    </w:p>
    <w:p w:rsidR="00810F7D" w:rsidRPr="00810F7D" w:rsidRDefault="00810F7D" w:rsidP="00810F7D">
      <w:pPr>
        <w:pStyle w:val="ActHead5"/>
      </w:pPr>
      <w:proofErr w:type="gramStart"/>
      <w:r>
        <w:t>32  Engagement</w:t>
      </w:r>
      <w:proofErr w:type="gramEnd"/>
      <w:r>
        <w:t xml:space="preserve"> of </w:t>
      </w:r>
      <w:r w:rsidR="002E6F67">
        <w:t xml:space="preserve">an </w:t>
      </w:r>
      <w:r>
        <w:t xml:space="preserve">ongoing APS employee as </w:t>
      </w:r>
      <w:r w:rsidR="00C86C47">
        <w:t xml:space="preserve">an </w:t>
      </w:r>
      <w:r>
        <w:t>ongoing Parliamentary Service employee</w:t>
      </w:r>
    </w:p>
    <w:p w:rsidR="005257A1" w:rsidRPr="0040373E" w:rsidRDefault="005257A1" w:rsidP="005257A1">
      <w:pPr>
        <w:pStyle w:val="subsection"/>
      </w:pPr>
      <w:r>
        <w:tab/>
      </w:r>
      <w:r>
        <w:tab/>
        <w:t>A Secretary</w:t>
      </w:r>
      <w:r w:rsidRPr="0040373E">
        <w:t xml:space="preserve"> may engage a person who is an ongoing </w:t>
      </w:r>
      <w:r>
        <w:t>APS employee as an ongoing Parliamentary Service</w:t>
      </w:r>
      <w:r w:rsidRPr="0040373E">
        <w:t xml:space="preserve"> employee if the person is to be employed at a comparable classification</w:t>
      </w:r>
      <w:r w:rsidR="009C5BCD">
        <w:t xml:space="preserve"> o</w:t>
      </w:r>
      <w:r w:rsidR="00E76275">
        <w:t>r lower, as set out in Schedule </w:t>
      </w:r>
      <w:r w:rsidR="009C5BCD">
        <w:t>2.</w:t>
      </w:r>
    </w:p>
    <w:p w:rsidR="005257A1" w:rsidRDefault="00473E64" w:rsidP="00810F7D">
      <w:pPr>
        <w:pStyle w:val="notetext"/>
      </w:pPr>
      <w:r>
        <w:t>Note</w:t>
      </w:r>
      <w:r w:rsidR="005257A1" w:rsidRPr="0040373E">
        <w:t>:</w:t>
      </w:r>
      <w:r w:rsidR="005257A1" w:rsidRPr="0040373E">
        <w:tab/>
      </w:r>
      <w:r w:rsidR="00E76275">
        <w:t>See sections </w:t>
      </w:r>
      <w:r>
        <w:t xml:space="preserve">26 and 26A of the Act for the engagement of an ongoing APS employee as an ongoing or </w:t>
      </w:r>
      <w:r w:rsidRPr="00087240">
        <w:rPr>
          <w:szCs w:val="18"/>
        </w:rPr>
        <w:t>non</w:t>
      </w:r>
      <w:r w:rsidRPr="00087240">
        <w:rPr>
          <w:szCs w:val="18"/>
        </w:rPr>
        <w:noBreakHyphen/>
        <w:t>ongoing Parliamentary Service employee</w:t>
      </w:r>
      <w:r w:rsidR="005257A1" w:rsidRPr="0040373E">
        <w:t>.</w:t>
      </w:r>
    </w:p>
    <w:p w:rsidR="009C5BCD" w:rsidRDefault="00C907FF" w:rsidP="009C5BCD">
      <w:pPr>
        <w:pStyle w:val="ItemHead"/>
      </w:pPr>
      <w:proofErr w:type="gramStart"/>
      <w:r>
        <w:lastRenderedPageBreak/>
        <w:t>1</w:t>
      </w:r>
      <w:r w:rsidR="00E538DD">
        <w:t>9</w:t>
      </w:r>
      <w:r>
        <w:t xml:space="preserve">  </w:t>
      </w:r>
      <w:r w:rsidR="00A125D3">
        <w:t>Clause</w:t>
      </w:r>
      <w:proofErr w:type="gramEnd"/>
      <w:r w:rsidR="00420D23">
        <w:t xml:space="preserve"> 33</w:t>
      </w:r>
    </w:p>
    <w:p w:rsidR="00420D23" w:rsidRDefault="00420D23" w:rsidP="00420D23">
      <w:pPr>
        <w:pStyle w:val="Item"/>
      </w:pPr>
      <w:r>
        <w:t>Re</w:t>
      </w:r>
      <w:r w:rsidR="006664DE">
        <w:t>peal the clause</w:t>
      </w:r>
      <w:r>
        <w:t>, substitute:</w:t>
      </w:r>
    </w:p>
    <w:p w:rsidR="00810F7D" w:rsidRPr="00810F7D" w:rsidRDefault="00810F7D" w:rsidP="00810F7D">
      <w:pPr>
        <w:pStyle w:val="ItemHead"/>
        <w:rPr>
          <w:rFonts w:ascii="Times New Roman" w:hAnsi="Times New Roman"/>
        </w:rPr>
      </w:pPr>
      <w:bookmarkStart w:id="19" w:name="_Toc466539201"/>
      <w:r w:rsidRPr="00810F7D">
        <w:rPr>
          <w:rFonts w:ascii="Times New Roman" w:hAnsi="Times New Roman"/>
        </w:rPr>
        <w:t>33</w:t>
      </w:r>
      <w:proofErr w:type="gramStart"/>
      <w:r w:rsidRPr="00810F7D">
        <w:rPr>
          <w:rFonts w:ascii="Times New Roman" w:hAnsi="Times New Roman"/>
        </w:rPr>
        <w:t>  Re</w:t>
      </w:r>
      <w:proofErr w:type="gramEnd"/>
      <w:r w:rsidRPr="00810F7D">
        <w:rPr>
          <w:rFonts w:ascii="Times New Roman" w:hAnsi="Times New Roman"/>
        </w:rPr>
        <w:noBreakHyphen/>
        <w:t xml:space="preserve">engagement of </w:t>
      </w:r>
      <w:r w:rsidR="00C86C47">
        <w:rPr>
          <w:rFonts w:ascii="Times New Roman" w:hAnsi="Times New Roman"/>
        </w:rPr>
        <w:t xml:space="preserve">a </w:t>
      </w:r>
      <w:r w:rsidRPr="00810F7D">
        <w:rPr>
          <w:rFonts w:ascii="Times New Roman" w:hAnsi="Times New Roman"/>
        </w:rPr>
        <w:t>former Parliamentary Service employee</w:t>
      </w:r>
      <w:bookmarkEnd w:id="19"/>
    </w:p>
    <w:p w:rsidR="00420D23" w:rsidRPr="0040373E" w:rsidRDefault="00420D23" w:rsidP="00420D23">
      <w:pPr>
        <w:pStyle w:val="subsection"/>
      </w:pPr>
      <w:r>
        <w:tab/>
      </w:r>
      <w:r w:rsidRPr="0040373E">
        <w:t>(1)</w:t>
      </w:r>
      <w:r w:rsidRPr="0040373E">
        <w:tab/>
      </w:r>
      <w:r w:rsidR="00810F7D">
        <w:t xml:space="preserve">The relevant </w:t>
      </w:r>
      <w:r>
        <w:t>Secretary may engage a former</w:t>
      </w:r>
      <w:r w:rsidRPr="0040373E">
        <w:t xml:space="preserve"> </w:t>
      </w:r>
      <w:r w:rsidR="00810F7D">
        <w:t xml:space="preserve">Parliamentary Service </w:t>
      </w:r>
      <w:r w:rsidRPr="0040373E">
        <w:t>employee as an ongoing or non</w:t>
      </w:r>
      <w:r>
        <w:noBreakHyphen/>
        <w:t>ongoing Parliamentary Service</w:t>
      </w:r>
      <w:r w:rsidRPr="0040373E">
        <w:t xml:space="preserve"> employee if:</w:t>
      </w:r>
    </w:p>
    <w:p w:rsidR="00420D23" w:rsidRPr="0040373E" w:rsidRDefault="00420D23" w:rsidP="00420D23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Secretary</w:t>
      </w:r>
      <w:r w:rsidRPr="0040373E">
        <w:t xml:space="preserve"> is satisfied that the person’s former employment should not have ended; or</w:t>
      </w:r>
    </w:p>
    <w:p w:rsidR="00420D23" w:rsidRPr="0040373E" w:rsidRDefault="00420D23" w:rsidP="00420D23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engagement will settle legal action relating to the termination of the employee’s employment; or</w:t>
      </w:r>
    </w:p>
    <w:p w:rsidR="00420D23" w:rsidRPr="0040373E" w:rsidRDefault="00420D23" w:rsidP="00420D23">
      <w:pPr>
        <w:pStyle w:val="paragraph"/>
      </w:pPr>
      <w:r w:rsidRPr="0040373E">
        <w:tab/>
        <w:t>(c)</w:t>
      </w:r>
      <w:r w:rsidRPr="0040373E">
        <w:tab/>
      </w:r>
      <w:proofErr w:type="gramStart"/>
      <w:r w:rsidRPr="0040373E">
        <w:t>an</w:t>
      </w:r>
      <w:proofErr w:type="gramEnd"/>
      <w:r w:rsidRPr="0040373E">
        <w:t xml:space="preserve"> appropriate authority has recommended or ordered the reinstatement of the person.</w:t>
      </w:r>
    </w:p>
    <w:p w:rsidR="00420D23" w:rsidRPr="0040373E" w:rsidRDefault="00420D23" w:rsidP="00420D23">
      <w:pPr>
        <w:pStyle w:val="notetext"/>
      </w:pPr>
      <w:r w:rsidRPr="0040373E">
        <w:t>Note:</w:t>
      </w:r>
      <w:r w:rsidRPr="0040373E">
        <w:tab/>
        <w:t>An appropriate authority includes, for example, the Federal Court of Australia, the Fair Work Commission or the Australian Human Rights Commission.</w:t>
      </w:r>
    </w:p>
    <w:p w:rsidR="00420D23" w:rsidRPr="0040373E" w:rsidRDefault="00420D23" w:rsidP="00420D23">
      <w:pPr>
        <w:pStyle w:val="subsection"/>
      </w:pPr>
      <w:r>
        <w:t xml:space="preserve"> </w:t>
      </w:r>
      <w:r>
        <w:tab/>
      </w:r>
      <w:r w:rsidRPr="0040373E">
        <w:t>(2)</w:t>
      </w:r>
      <w:r w:rsidRPr="0040373E">
        <w:tab/>
        <w:t>The person must be engaged:</w:t>
      </w:r>
    </w:p>
    <w:p w:rsidR="00420D23" w:rsidRPr="0040373E" w:rsidRDefault="00420D23" w:rsidP="00420D23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on</w:t>
      </w:r>
      <w:proofErr w:type="gramEnd"/>
      <w:r w:rsidRPr="0040373E">
        <w:t xml:space="preserve"> the same basis (ongoing or non</w:t>
      </w:r>
      <w:r>
        <w:noBreakHyphen/>
      </w:r>
      <w:r w:rsidRPr="0040373E">
        <w:t>ongoing) as the person was when formerly employed; and</w:t>
      </w:r>
    </w:p>
    <w:p w:rsidR="00A125D3" w:rsidRDefault="00420D23" w:rsidP="00243573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at</w:t>
      </w:r>
      <w:proofErr w:type="gramEnd"/>
      <w:r w:rsidRPr="0040373E">
        <w:t xml:space="preserve"> the same or a lower classification.</w:t>
      </w:r>
    </w:p>
    <w:p w:rsidR="00A125D3" w:rsidRDefault="00E538DD" w:rsidP="00A125D3">
      <w:pPr>
        <w:pStyle w:val="ItemHead"/>
      </w:pPr>
      <w:proofErr w:type="gramStart"/>
      <w:r>
        <w:t>20</w:t>
      </w:r>
      <w:r w:rsidR="00C907FF">
        <w:t xml:space="preserve">  </w:t>
      </w:r>
      <w:r w:rsidR="00A125D3">
        <w:t>Clause</w:t>
      </w:r>
      <w:proofErr w:type="gramEnd"/>
      <w:r w:rsidR="00A125D3">
        <w:t xml:space="preserve"> 34</w:t>
      </w:r>
    </w:p>
    <w:p w:rsidR="007F02E6" w:rsidRDefault="007F02E6" w:rsidP="007F02E6">
      <w:pPr>
        <w:pStyle w:val="Item"/>
      </w:pPr>
      <w:r>
        <w:t>Repeal the clause.</w:t>
      </w:r>
    </w:p>
    <w:p w:rsidR="007F02E6" w:rsidRDefault="00E538DD" w:rsidP="007F02E6">
      <w:pPr>
        <w:pStyle w:val="ItemHead"/>
      </w:pPr>
      <w:proofErr w:type="gramStart"/>
      <w:r>
        <w:t>21</w:t>
      </w:r>
      <w:r w:rsidR="00C907FF">
        <w:t xml:space="preserve">  </w:t>
      </w:r>
      <w:r w:rsidR="007F02E6">
        <w:t>Clause</w:t>
      </w:r>
      <w:proofErr w:type="gramEnd"/>
      <w:r w:rsidR="007F02E6">
        <w:t xml:space="preserve"> 35</w:t>
      </w:r>
    </w:p>
    <w:p w:rsidR="007F02E6" w:rsidRDefault="007F02E6" w:rsidP="007F02E6">
      <w:pPr>
        <w:pStyle w:val="Item"/>
      </w:pPr>
      <w:r>
        <w:t>Repeal the clause</w:t>
      </w:r>
      <w:r w:rsidR="00FF09B5">
        <w:t>.</w:t>
      </w:r>
    </w:p>
    <w:p w:rsidR="007F02E6" w:rsidRDefault="00E538DD" w:rsidP="007F02E6">
      <w:pPr>
        <w:pStyle w:val="ItemHead"/>
      </w:pPr>
      <w:proofErr w:type="gramStart"/>
      <w:r>
        <w:t>22</w:t>
      </w:r>
      <w:r w:rsidR="00C907FF">
        <w:t xml:space="preserve">  </w:t>
      </w:r>
      <w:r w:rsidR="00FF160E">
        <w:t>Clause</w:t>
      </w:r>
      <w:proofErr w:type="gramEnd"/>
      <w:r w:rsidR="00FF160E">
        <w:t xml:space="preserve"> 35A</w:t>
      </w:r>
    </w:p>
    <w:p w:rsidR="006664DE" w:rsidRDefault="00FF160E" w:rsidP="006664DE">
      <w:pPr>
        <w:pStyle w:val="Item"/>
      </w:pPr>
      <w:r>
        <w:t>Repeal the clause, substitute:</w:t>
      </w:r>
    </w:p>
    <w:p w:rsidR="00B161C4" w:rsidRDefault="00B161C4" w:rsidP="00B161C4">
      <w:pPr>
        <w:pStyle w:val="ItemHead"/>
        <w:rPr>
          <w:rFonts w:ascii="Times New Roman" w:hAnsi="Times New Roman"/>
        </w:rPr>
      </w:pPr>
      <w:proofErr w:type="gramStart"/>
      <w:r w:rsidRPr="00C907FF">
        <w:rPr>
          <w:rFonts w:ascii="Times New Roman" w:hAnsi="Times New Roman"/>
        </w:rPr>
        <w:t>35A  Moves</w:t>
      </w:r>
      <w:proofErr w:type="gramEnd"/>
      <w:r w:rsidRPr="00C907FF">
        <w:rPr>
          <w:rFonts w:ascii="Times New Roman" w:hAnsi="Times New Roman"/>
        </w:rPr>
        <w:t xml:space="preserve"> between Departments</w:t>
      </w:r>
      <w:r w:rsidR="00072390" w:rsidRPr="002E6F67">
        <w:rPr>
          <w:rFonts w:ascii="Times New Roman" w:hAnsi="Times New Roman"/>
        </w:rPr>
        <w:t xml:space="preserve"> </w:t>
      </w:r>
      <w:r w:rsidR="0043483D" w:rsidRPr="0043483D">
        <w:rPr>
          <w:rFonts w:ascii="Times New Roman" w:hAnsi="Times New Roman"/>
        </w:rPr>
        <w:t>not associated with promotion</w:t>
      </w:r>
      <w:r w:rsidR="0043483D" w:rsidRPr="002E6F67">
        <w:rPr>
          <w:rFonts w:ascii="Times New Roman" w:hAnsi="Times New Roman"/>
        </w:rPr>
        <w:t xml:space="preserve"> </w:t>
      </w:r>
    </w:p>
    <w:p w:rsidR="006664DE" w:rsidRPr="0040373E" w:rsidRDefault="006664DE" w:rsidP="006664DE">
      <w:pPr>
        <w:pStyle w:val="subsection"/>
      </w:pPr>
      <w:r>
        <w:tab/>
      </w:r>
      <w:r w:rsidRPr="0040373E">
        <w:t>(1)</w:t>
      </w:r>
      <w:r w:rsidRPr="0040373E">
        <w:tab/>
        <w:t xml:space="preserve">This </w:t>
      </w:r>
      <w:r w:rsidR="00B161C4">
        <w:t xml:space="preserve">clause </w:t>
      </w:r>
      <w:r w:rsidRPr="0040373E">
        <w:t>applies if:</w:t>
      </w:r>
    </w:p>
    <w:p w:rsidR="006664DE" w:rsidRPr="0040373E" w:rsidRDefault="006664DE" w:rsidP="006664DE">
      <w:pPr>
        <w:pStyle w:val="paragraph"/>
      </w:pPr>
      <w:r w:rsidRPr="0040373E">
        <w:tab/>
      </w:r>
      <w:r>
        <w:t>(a)</w:t>
      </w:r>
      <w:r>
        <w:tab/>
      </w:r>
      <w:proofErr w:type="gramStart"/>
      <w:r w:rsidR="00B161C4">
        <w:t>a</w:t>
      </w:r>
      <w:proofErr w:type="gramEnd"/>
      <w:r>
        <w:t xml:space="preserve"> Secretary</w:t>
      </w:r>
      <w:r w:rsidRPr="0040373E">
        <w:t xml:space="preserve"> enters into a writt</w:t>
      </w:r>
      <w:r>
        <w:t>en agreement with an ongoing Parliamentary Service</w:t>
      </w:r>
      <w:r w:rsidRPr="0040373E">
        <w:t xml:space="preserve"> employee for the employee to move to the </w:t>
      </w:r>
      <w:r>
        <w:t>Secretary’s</w:t>
      </w:r>
      <w:r w:rsidR="003A7E2C">
        <w:t xml:space="preserve"> Department</w:t>
      </w:r>
      <w:r w:rsidRPr="0040373E">
        <w:t xml:space="preserve"> (the </w:t>
      </w:r>
      <w:r w:rsidR="003A7E2C">
        <w:rPr>
          <w:b/>
          <w:i/>
        </w:rPr>
        <w:t>new Department</w:t>
      </w:r>
      <w:r w:rsidR="003A7E2C">
        <w:t>) from another Department</w:t>
      </w:r>
      <w:r w:rsidRPr="0040373E">
        <w:t xml:space="preserve"> (the </w:t>
      </w:r>
      <w:r w:rsidR="003A7E2C">
        <w:rPr>
          <w:b/>
          <w:i/>
        </w:rPr>
        <w:t>original Department</w:t>
      </w:r>
      <w:r w:rsidRPr="0040373E">
        <w:t>); and</w:t>
      </w:r>
    </w:p>
    <w:p w:rsidR="00740363" w:rsidRDefault="006664DE" w:rsidP="00740363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movement between </w:t>
      </w:r>
      <w:r w:rsidR="003A7E2C">
        <w:t>Departments</w:t>
      </w:r>
      <w:r w:rsidRPr="0040373E">
        <w:t xml:space="preserve"> is n</w:t>
      </w:r>
      <w:r w:rsidR="00740363">
        <w:t>ot associated with a promotion.</w:t>
      </w:r>
    </w:p>
    <w:p w:rsidR="006664DE" w:rsidRPr="0040373E" w:rsidRDefault="00740363" w:rsidP="006664DE">
      <w:pPr>
        <w:pStyle w:val="subsection"/>
      </w:pPr>
      <w:r>
        <w:tab/>
      </w:r>
      <w:r w:rsidR="006664DE" w:rsidRPr="0040373E">
        <w:t>(2)</w:t>
      </w:r>
      <w:r w:rsidR="006664DE" w:rsidRPr="0040373E">
        <w:tab/>
        <w:t>The move takes effect:</w:t>
      </w:r>
    </w:p>
    <w:p w:rsidR="006664DE" w:rsidRPr="0040373E" w:rsidRDefault="006664DE" w:rsidP="006664DE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in</w:t>
      </w:r>
      <w:proofErr w:type="gramEnd"/>
      <w:r w:rsidRPr="0040373E">
        <w:t xml:space="preserve"> the case of an ongoing move:</w:t>
      </w:r>
    </w:p>
    <w:p w:rsidR="006664DE" w:rsidRPr="0040373E" w:rsidRDefault="006664DE" w:rsidP="006664DE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if</w:t>
      </w:r>
      <w:proofErr w:type="gramEnd"/>
      <w:r w:rsidRPr="0040373E">
        <w:t xml:space="preserve"> a date of effect has been agreed by the </w:t>
      </w:r>
      <w:r w:rsidR="003A7E2C">
        <w:t xml:space="preserve">Parliamentary Service </w:t>
      </w:r>
      <w:r w:rsidRPr="0040373E">
        <w:t xml:space="preserve">employee and the </w:t>
      </w:r>
      <w:r w:rsidR="00A146E6">
        <w:t xml:space="preserve">2 </w:t>
      </w:r>
      <w:r w:rsidR="003A7E2C">
        <w:t>Secretaries</w:t>
      </w:r>
      <w:r w:rsidRPr="0040373E">
        <w:t>—on the agreed date of effect; and</w:t>
      </w:r>
    </w:p>
    <w:p w:rsidR="006664DE" w:rsidRPr="0040373E" w:rsidRDefault="006664DE" w:rsidP="006664DE">
      <w:pPr>
        <w:pStyle w:val="paragraphsub"/>
      </w:pPr>
      <w:r w:rsidRPr="0040373E">
        <w:tab/>
        <w:t>(ii)</w:t>
      </w:r>
      <w:r w:rsidRPr="0040373E">
        <w:tab/>
        <w:t>if a date of effect has not b</w:t>
      </w:r>
      <w:r w:rsidR="003A7E2C">
        <w:t>een agreed—4 weeks after the Parliamentary</w:t>
      </w:r>
      <w:r w:rsidRPr="0040373E">
        <w:t xml:space="preserve"> </w:t>
      </w:r>
      <w:r w:rsidR="00A146E6">
        <w:t xml:space="preserve">Service </w:t>
      </w:r>
      <w:r w:rsidRPr="0040373E">
        <w:t xml:space="preserve">employee informs the original </w:t>
      </w:r>
      <w:r w:rsidR="003A7E2C">
        <w:t>Secretary</w:t>
      </w:r>
      <w:r w:rsidRPr="0040373E">
        <w:t xml:space="preserve"> in writing; and</w:t>
      </w:r>
    </w:p>
    <w:p w:rsidR="006664DE" w:rsidRPr="0040373E" w:rsidRDefault="006664DE" w:rsidP="006664DE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in</w:t>
      </w:r>
      <w:proofErr w:type="gramEnd"/>
      <w:r w:rsidRPr="0040373E">
        <w:t xml:space="preserve"> the case of a temporary move:</w:t>
      </w:r>
    </w:p>
    <w:p w:rsidR="006664DE" w:rsidRPr="0040373E" w:rsidRDefault="00AC2649" w:rsidP="006664DE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if</w:t>
      </w:r>
      <w:proofErr w:type="gramEnd"/>
      <w:r>
        <w:t xml:space="preserve"> the original Secretary</w:t>
      </w:r>
      <w:r w:rsidR="006664DE" w:rsidRPr="0040373E">
        <w:t xml:space="preserve"> has approved it in writing—on the date of effect specified in the approval; and</w:t>
      </w:r>
    </w:p>
    <w:p w:rsidR="006664DE" w:rsidRPr="0040373E" w:rsidRDefault="006664DE" w:rsidP="006664DE">
      <w:pPr>
        <w:pStyle w:val="paragraphsub"/>
      </w:pPr>
      <w:r w:rsidRPr="0040373E">
        <w:lastRenderedPageBreak/>
        <w:tab/>
      </w:r>
      <w:r w:rsidR="00AC2649">
        <w:t>(ii)</w:t>
      </w:r>
      <w:r w:rsidR="00AC2649">
        <w:tab/>
      </w:r>
      <w:proofErr w:type="gramStart"/>
      <w:r w:rsidR="00AC2649">
        <w:t>if</w:t>
      </w:r>
      <w:proofErr w:type="gramEnd"/>
      <w:r w:rsidR="00AC2649">
        <w:t xml:space="preserve"> the original Secretary</w:t>
      </w:r>
      <w:r w:rsidRPr="0040373E">
        <w:t xml:space="preserve"> has not approved i</w:t>
      </w:r>
      <w:r w:rsidR="008B480B">
        <w:t>t in writing—on the date the Parliamentary Service</w:t>
      </w:r>
      <w:r w:rsidRPr="0040373E">
        <w:t xml:space="preserve"> employee begins duties in the new </w:t>
      </w:r>
      <w:r w:rsidR="008B480B">
        <w:t>Department</w:t>
      </w:r>
      <w:r w:rsidRPr="0040373E">
        <w:t>. The move has the effect of a</w:t>
      </w:r>
      <w:r w:rsidR="008B480B">
        <w:t>n ongoing move to the new Department at the Parliamentary Service</w:t>
      </w:r>
      <w:r w:rsidRPr="0040373E">
        <w:t xml:space="preserve"> employee’s existing classification.</w:t>
      </w:r>
    </w:p>
    <w:p w:rsidR="006664DE" w:rsidRPr="0040373E" w:rsidRDefault="006664DE" w:rsidP="006664DE">
      <w:pPr>
        <w:pStyle w:val="subsection"/>
      </w:pPr>
      <w:r w:rsidRPr="0040373E">
        <w:tab/>
        <w:t>(3)</w:t>
      </w:r>
      <w:r w:rsidRPr="0040373E">
        <w:tab/>
        <w:t xml:space="preserve">In the case of an agreed temporary move, an agreement between the new </w:t>
      </w:r>
      <w:r w:rsidR="008B480B">
        <w:t>Secretary and the Parliamentary Service</w:t>
      </w:r>
      <w:r w:rsidRPr="0040373E">
        <w:t xml:space="preserve"> employee to vary the period of the move:</w:t>
      </w:r>
    </w:p>
    <w:p w:rsidR="006664DE" w:rsidRPr="0040373E" w:rsidRDefault="006664DE" w:rsidP="006664DE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if</w:t>
      </w:r>
      <w:proofErr w:type="gramEnd"/>
      <w:r w:rsidRPr="0040373E">
        <w:t xml:space="preserve"> approved by the original </w:t>
      </w:r>
      <w:r w:rsidR="008B480B">
        <w:t>Secretary</w:t>
      </w:r>
      <w:r w:rsidRPr="0040373E">
        <w:t xml:space="preserve"> in writing—has effect according to its terms; and</w:t>
      </w:r>
    </w:p>
    <w:p w:rsidR="006664DE" w:rsidRPr="0040373E" w:rsidRDefault="006664DE" w:rsidP="006664DE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if</w:t>
      </w:r>
      <w:proofErr w:type="gramEnd"/>
      <w:r w:rsidRPr="0040373E">
        <w:t xml:space="preserve"> not approved by the original </w:t>
      </w:r>
      <w:r w:rsidR="008B480B">
        <w:t>Secretary</w:t>
      </w:r>
      <w:r w:rsidRPr="0040373E">
        <w:t xml:space="preserve"> in writing—has no effect.</w:t>
      </w:r>
    </w:p>
    <w:p w:rsidR="006664DE" w:rsidRPr="0040373E" w:rsidRDefault="006664DE" w:rsidP="006664DE">
      <w:pPr>
        <w:pStyle w:val="SubsectionHead"/>
      </w:pPr>
      <w:r w:rsidRPr="0040373E">
        <w:t xml:space="preserve">Movement </w:t>
      </w:r>
      <w:r w:rsidR="00C70A0E">
        <w:t xml:space="preserve">between Departments </w:t>
      </w:r>
      <w:r w:rsidRPr="0040373E">
        <w:t>in cases of a suspected breach of the Code of Conduct</w:t>
      </w:r>
    </w:p>
    <w:p w:rsidR="006664DE" w:rsidRPr="0040373E" w:rsidRDefault="006664DE" w:rsidP="006664DE">
      <w:pPr>
        <w:pStyle w:val="subsection"/>
      </w:pPr>
      <w:r w:rsidRPr="0040373E">
        <w:tab/>
        <w:t>(4)</w:t>
      </w:r>
      <w:r w:rsidRPr="0040373E">
        <w:tab/>
        <w:t xml:space="preserve">Despite </w:t>
      </w:r>
      <w:r w:rsidR="00A146E6" w:rsidRPr="0040373E">
        <w:t>sub</w:t>
      </w:r>
      <w:r w:rsidR="00A146E6">
        <w:t>clause</w:t>
      </w:r>
      <w:r w:rsidR="00A146E6" w:rsidRPr="0040373E">
        <w:t> </w:t>
      </w:r>
      <w:r w:rsidRPr="0040373E">
        <w:t>(2), if:</w:t>
      </w:r>
    </w:p>
    <w:p w:rsidR="006664DE" w:rsidRPr="0040373E" w:rsidRDefault="008B480B" w:rsidP="006664DE">
      <w:pPr>
        <w:pStyle w:val="paragraph"/>
      </w:pPr>
      <w:r>
        <w:tab/>
        <w:t>(a)</w:t>
      </w:r>
      <w:r>
        <w:tab/>
        <w:t>a Parliamentary Service</w:t>
      </w:r>
      <w:r w:rsidR="006664DE" w:rsidRPr="0040373E">
        <w:t xml:space="preserve"> employee is suspected of having breached the Code of Conduct and is formally advised of the suspected breach in accordance with procedures established under subsection </w:t>
      </w:r>
      <w:r w:rsidR="006737B6">
        <w:t>15(</w:t>
      </w:r>
      <w:r w:rsidR="00887BAE">
        <w:t>3</w:t>
      </w:r>
      <w:r w:rsidR="006737B6">
        <w:t>)</w:t>
      </w:r>
      <w:r w:rsidR="00887BAE">
        <w:t xml:space="preserve"> or 48A(2)</w:t>
      </w:r>
      <w:r w:rsidR="006737B6">
        <w:t xml:space="preserve"> of the Act</w:t>
      </w:r>
      <w:r w:rsidR="006664DE" w:rsidRPr="0040373E">
        <w:t>; and</w:t>
      </w:r>
    </w:p>
    <w:p w:rsidR="006664DE" w:rsidRPr="0040373E" w:rsidRDefault="006664DE" w:rsidP="006664DE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matter to which the suspected breach relates has not yet been resolved;</w:t>
      </w:r>
    </w:p>
    <w:p w:rsidR="006664DE" w:rsidRPr="0040373E" w:rsidRDefault="006664DE" w:rsidP="006664DE">
      <w:pPr>
        <w:pStyle w:val="subsection2"/>
      </w:pPr>
      <w:proofErr w:type="gramStart"/>
      <w:r w:rsidRPr="0040373E">
        <w:t>then</w:t>
      </w:r>
      <w:proofErr w:type="gramEnd"/>
      <w:r w:rsidRPr="0040373E">
        <w:t xml:space="preserve">, unless </w:t>
      </w:r>
      <w:r w:rsidR="00F97CEE">
        <w:t>the Parliamentary Service employee’s current Secretary</w:t>
      </w:r>
      <w:r w:rsidRPr="0040373E">
        <w:t xml:space="preserve"> and the new </w:t>
      </w:r>
      <w:r w:rsidR="00F97CEE">
        <w:t>Secretary</w:t>
      </w:r>
      <w:r w:rsidRPr="0040373E">
        <w:t xml:space="preserve"> ag</w:t>
      </w:r>
      <w:r w:rsidR="00F97CEE">
        <w:t>ree otherwise, a move by the Parliamentary Service</w:t>
      </w:r>
      <w:r w:rsidRPr="0040373E">
        <w:t xml:space="preserve"> employee does not take effect until the matter to which the suspected breach relates is resolved.</w:t>
      </w:r>
    </w:p>
    <w:p w:rsidR="006664DE" w:rsidRPr="0040373E" w:rsidRDefault="006664DE" w:rsidP="006664DE">
      <w:pPr>
        <w:pStyle w:val="subsection"/>
      </w:pPr>
      <w:r w:rsidRPr="0040373E">
        <w:tab/>
        <w:t>(5)</w:t>
      </w:r>
      <w:r w:rsidRPr="0040373E">
        <w:tab/>
        <w:t xml:space="preserve">For the purposes of </w:t>
      </w:r>
      <w:r w:rsidR="00A146E6" w:rsidRPr="0040373E">
        <w:t>sub</w:t>
      </w:r>
      <w:r w:rsidR="00A146E6">
        <w:t>clause</w:t>
      </w:r>
      <w:r w:rsidR="00A146E6" w:rsidRPr="0040373E">
        <w:t> </w:t>
      </w:r>
      <w:r w:rsidRPr="0040373E">
        <w:t>(4), the matter to which the suspected breach relates is taken to be resolved when:</w:t>
      </w:r>
    </w:p>
    <w:p w:rsidR="006664DE" w:rsidRPr="0040373E" w:rsidRDefault="006664DE" w:rsidP="006664DE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determinati</w:t>
      </w:r>
      <w:r w:rsidR="00F97CEE">
        <w:t>on is made as to whether the Parliamentary Service</w:t>
      </w:r>
      <w:r w:rsidRPr="0040373E">
        <w:t xml:space="preserve"> employee has breached the Code of Conduct; or</w:t>
      </w:r>
    </w:p>
    <w:p w:rsidR="006664DE" w:rsidRPr="0040373E" w:rsidRDefault="006664DE" w:rsidP="006664DE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is decided that such a determination is not necessary.</w:t>
      </w:r>
    </w:p>
    <w:p w:rsidR="009139E1" w:rsidRDefault="009139E1" w:rsidP="009139E1">
      <w:pPr>
        <w:pStyle w:val="ItemHead"/>
      </w:pPr>
      <w:bookmarkStart w:id="20" w:name="_Toc461440439"/>
      <w:proofErr w:type="gramStart"/>
      <w:r>
        <w:t>23</w:t>
      </w:r>
      <w:r w:rsidRPr="005335A2">
        <w:t xml:space="preserve">  </w:t>
      </w:r>
      <w:r>
        <w:t>After</w:t>
      </w:r>
      <w:proofErr w:type="gramEnd"/>
      <w:r>
        <w:t xml:space="preserve"> clause 35A</w:t>
      </w:r>
    </w:p>
    <w:p w:rsidR="009139E1" w:rsidRDefault="009139E1" w:rsidP="009139E1">
      <w:pPr>
        <w:pStyle w:val="Item"/>
      </w:pPr>
      <w:r w:rsidRPr="00C677C0">
        <w:t>Insert</w:t>
      </w:r>
      <w:r>
        <w:t>:</w:t>
      </w:r>
    </w:p>
    <w:p w:rsidR="006664DE" w:rsidRPr="009139E1" w:rsidRDefault="009139E1" w:rsidP="009139E1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35B  </w:t>
      </w:r>
      <w:r w:rsidR="0084021D" w:rsidRPr="009139E1">
        <w:rPr>
          <w:rFonts w:ascii="Times New Roman" w:hAnsi="Times New Roman"/>
        </w:rPr>
        <w:t>Moves</w:t>
      </w:r>
      <w:proofErr w:type="gramEnd"/>
      <w:r w:rsidR="0084021D" w:rsidRPr="009139E1">
        <w:rPr>
          <w:rFonts w:ascii="Times New Roman" w:hAnsi="Times New Roman"/>
        </w:rPr>
        <w:t xml:space="preserve"> between </w:t>
      </w:r>
      <w:r w:rsidR="00A146E6" w:rsidRPr="009139E1">
        <w:rPr>
          <w:rFonts w:ascii="Times New Roman" w:hAnsi="Times New Roman"/>
        </w:rPr>
        <w:t>D</w:t>
      </w:r>
      <w:r w:rsidR="0084021D" w:rsidRPr="009139E1">
        <w:rPr>
          <w:rFonts w:ascii="Times New Roman" w:hAnsi="Times New Roman"/>
        </w:rPr>
        <w:t>epartments</w:t>
      </w:r>
      <w:r w:rsidR="006664DE" w:rsidRPr="009139E1">
        <w:rPr>
          <w:rFonts w:ascii="Times New Roman" w:hAnsi="Times New Roman"/>
        </w:rPr>
        <w:t xml:space="preserve"> on promotion</w:t>
      </w:r>
      <w:bookmarkEnd w:id="20"/>
    </w:p>
    <w:p w:rsidR="006664DE" w:rsidRPr="0040373E" w:rsidRDefault="006664DE" w:rsidP="006664DE">
      <w:pPr>
        <w:pStyle w:val="subsection"/>
      </w:pPr>
      <w:r w:rsidRPr="0040373E">
        <w:tab/>
        <w:t>(</w:t>
      </w:r>
      <w:r w:rsidR="009139E1">
        <w:t>1</w:t>
      </w:r>
      <w:r w:rsidRPr="0040373E">
        <w:t>)</w:t>
      </w:r>
      <w:r w:rsidRPr="0040373E">
        <w:tab/>
        <w:t>If:</w:t>
      </w:r>
    </w:p>
    <w:p w:rsidR="006664DE" w:rsidRPr="0040373E" w:rsidRDefault="006664DE" w:rsidP="006664DE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dec</w:t>
      </w:r>
      <w:r w:rsidR="00F97CEE">
        <w:t>ision is taken to promote a Parliamentary Service</w:t>
      </w:r>
      <w:r w:rsidRPr="0040373E">
        <w:t xml:space="preserve"> employee; and</w:t>
      </w:r>
    </w:p>
    <w:p w:rsidR="006664DE" w:rsidRPr="0040373E" w:rsidRDefault="00F97CEE" w:rsidP="006664DE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Parliamentary Service</w:t>
      </w:r>
      <w:r w:rsidR="006664DE" w:rsidRPr="0040373E">
        <w:t xml:space="preserve"> employee is suspected of having breached the Code of Conduct and is formally advised of the suspected breach in accordance with procedures established under subsection </w:t>
      </w:r>
      <w:r>
        <w:t>15(</w:t>
      </w:r>
      <w:r w:rsidR="00887BAE">
        <w:t>3</w:t>
      </w:r>
      <w:r w:rsidR="006664DE" w:rsidRPr="0040373E">
        <w:t>)</w:t>
      </w:r>
      <w:r w:rsidR="00887BAE">
        <w:t xml:space="preserve"> or 48A(2)</w:t>
      </w:r>
      <w:r>
        <w:t xml:space="preserve"> of the Act</w:t>
      </w:r>
      <w:r w:rsidR="006664DE" w:rsidRPr="0040373E">
        <w:t>; and</w:t>
      </w:r>
    </w:p>
    <w:p w:rsidR="006664DE" w:rsidRPr="0040373E" w:rsidRDefault="006664DE" w:rsidP="006664DE">
      <w:pPr>
        <w:pStyle w:val="paragraph"/>
      </w:pPr>
      <w:r w:rsidRPr="0040373E">
        <w:tab/>
        <w:t>(c)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matter to which the suspected breach relate</w:t>
      </w:r>
      <w:r w:rsidR="0084021D">
        <w:t>s is not resolved before the Parliamentary Service</w:t>
      </w:r>
      <w:r w:rsidRPr="0040373E">
        <w:t xml:space="preserve"> employee moves to take up the promotion;</w:t>
      </w:r>
    </w:p>
    <w:p w:rsidR="006664DE" w:rsidRPr="0040373E" w:rsidRDefault="0084021D" w:rsidP="006664DE">
      <w:pPr>
        <w:pStyle w:val="subsection2"/>
      </w:pPr>
      <w:proofErr w:type="gramStart"/>
      <w:r>
        <w:t>then</w:t>
      </w:r>
      <w:proofErr w:type="gramEnd"/>
      <w:r>
        <w:t>, unless the Parliamentary Service employee’s current Secretary and the new Secretary</w:t>
      </w:r>
      <w:r w:rsidR="006664DE" w:rsidRPr="0040373E">
        <w:t xml:space="preserve"> agree otherwise, th</w:t>
      </w:r>
      <w:r>
        <w:t>e Parliamentary Service</w:t>
      </w:r>
      <w:r w:rsidR="006664DE" w:rsidRPr="0040373E">
        <w:t xml:space="preserve"> employee’s promotion does not take effect until the matter to which the suspected breach relates is resolved.</w:t>
      </w:r>
    </w:p>
    <w:p w:rsidR="006664DE" w:rsidRPr="0040373E" w:rsidRDefault="006664DE" w:rsidP="006664DE">
      <w:pPr>
        <w:pStyle w:val="subsection"/>
      </w:pPr>
      <w:r w:rsidRPr="0040373E">
        <w:tab/>
        <w:t>(</w:t>
      </w:r>
      <w:r w:rsidR="009139E1">
        <w:t>2</w:t>
      </w:r>
      <w:r w:rsidRPr="0040373E">
        <w:t>)</w:t>
      </w:r>
      <w:r w:rsidRPr="0040373E">
        <w:tab/>
        <w:t xml:space="preserve">For the purposes of </w:t>
      </w:r>
      <w:r w:rsidR="00A146E6" w:rsidRPr="0040373E">
        <w:t>sub</w:t>
      </w:r>
      <w:r w:rsidR="00A146E6">
        <w:t>clause</w:t>
      </w:r>
      <w:r w:rsidR="00A146E6" w:rsidRPr="0040373E">
        <w:t> </w:t>
      </w:r>
      <w:r w:rsidRPr="0040373E">
        <w:t>(</w:t>
      </w:r>
      <w:r w:rsidR="009139E1">
        <w:t>1</w:t>
      </w:r>
      <w:r w:rsidRPr="0040373E">
        <w:t>), the matter to which the suspected breach relates is taken to be resolved when:</w:t>
      </w:r>
    </w:p>
    <w:p w:rsidR="006664DE" w:rsidRPr="0040373E" w:rsidRDefault="006664DE" w:rsidP="006664DE">
      <w:pPr>
        <w:pStyle w:val="paragraph"/>
      </w:pPr>
      <w:r w:rsidRPr="0040373E">
        <w:lastRenderedPageBreak/>
        <w:tab/>
        <w:t>(a)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determination</w:t>
      </w:r>
      <w:r w:rsidR="0084021D">
        <w:t xml:space="preserve"> is made as to whether the Parliamentary Service</w:t>
      </w:r>
      <w:r w:rsidRPr="0040373E">
        <w:t xml:space="preserve"> employee has breached the Code of Conduct; or</w:t>
      </w:r>
    </w:p>
    <w:p w:rsidR="00FF160E" w:rsidRDefault="006664DE" w:rsidP="0044046B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is decided that such a determination is not necessary.</w:t>
      </w:r>
    </w:p>
    <w:p w:rsidR="00072390" w:rsidRPr="009139E1" w:rsidRDefault="009139E1" w:rsidP="009139E1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35C  </w:t>
      </w:r>
      <w:r w:rsidR="00EA6388" w:rsidRPr="009139E1">
        <w:rPr>
          <w:rFonts w:ascii="Times New Roman" w:hAnsi="Times New Roman"/>
        </w:rPr>
        <w:t>Movement</w:t>
      </w:r>
      <w:proofErr w:type="gramEnd"/>
      <w:r w:rsidR="00EA6388" w:rsidRPr="009139E1">
        <w:rPr>
          <w:rFonts w:ascii="Times New Roman" w:hAnsi="Times New Roman"/>
        </w:rPr>
        <w:t xml:space="preserve"> from an APS agency in</w:t>
      </w:r>
      <w:r w:rsidR="00C70A0E" w:rsidRPr="009139E1">
        <w:rPr>
          <w:rFonts w:ascii="Times New Roman" w:hAnsi="Times New Roman"/>
        </w:rPr>
        <w:t xml:space="preserve"> cases of a suspected breach of the</w:t>
      </w:r>
      <w:r w:rsidR="00473E64" w:rsidRPr="009139E1">
        <w:rPr>
          <w:rFonts w:ascii="Times New Roman" w:hAnsi="Times New Roman"/>
        </w:rPr>
        <w:t xml:space="preserve"> APS</w:t>
      </w:r>
      <w:r w:rsidR="00C70A0E" w:rsidRPr="009139E1">
        <w:rPr>
          <w:rFonts w:ascii="Times New Roman" w:hAnsi="Times New Roman"/>
        </w:rPr>
        <w:t xml:space="preserve"> Code of Conduct</w:t>
      </w:r>
    </w:p>
    <w:p w:rsidR="00C70A0E" w:rsidRPr="0040373E" w:rsidRDefault="00C70A0E" w:rsidP="00C70A0E">
      <w:pPr>
        <w:pStyle w:val="subsection"/>
      </w:pPr>
      <w:r w:rsidRPr="0040373E">
        <w:tab/>
        <w:t>(</w:t>
      </w:r>
      <w:r w:rsidR="009139E1">
        <w:t>1</w:t>
      </w:r>
      <w:r w:rsidRPr="0040373E">
        <w:t>)</w:t>
      </w:r>
      <w:r w:rsidRPr="0040373E">
        <w:tab/>
        <w:t>If:</w:t>
      </w:r>
    </w:p>
    <w:p w:rsidR="00C70A0E" w:rsidRPr="0040373E" w:rsidRDefault="00C70A0E" w:rsidP="00C70A0E">
      <w:pPr>
        <w:pStyle w:val="paragraph"/>
      </w:pPr>
      <w:r>
        <w:tab/>
        <w:t>(</w:t>
      </w:r>
      <w:r w:rsidR="00740363">
        <w:t>a</w:t>
      </w:r>
      <w:r>
        <w:t>)</w:t>
      </w:r>
      <w:r>
        <w:tab/>
        <w:t>an APS</w:t>
      </w:r>
      <w:r w:rsidRPr="0040373E">
        <w:t xml:space="preserve"> employee is suspected of having breached the </w:t>
      </w:r>
      <w:r>
        <w:t xml:space="preserve">APS </w:t>
      </w:r>
      <w:r w:rsidRPr="0040373E">
        <w:t xml:space="preserve">Code of Conduct and is formally advised of the suspected breach in accordance with procedures established under </w:t>
      </w:r>
      <w:r w:rsidR="00887BAE" w:rsidRPr="00887BAE">
        <w:t>subsec</w:t>
      </w:r>
      <w:r w:rsidR="004A7E94">
        <w:t xml:space="preserve">tion 15(3), 41B(3) or 50A(2) </w:t>
      </w:r>
      <w:r>
        <w:t xml:space="preserve">of the </w:t>
      </w:r>
      <w:r w:rsidRPr="0084021D">
        <w:rPr>
          <w:i/>
        </w:rPr>
        <w:t>Public Service Act 1999</w:t>
      </w:r>
      <w:r w:rsidRPr="0040373E">
        <w:t>; and</w:t>
      </w:r>
    </w:p>
    <w:p w:rsidR="00C70A0E" w:rsidRPr="0040373E" w:rsidRDefault="00C70A0E" w:rsidP="00C70A0E">
      <w:pPr>
        <w:pStyle w:val="paragraph"/>
      </w:pPr>
      <w:r w:rsidRPr="0040373E">
        <w:tab/>
        <w:t>(</w:t>
      </w:r>
      <w:r w:rsidR="00740363">
        <w:t>b</w:t>
      </w:r>
      <w:r w:rsidRPr="0040373E">
        <w:t>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matter to which the suspected breach relate</w:t>
      </w:r>
      <w:r>
        <w:t>s is not resolved before the APS employee move</w:t>
      </w:r>
      <w:r w:rsidR="00E76275">
        <w:t>s to a Department under section </w:t>
      </w:r>
      <w:r>
        <w:t>26 of the Act</w:t>
      </w:r>
      <w:r w:rsidRPr="0040373E">
        <w:t>;</w:t>
      </w:r>
    </w:p>
    <w:p w:rsidR="00C70A0E" w:rsidRPr="0040373E" w:rsidRDefault="00C70A0E" w:rsidP="00C70A0E">
      <w:pPr>
        <w:pStyle w:val="subsection2"/>
      </w:pPr>
      <w:proofErr w:type="gramStart"/>
      <w:r>
        <w:t>then</w:t>
      </w:r>
      <w:proofErr w:type="gramEnd"/>
      <w:r>
        <w:t>, unless the head of the APS agency in which the employee is employed and the Secretary of the Department to which the employee would be moving</w:t>
      </w:r>
      <w:r w:rsidRPr="0040373E">
        <w:t xml:space="preserve"> agree otherwise, th</w:t>
      </w:r>
      <w:r>
        <w:t>e movement</w:t>
      </w:r>
      <w:r w:rsidRPr="0040373E">
        <w:t xml:space="preserve"> does not take effect until the matter to which the suspected breach relates is resolved.</w:t>
      </w:r>
    </w:p>
    <w:p w:rsidR="00C70A0E" w:rsidRPr="0040373E" w:rsidRDefault="00C70A0E" w:rsidP="00C70A0E">
      <w:pPr>
        <w:pStyle w:val="subsection"/>
      </w:pPr>
      <w:r w:rsidRPr="0040373E">
        <w:tab/>
        <w:t>(</w:t>
      </w:r>
      <w:r w:rsidR="009139E1">
        <w:t>2</w:t>
      </w:r>
      <w:r w:rsidRPr="0040373E">
        <w:t>)</w:t>
      </w:r>
      <w:r w:rsidRPr="0040373E">
        <w:tab/>
        <w:t>For the purposes of sub</w:t>
      </w:r>
      <w:r>
        <w:t>clause</w:t>
      </w:r>
      <w:r w:rsidRPr="0040373E">
        <w:t> (</w:t>
      </w:r>
      <w:r w:rsidR="009139E1">
        <w:t>1</w:t>
      </w:r>
      <w:r w:rsidRPr="0040373E">
        <w:t>), the matter to which the suspected breach relates is taken to be resolved when:</w:t>
      </w:r>
    </w:p>
    <w:p w:rsidR="00C70A0E" w:rsidRPr="0040373E" w:rsidRDefault="00C70A0E" w:rsidP="00C70A0E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determination</w:t>
      </w:r>
      <w:r>
        <w:t xml:space="preserve"> is made as to whether the APS</w:t>
      </w:r>
      <w:r w:rsidRPr="0040373E">
        <w:t xml:space="preserve"> employee has breached the </w:t>
      </w:r>
      <w:r>
        <w:t xml:space="preserve">APS </w:t>
      </w:r>
      <w:r w:rsidRPr="0040373E">
        <w:t>Code of Conduct; or</w:t>
      </w:r>
    </w:p>
    <w:p w:rsidR="00C70A0E" w:rsidRDefault="00C70A0E" w:rsidP="00C70A0E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it</w:t>
      </w:r>
      <w:proofErr w:type="gramEnd"/>
      <w:r w:rsidRPr="0040373E">
        <w:t xml:space="preserve"> is decided that such a determination is not necessary.</w:t>
      </w:r>
    </w:p>
    <w:p w:rsidR="00EA6388" w:rsidRDefault="00C70A0E" w:rsidP="00005CFD">
      <w:pPr>
        <w:pStyle w:val="subsection"/>
      </w:pPr>
      <w:r>
        <w:tab/>
      </w:r>
      <w:r w:rsidRPr="0040373E">
        <w:t>(</w:t>
      </w:r>
      <w:r w:rsidR="009139E1">
        <w:t>3</w:t>
      </w:r>
      <w:r w:rsidRPr="0040373E">
        <w:t>)</w:t>
      </w:r>
      <w:r w:rsidRPr="0040373E">
        <w:tab/>
      </w:r>
      <w:r w:rsidR="00EA6388">
        <w:t>In this clause:</w:t>
      </w:r>
    </w:p>
    <w:p w:rsidR="00C70A0E" w:rsidRDefault="00EA6388" w:rsidP="00005CFD">
      <w:pPr>
        <w:pStyle w:val="subsection"/>
      </w:pPr>
      <w:r>
        <w:tab/>
      </w:r>
      <w:r>
        <w:tab/>
      </w:r>
      <w:r>
        <w:rPr>
          <w:b/>
          <w:i/>
        </w:rPr>
        <w:t>APS Code of Conduct</w:t>
      </w:r>
      <w:r w:rsidR="00E76275">
        <w:t xml:space="preserve"> means the rules in section </w:t>
      </w:r>
      <w:r>
        <w:t xml:space="preserve">13 of the </w:t>
      </w:r>
      <w:r>
        <w:rPr>
          <w:i/>
        </w:rPr>
        <w:t>Public Service Act 1999.</w:t>
      </w:r>
    </w:p>
    <w:p w:rsidR="00FF09B5" w:rsidRDefault="009139E1" w:rsidP="00FF09B5">
      <w:pPr>
        <w:pStyle w:val="ItemHead"/>
      </w:pPr>
      <w:proofErr w:type="gramStart"/>
      <w:r>
        <w:t xml:space="preserve">24  </w:t>
      </w:r>
      <w:r w:rsidR="00FF09B5">
        <w:t>Clause</w:t>
      </w:r>
      <w:proofErr w:type="gramEnd"/>
      <w:r w:rsidR="00FF09B5">
        <w:t xml:space="preserve"> 36</w:t>
      </w:r>
    </w:p>
    <w:p w:rsidR="00FF09B5" w:rsidRDefault="00FF09B5" w:rsidP="00FF09B5">
      <w:pPr>
        <w:pStyle w:val="Item"/>
      </w:pPr>
      <w:r>
        <w:t>Repeal the clause.</w:t>
      </w:r>
    </w:p>
    <w:p w:rsidR="0044046B" w:rsidRDefault="009139E1" w:rsidP="0044046B">
      <w:pPr>
        <w:pStyle w:val="ItemHead"/>
      </w:pPr>
      <w:proofErr w:type="gramStart"/>
      <w:r>
        <w:t xml:space="preserve">25  </w:t>
      </w:r>
      <w:r w:rsidR="00684ACA">
        <w:t>C</w:t>
      </w:r>
      <w:r w:rsidR="0044046B">
        <w:t>lause</w:t>
      </w:r>
      <w:proofErr w:type="gramEnd"/>
      <w:r w:rsidR="0044046B">
        <w:t xml:space="preserve"> 37</w:t>
      </w:r>
    </w:p>
    <w:p w:rsidR="00684ACA" w:rsidRDefault="00684ACA" w:rsidP="00684ACA">
      <w:pPr>
        <w:pStyle w:val="Item"/>
      </w:pPr>
      <w:r>
        <w:t>Repeal the clause</w:t>
      </w:r>
      <w:r w:rsidR="00887BAE">
        <w:t>.</w:t>
      </w:r>
    </w:p>
    <w:p w:rsidR="00B8700D" w:rsidRDefault="009139E1" w:rsidP="00B8700D">
      <w:pPr>
        <w:pStyle w:val="ItemHead"/>
      </w:pPr>
      <w:proofErr w:type="gramStart"/>
      <w:r>
        <w:t xml:space="preserve">26  </w:t>
      </w:r>
      <w:r w:rsidR="00F437FC">
        <w:t>Clause</w:t>
      </w:r>
      <w:proofErr w:type="gramEnd"/>
      <w:r w:rsidR="00F437FC">
        <w:t xml:space="preserve"> </w:t>
      </w:r>
      <w:r w:rsidR="00B8700D">
        <w:t>39</w:t>
      </w:r>
    </w:p>
    <w:p w:rsidR="00F437FC" w:rsidRDefault="001F2A15" w:rsidP="00F437FC">
      <w:pPr>
        <w:pStyle w:val="Item"/>
      </w:pPr>
      <w:r>
        <w:t>Repeal</w:t>
      </w:r>
      <w:r w:rsidR="00042B6C">
        <w:t xml:space="preserve"> the</w:t>
      </w:r>
      <w:r>
        <w:t xml:space="preserve"> </w:t>
      </w:r>
      <w:r w:rsidR="00F437FC">
        <w:t>clause, substitute:</w:t>
      </w:r>
    </w:p>
    <w:p w:rsidR="00F437FC" w:rsidRPr="00F437FC" w:rsidRDefault="000A74FA" w:rsidP="00F437FC">
      <w:pPr>
        <w:pStyle w:val="ActHead5"/>
      </w:pPr>
      <w:proofErr w:type="gramStart"/>
      <w:r>
        <w:t>3</w:t>
      </w:r>
      <w:r w:rsidR="00AE2080">
        <w:t xml:space="preserve">9  </w:t>
      </w:r>
      <w:r w:rsidR="00F437FC" w:rsidRPr="0040373E">
        <w:t>Gazettal</w:t>
      </w:r>
      <w:proofErr w:type="gramEnd"/>
      <w:r w:rsidR="00F437FC" w:rsidRPr="0040373E">
        <w:t xml:space="preserve"> of employment decisions</w:t>
      </w:r>
    </w:p>
    <w:p w:rsidR="00F437FC" w:rsidRPr="0040373E" w:rsidRDefault="00F437FC" w:rsidP="00F437FC">
      <w:pPr>
        <w:pStyle w:val="SubsectionHead"/>
      </w:pPr>
      <w:r w:rsidRPr="0040373E">
        <w:t>Decisions that must be notified</w:t>
      </w:r>
    </w:p>
    <w:p w:rsidR="00F437FC" w:rsidRPr="0040373E" w:rsidRDefault="00F437FC" w:rsidP="00F437FC">
      <w:pPr>
        <w:pStyle w:val="subsection"/>
      </w:pPr>
      <w:r>
        <w:tab/>
        <w:t>(1)</w:t>
      </w:r>
      <w:r>
        <w:tab/>
        <w:t>A Secretary</w:t>
      </w:r>
      <w:r w:rsidRPr="0040373E">
        <w:t xml:space="preserve"> must notify the following employment decisions in the Public Service </w:t>
      </w:r>
      <w:r w:rsidRPr="00005CFD">
        <w:rPr>
          <w:i/>
        </w:rPr>
        <w:t>Gazette</w:t>
      </w:r>
      <w:r w:rsidRPr="0040373E">
        <w:t>:</w:t>
      </w:r>
    </w:p>
    <w:p w:rsidR="00F437FC" w:rsidRPr="0040373E" w:rsidRDefault="00F437FC" w:rsidP="00F437FC">
      <w:pPr>
        <w:pStyle w:val="paragraph"/>
      </w:pPr>
      <w:r w:rsidRPr="0040373E">
        <w:tab/>
        <w:t>(a)</w:t>
      </w:r>
      <w:r w:rsidRPr="0040373E">
        <w:tab/>
      </w:r>
      <w:proofErr w:type="gramStart"/>
      <w:r>
        <w:t>the</w:t>
      </w:r>
      <w:proofErr w:type="gramEnd"/>
      <w:r>
        <w:t xml:space="preserve"> promotion of an ongoing</w:t>
      </w:r>
      <w:r w:rsidR="00E551BE">
        <w:t xml:space="preserve"> Parliamentary Service</w:t>
      </w:r>
      <w:r w:rsidRPr="0040373E">
        <w:t xml:space="preserve"> employee;</w:t>
      </w:r>
    </w:p>
    <w:p w:rsidR="00F437FC" w:rsidRPr="0040373E" w:rsidRDefault="00F437FC" w:rsidP="00F437FC">
      <w:pPr>
        <w:pStyle w:val="paragraph"/>
      </w:pPr>
      <w:r w:rsidRPr="0040373E">
        <w:tab/>
        <w:t>(b)</w:t>
      </w:r>
      <w:r w:rsidRPr="0040373E">
        <w:tab/>
      </w:r>
      <w:r>
        <w:t>the promotion of an ongoing</w:t>
      </w:r>
      <w:r w:rsidR="00E551BE">
        <w:t xml:space="preserve"> Parliamentary Service</w:t>
      </w:r>
      <w:r w:rsidRPr="0040373E">
        <w:t xml:space="preserve"> employee, following the decision of a Promotion Review Committee</w:t>
      </w:r>
      <w:r w:rsidR="000A74FA">
        <w:t xml:space="preserve"> under </w:t>
      </w:r>
      <w:r w:rsidR="00887BAE" w:rsidRPr="00887BAE">
        <w:t>subparagraph 90(1)(b)(ii)</w:t>
      </w:r>
      <w:r w:rsidRPr="0040373E">
        <w:t xml:space="preserve"> that has not been notified under paragraph (a);</w:t>
      </w:r>
    </w:p>
    <w:p w:rsidR="00F437FC" w:rsidRPr="0040373E" w:rsidRDefault="00F437FC" w:rsidP="00F437FC">
      <w:pPr>
        <w:pStyle w:val="paragraph"/>
      </w:pPr>
      <w:r w:rsidRPr="0040373E">
        <w:lastRenderedPageBreak/>
        <w:tab/>
        <w:t>(c)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engagement, promotion or assignment of duties of a person made in accordance with an Independent Selection Advisory Committee recommendation;</w:t>
      </w:r>
    </w:p>
    <w:p w:rsidR="00F437FC" w:rsidRPr="0040373E" w:rsidRDefault="00F437FC" w:rsidP="00F437FC">
      <w:pPr>
        <w:pStyle w:val="paragraph"/>
      </w:pPr>
      <w:r w:rsidRPr="0040373E">
        <w:tab/>
        <w:t>(d)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engagement of </w:t>
      </w:r>
      <w:r w:rsidR="00A50CB0">
        <w:t>an ongoing</w:t>
      </w:r>
      <w:r w:rsidR="00E551BE">
        <w:t xml:space="preserve"> </w:t>
      </w:r>
      <w:r w:rsidR="000A74FA">
        <w:t>APS</w:t>
      </w:r>
      <w:r w:rsidRPr="0040373E">
        <w:t xml:space="preserve"> employee as an ongoing</w:t>
      </w:r>
      <w:r w:rsidR="00E551BE">
        <w:t xml:space="preserve"> Parliamentary Service</w:t>
      </w:r>
      <w:r w:rsidRPr="0040373E">
        <w:t xml:space="preserve"> employee at a higher classification than the person’s current classification as </w:t>
      </w:r>
      <w:r w:rsidR="000A74FA">
        <w:t>an APS</w:t>
      </w:r>
      <w:r w:rsidRPr="0040373E">
        <w:t xml:space="preserve"> employee;</w:t>
      </w:r>
    </w:p>
    <w:p w:rsidR="00F437FC" w:rsidRPr="0040373E" w:rsidRDefault="00F437FC" w:rsidP="00F437FC">
      <w:pPr>
        <w:pStyle w:val="paragraph"/>
      </w:pPr>
      <w:r w:rsidRPr="0040373E">
        <w:tab/>
        <w:t>(e)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termination o</w:t>
      </w:r>
      <w:r>
        <w:t>f the employment of an ongoing</w:t>
      </w:r>
      <w:r w:rsidR="00E551BE">
        <w:t xml:space="preserve"> Parliamentary Service</w:t>
      </w:r>
      <w:r w:rsidRPr="0040373E">
        <w:t xml:space="preserve"> employee on the ground mentioned in paragraph 29(3)(g) of the Act (breach of the Code of Conduct).</w:t>
      </w:r>
    </w:p>
    <w:p w:rsidR="00F437FC" w:rsidRPr="0040373E" w:rsidRDefault="00F437FC" w:rsidP="00F437FC">
      <w:pPr>
        <w:pStyle w:val="SubsectionHead"/>
      </w:pPr>
      <w:r w:rsidRPr="0040373E">
        <w:t>Time within which notification must be made</w:t>
      </w:r>
    </w:p>
    <w:p w:rsidR="00F437FC" w:rsidRPr="0040373E" w:rsidRDefault="00F437FC" w:rsidP="00F437FC">
      <w:pPr>
        <w:pStyle w:val="subsection"/>
      </w:pPr>
      <w:r w:rsidRPr="0040373E">
        <w:tab/>
        <w:t>(2)</w:t>
      </w:r>
      <w:r w:rsidRPr="0040373E">
        <w:tab/>
        <w:t xml:space="preserve">A decision must be notified in the Public Service </w:t>
      </w:r>
      <w:r w:rsidRPr="00005CFD">
        <w:rPr>
          <w:i/>
        </w:rPr>
        <w:t>Gazette</w:t>
      </w:r>
      <w:r w:rsidRPr="0040373E">
        <w:t xml:space="preserve"> within 3 months after the decision is made, unless the Commissioner agrees to a different arrangement.</w:t>
      </w:r>
    </w:p>
    <w:p w:rsidR="00F437FC" w:rsidRPr="0040373E" w:rsidRDefault="00F437FC" w:rsidP="00F437FC">
      <w:pPr>
        <w:pStyle w:val="subsection"/>
        <w:keepNext/>
        <w:keepLines/>
      </w:pPr>
      <w:r w:rsidRPr="0040373E">
        <w:tab/>
        <w:t>(3)</w:t>
      </w:r>
      <w:r w:rsidRPr="0040373E">
        <w:tab/>
        <w:t xml:space="preserve">For an employment decision to engage or promote a person that is made on the basis that the person is required to satisfy an eligibility requirement, the 3 month period mentioned in </w:t>
      </w:r>
      <w:r w:rsidR="000A74FA" w:rsidRPr="0040373E">
        <w:t>sub</w:t>
      </w:r>
      <w:r w:rsidR="000A74FA">
        <w:t>clause</w:t>
      </w:r>
      <w:r w:rsidR="000A74FA" w:rsidRPr="0040373E">
        <w:t> </w:t>
      </w:r>
      <w:r w:rsidRPr="0040373E">
        <w:t>(2) is taken to commence at the time the eligibility requirement is met.</w:t>
      </w:r>
    </w:p>
    <w:p w:rsidR="00F437FC" w:rsidRPr="0040373E" w:rsidRDefault="00F437FC" w:rsidP="00F437FC">
      <w:pPr>
        <w:pStyle w:val="notetext"/>
      </w:pPr>
      <w:r w:rsidRPr="0040373E">
        <w:t>Note:</w:t>
      </w:r>
      <w:r w:rsidRPr="0040373E">
        <w:tab/>
        <w:t>Examples of an eligibility requirement include a security or character clearance.</w:t>
      </w:r>
    </w:p>
    <w:p w:rsidR="00F437FC" w:rsidRPr="0040373E" w:rsidRDefault="00F437FC" w:rsidP="00F437FC">
      <w:pPr>
        <w:pStyle w:val="SubsectionHead"/>
      </w:pPr>
      <w:r w:rsidRPr="0040373E">
        <w:t>Notification generally to include employee’s name</w:t>
      </w:r>
    </w:p>
    <w:p w:rsidR="00F437FC" w:rsidRPr="0040373E" w:rsidRDefault="00F437FC" w:rsidP="00F437FC">
      <w:pPr>
        <w:pStyle w:val="subsection"/>
      </w:pPr>
      <w:r w:rsidRPr="0040373E">
        <w:tab/>
        <w:t>(4)</w:t>
      </w:r>
      <w:r w:rsidRPr="0040373E">
        <w:tab/>
        <w:t>A notification must include the employ</w:t>
      </w:r>
      <w:r w:rsidR="00A50CB0">
        <w:t>ee’s name unless the Secretary</w:t>
      </w:r>
      <w:r w:rsidRPr="0040373E">
        <w:t xml:space="preserve"> decides that the name should not be included because of the person’s work</w:t>
      </w:r>
      <w:r>
        <w:noBreakHyphen/>
      </w:r>
      <w:r w:rsidRPr="0040373E">
        <w:t>related or personal circumstances.</w:t>
      </w:r>
    </w:p>
    <w:p w:rsidR="00F437FC" w:rsidRPr="0040373E" w:rsidRDefault="00F437FC" w:rsidP="00F437FC">
      <w:pPr>
        <w:pStyle w:val="subsection"/>
      </w:pPr>
      <w:r w:rsidRPr="0040373E">
        <w:tab/>
        <w:t>(5)</w:t>
      </w:r>
      <w:r w:rsidRPr="0040373E">
        <w:tab/>
        <w:t>If a notification does not include the employee’s name and relates to a promotion that is subject to review</w:t>
      </w:r>
      <w:r w:rsidR="00A50CB0">
        <w:t>, the Department</w:t>
      </w:r>
      <w:r w:rsidRPr="0040373E">
        <w:t xml:space="preserve"> must:</w:t>
      </w:r>
    </w:p>
    <w:p w:rsidR="00F437FC" w:rsidRPr="0040373E" w:rsidRDefault="00F437FC" w:rsidP="00F437FC">
      <w:pPr>
        <w:pStyle w:val="paragraph"/>
      </w:pPr>
      <w:r w:rsidRPr="0040373E">
        <w:tab/>
        <w:t>(a)</w:t>
      </w:r>
      <w:r w:rsidRPr="0040373E">
        <w:tab/>
        <w:t>on or before the day the decision is notified, notify all parties eligible to seek review of the promotion of their rights of review; and</w:t>
      </w:r>
    </w:p>
    <w:p w:rsidR="00F437FC" w:rsidRPr="0040373E" w:rsidRDefault="00F437FC" w:rsidP="00F437FC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at</w:t>
      </w:r>
      <w:proofErr w:type="gramEnd"/>
      <w:r w:rsidRPr="0040373E">
        <w:t xml:space="preserve"> the same time as parties are notified, advise the Merit Protection Commissioner that eligible parties have been notified.</w:t>
      </w:r>
    </w:p>
    <w:p w:rsidR="00F437FC" w:rsidRPr="0040373E" w:rsidRDefault="00F437FC" w:rsidP="00F437FC">
      <w:pPr>
        <w:pStyle w:val="SubsectionHead"/>
      </w:pPr>
      <w:r w:rsidRPr="0040373E">
        <w:t xml:space="preserve">Notification relating to a former ongoing </w:t>
      </w:r>
      <w:r w:rsidR="000A74FA">
        <w:t>APS</w:t>
      </w:r>
      <w:r w:rsidRPr="0040373E">
        <w:t xml:space="preserve"> employee</w:t>
      </w:r>
    </w:p>
    <w:p w:rsidR="00A50CB0" w:rsidRDefault="00F437FC" w:rsidP="00A50CB0">
      <w:pPr>
        <w:pStyle w:val="subsection"/>
      </w:pPr>
      <w:r w:rsidRPr="0040373E">
        <w:tab/>
        <w:t>(6)</w:t>
      </w:r>
      <w:r w:rsidRPr="0040373E">
        <w:tab/>
        <w:t xml:space="preserve">If an employment decision is made to engage a person at a higher classification than the person’s current classification as </w:t>
      </w:r>
      <w:r w:rsidR="000A74FA">
        <w:t>an APS</w:t>
      </w:r>
      <w:r w:rsidRPr="0040373E">
        <w:t xml:space="preserve"> employee, the notification must include a statement to the following effect:</w:t>
      </w:r>
    </w:p>
    <w:p w:rsidR="00A50CB0" w:rsidRPr="00740363" w:rsidRDefault="00A50CB0" w:rsidP="00740363">
      <w:pPr>
        <w:pStyle w:val="paragraph"/>
        <w:rPr>
          <w:i/>
        </w:rPr>
      </w:pPr>
      <w:r w:rsidRPr="00740363">
        <w:rPr>
          <w:i/>
        </w:rPr>
        <w:tab/>
      </w:r>
      <w:r w:rsidRPr="00740363">
        <w:rPr>
          <w:i/>
        </w:rPr>
        <w:tab/>
      </w:r>
      <w:r w:rsidRPr="0040373E">
        <w:rPr>
          <w:i/>
        </w:rPr>
        <w:t xml:space="preserve">This engagement of an ongoing </w:t>
      </w:r>
      <w:r w:rsidR="000C69F1">
        <w:rPr>
          <w:i/>
        </w:rPr>
        <w:t>APS</w:t>
      </w:r>
      <w:r w:rsidRPr="0040373E">
        <w:rPr>
          <w:i/>
        </w:rPr>
        <w:t xml:space="preserve"> employee at a higher classification may be subject to review by a Promotion Review Committee</w:t>
      </w:r>
      <w:r w:rsidR="000A74FA">
        <w:rPr>
          <w:i/>
        </w:rPr>
        <w:t xml:space="preserve"> in accordance with </w:t>
      </w:r>
      <w:r w:rsidR="00E76275">
        <w:rPr>
          <w:i/>
        </w:rPr>
        <w:t>Part </w:t>
      </w:r>
      <w:r w:rsidR="000C69F1">
        <w:rPr>
          <w:i/>
        </w:rPr>
        <w:t>9 of the Parliamentary Service Determination 2013.</w:t>
      </w:r>
    </w:p>
    <w:p w:rsidR="003D0778" w:rsidRDefault="009139E1" w:rsidP="003D0778">
      <w:pPr>
        <w:pStyle w:val="ItemHead"/>
      </w:pPr>
      <w:proofErr w:type="gramStart"/>
      <w:r>
        <w:t xml:space="preserve">27  </w:t>
      </w:r>
      <w:r w:rsidR="003D0778">
        <w:t>Clause</w:t>
      </w:r>
      <w:proofErr w:type="gramEnd"/>
      <w:r w:rsidR="003D0778">
        <w:t xml:space="preserve"> 40</w:t>
      </w:r>
    </w:p>
    <w:p w:rsidR="003D0778" w:rsidRDefault="003D0778" w:rsidP="003D0778">
      <w:pPr>
        <w:pStyle w:val="Item"/>
      </w:pPr>
      <w:r>
        <w:t>Repeal the clause, substitute:</w:t>
      </w:r>
    </w:p>
    <w:p w:rsidR="003D0778" w:rsidRPr="0040373E" w:rsidRDefault="00AE2080" w:rsidP="003D0778">
      <w:pPr>
        <w:pStyle w:val="ActHead5"/>
      </w:pPr>
      <w:proofErr w:type="gramStart"/>
      <w:r>
        <w:t xml:space="preserve">40  </w:t>
      </w:r>
      <w:r w:rsidR="003D0778" w:rsidRPr="0040373E">
        <w:t>Gazettal</w:t>
      </w:r>
      <w:proofErr w:type="gramEnd"/>
      <w:r w:rsidR="003D0778" w:rsidRPr="0040373E">
        <w:rPr>
          <w:i/>
        </w:rPr>
        <w:t xml:space="preserve"> </w:t>
      </w:r>
      <w:r w:rsidR="003D0778" w:rsidRPr="0040373E">
        <w:t>when decisions previously notified are cancelled</w:t>
      </w:r>
    </w:p>
    <w:p w:rsidR="003D0778" w:rsidRPr="0040373E" w:rsidRDefault="003D0778" w:rsidP="003D0778">
      <w:pPr>
        <w:pStyle w:val="SubsectionHead"/>
      </w:pPr>
      <w:r w:rsidRPr="0040373E">
        <w:t>Decisions that must be notified</w:t>
      </w:r>
    </w:p>
    <w:p w:rsidR="003D0778" w:rsidRPr="0040373E" w:rsidRDefault="003D0778" w:rsidP="003D0778">
      <w:pPr>
        <w:pStyle w:val="subsection"/>
      </w:pPr>
      <w:r>
        <w:tab/>
        <w:t>(1)</w:t>
      </w:r>
      <w:r>
        <w:tab/>
        <w:t>A Secretary</w:t>
      </w:r>
      <w:r w:rsidRPr="0040373E">
        <w:t xml:space="preserve"> must notify a decision (a </w:t>
      </w:r>
      <w:r w:rsidRPr="0040373E">
        <w:rPr>
          <w:b/>
          <w:i/>
        </w:rPr>
        <w:t>cancellation decision</w:t>
      </w:r>
      <w:r w:rsidRPr="0040373E">
        <w:t xml:space="preserve">) to cancel the following employment decisions in the Public Service </w:t>
      </w:r>
      <w:r w:rsidRPr="00005CFD">
        <w:rPr>
          <w:i/>
        </w:rPr>
        <w:t>Gazette</w:t>
      </w:r>
      <w:r w:rsidRPr="0040373E">
        <w:t>:</w:t>
      </w:r>
    </w:p>
    <w:p w:rsidR="003D0778" w:rsidRPr="0040373E" w:rsidRDefault="003D0778" w:rsidP="003D0778">
      <w:pPr>
        <w:pStyle w:val="paragraph"/>
      </w:pPr>
      <w:r w:rsidRPr="0040373E">
        <w:lastRenderedPageBreak/>
        <w:tab/>
        <w:t>(a)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promotion notified under paragraph </w:t>
      </w:r>
      <w:r>
        <w:t>39</w:t>
      </w:r>
      <w:r w:rsidRPr="0040373E">
        <w:t>(1)(a) (in a case where the cancellation dec</w:t>
      </w:r>
      <w:r>
        <w:t>ision is made by the Secretary</w:t>
      </w:r>
      <w:r w:rsidRPr="0040373E">
        <w:t>);</w:t>
      </w:r>
    </w:p>
    <w:p w:rsidR="003D0778" w:rsidRPr="0040373E" w:rsidRDefault="003D0778" w:rsidP="003D0778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promotion notified under paragraph </w:t>
      </w:r>
      <w:r>
        <w:t>39</w:t>
      </w:r>
      <w:r w:rsidRPr="0040373E">
        <w:t>(1)(a) or (b) (in a case where the cancellation decision is the result of a decision of a Promotion Review Committee);</w:t>
      </w:r>
    </w:p>
    <w:p w:rsidR="003D0778" w:rsidRPr="0040373E" w:rsidRDefault="003D0778" w:rsidP="003D0778">
      <w:pPr>
        <w:pStyle w:val="paragraph"/>
      </w:pPr>
      <w:r w:rsidRPr="0040373E">
        <w:tab/>
        <w:t>(c)</w:t>
      </w:r>
      <w:r w:rsidRPr="0040373E">
        <w:tab/>
      </w:r>
      <w:proofErr w:type="gramStart"/>
      <w:r w:rsidRPr="0040373E">
        <w:t>an</w:t>
      </w:r>
      <w:proofErr w:type="gramEnd"/>
      <w:r w:rsidRPr="0040373E">
        <w:t xml:space="preserve"> engagement, promotion or assignment of duties notified under paragraph </w:t>
      </w:r>
      <w:r>
        <w:t>39</w:t>
      </w:r>
      <w:r w:rsidRPr="0040373E">
        <w:t>(1)(c);</w:t>
      </w:r>
    </w:p>
    <w:p w:rsidR="003D0778" w:rsidRPr="0040373E" w:rsidRDefault="003D0778" w:rsidP="003D0778">
      <w:pPr>
        <w:pStyle w:val="paragraph"/>
      </w:pPr>
      <w:r w:rsidRPr="0040373E">
        <w:tab/>
        <w:t>(d)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engagement of an ongoing </w:t>
      </w:r>
      <w:r>
        <w:t>APS</w:t>
      </w:r>
      <w:r w:rsidRPr="0040373E">
        <w:t xml:space="preserve"> employee as an ongoing </w:t>
      </w:r>
      <w:r>
        <w:t xml:space="preserve">Parliamentary Service </w:t>
      </w:r>
      <w:r w:rsidRPr="0040373E">
        <w:t>employee under paragraph </w:t>
      </w:r>
      <w:r>
        <w:t>39</w:t>
      </w:r>
      <w:r w:rsidRPr="0040373E">
        <w:t>(1)(d);</w:t>
      </w:r>
    </w:p>
    <w:p w:rsidR="003D0778" w:rsidRPr="0040373E" w:rsidRDefault="003D0778" w:rsidP="003D0778">
      <w:pPr>
        <w:pStyle w:val="paragraph"/>
      </w:pPr>
      <w:r w:rsidRPr="0040373E">
        <w:tab/>
        <w:t>(e)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termination notified under paragraph </w:t>
      </w:r>
      <w:r>
        <w:t>39</w:t>
      </w:r>
      <w:r w:rsidRPr="0040373E">
        <w:t>(1)(e).</w:t>
      </w:r>
    </w:p>
    <w:p w:rsidR="003D0778" w:rsidRPr="0040373E" w:rsidRDefault="003D0778" w:rsidP="003D0778">
      <w:pPr>
        <w:pStyle w:val="SubsectionHead"/>
      </w:pPr>
      <w:r w:rsidRPr="0040373E">
        <w:t>Time within which notification must be made</w:t>
      </w:r>
    </w:p>
    <w:p w:rsidR="003D0778" w:rsidRPr="0040373E" w:rsidRDefault="003D0778" w:rsidP="003D0778">
      <w:pPr>
        <w:pStyle w:val="subsection"/>
      </w:pPr>
      <w:r w:rsidRPr="0040373E">
        <w:tab/>
        <w:t>(2)</w:t>
      </w:r>
      <w:r w:rsidRPr="0040373E">
        <w:tab/>
        <w:t xml:space="preserve">A cancellation decision must be notified in the Public Service </w:t>
      </w:r>
      <w:r w:rsidRPr="00005CFD">
        <w:rPr>
          <w:i/>
        </w:rPr>
        <w:t>Gazette</w:t>
      </w:r>
      <w:r w:rsidRPr="0040373E">
        <w:t xml:space="preserve"> within 3 months after the cancellation decision is made.</w:t>
      </w:r>
    </w:p>
    <w:p w:rsidR="003D0778" w:rsidRPr="0040373E" w:rsidRDefault="003D0778" w:rsidP="003D0778">
      <w:pPr>
        <w:pStyle w:val="SubsectionHead"/>
      </w:pPr>
      <w:r w:rsidRPr="0040373E">
        <w:t>Requirements of notification</w:t>
      </w:r>
    </w:p>
    <w:p w:rsidR="003D0778" w:rsidRPr="0040373E" w:rsidRDefault="003D0778" w:rsidP="003D0778">
      <w:pPr>
        <w:pStyle w:val="subsection"/>
      </w:pPr>
      <w:r w:rsidRPr="0040373E">
        <w:tab/>
        <w:t>(3)</w:t>
      </w:r>
      <w:r w:rsidRPr="0040373E">
        <w:tab/>
        <w:t>Notification of a cancellation decision must include:</w:t>
      </w:r>
    </w:p>
    <w:p w:rsidR="003D0778" w:rsidRPr="0040373E" w:rsidRDefault="003D0778" w:rsidP="003D0778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date that the cancellation decision took effect; and</w:t>
      </w:r>
    </w:p>
    <w:p w:rsidR="003D0778" w:rsidRPr="003D0778" w:rsidRDefault="003D0778" w:rsidP="00E551BE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person’s name, unless this was not included in the original notification.</w:t>
      </w:r>
    </w:p>
    <w:p w:rsidR="005E5555" w:rsidRDefault="009139E1" w:rsidP="00E551BE">
      <w:pPr>
        <w:pStyle w:val="ItemHead"/>
      </w:pPr>
      <w:proofErr w:type="gramStart"/>
      <w:r>
        <w:t xml:space="preserve">28  </w:t>
      </w:r>
      <w:r w:rsidR="00C77FBD">
        <w:t>C</w:t>
      </w:r>
      <w:r w:rsidR="005C1FAB">
        <w:t>lause</w:t>
      </w:r>
      <w:proofErr w:type="gramEnd"/>
      <w:r w:rsidR="005C1FAB">
        <w:t xml:space="preserve"> 41</w:t>
      </w:r>
    </w:p>
    <w:p w:rsidR="005E5555" w:rsidRDefault="00E551BE" w:rsidP="00E551BE">
      <w:pPr>
        <w:pStyle w:val="Item"/>
        <w:ind w:left="0" w:firstLine="709"/>
      </w:pPr>
      <w:r>
        <w:t>Repeal the clause</w:t>
      </w:r>
      <w:r w:rsidR="005E5555">
        <w:t>, substitute:</w:t>
      </w:r>
    </w:p>
    <w:p w:rsidR="00AE2080" w:rsidRPr="00AE2080" w:rsidRDefault="004431C7" w:rsidP="00005CFD">
      <w:pPr>
        <w:pStyle w:val="ActHead5"/>
      </w:pPr>
      <w:proofErr w:type="gramStart"/>
      <w:r>
        <w:t>4</w:t>
      </w:r>
      <w:r w:rsidR="000C69F1">
        <w:t>1</w:t>
      </w:r>
      <w:r>
        <w:t xml:space="preserve">  </w:t>
      </w:r>
      <w:r w:rsidR="000C69F1">
        <w:t>When</w:t>
      </w:r>
      <w:proofErr w:type="gramEnd"/>
      <w:r w:rsidR="000C69F1">
        <w:t xml:space="preserve"> promotion decisions take effect</w:t>
      </w:r>
    </w:p>
    <w:p w:rsidR="00E551BE" w:rsidRPr="0040373E" w:rsidRDefault="00E551BE" w:rsidP="00E551BE">
      <w:pPr>
        <w:pStyle w:val="subsection"/>
      </w:pPr>
      <w:r>
        <w:tab/>
      </w:r>
      <w:r w:rsidRPr="0040373E">
        <w:t>(1)</w:t>
      </w:r>
      <w:r w:rsidRPr="0040373E">
        <w:tab/>
        <w:t xml:space="preserve">This </w:t>
      </w:r>
      <w:r w:rsidR="004431C7">
        <w:t>clause</w:t>
      </w:r>
      <w:r w:rsidR="004431C7" w:rsidRPr="0040373E">
        <w:t xml:space="preserve"> </w:t>
      </w:r>
      <w:r w:rsidRPr="0040373E">
        <w:t xml:space="preserve">applies in respect of a decision (a </w:t>
      </w:r>
      <w:r w:rsidRPr="0040373E">
        <w:rPr>
          <w:b/>
          <w:i/>
        </w:rPr>
        <w:t>promotion decision</w:t>
      </w:r>
      <w:r w:rsidRPr="0040373E">
        <w:t>) to:</w:t>
      </w:r>
    </w:p>
    <w:p w:rsidR="00E551BE" w:rsidRPr="0040373E" w:rsidRDefault="00E551BE" w:rsidP="00E551BE">
      <w:pPr>
        <w:pStyle w:val="paragraph"/>
      </w:pPr>
      <w:r>
        <w:tab/>
        <w:t>(a)</w:t>
      </w:r>
      <w:r>
        <w:tab/>
      </w:r>
      <w:proofErr w:type="gramStart"/>
      <w:r>
        <w:t>promote</w:t>
      </w:r>
      <w:proofErr w:type="gramEnd"/>
      <w:r>
        <w:t xml:space="preserve"> an ongoing Parliamentary Service</w:t>
      </w:r>
      <w:r w:rsidRPr="0040373E">
        <w:t xml:space="preserve"> employee; or</w:t>
      </w:r>
    </w:p>
    <w:p w:rsidR="00E551BE" w:rsidRDefault="00E551BE" w:rsidP="00E551BE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engage</w:t>
      </w:r>
      <w:proofErr w:type="gramEnd"/>
      <w:r w:rsidRPr="0040373E">
        <w:t xml:space="preserve"> an ongoing </w:t>
      </w:r>
      <w:r>
        <w:t>APS employee as an ongoing Parliamentary Service</w:t>
      </w:r>
      <w:r w:rsidRPr="0040373E">
        <w:t xml:space="preserve"> employee at a classification that is higher than the employee’s</w:t>
      </w:r>
      <w:r>
        <w:t xml:space="preserve"> APS</w:t>
      </w:r>
      <w:r w:rsidRPr="0040373E">
        <w:t xml:space="preserve"> classification</w:t>
      </w:r>
      <w:r w:rsidR="00AB0522">
        <w:t xml:space="preserve">, </w:t>
      </w:r>
      <w:r w:rsidR="00AB0522" w:rsidRPr="00AB0522">
        <w:t>worked out in accordance with clause 2 of Schedule 2</w:t>
      </w:r>
      <w:r w:rsidRPr="0040373E">
        <w:t>.</w:t>
      </w:r>
    </w:p>
    <w:p w:rsidR="00AB0522" w:rsidRPr="00E551BE" w:rsidRDefault="00AB0522" w:rsidP="00AB0522">
      <w:pPr>
        <w:pStyle w:val="notetext"/>
      </w:pPr>
      <w:r w:rsidRPr="0040373E">
        <w:t>Note:</w:t>
      </w:r>
      <w:r w:rsidRPr="0040373E">
        <w:tab/>
      </w:r>
      <w:r w:rsidR="00E76275">
        <w:t>Clause </w:t>
      </w:r>
      <w:r>
        <w:t>81 sets out requirements for review applications.</w:t>
      </w:r>
    </w:p>
    <w:p w:rsidR="00C02855" w:rsidRPr="0040373E" w:rsidRDefault="005E5555" w:rsidP="00C02855">
      <w:pPr>
        <w:pStyle w:val="subsection"/>
      </w:pPr>
      <w:r>
        <w:t xml:space="preserve"> </w:t>
      </w:r>
      <w:r w:rsidR="00C02855">
        <w:tab/>
      </w:r>
      <w:r w:rsidR="00C02855" w:rsidRPr="0040373E">
        <w:t>(2)</w:t>
      </w:r>
      <w:r w:rsidR="00C02855" w:rsidRPr="0040373E">
        <w:tab/>
        <w:t>If a promotion decision is not subject to PRC review, the decision takes effect:</w:t>
      </w:r>
    </w:p>
    <w:p w:rsidR="00C02855" w:rsidRPr="0040373E" w:rsidRDefault="00C02855" w:rsidP="00C02855">
      <w:pPr>
        <w:pStyle w:val="paragraph"/>
      </w:pPr>
      <w:r w:rsidRPr="0040373E">
        <w:tab/>
        <w:t>(a)</w:t>
      </w:r>
      <w:r w:rsidRPr="0040373E">
        <w:tab/>
        <w:t xml:space="preserve">if a date of effect has been agreed by the relevant parties and is after the day the decision is notified in the Public Service </w:t>
      </w:r>
      <w:r w:rsidRPr="00005CFD">
        <w:rPr>
          <w:i/>
        </w:rPr>
        <w:t>Gazette</w:t>
      </w:r>
      <w:r w:rsidRPr="0040373E">
        <w:t>—on that date; or</w:t>
      </w:r>
    </w:p>
    <w:p w:rsidR="00C02855" w:rsidRPr="0040373E" w:rsidRDefault="00C02855" w:rsidP="00C02855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otherwise—</w:t>
      </w:r>
      <w:proofErr w:type="gramEnd"/>
      <w:r w:rsidRPr="0040373E">
        <w:t xml:space="preserve">4 weeks after the day the decision is notified in the Public Service </w:t>
      </w:r>
      <w:r w:rsidRPr="00005CFD">
        <w:rPr>
          <w:i/>
        </w:rPr>
        <w:t>Gazette</w:t>
      </w:r>
      <w:r w:rsidRPr="0040373E">
        <w:t>.</w:t>
      </w:r>
    </w:p>
    <w:p w:rsidR="00C02855" w:rsidRPr="0040373E" w:rsidRDefault="00C02855" w:rsidP="00C02855">
      <w:pPr>
        <w:pStyle w:val="subsection"/>
      </w:pPr>
      <w:r w:rsidRPr="0040373E">
        <w:tab/>
        <w:t>(3)</w:t>
      </w:r>
      <w:r w:rsidRPr="0040373E">
        <w:tab/>
        <w:t>A promotion decision that is subject to PRC review takes effect on the date mentioned in column 3 of an item in the following table in the circumstances mentioned in column 2 of the item:</w:t>
      </w:r>
    </w:p>
    <w:p w:rsidR="00C02855" w:rsidRPr="0040373E" w:rsidRDefault="00C02855" w:rsidP="00C02855">
      <w:pPr>
        <w:pStyle w:val="Tabletext"/>
      </w:pPr>
    </w:p>
    <w:tbl>
      <w:tblPr>
        <w:tblW w:w="8359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799"/>
        <w:gridCol w:w="3431"/>
      </w:tblGrid>
      <w:tr w:rsidR="00C02855" w:rsidRPr="0040373E" w:rsidTr="00F44A3B">
        <w:trPr>
          <w:tblHeader/>
        </w:trPr>
        <w:tc>
          <w:tcPr>
            <w:tcW w:w="835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Heading"/>
            </w:pPr>
            <w:r w:rsidRPr="0040373E">
              <w:t>When promotion decisions take effect</w:t>
            </w:r>
          </w:p>
        </w:tc>
      </w:tr>
      <w:tr w:rsidR="00C02855" w:rsidRPr="0040373E" w:rsidTr="00F44A3B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Heading"/>
            </w:pPr>
            <w:r w:rsidRPr="0040373E">
              <w:t>Column 1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Heading"/>
            </w:pPr>
            <w:r w:rsidRPr="0040373E">
              <w:t>Column 2</w:t>
            </w:r>
          </w:p>
        </w:tc>
        <w:tc>
          <w:tcPr>
            <w:tcW w:w="34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Heading"/>
            </w:pPr>
            <w:r w:rsidRPr="0040373E">
              <w:t>Column 3</w:t>
            </w:r>
          </w:p>
        </w:tc>
      </w:tr>
      <w:tr w:rsidR="00C02855" w:rsidRPr="0040373E" w:rsidTr="00F44A3B">
        <w:trPr>
          <w:tblHeader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Heading"/>
            </w:pPr>
            <w:r w:rsidRPr="0040373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Heading"/>
            </w:pPr>
            <w:r w:rsidRPr="0040373E">
              <w:t>If the promotion decision is subject to PRC review and ….</w:t>
            </w:r>
          </w:p>
        </w:tc>
        <w:tc>
          <w:tcPr>
            <w:tcW w:w="343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Heading"/>
            </w:pPr>
            <w:r w:rsidRPr="0040373E">
              <w:t>then, the decision takes effect …</w:t>
            </w:r>
          </w:p>
        </w:tc>
      </w:tr>
      <w:tr w:rsidR="00C02855" w:rsidRPr="0040373E" w:rsidTr="00F44A3B"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t xml:space="preserve">no application for review is made before the end of the period within which an </w:t>
            </w:r>
            <w:r w:rsidRPr="0040373E">
              <w:lastRenderedPageBreak/>
              <w:t>application for PRC review of the decision may be made</w:t>
            </w:r>
          </w:p>
        </w:tc>
        <w:tc>
          <w:tcPr>
            <w:tcW w:w="3431" w:type="dxa"/>
            <w:tcBorders>
              <w:top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a"/>
            </w:pPr>
            <w:r w:rsidRPr="0040373E">
              <w:lastRenderedPageBreak/>
              <w:t xml:space="preserve">(a) if a date of effect has been agreed by the relevant parties and is after the </w:t>
            </w:r>
            <w:r w:rsidRPr="0040373E">
              <w:lastRenderedPageBreak/>
              <w:t>application period ends—on that date; or</w:t>
            </w:r>
          </w:p>
          <w:p w:rsidR="00C02855" w:rsidRPr="0040373E" w:rsidRDefault="00C02855" w:rsidP="00F44A3B">
            <w:pPr>
              <w:pStyle w:val="Tablea"/>
            </w:pPr>
            <w:r w:rsidRPr="0040373E">
              <w:t>(b) 2 weeks after the end of the application period</w:t>
            </w:r>
          </w:p>
        </w:tc>
      </w:tr>
      <w:tr w:rsidR="00C02855" w:rsidRPr="0040373E" w:rsidTr="00F44A3B">
        <w:tc>
          <w:tcPr>
            <w:tcW w:w="1129" w:type="dxa"/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lastRenderedPageBreak/>
              <w:t>2</w:t>
            </w:r>
          </w:p>
        </w:tc>
        <w:tc>
          <w:tcPr>
            <w:tcW w:w="3799" w:type="dxa"/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t>an application for review is made but withdrawn before the PRC makes a decision on the application</w:t>
            </w:r>
          </w:p>
        </w:tc>
        <w:tc>
          <w:tcPr>
            <w:tcW w:w="3431" w:type="dxa"/>
            <w:shd w:val="clear" w:color="auto" w:fill="auto"/>
          </w:tcPr>
          <w:p w:rsidR="00C02855" w:rsidRPr="0040373E" w:rsidRDefault="00C02855" w:rsidP="00F44A3B">
            <w:pPr>
              <w:pStyle w:val="Tablea"/>
            </w:pPr>
            <w:r w:rsidRPr="0040373E">
              <w:t>(a) if a date of effect has been agreed by the relevant parties and is after the application period ends—on that date; or</w:t>
            </w:r>
          </w:p>
          <w:p w:rsidR="00C02855" w:rsidRPr="0040373E" w:rsidRDefault="00C02855" w:rsidP="00F44A3B">
            <w:pPr>
              <w:pStyle w:val="Tablea"/>
            </w:pPr>
            <w:r w:rsidRPr="0040373E">
              <w:t>(b) 2 wee</w:t>
            </w:r>
            <w:r w:rsidR="00797740">
              <w:t>ks after the day the Secretary</w:t>
            </w:r>
            <w:r w:rsidRPr="0040373E">
              <w:t xml:space="preserve"> is notified that the application was withdrawn</w:t>
            </w:r>
          </w:p>
        </w:tc>
      </w:tr>
      <w:tr w:rsidR="00C02855" w:rsidRPr="0040373E" w:rsidTr="00F44A3B">
        <w:tc>
          <w:tcPr>
            <w:tcW w:w="1129" w:type="dxa"/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t>3</w:t>
            </w:r>
          </w:p>
        </w:tc>
        <w:tc>
          <w:tcPr>
            <w:tcW w:w="3799" w:type="dxa"/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t>an application for review is made but the application lapses before the PRC completes its review</w:t>
            </w:r>
          </w:p>
        </w:tc>
        <w:tc>
          <w:tcPr>
            <w:tcW w:w="3431" w:type="dxa"/>
            <w:shd w:val="clear" w:color="auto" w:fill="auto"/>
          </w:tcPr>
          <w:p w:rsidR="00C02855" w:rsidRPr="0040373E" w:rsidRDefault="00C02855" w:rsidP="00F44A3B">
            <w:pPr>
              <w:pStyle w:val="Tablea"/>
            </w:pPr>
            <w:r w:rsidRPr="0040373E">
              <w:t>(a) if a date of effect has been agreed by the relevant part</w:t>
            </w:r>
            <w:r w:rsidR="00797740">
              <w:t>ies and is after the Secretary</w:t>
            </w:r>
            <w:r w:rsidRPr="0040373E">
              <w:t xml:space="preserve"> is notified that the application has lapsed—on that date; or</w:t>
            </w:r>
          </w:p>
          <w:p w:rsidR="00C02855" w:rsidRPr="0040373E" w:rsidRDefault="00C02855" w:rsidP="00F44A3B">
            <w:pPr>
              <w:pStyle w:val="Tablea"/>
            </w:pPr>
            <w:r w:rsidRPr="0040373E">
              <w:t>(b) 2 wee</w:t>
            </w:r>
            <w:r w:rsidR="00797740">
              <w:t>ks after the day the Secretary</w:t>
            </w:r>
            <w:r w:rsidRPr="0040373E">
              <w:t xml:space="preserve"> is notified that the application has lapsed</w:t>
            </w:r>
          </w:p>
        </w:tc>
      </w:tr>
      <w:tr w:rsidR="00C02855" w:rsidRPr="0040373E" w:rsidTr="00F44A3B">
        <w:tc>
          <w:tcPr>
            <w:tcW w:w="1129" w:type="dxa"/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t>4</w:t>
            </w:r>
          </w:p>
        </w:tc>
        <w:tc>
          <w:tcPr>
            <w:tcW w:w="3799" w:type="dxa"/>
            <w:shd w:val="clear" w:color="auto" w:fill="auto"/>
          </w:tcPr>
          <w:p w:rsidR="00C02855" w:rsidRPr="0040373E" w:rsidRDefault="00C02855" w:rsidP="00AB0522">
            <w:pPr>
              <w:pStyle w:val="Tabletext"/>
            </w:pPr>
            <w:r w:rsidRPr="0040373E">
              <w:t>an application for review is made but the Merit Protecti</w:t>
            </w:r>
            <w:r w:rsidR="00B06010">
              <w:t>on Commissioner decides</w:t>
            </w:r>
            <w:r w:rsidR="000A74FA">
              <w:t xml:space="preserve"> under </w:t>
            </w:r>
            <w:r w:rsidR="00E76275">
              <w:t>clause </w:t>
            </w:r>
            <w:r w:rsidR="00AB0522">
              <w:t>82</w:t>
            </w:r>
            <w:r w:rsidR="00B06010">
              <w:t xml:space="preserve"> </w:t>
            </w:r>
            <w:r w:rsidRPr="0040373E">
              <w:t>that it is unnecessary to appoint a PRC to consider the application</w:t>
            </w:r>
          </w:p>
        </w:tc>
        <w:tc>
          <w:tcPr>
            <w:tcW w:w="3431" w:type="dxa"/>
            <w:shd w:val="clear" w:color="auto" w:fill="auto"/>
          </w:tcPr>
          <w:p w:rsidR="00C02855" w:rsidRPr="0040373E" w:rsidRDefault="00C02855" w:rsidP="00F44A3B">
            <w:pPr>
              <w:pStyle w:val="Tablea"/>
            </w:pPr>
            <w:r w:rsidRPr="0040373E">
              <w:t>(a) if a date of effect has been agreed by the relevant part</w:t>
            </w:r>
            <w:r w:rsidR="00797740">
              <w:t>ies and is after the Secretary</w:t>
            </w:r>
            <w:r w:rsidRPr="0040373E">
              <w:t xml:space="preserve"> is notified of the decision of the Merit Protection Commissioner—on that date; or</w:t>
            </w:r>
          </w:p>
          <w:p w:rsidR="00C02855" w:rsidRPr="0040373E" w:rsidRDefault="00C02855" w:rsidP="00F44A3B">
            <w:pPr>
              <w:pStyle w:val="Tablea"/>
            </w:pPr>
            <w:r w:rsidRPr="0040373E">
              <w:t>(b) the later of:</w:t>
            </w:r>
          </w:p>
          <w:p w:rsidR="00C02855" w:rsidRPr="0040373E" w:rsidRDefault="00797740" w:rsidP="00F44A3B">
            <w:pPr>
              <w:pStyle w:val="Tablei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the day the Secretary</w:t>
            </w:r>
            <w:r w:rsidR="00C02855" w:rsidRPr="0040373E">
              <w:t xml:space="preserve"> is notified; and</w:t>
            </w:r>
          </w:p>
          <w:p w:rsidR="00C02855" w:rsidRPr="0040373E" w:rsidRDefault="00C02855" w:rsidP="00F44A3B">
            <w:pPr>
              <w:pStyle w:val="Tablei"/>
            </w:pPr>
            <w:r w:rsidRPr="0040373E">
              <w:t xml:space="preserve">(ii) 4 weeks after the day the decision is notified in the Public Service </w:t>
            </w:r>
            <w:r w:rsidRPr="00005CFD">
              <w:rPr>
                <w:i/>
              </w:rPr>
              <w:t>Gazette</w:t>
            </w:r>
          </w:p>
        </w:tc>
      </w:tr>
      <w:tr w:rsidR="00C02855" w:rsidRPr="0040373E" w:rsidTr="00F44A3B">
        <w:tc>
          <w:tcPr>
            <w:tcW w:w="1129" w:type="dxa"/>
            <w:tcBorders>
              <w:bottom w:val="single" w:sz="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t>5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t>an application for review is made and the PRC upholds the promotion decision</w:t>
            </w:r>
          </w:p>
        </w:tc>
        <w:tc>
          <w:tcPr>
            <w:tcW w:w="3431" w:type="dxa"/>
            <w:tcBorders>
              <w:bottom w:val="single" w:sz="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a"/>
            </w:pPr>
            <w:r w:rsidRPr="0040373E">
              <w:t>(a) if a date of effect has been agreed by the relevant part</w:t>
            </w:r>
            <w:r w:rsidR="00797740">
              <w:t>ies and is after the Secretary</w:t>
            </w:r>
            <w:r w:rsidRPr="0040373E">
              <w:t xml:space="preserve"> is notified of the PRC’s decision—on that date; or</w:t>
            </w:r>
          </w:p>
          <w:p w:rsidR="00C02855" w:rsidRPr="0040373E" w:rsidRDefault="00C02855" w:rsidP="00F44A3B">
            <w:pPr>
              <w:pStyle w:val="Tablea"/>
            </w:pPr>
            <w:r w:rsidRPr="0040373E">
              <w:t>(b) 4 wee</w:t>
            </w:r>
            <w:r w:rsidR="00797740">
              <w:t>ks after the day the Secretary</w:t>
            </w:r>
            <w:r w:rsidRPr="0040373E">
              <w:t xml:space="preserve"> is notified of the PRC’s decision</w:t>
            </w:r>
          </w:p>
        </w:tc>
      </w:tr>
      <w:tr w:rsidR="00C02855" w:rsidRPr="0040373E" w:rsidTr="00F44A3B">
        <w:tc>
          <w:tcPr>
            <w:tcW w:w="112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text"/>
            </w:pPr>
            <w:r w:rsidRPr="0040373E">
              <w:t>an application for review is made and the PRC varies the promotion decision</w:t>
            </w:r>
          </w:p>
        </w:tc>
        <w:tc>
          <w:tcPr>
            <w:tcW w:w="34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02855" w:rsidRPr="0040373E" w:rsidRDefault="00C02855" w:rsidP="00F44A3B">
            <w:pPr>
              <w:pStyle w:val="Tablea"/>
            </w:pPr>
            <w:r w:rsidRPr="0040373E">
              <w:t>(a) if a date of effect has been agreed by the relevant part</w:t>
            </w:r>
            <w:r w:rsidR="00797740">
              <w:t>ies and is after the Secretary</w:t>
            </w:r>
            <w:r w:rsidRPr="0040373E">
              <w:t xml:space="preserve"> is notified of the PRC’s decision—on that date; or</w:t>
            </w:r>
          </w:p>
          <w:p w:rsidR="00C02855" w:rsidRPr="0040373E" w:rsidRDefault="00C02855" w:rsidP="00F44A3B">
            <w:pPr>
              <w:pStyle w:val="Tablea"/>
            </w:pPr>
            <w:r w:rsidRPr="0040373E">
              <w:t xml:space="preserve">(b) </w:t>
            </w:r>
            <w:r w:rsidR="00F74828">
              <w:t>4 weeks after the day the Secretary</w:t>
            </w:r>
            <w:r w:rsidRPr="0040373E">
              <w:t xml:space="preserve"> is notified of the PRC’s decision</w:t>
            </w:r>
          </w:p>
        </w:tc>
      </w:tr>
    </w:tbl>
    <w:p w:rsidR="00C02855" w:rsidRDefault="00C02855" w:rsidP="00761938">
      <w:pPr>
        <w:pStyle w:val="Tabletext"/>
      </w:pPr>
      <w:r>
        <w:t xml:space="preserve"> </w:t>
      </w:r>
    </w:p>
    <w:p w:rsidR="0076141D" w:rsidRDefault="00C02855" w:rsidP="00761938">
      <w:pPr>
        <w:pStyle w:val="subsection"/>
      </w:pPr>
      <w:r>
        <w:t xml:space="preserve"> </w:t>
      </w:r>
      <w:r>
        <w:tab/>
      </w:r>
      <w:r w:rsidRPr="0040373E">
        <w:t>(4)</w:t>
      </w:r>
      <w:r w:rsidRPr="0040373E">
        <w:tab/>
        <w:t xml:space="preserve">This </w:t>
      </w:r>
      <w:r w:rsidR="00C96775">
        <w:t>clause</w:t>
      </w:r>
      <w:r w:rsidR="00C96775" w:rsidRPr="0040373E">
        <w:t xml:space="preserve"> </w:t>
      </w:r>
      <w:r w:rsidRPr="0040373E">
        <w:t xml:space="preserve">is subject to </w:t>
      </w:r>
      <w:r w:rsidR="00C96775">
        <w:t>clause</w:t>
      </w:r>
      <w:r w:rsidR="00F277D1">
        <w:t>s</w:t>
      </w:r>
      <w:r w:rsidR="002464D8">
        <w:t xml:space="preserve"> </w:t>
      </w:r>
      <w:r w:rsidR="00F277D1">
        <w:t>35B and 35C</w:t>
      </w:r>
      <w:r w:rsidR="000562F7">
        <w:t xml:space="preserve">. </w:t>
      </w:r>
    </w:p>
    <w:p w:rsidR="00C96775" w:rsidRDefault="00C96775" w:rsidP="00C96775">
      <w:pPr>
        <w:pStyle w:val="subsection"/>
      </w:pPr>
      <w:r>
        <w:tab/>
      </w:r>
      <w:r w:rsidRPr="0040373E">
        <w:t>(</w:t>
      </w:r>
      <w:r>
        <w:t>5</w:t>
      </w:r>
      <w:r w:rsidRPr="0040373E">
        <w:t>)</w:t>
      </w:r>
      <w:r w:rsidRPr="0040373E">
        <w:tab/>
      </w:r>
      <w:r>
        <w:t>In this clause:</w:t>
      </w:r>
    </w:p>
    <w:p w:rsidR="00C96775" w:rsidRDefault="00C96775" w:rsidP="00C96775">
      <w:pPr>
        <w:pStyle w:val="subsection"/>
      </w:pPr>
      <w:r>
        <w:lastRenderedPageBreak/>
        <w:tab/>
      </w:r>
      <w:r>
        <w:tab/>
      </w:r>
      <w:r>
        <w:rPr>
          <w:b/>
          <w:i/>
        </w:rPr>
        <w:t>PRC review</w:t>
      </w:r>
      <w:r>
        <w:t xml:space="preserve"> means review by a Promotion Review Committee under Part 9 of this determination</w:t>
      </w:r>
      <w:r>
        <w:rPr>
          <w:i/>
        </w:rPr>
        <w:t>.</w:t>
      </w:r>
    </w:p>
    <w:p w:rsidR="00BD4311" w:rsidRDefault="009139E1" w:rsidP="0076141D">
      <w:pPr>
        <w:pStyle w:val="ItemHead"/>
      </w:pPr>
      <w:proofErr w:type="gramStart"/>
      <w:r>
        <w:t xml:space="preserve">29  </w:t>
      </w:r>
      <w:r w:rsidR="00BD4311">
        <w:t>Part</w:t>
      </w:r>
      <w:proofErr w:type="gramEnd"/>
      <w:r w:rsidR="00BD4311">
        <w:t xml:space="preserve"> 4</w:t>
      </w:r>
    </w:p>
    <w:p w:rsidR="00BD4311" w:rsidRPr="00BD4311" w:rsidRDefault="00BD4311" w:rsidP="00BD4311">
      <w:pPr>
        <w:pStyle w:val="Item"/>
      </w:pPr>
      <w:r>
        <w:t xml:space="preserve">Repeal the part. </w:t>
      </w:r>
    </w:p>
    <w:p w:rsidR="00C02855" w:rsidRPr="00C02855" w:rsidRDefault="009139E1" w:rsidP="0076141D">
      <w:pPr>
        <w:pStyle w:val="ItemHead"/>
      </w:pPr>
      <w:proofErr w:type="gramStart"/>
      <w:r>
        <w:t xml:space="preserve">30  </w:t>
      </w:r>
      <w:r w:rsidR="0076141D">
        <w:t>Clause</w:t>
      </w:r>
      <w:proofErr w:type="gramEnd"/>
      <w:r w:rsidR="0076141D">
        <w:t xml:space="preserve"> 51  </w:t>
      </w:r>
      <w:r w:rsidR="000562F7">
        <w:t xml:space="preserve">  </w:t>
      </w:r>
    </w:p>
    <w:p w:rsidR="00776F21" w:rsidRDefault="0076141D" w:rsidP="00776F21">
      <w:pPr>
        <w:pStyle w:val="Item"/>
      </w:pPr>
      <w:r>
        <w:t>Repeal the clause, substitute:</w:t>
      </w:r>
    </w:p>
    <w:p w:rsidR="0076141D" w:rsidRPr="0040373E" w:rsidRDefault="004431C7" w:rsidP="0076141D">
      <w:pPr>
        <w:pStyle w:val="ActHead5"/>
      </w:pPr>
      <w:proofErr w:type="gramStart"/>
      <w:r>
        <w:t xml:space="preserve">51  </w:t>
      </w:r>
      <w:r w:rsidR="0076141D" w:rsidRPr="0040373E">
        <w:t>Achieving</w:t>
      </w:r>
      <w:proofErr w:type="gramEnd"/>
      <w:r w:rsidR="0076141D" w:rsidRPr="0040373E">
        <w:t xml:space="preserve"> effective performance</w:t>
      </w:r>
    </w:p>
    <w:p w:rsidR="0076141D" w:rsidRPr="0040373E" w:rsidRDefault="007C4C0A" w:rsidP="0076141D">
      <w:pPr>
        <w:pStyle w:val="subsection"/>
      </w:pPr>
      <w:r>
        <w:tab/>
      </w:r>
      <w:r>
        <w:tab/>
        <w:t>A Secretary upholds the</w:t>
      </w:r>
      <w:r w:rsidR="0076141D" w:rsidRPr="0040373E">
        <w:t xml:space="preserve"> Employment Principle </w:t>
      </w:r>
      <w:r>
        <w:t xml:space="preserve">mentioned in </w:t>
      </w:r>
      <w:r w:rsidR="002464D8">
        <w:t>paragraph </w:t>
      </w:r>
      <w:proofErr w:type="gramStart"/>
      <w:r w:rsidR="0076141D" w:rsidRPr="0040373E">
        <w:t>10A(</w:t>
      </w:r>
      <w:proofErr w:type="gramEnd"/>
      <w:r w:rsidR="0076141D" w:rsidRPr="0040373E">
        <w:t>1)(d)</w:t>
      </w:r>
      <w:r>
        <w:t xml:space="preserve"> of the Act</w:t>
      </w:r>
      <w:r w:rsidR="0076141D" w:rsidRPr="0040373E">
        <w:t xml:space="preserve"> by ensuring that:</w:t>
      </w:r>
    </w:p>
    <w:p w:rsidR="0076141D" w:rsidRDefault="007C4C0A" w:rsidP="002E3D59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Department</w:t>
      </w:r>
      <w:r w:rsidR="0076141D" w:rsidRPr="0040373E">
        <w:t xml:space="preserve"> has performance management policies and processes that support a c</w:t>
      </w:r>
      <w:r w:rsidR="002E3D59">
        <w:t>ulture of high performance; and</w:t>
      </w:r>
    </w:p>
    <w:p w:rsidR="004431C7" w:rsidRPr="0040373E" w:rsidRDefault="004431C7" w:rsidP="002E3D59">
      <w:pPr>
        <w:pStyle w:val="paragraph"/>
      </w:pPr>
      <w:r>
        <w:tab/>
        <w:t>(b)</w:t>
      </w:r>
      <w:r>
        <w:tab/>
      </w:r>
      <w:proofErr w:type="gramStart"/>
      <w:r>
        <w:t>performance</w:t>
      </w:r>
      <w:proofErr w:type="gramEnd"/>
      <w:r>
        <w:t xml:space="preserve"> by Parliamentary Service employees in the Department is effectively managed; and</w:t>
      </w:r>
    </w:p>
    <w:p w:rsidR="0076141D" w:rsidRPr="0040373E" w:rsidRDefault="00D56D7A" w:rsidP="0076141D">
      <w:pPr>
        <w:pStyle w:val="paragraph"/>
      </w:pPr>
      <w:r>
        <w:tab/>
        <w:t>(</w:t>
      </w:r>
      <w:r w:rsidR="000A74FA">
        <w:t>c</w:t>
      </w:r>
      <w:r w:rsidR="00B16657">
        <w:t>)</w:t>
      </w:r>
      <w:r w:rsidR="00B16657">
        <w:tab/>
      </w:r>
      <w:proofErr w:type="gramStart"/>
      <w:r w:rsidR="00B16657">
        <w:t>each</w:t>
      </w:r>
      <w:proofErr w:type="gramEnd"/>
      <w:r w:rsidR="00B16657">
        <w:t xml:space="preserve"> Parliamentary Service employee in the Department</w:t>
      </w:r>
      <w:r w:rsidR="0076141D" w:rsidRPr="0040373E">
        <w:t xml:space="preserve"> is given a clear statement of the performance and behaviour expected of the employee</w:t>
      </w:r>
      <w:r w:rsidR="002E3D59">
        <w:t xml:space="preserve">, and an opportunity to discuss their </w:t>
      </w:r>
      <w:r w:rsidR="0076141D" w:rsidRPr="0040373E">
        <w:t>duties; and</w:t>
      </w:r>
    </w:p>
    <w:p w:rsidR="0076141D" w:rsidRPr="0040373E" w:rsidRDefault="0076141D" w:rsidP="0076141D">
      <w:pPr>
        <w:pStyle w:val="paragraph"/>
      </w:pPr>
      <w:r w:rsidRPr="0040373E">
        <w:tab/>
        <w:t>(</w:t>
      </w:r>
      <w:r w:rsidR="000A74FA">
        <w:t>d</w:t>
      </w:r>
      <w:r w:rsidR="00D56D7A">
        <w:t>)</w:t>
      </w:r>
      <w:r w:rsidR="00D56D7A">
        <w:tab/>
      </w:r>
      <w:proofErr w:type="gramStart"/>
      <w:r w:rsidR="00D56D7A">
        <w:t>each</w:t>
      </w:r>
      <w:proofErr w:type="gramEnd"/>
      <w:r w:rsidR="00D56D7A">
        <w:t xml:space="preserve"> Parliamentary Service</w:t>
      </w:r>
      <w:r w:rsidR="00FA1018">
        <w:t xml:space="preserve"> employee in the Department</w:t>
      </w:r>
      <w:r w:rsidRPr="0040373E">
        <w:t xml:space="preserve"> is required to participate constructively in performance management processes; and</w:t>
      </w:r>
    </w:p>
    <w:p w:rsidR="0076141D" w:rsidRPr="0040373E" w:rsidRDefault="00D56D7A" w:rsidP="0076141D">
      <w:pPr>
        <w:pStyle w:val="paragraph"/>
      </w:pPr>
      <w:r>
        <w:tab/>
        <w:t>(</w:t>
      </w:r>
      <w:r w:rsidR="000A74FA">
        <w:t>e</w:t>
      </w:r>
      <w:r w:rsidR="0076141D" w:rsidRPr="0040373E">
        <w:t>)</w:t>
      </w:r>
      <w:r w:rsidR="0076141D" w:rsidRPr="0040373E">
        <w:tab/>
      </w:r>
      <w:proofErr w:type="gramStart"/>
      <w:r w:rsidR="0076141D" w:rsidRPr="0040373E">
        <w:t>fair</w:t>
      </w:r>
      <w:proofErr w:type="gramEnd"/>
      <w:r w:rsidR="0076141D" w:rsidRPr="0040373E">
        <w:t xml:space="preserve"> and effective measures are in place to ad</w:t>
      </w:r>
      <w:r w:rsidR="00FA1018">
        <w:t>dress underperformance by a Parliamentary Service employee in the Department</w:t>
      </w:r>
      <w:r w:rsidR="0076141D" w:rsidRPr="0040373E">
        <w:t>.</w:t>
      </w:r>
    </w:p>
    <w:p w:rsidR="0076141D" w:rsidRPr="0040373E" w:rsidRDefault="00E76275" w:rsidP="0076141D">
      <w:pPr>
        <w:pStyle w:val="notetext"/>
      </w:pPr>
      <w:r>
        <w:t>Note:</w:t>
      </w:r>
      <w:r>
        <w:tab/>
        <w:t>Paragraph </w:t>
      </w:r>
      <w:proofErr w:type="gramStart"/>
      <w:r w:rsidR="0076141D" w:rsidRPr="0040373E">
        <w:t>10A(</w:t>
      </w:r>
      <w:proofErr w:type="gramEnd"/>
      <w:r w:rsidR="0076141D" w:rsidRPr="0040373E">
        <w:t xml:space="preserve">1)(d) </w:t>
      </w:r>
      <w:r w:rsidR="00FA1018">
        <w:t xml:space="preserve">of the Act provides that the </w:t>
      </w:r>
      <w:r w:rsidR="00007864">
        <w:t>Parliamentary Service</w:t>
      </w:r>
      <w:r w:rsidR="0076141D" w:rsidRPr="0040373E">
        <w:t xml:space="preserve"> is a career</w:t>
      </w:r>
      <w:r w:rsidR="0076141D">
        <w:noBreakHyphen/>
      </w:r>
      <w:r w:rsidR="00007864">
        <w:t xml:space="preserve">based </w:t>
      </w:r>
      <w:r w:rsidR="0076141D" w:rsidRPr="0040373E">
        <w:t>service that requires effective performance from each employee.</w:t>
      </w:r>
    </w:p>
    <w:p w:rsidR="0076141D" w:rsidRDefault="009139E1" w:rsidP="0076141D">
      <w:pPr>
        <w:pStyle w:val="ItemHead"/>
      </w:pPr>
      <w:proofErr w:type="gramStart"/>
      <w:r>
        <w:t xml:space="preserve">31  </w:t>
      </w:r>
      <w:r w:rsidR="00831096">
        <w:t>Clause</w:t>
      </w:r>
      <w:proofErr w:type="gramEnd"/>
      <w:r w:rsidR="00831096">
        <w:t xml:space="preserve"> 52</w:t>
      </w:r>
    </w:p>
    <w:p w:rsidR="00831096" w:rsidRDefault="00EC6A33" w:rsidP="00831096">
      <w:pPr>
        <w:pStyle w:val="Item"/>
      </w:pPr>
      <w:r>
        <w:t>Repeal the clause, substitute:</w:t>
      </w:r>
    </w:p>
    <w:p w:rsidR="00EC6A33" w:rsidRPr="0040373E" w:rsidRDefault="004431C7" w:rsidP="00EC6A33">
      <w:pPr>
        <w:pStyle w:val="ActHead5"/>
      </w:pPr>
      <w:proofErr w:type="gramStart"/>
      <w:r>
        <w:t xml:space="preserve">52  </w:t>
      </w:r>
      <w:r w:rsidR="00EC6A33" w:rsidRPr="0040373E">
        <w:t>Managing</w:t>
      </w:r>
      <w:proofErr w:type="gramEnd"/>
      <w:r w:rsidR="00EC6A33" w:rsidRPr="0040373E">
        <w:t xml:space="preserve"> performance in cases of a potential breach of the Code of Conduct</w:t>
      </w:r>
    </w:p>
    <w:p w:rsidR="00EC6A33" w:rsidRPr="0040373E" w:rsidRDefault="00EC6A33" w:rsidP="00EC6A33">
      <w:pPr>
        <w:pStyle w:val="subsection"/>
      </w:pPr>
      <w:r w:rsidRPr="0040373E">
        <w:tab/>
      </w:r>
      <w:r w:rsidRPr="0040373E">
        <w:tab/>
      </w:r>
      <w:r>
        <w:t>A Secretary</w:t>
      </w:r>
      <w:r w:rsidRPr="0040373E">
        <w:t xml:space="preserve"> must have regard to any relevant standards and guidance issued by the Commissioner if:</w:t>
      </w:r>
    </w:p>
    <w:p w:rsidR="00EC6A33" w:rsidRPr="0040373E" w:rsidRDefault="00EC6A33" w:rsidP="00EC6A33">
      <w:pPr>
        <w:pStyle w:val="paragraph"/>
      </w:pPr>
      <w:r w:rsidRPr="0040373E">
        <w:tab/>
        <w:t>(a)</w:t>
      </w:r>
      <w:r w:rsidRPr="0040373E">
        <w:tab/>
      </w:r>
      <w:proofErr w:type="gramStart"/>
      <w:r>
        <w:t>a</w:t>
      </w:r>
      <w:proofErr w:type="gramEnd"/>
      <w:r>
        <w:t xml:space="preserve"> Parliamentary Service</w:t>
      </w:r>
      <w:r w:rsidRPr="0040373E">
        <w:t xml:space="preserve"> employee</w:t>
      </w:r>
      <w:r>
        <w:t xml:space="preserve"> in the Department</w:t>
      </w:r>
      <w:r w:rsidRPr="0040373E">
        <w:t xml:space="preserve"> has engaged in conduct that:</w:t>
      </w:r>
    </w:p>
    <w:p w:rsidR="00EC6A33" w:rsidRPr="0040373E" w:rsidRDefault="00EC6A33" w:rsidP="00EC6A33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may</w:t>
      </w:r>
      <w:proofErr w:type="gramEnd"/>
      <w:r w:rsidRPr="0040373E">
        <w:t xml:space="preserve"> breach the Code of Conduct; or</w:t>
      </w:r>
    </w:p>
    <w:p w:rsidR="00EC6A33" w:rsidRPr="0040373E" w:rsidRDefault="00EC6A33" w:rsidP="00EC6A33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Pr="0040373E">
        <w:t>raises</w:t>
      </w:r>
      <w:proofErr w:type="gramEnd"/>
      <w:r w:rsidRPr="0040373E">
        <w:t xml:space="preserve"> concerns relating to effective performance; and</w:t>
      </w:r>
    </w:p>
    <w:p w:rsidR="00EC6A33" w:rsidRPr="0040373E" w:rsidRDefault="00EC6A33" w:rsidP="00EC6A33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Secretary</w:t>
      </w:r>
      <w:r w:rsidRPr="0040373E">
        <w:t xml:space="preserve"> is considering whether to initiate an inquiry under procedures established by the </w:t>
      </w:r>
      <w:r>
        <w:t>Secretary</w:t>
      </w:r>
      <w:r w:rsidRPr="0040373E">
        <w:t xml:space="preserve"> under subsection 15(3) of the Act.</w:t>
      </w:r>
    </w:p>
    <w:p w:rsidR="00E16687" w:rsidRDefault="009139E1" w:rsidP="00683E7E">
      <w:pPr>
        <w:pStyle w:val="ItemHead"/>
      </w:pPr>
      <w:proofErr w:type="gramStart"/>
      <w:r>
        <w:t xml:space="preserve">32  </w:t>
      </w:r>
      <w:r w:rsidR="00E16687">
        <w:t>Part</w:t>
      </w:r>
      <w:proofErr w:type="gramEnd"/>
      <w:r w:rsidR="00E16687">
        <w:t xml:space="preserve"> 6</w:t>
      </w:r>
    </w:p>
    <w:p w:rsidR="00E16687" w:rsidRDefault="00E16687" w:rsidP="00E16687">
      <w:pPr>
        <w:pStyle w:val="Item"/>
      </w:pPr>
      <w:r>
        <w:t xml:space="preserve">Repeal the </w:t>
      </w:r>
      <w:r w:rsidR="00034C33">
        <w:t>Part</w:t>
      </w:r>
      <w:r>
        <w:t>.</w:t>
      </w:r>
    </w:p>
    <w:p w:rsidR="00E551BE" w:rsidRDefault="009139E1" w:rsidP="00683E7E">
      <w:pPr>
        <w:pStyle w:val="ItemHead"/>
      </w:pPr>
      <w:proofErr w:type="gramStart"/>
      <w:r>
        <w:t xml:space="preserve">33  </w:t>
      </w:r>
      <w:r w:rsidR="002F6D86">
        <w:t>Subc</w:t>
      </w:r>
      <w:r w:rsidR="00E551BE">
        <w:t>lause</w:t>
      </w:r>
      <w:proofErr w:type="gramEnd"/>
      <w:r w:rsidR="00E551BE">
        <w:t xml:space="preserve"> 54</w:t>
      </w:r>
      <w:r w:rsidR="002F6D86">
        <w:t>(1)</w:t>
      </w:r>
    </w:p>
    <w:p w:rsidR="004431C7" w:rsidRPr="00683E7E" w:rsidRDefault="00C92C0A" w:rsidP="004431C7">
      <w:pPr>
        <w:pStyle w:val="Item"/>
      </w:pPr>
      <w:r>
        <w:t>Omit “</w:t>
      </w:r>
      <w:proofErr w:type="spellStart"/>
      <w:r>
        <w:t>whistleblower’s</w:t>
      </w:r>
      <w:proofErr w:type="spellEnd"/>
      <w:r>
        <w:t xml:space="preserve"> report”, substitute “public interest disclosure </w:t>
      </w:r>
      <w:r w:rsidR="00C77616" w:rsidRPr="00C77616">
        <w:t xml:space="preserve">(within the meaning of the </w:t>
      </w:r>
      <w:r w:rsidR="00C77616" w:rsidRPr="00C77616">
        <w:rPr>
          <w:i/>
        </w:rPr>
        <w:t>Public Interest Disclosure Act 2013</w:t>
      </w:r>
      <w:r w:rsidR="00C77616" w:rsidRPr="00C77616">
        <w:t>)</w:t>
      </w:r>
      <w:r w:rsidR="00C77616">
        <w:t>”.</w:t>
      </w:r>
    </w:p>
    <w:p w:rsidR="00683E7E" w:rsidRDefault="009139E1" w:rsidP="00683E7E">
      <w:pPr>
        <w:pStyle w:val="ItemHead"/>
      </w:pPr>
      <w:proofErr w:type="gramStart"/>
      <w:r>
        <w:lastRenderedPageBreak/>
        <w:t xml:space="preserve">34  </w:t>
      </w:r>
      <w:r w:rsidR="00683E7E">
        <w:t>Clause</w:t>
      </w:r>
      <w:proofErr w:type="gramEnd"/>
      <w:r w:rsidR="00683E7E">
        <w:t xml:space="preserve"> 55</w:t>
      </w:r>
    </w:p>
    <w:p w:rsidR="00683E7E" w:rsidRPr="00683E7E" w:rsidRDefault="00683E7E" w:rsidP="00683E7E">
      <w:pPr>
        <w:pStyle w:val="Item"/>
      </w:pPr>
      <w:r>
        <w:t xml:space="preserve">Repeal the clause. </w:t>
      </w:r>
    </w:p>
    <w:p w:rsidR="00CF14C8" w:rsidRDefault="009139E1" w:rsidP="00EC6A33">
      <w:pPr>
        <w:pStyle w:val="ItemHead"/>
      </w:pPr>
      <w:proofErr w:type="gramStart"/>
      <w:r>
        <w:t xml:space="preserve">35  </w:t>
      </w:r>
      <w:r w:rsidR="00CF14C8">
        <w:t>Clause</w:t>
      </w:r>
      <w:proofErr w:type="gramEnd"/>
      <w:r w:rsidR="00CF14C8">
        <w:t xml:space="preserve"> 110</w:t>
      </w:r>
    </w:p>
    <w:p w:rsidR="0090198A" w:rsidRDefault="0090198A" w:rsidP="0090198A">
      <w:pPr>
        <w:pStyle w:val="Item"/>
      </w:pPr>
      <w:r>
        <w:t>Repeal the clause, substitute:</w:t>
      </w:r>
    </w:p>
    <w:p w:rsidR="0090198A" w:rsidRPr="0040373E" w:rsidRDefault="004431C7" w:rsidP="0090198A">
      <w:pPr>
        <w:pStyle w:val="ActHead5"/>
      </w:pPr>
      <w:proofErr w:type="gramStart"/>
      <w:r>
        <w:t xml:space="preserve">110  </w:t>
      </w:r>
      <w:r w:rsidR="0090198A" w:rsidRPr="0040373E">
        <w:t>Restrictions</w:t>
      </w:r>
      <w:proofErr w:type="gramEnd"/>
      <w:r w:rsidR="0090198A" w:rsidRPr="0040373E">
        <w:t xml:space="preserve"> on engaging a person who has received a redundancy benefit</w:t>
      </w:r>
    </w:p>
    <w:p w:rsidR="0090198A" w:rsidRPr="0040373E" w:rsidRDefault="0090198A" w:rsidP="0090198A">
      <w:pPr>
        <w:pStyle w:val="subsection"/>
      </w:pPr>
      <w:r>
        <w:tab/>
        <w:t>(1)</w:t>
      </w:r>
      <w:r>
        <w:tab/>
        <w:t>A Secretary</w:t>
      </w:r>
      <w:r w:rsidRPr="0040373E">
        <w:t xml:space="preserve"> may only engage a person who has received a redu</w:t>
      </w:r>
      <w:r>
        <w:t>ndancy benefit as an ongoing Parliamentary Service</w:t>
      </w:r>
      <w:r w:rsidRPr="0040373E">
        <w:t xml:space="preserve"> employee in accordance with the following paragraphs:</w:t>
      </w:r>
    </w:p>
    <w:p w:rsidR="0090198A" w:rsidRPr="0040373E" w:rsidRDefault="0090198A" w:rsidP="0090198A">
      <w:pPr>
        <w:pStyle w:val="paragraph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Secretary</w:t>
      </w:r>
      <w:r w:rsidRPr="0040373E">
        <w:t xml:space="preserve"> must consider that the person’s engage</w:t>
      </w:r>
      <w:r>
        <w:t>ment is essential for the Department</w:t>
      </w:r>
      <w:r w:rsidRPr="0040373E">
        <w:t>’s operations, having regard to:</w:t>
      </w:r>
    </w:p>
    <w:p w:rsidR="0090198A" w:rsidRPr="0040373E" w:rsidRDefault="0090198A" w:rsidP="0090198A">
      <w:pPr>
        <w:pStyle w:val="paragraphsub"/>
      </w:pPr>
      <w:r w:rsidRPr="0040373E">
        <w:tab/>
        <w:t>(</w:t>
      </w:r>
      <w:proofErr w:type="spellStart"/>
      <w:r w:rsidRPr="0040373E">
        <w:t>i</w:t>
      </w:r>
      <w:proofErr w:type="spellEnd"/>
      <w:r w:rsidRPr="0040373E">
        <w:t>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nature of the duties to be performed; and</w:t>
      </w:r>
    </w:p>
    <w:p w:rsidR="0090198A" w:rsidRPr="0040373E" w:rsidRDefault="0090198A" w:rsidP="0090198A">
      <w:pPr>
        <w:pStyle w:val="paragraphsub"/>
      </w:pPr>
      <w:r w:rsidRPr="0040373E">
        <w:tab/>
        <w:t>(ii)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work</w:t>
      </w:r>
      <w:r>
        <w:noBreakHyphen/>
      </w:r>
      <w:r w:rsidRPr="0040373E">
        <w:t>related qualities of the person;</w:t>
      </w:r>
    </w:p>
    <w:p w:rsidR="0090198A" w:rsidRPr="0040373E" w:rsidRDefault="0090198A" w:rsidP="0090198A">
      <w:pPr>
        <w:pStyle w:val="paragraph"/>
      </w:pPr>
      <w:r>
        <w:tab/>
        <w:t>(b)</w:t>
      </w:r>
      <w:r>
        <w:tab/>
      </w:r>
      <w:proofErr w:type="gramStart"/>
      <w:r w:rsidR="00F277D1">
        <w:t>the</w:t>
      </w:r>
      <w:proofErr w:type="gramEnd"/>
      <w:r w:rsidR="00F277D1">
        <w:t xml:space="preserve"> Secretary</w:t>
      </w:r>
      <w:r w:rsidR="00F277D1" w:rsidRPr="0040373E">
        <w:t xml:space="preserve"> must obtain the Commissioner’s approval to do so</w:t>
      </w:r>
      <w:r w:rsidR="00F277D1">
        <w:t>.</w:t>
      </w:r>
    </w:p>
    <w:p w:rsidR="0090198A" w:rsidRPr="0040373E" w:rsidRDefault="0090198A" w:rsidP="0090198A">
      <w:pPr>
        <w:pStyle w:val="notetext"/>
      </w:pPr>
      <w:r w:rsidRPr="0040373E">
        <w:t>Note:</w:t>
      </w:r>
      <w:r w:rsidRPr="0040373E">
        <w:tab/>
        <w:t>Subparagraph (a</w:t>
      </w:r>
      <w:proofErr w:type="gramStart"/>
      <w:r w:rsidRPr="0040373E">
        <w:t>)(</w:t>
      </w:r>
      <w:proofErr w:type="gramEnd"/>
      <w:r w:rsidRPr="0040373E">
        <w:t xml:space="preserve">ii)—for </w:t>
      </w:r>
      <w:r w:rsidRPr="0040373E">
        <w:rPr>
          <w:b/>
          <w:i/>
        </w:rPr>
        <w:t>work</w:t>
      </w:r>
      <w:r>
        <w:rPr>
          <w:b/>
          <w:i/>
        </w:rPr>
        <w:noBreakHyphen/>
      </w:r>
      <w:r w:rsidRPr="0040373E">
        <w:rPr>
          <w:b/>
          <w:i/>
        </w:rPr>
        <w:t>related qualities</w:t>
      </w:r>
      <w:r w:rsidRPr="0040373E">
        <w:t xml:space="preserve">, see </w:t>
      </w:r>
      <w:r w:rsidR="005302C2">
        <w:t>clause</w:t>
      </w:r>
      <w:r w:rsidR="005302C2" w:rsidRPr="0040373E">
        <w:t> </w:t>
      </w:r>
      <w:r>
        <w:t>14</w:t>
      </w:r>
      <w:r w:rsidRPr="0040373E">
        <w:t>.</w:t>
      </w:r>
    </w:p>
    <w:p w:rsidR="002950D0" w:rsidRDefault="0090198A" w:rsidP="0090198A">
      <w:pPr>
        <w:pStyle w:val="subsection"/>
      </w:pPr>
      <w:r w:rsidRPr="0040373E">
        <w:tab/>
      </w:r>
      <w:r w:rsidR="002950D0">
        <w:t>(2)</w:t>
      </w:r>
      <w:r w:rsidR="002950D0">
        <w:tab/>
        <w:t xml:space="preserve">A Secretary may only engage </w:t>
      </w:r>
      <w:r w:rsidR="002950D0" w:rsidRPr="0040373E">
        <w:t>a person who has received a redu</w:t>
      </w:r>
      <w:r w:rsidR="002950D0">
        <w:t>ndancy benefit as a</w:t>
      </w:r>
      <w:r w:rsidR="002950D0" w:rsidRPr="0040373E">
        <w:t xml:space="preserve"> non</w:t>
      </w:r>
      <w:r w:rsidR="002950D0">
        <w:noBreakHyphen/>
      </w:r>
      <w:r w:rsidR="002950D0" w:rsidRPr="0040373E">
        <w:t>ongoing SES employee</w:t>
      </w:r>
      <w:r w:rsidR="002950D0">
        <w:t>, if the Secretary has obtained the Commissioner’s approval to do so.</w:t>
      </w:r>
    </w:p>
    <w:p w:rsidR="0090198A" w:rsidRPr="0040373E" w:rsidRDefault="002950D0" w:rsidP="0090198A">
      <w:pPr>
        <w:pStyle w:val="subsection"/>
      </w:pPr>
      <w:r>
        <w:tab/>
      </w:r>
      <w:r w:rsidR="0090198A" w:rsidRPr="0040373E">
        <w:t>(</w:t>
      </w:r>
      <w:r>
        <w:t>3</w:t>
      </w:r>
      <w:r w:rsidR="0090198A" w:rsidRPr="0040373E">
        <w:t>)</w:t>
      </w:r>
      <w:r w:rsidR="0090198A" w:rsidRPr="0040373E">
        <w:tab/>
        <w:t xml:space="preserve">In this </w:t>
      </w:r>
      <w:r w:rsidR="00260C73">
        <w:t>clause</w:t>
      </w:r>
      <w:r w:rsidR="0090198A" w:rsidRPr="0040373E">
        <w:t>:</w:t>
      </w:r>
    </w:p>
    <w:p w:rsidR="0090198A" w:rsidRPr="0040373E" w:rsidRDefault="0090198A" w:rsidP="0090198A">
      <w:pPr>
        <w:pStyle w:val="Definition"/>
      </w:pPr>
      <w:proofErr w:type="gramStart"/>
      <w:r w:rsidRPr="0040373E">
        <w:rPr>
          <w:b/>
          <w:bCs/>
          <w:i/>
          <w:iCs/>
        </w:rPr>
        <w:t>person</w:t>
      </w:r>
      <w:proofErr w:type="gramEnd"/>
      <w:r w:rsidRPr="0040373E">
        <w:rPr>
          <w:b/>
          <w:bCs/>
          <w:i/>
          <w:iCs/>
        </w:rPr>
        <w:t xml:space="preserve"> who has received a redundancy benefit </w:t>
      </w:r>
      <w:r w:rsidRPr="0040373E">
        <w:rPr>
          <w:bCs/>
          <w:iCs/>
        </w:rPr>
        <w:t xml:space="preserve">means a person who </w:t>
      </w:r>
      <w:r w:rsidRPr="0040373E">
        <w:t>has received a redundancy benefit:</w:t>
      </w:r>
    </w:p>
    <w:p w:rsidR="0090198A" w:rsidRPr="0040373E" w:rsidRDefault="0090198A" w:rsidP="0090198A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from</w:t>
      </w:r>
      <w:proofErr w:type="gramEnd"/>
      <w:r w:rsidR="00034C33">
        <w:t xml:space="preserve"> a Department or</w:t>
      </w:r>
      <w:r w:rsidRPr="0040373E">
        <w:t xml:space="preserve"> </w:t>
      </w:r>
      <w:r>
        <w:t>an APS agency</w:t>
      </w:r>
      <w:r w:rsidRPr="0040373E">
        <w:t>; and</w:t>
      </w:r>
    </w:p>
    <w:p w:rsidR="0090198A" w:rsidRPr="0040373E" w:rsidRDefault="0090198A" w:rsidP="0090198A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for</w:t>
      </w:r>
      <w:proofErr w:type="gramEnd"/>
      <w:r w:rsidRPr="0040373E">
        <w:t xml:space="preserve"> which the redundancy benefit period has not ended.</w:t>
      </w:r>
    </w:p>
    <w:p w:rsidR="0090198A" w:rsidRPr="0040373E" w:rsidRDefault="0090198A" w:rsidP="0090198A">
      <w:pPr>
        <w:pStyle w:val="Definition"/>
      </w:pPr>
      <w:proofErr w:type="gramStart"/>
      <w:r w:rsidRPr="0040373E">
        <w:rPr>
          <w:b/>
          <w:bCs/>
          <w:i/>
          <w:iCs/>
        </w:rPr>
        <w:t>redundancy</w:t>
      </w:r>
      <w:proofErr w:type="gramEnd"/>
      <w:r w:rsidRPr="0040373E">
        <w:rPr>
          <w:b/>
          <w:bCs/>
          <w:i/>
          <w:iCs/>
        </w:rPr>
        <w:t xml:space="preserve"> benefit</w:t>
      </w:r>
      <w:r w:rsidRPr="0040373E">
        <w:t xml:space="preserve"> means:</w:t>
      </w:r>
    </w:p>
    <w:p w:rsidR="0090198A" w:rsidRPr="0040373E" w:rsidRDefault="0090198A" w:rsidP="0090198A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severance payment, or similar payment, made to an employee on the ending of the employee’s employment; or</w:t>
      </w:r>
    </w:p>
    <w:p w:rsidR="0090198A" w:rsidRPr="0040373E" w:rsidRDefault="0090198A" w:rsidP="0090198A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payment made to an employee as a result of the shortening of a retention period; or</w:t>
      </w:r>
    </w:p>
    <w:p w:rsidR="0090198A" w:rsidRPr="0040373E" w:rsidRDefault="0090198A" w:rsidP="0090198A">
      <w:pPr>
        <w:pStyle w:val="paragraph"/>
      </w:pPr>
      <w:r w:rsidRPr="0040373E">
        <w:tab/>
        <w:t>(c)</w:t>
      </w:r>
      <w:r w:rsidRPr="0040373E">
        <w:tab/>
      </w:r>
      <w:proofErr w:type="gramStart"/>
      <w:r w:rsidRPr="0040373E">
        <w:t>an</w:t>
      </w:r>
      <w:proofErr w:type="gramEnd"/>
      <w:r w:rsidRPr="0040373E">
        <w:t xml:space="preserve"> incentive to retire payment under section 37 of the Act or section 37 of the </w:t>
      </w:r>
      <w:r w:rsidR="00034C33" w:rsidRPr="0040373E">
        <w:rPr>
          <w:i/>
        </w:rPr>
        <w:t>P</w:t>
      </w:r>
      <w:r w:rsidR="00034C33">
        <w:rPr>
          <w:i/>
        </w:rPr>
        <w:t xml:space="preserve">ublic </w:t>
      </w:r>
      <w:r w:rsidRPr="0040373E">
        <w:rPr>
          <w:i/>
        </w:rPr>
        <w:t>Service Act 1999</w:t>
      </w:r>
      <w:r w:rsidRPr="0040373E">
        <w:t>;</w:t>
      </w:r>
    </w:p>
    <w:p w:rsidR="0090198A" w:rsidRPr="0040373E" w:rsidRDefault="0090198A" w:rsidP="0090198A">
      <w:pPr>
        <w:pStyle w:val="subsection2"/>
      </w:pPr>
      <w:proofErr w:type="gramStart"/>
      <w:r w:rsidRPr="0040373E">
        <w:t>but</w:t>
      </w:r>
      <w:proofErr w:type="gramEnd"/>
      <w:r w:rsidRPr="0040373E">
        <w:t xml:space="preserve"> not:</w:t>
      </w:r>
    </w:p>
    <w:p w:rsidR="0090198A" w:rsidRPr="0040373E" w:rsidRDefault="0090198A" w:rsidP="0090198A">
      <w:pPr>
        <w:pStyle w:val="paragraph"/>
      </w:pPr>
      <w:r w:rsidRPr="0040373E">
        <w:tab/>
        <w:t>(d)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payment made to an employee as redundancy pay under section 119 of the </w:t>
      </w:r>
      <w:r w:rsidRPr="0040373E">
        <w:rPr>
          <w:i/>
        </w:rPr>
        <w:t>Fair Work Act 2009</w:t>
      </w:r>
      <w:r w:rsidRPr="0040373E">
        <w:t>; or</w:t>
      </w:r>
    </w:p>
    <w:p w:rsidR="0090198A" w:rsidRPr="0040373E" w:rsidRDefault="0090198A" w:rsidP="0090198A">
      <w:pPr>
        <w:pStyle w:val="paragraph"/>
      </w:pPr>
      <w:r w:rsidRPr="0040373E">
        <w:tab/>
        <w:t>(e)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payment made to a person in lieu of notice of termination of employment.</w:t>
      </w:r>
    </w:p>
    <w:p w:rsidR="0090198A" w:rsidRPr="0040373E" w:rsidRDefault="0090198A" w:rsidP="0090198A">
      <w:pPr>
        <w:pStyle w:val="notetext"/>
      </w:pPr>
      <w:r w:rsidRPr="0040373E">
        <w:t>Note:</w:t>
      </w:r>
      <w:r w:rsidRPr="0040373E">
        <w:tab/>
        <w:t>Paragraph (d)—the amount of the payment mentioned in that paragraph is known as the National Employment Standards redundancy amount.</w:t>
      </w:r>
    </w:p>
    <w:p w:rsidR="0090198A" w:rsidRPr="0040373E" w:rsidRDefault="0090198A" w:rsidP="0090198A">
      <w:pPr>
        <w:pStyle w:val="Definition"/>
      </w:pPr>
      <w:proofErr w:type="gramStart"/>
      <w:r w:rsidRPr="0040373E">
        <w:rPr>
          <w:b/>
          <w:i/>
        </w:rPr>
        <w:t>redundancy</w:t>
      </w:r>
      <w:proofErr w:type="gramEnd"/>
      <w:r w:rsidRPr="0040373E">
        <w:rPr>
          <w:b/>
          <w:i/>
        </w:rPr>
        <w:t xml:space="preserve"> benefit period</w:t>
      </w:r>
      <w:r w:rsidRPr="0040373E">
        <w:t>, relating to a person’s redundancy benefit, means the period (rounded down to the nearest equivalent whole day):</w:t>
      </w:r>
    </w:p>
    <w:p w:rsidR="0090198A" w:rsidRPr="0040373E" w:rsidRDefault="0090198A" w:rsidP="0090198A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beginning</w:t>
      </w:r>
      <w:proofErr w:type="gramEnd"/>
      <w:r w:rsidRPr="0040373E">
        <w:t xml:space="preserve"> on the day after the person’s employment ends; and</w:t>
      </w:r>
    </w:p>
    <w:p w:rsidR="0090198A" w:rsidRPr="0040373E" w:rsidRDefault="0090198A" w:rsidP="0090198A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ending</w:t>
      </w:r>
      <w:proofErr w:type="gramEnd"/>
      <w:r w:rsidRPr="0040373E">
        <w:t xml:space="preserve"> on the last day of the period worked out using the following formula:</w:t>
      </w:r>
    </w:p>
    <w:bookmarkStart w:id="21" w:name="BKCheck15B_4"/>
    <w:bookmarkEnd w:id="21"/>
    <w:p w:rsidR="0090198A" w:rsidRPr="0040373E" w:rsidRDefault="0090198A" w:rsidP="0090198A">
      <w:pPr>
        <w:pStyle w:val="subsection2"/>
      </w:pPr>
      <w:r w:rsidRPr="0040373E">
        <w:rPr>
          <w:position w:val="-36"/>
        </w:rPr>
        <w:object w:dxaOrig="39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2pt;height:40.2pt" o:ole="">
            <v:imagedata r:id="rId21" o:title=""/>
          </v:shape>
          <o:OLEObject Type="Embed" ProgID="Equation.DSMT4" ShapeID="_x0000_i1025" DrawAspect="Content" ObjectID="_1569326450" r:id="rId22"/>
        </w:object>
      </w:r>
    </w:p>
    <w:p w:rsidR="0090198A" w:rsidRPr="0040373E" w:rsidRDefault="0090198A" w:rsidP="0090198A">
      <w:pPr>
        <w:pStyle w:val="subsection2"/>
      </w:pPr>
      <w:proofErr w:type="gramStart"/>
      <w:r w:rsidRPr="0040373E">
        <w:t>where</w:t>
      </w:r>
      <w:proofErr w:type="gramEnd"/>
      <w:r w:rsidRPr="0040373E">
        <w:t>:</w:t>
      </w:r>
    </w:p>
    <w:p w:rsidR="0090198A" w:rsidRPr="0040373E" w:rsidRDefault="0090198A" w:rsidP="0090198A">
      <w:pPr>
        <w:pStyle w:val="Definition"/>
      </w:pPr>
      <w:proofErr w:type="gramStart"/>
      <w:r w:rsidRPr="0040373E">
        <w:rPr>
          <w:b/>
          <w:i/>
        </w:rPr>
        <w:t>weekly</w:t>
      </w:r>
      <w:proofErr w:type="gramEnd"/>
      <w:r w:rsidRPr="0040373E">
        <w:rPr>
          <w:b/>
          <w:i/>
        </w:rPr>
        <w:t xml:space="preserve"> salary</w:t>
      </w:r>
      <w:r w:rsidRPr="0040373E">
        <w:t xml:space="preserve"> means:</w:t>
      </w:r>
    </w:p>
    <w:p w:rsidR="0090198A" w:rsidRPr="0040373E" w:rsidRDefault="0090198A" w:rsidP="0090198A">
      <w:pPr>
        <w:pStyle w:val="paragraph"/>
      </w:pPr>
      <w:r w:rsidRPr="0040373E">
        <w:tab/>
        <w:t>(a)</w:t>
      </w:r>
      <w:r w:rsidRPr="0040373E">
        <w:tab/>
        <w:t>for a person who has periods of full</w:t>
      </w:r>
      <w:r>
        <w:noBreakHyphen/>
      </w:r>
      <w:r w:rsidRPr="0040373E">
        <w:t>time and part</w:t>
      </w:r>
      <w:r>
        <w:noBreakHyphen/>
      </w:r>
      <w:r w:rsidRPr="0040373E">
        <w:t>time service and whose redundancy benefit is calculated on the basis of a part</w:t>
      </w:r>
      <w:r>
        <w:noBreakHyphen/>
      </w:r>
      <w:r w:rsidRPr="0040373E">
        <w:t>time weekly salary—the full</w:t>
      </w:r>
      <w:r>
        <w:noBreakHyphen/>
      </w:r>
      <w:r w:rsidRPr="0040373E">
        <w:t>time equivalent of the part</w:t>
      </w:r>
      <w:r>
        <w:noBreakHyphen/>
      </w:r>
      <w:r w:rsidRPr="0040373E">
        <w:t>time weekly salary; or</w:t>
      </w:r>
    </w:p>
    <w:p w:rsidR="0090198A" w:rsidRPr="0090198A" w:rsidRDefault="0090198A" w:rsidP="0090198A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in</w:t>
      </w:r>
      <w:proofErr w:type="gramEnd"/>
      <w:r w:rsidRPr="0040373E">
        <w:t xml:space="preserve"> any other case—the weekly salary used to calculate the redundancy benefit.</w:t>
      </w:r>
    </w:p>
    <w:p w:rsidR="0090198A" w:rsidRDefault="009139E1" w:rsidP="00EC6A33">
      <w:pPr>
        <w:pStyle w:val="ItemHead"/>
      </w:pPr>
      <w:proofErr w:type="gramStart"/>
      <w:r>
        <w:t xml:space="preserve">36  </w:t>
      </w:r>
      <w:r w:rsidR="0090198A">
        <w:t>Clause</w:t>
      </w:r>
      <w:proofErr w:type="gramEnd"/>
      <w:r w:rsidR="0090198A">
        <w:t xml:space="preserve"> 111</w:t>
      </w:r>
    </w:p>
    <w:p w:rsidR="0090198A" w:rsidRPr="0090198A" w:rsidRDefault="0090198A" w:rsidP="0090198A">
      <w:pPr>
        <w:pStyle w:val="Item"/>
      </w:pPr>
      <w:r>
        <w:t xml:space="preserve">Repeal the clause. </w:t>
      </w:r>
    </w:p>
    <w:p w:rsidR="00EC6A33" w:rsidRDefault="009139E1" w:rsidP="00EC6A33">
      <w:pPr>
        <w:pStyle w:val="ItemHead"/>
      </w:pPr>
      <w:proofErr w:type="gramStart"/>
      <w:r>
        <w:t xml:space="preserve">37  </w:t>
      </w:r>
      <w:r w:rsidR="001F530F">
        <w:t>Part</w:t>
      </w:r>
      <w:proofErr w:type="gramEnd"/>
      <w:r w:rsidR="001F530F">
        <w:t xml:space="preserve"> 16</w:t>
      </w:r>
    </w:p>
    <w:p w:rsidR="008A5435" w:rsidRDefault="00434CCE" w:rsidP="008A5435">
      <w:pPr>
        <w:pStyle w:val="Item"/>
      </w:pPr>
      <w:r>
        <w:t>Repeal the Part, substitute:</w:t>
      </w:r>
    </w:p>
    <w:p w:rsidR="00434CCE" w:rsidRPr="00761938" w:rsidRDefault="00434CCE" w:rsidP="00761938">
      <w:pPr>
        <w:pStyle w:val="ActHead2"/>
        <w:rPr>
          <w:rStyle w:val="CharPartText"/>
        </w:rPr>
      </w:pPr>
      <w:bookmarkStart w:id="22" w:name="_Toc401058184"/>
      <w:r w:rsidRPr="00761938">
        <w:rPr>
          <w:rStyle w:val="CharPartText"/>
        </w:rPr>
        <w:t>Part 16—</w:t>
      </w:r>
      <w:r w:rsidR="003B5B5C" w:rsidRPr="00761938">
        <w:rPr>
          <w:rStyle w:val="CharPartText"/>
        </w:rPr>
        <w:t>Application and t</w:t>
      </w:r>
      <w:r w:rsidRPr="00761938">
        <w:rPr>
          <w:rStyle w:val="CharPartText"/>
        </w:rPr>
        <w:t>ransitional provisions</w:t>
      </w:r>
      <w:bookmarkEnd w:id="22"/>
    </w:p>
    <w:p w:rsidR="00434CCE" w:rsidRDefault="00434CCE" w:rsidP="00A74DD9">
      <w:pPr>
        <w:pStyle w:val="ActHead5"/>
        <w:rPr>
          <w:rStyle w:val="CharSectno"/>
        </w:rPr>
      </w:pPr>
      <w:bookmarkStart w:id="23" w:name="_Toc461440463"/>
      <w:r>
        <w:rPr>
          <w:rStyle w:val="CharSectno"/>
        </w:rPr>
        <w:t>148 Definitions</w:t>
      </w:r>
    </w:p>
    <w:p w:rsidR="00855536" w:rsidRDefault="00855536" w:rsidP="00855536">
      <w:pPr>
        <w:pStyle w:val="subsection"/>
      </w:pPr>
      <w:r>
        <w:tab/>
      </w:r>
      <w:r>
        <w:tab/>
        <w:t>In this Part:</w:t>
      </w:r>
    </w:p>
    <w:p w:rsidR="00855536" w:rsidRDefault="00855536" w:rsidP="00761938">
      <w:pPr>
        <w:pStyle w:val="Definition"/>
      </w:pPr>
      <w:proofErr w:type="gramStart"/>
      <w:r>
        <w:rPr>
          <w:b/>
          <w:i/>
        </w:rPr>
        <w:t>commencement</w:t>
      </w:r>
      <w:proofErr w:type="gramEnd"/>
      <w:r>
        <w:t xml:space="preserve"> means the day the </w:t>
      </w:r>
      <w:r>
        <w:rPr>
          <w:i/>
        </w:rPr>
        <w:t>Parliamentary Service Amendment (Managing Recruitment Activity and Other Measures) Determination 2017</w:t>
      </w:r>
      <w:r>
        <w:t xml:space="preserve"> commences.</w:t>
      </w:r>
    </w:p>
    <w:p w:rsidR="00A74DD9" w:rsidRPr="0040373E" w:rsidRDefault="00434CCE" w:rsidP="00A74DD9">
      <w:pPr>
        <w:pStyle w:val="ActHead5"/>
      </w:pPr>
      <w:proofErr w:type="gramStart"/>
      <w:r>
        <w:rPr>
          <w:rStyle w:val="CharSectno"/>
        </w:rPr>
        <w:t>14</w:t>
      </w:r>
      <w:r w:rsidR="00C8624A">
        <w:rPr>
          <w:rStyle w:val="CharSectno"/>
        </w:rPr>
        <w:t>9</w:t>
      </w:r>
      <w:r w:rsidRPr="0040373E">
        <w:t xml:space="preserve">  </w:t>
      </w:r>
      <w:r w:rsidR="00A74DD9" w:rsidRPr="0040373E">
        <w:t>Application</w:t>
      </w:r>
      <w:proofErr w:type="gramEnd"/>
      <w:r w:rsidR="00A74DD9" w:rsidRPr="0040373E">
        <w:t>—Gazettal of certain employment decisions and promotions</w:t>
      </w:r>
      <w:bookmarkEnd w:id="23"/>
    </w:p>
    <w:p w:rsidR="00A74DD9" w:rsidRPr="0040373E" w:rsidRDefault="00A74DD9" w:rsidP="00A74DD9">
      <w:pPr>
        <w:pStyle w:val="subsection"/>
      </w:pPr>
      <w:r w:rsidRPr="0040373E">
        <w:tab/>
      </w:r>
      <w:r w:rsidRPr="0040373E">
        <w:tab/>
        <w:t>Division </w:t>
      </w:r>
      <w:r w:rsidR="009C350F">
        <w:t>5</w:t>
      </w:r>
      <w:r w:rsidRPr="0040373E">
        <w:t xml:space="preserve"> of Part 3 of this </w:t>
      </w:r>
      <w:r w:rsidR="00434CCE">
        <w:t>determination</w:t>
      </w:r>
      <w:r w:rsidR="00434CCE" w:rsidRPr="0040373E">
        <w:t xml:space="preserve"> </w:t>
      </w:r>
      <w:r w:rsidRPr="0040373E">
        <w:t>applies in respect of:</w:t>
      </w:r>
    </w:p>
    <w:p w:rsidR="00A74DD9" w:rsidRPr="0040373E" w:rsidRDefault="00A74DD9" w:rsidP="00A74DD9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an</w:t>
      </w:r>
      <w:proofErr w:type="gramEnd"/>
      <w:r w:rsidRPr="0040373E">
        <w:t xml:space="preserve"> employment decision made on or after commencement; and</w:t>
      </w:r>
    </w:p>
    <w:p w:rsidR="00A74DD9" w:rsidRPr="0040373E" w:rsidRDefault="00A74DD9" w:rsidP="00A74DD9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an</w:t>
      </w:r>
      <w:proofErr w:type="gramEnd"/>
      <w:r w:rsidRPr="0040373E">
        <w:t xml:space="preserve"> employment decision made before commencement but</w:t>
      </w:r>
      <w:r w:rsidR="00F12FF0">
        <w:t xml:space="preserve"> not notified under Division 5</w:t>
      </w:r>
      <w:r w:rsidR="00F44A3B">
        <w:t xml:space="preserve"> </w:t>
      </w:r>
      <w:r w:rsidR="00FB478F">
        <w:t xml:space="preserve">of this determination </w:t>
      </w:r>
      <w:r w:rsidR="00F12FF0">
        <w:t xml:space="preserve">as </w:t>
      </w:r>
      <w:r w:rsidR="00F44A3B">
        <w:t xml:space="preserve">it was </w:t>
      </w:r>
      <w:r w:rsidR="00F12FF0">
        <w:t xml:space="preserve">in force immediately before commencement. </w:t>
      </w:r>
      <w:r w:rsidRPr="0040373E">
        <w:t xml:space="preserve"> </w:t>
      </w:r>
    </w:p>
    <w:p w:rsidR="00A74DD9" w:rsidRPr="0040373E" w:rsidRDefault="00434CCE" w:rsidP="00A74DD9">
      <w:pPr>
        <w:pStyle w:val="ActHead5"/>
      </w:pPr>
      <w:bookmarkStart w:id="24" w:name="_Toc461440464"/>
      <w:proofErr w:type="gramStart"/>
      <w:r>
        <w:rPr>
          <w:rStyle w:val="CharSectno"/>
        </w:rPr>
        <w:t>1</w:t>
      </w:r>
      <w:r w:rsidR="00C8624A">
        <w:rPr>
          <w:rStyle w:val="CharSectno"/>
        </w:rPr>
        <w:t>50</w:t>
      </w:r>
      <w:r w:rsidRPr="0040373E">
        <w:t xml:space="preserve">  </w:t>
      </w:r>
      <w:r w:rsidR="00A74DD9" w:rsidRPr="0040373E">
        <w:t>Transitional</w:t>
      </w:r>
      <w:proofErr w:type="gramEnd"/>
      <w:r w:rsidR="00A74DD9" w:rsidRPr="0040373E">
        <w:t>—use of merit lists</w:t>
      </w:r>
      <w:bookmarkEnd w:id="24"/>
    </w:p>
    <w:p w:rsidR="00A74DD9" w:rsidRPr="0040373E" w:rsidRDefault="00A74DD9" w:rsidP="00A74DD9">
      <w:pPr>
        <w:pStyle w:val="subsection"/>
      </w:pPr>
      <w:r w:rsidRPr="0040373E">
        <w:tab/>
      </w:r>
      <w:r w:rsidRPr="0040373E">
        <w:tab/>
        <w:t>For the purposes of paragraph 20(1</w:t>
      </w:r>
      <w:proofErr w:type="gramStart"/>
      <w:r w:rsidRPr="0040373E">
        <w:t>)(</w:t>
      </w:r>
      <w:proofErr w:type="gramEnd"/>
      <w:r w:rsidRPr="0040373E">
        <w:t xml:space="preserve">a) of this </w:t>
      </w:r>
      <w:r w:rsidR="00434CCE">
        <w:t>determination</w:t>
      </w:r>
      <w:r w:rsidRPr="0040373E">
        <w:t>, a vacancy is taken to be a similar vacancy if the vacancy:</w:t>
      </w:r>
    </w:p>
    <w:p w:rsidR="00A74DD9" w:rsidRPr="0040373E" w:rsidRDefault="00A74DD9" w:rsidP="00A74DD9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was</w:t>
      </w:r>
      <w:proofErr w:type="gramEnd"/>
      <w:r w:rsidRPr="0040373E">
        <w:t xml:space="preserve"> advertised in the 12 month period occurring before commencement; and</w:t>
      </w:r>
    </w:p>
    <w:p w:rsidR="00A74DD9" w:rsidRPr="0040373E" w:rsidRDefault="00A74DD9" w:rsidP="00A74DD9">
      <w:pPr>
        <w:pStyle w:val="paragraph"/>
      </w:pPr>
      <w:r w:rsidRPr="0040373E">
        <w:tab/>
        <w:t>(b)</w:t>
      </w:r>
      <w:r w:rsidRPr="0040373E">
        <w:tab/>
      </w:r>
      <w:proofErr w:type="gramStart"/>
      <w:r w:rsidRPr="0040373E">
        <w:t>otherwise</w:t>
      </w:r>
      <w:proofErr w:type="gramEnd"/>
      <w:r w:rsidRPr="0040373E">
        <w:t xml:space="preserve"> satisfies the requirements of </w:t>
      </w:r>
      <w:r w:rsidR="00434CCE">
        <w:t>clause</w:t>
      </w:r>
      <w:r w:rsidR="00434CCE" w:rsidRPr="0040373E">
        <w:t> </w:t>
      </w:r>
      <w:r w:rsidR="00863E67">
        <w:t>13</w:t>
      </w:r>
      <w:r w:rsidRPr="0040373E">
        <w:t xml:space="preserve"> of this </w:t>
      </w:r>
      <w:r w:rsidR="00434CCE">
        <w:t>determination</w:t>
      </w:r>
      <w:r w:rsidRPr="0040373E">
        <w:t>.</w:t>
      </w:r>
    </w:p>
    <w:p w:rsidR="00A74DD9" w:rsidRPr="0040373E" w:rsidRDefault="00434CCE" w:rsidP="00A74DD9">
      <w:pPr>
        <w:pStyle w:val="ActHead5"/>
      </w:pPr>
      <w:bookmarkStart w:id="25" w:name="_Toc461440465"/>
      <w:proofErr w:type="gramStart"/>
      <w:r>
        <w:rPr>
          <w:rStyle w:val="CharSectno"/>
        </w:rPr>
        <w:t>15</w:t>
      </w:r>
      <w:r w:rsidR="00C8624A">
        <w:rPr>
          <w:rStyle w:val="CharSectno"/>
        </w:rPr>
        <w:t>1</w:t>
      </w:r>
      <w:r w:rsidRPr="0040373E">
        <w:t xml:space="preserve">  </w:t>
      </w:r>
      <w:r w:rsidR="00A74DD9" w:rsidRPr="0040373E">
        <w:t>Transitional</w:t>
      </w:r>
      <w:proofErr w:type="gramEnd"/>
      <w:r w:rsidR="00A74DD9" w:rsidRPr="0040373E">
        <w:t>—vacancies notified before commencement</w:t>
      </w:r>
      <w:bookmarkEnd w:id="25"/>
    </w:p>
    <w:p w:rsidR="00A74DD9" w:rsidRPr="0040373E" w:rsidRDefault="00A74DD9" w:rsidP="00A74DD9">
      <w:pPr>
        <w:pStyle w:val="subsection"/>
      </w:pPr>
      <w:r w:rsidRPr="0040373E">
        <w:tab/>
      </w:r>
      <w:r w:rsidR="0064694C">
        <w:t xml:space="preserve"> </w:t>
      </w:r>
      <w:r w:rsidRPr="0040373E">
        <w:tab/>
      </w:r>
      <w:r w:rsidR="00FB478F">
        <w:t>This determination</w:t>
      </w:r>
      <w:r w:rsidR="00532666">
        <w:t xml:space="preserve"> as it was in force immediately</w:t>
      </w:r>
      <w:r w:rsidRPr="0040373E">
        <w:t xml:space="preserve"> before commencement</w:t>
      </w:r>
      <w:r w:rsidR="00F277D1">
        <w:t xml:space="preserve"> continues to apply in relation to a vacancy if, immediately before</w:t>
      </w:r>
      <w:r w:rsidR="00532666">
        <w:t xml:space="preserve"> commencement</w:t>
      </w:r>
      <w:r w:rsidRPr="0040373E">
        <w:t>:</w:t>
      </w:r>
    </w:p>
    <w:p w:rsidR="00A74DD9" w:rsidRPr="0040373E" w:rsidRDefault="00A74DD9" w:rsidP="00A74DD9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vacancy had been notified in the Public Service </w:t>
      </w:r>
      <w:r w:rsidRPr="00005CFD">
        <w:rPr>
          <w:i/>
        </w:rPr>
        <w:t>Gazette</w:t>
      </w:r>
      <w:r w:rsidRPr="0040373E">
        <w:t>; and</w:t>
      </w:r>
    </w:p>
    <w:p w:rsidR="00A74DD9" w:rsidRPr="0040373E" w:rsidRDefault="00A74DD9" w:rsidP="00A74DD9">
      <w:pPr>
        <w:pStyle w:val="paragraph"/>
      </w:pPr>
      <w:r w:rsidRPr="0040373E">
        <w:lastRenderedPageBreak/>
        <w:tab/>
        <w:t>(b)</w:t>
      </w:r>
      <w:r w:rsidRPr="0040373E">
        <w:tab/>
      </w:r>
      <w:proofErr w:type="gramStart"/>
      <w:r w:rsidRPr="0040373E">
        <w:t>a</w:t>
      </w:r>
      <w:proofErr w:type="gramEnd"/>
      <w:r w:rsidRPr="0040373E">
        <w:t xml:space="preserve"> decision had not been made to fill the vacancy.</w:t>
      </w:r>
    </w:p>
    <w:p w:rsidR="00A74DD9" w:rsidRPr="0040373E" w:rsidRDefault="00434CCE" w:rsidP="00A74DD9">
      <w:pPr>
        <w:pStyle w:val="ActHead5"/>
      </w:pPr>
      <w:bookmarkStart w:id="26" w:name="_Toc461440466"/>
      <w:proofErr w:type="gramStart"/>
      <w:r>
        <w:rPr>
          <w:rStyle w:val="CharSectno"/>
        </w:rPr>
        <w:t>15</w:t>
      </w:r>
      <w:r w:rsidR="00C8624A">
        <w:rPr>
          <w:rStyle w:val="CharSectno"/>
        </w:rPr>
        <w:t>2</w:t>
      </w:r>
      <w:r w:rsidRPr="0040373E">
        <w:t xml:space="preserve">  </w:t>
      </w:r>
      <w:r w:rsidR="00A74DD9" w:rsidRPr="0040373E">
        <w:t>Transitional</w:t>
      </w:r>
      <w:proofErr w:type="gramEnd"/>
      <w:r w:rsidR="00A74DD9" w:rsidRPr="0040373E">
        <w:t>—engagement on a short</w:t>
      </w:r>
      <w:r w:rsidR="00A74DD9">
        <w:noBreakHyphen/>
      </w:r>
      <w:r w:rsidR="00A74DD9" w:rsidRPr="0040373E">
        <w:t>term, irregular or intermittent basis</w:t>
      </w:r>
      <w:bookmarkEnd w:id="26"/>
    </w:p>
    <w:p w:rsidR="00A74DD9" w:rsidRPr="0040373E" w:rsidRDefault="00A74DD9" w:rsidP="00A74DD9">
      <w:pPr>
        <w:pStyle w:val="subsection"/>
      </w:pPr>
      <w:r w:rsidRPr="0040373E">
        <w:tab/>
      </w:r>
      <w:r w:rsidRPr="0040373E">
        <w:tab/>
        <w:t>If a person was, immediately before commencement, engaged to perform duties as a non</w:t>
      </w:r>
      <w:r>
        <w:noBreakHyphen/>
        <w:t>ongoing Parliamentary Services</w:t>
      </w:r>
      <w:r w:rsidR="003D3C32">
        <w:t xml:space="preserve"> employee under clause </w:t>
      </w:r>
      <w:r w:rsidR="0084301F">
        <w:t>23</w:t>
      </w:r>
      <w:r w:rsidRPr="0040373E">
        <w:t xml:space="preserve"> of </w:t>
      </w:r>
      <w:r w:rsidR="00FB478F">
        <w:t>this determination as it was in force immediately before commencement</w:t>
      </w:r>
      <w:r w:rsidRPr="0040373E">
        <w:t>, then:</w:t>
      </w:r>
    </w:p>
    <w:p w:rsidR="00A74DD9" w:rsidRPr="0040373E" w:rsidRDefault="00A74DD9" w:rsidP="00A74DD9">
      <w:pPr>
        <w:pStyle w:val="paragraph"/>
      </w:pPr>
      <w:r w:rsidRPr="0040373E">
        <w:tab/>
        <w:t>(a)</w:t>
      </w:r>
      <w:r w:rsidRPr="0040373E">
        <w:tab/>
      </w:r>
      <w:proofErr w:type="gramStart"/>
      <w:r w:rsidRPr="0040373E">
        <w:t>the</w:t>
      </w:r>
      <w:proofErr w:type="gramEnd"/>
      <w:r w:rsidRPr="0040373E">
        <w:t xml:space="preserve"> person is taken to be engaged to perform duties as a non</w:t>
      </w:r>
      <w:r>
        <w:noBreakHyphen/>
        <w:t>ongoing Parliamentary Services</w:t>
      </w:r>
      <w:r w:rsidR="0084301F">
        <w:t xml:space="preserve"> employee under </w:t>
      </w:r>
      <w:r w:rsidR="003A281E">
        <w:t>clause </w:t>
      </w:r>
      <w:r w:rsidR="0084301F">
        <w:t>23</w:t>
      </w:r>
      <w:r w:rsidRPr="0040373E">
        <w:t xml:space="preserve"> of this </w:t>
      </w:r>
      <w:r w:rsidR="00FB478F">
        <w:t>determination</w:t>
      </w:r>
      <w:r w:rsidRPr="0040373E">
        <w:t>; and</w:t>
      </w:r>
    </w:p>
    <w:p w:rsidR="00A74DD9" w:rsidRPr="0040373E" w:rsidRDefault="0084301F" w:rsidP="00A74DD9">
      <w:pPr>
        <w:pStyle w:val="paragraph"/>
      </w:pPr>
      <w:r>
        <w:tab/>
        <w:t>(b)</w:t>
      </w:r>
      <w:r>
        <w:tab/>
      </w:r>
      <w:proofErr w:type="gramStart"/>
      <w:r w:rsidR="003A281E">
        <w:t>clause</w:t>
      </w:r>
      <w:proofErr w:type="gramEnd"/>
      <w:r w:rsidR="003A281E">
        <w:t> </w:t>
      </w:r>
      <w:r>
        <w:t>23</w:t>
      </w:r>
      <w:r w:rsidR="00A74DD9" w:rsidRPr="0040373E">
        <w:t xml:space="preserve"> of this </w:t>
      </w:r>
      <w:r w:rsidR="00FB478F">
        <w:t xml:space="preserve">determination </w:t>
      </w:r>
      <w:r w:rsidR="00A74DD9" w:rsidRPr="0040373E">
        <w:t>applies in respect of that engagement.</w:t>
      </w:r>
    </w:p>
    <w:p w:rsidR="00AF5D44" w:rsidRDefault="00AF5D44" w:rsidP="00AF5D44">
      <w:pPr>
        <w:pStyle w:val="ActHead5"/>
      </w:pPr>
      <w:bookmarkStart w:id="27" w:name="_Toc461440467"/>
      <w:proofErr w:type="gramStart"/>
      <w:r>
        <w:rPr>
          <w:rStyle w:val="CharSectno"/>
        </w:rPr>
        <w:t>153</w:t>
      </w:r>
      <w:r>
        <w:t xml:space="preserve">  Transitional</w:t>
      </w:r>
      <w:proofErr w:type="gramEnd"/>
      <w:r>
        <w:t>—managing effective performance</w:t>
      </w:r>
      <w:bookmarkEnd w:id="27"/>
    </w:p>
    <w:p w:rsidR="00AF5D44" w:rsidRDefault="00AF5D44" w:rsidP="00AF5D44">
      <w:pPr>
        <w:pStyle w:val="subsection"/>
      </w:pPr>
      <w:r>
        <w:tab/>
      </w:r>
      <w:r>
        <w:tab/>
        <w:t>This determination as it was in force immediately before commencement continues to apply in relation to performance management taken in respect of a Parliamentary Service employee if:</w:t>
      </w:r>
    </w:p>
    <w:p w:rsidR="00AF5D44" w:rsidRDefault="00AF5D44" w:rsidP="00AF5D44">
      <w:pPr>
        <w:pStyle w:val="paragraph"/>
      </w:pPr>
      <w:r>
        <w:tab/>
        <w:t>(a)</w:t>
      </w:r>
      <w:r>
        <w:tab/>
        <w:t>immediately before commencement, performance management was being taken in respect of the Parliamentary Service employee in accordance with the A</w:t>
      </w:r>
      <w:r w:rsidR="00E76275">
        <w:t>ct and the requirements of Part </w:t>
      </w:r>
      <w:r>
        <w:t>5 of the determination as it was in force immediately before commencement; and</w:t>
      </w:r>
    </w:p>
    <w:p w:rsidR="00AF5D44" w:rsidRDefault="00AF5D44" w:rsidP="00AF5D44">
      <w:pPr>
        <w:pStyle w:val="paragraph"/>
      </w:pPr>
      <w:r>
        <w:tab/>
        <w:t>(b)</w:t>
      </w:r>
      <w:r>
        <w:tab/>
      </w:r>
      <w:proofErr w:type="gramStart"/>
      <w:r>
        <w:t>on</w:t>
      </w:r>
      <w:proofErr w:type="gramEnd"/>
      <w:r>
        <w:t xml:space="preserve"> commencement, that performance management had not ended.</w:t>
      </w:r>
    </w:p>
    <w:p w:rsidR="008F672E" w:rsidRPr="008F672E" w:rsidRDefault="008F672E" w:rsidP="00761938">
      <w:pPr>
        <w:pStyle w:val="subsection"/>
      </w:pPr>
    </w:p>
    <w:sectPr w:rsidR="008F672E" w:rsidRPr="008F672E" w:rsidSect="0088154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BE" w:rsidRDefault="00D336BE" w:rsidP="0048364F">
      <w:pPr>
        <w:spacing w:line="240" w:lineRule="auto"/>
      </w:pPr>
      <w:r>
        <w:separator/>
      </w:r>
    </w:p>
  </w:endnote>
  <w:endnote w:type="continuationSeparator" w:id="0">
    <w:p w:rsidR="00D336BE" w:rsidRDefault="00D336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881546" w:rsidRDefault="00D336BE" w:rsidP="0088154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81546">
      <w:rPr>
        <w:i/>
        <w:sz w:val="18"/>
      </w:rPr>
      <w:t xml:space="preserve"> OPC60789 -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3C7FF0" w:rsidRDefault="00D336BE" w:rsidP="00006981">
    <w:pPr>
      <w:pStyle w:val="Footer"/>
      <w:jc w:val="center"/>
      <w:rPr>
        <w:i/>
        <w:sz w:val="18"/>
        <w:szCs w:val="18"/>
      </w:rPr>
    </w:pPr>
    <w:r w:rsidRPr="003C7FF0">
      <w:rPr>
        <w:i/>
        <w:sz w:val="18"/>
        <w:szCs w:val="18"/>
      </w:rPr>
      <w:t xml:space="preserve">Parliamentary Service Amendment </w:t>
    </w:r>
    <w:r>
      <w:rPr>
        <w:i/>
        <w:sz w:val="18"/>
        <w:szCs w:val="18"/>
      </w:rPr>
      <w:t>(Managing Recruitment Activity</w:t>
    </w:r>
    <w:r w:rsidRPr="00526B81">
      <w:rPr>
        <w:i/>
        <w:sz w:val="18"/>
        <w:szCs w:val="18"/>
      </w:rPr>
      <w:t xml:space="preserve"> </w:t>
    </w:r>
    <w:r>
      <w:rPr>
        <w:i/>
        <w:sz w:val="18"/>
        <w:szCs w:val="18"/>
      </w:rPr>
      <w:t>and Other Measures)</w:t>
    </w:r>
  </w:p>
  <w:p w:rsidR="00D336BE" w:rsidRPr="003C7FF0" w:rsidRDefault="00D336BE" w:rsidP="003C7FF0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t>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ED79B6" w:rsidRDefault="00D336B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881546" w:rsidRDefault="00D336BE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336BE" w:rsidRPr="00881546" w:rsidTr="005335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36BE" w:rsidRPr="00881546" w:rsidRDefault="00D336BE" w:rsidP="00F375E8">
          <w:pPr>
            <w:spacing w:line="0" w:lineRule="atLeast"/>
            <w:rPr>
              <w:rFonts w:cs="Times New Roman"/>
              <w:i/>
              <w:sz w:val="18"/>
            </w:rPr>
          </w:pPr>
          <w:r w:rsidRPr="00881546">
            <w:rPr>
              <w:rFonts w:cs="Times New Roman"/>
              <w:i/>
              <w:sz w:val="18"/>
            </w:rPr>
            <w:fldChar w:fldCharType="begin"/>
          </w:r>
          <w:r w:rsidRPr="00881546">
            <w:rPr>
              <w:rFonts w:cs="Times New Roman"/>
              <w:i/>
              <w:sz w:val="18"/>
            </w:rPr>
            <w:instrText xml:space="preserve"> PAGE </w:instrText>
          </w:r>
          <w:r w:rsidRPr="00881546">
            <w:rPr>
              <w:rFonts w:cs="Times New Roman"/>
              <w:i/>
              <w:sz w:val="18"/>
            </w:rPr>
            <w:fldChar w:fldCharType="separate"/>
          </w:r>
          <w:r w:rsidR="00946726">
            <w:rPr>
              <w:rFonts w:cs="Times New Roman"/>
              <w:i/>
              <w:noProof/>
              <w:sz w:val="18"/>
            </w:rPr>
            <w:t>xix</w:t>
          </w:r>
          <w:r w:rsidRPr="0088154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36BE" w:rsidRPr="00881546" w:rsidRDefault="00D336BE" w:rsidP="00F375E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81546">
            <w:rPr>
              <w:rFonts w:cs="Times New Roman"/>
              <w:i/>
              <w:sz w:val="18"/>
            </w:rPr>
            <w:fldChar w:fldCharType="begin"/>
          </w:r>
          <w:r w:rsidRPr="00881546">
            <w:rPr>
              <w:rFonts w:cs="Times New Roman"/>
              <w:i/>
              <w:sz w:val="18"/>
            </w:rPr>
            <w:instrText xml:space="preserve"> DOCPROPERTY ShortT </w:instrText>
          </w:r>
          <w:r w:rsidRPr="00881546">
            <w:rPr>
              <w:rFonts w:cs="Times New Roman"/>
              <w:i/>
              <w:sz w:val="18"/>
            </w:rPr>
            <w:fldChar w:fldCharType="separate"/>
          </w:r>
          <w:r w:rsidR="00946726">
            <w:rPr>
              <w:rFonts w:cs="Times New Roman"/>
              <w:i/>
              <w:sz w:val="18"/>
            </w:rPr>
            <w:t>Australian Public Service Commissioner’s Amendment (Notification of Decisions and Other Measures) Direction 2014</w:t>
          </w:r>
          <w:r w:rsidRPr="0088154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36BE" w:rsidRPr="00881546" w:rsidRDefault="00D336BE" w:rsidP="00F375E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336BE" w:rsidRPr="00881546" w:rsidRDefault="00D336BE" w:rsidP="00881546">
    <w:pPr>
      <w:rPr>
        <w:rFonts w:cs="Times New Roman"/>
        <w:i/>
        <w:sz w:val="18"/>
      </w:rPr>
    </w:pPr>
    <w:r w:rsidRPr="00881546">
      <w:rPr>
        <w:rFonts w:cs="Times New Roman"/>
        <w:i/>
        <w:sz w:val="18"/>
      </w:rPr>
      <w:t>OPC60789 -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E33C1C" w:rsidRDefault="00D336B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336BE" w:rsidTr="005335A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336BE" w:rsidRDefault="00D336BE" w:rsidP="00F375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36BE" w:rsidRPr="003C7FF0" w:rsidRDefault="00D336BE" w:rsidP="00006981">
          <w:pPr>
            <w:pStyle w:val="Footer"/>
            <w:jc w:val="center"/>
            <w:rPr>
              <w:i/>
              <w:sz w:val="18"/>
              <w:szCs w:val="18"/>
            </w:rPr>
          </w:pPr>
          <w:r w:rsidRPr="003C7FF0">
            <w:rPr>
              <w:i/>
              <w:sz w:val="18"/>
              <w:szCs w:val="18"/>
            </w:rPr>
            <w:t xml:space="preserve">Parliamentary Service Amendment </w:t>
          </w:r>
          <w:r>
            <w:rPr>
              <w:i/>
              <w:sz w:val="18"/>
              <w:szCs w:val="18"/>
            </w:rPr>
            <w:t>(Managing Recruitment Activity</w:t>
          </w:r>
          <w:r w:rsidRPr="00526B81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and Other Measures) 2017</w:t>
          </w:r>
        </w:p>
        <w:p w:rsidR="00D336BE" w:rsidRDefault="00D336BE" w:rsidP="006771BF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336BE" w:rsidRDefault="00D336BE" w:rsidP="00F375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6EC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36BE" w:rsidRPr="00ED79B6" w:rsidRDefault="00D336BE" w:rsidP="006771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881546" w:rsidRDefault="00D336BE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336BE" w:rsidRPr="00881546" w:rsidTr="005335A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36BE" w:rsidRPr="00881546" w:rsidRDefault="00D336BE" w:rsidP="00F375E8">
          <w:pPr>
            <w:spacing w:line="0" w:lineRule="atLeast"/>
            <w:rPr>
              <w:rFonts w:cs="Times New Roman"/>
              <w:i/>
              <w:sz w:val="18"/>
            </w:rPr>
          </w:pPr>
          <w:r w:rsidRPr="00881546">
            <w:rPr>
              <w:rFonts w:cs="Times New Roman"/>
              <w:i/>
              <w:sz w:val="18"/>
            </w:rPr>
            <w:fldChar w:fldCharType="begin"/>
          </w:r>
          <w:r w:rsidRPr="00881546">
            <w:rPr>
              <w:rFonts w:cs="Times New Roman"/>
              <w:i/>
              <w:sz w:val="18"/>
            </w:rPr>
            <w:instrText xml:space="preserve"> PAGE </w:instrText>
          </w:r>
          <w:r w:rsidRPr="00881546">
            <w:rPr>
              <w:rFonts w:cs="Times New Roman"/>
              <w:i/>
              <w:sz w:val="18"/>
            </w:rPr>
            <w:fldChar w:fldCharType="separate"/>
          </w:r>
          <w:r w:rsidR="00F46ECF">
            <w:rPr>
              <w:rFonts w:cs="Times New Roman"/>
              <w:i/>
              <w:noProof/>
              <w:sz w:val="18"/>
            </w:rPr>
            <w:t>2</w:t>
          </w:r>
          <w:r w:rsidRPr="00881546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36BE" w:rsidRPr="003C7FF0" w:rsidRDefault="00D336BE" w:rsidP="004B6335">
          <w:pPr>
            <w:pStyle w:val="Footer"/>
            <w:jc w:val="center"/>
            <w:rPr>
              <w:i/>
              <w:sz w:val="18"/>
              <w:szCs w:val="18"/>
            </w:rPr>
          </w:pPr>
          <w:r w:rsidRPr="003C7FF0">
            <w:rPr>
              <w:i/>
              <w:sz w:val="18"/>
              <w:szCs w:val="18"/>
            </w:rPr>
            <w:t xml:space="preserve">Parliamentary </w:t>
          </w:r>
          <w:r>
            <w:rPr>
              <w:i/>
              <w:sz w:val="18"/>
              <w:szCs w:val="18"/>
            </w:rPr>
            <w:t>Service Amendment (Managing Recruitment Activity</w:t>
          </w:r>
          <w:r w:rsidRPr="00526B81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and Other Measures)</w:t>
          </w:r>
          <w:r w:rsidR="00371E28">
            <w:rPr>
              <w:i/>
              <w:sz w:val="18"/>
              <w:szCs w:val="18"/>
            </w:rPr>
            <w:t> </w:t>
          </w:r>
          <w:r>
            <w:rPr>
              <w:i/>
              <w:sz w:val="18"/>
              <w:szCs w:val="18"/>
            </w:rPr>
            <w:t>2017</w:t>
          </w:r>
        </w:p>
        <w:p w:rsidR="00D336BE" w:rsidRPr="00881546" w:rsidRDefault="00D336BE" w:rsidP="008F17A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36BE" w:rsidRPr="00881546" w:rsidRDefault="00D336BE" w:rsidP="00F375E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D336BE" w:rsidRPr="00881546" w:rsidRDefault="00D336BE" w:rsidP="008F17AB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E33C1C" w:rsidRDefault="00D336B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336BE" w:rsidTr="00F375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36BE" w:rsidRDefault="00D336BE" w:rsidP="00F375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36BE" w:rsidRPr="003C7FF0" w:rsidRDefault="00D336BE" w:rsidP="00006981">
          <w:pPr>
            <w:pStyle w:val="Footer"/>
            <w:jc w:val="center"/>
            <w:rPr>
              <w:i/>
              <w:sz w:val="18"/>
              <w:szCs w:val="18"/>
            </w:rPr>
          </w:pPr>
          <w:r w:rsidRPr="003C7FF0">
            <w:rPr>
              <w:i/>
              <w:sz w:val="18"/>
              <w:szCs w:val="18"/>
            </w:rPr>
            <w:t xml:space="preserve">Parliamentary Service Amendment </w:t>
          </w:r>
          <w:r>
            <w:rPr>
              <w:i/>
              <w:sz w:val="18"/>
              <w:szCs w:val="18"/>
            </w:rPr>
            <w:t>(Managing Recruitment Activity</w:t>
          </w:r>
          <w:r w:rsidRPr="00526B81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>and Other Measures) 2017</w:t>
          </w:r>
        </w:p>
        <w:p w:rsidR="00D336BE" w:rsidRDefault="00D336BE" w:rsidP="008F17A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36BE" w:rsidRDefault="00D336BE" w:rsidP="00F375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6EC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36BE" w:rsidRPr="00ED79B6" w:rsidRDefault="00D336BE" w:rsidP="008F17A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E33C1C" w:rsidRDefault="00D336B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336B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336BE" w:rsidRDefault="00D336BE" w:rsidP="00F375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336BE" w:rsidRDefault="00D336BE" w:rsidP="00F375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46726">
            <w:rPr>
              <w:i/>
              <w:sz w:val="18"/>
            </w:rPr>
            <w:t>Australian Public Service Commissioner’s Amendment (Notification of Decisions and Other Measures) Direction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336BE" w:rsidRDefault="00D336BE" w:rsidP="00F375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6726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336BE" w:rsidRPr="00ED79B6" w:rsidRDefault="00D336B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BE" w:rsidRDefault="00D336BE" w:rsidP="0048364F">
      <w:pPr>
        <w:spacing w:line="240" w:lineRule="auto"/>
      </w:pPr>
      <w:r>
        <w:separator/>
      </w:r>
    </w:p>
  </w:footnote>
  <w:footnote w:type="continuationSeparator" w:id="0">
    <w:p w:rsidR="00D336BE" w:rsidRDefault="00D336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5F1388" w:rsidRDefault="00D336B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5F1388" w:rsidRDefault="00D336B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5F1388" w:rsidRDefault="00D336B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ED79B6" w:rsidRDefault="00D336B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ED79B6" w:rsidRDefault="00D336B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ED79B6" w:rsidRDefault="00D336B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A961C4" w:rsidRDefault="00D336B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46EC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46ECF">
      <w:rPr>
        <w:noProof/>
        <w:sz w:val="20"/>
      </w:rPr>
      <w:t>Amendments</w:t>
    </w:r>
    <w:r>
      <w:rPr>
        <w:sz w:val="20"/>
      </w:rPr>
      <w:fldChar w:fldCharType="end"/>
    </w:r>
  </w:p>
  <w:p w:rsidR="00D336BE" w:rsidRPr="00A961C4" w:rsidRDefault="00D336B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336BE" w:rsidRPr="00A961C4" w:rsidRDefault="00D336B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A961C4" w:rsidRDefault="00D336B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336BE" w:rsidRPr="00A961C4" w:rsidRDefault="00D336B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336BE" w:rsidRPr="00A961C4" w:rsidRDefault="00D336B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BE" w:rsidRPr="00A961C4" w:rsidRDefault="00D336B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3C"/>
    <w:rsid w:val="00000263"/>
    <w:rsid w:val="00005CFD"/>
    <w:rsid w:val="00006981"/>
    <w:rsid w:val="00007864"/>
    <w:rsid w:val="000113BC"/>
    <w:rsid w:val="000136AF"/>
    <w:rsid w:val="00026199"/>
    <w:rsid w:val="00031FAF"/>
    <w:rsid w:val="00034C33"/>
    <w:rsid w:val="0004044E"/>
    <w:rsid w:val="000429B3"/>
    <w:rsid w:val="00042B6C"/>
    <w:rsid w:val="0005120E"/>
    <w:rsid w:val="0005164A"/>
    <w:rsid w:val="00054577"/>
    <w:rsid w:val="000562F7"/>
    <w:rsid w:val="00060675"/>
    <w:rsid w:val="000614BF"/>
    <w:rsid w:val="0007169C"/>
    <w:rsid w:val="00072390"/>
    <w:rsid w:val="00077593"/>
    <w:rsid w:val="00083F48"/>
    <w:rsid w:val="00086588"/>
    <w:rsid w:val="00093E59"/>
    <w:rsid w:val="000A17C2"/>
    <w:rsid w:val="000A74FA"/>
    <w:rsid w:val="000A7DF9"/>
    <w:rsid w:val="000B091F"/>
    <w:rsid w:val="000C69F1"/>
    <w:rsid w:val="000D05EF"/>
    <w:rsid w:val="000D36AB"/>
    <w:rsid w:val="000D5485"/>
    <w:rsid w:val="000D7257"/>
    <w:rsid w:val="000E7657"/>
    <w:rsid w:val="000F21C1"/>
    <w:rsid w:val="000F7B95"/>
    <w:rsid w:val="0010084C"/>
    <w:rsid w:val="001032B8"/>
    <w:rsid w:val="0010745C"/>
    <w:rsid w:val="0010751C"/>
    <w:rsid w:val="00113E84"/>
    <w:rsid w:val="0011573E"/>
    <w:rsid w:val="00116131"/>
    <w:rsid w:val="00117277"/>
    <w:rsid w:val="00154848"/>
    <w:rsid w:val="001562C6"/>
    <w:rsid w:val="00160BD7"/>
    <w:rsid w:val="0016156E"/>
    <w:rsid w:val="001643C9"/>
    <w:rsid w:val="00165568"/>
    <w:rsid w:val="00166082"/>
    <w:rsid w:val="00166C2F"/>
    <w:rsid w:val="001716C9"/>
    <w:rsid w:val="00175F69"/>
    <w:rsid w:val="00182579"/>
    <w:rsid w:val="001829A2"/>
    <w:rsid w:val="00184261"/>
    <w:rsid w:val="00184AB3"/>
    <w:rsid w:val="00193461"/>
    <w:rsid w:val="001939E1"/>
    <w:rsid w:val="00195382"/>
    <w:rsid w:val="001955AC"/>
    <w:rsid w:val="001A3B9F"/>
    <w:rsid w:val="001A65C0"/>
    <w:rsid w:val="001B6456"/>
    <w:rsid w:val="001B7A5D"/>
    <w:rsid w:val="001C69C4"/>
    <w:rsid w:val="001D0F8F"/>
    <w:rsid w:val="001D1220"/>
    <w:rsid w:val="001D24D9"/>
    <w:rsid w:val="001D45F0"/>
    <w:rsid w:val="001D5EEE"/>
    <w:rsid w:val="001D7714"/>
    <w:rsid w:val="001E0A8D"/>
    <w:rsid w:val="001E3590"/>
    <w:rsid w:val="001E61D5"/>
    <w:rsid w:val="001E7285"/>
    <w:rsid w:val="001E7407"/>
    <w:rsid w:val="001F2A15"/>
    <w:rsid w:val="001F32A0"/>
    <w:rsid w:val="001F530F"/>
    <w:rsid w:val="001F56F5"/>
    <w:rsid w:val="00201D27"/>
    <w:rsid w:val="0020300C"/>
    <w:rsid w:val="002075AC"/>
    <w:rsid w:val="00215B85"/>
    <w:rsid w:val="0021612E"/>
    <w:rsid w:val="002167B6"/>
    <w:rsid w:val="00220A0C"/>
    <w:rsid w:val="00223E4A"/>
    <w:rsid w:val="002302EA"/>
    <w:rsid w:val="00231BBB"/>
    <w:rsid w:val="00233546"/>
    <w:rsid w:val="00240749"/>
    <w:rsid w:val="00243573"/>
    <w:rsid w:val="00243A66"/>
    <w:rsid w:val="002464D8"/>
    <w:rsid w:val="002468D7"/>
    <w:rsid w:val="002473D5"/>
    <w:rsid w:val="00257336"/>
    <w:rsid w:val="00260C73"/>
    <w:rsid w:val="00266807"/>
    <w:rsid w:val="00272E0B"/>
    <w:rsid w:val="00285CDD"/>
    <w:rsid w:val="002904E0"/>
    <w:rsid w:val="00291167"/>
    <w:rsid w:val="002950D0"/>
    <w:rsid w:val="00297ECB"/>
    <w:rsid w:val="002A4047"/>
    <w:rsid w:val="002C152A"/>
    <w:rsid w:val="002C5306"/>
    <w:rsid w:val="002D043A"/>
    <w:rsid w:val="002E3D59"/>
    <w:rsid w:val="002E6A06"/>
    <w:rsid w:val="002E6F67"/>
    <w:rsid w:val="002F6166"/>
    <w:rsid w:val="002F6D86"/>
    <w:rsid w:val="00304163"/>
    <w:rsid w:val="0030644F"/>
    <w:rsid w:val="0031713F"/>
    <w:rsid w:val="00326B43"/>
    <w:rsid w:val="00332E0D"/>
    <w:rsid w:val="0033552F"/>
    <w:rsid w:val="003415D3"/>
    <w:rsid w:val="00346335"/>
    <w:rsid w:val="00352B0F"/>
    <w:rsid w:val="003561B0"/>
    <w:rsid w:val="00356402"/>
    <w:rsid w:val="00361EDD"/>
    <w:rsid w:val="00365F50"/>
    <w:rsid w:val="00371E28"/>
    <w:rsid w:val="00375895"/>
    <w:rsid w:val="00386D45"/>
    <w:rsid w:val="00386F7B"/>
    <w:rsid w:val="003A15AC"/>
    <w:rsid w:val="003A281E"/>
    <w:rsid w:val="003A4907"/>
    <w:rsid w:val="003A56EB"/>
    <w:rsid w:val="003A7E2C"/>
    <w:rsid w:val="003B0627"/>
    <w:rsid w:val="003B5B5C"/>
    <w:rsid w:val="003C1C68"/>
    <w:rsid w:val="003C2808"/>
    <w:rsid w:val="003C5F2B"/>
    <w:rsid w:val="003C7FF0"/>
    <w:rsid w:val="003D0778"/>
    <w:rsid w:val="003D0BFE"/>
    <w:rsid w:val="003D3983"/>
    <w:rsid w:val="003D3C32"/>
    <w:rsid w:val="003D5700"/>
    <w:rsid w:val="003E68E7"/>
    <w:rsid w:val="003F0368"/>
    <w:rsid w:val="003F0F5A"/>
    <w:rsid w:val="00400A30"/>
    <w:rsid w:val="004022CA"/>
    <w:rsid w:val="004116CD"/>
    <w:rsid w:val="00414ADE"/>
    <w:rsid w:val="00420D23"/>
    <w:rsid w:val="00424CA9"/>
    <w:rsid w:val="004257BB"/>
    <w:rsid w:val="00432878"/>
    <w:rsid w:val="0043483D"/>
    <w:rsid w:val="00434CCE"/>
    <w:rsid w:val="0044046B"/>
    <w:rsid w:val="004412D4"/>
    <w:rsid w:val="0044291A"/>
    <w:rsid w:val="004431C7"/>
    <w:rsid w:val="0045452F"/>
    <w:rsid w:val="00460499"/>
    <w:rsid w:val="00465019"/>
    <w:rsid w:val="00473E64"/>
    <w:rsid w:val="00474835"/>
    <w:rsid w:val="0047616C"/>
    <w:rsid w:val="004819C7"/>
    <w:rsid w:val="0048364F"/>
    <w:rsid w:val="00490F2E"/>
    <w:rsid w:val="00496F97"/>
    <w:rsid w:val="004A53EA"/>
    <w:rsid w:val="004A5DC8"/>
    <w:rsid w:val="004A7E94"/>
    <w:rsid w:val="004B46FD"/>
    <w:rsid w:val="004B6335"/>
    <w:rsid w:val="004C6677"/>
    <w:rsid w:val="004F1FAC"/>
    <w:rsid w:val="004F676E"/>
    <w:rsid w:val="00516B8D"/>
    <w:rsid w:val="00521B0F"/>
    <w:rsid w:val="005257A1"/>
    <w:rsid w:val="005261AC"/>
    <w:rsid w:val="005265A6"/>
    <w:rsid w:val="0052686F"/>
    <w:rsid w:val="00526B81"/>
    <w:rsid w:val="0052756C"/>
    <w:rsid w:val="00530230"/>
    <w:rsid w:val="005302C2"/>
    <w:rsid w:val="00530CC9"/>
    <w:rsid w:val="00532666"/>
    <w:rsid w:val="005335A2"/>
    <w:rsid w:val="005338DC"/>
    <w:rsid w:val="0053614A"/>
    <w:rsid w:val="00537FBC"/>
    <w:rsid w:val="00541D73"/>
    <w:rsid w:val="00543469"/>
    <w:rsid w:val="00546FA3"/>
    <w:rsid w:val="00551DC9"/>
    <w:rsid w:val="00554243"/>
    <w:rsid w:val="00556BB1"/>
    <w:rsid w:val="00557C7A"/>
    <w:rsid w:val="00562A58"/>
    <w:rsid w:val="005705B7"/>
    <w:rsid w:val="00575D9E"/>
    <w:rsid w:val="00581211"/>
    <w:rsid w:val="0058352C"/>
    <w:rsid w:val="00584811"/>
    <w:rsid w:val="005863DC"/>
    <w:rsid w:val="00586795"/>
    <w:rsid w:val="00593A24"/>
    <w:rsid w:val="00593AA6"/>
    <w:rsid w:val="00594161"/>
    <w:rsid w:val="00594749"/>
    <w:rsid w:val="005A482B"/>
    <w:rsid w:val="005A7160"/>
    <w:rsid w:val="005A7FF2"/>
    <w:rsid w:val="005B0DA1"/>
    <w:rsid w:val="005B4067"/>
    <w:rsid w:val="005B6A74"/>
    <w:rsid w:val="005C1FAB"/>
    <w:rsid w:val="005C3F41"/>
    <w:rsid w:val="005D5EA1"/>
    <w:rsid w:val="005E5555"/>
    <w:rsid w:val="005E61D3"/>
    <w:rsid w:val="005F7738"/>
    <w:rsid w:val="006000C5"/>
    <w:rsid w:val="00600219"/>
    <w:rsid w:val="00604C33"/>
    <w:rsid w:val="0060507D"/>
    <w:rsid w:val="0060790E"/>
    <w:rsid w:val="006129FE"/>
    <w:rsid w:val="00612FE8"/>
    <w:rsid w:val="00613EAD"/>
    <w:rsid w:val="006158AC"/>
    <w:rsid w:val="00622C49"/>
    <w:rsid w:val="00632CFE"/>
    <w:rsid w:val="00640402"/>
    <w:rsid w:val="006409BB"/>
    <w:rsid w:val="00640F78"/>
    <w:rsid w:val="006429EB"/>
    <w:rsid w:val="0064694C"/>
    <w:rsid w:val="00646E7B"/>
    <w:rsid w:val="0065113C"/>
    <w:rsid w:val="00655334"/>
    <w:rsid w:val="00655D6A"/>
    <w:rsid w:val="00656DE9"/>
    <w:rsid w:val="00664E96"/>
    <w:rsid w:val="0066600F"/>
    <w:rsid w:val="006664DE"/>
    <w:rsid w:val="006737B6"/>
    <w:rsid w:val="006771BF"/>
    <w:rsid w:val="00677CC2"/>
    <w:rsid w:val="00683490"/>
    <w:rsid w:val="00683E7E"/>
    <w:rsid w:val="00684ACA"/>
    <w:rsid w:val="00685F42"/>
    <w:rsid w:val="006866A1"/>
    <w:rsid w:val="0069207B"/>
    <w:rsid w:val="006A4309"/>
    <w:rsid w:val="006B22E6"/>
    <w:rsid w:val="006B5AF1"/>
    <w:rsid w:val="006B7006"/>
    <w:rsid w:val="006C2B37"/>
    <w:rsid w:val="006C3833"/>
    <w:rsid w:val="006C7F8C"/>
    <w:rsid w:val="006D5510"/>
    <w:rsid w:val="006D7AB9"/>
    <w:rsid w:val="00700B2C"/>
    <w:rsid w:val="007021AE"/>
    <w:rsid w:val="00704853"/>
    <w:rsid w:val="0070613E"/>
    <w:rsid w:val="00713084"/>
    <w:rsid w:val="0071556F"/>
    <w:rsid w:val="00720FC2"/>
    <w:rsid w:val="0072518A"/>
    <w:rsid w:val="00726516"/>
    <w:rsid w:val="0072793C"/>
    <w:rsid w:val="00731E00"/>
    <w:rsid w:val="00732E9D"/>
    <w:rsid w:val="0073491A"/>
    <w:rsid w:val="00740363"/>
    <w:rsid w:val="0074168C"/>
    <w:rsid w:val="007440B7"/>
    <w:rsid w:val="00747993"/>
    <w:rsid w:val="0076141D"/>
    <w:rsid w:val="00761938"/>
    <w:rsid w:val="0076229C"/>
    <w:rsid w:val="007634AD"/>
    <w:rsid w:val="00765303"/>
    <w:rsid w:val="007715C9"/>
    <w:rsid w:val="00774EDD"/>
    <w:rsid w:val="007757EC"/>
    <w:rsid w:val="007767FB"/>
    <w:rsid w:val="00776F21"/>
    <w:rsid w:val="00777A6F"/>
    <w:rsid w:val="00785284"/>
    <w:rsid w:val="007876A7"/>
    <w:rsid w:val="007943A8"/>
    <w:rsid w:val="00797740"/>
    <w:rsid w:val="00797B2E"/>
    <w:rsid w:val="007A35E6"/>
    <w:rsid w:val="007A6863"/>
    <w:rsid w:val="007A700C"/>
    <w:rsid w:val="007C0DDE"/>
    <w:rsid w:val="007C4C0A"/>
    <w:rsid w:val="007D45C1"/>
    <w:rsid w:val="007E3437"/>
    <w:rsid w:val="007E4FF3"/>
    <w:rsid w:val="007E6C17"/>
    <w:rsid w:val="007E7D4A"/>
    <w:rsid w:val="007F02E6"/>
    <w:rsid w:val="007F2CE0"/>
    <w:rsid w:val="007F3F16"/>
    <w:rsid w:val="007F48ED"/>
    <w:rsid w:val="007F7947"/>
    <w:rsid w:val="008027EB"/>
    <w:rsid w:val="00810F7D"/>
    <w:rsid w:val="0081246C"/>
    <w:rsid w:val="00812F45"/>
    <w:rsid w:val="008144CD"/>
    <w:rsid w:val="00827090"/>
    <w:rsid w:val="00831096"/>
    <w:rsid w:val="0084021D"/>
    <w:rsid w:val="0084172C"/>
    <w:rsid w:val="00841DE6"/>
    <w:rsid w:val="0084301F"/>
    <w:rsid w:val="008479AF"/>
    <w:rsid w:val="008510D6"/>
    <w:rsid w:val="008539D8"/>
    <w:rsid w:val="00855536"/>
    <w:rsid w:val="00856A31"/>
    <w:rsid w:val="00863E67"/>
    <w:rsid w:val="00866691"/>
    <w:rsid w:val="00873AAC"/>
    <w:rsid w:val="008754D0"/>
    <w:rsid w:val="00877D48"/>
    <w:rsid w:val="00881546"/>
    <w:rsid w:val="0088345B"/>
    <w:rsid w:val="008876F9"/>
    <w:rsid w:val="00887BAE"/>
    <w:rsid w:val="00895760"/>
    <w:rsid w:val="00895A1D"/>
    <w:rsid w:val="008A16A5"/>
    <w:rsid w:val="008A5435"/>
    <w:rsid w:val="008B480B"/>
    <w:rsid w:val="008C2C9A"/>
    <w:rsid w:val="008D0EE0"/>
    <w:rsid w:val="008D2892"/>
    <w:rsid w:val="008D5B99"/>
    <w:rsid w:val="008D7A27"/>
    <w:rsid w:val="008E107B"/>
    <w:rsid w:val="008E4702"/>
    <w:rsid w:val="008E69AA"/>
    <w:rsid w:val="008F17AB"/>
    <w:rsid w:val="008F4F1C"/>
    <w:rsid w:val="008F672E"/>
    <w:rsid w:val="0090198A"/>
    <w:rsid w:val="009070FF"/>
    <w:rsid w:val="009139E1"/>
    <w:rsid w:val="009203E9"/>
    <w:rsid w:val="0092119F"/>
    <w:rsid w:val="00922764"/>
    <w:rsid w:val="00923F69"/>
    <w:rsid w:val="0093153B"/>
    <w:rsid w:val="00932377"/>
    <w:rsid w:val="00932BDA"/>
    <w:rsid w:val="00943893"/>
    <w:rsid w:val="00944999"/>
    <w:rsid w:val="0094523D"/>
    <w:rsid w:val="00946726"/>
    <w:rsid w:val="009511A5"/>
    <w:rsid w:val="00962486"/>
    <w:rsid w:val="00963B96"/>
    <w:rsid w:val="00966277"/>
    <w:rsid w:val="00972D23"/>
    <w:rsid w:val="00976A63"/>
    <w:rsid w:val="00983419"/>
    <w:rsid w:val="0098641E"/>
    <w:rsid w:val="00990B24"/>
    <w:rsid w:val="00994925"/>
    <w:rsid w:val="00994B5C"/>
    <w:rsid w:val="00997B5A"/>
    <w:rsid w:val="009A6D95"/>
    <w:rsid w:val="009B2470"/>
    <w:rsid w:val="009C3431"/>
    <w:rsid w:val="009C350F"/>
    <w:rsid w:val="009C5989"/>
    <w:rsid w:val="009C5BCD"/>
    <w:rsid w:val="009C6F4B"/>
    <w:rsid w:val="009C7094"/>
    <w:rsid w:val="009D08DA"/>
    <w:rsid w:val="009E040F"/>
    <w:rsid w:val="009E4BD2"/>
    <w:rsid w:val="009F4613"/>
    <w:rsid w:val="009F6FEB"/>
    <w:rsid w:val="00A05274"/>
    <w:rsid w:val="00A06860"/>
    <w:rsid w:val="00A125D3"/>
    <w:rsid w:val="00A136F5"/>
    <w:rsid w:val="00A138ED"/>
    <w:rsid w:val="00A13C9D"/>
    <w:rsid w:val="00A146E6"/>
    <w:rsid w:val="00A16985"/>
    <w:rsid w:val="00A21B7A"/>
    <w:rsid w:val="00A231E2"/>
    <w:rsid w:val="00A2550D"/>
    <w:rsid w:val="00A4169B"/>
    <w:rsid w:val="00A50CB0"/>
    <w:rsid w:val="00A50D55"/>
    <w:rsid w:val="00A5165B"/>
    <w:rsid w:val="00A5211B"/>
    <w:rsid w:val="00A52644"/>
    <w:rsid w:val="00A52FDA"/>
    <w:rsid w:val="00A5361F"/>
    <w:rsid w:val="00A54397"/>
    <w:rsid w:val="00A56D93"/>
    <w:rsid w:val="00A64912"/>
    <w:rsid w:val="00A70A74"/>
    <w:rsid w:val="00A74DD9"/>
    <w:rsid w:val="00A910BD"/>
    <w:rsid w:val="00A97774"/>
    <w:rsid w:val="00AA0343"/>
    <w:rsid w:val="00AA26E8"/>
    <w:rsid w:val="00AB0522"/>
    <w:rsid w:val="00AC0F9A"/>
    <w:rsid w:val="00AC256E"/>
    <w:rsid w:val="00AC2649"/>
    <w:rsid w:val="00AC4F14"/>
    <w:rsid w:val="00AD3467"/>
    <w:rsid w:val="00AD5641"/>
    <w:rsid w:val="00AD5C7B"/>
    <w:rsid w:val="00AE0F9B"/>
    <w:rsid w:val="00AE2080"/>
    <w:rsid w:val="00AF55FF"/>
    <w:rsid w:val="00AF5D44"/>
    <w:rsid w:val="00B00D68"/>
    <w:rsid w:val="00B032D8"/>
    <w:rsid w:val="00B06010"/>
    <w:rsid w:val="00B161C4"/>
    <w:rsid w:val="00B16657"/>
    <w:rsid w:val="00B33B3C"/>
    <w:rsid w:val="00B35F8A"/>
    <w:rsid w:val="00B40D74"/>
    <w:rsid w:val="00B43257"/>
    <w:rsid w:val="00B442B0"/>
    <w:rsid w:val="00B52663"/>
    <w:rsid w:val="00B56DCB"/>
    <w:rsid w:val="00B76E14"/>
    <w:rsid w:val="00B770D2"/>
    <w:rsid w:val="00B8700D"/>
    <w:rsid w:val="00B876D4"/>
    <w:rsid w:val="00B9087E"/>
    <w:rsid w:val="00B90F1D"/>
    <w:rsid w:val="00B92AC0"/>
    <w:rsid w:val="00BA2A90"/>
    <w:rsid w:val="00BA47A3"/>
    <w:rsid w:val="00BA5026"/>
    <w:rsid w:val="00BB2D7F"/>
    <w:rsid w:val="00BB36AD"/>
    <w:rsid w:val="00BB4CD6"/>
    <w:rsid w:val="00BB6E79"/>
    <w:rsid w:val="00BD007B"/>
    <w:rsid w:val="00BD4311"/>
    <w:rsid w:val="00BE3B31"/>
    <w:rsid w:val="00BE5F35"/>
    <w:rsid w:val="00BE719A"/>
    <w:rsid w:val="00BE720A"/>
    <w:rsid w:val="00BF270C"/>
    <w:rsid w:val="00BF6650"/>
    <w:rsid w:val="00C02855"/>
    <w:rsid w:val="00C02CC0"/>
    <w:rsid w:val="00C067E5"/>
    <w:rsid w:val="00C1284C"/>
    <w:rsid w:val="00C164CA"/>
    <w:rsid w:val="00C17F4A"/>
    <w:rsid w:val="00C24B87"/>
    <w:rsid w:val="00C32232"/>
    <w:rsid w:val="00C42BF8"/>
    <w:rsid w:val="00C431F0"/>
    <w:rsid w:val="00C460AE"/>
    <w:rsid w:val="00C46386"/>
    <w:rsid w:val="00C50043"/>
    <w:rsid w:val="00C50A0F"/>
    <w:rsid w:val="00C573D5"/>
    <w:rsid w:val="00C677C0"/>
    <w:rsid w:val="00C70A0E"/>
    <w:rsid w:val="00C723AC"/>
    <w:rsid w:val="00C7573B"/>
    <w:rsid w:val="00C76CF3"/>
    <w:rsid w:val="00C77616"/>
    <w:rsid w:val="00C77FBD"/>
    <w:rsid w:val="00C8624A"/>
    <w:rsid w:val="00C86C47"/>
    <w:rsid w:val="00C907FF"/>
    <w:rsid w:val="00C91DB8"/>
    <w:rsid w:val="00C92C0A"/>
    <w:rsid w:val="00C92FC9"/>
    <w:rsid w:val="00C96775"/>
    <w:rsid w:val="00CA0340"/>
    <w:rsid w:val="00CA7844"/>
    <w:rsid w:val="00CB58EF"/>
    <w:rsid w:val="00CB75BD"/>
    <w:rsid w:val="00CC620D"/>
    <w:rsid w:val="00CD321E"/>
    <w:rsid w:val="00CE019C"/>
    <w:rsid w:val="00CE7D64"/>
    <w:rsid w:val="00CF0BB2"/>
    <w:rsid w:val="00CF14C8"/>
    <w:rsid w:val="00CF783E"/>
    <w:rsid w:val="00D06312"/>
    <w:rsid w:val="00D07D07"/>
    <w:rsid w:val="00D13441"/>
    <w:rsid w:val="00D243A3"/>
    <w:rsid w:val="00D25C3E"/>
    <w:rsid w:val="00D30755"/>
    <w:rsid w:val="00D30CB3"/>
    <w:rsid w:val="00D3200B"/>
    <w:rsid w:val="00D33440"/>
    <w:rsid w:val="00D336BE"/>
    <w:rsid w:val="00D34E2A"/>
    <w:rsid w:val="00D40D19"/>
    <w:rsid w:val="00D41C12"/>
    <w:rsid w:val="00D522A1"/>
    <w:rsid w:val="00D52EFE"/>
    <w:rsid w:val="00D56A0D"/>
    <w:rsid w:val="00D56D7A"/>
    <w:rsid w:val="00D612E3"/>
    <w:rsid w:val="00D63EF6"/>
    <w:rsid w:val="00D66518"/>
    <w:rsid w:val="00D70DFB"/>
    <w:rsid w:val="00D71EEA"/>
    <w:rsid w:val="00D735CD"/>
    <w:rsid w:val="00D75B7E"/>
    <w:rsid w:val="00D766DF"/>
    <w:rsid w:val="00D95891"/>
    <w:rsid w:val="00D95FD3"/>
    <w:rsid w:val="00D97173"/>
    <w:rsid w:val="00DA338B"/>
    <w:rsid w:val="00DA5127"/>
    <w:rsid w:val="00DB5CB4"/>
    <w:rsid w:val="00DC1187"/>
    <w:rsid w:val="00DC16EF"/>
    <w:rsid w:val="00DC6C69"/>
    <w:rsid w:val="00DD0DC4"/>
    <w:rsid w:val="00DD1247"/>
    <w:rsid w:val="00DD1C8E"/>
    <w:rsid w:val="00DD6884"/>
    <w:rsid w:val="00DE149E"/>
    <w:rsid w:val="00DF10A6"/>
    <w:rsid w:val="00DF74F6"/>
    <w:rsid w:val="00E00474"/>
    <w:rsid w:val="00E05704"/>
    <w:rsid w:val="00E06F87"/>
    <w:rsid w:val="00E12F1A"/>
    <w:rsid w:val="00E13DEC"/>
    <w:rsid w:val="00E15245"/>
    <w:rsid w:val="00E16687"/>
    <w:rsid w:val="00E21CFB"/>
    <w:rsid w:val="00E22935"/>
    <w:rsid w:val="00E22F80"/>
    <w:rsid w:val="00E2750C"/>
    <w:rsid w:val="00E311FF"/>
    <w:rsid w:val="00E538DD"/>
    <w:rsid w:val="00E54292"/>
    <w:rsid w:val="00E551BE"/>
    <w:rsid w:val="00E60191"/>
    <w:rsid w:val="00E74DC7"/>
    <w:rsid w:val="00E76275"/>
    <w:rsid w:val="00E87699"/>
    <w:rsid w:val="00E92E27"/>
    <w:rsid w:val="00E9586B"/>
    <w:rsid w:val="00E97334"/>
    <w:rsid w:val="00EA48D0"/>
    <w:rsid w:val="00EA6388"/>
    <w:rsid w:val="00EA6411"/>
    <w:rsid w:val="00EC488E"/>
    <w:rsid w:val="00EC6A33"/>
    <w:rsid w:val="00ED3FB4"/>
    <w:rsid w:val="00ED4928"/>
    <w:rsid w:val="00ED5190"/>
    <w:rsid w:val="00ED5763"/>
    <w:rsid w:val="00EE6190"/>
    <w:rsid w:val="00EF27F2"/>
    <w:rsid w:val="00EF2E3A"/>
    <w:rsid w:val="00EF6402"/>
    <w:rsid w:val="00EF7FB6"/>
    <w:rsid w:val="00F03B61"/>
    <w:rsid w:val="00F047E2"/>
    <w:rsid w:val="00F04D57"/>
    <w:rsid w:val="00F06018"/>
    <w:rsid w:val="00F078DC"/>
    <w:rsid w:val="00F12FF0"/>
    <w:rsid w:val="00F13E86"/>
    <w:rsid w:val="00F15983"/>
    <w:rsid w:val="00F277D1"/>
    <w:rsid w:val="00F32FCB"/>
    <w:rsid w:val="00F375E8"/>
    <w:rsid w:val="00F3760A"/>
    <w:rsid w:val="00F437FC"/>
    <w:rsid w:val="00F44A3B"/>
    <w:rsid w:val="00F46ECF"/>
    <w:rsid w:val="00F55D04"/>
    <w:rsid w:val="00F6709F"/>
    <w:rsid w:val="00F677A9"/>
    <w:rsid w:val="00F732EA"/>
    <w:rsid w:val="00F74803"/>
    <w:rsid w:val="00F74828"/>
    <w:rsid w:val="00F84CF5"/>
    <w:rsid w:val="00F84FDF"/>
    <w:rsid w:val="00F8612E"/>
    <w:rsid w:val="00F94757"/>
    <w:rsid w:val="00F97CEE"/>
    <w:rsid w:val="00FA1018"/>
    <w:rsid w:val="00FA420B"/>
    <w:rsid w:val="00FA62BA"/>
    <w:rsid w:val="00FA63C0"/>
    <w:rsid w:val="00FB478F"/>
    <w:rsid w:val="00FB52A0"/>
    <w:rsid w:val="00FB6003"/>
    <w:rsid w:val="00FC122C"/>
    <w:rsid w:val="00FC7CAC"/>
    <w:rsid w:val="00FD6FBC"/>
    <w:rsid w:val="00FE0781"/>
    <w:rsid w:val="00FF0179"/>
    <w:rsid w:val="00FF09B5"/>
    <w:rsid w:val="00FF160E"/>
    <w:rsid w:val="00FF39DE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5A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35A2"/>
  </w:style>
  <w:style w:type="paragraph" w:customStyle="1" w:styleId="OPCParaBase">
    <w:name w:val="OPCParaBase"/>
    <w:qFormat/>
    <w:rsid w:val="005335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35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35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35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35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35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335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35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35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35A2"/>
  </w:style>
  <w:style w:type="paragraph" w:customStyle="1" w:styleId="Blocks">
    <w:name w:val="Blocks"/>
    <w:aliases w:val="bb"/>
    <w:basedOn w:val="OPCParaBase"/>
    <w:qFormat/>
    <w:rsid w:val="005335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35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35A2"/>
    <w:rPr>
      <w:i/>
    </w:rPr>
  </w:style>
  <w:style w:type="paragraph" w:customStyle="1" w:styleId="BoxList">
    <w:name w:val="BoxList"/>
    <w:aliases w:val="bl"/>
    <w:basedOn w:val="BoxText"/>
    <w:qFormat/>
    <w:rsid w:val="005335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35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35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35A2"/>
    <w:pPr>
      <w:ind w:left="1985" w:hanging="851"/>
    </w:pPr>
  </w:style>
  <w:style w:type="character" w:customStyle="1" w:styleId="CharAmPartNo">
    <w:name w:val="CharAmPartNo"/>
    <w:basedOn w:val="OPCCharBase"/>
    <w:qFormat/>
    <w:rsid w:val="005335A2"/>
  </w:style>
  <w:style w:type="character" w:customStyle="1" w:styleId="CharAmPartText">
    <w:name w:val="CharAmPartText"/>
    <w:basedOn w:val="OPCCharBase"/>
    <w:qFormat/>
    <w:rsid w:val="005335A2"/>
  </w:style>
  <w:style w:type="character" w:customStyle="1" w:styleId="CharAmSchNo">
    <w:name w:val="CharAmSchNo"/>
    <w:basedOn w:val="OPCCharBase"/>
    <w:qFormat/>
    <w:rsid w:val="005335A2"/>
  </w:style>
  <w:style w:type="character" w:customStyle="1" w:styleId="CharAmSchText">
    <w:name w:val="CharAmSchText"/>
    <w:basedOn w:val="OPCCharBase"/>
    <w:qFormat/>
    <w:rsid w:val="005335A2"/>
  </w:style>
  <w:style w:type="character" w:customStyle="1" w:styleId="CharBoldItalic">
    <w:name w:val="CharBoldItalic"/>
    <w:basedOn w:val="OPCCharBase"/>
    <w:uiPriority w:val="1"/>
    <w:qFormat/>
    <w:rsid w:val="005335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35A2"/>
  </w:style>
  <w:style w:type="character" w:customStyle="1" w:styleId="CharChapText">
    <w:name w:val="CharChapText"/>
    <w:basedOn w:val="OPCCharBase"/>
    <w:uiPriority w:val="1"/>
    <w:qFormat/>
    <w:rsid w:val="005335A2"/>
  </w:style>
  <w:style w:type="character" w:customStyle="1" w:styleId="CharDivNo">
    <w:name w:val="CharDivNo"/>
    <w:basedOn w:val="OPCCharBase"/>
    <w:qFormat/>
    <w:rsid w:val="005335A2"/>
  </w:style>
  <w:style w:type="character" w:customStyle="1" w:styleId="CharDivText">
    <w:name w:val="CharDivText"/>
    <w:basedOn w:val="OPCCharBase"/>
    <w:qFormat/>
    <w:rsid w:val="005335A2"/>
  </w:style>
  <w:style w:type="character" w:customStyle="1" w:styleId="CharItalic">
    <w:name w:val="CharItalic"/>
    <w:basedOn w:val="OPCCharBase"/>
    <w:uiPriority w:val="1"/>
    <w:qFormat/>
    <w:rsid w:val="005335A2"/>
    <w:rPr>
      <w:i/>
    </w:rPr>
  </w:style>
  <w:style w:type="character" w:customStyle="1" w:styleId="CharPartNo">
    <w:name w:val="CharPartNo"/>
    <w:basedOn w:val="OPCCharBase"/>
    <w:qFormat/>
    <w:rsid w:val="005335A2"/>
  </w:style>
  <w:style w:type="character" w:customStyle="1" w:styleId="CharPartText">
    <w:name w:val="CharPartText"/>
    <w:basedOn w:val="OPCCharBase"/>
    <w:qFormat/>
    <w:rsid w:val="005335A2"/>
  </w:style>
  <w:style w:type="character" w:customStyle="1" w:styleId="CharSectno">
    <w:name w:val="CharSectno"/>
    <w:basedOn w:val="OPCCharBase"/>
    <w:qFormat/>
    <w:rsid w:val="005335A2"/>
  </w:style>
  <w:style w:type="character" w:customStyle="1" w:styleId="CharSubdNo">
    <w:name w:val="CharSubdNo"/>
    <w:basedOn w:val="OPCCharBase"/>
    <w:uiPriority w:val="1"/>
    <w:qFormat/>
    <w:rsid w:val="005335A2"/>
  </w:style>
  <w:style w:type="character" w:customStyle="1" w:styleId="CharSubdText">
    <w:name w:val="CharSubdText"/>
    <w:basedOn w:val="OPCCharBase"/>
    <w:uiPriority w:val="1"/>
    <w:qFormat/>
    <w:rsid w:val="005335A2"/>
  </w:style>
  <w:style w:type="paragraph" w:customStyle="1" w:styleId="CTA--">
    <w:name w:val="CTA --"/>
    <w:basedOn w:val="OPCParaBase"/>
    <w:next w:val="Normal"/>
    <w:rsid w:val="005335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35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35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35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35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35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35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35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35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35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35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35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35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35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35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35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35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35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35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35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35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35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35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35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35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35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35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35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35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35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35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335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35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35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35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35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35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35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35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35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35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35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35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35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35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35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35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335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335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335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35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35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35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35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35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35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35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335A2"/>
    <w:rPr>
      <w:sz w:val="16"/>
    </w:rPr>
  </w:style>
  <w:style w:type="table" w:customStyle="1" w:styleId="CFlag">
    <w:name w:val="CFlag"/>
    <w:basedOn w:val="TableNormal"/>
    <w:uiPriority w:val="99"/>
    <w:rsid w:val="005335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33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35A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35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35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35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35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35A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35A2"/>
    <w:pPr>
      <w:spacing w:before="120"/>
    </w:pPr>
  </w:style>
  <w:style w:type="paragraph" w:customStyle="1" w:styleId="CompiledActNo">
    <w:name w:val="CompiledActNo"/>
    <w:basedOn w:val="OPCParaBase"/>
    <w:next w:val="Normal"/>
    <w:rsid w:val="005335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35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35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35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35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35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35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35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35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35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35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35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335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35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35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335A2"/>
  </w:style>
  <w:style w:type="character" w:customStyle="1" w:styleId="CharSubPartNoCASA">
    <w:name w:val="CharSubPartNo(CASA)"/>
    <w:basedOn w:val="OPCCharBase"/>
    <w:uiPriority w:val="1"/>
    <w:rsid w:val="005335A2"/>
  </w:style>
  <w:style w:type="paragraph" w:customStyle="1" w:styleId="ENoteTTIndentHeadingSub">
    <w:name w:val="ENoteTTIndentHeadingSub"/>
    <w:aliases w:val="enTTHis"/>
    <w:basedOn w:val="OPCParaBase"/>
    <w:rsid w:val="005335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35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35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35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35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35A2"/>
    <w:rPr>
      <w:sz w:val="22"/>
    </w:rPr>
  </w:style>
  <w:style w:type="paragraph" w:customStyle="1" w:styleId="SOTextNote">
    <w:name w:val="SO TextNote"/>
    <w:aliases w:val="sont"/>
    <w:basedOn w:val="SOText"/>
    <w:qFormat/>
    <w:rsid w:val="005335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35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35A2"/>
    <w:rPr>
      <w:sz w:val="22"/>
    </w:rPr>
  </w:style>
  <w:style w:type="paragraph" w:customStyle="1" w:styleId="FileName">
    <w:name w:val="FileName"/>
    <w:basedOn w:val="Normal"/>
    <w:rsid w:val="005335A2"/>
  </w:style>
  <w:style w:type="paragraph" w:customStyle="1" w:styleId="TableHeading">
    <w:name w:val="TableHeading"/>
    <w:aliases w:val="th"/>
    <w:basedOn w:val="OPCParaBase"/>
    <w:next w:val="Tabletext"/>
    <w:rsid w:val="005335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35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35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35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35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35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35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35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35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35A2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3C1C6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7265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246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66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69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6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691"/>
    <w:rPr>
      <w:b/>
      <w:bCs/>
    </w:rPr>
  </w:style>
  <w:style w:type="character" w:customStyle="1" w:styleId="charsectno0">
    <w:name w:val="charsectno"/>
    <w:basedOn w:val="DefaultParagraphFont"/>
    <w:rsid w:val="00810F7D"/>
  </w:style>
  <w:style w:type="paragraph" w:customStyle="1" w:styleId="definition0">
    <w:name w:val="definition"/>
    <w:basedOn w:val="Normal"/>
    <w:rsid w:val="008555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215B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5A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335A2"/>
  </w:style>
  <w:style w:type="paragraph" w:customStyle="1" w:styleId="OPCParaBase">
    <w:name w:val="OPCParaBase"/>
    <w:qFormat/>
    <w:rsid w:val="005335A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335A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335A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335A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335A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335A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335A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335A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335A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335A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335A2"/>
  </w:style>
  <w:style w:type="paragraph" w:customStyle="1" w:styleId="Blocks">
    <w:name w:val="Blocks"/>
    <w:aliases w:val="bb"/>
    <w:basedOn w:val="OPCParaBase"/>
    <w:qFormat/>
    <w:rsid w:val="005335A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335A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335A2"/>
    <w:rPr>
      <w:i/>
    </w:rPr>
  </w:style>
  <w:style w:type="paragraph" w:customStyle="1" w:styleId="BoxList">
    <w:name w:val="BoxList"/>
    <w:aliases w:val="bl"/>
    <w:basedOn w:val="BoxText"/>
    <w:qFormat/>
    <w:rsid w:val="005335A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335A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335A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335A2"/>
    <w:pPr>
      <w:ind w:left="1985" w:hanging="851"/>
    </w:pPr>
  </w:style>
  <w:style w:type="character" w:customStyle="1" w:styleId="CharAmPartNo">
    <w:name w:val="CharAmPartNo"/>
    <w:basedOn w:val="OPCCharBase"/>
    <w:qFormat/>
    <w:rsid w:val="005335A2"/>
  </w:style>
  <w:style w:type="character" w:customStyle="1" w:styleId="CharAmPartText">
    <w:name w:val="CharAmPartText"/>
    <w:basedOn w:val="OPCCharBase"/>
    <w:qFormat/>
    <w:rsid w:val="005335A2"/>
  </w:style>
  <w:style w:type="character" w:customStyle="1" w:styleId="CharAmSchNo">
    <w:name w:val="CharAmSchNo"/>
    <w:basedOn w:val="OPCCharBase"/>
    <w:qFormat/>
    <w:rsid w:val="005335A2"/>
  </w:style>
  <w:style w:type="character" w:customStyle="1" w:styleId="CharAmSchText">
    <w:name w:val="CharAmSchText"/>
    <w:basedOn w:val="OPCCharBase"/>
    <w:qFormat/>
    <w:rsid w:val="005335A2"/>
  </w:style>
  <w:style w:type="character" w:customStyle="1" w:styleId="CharBoldItalic">
    <w:name w:val="CharBoldItalic"/>
    <w:basedOn w:val="OPCCharBase"/>
    <w:uiPriority w:val="1"/>
    <w:qFormat/>
    <w:rsid w:val="005335A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335A2"/>
  </w:style>
  <w:style w:type="character" w:customStyle="1" w:styleId="CharChapText">
    <w:name w:val="CharChapText"/>
    <w:basedOn w:val="OPCCharBase"/>
    <w:uiPriority w:val="1"/>
    <w:qFormat/>
    <w:rsid w:val="005335A2"/>
  </w:style>
  <w:style w:type="character" w:customStyle="1" w:styleId="CharDivNo">
    <w:name w:val="CharDivNo"/>
    <w:basedOn w:val="OPCCharBase"/>
    <w:qFormat/>
    <w:rsid w:val="005335A2"/>
  </w:style>
  <w:style w:type="character" w:customStyle="1" w:styleId="CharDivText">
    <w:name w:val="CharDivText"/>
    <w:basedOn w:val="OPCCharBase"/>
    <w:qFormat/>
    <w:rsid w:val="005335A2"/>
  </w:style>
  <w:style w:type="character" w:customStyle="1" w:styleId="CharItalic">
    <w:name w:val="CharItalic"/>
    <w:basedOn w:val="OPCCharBase"/>
    <w:uiPriority w:val="1"/>
    <w:qFormat/>
    <w:rsid w:val="005335A2"/>
    <w:rPr>
      <w:i/>
    </w:rPr>
  </w:style>
  <w:style w:type="character" w:customStyle="1" w:styleId="CharPartNo">
    <w:name w:val="CharPartNo"/>
    <w:basedOn w:val="OPCCharBase"/>
    <w:qFormat/>
    <w:rsid w:val="005335A2"/>
  </w:style>
  <w:style w:type="character" w:customStyle="1" w:styleId="CharPartText">
    <w:name w:val="CharPartText"/>
    <w:basedOn w:val="OPCCharBase"/>
    <w:qFormat/>
    <w:rsid w:val="005335A2"/>
  </w:style>
  <w:style w:type="character" w:customStyle="1" w:styleId="CharSectno">
    <w:name w:val="CharSectno"/>
    <w:basedOn w:val="OPCCharBase"/>
    <w:qFormat/>
    <w:rsid w:val="005335A2"/>
  </w:style>
  <w:style w:type="character" w:customStyle="1" w:styleId="CharSubdNo">
    <w:name w:val="CharSubdNo"/>
    <w:basedOn w:val="OPCCharBase"/>
    <w:uiPriority w:val="1"/>
    <w:qFormat/>
    <w:rsid w:val="005335A2"/>
  </w:style>
  <w:style w:type="character" w:customStyle="1" w:styleId="CharSubdText">
    <w:name w:val="CharSubdText"/>
    <w:basedOn w:val="OPCCharBase"/>
    <w:uiPriority w:val="1"/>
    <w:qFormat/>
    <w:rsid w:val="005335A2"/>
  </w:style>
  <w:style w:type="paragraph" w:customStyle="1" w:styleId="CTA--">
    <w:name w:val="CTA --"/>
    <w:basedOn w:val="OPCParaBase"/>
    <w:next w:val="Normal"/>
    <w:rsid w:val="005335A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335A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335A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335A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335A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335A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335A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335A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335A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335A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335A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335A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335A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335A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335A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335A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335A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335A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335A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335A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335A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335A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335A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335A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335A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335A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335A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335A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335A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335A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335A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5335A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335A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335A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335A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335A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335A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335A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335A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335A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335A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335A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35A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335A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335A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335A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335A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335A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335A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335A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335A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335A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335A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335A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335A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335A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335A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335A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335A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335A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335A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335A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335A2"/>
    <w:rPr>
      <w:sz w:val="16"/>
    </w:rPr>
  </w:style>
  <w:style w:type="table" w:customStyle="1" w:styleId="CFlag">
    <w:name w:val="CFlag"/>
    <w:basedOn w:val="TableNormal"/>
    <w:uiPriority w:val="99"/>
    <w:rsid w:val="005335A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335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5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335A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335A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335A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335A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335A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335A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335A2"/>
    <w:pPr>
      <w:spacing w:before="120"/>
    </w:pPr>
  </w:style>
  <w:style w:type="paragraph" w:customStyle="1" w:styleId="CompiledActNo">
    <w:name w:val="CompiledActNo"/>
    <w:basedOn w:val="OPCParaBase"/>
    <w:next w:val="Normal"/>
    <w:rsid w:val="005335A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335A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335A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335A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335A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335A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335A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335A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335A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335A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335A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335A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335A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335A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335A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335A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335A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35A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335A2"/>
  </w:style>
  <w:style w:type="character" w:customStyle="1" w:styleId="CharSubPartNoCASA">
    <w:name w:val="CharSubPartNo(CASA)"/>
    <w:basedOn w:val="OPCCharBase"/>
    <w:uiPriority w:val="1"/>
    <w:rsid w:val="005335A2"/>
  </w:style>
  <w:style w:type="paragraph" w:customStyle="1" w:styleId="ENoteTTIndentHeadingSub">
    <w:name w:val="ENoteTTIndentHeadingSub"/>
    <w:aliases w:val="enTTHis"/>
    <w:basedOn w:val="OPCParaBase"/>
    <w:rsid w:val="005335A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335A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335A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335A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335A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335A2"/>
    <w:rPr>
      <w:sz w:val="22"/>
    </w:rPr>
  </w:style>
  <w:style w:type="paragraph" w:customStyle="1" w:styleId="SOTextNote">
    <w:name w:val="SO TextNote"/>
    <w:aliases w:val="sont"/>
    <w:basedOn w:val="SOText"/>
    <w:qFormat/>
    <w:rsid w:val="005335A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335A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335A2"/>
    <w:rPr>
      <w:sz w:val="22"/>
    </w:rPr>
  </w:style>
  <w:style w:type="paragraph" w:customStyle="1" w:styleId="FileName">
    <w:name w:val="FileName"/>
    <w:basedOn w:val="Normal"/>
    <w:rsid w:val="005335A2"/>
  </w:style>
  <w:style w:type="paragraph" w:customStyle="1" w:styleId="TableHeading">
    <w:name w:val="TableHeading"/>
    <w:aliases w:val="th"/>
    <w:basedOn w:val="OPCParaBase"/>
    <w:next w:val="Tabletext"/>
    <w:rsid w:val="005335A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335A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335A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335A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335A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335A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335A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335A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335A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335A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335A2"/>
    <w:rPr>
      <w:sz w:val="22"/>
    </w:rPr>
  </w:style>
  <w:style w:type="character" w:customStyle="1" w:styleId="subsectionChar">
    <w:name w:val="subsection Char"/>
    <w:aliases w:val="ss Char"/>
    <w:link w:val="subsection"/>
    <w:locked/>
    <w:rsid w:val="003C1C68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72651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246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66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69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6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691"/>
    <w:rPr>
      <w:b/>
      <w:bCs/>
    </w:rPr>
  </w:style>
  <w:style w:type="character" w:customStyle="1" w:styleId="charsectno0">
    <w:name w:val="charsectno"/>
    <w:basedOn w:val="DefaultParagraphFont"/>
    <w:rsid w:val="00810F7D"/>
  </w:style>
  <w:style w:type="paragraph" w:customStyle="1" w:styleId="definition0">
    <w:name w:val="definition"/>
    <w:basedOn w:val="Normal"/>
    <w:rsid w:val="008555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0">
    <w:name w:val="acthead5"/>
    <w:basedOn w:val="Normal"/>
    <w:rsid w:val="00215B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2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6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8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78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5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48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2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7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1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7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1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2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1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6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3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7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6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9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oleObject" Target="embeddings/oleObject1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9369-BE84-42C8-BA88-5930F8A9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23</Pages>
  <Words>6124</Words>
  <Characters>32275</Characters>
  <Application>Microsoft Office Word</Application>
  <DocSecurity>0</DocSecurity>
  <PresentationFormat/>
  <Lines>1195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2014-09-25T08:05:00Z</cp:lastPrinted>
  <dcterms:created xsi:type="dcterms:W3CDTF">2017-10-12T01:08:00Z</dcterms:created>
  <dcterms:modified xsi:type="dcterms:W3CDTF">2017-10-12T04:14:00Z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Public Service Commissioner’s Amendment (Notification of Decisions and Other Measures) Direction 2014</vt:lpwstr>
  </property>
  <property fmtid="{D5CDD505-2E9C-101B-9397-08002B2CF9AE}" pid="4" name="Class">
    <vt:lpwstr>Direction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OPC60789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Public Service Act 1999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21 October 2014</vt:lpwstr>
  </property>
</Properties>
</file>