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5D0303" w:rsidRDefault="00DA186E" w:rsidP="00B05CF4">
      <w:pPr>
        <w:rPr>
          <w:sz w:val="28"/>
        </w:rPr>
      </w:pPr>
      <w:r w:rsidRPr="005D0303">
        <w:rPr>
          <w:noProof/>
          <w:lang w:eastAsia="en-AU"/>
        </w:rPr>
        <w:drawing>
          <wp:inline distT="0" distB="0" distL="0" distR="0" wp14:anchorId="5476A093" wp14:editId="65FB0BCE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5D0303" w:rsidRDefault="00715914" w:rsidP="00715914">
      <w:pPr>
        <w:rPr>
          <w:sz w:val="19"/>
        </w:rPr>
      </w:pPr>
    </w:p>
    <w:p w:rsidR="00715914" w:rsidRPr="005D0303" w:rsidRDefault="007F3C07" w:rsidP="00715914">
      <w:pPr>
        <w:pStyle w:val="ShortT"/>
      </w:pPr>
      <w:r w:rsidRPr="005D0303">
        <w:t xml:space="preserve">Commercial Broadcasting (Tax) </w:t>
      </w:r>
      <w:r w:rsidR="005C1F43" w:rsidRPr="005D0303">
        <w:t xml:space="preserve">(Individual Transmitter Amounts) </w:t>
      </w:r>
      <w:r w:rsidRPr="005D0303">
        <w:t>Determination</w:t>
      </w:r>
      <w:r w:rsidR="005D0303" w:rsidRPr="005D0303">
        <w:t> </w:t>
      </w:r>
      <w:r w:rsidRPr="005D0303">
        <w:t>2017</w:t>
      </w:r>
    </w:p>
    <w:p w:rsidR="007F3C07" w:rsidRPr="005D0303" w:rsidRDefault="007F3C07" w:rsidP="005E1816">
      <w:pPr>
        <w:pStyle w:val="SignCoverPageStart"/>
        <w:rPr>
          <w:szCs w:val="22"/>
        </w:rPr>
      </w:pPr>
      <w:r w:rsidRPr="005D0303">
        <w:rPr>
          <w:szCs w:val="22"/>
        </w:rPr>
        <w:t>I, Mitch Fifield, Minister for Communications, make the following determination.</w:t>
      </w:r>
    </w:p>
    <w:p w:rsidR="007F3C07" w:rsidRPr="005D0303" w:rsidRDefault="007F3C07" w:rsidP="005E1816">
      <w:pPr>
        <w:keepNext/>
        <w:spacing w:before="300" w:line="240" w:lineRule="atLeast"/>
        <w:ind w:right="397"/>
        <w:jc w:val="both"/>
        <w:rPr>
          <w:szCs w:val="22"/>
        </w:rPr>
      </w:pPr>
      <w:r w:rsidRPr="005D0303">
        <w:rPr>
          <w:szCs w:val="22"/>
        </w:rPr>
        <w:t>Dated</w:t>
      </w:r>
      <w:r w:rsidRPr="005D0303">
        <w:rPr>
          <w:szCs w:val="22"/>
        </w:rPr>
        <w:tab/>
      </w:r>
      <w:bookmarkStart w:id="0" w:name="_GoBack"/>
      <w:bookmarkEnd w:id="0"/>
      <w:r w:rsidRPr="005D0303">
        <w:rPr>
          <w:szCs w:val="22"/>
        </w:rPr>
        <w:fldChar w:fldCharType="begin"/>
      </w:r>
      <w:r w:rsidRPr="005D0303">
        <w:rPr>
          <w:szCs w:val="22"/>
        </w:rPr>
        <w:instrText xml:space="preserve"> DOCPROPERTY  DateMade </w:instrText>
      </w:r>
      <w:r w:rsidRPr="005D0303">
        <w:rPr>
          <w:szCs w:val="22"/>
        </w:rPr>
        <w:fldChar w:fldCharType="separate"/>
      </w:r>
      <w:r w:rsidR="00866C58">
        <w:rPr>
          <w:szCs w:val="22"/>
        </w:rPr>
        <w:t>17 October 2017</w:t>
      </w:r>
      <w:r w:rsidRPr="005D0303">
        <w:rPr>
          <w:szCs w:val="22"/>
        </w:rPr>
        <w:fldChar w:fldCharType="end"/>
      </w:r>
    </w:p>
    <w:p w:rsidR="007F3C07" w:rsidRPr="005D0303" w:rsidRDefault="007F3C07" w:rsidP="005E1816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5D0303">
        <w:rPr>
          <w:szCs w:val="22"/>
        </w:rPr>
        <w:t>Mitch Fifield</w:t>
      </w:r>
    </w:p>
    <w:p w:rsidR="007F3C07" w:rsidRPr="005D0303" w:rsidRDefault="007F3C07" w:rsidP="005E1816">
      <w:pPr>
        <w:pStyle w:val="SignCoverPageEnd"/>
        <w:rPr>
          <w:szCs w:val="22"/>
        </w:rPr>
      </w:pPr>
      <w:r w:rsidRPr="005D0303">
        <w:rPr>
          <w:szCs w:val="22"/>
        </w:rPr>
        <w:t>Minister for Communications</w:t>
      </w:r>
    </w:p>
    <w:p w:rsidR="007F3C07" w:rsidRPr="005D0303" w:rsidRDefault="007F3C07" w:rsidP="005E1816"/>
    <w:p w:rsidR="00715914" w:rsidRPr="005D0303" w:rsidRDefault="00715914" w:rsidP="00715914">
      <w:pPr>
        <w:pStyle w:val="Header"/>
        <w:tabs>
          <w:tab w:val="clear" w:pos="4150"/>
          <w:tab w:val="clear" w:pos="8307"/>
        </w:tabs>
      </w:pPr>
      <w:r w:rsidRPr="005D0303">
        <w:rPr>
          <w:rStyle w:val="CharChapNo"/>
        </w:rPr>
        <w:t xml:space="preserve"> </w:t>
      </w:r>
      <w:r w:rsidRPr="005D0303">
        <w:rPr>
          <w:rStyle w:val="CharChapText"/>
        </w:rPr>
        <w:t xml:space="preserve"> </w:t>
      </w:r>
    </w:p>
    <w:p w:rsidR="00715914" w:rsidRPr="005D0303" w:rsidRDefault="00715914" w:rsidP="00715914">
      <w:pPr>
        <w:pStyle w:val="Header"/>
        <w:tabs>
          <w:tab w:val="clear" w:pos="4150"/>
          <w:tab w:val="clear" w:pos="8307"/>
        </w:tabs>
      </w:pPr>
      <w:r w:rsidRPr="005D0303">
        <w:rPr>
          <w:rStyle w:val="CharPartNo"/>
        </w:rPr>
        <w:t xml:space="preserve"> </w:t>
      </w:r>
      <w:r w:rsidRPr="005D0303">
        <w:rPr>
          <w:rStyle w:val="CharPartText"/>
        </w:rPr>
        <w:t xml:space="preserve"> </w:t>
      </w:r>
    </w:p>
    <w:p w:rsidR="00715914" w:rsidRPr="005D0303" w:rsidRDefault="00715914" w:rsidP="00715914">
      <w:pPr>
        <w:pStyle w:val="Header"/>
        <w:tabs>
          <w:tab w:val="clear" w:pos="4150"/>
          <w:tab w:val="clear" w:pos="8307"/>
        </w:tabs>
      </w:pPr>
      <w:r w:rsidRPr="005D0303">
        <w:rPr>
          <w:rStyle w:val="CharDivNo"/>
        </w:rPr>
        <w:t xml:space="preserve"> </w:t>
      </w:r>
      <w:r w:rsidRPr="005D0303">
        <w:rPr>
          <w:rStyle w:val="CharDivText"/>
        </w:rPr>
        <w:t xml:space="preserve"> </w:t>
      </w:r>
    </w:p>
    <w:p w:rsidR="00715914" w:rsidRPr="005D0303" w:rsidRDefault="00715914" w:rsidP="00715914">
      <w:pPr>
        <w:sectPr w:rsidR="00715914" w:rsidRPr="005D0303" w:rsidSect="001D270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5D0303" w:rsidRDefault="00715914" w:rsidP="005E10C7">
      <w:pPr>
        <w:rPr>
          <w:sz w:val="36"/>
        </w:rPr>
      </w:pPr>
      <w:r w:rsidRPr="005D0303">
        <w:rPr>
          <w:sz w:val="36"/>
        </w:rPr>
        <w:lastRenderedPageBreak/>
        <w:t>Contents</w:t>
      </w:r>
    </w:p>
    <w:p w:rsidR="005B0C7F" w:rsidRPr="005D0303" w:rsidRDefault="005B0C7F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D0303">
        <w:fldChar w:fldCharType="begin"/>
      </w:r>
      <w:r w:rsidRPr="005D0303">
        <w:instrText xml:space="preserve"> TOC \o "1-9" </w:instrText>
      </w:r>
      <w:r w:rsidRPr="005D0303">
        <w:fldChar w:fldCharType="separate"/>
      </w:r>
      <w:r w:rsidRPr="005D0303">
        <w:rPr>
          <w:noProof/>
        </w:rPr>
        <w:t>Part</w:t>
      </w:r>
      <w:r w:rsidR="005D0303" w:rsidRPr="005D0303">
        <w:rPr>
          <w:noProof/>
        </w:rPr>
        <w:t> </w:t>
      </w:r>
      <w:r w:rsidRPr="005D0303">
        <w:rPr>
          <w:noProof/>
        </w:rPr>
        <w:t>1—Preliminary</w:t>
      </w:r>
      <w:r w:rsidRPr="005D0303">
        <w:rPr>
          <w:b w:val="0"/>
          <w:noProof/>
          <w:sz w:val="18"/>
        </w:rPr>
        <w:tab/>
      </w:r>
      <w:r w:rsidRPr="005D0303">
        <w:rPr>
          <w:b w:val="0"/>
          <w:noProof/>
          <w:sz w:val="18"/>
        </w:rPr>
        <w:fldChar w:fldCharType="begin"/>
      </w:r>
      <w:r w:rsidRPr="005D0303">
        <w:rPr>
          <w:b w:val="0"/>
          <w:noProof/>
          <w:sz w:val="18"/>
        </w:rPr>
        <w:instrText xml:space="preserve"> PAGEREF _Toc495652548 \h </w:instrText>
      </w:r>
      <w:r w:rsidRPr="005D0303">
        <w:rPr>
          <w:b w:val="0"/>
          <w:noProof/>
          <w:sz w:val="18"/>
        </w:rPr>
      </w:r>
      <w:r w:rsidRPr="005D0303">
        <w:rPr>
          <w:b w:val="0"/>
          <w:noProof/>
          <w:sz w:val="18"/>
        </w:rPr>
        <w:fldChar w:fldCharType="separate"/>
      </w:r>
      <w:r w:rsidR="00866C58">
        <w:rPr>
          <w:b w:val="0"/>
          <w:noProof/>
          <w:sz w:val="18"/>
        </w:rPr>
        <w:t>1</w:t>
      </w:r>
      <w:r w:rsidRPr="005D0303">
        <w:rPr>
          <w:b w:val="0"/>
          <w:noProof/>
          <w:sz w:val="18"/>
        </w:rPr>
        <w:fldChar w:fldCharType="end"/>
      </w:r>
    </w:p>
    <w:p w:rsidR="005B0C7F" w:rsidRPr="005D0303" w:rsidRDefault="005B0C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D0303">
        <w:rPr>
          <w:noProof/>
        </w:rPr>
        <w:t>1</w:t>
      </w:r>
      <w:r w:rsidRPr="005D0303">
        <w:rPr>
          <w:noProof/>
        </w:rPr>
        <w:tab/>
        <w:t>Name</w:t>
      </w:r>
      <w:r w:rsidRPr="005D0303">
        <w:rPr>
          <w:noProof/>
        </w:rPr>
        <w:tab/>
      </w:r>
      <w:r w:rsidRPr="005D0303">
        <w:rPr>
          <w:noProof/>
        </w:rPr>
        <w:fldChar w:fldCharType="begin"/>
      </w:r>
      <w:r w:rsidRPr="005D0303">
        <w:rPr>
          <w:noProof/>
        </w:rPr>
        <w:instrText xml:space="preserve"> PAGEREF _Toc495652549 \h </w:instrText>
      </w:r>
      <w:r w:rsidRPr="005D0303">
        <w:rPr>
          <w:noProof/>
        </w:rPr>
      </w:r>
      <w:r w:rsidRPr="005D0303">
        <w:rPr>
          <w:noProof/>
        </w:rPr>
        <w:fldChar w:fldCharType="separate"/>
      </w:r>
      <w:r w:rsidR="00866C58">
        <w:rPr>
          <w:noProof/>
        </w:rPr>
        <w:t>1</w:t>
      </w:r>
      <w:r w:rsidRPr="005D0303">
        <w:rPr>
          <w:noProof/>
        </w:rPr>
        <w:fldChar w:fldCharType="end"/>
      </w:r>
    </w:p>
    <w:p w:rsidR="005B0C7F" w:rsidRPr="005D0303" w:rsidRDefault="005B0C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D0303">
        <w:rPr>
          <w:noProof/>
        </w:rPr>
        <w:t>2</w:t>
      </w:r>
      <w:r w:rsidRPr="005D0303">
        <w:rPr>
          <w:noProof/>
        </w:rPr>
        <w:tab/>
        <w:t>Commencement</w:t>
      </w:r>
      <w:r w:rsidRPr="005D0303">
        <w:rPr>
          <w:noProof/>
        </w:rPr>
        <w:tab/>
      </w:r>
      <w:r w:rsidRPr="005D0303">
        <w:rPr>
          <w:noProof/>
        </w:rPr>
        <w:fldChar w:fldCharType="begin"/>
      </w:r>
      <w:r w:rsidRPr="005D0303">
        <w:rPr>
          <w:noProof/>
        </w:rPr>
        <w:instrText xml:space="preserve"> PAGEREF _Toc495652550 \h </w:instrText>
      </w:r>
      <w:r w:rsidRPr="005D0303">
        <w:rPr>
          <w:noProof/>
        </w:rPr>
      </w:r>
      <w:r w:rsidRPr="005D0303">
        <w:rPr>
          <w:noProof/>
        </w:rPr>
        <w:fldChar w:fldCharType="separate"/>
      </w:r>
      <w:r w:rsidR="00866C58">
        <w:rPr>
          <w:noProof/>
        </w:rPr>
        <w:t>1</w:t>
      </w:r>
      <w:r w:rsidRPr="005D0303">
        <w:rPr>
          <w:noProof/>
        </w:rPr>
        <w:fldChar w:fldCharType="end"/>
      </w:r>
    </w:p>
    <w:p w:rsidR="005B0C7F" w:rsidRPr="005D0303" w:rsidRDefault="005B0C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D0303">
        <w:rPr>
          <w:noProof/>
        </w:rPr>
        <w:t>3</w:t>
      </w:r>
      <w:r w:rsidRPr="005D0303">
        <w:rPr>
          <w:noProof/>
        </w:rPr>
        <w:tab/>
        <w:t>Authority</w:t>
      </w:r>
      <w:r w:rsidRPr="005D0303">
        <w:rPr>
          <w:noProof/>
        </w:rPr>
        <w:tab/>
      </w:r>
      <w:r w:rsidRPr="005D0303">
        <w:rPr>
          <w:noProof/>
        </w:rPr>
        <w:fldChar w:fldCharType="begin"/>
      </w:r>
      <w:r w:rsidRPr="005D0303">
        <w:rPr>
          <w:noProof/>
        </w:rPr>
        <w:instrText xml:space="preserve"> PAGEREF _Toc495652551 \h </w:instrText>
      </w:r>
      <w:r w:rsidRPr="005D0303">
        <w:rPr>
          <w:noProof/>
        </w:rPr>
      </w:r>
      <w:r w:rsidRPr="005D0303">
        <w:rPr>
          <w:noProof/>
        </w:rPr>
        <w:fldChar w:fldCharType="separate"/>
      </w:r>
      <w:r w:rsidR="00866C58">
        <w:rPr>
          <w:noProof/>
        </w:rPr>
        <w:t>1</w:t>
      </w:r>
      <w:r w:rsidRPr="005D0303">
        <w:rPr>
          <w:noProof/>
        </w:rPr>
        <w:fldChar w:fldCharType="end"/>
      </w:r>
    </w:p>
    <w:p w:rsidR="005B0C7F" w:rsidRPr="005D0303" w:rsidRDefault="005B0C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D0303">
        <w:rPr>
          <w:noProof/>
        </w:rPr>
        <w:t>4</w:t>
      </w:r>
      <w:r w:rsidRPr="005D0303">
        <w:rPr>
          <w:noProof/>
        </w:rPr>
        <w:tab/>
        <w:t>Definitions</w:t>
      </w:r>
      <w:r w:rsidRPr="005D0303">
        <w:rPr>
          <w:noProof/>
        </w:rPr>
        <w:tab/>
      </w:r>
      <w:r w:rsidRPr="005D0303">
        <w:rPr>
          <w:noProof/>
        </w:rPr>
        <w:fldChar w:fldCharType="begin"/>
      </w:r>
      <w:r w:rsidRPr="005D0303">
        <w:rPr>
          <w:noProof/>
        </w:rPr>
        <w:instrText xml:space="preserve"> PAGEREF _Toc495652552 \h </w:instrText>
      </w:r>
      <w:r w:rsidRPr="005D0303">
        <w:rPr>
          <w:noProof/>
        </w:rPr>
      </w:r>
      <w:r w:rsidRPr="005D0303">
        <w:rPr>
          <w:noProof/>
        </w:rPr>
        <w:fldChar w:fldCharType="separate"/>
      </w:r>
      <w:r w:rsidR="00866C58">
        <w:rPr>
          <w:noProof/>
        </w:rPr>
        <w:t>1</w:t>
      </w:r>
      <w:r w:rsidRPr="005D0303">
        <w:rPr>
          <w:noProof/>
        </w:rPr>
        <w:fldChar w:fldCharType="end"/>
      </w:r>
    </w:p>
    <w:p w:rsidR="005B0C7F" w:rsidRPr="005D0303" w:rsidRDefault="005B0C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D0303">
        <w:rPr>
          <w:noProof/>
        </w:rPr>
        <w:t>5</w:t>
      </w:r>
      <w:r w:rsidRPr="005D0303">
        <w:rPr>
          <w:noProof/>
        </w:rPr>
        <w:tab/>
        <w:t>Population densities</w:t>
      </w:r>
      <w:r w:rsidRPr="005D0303">
        <w:rPr>
          <w:noProof/>
        </w:rPr>
        <w:tab/>
      </w:r>
      <w:r w:rsidRPr="005D0303">
        <w:rPr>
          <w:noProof/>
        </w:rPr>
        <w:fldChar w:fldCharType="begin"/>
      </w:r>
      <w:r w:rsidRPr="005D0303">
        <w:rPr>
          <w:noProof/>
        </w:rPr>
        <w:instrText xml:space="preserve"> PAGEREF _Toc495652553 \h </w:instrText>
      </w:r>
      <w:r w:rsidRPr="005D0303">
        <w:rPr>
          <w:noProof/>
        </w:rPr>
      </w:r>
      <w:r w:rsidRPr="005D0303">
        <w:rPr>
          <w:noProof/>
        </w:rPr>
        <w:fldChar w:fldCharType="separate"/>
      </w:r>
      <w:r w:rsidR="00866C58">
        <w:rPr>
          <w:noProof/>
        </w:rPr>
        <w:t>2</w:t>
      </w:r>
      <w:r w:rsidRPr="005D0303">
        <w:rPr>
          <w:noProof/>
        </w:rPr>
        <w:fldChar w:fldCharType="end"/>
      </w:r>
    </w:p>
    <w:p w:rsidR="005B0C7F" w:rsidRPr="005D0303" w:rsidRDefault="005B0C7F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D0303">
        <w:rPr>
          <w:noProof/>
        </w:rPr>
        <w:t>Part</w:t>
      </w:r>
      <w:r w:rsidR="005D0303" w:rsidRPr="005D0303">
        <w:rPr>
          <w:noProof/>
        </w:rPr>
        <w:t> </w:t>
      </w:r>
      <w:r w:rsidRPr="005D0303">
        <w:rPr>
          <w:noProof/>
        </w:rPr>
        <w:t>2—Individual transmitter amounts</w:t>
      </w:r>
      <w:r w:rsidRPr="005D0303">
        <w:rPr>
          <w:b w:val="0"/>
          <w:noProof/>
          <w:sz w:val="18"/>
        </w:rPr>
        <w:tab/>
      </w:r>
      <w:r w:rsidRPr="005D0303">
        <w:rPr>
          <w:b w:val="0"/>
          <w:noProof/>
          <w:sz w:val="18"/>
        </w:rPr>
        <w:fldChar w:fldCharType="begin"/>
      </w:r>
      <w:r w:rsidRPr="005D0303">
        <w:rPr>
          <w:b w:val="0"/>
          <w:noProof/>
          <w:sz w:val="18"/>
        </w:rPr>
        <w:instrText xml:space="preserve"> PAGEREF _Toc495652554 \h </w:instrText>
      </w:r>
      <w:r w:rsidRPr="005D0303">
        <w:rPr>
          <w:b w:val="0"/>
          <w:noProof/>
          <w:sz w:val="18"/>
        </w:rPr>
      </w:r>
      <w:r w:rsidRPr="005D0303">
        <w:rPr>
          <w:b w:val="0"/>
          <w:noProof/>
          <w:sz w:val="18"/>
        </w:rPr>
        <w:fldChar w:fldCharType="separate"/>
      </w:r>
      <w:r w:rsidR="00866C58">
        <w:rPr>
          <w:b w:val="0"/>
          <w:noProof/>
          <w:sz w:val="18"/>
        </w:rPr>
        <w:t>4</w:t>
      </w:r>
      <w:r w:rsidRPr="005D0303">
        <w:rPr>
          <w:b w:val="0"/>
          <w:noProof/>
          <w:sz w:val="18"/>
        </w:rPr>
        <w:fldChar w:fldCharType="end"/>
      </w:r>
    </w:p>
    <w:p w:rsidR="005B0C7F" w:rsidRPr="005D0303" w:rsidRDefault="005B0C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D0303">
        <w:rPr>
          <w:noProof/>
        </w:rPr>
        <w:t>6</w:t>
      </w:r>
      <w:r w:rsidRPr="005D0303">
        <w:rPr>
          <w:noProof/>
        </w:rPr>
        <w:tab/>
        <w:t>Individual transmitter amounts</w:t>
      </w:r>
      <w:r w:rsidRPr="005D0303">
        <w:rPr>
          <w:noProof/>
        </w:rPr>
        <w:tab/>
      </w:r>
      <w:r w:rsidRPr="005D0303">
        <w:rPr>
          <w:noProof/>
        </w:rPr>
        <w:fldChar w:fldCharType="begin"/>
      </w:r>
      <w:r w:rsidRPr="005D0303">
        <w:rPr>
          <w:noProof/>
        </w:rPr>
        <w:instrText xml:space="preserve"> PAGEREF _Toc495652555 \h </w:instrText>
      </w:r>
      <w:r w:rsidRPr="005D0303">
        <w:rPr>
          <w:noProof/>
        </w:rPr>
      </w:r>
      <w:r w:rsidRPr="005D0303">
        <w:rPr>
          <w:noProof/>
        </w:rPr>
        <w:fldChar w:fldCharType="separate"/>
      </w:r>
      <w:r w:rsidR="00866C58">
        <w:rPr>
          <w:noProof/>
        </w:rPr>
        <w:t>4</w:t>
      </w:r>
      <w:r w:rsidRPr="005D0303">
        <w:rPr>
          <w:noProof/>
        </w:rPr>
        <w:fldChar w:fldCharType="end"/>
      </w:r>
    </w:p>
    <w:p w:rsidR="005B0C7F" w:rsidRPr="005D0303" w:rsidRDefault="005B0C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D0303">
        <w:rPr>
          <w:noProof/>
        </w:rPr>
        <w:t>7</w:t>
      </w:r>
      <w:r w:rsidRPr="005D0303">
        <w:rPr>
          <w:noProof/>
        </w:rPr>
        <w:tab/>
        <w:t>Adjustment for variations during year before anniversary</w:t>
      </w:r>
      <w:r w:rsidRPr="005D0303">
        <w:rPr>
          <w:noProof/>
        </w:rPr>
        <w:tab/>
      </w:r>
      <w:r w:rsidRPr="005D0303">
        <w:rPr>
          <w:noProof/>
        </w:rPr>
        <w:fldChar w:fldCharType="begin"/>
      </w:r>
      <w:r w:rsidRPr="005D0303">
        <w:rPr>
          <w:noProof/>
        </w:rPr>
        <w:instrText xml:space="preserve"> PAGEREF _Toc495652556 \h </w:instrText>
      </w:r>
      <w:r w:rsidRPr="005D0303">
        <w:rPr>
          <w:noProof/>
        </w:rPr>
      </w:r>
      <w:r w:rsidRPr="005D0303">
        <w:rPr>
          <w:noProof/>
        </w:rPr>
        <w:fldChar w:fldCharType="separate"/>
      </w:r>
      <w:r w:rsidR="00866C58">
        <w:rPr>
          <w:noProof/>
        </w:rPr>
        <w:t>6</w:t>
      </w:r>
      <w:r w:rsidRPr="005D0303">
        <w:rPr>
          <w:noProof/>
        </w:rPr>
        <w:fldChar w:fldCharType="end"/>
      </w:r>
    </w:p>
    <w:p w:rsidR="00670EA1" w:rsidRPr="005D0303" w:rsidRDefault="005B0C7F" w:rsidP="00715914">
      <w:r w:rsidRPr="005D0303">
        <w:fldChar w:fldCharType="end"/>
      </w:r>
    </w:p>
    <w:p w:rsidR="00670EA1" w:rsidRPr="005D0303" w:rsidRDefault="00670EA1" w:rsidP="00715914">
      <w:pPr>
        <w:sectPr w:rsidR="00670EA1" w:rsidRPr="005D0303" w:rsidSect="001D270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E449A9" w:rsidRPr="005D0303" w:rsidRDefault="00E449A9" w:rsidP="00340C56">
      <w:pPr>
        <w:pStyle w:val="ActHead2"/>
        <w:pageBreakBefore/>
      </w:pPr>
      <w:bookmarkStart w:id="1" w:name="_Toc495652548"/>
      <w:r w:rsidRPr="005D0303">
        <w:rPr>
          <w:rStyle w:val="CharPartNo"/>
        </w:rPr>
        <w:lastRenderedPageBreak/>
        <w:t>Part</w:t>
      </w:r>
      <w:r w:rsidR="005D0303" w:rsidRPr="005D0303">
        <w:rPr>
          <w:rStyle w:val="CharPartNo"/>
        </w:rPr>
        <w:t> </w:t>
      </w:r>
      <w:r w:rsidRPr="005D0303">
        <w:rPr>
          <w:rStyle w:val="CharPartNo"/>
        </w:rPr>
        <w:t>1</w:t>
      </w:r>
      <w:r w:rsidRPr="005D0303">
        <w:t>—</w:t>
      </w:r>
      <w:r w:rsidRPr="005D0303">
        <w:rPr>
          <w:rStyle w:val="CharPartText"/>
        </w:rPr>
        <w:t>Preliminary</w:t>
      </w:r>
      <w:bookmarkEnd w:id="1"/>
    </w:p>
    <w:p w:rsidR="00E449A9" w:rsidRPr="005D0303" w:rsidRDefault="00E449A9" w:rsidP="00E449A9">
      <w:pPr>
        <w:pStyle w:val="Header"/>
      </w:pPr>
      <w:r w:rsidRPr="005D0303">
        <w:rPr>
          <w:rStyle w:val="CharDivNo"/>
        </w:rPr>
        <w:t xml:space="preserve"> </w:t>
      </w:r>
      <w:r w:rsidRPr="005D0303">
        <w:rPr>
          <w:rStyle w:val="CharDivText"/>
        </w:rPr>
        <w:t xml:space="preserve"> </w:t>
      </w:r>
    </w:p>
    <w:p w:rsidR="00715914" w:rsidRPr="005D0303" w:rsidRDefault="00715914" w:rsidP="00715914">
      <w:pPr>
        <w:pStyle w:val="ActHead5"/>
      </w:pPr>
      <w:bookmarkStart w:id="2" w:name="_Toc495652549"/>
      <w:r w:rsidRPr="005D0303">
        <w:rPr>
          <w:rStyle w:val="CharSectno"/>
        </w:rPr>
        <w:t>1</w:t>
      </w:r>
      <w:r w:rsidRPr="005D0303">
        <w:t xml:space="preserve">  </w:t>
      </w:r>
      <w:r w:rsidR="00CE493D" w:rsidRPr="005D0303">
        <w:t>Name</w:t>
      </w:r>
      <w:bookmarkEnd w:id="2"/>
    </w:p>
    <w:p w:rsidR="00715914" w:rsidRPr="005D0303" w:rsidRDefault="00715914" w:rsidP="00715914">
      <w:pPr>
        <w:pStyle w:val="subsection"/>
      </w:pPr>
      <w:r w:rsidRPr="005D0303">
        <w:tab/>
      </w:r>
      <w:r w:rsidRPr="005D0303">
        <w:tab/>
      </w:r>
      <w:r w:rsidR="007F3C07" w:rsidRPr="005D0303">
        <w:t>This instrument is</w:t>
      </w:r>
      <w:r w:rsidR="00CE493D" w:rsidRPr="005D0303">
        <w:t xml:space="preserve"> the </w:t>
      </w:r>
      <w:r w:rsidR="00BC76AC" w:rsidRPr="005D0303">
        <w:rPr>
          <w:i/>
        </w:rPr>
        <w:fldChar w:fldCharType="begin"/>
      </w:r>
      <w:r w:rsidR="00BC76AC" w:rsidRPr="005D0303">
        <w:rPr>
          <w:i/>
        </w:rPr>
        <w:instrText xml:space="preserve"> STYLEREF  ShortT </w:instrText>
      </w:r>
      <w:r w:rsidR="00BC76AC" w:rsidRPr="005D0303">
        <w:rPr>
          <w:i/>
        </w:rPr>
        <w:fldChar w:fldCharType="separate"/>
      </w:r>
      <w:r w:rsidR="00866C58">
        <w:rPr>
          <w:i/>
          <w:noProof/>
        </w:rPr>
        <w:t>Commercial Broadcasting (Tax) (Individual Transmitter Amounts) Determination 2017</w:t>
      </w:r>
      <w:r w:rsidR="00BC76AC" w:rsidRPr="005D0303">
        <w:rPr>
          <w:i/>
        </w:rPr>
        <w:fldChar w:fldCharType="end"/>
      </w:r>
      <w:r w:rsidRPr="005D0303">
        <w:t>.</w:t>
      </w:r>
    </w:p>
    <w:p w:rsidR="00715914" w:rsidRPr="005D0303" w:rsidRDefault="00715914" w:rsidP="00715914">
      <w:pPr>
        <w:pStyle w:val="ActHead5"/>
      </w:pPr>
      <w:bookmarkStart w:id="3" w:name="_Toc495652550"/>
      <w:r w:rsidRPr="005D0303">
        <w:rPr>
          <w:rStyle w:val="CharSectno"/>
        </w:rPr>
        <w:t>2</w:t>
      </w:r>
      <w:r w:rsidRPr="005D0303">
        <w:t xml:space="preserve">  Commencement</w:t>
      </w:r>
      <w:bookmarkEnd w:id="3"/>
    </w:p>
    <w:p w:rsidR="007F3C07" w:rsidRPr="005D0303" w:rsidRDefault="007F3C07" w:rsidP="005E1816">
      <w:pPr>
        <w:pStyle w:val="subsection"/>
      </w:pPr>
      <w:r w:rsidRPr="005D0303">
        <w:tab/>
        <w:t>(1)</w:t>
      </w:r>
      <w:r w:rsidRPr="005D0303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7F3C07" w:rsidRPr="005D0303" w:rsidRDefault="007F3C07" w:rsidP="005E1816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7F3C07" w:rsidRPr="005D0303" w:rsidTr="005E1816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7F3C07" w:rsidRPr="005D0303" w:rsidRDefault="007F3C07" w:rsidP="005E1816">
            <w:pPr>
              <w:pStyle w:val="TableHeading"/>
            </w:pPr>
            <w:r w:rsidRPr="005D0303">
              <w:t>Commencement information</w:t>
            </w:r>
          </w:p>
        </w:tc>
      </w:tr>
      <w:tr w:rsidR="007F3C07" w:rsidRPr="005D0303" w:rsidTr="005E1816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7F3C07" w:rsidRPr="005D0303" w:rsidRDefault="007F3C07" w:rsidP="005E1816">
            <w:pPr>
              <w:pStyle w:val="TableHeading"/>
            </w:pPr>
            <w:r w:rsidRPr="005D0303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7F3C07" w:rsidRPr="005D0303" w:rsidRDefault="007F3C07" w:rsidP="005E1816">
            <w:pPr>
              <w:pStyle w:val="TableHeading"/>
            </w:pPr>
            <w:r w:rsidRPr="005D0303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7F3C07" w:rsidRPr="005D0303" w:rsidRDefault="007F3C07" w:rsidP="005E1816">
            <w:pPr>
              <w:pStyle w:val="TableHeading"/>
            </w:pPr>
            <w:r w:rsidRPr="005D0303">
              <w:t>Column 3</w:t>
            </w:r>
          </w:p>
        </w:tc>
      </w:tr>
      <w:tr w:rsidR="007F3C07" w:rsidRPr="005D0303" w:rsidTr="005E1816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7F3C07" w:rsidRPr="005D0303" w:rsidRDefault="007F3C07" w:rsidP="005E1816">
            <w:pPr>
              <w:pStyle w:val="TableHeading"/>
            </w:pPr>
            <w:r w:rsidRPr="005D0303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7F3C07" w:rsidRPr="005D0303" w:rsidRDefault="007F3C07" w:rsidP="005E1816">
            <w:pPr>
              <w:pStyle w:val="TableHeading"/>
            </w:pPr>
            <w:r w:rsidRPr="005D0303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7F3C07" w:rsidRPr="005D0303" w:rsidRDefault="007F3C07" w:rsidP="005E1816">
            <w:pPr>
              <w:pStyle w:val="TableHeading"/>
            </w:pPr>
            <w:r w:rsidRPr="005D0303">
              <w:t>Date/Details</w:t>
            </w:r>
          </w:p>
        </w:tc>
      </w:tr>
      <w:tr w:rsidR="007F3C07" w:rsidRPr="005D0303" w:rsidTr="005E1816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F3C07" w:rsidRPr="005D0303" w:rsidRDefault="007F3C07" w:rsidP="005E1816">
            <w:pPr>
              <w:pStyle w:val="Tabletext"/>
            </w:pPr>
            <w:r w:rsidRPr="005D0303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F3C07" w:rsidRPr="005D0303" w:rsidRDefault="007F3C07" w:rsidP="005E1816">
            <w:pPr>
              <w:pStyle w:val="Tabletext"/>
            </w:pPr>
            <w:r w:rsidRPr="005D0303">
              <w:t>1</w:t>
            </w:r>
            <w:r w:rsidR="005D0303" w:rsidRPr="005D0303">
              <w:t> </w:t>
            </w:r>
            <w:r w:rsidRPr="005D0303">
              <w:t>July 2017.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F3C07" w:rsidRPr="005D0303" w:rsidRDefault="007F3C07" w:rsidP="005E1816">
            <w:pPr>
              <w:pStyle w:val="Tabletext"/>
            </w:pPr>
            <w:r w:rsidRPr="005D0303">
              <w:t>1</w:t>
            </w:r>
            <w:r w:rsidR="005D0303" w:rsidRPr="005D0303">
              <w:t> </w:t>
            </w:r>
            <w:r w:rsidRPr="005D0303">
              <w:t>July 2017</w:t>
            </w:r>
          </w:p>
        </w:tc>
      </w:tr>
    </w:tbl>
    <w:p w:rsidR="007F3C07" w:rsidRPr="005D0303" w:rsidRDefault="007F3C07" w:rsidP="005E1816">
      <w:pPr>
        <w:pStyle w:val="notetext"/>
      </w:pPr>
      <w:r w:rsidRPr="005D0303">
        <w:rPr>
          <w:snapToGrid w:val="0"/>
          <w:lang w:eastAsia="en-US"/>
        </w:rPr>
        <w:t>Note:</w:t>
      </w:r>
      <w:r w:rsidRPr="005D0303">
        <w:rPr>
          <w:snapToGrid w:val="0"/>
          <w:lang w:eastAsia="en-US"/>
        </w:rPr>
        <w:tab/>
        <w:t xml:space="preserve">This table relates only to the provisions of this </w:t>
      </w:r>
      <w:r w:rsidRPr="005D0303">
        <w:t xml:space="preserve">instrument </w:t>
      </w:r>
      <w:r w:rsidRPr="005D0303">
        <w:rPr>
          <w:snapToGrid w:val="0"/>
          <w:lang w:eastAsia="en-US"/>
        </w:rPr>
        <w:t xml:space="preserve">as originally made. It will not be amended to deal with any later amendments of this </w:t>
      </w:r>
      <w:r w:rsidRPr="005D0303">
        <w:t>instrument</w:t>
      </w:r>
      <w:r w:rsidRPr="005D0303">
        <w:rPr>
          <w:snapToGrid w:val="0"/>
          <w:lang w:eastAsia="en-US"/>
        </w:rPr>
        <w:t>.</w:t>
      </w:r>
    </w:p>
    <w:p w:rsidR="007F3C07" w:rsidRPr="005D0303" w:rsidRDefault="007F3C07" w:rsidP="005E1816">
      <w:pPr>
        <w:pStyle w:val="subsection"/>
      </w:pPr>
      <w:r w:rsidRPr="005D0303">
        <w:tab/>
        <w:t>(2)</w:t>
      </w:r>
      <w:r w:rsidRPr="005D0303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500C8" w:rsidRPr="005D0303" w:rsidRDefault="007500C8" w:rsidP="007F3C07">
      <w:pPr>
        <w:pStyle w:val="ActHead5"/>
      </w:pPr>
      <w:bookmarkStart w:id="4" w:name="_Toc495652551"/>
      <w:r w:rsidRPr="005D0303">
        <w:rPr>
          <w:rStyle w:val="CharSectno"/>
        </w:rPr>
        <w:t>3</w:t>
      </w:r>
      <w:r w:rsidRPr="005D0303">
        <w:t xml:space="preserve">  Authority</w:t>
      </w:r>
      <w:bookmarkEnd w:id="4"/>
    </w:p>
    <w:p w:rsidR="00157B8B" w:rsidRPr="005D0303" w:rsidRDefault="007500C8" w:rsidP="007E667A">
      <w:pPr>
        <w:pStyle w:val="subsection"/>
      </w:pPr>
      <w:r w:rsidRPr="005D0303">
        <w:tab/>
      </w:r>
      <w:r w:rsidRPr="005D0303">
        <w:tab/>
        <w:t xml:space="preserve">This </w:t>
      </w:r>
      <w:r w:rsidR="007F3C07" w:rsidRPr="005D0303">
        <w:t>instrument</w:t>
      </w:r>
      <w:r w:rsidR="001159F7" w:rsidRPr="005D0303">
        <w:t xml:space="preserve"> is</w:t>
      </w:r>
      <w:r w:rsidR="007F3C07" w:rsidRPr="005D0303">
        <w:t xml:space="preserve"> </w:t>
      </w:r>
      <w:r w:rsidRPr="005D0303">
        <w:t>made under</w:t>
      </w:r>
      <w:r w:rsidR="003776EA" w:rsidRPr="005D0303">
        <w:t xml:space="preserve"> subsection</w:t>
      </w:r>
      <w:r w:rsidR="005D0303" w:rsidRPr="005D0303">
        <w:t> </w:t>
      </w:r>
      <w:r w:rsidR="00EA2E4D" w:rsidRPr="005D0303">
        <w:t>8</w:t>
      </w:r>
      <w:r w:rsidR="003776EA" w:rsidRPr="005D0303">
        <w:t>(2) of</w:t>
      </w:r>
      <w:r w:rsidRPr="005D0303">
        <w:t xml:space="preserve"> the </w:t>
      </w:r>
      <w:r w:rsidR="007F3C07" w:rsidRPr="005D0303">
        <w:rPr>
          <w:i/>
        </w:rPr>
        <w:t>C</w:t>
      </w:r>
      <w:r w:rsidR="00AB1F51" w:rsidRPr="005D0303">
        <w:rPr>
          <w:i/>
        </w:rPr>
        <w:t>ommercial Broadcasting (</w:t>
      </w:r>
      <w:r w:rsidR="007F3C07" w:rsidRPr="005D0303">
        <w:rPr>
          <w:i/>
        </w:rPr>
        <w:t>Tax) Act 2017</w:t>
      </w:r>
      <w:r w:rsidR="00F4350D" w:rsidRPr="005D0303">
        <w:t>.</w:t>
      </w:r>
    </w:p>
    <w:p w:rsidR="007F3C07" w:rsidRPr="005D0303" w:rsidRDefault="007F3C07" w:rsidP="007F3C07">
      <w:pPr>
        <w:pStyle w:val="ActHead5"/>
      </w:pPr>
      <w:bookmarkStart w:id="5" w:name="_Toc495652552"/>
      <w:r w:rsidRPr="005D0303">
        <w:rPr>
          <w:rStyle w:val="CharSectno"/>
        </w:rPr>
        <w:t>4</w:t>
      </w:r>
      <w:r w:rsidRPr="005D0303">
        <w:t xml:space="preserve">  Definitions</w:t>
      </w:r>
      <w:bookmarkEnd w:id="5"/>
    </w:p>
    <w:p w:rsidR="003776EA" w:rsidRPr="005D0303" w:rsidRDefault="003776EA" w:rsidP="003776EA">
      <w:pPr>
        <w:pStyle w:val="notetext"/>
      </w:pPr>
      <w:r w:rsidRPr="005D0303">
        <w:t>Note:</w:t>
      </w:r>
      <w:r w:rsidRPr="005D0303">
        <w:tab/>
        <w:t xml:space="preserve">A number of expressions used in this </w:t>
      </w:r>
      <w:r w:rsidR="005E67CD" w:rsidRPr="005D0303">
        <w:t>instrument</w:t>
      </w:r>
      <w:r w:rsidRPr="005D0303">
        <w:t xml:space="preserve"> are defined in the Act, including the following:</w:t>
      </w:r>
    </w:p>
    <w:p w:rsidR="00334627" w:rsidRPr="005D0303" w:rsidRDefault="00334627" w:rsidP="003776EA">
      <w:pPr>
        <w:pStyle w:val="notepara"/>
      </w:pPr>
      <w:r w:rsidRPr="005D0303">
        <w:t>(a)</w:t>
      </w:r>
      <w:r w:rsidRPr="005D0303">
        <w:tab/>
        <w:t>indexation factor;</w:t>
      </w:r>
    </w:p>
    <w:p w:rsidR="00FC7D11" w:rsidRPr="005D0303" w:rsidRDefault="003776EA" w:rsidP="003776EA">
      <w:pPr>
        <w:pStyle w:val="notepara"/>
      </w:pPr>
      <w:r w:rsidRPr="005D0303">
        <w:t>(</w:t>
      </w:r>
      <w:r w:rsidR="00334627" w:rsidRPr="005D0303">
        <w:t>b</w:t>
      </w:r>
      <w:r w:rsidRPr="005D0303">
        <w:t>)</w:t>
      </w:r>
      <w:r w:rsidRPr="005D0303">
        <w:tab/>
      </w:r>
      <w:r w:rsidR="00FC7D11" w:rsidRPr="005D0303">
        <w:t>individual transmitter a</w:t>
      </w:r>
      <w:r w:rsidR="00D9653C" w:rsidRPr="005D0303">
        <w:t>mount</w:t>
      </w:r>
      <w:r w:rsidR="00FC7D11" w:rsidRPr="005D0303">
        <w:t xml:space="preserve"> cap</w:t>
      </w:r>
      <w:r w:rsidRPr="005D0303">
        <w:t>;</w:t>
      </w:r>
    </w:p>
    <w:p w:rsidR="00D9653C" w:rsidRPr="005D0303" w:rsidRDefault="00334627" w:rsidP="003776EA">
      <w:pPr>
        <w:pStyle w:val="notepara"/>
      </w:pPr>
      <w:r w:rsidRPr="005D0303">
        <w:t>(c</w:t>
      </w:r>
      <w:r w:rsidR="00D9653C" w:rsidRPr="005D0303">
        <w:t>)</w:t>
      </w:r>
      <w:r w:rsidR="00D9653C" w:rsidRPr="005D0303">
        <w:tab/>
        <w:t>tax;</w:t>
      </w:r>
    </w:p>
    <w:p w:rsidR="00FC7D11" w:rsidRPr="005D0303" w:rsidRDefault="003776EA" w:rsidP="003776EA">
      <w:pPr>
        <w:pStyle w:val="notepara"/>
      </w:pPr>
      <w:r w:rsidRPr="005D0303">
        <w:t>(</w:t>
      </w:r>
      <w:r w:rsidR="00334627" w:rsidRPr="005D0303">
        <w:t>d</w:t>
      </w:r>
      <w:r w:rsidRPr="005D0303">
        <w:t>)</w:t>
      </w:r>
      <w:r w:rsidRPr="005D0303">
        <w:tab/>
      </w:r>
      <w:r w:rsidR="00FC7D11" w:rsidRPr="005D0303">
        <w:t>transmitter</w:t>
      </w:r>
      <w:r w:rsidRPr="005D0303">
        <w:t>;</w:t>
      </w:r>
    </w:p>
    <w:p w:rsidR="00FC7D11" w:rsidRPr="005D0303" w:rsidRDefault="00334627" w:rsidP="003776EA">
      <w:pPr>
        <w:pStyle w:val="notepara"/>
      </w:pPr>
      <w:r w:rsidRPr="005D0303">
        <w:t>(e</w:t>
      </w:r>
      <w:r w:rsidR="003776EA" w:rsidRPr="005D0303">
        <w:t>)</w:t>
      </w:r>
      <w:r w:rsidR="003776EA" w:rsidRPr="005D0303">
        <w:tab/>
      </w:r>
      <w:r w:rsidR="00FC7D11" w:rsidRPr="005D0303">
        <w:t>transmitter licence</w:t>
      </w:r>
      <w:r w:rsidR="003776EA" w:rsidRPr="005D0303">
        <w:t>.</w:t>
      </w:r>
    </w:p>
    <w:p w:rsidR="007F3C07" w:rsidRPr="005D0303" w:rsidRDefault="007F3C07" w:rsidP="007F3C07">
      <w:pPr>
        <w:pStyle w:val="subsection"/>
      </w:pPr>
      <w:r w:rsidRPr="005D0303">
        <w:tab/>
      </w:r>
      <w:r w:rsidRPr="005D0303">
        <w:tab/>
        <w:t>In this instrument:</w:t>
      </w:r>
    </w:p>
    <w:p w:rsidR="007F3C07" w:rsidRPr="005D0303" w:rsidRDefault="007F3C07" w:rsidP="007F3C07">
      <w:pPr>
        <w:pStyle w:val="Definition"/>
      </w:pPr>
      <w:r w:rsidRPr="005D0303">
        <w:rPr>
          <w:b/>
          <w:i/>
        </w:rPr>
        <w:t>Act</w:t>
      </w:r>
      <w:r w:rsidRPr="005D0303">
        <w:t xml:space="preserve"> means the </w:t>
      </w:r>
      <w:r w:rsidRPr="005D0303">
        <w:rPr>
          <w:i/>
        </w:rPr>
        <w:t>C</w:t>
      </w:r>
      <w:r w:rsidR="00AB1F51" w:rsidRPr="005D0303">
        <w:rPr>
          <w:i/>
        </w:rPr>
        <w:t>ommercial Broadcasting (</w:t>
      </w:r>
      <w:r w:rsidRPr="005D0303">
        <w:rPr>
          <w:i/>
        </w:rPr>
        <w:t>Tax) Act 2017</w:t>
      </w:r>
      <w:r w:rsidRPr="005D0303">
        <w:t>.</w:t>
      </w:r>
    </w:p>
    <w:p w:rsidR="0078315E" w:rsidRPr="005D0303" w:rsidRDefault="007C1C53" w:rsidP="007C1C53">
      <w:pPr>
        <w:pStyle w:val="Definition"/>
      </w:pPr>
      <w:r w:rsidRPr="005D0303">
        <w:rPr>
          <w:b/>
          <w:i/>
        </w:rPr>
        <w:t>alternative transmitter</w:t>
      </w:r>
      <w:r w:rsidRPr="005D0303">
        <w:t xml:space="preserve"> means</w:t>
      </w:r>
      <w:r w:rsidR="0078315E" w:rsidRPr="005D0303">
        <w:t xml:space="preserve"> a transmitter that:</w:t>
      </w:r>
    </w:p>
    <w:p w:rsidR="0078315E" w:rsidRPr="005D0303" w:rsidRDefault="0078315E" w:rsidP="0078315E">
      <w:pPr>
        <w:pStyle w:val="paragraph"/>
      </w:pPr>
      <w:r w:rsidRPr="005D0303">
        <w:tab/>
        <w:t>(a)</w:t>
      </w:r>
      <w:r w:rsidRPr="005D0303">
        <w:tab/>
        <w:t>is covered by a transmitter licence; and</w:t>
      </w:r>
    </w:p>
    <w:p w:rsidR="0078315E" w:rsidRPr="005D0303" w:rsidRDefault="0078315E" w:rsidP="004C7258">
      <w:pPr>
        <w:pStyle w:val="paragraph"/>
      </w:pPr>
      <w:r w:rsidRPr="005D0303">
        <w:tab/>
        <w:t>(b)</w:t>
      </w:r>
      <w:r w:rsidRPr="005D0303">
        <w:tab/>
        <w:t>under th</w:t>
      </w:r>
      <w:r w:rsidR="004C7258" w:rsidRPr="005D0303">
        <w:t>e</w:t>
      </w:r>
      <w:r w:rsidRPr="005D0303">
        <w:t xml:space="preserve"> licence, </w:t>
      </w:r>
      <w:r w:rsidR="000A5926" w:rsidRPr="005D0303">
        <w:t xml:space="preserve">is authorised to </w:t>
      </w:r>
      <w:r w:rsidR="00EA2E4D" w:rsidRPr="005D0303">
        <w:t xml:space="preserve">operate </w:t>
      </w:r>
      <w:r w:rsidR="001E46B5" w:rsidRPr="005D0303">
        <w:t>only when another transmitter</w:t>
      </w:r>
      <w:r w:rsidR="00EA2E4D" w:rsidRPr="005D0303">
        <w:t xml:space="preserve"> </w:t>
      </w:r>
      <w:r w:rsidR="00A826B3" w:rsidRPr="005D0303">
        <w:t>that</w:t>
      </w:r>
      <w:r w:rsidR="000A5926" w:rsidRPr="005D0303">
        <w:t xml:space="preserve"> is authorised </w:t>
      </w:r>
      <w:r w:rsidR="00A826B3" w:rsidRPr="005D0303">
        <w:t xml:space="preserve">under the licence </w:t>
      </w:r>
      <w:r w:rsidR="000A5926" w:rsidRPr="005D0303">
        <w:t xml:space="preserve">to </w:t>
      </w:r>
      <w:r w:rsidR="00A826B3" w:rsidRPr="005D0303">
        <w:t xml:space="preserve">operate in a specified location </w:t>
      </w:r>
      <w:r w:rsidRPr="005D0303">
        <w:t>is not in operation.</w:t>
      </w:r>
    </w:p>
    <w:p w:rsidR="00AF7F49" w:rsidRPr="005D0303" w:rsidRDefault="00AF7F49" w:rsidP="00AF7F49">
      <w:pPr>
        <w:pStyle w:val="Definition"/>
      </w:pPr>
      <w:r w:rsidRPr="005D0303">
        <w:rPr>
          <w:b/>
          <w:i/>
        </w:rPr>
        <w:lastRenderedPageBreak/>
        <w:t>band</w:t>
      </w:r>
      <w:r w:rsidRPr="005D0303">
        <w:t xml:space="preserve"> has the meaning given by subsection</w:t>
      </w:r>
      <w:r w:rsidR="005D0303" w:rsidRPr="005D0303">
        <w:t> </w:t>
      </w:r>
      <w:r w:rsidR="001B2440" w:rsidRPr="005D0303">
        <w:t>9</w:t>
      </w:r>
      <w:r w:rsidRPr="005D0303">
        <w:t>(3) of the Act.</w:t>
      </w:r>
    </w:p>
    <w:p w:rsidR="00841082" w:rsidRPr="005D0303" w:rsidRDefault="00841082" w:rsidP="003776EA">
      <w:pPr>
        <w:pStyle w:val="Definition"/>
      </w:pPr>
      <w:r w:rsidRPr="005D0303">
        <w:rPr>
          <w:b/>
          <w:i/>
        </w:rPr>
        <w:t>daily amount</w:t>
      </w:r>
      <w:r w:rsidRPr="005D0303">
        <w:t xml:space="preserve"> has the meaning given by subsection</w:t>
      </w:r>
      <w:r w:rsidR="005D0303" w:rsidRPr="005D0303">
        <w:t> </w:t>
      </w:r>
      <w:r w:rsidRPr="005D0303">
        <w:t>7(2).</w:t>
      </w:r>
    </w:p>
    <w:p w:rsidR="003776EA" w:rsidRPr="005D0303" w:rsidRDefault="003776EA" w:rsidP="003776EA">
      <w:pPr>
        <w:pStyle w:val="Definition"/>
      </w:pPr>
      <w:r w:rsidRPr="005D0303">
        <w:rPr>
          <w:b/>
          <w:i/>
        </w:rPr>
        <w:t>dollars per kH</w:t>
      </w:r>
      <w:r w:rsidR="00BE69B3" w:rsidRPr="005D0303">
        <w:rPr>
          <w:b/>
          <w:i/>
        </w:rPr>
        <w:t>z</w:t>
      </w:r>
      <w:r w:rsidRPr="005D0303">
        <w:rPr>
          <w:b/>
          <w:i/>
        </w:rPr>
        <w:t xml:space="preserve"> of spectrum bandwidth</w:t>
      </w:r>
      <w:r w:rsidRPr="005D0303">
        <w:t xml:space="preserve"> has the </w:t>
      </w:r>
      <w:r w:rsidR="005E67CD" w:rsidRPr="005D0303">
        <w:t>meaning given by subsection</w:t>
      </w:r>
      <w:r w:rsidR="003261EC" w:rsidRPr="005D0303">
        <w:t>s</w:t>
      </w:r>
      <w:r w:rsidR="005D0303" w:rsidRPr="005D0303">
        <w:t> </w:t>
      </w:r>
      <w:r w:rsidR="005E67CD" w:rsidRPr="005D0303">
        <w:t>6(</w:t>
      </w:r>
      <w:r w:rsidR="003261EC" w:rsidRPr="005D0303">
        <w:t>5</w:t>
      </w:r>
      <w:r w:rsidRPr="005D0303">
        <w:t>)</w:t>
      </w:r>
      <w:r w:rsidR="003261EC" w:rsidRPr="005D0303">
        <w:t xml:space="preserve"> and (6)</w:t>
      </w:r>
      <w:r w:rsidRPr="005D0303">
        <w:t>.</w:t>
      </w:r>
    </w:p>
    <w:p w:rsidR="000B787C" w:rsidRPr="005D0303" w:rsidRDefault="000B787C" w:rsidP="000B787C">
      <w:pPr>
        <w:pStyle w:val="Definition"/>
      </w:pPr>
      <w:r w:rsidRPr="005D0303">
        <w:rPr>
          <w:b/>
          <w:i/>
        </w:rPr>
        <w:t>maximum power</w:t>
      </w:r>
      <w:r w:rsidRPr="005D0303">
        <w:t xml:space="preserve"> has the meaning given by subsection</w:t>
      </w:r>
      <w:r w:rsidR="005D0303" w:rsidRPr="005D0303">
        <w:t> </w:t>
      </w:r>
      <w:r w:rsidRPr="005D0303">
        <w:t>9(4) of the Act.</w:t>
      </w:r>
    </w:p>
    <w:p w:rsidR="000B787C" w:rsidRPr="005D0303" w:rsidRDefault="000B787C" w:rsidP="000B787C">
      <w:pPr>
        <w:pStyle w:val="Definition"/>
      </w:pPr>
      <w:r w:rsidRPr="005D0303">
        <w:rPr>
          <w:b/>
          <w:i/>
        </w:rPr>
        <w:t>maximum power factor</w:t>
      </w:r>
      <w:r w:rsidRPr="005D0303">
        <w:t xml:space="preserve"> has the meaning given by subsection</w:t>
      </w:r>
      <w:r w:rsidR="005D0303" w:rsidRPr="005D0303">
        <w:t> </w:t>
      </w:r>
      <w:r w:rsidRPr="005D0303">
        <w:t>6(8).</w:t>
      </w:r>
    </w:p>
    <w:p w:rsidR="008204A9" w:rsidRPr="005D0303" w:rsidRDefault="008204A9" w:rsidP="008204A9">
      <w:pPr>
        <w:pStyle w:val="Definition"/>
      </w:pPr>
      <w:r w:rsidRPr="005D0303">
        <w:rPr>
          <w:b/>
          <w:i/>
        </w:rPr>
        <w:t>minimum uncapped individual transmitter amount</w:t>
      </w:r>
      <w:r w:rsidRPr="005D0303">
        <w:t xml:space="preserve"> has the meaning given by subsections</w:t>
      </w:r>
      <w:r w:rsidR="005D0303" w:rsidRPr="005D0303">
        <w:t> </w:t>
      </w:r>
      <w:r w:rsidRPr="005D0303">
        <w:t>6(3) and (4).</w:t>
      </w:r>
    </w:p>
    <w:p w:rsidR="005E67CD" w:rsidRPr="005D0303" w:rsidRDefault="005E67CD" w:rsidP="005E67CD">
      <w:pPr>
        <w:pStyle w:val="Definition"/>
      </w:pPr>
      <w:r w:rsidRPr="005D0303">
        <w:rPr>
          <w:b/>
          <w:i/>
        </w:rPr>
        <w:t>population density</w:t>
      </w:r>
      <w:r w:rsidRPr="005D0303">
        <w:t xml:space="preserve"> has the meaning given by section</w:t>
      </w:r>
      <w:r w:rsidR="005D0303" w:rsidRPr="005D0303">
        <w:t> </w:t>
      </w:r>
      <w:r w:rsidRPr="005D0303">
        <w:t>5.</w:t>
      </w:r>
    </w:p>
    <w:p w:rsidR="00EF590C" w:rsidRPr="005D0303" w:rsidRDefault="00EF590C" w:rsidP="00EF590C">
      <w:pPr>
        <w:pStyle w:val="Definition"/>
      </w:pPr>
      <w:r w:rsidRPr="005D0303">
        <w:rPr>
          <w:b/>
          <w:i/>
        </w:rPr>
        <w:t>remote</w:t>
      </w:r>
      <w:r w:rsidRPr="005D0303">
        <w:t xml:space="preserve"> has the meaning given by subsection</w:t>
      </w:r>
      <w:r w:rsidR="005D0303" w:rsidRPr="005D0303">
        <w:t> </w:t>
      </w:r>
      <w:r w:rsidRPr="005D0303">
        <w:t>5(2).</w:t>
      </w:r>
    </w:p>
    <w:p w:rsidR="007C1C53" w:rsidRPr="005D0303" w:rsidRDefault="007C1C53" w:rsidP="007C1C53">
      <w:pPr>
        <w:pStyle w:val="Definition"/>
      </w:pPr>
      <w:r w:rsidRPr="005D0303">
        <w:rPr>
          <w:b/>
          <w:i/>
        </w:rPr>
        <w:t>spectrum bandwidth</w:t>
      </w:r>
      <w:r w:rsidRPr="005D0303">
        <w:t xml:space="preserve"> has the meaning given by subsection</w:t>
      </w:r>
      <w:r w:rsidR="005D0303" w:rsidRPr="005D0303">
        <w:t> </w:t>
      </w:r>
      <w:r w:rsidRPr="005D0303">
        <w:t>6(</w:t>
      </w:r>
      <w:r w:rsidR="00E449A9" w:rsidRPr="005D0303">
        <w:t>7</w:t>
      </w:r>
      <w:r w:rsidRPr="005D0303">
        <w:t>).</w:t>
      </w:r>
    </w:p>
    <w:p w:rsidR="007C1C53" w:rsidRPr="005D0303" w:rsidRDefault="007C1C53" w:rsidP="007C1C53">
      <w:pPr>
        <w:pStyle w:val="Definition"/>
      </w:pPr>
      <w:r w:rsidRPr="005D0303">
        <w:rPr>
          <w:b/>
          <w:i/>
        </w:rPr>
        <w:t>uncapped individual transmitter amount</w:t>
      </w:r>
      <w:r w:rsidRPr="005D0303">
        <w:t xml:space="preserve"> has the meaning given by subsection</w:t>
      </w:r>
      <w:r w:rsidR="005D0303" w:rsidRPr="005D0303">
        <w:t> </w:t>
      </w:r>
      <w:r w:rsidRPr="005D0303">
        <w:t>6(2)</w:t>
      </w:r>
      <w:r w:rsidR="00E9740D" w:rsidRPr="005D0303">
        <w:t xml:space="preserve"> and section</w:t>
      </w:r>
      <w:r w:rsidR="005D0303" w:rsidRPr="005D0303">
        <w:t> </w:t>
      </w:r>
      <w:r w:rsidR="00E9740D" w:rsidRPr="005D0303">
        <w:t>7</w:t>
      </w:r>
      <w:r w:rsidRPr="005D0303">
        <w:t>.</w:t>
      </w:r>
    </w:p>
    <w:p w:rsidR="00AF7F49" w:rsidRPr="005D0303" w:rsidRDefault="00AF7F49" w:rsidP="00DA1CB0">
      <w:pPr>
        <w:pStyle w:val="ActHead5"/>
      </w:pPr>
      <w:bookmarkStart w:id="6" w:name="_Toc495652553"/>
      <w:r w:rsidRPr="005D0303">
        <w:rPr>
          <w:rStyle w:val="CharSectno"/>
        </w:rPr>
        <w:t>5</w:t>
      </w:r>
      <w:r w:rsidRPr="005D0303">
        <w:t xml:space="preserve">  </w:t>
      </w:r>
      <w:r w:rsidR="003776EA" w:rsidRPr="005D0303">
        <w:t>Population densities</w:t>
      </w:r>
      <w:bookmarkEnd w:id="6"/>
    </w:p>
    <w:p w:rsidR="000F4830" w:rsidRPr="005D0303" w:rsidRDefault="001159F7" w:rsidP="000F4830">
      <w:pPr>
        <w:pStyle w:val="subsection"/>
      </w:pPr>
      <w:r w:rsidRPr="005D0303">
        <w:tab/>
        <w:t>(1)</w:t>
      </w:r>
      <w:r w:rsidRPr="005D0303">
        <w:tab/>
        <w:t>The</w:t>
      </w:r>
      <w:r w:rsidR="000F4830" w:rsidRPr="005D0303">
        <w:t xml:space="preserve"> </w:t>
      </w:r>
      <w:r w:rsidR="005E67CD" w:rsidRPr="005D0303">
        <w:t xml:space="preserve">following table defines </w:t>
      </w:r>
      <w:r w:rsidR="000F4830" w:rsidRPr="005D0303">
        <w:t xml:space="preserve">the </w:t>
      </w:r>
      <w:r w:rsidR="000F4830" w:rsidRPr="005D0303">
        <w:rPr>
          <w:b/>
          <w:i/>
        </w:rPr>
        <w:t>population density</w:t>
      </w:r>
      <w:r w:rsidR="005E67CD" w:rsidRPr="005D0303">
        <w:t xml:space="preserve"> of a location:</w:t>
      </w:r>
    </w:p>
    <w:p w:rsidR="005E67CD" w:rsidRPr="005D0303" w:rsidRDefault="005E67CD" w:rsidP="005E67CD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691"/>
        <w:gridCol w:w="5891"/>
      </w:tblGrid>
      <w:tr w:rsidR="005E67CD" w:rsidRPr="005D0303" w:rsidTr="005D0303">
        <w:trPr>
          <w:tblHeader/>
        </w:trPr>
        <w:tc>
          <w:tcPr>
            <w:tcW w:w="829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5E67CD" w:rsidRPr="005D0303" w:rsidRDefault="005E67CD" w:rsidP="005E67CD">
            <w:pPr>
              <w:pStyle w:val="TableHeading"/>
            </w:pPr>
            <w:r w:rsidRPr="005D0303">
              <w:t>Population densities</w:t>
            </w:r>
          </w:p>
        </w:tc>
      </w:tr>
      <w:tr w:rsidR="005E67CD" w:rsidRPr="005D0303" w:rsidTr="005D0303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E67CD" w:rsidRPr="005D0303" w:rsidRDefault="005E67CD" w:rsidP="005E67CD">
            <w:pPr>
              <w:pStyle w:val="TableHeading"/>
            </w:pPr>
            <w:r w:rsidRPr="005D0303">
              <w:t>Item</w:t>
            </w:r>
          </w:p>
        </w:tc>
        <w:tc>
          <w:tcPr>
            <w:tcW w:w="169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E67CD" w:rsidRPr="005D0303" w:rsidRDefault="005E67CD" w:rsidP="005E67CD">
            <w:pPr>
              <w:pStyle w:val="TableHeading"/>
            </w:pPr>
            <w:r w:rsidRPr="005D0303">
              <w:t>Column 1</w:t>
            </w:r>
          </w:p>
          <w:p w:rsidR="005E67CD" w:rsidRPr="005D0303" w:rsidRDefault="005E67CD" w:rsidP="005E67CD">
            <w:pPr>
              <w:pStyle w:val="TableHeading"/>
            </w:pPr>
            <w:r w:rsidRPr="005D0303">
              <w:t>The population density of the location is …</w:t>
            </w:r>
          </w:p>
        </w:tc>
        <w:tc>
          <w:tcPr>
            <w:tcW w:w="589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E67CD" w:rsidRPr="005D0303" w:rsidRDefault="005E67CD" w:rsidP="005E67CD">
            <w:pPr>
              <w:pStyle w:val="TableHeading"/>
            </w:pPr>
            <w:r w:rsidRPr="005D0303">
              <w:t>Column 2</w:t>
            </w:r>
          </w:p>
          <w:p w:rsidR="005E67CD" w:rsidRPr="005D0303" w:rsidRDefault="005E67CD" w:rsidP="005E67CD">
            <w:pPr>
              <w:pStyle w:val="TableHeading"/>
            </w:pPr>
            <w:r w:rsidRPr="005D0303">
              <w:t>if …</w:t>
            </w:r>
          </w:p>
        </w:tc>
      </w:tr>
      <w:tr w:rsidR="005E67CD" w:rsidRPr="005D0303" w:rsidTr="005D0303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5E67CD" w:rsidRPr="005D0303" w:rsidRDefault="005E67CD" w:rsidP="005E67CD">
            <w:pPr>
              <w:pStyle w:val="Tabletext"/>
            </w:pPr>
            <w:r w:rsidRPr="005D0303">
              <w:t>1</w:t>
            </w:r>
          </w:p>
        </w:tc>
        <w:tc>
          <w:tcPr>
            <w:tcW w:w="1691" w:type="dxa"/>
            <w:tcBorders>
              <w:top w:val="single" w:sz="12" w:space="0" w:color="auto"/>
            </w:tcBorders>
            <w:shd w:val="clear" w:color="auto" w:fill="auto"/>
          </w:tcPr>
          <w:p w:rsidR="005E67CD" w:rsidRPr="005D0303" w:rsidRDefault="00D9653C" w:rsidP="005E67CD">
            <w:pPr>
              <w:pStyle w:val="Tabletext"/>
            </w:pPr>
            <w:r w:rsidRPr="005D0303">
              <w:t>h</w:t>
            </w:r>
            <w:r w:rsidR="005E67CD" w:rsidRPr="005D0303">
              <w:t>igh</w:t>
            </w:r>
          </w:p>
        </w:tc>
        <w:tc>
          <w:tcPr>
            <w:tcW w:w="5891" w:type="dxa"/>
            <w:tcBorders>
              <w:top w:val="single" w:sz="12" w:space="0" w:color="auto"/>
            </w:tcBorders>
            <w:shd w:val="clear" w:color="auto" w:fill="auto"/>
          </w:tcPr>
          <w:p w:rsidR="005E67CD" w:rsidRPr="005D0303" w:rsidRDefault="005E67CD" w:rsidP="001159F7">
            <w:pPr>
              <w:pStyle w:val="Tabletext"/>
            </w:pPr>
            <w:r w:rsidRPr="005D0303">
              <w:t>the location is in the Sydney area, the Melbourne area or the Brisbane area</w:t>
            </w:r>
          </w:p>
        </w:tc>
      </w:tr>
      <w:tr w:rsidR="005E67CD" w:rsidRPr="005D0303" w:rsidTr="005D0303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5E67CD" w:rsidRPr="005D0303" w:rsidRDefault="005E67CD" w:rsidP="005E67CD">
            <w:pPr>
              <w:pStyle w:val="Tabletext"/>
            </w:pPr>
            <w:r w:rsidRPr="005D0303">
              <w:t>2</w:t>
            </w:r>
          </w:p>
        </w:tc>
        <w:tc>
          <w:tcPr>
            <w:tcW w:w="1691" w:type="dxa"/>
            <w:tcBorders>
              <w:bottom w:val="single" w:sz="2" w:space="0" w:color="auto"/>
            </w:tcBorders>
            <w:shd w:val="clear" w:color="auto" w:fill="auto"/>
          </w:tcPr>
          <w:p w:rsidR="005E67CD" w:rsidRPr="005D0303" w:rsidRDefault="00D9653C" w:rsidP="005E67CD">
            <w:pPr>
              <w:pStyle w:val="Tabletext"/>
            </w:pPr>
            <w:r w:rsidRPr="005D0303">
              <w:t>m</w:t>
            </w:r>
            <w:r w:rsidR="005E67CD" w:rsidRPr="005D0303">
              <w:t>edium</w:t>
            </w:r>
          </w:p>
        </w:tc>
        <w:tc>
          <w:tcPr>
            <w:tcW w:w="5891" w:type="dxa"/>
            <w:tcBorders>
              <w:bottom w:val="single" w:sz="2" w:space="0" w:color="auto"/>
            </w:tcBorders>
            <w:shd w:val="clear" w:color="auto" w:fill="auto"/>
          </w:tcPr>
          <w:p w:rsidR="005E67CD" w:rsidRPr="005D0303" w:rsidRDefault="005E67CD" w:rsidP="005E67CD">
            <w:pPr>
              <w:pStyle w:val="Tablea"/>
            </w:pPr>
            <w:r w:rsidRPr="005D0303">
              <w:t>(a) the location is not in the Sydney area, the Melbourne area or the Brisbane area; and</w:t>
            </w:r>
          </w:p>
          <w:p w:rsidR="005E67CD" w:rsidRPr="005D0303" w:rsidRDefault="005E67CD" w:rsidP="001159F7">
            <w:pPr>
              <w:pStyle w:val="Tablea"/>
            </w:pPr>
            <w:r w:rsidRPr="005D0303">
              <w:t>(b) the location is in the Perth area, the Adelaide area or the Newcastle area</w:t>
            </w:r>
            <w:r w:rsidR="001159F7" w:rsidRPr="005D0303">
              <w:t>.</w:t>
            </w:r>
          </w:p>
        </w:tc>
      </w:tr>
      <w:tr w:rsidR="005E67CD" w:rsidRPr="005D0303" w:rsidTr="005D0303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E67CD" w:rsidRPr="005D0303" w:rsidRDefault="005E67CD" w:rsidP="005E67CD">
            <w:pPr>
              <w:pStyle w:val="Tabletext"/>
            </w:pPr>
            <w:r w:rsidRPr="005D0303">
              <w:t>3</w:t>
            </w:r>
          </w:p>
        </w:tc>
        <w:tc>
          <w:tcPr>
            <w:tcW w:w="169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E67CD" w:rsidRPr="005D0303" w:rsidRDefault="00D9653C" w:rsidP="005E67CD">
            <w:pPr>
              <w:pStyle w:val="Tabletext"/>
            </w:pPr>
            <w:r w:rsidRPr="005D0303">
              <w:t>l</w:t>
            </w:r>
            <w:r w:rsidR="005E67CD" w:rsidRPr="005D0303">
              <w:t>ow</w:t>
            </w:r>
          </w:p>
        </w:tc>
        <w:tc>
          <w:tcPr>
            <w:tcW w:w="589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E67CD" w:rsidRPr="005D0303" w:rsidRDefault="005E67CD" w:rsidP="005E67CD">
            <w:pPr>
              <w:pStyle w:val="Tablea"/>
            </w:pPr>
            <w:r w:rsidRPr="005D0303">
              <w:t>(a) the location is not in the Sydney area, the Melbourne area, the Brisbane area, the Perth area, the Adelaide area or the Newcastle area; and</w:t>
            </w:r>
          </w:p>
          <w:p w:rsidR="005E67CD" w:rsidRPr="005D0303" w:rsidRDefault="005E67CD" w:rsidP="005E67CD">
            <w:pPr>
              <w:pStyle w:val="Tablea"/>
            </w:pPr>
            <w:r w:rsidRPr="005D0303">
              <w:t>(b) the location is in the East Australia low density area, the Western Australia low density area, the Tasmania low density area or the Darwin low density area</w:t>
            </w:r>
            <w:r w:rsidR="00D9653C" w:rsidRPr="005D0303">
              <w:t>.</w:t>
            </w:r>
          </w:p>
        </w:tc>
      </w:tr>
    </w:tbl>
    <w:p w:rsidR="00EF590C" w:rsidRPr="005D0303" w:rsidRDefault="00EF590C" w:rsidP="000F4830">
      <w:pPr>
        <w:pStyle w:val="subsection"/>
      </w:pPr>
      <w:r w:rsidRPr="005D0303">
        <w:tab/>
        <w:t>(2)</w:t>
      </w:r>
      <w:r w:rsidRPr="005D0303">
        <w:tab/>
        <w:t xml:space="preserve">A location is </w:t>
      </w:r>
      <w:r w:rsidRPr="005D0303">
        <w:rPr>
          <w:b/>
          <w:i/>
        </w:rPr>
        <w:t>remote</w:t>
      </w:r>
      <w:r w:rsidRPr="005D0303">
        <w:t xml:space="preserve"> if no item of the table</w:t>
      </w:r>
      <w:r w:rsidR="009A3D94" w:rsidRPr="005D0303">
        <w:t xml:space="preserve"> in </w:t>
      </w:r>
      <w:r w:rsidR="005D0303" w:rsidRPr="005D0303">
        <w:t>subsection (</w:t>
      </w:r>
      <w:r w:rsidR="009A3D94" w:rsidRPr="005D0303">
        <w:t>1) applies to the location</w:t>
      </w:r>
      <w:r w:rsidRPr="005D0303">
        <w:t>.</w:t>
      </w:r>
    </w:p>
    <w:p w:rsidR="000F4830" w:rsidRPr="005D0303" w:rsidRDefault="000F4830" w:rsidP="000F4830">
      <w:pPr>
        <w:pStyle w:val="subsection"/>
        <w:rPr>
          <w:rFonts w:ascii="Helvetica Neue" w:hAnsi="Helvetica Neue"/>
        </w:rPr>
      </w:pPr>
      <w:r w:rsidRPr="005D0303">
        <w:tab/>
        <w:t>(</w:t>
      </w:r>
      <w:r w:rsidR="00EF590C" w:rsidRPr="005D0303">
        <w:t>3</w:t>
      </w:r>
      <w:r w:rsidRPr="005D0303">
        <w:t>)</w:t>
      </w:r>
      <w:r w:rsidRPr="005D0303">
        <w:tab/>
        <w:t xml:space="preserve">In this section, </w:t>
      </w:r>
      <w:r w:rsidRPr="005D0303">
        <w:rPr>
          <w:b/>
          <w:i/>
        </w:rPr>
        <w:t>Sydney area</w:t>
      </w:r>
      <w:r w:rsidRPr="005D0303">
        <w:t xml:space="preserve">, </w:t>
      </w:r>
      <w:r w:rsidRPr="005D0303">
        <w:rPr>
          <w:b/>
          <w:i/>
          <w:lang w:eastAsia="en-US"/>
        </w:rPr>
        <w:t>Melbourne</w:t>
      </w:r>
      <w:r w:rsidRPr="005D0303">
        <w:rPr>
          <w:b/>
          <w:i/>
        </w:rPr>
        <w:t xml:space="preserve"> area</w:t>
      </w:r>
      <w:r w:rsidRPr="005D0303">
        <w:t xml:space="preserve">, </w:t>
      </w:r>
      <w:r w:rsidRPr="005D0303">
        <w:rPr>
          <w:b/>
          <w:i/>
          <w:lang w:eastAsia="en-US"/>
        </w:rPr>
        <w:t>Brisbane</w:t>
      </w:r>
      <w:r w:rsidRPr="005D0303">
        <w:rPr>
          <w:b/>
          <w:i/>
        </w:rPr>
        <w:t xml:space="preserve"> area</w:t>
      </w:r>
      <w:r w:rsidRPr="005D0303">
        <w:t xml:space="preserve">, </w:t>
      </w:r>
      <w:r w:rsidRPr="005D0303">
        <w:rPr>
          <w:b/>
          <w:i/>
          <w:lang w:eastAsia="en-US"/>
        </w:rPr>
        <w:t>Perth</w:t>
      </w:r>
      <w:r w:rsidRPr="005D0303">
        <w:rPr>
          <w:b/>
          <w:i/>
        </w:rPr>
        <w:t xml:space="preserve"> area</w:t>
      </w:r>
      <w:r w:rsidRPr="005D0303">
        <w:t xml:space="preserve">, </w:t>
      </w:r>
      <w:r w:rsidRPr="005D0303">
        <w:rPr>
          <w:b/>
          <w:i/>
          <w:lang w:eastAsia="en-US"/>
        </w:rPr>
        <w:t>Adelaide</w:t>
      </w:r>
      <w:r w:rsidRPr="005D0303">
        <w:rPr>
          <w:b/>
          <w:i/>
        </w:rPr>
        <w:t xml:space="preserve"> area</w:t>
      </w:r>
      <w:r w:rsidRPr="005D0303">
        <w:t xml:space="preserve">, </w:t>
      </w:r>
      <w:r w:rsidRPr="005D0303">
        <w:rPr>
          <w:b/>
          <w:i/>
          <w:lang w:eastAsia="en-US"/>
        </w:rPr>
        <w:t>Newcastle</w:t>
      </w:r>
      <w:r w:rsidRPr="005D0303">
        <w:rPr>
          <w:b/>
          <w:i/>
        </w:rPr>
        <w:t xml:space="preserve"> area</w:t>
      </w:r>
      <w:r w:rsidRPr="005D0303">
        <w:t xml:space="preserve">, </w:t>
      </w:r>
      <w:r w:rsidRPr="005D0303">
        <w:rPr>
          <w:b/>
          <w:i/>
          <w:lang w:eastAsia="en-US"/>
        </w:rPr>
        <w:t>East Australia low density</w:t>
      </w:r>
      <w:r w:rsidRPr="005D0303">
        <w:rPr>
          <w:b/>
          <w:i/>
        </w:rPr>
        <w:t xml:space="preserve"> area</w:t>
      </w:r>
      <w:r w:rsidRPr="005D0303">
        <w:t xml:space="preserve">, </w:t>
      </w:r>
      <w:r w:rsidRPr="005D0303">
        <w:rPr>
          <w:b/>
          <w:i/>
          <w:lang w:eastAsia="en-US"/>
        </w:rPr>
        <w:t>Western Australia low density</w:t>
      </w:r>
      <w:r w:rsidRPr="005D0303">
        <w:rPr>
          <w:b/>
          <w:i/>
        </w:rPr>
        <w:t xml:space="preserve"> area</w:t>
      </w:r>
      <w:r w:rsidRPr="005D0303">
        <w:t xml:space="preserve">, </w:t>
      </w:r>
      <w:r w:rsidRPr="005D0303">
        <w:rPr>
          <w:b/>
          <w:i/>
          <w:lang w:eastAsia="en-US"/>
        </w:rPr>
        <w:t>Tasmania low density</w:t>
      </w:r>
      <w:r w:rsidRPr="005D0303">
        <w:rPr>
          <w:b/>
          <w:i/>
        </w:rPr>
        <w:t xml:space="preserve"> area</w:t>
      </w:r>
      <w:r w:rsidR="00D9653C" w:rsidRPr="005D0303">
        <w:t xml:space="preserve"> and</w:t>
      </w:r>
      <w:r w:rsidRPr="005D0303">
        <w:t xml:space="preserve"> </w:t>
      </w:r>
      <w:r w:rsidRPr="005D0303">
        <w:rPr>
          <w:b/>
          <w:i/>
          <w:lang w:eastAsia="en-US"/>
        </w:rPr>
        <w:t>Darwin low density</w:t>
      </w:r>
      <w:r w:rsidRPr="005D0303">
        <w:rPr>
          <w:b/>
          <w:i/>
        </w:rPr>
        <w:t xml:space="preserve"> area</w:t>
      </w:r>
      <w:r w:rsidRPr="005D0303">
        <w:t xml:space="preserve"> have the meanings given by P</w:t>
      </w:r>
      <w:r w:rsidR="00031A7D" w:rsidRPr="005D0303">
        <w:t>art</w:t>
      </w:r>
      <w:r w:rsidR="005D0303" w:rsidRPr="005D0303">
        <w:t> </w:t>
      </w:r>
      <w:r w:rsidR="00031A7D" w:rsidRPr="005D0303">
        <w:t>1 of Schedule</w:t>
      </w:r>
      <w:r w:rsidR="005D0303" w:rsidRPr="005D0303">
        <w:t> </w:t>
      </w:r>
      <w:r w:rsidR="00031A7D" w:rsidRPr="005D0303">
        <w:t xml:space="preserve">1 to the </w:t>
      </w:r>
      <w:proofErr w:type="spellStart"/>
      <w:r w:rsidR="00031A7D" w:rsidRPr="005D0303">
        <w:rPr>
          <w:rFonts w:ascii="Helvetica Neue" w:hAnsi="Helvetica Neue"/>
          <w:i/>
        </w:rPr>
        <w:lastRenderedPageBreak/>
        <w:t>Radiocommunications</w:t>
      </w:r>
      <w:proofErr w:type="spellEnd"/>
      <w:r w:rsidR="00031A7D" w:rsidRPr="005D0303">
        <w:rPr>
          <w:rFonts w:ascii="Helvetica Neue" w:hAnsi="Helvetica Neue"/>
          <w:i/>
        </w:rPr>
        <w:t xml:space="preserve"> (Transmitter Licence Tax) Determination</w:t>
      </w:r>
      <w:r w:rsidR="005D0303" w:rsidRPr="005D0303">
        <w:rPr>
          <w:rFonts w:ascii="Helvetica Neue" w:hAnsi="Helvetica Neue" w:hint="eastAsia"/>
          <w:i/>
        </w:rPr>
        <w:t> </w:t>
      </w:r>
      <w:r w:rsidR="00031A7D" w:rsidRPr="005D0303">
        <w:rPr>
          <w:rFonts w:ascii="Helvetica Neue" w:hAnsi="Helvetica Neue"/>
          <w:i/>
        </w:rPr>
        <w:t>2015</w:t>
      </w:r>
      <w:r w:rsidR="00D83EFD" w:rsidRPr="005D0303">
        <w:rPr>
          <w:rFonts w:ascii="Helvetica Neue" w:hAnsi="Helvetica Neue"/>
        </w:rPr>
        <w:t>, as in force on 1</w:t>
      </w:r>
      <w:r w:rsidR="005D0303" w:rsidRPr="005D0303">
        <w:rPr>
          <w:rFonts w:ascii="Helvetica Neue" w:hAnsi="Helvetica Neue" w:hint="eastAsia"/>
        </w:rPr>
        <w:t> </w:t>
      </w:r>
      <w:r w:rsidR="00D83EFD" w:rsidRPr="005D0303">
        <w:rPr>
          <w:rFonts w:ascii="Helvetica Neue" w:hAnsi="Helvetica Neue"/>
        </w:rPr>
        <w:t>July 2017</w:t>
      </w:r>
      <w:r w:rsidRPr="005D0303">
        <w:rPr>
          <w:rFonts w:ascii="Helvetica Neue" w:hAnsi="Helvetica Neue"/>
        </w:rPr>
        <w:t>.</w:t>
      </w:r>
    </w:p>
    <w:p w:rsidR="00E449A9" w:rsidRPr="005D0303" w:rsidRDefault="00E449A9" w:rsidP="00340C56">
      <w:pPr>
        <w:pStyle w:val="ActHead2"/>
        <w:pageBreakBefore/>
      </w:pPr>
      <w:bookmarkStart w:id="7" w:name="_Toc495652554"/>
      <w:r w:rsidRPr="005D0303">
        <w:rPr>
          <w:rStyle w:val="CharPartNo"/>
        </w:rPr>
        <w:lastRenderedPageBreak/>
        <w:t>Part</w:t>
      </w:r>
      <w:r w:rsidR="005D0303" w:rsidRPr="005D0303">
        <w:rPr>
          <w:rStyle w:val="CharPartNo"/>
        </w:rPr>
        <w:t> </w:t>
      </w:r>
      <w:r w:rsidRPr="005D0303">
        <w:rPr>
          <w:rStyle w:val="CharPartNo"/>
        </w:rPr>
        <w:t>2</w:t>
      </w:r>
      <w:r w:rsidRPr="005D0303">
        <w:t>—</w:t>
      </w:r>
      <w:r w:rsidRPr="005D0303">
        <w:rPr>
          <w:rStyle w:val="CharPartText"/>
        </w:rPr>
        <w:t>Individual transmitter amounts</w:t>
      </w:r>
      <w:bookmarkEnd w:id="7"/>
    </w:p>
    <w:p w:rsidR="00E449A9" w:rsidRPr="005D0303" w:rsidRDefault="00E449A9" w:rsidP="00E449A9">
      <w:pPr>
        <w:pStyle w:val="Header"/>
      </w:pPr>
      <w:r w:rsidRPr="005D0303">
        <w:rPr>
          <w:rStyle w:val="CharDivNo"/>
        </w:rPr>
        <w:t xml:space="preserve"> </w:t>
      </w:r>
      <w:r w:rsidRPr="005D0303">
        <w:rPr>
          <w:rStyle w:val="CharDivText"/>
        </w:rPr>
        <w:t xml:space="preserve"> </w:t>
      </w:r>
    </w:p>
    <w:p w:rsidR="007F3C07" w:rsidRPr="005D0303" w:rsidRDefault="00387F7A" w:rsidP="00E449A9">
      <w:pPr>
        <w:pStyle w:val="ActHead5"/>
      </w:pPr>
      <w:bookmarkStart w:id="8" w:name="_Toc495652555"/>
      <w:r w:rsidRPr="005D0303">
        <w:rPr>
          <w:rStyle w:val="CharSectno"/>
        </w:rPr>
        <w:t>6</w:t>
      </w:r>
      <w:r w:rsidR="007F3C07" w:rsidRPr="005D0303">
        <w:t xml:space="preserve">  </w:t>
      </w:r>
      <w:r w:rsidR="00FC7D11" w:rsidRPr="005D0303">
        <w:t>Individual transmitter amount</w:t>
      </w:r>
      <w:r w:rsidR="007C1C53" w:rsidRPr="005D0303">
        <w:t>s</w:t>
      </w:r>
      <w:bookmarkEnd w:id="8"/>
    </w:p>
    <w:p w:rsidR="007F3C07" w:rsidRPr="005D0303" w:rsidRDefault="007F3C07" w:rsidP="007F3C07">
      <w:pPr>
        <w:pStyle w:val="subsection"/>
      </w:pPr>
      <w:r w:rsidRPr="005D0303">
        <w:tab/>
      </w:r>
      <w:r w:rsidR="00FC7D11" w:rsidRPr="005D0303">
        <w:t>(1)</w:t>
      </w:r>
      <w:r w:rsidRPr="005D0303">
        <w:tab/>
      </w:r>
      <w:r w:rsidR="003776EA" w:rsidRPr="005D0303">
        <w:t xml:space="preserve">For the purposes of </w:t>
      </w:r>
      <w:r w:rsidR="001B2440" w:rsidRPr="005D0303">
        <w:t>paragraph</w:t>
      </w:r>
      <w:r w:rsidR="005D0303" w:rsidRPr="005D0303">
        <w:t> </w:t>
      </w:r>
      <w:r w:rsidR="001B2440" w:rsidRPr="005D0303">
        <w:t>8(1)(a)</w:t>
      </w:r>
      <w:r w:rsidRPr="005D0303">
        <w:t xml:space="preserve"> of the Act, the </w:t>
      </w:r>
      <w:r w:rsidRPr="005D0303">
        <w:rPr>
          <w:b/>
          <w:i/>
        </w:rPr>
        <w:t>individual transmitter amount</w:t>
      </w:r>
      <w:r w:rsidRPr="005D0303">
        <w:t xml:space="preserve"> for a transmitter covered by a transmitter licence at a particular time</w:t>
      </w:r>
      <w:r w:rsidR="00DC7133" w:rsidRPr="005D0303">
        <w:t xml:space="preserve"> in</w:t>
      </w:r>
      <w:r w:rsidRPr="005D0303">
        <w:t xml:space="preserve"> a financial year is the le</w:t>
      </w:r>
      <w:r w:rsidR="008204E7" w:rsidRPr="005D0303">
        <w:t>sser of</w:t>
      </w:r>
      <w:r w:rsidRPr="005D0303">
        <w:t>:</w:t>
      </w:r>
    </w:p>
    <w:p w:rsidR="00FC7D11" w:rsidRPr="005D0303" w:rsidRDefault="00FC7D11" w:rsidP="00FC7D11">
      <w:pPr>
        <w:pStyle w:val="paragraph"/>
      </w:pPr>
      <w:r w:rsidRPr="005D0303">
        <w:tab/>
        <w:t>(a)</w:t>
      </w:r>
      <w:r w:rsidRPr="005D0303">
        <w:tab/>
        <w:t>the individual transmitter amount cap for the transmi</w:t>
      </w:r>
      <w:r w:rsidR="00387F7A" w:rsidRPr="005D0303">
        <w:t>tter for the financial year;</w:t>
      </w:r>
      <w:r w:rsidR="008204E7" w:rsidRPr="005D0303">
        <w:t xml:space="preserve"> and</w:t>
      </w:r>
    </w:p>
    <w:p w:rsidR="00DC7133" w:rsidRPr="005D0303" w:rsidRDefault="00316AC0" w:rsidP="00DC7133">
      <w:pPr>
        <w:pStyle w:val="paragraph"/>
      </w:pPr>
      <w:r w:rsidRPr="005D0303">
        <w:tab/>
        <w:t>(b)</w:t>
      </w:r>
      <w:r w:rsidRPr="005D0303">
        <w:tab/>
        <w:t xml:space="preserve">the </w:t>
      </w:r>
      <w:r w:rsidR="00DC7133" w:rsidRPr="005D0303">
        <w:t>uncapped individual transmitter amount for the transmitter at that particular time.</w:t>
      </w:r>
    </w:p>
    <w:p w:rsidR="00E449A9" w:rsidRPr="005D0303" w:rsidRDefault="00E449A9" w:rsidP="00E449A9">
      <w:pPr>
        <w:pStyle w:val="SubsectionHead"/>
      </w:pPr>
      <w:r w:rsidRPr="005D0303">
        <w:t>Uncapped individual transmitter amount</w:t>
      </w:r>
    </w:p>
    <w:p w:rsidR="008204E7" w:rsidRPr="005D0303" w:rsidRDefault="00EE0245" w:rsidP="00DC7133">
      <w:pPr>
        <w:pStyle w:val="subsection"/>
      </w:pPr>
      <w:r w:rsidRPr="005D0303">
        <w:tab/>
        <w:t>(2)</w:t>
      </w:r>
      <w:r w:rsidRPr="005D0303">
        <w:tab/>
        <w:t xml:space="preserve">The </w:t>
      </w:r>
      <w:r w:rsidRPr="005D0303">
        <w:rPr>
          <w:b/>
          <w:i/>
        </w:rPr>
        <w:t>uncapped individual transmitter amount</w:t>
      </w:r>
      <w:r w:rsidRPr="005D0303">
        <w:t xml:space="preserve"> for </w:t>
      </w:r>
      <w:r w:rsidR="00DB44A4" w:rsidRPr="005D0303">
        <w:t>a</w:t>
      </w:r>
      <w:r w:rsidRPr="005D0303">
        <w:t xml:space="preserve"> transmitter</w:t>
      </w:r>
      <w:r w:rsidR="00DB44A4" w:rsidRPr="005D0303">
        <w:t xml:space="preserve"> at a particular time in a financial year</w:t>
      </w:r>
      <w:r w:rsidR="00316AC0" w:rsidRPr="005D0303">
        <w:t xml:space="preserve"> </w:t>
      </w:r>
      <w:r w:rsidRPr="005D0303">
        <w:t>is</w:t>
      </w:r>
      <w:r w:rsidR="00560DE7" w:rsidRPr="005D0303">
        <w:t>, subject to section</w:t>
      </w:r>
      <w:r w:rsidR="005D0303" w:rsidRPr="005D0303">
        <w:t> </w:t>
      </w:r>
      <w:r w:rsidR="00560DE7" w:rsidRPr="005D0303">
        <w:t>7 of this instrument</w:t>
      </w:r>
      <w:r w:rsidR="00B33939" w:rsidRPr="005D0303">
        <w:t>, the following amount, rounded to the nearest dollar (with 50 cents rounded up)</w:t>
      </w:r>
      <w:r w:rsidR="0091763B" w:rsidRPr="005D0303">
        <w:t>:</w:t>
      </w:r>
    </w:p>
    <w:p w:rsidR="000A5926" w:rsidRPr="005D0303" w:rsidRDefault="008204E7" w:rsidP="00EE0245">
      <w:pPr>
        <w:pStyle w:val="paragraph"/>
      </w:pPr>
      <w:r w:rsidRPr="005D0303">
        <w:tab/>
        <w:t>(</w:t>
      </w:r>
      <w:r w:rsidR="00EE0245" w:rsidRPr="005D0303">
        <w:t>a</w:t>
      </w:r>
      <w:r w:rsidRPr="005D0303">
        <w:t>)</w:t>
      </w:r>
      <w:r w:rsidRPr="005D0303">
        <w:tab/>
        <w:t>if</w:t>
      </w:r>
      <w:r w:rsidR="000A5926" w:rsidRPr="005D0303">
        <w:t>:</w:t>
      </w:r>
    </w:p>
    <w:p w:rsidR="000A5926" w:rsidRPr="005D0303" w:rsidRDefault="000A5926" w:rsidP="000A5926">
      <w:pPr>
        <w:pStyle w:val="paragraphsub"/>
      </w:pPr>
      <w:r w:rsidRPr="005D0303">
        <w:tab/>
        <w:t>(</w:t>
      </w:r>
      <w:proofErr w:type="spellStart"/>
      <w:r w:rsidRPr="005D0303">
        <w:t>i</w:t>
      </w:r>
      <w:proofErr w:type="spellEnd"/>
      <w:r w:rsidRPr="005D0303">
        <w:t>)</w:t>
      </w:r>
      <w:r w:rsidRPr="005D0303">
        <w:tab/>
        <w:t xml:space="preserve">under the transmitter licence, </w:t>
      </w:r>
      <w:r w:rsidR="008204E7" w:rsidRPr="005D0303">
        <w:t xml:space="preserve">the </w:t>
      </w:r>
      <w:r w:rsidR="00EF590C" w:rsidRPr="005D0303">
        <w:t>transmitter</w:t>
      </w:r>
      <w:r w:rsidRPr="005D0303">
        <w:t xml:space="preserve"> is authorised to operate </w:t>
      </w:r>
      <w:r w:rsidR="002C4EA4" w:rsidRPr="005D0303">
        <w:t>at</w:t>
      </w:r>
      <w:r w:rsidRPr="005D0303">
        <w:t xml:space="preserve"> a remote location; or</w:t>
      </w:r>
    </w:p>
    <w:p w:rsidR="000A5926" w:rsidRPr="005D0303" w:rsidRDefault="000A5926" w:rsidP="000A5926">
      <w:pPr>
        <w:pStyle w:val="paragraphsub"/>
      </w:pPr>
      <w:r w:rsidRPr="005D0303">
        <w:tab/>
        <w:t>(ii)</w:t>
      </w:r>
      <w:r w:rsidRPr="005D0303">
        <w:tab/>
      </w:r>
      <w:r w:rsidR="008204E7" w:rsidRPr="005D0303">
        <w:t>the transmitter is an alternative transmitter</w:t>
      </w:r>
      <w:r w:rsidRPr="005D0303">
        <w:t>;</w:t>
      </w:r>
    </w:p>
    <w:p w:rsidR="008204E7" w:rsidRPr="005D0303" w:rsidRDefault="000A5926" w:rsidP="000A5926">
      <w:pPr>
        <w:pStyle w:val="paragraph"/>
      </w:pPr>
      <w:r w:rsidRPr="005D0303">
        <w:tab/>
      </w:r>
      <w:r w:rsidRPr="005D0303">
        <w:tab/>
      </w:r>
      <w:r w:rsidR="00B33939" w:rsidRPr="005D0303">
        <w:t>the minimum uncapped individual transmitter amount for the financial year</w:t>
      </w:r>
      <w:r w:rsidR="008204E7" w:rsidRPr="005D0303">
        <w:t>;</w:t>
      </w:r>
    </w:p>
    <w:p w:rsidR="009D34C9" w:rsidRPr="005D0303" w:rsidRDefault="00EE0245" w:rsidP="00EE0245">
      <w:pPr>
        <w:pStyle w:val="paragraph"/>
      </w:pPr>
      <w:r w:rsidRPr="005D0303">
        <w:tab/>
        <w:t>(b</w:t>
      </w:r>
      <w:r w:rsidR="008204E7" w:rsidRPr="005D0303">
        <w:t>)</w:t>
      </w:r>
      <w:r w:rsidR="008204E7" w:rsidRPr="005D0303">
        <w:tab/>
        <w:t>otherwise—</w:t>
      </w:r>
      <w:r w:rsidR="009D34C9" w:rsidRPr="005D0303">
        <w:t xml:space="preserve">the </w:t>
      </w:r>
      <w:r w:rsidR="00B33939" w:rsidRPr="005D0303">
        <w:t>greater</w:t>
      </w:r>
      <w:r w:rsidR="009D34C9" w:rsidRPr="005D0303">
        <w:t xml:space="preserve"> of:</w:t>
      </w:r>
    </w:p>
    <w:p w:rsidR="009D34C9" w:rsidRPr="005D0303" w:rsidRDefault="009D34C9" w:rsidP="009D34C9">
      <w:pPr>
        <w:pStyle w:val="paragraphsub"/>
      </w:pPr>
      <w:r w:rsidRPr="005D0303">
        <w:tab/>
        <w:t>(</w:t>
      </w:r>
      <w:proofErr w:type="spellStart"/>
      <w:r w:rsidRPr="005D0303">
        <w:t>i</w:t>
      </w:r>
      <w:proofErr w:type="spellEnd"/>
      <w:r w:rsidRPr="005D0303">
        <w:t>)</w:t>
      </w:r>
      <w:r w:rsidRPr="005D0303">
        <w:tab/>
      </w:r>
      <w:r w:rsidR="00B33939" w:rsidRPr="005D0303">
        <w:t>the minimum uncapped individual transmitter amount for the financial year</w:t>
      </w:r>
      <w:r w:rsidRPr="005D0303">
        <w:t>; and</w:t>
      </w:r>
    </w:p>
    <w:p w:rsidR="008204E7" w:rsidRPr="005D0303" w:rsidRDefault="009D34C9" w:rsidP="009D34C9">
      <w:pPr>
        <w:pStyle w:val="paragraphsub"/>
      </w:pPr>
      <w:r w:rsidRPr="005D0303">
        <w:tab/>
        <w:t>(ii)</w:t>
      </w:r>
      <w:r w:rsidRPr="005D0303">
        <w:tab/>
      </w:r>
      <w:r w:rsidR="008204E7" w:rsidRPr="005D0303">
        <w:t>the amount worked out using the following formula:</w:t>
      </w:r>
    </w:p>
    <w:p w:rsidR="00FC7D11" w:rsidRPr="005D0303" w:rsidRDefault="00FC7D11" w:rsidP="009D34C9">
      <w:pPr>
        <w:pStyle w:val="paragraphsub"/>
      </w:pPr>
      <w:r w:rsidRPr="005D0303">
        <w:tab/>
      </w:r>
      <w:r w:rsidRPr="005D0303">
        <w:tab/>
      </w:r>
      <w:r w:rsidR="00BE69B3" w:rsidRPr="005D0303">
        <w:rPr>
          <w:position w:val="-40"/>
        </w:rPr>
        <w:object w:dxaOrig="6060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3.75pt;height:51pt" o:ole="">
            <v:imagedata r:id="rId21" o:title=""/>
          </v:shape>
          <o:OLEObject Type="Embed" ProgID="Equation.DSMT4" ShapeID="_x0000_i1025" DrawAspect="Content" ObjectID="_1569832973" r:id="rId22"/>
        </w:object>
      </w:r>
    </w:p>
    <w:p w:rsidR="00B33939" w:rsidRPr="005D0303" w:rsidRDefault="00B33939" w:rsidP="00B33939">
      <w:pPr>
        <w:pStyle w:val="SubsectionHead"/>
      </w:pPr>
      <w:r w:rsidRPr="005D0303">
        <w:t>Minimum uncapped individual transmitter amount</w:t>
      </w:r>
    </w:p>
    <w:p w:rsidR="00B33939" w:rsidRPr="005D0303" w:rsidRDefault="00B33939" w:rsidP="00B33939">
      <w:pPr>
        <w:pStyle w:val="subsection"/>
      </w:pPr>
      <w:r w:rsidRPr="005D0303">
        <w:tab/>
        <w:t>(3)</w:t>
      </w:r>
      <w:r w:rsidRPr="005D0303">
        <w:tab/>
        <w:t xml:space="preserve">The </w:t>
      </w:r>
      <w:r w:rsidRPr="005D0303">
        <w:rPr>
          <w:b/>
          <w:i/>
        </w:rPr>
        <w:t>minimum uncapped individual transmitter amount</w:t>
      </w:r>
      <w:r w:rsidRPr="005D0303">
        <w:t xml:space="preserve"> for the financial year beginning on 1</w:t>
      </w:r>
      <w:r w:rsidR="005D0303" w:rsidRPr="005D0303">
        <w:t> </w:t>
      </w:r>
      <w:r w:rsidRPr="005D0303">
        <w:t>July 2017 is $39.57.</w:t>
      </w:r>
    </w:p>
    <w:p w:rsidR="00B33939" w:rsidRPr="005D0303" w:rsidRDefault="00B33939" w:rsidP="00B33939">
      <w:pPr>
        <w:pStyle w:val="subsection"/>
      </w:pPr>
      <w:r w:rsidRPr="005D0303">
        <w:tab/>
        <w:t>(4)</w:t>
      </w:r>
      <w:r w:rsidRPr="005D0303">
        <w:tab/>
        <w:t xml:space="preserve">The </w:t>
      </w:r>
      <w:r w:rsidRPr="005D0303">
        <w:rPr>
          <w:b/>
          <w:i/>
        </w:rPr>
        <w:t>minimum uncapped individual transmitter amount</w:t>
      </w:r>
      <w:r w:rsidRPr="005D0303">
        <w:t xml:space="preserve"> for:</w:t>
      </w:r>
    </w:p>
    <w:p w:rsidR="00B33939" w:rsidRPr="005D0303" w:rsidRDefault="00B33939" w:rsidP="00B33939">
      <w:pPr>
        <w:pStyle w:val="paragraph"/>
      </w:pPr>
      <w:r w:rsidRPr="005D0303">
        <w:tab/>
        <w:t>(a)</w:t>
      </w:r>
      <w:r w:rsidRPr="005D0303">
        <w:tab/>
        <w:t>the financial year beginning on 1</w:t>
      </w:r>
      <w:r w:rsidR="005D0303" w:rsidRPr="005D0303">
        <w:t> </w:t>
      </w:r>
      <w:r w:rsidRPr="005D0303">
        <w:t>July 2018; or</w:t>
      </w:r>
    </w:p>
    <w:p w:rsidR="00B33939" w:rsidRPr="005D0303" w:rsidRDefault="00B33939" w:rsidP="00B33939">
      <w:pPr>
        <w:pStyle w:val="paragraph"/>
      </w:pPr>
      <w:r w:rsidRPr="005D0303">
        <w:tab/>
        <w:t>(b)</w:t>
      </w:r>
      <w:r w:rsidRPr="005D0303">
        <w:tab/>
        <w:t>a later financial year;</w:t>
      </w:r>
    </w:p>
    <w:p w:rsidR="00B33939" w:rsidRPr="005D0303" w:rsidRDefault="00B33939" w:rsidP="00B33939">
      <w:pPr>
        <w:pStyle w:val="subsection2"/>
      </w:pPr>
      <w:r w:rsidRPr="005D0303">
        <w:t>is the amount worked out using the following formula:</w:t>
      </w:r>
    </w:p>
    <w:p w:rsidR="00B33939" w:rsidRPr="005D0303" w:rsidRDefault="004E08F7" w:rsidP="00B33939">
      <w:pPr>
        <w:pStyle w:val="subsection2"/>
      </w:pPr>
      <w:r w:rsidRPr="005D0303">
        <w:rPr>
          <w:position w:val="-10"/>
        </w:rPr>
        <w:object w:dxaOrig="6500" w:dyaOrig="420">
          <v:shape id="_x0000_i1026" type="#_x0000_t75" style="width:325.5pt;height:21.75pt" o:ole="">
            <v:imagedata r:id="rId23" o:title=""/>
          </v:shape>
          <o:OLEObject Type="Embed" ProgID="Equation.DSMT4" ShapeID="_x0000_i1026" DrawAspect="Content" ObjectID="_1569832974" r:id="rId24"/>
        </w:object>
      </w:r>
    </w:p>
    <w:p w:rsidR="00B33939" w:rsidRPr="005D0303" w:rsidRDefault="00B33939" w:rsidP="00B33939">
      <w:pPr>
        <w:pStyle w:val="subsection2"/>
      </w:pPr>
      <w:r w:rsidRPr="005D0303">
        <w:t>where:</w:t>
      </w:r>
    </w:p>
    <w:p w:rsidR="00B33939" w:rsidRPr="005D0303" w:rsidRDefault="00B33939" w:rsidP="00B33939">
      <w:pPr>
        <w:pStyle w:val="Definition"/>
      </w:pPr>
      <w:r w:rsidRPr="005D0303">
        <w:rPr>
          <w:b/>
          <w:i/>
        </w:rPr>
        <w:t xml:space="preserve">indexation factor </w:t>
      </w:r>
      <w:r w:rsidRPr="005D0303">
        <w:t>means the indexation factor for the financial year.</w:t>
      </w:r>
    </w:p>
    <w:p w:rsidR="00B33939" w:rsidRPr="005D0303" w:rsidRDefault="00B33939" w:rsidP="00B33939">
      <w:pPr>
        <w:pStyle w:val="Definition"/>
      </w:pPr>
      <w:r w:rsidRPr="005D0303">
        <w:rPr>
          <w:b/>
          <w:i/>
        </w:rPr>
        <w:lastRenderedPageBreak/>
        <w:t xml:space="preserve">previous minimum uncapped individual transmitter amount </w:t>
      </w:r>
      <w:r w:rsidRPr="005D0303">
        <w:t>means the minimum uncapped individual transmitter amount for the previous financial year.</w:t>
      </w:r>
    </w:p>
    <w:p w:rsidR="00B33939" w:rsidRPr="005D0303" w:rsidRDefault="00B33939" w:rsidP="00B33939">
      <w:pPr>
        <w:pStyle w:val="SubsectionHead"/>
      </w:pPr>
      <w:r w:rsidRPr="005D0303">
        <w:t>Dollars per kH</w:t>
      </w:r>
      <w:r w:rsidR="00BE69B3" w:rsidRPr="005D0303">
        <w:t>z</w:t>
      </w:r>
      <w:r w:rsidRPr="005D0303">
        <w:t xml:space="preserve"> of spectrum bandwidth</w:t>
      </w:r>
    </w:p>
    <w:p w:rsidR="00AF7F49" w:rsidRPr="005D0303" w:rsidRDefault="003261EC" w:rsidP="000F4830">
      <w:pPr>
        <w:pStyle w:val="subsection"/>
      </w:pPr>
      <w:r w:rsidRPr="005D0303">
        <w:tab/>
        <w:t>(5</w:t>
      </w:r>
      <w:r w:rsidR="00FC7D11" w:rsidRPr="005D0303">
        <w:t>)</w:t>
      </w:r>
      <w:r w:rsidR="00FC7D11" w:rsidRPr="005D0303">
        <w:tab/>
        <w:t xml:space="preserve">The </w:t>
      </w:r>
      <w:r w:rsidR="00387F7A" w:rsidRPr="005D0303">
        <w:rPr>
          <w:b/>
          <w:i/>
        </w:rPr>
        <w:t>dollars per kH</w:t>
      </w:r>
      <w:r w:rsidR="00BE69B3" w:rsidRPr="005D0303">
        <w:rPr>
          <w:b/>
          <w:i/>
        </w:rPr>
        <w:t>z</w:t>
      </w:r>
      <w:r w:rsidR="00387F7A" w:rsidRPr="005D0303">
        <w:rPr>
          <w:b/>
          <w:i/>
        </w:rPr>
        <w:t xml:space="preserve"> of spectrum bandwidth</w:t>
      </w:r>
      <w:r w:rsidR="00AF7F49" w:rsidRPr="005D0303">
        <w:t xml:space="preserve"> for </w:t>
      </w:r>
      <w:r w:rsidR="00387F7A" w:rsidRPr="005D0303">
        <w:t>a</w:t>
      </w:r>
      <w:r w:rsidR="000F4830" w:rsidRPr="005D0303">
        <w:t xml:space="preserve"> transmitter</w:t>
      </w:r>
      <w:r w:rsidR="00B33939" w:rsidRPr="005D0303">
        <w:t xml:space="preserve"> for the financial year beginning on 1</w:t>
      </w:r>
      <w:r w:rsidR="005D0303" w:rsidRPr="005D0303">
        <w:t> </w:t>
      </w:r>
      <w:r w:rsidR="00B33939" w:rsidRPr="005D0303">
        <w:t>July 2017</w:t>
      </w:r>
      <w:r w:rsidR="000F4830" w:rsidRPr="005D0303">
        <w:t xml:space="preserve"> is</w:t>
      </w:r>
      <w:r w:rsidR="00387F7A" w:rsidRPr="005D0303">
        <w:t xml:space="preserve"> the amount per kH</w:t>
      </w:r>
      <w:r w:rsidR="00BE69B3" w:rsidRPr="005D0303">
        <w:t>z</w:t>
      </w:r>
      <w:r w:rsidR="00387F7A" w:rsidRPr="005D0303">
        <w:t xml:space="preserve"> </w:t>
      </w:r>
      <w:r w:rsidR="000F4830" w:rsidRPr="005D0303">
        <w:t>worked out using the following table:</w:t>
      </w:r>
    </w:p>
    <w:p w:rsidR="00FC7D11" w:rsidRPr="005D0303" w:rsidRDefault="00FC7D11" w:rsidP="00FC7D11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520"/>
        <w:gridCol w:w="1520"/>
        <w:gridCol w:w="1520"/>
        <w:gridCol w:w="1520"/>
        <w:gridCol w:w="1520"/>
      </w:tblGrid>
      <w:tr w:rsidR="00FC7D11" w:rsidRPr="005D0303" w:rsidTr="002D43CE">
        <w:trPr>
          <w:tblHeader/>
        </w:trPr>
        <w:tc>
          <w:tcPr>
            <w:tcW w:w="8314" w:type="dxa"/>
            <w:gridSpan w:val="6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FC7D11" w:rsidRPr="005D0303" w:rsidRDefault="00FC7D11" w:rsidP="00BE69B3">
            <w:pPr>
              <w:pStyle w:val="TableHeading"/>
            </w:pPr>
            <w:r w:rsidRPr="005D0303">
              <w:t>Dollar</w:t>
            </w:r>
            <w:r w:rsidR="00387F7A" w:rsidRPr="005D0303">
              <w:t>s</w:t>
            </w:r>
            <w:r w:rsidRPr="005D0303">
              <w:t xml:space="preserve"> per </w:t>
            </w:r>
            <w:r w:rsidR="00387F7A" w:rsidRPr="005D0303">
              <w:t>kH</w:t>
            </w:r>
            <w:r w:rsidR="00BE69B3" w:rsidRPr="005D0303">
              <w:t>z</w:t>
            </w:r>
            <w:r w:rsidR="00387F7A" w:rsidRPr="005D0303">
              <w:t xml:space="preserve"> of spectrum bandwidth</w:t>
            </w:r>
            <w:r w:rsidR="004E08F7" w:rsidRPr="005D0303">
              <w:t>—financial year beginning on 1</w:t>
            </w:r>
            <w:r w:rsidR="005D0303" w:rsidRPr="005D0303">
              <w:t> </w:t>
            </w:r>
            <w:r w:rsidR="004E08F7" w:rsidRPr="005D0303">
              <w:t>July 2017</w:t>
            </w:r>
          </w:p>
        </w:tc>
      </w:tr>
      <w:tr w:rsidR="00FC7D11" w:rsidRPr="005D0303" w:rsidTr="002D43CE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C7D11" w:rsidRPr="005D0303" w:rsidRDefault="00FC7D11" w:rsidP="00470191">
            <w:pPr>
              <w:pStyle w:val="TableHeading"/>
            </w:pPr>
            <w:r w:rsidRPr="005D0303">
              <w:t>Item</w:t>
            </w:r>
          </w:p>
        </w:tc>
        <w:tc>
          <w:tcPr>
            <w:tcW w:w="1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C7D11" w:rsidRPr="005D0303" w:rsidRDefault="00FC7D11" w:rsidP="00470191">
            <w:pPr>
              <w:pStyle w:val="TableHeading"/>
            </w:pPr>
            <w:r w:rsidRPr="005D0303">
              <w:t>Column 1</w:t>
            </w:r>
          </w:p>
          <w:p w:rsidR="00FC7D11" w:rsidRPr="005D0303" w:rsidRDefault="00FC7D11" w:rsidP="00470191">
            <w:pPr>
              <w:pStyle w:val="TableHeading"/>
            </w:pPr>
            <w:r w:rsidRPr="005D0303">
              <w:t xml:space="preserve">Population density </w:t>
            </w:r>
            <w:r w:rsidR="00977171" w:rsidRPr="005D0303">
              <w:t xml:space="preserve">of the </w:t>
            </w:r>
            <w:r w:rsidR="000A5926" w:rsidRPr="005D0303">
              <w:t xml:space="preserve">location at which, under the transmitter licence, the </w:t>
            </w:r>
            <w:r w:rsidR="00977171" w:rsidRPr="005D0303">
              <w:t>transmitter</w:t>
            </w:r>
            <w:r w:rsidR="000A5926" w:rsidRPr="005D0303">
              <w:t xml:space="preserve"> is authorised to operate</w:t>
            </w:r>
          </w:p>
        </w:tc>
        <w:tc>
          <w:tcPr>
            <w:tcW w:w="1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C7D11" w:rsidRPr="005D0303" w:rsidRDefault="00FC7D11" w:rsidP="00470191">
            <w:pPr>
              <w:pStyle w:val="TableHeading"/>
            </w:pPr>
            <w:r w:rsidRPr="005D0303">
              <w:t>Column 2</w:t>
            </w:r>
          </w:p>
          <w:p w:rsidR="00FC7D11" w:rsidRPr="005D0303" w:rsidRDefault="00AF7F49" w:rsidP="00BE69B3">
            <w:pPr>
              <w:pStyle w:val="TableHeading"/>
            </w:pPr>
            <w:r w:rsidRPr="005D0303">
              <w:t xml:space="preserve">Amount </w:t>
            </w:r>
            <w:r w:rsidR="00387F7A" w:rsidRPr="005D0303">
              <w:t>per kH</w:t>
            </w:r>
            <w:r w:rsidR="00BE69B3" w:rsidRPr="005D0303">
              <w:t>z</w:t>
            </w:r>
            <w:r w:rsidR="00387F7A" w:rsidRPr="005D0303">
              <w:t xml:space="preserve"> </w:t>
            </w:r>
            <w:r w:rsidRPr="005D0303">
              <w:t>if transmitter operates in the AM band</w:t>
            </w:r>
          </w:p>
        </w:tc>
        <w:tc>
          <w:tcPr>
            <w:tcW w:w="1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C7D11" w:rsidRPr="005D0303" w:rsidRDefault="00FC7D11" w:rsidP="00470191">
            <w:pPr>
              <w:pStyle w:val="TableHeading"/>
            </w:pPr>
            <w:r w:rsidRPr="005D0303">
              <w:t>Column 3</w:t>
            </w:r>
          </w:p>
          <w:p w:rsidR="00FC7D11" w:rsidRPr="005D0303" w:rsidRDefault="00AF7F49" w:rsidP="00BE69B3">
            <w:pPr>
              <w:pStyle w:val="TableHeading"/>
            </w:pPr>
            <w:r w:rsidRPr="005D0303">
              <w:t>Amount</w:t>
            </w:r>
            <w:r w:rsidR="00BE69B3" w:rsidRPr="005D0303">
              <w:t xml:space="preserve"> per kHz</w:t>
            </w:r>
            <w:r w:rsidR="00387F7A" w:rsidRPr="005D0303">
              <w:t xml:space="preserve"> </w:t>
            </w:r>
            <w:r w:rsidRPr="005D0303">
              <w:t>if transmitter operates in the FM band</w:t>
            </w:r>
          </w:p>
        </w:tc>
        <w:tc>
          <w:tcPr>
            <w:tcW w:w="1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C7D11" w:rsidRPr="005D0303" w:rsidRDefault="00FC7D11" w:rsidP="00470191">
            <w:pPr>
              <w:pStyle w:val="TableHeading"/>
            </w:pPr>
            <w:r w:rsidRPr="005D0303">
              <w:t>Column 4</w:t>
            </w:r>
          </w:p>
          <w:p w:rsidR="00FC7D11" w:rsidRPr="005D0303" w:rsidRDefault="00AF7F49" w:rsidP="00BE69B3">
            <w:pPr>
              <w:pStyle w:val="TableHeading"/>
            </w:pPr>
            <w:r w:rsidRPr="005D0303">
              <w:t>Amount</w:t>
            </w:r>
            <w:r w:rsidR="00387F7A" w:rsidRPr="005D0303">
              <w:t xml:space="preserve"> per kH</w:t>
            </w:r>
            <w:r w:rsidR="00BE69B3" w:rsidRPr="005D0303">
              <w:t>z</w:t>
            </w:r>
            <w:r w:rsidR="00387F7A" w:rsidRPr="005D0303">
              <w:t xml:space="preserve"> </w:t>
            </w:r>
            <w:r w:rsidRPr="005D0303">
              <w:t>if transmitter operates in the VHF band</w:t>
            </w:r>
          </w:p>
        </w:tc>
        <w:tc>
          <w:tcPr>
            <w:tcW w:w="1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C7D11" w:rsidRPr="005D0303" w:rsidRDefault="00FC7D11" w:rsidP="00470191">
            <w:pPr>
              <w:pStyle w:val="TableHeading"/>
            </w:pPr>
            <w:r w:rsidRPr="005D0303">
              <w:t>Column 5</w:t>
            </w:r>
          </w:p>
          <w:p w:rsidR="00FC7D11" w:rsidRPr="005D0303" w:rsidRDefault="00AF7F49" w:rsidP="00BE69B3">
            <w:pPr>
              <w:pStyle w:val="TableHeading"/>
            </w:pPr>
            <w:r w:rsidRPr="005D0303">
              <w:t>Amount</w:t>
            </w:r>
            <w:r w:rsidR="00387F7A" w:rsidRPr="005D0303">
              <w:t xml:space="preserve"> per kH</w:t>
            </w:r>
            <w:r w:rsidR="00BE69B3" w:rsidRPr="005D0303">
              <w:t>z</w:t>
            </w:r>
            <w:r w:rsidR="00387F7A" w:rsidRPr="005D0303">
              <w:t xml:space="preserve"> </w:t>
            </w:r>
            <w:r w:rsidRPr="005D0303">
              <w:t>if transmitter operates in the UHF band</w:t>
            </w:r>
          </w:p>
        </w:tc>
      </w:tr>
      <w:tr w:rsidR="002D43CE" w:rsidRPr="005D0303" w:rsidTr="002D43CE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2D43CE" w:rsidRPr="005D0303" w:rsidRDefault="002D43CE" w:rsidP="00D0760A">
            <w:pPr>
              <w:pStyle w:val="Tabletext"/>
            </w:pPr>
            <w:r w:rsidRPr="005D0303">
              <w:t>1</w:t>
            </w:r>
          </w:p>
        </w:tc>
        <w:tc>
          <w:tcPr>
            <w:tcW w:w="1520" w:type="dxa"/>
            <w:tcBorders>
              <w:top w:val="single" w:sz="12" w:space="0" w:color="auto"/>
            </w:tcBorders>
            <w:shd w:val="clear" w:color="auto" w:fill="auto"/>
          </w:tcPr>
          <w:p w:rsidR="002D43CE" w:rsidRPr="005D0303" w:rsidRDefault="002D43CE" w:rsidP="00D0760A">
            <w:pPr>
              <w:pStyle w:val="Tabletext"/>
            </w:pPr>
            <w:r w:rsidRPr="005D0303">
              <w:t>Low</w:t>
            </w:r>
          </w:p>
        </w:tc>
        <w:tc>
          <w:tcPr>
            <w:tcW w:w="1520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2D43CE" w:rsidRPr="005D0303" w:rsidRDefault="002D43CE" w:rsidP="00D0760A">
            <w:pPr>
              <w:pStyle w:val="Tabletext"/>
              <w:jc w:val="right"/>
            </w:pPr>
            <w:r w:rsidRPr="005D0303">
              <w:t>$0.2079</w:t>
            </w:r>
          </w:p>
        </w:tc>
        <w:tc>
          <w:tcPr>
            <w:tcW w:w="1520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2D43CE" w:rsidRPr="005D0303" w:rsidRDefault="002D43CE" w:rsidP="00D0760A">
            <w:pPr>
              <w:pStyle w:val="Tabletext"/>
              <w:jc w:val="right"/>
            </w:pPr>
            <w:r w:rsidRPr="005D0303">
              <w:t>$0.2079</w:t>
            </w:r>
          </w:p>
        </w:tc>
        <w:tc>
          <w:tcPr>
            <w:tcW w:w="1520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2D43CE" w:rsidRPr="005D0303" w:rsidRDefault="002D43CE" w:rsidP="00D0760A">
            <w:pPr>
              <w:pStyle w:val="Tabletext"/>
              <w:jc w:val="right"/>
            </w:pPr>
            <w:r w:rsidRPr="005D0303">
              <w:t>$0.2417</w:t>
            </w:r>
          </w:p>
        </w:tc>
        <w:tc>
          <w:tcPr>
            <w:tcW w:w="1520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2D43CE" w:rsidRPr="005D0303" w:rsidRDefault="002D43CE" w:rsidP="00D0760A">
            <w:pPr>
              <w:pStyle w:val="Tabletext"/>
              <w:jc w:val="right"/>
            </w:pPr>
            <w:r w:rsidRPr="005D0303">
              <w:t>$0.2417</w:t>
            </w:r>
          </w:p>
        </w:tc>
      </w:tr>
      <w:tr w:rsidR="00FC7D11" w:rsidRPr="005D0303" w:rsidTr="002D43CE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FC7D11" w:rsidRPr="005D0303" w:rsidRDefault="002D43CE" w:rsidP="00FC7D11">
            <w:pPr>
              <w:pStyle w:val="Tabletext"/>
            </w:pPr>
            <w:r w:rsidRPr="005D0303">
              <w:t>2</w:t>
            </w:r>
          </w:p>
        </w:tc>
        <w:tc>
          <w:tcPr>
            <w:tcW w:w="1520" w:type="dxa"/>
            <w:tcBorders>
              <w:bottom w:val="single" w:sz="2" w:space="0" w:color="auto"/>
            </w:tcBorders>
            <w:shd w:val="clear" w:color="auto" w:fill="auto"/>
          </w:tcPr>
          <w:p w:rsidR="00FC7D11" w:rsidRPr="005D0303" w:rsidRDefault="00FC7D11" w:rsidP="00FC7D11">
            <w:pPr>
              <w:pStyle w:val="Tabletext"/>
            </w:pPr>
            <w:r w:rsidRPr="005D0303">
              <w:t>Medium</w:t>
            </w:r>
          </w:p>
        </w:tc>
        <w:tc>
          <w:tcPr>
            <w:tcW w:w="1520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FC7D11" w:rsidRPr="005D0303" w:rsidRDefault="00387F7A" w:rsidP="005E67CD">
            <w:pPr>
              <w:pStyle w:val="Tabletext"/>
              <w:jc w:val="right"/>
            </w:pPr>
            <w:r w:rsidRPr="005D0303">
              <w:t>$</w:t>
            </w:r>
            <w:r w:rsidR="00FC7D11" w:rsidRPr="005D0303">
              <w:t>9.2741</w:t>
            </w:r>
          </w:p>
        </w:tc>
        <w:tc>
          <w:tcPr>
            <w:tcW w:w="1520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FC7D11" w:rsidRPr="005D0303" w:rsidRDefault="00387F7A" w:rsidP="005E67CD">
            <w:pPr>
              <w:pStyle w:val="Tabletext"/>
              <w:jc w:val="right"/>
            </w:pPr>
            <w:r w:rsidRPr="005D0303">
              <w:t>$</w:t>
            </w:r>
            <w:r w:rsidR="00FC7D11" w:rsidRPr="005D0303">
              <w:t>9.2741</w:t>
            </w:r>
          </w:p>
        </w:tc>
        <w:tc>
          <w:tcPr>
            <w:tcW w:w="1520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FC7D11" w:rsidRPr="005D0303" w:rsidRDefault="00387F7A" w:rsidP="005E67CD">
            <w:pPr>
              <w:pStyle w:val="Tabletext"/>
              <w:jc w:val="right"/>
            </w:pPr>
            <w:r w:rsidRPr="005D0303">
              <w:t>$</w:t>
            </w:r>
            <w:r w:rsidR="00FC7D11" w:rsidRPr="005D0303">
              <w:t>13.1579</w:t>
            </w:r>
          </w:p>
        </w:tc>
        <w:tc>
          <w:tcPr>
            <w:tcW w:w="1520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FC7D11" w:rsidRPr="005D0303" w:rsidRDefault="00387F7A" w:rsidP="005E67CD">
            <w:pPr>
              <w:pStyle w:val="Tabletext"/>
              <w:jc w:val="right"/>
            </w:pPr>
            <w:r w:rsidRPr="005D0303">
              <w:t>$</w:t>
            </w:r>
            <w:r w:rsidR="00FC7D11" w:rsidRPr="005D0303">
              <w:t>13.1579</w:t>
            </w:r>
          </w:p>
        </w:tc>
      </w:tr>
      <w:tr w:rsidR="002D43CE" w:rsidRPr="005D0303" w:rsidTr="002D43CE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2D43CE" w:rsidRPr="005D0303" w:rsidRDefault="002D43CE" w:rsidP="00D0760A">
            <w:pPr>
              <w:pStyle w:val="Tabletext"/>
            </w:pPr>
            <w:r w:rsidRPr="005D0303">
              <w:t>3</w:t>
            </w:r>
          </w:p>
        </w:tc>
        <w:tc>
          <w:tcPr>
            <w:tcW w:w="152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2D43CE" w:rsidRPr="005D0303" w:rsidRDefault="002D43CE" w:rsidP="00D0760A">
            <w:pPr>
              <w:pStyle w:val="Tabletext"/>
            </w:pPr>
            <w:r w:rsidRPr="005D0303">
              <w:t>High</w:t>
            </w:r>
          </w:p>
        </w:tc>
        <w:tc>
          <w:tcPr>
            <w:tcW w:w="152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2D43CE" w:rsidRPr="005D0303" w:rsidRDefault="002D43CE" w:rsidP="00D0760A">
            <w:pPr>
              <w:pStyle w:val="Tabletext"/>
              <w:jc w:val="right"/>
            </w:pPr>
            <w:r w:rsidRPr="005D0303">
              <w:t>$20.2667</w:t>
            </w:r>
          </w:p>
        </w:tc>
        <w:tc>
          <w:tcPr>
            <w:tcW w:w="152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2D43CE" w:rsidRPr="005D0303" w:rsidRDefault="002D43CE" w:rsidP="00D0760A">
            <w:pPr>
              <w:pStyle w:val="Tabletext"/>
              <w:jc w:val="right"/>
            </w:pPr>
            <w:r w:rsidRPr="005D0303">
              <w:t>$20.2667</w:t>
            </w:r>
          </w:p>
        </w:tc>
        <w:tc>
          <w:tcPr>
            <w:tcW w:w="152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2D43CE" w:rsidRPr="005D0303" w:rsidRDefault="002D43CE" w:rsidP="00D0760A">
            <w:pPr>
              <w:pStyle w:val="Tabletext"/>
              <w:jc w:val="right"/>
            </w:pPr>
            <w:r w:rsidRPr="005D0303">
              <w:t>$26.6588</w:t>
            </w:r>
          </w:p>
        </w:tc>
        <w:tc>
          <w:tcPr>
            <w:tcW w:w="152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2D43CE" w:rsidRPr="005D0303" w:rsidRDefault="002D43CE" w:rsidP="00D0760A">
            <w:pPr>
              <w:pStyle w:val="Tabletext"/>
              <w:jc w:val="right"/>
            </w:pPr>
            <w:r w:rsidRPr="005D0303">
              <w:t>$26.6588</w:t>
            </w:r>
          </w:p>
        </w:tc>
      </w:tr>
    </w:tbl>
    <w:p w:rsidR="00B33939" w:rsidRPr="005D0303" w:rsidRDefault="00B33939" w:rsidP="00B33939">
      <w:pPr>
        <w:pStyle w:val="subsection"/>
      </w:pPr>
      <w:r w:rsidRPr="005D0303">
        <w:tab/>
        <w:t>(</w:t>
      </w:r>
      <w:r w:rsidR="003261EC" w:rsidRPr="005D0303">
        <w:t>6</w:t>
      </w:r>
      <w:r w:rsidRPr="005D0303">
        <w:t>)</w:t>
      </w:r>
      <w:r w:rsidRPr="005D0303">
        <w:tab/>
        <w:t xml:space="preserve">The </w:t>
      </w:r>
      <w:r w:rsidRPr="005D0303">
        <w:rPr>
          <w:b/>
          <w:i/>
        </w:rPr>
        <w:t>dollars per kH</w:t>
      </w:r>
      <w:r w:rsidR="00BE69B3" w:rsidRPr="005D0303">
        <w:rPr>
          <w:b/>
          <w:i/>
        </w:rPr>
        <w:t>z</w:t>
      </w:r>
      <w:r w:rsidRPr="005D0303">
        <w:rPr>
          <w:b/>
          <w:i/>
        </w:rPr>
        <w:t xml:space="preserve"> of spectrum bandwidth</w:t>
      </w:r>
      <w:r w:rsidRPr="005D0303">
        <w:t xml:space="preserve"> for a transmitter for:</w:t>
      </w:r>
    </w:p>
    <w:p w:rsidR="00B33939" w:rsidRPr="005D0303" w:rsidRDefault="00B33939" w:rsidP="00B33939">
      <w:pPr>
        <w:pStyle w:val="paragraph"/>
      </w:pPr>
      <w:r w:rsidRPr="005D0303">
        <w:tab/>
        <w:t>(a)</w:t>
      </w:r>
      <w:r w:rsidRPr="005D0303">
        <w:tab/>
        <w:t>the financial year beginning on 1</w:t>
      </w:r>
      <w:r w:rsidR="005D0303" w:rsidRPr="005D0303">
        <w:t> </w:t>
      </w:r>
      <w:r w:rsidRPr="005D0303">
        <w:t>July 2018; or</w:t>
      </w:r>
    </w:p>
    <w:p w:rsidR="00B33939" w:rsidRPr="005D0303" w:rsidRDefault="00B33939" w:rsidP="00B33939">
      <w:pPr>
        <w:pStyle w:val="paragraph"/>
      </w:pPr>
      <w:r w:rsidRPr="005D0303">
        <w:tab/>
        <w:t>(b)</w:t>
      </w:r>
      <w:r w:rsidRPr="005D0303">
        <w:tab/>
        <w:t>a later financial year;</w:t>
      </w:r>
    </w:p>
    <w:p w:rsidR="00B33939" w:rsidRPr="005D0303" w:rsidRDefault="00B33939" w:rsidP="00B33939">
      <w:pPr>
        <w:pStyle w:val="subsection2"/>
      </w:pPr>
      <w:r w:rsidRPr="005D0303">
        <w:t>is the amount per kH</w:t>
      </w:r>
      <w:r w:rsidR="00BE69B3" w:rsidRPr="005D0303">
        <w:t>z</w:t>
      </w:r>
      <w:r w:rsidRPr="005D0303">
        <w:t xml:space="preserve"> worked out using the following formula:</w:t>
      </w:r>
    </w:p>
    <w:p w:rsidR="00B33939" w:rsidRPr="005D0303" w:rsidRDefault="00BE69B3" w:rsidP="00B33939">
      <w:pPr>
        <w:pStyle w:val="subsection2"/>
      </w:pPr>
      <w:r w:rsidRPr="005D0303">
        <w:rPr>
          <w:position w:val="-10"/>
        </w:rPr>
        <w:object w:dxaOrig="5600" w:dyaOrig="420">
          <v:shape id="_x0000_i1027" type="#_x0000_t75" style="width:280.5pt;height:21.75pt" o:ole="">
            <v:imagedata r:id="rId25" o:title=""/>
          </v:shape>
          <o:OLEObject Type="Embed" ProgID="Equation.DSMT4" ShapeID="_x0000_i1027" DrawAspect="Content" ObjectID="_1569832975" r:id="rId26"/>
        </w:object>
      </w:r>
    </w:p>
    <w:p w:rsidR="00B33939" w:rsidRPr="005D0303" w:rsidRDefault="00B33939" w:rsidP="00B33939">
      <w:pPr>
        <w:pStyle w:val="subsection2"/>
      </w:pPr>
      <w:r w:rsidRPr="005D0303">
        <w:t>where:</w:t>
      </w:r>
    </w:p>
    <w:p w:rsidR="00B33939" w:rsidRPr="005D0303" w:rsidRDefault="00B33939" w:rsidP="00B33939">
      <w:pPr>
        <w:pStyle w:val="Definition"/>
      </w:pPr>
      <w:r w:rsidRPr="005D0303">
        <w:rPr>
          <w:b/>
          <w:i/>
        </w:rPr>
        <w:t xml:space="preserve">indexation factor </w:t>
      </w:r>
      <w:r w:rsidRPr="005D0303">
        <w:t>means the indexation factor for the financial year.</w:t>
      </w:r>
    </w:p>
    <w:p w:rsidR="00B33939" w:rsidRPr="005D0303" w:rsidRDefault="00B33939" w:rsidP="00B33939">
      <w:pPr>
        <w:pStyle w:val="Definition"/>
      </w:pPr>
      <w:r w:rsidRPr="005D0303">
        <w:rPr>
          <w:b/>
          <w:i/>
        </w:rPr>
        <w:t>previous dollars per kH</w:t>
      </w:r>
      <w:r w:rsidR="00BE69B3" w:rsidRPr="005D0303">
        <w:rPr>
          <w:b/>
          <w:i/>
        </w:rPr>
        <w:t>z</w:t>
      </w:r>
      <w:r w:rsidRPr="005D0303">
        <w:rPr>
          <w:b/>
          <w:i/>
        </w:rPr>
        <w:t xml:space="preserve"> of spectrum bandwidth</w:t>
      </w:r>
      <w:r w:rsidRPr="005D0303">
        <w:t xml:space="preserve"> means the dollars per kH</w:t>
      </w:r>
      <w:r w:rsidR="00BE69B3" w:rsidRPr="005D0303">
        <w:t>z</w:t>
      </w:r>
      <w:r w:rsidRPr="005D0303">
        <w:t xml:space="preserve"> of spectrum bandwidth for the transmitter for the previous financial year.</w:t>
      </w:r>
    </w:p>
    <w:p w:rsidR="003261EC" w:rsidRPr="005D0303" w:rsidRDefault="003261EC" w:rsidP="003261EC">
      <w:pPr>
        <w:pStyle w:val="SubsectionHead"/>
      </w:pPr>
      <w:r w:rsidRPr="005D0303">
        <w:t>Spectrum bandwidth</w:t>
      </w:r>
    </w:p>
    <w:p w:rsidR="00977171" w:rsidRPr="005D0303" w:rsidRDefault="005E67CD" w:rsidP="00FC7D11">
      <w:pPr>
        <w:pStyle w:val="subsection"/>
      </w:pPr>
      <w:r w:rsidRPr="005D0303">
        <w:tab/>
        <w:t>(</w:t>
      </w:r>
      <w:r w:rsidR="003261EC" w:rsidRPr="005D0303">
        <w:t>7</w:t>
      </w:r>
      <w:r w:rsidR="00977171" w:rsidRPr="005D0303">
        <w:t>)</w:t>
      </w:r>
      <w:r w:rsidR="00977171" w:rsidRPr="005D0303">
        <w:tab/>
        <w:t xml:space="preserve">The following table defines the </w:t>
      </w:r>
      <w:r w:rsidR="00977171" w:rsidRPr="005D0303">
        <w:rPr>
          <w:b/>
          <w:i/>
        </w:rPr>
        <w:t>spectrum bandwidth</w:t>
      </w:r>
      <w:r w:rsidR="00977171" w:rsidRPr="005D0303">
        <w:t xml:space="preserve"> of a transmitter</w:t>
      </w:r>
      <w:r w:rsidR="008204E7" w:rsidRPr="005D0303">
        <w:t>:</w:t>
      </w:r>
    </w:p>
    <w:p w:rsidR="00977171" w:rsidRPr="005D0303" w:rsidRDefault="00977171" w:rsidP="00977171">
      <w:pPr>
        <w:pStyle w:val="Tabletext"/>
      </w:pPr>
    </w:p>
    <w:tbl>
      <w:tblPr>
        <w:tblW w:w="0" w:type="auto"/>
        <w:tblInd w:w="1242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814"/>
        <w:gridCol w:w="3653"/>
      </w:tblGrid>
      <w:tr w:rsidR="00977171" w:rsidRPr="005D0303" w:rsidTr="005D0303">
        <w:trPr>
          <w:tblHeader/>
        </w:trPr>
        <w:tc>
          <w:tcPr>
            <w:tcW w:w="718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977171" w:rsidRPr="005D0303" w:rsidRDefault="002D43CE" w:rsidP="002D43CE">
            <w:pPr>
              <w:pStyle w:val="TableHeading"/>
            </w:pPr>
            <w:r w:rsidRPr="005D0303">
              <w:t>Spectrum b</w:t>
            </w:r>
            <w:r w:rsidR="00977171" w:rsidRPr="005D0303">
              <w:t>andwidth</w:t>
            </w:r>
          </w:p>
        </w:tc>
      </w:tr>
      <w:tr w:rsidR="00977171" w:rsidRPr="005D0303" w:rsidTr="005D0303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77171" w:rsidRPr="005D0303" w:rsidRDefault="00977171" w:rsidP="00977171">
            <w:pPr>
              <w:pStyle w:val="TableHeading"/>
            </w:pPr>
            <w:r w:rsidRPr="005D0303">
              <w:t>Item</w:t>
            </w:r>
          </w:p>
        </w:tc>
        <w:tc>
          <w:tcPr>
            <w:tcW w:w="28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77171" w:rsidRPr="005D0303" w:rsidRDefault="00977171" w:rsidP="00470191">
            <w:pPr>
              <w:pStyle w:val="TableHeading"/>
            </w:pPr>
            <w:r w:rsidRPr="005D0303">
              <w:t>Column 1</w:t>
            </w:r>
          </w:p>
          <w:p w:rsidR="00977171" w:rsidRPr="005D0303" w:rsidRDefault="00387F7A" w:rsidP="00470191">
            <w:pPr>
              <w:pStyle w:val="TableHeading"/>
            </w:pPr>
            <w:r w:rsidRPr="005D0303">
              <w:t>The spectrum bandwidth of a transmitter is …</w:t>
            </w:r>
          </w:p>
        </w:tc>
        <w:tc>
          <w:tcPr>
            <w:tcW w:w="365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77171" w:rsidRPr="005D0303" w:rsidRDefault="00977171" w:rsidP="00E9740D">
            <w:pPr>
              <w:pStyle w:val="TableHeading"/>
            </w:pPr>
            <w:r w:rsidRPr="005D0303">
              <w:t>Column 2</w:t>
            </w:r>
          </w:p>
          <w:p w:rsidR="00977171" w:rsidRPr="005D0303" w:rsidRDefault="003776EA" w:rsidP="002D43CE">
            <w:pPr>
              <w:pStyle w:val="TableHeading"/>
            </w:pPr>
            <w:r w:rsidRPr="005D0303">
              <w:t>i</w:t>
            </w:r>
            <w:r w:rsidR="00387F7A" w:rsidRPr="005D0303">
              <w:t>f the transmitter operates in th</w:t>
            </w:r>
            <w:r w:rsidR="002D43CE" w:rsidRPr="005D0303">
              <w:t>e</w:t>
            </w:r>
            <w:r w:rsidRPr="005D0303">
              <w:t xml:space="preserve"> …</w:t>
            </w:r>
          </w:p>
        </w:tc>
      </w:tr>
      <w:tr w:rsidR="00387F7A" w:rsidRPr="005D0303" w:rsidTr="005D0303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387F7A" w:rsidRPr="005D0303" w:rsidRDefault="00387F7A" w:rsidP="00977171">
            <w:pPr>
              <w:pStyle w:val="Tabletext"/>
            </w:pPr>
            <w:r w:rsidRPr="005D0303">
              <w:t>1</w:t>
            </w:r>
          </w:p>
        </w:tc>
        <w:tc>
          <w:tcPr>
            <w:tcW w:w="2814" w:type="dxa"/>
            <w:tcBorders>
              <w:top w:val="single" w:sz="12" w:space="0" w:color="auto"/>
            </w:tcBorders>
            <w:shd w:val="clear" w:color="auto" w:fill="auto"/>
          </w:tcPr>
          <w:p w:rsidR="00387F7A" w:rsidRPr="005D0303" w:rsidRDefault="00387F7A" w:rsidP="00BE69B3">
            <w:pPr>
              <w:pStyle w:val="Tabletext"/>
              <w:jc w:val="right"/>
            </w:pPr>
            <w:r w:rsidRPr="005D0303">
              <w:t>18 kH</w:t>
            </w:r>
            <w:r w:rsidR="00BE69B3" w:rsidRPr="005D0303">
              <w:t>z</w:t>
            </w:r>
          </w:p>
        </w:tc>
        <w:tc>
          <w:tcPr>
            <w:tcW w:w="3653" w:type="dxa"/>
            <w:tcBorders>
              <w:top w:val="single" w:sz="12" w:space="0" w:color="auto"/>
            </w:tcBorders>
            <w:shd w:val="clear" w:color="auto" w:fill="auto"/>
          </w:tcPr>
          <w:p w:rsidR="00387F7A" w:rsidRPr="005D0303" w:rsidRDefault="00387F7A" w:rsidP="00E9740D">
            <w:pPr>
              <w:pStyle w:val="Tabletext"/>
            </w:pPr>
            <w:r w:rsidRPr="005D0303">
              <w:t>AM band</w:t>
            </w:r>
            <w:r w:rsidR="002D43CE" w:rsidRPr="005D0303">
              <w:t>.</w:t>
            </w:r>
          </w:p>
        </w:tc>
      </w:tr>
      <w:tr w:rsidR="00387F7A" w:rsidRPr="005D0303" w:rsidTr="005D0303">
        <w:tc>
          <w:tcPr>
            <w:tcW w:w="714" w:type="dxa"/>
            <w:shd w:val="clear" w:color="auto" w:fill="auto"/>
          </w:tcPr>
          <w:p w:rsidR="00387F7A" w:rsidRPr="005D0303" w:rsidRDefault="00387F7A" w:rsidP="00977171">
            <w:pPr>
              <w:pStyle w:val="Tabletext"/>
            </w:pPr>
            <w:r w:rsidRPr="005D0303">
              <w:t>2</w:t>
            </w:r>
          </w:p>
        </w:tc>
        <w:tc>
          <w:tcPr>
            <w:tcW w:w="2814" w:type="dxa"/>
            <w:shd w:val="clear" w:color="auto" w:fill="auto"/>
          </w:tcPr>
          <w:p w:rsidR="00387F7A" w:rsidRPr="005D0303" w:rsidRDefault="00387F7A" w:rsidP="00E9740D">
            <w:pPr>
              <w:pStyle w:val="Tabletext"/>
              <w:jc w:val="right"/>
            </w:pPr>
            <w:r w:rsidRPr="005D0303">
              <w:t xml:space="preserve">200 </w:t>
            </w:r>
            <w:r w:rsidR="00BE69B3" w:rsidRPr="005D0303">
              <w:t>kHz</w:t>
            </w:r>
          </w:p>
        </w:tc>
        <w:tc>
          <w:tcPr>
            <w:tcW w:w="3653" w:type="dxa"/>
            <w:shd w:val="clear" w:color="auto" w:fill="auto"/>
          </w:tcPr>
          <w:p w:rsidR="00387F7A" w:rsidRPr="005D0303" w:rsidRDefault="00387F7A" w:rsidP="00E9740D">
            <w:pPr>
              <w:pStyle w:val="Tabletext"/>
            </w:pPr>
            <w:r w:rsidRPr="005D0303">
              <w:t>FM band</w:t>
            </w:r>
            <w:r w:rsidR="002D43CE" w:rsidRPr="005D0303">
              <w:t>.</w:t>
            </w:r>
          </w:p>
        </w:tc>
      </w:tr>
      <w:tr w:rsidR="00387F7A" w:rsidRPr="005D0303" w:rsidTr="005D0303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387F7A" w:rsidRPr="005D0303" w:rsidRDefault="00387F7A" w:rsidP="00977171">
            <w:pPr>
              <w:pStyle w:val="Tabletext"/>
            </w:pPr>
            <w:r w:rsidRPr="005D0303">
              <w:t>3</w:t>
            </w:r>
          </w:p>
        </w:tc>
        <w:tc>
          <w:tcPr>
            <w:tcW w:w="2814" w:type="dxa"/>
            <w:tcBorders>
              <w:bottom w:val="single" w:sz="2" w:space="0" w:color="auto"/>
            </w:tcBorders>
            <w:shd w:val="clear" w:color="auto" w:fill="auto"/>
          </w:tcPr>
          <w:p w:rsidR="00387F7A" w:rsidRPr="005D0303" w:rsidRDefault="00387F7A" w:rsidP="00E9740D">
            <w:pPr>
              <w:pStyle w:val="Tabletext"/>
              <w:jc w:val="right"/>
            </w:pPr>
            <w:r w:rsidRPr="005D0303">
              <w:t>7</w:t>
            </w:r>
            <w:r w:rsidR="007C1C53" w:rsidRPr="005D0303">
              <w:t>,</w:t>
            </w:r>
            <w:r w:rsidR="003776EA" w:rsidRPr="005D0303">
              <w:t xml:space="preserve">000 </w:t>
            </w:r>
            <w:r w:rsidR="00BE69B3" w:rsidRPr="005D0303">
              <w:t>kHz</w:t>
            </w:r>
          </w:p>
        </w:tc>
        <w:tc>
          <w:tcPr>
            <w:tcW w:w="3653" w:type="dxa"/>
            <w:tcBorders>
              <w:bottom w:val="single" w:sz="2" w:space="0" w:color="auto"/>
            </w:tcBorders>
            <w:shd w:val="clear" w:color="auto" w:fill="auto"/>
          </w:tcPr>
          <w:p w:rsidR="00387F7A" w:rsidRPr="005D0303" w:rsidRDefault="00387F7A" w:rsidP="00E9740D">
            <w:pPr>
              <w:pStyle w:val="Tabletext"/>
            </w:pPr>
            <w:r w:rsidRPr="005D0303">
              <w:t>VHF band</w:t>
            </w:r>
            <w:r w:rsidR="002D43CE" w:rsidRPr="005D0303">
              <w:t>.</w:t>
            </w:r>
          </w:p>
        </w:tc>
      </w:tr>
      <w:tr w:rsidR="00387F7A" w:rsidRPr="005D0303" w:rsidTr="005D0303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87F7A" w:rsidRPr="005D0303" w:rsidRDefault="00387F7A" w:rsidP="00977171">
            <w:pPr>
              <w:pStyle w:val="Tabletext"/>
            </w:pPr>
            <w:r w:rsidRPr="005D0303">
              <w:lastRenderedPageBreak/>
              <w:t>4</w:t>
            </w:r>
          </w:p>
        </w:tc>
        <w:tc>
          <w:tcPr>
            <w:tcW w:w="28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87F7A" w:rsidRPr="005D0303" w:rsidRDefault="00387F7A" w:rsidP="00E9740D">
            <w:pPr>
              <w:pStyle w:val="Tabletext"/>
              <w:jc w:val="right"/>
            </w:pPr>
            <w:r w:rsidRPr="005D0303">
              <w:t>7</w:t>
            </w:r>
            <w:r w:rsidR="007C1C53" w:rsidRPr="005D0303">
              <w:t>,</w:t>
            </w:r>
            <w:r w:rsidR="003776EA" w:rsidRPr="005D0303">
              <w:t xml:space="preserve">000 </w:t>
            </w:r>
            <w:r w:rsidR="00BE69B3" w:rsidRPr="005D0303">
              <w:t>kHz</w:t>
            </w:r>
          </w:p>
        </w:tc>
        <w:tc>
          <w:tcPr>
            <w:tcW w:w="365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87F7A" w:rsidRPr="005D0303" w:rsidRDefault="00387F7A" w:rsidP="00E9740D">
            <w:pPr>
              <w:pStyle w:val="Tabletext"/>
            </w:pPr>
            <w:r w:rsidRPr="005D0303">
              <w:t>UHF band</w:t>
            </w:r>
            <w:r w:rsidR="002D43CE" w:rsidRPr="005D0303">
              <w:t>.</w:t>
            </w:r>
          </w:p>
        </w:tc>
      </w:tr>
    </w:tbl>
    <w:p w:rsidR="003261EC" w:rsidRPr="005D0303" w:rsidRDefault="000B787C" w:rsidP="003261EC">
      <w:pPr>
        <w:pStyle w:val="SubsectionHead"/>
      </w:pPr>
      <w:r w:rsidRPr="005D0303">
        <w:t>Maximum p</w:t>
      </w:r>
      <w:r w:rsidR="003261EC" w:rsidRPr="005D0303">
        <w:t>ower factor</w:t>
      </w:r>
    </w:p>
    <w:p w:rsidR="00977171" w:rsidRPr="005D0303" w:rsidRDefault="005E10C7" w:rsidP="00FC7D11">
      <w:pPr>
        <w:pStyle w:val="subsection"/>
      </w:pPr>
      <w:r w:rsidRPr="005D0303">
        <w:tab/>
        <w:t>(</w:t>
      </w:r>
      <w:r w:rsidR="003261EC" w:rsidRPr="005D0303">
        <w:t>8</w:t>
      </w:r>
      <w:r w:rsidR="00977171" w:rsidRPr="005D0303">
        <w:t>)</w:t>
      </w:r>
      <w:r w:rsidR="00977171" w:rsidRPr="005D0303">
        <w:tab/>
      </w:r>
      <w:r w:rsidR="000B787C" w:rsidRPr="005D0303">
        <w:t xml:space="preserve">The following table defines the </w:t>
      </w:r>
      <w:r w:rsidR="000B787C" w:rsidRPr="005D0303">
        <w:rPr>
          <w:b/>
          <w:i/>
        </w:rPr>
        <w:t>maximum p</w:t>
      </w:r>
      <w:r w:rsidR="00977171" w:rsidRPr="005D0303">
        <w:rPr>
          <w:b/>
          <w:i/>
        </w:rPr>
        <w:t>ower factor</w:t>
      </w:r>
      <w:r w:rsidR="002D43CE" w:rsidRPr="005D0303">
        <w:t xml:space="preserve"> </w:t>
      </w:r>
      <w:r w:rsidR="00977171" w:rsidRPr="005D0303">
        <w:t>f</w:t>
      </w:r>
      <w:r w:rsidR="002D43CE" w:rsidRPr="005D0303">
        <w:t>or</w:t>
      </w:r>
      <w:r w:rsidR="00977171" w:rsidRPr="005D0303">
        <w:t xml:space="preserve"> a transmitter:</w:t>
      </w:r>
    </w:p>
    <w:p w:rsidR="00977171" w:rsidRPr="005D0303" w:rsidRDefault="00977171" w:rsidP="00977171">
      <w:pPr>
        <w:pStyle w:val="Tabletext"/>
      </w:pPr>
    </w:p>
    <w:tbl>
      <w:tblPr>
        <w:tblW w:w="7181" w:type="dxa"/>
        <w:tblInd w:w="1242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830"/>
        <w:gridCol w:w="3637"/>
      </w:tblGrid>
      <w:tr w:rsidR="00977171" w:rsidRPr="005D0303" w:rsidTr="005D0303">
        <w:trPr>
          <w:tblHeader/>
        </w:trPr>
        <w:tc>
          <w:tcPr>
            <w:tcW w:w="718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977171" w:rsidRPr="005D0303" w:rsidRDefault="000B787C" w:rsidP="000B787C">
            <w:pPr>
              <w:pStyle w:val="TableHeading"/>
            </w:pPr>
            <w:r w:rsidRPr="005D0303">
              <w:t>Maximum p</w:t>
            </w:r>
            <w:r w:rsidR="005E1816" w:rsidRPr="005D0303">
              <w:t>ower factor</w:t>
            </w:r>
          </w:p>
        </w:tc>
      </w:tr>
      <w:tr w:rsidR="00E9740D" w:rsidRPr="005D0303" w:rsidTr="005D0303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E9740D" w:rsidRPr="005D0303" w:rsidRDefault="00E9740D" w:rsidP="005E1816">
            <w:pPr>
              <w:pStyle w:val="TableHeading"/>
            </w:pPr>
            <w:r w:rsidRPr="005D0303">
              <w:t>Item</w:t>
            </w:r>
          </w:p>
        </w:tc>
        <w:tc>
          <w:tcPr>
            <w:tcW w:w="283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E9740D" w:rsidRPr="005D0303" w:rsidRDefault="00E9740D" w:rsidP="00470191">
            <w:pPr>
              <w:pStyle w:val="TableHeading"/>
            </w:pPr>
            <w:r w:rsidRPr="005D0303">
              <w:t>Column 1</w:t>
            </w:r>
          </w:p>
          <w:p w:rsidR="00E9740D" w:rsidRPr="005D0303" w:rsidRDefault="00E9740D" w:rsidP="00470191">
            <w:pPr>
              <w:pStyle w:val="TableHeading"/>
            </w:pPr>
            <w:r w:rsidRPr="005D0303">
              <w:t xml:space="preserve">The </w:t>
            </w:r>
            <w:r w:rsidR="000B787C" w:rsidRPr="005D0303">
              <w:t xml:space="preserve">maximum </w:t>
            </w:r>
            <w:r w:rsidRPr="005D0303">
              <w:t>power factor for a transmitter is …</w:t>
            </w:r>
          </w:p>
        </w:tc>
        <w:tc>
          <w:tcPr>
            <w:tcW w:w="363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E9740D" w:rsidRPr="005D0303" w:rsidRDefault="00E9740D" w:rsidP="005E1816">
            <w:pPr>
              <w:pStyle w:val="TableHeading"/>
            </w:pPr>
            <w:r w:rsidRPr="005D0303">
              <w:t>Column 2</w:t>
            </w:r>
          </w:p>
          <w:p w:rsidR="00E9740D" w:rsidRPr="005D0303" w:rsidRDefault="00E9740D" w:rsidP="00E9740D">
            <w:pPr>
              <w:pStyle w:val="TableHeading"/>
            </w:pPr>
            <w:r w:rsidRPr="005D0303">
              <w:t xml:space="preserve">if the </w:t>
            </w:r>
            <w:r w:rsidR="000B787C" w:rsidRPr="005D0303">
              <w:t xml:space="preserve">maximum </w:t>
            </w:r>
            <w:r w:rsidRPr="005D0303">
              <w:t>power of the transmitter is …</w:t>
            </w:r>
          </w:p>
        </w:tc>
      </w:tr>
      <w:tr w:rsidR="00E9740D" w:rsidRPr="005D0303" w:rsidTr="005D0303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E9740D" w:rsidRPr="005D0303" w:rsidRDefault="00E9740D" w:rsidP="005E1816">
            <w:pPr>
              <w:pStyle w:val="Tabletext"/>
            </w:pPr>
            <w:r w:rsidRPr="005D0303">
              <w:t>1</w:t>
            </w:r>
          </w:p>
        </w:tc>
        <w:tc>
          <w:tcPr>
            <w:tcW w:w="2830" w:type="dxa"/>
            <w:tcBorders>
              <w:top w:val="single" w:sz="12" w:space="0" w:color="auto"/>
            </w:tcBorders>
            <w:shd w:val="clear" w:color="auto" w:fill="auto"/>
          </w:tcPr>
          <w:p w:rsidR="00E9740D" w:rsidRPr="005D0303" w:rsidRDefault="00E9740D" w:rsidP="002D43CE">
            <w:pPr>
              <w:pStyle w:val="Tabletext"/>
              <w:jc w:val="right"/>
            </w:pPr>
            <w:r w:rsidRPr="005D0303">
              <w:t>0.1</w:t>
            </w:r>
          </w:p>
        </w:tc>
        <w:tc>
          <w:tcPr>
            <w:tcW w:w="3637" w:type="dxa"/>
            <w:tcBorders>
              <w:top w:val="single" w:sz="12" w:space="0" w:color="auto"/>
            </w:tcBorders>
            <w:shd w:val="clear" w:color="auto" w:fill="auto"/>
          </w:tcPr>
          <w:p w:rsidR="00E9740D" w:rsidRPr="005D0303" w:rsidRDefault="00E9740D" w:rsidP="005E1816">
            <w:pPr>
              <w:pStyle w:val="Tabletext"/>
            </w:pPr>
            <w:r w:rsidRPr="005D0303">
              <w:t>low</w:t>
            </w:r>
            <w:r w:rsidR="002D43CE" w:rsidRPr="005D0303">
              <w:t>.</w:t>
            </w:r>
          </w:p>
        </w:tc>
      </w:tr>
      <w:tr w:rsidR="00E9740D" w:rsidRPr="005D0303" w:rsidTr="005D0303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E9740D" w:rsidRPr="005D0303" w:rsidRDefault="00E9740D" w:rsidP="005E1816">
            <w:pPr>
              <w:pStyle w:val="Tabletext"/>
            </w:pPr>
            <w:r w:rsidRPr="005D0303">
              <w:t>2</w:t>
            </w:r>
          </w:p>
        </w:tc>
        <w:tc>
          <w:tcPr>
            <w:tcW w:w="2830" w:type="dxa"/>
            <w:tcBorders>
              <w:bottom w:val="single" w:sz="2" w:space="0" w:color="auto"/>
            </w:tcBorders>
            <w:shd w:val="clear" w:color="auto" w:fill="auto"/>
          </w:tcPr>
          <w:p w:rsidR="00E9740D" w:rsidRPr="005D0303" w:rsidRDefault="00E9740D" w:rsidP="002D43CE">
            <w:pPr>
              <w:pStyle w:val="Tabletext"/>
              <w:jc w:val="right"/>
            </w:pPr>
            <w:r w:rsidRPr="005D0303">
              <w:t>1</w:t>
            </w:r>
            <w:r w:rsidR="00470191" w:rsidRPr="005D0303">
              <w:t>.0</w:t>
            </w:r>
          </w:p>
        </w:tc>
        <w:tc>
          <w:tcPr>
            <w:tcW w:w="3637" w:type="dxa"/>
            <w:tcBorders>
              <w:bottom w:val="single" w:sz="2" w:space="0" w:color="auto"/>
            </w:tcBorders>
            <w:shd w:val="clear" w:color="auto" w:fill="auto"/>
          </w:tcPr>
          <w:p w:rsidR="00E9740D" w:rsidRPr="005D0303" w:rsidRDefault="00E9740D" w:rsidP="005E1816">
            <w:pPr>
              <w:pStyle w:val="Tabletext"/>
            </w:pPr>
            <w:r w:rsidRPr="005D0303">
              <w:t>medium</w:t>
            </w:r>
            <w:r w:rsidR="002D43CE" w:rsidRPr="005D0303">
              <w:t>.</w:t>
            </w:r>
          </w:p>
        </w:tc>
      </w:tr>
      <w:tr w:rsidR="00E9740D" w:rsidRPr="005D0303" w:rsidTr="005D0303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E9740D" w:rsidRPr="005D0303" w:rsidRDefault="00E9740D" w:rsidP="005E1816">
            <w:pPr>
              <w:pStyle w:val="Tabletext"/>
            </w:pPr>
            <w:r w:rsidRPr="005D0303">
              <w:t>3</w:t>
            </w:r>
          </w:p>
        </w:tc>
        <w:tc>
          <w:tcPr>
            <w:tcW w:w="283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E9740D" w:rsidRPr="005D0303" w:rsidRDefault="00E9740D" w:rsidP="002D43CE">
            <w:pPr>
              <w:pStyle w:val="Tabletext"/>
              <w:jc w:val="right"/>
            </w:pPr>
            <w:r w:rsidRPr="005D0303">
              <w:t>10</w:t>
            </w:r>
            <w:r w:rsidR="00470191" w:rsidRPr="005D0303">
              <w:t>.0</w:t>
            </w:r>
          </w:p>
        </w:tc>
        <w:tc>
          <w:tcPr>
            <w:tcW w:w="363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E9740D" w:rsidRPr="005D0303" w:rsidRDefault="00E9740D" w:rsidP="005E1816">
            <w:pPr>
              <w:pStyle w:val="Tabletext"/>
            </w:pPr>
            <w:r w:rsidRPr="005D0303">
              <w:t>high</w:t>
            </w:r>
            <w:r w:rsidR="002D43CE" w:rsidRPr="005D0303">
              <w:t>.</w:t>
            </w:r>
          </w:p>
        </w:tc>
      </w:tr>
    </w:tbl>
    <w:p w:rsidR="00701C6D" w:rsidRPr="005D0303" w:rsidRDefault="00701C6D" w:rsidP="00701C6D">
      <w:pPr>
        <w:pStyle w:val="ActHead5"/>
      </w:pPr>
      <w:bookmarkStart w:id="9" w:name="_Toc495652556"/>
      <w:r w:rsidRPr="005D0303">
        <w:rPr>
          <w:rStyle w:val="CharSectno"/>
        </w:rPr>
        <w:t>7</w:t>
      </w:r>
      <w:r w:rsidRPr="005D0303">
        <w:t xml:space="preserve">  Adjustment for variations during year before anniversary</w:t>
      </w:r>
      <w:bookmarkEnd w:id="9"/>
    </w:p>
    <w:p w:rsidR="007463E8" w:rsidRPr="005D0303" w:rsidRDefault="007463E8" w:rsidP="00701C6D">
      <w:pPr>
        <w:pStyle w:val="subsection"/>
      </w:pPr>
      <w:r w:rsidRPr="005D0303">
        <w:tab/>
        <w:t>(1)</w:t>
      </w:r>
      <w:r w:rsidRPr="005D0303">
        <w:tab/>
        <w:t>This section applies to the</w:t>
      </w:r>
      <w:r w:rsidR="009C72F6" w:rsidRPr="005D0303">
        <w:t xml:space="preserve"> uncapped</w:t>
      </w:r>
      <w:r w:rsidRPr="005D0303">
        <w:t xml:space="preserve"> individual transmitter amount for a transmitter covered by a transmitter licence at a particular time if:</w:t>
      </w:r>
    </w:p>
    <w:p w:rsidR="007463E8" w:rsidRPr="005D0303" w:rsidRDefault="007463E8" w:rsidP="007463E8">
      <w:pPr>
        <w:pStyle w:val="paragraph"/>
      </w:pPr>
      <w:r w:rsidRPr="005D0303">
        <w:tab/>
        <w:t>(a)</w:t>
      </w:r>
      <w:r w:rsidRPr="005D0303">
        <w:tab/>
        <w:t>the time occurs:</w:t>
      </w:r>
    </w:p>
    <w:p w:rsidR="007463E8" w:rsidRPr="005D0303" w:rsidRDefault="007463E8" w:rsidP="007463E8">
      <w:pPr>
        <w:pStyle w:val="paragraphsub"/>
      </w:pPr>
      <w:r w:rsidRPr="005D0303">
        <w:tab/>
        <w:t>(i)</w:t>
      </w:r>
      <w:r w:rsidRPr="005D0303">
        <w:tab/>
        <w:t xml:space="preserve">on an anniversary (the </w:t>
      </w:r>
      <w:r w:rsidRPr="005D0303">
        <w:rPr>
          <w:b/>
          <w:i/>
        </w:rPr>
        <w:t>current anniversary</w:t>
      </w:r>
      <w:r w:rsidRPr="005D0303">
        <w:t xml:space="preserve">) of the day the licence </w:t>
      </w:r>
      <w:r w:rsidR="00D736B7" w:rsidRPr="005D0303">
        <w:t>came into force</w:t>
      </w:r>
      <w:r w:rsidRPr="005D0303">
        <w:t>; and</w:t>
      </w:r>
    </w:p>
    <w:p w:rsidR="007463E8" w:rsidRPr="005D0303" w:rsidRDefault="007463E8" w:rsidP="007463E8">
      <w:pPr>
        <w:pStyle w:val="paragraphsub"/>
      </w:pPr>
      <w:r w:rsidRPr="005D0303">
        <w:tab/>
        <w:t>(ii)</w:t>
      </w:r>
      <w:r w:rsidRPr="005D0303">
        <w:tab/>
        <w:t>after 1</w:t>
      </w:r>
      <w:r w:rsidR="005D0303" w:rsidRPr="005D0303">
        <w:t> </w:t>
      </w:r>
      <w:r w:rsidRPr="005D0303">
        <w:t>July 2017; and</w:t>
      </w:r>
    </w:p>
    <w:p w:rsidR="000723A4" w:rsidRPr="005D0303" w:rsidRDefault="000723A4" w:rsidP="000723A4">
      <w:pPr>
        <w:pStyle w:val="paragraph"/>
      </w:pPr>
      <w:r w:rsidRPr="005D0303">
        <w:tab/>
        <w:t>(b)</w:t>
      </w:r>
      <w:r w:rsidRPr="005D0303">
        <w:tab/>
        <w:t xml:space="preserve">the </w:t>
      </w:r>
      <w:r w:rsidR="00D736B7" w:rsidRPr="005D0303">
        <w:t xml:space="preserve">licence was varied on one or more occasions during the period (the </w:t>
      </w:r>
      <w:r w:rsidR="00D736B7" w:rsidRPr="005D0303">
        <w:rPr>
          <w:b/>
          <w:i/>
        </w:rPr>
        <w:t>previous tax period</w:t>
      </w:r>
      <w:r w:rsidR="00D736B7" w:rsidRPr="005D0303">
        <w:t>) beginning</w:t>
      </w:r>
      <w:r w:rsidRPr="005D0303">
        <w:t xml:space="preserve"> </w:t>
      </w:r>
      <w:r w:rsidR="00D736B7" w:rsidRPr="005D0303">
        <w:t>at</w:t>
      </w:r>
      <w:r w:rsidRPr="005D0303">
        <w:t xml:space="preserve"> the latest of:</w:t>
      </w:r>
    </w:p>
    <w:p w:rsidR="000723A4" w:rsidRPr="005D0303" w:rsidRDefault="000723A4" w:rsidP="000723A4">
      <w:pPr>
        <w:pStyle w:val="paragraphsub"/>
      </w:pPr>
      <w:r w:rsidRPr="005D0303">
        <w:tab/>
        <w:t>(i)</w:t>
      </w:r>
      <w:r w:rsidRPr="005D0303">
        <w:tab/>
      </w:r>
      <w:r w:rsidR="00D736B7" w:rsidRPr="005D0303">
        <w:t xml:space="preserve">the end of </w:t>
      </w:r>
      <w:r w:rsidRPr="005D0303">
        <w:t xml:space="preserve">the day the licence </w:t>
      </w:r>
      <w:r w:rsidR="00D736B7" w:rsidRPr="005D0303">
        <w:t>came into force</w:t>
      </w:r>
      <w:r w:rsidRPr="005D0303">
        <w:t>; and</w:t>
      </w:r>
    </w:p>
    <w:p w:rsidR="000723A4" w:rsidRPr="005D0303" w:rsidRDefault="000723A4" w:rsidP="000723A4">
      <w:pPr>
        <w:pStyle w:val="paragraphsub"/>
      </w:pPr>
      <w:r w:rsidRPr="005D0303">
        <w:tab/>
        <w:t>(ii)</w:t>
      </w:r>
      <w:r w:rsidRPr="005D0303">
        <w:tab/>
      </w:r>
      <w:r w:rsidR="00D736B7" w:rsidRPr="005D0303">
        <w:t xml:space="preserve">the end of the </w:t>
      </w:r>
      <w:r w:rsidRPr="005D0303">
        <w:t xml:space="preserve">last anniversary (if any) of the day the licence </w:t>
      </w:r>
      <w:r w:rsidR="00D736B7" w:rsidRPr="005D0303">
        <w:t>came into force</w:t>
      </w:r>
      <w:r w:rsidRPr="005D0303">
        <w:t xml:space="preserve"> that occur</w:t>
      </w:r>
      <w:r w:rsidR="00D736B7" w:rsidRPr="005D0303">
        <w:t>red</w:t>
      </w:r>
      <w:r w:rsidRPr="005D0303">
        <w:t xml:space="preserve"> before the current anniversary; and</w:t>
      </w:r>
    </w:p>
    <w:p w:rsidR="000723A4" w:rsidRPr="005D0303" w:rsidRDefault="000723A4" w:rsidP="000723A4">
      <w:pPr>
        <w:pStyle w:val="paragraphsub"/>
      </w:pPr>
      <w:r w:rsidRPr="005D0303">
        <w:tab/>
        <w:t>(iii)</w:t>
      </w:r>
      <w:r w:rsidRPr="005D0303">
        <w:tab/>
      </w:r>
      <w:r w:rsidR="00D736B7" w:rsidRPr="005D0303">
        <w:t xml:space="preserve">the end of </w:t>
      </w:r>
      <w:r w:rsidRPr="005D0303">
        <w:t>1</w:t>
      </w:r>
      <w:r w:rsidR="005D0303" w:rsidRPr="005D0303">
        <w:t> </w:t>
      </w:r>
      <w:r w:rsidRPr="005D0303">
        <w:t>July 2017;</w:t>
      </w:r>
    </w:p>
    <w:p w:rsidR="00930C24" w:rsidRPr="005D0303" w:rsidRDefault="000723A4" w:rsidP="000723A4">
      <w:pPr>
        <w:pStyle w:val="paragraph"/>
      </w:pPr>
      <w:r w:rsidRPr="005D0303">
        <w:tab/>
      </w:r>
      <w:r w:rsidRPr="005D0303">
        <w:tab/>
        <w:t xml:space="preserve">and ending at the end of the day before the current </w:t>
      </w:r>
      <w:r w:rsidR="00930C24" w:rsidRPr="005D0303">
        <w:t>anniversary.</w:t>
      </w:r>
    </w:p>
    <w:p w:rsidR="00701C6D" w:rsidRPr="005D0303" w:rsidRDefault="00701C6D" w:rsidP="00654683">
      <w:pPr>
        <w:pStyle w:val="subsection"/>
      </w:pPr>
      <w:r w:rsidRPr="005D0303">
        <w:tab/>
        <w:t>(2)</w:t>
      </w:r>
      <w:r w:rsidRPr="005D0303">
        <w:tab/>
        <w:t>The uncapped individual transmitter amount</w:t>
      </w:r>
      <w:r w:rsidR="00654683" w:rsidRPr="005D0303">
        <w:t xml:space="preserve"> </w:t>
      </w:r>
      <w:r w:rsidRPr="005D0303">
        <w:t xml:space="preserve">for </w:t>
      </w:r>
      <w:r w:rsidR="00654683" w:rsidRPr="005D0303">
        <w:t xml:space="preserve">the transmitter on the </w:t>
      </w:r>
      <w:r w:rsidR="000723A4" w:rsidRPr="005D0303">
        <w:t xml:space="preserve">current </w:t>
      </w:r>
      <w:r w:rsidR="00654683" w:rsidRPr="005D0303">
        <w:t xml:space="preserve">anniversary </w:t>
      </w:r>
      <w:r w:rsidRPr="005D0303">
        <w:t>must</w:t>
      </w:r>
      <w:r w:rsidR="00EF36FA" w:rsidRPr="005D0303">
        <w:t xml:space="preserve"> </w:t>
      </w:r>
      <w:r w:rsidRPr="005D0303">
        <w:t>be increased or decreased in accordance with the following method statement</w:t>
      </w:r>
      <w:r w:rsidR="00654683" w:rsidRPr="005D0303">
        <w:t>:</w:t>
      </w:r>
    </w:p>
    <w:p w:rsidR="00701C6D" w:rsidRPr="005D0303" w:rsidRDefault="00701C6D" w:rsidP="00701C6D">
      <w:pPr>
        <w:pStyle w:val="BoxHeadBold"/>
      </w:pPr>
      <w:r w:rsidRPr="005D0303">
        <w:t>Adjustment Calculator</w:t>
      </w:r>
    </w:p>
    <w:p w:rsidR="00701C6D" w:rsidRPr="005D0303" w:rsidRDefault="00701C6D" w:rsidP="00701C6D">
      <w:pPr>
        <w:pStyle w:val="BoxText"/>
      </w:pPr>
      <w:r w:rsidRPr="005D0303">
        <w:t>This is how to increase or decrease the uncapped individual transmitter amount.</w:t>
      </w:r>
    </w:p>
    <w:p w:rsidR="00701C6D" w:rsidRPr="005D0303" w:rsidRDefault="00701C6D" w:rsidP="00701C6D">
      <w:pPr>
        <w:pStyle w:val="BoxHeadItalic"/>
      </w:pPr>
      <w:r w:rsidRPr="005D0303">
        <w:t>Method statement</w:t>
      </w:r>
    </w:p>
    <w:p w:rsidR="00701C6D" w:rsidRPr="005D0303" w:rsidRDefault="00701C6D" w:rsidP="00701C6D">
      <w:pPr>
        <w:pStyle w:val="BoxStep"/>
      </w:pPr>
      <w:r w:rsidRPr="005D0303">
        <w:t>Step 1.</w:t>
      </w:r>
      <w:r w:rsidRPr="005D0303">
        <w:tab/>
      </w:r>
      <w:r w:rsidR="00056C70" w:rsidRPr="005D0303">
        <w:t xml:space="preserve">Work out the </w:t>
      </w:r>
      <w:r w:rsidR="00056C70" w:rsidRPr="005D0303">
        <w:rPr>
          <w:b/>
          <w:i/>
        </w:rPr>
        <w:t>daily amount</w:t>
      </w:r>
      <w:r w:rsidR="00056C70" w:rsidRPr="005D0303">
        <w:t xml:space="preserve"> f</w:t>
      </w:r>
      <w:r w:rsidRPr="005D0303">
        <w:t xml:space="preserve">or each day in the previous </w:t>
      </w:r>
      <w:r w:rsidR="000723A4" w:rsidRPr="005D0303">
        <w:t>tax period</w:t>
      </w:r>
      <w:r w:rsidR="00056C70" w:rsidRPr="005D0303">
        <w:t xml:space="preserve"> by</w:t>
      </w:r>
      <w:r w:rsidRPr="005D0303">
        <w:t>:</w:t>
      </w:r>
    </w:p>
    <w:p w:rsidR="00701C6D" w:rsidRPr="005D0303" w:rsidRDefault="00701C6D" w:rsidP="00701C6D">
      <w:pPr>
        <w:pStyle w:val="BoxPara"/>
      </w:pPr>
      <w:r w:rsidRPr="005D0303">
        <w:lastRenderedPageBreak/>
        <w:tab/>
        <w:t>(a)</w:t>
      </w:r>
      <w:r w:rsidRPr="005D0303">
        <w:tab/>
        <w:t>work</w:t>
      </w:r>
      <w:r w:rsidR="00056C70" w:rsidRPr="005D0303">
        <w:t>ing</w:t>
      </w:r>
      <w:r w:rsidRPr="005D0303">
        <w:t xml:space="preserve"> out the uncapped individual transmitter amount for the transmitter at the start of that day (disregarding this section); and</w:t>
      </w:r>
    </w:p>
    <w:p w:rsidR="00701C6D" w:rsidRPr="005D0303" w:rsidRDefault="00701C6D" w:rsidP="00701C6D">
      <w:pPr>
        <w:pStyle w:val="BoxPara"/>
      </w:pPr>
      <w:r w:rsidRPr="005D0303">
        <w:tab/>
        <w:t>(b)</w:t>
      </w:r>
      <w:r w:rsidRPr="005D0303">
        <w:tab/>
        <w:t>divid</w:t>
      </w:r>
      <w:r w:rsidR="00056C70" w:rsidRPr="005D0303">
        <w:t>ing</w:t>
      </w:r>
      <w:r w:rsidRPr="005D0303">
        <w:t xml:space="preserve"> it by </w:t>
      </w:r>
      <w:r w:rsidR="00075407" w:rsidRPr="005D0303">
        <w:t xml:space="preserve">the number of days in </w:t>
      </w:r>
      <w:r w:rsidR="00FF519F" w:rsidRPr="005D0303">
        <w:t xml:space="preserve">the </w:t>
      </w:r>
      <w:r w:rsidR="00075407" w:rsidRPr="005D0303">
        <w:t>financial year in which the current anniversary occurs</w:t>
      </w:r>
      <w:r w:rsidRPr="005D0303">
        <w:t>.</w:t>
      </w:r>
    </w:p>
    <w:p w:rsidR="004E08F7" w:rsidRPr="005D0303" w:rsidRDefault="004E08F7" w:rsidP="004E08F7">
      <w:pPr>
        <w:pStyle w:val="BoxNote"/>
      </w:pPr>
      <w:r w:rsidRPr="005D0303">
        <w:tab/>
        <w:t>Note:</w:t>
      </w:r>
      <w:r w:rsidRPr="005D0303">
        <w:tab/>
        <w:t xml:space="preserve">Under </w:t>
      </w:r>
      <w:r w:rsidR="005D0303" w:rsidRPr="005D0303">
        <w:t>subsection (</w:t>
      </w:r>
      <w:r w:rsidR="00EE485A" w:rsidRPr="005D0303">
        <w:t>3</w:t>
      </w:r>
      <w:r w:rsidRPr="005D0303">
        <w:t>), any indexation of the minimum uncapped individual transmitter amount and the dollars per kH</w:t>
      </w:r>
      <w:r w:rsidR="00BE69B3" w:rsidRPr="005D0303">
        <w:t>z</w:t>
      </w:r>
      <w:r w:rsidRPr="005D0303">
        <w:t xml:space="preserve"> of spectrum bandwidth that occurs after the start of the previous </w:t>
      </w:r>
      <w:r w:rsidR="000723A4" w:rsidRPr="005D0303">
        <w:t>tax period</w:t>
      </w:r>
      <w:r w:rsidR="00C34DA4" w:rsidRPr="005D0303">
        <w:t xml:space="preserve"> </w:t>
      </w:r>
      <w:r w:rsidRPr="005D0303">
        <w:t xml:space="preserve">is disregarded for the purposes of this </w:t>
      </w:r>
      <w:r w:rsidR="00854238" w:rsidRPr="005D0303">
        <w:t>s</w:t>
      </w:r>
      <w:r w:rsidRPr="005D0303">
        <w:t>tep.</w:t>
      </w:r>
    </w:p>
    <w:p w:rsidR="00654683" w:rsidRPr="005D0303" w:rsidRDefault="00654683" w:rsidP="00654683">
      <w:pPr>
        <w:pStyle w:val="BoxStep"/>
      </w:pPr>
      <w:r w:rsidRPr="005D0303">
        <w:t>Step 2.</w:t>
      </w:r>
      <w:r w:rsidRPr="005D0303">
        <w:tab/>
        <w:t xml:space="preserve">Work out the uncapped individual transmitter amount for the transmitter at the start of the previous </w:t>
      </w:r>
      <w:r w:rsidR="000723A4" w:rsidRPr="005D0303">
        <w:t>tax period</w:t>
      </w:r>
      <w:r w:rsidRPr="005D0303">
        <w:t xml:space="preserve"> (disregarding this section).</w:t>
      </w:r>
    </w:p>
    <w:p w:rsidR="00701C6D" w:rsidRPr="005D0303" w:rsidRDefault="00701C6D" w:rsidP="00701C6D">
      <w:pPr>
        <w:pStyle w:val="BoxStep"/>
      </w:pPr>
      <w:r w:rsidRPr="005D0303">
        <w:t>Step 3.</w:t>
      </w:r>
      <w:r w:rsidRPr="005D0303">
        <w:tab/>
        <w:t xml:space="preserve">If the total of the </w:t>
      </w:r>
      <w:r w:rsidR="00854238" w:rsidRPr="005D0303">
        <w:t>daily amounts worked out under s</w:t>
      </w:r>
      <w:r w:rsidRPr="005D0303">
        <w:t xml:space="preserve">tep 1 is greater than the amount worked out under </w:t>
      </w:r>
      <w:r w:rsidR="00854238" w:rsidRPr="005D0303">
        <w:t>s</w:t>
      </w:r>
      <w:r w:rsidRPr="005D0303">
        <w:t xml:space="preserve">tep 2, increase the uncapped individual transmitter amount for the transmitter at the </w:t>
      </w:r>
      <w:r w:rsidR="000723A4" w:rsidRPr="005D0303">
        <w:t xml:space="preserve">current </w:t>
      </w:r>
      <w:r w:rsidRPr="005D0303">
        <w:t>anniversary by the difference.</w:t>
      </w:r>
    </w:p>
    <w:p w:rsidR="00701C6D" w:rsidRPr="005D0303" w:rsidRDefault="00701C6D" w:rsidP="00701C6D">
      <w:pPr>
        <w:pStyle w:val="BoxStep"/>
      </w:pPr>
      <w:r w:rsidRPr="005D0303">
        <w:t>Step 4.</w:t>
      </w:r>
      <w:r w:rsidRPr="005D0303">
        <w:tab/>
        <w:t xml:space="preserve">Otherwise, decrease the uncapped individual transmitter amount for the transmitter at the </w:t>
      </w:r>
      <w:r w:rsidR="000723A4" w:rsidRPr="005D0303">
        <w:t xml:space="preserve">current </w:t>
      </w:r>
      <w:r w:rsidRPr="005D0303">
        <w:t>anniversary by the difference.</w:t>
      </w:r>
    </w:p>
    <w:p w:rsidR="00F34FE4" w:rsidRPr="005D0303" w:rsidRDefault="007A0AF2" w:rsidP="007A0AF2">
      <w:pPr>
        <w:pStyle w:val="notetext"/>
      </w:pPr>
      <w:r w:rsidRPr="005D0303">
        <w:t>Example:</w:t>
      </w:r>
      <w:r w:rsidRPr="005D0303">
        <w:tab/>
        <w:t>On 1</w:t>
      </w:r>
      <w:r w:rsidR="005D0303" w:rsidRPr="005D0303">
        <w:t> </w:t>
      </w:r>
      <w:r w:rsidRPr="005D0303">
        <w:t>January 2018, tax of $92</w:t>
      </w:r>
      <w:r w:rsidR="00075407" w:rsidRPr="005D0303">
        <w:t>1</w:t>
      </w:r>
      <w:r w:rsidRPr="005D0303">
        <w:t>,</w:t>
      </w:r>
      <w:r w:rsidR="00075407" w:rsidRPr="005D0303">
        <w:t>053</w:t>
      </w:r>
      <w:r w:rsidR="002A6531" w:rsidRPr="005D0303">
        <w:t>.00</w:t>
      </w:r>
      <w:r w:rsidRPr="005D0303">
        <w:t xml:space="preserve"> is imposed on a transmitter licence which authorises the operation of a </w:t>
      </w:r>
      <w:r w:rsidR="00CF6DFD" w:rsidRPr="005D0303">
        <w:t>high</w:t>
      </w:r>
      <w:r w:rsidR="00CC40BC" w:rsidRPr="005D0303">
        <w:t xml:space="preserve"> power </w:t>
      </w:r>
      <w:r w:rsidRPr="005D0303">
        <w:t>UHF transmitter at a location with a medium population density. On 1</w:t>
      </w:r>
      <w:r w:rsidR="005D0303" w:rsidRPr="005D0303">
        <w:t> </w:t>
      </w:r>
      <w:r w:rsidR="00CF6DFD" w:rsidRPr="005D0303">
        <w:t>December</w:t>
      </w:r>
      <w:r w:rsidRPr="005D0303">
        <w:t xml:space="preserve"> 2018, the licence is amended to authorise </w:t>
      </w:r>
      <w:r w:rsidR="002A6531" w:rsidRPr="005D0303">
        <w:t>medium</w:t>
      </w:r>
      <w:r w:rsidR="00F34FE4" w:rsidRPr="005D0303">
        <w:t xml:space="preserve"> power. On 1</w:t>
      </w:r>
      <w:r w:rsidR="005D0303" w:rsidRPr="005D0303">
        <w:t> </w:t>
      </w:r>
      <w:r w:rsidR="00F34FE4" w:rsidRPr="005D0303">
        <w:t>January 2019, t</w:t>
      </w:r>
      <w:r w:rsidRPr="005D0303">
        <w:t xml:space="preserve">ax is payable on the licence </w:t>
      </w:r>
      <w:r w:rsidR="00F34FE4" w:rsidRPr="005D0303">
        <w:t>again</w:t>
      </w:r>
      <w:r w:rsidRPr="005D0303">
        <w:t>.</w:t>
      </w:r>
    </w:p>
    <w:p w:rsidR="007A0AF2" w:rsidRPr="005D0303" w:rsidRDefault="00F34FE4" w:rsidP="007A0AF2">
      <w:pPr>
        <w:pStyle w:val="notetext"/>
      </w:pPr>
      <w:r w:rsidRPr="005D0303">
        <w:tab/>
      </w:r>
      <w:r w:rsidR="007A0AF2" w:rsidRPr="005D0303">
        <w:t xml:space="preserve">The </w:t>
      </w:r>
      <w:r w:rsidR="002C4EA4" w:rsidRPr="005D0303">
        <w:t xml:space="preserve">uncapped </w:t>
      </w:r>
      <w:r w:rsidR="007A0AF2" w:rsidRPr="005D0303">
        <w:t xml:space="preserve">individual transmitter amount for the transmitter on </w:t>
      </w:r>
      <w:r w:rsidRPr="005D0303">
        <w:t>1</w:t>
      </w:r>
      <w:r w:rsidR="005D0303" w:rsidRPr="005D0303">
        <w:t> </w:t>
      </w:r>
      <w:r w:rsidRPr="005D0303">
        <w:t>January 2019</w:t>
      </w:r>
      <w:r w:rsidR="007A0AF2" w:rsidRPr="005D0303">
        <w:t xml:space="preserve"> worked out under section</w:t>
      </w:r>
      <w:r w:rsidR="005D0303" w:rsidRPr="005D0303">
        <w:t> </w:t>
      </w:r>
      <w:r w:rsidR="007A0AF2" w:rsidRPr="005D0303">
        <w:t>6</w:t>
      </w:r>
      <w:r w:rsidRPr="005D0303">
        <w:t xml:space="preserve"> of this instrument</w:t>
      </w:r>
      <w:r w:rsidR="00FF519F" w:rsidRPr="005D0303">
        <w:t xml:space="preserve"> ($92,105.30, assuming there was no indexation on 1</w:t>
      </w:r>
      <w:r w:rsidR="005D0303" w:rsidRPr="005D0303">
        <w:t> </w:t>
      </w:r>
      <w:r w:rsidR="00FF519F" w:rsidRPr="005D0303">
        <w:t>July 2018)</w:t>
      </w:r>
      <w:r w:rsidR="007A0AF2" w:rsidRPr="005D0303">
        <w:t xml:space="preserve"> is </w:t>
      </w:r>
      <w:r w:rsidR="00CF6DFD" w:rsidRPr="005D0303">
        <w:t>decreased</w:t>
      </w:r>
      <w:r w:rsidR="007A0AF2" w:rsidRPr="005D0303">
        <w:t xml:space="preserve"> using the method statement</w:t>
      </w:r>
      <w:r w:rsidRPr="005D0303">
        <w:t xml:space="preserve"> in this subsection</w:t>
      </w:r>
      <w:r w:rsidR="007A0AF2" w:rsidRPr="005D0303">
        <w:t xml:space="preserve"> as follows:</w:t>
      </w:r>
    </w:p>
    <w:p w:rsidR="007A0AF2" w:rsidRPr="005D0303" w:rsidRDefault="007A0AF2" w:rsidP="007A0AF2">
      <w:pPr>
        <w:pStyle w:val="notepara"/>
      </w:pPr>
      <w:r w:rsidRPr="005D0303">
        <w:t>(a)</w:t>
      </w:r>
      <w:r w:rsidRPr="005D0303">
        <w:tab/>
      </w:r>
      <w:r w:rsidR="00854238" w:rsidRPr="005D0303">
        <w:t>s</w:t>
      </w:r>
      <w:r w:rsidRPr="005D0303">
        <w:t xml:space="preserve">tep 1 produces </w:t>
      </w:r>
      <w:r w:rsidR="00CF6DFD" w:rsidRPr="005D0303">
        <w:t>334</w:t>
      </w:r>
      <w:r w:rsidRPr="005D0303">
        <w:t xml:space="preserve"> daily amounts of $252</w:t>
      </w:r>
      <w:r w:rsidR="00CF6DFD" w:rsidRPr="005D0303">
        <w:t>3</w:t>
      </w:r>
      <w:r w:rsidRPr="005D0303">
        <w:t>.</w:t>
      </w:r>
      <w:r w:rsidR="00CF6DFD" w:rsidRPr="005D0303">
        <w:t>43</w:t>
      </w:r>
      <w:r w:rsidRPr="005D0303">
        <w:t xml:space="preserve"> (for each day between 1</w:t>
      </w:r>
      <w:r w:rsidR="005D0303" w:rsidRPr="005D0303">
        <w:t> </w:t>
      </w:r>
      <w:r w:rsidRPr="005D0303">
        <w:t xml:space="preserve">January </w:t>
      </w:r>
      <w:r w:rsidR="00CF6DFD" w:rsidRPr="005D0303">
        <w:t>and</w:t>
      </w:r>
      <w:r w:rsidRPr="005D0303">
        <w:t xml:space="preserve"> </w:t>
      </w:r>
      <w:r w:rsidR="00CF6DFD" w:rsidRPr="005D0303">
        <w:t>30</w:t>
      </w:r>
      <w:r w:rsidR="005D0303" w:rsidRPr="005D0303">
        <w:t> </w:t>
      </w:r>
      <w:r w:rsidR="00CF6DFD" w:rsidRPr="005D0303">
        <w:t>November</w:t>
      </w:r>
      <w:r w:rsidRPr="005D0303">
        <w:t xml:space="preserve"> 2018), and </w:t>
      </w:r>
      <w:r w:rsidR="00CF6DFD" w:rsidRPr="005D0303">
        <w:t>31</w:t>
      </w:r>
      <w:r w:rsidRPr="005D0303">
        <w:t xml:space="preserve"> daily amounts of $252.</w:t>
      </w:r>
      <w:r w:rsidR="00CF6DFD" w:rsidRPr="005D0303">
        <w:t>34</w:t>
      </w:r>
      <w:r w:rsidRPr="005D0303">
        <w:t xml:space="preserve"> (for each day between 1</w:t>
      </w:r>
      <w:r w:rsidR="005D0303" w:rsidRPr="005D0303">
        <w:t> </w:t>
      </w:r>
      <w:r w:rsidR="00CF6DFD" w:rsidRPr="005D0303">
        <w:t>December and 31</w:t>
      </w:r>
      <w:r w:rsidR="005D0303" w:rsidRPr="005D0303">
        <w:t> </w:t>
      </w:r>
      <w:r w:rsidRPr="005D0303">
        <w:t>December 2018);</w:t>
      </w:r>
    </w:p>
    <w:p w:rsidR="007A0AF2" w:rsidRPr="005D0303" w:rsidRDefault="007A0AF2" w:rsidP="007A0AF2">
      <w:pPr>
        <w:pStyle w:val="notepara"/>
        <w:rPr>
          <w:color w:val="000000" w:themeColor="text1"/>
        </w:rPr>
      </w:pPr>
      <w:r w:rsidRPr="005D0303">
        <w:t>(b)</w:t>
      </w:r>
      <w:r w:rsidRPr="005D0303">
        <w:tab/>
      </w:r>
      <w:r w:rsidR="002C4EA4" w:rsidRPr="005D0303">
        <w:t xml:space="preserve">for </w:t>
      </w:r>
      <w:r w:rsidR="00854238" w:rsidRPr="005D0303">
        <w:t>s</w:t>
      </w:r>
      <w:r w:rsidR="002C4EA4" w:rsidRPr="005D0303">
        <w:t xml:space="preserve">tep 2, </w:t>
      </w:r>
      <w:r w:rsidR="00F34FE4" w:rsidRPr="005D0303">
        <w:t>t</w:t>
      </w:r>
      <w:r w:rsidRPr="005D0303">
        <w:rPr>
          <w:color w:val="000000" w:themeColor="text1"/>
        </w:rPr>
        <w:t xml:space="preserve">he </w:t>
      </w:r>
      <w:r w:rsidR="002C4EA4" w:rsidRPr="005D0303">
        <w:rPr>
          <w:color w:val="000000" w:themeColor="text1"/>
        </w:rPr>
        <w:t xml:space="preserve">uncapped </w:t>
      </w:r>
      <w:r w:rsidRPr="005D0303">
        <w:rPr>
          <w:color w:val="000000" w:themeColor="text1"/>
        </w:rPr>
        <w:t>individual transmitter amount on 1</w:t>
      </w:r>
      <w:r w:rsidR="005D0303" w:rsidRPr="005D0303">
        <w:rPr>
          <w:color w:val="000000" w:themeColor="text1"/>
        </w:rPr>
        <w:t> </w:t>
      </w:r>
      <w:r w:rsidRPr="005D0303">
        <w:rPr>
          <w:color w:val="000000" w:themeColor="text1"/>
        </w:rPr>
        <w:t>January 2018 was $92</w:t>
      </w:r>
      <w:r w:rsidR="00CF6DFD" w:rsidRPr="005D0303">
        <w:rPr>
          <w:color w:val="000000" w:themeColor="text1"/>
        </w:rPr>
        <w:t>1</w:t>
      </w:r>
      <w:r w:rsidR="00F34FE4" w:rsidRPr="005D0303">
        <w:rPr>
          <w:color w:val="000000" w:themeColor="text1"/>
        </w:rPr>
        <w:t>,</w:t>
      </w:r>
      <w:r w:rsidR="00CF6DFD" w:rsidRPr="005D0303">
        <w:rPr>
          <w:color w:val="000000" w:themeColor="text1"/>
        </w:rPr>
        <w:t>053</w:t>
      </w:r>
      <w:r w:rsidR="002A6531" w:rsidRPr="005D0303">
        <w:rPr>
          <w:color w:val="000000" w:themeColor="text1"/>
        </w:rPr>
        <w:t>.00</w:t>
      </w:r>
      <w:r w:rsidR="00F34FE4" w:rsidRPr="005D0303">
        <w:rPr>
          <w:color w:val="000000" w:themeColor="text1"/>
        </w:rPr>
        <w:t>;</w:t>
      </w:r>
    </w:p>
    <w:p w:rsidR="007A0AF2" w:rsidRPr="005D0303" w:rsidRDefault="007A0AF2" w:rsidP="007A0AF2">
      <w:pPr>
        <w:pStyle w:val="notepara"/>
        <w:rPr>
          <w:color w:val="000000" w:themeColor="text1"/>
        </w:rPr>
      </w:pPr>
      <w:r w:rsidRPr="005D0303">
        <w:t>(c)</w:t>
      </w:r>
      <w:r w:rsidRPr="005D0303">
        <w:tab/>
      </w:r>
      <w:r w:rsidR="00F34FE4" w:rsidRPr="005D0303">
        <w:t>t</w:t>
      </w:r>
      <w:r w:rsidRPr="005D0303">
        <w:t xml:space="preserve">he total of the </w:t>
      </w:r>
      <w:r w:rsidR="00CF6DFD" w:rsidRPr="005D0303">
        <w:t xml:space="preserve">step 1 </w:t>
      </w:r>
      <w:r w:rsidRPr="005D0303">
        <w:rPr>
          <w:color w:val="000000" w:themeColor="text1"/>
        </w:rPr>
        <w:t xml:space="preserve">daily amounts </w:t>
      </w:r>
      <w:r w:rsidR="00F34FE4" w:rsidRPr="005D0303">
        <w:rPr>
          <w:color w:val="000000" w:themeColor="text1"/>
        </w:rPr>
        <w:t>(</w:t>
      </w:r>
      <w:r w:rsidRPr="005D0303">
        <w:rPr>
          <w:color w:val="000000" w:themeColor="text1"/>
        </w:rPr>
        <w:t>$</w:t>
      </w:r>
      <w:r w:rsidR="00CF6DFD" w:rsidRPr="005D0303">
        <w:rPr>
          <w:color w:val="000000" w:themeColor="text1"/>
        </w:rPr>
        <w:t>850,648.16</w:t>
      </w:r>
      <w:r w:rsidR="00F34FE4" w:rsidRPr="005D0303">
        <w:rPr>
          <w:color w:val="000000" w:themeColor="text1"/>
        </w:rPr>
        <w:t xml:space="preserve">) is </w:t>
      </w:r>
      <w:r w:rsidR="00680DE7" w:rsidRPr="005D0303">
        <w:rPr>
          <w:color w:val="000000" w:themeColor="text1"/>
        </w:rPr>
        <w:t xml:space="preserve">less </w:t>
      </w:r>
      <w:r w:rsidR="00F34FE4" w:rsidRPr="005D0303">
        <w:rPr>
          <w:color w:val="000000" w:themeColor="text1"/>
        </w:rPr>
        <w:t xml:space="preserve">than </w:t>
      </w:r>
      <w:r w:rsidR="00CF6DFD" w:rsidRPr="005D0303">
        <w:rPr>
          <w:color w:val="000000" w:themeColor="text1"/>
        </w:rPr>
        <w:t>the step 2 uncapped individual transmitter amount on 1</w:t>
      </w:r>
      <w:r w:rsidR="005D0303" w:rsidRPr="005D0303">
        <w:rPr>
          <w:color w:val="000000" w:themeColor="text1"/>
        </w:rPr>
        <w:t> </w:t>
      </w:r>
      <w:r w:rsidR="00CF6DFD" w:rsidRPr="005D0303">
        <w:rPr>
          <w:color w:val="000000" w:themeColor="text1"/>
        </w:rPr>
        <w:t>January 2018</w:t>
      </w:r>
      <w:r w:rsidR="00F34FE4" w:rsidRPr="005D0303">
        <w:rPr>
          <w:color w:val="000000" w:themeColor="text1"/>
        </w:rPr>
        <w:t xml:space="preserve"> (</w:t>
      </w:r>
      <w:r w:rsidRPr="005D0303">
        <w:rPr>
          <w:color w:val="000000" w:themeColor="text1"/>
        </w:rPr>
        <w:t>$92</w:t>
      </w:r>
      <w:r w:rsidR="00CF6DFD" w:rsidRPr="005D0303">
        <w:rPr>
          <w:color w:val="000000" w:themeColor="text1"/>
        </w:rPr>
        <w:t>1,053</w:t>
      </w:r>
      <w:r w:rsidR="002A6531" w:rsidRPr="005D0303">
        <w:rPr>
          <w:color w:val="000000" w:themeColor="text1"/>
        </w:rPr>
        <w:t>.00</w:t>
      </w:r>
      <w:r w:rsidR="00F34FE4" w:rsidRPr="005D0303">
        <w:rPr>
          <w:color w:val="000000" w:themeColor="text1"/>
        </w:rPr>
        <w:t>)</w:t>
      </w:r>
      <w:r w:rsidRPr="005D0303">
        <w:rPr>
          <w:color w:val="000000" w:themeColor="text1"/>
        </w:rPr>
        <w:t xml:space="preserve"> and so the </w:t>
      </w:r>
      <w:r w:rsidR="002C4EA4" w:rsidRPr="005D0303">
        <w:rPr>
          <w:color w:val="000000" w:themeColor="text1"/>
        </w:rPr>
        <w:t xml:space="preserve">uncapped </w:t>
      </w:r>
      <w:r w:rsidRPr="005D0303">
        <w:rPr>
          <w:color w:val="000000" w:themeColor="text1"/>
        </w:rPr>
        <w:t>individual transmitter amount on 1</w:t>
      </w:r>
      <w:r w:rsidR="005D0303" w:rsidRPr="005D0303">
        <w:rPr>
          <w:color w:val="000000" w:themeColor="text1"/>
        </w:rPr>
        <w:t> </w:t>
      </w:r>
      <w:r w:rsidRPr="005D0303">
        <w:rPr>
          <w:color w:val="000000" w:themeColor="text1"/>
        </w:rPr>
        <w:t xml:space="preserve">January 2019 is </w:t>
      </w:r>
      <w:r w:rsidR="00CF6DFD" w:rsidRPr="005D0303">
        <w:rPr>
          <w:color w:val="000000" w:themeColor="text1"/>
        </w:rPr>
        <w:t>decreased</w:t>
      </w:r>
      <w:r w:rsidRPr="005D0303">
        <w:rPr>
          <w:color w:val="000000" w:themeColor="text1"/>
        </w:rPr>
        <w:t xml:space="preserve"> under </w:t>
      </w:r>
      <w:r w:rsidR="00854238" w:rsidRPr="005D0303">
        <w:rPr>
          <w:color w:val="000000" w:themeColor="text1"/>
        </w:rPr>
        <w:t>s</w:t>
      </w:r>
      <w:r w:rsidRPr="005D0303">
        <w:rPr>
          <w:color w:val="000000" w:themeColor="text1"/>
        </w:rPr>
        <w:t xml:space="preserve">tep </w:t>
      </w:r>
      <w:r w:rsidR="00CF6DFD" w:rsidRPr="005D0303">
        <w:rPr>
          <w:color w:val="000000" w:themeColor="text1"/>
        </w:rPr>
        <w:t>4</w:t>
      </w:r>
      <w:r w:rsidRPr="005D0303">
        <w:rPr>
          <w:color w:val="000000" w:themeColor="text1"/>
        </w:rPr>
        <w:t xml:space="preserve"> by the difference</w:t>
      </w:r>
      <w:r w:rsidR="00F34FE4" w:rsidRPr="005D0303">
        <w:rPr>
          <w:color w:val="000000" w:themeColor="text1"/>
        </w:rPr>
        <w:t xml:space="preserve"> (</w:t>
      </w:r>
      <w:r w:rsidRPr="005D0303">
        <w:rPr>
          <w:color w:val="000000" w:themeColor="text1"/>
        </w:rPr>
        <w:t>$</w:t>
      </w:r>
      <w:r w:rsidR="00CF6DFD" w:rsidRPr="005D0303">
        <w:rPr>
          <w:color w:val="000000" w:themeColor="text1"/>
        </w:rPr>
        <w:t>70,404.84</w:t>
      </w:r>
      <w:r w:rsidR="00F34FE4" w:rsidRPr="005D0303">
        <w:rPr>
          <w:color w:val="000000" w:themeColor="text1"/>
        </w:rPr>
        <w:t>)</w:t>
      </w:r>
      <w:r w:rsidR="00FF519F" w:rsidRPr="005D0303">
        <w:rPr>
          <w:color w:val="000000" w:themeColor="text1"/>
        </w:rPr>
        <w:t xml:space="preserve"> to $21,700.46</w:t>
      </w:r>
      <w:r w:rsidRPr="005D0303">
        <w:rPr>
          <w:color w:val="000000" w:themeColor="text1"/>
        </w:rPr>
        <w:t>.</w:t>
      </w:r>
    </w:p>
    <w:p w:rsidR="00A73DB5" w:rsidRPr="005D0303" w:rsidRDefault="00A73DB5" w:rsidP="00A73DB5">
      <w:pPr>
        <w:pStyle w:val="SubsectionHead"/>
      </w:pPr>
      <w:r w:rsidRPr="005D0303">
        <w:t>Indexation</w:t>
      </w:r>
    </w:p>
    <w:p w:rsidR="00A73DB5" w:rsidRPr="005D0303" w:rsidRDefault="00A73DB5" w:rsidP="00A73DB5">
      <w:pPr>
        <w:pStyle w:val="subsection"/>
      </w:pPr>
      <w:r w:rsidRPr="005D0303">
        <w:tab/>
        <w:t>(3)</w:t>
      </w:r>
      <w:r w:rsidRPr="005D0303">
        <w:tab/>
        <w:t>In applying subsections</w:t>
      </w:r>
      <w:r w:rsidR="005D0303" w:rsidRPr="005D0303">
        <w:t> </w:t>
      </w:r>
      <w:r w:rsidRPr="005D0303">
        <w:t>6</w:t>
      </w:r>
      <w:r w:rsidR="00854238" w:rsidRPr="005D0303">
        <w:t>(3) to (6) for the purposes of s</w:t>
      </w:r>
      <w:r w:rsidRPr="005D0303">
        <w:t xml:space="preserve">tep 1 of the method statement in </w:t>
      </w:r>
      <w:r w:rsidR="005D0303" w:rsidRPr="005D0303">
        <w:t>subsection (</w:t>
      </w:r>
      <w:r w:rsidRPr="005D0303">
        <w:t xml:space="preserve">2) of this section, each day in the previous </w:t>
      </w:r>
      <w:r w:rsidR="000723A4" w:rsidRPr="005D0303">
        <w:t>tax period</w:t>
      </w:r>
      <w:r w:rsidRPr="005D0303">
        <w:t xml:space="preserve"> is taken to </w:t>
      </w:r>
      <w:r w:rsidR="000723A4" w:rsidRPr="005D0303">
        <w:t xml:space="preserve">have </w:t>
      </w:r>
      <w:r w:rsidRPr="005D0303">
        <w:t>occur</w:t>
      </w:r>
      <w:r w:rsidR="000723A4" w:rsidRPr="005D0303">
        <w:t>red</w:t>
      </w:r>
      <w:r w:rsidRPr="005D0303">
        <w:t xml:space="preserve"> in the financial year in which the previous </w:t>
      </w:r>
      <w:r w:rsidR="000723A4" w:rsidRPr="005D0303">
        <w:t>tax period</w:t>
      </w:r>
      <w:r w:rsidRPr="005D0303">
        <w:t xml:space="preserve"> start</w:t>
      </w:r>
      <w:r w:rsidR="000723A4" w:rsidRPr="005D0303">
        <w:t>ed</w:t>
      </w:r>
      <w:r w:rsidRPr="005D0303">
        <w:t>.</w:t>
      </w:r>
    </w:p>
    <w:p w:rsidR="00EE485A" w:rsidRPr="005D0303" w:rsidRDefault="00EE485A" w:rsidP="00EE485A">
      <w:pPr>
        <w:pStyle w:val="SubsectionHead"/>
      </w:pPr>
      <w:r w:rsidRPr="005D0303">
        <w:t>Transmitters added to licence during previous tax period</w:t>
      </w:r>
    </w:p>
    <w:p w:rsidR="00EE485A" w:rsidRPr="005D0303" w:rsidRDefault="00EE485A" w:rsidP="00A73DB5">
      <w:pPr>
        <w:pStyle w:val="subsection"/>
      </w:pPr>
      <w:r w:rsidRPr="005D0303">
        <w:tab/>
        <w:t>(4)</w:t>
      </w:r>
      <w:r w:rsidRPr="005D0303">
        <w:tab/>
        <w:t xml:space="preserve">For the purposes of </w:t>
      </w:r>
      <w:r w:rsidR="005D0303" w:rsidRPr="005D0303">
        <w:t>subsection (</w:t>
      </w:r>
      <w:r w:rsidRPr="005D0303">
        <w:t>1), the uncapped individual transmitter amount for the transmitter on a day</w:t>
      </w:r>
      <w:r w:rsidR="0029065C" w:rsidRPr="005D0303">
        <w:t>,</w:t>
      </w:r>
      <w:r w:rsidRPr="005D0303">
        <w:t xml:space="preserve"> </w:t>
      </w:r>
      <w:r w:rsidR="0029065C" w:rsidRPr="005D0303">
        <w:t xml:space="preserve">in the previous tax period, </w:t>
      </w:r>
      <w:r w:rsidRPr="005D0303">
        <w:t>before the transmitter licence began to cover the transmitter is taken to be nil.</w:t>
      </w:r>
    </w:p>
    <w:sectPr w:rsidR="00EE485A" w:rsidRPr="005D0303" w:rsidSect="001D270B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082" w:rsidRDefault="00841082" w:rsidP="00715914">
      <w:pPr>
        <w:spacing w:line="240" w:lineRule="auto"/>
      </w:pPr>
      <w:r>
        <w:separator/>
      </w:r>
    </w:p>
  </w:endnote>
  <w:endnote w:type="continuationSeparator" w:id="0">
    <w:p w:rsidR="00841082" w:rsidRDefault="00841082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70B" w:rsidRPr="001D270B" w:rsidRDefault="001D270B" w:rsidP="001D270B">
    <w:pPr>
      <w:pStyle w:val="Footer"/>
      <w:rPr>
        <w:i/>
        <w:sz w:val="18"/>
      </w:rPr>
    </w:pPr>
    <w:r w:rsidRPr="001D270B">
      <w:rPr>
        <w:i/>
        <w:sz w:val="18"/>
      </w:rPr>
      <w:t>OPC62720 -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082" w:rsidRDefault="00841082" w:rsidP="007500C8">
    <w:pPr>
      <w:pStyle w:val="Footer"/>
    </w:pPr>
  </w:p>
  <w:p w:rsidR="00841082" w:rsidRPr="001D270B" w:rsidRDefault="001D270B" w:rsidP="001D270B">
    <w:pPr>
      <w:pStyle w:val="Footer"/>
      <w:rPr>
        <w:i/>
        <w:sz w:val="18"/>
      </w:rPr>
    </w:pPr>
    <w:r w:rsidRPr="001D270B">
      <w:rPr>
        <w:i/>
        <w:sz w:val="18"/>
      </w:rPr>
      <w:t>OPC62720 -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082" w:rsidRPr="001D270B" w:rsidRDefault="001D270B" w:rsidP="001D27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D270B">
      <w:rPr>
        <w:i/>
        <w:sz w:val="18"/>
      </w:rPr>
      <w:t>OPC62720 -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082" w:rsidRPr="00E33C1C" w:rsidRDefault="00841082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41082" w:rsidTr="005D030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841082" w:rsidRDefault="00841082" w:rsidP="005E181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66C58">
            <w:rPr>
              <w:i/>
              <w:noProof/>
              <w:sz w:val="18"/>
            </w:rPr>
            <w:t>vi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841082" w:rsidRDefault="00841082" w:rsidP="005E181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66C58">
            <w:rPr>
              <w:i/>
              <w:sz w:val="18"/>
            </w:rPr>
            <w:t>Commercial Broadcasting (Tax) (Individual Transmitter Amounts) Determination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841082" w:rsidRDefault="00841082" w:rsidP="005E1816">
          <w:pPr>
            <w:spacing w:line="0" w:lineRule="atLeast"/>
            <w:jc w:val="right"/>
            <w:rPr>
              <w:sz w:val="18"/>
            </w:rPr>
          </w:pPr>
        </w:p>
      </w:tc>
    </w:tr>
  </w:tbl>
  <w:p w:rsidR="00841082" w:rsidRPr="001D270B" w:rsidRDefault="001D270B" w:rsidP="001D270B">
    <w:pPr>
      <w:rPr>
        <w:rFonts w:cs="Times New Roman"/>
        <w:i/>
        <w:sz w:val="18"/>
      </w:rPr>
    </w:pPr>
    <w:r w:rsidRPr="001D270B">
      <w:rPr>
        <w:rFonts w:cs="Times New Roman"/>
        <w:i/>
        <w:sz w:val="18"/>
      </w:rPr>
      <w:t>OPC62720 -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082" w:rsidRPr="00E33C1C" w:rsidRDefault="00841082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841082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841082" w:rsidRDefault="00841082" w:rsidP="005E1816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841082" w:rsidRDefault="00841082" w:rsidP="005E181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66C58">
            <w:rPr>
              <w:i/>
              <w:sz w:val="18"/>
            </w:rPr>
            <w:t>Commercial Broadcasting (Tax) (Individual Transmitter Amounts) Determination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841082" w:rsidRDefault="00841082" w:rsidP="005E181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66C5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41082" w:rsidRPr="001D270B" w:rsidRDefault="001D270B" w:rsidP="001D270B">
    <w:pPr>
      <w:rPr>
        <w:rFonts w:cs="Times New Roman"/>
        <w:i/>
        <w:sz w:val="18"/>
      </w:rPr>
    </w:pPr>
    <w:r w:rsidRPr="001D270B">
      <w:rPr>
        <w:rFonts w:cs="Times New Roman"/>
        <w:i/>
        <w:sz w:val="18"/>
      </w:rPr>
      <w:t>OPC62720 -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082" w:rsidRPr="00E33C1C" w:rsidRDefault="00841082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41082" w:rsidTr="005D030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841082" w:rsidRDefault="00841082" w:rsidP="005E181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66C5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841082" w:rsidRDefault="00841082" w:rsidP="005E181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66C58">
            <w:rPr>
              <w:i/>
              <w:sz w:val="18"/>
            </w:rPr>
            <w:t>Commercial Broadcasting (Tax) (Individual Transmitter Amounts) Determination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841082" w:rsidRDefault="00841082" w:rsidP="005E1816">
          <w:pPr>
            <w:spacing w:line="0" w:lineRule="atLeast"/>
            <w:jc w:val="right"/>
            <w:rPr>
              <w:sz w:val="18"/>
            </w:rPr>
          </w:pPr>
        </w:p>
      </w:tc>
    </w:tr>
  </w:tbl>
  <w:p w:rsidR="00841082" w:rsidRPr="001D270B" w:rsidRDefault="001D270B" w:rsidP="001D270B">
    <w:pPr>
      <w:rPr>
        <w:rFonts w:cs="Times New Roman"/>
        <w:i/>
        <w:sz w:val="18"/>
      </w:rPr>
    </w:pPr>
    <w:r w:rsidRPr="001D270B">
      <w:rPr>
        <w:rFonts w:cs="Times New Roman"/>
        <w:i/>
        <w:sz w:val="18"/>
      </w:rPr>
      <w:t>OPC62720 -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082" w:rsidRPr="00E33C1C" w:rsidRDefault="00841082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41082" w:rsidTr="005E181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841082" w:rsidRDefault="00841082" w:rsidP="005E181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841082" w:rsidRDefault="00841082" w:rsidP="005E181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66C58">
            <w:rPr>
              <w:i/>
              <w:sz w:val="18"/>
            </w:rPr>
            <w:t>Commercial Broadcasting (Tax) (Individual Transmitter Amounts) Determination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841082" w:rsidRDefault="00841082" w:rsidP="005E181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66C5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41082" w:rsidRPr="001D270B" w:rsidRDefault="001D270B" w:rsidP="001D270B">
    <w:pPr>
      <w:rPr>
        <w:rFonts w:cs="Times New Roman"/>
        <w:i/>
        <w:sz w:val="18"/>
      </w:rPr>
    </w:pPr>
    <w:r w:rsidRPr="001D270B">
      <w:rPr>
        <w:rFonts w:cs="Times New Roman"/>
        <w:i/>
        <w:sz w:val="18"/>
      </w:rPr>
      <w:t>OPC62720 -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082" w:rsidRPr="00E33C1C" w:rsidRDefault="00841082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41082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841082" w:rsidRDefault="00841082" w:rsidP="005E181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841082" w:rsidRDefault="00841082" w:rsidP="005E181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66C58">
            <w:rPr>
              <w:i/>
              <w:sz w:val="18"/>
            </w:rPr>
            <w:t>Commercial Broadcasting (Tax) (Individual Transmitter Amounts) Determination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841082" w:rsidRDefault="00841082" w:rsidP="005E181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66C58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41082" w:rsidRPr="001D270B" w:rsidRDefault="001D270B" w:rsidP="001D270B">
    <w:pPr>
      <w:rPr>
        <w:rFonts w:cs="Times New Roman"/>
        <w:i/>
        <w:sz w:val="18"/>
      </w:rPr>
    </w:pPr>
    <w:r w:rsidRPr="001D270B">
      <w:rPr>
        <w:rFonts w:cs="Times New Roman"/>
        <w:i/>
        <w:sz w:val="18"/>
      </w:rPr>
      <w:t>OPC62720 -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082" w:rsidRDefault="00841082" w:rsidP="00715914">
      <w:pPr>
        <w:spacing w:line="240" w:lineRule="auto"/>
      </w:pPr>
      <w:r>
        <w:separator/>
      </w:r>
    </w:p>
  </w:footnote>
  <w:footnote w:type="continuationSeparator" w:id="0">
    <w:p w:rsidR="00841082" w:rsidRDefault="00841082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082" w:rsidRPr="005F1388" w:rsidRDefault="00841082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082" w:rsidRPr="005F1388" w:rsidRDefault="00841082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082" w:rsidRPr="005F1388" w:rsidRDefault="00841082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082" w:rsidRPr="00ED79B6" w:rsidRDefault="00841082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082" w:rsidRPr="00ED79B6" w:rsidRDefault="00841082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082" w:rsidRPr="00ED79B6" w:rsidRDefault="00841082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082" w:rsidRDefault="00841082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841082" w:rsidRDefault="00841082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="00866C58">
      <w:rPr>
        <w:b/>
        <w:sz w:val="20"/>
      </w:rPr>
      <w:fldChar w:fldCharType="separate"/>
    </w:r>
    <w:r w:rsidR="00866C58">
      <w:rPr>
        <w:b/>
        <w:noProof/>
        <w:sz w:val="20"/>
      </w:rPr>
      <w:t>Part 1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866C58">
      <w:rPr>
        <w:sz w:val="20"/>
      </w:rPr>
      <w:fldChar w:fldCharType="separate"/>
    </w:r>
    <w:r w:rsidR="00866C58">
      <w:rPr>
        <w:noProof/>
        <w:sz w:val="20"/>
      </w:rPr>
      <w:t>Preliminary</w:t>
    </w:r>
    <w:r>
      <w:rPr>
        <w:sz w:val="20"/>
      </w:rPr>
      <w:fldChar w:fldCharType="end"/>
    </w:r>
  </w:p>
  <w:p w:rsidR="00841082" w:rsidRPr="007A1328" w:rsidRDefault="00841082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841082" w:rsidRPr="007A1328" w:rsidRDefault="00841082" w:rsidP="00715914">
    <w:pPr>
      <w:rPr>
        <w:b/>
        <w:sz w:val="24"/>
      </w:rPr>
    </w:pPr>
  </w:p>
  <w:p w:rsidR="00841082" w:rsidRPr="007A1328" w:rsidRDefault="00841082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866C58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866C58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082" w:rsidRPr="007A1328" w:rsidRDefault="00841082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841082" w:rsidRPr="007A1328" w:rsidRDefault="00841082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866C58">
      <w:rPr>
        <w:sz w:val="20"/>
      </w:rPr>
      <w:fldChar w:fldCharType="separate"/>
    </w:r>
    <w:r w:rsidR="00866C58">
      <w:rPr>
        <w:noProof/>
        <w:sz w:val="20"/>
      </w:rPr>
      <w:t>Preliminary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866C58">
      <w:rPr>
        <w:b/>
        <w:sz w:val="20"/>
      </w:rPr>
      <w:fldChar w:fldCharType="separate"/>
    </w:r>
    <w:r w:rsidR="00866C58">
      <w:rPr>
        <w:b/>
        <w:noProof/>
        <w:sz w:val="20"/>
      </w:rPr>
      <w:t>Part 1</w:t>
    </w:r>
    <w:r>
      <w:rPr>
        <w:b/>
        <w:sz w:val="20"/>
      </w:rPr>
      <w:fldChar w:fldCharType="end"/>
    </w:r>
  </w:p>
  <w:p w:rsidR="00841082" w:rsidRPr="007A1328" w:rsidRDefault="00841082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841082" w:rsidRPr="007A1328" w:rsidRDefault="00841082" w:rsidP="00715914">
    <w:pPr>
      <w:jc w:val="right"/>
      <w:rPr>
        <w:b/>
        <w:sz w:val="24"/>
      </w:rPr>
    </w:pPr>
  </w:p>
  <w:p w:rsidR="00841082" w:rsidRPr="007A1328" w:rsidRDefault="00841082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866C58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866C58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082" w:rsidRPr="007A1328" w:rsidRDefault="00841082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>
    <w:nsid w:val="76493064"/>
    <w:multiLevelType w:val="hybridMultilevel"/>
    <w:tmpl w:val="41B046B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C07"/>
    <w:rsid w:val="00004470"/>
    <w:rsid w:val="000136AF"/>
    <w:rsid w:val="00015A23"/>
    <w:rsid w:val="00031A7D"/>
    <w:rsid w:val="000437C1"/>
    <w:rsid w:val="00051CCC"/>
    <w:rsid w:val="0005365D"/>
    <w:rsid w:val="000562F6"/>
    <w:rsid w:val="00056683"/>
    <w:rsid w:val="00056C70"/>
    <w:rsid w:val="000614BF"/>
    <w:rsid w:val="000723A4"/>
    <w:rsid w:val="00075407"/>
    <w:rsid w:val="00076AA0"/>
    <w:rsid w:val="00080838"/>
    <w:rsid w:val="000A5926"/>
    <w:rsid w:val="000B58FA"/>
    <w:rsid w:val="000B787C"/>
    <w:rsid w:val="000D05EF"/>
    <w:rsid w:val="000D6B5F"/>
    <w:rsid w:val="000E0010"/>
    <w:rsid w:val="000E2261"/>
    <w:rsid w:val="000F21C1"/>
    <w:rsid w:val="000F4830"/>
    <w:rsid w:val="0010745C"/>
    <w:rsid w:val="001159F7"/>
    <w:rsid w:val="00132CEB"/>
    <w:rsid w:val="00135EA1"/>
    <w:rsid w:val="00142B62"/>
    <w:rsid w:val="0014539C"/>
    <w:rsid w:val="00152C90"/>
    <w:rsid w:val="00157B8B"/>
    <w:rsid w:val="00166C2F"/>
    <w:rsid w:val="001809D7"/>
    <w:rsid w:val="00186FD3"/>
    <w:rsid w:val="001939E1"/>
    <w:rsid w:val="00194C3E"/>
    <w:rsid w:val="00195382"/>
    <w:rsid w:val="001B2440"/>
    <w:rsid w:val="001C4D76"/>
    <w:rsid w:val="001C61C5"/>
    <w:rsid w:val="001C69C4"/>
    <w:rsid w:val="001D270B"/>
    <w:rsid w:val="001D37EF"/>
    <w:rsid w:val="001E3590"/>
    <w:rsid w:val="001E46B5"/>
    <w:rsid w:val="001E7407"/>
    <w:rsid w:val="001F5D5E"/>
    <w:rsid w:val="001F6219"/>
    <w:rsid w:val="001F6CD4"/>
    <w:rsid w:val="00206C4D"/>
    <w:rsid w:val="0021053C"/>
    <w:rsid w:val="00211A8D"/>
    <w:rsid w:val="00215AF1"/>
    <w:rsid w:val="002315B6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84E71"/>
    <w:rsid w:val="0029065C"/>
    <w:rsid w:val="0029634D"/>
    <w:rsid w:val="00297ECB"/>
    <w:rsid w:val="002A6531"/>
    <w:rsid w:val="002A7BCF"/>
    <w:rsid w:val="002C4EA4"/>
    <w:rsid w:val="002D043A"/>
    <w:rsid w:val="002D43CE"/>
    <w:rsid w:val="002D4903"/>
    <w:rsid w:val="002D6224"/>
    <w:rsid w:val="002E3F4B"/>
    <w:rsid w:val="00304F8B"/>
    <w:rsid w:val="003057DE"/>
    <w:rsid w:val="00316AC0"/>
    <w:rsid w:val="003261EC"/>
    <w:rsid w:val="00334627"/>
    <w:rsid w:val="003354D2"/>
    <w:rsid w:val="00335BC6"/>
    <w:rsid w:val="00340C56"/>
    <w:rsid w:val="003415D3"/>
    <w:rsid w:val="00344701"/>
    <w:rsid w:val="003448CA"/>
    <w:rsid w:val="003524F1"/>
    <w:rsid w:val="00352B0F"/>
    <w:rsid w:val="00356690"/>
    <w:rsid w:val="00360459"/>
    <w:rsid w:val="003776EA"/>
    <w:rsid w:val="00387F7A"/>
    <w:rsid w:val="003C2E3D"/>
    <w:rsid w:val="003C6231"/>
    <w:rsid w:val="003C6F5A"/>
    <w:rsid w:val="003D0BFE"/>
    <w:rsid w:val="003D1F59"/>
    <w:rsid w:val="003D5700"/>
    <w:rsid w:val="003E341B"/>
    <w:rsid w:val="00402300"/>
    <w:rsid w:val="004116CD"/>
    <w:rsid w:val="004144EC"/>
    <w:rsid w:val="00417EB9"/>
    <w:rsid w:val="00424CA9"/>
    <w:rsid w:val="00431A2B"/>
    <w:rsid w:val="00431E4B"/>
    <w:rsid w:val="00431E9B"/>
    <w:rsid w:val="004379E3"/>
    <w:rsid w:val="0044015E"/>
    <w:rsid w:val="0044291A"/>
    <w:rsid w:val="00444ABD"/>
    <w:rsid w:val="00450C55"/>
    <w:rsid w:val="00461C81"/>
    <w:rsid w:val="00467661"/>
    <w:rsid w:val="00470191"/>
    <w:rsid w:val="004705B7"/>
    <w:rsid w:val="00470B1C"/>
    <w:rsid w:val="00472DBE"/>
    <w:rsid w:val="00474A19"/>
    <w:rsid w:val="00496F97"/>
    <w:rsid w:val="004C1104"/>
    <w:rsid w:val="004C6AE8"/>
    <w:rsid w:val="004C7258"/>
    <w:rsid w:val="004E063A"/>
    <w:rsid w:val="004E08F7"/>
    <w:rsid w:val="004E6397"/>
    <w:rsid w:val="004E7BEC"/>
    <w:rsid w:val="00505D3D"/>
    <w:rsid w:val="00506AF6"/>
    <w:rsid w:val="00516B8D"/>
    <w:rsid w:val="00537FBC"/>
    <w:rsid w:val="005476CD"/>
    <w:rsid w:val="005574D1"/>
    <w:rsid w:val="00560DE7"/>
    <w:rsid w:val="00584811"/>
    <w:rsid w:val="00585784"/>
    <w:rsid w:val="00593AA6"/>
    <w:rsid w:val="00594161"/>
    <w:rsid w:val="00594749"/>
    <w:rsid w:val="005B0C7F"/>
    <w:rsid w:val="005B4067"/>
    <w:rsid w:val="005C1F43"/>
    <w:rsid w:val="005C3F41"/>
    <w:rsid w:val="005D0303"/>
    <w:rsid w:val="005D2D09"/>
    <w:rsid w:val="005E10C7"/>
    <w:rsid w:val="005E1207"/>
    <w:rsid w:val="005E1816"/>
    <w:rsid w:val="005E5CE6"/>
    <w:rsid w:val="005E67CD"/>
    <w:rsid w:val="005F049B"/>
    <w:rsid w:val="005F395E"/>
    <w:rsid w:val="00600219"/>
    <w:rsid w:val="00603DC4"/>
    <w:rsid w:val="00604099"/>
    <w:rsid w:val="00607B75"/>
    <w:rsid w:val="00610B8D"/>
    <w:rsid w:val="00620076"/>
    <w:rsid w:val="00654683"/>
    <w:rsid w:val="00670EA1"/>
    <w:rsid w:val="0067556E"/>
    <w:rsid w:val="00675F21"/>
    <w:rsid w:val="00677CC2"/>
    <w:rsid w:val="00680DE7"/>
    <w:rsid w:val="006905DE"/>
    <w:rsid w:val="0069207B"/>
    <w:rsid w:val="006B2117"/>
    <w:rsid w:val="006B5789"/>
    <w:rsid w:val="006C0A15"/>
    <w:rsid w:val="006C30C5"/>
    <w:rsid w:val="006C7646"/>
    <w:rsid w:val="006C7F8C"/>
    <w:rsid w:val="006D4111"/>
    <w:rsid w:val="006E0F0F"/>
    <w:rsid w:val="006E6246"/>
    <w:rsid w:val="006F318F"/>
    <w:rsid w:val="006F4226"/>
    <w:rsid w:val="0070017E"/>
    <w:rsid w:val="00700B2C"/>
    <w:rsid w:val="00701C6D"/>
    <w:rsid w:val="007050A2"/>
    <w:rsid w:val="00713084"/>
    <w:rsid w:val="00714F20"/>
    <w:rsid w:val="0071590F"/>
    <w:rsid w:val="00715914"/>
    <w:rsid w:val="00717852"/>
    <w:rsid w:val="00726AFC"/>
    <w:rsid w:val="00731E00"/>
    <w:rsid w:val="007440B7"/>
    <w:rsid w:val="007463E8"/>
    <w:rsid w:val="007500C8"/>
    <w:rsid w:val="00754A14"/>
    <w:rsid w:val="00756272"/>
    <w:rsid w:val="00761648"/>
    <w:rsid w:val="0076681A"/>
    <w:rsid w:val="007715C9"/>
    <w:rsid w:val="00771613"/>
    <w:rsid w:val="00774EDD"/>
    <w:rsid w:val="007757EC"/>
    <w:rsid w:val="0078315E"/>
    <w:rsid w:val="00783E89"/>
    <w:rsid w:val="00793915"/>
    <w:rsid w:val="00796DA9"/>
    <w:rsid w:val="007A0AF2"/>
    <w:rsid w:val="007C1C53"/>
    <w:rsid w:val="007C2253"/>
    <w:rsid w:val="007D14CA"/>
    <w:rsid w:val="007D5A63"/>
    <w:rsid w:val="007D7B81"/>
    <w:rsid w:val="007E163D"/>
    <w:rsid w:val="007E667A"/>
    <w:rsid w:val="007F28C9"/>
    <w:rsid w:val="007F2A2F"/>
    <w:rsid w:val="007F3C07"/>
    <w:rsid w:val="00803587"/>
    <w:rsid w:val="008117E9"/>
    <w:rsid w:val="008204A9"/>
    <w:rsid w:val="008204E7"/>
    <w:rsid w:val="00824498"/>
    <w:rsid w:val="008352C5"/>
    <w:rsid w:val="00841082"/>
    <w:rsid w:val="0084550E"/>
    <w:rsid w:val="00854238"/>
    <w:rsid w:val="00856695"/>
    <w:rsid w:val="00856A31"/>
    <w:rsid w:val="00864B24"/>
    <w:rsid w:val="00866C58"/>
    <w:rsid w:val="00867B37"/>
    <w:rsid w:val="00871C45"/>
    <w:rsid w:val="008727EF"/>
    <w:rsid w:val="008754D0"/>
    <w:rsid w:val="008821B4"/>
    <w:rsid w:val="008855C9"/>
    <w:rsid w:val="00886456"/>
    <w:rsid w:val="008A46E1"/>
    <w:rsid w:val="008A4F43"/>
    <w:rsid w:val="008B2706"/>
    <w:rsid w:val="008D0EE0"/>
    <w:rsid w:val="008E6067"/>
    <w:rsid w:val="008F54E7"/>
    <w:rsid w:val="00903422"/>
    <w:rsid w:val="00913E15"/>
    <w:rsid w:val="00914136"/>
    <w:rsid w:val="00915DF9"/>
    <w:rsid w:val="0091763B"/>
    <w:rsid w:val="009254C3"/>
    <w:rsid w:val="009309F2"/>
    <w:rsid w:val="00930C24"/>
    <w:rsid w:val="00932377"/>
    <w:rsid w:val="00933133"/>
    <w:rsid w:val="00947D5A"/>
    <w:rsid w:val="009532A5"/>
    <w:rsid w:val="00960004"/>
    <w:rsid w:val="00977171"/>
    <w:rsid w:val="00982242"/>
    <w:rsid w:val="009868E9"/>
    <w:rsid w:val="00990958"/>
    <w:rsid w:val="009936E6"/>
    <w:rsid w:val="009A3D94"/>
    <w:rsid w:val="009C72F6"/>
    <w:rsid w:val="009D34C9"/>
    <w:rsid w:val="009E00DE"/>
    <w:rsid w:val="009E572F"/>
    <w:rsid w:val="009E5CFC"/>
    <w:rsid w:val="009F75DC"/>
    <w:rsid w:val="00A079CB"/>
    <w:rsid w:val="00A12128"/>
    <w:rsid w:val="00A138A4"/>
    <w:rsid w:val="00A14043"/>
    <w:rsid w:val="00A22C98"/>
    <w:rsid w:val="00A231E2"/>
    <w:rsid w:val="00A3452B"/>
    <w:rsid w:val="00A50C66"/>
    <w:rsid w:val="00A52024"/>
    <w:rsid w:val="00A53167"/>
    <w:rsid w:val="00A64912"/>
    <w:rsid w:val="00A67E6F"/>
    <w:rsid w:val="00A70A74"/>
    <w:rsid w:val="00A73DB5"/>
    <w:rsid w:val="00A76A22"/>
    <w:rsid w:val="00A7706C"/>
    <w:rsid w:val="00A826B3"/>
    <w:rsid w:val="00AB1F51"/>
    <w:rsid w:val="00AC0CFB"/>
    <w:rsid w:val="00AC5D23"/>
    <w:rsid w:val="00AD204C"/>
    <w:rsid w:val="00AD5641"/>
    <w:rsid w:val="00AD7889"/>
    <w:rsid w:val="00AE39CB"/>
    <w:rsid w:val="00AF021B"/>
    <w:rsid w:val="00AF06CF"/>
    <w:rsid w:val="00AF7F49"/>
    <w:rsid w:val="00B02B29"/>
    <w:rsid w:val="00B05CF4"/>
    <w:rsid w:val="00B07CDB"/>
    <w:rsid w:val="00B12686"/>
    <w:rsid w:val="00B16A31"/>
    <w:rsid w:val="00B179C8"/>
    <w:rsid w:val="00B17DFD"/>
    <w:rsid w:val="00B25372"/>
    <w:rsid w:val="00B308FE"/>
    <w:rsid w:val="00B31B69"/>
    <w:rsid w:val="00B33709"/>
    <w:rsid w:val="00B33939"/>
    <w:rsid w:val="00B33B3C"/>
    <w:rsid w:val="00B50ADC"/>
    <w:rsid w:val="00B566B1"/>
    <w:rsid w:val="00B568E7"/>
    <w:rsid w:val="00B63834"/>
    <w:rsid w:val="00B65F8A"/>
    <w:rsid w:val="00B72734"/>
    <w:rsid w:val="00B80199"/>
    <w:rsid w:val="00B8050B"/>
    <w:rsid w:val="00B83204"/>
    <w:rsid w:val="00B901A2"/>
    <w:rsid w:val="00BA0C87"/>
    <w:rsid w:val="00BA220B"/>
    <w:rsid w:val="00BA3A57"/>
    <w:rsid w:val="00BA691F"/>
    <w:rsid w:val="00BB4E1A"/>
    <w:rsid w:val="00BC015E"/>
    <w:rsid w:val="00BC02C4"/>
    <w:rsid w:val="00BC76AC"/>
    <w:rsid w:val="00BD0ECB"/>
    <w:rsid w:val="00BE15E7"/>
    <w:rsid w:val="00BE2155"/>
    <w:rsid w:val="00BE2213"/>
    <w:rsid w:val="00BE69B3"/>
    <w:rsid w:val="00BE719A"/>
    <w:rsid w:val="00BE720A"/>
    <w:rsid w:val="00BF0D73"/>
    <w:rsid w:val="00BF2465"/>
    <w:rsid w:val="00BF3300"/>
    <w:rsid w:val="00C05E7A"/>
    <w:rsid w:val="00C25E7F"/>
    <w:rsid w:val="00C2746F"/>
    <w:rsid w:val="00C3063D"/>
    <w:rsid w:val="00C324A0"/>
    <w:rsid w:val="00C3300F"/>
    <w:rsid w:val="00C34DA4"/>
    <w:rsid w:val="00C42BF8"/>
    <w:rsid w:val="00C50043"/>
    <w:rsid w:val="00C7573B"/>
    <w:rsid w:val="00C93C03"/>
    <w:rsid w:val="00CA7A9A"/>
    <w:rsid w:val="00CB2C8E"/>
    <w:rsid w:val="00CB602E"/>
    <w:rsid w:val="00CB7CE8"/>
    <w:rsid w:val="00CC40BC"/>
    <w:rsid w:val="00CE051D"/>
    <w:rsid w:val="00CE1335"/>
    <w:rsid w:val="00CE493D"/>
    <w:rsid w:val="00CE7263"/>
    <w:rsid w:val="00CF07FA"/>
    <w:rsid w:val="00CF0BB2"/>
    <w:rsid w:val="00CF3EE8"/>
    <w:rsid w:val="00CF6DFD"/>
    <w:rsid w:val="00D050E6"/>
    <w:rsid w:val="00D0760A"/>
    <w:rsid w:val="00D13441"/>
    <w:rsid w:val="00D150E7"/>
    <w:rsid w:val="00D21A1C"/>
    <w:rsid w:val="00D27799"/>
    <w:rsid w:val="00D32F65"/>
    <w:rsid w:val="00D4016D"/>
    <w:rsid w:val="00D46F92"/>
    <w:rsid w:val="00D52DC2"/>
    <w:rsid w:val="00D53BCC"/>
    <w:rsid w:val="00D654A2"/>
    <w:rsid w:val="00D672F0"/>
    <w:rsid w:val="00D70DFB"/>
    <w:rsid w:val="00D736B7"/>
    <w:rsid w:val="00D766DF"/>
    <w:rsid w:val="00D81C0F"/>
    <w:rsid w:val="00D83EFD"/>
    <w:rsid w:val="00D9653C"/>
    <w:rsid w:val="00D96D4C"/>
    <w:rsid w:val="00D97585"/>
    <w:rsid w:val="00DA186E"/>
    <w:rsid w:val="00DA1CB0"/>
    <w:rsid w:val="00DA4116"/>
    <w:rsid w:val="00DB251C"/>
    <w:rsid w:val="00DB44A4"/>
    <w:rsid w:val="00DB4630"/>
    <w:rsid w:val="00DC4F88"/>
    <w:rsid w:val="00DC7133"/>
    <w:rsid w:val="00E05704"/>
    <w:rsid w:val="00E1052C"/>
    <w:rsid w:val="00E11E44"/>
    <w:rsid w:val="00E14129"/>
    <w:rsid w:val="00E30C9A"/>
    <w:rsid w:val="00E3270E"/>
    <w:rsid w:val="00E338EF"/>
    <w:rsid w:val="00E449A9"/>
    <w:rsid w:val="00E544BB"/>
    <w:rsid w:val="00E606BC"/>
    <w:rsid w:val="00E662CB"/>
    <w:rsid w:val="00E72AEE"/>
    <w:rsid w:val="00E74DC7"/>
    <w:rsid w:val="00E8075A"/>
    <w:rsid w:val="00E94D5E"/>
    <w:rsid w:val="00E9740D"/>
    <w:rsid w:val="00EA2E4D"/>
    <w:rsid w:val="00EA7100"/>
    <w:rsid w:val="00EA794F"/>
    <w:rsid w:val="00EA7F9F"/>
    <w:rsid w:val="00EB1274"/>
    <w:rsid w:val="00EB6AD0"/>
    <w:rsid w:val="00ED236E"/>
    <w:rsid w:val="00ED2BB6"/>
    <w:rsid w:val="00ED34E1"/>
    <w:rsid w:val="00ED3B8D"/>
    <w:rsid w:val="00ED659C"/>
    <w:rsid w:val="00EE0245"/>
    <w:rsid w:val="00EE485A"/>
    <w:rsid w:val="00EF2E3A"/>
    <w:rsid w:val="00EF36FA"/>
    <w:rsid w:val="00EF590C"/>
    <w:rsid w:val="00F072A7"/>
    <w:rsid w:val="00F078DC"/>
    <w:rsid w:val="00F32BA8"/>
    <w:rsid w:val="00F349F1"/>
    <w:rsid w:val="00F34FE4"/>
    <w:rsid w:val="00F4350D"/>
    <w:rsid w:val="00F567F7"/>
    <w:rsid w:val="00F62036"/>
    <w:rsid w:val="00F65B52"/>
    <w:rsid w:val="00F67BCA"/>
    <w:rsid w:val="00F73BD6"/>
    <w:rsid w:val="00F75B74"/>
    <w:rsid w:val="00F83989"/>
    <w:rsid w:val="00F85099"/>
    <w:rsid w:val="00F9379C"/>
    <w:rsid w:val="00F9632C"/>
    <w:rsid w:val="00FA1E52"/>
    <w:rsid w:val="00FB5347"/>
    <w:rsid w:val="00FC7D11"/>
    <w:rsid w:val="00FD5B73"/>
    <w:rsid w:val="00FE4688"/>
    <w:rsid w:val="00FF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D030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03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03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03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03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03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030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030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030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030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D0303"/>
  </w:style>
  <w:style w:type="paragraph" w:customStyle="1" w:styleId="OPCParaBase">
    <w:name w:val="OPCParaBase"/>
    <w:qFormat/>
    <w:rsid w:val="005D030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D030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D030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D030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D030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D030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D030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D030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D030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D030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D030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D0303"/>
  </w:style>
  <w:style w:type="paragraph" w:customStyle="1" w:styleId="Blocks">
    <w:name w:val="Blocks"/>
    <w:aliases w:val="bb"/>
    <w:basedOn w:val="OPCParaBase"/>
    <w:qFormat/>
    <w:rsid w:val="005D030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D030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D030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D0303"/>
    <w:rPr>
      <w:i/>
    </w:rPr>
  </w:style>
  <w:style w:type="paragraph" w:customStyle="1" w:styleId="BoxList">
    <w:name w:val="BoxList"/>
    <w:aliases w:val="bl"/>
    <w:basedOn w:val="BoxText"/>
    <w:qFormat/>
    <w:rsid w:val="005D030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D030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D030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D0303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5D0303"/>
  </w:style>
  <w:style w:type="character" w:customStyle="1" w:styleId="CharAmPartText">
    <w:name w:val="CharAmPartText"/>
    <w:basedOn w:val="OPCCharBase"/>
    <w:uiPriority w:val="1"/>
    <w:qFormat/>
    <w:rsid w:val="005D0303"/>
  </w:style>
  <w:style w:type="character" w:customStyle="1" w:styleId="CharAmSchNo">
    <w:name w:val="CharAmSchNo"/>
    <w:basedOn w:val="OPCCharBase"/>
    <w:uiPriority w:val="1"/>
    <w:qFormat/>
    <w:rsid w:val="005D0303"/>
  </w:style>
  <w:style w:type="character" w:customStyle="1" w:styleId="CharAmSchText">
    <w:name w:val="CharAmSchText"/>
    <w:basedOn w:val="OPCCharBase"/>
    <w:uiPriority w:val="1"/>
    <w:qFormat/>
    <w:rsid w:val="005D0303"/>
  </w:style>
  <w:style w:type="character" w:customStyle="1" w:styleId="CharBoldItalic">
    <w:name w:val="CharBoldItalic"/>
    <w:basedOn w:val="OPCCharBase"/>
    <w:uiPriority w:val="1"/>
    <w:qFormat/>
    <w:rsid w:val="005D0303"/>
    <w:rPr>
      <w:b/>
      <w:i/>
    </w:rPr>
  </w:style>
  <w:style w:type="character" w:customStyle="1" w:styleId="CharChapNo">
    <w:name w:val="CharChapNo"/>
    <w:basedOn w:val="OPCCharBase"/>
    <w:qFormat/>
    <w:rsid w:val="005D0303"/>
  </w:style>
  <w:style w:type="character" w:customStyle="1" w:styleId="CharChapText">
    <w:name w:val="CharChapText"/>
    <w:basedOn w:val="OPCCharBase"/>
    <w:qFormat/>
    <w:rsid w:val="005D0303"/>
  </w:style>
  <w:style w:type="character" w:customStyle="1" w:styleId="CharDivNo">
    <w:name w:val="CharDivNo"/>
    <w:basedOn w:val="OPCCharBase"/>
    <w:qFormat/>
    <w:rsid w:val="005D0303"/>
  </w:style>
  <w:style w:type="character" w:customStyle="1" w:styleId="CharDivText">
    <w:name w:val="CharDivText"/>
    <w:basedOn w:val="OPCCharBase"/>
    <w:qFormat/>
    <w:rsid w:val="005D0303"/>
  </w:style>
  <w:style w:type="character" w:customStyle="1" w:styleId="CharItalic">
    <w:name w:val="CharItalic"/>
    <w:basedOn w:val="OPCCharBase"/>
    <w:uiPriority w:val="1"/>
    <w:qFormat/>
    <w:rsid w:val="005D0303"/>
    <w:rPr>
      <w:i/>
    </w:rPr>
  </w:style>
  <w:style w:type="character" w:customStyle="1" w:styleId="CharPartNo">
    <w:name w:val="CharPartNo"/>
    <w:basedOn w:val="OPCCharBase"/>
    <w:qFormat/>
    <w:rsid w:val="005D0303"/>
  </w:style>
  <w:style w:type="character" w:customStyle="1" w:styleId="CharPartText">
    <w:name w:val="CharPartText"/>
    <w:basedOn w:val="OPCCharBase"/>
    <w:qFormat/>
    <w:rsid w:val="005D0303"/>
  </w:style>
  <w:style w:type="character" w:customStyle="1" w:styleId="CharSectno">
    <w:name w:val="CharSectno"/>
    <w:basedOn w:val="OPCCharBase"/>
    <w:qFormat/>
    <w:rsid w:val="005D0303"/>
  </w:style>
  <w:style w:type="character" w:customStyle="1" w:styleId="CharSubdNo">
    <w:name w:val="CharSubdNo"/>
    <w:basedOn w:val="OPCCharBase"/>
    <w:uiPriority w:val="1"/>
    <w:qFormat/>
    <w:rsid w:val="005D0303"/>
  </w:style>
  <w:style w:type="character" w:customStyle="1" w:styleId="CharSubdText">
    <w:name w:val="CharSubdText"/>
    <w:basedOn w:val="OPCCharBase"/>
    <w:uiPriority w:val="1"/>
    <w:qFormat/>
    <w:rsid w:val="005D0303"/>
  </w:style>
  <w:style w:type="paragraph" w:customStyle="1" w:styleId="CTA--">
    <w:name w:val="CTA --"/>
    <w:basedOn w:val="OPCParaBase"/>
    <w:next w:val="Normal"/>
    <w:rsid w:val="005D030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D030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D030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D030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D030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D030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D030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D030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D030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D030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D030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D030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D030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D030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5D030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link w:val="DefinitionChar"/>
    <w:rsid w:val="005D0303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5D030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D030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D030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D030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D030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D030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D030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D030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D030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D030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D030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D030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D030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D030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D030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D030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D030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D030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D030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5D030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D030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D030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D030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D030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D030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D030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D030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D030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D030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D030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D030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D030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D030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D030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D030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D030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D030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D030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D030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5D030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5D030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5D030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5D0303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D030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5D0303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5D0303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D0303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5D0303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D030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D030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D030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D030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D030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D030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D030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D030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D0303"/>
    <w:rPr>
      <w:sz w:val="16"/>
    </w:rPr>
  </w:style>
  <w:style w:type="table" w:customStyle="1" w:styleId="CFlag">
    <w:name w:val="CFlag"/>
    <w:basedOn w:val="TableNormal"/>
    <w:uiPriority w:val="99"/>
    <w:rsid w:val="005D030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5D03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30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0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D030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D030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D0303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D030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D0303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D030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5D030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5D030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5D030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D030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5D030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D030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D030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D030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D030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D030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D030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D030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5D030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D030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D0303"/>
  </w:style>
  <w:style w:type="character" w:customStyle="1" w:styleId="CharSubPartNoCASA">
    <w:name w:val="CharSubPartNo(CASA)"/>
    <w:basedOn w:val="OPCCharBase"/>
    <w:uiPriority w:val="1"/>
    <w:rsid w:val="005D0303"/>
  </w:style>
  <w:style w:type="paragraph" w:customStyle="1" w:styleId="ENoteTTIndentHeadingSub">
    <w:name w:val="ENoteTTIndentHeadingSub"/>
    <w:aliases w:val="enTTHis"/>
    <w:basedOn w:val="OPCParaBase"/>
    <w:rsid w:val="005D030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D030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D030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D030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D030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D030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D0303"/>
    <w:rPr>
      <w:sz w:val="22"/>
    </w:rPr>
  </w:style>
  <w:style w:type="paragraph" w:customStyle="1" w:styleId="SOTextNote">
    <w:name w:val="SO TextNote"/>
    <w:aliases w:val="sont"/>
    <w:basedOn w:val="SOText"/>
    <w:qFormat/>
    <w:rsid w:val="005D030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D030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D0303"/>
    <w:rPr>
      <w:sz w:val="22"/>
    </w:rPr>
  </w:style>
  <w:style w:type="paragraph" w:customStyle="1" w:styleId="FileName">
    <w:name w:val="FileName"/>
    <w:basedOn w:val="Normal"/>
    <w:rsid w:val="005D0303"/>
  </w:style>
  <w:style w:type="paragraph" w:customStyle="1" w:styleId="TableHeading">
    <w:name w:val="TableHeading"/>
    <w:aliases w:val="th"/>
    <w:basedOn w:val="OPCParaBase"/>
    <w:next w:val="Tabletext"/>
    <w:rsid w:val="005D030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D030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D030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D030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D030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D030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D030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D030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D030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D030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D030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D030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D030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D030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D03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03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030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030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030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030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030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030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03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9771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717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717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1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171"/>
    <w:rPr>
      <w:b/>
      <w:bCs/>
    </w:rPr>
  </w:style>
  <w:style w:type="paragraph" w:styleId="Revision">
    <w:name w:val="Revision"/>
    <w:hidden/>
    <w:uiPriority w:val="99"/>
    <w:semiHidden/>
    <w:rsid w:val="00977171"/>
    <w:rPr>
      <w:sz w:val="22"/>
    </w:rPr>
  </w:style>
  <w:style w:type="character" w:customStyle="1" w:styleId="DefinitionChar">
    <w:name w:val="Definition Char"/>
    <w:aliases w:val="dd Char"/>
    <w:link w:val="Definition"/>
    <w:rsid w:val="003D1F59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link w:val="paragraph"/>
    <w:rsid w:val="003D1F59"/>
    <w:rPr>
      <w:rFonts w:eastAsia="Times New Roman" w:cs="Times New Roman"/>
      <w:sz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D030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03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03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03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03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03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030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030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030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030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D0303"/>
  </w:style>
  <w:style w:type="paragraph" w:customStyle="1" w:styleId="OPCParaBase">
    <w:name w:val="OPCParaBase"/>
    <w:qFormat/>
    <w:rsid w:val="005D030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D030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D030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D030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D030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D030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D030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D030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D030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D030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D030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D0303"/>
  </w:style>
  <w:style w:type="paragraph" w:customStyle="1" w:styleId="Blocks">
    <w:name w:val="Blocks"/>
    <w:aliases w:val="bb"/>
    <w:basedOn w:val="OPCParaBase"/>
    <w:qFormat/>
    <w:rsid w:val="005D030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D030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D030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D0303"/>
    <w:rPr>
      <w:i/>
    </w:rPr>
  </w:style>
  <w:style w:type="paragraph" w:customStyle="1" w:styleId="BoxList">
    <w:name w:val="BoxList"/>
    <w:aliases w:val="bl"/>
    <w:basedOn w:val="BoxText"/>
    <w:qFormat/>
    <w:rsid w:val="005D030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D030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D030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D0303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5D0303"/>
  </w:style>
  <w:style w:type="character" w:customStyle="1" w:styleId="CharAmPartText">
    <w:name w:val="CharAmPartText"/>
    <w:basedOn w:val="OPCCharBase"/>
    <w:uiPriority w:val="1"/>
    <w:qFormat/>
    <w:rsid w:val="005D0303"/>
  </w:style>
  <w:style w:type="character" w:customStyle="1" w:styleId="CharAmSchNo">
    <w:name w:val="CharAmSchNo"/>
    <w:basedOn w:val="OPCCharBase"/>
    <w:uiPriority w:val="1"/>
    <w:qFormat/>
    <w:rsid w:val="005D0303"/>
  </w:style>
  <w:style w:type="character" w:customStyle="1" w:styleId="CharAmSchText">
    <w:name w:val="CharAmSchText"/>
    <w:basedOn w:val="OPCCharBase"/>
    <w:uiPriority w:val="1"/>
    <w:qFormat/>
    <w:rsid w:val="005D0303"/>
  </w:style>
  <w:style w:type="character" w:customStyle="1" w:styleId="CharBoldItalic">
    <w:name w:val="CharBoldItalic"/>
    <w:basedOn w:val="OPCCharBase"/>
    <w:uiPriority w:val="1"/>
    <w:qFormat/>
    <w:rsid w:val="005D0303"/>
    <w:rPr>
      <w:b/>
      <w:i/>
    </w:rPr>
  </w:style>
  <w:style w:type="character" w:customStyle="1" w:styleId="CharChapNo">
    <w:name w:val="CharChapNo"/>
    <w:basedOn w:val="OPCCharBase"/>
    <w:qFormat/>
    <w:rsid w:val="005D0303"/>
  </w:style>
  <w:style w:type="character" w:customStyle="1" w:styleId="CharChapText">
    <w:name w:val="CharChapText"/>
    <w:basedOn w:val="OPCCharBase"/>
    <w:qFormat/>
    <w:rsid w:val="005D0303"/>
  </w:style>
  <w:style w:type="character" w:customStyle="1" w:styleId="CharDivNo">
    <w:name w:val="CharDivNo"/>
    <w:basedOn w:val="OPCCharBase"/>
    <w:qFormat/>
    <w:rsid w:val="005D0303"/>
  </w:style>
  <w:style w:type="character" w:customStyle="1" w:styleId="CharDivText">
    <w:name w:val="CharDivText"/>
    <w:basedOn w:val="OPCCharBase"/>
    <w:qFormat/>
    <w:rsid w:val="005D0303"/>
  </w:style>
  <w:style w:type="character" w:customStyle="1" w:styleId="CharItalic">
    <w:name w:val="CharItalic"/>
    <w:basedOn w:val="OPCCharBase"/>
    <w:uiPriority w:val="1"/>
    <w:qFormat/>
    <w:rsid w:val="005D0303"/>
    <w:rPr>
      <w:i/>
    </w:rPr>
  </w:style>
  <w:style w:type="character" w:customStyle="1" w:styleId="CharPartNo">
    <w:name w:val="CharPartNo"/>
    <w:basedOn w:val="OPCCharBase"/>
    <w:qFormat/>
    <w:rsid w:val="005D0303"/>
  </w:style>
  <w:style w:type="character" w:customStyle="1" w:styleId="CharPartText">
    <w:name w:val="CharPartText"/>
    <w:basedOn w:val="OPCCharBase"/>
    <w:qFormat/>
    <w:rsid w:val="005D0303"/>
  </w:style>
  <w:style w:type="character" w:customStyle="1" w:styleId="CharSectno">
    <w:name w:val="CharSectno"/>
    <w:basedOn w:val="OPCCharBase"/>
    <w:qFormat/>
    <w:rsid w:val="005D0303"/>
  </w:style>
  <w:style w:type="character" w:customStyle="1" w:styleId="CharSubdNo">
    <w:name w:val="CharSubdNo"/>
    <w:basedOn w:val="OPCCharBase"/>
    <w:uiPriority w:val="1"/>
    <w:qFormat/>
    <w:rsid w:val="005D0303"/>
  </w:style>
  <w:style w:type="character" w:customStyle="1" w:styleId="CharSubdText">
    <w:name w:val="CharSubdText"/>
    <w:basedOn w:val="OPCCharBase"/>
    <w:uiPriority w:val="1"/>
    <w:qFormat/>
    <w:rsid w:val="005D0303"/>
  </w:style>
  <w:style w:type="paragraph" w:customStyle="1" w:styleId="CTA--">
    <w:name w:val="CTA --"/>
    <w:basedOn w:val="OPCParaBase"/>
    <w:next w:val="Normal"/>
    <w:rsid w:val="005D030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D030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D030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D030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D030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D030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D030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D030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D030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D030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D030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D030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D030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D030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5D030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link w:val="DefinitionChar"/>
    <w:rsid w:val="005D0303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5D030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D030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D030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D030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D030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D030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D030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D030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D030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D030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D030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D030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D030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D030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D030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D030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D030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D030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D030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5D030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D030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D030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D030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D030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D030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D030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D030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D030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D030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D030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D030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D030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D030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D030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D030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D030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D030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D030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D030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5D030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5D030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5D030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5D0303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D030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5D0303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5D0303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D0303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5D0303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D030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D030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D030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D030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D030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D030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D030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D030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D0303"/>
    <w:rPr>
      <w:sz w:val="16"/>
    </w:rPr>
  </w:style>
  <w:style w:type="table" w:customStyle="1" w:styleId="CFlag">
    <w:name w:val="CFlag"/>
    <w:basedOn w:val="TableNormal"/>
    <w:uiPriority w:val="99"/>
    <w:rsid w:val="005D030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5D03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30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0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D030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D030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D0303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D030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D0303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D030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5D030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5D030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5D030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D030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5D030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D030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D030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D030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D030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D030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D030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D030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5D030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D030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D0303"/>
  </w:style>
  <w:style w:type="character" w:customStyle="1" w:styleId="CharSubPartNoCASA">
    <w:name w:val="CharSubPartNo(CASA)"/>
    <w:basedOn w:val="OPCCharBase"/>
    <w:uiPriority w:val="1"/>
    <w:rsid w:val="005D0303"/>
  </w:style>
  <w:style w:type="paragraph" w:customStyle="1" w:styleId="ENoteTTIndentHeadingSub">
    <w:name w:val="ENoteTTIndentHeadingSub"/>
    <w:aliases w:val="enTTHis"/>
    <w:basedOn w:val="OPCParaBase"/>
    <w:rsid w:val="005D030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D030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D030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D030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D030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D030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D0303"/>
    <w:rPr>
      <w:sz w:val="22"/>
    </w:rPr>
  </w:style>
  <w:style w:type="paragraph" w:customStyle="1" w:styleId="SOTextNote">
    <w:name w:val="SO TextNote"/>
    <w:aliases w:val="sont"/>
    <w:basedOn w:val="SOText"/>
    <w:qFormat/>
    <w:rsid w:val="005D030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D030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D0303"/>
    <w:rPr>
      <w:sz w:val="22"/>
    </w:rPr>
  </w:style>
  <w:style w:type="paragraph" w:customStyle="1" w:styleId="FileName">
    <w:name w:val="FileName"/>
    <w:basedOn w:val="Normal"/>
    <w:rsid w:val="005D0303"/>
  </w:style>
  <w:style w:type="paragraph" w:customStyle="1" w:styleId="TableHeading">
    <w:name w:val="TableHeading"/>
    <w:aliases w:val="th"/>
    <w:basedOn w:val="OPCParaBase"/>
    <w:next w:val="Tabletext"/>
    <w:rsid w:val="005D030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D030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D030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D030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D030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D030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D030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D030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D030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D030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D030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D030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D030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D030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D03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03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030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030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030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030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030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030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03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9771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717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717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1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171"/>
    <w:rPr>
      <w:b/>
      <w:bCs/>
    </w:rPr>
  </w:style>
  <w:style w:type="paragraph" w:styleId="Revision">
    <w:name w:val="Revision"/>
    <w:hidden/>
    <w:uiPriority w:val="99"/>
    <w:semiHidden/>
    <w:rsid w:val="00977171"/>
    <w:rPr>
      <w:sz w:val="22"/>
    </w:rPr>
  </w:style>
  <w:style w:type="character" w:customStyle="1" w:styleId="DefinitionChar">
    <w:name w:val="Definition Char"/>
    <w:aliases w:val="dd Char"/>
    <w:link w:val="Definition"/>
    <w:rsid w:val="003D1F59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link w:val="paragraph"/>
    <w:rsid w:val="003D1F59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4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8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85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9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95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33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93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107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384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104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939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oleObject" Target="embeddings/oleObject3.bin"/><Relationship Id="rId3" Type="http://schemas.openxmlformats.org/officeDocument/2006/relationships/styles" Target="styles.xml"/><Relationship Id="rId21" Type="http://schemas.openxmlformats.org/officeDocument/2006/relationships/image" Target="media/image2.w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image" Target="media/image4.w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oleObject" Target="embeddings/oleObject2.bin"/><Relationship Id="rId32" Type="http://schemas.openxmlformats.org/officeDocument/2006/relationships/footer" Target="footer8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image" Target="media/image3.wmf"/><Relationship Id="rId28" Type="http://schemas.openxmlformats.org/officeDocument/2006/relationships/header" Target="header8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header" Target="header9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oleObject" Target="embeddings/oleObject1.bin"/><Relationship Id="rId27" Type="http://schemas.openxmlformats.org/officeDocument/2006/relationships/header" Target="header7.xml"/><Relationship Id="rId30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7D2D2-5B4E-49FA-94D0-A316EA567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11</Pages>
  <Words>1935</Words>
  <Characters>9888</Characters>
  <Application>Microsoft Office Word</Application>
  <DocSecurity>0</DocSecurity>
  <PresentationFormat/>
  <Lines>353</Lines>
  <Paragraphs>257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Commercial Broadcasting (Tax) (Individual Transmitter Amounts) Determination 2017</vt:lpstr>
    </vt:vector>
  </TitlesOfParts>
  <Manager/>
  <Company/>
  <LinksUpToDate>false</LinksUpToDate>
  <CharactersWithSpaces>11566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2017-06-29T05:35:00Z</cp:lastPrinted>
  <dcterms:created xsi:type="dcterms:W3CDTF">2017-10-18T00:55:00Z</dcterms:created>
  <dcterms:modified xsi:type="dcterms:W3CDTF">2017-10-18T00:55:00Z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Commercial Broadcasting (Tax) (Individual Transmitter Amounts) Determination 2017</vt:lpwstr>
  </property>
  <property fmtid="{D5CDD505-2E9C-101B-9397-08002B2CF9AE}" pid="4" name="Header">
    <vt:lpwstr>Section</vt:lpwstr>
  </property>
  <property fmtid="{D5CDD505-2E9C-101B-9397-08002B2CF9AE}" pid="5" name="Class">
    <vt:lpwstr>Determination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OPC62720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ActMadeUnder">
    <vt:lpwstr>Commercial Broadcasting (Interim Tax) Act 2017</vt:lpwstr>
  </property>
  <property fmtid="{D5CDD505-2E9C-101B-9397-08002B2CF9AE}" pid="14" name="NonLegInst">
    <vt:lpwstr>0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Number">
    <vt:lpwstr>A</vt:lpwstr>
  </property>
  <property fmtid="{D5CDD505-2E9C-101B-9397-08002B2CF9AE}" pid="18" name="CounterSign">
    <vt:lpwstr/>
  </property>
  <property fmtid="{D5CDD505-2E9C-101B-9397-08002B2CF9AE}" pid="19" name="DateMade">
    <vt:lpwstr>17 October 2017</vt:lpwstr>
  </property>
</Properties>
</file>