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2CAF0" w14:textId="77777777" w:rsidR="00FF6E3B" w:rsidRPr="00902924" w:rsidRDefault="00FF6E3B" w:rsidP="00902924">
      <w:pPr>
        <w:pStyle w:val="Heading1"/>
        <w:spacing w:before="0"/>
        <w:jc w:val="center"/>
        <w:rPr>
          <w:rFonts w:ascii="Times New Roman" w:hAnsi="Times New Roman" w:cs="Times New Roman"/>
          <w:sz w:val="24"/>
          <w:szCs w:val="24"/>
          <w:u w:val="single"/>
        </w:rPr>
      </w:pPr>
      <w:bookmarkStart w:id="0" w:name="_GoBack"/>
      <w:bookmarkEnd w:id="0"/>
      <w:r w:rsidRPr="00902924">
        <w:rPr>
          <w:rFonts w:ascii="Times New Roman" w:hAnsi="Times New Roman" w:cs="Times New Roman"/>
          <w:sz w:val="24"/>
          <w:szCs w:val="24"/>
          <w:u w:val="single"/>
        </w:rPr>
        <w:t>EXPLANATORY STATEMENT</w:t>
      </w:r>
    </w:p>
    <w:p w14:paraId="6DC04575" w14:textId="77777777" w:rsidR="00E70858" w:rsidRPr="00902924" w:rsidRDefault="00E70858" w:rsidP="00902924">
      <w:pPr>
        <w:jc w:val="center"/>
        <w:rPr>
          <w:b/>
        </w:rPr>
      </w:pPr>
    </w:p>
    <w:p w14:paraId="0435857B" w14:textId="77777777" w:rsidR="00FF6E3B" w:rsidRPr="00902924" w:rsidRDefault="00FF6E3B" w:rsidP="00902924">
      <w:pPr>
        <w:jc w:val="center"/>
        <w:rPr>
          <w:b/>
        </w:rPr>
      </w:pPr>
      <w:r w:rsidRPr="00902924">
        <w:rPr>
          <w:b/>
        </w:rPr>
        <w:t>Issued by the Authority of the Minister for Finance</w:t>
      </w:r>
    </w:p>
    <w:p w14:paraId="144E696C" w14:textId="77777777" w:rsidR="00FF6E3B" w:rsidRPr="00902924" w:rsidRDefault="00FF6E3B" w:rsidP="00902924">
      <w:pPr>
        <w:jc w:val="center"/>
        <w:rPr>
          <w:b/>
        </w:rPr>
      </w:pPr>
    </w:p>
    <w:p w14:paraId="1F2F0E62" w14:textId="77777777" w:rsidR="00BB1FDF" w:rsidRDefault="00FF6E3B" w:rsidP="006C6B5C">
      <w:pPr>
        <w:jc w:val="center"/>
        <w:rPr>
          <w:i/>
        </w:rPr>
      </w:pPr>
      <w:r w:rsidRPr="00902924">
        <w:rPr>
          <w:i/>
        </w:rPr>
        <w:t xml:space="preserve">Public Governance, Performance and Accountability Act 2013 </w:t>
      </w:r>
    </w:p>
    <w:p w14:paraId="6B477747" w14:textId="77777777" w:rsidR="006C6B5C" w:rsidRPr="00902924" w:rsidRDefault="006C6B5C" w:rsidP="006C6B5C">
      <w:pPr>
        <w:jc w:val="center"/>
        <w:rPr>
          <w:i/>
        </w:rPr>
      </w:pPr>
    </w:p>
    <w:p w14:paraId="2FB7C90B" w14:textId="77777777" w:rsidR="001A2BFC" w:rsidRPr="001A2BFC" w:rsidRDefault="001A2BFC" w:rsidP="001A2BFC">
      <w:pPr>
        <w:jc w:val="center"/>
        <w:rPr>
          <w:i/>
        </w:rPr>
      </w:pPr>
      <w:r w:rsidRPr="001A2BFC">
        <w:rPr>
          <w:i/>
        </w:rPr>
        <w:t>Public Governance, Performance and Accountability (Re</w:t>
      </w:r>
      <w:r w:rsidR="00CA682B">
        <w:rPr>
          <w:i/>
        </w:rPr>
        <w:t>levant Company) Amendment (2017 </w:t>
      </w:r>
      <w:r w:rsidRPr="001A2BFC">
        <w:rPr>
          <w:i/>
        </w:rPr>
        <w:t>Measures No. 3) Rules 2017</w:t>
      </w:r>
    </w:p>
    <w:p w14:paraId="38A8745A" w14:textId="77777777" w:rsidR="00FF6E3B" w:rsidRPr="00902924" w:rsidRDefault="00FF6E3B" w:rsidP="00902924"/>
    <w:p w14:paraId="318473DE" w14:textId="77777777" w:rsidR="006F7B23" w:rsidRPr="00902924" w:rsidRDefault="006F7B23" w:rsidP="00902924">
      <w:r w:rsidRPr="00902924">
        <w:t xml:space="preserve">Section 85 of the </w:t>
      </w:r>
      <w:r w:rsidRPr="00902924">
        <w:rPr>
          <w:i/>
        </w:rPr>
        <w:t>Public Governance, Performance and Accountability Act 2013</w:t>
      </w:r>
      <w:r w:rsidRPr="00902924">
        <w:t xml:space="preserve"> (PGPA Act) provides the Finance Minister with the authority to form, or participate in forming a relevant company on behalf of the Commonwealth. A relevant company is a company of a kind prescribed</w:t>
      </w:r>
      <w:r w:rsidR="00CC0CB2">
        <w:t xml:space="preserve"> by a rule made under the PGPA Act and whose </w:t>
      </w:r>
      <w:r w:rsidRPr="00902924">
        <w:t>objects or proposed activities</w:t>
      </w:r>
      <w:r w:rsidR="00CC0CB2">
        <w:t xml:space="preserve"> are of a kind prescribed by the rule</w:t>
      </w:r>
      <w:r w:rsidRPr="00902924">
        <w:t>. Section 101 of the PGPA Act provides that the Finance Minister may make rules by legislative instrument to prescribe matters giving effect to the Act.</w:t>
      </w:r>
    </w:p>
    <w:p w14:paraId="415DD6F4" w14:textId="77777777" w:rsidR="006F7B23" w:rsidRPr="00902924" w:rsidRDefault="006F7B23" w:rsidP="00902924"/>
    <w:p w14:paraId="480C172C" w14:textId="77777777" w:rsidR="0007426C" w:rsidRPr="00783294" w:rsidRDefault="00BB1FDF" w:rsidP="00902924">
      <w:pPr>
        <w:rPr>
          <w:i/>
        </w:rPr>
      </w:pPr>
      <w:r w:rsidRPr="00902924">
        <w:t xml:space="preserve">The </w:t>
      </w:r>
      <w:r w:rsidR="00783294" w:rsidRPr="00783294">
        <w:rPr>
          <w:i/>
        </w:rPr>
        <w:t>Public Governance, Performance and Accountability (Relevant Company) Amendment (2017 Measures No. 3) Rules 2017</w:t>
      </w:r>
      <w:r w:rsidR="00783294">
        <w:rPr>
          <w:i/>
        </w:rPr>
        <w:t xml:space="preserve"> </w:t>
      </w:r>
      <w:r w:rsidR="00E36CA9" w:rsidRPr="00902924">
        <w:t xml:space="preserve">(the </w:t>
      </w:r>
      <w:r w:rsidR="00D4215E" w:rsidRPr="00902924">
        <w:t>r</w:t>
      </w:r>
      <w:r w:rsidR="0002192D" w:rsidRPr="00902924">
        <w:t xml:space="preserve">ule) </w:t>
      </w:r>
      <w:r w:rsidRPr="00902924">
        <w:t xml:space="preserve">would </w:t>
      </w:r>
      <w:r w:rsidR="00A142C8" w:rsidRPr="00902924">
        <w:t>provide the legislative authority for the Commonwealth to form</w:t>
      </w:r>
      <w:r w:rsidR="007C0DAB" w:rsidRPr="00902924">
        <w:t>,</w:t>
      </w:r>
      <w:r w:rsidR="00A142C8" w:rsidRPr="00902924">
        <w:t xml:space="preserve"> or participate in forming</w:t>
      </w:r>
      <w:r w:rsidR="007C0DAB" w:rsidRPr="00902924">
        <w:t>,</w:t>
      </w:r>
      <w:r w:rsidR="00A142C8" w:rsidRPr="00902924">
        <w:t xml:space="preserve"> a relevant company whose objec</w:t>
      </w:r>
      <w:r w:rsidR="00184415" w:rsidRPr="00902924">
        <w:t>ts or proposed activities</w:t>
      </w:r>
      <w:r w:rsidR="00A9007B" w:rsidRPr="00902924">
        <w:t xml:space="preserve"> </w:t>
      </w:r>
      <w:r w:rsidR="00C265D7" w:rsidRPr="00902924">
        <w:t>a</w:t>
      </w:r>
      <w:r w:rsidR="00184415" w:rsidRPr="00902924">
        <w:t>re t</w:t>
      </w:r>
      <w:r w:rsidR="00A142C8" w:rsidRPr="00902924">
        <w:t>o</w:t>
      </w:r>
      <w:r w:rsidR="0007426C" w:rsidRPr="00902924">
        <w:t xml:space="preserve"> assist with the performance of th</w:t>
      </w:r>
      <w:r w:rsidR="0077684E">
        <w:t xml:space="preserve">e functions, or exercise the powers </w:t>
      </w:r>
      <w:r w:rsidR="00107378" w:rsidRPr="00902924">
        <w:t xml:space="preserve">of an intelligence or </w:t>
      </w:r>
      <w:r w:rsidR="0007426C" w:rsidRPr="00902924">
        <w:t>security</w:t>
      </w:r>
      <w:r w:rsidR="00107378" w:rsidRPr="00902924">
        <w:t xml:space="preserve"> agency</w:t>
      </w:r>
      <w:r w:rsidR="0007426C" w:rsidRPr="00902924">
        <w:t xml:space="preserve"> or </w:t>
      </w:r>
      <w:r w:rsidR="00107378" w:rsidRPr="00902924">
        <w:t xml:space="preserve">listed </w:t>
      </w:r>
      <w:r w:rsidR="0007426C" w:rsidRPr="00902924">
        <w:t>law enforcement agency</w:t>
      </w:r>
      <w:r w:rsidR="00AF5961">
        <w:t xml:space="preserve"> (LLEA)</w:t>
      </w:r>
      <w:r w:rsidR="0007426C" w:rsidRPr="00902924">
        <w:t xml:space="preserve">. </w:t>
      </w:r>
    </w:p>
    <w:p w14:paraId="12E1C63C" w14:textId="77777777" w:rsidR="0007426C" w:rsidRPr="00902924" w:rsidRDefault="0007426C" w:rsidP="00902924">
      <w:pPr>
        <w:pStyle w:val="Footer"/>
        <w:tabs>
          <w:tab w:val="left" w:pos="426"/>
          <w:tab w:val="center" w:pos="4153"/>
          <w:tab w:val="right" w:pos="8306"/>
        </w:tabs>
        <w:spacing w:line="240" w:lineRule="atLeast"/>
        <w:rPr>
          <w:b/>
        </w:rPr>
      </w:pPr>
    </w:p>
    <w:p w14:paraId="7A7E97B4" w14:textId="77777777" w:rsidR="006C6B5C" w:rsidRDefault="00AF5961" w:rsidP="006C6B5C">
      <w:r>
        <w:t xml:space="preserve">The rule </w:t>
      </w:r>
      <w:r w:rsidR="00DC5112" w:rsidRPr="00902924">
        <w:t xml:space="preserve">will assist </w:t>
      </w:r>
      <w:r w:rsidR="00DD79EA" w:rsidRPr="00902924">
        <w:t xml:space="preserve">intelligence or </w:t>
      </w:r>
      <w:r w:rsidR="00FE45D1" w:rsidRPr="00902924">
        <w:t>security</w:t>
      </w:r>
      <w:r w:rsidR="00DD79EA" w:rsidRPr="00902924">
        <w:t xml:space="preserve"> agencies or </w:t>
      </w:r>
      <w:r>
        <w:t>LLEAs</w:t>
      </w:r>
      <w:r w:rsidR="00FE45D1" w:rsidRPr="00902924">
        <w:t xml:space="preserve"> to form companies to carry out designated activities identified in s</w:t>
      </w:r>
      <w:r w:rsidR="00374B06">
        <w:t xml:space="preserve">ection </w:t>
      </w:r>
      <w:r w:rsidR="00FE45D1" w:rsidRPr="00902924">
        <w:t>105D of the PGPA Act.</w:t>
      </w:r>
      <w:r w:rsidR="00DC5112" w:rsidRPr="00902924">
        <w:t xml:space="preserve"> </w:t>
      </w:r>
      <w:r w:rsidR="00FB71F2" w:rsidRPr="00902924">
        <w:t xml:space="preserve">Determinations </w:t>
      </w:r>
      <w:r w:rsidR="00FE45D1" w:rsidRPr="00902924">
        <w:t xml:space="preserve">made by the </w:t>
      </w:r>
      <w:r w:rsidR="0007426C" w:rsidRPr="00902924">
        <w:t>Finance</w:t>
      </w:r>
      <w:r w:rsidR="00FE45D1" w:rsidRPr="00902924">
        <w:t xml:space="preserve"> Minister</w:t>
      </w:r>
      <w:r w:rsidR="0007426C" w:rsidRPr="00902924">
        <w:t xml:space="preserve"> and </w:t>
      </w:r>
      <w:r w:rsidR="002A6AF1" w:rsidRPr="00902924">
        <w:t xml:space="preserve">the </w:t>
      </w:r>
      <w:r w:rsidR="0007426C" w:rsidRPr="00902924">
        <w:t>responsible Minister under section 105D of t</w:t>
      </w:r>
      <w:r w:rsidR="00FB71F2" w:rsidRPr="00902924">
        <w:t xml:space="preserve">he PGPA Act </w:t>
      </w:r>
      <w:r w:rsidR="00354811" w:rsidRPr="00902924">
        <w:t xml:space="preserve">also </w:t>
      </w:r>
      <w:r w:rsidR="00FB71F2" w:rsidRPr="00902924">
        <w:t>assist</w:t>
      </w:r>
      <w:r w:rsidR="0007426C" w:rsidRPr="00902924">
        <w:t xml:space="preserve"> with the fu</w:t>
      </w:r>
      <w:r w:rsidR="00354811" w:rsidRPr="00902924">
        <w:t xml:space="preserve">nctions </w:t>
      </w:r>
      <w:r w:rsidR="0007426C" w:rsidRPr="00902924">
        <w:t>of intelligence</w:t>
      </w:r>
      <w:r w:rsidR="00DD79EA" w:rsidRPr="00902924">
        <w:t xml:space="preserve"> or security agencies or</w:t>
      </w:r>
      <w:r>
        <w:t xml:space="preserve"> LLEAs</w:t>
      </w:r>
      <w:r w:rsidR="0007426C" w:rsidRPr="00902924">
        <w:t xml:space="preserve">. </w:t>
      </w:r>
      <w:r>
        <w:t xml:space="preserve"> </w:t>
      </w:r>
      <w:proofErr w:type="gramStart"/>
      <w:r w:rsidR="00DC5112" w:rsidRPr="00902924">
        <w:t>To facilitate the formati</w:t>
      </w:r>
      <w:r w:rsidR="00FB71F2" w:rsidRPr="00902924">
        <w:t xml:space="preserve">on of a relevant company, </w:t>
      </w:r>
      <w:r w:rsidR="00E7352A">
        <w:t xml:space="preserve">a </w:t>
      </w:r>
      <w:r w:rsidR="00EB7AED">
        <w:t xml:space="preserve">determination </w:t>
      </w:r>
      <w:r w:rsidR="00DC5112" w:rsidRPr="00902924">
        <w:t>will be made</w:t>
      </w:r>
      <w:r w:rsidR="00EB7880" w:rsidRPr="00902924">
        <w:t xml:space="preserve"> by the </w:t>
      </w:r>
      <w:r w:rsidR="00FB71F2" w:rsidRPr="00902924">
        <w:t>Finance</w:t>
      </w:r>
      <w:r w:rsidR="00354811" w:rsidRPr="00902924">
        <w:t xml:space="preserve"> Minister</w:t>
      </w:r>
      <w:r w:rsidR="00FB71F2" w:rsidRPr="00902924">
        <w:t xml:space="preserve"> under section 105D(3) of the </w:t>
      </w:r>
      <w:r w:rsidR="00EB7880" w:rsidRPr="00902924">
        <w:t>PGPA Act</w:t>
      </w:r>
      <w:r w:rsidR="00DC5112" w:rsidRPr="00902924">
        <w:t xml:space="preserve"> to </w:t>
      </w:r>
      <w:r w:rsidR="00E7352A">
        <w:t xml:space="preserve">modify </w:t>
      </w:r>
      <w:r w:rsidR="00DC5112" w:rsidRPr="00902924">
        <w:t>section 8</w:t>
      </w:r>
      <w:r>
        <w:t xml:space="preserve">5(1) of the </w:t>
      </w:r>
      <w:r w:rsidR="00DC5112" w:rsidRPr="00902924">
        <w:t>Act to provide for</w:t>
      </w:r>
      <w:r w:rsidR="00354811" w:rsidRPr="00902924">
        <w:t xml:space="preserve"> </w:t>
      </w:r>
      <w:r w:rsidR="002A6AF1" w:rsidRPr="00902924">
        <w:t>the accountable authority of an intelligence</w:t>
      </w:r>
      <w:r w:rsidR="00E36CA9" w:rsidRPr="00902924">
        <w:t xml:space="preserve"> or security agency </w:t>
      </w:r>
      <w:r w:rsidR="002A6AF1" w:rsidRPr="00902924">
        <w:t>or</w:t>
      </w:r>
      <w:r w:rsidR="006C6B5C">
        <w:t xml:space="preserve"> </w:t>
      </w:r>
      <w:r>
        <w:t>LLEA</w:t>
      </w:r>
      <w:r w:rsidR="00FB71F2" w:rsidRPr="00902924">
        <w:t>, or a person authorised,</w:t>
      </w:r>
      <w:r w:rsidR="00EB7880" w:rsidRPr="00902924">
        <w:t xml:space="preserve"> on behalf of the Commonwealth, for the purpose of a designated activity </w:t>
      </w:r>
      <w:r w:rsidR="00354811" w:rsidRPr="00902924">
        <w:t>to:</w:t>
      </w:r>
      <w:proofErr w:type="gramEnd"/>
    </w:p>
    <w:p w14:paraId="658EBF29" w14:textId="77777777" w:rsidR="006C6B5C" w:rsidRDefault="006C6B5C" w:rsidP="006C6B5C"/>
    <w:p w14:paraId="304881F4" w14:textId="77777777" w:rsidR="006C6B5C" w:rsidRDefault="00EB7880" w:rsidP="006C6B5C">
      <w:pPr>
        <w:pStyle w:val="ListParagraph"/>
        <w:numPr>
          <w:ilvl w:val="0"/>
          <w:numId w:val="6"/>
        </w:numPr>
      </w:pPr>
      <w:r w:rsidRPr="00902924">
        <w:t xml:space="preserve">form or participate in forming a relevant company; or </w:t>
      </w:r>
    </w:p>
    <w:p w14:paraId="68AE435B" w14:textId="77777777" w:rsidR="0007426C" w:rsidRPr="00902924" w:rsidRDefault="00EB7880" w:rsidP="006C6B5C">
      <w:pPr>
        <w:pStyle w:val="ListParagraph"/>
        <w:numPr>
          <w:ilvl w:val="0"/>
          <w:numId w:val="6"/>
        </w:numPr>
      </w:pPr>
      <w:proofErr w:type="gramStart"/>
      <w:r w:rsidRPr="00902924">
        <w:t>acquire</w:t>
      </w:r>
      <w:proofErr w:type="gramEnd"/>
      <w:r w:rsidRPr="00902924">
        <w:t xml:space="preserve"> shares (either by purchase or subscription) in a relevant company, or become a member of a company, in circumstances, but for subsection 89(5) that would result in the relevant company becoming a Commonwealth company.</w:t>
      </w:r>
    </w:p>
    <w:p w14:paraId="005AF279" w14:textId="77777777" w:rsidR="00DC5112" w:rsidRPr="00902924" w:rsidRDefault="00DC5112" w:rsidP="00902924">
      <w:pPr>
        <w:pStyle w:val="Default"/>
        <w:rPr>
          <w:rFonts w:eastAsiaTheme="minorEastAsia"/>
          <w:color w:val="auto"/>
          <w:lang w:bidi="en-US"/>
        </w:rPr>
      </w:pPr>
    </w:p>
    <w:p w14:paraId="3C14BB76" w14:textId="77777777" w:rsidR="00CC0CB2" w:rsidRDefault="003F6FEE" w:rsidP="00902924">
      <w:pPr>
        <w:pStyle w:val="Default"/>
        <w:rPr>
          <w:rFonts w:eastAsiaTheme="minorEastAsia"/>
          <w:color w:val="auto"/>
          <w:lang w:bidi="en-US"/>
        </w:rPr>
      </w:pPr>
      <w:r>
        <w:rPr>
          <w:rFonts w:eastAsiaTheme="minorEastAsia"/>
          <w:color w:val="auto"/>
          <w:lang w:bidi="en-US"/>
        </w:rPr>
        <w:t>The determinations will also modify t</w:t>
      </w:r>
      <w:r w:rsidR="00CC0CB2">
        <w:rPr>
          <w:rFonts w:eastAsiaTheme="minorEastAsia"/>
          <w:color w:val="auto"/>
          <w:lang w:bidi="en-US"/>
        </w:rPr>
        <w:t>he definition of ‘</w:t>
      </w:r>
      <w:r w:rsidR="00CC0CB2" w:rsidRPr="00902924">
        <w:t xml:space="preserve">Commonwealth </w:t>
      </w:r>
      <w:proofErr w:type="gramStart"/>
      <w:r w:rsidR="00CC0CB2" w:rsidRPr="00902924">
        <w:t>company</w:t>
      </w:r>
      <w:proofErr w:type="gramEnd"/>
      <w:r w:rsidR="00CC0CB2">
        <w:t xml:space="preserve">’ to include a foreign company as well as a company incorporated under the </w:t>
      </w:r>
      <w:r w:rsidR="00CC0CB2" w:rsidRPr="00A36C4F">
        <w:rPr>
          <w:i/>
        </w:rPr>
        <w:t>Corporations Act 2001</w:t>
      </w:r>
      <w:r w:rsidR="00CC0CB2">
        <w:t>.</w:t>
      </w:r>
    </w:p>
    <w:p w14:paraId="02687DDB" w14:textId="77777777" w:rsidR="00CC0CB2" w:rsidRDefault="00CC0CB2" w:rsidP="00902924">
      <w:pPr>
        <w:pStyle w:val="Default"/>
        <w:rPr>
          <w:rFonts w:eastAsiaTheme="minorEastAsia"/>
          <w:color w:val="auto"/>
          <w:lang w:bidi="en-US"/>
        </w:rPr>
      </w:pPr>
    </w:p>
    <w:p w14:paraId="7DB0F034" w14:textId="77777777" w:rsidR="00A77D43" w:rsidRPr="00902924" w:rsidRDefault="005035B6" w:rsidP="00902924">
      <w:pPr>
        <w:pStyle w:val="Default"/>
        <w:rPr>
          <w:rFonts w:eastAsiaTheme="minorEastAsia"/>
          <w:color w:val="auto"/>
          <w:lang w:bidi="en-US"/>
        </w:rPr>
      </w:pPr>
      <w:r w:rsidRPr="00902924">
        <w:rPr>
          <w:rFonts w:eastAsiaTheme="minorEastAsia"/>
          <w:color w:val="auto"/>
          <w:lang w:bidi="en-US"/>
        </w:rPr>
        <w:t xml:space="preserve">Details of the </w:t>
      </w:r>
      <w:r w:rsidR="00032084" w:rsidRPr="00902924">
        <w:rPr>
          <w:rFonts w:eastAsiaTheme="minorEastAsia"/>
          <w:color w:val="auto"/>
          <w:lang w:bidi="en-US"/>
        </w:rPr>
        <w:t>r</w:t>
      </w:r>
      <w:r w:rsidR="00EE1F92" w:rsidRPr="00902924">
        <w:rPr>
          <w:rFonts w:eastAsiaTheme="minorEastAsia"/>
          <w:color w:val="auto"/>
          <w:lang w:bidi="en-US"/>
        </w:rPr>
        <w:t>ule</w:t>
      </w:r>
      <w:r w:rsidRPr="00902924">
        <w:rPr>
          <w:rFonts w:eastAsiaTheme="minorEastAsia"/>
          <w:color w:val="auto"/>
          <w:lang w:bidi="en-US"/>
        </w:rPr>
        <w:t xml:space="preserve"> are set out at </w:t>
      </w:r>
      <w:r w:rsidRPr="00902924">
        <w:rPr>
          <w:rFonts w:eastAsiaTheme="minorEastAsia"/>
          <w:color w:val="auto"/>
          <w:u w:val="single"/>
          <w:lang w:bidi="en-US"/>
        </w:rPr>
        <w:t>Attachment A</w:t>
      </w:r>
      <w:r w:rsidRPr="00902924">
        <w:rPr>
          <w:rFonts w:eastAsiaTheme="minorEastAsia"/>
          <w:color w:val="auto"/>
          <w:lang w:bidi="en-US"/>
        </w:rPr>
        <w:t xml:space="preserve">. A Statement of Compatibility with Human Rights is at </w:t>
      </w:r>
      <w:r w:rsidRPr="00902924">
        <w:rPr>
          <w:rFonts w:eastAsiaTheme="minorEastAsia"/>
          <w:color w:val="auto"/>
          <w:u w:val="single"/>
          <w:lang w:bidi="en-US"/>
        </w:rPr>
        <w:t>Attachment B</w:t>
      </w:r>
      <w:r w:rsidRPr="00902924">
        <w:rPr>
          <w:rFonts w:eastAsiaTheme="minorEastAsia"/>
          <w:color w:val="auto"/>
          <w:lang w:bidi="en-US"/>
        </w:rPr>
        <w:t>.</w:t>
      </w:r>
    </w:p>
    <w:p w14:paraId="07FBFD32" w14:textId="77777777" w:rsidR="005035B6" w:rsidRPr="00902924" w:rsidRDefault="005035B6" w:rsidP="00902924">
      <w:pPr>
        <w:pStyle w:val="Default"/>
        <w:rPr>
          <w:rFonts w:eastAsiaTheme="minorEastAsia"/>
          <w:color w:val="auto"/>
          <w:lang w:bidi="en-US"/>
        </w:rPr>
      </w:pPr>
    </w:p>
    <w:p w14:paraId="692D2CC5" w14:textId="77777777" w:rsidR="005035B6" w:rsidRPr="00902924" w:rsidRDefault="005035B6" w:rsidP="00902924">
      <w:pPr>
        <w:autoSpaceDE w:val="0"/>
        <w:autoSpaceDN w:val="0"/>
        <w:adjustRightInd w:val="0"/>
        <w:rPr>
          <w:i/>
        </w:rPr>
      </w:pPr>
      <w:r w:rsidRPr="00902924">
        <w:t xml:space="preserve">The </w:t>
      </w:r>
      <w:r w:rsidR="00197298" w:rsidRPr="00902924">
        <w:t>r</w:t>
      </w:r>
      <w:r w:rsidR="00EE1F92" w:rsidRPr="00902924">
        <w:t>ule</w:t>
      </w:r>
      <w:r w:rsidRPr="00902924">
        <w:t xml:space="preserve"> is a legislative instrument for the purposes of the </w:t>
      </w:r>
      <w:r w:rsidR="00AD5DB1" w:rsidRPr="00902924">
        <w:rPr>
          <w:i/>
        </w:rPr>
        <w:t>Legislation Act 2003</w:t>
      </w:r>
      <w:r w:rsidRPr="00902924">
        <w:rPr>
          <w:i/>
        </w:rPr>
        <w:t>.</w:t>
      </w:r>
    </w:p>
    <w:p w14:paraId="051B77F5" w14:textId="77777777" w:rsidR="005035B6" w:rsidRPr="00902924" w:rsidRDefault="005035B6" w:rsidP="00902924">
      <w:pPr>
        <w:autoSpaceDE w:val="0"/>
        <w:autoSpaceDN w:val="0"/>
        <w:adjustRightInd w:val="0"/>
      </w:pPr>
    </w:p>
    <w:p w14:paraId="09D5A52F" w14:textId="77777777" w:rsidR="005035B6" w:rsidRPr="00902924" w:rsidRDefault="005035B6" w:rsidP="00902924">
      <w:pPr>
        <w:autoSpaceDE w:val="0"/>
        <w:autoSpaceDN w:val="0"/>
        <w:adjustRightInd w:val="0"/>
      </w:pPr>
      <w:r w:rsidRPr="00902924">
        <w:t xml:space="preserve">The </w:t>
      </w:r>
      <w:r w:rsidR="00197298" w:rsidRPr="00902924">
        <w:t>r</w:t>
      </w:r>
      <w:r w:rsidR="00EE1F92" w:rsidRPr="00902924">
        <w:t>ule</w:t>
      </w:r>
      <w:r w:rsidRPr="00902924">
        <w:t xml:space="preserve"> </w:t>
      </w:r>
      <w:r w:rsidR="00197298" w:rsidRPr="00902924">
        <w:t>will commence</w:t>
      </w:r>
      <w:r w:rsidRPr="00902924">
        <w:t xml:space="preserve"> on the day after registration on the Federal Register of</w:t>
      </w:r>
      <w:r w:rsidR="00473F49" w:rsidRPr="00902924">
        <w:t xml:space="preserve"> Legislation.</w:t>
      </w:r>
    </w:p>
    <w:p w14:paraId="642EB1DF" w14:textId="77777777" w:rsidR="007066B6" w:rsidRPr="00902924" w:rsidRDefault="007066B6" w:rsidP="00902924">
      <w:pPr>
        <w:rPr>
          <w:b/>
        </w:rPr>
      </w:pPr>
    </w:p>
    <w:p w14:paraId="6E6AA1E2" w14:textId="77777777" w:rsidR="003F6FEE" w:rsidRDefault="003F6FEE">
      <w:pPr>
        <w:spacing w:after="160" w:line="259" w:lineRule="auto"/>
        <w:rPr>
          <w:b/>
        </w:rPr>
      </w:pPr>
      <w:r>
        <w:rPr>
          <w:b/>
        </w:rPr>
        <w:br w:type="page"/>
      </w:r>
    </w:p>
    <w:p w14:paraId="0BD14E32" w14:textId="77777777" w:rsidR="000137D7" w:rsidRPr="00902924" w:rsidRDefault="005035B6" w:rsidP="00902924">
      <w:r w:rsidRPr="00902924">
        <w:rPr>
          <w:b/>
        </w:rPr>
        <w:lastRenderedPageBreak/>
        <w:t>Consultation</w:t>
      </w:r>
    </w:p>
    <w:p w14:paraId="77B187A3" w14:textId="77777777" w:rsidR="00354811" w:rsidRPr="00902924" w:rsidRDefault="00354811" w:rsidP="00902924"/>
    <w:p w14:paraId="70AD703F" w14:textId="77777777" w:rsidR="00DC5112" w:rsidRPr="00902924" w:rsidRDefault="00DC5112" w:rsidP="00902924">
      <w:r w:rsidRPr="00902924">
        <w:t xml:space="preserve">The Australian Secret Intelligence Service, </w:t>
      </w:r>
      <w:r w:rsidR="00B97B7F" w:rsidRPr="00902924">
        <w:t>Australian Secret Intelligence Organisation,</w:t>
      </w:r>
      <w:r w:rsidR="00FC21D1">
        <w:t xml:space="preserve"> the Australian Signals Directorate,</w:t>
      </w:r>
      <w:r w:rsidR="00375487">
        <w:t xml:space="preserve"> </w:t>
      </w:r>
      <w:r w:rsidR="00B97B7F" w:rsidRPr="00902924">
        <w:t>Australian Federal Police and the Australian C</w:t>
      </w:r>
      <w:r w:rsidR="00354811" w:rsidRPr="00902924">
        <w:t>rim</w:t>
      </w:r>
      <w:r w:rsidR="00152D83" w:rsidRPr="00902924">
        <w:t>inal Intelligence Commission have</w:t>
      </w:r>
      <w:r w:rsidR="00354811" w:rsidRPr="00902924">
        <w:t xml:space="preserve"> been consulted in the making</w:t>
      </w:r>
      <w:r w:rsidR="00152D83" w:rsidRPr="00902924">
        <w:t xml:space="preserve"> of this </w:t>
      </w:r>
      <w:r w:rsidR="00D35F3A">
        <w:t>r</w:t>
      </w:r>
      <w:r w:rsidR="00152D83" w:rsidRPr="00902924">
        <w:t>ule.</w:t>
      </w:r>
    </w:p>
    <w:p w14:paraId="48B820CA" w14:textId="77777777" w:rsidR="00C03CA8" w:rsidRDefault="00C03CA8" w:rsidP="00E70858">
      <w:pPr>
        <w:rPr>
          <w:b/>
        </w:rPr>
      </w:pPr>
    </w:p>
    <w:p w14:paraId="5ACEC19E" w14:textId="77777777" w:rsidR="00354811" w:rsidRDefault="00282733" w:rsidP="00282733">
      <w:pPr>
        <w:spacing w:after="160" w:line="259" w:lineRule="auto"/>
        <w:rPr>
          <w:rFonts w:eastAsiaTheme="minorHAnsi"/>
          <w:b/>
          <w:bCs/>
          <w:u w:val="single"/>
          <w:lang w:bidi="ar-SA"/>
        </w:rPr>
      </w:pPr>
      <w:r>
        <w:rPr>
          <w:rFonts w:eastAsiaTheme="minorHAnsi"/>
          <w:b/>
          <w:bCs/>
          <w:u w:val="single"/>
          <w:lang w:bidi="ar-SA"/>
        </w:rPr>
        <w:br w:type="page"/>
      </w:r>
    </w:p>
    <w:p w14:paraId="48E6BB3D" w14:textId="77777777" w:rsidR="00FD01EB" w:rsidRPr="001850D2" w:rsidRDefault="00FD01EB" w:rsidP="00E70858">
      <w:pPr>
        <w:autoSpaceDE w:val="0"/>
        <w:autoSpaceDN w:val="0"/>
        <w:adjustRightInd w:val="0"/>
        <w:jc w:val="right"/>
        <w:rPr>
          <w:rFonts w:eastAsiaTheme="minorHAnsi"/>
          <w:b/>
          <w:bCs/>
          <w:u w:val="single"/>
          <w:lang w:bidi="ar-SA"/>
        </w:rPr>
      </w:pPr>
      <w:r w:rsidRPr="001850D2">
        <w:rPr>
          <w:rFonts w:eastAsiaTheme="minorHAnsi"/>
          <w:b/>
          <w:bCs/>
          <w:u w:val="single"/>
          <w:lang w:bidi="ar-SA"/>
        </w:rPr>
        <w:lastRenderedPageBreak/>
        <w:t>Attachment A</w:t>
      </w:r>
    </w:p>
    <w:p w14:paraId="56AA0221" w14:textId="77777777" w:rsidR="00FD01EB" w:rsidRPr="001850D2" w:rsidRDefault="00FD01EB" w:rsidP="00E70858">
      <w:pPr>
        <w:autoSpaceDE w:val="0"/>
        <w:autoSpaceDN w:val="0"/>
        <w:adjustRightInd w:val="0"/>
        <w:jc w:val="right"/>
        <w:rPr>
          <w:rFonts w:eastAsiaTheme="minorHAnsi"/>
          <w:b/>
          <w:bCs/>
          <w:lang w:bidi="ar-SA"/>
        </w:rPr>
      </w:pPr>
    </w:p>
    <w:p w14:paraId="53208633" w14:textId="77777777" w:rsidR="00FD01EB" w:rsidRPr="001A2BFC" w:rsidRDefault="00C03CA8" w:rsidP="00E70858">
      <w:pPr>
        <w:autoSpaceDE w:val="0"/>
        <w:autoSpaceDN w:val="0"/>
        <w:adjustRightInd w:val="0"/>
        <w:rPr>
          <w:b/>
          <w:i/>
          <w:u w:val="single"/>
        </w:rPr>
      </w:pPr>
      <w:r w:rsidRPr="00C03CA8">
        <w:rPr>
          <w:b/>
          <w:u w:val="single"/>
        </w:rPr>
        <w:t>Details of the</w:t>
      </w:r>
      <w:r>
        <w:rPr>
          <w:b/>
          <w:i/>
          <w:u w:val="single"/>
        </w:rPr>
        <w:t xml:space="preserve"> </w:t>
      </w:r>
      <w:r w:rsidR="001A2BFC" w:rsidRPr="001A2BFC">
        <w:rPr>
          <w:b/>
          <w:i/>
          <w:u w:val="single"/>
        </w:rPr>
        <w:t>Public Governance, Performance and Accountability (Relevant Company) Amendment (2017 Measures No. 3) Rules 2017</w:t>
      </w:r>
    </w:p>
    <w:p w14:paraId="21C9470B" w14:textId="77777777" w:rsidR="00FD01EB" w:rsidRPr="001850D2" w:rsidRDefault="00FD01EB" w:rsidP="00E70858">
      <w:pPr>
        <w:autoSpaceDE w:val="0"/>
        <w:autoSpaceDN w:val="0"/>
        <w:adjustRightInd w:val="0"/>
      </w:pPr>
    </w:p>
    <w:p w14:paraId="41B735C8" w14:textId="77777777" w:rsidR="00FD01EB" w:rsidRDefault="00C03CA8" w:rsidP="00E70858">
      <w:pPr>
        <w:autoSpaceDE w:val="0"/>
        <w:autoSpaceDN w:val="0"/>
        <w:adjustRightInd w:val="0"/>
        <w:rPr>
          <w:b/>
        </w:rPr>
      </w:pPr>
      <w:r>
        <w:rPr>
          <w:b/>
        </w:rPr>
        <w:t>Section 1 – Name</w:t>
      </w:r>
    </w:p>
    <w:p w14:paraId="2C9709C2" w14:textId="77777777" w:rsidR="00C03CA8" w:rsidRDefault="00C03CA8" w:rsidP="00E70858">
      <w:pPr>
        <w:autoSpaceDE w:val="0"/>
        <w:autoSpaceDN w:val="0"/>
        <w:adjustRightInd w:val="0"/>
        <w:rPr>
          <w:b/>
        </w:rPr>
      </w:pPr>
    </w:p>
    <w:p w14:paraId="395E119F" w14:textId="77777777" w:rsidR="00C03CA8" w:rsidRPr="002F31D9" w:rsidRDefault="00C03CA8" w:rsidP="00C03CA8">
      <w:pPr>
        <w:autoSpaceDE w:val="0"/>
        <w:autoSpaceDN w:val="0"/>
        <w:adjustRightInd w:val="0"/>
        <w:rPr>
          <w:i/>
        </w:rPr>
      </w:pPr>
      <w:r>
        <w:t xml:space="preserve">This section provides that the title of the rule is the </w:t>
      </w:r>
      <w:r w:rsidR="002F31D9" w:rsidRPr="002F31D9">
        <w:rPr>
          <w:i/>
        </w:rPr>
        <w:t>Public Governance, Performance and Accountability (Relevant Company) Amendment (2017 Measures No. 3) Rules 2017</w:t>
      </w:r>
      <w:r w:rsidR="002F31D9">
        <w:rPr>
          <w:i/>
        </w:rPr>
        <w:t>.</w:t>
      </w:r>
    </w:p>
    <w:p w14:paraId="68D6D8CD" w14:textId="77777777" w:rsidR="00C03CA8" w:rsidRPr="00C03CA8" w:rsidRDefault="00C03CA8" w:rsidP="00E70858">
      <w:pPr>
        <w:autoSpaceDE w:val="0"/>
        <w:autoSpaceDN w:val="0"/>
        <w:adjustRightInd w:val="0"/>
      </w:pPr>
    </w:p>
    <w:p w14:paraId="15481AB9" w14:textId="77777777" w:rsidR="00C03CA8" w:rsidRDefault="00C03CA8" w:rsidP="00E70858">
      <w:pPr>
        <w:autoSpaceDE w:val="0"/>
        <w:autoSpaceDN w:val="0"/>
        <w:adjustRightInd w:val="0"/>
        <w:rPr>
          <w:b/>
        </w:rPr>
      </w:pPr>
      <w:r>
        <w:rPr>
          <w:b/>
        </w:rPr>
        <w:t>Section 2 – Commencement</w:t>
      </w:r>
    </w:p>
    <w:p w14:paraId="0A35F46A" w14:textId="77777777" w:rsidR="00C03CA8" w:rsidRDefault="00C03CA8" w:rsidP="00E70858">
      <w:pPr>
        <w:autoSpaceDE w:val="0"/>
        <w:autoSpaceDN w:val="0"/>
        <w:adjustRightInd w:val="0"/>
        <w:rPr>
          <w:b/>
        </w:rPr>
      </w:pPr>
    </w:p>
    <w:p w14:paraId="52EE4BBE" w14:textId="77777777" w:rsidR="00C03CA8" w:rsidRPr="00C03CA8" w:rsidRDefault="00C03CA8" w:rsidP="00E70858">
      <w:pPr>
        <w:autoSpaceDE w:val="0"/>
        <w:autoSpaceDN w:val="0"/>
        <w:adjustRightInd w:val="0"/>
      </w:pPr>
      <w:r>
        <w:t>This section provi</w:t>
      </w:r>
      <w:r w:rsidR="00D659E6">
        <w:t xml:space="preserve">des that each provision of the </w:t>
      </w:r>
      <w:r w:rsidR="00197298">
        <w:t>r</w:t>
      </w:r>
      <w:r>
        <w:t>ule specified in column 1 of the table commences, or is taken to have commenced, in accordance with column 2 of the table.</w:t>
      </w:r>
    </w:p>
    <w:p w14:paraId="1ADC8B92" w14:textId="77777777" w:rsidR="00C03CA8" w:rsidRDefault="00C03CA8" w:rsidP="00E70858">
      <w:pPr>
        <w:autoSpaceDE w:val="0"/>
        <w:autoSpaceDN w:val="0"/>
        <w:adjustRightInd w:val="0"/>
        <w:rPr>
          <w:b/>
        </w:rPr>
      </w:pPr>
    </w:p>
    <w:p w14:paraId="19E327D3" w14:textId="77777777" w:rsidR="00C03CA8" w:rsidRDefault="00197298" w:rsidP="00E70858">
      <w:pPr>
        <w:autoSpaceDE w:val="0"/>
        <w:autoSpaceDN w:val="0"/>
        <w:adjustRightInd w:val="0"/>
        <w:rPr>
          <w:b/>
        </w:rPr>
      </w:pPr>
      <w:r>
        <w:t>The whole of the r</w:t>
      </w:r>
      <w:r w:rsidR="00D659E6">
        <w:t>ule will commence on the day after it is registered on the</w:t>
      </w:r>
      <w:r w:rsidR="004C7EC1">
        <w:t xml:space="preserve"> Federal Register of Legislation</w:t>
      </w:r>
      <w:r w:rsidR="00D659E6">
        <w:t>.</w:t>
      </w:r>
    </w:p>
    <w:p w14:paraId="3A7B7D94" w14:textId="77777777" w:rsidR="00C03CA8" w:rsidRDefault="00C03CA8" w:rsidP="00E70858">
      <w:pPr>
        <w:autoSpaceDE w:val="0"/>
        <w:autoSpaceDN w:val="0"/>
        <w:adjustRightInd w:val="0"/>
        <w:rPr>
          <w:b/>
        </w:rPr>
      </w:pPr>
    </w:p>
    <w:p w14:paraId="2E8D6BE3" w14:textId="77777777" w:rsidR="00C03CA8" w:rsidRDefault="00C03CA8" w:rsidP="00E70858">
      <w:pPr>
        <w:autoSpaceDE w:val="0"/>
        <w:autoSpaceDN w:val="0"/>
        <w:adjustRightInd w:val="0"/>
        <w:rPr>
          <w:b/>
        </w:rPr>
      </w:pPr>
      <w:r>
        <w:rPr>
          <w:b/>
        </w:rPr>
        <w:t>Section 3 – Authority</w:t>
      </w:r>
    </w:p>
    <w:p w14:paraId="0270A422" w14:textId="77777777" w:rsidR="00C03CA8" w:rsidRDefault="00C03CA8" w:rsidP="00E70858">
      <w:pPr>
        <w:autoSpaceDE w:val="0"/>
        <w:autoSpaceDN w:val="0"/>
        <w:adjustRightInd w:val="0"/>
        <w:rPr>
          <w:b/>
        </w:rPr>
      </w:pPr>
    </w:p>
    <w:p w14:paraId="36555676" w14:textId="77777777" w:rsidR="00143134" w:rsidRDefault="00442877" w:rsidP="00E70858">
      <w:pPr>
        <w:autoSpaceDE w:val="0"/>
        <w:autoSpaceDN w:val="0"/>
        <w:adjustRightInd w:val="0"/>
        <w:rPr>
          <w:b/>
        </w:rPr>
      </w:pPr>
      <w:r>
        <w:t>This section provides that the instrument is made under th</w:t>
      </w:r>
      <w:r w:rsidRPr="00442877">
        <w:t xml:space="preserve">e </w:t>
      </w:r>
      <w:r w:rsidRPr="00442877">
        <w:rPr>
          <w:i/>
          <w:iCs/>
        </w:rPr>
        <w:t>Public Governance, Performance and Accountability Act 2013</w:t>
      </w:r>
      <w:r>
        <w:t xml:space="preserve"> (PGPA Act).</w:t>
      </w:r>
    </w:p>
    <w:p w14:paraId="02E2C9DC" w14:textId="77777777" w:rsidR="00143134" w:rsidRDefault="00143134" w:rsidP="00E70858">
      <w:pPr>
        <w:autoSpaceDE w:val="0"/>
        <w:autoSpaceDN w:val="0"/>
        <w:adjustRightInd w:val="0"/>
        <w:rPr>
          <w:b/>
        </w:rPr>
      </w:pPr>
    </w:p>
    <w:p w14:paraId="5166B0FF" w14:textId="77777777" w:rsidR="00143134" w:rsidRPr="005B767D" w:rsidRDefault="00C03CA8" w:rsidP="00E70858">
      <w:pPr>
        <w:autoSpaceDE w:val="0"/>
        <w:autoSpaceDN w:val="0"/>
        <w:adjustRightInd w:val="0"/>
        <w:rPr>
          <w:b/>
        </w:rPr>
      </w:pPr>
      <w:r w:rsidRPr="005B767D">
        <w:rPr>
          <w:b/>
        </w:rPr>
        <w:t xml:space="preserve">Section 4 – </w:t>
      </w:r>
      <w:r w:rsidR="00143134" w:rsidRPr="005B767D">
        <w:rPr>
          <w:b/>
        </w:rPr>
        <w:t>Schedules</w:t>
      </w:r>
    </w:p>
    <w:p w14:paraId="6BA109B1" w14:textId="77777777" w:rsidR="00143134" w:rsidRPr="005B767D" w:rsidRDefault="00143134" w:rsidP="00E70858">
      <w:pPr>
        <w:autoSpaceDE w:val="0"/>
        <w:autoSpaceDN w:val="0"/>
        <w:adjustRightInd w:val="0"/>
      </w:pPr>
    </w:p>
    <w:p w14:paraId="1BFDC117" w14:textId="77777777" w:rsidR="00143134" w:rsidRPr="00A36C4F" w:rsidRDefault="00143134" w:rsidP="00E70858">
      <w:pPr>
        <w:autoSpaceDE w:val="0"/>
        <w:autoSpaceDN w:val="0"/>
        <w:adjustRightInd w:val="0"/>
      </w:pPr>
      <w:r>
        <w:t xml:space="preserve">This section provides that each instrument </w:t>
      </w:r>
      <w:r w:rsidR="00CA682B">
        <w:t>specified</w:t>
      </w:r>
      <w:r>
        <w:t xml:space="preserve"> in the Schedule is amended as set out in the applicable items of the Schedule.</w:t>
      </w:r>
    </w:p>
    <w:p w14:paraId="70E55782" w14:textId="77777777" w:rsidR="00143134" w:rsidRPr="00A36C4F" w:rsidRDefault="00143134" w:rsidP="00E70858">
      <w:pPr>
        <w:autoSpaceDE w:val="0"/>
        <w:autoSpaceDN w:val="0"/>
        <w:adjustRightInd w:val="0"/>
      </w:pPr>
    </w:p>
    <w:p w14:paraId="295B135C" w14:textId="77777777" w:rsidR="005B767D" w:rsidRDefault="005B767D" w:rsidP="00E70858">
      <w:pPr>
        <w:autoSpaceDE w:val="0"/>
        <w:autoSpaceDN w:val="0"/>
        <w:adjustRightInd w:val="0"/>
        <w:rPr>
          <w:b/>
        </w:rPr>
      </w:pPr>
      <w:r>
        <w:rPr>
          <w:b/>
        </w:rPr>
        <w:t>Schedule 1 – Amendments</w:t>
      </w:r>
    </w:p>
    <w:p w14:paraId="26027116" w14:textId="77777777" w:rsidR="00C03CA8" w:rsidRDefault="00C03CA8" w:rsidP="00E70858">
      <w:pPr>
        <w:autoSpaceDE w:val="0"/>
        <w:autoSpaceDN w:val="0"/>
        <w:adjustRightInd w:val="0"/>
        <w:rPr>
          <w:b/>
        </w:rPr>
      </w:pPr>
    </w:p>
    <w:p w14:paraId="46B92977" w14:textId="77777777" w:rsidR="00442877" w:rsidRPr="00442877" w:rsidRDefault="00932786" w:rsidP="00E70858">
      <w:pPr>
        <w:autoSpaceDE w:val="0"/>
        <w:autoSpaceDN w:val="0"/>
        <w:adjustRightInd w:val="0"/>
      </w:pPr>
      <w:r>
        <w:t xml:space="preserve">This section provides that a company is a relevant company if it is of a kind </w:t>
      </w:r>
      <w:r w:rsidR="00C265D7">
        <w:t>mentioned</w:t>
      </w:r>
      <w:r>
        <w:t xml:space="preserve"> in column 2</w:t>
      </w:r>
      <w:r w:rsidR="00C265D7">
        <w:t xml:space="preserve"> of the table and its proposed activities are of a kind mentioned in </w:t>
      </w:r>
      <w:r w:rsidR="009E76B6">
        <w:br/>
      </w:r>
      <w:r w:rsidR="00C265D7">
        <w:t xml:space="preserve">column 3 </w:t>
      </w:r>
      <w:r w:rsidR="00733335">
        <w:t xml:space="preserve">for the corresponding </w:t>
      </w:r>
      <w:r w:rsidR="00C265D7">
        <w:t xml:space="preserve">item. </w:t>
      </w:r>
    </w:p>
    <w:p w14:paraId="48789737" w14:textId="77777777" w:rsidR="00C03CA8" w:rsidRDefault="00C03CA8" w:rsidP="00E70858">
      <w:pPr>
        <w:autoSpaceDE w:val="0"/>
        <w:autoSpaceDN w:val="0"/>
        <w:adjustRightInd w:val="0"/>
        <w:rPr>
          <w:b/>
        </w:rPr>
      </w:pPr>
    </w:p>
    <w:p w14:paraId="554E02C7" w14:textId="77777777" w:rsidR="00143134" w:rsidRDefault="00143134">
      <w:pPr>
        <w:spacing w:after="160" w:line="259" w:lineRule="auto"/>
      </w:pPr>
      <w:r>
        <w:br w:type="page"/>
      </w:r>
    </w:p>
    <w:p w14:paraId="2CCD786A" w14:textId="77777777" w:rsidR="0018476E" w:rsidRPr="001850D2" w:rsidRDefault="0018476E" w:rsidP="00E70858">
      <w:pPr>
        <w:autoSpaceDE w:val="0"/>
        <w:autoSpaceDN w:val="0"/>
        <w:adjustRightInd w:val="0"/>
      </w:pPr>
    </w:p>
    <w:p w14:paraId="61915877" w14:textId="77777777" w:rsidR="009D6CE9" w:rsidRPr="001850D2" w:rsidRDefault="009D6CE9" w:rsidP="00E70858">
      <w:pPr>
        <w:autoSpaceDE w:val="0"/>
        <w:autoSpaceDN w:val="0"/>
        <w:adjustRightInd w:val="0"/>
        <w:jc w:val="right"/>
        <w:rPr>
          <w:rFonts w:eastAsiaTheme="minorHAnsi"/>
          <w:b/>
          <w:bCs/>
          <w:u w:val="single"/>
          <w:lang w:bidi="ar-SA"/>
        </w:rPr>
      </w:pPr>
      <w:r w:rsidRPr="001850D2">
        <w:rPr>
          <w:rFonts w:eastAsiaTheme="minorHAnsi"/>
          <w:b/>
          <w:bCs/>
          <w:u w:val="single"/>
          <w:lang w:bidi="ar-SA"/>
        </w:rPr>
        <w:t>Attachment B</w:t>
      </w:r>
    </w:p>
    <w:p w14:paraId="1FFBC4E5" w14:textId="77777777" w:rsidR="009D6CE9" w:rsidRPr="001850D2" w:rsidRDefault="009D6CE9" w:rsidP="00E70858">
      <w:pPr>
        <w:autoSpaceDE w:val="0"/>
        <w:autoSpaceDN w:val="0"/>
        <w:adjustRightInd w:val="0"/>
        <w:jc w:val="center"/>
        <w:rPr>
          <w:rFonts w:eastAsiaTheme="minorHAnsi"/>
          <w:b/>
          <w:bCs/>
          <w:lang w:bidi="ar-SA"/>
        </w:rPr>
      </w:pPr>
      <w:r w:rsidRPr="001850D2">
        <w:rPr>
          <w:rFonts w:eastAsiaTheme="minorHAnsi"/>
          <w:b/>
          <w:bCs/>
          <w:lang w:bidi="ar-SA"/>
        </w:rPr>
        <w:t>Statement of Compatibility with Human Rights</w:t>
      </w:r>
    </w:p>
    <w:p w14:paraId="18BD3BBE" w14:textId="77777777" w:rsidR="001A1D47" w:rsidRPr="001850D2" w:rsidRDefault="001A1D47" w:rsidP="001A1D47">
      <w:pPr>
        <w:autoSpaceDE w:val="0"/>
        <w:autoSpaceDN w:val="0"/>
        <w:adjustRightInd w:val="0"/>
        <w:rPr>
          <w:rFonts w:eastAsiaTheme="minorHAnsi"/>
          <w:lang w:bidi="ar-SA"/>
        </w:rPr>
      </w:pPr>
    </w:p>
    <w:p w14:paraId="2EA9A47E" w14:textId="77777777" w:rsidR="001A1D47" w:rsidRPr="001850D2" w:rsidRDefault="001A1D47" w:rsidP="001A1D47">
      <w:pPr>
        <w:autoSpaceDE w:val="0"/>
        <w:autoSpaceDN w:val="0"/>
        <w:adjustRightInd w:val="0"/>
        <w:rPr>
          <w:rFonts w:eastAsiaTheme="minorHAnsi"/>
          <w:iCs/>
          <w:lang w:bidi="ar-SA"/>
        </w:rPr>
      </w:pPr>
      <w:r w:rsidRPr="001850D2">
        <w:rPr>
          <w:rFonts w:eastAsiaTheme="minorHAnsi"/>
          <w:lang w:bidi="ar-SA"/>
        </w:rPr>
        <w:t xml:space="preserve">Prepared in accordance with Part 3 of the </w:t>
      </w:r>
      <w:r w:rsidRPr="001850D2">
        <w:rPr>
          <w:rFonts w:eastAsiaTheme="minorHAnsi"/>
          <w:i/>
          <w:iCs/>
          <w:lang w:bidi="ar-SA"/>
        </w:rPr>
        <w:t>Human Rights (Parliamentary Scrutiny) Act 2011</w:t>
      </w:r>
      <w:r w:rsidR="00D35F3A">
        <w:rPr>
          <w:rFonts w:eastAsiaTheme="minorHAnsi"/>
          <w:i/>
          <w:iCs/>
          <w:lang w:bidi="ar-SA"/>
        </w:rPr>
        <w:t>.</w:t>
      </w:r>
    </w:p>
    <w:p w14:paraId="3D183FA7" w14:textId="77777777" w:rsidR="001A1D47" w:rsidRPr="001850D2" w:rsidRDefault="001A1D47" w:rsidP="001A1D47">
      <w:pPr>
        <w:autoSpaceDE w:val="0"/>
        <w:autoSpaceDN w:val="0"/>
        <w:adjustRightInd w:val="0"/>
        <w:rPr>
          <w:rFonts w:eastAsiaTheme="minorHAnsi"/>
          <w:iCs/>
          <w:lang w:bidi="ar-SA"/>
        </w:rPr>
      </w:pPr>
    </w:p>
    <w:p w14:paraId="664EC740" w14:textId="77777777" w:rsidR="001A1D47" w:rsidRPr="002F31D9" w:rsidRDefault="004F0DD4" w:rsidP="001A1D47">
      <w:pPr>
        <w:autoSpaceDE w:val="0"/>
        <w:autoSpaceDN w:val="0"/>
        <w:adjustRightInd w:val="0"/>
        <w:rPr>
          <w:rFonts w:eastAsiaTheme="minorHAnsi"/>
          <w:i/>
          <w:lang w:bidi="ar-SA"/>
        </w:rPr>
      </w:pPr>
      <w:r>
        <w:rPr>
          <w:rFonts w:eastAsiaTheme="minorHAnsi"/>
          <w:lang w:bidi="ar-SA"/>
        </w:rPr>
        <w:t xml:space="preserve">The </w:t>
      </w:r>
      <w:r w:rsidR="002F31D9" w:rsidRPr="002F31D9">
        <w:rPr>
          <w:rFonts w:eastAsiaTheme="minorHAnsi"/>
          <w:i/>
          <w:lang w:bidi="ar-SA"/>
        </w:rPr>
        <w:t>Public Governance, Performance and Accountability (Relevant Company) Amendment (2017 Measures No. 3) Rules 2017</w:t>
      </w:r>
      <w:r w:rsidR="00197298">
        <w:t xml:space="preserve"> </w:t>
      </w:r>
      <w:r w:rsidR="001A1D47" w:rsidRPr="001850D2">
        <w:rPr>
          <w:rFonts w:eastAsiaTheme="minorHAnsi"/>
          <w:lang w:bidi="ar-SA"/>
        </w:rPr>
        <w:t>is compatible with the human rights and freedoms recognised or declared in</w:t>
      </w:r>
      <w:r w:rsidR="00276C26">
        <w:rPr>
          <w:rFonts w:eastAsiaTheme="minorHAnsi"/>
          <w:lang w:bidi="ar-SA"/>
        </w:rPr>
        <w:t xml:space="preserve"> </w:t>
      </w:r>
      <w:r w:rsidR="001A1D47" w:rsidRPr="001850D2">
        <w:rPr>
          <w:rFonts w:eastAsiaTheme="minorHAnsi"/>
          <w:lang w:bidi="ar-SA"/>
        </w:rPr>
        <w:t xml:space="preserve">the international instruments listed in section 3 of the </w:t>
      </w:r>
      <w:r w:rsidR="001A1D47" w:rsidRPr="001850D2">
        <w:rPr>
          <w:rFonts w:eastAsiaTheme="minorHAnsi"/>
          <w:i/>
          <w:iCs/>
          <w:lang w:bidi="ar-SA"/>
        </w:rPr>
        <w:t>Human Rights (Parliamentary Scrutiny) Act 2011.</w:t>
      </w:r>
    </w:p>
    <w:p w14:paraId="773EDD6E" w14:textId="77777777" w:rsidR="004F0DD4" w:rsidRDefault="004F0DD4" w:rsidP="001A1D47">
      <w:pPr>
        <w:autoSpaceDE w:val="0"/>
        <w:autoSpaceDN w:val="0"/>
        <w:adjustRightInd w:val="0"/>
        <w:rPr>
          <w:rFonts w:eastAsiaTheme="minorHAnsi"/>
          <w:i/>
          <w:iCs/>
          <w:lang w:bidi="ar-SA"/>
        </w:rPr>
      </w:pPr>
    </w:p>
    <w:p w14:paraId="41C1B67A" w14:textId="77777777" w:rsidR="004F0DD4" w:rsidRDefault="004F0DD4" w:rsidP="001A1D47">
      <w:pPr>
        <w:autoSpaceDE w:val="0"/>
        <w:autoSpaceDN w:val="0"/>
        <w:adjustRightInd w:val="0"/>
        <w:rPr>
          <w:rFonts w:eastAsiaTheme="minorHAnsi"/>
          <w:iCs/>
          <w:lang w:bidi="ar-SA"/>
        </w:rPr>
      </w:pPr>
      <w:r>
        <w:rPr>
          <w:rFonts w:eastAsiaTheme="minorHAnsi"/>
          <w:b/>
          <w:iCs/>
          <w:lang w:bidi="ar-SA"/>
        </w:rPr>
        <w:t>Overview of the legislative instrument</w:t>
      </w:r>
    </w:p>
    <w:p w14:paraId="3F82475A" w14:textId="77777777" w:rsidR="004F0DD4" w:rsidRDefault="004F0DD4" w:rsidP="004F0DD4">
      <w:r w:rsidRPr="00063C9E">
        <w:t xml:space="preserve">The </w:t>
      </w:r>
      <w:r w:rsidRPr="00063C9E">
        <w:rPr>
          <w:i/>
        </w:rPr>
        <w:t>Public Governance, Performance and Accountability Act 2013</w:t>
      </w:r>
      <w:r w:rsidR="00902924">
        <w:t xml:space="preserve"> </w:t>
      </w:r>
      <w:r w:rsidR="00D35F3A">
        <w:t xml:space="preserve">(PGPA Act) </w:t>
      </w:r>
      <w:r w:rsidRPr="00063C9E">
        <w:t>establishes a framework for regulating resource management by the Commonwealth and relevant entities. Section 101 of the PGPA Act provides that the Finance Minister may make rules by legislative instrument to prescribe matters giving effect to the Act.</w:t>
      </w:r>
    </w:p>
    <w:p w14:paraId="03F82A28" w14:textId="77777777" w:rsidR="004F0DD4" w:rsidRDefault="004F0DD4" w:rsidP="004F0DD4"/>
    <w:p w14:paraId="6275E791" w14:textId="77777777" w:rsidR="0015244E" w:rsidRPr="002F31D9" w:rsidRDefault="004F0DD4" w:rsidP="004F0DD4">
      <w:pPr>
        <w:rPr>
          <w:i/>
        </w:rPr>
      </w:pPr>
      <w:r>
        <w:t xml:space="preserve">The </w:t>
      </w:r>
      <w:r w:rsidR="002F31D9" w:rsidRPr="002F31D9">
        <w:rPr>
          <w:i/>
        </w:rPr>
        <w:t>Public Governance, Performance and Accountability (Relevant Company) Amendment (2017 Measures No. 3) Rules 2017</w:t>
      </w:r>
      <w:r w:rsidR="00282733">
        <w:t xml:space="preserve"> </w:t>
      </w:r>
      <w:r>
        <w:t xml:space="preserve">would establish a </w:t>
      </w:r>
      <w:r w:rsidR="00197298">
        <w:t>r</w:t>
      </w:r>
      <w:r>
        <w:t>ule u</w:t>
      </w:r>
      <w:r w:rsidR="0015244E">
        <w:t>nder section 85 of the PGPA Act</w:t>
      </w:r>
      <w:r w:rsidR="00197298">
        <w:t>. T</w:t>
      </w:r>
      <w:r w:rsidR="0015244E">
        <w:t xml:space="preserve">he </w:t>
      </w:r>
      <w:r w:rsidR="00197298">
        <w:t>r</w:t>
      </w:r>
      <w:r w:rsidR="0015244E">
        <w:t xml:space="preserve">ule would </w:t>
      </w:r>
      <w:r w:rsidR="00197298">
        <w:t>provide the Commonwealth with the legislative authority to f</w:t>
      </w:r>
      <w:r w:rsidR="0015244E">
        <w:t>orm</w:t>
      </w:r>
      <w:r w:rsidR="00197298">
        <w:t>,</w:t>
      </w:r>
      <w:r w:rsidR="0015244E">
        <w:t xml:space="preserve"> or participate in forming</w:t>
      </w:r>
      <w:r w:rsidR="00197298">
        <w:t>,</w:t>
      </w:r>
      <w:r w:rsidR="0015244E">
        <w:t xml:space="preserve"> relevant companies </w:t>
      </w:r>
      <w:r w:rsidR="00197298">
        <w:t xml:space="preserve">mentioned in section 5 of the rule. </w:t>
      </w:r>
    </w:p>
    <w:p w14:paraId="604197DD" w14:textId="77777777" w:rsidR="0015244E" w:rsidRDefault="0015244E" w:rsidP="004F0DD4"/>
    <w:p w14:paraId="4F6BF298" w14:textId="77777777" w:rsidR="0015244E" w:rsidRPr="00063C9E" w:rsidRDefault="0015244E" w:rsidP="0015244E">
      <w:pPr>
        <w:rPr>
          <w:b/>
        </w:rPr>
      </w:pPr>
      <w:r w:rsidRPr="00063C9E">
        <w:rPr>
          <w:b/>
        </w:rPr>
        <w:t>Human rights implications</w:t>
      </w:r>
    </w:p>
    <w:p w14:paraId="7B468DFA" w14:textId="77777777" w:rsidR="0015244E" w:rsidRPr="00063C9E" w:rsidRDefault="0015244E" w:rsidP="0015244E">
      <w:r w:rsidRPr="00063C9E">
        <w:t xml:space="preserve">The </w:t>
      </w:r>
      <w:r w:rsidR="00197298">
        <w:t>r</w:t>
      </w:r>
      <w:r>
        <w:t>ule</w:t>
      </w:r>
      <w:r w:rsidRPr="00063C9E">
        <w:t xml:space="preserve"> does not </w:t>
      </w:r>
      <w:r>
        <w:t>impinge on</w:t>
      </w:r>
      <w:r w:rsidRPr="00063C9E">
        <w:t xml:space="preserve"> any applicable rights or freedoms.</w:t>
      </w:r>
    </w:p>
    <w:p w14:paraId="5CC1AB13" w14:textId="77777777" w:rsidR="0015244E" w:rsidRPr="00063C9E" w:rsidRDefault="0015244E" w:rsidP="0015244E">
      <w:pPr>
        <w:rPr>
          <w:b/>
        </w:rPr>
      </w:pPr>
    </w:p>
    <w:p w14:paraId="0CCCF077" w14:textId="77777777" w:rsidR="0015244E" w:rsidRPr="00063C9E" w:rsidRDefault="0015244E" w:rsidP="0015244E">
      <w:pPr>
        <w:rPr>
          <w:b/>
        </w:rPr>
      </w:pPr>
      <w:r w:rsidRPr="00063C9E">
        <w:rPr>
          <w:b/>
        </w:rPr>
        <w:t>Conclusion</w:t>
      </w:r>
    </w:p>
    <w:p w14:paraId="2D31C2AC" w14:textId="77777777" w:rsidR="0015244E" w:rsidRDefault="0015244E" w:rsidP="0015244E">
      <w:r w:rsidRPr="00063C9E">
        <w:t xml:space="preserve">The </w:t>
      </w:r>
      <w:r w:rsidR="00864FFF">
        <w:t>r</w:t>
      </w:r>
      <w:r>
        <w:t>ule</w:t>
      </w:r>
      <w:r w:rsidRPr="00063C9E">
        <w:t xml:space="preserve"> is compatible with human rights as it does not raise any human rights issues.</w:t>
      </w:r>
    </w:p>
    <w:p w14:paraId="69061839" w14:textId="77777777" w:rsidR="0015244E" w:rsidRDefault="0015244E" w:rsidP="0015244E"/>
    <w:p w14:paraId="29DC3772" w14:textId="77777777" w:rsidR="0015244E" w:rsidRPr="00063C9E" w:rsidRDefault="0015244E" w:rsidP="0015244E"/>
    <w:p w14:paraId="0047EA1C" w14:textId="77777777" w:rsidR="0015244E" w:rsidRPr="004F0DD4" w:rsidRDefault="0015244E" w:rsidP="004F0DD4"/>
    <w:p w14:paraId="61ECD18B" w14:textId="77777777" w:rsidR="004F0DD4" w:rsidRDefault="004F0DD4" w:rsidP="001A1D47">
      <w:pPr>
        <w:autoSpaceDE w:val="0"/>
        <w:autoSpaceDN w:val="0"/>
        <w:adjustRightInd w:val="0"/>
        <w:rPr>
          <w:rFonts w:eastAsiaTheme="minorHAnsi"/>
          <w:iCs/>
          <w:lang w:bidi="ar-SA"/>
        </w:rPr>
      </w:pPr>
    </w:p>
    <w:p w14:paraId="552FA321" w14:textId="77777777" w:rsidR="0015244E" w:rsidRPr="00063C9E" w:rsidRDefault="0015244E" w:rsidP="0015244E">
      <w:pPr>
        <w:pStyle w:val="paranumbering"/>
        <w:spacing w:before="0" w:beforeAutospacing="0" w:after="0" w:afterAutospacing="0"/>
        <w:jc w:val="center"/>
        <w:rPr>
          <w:b/>
        </w:rPr>
      </w:pPr>
      <w:r w:rsidRPr="00063C9E">
        <w:rPr>
          <w:b/>
        </w:rPr>
        <w:t xml:space="preserve">Senator the Hon Mathias </w:t>
      </w:r>
      <w:proofErr w:type="spellStart"/>
      <w:r w:rsidRPr="00063C9E">
        <w:rPr>
          <w:b/>
        </w:rPr>
        <w:t>Cormann</w:t>
      </w:r>
      <w:proofErr w:type="spellEnd"/>
    </w:p>
    <w:p w14:paraId="1F9204DA" w14:textId="77777777" w:rsidR="0015244E" w:rsidRPr="00063C9E" w:rsidRDefault="0015244E" w:rsidP="0015244E">
      <w:pPr>
        <w:pStyle w:val="paranumbering"/>
        <w:spacing w:before="0" w:beforeAutospacing="0" w:after="0" w:afterAutospacing="0"/>
        <w:jc w:val="center"/>
        <w:rPr>
          <w:b/>
        </w:rPr>
      </w:pPr>
      <w:r w:rsidRPr="00063C9E">
        <w:rPr>
          <w:b/>
        </w:rPr>
        <w:t>Minister for Finance</w:t>
      </w:r>
    </w:p>
    <w:p w14:paraId="3FD0ED32" w14:textId="77777777" w:rsidR="003D075B" w:rsidRPr="004F0DD4" w:rsidRDefault="003D075B" w:rsidP="001A1D47">
      <w:pPr>
        <w:autoSpaceDE w:val="0"/>
        <w:autoSpaceDN w:val="0"/>
        <w:adjustRightInd w:val="0"/>
        <w:rPr>
          <w:rFonts w:eastAsiaTheme="minorHAnsi"/>
          <w:iCs/>
          <w:lang w:bidi="ar-SA"/>
        </w:rPr>
      </w:pPr>
      <w:r>
        <w:rPr>
          <w:rFonts w:eastAsiaTheme="minorHAnsi"/>
          <w:iCs/>
          <w:lang w:bidi="ar-SA"/>
        </w:rPr>
        <w:t xml:space="preserve"> </w:t>
      </w:r>
    </w:p>
    <w:sectPr w:rsidR="003D075B" w:rsidRPr="004F0DD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3F197" w14:textId="77777777" w:rsidR="00BB1FDF" w:rsidRDefault="00BB1FDF" w:rsidP="00BB1FDF">
      <w:r>
        <w:separator/>
      </w:r>
    </w:p>
  </w:endnote>
  <w:endnote w:type="continuationSeparator" w:id="0">
    <w:p w14:paraId="07AE773C" w14:textId="77777777" w:rsidR="00BB1FDF" w:rsidRDefault="00BB1FDF" w:rsidP="00BB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B4E3F" w14:textId="77777777" w:rsidR="00FE0FC0" w:rsidRDefault="00FE0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59925" w14:textId="77777777" w:rsidR="00FE0FC0" w:rsidRDefault="00FE0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D0937" w14:textId="77777777" w:rsidR="00FE0FC0" w:rsidRDefault="00FE0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55F38" w14:textId="77777777" w:rsidR="00BB1FDF" w:rsidRDefault="00BB1FDF" w:rsidP="00BB1FDF">
      <w:r>
        <w:separator/>
      </w:r>
    </w:p>
  </w:footnote>
  <w:footnote w:type="continuationSeparator" w:id="0">
    <w:p w14:paraId="347D51BF" w14:textId="77777777" w:rsidR="00BB1FDF" w:rsidRDefault="00BB1FDF" w:rsidP="00BB1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A4E77" w14:textId="77777777" w:rsidR="00FE0FC0" w:rsidRDefault="00FE0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A63B2" w14:textId="77777777" w:rsidR="00FE0FC0" w:rsidRDefault="00FE0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7E7F" w14:textId="77777777" w:rsidR="00FE0FC0" w:rsidRDefault="00FE0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97B56"/>
    <w:multiLevelType w:val="hybridMultilevel"/>
    <w:tmpl w:val="BC708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A7E2E8A"/>
    <w:multiLevelType w:val="hybridMultilevel"/>
    <w:tmpl w:val="4DCCDC9C"/>
    <w:lvl w:ilvl="0" w:tplc="D7FEE2D4">
      <w:start w:val="2"/>
      <w:numFmt w:val="decimal"/>
      <w:lvlText w:val="%1."/>
      <w:lvlJc w:val="left"/>
      <w:pPr>
        <w:ind w:left="360" w:hanging="360"/>
      </w:pPr>
      <w:rPr>
        <w:rFonts w:hint="default"/>
        <w:b w:val="0"/>
        <w:color w:val="auto"/>
      </w:rPr>
    </w:lvl>
    <w:lvl w:ilvl="1" w:tplc="65CCB706">
      <w:start w:val="1"/>
      <w:numFmt w:val="lowerLetter"/>
      <w:lvlText w:val="(%2)"/>
      <w:lvlJc w:val="left"/>
      <w:pPr>
        <w:ind w:left="1080" w:hanging="360"/>
      </w:pPr>
      <w:rPr>
        <w:rFonts w:hint="default"/>
      </w:rPr>
    </w:lvl>
    <w:lvl w:ilvl="2" w:tplc="ED1E3618">
      <w:start w:val="1"/>
      <w:numFmt w:val="lowerRoman"/>
      <w:lvlText w:val="%3."/>
      <w:lvlJc w:val="right"/>
      <w:pPr>
        <w:ind w:left="1800" w:hanging="180"/>
      </w:pPr>
    </w:lvl>
    <w:lvl w:ilvl="3" w:tplc="C3F05060" w:tentative="1">
      <w:start w:val="1"/>
      <w:numFmt w:val="decimal"/>
      <w:lvlText w:val="%4."/>
      <w:lvlJc w:val="left"/>
      <w:pPr>
        <w:ind w:left="2520" w:hanging="360"/>
      </w:pPr>
    </w:lvl>
    <w:lvl w:ilvl="4" w:tplc="C218A536" w:tentative="1">
      <w:start w:val="1"/>
      <w:numFmt w:val="lowerLetter"/>
      <w:lvlText w:val="%5."/>
      <w:lvlJc w:val="left"/>
      <w:pPr>
        <w:ind w:left="3240" w:hanging="360"/>
      </w:pPr>
    </w:lvl>
    <w:lvl w:ilvl="5" w:tplc="9B8015CC" w:tentative="1">
      <w:start w:val="1"/>
      <w:numFmt w:val="lowerRoman"/>
      <w:lvlText w:val="%6."/>
      <w:lvlJc w:val="right"/>
      <w:pPr>
        <w:ind w:left="3960" w:hanging="180"/>
      </w:pPr>
    </w:lvl>
    <w:lvl w:ilvl="6" w:tplc="B4A81446" w:tentative="1">
      <w:start w:val="1"/>
      <w:numFmt w:val="decimal"/>
      <w:lvlText w:val="%7."/>
      <w:lvlJc w:val="left"/>
      <w:pPr>
        <w:ind w:left="4680" w:hanging="360"/>
      </w:pPr>
    </w:lvl>
    <w:lvl w:ilvl="7" w:tplc="062AE396" w:tentative="1">
      <w:start w:val="1"/>
      <w:numFmt w:val="lowerLetter"/>
      <w:lvlText w:val="%8."/>
      <w:lvlJc w:val="left"/>
      <w:pPr>
        <w:ind w:left="5400" w:hanging="360"/>
      </w:pPr>
    </w:lvl>
    <w:lvl w:ilvl="8" w:tplc="A6128C18" w:tentative="1">
      <w:start w:val="1"/>
      <w:numFmt w:val="lowerRoman"/>
      <w:lvlText w:val="%9."/>
      <w:lvlJc w:val="right"/>
      <w:pPr>
        <w:ind w:left="6120" w:hanging="180"/>
      </w:pPr>
    </w:lvl>
  </w:abstractNum>
  <w:abstractNum w:abstractNumId="2" w15:restartNumberingAfterBreak="0">
    <w:nsid w:val="728E772F"/>
    <w:multiLevelType w:val="hybridMultilevel"/>
    <w:tmpl w:val="0C02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401657"/>
    <w:multiLevelType w:val="hybridMultilevel"/>
    <w:tmpl w:val="8848D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C855CA4"/>
    <w:multiLevelType w:val="multilevel"/>
    <w:tmpl w:val="6F2E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F24C8C"/>
    <w:multiLevelType w:val="hybridMultilevel"/>
    <w:tmpl w:val="9F0A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50"/>
    <w:rsid w:val="00001752"/>
    <w:rsid w:val="000106FC"/>
    <w:rsid w:val="00012651"/>
    <w:rsid w:val="000137D7"/>
    <w:rsid w:val="0002192D"/>
    <w:rsid w:val="000224C9"/>
    <w:rsid w:val="00032084"/>
    <w:rsid w:val="000706EC"/>
    <w:rsid w:val="00071486"/>
    <w:rsid w:val="0007426C"/>
    <w:rsid w:val="00077E83"/>
    <w:rsid w:val="000A551E"/>
    <w:rsid w:val="000A6ADC"/>
    <w:rsid w:val="000A77FB"/>
    <w:rsid w:val="000B57D8"/>
    <w:rsid w:val="000B7149"/>
    <w:rsid w:val="000E60E2"/>
    <w:rsid w:val="000F6F50"/>
    <w:rsid w:val="00107378"/>
    <w:rsid w:val="00111457"/>
    <w:rsid w:val="00143134"/>
    <w:rsid w:val="0015244E"/>
    <w:rsid w:val="00152D83"/>
    <w:rsid w:val="00160DD1"/>
    <w:rsid w:val="00165815"/>
    <w:rsid w:val="00184415"/>
    <w:rsid w:val="0018476E"/>
    <w:rsid w:val="001850D2"/>
    <w:rsid w:val="00197298"/>
    <w:rsid w:val="001A1D47"/>
    <w:rsid w:val="001A2BFC"/>
    <w:rsid w:val="001E6FEE"/>
    <w:rsid w:val="00200C16"/>
    <w:rsid w:val="00204E97"/>
    <w:rsid w:val="00216D1F"/>
    <w:rsid w:val="002564ED"/>
    <w:rsid w:val="00262C06"/>
    <w:rsid w:val="00276C26"/>
    <w:rsid w:val="00282733"/>
    <w:rsid w:val="002A6AF1"/>
    <w:rsid w:val="002B17EF"/>
    <w:rsid w:val="002B71B0"/>
    <w:rsid w:val="002D41BC"/>
    <w:rsid w:val="002F31D9"/>
    <w:rsid w:val="002F3C15"/>
    <w:rsid w:val="0034070E"/>
    <w:rsid w:val="003465C7"/>
    <w:rsid w:val="00354811"/>
    <w:rsid w:val="00374B06"/>
    <w:rsid w:val="00375487"/>
    <w:rsid w:val="003773C8"/>
    <w:rsid w:val="00381837"/>
    <w:rsid w:val="003A6986"/>
    <w:rsid w:val="003D075B"/>
    <w:rsid w:val="003F14D3"/>
    <w:rsid w:val="003F6FEE"/>
    <w:rsid w:val="00404103"/>
    <w:rsid w:val="00417C4D"/>
    <w:rsid w:val="00442877"/>
    <w:rsid w:val="00473F49"/>
    <w:rsid w:val="004C7EC1"/>
    <w:rsid w:val="004F0DD4"/>
    <w:rsid w:val="0050069A"/>
    <w:rsid w:val="005035B6"/>
    <w:rsid w:val="0050771B"/>
    <w:rsid w:val="005176AB"/>
    <w:rsid w:val="0052045F"/>
    <w:rsid w:val="005B4201"/>
    <w:rsid w:val="005B767D"/>
    <w:rsid w:val="005D100C"/>
    <w:rsid w:val="005F5317"/>
    <w:rsid w:val="00617934"/>
    <w:rsid w:val="00632308"/>
    <w:rsid w:val="00642BCE"/>
    <w:rsid w:val="00670BBB"/>
    <w:rsid w:val="00680205"/>
    <w:rsid w:val="006B7D9E"/>
    <w:rsid w:val="006C2375"/>
    <w:rsid w:val="006C6B5C"/>
    <w:rsid w:val="006D55F1"/>
    <w:rsid w:val="006F7B23"/>
    <w:rsid w:val="007066B6"/>
    <w:rsid w:val="00733335"/>
    <w:rsid w:val="0077684E"/>
    <w:rsid w:val="00783294"/>
    <w:rsid w:val="007B6AA7"/>
    <w:rsid w:val="007C0DAB"/>
    <w:rsid w:val="00864FFF"/>
    <w:rsid w:val="008B5156"/>
    <w:rsid w:val="008F004E"/>
    <w:rsid w:val="00902924"/>
    <w:rsid w:val="009160DD"/>
    <w:rsid w:val="00932786"/>
    <w:rsid w:val="00934E55"/>
    <w:rsid w:val="009C0675"/>
    <w:rsid w:val="009D6CE9"/>
    <w:rsid w:val="009E04FF"/>
    <w:rsid w:val="009E76B6"/>
    <w:rsid w:val="009F2553"/>
    <w:rsid w:val="009F6613"/>
    <w:rsid w:val="00A142C8"/>
    <w:rsid w:val="00A36C4F"/>
    <w:rsid w:val="00A41D87"/>
    <w:rsid w:val="00A77D43"/>
    <w:rsid w:val="00A808E2"/>
    <w:rsid w:val="00A9007B"/>
    <w:rsid w:val="00AD5DB1"/>
    <w:rsid w:val="00AD7E99"/>
    <w:rsid w:val="00AE3255"/>
    <w:rsid w:val="00AE7762"/>
    <w:rsid w:val="00AF5961"/>
    <w:rsid w:val="00B0750D"/>
    <w:rsid w:val="00B4236E"/>
    <w:rsid w:val="00B475CF"/>
    <w:rsid w:val="00B97B7F"/>
    <w:rsid w:val="00BB1FDF"/>
    <w:rsid w:val="00C03CA8"/>
    <w:rsid w:val="00C20DDA"/>
    <w:rsid w:val="00C265D7"/>
    <w:rsid w:val="00C45F55"/>
    <w:rsid w:val="00CA682B"/>
    <w:rsid w:val="00CC0CB2"/>
    <w:rsid w:val="00CD7CB5"/>
    <w:rsid w:val="00CE02CA"/>
    <w:rsid w:val="00D35F3A"/>
    <w:rsid w:val="00D41648"/>
    <w:rsid w:val="00D4215E"/>
    <w:rsid w:val="00D500FC"/>
    <w:rsid w:val="00D659E6"/>
    <w:rsid w:val="00D8559B"/>
    <w:rsid w:val="00DC5112"/>
    <w:rsid w:val="00DD02C0"/>
    <w:rsid w:val="00DD79EA"/>
    <w:rsid w:val="00E32DE7"/>
    <w:rsid w:val="00E36CA9"/>
    <w:rsid w:val="00E4556A"/>
    <w:rsid w:val="00E70858"/>
    <w:rsid w:val="00E7352A"/>
    <w:rsid w:val="00E75C64"/>
    <w:rsid w:val="00EB38B0"/>
    <w:rsid w:val="00EB7880"/>
    <w:rsid w:val="00EB7AED"/>
    <w:rsid w:val="00EE1F92"/>
    <w:rsid w:val="00F268B3"/>
    <w:rsid w:val="00F5088C"/>
    <w:rsid w:val="00FB4C81"/>
    <w:rsid w:val="00FB71F2"/>
    <w:rsid w:val="00FC21D1"/>
    <w:rsid w:val="00FD01EB"/>
    <w:rsid w:val="00FD2829"/>
    <w:rsid w:val="00FD7C34"/>
    <w:rsid w:val="00FE0FC0"/>
    <w:rsid w:val="00FE45D1"/>
    <w:rsid w:val="00FF5D47"/>
    <w:rsid w:val="00FF6E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F0910F"/>
  <w15:chartTrackingRefBased/>
  <w15:docId w15:val="{E6F77624-BEB3-4248-8602-8A7B59E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D47"/>
    <w:pPr>
      <w:spacing w:after="0" w:line="240" w:lineRule="auto"/>
    </w:pPr>
    <w:rPr>
      <w:rFonts w:ascii="Times New Roman" w:eastAsiaTheme="minorEastAsia" w:hAnsi="Times New Roman" w:cs="Times New Roman"/>
      <w:sz w:val="24"/>
      <w:szCs w:val="24"/>
      <w:lang w:bidi="en-US"/>
    </w:rPr>
  </w:style>
  <w:style w:type="paragraph" w:styleId="Heading1">
    <w:name w:val="heading 1"/>
    <w:basedOn w:val="Normal"/>
    <w:next w:val="Normal"/>
    <w:link w:val="Heading1Char"/>
    <w:uiPriority w:val="9"/>
    <w:qFormat/>
    <w:rsid w:val="00FF6E3B"/>
    <w:pPr>
      <w:spacing w:before="48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E3B"/>
    <w:rPr>
      <w:rFonts w:asciiTheme="majorHAnsi" w:eastAsiaTheme="majorEastAsia" w:hAnsiTheme="majorHAnsi" w:cstheme="majorBidi"/>
      <w:b/>
      <w:bCs/>
      <w:sz w:val="28"/>
      <w:szCs w:val="28"/>
      <w:lang w:val="en-US" w:bidi="en-US"/>
    </w:rPr>
  </w:style>
  <w:style w:type="paragraph" w:styleId="FootnoteText">
    <w:name w:val="footnote text"/>
    <w:basedOn w:val="Normal"/>
    <w:link w:val="FootnoteTextChar"/>
    <w:uiPriority w:val="99"/>
    <w:semiHidden/>
    <w:unhideWhenUsed/>
    <w:rsid w:val="00BB1FDF"/>
    <w:rPr>
      <w:sz w:val="20"/>
      <w:szCs w:val="20"/>
    </w:rPr>
  </w:style>
  <w:style w:type="character" w:customStyle="1" w:styleId="FootnoteTextChar">
    <w:name w:val="Footnote Text Char"/>
    <w:basedOn w:val="DefaultParagraphFont"/>
    <w:link w:val="FootnoteText"/>
    <w:uiPriority w:val="99"/>
    <w:semiHidden/>
    <w:rsid w:val="00BB1FDF"/>
    <w:rPr>
      <w:rFonts w:ascii="Times New Roman" w:eastAsiaTheme="minorEastAsia" w:hAnsi="Times New Roman" w:cs="Times New Roman"/>
      <w:sz w:val="20"/>
      <w:szCs w:val="20"/>
      <w:lang w:bidi="en-US"/>
    </w:rPr>
  </w:style>
  <w:style w:type="character" w:styleId="FootnoteReference">
    <w:name w:val="footnote reference"/>
    <w:basedOn w:val="DefaultParagraphFont"/>
    <w:uiPriority w:val="99"/>
    <w:semiHidden/>
    <w:unhideWhenUsed/>
    <w:rsid w:val="00BB1FDF"/>
    <w:rPr>
      <w:vertAlign w:val="superscript"/>
    </w:rPr>
  </w:style>
  <w:style w:type="paragraph" w:customStyle="1" w:styleId="Default">
    <w:name w:val="Default"/>
    <w:rsid w:val="00D8559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E60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0E2"/>
    <w:rPr>
      <w:rFonts w:ascii="Segoe UI" w:eastAsiaTheme="minorEastAsia" w:hAnsi="Segoe UI" w:cs="Segoe UI"/>
      <w:sz w:val="18"/>
      <w:szCs w:val="18"/>
      <w:lang w:bidi="en-US"/>
    </w:rPr>
  </w:style>
  <w:style w:type="paragraph" w:styleId="Header">
    <w:name w:val="header"/>
    <w:basedOn w:val="Normal"/>
    <w:link w:val="HeaderChar"/>
    <w:uiPriority w:val="99"/>
    <w:unhideWhenUsed/>
    <w:rsid w:val="00111457"/>
    <w:pPr>
      <w:tabs>
        <w:tab w:val="center" w:pos="4513"/>
        <w:tab w:val="right" w:pos="9026"/>
      </w:tabs>
    </w:pPr>
  </w:style>
  <w:style w:type="character" w:customStyle="1" w:styleId="HeaderChar">
    <w:name w:val="Header Char"/>
    <w:basedOn w:val="DefaultParagraphFont"/>
    <w:link w:val="Header"/>
    <w:uiPriority w:val="99"/>
    <w:rsid w:val="00111457"/>
    <w:rPr>
      <w:rFonts w:ascii="Times New Roman" w:eastAsiaTheme="minorEastAsia" w:hAnsi="Times New Roman" w:cs="Times New Roman"/>
      <w:sz w:val="24"/>
      <w:szCs w:val="24"/>
      <w:lang w:bidi="en-US"/>
    </w:rPr>
  </w:style>
  <w:style w:type="paragraph" w:styleId="Footer">
    <w:name w:val="footer"/>
    <w:basedOn w:val="Normal"/>
    <w:link w:val="FooterChar"/>
    <w:uiPriority w:val="99"/>
    <w:unhideWhenUsed/>
    <w:rsid w:val="00111457"/>
    <w:pPr>
      <w:tabs>
        <w:tab w:val="center" w:pos="4513"/>
        <w:tab w:val="right" w:pos="9026"/>
      </w:tabs>
    </w:pPr>
  </w:style>
  <w:style w:type="character" w:customStyle="1" w:styleId="FooterChar">
    <w:name w:val="Footer Char"/>
    <w:basedOn w:val="DefaultParagraphFont"/>
    <w:link w:val="Footer"/>
    <w:uiPriority w:val="99"/>
    <w:rsid w:val="00111457"/>
    <w:rPr>
      <w:rFonts w:ascii="Times New Roman" w:eastAsiaTheme="minorEastAsia" w:hAnsi="Times New Roman" w:cs="Times New Roman"/>
      <w:sz w:val="24"/>
      <w:szCs w:val="24"/>
      <w:lang w:bidi="en-US"/>
    </w:rPr>
  </w:style>
  <w:style w:type="paragraph" w:styleId="ListParagraph">
    <w:name w:val="List Paragraph"/>
    <w:basedOn w:val="Normal"/>
    <w:uiPriority w:val="34"/>
    <w:qFormat/>
    <w:rsid w:val="00A142C8"/>
    <w:pPr>
      <w:ind w:left="720"/>
      <w:contextualSpacing/>
    </w:pPr>
  </w:style>
  <w:style w:type="paragraph" w:customStyle="1" w:styleId="paranumbering">
    <w:name w:val="paranumbering"/>
    <w:basedOn w:val="Normal"/>
    <w:uiPriority w:val="99"/>
    <w:rsid w:val="0015244E"/>
    <w:pPr>
      <w:spacing w:before="100" w:beforeAutospacing="1" w:after="100" w:afterAutospacing="1"/>
    </w:pPr>
    <w:rPr>
      <w:rFonts w:eastAsiaTheme="minorHAnsi"/>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265901">
      <w:bodyDiv w:val="1"/>
      <w:marLeft w:val="0"/>
      <w:marRight w:val="0"/>
      <w:marTop w:val="0"/>
      <w:marBottom w:val="0"/>
      <w:divBdr>
        <w:top w:val="none" w:sz="0" w:space="0" w:color="auto"/>
        <w:left w:val="none" w:sz="0" w:space="0" w:color="auto"/>
        <w:bottom w:val="none" w:sz="0" w:space="0" w:color="auto"/>
        <w:right w:val="none" w:sz="0" w:space="0" w:color="auto"/>
      </w:divBdr>
      <w:divsChild>
        <w:div w:id="832843306">
          <w:marLeft w:val="0"/>
          <w:marRight w:val="0"/>
          <w:marTop w:val="0"/>
          <w:marBottom w:val="0"/>
          <w:divBdr>
            <w:top w:val="none" w:sz="0" w:space="0" w:color="auto"/>
            <w:left w:val="none" w:sz="0" w:space="0" w:color="auto"/>
            <w:bottom w:val="none" w:sz="0" w:space="0" w:color="auto"/>
            <w:right w:val="none" w:sz="0" w:space="0" w:color="auto"/>
          </w:divBdr>
          <w:divsChild>
            <w:div w:id="1677612496">
              <w:marLeft w:val="0"/>
              <w:marRight w:val="0"/>
              <w:marTop w:val="0"/>
              <w:marBottom w:val="0"/>
              <w:divBdr>
                <w:top w:val="none" w:sz="0" w:space="0" w:color="auto"/>
                <w:left w:val="none" w:sz="0" w:space="0" w:color="auto"/>
                <w:bottom w:val="none" w:sz="0" w:space="0" w:color="auto"/>
                <w:right w:val="none" w:sz="0" w:space="0" w:color="auto"/>
              </w:divBdr>
              <w:divsChild>
                <w:div w:id="1272470577">
                  <w:marLeft w:val="0"/>
                  <w:marRight w:val="0"/>
                  <w:marTop w:val="0"/>
                  <w:marBottom w:val="0"/>
                  <w:divBdr>
                    <w:top w:val="none" w:sz="0" w:space="0" w:color="auto"/>
                    <w:left w:val="none" w:sz="0" w:space="0" w:color="auto"/>
                    <w:bottom w:val="none" w:sz="0" w:space="0" w:color="auto"/>
                    <w:right w:val="none" w:sz="0" w:space="0" w:color="auto"/>
                  </w:divBdr>
                  <w:divsChild>
                    <w:div w:id="1608805239">
                      <w:marLeft w:val="0"/>
                      <w:marRight w:val="0"/>
                      <w:marTop w:val="0"/>
                      <w:marBottom w:val="0"/>
                      <w:divBdr>
                        <w:top w:val="none" w:sz="0" w:space="0" w:color="auto"/>
                        <w:left w:val="none" w:sz="0" w:space="0" w:color="auto"/>
                        <w:bottom w:val="none" w:sz="0" w:space="0" w:color="auto"/>
                        <w:right w:val="none" w:sz="0" w:space="0" w:color="auto"/>
                      </w:divBdr>
                      <w:divsChild>
                        <w:div w:id="1063143752">
                          <w:marLeft w:val="0"/>
                          <w:marRight w:val="0"/>
                          <w:marTop w:val="0"/>
                          <w:marBottom w:val="0"/>
                          <w:divBdr>
                            <w:top w:val="none" w:sz="0" w:space="0" w:color="auto"/>
                            <w:left w:val="none" w:sz="0" w:space="0" w:color="auto"/>
                            <w:bottom w:val="none" w:sz="0" w:space="0" w:color="auto"/>
                            <w:right w:val="none" w:sz="0" w:space="0" w:color="auto"/>
                          </w:divBdr>
                          <w:divsChild>
                            <w:div w:id="1476600686">
                              <w:marLeft w:val="0"/>
                              <w:marRight w:val="0"/>
                              <w:marTop w:val="0"/>
                              <w:marBottom w:val="0"/>
                              <w:divBdr>
                                <w:top w:val="none" w:sz="0" w:space="0" w:color="auto"/>
                                <w:left w:val="none" w:sz="0" w:space="0" w:color="auto"/>
                                <w:bottom w:val="none" w:sz="0" w:space="0" w:color="auto"/>
                                <w:right w:val="none" w:sz="0" w:space="0" w:color="auto"/>
                              </w:divBdr>
                              <w:divsChild>
                                <w:div w:id="1900631228">
                                  <w:marLeft w:val="0"/>
                                  <w:marRight w:val="0"/>
                                  <w:marTop w:val="0"/>
                                  <w:marBottom w:val="0"/>
                                  <w:divBdr>
                                    <w:top w:val="none" w:sz="0" w:space="0" w:color="auto"/>
                                    <w:left w:val="none" w:sz="0" w:space="0" w:color="auto"/>
                                    <w:bottom w:val="none" w:sz="0" w:space="0" w:color="auto"/>
                                    <w:right w:val="none" w:sz="0" w:space="0" w:color="auto"/>
                                  </w:divBdr>
                                  <w:divsChild>
                                    <w:div w:id="12941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COOG-1907-7218</_dlc_DocId>
    <_dlc_DocIdUrl xmlns="9eaec612-449c-4f02-bff7-1edcfe83088c">
      <Url>http://coog/Legal Service/_layouts/DocIdRedir.aspx?ID=COOG-1907-7218</Url>
      <Description>COOG-1907-7218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0F8F6-93F7-4016-A7D0-D0AD5F1F31AE}"/>
</file>

<file path=customXml/itemProps2.xml><?xml version="1.0" encoding="utf-8"?>
<ds:datastoreItem xmlns:ds="http://schemas.openxmlformats.org/officeDocument/2006/customXml" ds:itemID="{76013176-A787-4F90-8AFC-36D83C329FDB}"/>
</file>

<file path=customXml/itemProps3.xml><?xml version="1.0" encoding="utf-8"?>
<ds:datastoreItem xmlns:ds="http://schemas.openxmlformats.org/officeDocument/2006/customXml" ds:itemID="{47C7A88F-DA87-4A64-AEFC-441F5E4242FC}"/>
</file>

<file path=customXml/itemProps4.xml><?xml version="1.0" encoding="utf-8"?>
<ds:datastoreItem xmlns:ds="http://schemas.openxmlformats.org/officeDocument/2006/customXml" ds:itemID="{BF6E6C4B-F977-4BEC-8DFB-5737CEDEA0E9}"/>
</file>

<file path=customXml/itemProps5.xml><?xml version="1.0" encoding="utf-8"?>
<ds:datastoreItem xmlns:ds="http://schemas.openxmlformats.org/officeDocument/2006/customXml" ds:itemID="{61453986-8B32-46B1-8992-C989170B66D1}"/>
</file>

<file path=docProps/app.xml><?xml version="1.0" encoding="utf-8"?>
<Properties xmlns="http://schemas.openxmlformats.org/officeDocument/2006/extended-properties" xmlns:vt="http://schemas.openxmlformats.org/officeDocument/2006/docPropsVTypes">
  <Template>3F71EDA8</Template>
  <TotalTime>1</TotalTime>
  <Pages>4</Pages>
  <Words>828</Words>
  <Characters>4721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Heath</dc:creator>
  <cp:keywords/>
  <dc:description/>
  <cp:lastModifiedBy>Morgan, Katrina</cp:lastModifiedBy>
  <cp:revision>2</cp:revision>
  <cp:lastPrinted>2017-09-11T01:40:00Z</cp:lastPrinted>
  <dcterms:created xsi:type="dcterms:W3CDTF">2017-10-19T04:06:00Z</dcterms:created>
  <dcterms:modified xsi:type="dcterms:W3CDTF">2017-10-19T04:06:00Z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ContentTypeId">
    <vt:lpwstr>0x010100FE3F154595F4084087D75A845A6C13FB</vt:lpwstr>
  </property>
  <property fmtid="{D5CDD505-2E9C-101B-9397-08002B2CF9AE}" pid="6" name="_dlc_DocIdItemGuid">
    <vt:lpwstr>bbcab306-4c82-4e2e-8fc9-f9150059c9aa</vt:lpwstr>
  </property>
</Properties>
</file>