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98A02" w14:textId="77777777" w:rsidR="007804D9" w:rsidRDefault="007804D9" w:rsidP="003911D4">
      <w:pPr>
        <w:pStyle w:val="RISHeader1"/>
      </w:pPr>
      <w:bookmarkStart w:id="0" w:name="_GoBack"/>
      <w:bookmarkEnd w:id="0"/>
      <w:r>
        <w:t>Regulation Impact Statement Executive Summary</w:t>
      </w:r>
    </w:p>
    <w:p w14:paraId="17702AF9" w14:textId="77777777" w:rsidR="007804D9" w:rsidRPr="00B71EBB" w:rsidRDefault="007804D9" w:rsidP="003911D4">
      <w:pPr>
        <w:pStyle w:val="RISHeader2"/>
      </w:pPr>
      <w:r w:rsidRPr="00B71EBB">
        <w:t>Basel III liquidity: the net stable funding ratio and the liquid assets requirement for foreign ADIs</w:t>
      </w:r>
    </w:p>
    <w:p w14:paraId="452D476F" w14:textId="77777777" w:rsidR="007804D9" w:rsidRPr="007804D9" w:rsidRDefault="007804D9" w:rsidP="003911D4">
      <w:pPr>
        <w:pStyle w:val="RIStext"/>
        <w:rPr>
          <w:b/>
          <w:bCs/>
        </w:rPr>
      </w:pPr>
      <w:r w:rsidRPr="00691CD2">
        <w:t>(OBPR ID: 201</w:t>
      </w:r>
      <w:r>
        <w:t>5</w:t>
      </w:r>
      <w:r w:rsidRPr="00691CD2">
        <w:t>/</w:t>
      </w:r>
      <w:r>
        <w:t>19640</w:t>
      </w:r>
      <w:r w:rsidRPr="00691CD2">
        <w:t>)</w:t>
      </w:r>
    </w:p>
    <w:p w14:paraId="751A3C68" w14:textId="78823728" w:rsidR="001F4E11" w:rsidRPr="00717BF0" w:rsidRDefault="001F4E11" w:rsidP="003911D4">
      <w:pPr>
        <w:pStyle w:val="RISlist"/>
      </w:pPr>
      <w:r w:rsidRPr="00717BF0">
        <w:t xml:space="preserve">This </w:t>
      </w:r>
      <w:r w:rsidR="00CC3CF3" w:rsidRPr="00717BF0">
        <w:t>r</w:t>
      </w:r>
      <w:r w:rsidRPr="00717BF0">
        <w:t xml:space="preserve">egulation </w:t>
      </w:r>
      <w:r w:rsidR="00CC3CF3" w:rsidRPr="00717BF0">
        <w:t>i</w:t>
      </w:r>
      <w:r w:rsidRPr="00717BF0">
        <w:t xml:space="preserve">mpact </w:t>
      </w:r>
      <w:r w:rsidR="00CC3CF3" w:rsidRPr="00717BF0">
        <w:t>st</w:t>
      </w:r>
      <w:r w:rsidRPr="00717BF0">
        <w:t>atement has been prepared by the Australian Prudential Regulation Authority (APRA) to inform APRA’s proposals on implementing the internationally agreed reforms for liquidity management of banks</w:t>
      </w:r>
      <w:r w:rsidR="006402E3" w:rsidRPr="00717BF0">
        <w:t>, including</w:t>
      </w:r>
      <w:r w:rsidRPr="00717BF0">
        <w:t xml:space="preserve"> notably the second global liquidity standard – the net stable funding ratio. APRA’s prudential framework for ADIs is based on the </w:t>
      </w:r>
      <w:r w:rsidRPr="00717BF0">
        <w:lastRenderedPageBreak/>
        <w:t>framework agreed by the Basel Committee</w:t>
      </w:r>
      <w:r w:rsidR="00EA3BF2" w:rsidRPr="00717BF0">
        <w:t xml:space="preserve"> on Banking Supervision (Basel Committee)</w:t>
      </w:r>
      <w:r w:rsidRPr="00717BF0">
        <w:t>. The Basel Committee regularly reports to the Group of 20 (G20) Leaders, which includes Australia’s Prime Minister, and to the Financial Stability Board. Since the global financial crisis, G20 Leaders have committed to fully and consistently implement the international framework known as ‘Basel III’.</w:t>
      </w:r>
    </w:p>
    <w:p w14:paraId="0A8C6A74" w14:textId="77777777" w:rsidR="001F4E11" w:rsidRPr="00717BF0" w:rsidRDefault="001F4E11" w:rsidP="003911D4">
      <w:pPr>
        <w:pStyle w:val="RISlist"/>
      </w:pPr>
      <w:r w:rsidRPr="00717BF0">
        <w:t>The key problem assessed by APRA is how to apply the requirements of the internationally agreed framework to the Australian market. APRA’s implementation has sought to capture the benefits of reduced risk while limiting costs where possible. APRA considers it appropriate to mitigate costs for small</w:t>
      </w:r>
      <w:r w:rsidR="00E6205F" w:rsidRPr="00717BF0">
        <w:t>er, less complex ADIs</w:t>
      </w:r>
      <w:r w:rsidRPr="00717BF0">
        <w:t xml:space="preserve"> that could be unduly burdened by </w:t>
      </w:r>
      <w:r w:rsidRPr="00717BF0">
        <w:lastRenderedPageBreak/>
        <w:t>the requirements. Therefore, APRA has made reasonable adjustments to the international framework that maintain consistency while appropriately considering Australian-specific market conditions.</w:t>
      </w:r>
    </w:p>
    <w:p w14:paraId="47DCA39B" w14:textId="259CB381" w:rsidR="001F4E11" w:rsidRPr="00717BF0" w:rsidRDefault="001F4E11" w:rsidP="003911D4">
      <w:pPr>
        <w:pStyle w:val="RISlist"/>
      </w:pPr>
      <w:r w:rsidRPr="00717BF0">
        <w:t>For implementation</w:t>
      </w:r>
      <w:r w:rsidR="00B12548" w:rsidRPr="00717BF0">
        <w:t xml:space="preserve"> of </w:t>
      </w:r>
      <w:r w:rsidR="00B0120A" w:rsidRPr="00717BF0">
        <w:t xml:space="preserve">an additional liquidity requirement </w:t>
      </w:r>
      <w:r w:rsidR="00AF274B" w:rsidRPr="00717BF0">
        <w:t xml:space="preserve">in Australia </w:t>
      </w:r>
      <w:r w:rsidR="00B0120A" w:rsidRPr="00717BF0">
        <w:t xml:space="preserve">(the </w:t>
      </w:r>
      <w:r w:rsidR="00B12548" w:rsidRPr="00717BF0">
        <w:t>net stable funding ratio</w:t>
      </w:r>
      <w:r w:rsidR="00B0120A" w:rsidRPr="00717BF0">
        <w:t>)</w:t>
      </w:r>
      <w:r w:rsidRPr="00717BF0">
        <w:t xml:space="preserve">, APRA has considered two options. </w:t>
      </w:r>
      <w:r w:rsidR="00B12548" w:rsidRPr="00717BF0">
        <w:t>O</w:t>
      </w:r>
      <w:r w:rsidR="0005119E" w:rsidRPr="00717BF0">
        <w:t xml:space="preserve">ption </w:t>
      </w:r>
      <w:r w:rsidR="00B12548" w:rsidRPr="00717BF0">
        <w:t xml:space="preserve">1 </w:t>
      </w:r>
      <w:r w:rsidR="0005119E" w:rsidRPr="00717BF0">
        <w:t xml:space="preserve">involves applying the </w:t>
      </w:r>
      <w:r w:rsidR="00B0120A" w:rsidRPr="00717BF0">
        <w:t>additional liquidity requirement</w:t>
      </w:r>
      <w:r w:rsidR="004070FA" w:rsidRPr="00717BF0">
        <w:t xml:space="preserve"> only to larger ADIs,</w:t>
      </w:r>
      <w:r w:rsidR="00B0120A" w:rsidRPr="00717BF0">
        <w:t xml:space="preserve"> consistent</w:t>
      </w:r>
      <w:r w:rsidR="00B12548" w:rsidRPr="00717BF0">
        <w:t xml:space="preserve"> with the Basel framework</w:t>
      </w:r>
      <w:r w:rsidRPr="00717BF0">
        <w:t xml:space="preserve">. </w:t>
      </w:r>
      <w:r w:rsidR="00B12548" w:rsidRPr="00717BF0">
        <w:t>O</w:t>
      </w:r>
      <w:r w:rsidRPr="00717BF0">
        <w:t xml:space="preserve">ption </w:t>
      </w:r>
      <w:r w:rsidR="00B12548" w:rsidRPr="00717BF0">
        <w:t xml:space="preserve">2 </w:t>
      </w:r>
      <w:r w:rsidRPr="00717BF0">
        <w:t xml:space="preserve">considers the appropriateness of applying the </w:t>
      </w:r>
      <w:r w:rsidR="00B0120A" w:rsidRPr="00717BF0">
        <w:t>additional liquidity requirement</w:t>
      </w:r>
      <w:r w:rsidRPr="00717BF0">
        <w:t xml:space="preserve"> to all locally incorporated ADIs. </w:t>
      </w:r>
      <w:r w:rsidR="0005119E" w:rsidRPr="00717BF0">
        <w:t xml:space="preserve">The option to </w:t>
      </w:r>
      <w:r w:rsidR="00AF274B" w:rsidRPr="00717BF0">
        <w:t>not introduce an additional liquidity requirement (the status quo)</w:t>
      </w:r>
      <w:r w:rsidRPr="00717BF0">
        <w:t xml:space="preserve"> is not considered viable given the commitment of reforms by all the G20 governments, the high costs to Australian financial institutions of complying with the </w:t>
      </w:r>
      <w:r w:rsidRPr="00717BF0">
        <w:lastRenderedPageBreak/>
        <w:t xml:space="preserve">requirements of multiple foreign jurisdictions that would otherwise apply, as well as the risk to market fragmentation and reduced access to global markets in the absence of </w:t>
      </w:r>
      <w:r w:rsidR="00F966CA" w:rsidRPr="00717BF0">
        <w:t xml:space="preserve">the </w:t>
      </w:r>
      <w:r w:rsidRPr="00717BF0">
        <w:t>requirement.</w:t>
      </w:r>
    </w:p>
    <w:p w14:paraId="767D4560" w14:textId="78E012BC" w:rsidR="00AE68B4" w:rsidRPr="00717BF0" w:rsidRDefault="0005119E" w:rsidP="003911D4">
      <w:pPr>
        <w:pStyle w:val="RISlist"/>
      </w:pPr>
      <w:r w:rsidRPr="00717BF0">
        <w:t xml:space="preserve">APRA recommends Option </w:t>
      </w:r>
      <w:r w:rsidR="00576BCE" w:rsidRPr="00717BF0">
        <w:t>1</w:t>
      </w:r>
      <w:r w:rsidR="001F4E11" w:rsidRPr="00717BF0">
        <w:t xml:space="preserve">, which implements the requirement in a manner consistent with the internationally agreed Basel framework. This option results in an estimated cost to industry of $23.825 million and affects a small group of </w:t>
      </w:r>
      <w:r w:rsidR="003B503D" w:rsidRPr="00717BF0">
        <w:t xml:space="preserve">larger, more complex </w:t>
      </w:r>
      <w:r w:rsidR="001F4E11" w:rsidRPr="00717BF0">
        <w:t xml:space="preserve">ADIs – </w:t>
      </w:r>
      <w:r w:rsidR="002F1646" w:rsidRPr="00717BF0">
        <w:t xml:space="preserve">of which there are currently </w:t>
      </w:r>
      <w:r w:rsidR="001F4E11" w:rsidRPr="00717BF0">
        <w:t>15.</w:t>
      </w:r>
    </w:p>
    <w:p w14:paraId="3EDB6C6F" w14:textId="368AF7C9" w:rsidR="00B12548" w:rsidRPr="00717BF0" w:rsidRDefault="00B12548" w:rsidP="003911D4">
      <w:pPr>
        <w:pStyle w:val="RISlist"/>
      </w:pPr>
      <w:r w:rsidRPr="00717BF0">
        <w:t>For the liquid assets requirement applicable to foreign ADIs, APRA has also considered two option</w:t>
      </w:r>
      <w:r w:rsidR="00AF274B" w:rsidRPr="00717BF0">
        <w:t>s</w:t>
      </w:r>
      <w:r w:rsidR="006402E3" w:rsidRPr="00717BF0">
        <w:t>:</w:t>
      </w:r>
      <w:r w:rsidRPr="00717BF0">
        <w:t xml:space="preserve"> Option 1 being the status quo plus a local operational capacity assessment and Option 2 being an adjusted minimum liquidity holding plus</w:t>
      </w:r>
      <w:r w:rsidR="00AA4A0A" w:rsidRPr="00717BF0">
        <w:t xml:space="preserve"> a</w:t>
      </w:r>
      <w:r w:rsidRPr="00717BF0">
        <w:t xml:space="preserve"> local operational capacity assessment.</w:t>
      </w:r>
    </w:p>
    <w:p w14:paraId="02DBC235" w14:textId="77777777" w:rsidR="00AE68B4" w:rsidRPr="00717BF0" w:rsidRDefault="00AE68B4" w:rsidP="003911D4">
      <w:pPr>
        <w:pStyle w:val="RISlist"/>
      </w:pPr>
      <w:r w:rsidRPr="00717BF0">
        <w:lastRenderedPageBreak/>
        <w:t>As part of the formal consultation process APRA undertook two rounds of consultation and received 26 submissions in response to consultation. APRA also engaged directly with industry bodies and individual institutions to inform the proposals and the recommended responses to them.</w:t>
      </w:r>
    </w:p>
    <w:p w14:paraId="43B6239A" w14:textId="578AC599" w:rsidR="00AE68B4" w:rsidRDefault="00AE68B4" w:rsidP="003911D4">
      <w:pPr>
        <w:pStyle w:val="RISlist"/>
      </w:pPr>
      <w:r w:rsidRPr="00717BF0">
        <w:t>This second pass final assessment regulation impact statement builds on the first pass statement and feedback from interested parties received as part of the consultation process on the proposals outlined herein.</w:t>
      </w:r>
    </w:p>
    <w:p w14:paraId="3A2DBFAF" w14:textId="77777777" w:rsidR="009E174D" w:rsidRDefault="009E174D">
      <w:pPr>
        <w:rPr>
          <w:noProof/>
          <w:lang w:eastAsia="en-AU"/>
        </w:rPr>
      </w:pPr>
      <w:r>
        <w:rPr>
          <w:noProof/>
          <w:lang w:eastAsia="en-AU"/>
        </w:rPr>
        <w:br w:type="page"/>
      </w:r>
    </w:p>
    <w:p w14:paraId="3D809534" w14:textId="27DBE6B0" w:rsidR="00E0463B" w:rsidRDefault="00E0463B" w:rsidP="007804D9">
      <w:r>
        <w:rPr>
          <w:noProof/>
          <w:lang w:eastAsia="en-AU"/>
        </w:rPr>
        <w:lastRenderedPageBreak/>
        <w:drawing>
          <wp:inline distT="0" distB="0" distL="0" distR="0" wp14:anchorId="423DA310" wp14:editId="25EA40F6">
            <wp:extent cx="1414145" cy="1061085"/>
            <wp:effectExtent l="0" t="0" r="0" b="5715"/>
            <wp:docPr id="2" name="Picture 2" descr="Australian Government coat of ar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4145" cy="1061085"/>
                    </a:xfrm>
                    <a:prstGeom prst="rect">
                      <a:avLst/>
                    </a:prstGeom>
                    <a:noFill/>
                  </pic:spPr>
                </pic:pic>
              </a:graphicData>
            </a:graphic>
          </wp:inline>
        </w:drawing>
      </w:r>
    </w:p>
    <w:p w14:paraId="08E8B699" w14:textId="77777777" w:rsidR="008E746F" w:rsidRPr="00691CD2" w:rsidRDefault="008E746F" w:rsidP="00717BF0">
      <w:pPr>
        <w:pStyle w:val="RISHeader1"/>
      </w:pPr>
      <w:r w:rsidRPr="00691CD2">
        <w:t>Regulation Impact Statement</w:t>
      </w:r>
    </w:p>
    <w:p w14:paraId="58884DC8" w14:textId="2FC0160B" w:rsidR="00B94FBD" w:rsidRPr="003911D4" w:rsidRDefault="00B94FBD" w:rsidP="003911D4">
      <w:pPr>
        <w:pStyle w:val="RISHeader2"/>
      </w:pPr>
      <w:r w:rsidRPr="00691CD2">
        <w:t xml:space="preserve">Basel III </w:t>
      </w:r>
      <w:r w:rsidR="00FF3F60">
        <w:t>liquidity</w:t>
      </w:r>
      <w:r w:rsidR="005710F5" w:rsidRPr="00691CD2">
        <w:t xml:space="preserve">: </w:t>
      </w:r>
      <w:r w:rsidR="00C6754F">
        <w:t xml:space="preserve">the </w:t>
      </w:r>
      <w:r w:rsidR="0048623A">
        <w:t>n</w:t>
      </w:r>
      <w:r w:rsidR="00BC49F6">
        <w:t xml:space="preserve">et </w:t>
      </w:r>
      <w:r w:rsidR="0048623A">
        <w:t>s</w:t>
      </w:r>
      <w:r w:rsidR="00BC49F6">
        <w:t xml:space="preserve">table </w:t>
      </w:r>
      <w:r w:rsidR="0048623A">
        <w:t>f</w:t>
      </w:r>
      <w:r w:rsidR="00BC49F6">
        <w:t xml:space="preserve">unding </w:t>
      </w:r>
      <w:r w:rsidR="0048623A">
        <w:t>r</w:t>
      </w:r>
      <w:r w:rsidR="00BC49F6">
        <w:t>atio</w:t>
      </w:r>
      <w:r w:rsidR="00B92460">
        <w:t xml:space="preserve"> and</w:t>
      </w:r>
      <w:r w:rsidRPr="00691CD2">
        <w:t xml:space="preserve"> </w:t>
      </w:r>
      <w:r w:rsidR="00C6754F">
        <w:t xml:space="preserve">the </w:t>
      </w:r>
      <w:r w:rsidR="007D1D0D">
        <w:t xml:space="preserve">liquid assets requirement for foreign </w:t>
      </w:r>
      <w:r w:rsidR="00D009CE">
        <w:t>ADIs</w:t>
      </w:r>
    </w:p>
    <w:p w14:paraId="001CE74C" w14:textId="77777777" w:rsidR="008E746F" w:rsidRPr="003911D4" w:rsidRDefault="008E746F" w:rsidP="003911D4">
      <w:pPr>
        <w:pStyle w:val="RIStext"/>
      </w:pPr>
      <w:r w:rsidRPr="003911D4">
        <w:t>(OBPR ID</w:t>
      </w:r>
      <w:r w:rsidR="006F477E" w:rsidRPr="003911D4">
        <w:t>: 201</w:t>
      </w:r>
      <w:r w:rsidR="00FF3F60" w:rsidRPr="003911D4">
        <w:t>5</w:t>
      </w:r>
      <w:r w:rsidR="006F477E" w:rsidRPr="003911D4">
        <w:t>/</w:t>
      </w:r>
      <w:r w:rsidR="009519C2" w:rsidRPr="003911D4">
        <w:t>19640</w:t>
      </w:r>
      <w:r w:rsidRPr="003911D4">
        <w:t xml:space="preserve">) </w:t>
      </w:r>
    </w:p>
    <w:p w14:paraId="6FE208D3" w14:textId="77777777" w:rsidR="008E746F" w:rsidRPr="003911D4" w:rsidRDefault="003A0C3F" w:rsidP="003911D4">
      <w:pPr>
        <w:pStyle w:val="RISHeader3"/>
      </w:pPr>
      <w:r w:rsidRPr="003911D4">
        <w:t>Introduction</w:t>
      </w:r>
    </w:p>
    <w:p w14:paraId="4D798C07" w14:textId="77777777" w:rsidR="00F94A46" w:rsidRDefault="00F94A46" w:rsidP="003911D4">
      <w:pPr>
        <w:pStyle w:val="Paragraphtext"/>
        <w:numPr>
          <w:ilvl w:val="0"/>
          <w:numId w:val="42"/>
        </w:numPr>
      </w:pPr>
      <w:r>
        <w:t>This Regulation Impact Statement (RIS</w:t>
      </w:r>
      <w:r w:rsidR="000A2D53">
        <w:t>) has</w:t>
      </w:r>
      <w:r>
        <w:t xml:space="preserve"> been prepared by t</w:t>
      </w:r>
      <w:r w:rsidR="004C3F8F" w:rsidRPr="00691CD2">
        <w:t>he Australian Prudential Regulation Authority (APRA)</w:t>
      </w:r>
      <w:r>
        <w:t xml:space="preserve">. Its purpose is to assist APRA in making a decision on proposals </w:t>
      </w:r>
      <w:r>
        <w:lastRenderedPageBreak/>
        <w:t>aimed at strengthening the Australian banking system</w:t>
      </w:r>
      <w:r w:rsidR="00FC78C4">
        <w:t>, specifically with regard to liquidity</w:t>
      </w:r>
      <w:r w:rsidR="00E53E16">
        <w:rPr>
          <w:rStyle w:val="FootnoteReference"/>
        </w:rPr>
        <w:footnoteReference w:id="1"/>
      </w:r>
      <w:r w:rsidR="00DD01B1">
        <w:t xml:space="preserve"> management</w:t>
      </w:r>
      <w:r>
        <w:t>.</w:t>
      </w:r>
    </w:p>
    <w:p w14:paraId="4AFDB6B1" w14:textId="77777777" w:rsidR="00AE36AA" w:rsidRDefault="00040573" w:rsidP="003911D4">
      <w:pPr>
        <w:pStyle w:val="RISlist"/>
      </w:pPr>
      <w:r w:rsidRPr="00691CD2">
        <w:t>APRA’s prudential framework</w:t>
      </w:r>
      <w:r w:rsidR="00643119">
        <w:rPr>
          <w:rStyle w:val="FootnoteReference"/>
        </w:rPr>
        <w:footnoteReference w:id="2"/>
      </w:r>
      <w:r w:rsidRPr="00691CD2">
        <w:t xml:space="preserve"> for </w:t>
      </w:r>
      <w:r>
        <w:t>ADI</w:t>
      </w:r>
      <w:r w:rsidRPr="00691CD2">
        <w:t xml:space="preserve">s is based on the framework agreed by </w:t>
      </w:r>
      <w:r w:rsidR="00FC78C4">
        <w:t>the Basel Committee on Banking Supervision (Basel Committee)</w:t>
      </w:r>
      <w:r>
        <w:t>.</w:t>
      </w:r>
      <w:r w:rsidR="00FC78C4">
        <w:t xml:space="preserve"> </w:t>
      </w:r>
      <w:r>
        <w:t>In December 2010,</w:t>
      </w:r>
      <w:r w:rsidR="00D43D50">
        <w:t xml:space="preserve"> the Basel Committee </w:t>
      </w:r>
      <w:r w:rsidR="00FC78C4">
        <w:t xml:space="preserve">released </w:t>
      </w:r>
      <w:r w:rsidR="00FC78C4" w:rsidRPr="003A7112">
        <w:rPr>
          <w:i/>
        </w:rPr>
        <w:t>Basel III: International framework for liquidity risk measurement, standards and monitoring</w:t>
      </w:r>
      <w:r w:rsidR="00E0463B">
        <w:rPr>
          <w:i/>
        </w:rPr>
        <w:t>,</w:t>
      </w:r>
      <w:r w:rsidR="002F6F7C" w:rsidRPr="001D74C7">
        <w:rPr>
          <w:rStyle w:val="FootnoteReference"/>
        </w:rPr>
        <w:footnoteReference w:id="3"/>
      </w:r>
      <w:r w:rsidR="00FC78C4" w:rsidRPr="001D74C7">
        <w:t xml:space="preserve"> </w:t>
      </w:r>
      <w:r w:rsidR="00FC78C4">
        <w:t xml:space="preserve">which set out </w:t>
      </w:r>
      <w:r w:rsidR="00DD01B1">
        <w:t xml:space="preserve">key </w:t>
      </w:r>
      <w:r w:rsidR="00FC78C4">
        <w:t xml:space="preserve">measures designed to strengthen the liquidity </w:t>
      </w:r>
      <w:r w:rsidR="00081070">
        <w:t xml:space="preserve">risk profile </w:t>
      </w:r>
      <w:r w:rsidR="00FC78C4">
        <w:t xml:space="preserve">of </w:t>
      </w:r>
      <w:r w:rsidR="00FC78C4">
        <w:lastRenderedPageBreak/>
        <w:t xml:space="preserve">banks thereby promoting a more resilient global banking system. </w:t>
      </w:r>
      <w:r w:rsidR="00AE36AA">
        <w:t xml:space="preserve">APRA </w:t>
      </w:r>
      <w:r w:rsidR="00BC583C">
        <w:t xml:space="preserve">implemented </w:t>
      </w:r>
      <w:r w:rsidR="00DD01B1">
        <w:t xml:space="preserve">the first of these measures, being the </w:t>
      </w:r>
      <w:r w:rsidR="002F2895">
        <w:t>l</w:t>
      </w:r>
      <w:r w:rsidR="00DD01B1">
        <w:t xml:space="preserve">iquidity </w:t>
      </w:r>
      <w:r w:rsidR="002F2895">
        <w:t>c</w:t>
      </w:r>
      <w:r w:rsidR="00DD01B1">
        <w:t xml:space="preserve">overage </w:t>
      </w:r>
      <w:r w:rsidR="002F2895">
        <w:t>r</w:t>
      </w:r>
      <w:r w:rsidR="00DD01B1">
        <w:t>atio</w:t>
      </w:r>
      <w:r w:rsidR="007633D9">
        <w:t xml:space="preserve"> (LCR)</w:t>
      </w:r>
      <w:r w:rsidR="00DD01B1">
        <w:t>, with effect</w:t>
      </w:r>
      <w:r w:rsidR="00126291">
        <w:t xml:space="preserve"> from 1 January </w:t>
      </w:r>
      <w:r w:rsidR="00F17F8D">
        <w:t>2015, informed by a standard-form RIS</w:t>
      </w:r>
      <w:r w:rsidR="00416706">
        <w:t>.</w:t>
      </w:r>
      <w:r w:rsidR="00076B9D">
        <w:rPr>
          <w:rStyle w:val="FootnoteReference"/>
        </w:rPr>
        <w:footnoteReference w:id="4"/>
      </w:r>
    </w:p>
    <w:p w14:paraId="02568F74" w14:textId="77DC4199" w:rsidR="009F124C" w:rsidRDefault="00FC78C4" w:rsidP="003911D4">
      <w:pPr>
        <w:pStyle w:val="RISlist"/>
      </w:pPr>
      <w:r>
        <w:t xml:space="preserve">This RIS deals with two </w:t>
      </w:r>
      <w:r w:rsidR="00081070">
        <w:t xml:space="preserve">further </w:t>
      </w:r>
      <w:r w:rsidR="00821980">
        <w:t xml:space="preserve">key </w:t>
      </w:r>
      <w:r>
        <w:t xml:space="preserve">matters. The first is the proposed implementation of </w:t>
      </w:r>
      <w:r w:rsidR="00DD01B1">
        <w:t xml:space="preserve">the second </w:t>
      </w:r>
      <w:r w:rsidR="00081070">
        <w:t>Basel Committee</w:t>
      </w:r>
      <w:r w:rsidR="00DD01B1">
        <w:t xml:space="preserve"> liquidity measure, known as the </w:t>
      </w:r>
      <w:r w:rsidR="002F2895">
        <w:t>n</w:t>
      </w:r>
      <w:r>
        <w:t xml:space="preserve">et </w:t>
      </w:r>
      <w:r w:rsidR="002F2895">
        <w:t>s</w:t>
      </w:r>
      <w:r>
        <w:t xml:space="preserve">table </w:t>
      </w:r>
      <w:r w:rsidR="002F2895">
        <w:t>f</w:t>
      </w:r>
      <w:r>
        <w:t xml:space="preserve">unding </w:t>
      </w:r>
      <w:r w:rsidR="002F2895">
        <w:t>r</w:t>
      </w:r>
      <w:r w:rsidR="00DD01B1">
        <w:t>atio (NSFR)</w:t>
      </w:r>
      <w:r w:rsidR="00AA08DC">
        <w:t>, which is</w:t>
      </w:r>
      <w:r>
        <w:t xml:space="preserve"> designed to ensure that </w:t>
      </w:r>
      <w:r w:rsidR="00BC6C09">
        <w:t>authorised deposit-taking institutions (</w:t>
      </w:r>
      <w:r>
        <w:t>ADIs</w:t>
      </w:r>
      <w:r w:rsidR="00BC6C09">
        <w:t>)</w:t>
      </w:r>
      <w:r w:rsidR="00643119">
        <w:rPr>
          <w:rStyle w:val="FootnoteReference"/>
        </w:rPr>
        <w:footnoteReference w:id="5"/>
      </w:r>
      <w:r>
        <w:t xml:space="preserve"> fund </w:t>
      </w:r>
      <w:r w:rsidR="00DD01B1">
        <w:t>their activities</w:t>
      </w:r>
      <w:r>
        <w:t xml:space="preserve"> with appropriate stable </w:t>
      </w:r>
      <w:r>
        <w:lastRenderedPageBreak/>
        <w:t xml:space="preserve">funding sources. </w:t>
      </w:r>
      <w:r w:rsidR="009F124C">
        <w:t xml:space="preserve">The second is a review of the </w:t>
      </w:r>
      <w:r w:rsidR="002F6F7C">
        <w:t xml:space="preserve">liquid assets requirement </w:t>
      </w:r>
      <w:r>
        <w:t>for foreign ADIs</w:t>
      </w:r>
      <w:r w:rsidR="002F6F7C">
        <w:t xml:space="preserve"> </w:t>
      </w:r>
      <w:r w:rsidR="002F6F7C" w:rsidRPr="007D05B1">
        <w:t>(branches of foreign banks</w:t>
      </w:r>
      <w:r w:rsidR="002F6F7C">
        <w:t xml:space="preserve"> </w:t>
      </w:r>
      <w:r w:rsidR="002F6F7C" w:rsidRPr="007D05B1">
        <w:t>not incorporated in Australia)</w:t>
      </w:r>
      <w:r w:rsidR="00C94C34">
        <w:t>.</w:t>
      </w:r>
      <w:r w:rsidR="00643119">
        <w:rPr>
          <w:rStyle w:val="FootnoteReference"/>
        </w:rPr>
        <w:footnoteReference w:id="6"/>
      </w:r>
    </w:p>
    <w:p w14:paraId="4DC9FEE0" w14:textId="77777777" w:rsidR="00DD01B1" w:rsidRDefault="00741A0D" w:rsidP="003911D4">
      <w:pPr>
        <w:pStyle w:val="RISlist"/>
      </w:pPr>
      <w:r>
        <w:t xml:space="preserve">Implementation of </w:t>
      </w:r>
      <w:r w:rsidR="00DA7E2C">
        <w:t xml:space="preserve">the </w:t>
      </w:r>
      <w:r w:rsidR="009F124C">
        <w:t>NSFR would</w:t>
      </w:r>
      <w:r w:rsidR="00FC78C4">
        <w:t xml:space="preserve"> necessitate changes to reporting requirements </w:t>
      </w:r>
      <w:r w:rsidR="009F124C">
        <w:t>for</w:t>
      </w:r>
      <w:r w:rsidR="00FC78C4">
        <w:t xml:space="preserve"> </w:t>
      </w:r>
      <w:r w:rsidR="00BC6C09">
        <w:t xml:space="preserve">affected </w:t>
      </w:r>
      <w:r w:rsidR="00FC78C4">
        <w:t>ADIs.</w:t>
      </w:r>
      <w:r w:rsidR="00820F15">
        <w:t xml:space="preserve"> Similarly,</w:t>
      </w:r>
      <w:r w:rsidR="00FC78C4">
        <w:t xml:space="preserve"> </w:t>
      </w:r>
      <w:r w:rsidR="002154DE">
        <w:t>t</w:t>
      </w:r>
      <w:r>
        <w:t xml:space="preserve">he review of the liquid assets requirement for foreign ADIs </w:t>
      </w:r>
      <w:r w:rsidR="001802AB">
        <w:t xml:space="preserve">may </w:t>
      </w:r>
      <w:r>
        <w:t xml:space="preserve">also </w:t>
      </w:r>
      <w:r w:rsidR="00820F15">
        <w:t xml:space="preserve">require </w:t>
      </w:r>
      <w:r>
        <w:t xml:space="preserve">reporting changes for affected ADIs if the current LCR </w:t>
      </w:r>
      <w:r w:rsidR="002154DE">
        <w:t xml:space="preserve">regime </w:t>
      </w:r>
      <w:r>
        <w:t xml:space="preserve">is </w:t>
      </w:r>
      <w:r w:rsidR="002154DE">
        <w:t>modified</w:t>
      </w:r>
      <w:r>
        <w:t>.</w:t>
      </w:r>
    </w:p>
    <w:p w14:paraId="5943B7E2" w14:textId="1E2FF06B" w:rsidR="00FC78C4" w:rsidRDefault="00DD01B1" w:rsidP="003911D4">
      <w:pPr>
        <w:pStyle w:val="RISlist"/>
      </w:pPr>
      <w:r>
        <w:t>In addition</w:t>
      </w:r>
      <w:r w:rsidR="00BC6C09">
        <w:t xml:space="preserve"> to the two key matters</w:t>
      </w:r>
      <w:r w:rsidR="002154DE">
        <w:t xml:space="preserve"> outline</w:t>
      </w:r>
      <w:r w:rsidR="00360AB8">
        <w:t>d</w:t>
      </w:r>
      <w:r w:rsidR="002154DE">
        <w:t xml:space="preserve"> above</w:t>
      </w:r>
      <w:r>
        <w:t xml:space="preserve">, </w:t>
      </w:r>
      <w:r w:rsidR="00FC78C4">
        <w:t xml:space="preserve">APRA is also proposing to make minor </w:t>
      </w:r>
      <w:r w:rsidR="002154DE">
        <w:t xml:space="preserve">amendments </w:t>
      </w:r>
      <w:r w:rsidR="00FC78C4">
        <w:t xml:space="preserve">to </w:t>
      </w:r>
      <w:r w:rsidR="00360AB8">
        <w:t>existing liquidity</w:t>
      </w:r>
      <w:r w:rsidR="00643119">
        <w:t xml:space="preserve"> requirements</w:t>
      </w:r>
      <w:r w:rsidR="00360AB8">
        <w:t>,</w:t>
      </w:r>
      <w:r w:rsidR="00FC78C4">
        <w:t xml:space="preserve"> </w:t>
      </w:r>
      <w:r w:rsidR="0097041A">
        <w:t>for the purposes of</w:t>
      </w:r>
      <w:r w:rsidR="00360AB8">
        <w:t xml:space="preserve"> </w:t>
      </w:r>
      <w:r w:rsidR="00FC78C4" w:rsidRPr="00B92460">
        <w:t>clarity and consistency.</w:t>
      </w:r>
      <w:r w:rsidR="009F124C" w:rsidRPr="00B92460">
        <w:t xml:space="preserve"> </w:t>
      </w:r>
      <w:r w:rsidR="00360AB8">
        <w:lastRenderedPageBreak/>
        <w:t xml:space="preserve">This </w:t>
      </w:r>
      <w:r w:rsidR="00B92460" w:rsidRPr="00B92460">
        <w:t>will include minor changes to the liquidity prudential standard, prudential practice guide and reporting standard.</w:t>
      </w:r>
      <w:r w:rsidR="007E3365" w:rsidRPr="007E3365">
        <w:rPr>
          <w:rStyle w:val="FootnoteReference"/>
        </w:rPr>
        <w:t xml:space="preserve"> </w:t>
      </w:r>
      <w:r w:rsidR="007E3365">
        <w:rPr>
          <w:rStyle w:val="FootnoteReference"/>
        </w:rPr>
        <w:footnoteReference w:id="7"/>
      </w:r>
    </w:p>
    <w:p w14:paraId="15F24826" w14:textId="77777777" w:rsidR="003A0C3F" w:rsidRPr="00691CD2" w:rsidRDefault="004C3F8F" w:rsidP="003911D4">
      <w:pPr>
        <w:pStyle w:val="RISlist"/>
      </w:pPr>
      <w:r>
        <w:t xml:space="preserve">APRA has prepared this </w:t>
      </w:r>
      <w:r w:rsidR="00442FF0">
        <w:t>RIS</w:t>
      </w:r>
      <w:r w:rsidR="003654A0">
        <w:t xml:space="preserve"> to assist in </w:t>
      </w:r>
      <w:r>
        <w:t>decision</w:t>
      </w:r>
      <w:r w:rsidR="003654A0">
        <w:t>s</w:t>
      </w:r>
      <w:r w:rsidR="00442FF0">
        <w:t xml:space="preserve"> </w:t>
      </w:r>
      <w:r w:rsidR="00BC6C09">
        <w:t>on the proposals</w:t>
      </w:r>
      <w:r>
        <w:t xml:space="preserve">. </w:t>
      </w:r>
      <w:r w:rsidR="00207BC1">
        <w:t xml:space="preserve">This RIS provides additional information </w:t>
      </w:r>
      <w:r w:rsidR="009F124C">
        <w:t>on th</w:t>
      </w:r>
      <w:r w:rsidR="00BC6C09">
        <w:t>o</w:t>
      </w:r>
      <w:r w:rsidR="009F124C">
        <w:t>se</w:t>
      </w:r>
      <w:r w:rsidR="00AC291C">
        <w:t xml:space="preserve"> </w:t>
      </w:r>
      <w:r w:rsidR="00442FF0">
        <w:t>proposals</w:t>
      </w:r>
      <w:r w:rsidR="00442FF0" w:rsidRPr="00691CD2">
        <w:t xml:space="preserve"> </w:t>
      </w:r>
      <w:r w:rsidR="00267082">
        <w:t xml:space="preserve">which </w:t>
      </w:r>
      <w:r w:rsidR="000050AE" w:rsidRPr="00691CD2">
        <w:t>the Office of Best Practice Regulation (OBPR)</w:t>
      </w:r>
      <w:r w:rsidR="00786527" w:rsidRPr="00691CD2">
        <w:t xml:space="preserve"> </w:t>
      </w:r>
      <w:r w:rsidR="00AC291C">
        <w:t>advises</w:t>
      </w:r>
      <w:r w:rsidR="000050AE" w:rsidRPr="00804A4E">
        <w:t xml:space="preserve"> are likely to have a measura</w:t>
      </w:r>
      <w:r w:rsidR="00AC291C">
        <w:t>ble but contained impact</w:t>
      </w:r>
      <w:r w:rsidR="000050AE" w:rsidRPr="00804A4E">
        <w:t xml:space="preserve">. </w:t>
      </w:r>
      <w:r w:rsidR="00267082" w:rsidRPr="00804A4E">
        <w:t xml:space="preserve">This </w:t>
      </w:r>
      <w:r w:rsidR="00267082">
        <w:t xml:space="preserve">RIS has been </w:t>
      </w:r>
      <w:r w:rsidR="001303CA" w:rsidRPr="00804A4E">
        <w:t xml:space="preserve">prepared in accordance </w:t>
      </w:r>
      <w:r w:rsidR="001303CA" w:rsidRPr="00010BE0">
        <w:t xml:space="preserve">with </w:t>
      </w:r>
      <w:r w:rsidR="009126A1" w:rsidRPr="00010BE0">
        <w:t>OBPR guidance</w:t>
      </w:r>
      <w:r w:rsidR="00416706">
        <w:t>.</w:t>
      </w:r>
      <w:r w:rsidR="009126A1">
        <w:rPr>
          <w:rStyle w:val="FootnoteReference"/>
        </w:rPr>
        <w:footnoteReference w:id="8"/>
      </w:r>
    </w:p>
    <w:p w14:paraId="0AC694A1" w14:textId="77777777" w:rsidR="008E746F" w:rsidRPr="00691CD2" w:rsidRDefault="008E746F" w:rsidP="00717BF0">
      <w:pPr>
        <w:pStyle w:val="RISHeader3"/>
      </w:pPr>
      <w:r w:rsidRPr="00691CD2">
        <w:lastRenderedPageBreak/>
        <w:t>Background</w:t>
      </w:r>
    </w:p>
    <w:p w14:paraId="7F408827" w14:textId="77777777" w:rsidR="00674CB6" w:rsidRPr="00691CD2" w:rsidRDefault="0083360B" w:rsidP="005E4FE8">
      <w:pPr>
        <w:pStyle w:val="RISHeader4"/>
      </w:pPr>
      <w:r w:rsidRPr="00AC097B">
        <w:t xml:space="preserve">The Basel </w:t>
      </w:r>
      <w:r w:rsidR="003A2EE8">
        <w:t xml:space="preserve">III </w:t>
      </w:r>
      <w:r w:rsidR="000253A4">
        <w:t xml:space="preserve">liquidity </w:t>
      </w:r>
      <w:r w:rsidRPr="00AC097B">
        <w:t>framework</w:t>
      </w:r>
    </w:p>
    <w:p w14:paraId="69B42BB0" w14:textId="77777777" w:rsidR="007B5CDA" w:rsidRDefault="005326C8" w:rsidP="00A373B1">
      <w:pPr>
        <w:pStyle w:val="Paragraphtext"/>
      </w:pPr>
      <w:r w:rsidRPr="00691CD2">
        <w:t xml:space="preserve">APRA’s </w:t>
      </w:r>
      <w:r w:rsidR="001E66AA" w:rsidRPr="00691CD2">
        <w:t>prudential framework</w:t>
      </w:r>
      <w:r w:rsidR="00186E28" w:rsidRPr="00691CD2">
        <w:t xml:space="preserve"> for </w:t>
      </w:r>
      <w:r w:rsidR="000253A4">
        <w:t>ADI</w:t>
      </w:r>
      <w:r w:rsidR="00F3239E" w:rsidRPr="00691CD2">
        <w:t xml:space="preserve">s </w:t>
      </w:r>
      <w:r w:rsidRPr="00691CD2">
        <w:t xml:space="preserve">is </w:t>
      </w:r>
      <w:r w:rsidR="00186E28" w:rsidRPr="00691CD2">
        <w:t xml:space="preserve">based on the framework agreed by the </w:t>
      </w:r>
      <w:r w:rsidR="000050AE" w:rsidRPr="00691CD2">
        <w:t>Basel Committee</w:t>
      </w:r>
      <w:r w:rsidR="00186E28" w:rsidRPr="00691CD2">
        <w:t xml:space="preserve">. </w:t>
      </w:r>
      <w:r w:rsidR="00E24686">
        <w:t>T</w:t>
      </w:r>
      <w:r w:rsidR="009527B5">
        <w:t xml:space="preserve">he Basel Committee regularly reports to the Group of 20 </w:t>
      </w:r>
      <w:r w:rsidR="00D15DE8">
        <w:t xml:space="preserve">(G20) </w:t>
      </w:r>
      <w:r w:rsidR="009527B5">
        <w:t>Leaders</w:t>
      </w:r>
      <w:r w:rsidR="00907266">
        <w:t>, which includes Australia’s Prime Minister,</w:t>
      </w:r>
      <w:r w:rsidR="00DC6D64">
        <w:t xml:space="preserve"> and to the </w:t>
      </w:r>
      <w:r w:rsidR="009527B5">
        <w:t>Financial Stability Board</w:t>
      </w:r>
      <w:r w:rsidR="00DC6D64">
        <w:t xml:space="preserve"> (FSB)</w:t>
      </w:r>
      <w:r w:rsidR="002F146D">
        <w:t xml:space="preserve">. </w:t>
      </w:r>
      <w:r w:rsidR="00DC6D64">
        <w:t xml:space="preserve">Since the global financial crisis, G20 </w:t>
      </w:r>
      <w:r w:rsidR="006C2E16">
        <w:t xml:space="preserve">Leaders have </w:t>
      </w:r>
      <w:r w:rsidR="00EE7AEC">
        <w:t>committed</w:t>
      </w:r>
      <w:r w:rsidR="006C2E16">
        <w:t xml:space="preserve"> to </w:t>
      </w:r>
      <w:r w:rsidR="00EE7AEC">
        <w:t xml:space="preserve">fully and consistently </w:t>
      </w:r>
      <w:r w:rsidR="006C2E16">
        <w:t xml:space="preserve">implement </w:t>
      </w:r>
      <w:r w:rsidR="00EE7AEC">
        <w:t>the international framework known as ‘Basel III’</w:t>
      </w:r>
      <w:r w:rsidR="00C0652D">
        <w:t>.</w:t>
      </w:r>
      <w:r w:rsidR="00EE7AEC">
        <w:rPr>
          <w:rStyle w:val="FootnoteReference"/>
        </w:rPr>
        <w:footnoteReference w:id="9"/>
      </w:r>
    </w:p>
    <w:p w14:paraId="3FFCF1F4" w14:textId="77777777" w:rsidR="008C1D26" w:rsidRDefault="00186E28" w:rsidP="002B3022">
      <w:pPr>
        <w:pStyle w:val="Paragraphtext"/>
      </w:pPr>
      <w:r w:rsidRPr="00691CD2">
        <w:lastRenderedPageBreak/>
        <w:t>Th</w:t>
      </w:r>
      <w:r w:rsidR="00B216BD" w:rsidRPr="00691CD2">
        <w:t xml:space="preserve">e </w:t>
      </w:r>
      <w:r w:rsidR="00881920" w:rsidRPr="002B3022">
        <w:t>Basel</w:t>
      </w:r>
      <w:r w:rsidR="00881920" w:rsidRPr="00691CD2">
        <w:t xml:space="preserve"> </w:t>
      </w:r>
      <w:r w:rsidR="00D32915">
        <w:t xml:space="preserve">Committee’s </w:t>
      </w:r>
      <w:r w:rsidR="006C4C2A">
        <w:t>l</w:t>
      </w:r>
      <w:r w:rsidR="00A652A8">
        <w:t>iquidity</w:t>
      </w:r>
      <w:r w:rsidR="00D32915">
        <w:t xml:space="preserve"> </w:t>
      </w:r>
      <w:r w:rsidR="006C4C2A">
        <w:t>standards</w:t>
      </w:r>
      <w:r w:rsidR="006C2E16">
        <w:t xml:space="preserve">, known collectively as the Basel III liquidity </w:t>
      </w:r>
      <w:r w:rsidR="006C2E16" w:rsidRPr="00691CD2">
        <w:t>framework</w:t>
      </w:r>
      <w:r w:rsidR="006C2E16">
        <w:t>,</w:t>
      </w:r>
      <w:r w:rsidR="006C2E16" w:rsidRPr="006C2E16">
        <w:t xml:space="preserve"> </w:t>
      </w:r>
      <w:r w:rsidR="006C2E16">
        <w:t>complement the capital framework</w:t>
      </w:r>
      <w:r w:rsidR="00BC384C">
        <w:rPr>
          <w:rStyle w:val="FootnoteReference"/>
        </w:rPr>
        <w:footnoteReference w:id="10"/>
      </w:r>
      <w:r w:rsidR="006C2E16">
        <w:t xml:space="preserve"> </w:t>
      </w:r>
      <w:r w:rsidR="00EC3FBD">
        <w:t xml:space="preserve">for </w:t>
      </w:r>
      <w:r w:rsidR="00F236E0">
        <w:t xml:space="preserve">internationally active </w:t>
      </w:r>
      <w:r w:rsidR="00EC3FBD">
        <w:t xml:space="preserve">banks </w:t>
      </w:r>
      <w:r w:rsidR="006C2E16">
        <w:t>and</w:t>
      </w:r>
      <w:r w:rsidR="00D02A3A">
        <w:t xml:space="preserve"> </w:t>
      </w:r>
      <w:r w:rsidR="009453FE">
        <w:t>consist</w:t>
      </w:r>
      <w:r w:rsidR="00E91828" w:rsidRPr="00691CD2">
        <w:t xml:space="preserve"> of</w:t>
      </w:r>
      <w:r w:rsidR="001802AB">
        <w:t xml:space="preserve"> the</w:t>
      </w:r>
      <w:r w:rsidR="00F334D1" w:rsidRPr="00691CD2">
        <w:t>:</w:t>
      </w:r>
    </w:p>
    <w:p w14:paraId="65DAF082" w14:textId="77777777" w:rsidR="00133613" w:rsidRDefault="00133613" w:rsidP="00067321">
      <w:pPr>
        <w:pStyle w:val="Dotpoints"/>
      </w:pPr>
      <w:r w:rsidRPr="000253A4">
        <w:rPr>
          <w:i/>
        </w:rPr>
        <w:t>Principles for Sound Liquidity Risk Management and Supervision</w:t>
      </w:r>
      <w:r w:rsidR="00C970A7">
        <w:rPr>
          <w:rStyle w:val="FootnoteReference"/>
        </w:rPr>
        <w:footnoteReference w:id="11"/>
      </w:r>
      <w:r w:rsidR="000253A4">
        <w:t xml:space="preserve"> which set</w:t>
      </w:r>
      <w:r w:rsidR="00C970A7">
        <w:t xml:space="preserve"> out high-level guidance for sound governance and management of liquidity risk</w:t>
      </w:r>
      <w:r w:rsidR="00465C78">
        <w:t>;</w:t>
      </w:r>
    </w:p>
    <w:p w14:paraId="1B49A763" w14:textId="77777777" w:rsidR="008C1D26" w:rsidRPr="00506DA5" w:rsidRDefault="006C4C2A" w:rsidP="00067321">
      <w:pPr>
        <w:pStyle w:val="Dotpoints"/>
      </w:pPr>
      <w:r w:rsidRPr="000253A4">
        <w:rPr>
          <w:i/>
        </w:rPr>
        <w:lastRenderedPageBreak/>
        <w:t>L</w:t>
      </w:r>
      <w:r w:rsidR="00465C78" w:rsidRPr="000253A4">
        <w:rPr>
          <w:i/>
        </w:rPr>
        <w:t xml:space="preserve">iquidity </w:t>
      </w:r>
      <w:r w:rsidR="00416706">
        <w:rPr>
          <w:i/>
        </w:rPr>
        <w:t>c</w:t>
      </w:r>
      <w:r w:rsidR="00465C78" w:rsidRPr="000253A4">
        <w:rPr>
          <w:i/>
        </w:rPr>
        <w:t xml:space="preserve">overage </w:t>
      </w:r>
      <w:r w:rsidR="00416706">
        <w:rPr>
          <w:i/>
        </w:rPr>
        <w:t>r</w:t>
      </w:r>
      <w:r w:rsidR="00465C78" w:rsidRPr="000253A4">
        <w:rPr>
          <w:i/>
        </w:rPr>
        <w:t>atio</w:t>
      </w:r>
      <w:r w:rsidR="00465C78">
        <w:t xml:space="preserve"> (LCR)</w:t>
      </w:r>
      <w:r w:rsidR="00506DA5">
        <w:rPr>
          <w:rStyle w:val="FootnoteReference"/>
        </w:rPr>
        <w:footnoteReference w:id="12"/>
      </w:r>
      <w:r w:rsidRPr="00506DA5">
        <w:t xml:space="preserve"> </w:t>
      </w:r>
      <w:r w:rsidR="00133613" w:rsidRPr="00506DA5">
        <w:t xml:space="preserve">which </w:t>
      </w:r>
      <w:r w:rsidR="00E22700">
        <w:t xml:space="preserve">requires </w:t>
      </w:r>
      <w:r w:rsidR="0044325F" w:rsidRPr="00506DA5">
        <w:t>high-quality liquid assets</w:t>
      </w:r>
      <w:r w:rsidR="00E22700">
        <w:t xml:space="preserve"> at least equal to </w:t>
      </w:r>
      <w:r w:rsidR="00477519" w:rsidRPr="00506DA5">
        <w:t xml:space="preserve">short-term </w:t>
      </w:r>
      <w:r w:rsidR="00E22700">
        <w:t xml:space="preserve">net </w:t>
      </w:r>
      <w:r w:rsidR="00195729" w:rsidRPr="00506DA5">
        <w:t>cash out-flows</w:t>
      </w:r>
      <w:r w:rsidR="0044325F" w:rsidRPr="00506DA5">
        <w:t xml:space="preserve"> to </w:t>
      </w:r>
      <w:r w:rsidR="00477519" w:rsidRPr="00506DA5">
        <w:t>build</w:t>
      </w:r>
      <w:r w:rsidR="0044325F" w:rsidRPr="00506DA5">
        <w:t xml:space="preserve"> </w:t>
      </w:r>
      <w:r w:rsidR="00195729" w:rsidRPr="00506DA5">
        <w:t>resilience to liquidity shocks</w:t>
      </w:r>
      <w:r w:rsidR="003923AF" w:rsidRPr="00506DA5">
        <w:t xml:space="preserve">; </w:t>
      </w:r>
      <w:r w:rsidR="005820C9">
        <w:t>and</w:t>
      </w:r>
    </w:p>
    <w:p w14:paraId="73A7339D" w14:textId="3E2AEB7D" w:rsidR="00F334D1" w:rsidRDefault="006C4C2A" w:rsidP="00AB6712">
      <w:pPr>
        <w:pStyle w:val="Dotpoints"/>
      </w:pPr>
      <w:r w:rsidRPr="000253A4">
        <w:rPr>
          <w:i/>
        </w:rPr>
        <w:t>N</w:t>
      </w:r>
      <w:r w:rsidR="00465C78" w:rsidRPr="000253A4">
        <w:rPr>
          <w:i/>
        </w:rPr>
        <w:t xml:space="preserve">et </w:t>
      </w:r>
      <w:r w:rsidR="00416706">
        <w:rPr>
          <w:i/>
        </w:rPr>
        <w:t>s</w:t>
      </w:r>
      <w:r w:rsidR="00465C78" w:rsidRPr="000253A4">
        <w:rPr>
          <w:i/>
        </w:rPr>
        <w:t xml:space="preserve">table </w:t>
      </w:r>
      <w:r w:rsidR="00416706">
        <w:rPr>
          <w:i/>
        </w:rPr>
        <w:t>f</w:t>
      </w:r>
      <w:r w:rsidR="00465C78" w:rsidRPr="000253A4">
        <w:rPr>
          <w:i/>
        </w:rPr>
        <w:t xml:space="preserve">unding </w:t>
      </w:r>
      <w:r w:rsidR="00416706">
        <w:rPr>
          <w:i/>
        </w:rPr>
        <w:t>r</w:t>
      </w:r>
      <w:r w:rsidR="00465C78" w:rsidRPr="000253A4">
        <w:rPr>
          <w:i/>
        </w:rPr>
        <w:t>atio</w:t>
      </w:r>
      <w:r w:rsidR="00E0463B">
        <w:rPr>
          <w:rStyle w:val="FootnoteReference"/>
        </w:rPr>
        <w:footnoteReference w:id="13"/>
      </w:r>
      <w:r w:rsidR="00AB6712">
        <w:t xml:space="preserve"> which </w:t>
      </w:r>
      <w:r w:rsidR="00E22700">
        <w:t xml:space="preserve">requires funding from stable sources </w:t>
      </w:r>
      <w:r w:rsidR="00D02A3A">
        <w:t xml:space="preserve">to </w:t>
      </w:r>
      <w:r w:rsidR="00EB3EC2">
        <w:t xml:space="preserve">be at least equal to </w:t>
      </w:r>
      <w:r w:rsidR="00D02A3A">
        <w:t xml:space="preserve">risk-weighted </w:t>
      </w:r>
      <w:r w:rsidR="00E22700">
        <w:t>funding requirements to promote sustainable funding structures</w:t>
      </w:r>
      <w:r w:rsidR="008F46B1">
        <w:t xml:space="preserve"> over time</w:t>
      </w:r>
      <w:r w:rsidR="00465C78" w:rsidRPr="00691CD2">
        <w:t>.</w:t>
      </w:r>
    </w:p>
    <w:p w14:paraId="70740625" w14:textId="77777777" w:rsidR="004510C2" w:rsidRPr="002B3022" w:rsidRDefault="00AC7F37" w:rsidP="004510C2">
      <w:pPr>
        <w:pStyle w:val="Paragraphtext"/>
      </w:pPr>
      <w:r>
        <w:lastRenderedPageBreak/>
        <w:t>A stable funding requirement has been well publicised by the Basel Committee with the original proposed standard released in 2010.</w:t>
      </w:r>
      <w:r w:rsidRPr="00044390">
        <w:rPr>
          <w:vertAlign w:val="superscript"/>
        </w:rPr>
        <w:footnoteReference w:id="14"/>
      </w:r>
    </w:p>
    <w:p w14:paraId="2E1C99E0" w14:textId="77777777" w:rsidR="003A2EE8" w:rsidRPr="004510C2" w:rsidRDefault="003D03FA" w:rsidP="003C75B5">
      <w:pPr>
        <w:pStyle w:val="Paragraphtext"/>
        <w:numPr>
          <w:ilvl w:val="0"/>
          <w:numId w:val="0"/>
        </w:numPr>
        <w:rPr>
          <w:i/>
        </w:rPr>
      </w:pPr>
      <w:r w:rsidRPr="004510C2">
        <w:rPr>
          <w:i/>
        </w:rPr>
        <w:t>Basel III liquidity framework i</w:t>
      </w:r>
      <w:r w:rsidR="003A2EE8" w:rsidRPr="004510C2">
        <w:rPr>
          <w:i/>
        </w:rPr>
        <w:t>mplementation in Australia</w:t>
      </w:r>
      <w:r w:rsidR="004510C2" w:rsidRPr="003C75B5">
        <w:rPr>
          <w:i/>
        </w:rPr>
        <w:t>.</w:t>
      </w:r>
    </w:p>
    <w:p w14:paraId="1A47F786" w14:textId="77777777" w:rsidR="006C4481" w:rsidRDefault="000253A4" w:rsidP="004C4559">
      <w:pPr>
        <w:pStyle w:val="Paragraphtext"/>
      </w:pPr>
      <w:r w:rsidRPr="000253A4">
        <w:t xml:space="preserve">The </w:t>
      </w:r>
      <w:r w:rsidRPr="00D15DE8">
        <w:rPr>
          <w:i/>
        </w:rPr>
        <w:t xml:space="preserve">Principles for Sound Liquidity Risk Management and Supervision </w:t>
      </w:r>
      <w:r>
        <w:t xml:space="preserve">and </w:t>
      </w:r>
      <w:r w:rsidR="007B76D6">
        <w:t xml:space="preserve">the </w:t>
      </w:r>
      <w:r>
        <w:t xml:space="preserve">LCR </w:t>
      </w:r>
      <w:r w:rsidR="00BC6C09">
        <w:t>were</w:t>
      </w:r>
      <w:r w:rsidR="007D05B1">
        <w:t xml:space="preserve"> implemented in Australia </w:t>
      </w:r>
      <w:r w:rsidR="00BC6C09">
        <w:t xml:space="preserve">with effect </w:t>
      </w:r>
      <w:r w:rsidR="007D05B1">
        <w:t>from 1 January 2015.</w:t>
      </w:r>
      <w:r w:rsidR="004C4559">
        <w:t xml:space="preserve"> </w:t>
      </w:r>
      <w:r w:rsidR="009001D8" w:rsidRPr="002B3022">
        <w:t>The</w:t>
      </w:r>
      <w:r w:rsidR="009001D8" w:rsidRPr="00565238">
        <w:t xml:space="preserve"> </w:t>
      </w:r>
      <w:r w:rsidR="00EB3EC2">
        <w:t xml:space="preserve">options </w:t>
      </w:r>
      <w:r w:rsidR="009001D8" w:rsidRPr="00014AF3">
        <w:t xml:space="preserve">under discussion in this RIS </w:t>
      </w:r>
      <w:r w:rsidR="008F46B1">
        <w:t>relate to</w:t>
      </w:r>
      <w:r w:rsidR="006C4481">
        <w:t>:</w:t>
      </w:r>
    </w:p>
    <w:p w14:paraId="55EF9EA7" w14:textId="77777777" w:rsidR="006C4481" w:rsidRDefault="00EE7AEC" w:rsidP="0017035D">
      <w:pPr>
        <w:pStyle w:val="Paragraphtext"/>
        <w:numPr>
          <w:ilvl w:val="1"/>
          <w:numId w:val="12"/>
        </w:numPr>
        <w:ind w:left="851" w:hanging="425"/>
      </w:pPr>
      <w:r w:rsidRPr="007D05B1">
        <w:t>implementation of</w:t>
      </w:r>
      <w:r w:rsidR="00EB3EC2" w:rsidRPr="007D05B1">
        <w:t xml:space="preserve"> </w:t>
      </w:r>
      <w:r w:rsidR="00D02A3A" w:rsidRPr="007D05B1">
        <w:t xml:space="preserve">the </w:t>
      </w:r>
      <w:r w:rsidR="00EB3EC2" w:rsidRPr="007D05B1">
        <w:t>NSFR</w:t>
      </w:r>
      <w:r w:rsidR="006C4481">
        <w:t>;</w:t>
      </w:r>
      <w:r w:rsidR="00B55A6E">
        <w:t xml:space="preserve"> and</w:t>
      </w:r>
    </w:p>
    <w:p w14:paraId="64A657BD" w14:textId="77777777" w:rsidR="000D3A63" w:rsidRDefault="00BC6C09" w:rsidP="0017035D">
      <w:pPr>
        <w:pStyle w:val="Paragraphtext"/>
        <w:numPr>
          <w:ilvl w:val="1"/>
          <w:numId w:val="12"/>
        </w:numPr>
        <w:ind w:left="851" w:hanging="425"/>
      </w:pPr>
      <w:r>
        <w:t xml:space="preserve">a </w:t>
      </w:r>
      <w:r w:rsidR="0098418C">
        <w:t>review</w:t>
      </w:r>
      <w:r w:rsidR="00D02A3A" w:rsidRPr="007D05B1">
        <w:t xml:space="preserve"> of </w:t>
      </w:r>
      <w:r w:rsidR="0098418C">
        <w:t>the</w:t>
      </w:r>
      <w:r w:rsidR="00B87588">
        <w:t xml:space="preserve"> liquid assets requirement</w:t>
      </w:r>
      <w:r w:rsidR="00D43D50">
        <w:t xml:space="preserve"> </w:t>
      </w:r>
      <w:r w:rsidR="004D172D">
        <w:t>that applies to</w:t>
      </w:r>
      <w:r w:rsidR="004D172D" w:rsidRPr="007D05B1">
        <w:t xml:space="preserve"> </w:t>
      </w:r>
      <w:r w:rsidR="00D02A3A" w:rsidRPr="007D05B1">
        <w:lastRenderedPageBreak/>
        <w:t>foreign ADIs</w:t>
      </w:r>
      <w:r w:rsidR="00B55A6E">
        <w:t>.</w:t>
      </w:r>
    </w:p>
    <w:p w14:paraId="5C80DD27" w14:textId="77777777" w:rsidR="00766E9B" w:rsidRPr="00AE3D76" w:rsidRDefault="003D03FA" w:rsidP="005E4FE8">
      <w:pPr>
        <w:pStyle w:val="RISHeader4"/>
      </w:pPr>
      <w:r>
        <w:t>Current</w:t>
      </w:r>
      <w:r w:rsidR="00766E9B" w:rsidRPr="002B3022">
        <w:t xml:space="preserve"> </w:t>
      </w:r>
      <w:r w:rsidR="008F46B1">
        <w:t xml:space="preserve">Australian </w:t>
      </w:r>
      <w:r w:rsidR="00A16903">
        <w:t>liquidity</w:t>
      </w:r>
      <w:r w:rsidR="00766E9B" w:rsidRPr="002B3022">
        <w:t xml:space="preserve"> requirements</w:t>
      </w:r>
    </w:p>
    <w:p w14:paraId="56B105CC" w14:textId="77777777" w:rsidR="00301C4E" w:rsidRDefault="0086509C" w:rsidP="00A373B1">
      <w:pPr>
        <w:pStyle w:val="Paragraphtext"/>
      </w:pPr>
      <w:r w:rsidRPr="00691CD2">
        <w:t xml:space="preserve">Existing </w:t>
      </w:r>
      <w:r w:rsidR="009453FE">
        <w:t>liquidity</w:t>
      </w:r>
      <w:r w:rsidR="00FD5570" w:rsidRPr="00691CD2">
        <w:t xml:space="preserve"> </w:t>
      </w:r>
      <w:r w:rsidRPr="00691CD2">
        <w:t xml:space="preserve">requirements </w:t>
      </w:r>
      <w:r w:rsidR="009453FE">
        <w:t xml:space="preserve">for ADIs </w:t>
      </w:r>
      <w:r w:rsidR="00A7339B" w:rsidRPr="00691CD2">
        <w:t xml:space="preserve">are </w:t>
      </w:r>
      <w:r w:rsidRPr="00691CD2">
        <w:t xml:space="preserve">set out in </w:t>
      </w:r>
      <w:r w:rsidR="00C53808" w:rsidRPr="00691CD2">
        <w:rPr>
          <w:i/>
        </w:rPr>
        <w:t xml:space="preserve">Prudential Standard </w:t>
      </w:r>
      <w:r w:rsidRPr="00691CD2">
        <w:rPr>
          <w:i/>
        </w:rPr>
        <w:t xml:space="preserve">APS </w:t>
      </w:r>
      <w:r w:rsidR="009453FE">
        <w:rPr>
          <w:i/>
        </w:rPr>
        <w:t>210</w:t>
      </w:r>
      <w:r w:rsidR="00C53808" w:rsidRPr="00691CD2">
        <w:rPr>
          <w:i/>
        </w:rPr>
        <w:t xml:space="preserve"> </w:t>
      </w:r>
      <w:r w:rsidR="009453FE">
        <w:rPr>
          <w:i/>
        </w:rPr>
        <w:t>Liquidity</w:t>
      </w:r>
      <w:r w:rsidR="00C53808" w:rsidRPr="00691CD2">
        <w:t xml:space="preserve"> (APS </w:t>
      </w:r>
      <w:r w:rsidR="009453FE">
        <w:t>210</w:t>
      </w:r>
      <w:r w:rsidR="00C53808" w:rsidRPr="00691CD2">
        <w:t>)</w:t>
      </w:r>
      <w:r w:rsidR="006A32E0">
        <w:t>. APS 210 specif</w:t>
      </w:r>
      <w:r w:rsidR="00B56D72">
        <w:t>ically requires</w:t>
      </w:r>
      <w:r w:rsidR="006A32E0">
        <w:t xml:space="preserve"> </w:t>
      </w:r>
      <w:r w:rsidR="0098418C">
        <w:t xml:space="preserve">an </w:t>
      </w:r>
      <w:r w:rsidR="00745CA1" w:rsidRPr="00691CD2">
        <w:t xml:space="preserve">ADI </w:t>
      </w:r>
      <w:r w:rsidR="00B56D72">
        <w:t>to</w:t>
      </w:r>
      <w:r w:rsidR="00301C4E" w:rsidRPr="00691CD2">
        <w:t>:</w:t>
      </w:r>
    </w:p>
    <w:p w14:paraId="60383AC6" w14:textId="77777777" w:rsidR="009453FE" w:rsidRDefault="001E540A" w:rsidP="006C7DAF">
      <w:pPr>
        <w:pStyle w:val="Dotpoints"/>
      </w:pPr>
      <w:r>
        <w:t>have a robust framework to manage liquidity risk;</w:t>
      </w:r>
    </w:p>
    <w:p w14:paraId="6833ABB3" w14:textId="77777777" w:rsidR="0040320D" w:rsidRDefault="001E540A" w:rsidP="006C7DAF">
      <w:pPr>
        <w:pStyle w:val="Dotpoints"/>
      </w:pPr>
      <w:r>
        <w:t>maintain sufficient liquidity to me</w:t>
      </w:r>
      <w:r w:rsidR="00EE2624">
        <w:t xml:space="preserve">et </w:t>
      </w:r>
      <w:r w:rsidR="0098418C">
        <w:t xml:space="preserve">its </w:t>
      </w:r>
      <w:r w:rsidR="00EE2624">
        <w:t>obligations as they fall due;</w:t>
      </w:r>
    </w:p>
    <w:p w14:paraId="214ECFD7" w14:textId="77777777" w:rsidR="00EB23EA" w:rsidRPr="001B2824" w:rsidRDefault="001E540A" w:rsidP="001B2824">
      <w:pPr>
        <w:pStyle w:val="Dotpoints"/>
      </w:pPr>
      <w:r>
        <w:lastRenderedPageBreak/>
        <w:t xml:space="preserve">hold a minimum level of </w:t>
      </w:r>
      <w:r w:rsidR="00917D91" w:rsidRPr="00506DA5">
        <w:t>high-quality liquid assets</w:t>
      </w:r>
      <w:r w:rsidR="00D55B7D">
        <w:t xml:space="preserve"> </w:t>
      </w:r>
      <w:r w:rsidR="00942203">
        <w:t>(HQLA)</w:t>
      </w:r>
      <w:r w:rsidR="00942203">
        <w:rPr>
          <w:rStyle w:val="FootnoteReference"/>
        </w:rPr>
        <w:footnoteReference w:id="15"/>
      </w:r>
      <w:r w:rsidR="00942203">
        <w:t xml:space="preserve"> </w:t>
      </w:r>
      <w:r w:rsidR="0098418C">
        <w:t xml:space="preserve">necessary </w:t>
      </w:r>
      <w:r w:rsidR="0040320D">
        <w:t xml:space="preserve">to survive a </w:t>
      </w:r>
      <w:r w:rsidR="00B7045C">
        <w:t xml:space="preserve">short-term </w:t>
      </w:r>
      <w:r w:rsidR="0040320D">
        <w:t xml:space="preserve">severe liquidity stress. This </w:t>
      </w:r>
      <w:r w:rsidR="0033229E">
        <w:t>quantitative requirement</w:t>
      </w:r>
      <w:r w:rsidR="0040320D">
        <w:t xml:space="preserve"> </w:t>
      </w:r>
      <w:r w:rsidR="00DB760E">
        <w:t>involves</w:t>
      </w:r>
      <w:r w:rsidR="0040320D">
        <w:t>:</w:t>
      </w:r>
    </w:p>
    <w:p w14:paraId="67882E77" w14:textId="0F98E830" w:rsidR="0040320D" w:rsidRDefault="00EE2624" w:rsidP="006D011F">
      <w:pPr>
        <w:pStyle w:val="Dotpoints"/>
        <w:numPr>
          <w:ilvl w:val="1"/>
          <w:numId w:val="11"/>
        </w:numPr>
      </w:pPr>
      <w:r>
        <w:t>a minimum</w:t>
      </w:r>
      <w:r w:rsidR="0040320D">
        <w:t xml:space="preserve"> LCR</w:t>
      </w:r>
      <w:r w:rsidR="0033229E">
        <w:t xml:space="preserve"> </w:t>
      </w:r>
      <w:r w:rsidR="00D0598D">
        <w:t xml:space="preserve">- </w:t>
      </w:r>
      <w:r w:rsidR="00917D91" w:rsidRPr="00506DA5">
        <w:t>high-quality liquid assets</w:t>
      </w:r>
      <w:r w:rsidR="0033229E">
        <w:t xml:space="preserve"> equal to at least </w:t>
      </w:r>
      <w:r w:rsidR="0033229E" w:rsidRPr="00D15DE8">
        <w:t>100 per cent</w:t>
      </w:r>
      <w:r w:rsidR="0033229E">
        <w:t xml:space="preserve"> of total </w:t>
      </w:r>
      <w:r w:rsidR="00273144">
        <w:t xml:space="preserve">estimated </w:t>
      </w:r>
      <w:r w:rsidR="00290DFF">
        <w:t xml:space="preserve">net </w:t>
      </w:r>
      <w:r w:rsidR="0033229E">
        <w:t xml:space="preserve">cash outflows </w:t>
      </w:r>
      <w:r w:rsidR="00B56D72">
        <w:t xml:space="preserve">over a </w:t>
      </w:r>
      <w:r w:rsidR="0033229E">
        <w:t>30</w:t>
      </w:r>
      <w:r w:rsidR="00B56D72">
        <w:t>-</w:t>
      </w:r>
      <w:r w:rsidR="0033229E">
        <w:t>calendar day</w:t>
      </w:r>
      <w:r w:rsidR="00B56D72">
        <w:t xml:space="preserve"> period</w:t>
      </w:r>
      <w:r w:rsidR="001813FF">
        <w:t>,</w:t>
      </w:r>
      <w:r w:rsidR="0033229E">
        <w:t xml:space="preserve"> </w:t>
      </w:r>
      <w:r w:rsidRPr="00EE2624">
        <w:t xml:space="preserve">where APRA has identified the ADI as an </w:t>
      </w:r>
      <w:r>
        <w:t>‘</w:t>
      </w:r>
      <w:r w:rsidRPr="00EE2624">
        <w:t>LCR ADI</w:t>
      </w:r>
      <w:r>
        <w:t>’</w:t>
      </w:r>
      <w:r w:rsidRPr="00EE2624">
        <w:t xml:space="preserve"> considering </w:t>
      </w:r>
      <w:r w:rsidR="0095119F">
        <w:t>its</w:t>
      </w:r>
      <w:r w:rsidRPr="00EE2624">
        <w:t xml:space="preserve"> size and complexity with respect to liquidity risk</w:t>
      </w:r>
      <w:r w:rsidR="0095119F">
        <w:t>;</w:t>
      </w:r>
    </w:p>
    <w:p w14:paraId="6E6B7062" w14:textId="781041BD" w:rsidR="0033229E" w:rsidRDefault="0040320D" w:rsidP="006D011F">
      <w:pPr>
        <w:pStyle w:val="Dotpoints"/>
        <w:numPr>
          <w:ilvl w:val="1"/>
          <w:numId w:val="11"/>
        </w:numPr>
      </w:pPr>
      <w:r>
        <w:t xml:space="preserve">a </w:t>
      </w:r>
      <w:r w:rsidR="00EE2624">
        <w:t>reduced</w:t>
      </w:r>
      <w:r>
        <w:t xml:space="preserve"> </w:t>
      </w:r>
      <w:r w:rsidR="00EE2624">
        <w:t xml:space="preserve">minimum </w:t>
      </w:r>
      <w:r>
        <w:t xml:space="preserve">LCR </w:t>
      </w:r>
      <w:r w:rsidR="00D0598D">
        <w:t xml:space="preserve">- </w:t>
      </w:r>
      <w:r w:rsidR="00917D91" w:rsidRPr="00506DA5">
        <w:t>high-quality liquid assets</w:t>
      </w:r>
      <w:r w:rsidR="0033229E">
        <w:t xml:space="preserve"> equal to at least </w:t>
      </w:r>
      <w:r w:rsidR="0033229E" w:rsidRPr="00D15DE8">
        <w:t>40</w:t>
      </w:r>
      <w:r w:rsidR="0095119F" w:rsidRPr="00D15DE8">
        <w:t> </w:t>
      </w:r>
      <w:r w:rsidR="0033229E" w:rsidRPr="00D15DE8">
        <w:t>per cent</w:t>
      </w:r>
      <w:r w:rsidR="0033229E">
        <w:t xml:space="preserve"> of total </w:t>
      </w:r>
      <w:r w:rsidR="00273144">
        <w:t xml:space="preserve">estimated </w:t>
      </w:r>
      <w:r w:rsidR="00290DFF">
        <w:t xml:space="preserve">net </w:t>
      </w:r>
      <w:r w:rsidR="0033229E">
        <w:t xml:space="preserve">cash </w:t>
      </w:r>
      <w:r w:rsidR="0033229E">
        <w:lastRenderedPageBreak/>
        <w:t xml:space="preserve">outflows </w:t>
      </w:r>
      <w:r w:rsidR="00B56D72">
        <w:t xml:space="preserve">over a </w:t>
      </w:r>
      <w:r w:rsidR="0033229E">
        <w:t>30</w:t>
      </w:r>
      <w:r w:rsidR="00B56D72">
        <w:t>-</w:t>
      </w:r>
      <w:r w:rsidR="0033229E">
        <w:t>calendar day</w:t>
      </w:r>
      <w:r w:rsidR="00B56D72">
        <w:t xml:space="preserve"> period</w:t>
      </w:r>
      <w:r w:rsidR="0033229E">
        <w:t xml:space="preserve"> </w:t>
      </w:r>
      <w:r w:rsidR="00EE2624">
        <w:t>for foreign ADIs</w:t>
      </w:r>
      <w:r>
        <w:t>; or</w:t>
      </w:r>
    </w:p>
    <w:p w14:paraId="2AC341AF" w14:textId="77777777" w:rsidR="00A22C28" w:rsidRPr="00691CD2" w:rsidRDefault="00EE2624" w:rsidP="006D011F">
      <w:pPr>
        <w:pStyle w:val="Dotpoints"/>
        <w:numPr>
          <w:ilvl w:val="1"/>
          <w:numId w:val="11"/>
        </w:numPr>
      </w:pPr>
      <w:r>
        <w:t xml:space="preserve">minimum </w:t>
      </w:r>
      <w:r w:rsidR="0033229E">
        <w:t xml:space="preserve">liquidity holdings </w:t>
      </w:r>
      <w:r w:rsidR="00B56D72">
        <w:t xml:space="preserve"> of </w:t>
      </w:r>
      <w:r w:rsidR="0033229E" w:rsidRPr="0095119F">
        <w:t>nine per cent of liabilities in specified liquid assets for all other</w:t>
      </w:r>
      <w:r w:rsidR="0033229E">
        <w:rPr>
          <w:sz w:val="23"/>
          <w:szCs w:val="23"/>
        </w:rPr>
        <w:t xml:space="preserve"> ADIs</w:t>
      </w:r>
      <w:r w:rsidR="0058170A">
        <w:rPr>
          <w:sz w:val="23"/>
          <w:szCs w:val="23"/>
        </w:rPr>
        <w:t>;</w:t>
      </w:r>
    </w:p>
    <w:p w14:paraId="1FBBA793" w14:textId="77777777" w:rsidR="0095119F" w:rsidRDefault="006C146D" w:rsidP="006C7DAF">
      <w:pPr>
        <w:pStyle w:val="Dotpoints"/>
      </w:pPr>
      <w:r>
        <w:t>maintain a robust funding structure appropriate for its size, business mix and complexity</w:t>
      </w:r>
      <w:r w:rsidR="00771CA0">
        <w:t>. There is no existing requirement which specifies the calculation for a minimum level of stable funding</w:t>
      </w:r>
      <w:r w:rsidR="0095119F">
        <w:t>; and</w:t>
      </w:r>
    </w:p>
    <w:p w14:paraId="7D187370" w14:textId="77777777" w:rsidR="00A22C28" w:rsidRPr="00691CD2" w:rsidRDefault="0095119F" w:rsidP="006C7DAF">
      <w:pPr>
        <w:pStyle w:val="Dotpoints"/>
      </w:pPr>
      <w:r>
        <w:t>inform APRA as soon as possible of any concerns an ADI has about liquidity and plans to address th</w:t>
      </w:r>
      <w:r w:rsidR="001813FF">
        <w:t>o</w:t>
      </w:r>
      <w:r>
        <w:t>se concerns.</w:t>
      </w:r>
    </w:p>
    <w:p w14:paraId="2E118301" w14:textId="77777777" w:rsidR="0023140B" w:rsidRDefault="00267CD0" w:rsidP="00173F2E">
      <w:pPr>
        <w:pStyle w:val="Paragraphtext"/>
      </w:pPr>
      <w:r>
        <w:t>Reporting requirements are set out</w:t>
      </w:r>
      <w:r w:rsidR="0023140B">
        <w:t xml:space="preserve"> </w:t>
      </w:r>
      <w:r w:rsidR="00771CA0">
        <w:t xml:space="preserve">in </w:t>
      </w:r>
      <w:r w:rsidR="0023140B" w:rsidRPr="00267CD0">
        <w:rPr>
          <w:i/>
        </w:rPr>
        <w:t>Reporting Standard</w:t>
      </w:r>
      <w:r>
        <w:rPr>
          <w:i/>
        </w:rPr>
        <w:t xml:space="preserve"> ARS </w:t>
      </w:r>
      <w:r w:rsidRPr="00267CD0">
        <w:rPr>
          <w:i/>
        </w:rPr>
        <w:t>210.0</w:t>
      </w:r>
      <w:r w:rsidRPr="00267CD0">
        <w:t xml:space="preserve"> </w:t>
      </w:r>
      <w:r w:rsidRPr="00267CD0">
        <w:rPr>
          <w:i/>
        </w:rPr>
        <w:t xml:space="preserve">Liquidity </w:t>
      </w:r>
      <w:r w:rsidR="00DB760E">
        <w:t>(ARS </w:t>
      </w:r>
      <w:r w:rsidRPr="00267CD0">
        <w:t>210)</w:t>
      </w:r>
      <w:r>
        <w:t>.</w:t>
      </w:r>
    </w:p>
    <w:p w14:paraId="24C0390D" w14:textId="3AEB7A7A" w:rsidR="00F70280" w:rsidRPr="00691CD2" w:rsidRDefault="00D2487D" w:rsidP="00717BF0">
      <w:pPr>
        <w:pStyle w:val="RISHeader3"/>
      </w:pPr>
      <w:r>
        <w:lastRenderedPageBreak/>
        <w:t xml:space="preserve">Policy </w:t>
      </w:r>
      <w:r w:rsidR="00AA2D4E">
        <w:t>p</w:t>
      </w:r>
      <w:r w:rsidR="009126A1" w:rsidRPr="00691CD2">
        <w:t>roblem</w:t>
      </w:r>
      <w:r w:rsidR="00AA2D4E">
        <w:t xml:space="preserve"> and need for government intervention</w:t>
      </w:r>
    </w:p>
    <w:p w14:paraId="30A99591" w14:textId="77777777" w:rsidR="00674038" w:rsidRDefault="00674038" w:rsidP="0082125D">
      <w:pPr>
        <w:pStyle w:val="Paragraphtext"/>
        <w:keepNext/>
        <w:widowControl/>
      </w:pPr>
      <w:r>
        <w:t xml:space="preserve">A key element of the prudential framework is </w:t>
      </w:r>
      <w:r w:rsidR="00786B45">
        <w:t xml:space="preserve">to </w:t>
      </w:r>
      <w:r>
        <w:t>ensur</w:t>
      </w:r>
      <w:r w:rsidR="00786B45">
        <w:t>e</w:t>
      </w:r>
      <w:r>
        <w:t xml:space="preserve"> that ADIs adopt prudent practices in managing their liquidity risk and maintain appropriate funding arrangements to meet their obligations as they fall due, including during an entity-specific or systemic stress event.</w:t>
      </w:r>
    </w:p>
    <w:p w14:paraId="74DBB237" w14:textId="77777777" w:rsidR="007C5322" w:rsidRPr="007C5322" w:rsidRDefault="00851319" w:rsidP="005E4FE8">
      <w:pPr>
        <w:pStyle w:val="RISHeader4"/>
      </w:pPr>
      <w:r>
        <w:t>High</w:t>
      </w:r>
      <w:r w:rsidR="002C01F5">
        <w:t xml:space="preserve"> r</w:t>
      </w:r>
      <w:r w:rsidR="007C5322" w:rsidRPr="007C5322">
        <w:t>eliance on less stable funding</w:t>
      </w:r>
    </w:p>
    <w:p w14:paraId="2B50E051" w14:textId="77777777" w:rsidR="00653642" w:rsidRPr="007C0FC9" w:rsidRDefault="00C166FD" w:rsidP="007C0FC9">
      <w:pPr>
        <w:pStyle w:val="Paragraphtext"/>
      </w:pPr>
      <w:r>
        <w:t xml:space="preserve">During </w:t>
      </w:r>
      <w:r w:rsidR="00F74CD5">
        <w:t xml:space="preserve">the </w:t>
      </w:r>
      <w:r w:rsidR="003C7FDC" w:rsidRPr="00691CD2">
        <w:t xml:space="preserve">global financial crisis </w:t>
      </w:r>
      <w:r w:rsidR="00CF5D12">
        <w:t xml:space="preserve">the international banking system came under </w:t>
      </w:r>
      <w:r w:rsidR="00CC7148">
        <w:t xml:space="preserve">severe </w:t>
      </w:r>
      <w:r>
        <w:t xml:space="preserve">and </w:t>
      </w:r>
      <w:r w:rsidR="00851319">
        <w:t xml:space="preserve">in some cases </w:t>
      </w:r>
      <w:r>
        <w:t>prolonged</w:t>
      </w:r>
      <w:r w:rsidR="00CF5D12">
        <w:t xml:space="preserve"> </w:t>
      </w:r>
      <w:r w:rsidR="00093C24">
        <w:t xml:space="preserve">liquidity </w:t>
      </w:r>
      <w:r w:rsidR="00CF5D12">
        <w:t xml:space="preserve">stress. </w:t>
      </w:r>
      <w:r w:rsidR="00093C24">
        <w:t xml:space="preserve">Short-term wholesale funding became more expensive and </w:t>
      </w:r>
      <w:r w:rsidR="00851319">
        <w:t>availability reduced rapidly at the same time as</w:t>
      </w:r>
      <w:r>
        <w:t xml:space="preserve"> asset sales</w:t>
      </w:r>
      <w:r w:rsidR="00CF5D12">
        <w:t xml:space="preserve"> </w:t>
      </w:r>
      <w:r w:rsidR="00093C24">
        <w:t xml:space="preserve">became more challenging. Individual banks that relied </w:t>
      </w:r>
      <w:r w:rsidR="00093C24">
        <w:lastRenderedPageBreak/>
        <w:t xml:space="preserve">more heavily on less stable sources of funding </w:t>
      </w:r>
      <w:r w:rsidR="00F74CD5">
        <w:t xml:space="preserve">faced a rapid deterioration in </w:t>
      </w:r>
      <w:r w:rsidR="006F7FEC">
        <w:t>their liquidity</w:t>
      </w:r>
      <w:r w:rsidR="000A3FF4">
        <w:t xml:space="preserve"> position</w:t>
      </w:r>
      <w:r w:rsidR="00F74CD5">
        <w:t xml:space="preserve">. </w:t>
      </w:r>
      <w:r w:rsidR="00CF5D12">
        <w:t>The interconnect</w:t>
      </w:r>
      <w:r w:rsidR="00F74CD5">
        <w:t xml:space="preserve">ed nature of the banking system </w:t>
      </w:r>
      <w:r w:rsidR="00851319">
        <w:t>severely reduced access to new funding</w:t>
      </w:r>
      <w:r w:rsidR="000A3FF4">
        <w:t>,</w:t>
      </w:r>
      <w:r w:rsidR="00851319">
        <w:t xml:space="preserve"> </w:t>
      </w:r>
      <w:r w:rsidR="00F74CD5">
        <w:t xml:space="preserve">crystallising liquidity risk </w:t>
      </w:r>
      <w:r w:rsidR="00824B3E">
        <w:t xml:space="preserve">which </w:t>
      </w:r>
      <w:r w:rsidR="00F74CD5">
        <w:t xml:space="preserve">spread across banks. </w:t>
      </w:r>
      <w:r w:rsidR="009F2699">
        <w:t xml:space="preserve">Governments and central banks </w:t>
      </w:r>
      <w:r w:rsidR="00EA14EF">
        <w:t>i</w:t>
      </w:r>
      <w:r w:rsidR="00DB760E">
        <w:t xml:space="preserve">n many jurisdictions </w:t>
      </w:r>
      <w:r w:rsidR="009F2699">
        <w:t xml:space="preserve">around the world, including </w:t>
      </w:r>
      <w:r w:rsidR="009B2AB3">
        <w:t>Australia</w:t>
      </w:r>
      <w:r w:rsidR="00DB760E">
        <w:t xml:space="preserve">, </w:t>
      </w:r>
      <w:r w:rsidR="00F74CD5">
        <w:t>w</w:t>
      </w:r>
      <w:r w:rsidR="009B2AB3">
        <w:t>ere</w:t>
      </w:r>
      <w:r w:rsidR="00F74CD5">
        <w:t xml:space="preserve"> </w:t>
      </w:r>
      <w:r w:rsidR="005517A1">
        <w:t xml:space="preserve">required </w:t>
      </w:r>
      <w:r w:rsidR="00F74CD5">
        <w:t xml:space="preserve">to </w:t>
      </w:r>
      <w:r w:rsidR="009B2AB3">
        <w:t xml:space="preserve">support the capacity of </w:t>
      </w:r>
      <w:r w:rsidR="009F2699">
        <w:t>financial institutions</w:t>
      </w:r>
      <w:r w:rsidR="009B2AB3">
        <w:t xml:space="preserve"> to access funding.</w:t>
      </w:r>
      <w:r w:rsidR="00044390">
        <w:rPr>
          <w:rStyle w:val="FootnoteReference"/>
        </w:rPr>
        <w:footnoteReference w:id="16"/>
      </w:r>
    </w:p>
    <w:p w14:paraId="58BA5279" w14:textId="77777777" w:rsidR="009B2AB3" w:rsidRDefault="009B2AB3" w:rsidP="009126A1">
      <w:pPr>
        <w:pStyle w:val="Paragraphtext"/>
      </w:pPr>
      <w:r>
        <w:t xml:space="preserve">The events of the </w:t>
      </w:r>
      <w:r w:rsidR="005517A1">
        <w:t xml:space="preserve">global financial </w:t>
      </w:r>
      <w:r>
        <w:t>crisis highlight</w:t>
      </w:r>
      <w:r w:rsidR="00ED5C20">
        <w:t xml:space="preserve">ed the importance of </w:t>
      </w:r>
      <w:r w:rsidR="00205DCE">
        <w:t xml:space="preserve">maintaining </w:t>
      </w:r>
      <w:r w:rsidR="00ED5C20">
        <w:t>a stable funding profile</w:t>
      </w:r>
      <w:r w:rsidR="00205DCE">
        <w:t xml:space="preserve"> over time</w:t>
      </w:r>
      <w:r w:rsidR="00ED5C20">
        <w:t>.</w:t>
      </w:r>
      <w:r>
        <w:t xml:space="preserve"> </w:t>
      </w:r>
      <w:r w:rsidR="00FE49DE">
        <w:t xml:space="preserve">Where </w:t>
      </w:r>
      <w:r w:rsidR="000A3FF4">
        <w:t xml:space="preserve">a bank’s </w:t>
      </w:r>
      <w:r w:rsidR="00FE49DE">
        <w:t xml:space="preserve">assets and off-balance sheet activities are </w:t>
      </w:r>
      <w:r w:rsidR="00316B39">
        <w:t>supported by a funding</w:t>
      </w:r>
      <w:r w:rsidR="00FE49DE">
        <w:t xml:space="preserve"> portfolio </w:t>
      </w:r>
      <w:r w:rsidR="00316B39">
        <w:t xml:space="preserve">that is less likely to </w:t>
      </w:r>
      <w:r w:rsidR="00205DCE">
        <w:t>face material</w:t>
      </w:r>
      <w:r w:rsidR="00316B39">
        <w:t xml:space="preserve"> </w:t>
      </w:r>
      <w:r w:rsidR="00316B39">
        <w:lastRenderedPageBreak/>
        <w:t>ero</w:t>
      </w:r>
      <w:r w:rsidR="00205DCE">
        <w:t>sion</w:t>
      </w:r>
      <w:r w:rsidR="00316B39">
        <w:t xml:space="preserve"> during times of stress</w:t>
      </w:r>
      <w:r w:rsidR="008A36FE">
        <w:t>,</w:t>
      </w:r>
      <w:r w:rsidR="00316B39">
        <w:t xml:space="preserve"> the likelihood of failure due to </w:t>
      </w:r>
      <w:r w:rsidR="00205DCE">
        <w:t xml:space="preserve">a lack of </w:t>
      </w:r>
      <w:r w:rsidR="00316B39">
        <w:t xml:space="preserve">liquidity </w:t>
      </w:r>
      <w:r w:rsidR="00205DCE">
        <w:t xml:space="preserve">is reduced. </w:t>
      </w:r>
      <w:r w:rsidR="007B76D6">
        <w:t>S</w:t>
      </w:r>
      <w:r w:rsidR="00205DCE">
        <w:t xml:space="preserve">ustainable funding </w:t>
      </w:r>
      <w:r w:rsidR="00205DCE" w:rsidRPr="00D46B65">
        <w:t xml:space="preserve">structures </w:t>
      </w:r>
      <w:r w:rsidR="00D43D50">
        <w:t xml:space="preserve">facilitate ADIs being able to meet their financial obligations to deposit-holders and other creditors </w:t>
      </w:r>
      <w:r w:rsidR="00205DCE" w:rsidRPr="00D46B65">
        <w:t>support</w:t>
      </w:r>
      <w:r w:rsidR="00FB4E5F">
        <w:t>ing</w:t>
      </w:r>
      <w:r w:rsidR="00205DCE" w:rsidRPr="00D46B65">
        <w:t xml:space="preserve"> both the liquidity of an individual ADI and the financial system as a whole.</w:t>
      </w:r>
      <w:r w:rsidR="004F6476" w:rsidRPr="00D46B65">
        <w:t xml:space="preserve"> The Financial System Inquiry </w:t>
      </w:r>
      <w:r w:rsidR="00EA14EF">
        <w:t>Final </w:t>
      </w:r>
      <w:r w:rsidR="00D15DE8">
        <w:t xml:space="preserve">Report </w:t>
      </w:r>
      <w:r w:rsidR="004F6476" w:rsidRPr="00D46B65">
        <w:t>note</w:t>
      </w:r>
      <w:r w:rsidR="00824B3E">
        <w:t>d</w:t>
      </w:r>
      <w:r w:rsidR="004F6476" w:rsidRPr="00D46B65">
        <w:t xml:space="preserve"> that Australia’s four major banks have a large exposure to offshore funding</w:t>
      </w:r>
      <w:r w:rsidR="00490BCA">
        <w:t xml:space="preserve">. This </w:t>
      </w:r>
      <w:r w:rsidR="004F6476" w:rsidRPr="00D46B65">
        <w:t>concentration in funding means th</w:t>
      </w:r>
      <w:r w:rsidR="00490BCA">
        <w:t>at</w:t>
      </w:r>
      <w:r w:rsidR="00A02D6A">
        <w:t xml:space="preserve"> Australia ‘is susceptible to the dislocation of international funding markets or a sudden change in international sentiment towards Australia’</w:t>
      </w:r>
      <w:r w:rsidR="00416706">
        <w:t>.</w:t>
      </w:r>
      <w:r w:rsidR="00D46B65" w:rsidRPr="00D46B65">
        <w:rPr>
          <w:rStyle w:val="FootnoteReference"/>
        </w:rPr>
        <w:footnoteReference w:id="17"/>
      </w:r>
    </w:p>
    <w:p w14:paraId="3E258B4A" w14:textId="75980B38" w:rsidR="00B501A7" w:rsidRDefault="00C3759F" w:rsidP="00A465D5">
      <w:pPr>
        <w:pStyle w:val="Paragraphtext"/>
      </w:pPr>
      <w:r>
        <w:lastRenderedPageBreak/>
        <w:t xml:space="preserve">Although </w:t>
      </w:r>
      <w:r w:rsidR="00A465D5">
        <w:t>the Australian banking system</w:t>
      </w:r>
      <w:r w:rsidR="003808C1">
        <w:t xml:space="preserve"> has moved</w:t>
      </w:r>
      <w:r w:rsidR="00A465D5">
        <w:t xml:space="preserve"> towards </w:t>
      </w:r>
      <w:r>
        <w:t xml:space="preserve">adopting </w:t>
      </w:r>
      <w:r w:rsidR="00A465D5">
        <w:t xml:space="preserve">more stable funding sources since the </w:t>
      </w:r>
      <w:r w:rsidR="00875244">
        <w:t xml:space="preserve">financial </w:t>
      </w:r>
      <w:r w:rsidR="00A465D5">
        <w:t>cris</w:t>
      </w:r>
      <w:r w:rsidR="00875244">
        <w:t>i</w:t>
      </w:r>
      <w:r w:rsidR="00A465D5">
        <w:t>s, weaknesses</w:t>
      </w:r>
      <w:r>
        <w:t xml:space="preserve"> in funding</w:t>
      </w:r>
      <w:r w:rsidR="00A465D5">
        <w:t xml:space="preserve"> remain</w:t>
      </w:r>
      <w:r w:rsidR="0097688C">
        <w:t xml:space="preserve"> including significant</w:t>
      </w:r>
      <w:r w:rsidR="006F7FEC">
        <w:t xml:space="preserve"> </w:t>
      </w:r>
      <w:r w:rsidR="0097688C">
        <w:t>r</w:t>
      </w:r>
      <w:r w:rsidR="00C7478E">
        <w:t>eliance on s</w:t>
      </w:r>
      <w:r w:rsidR="000E580B">
        <w:t>hort-term offshore wholesale funding</w:t>
      </w:r>
      <w:r w:rsidR="004344A4">
        <w:t>.</w:t>
      </w:r>
      <w:r w:rsidR="00F65446" w:rsidRPr="00F65446">
        <w:t xml:space="preserve"> </w:t>
      </w:r>
      <w:r w:rsidR="00F65446">
        <w:t>It is this form of funding that</w:t>
      </w:r>
      <w:r w:rsidR="004344A4">
        <w:t xml:space="preserve"> </w:t>
      </w:r>
      <w:r w:rsidR="00C7478E">
        <w:t>is often one of the first funding sources to be withdrawn during periods of stress in financial markets</w:t>
      </w:r>
      <w:r w:rsidR="005B1331">
        <w:t>, as was demonstrated during the financial crisis</w:t>
      </w:r>
      <w:r w:rsidR="00C7478E">
        <w:t xml:space="preserve">. </w:t>
      </w:r>
      <w:r w:rsidR="00CE2EA9">
        <w:t xml:space="preserve">Where funding is withdrawn, ADIs need to find alternate funding sources in order to continue to meet their obligations. </w:t>
      </w:r>
      <w:r w:rsidR="004642CC">
        <w:t>However</w:t>
      </w:r>
      <w:r w:rsidR="005B1331">
        <w:t>,</w:t>
      </w:r>
      <w:r w:rsidR="004642CC">
        <w:t xml:space="preserve"> </w:t>
      </w:r>
      <w:r w:rsidR="00385520">
        <w:t xml:space="preserve">during periods of stress, </w:t>
      </w:r>
      <w:r w:rsidR="004642CC">
        <w:t>funding</w:t>
      </w:r>
      <w:r w:rsidR="00385520">
        <w:t xml:space="preserve"> comes at a higher cost and</w:t>
      </w:r>
      <w:r w:rsidR="004642CC">
        <w:t xml:space="preserve"> is</w:t>
      </w:r>
      <w:r w:rsidR="00CE2EA9">
        <w:t xml:space="preserve"> harder to obtain</w:t>
      </w:r>
      <w:r w:rsidR="00385520">
        <w:t>,</w:t>
      </w:r>
      <w:r w:rsidR="00CE2EA9">
        <w:t xml:space="preserve"> </w:t>
      </w:r>
      <w:r w:rsidR="00385520">
        <w:t>exposing ADIs to the risk of being unable to secure sufficient funding in time</w:t>
      </w:r>
      <w:r w:rsidR="00CE2EA9">
        <w:t>.</w:t>
      </w:r>
      <w:r w:rsidR="003369D8">
        <w:t xml:space="preserve"> </w:t>
      </w:r>
    </w:p>
    <w:p w14:paraId="03BCA634" w14:textId="7E490398" w:rsidR="0081582B" w:rsidRDefault="0081582B" w:rsidP="00A465D5">
      <w:pPr>
        <w:pStyle w:val="Paragraphtext"/>
      </w:pPr>
      <w:r>
        <w:t xml:space="preserve">Graph 1 below shows that the key sources of funding for Australian banks, including domestic deposits, short-term </w:t>
      </w:r>
      <w:r>
        <w:lastRenderedPageBreak/>
        <w:t>debt, long-term debt and equity. Domestic deposits and long-term debt funding tend to be more stable whereas short-term debt is a less-stable funding source. The stability of these funding sources will also be a function of whether the funding is wholesale or retail funding. Wholesale funding tends to be less stable as wholesale investors are typically larger, more sophisticated investors and are more likely to move their funds around in search of higher yields and will quickly move their funds if they form a view that their investment may be at risk – they are typically in a better position to assess such risks.</w:t>
      </w:r>
    </w:p>
    <w:p w14:paraId="64F34CB1" w14:textId="66005738" w:rsidR="0081582B" w:rsidRDefault="0081582B" w:rsidP="00A465D5">
      <w:pPr>
        <w:pStyle w:val="Paragraphtext"/>
      </w:pPr>
      <w:r>
        <w:t xml:space="preserve">As shown in graph 1, since the global financial crisis, ADIs have shifted towards more stable sources of funding, particularly deposits. While aggregate short-term debt has fallen as shown in graph 1, </w:t>
      </w:r>
      <w:r w:rsidR="00524D0D">
        <w:t xml:space="preserve">graph 2 shows that short-term offshore </w:t>
      </w:r>
      <w:r w:rsidR="00524D0D">
        <w:lastRenderedPageBreak/>
        <w:t xml:space="preserve">wholesale funding has increased for the major banks as a proportion of their funding base. It is this type of funding that is most vulnerable </w:t>
      </w:r>
      <w:r w:rsidR="00FC2187">
        <w:t>and subject to flight risk during a stress event as was demonstrated during the global financial crisis.</w:t>
      </w:r>
    </w:p>
    <w:p w14:paraId="4B2D6682" w14:textId="77777777" w:rsidR="005E4FE8" w:rsidRDefault="005E4FE8">
      <w:pPr>
        <w:rPr>
          <w:rFonts w:ascii="Times New Roman" w:hAnsi="Times New Roman"/>
          <w:color w:val="000000"/>
          <w:sz w:val="24"/>
          <w:szCs w:val="24"/>
        </w:rPr>
      </w:pPr>
      <w:r>
        <w:br w:type="page"/>
      </w:r>
    </w:p>
    <w:p w14:paraId="79236B01" w14:textId="63338976" w:rsidR="00A465D5" w:rsidRDefault="003369D8" w:rsidP="005E4FE8">
      <w:pPr>
        <w:pStyle w:val="RIStext"/>
      </w:pPr>
      <w:r w:rsidRPr="00DA5A2B">
        <w:lastRenderedPageBreak/>
        <w:t>Graph 1</w:t>
      </w:r>
      <w:r w:rsidR="00DA5A2B">
        <w:rPr>
          <w:rStyle w:val="FootnoteReference"/>
        </w:rPr>
        <w:footnoteReference w:id="18"/>
      </w:r>
    </w:p>
    <w:p w14:paraId="5ECD10CE" w14:textId="77777777" w:rsidR="00DA5A2B" w:rsidRDefault="00BC6EA2" w:rsidP="003369D8">
      <w:pPr>
        <w:pStyle w:val="Paragraphtext"/>
        <w:numPr>
          <w:ilvl w:val="0"/>
          <w:numId w:val="0"/>
        </w:numPr>
        <w:ind w:left="360" w:hanging="360"/>
      </w:pPr>
      <w:r>
        <w:rPr>
          <w:noProof/>
          <w:lang w:eastAsia="en-AU"/>
        </w:rPr>
        <w:lastRenderedPageBreak/>
        <w:drawing>
          <wp:inline distT="0" distB="0" distL="0" distR="0" wp14:anchorId="53109E7D" wp14:editId="48AC6356">
            <wp:extent cx="5715000" cy="5029200"/>
            <wp:effectExtent l="0" t="0" r="0" b="0"/>
            <wp:docPr id="3" name="Picture 3" descr="Graph 1 shows funding composition of banks in Australia and the share of total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wz4007\funding-composition-of-banks-in-australia.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0" cy="5029200"/>
                    </a:xfrm>
                    <a:prstGeom prst="rect">
                      <a:avLst/>
                    </a:prstGeom>
                    <a:noFill/>
                    <a:ln>
                      <a:noFill/>
                    </a:ln>
                  </pic:spPr>
                </pic:pic>
              </a:graphicData>
            </a:graphic>
          </wp:inline>
        </w:drawing>
      </w:r>
    </w:p>
    <w:p w14:paraId="2C2EBCB5" w14:textId="5D56274D" w:rsidR="0081582B" w:rsidRDefault="0081582B" w:rsidP="0081582B">
      <w:pPr>
        <w:pStyle w:val="Paragraphtext"/>
        <w:rPr>
          <w:b/>
        </w:rPr>
      </w:pPr>
      <w:r>
        <w:t xml:space="preserve">In anticipation of the new international NSFR standard, </w:t>
      </w:r>
      <w:r>
        <w:lastRenderedPageBreak/>
        <w:t>ADIs as noted above have been moving to more stable funding sources, but there is still more to do with respect to short-term offshore wholesale funding.</w:t>
      </w:r>
    </w:p>
    <w:p w14:paraId="66DB1ACB" w14:textId="77777777" w:rsidR="005E4FE8" w:rsidRDefault="005E4FE8">
      <w:pPr>
        <w:rPr>
          <w:rFonts w:ascii="Times New Roman" w:hAnsi="Times New Roman"/>
          <w:color w:val="000000"/>
          <w:sz w:val="24"/>
          <w:szCs w:val="24"/>
        </w:rPr>
      </w:pPr>
      <w:r>
        <w:br w:type="page"/>
      </w:r>
    </w:p>
    <w:p w14:paraId="7C0A8A05" w14:textId="27C25F9F" w:rsidR="0005119E" w:rsidRPr="000C2409" w:rsidRDefault="000D5C51" w:rsidP="005E4FE8">
      <w:pPr>
        <w:pStyle w:val="RIStext"/>
      </w:pPr>
      <w:r>
        <w:lastRenderedPageBreak/>
        <w:t>Graph 2</w:t>
      </w:r>
      <w:r>
        <w:rPr>
          <w:rStyle w:val="FootnoteReference"/>
          <w:b/>
        </w:rPr>
        <w:footnoteReference w:id="19"/>
      </w:r>
      <w:r>
        <w:t xml:space="preserve"> </w:t>
      </w:r>
    </w:p>
    <w:p w14:paraId="3B5DE431" w14:textId="07A1FE4A" w:rsidR="00F949AC" w:rsidRDefault="006E7A5B" w:rsidP="00F949AC">
      <w:pPr>
        <w:pStyle w:val="Paragraphtext"/>
        <w:numPr>
          <w:ilvl w:val="0"/>
          <w:numId w:val="0"/>
        </w:numPr>
        <w:ind w:left="360"/>
      </w:pPr>
      <w:r>
        <w:rPr>
          <w:noProof/>
          <w:lang w:eastAsia="en-AU"/>
        </w:rPr>
        <w:lastRenderedPageBreak/>
        <w:drawing>
          <wp:inline distT="0" distB="0" distL="0" distR="0" wp14:anchorId="0DBBAB1B" wp14:editId="2E790801">
            <wp:extent cx="5276215" cy="397129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215" cy="3971290"/>
                    </a:xfrm>
                    <a:prstGeom prst="rect">
                      <a:avLst/>
                    </a:prstGeom>
                    <a:noFill/>
                  </pic:spPr>
                </pic:pic>
              </a:graphicData>
            </a:graphic>
          </wp:inline>
        </w:drawing>
      </w:r>
    </w:p>
    <w:p w14:paraId="3D5AA394" w14:textId="424EFDED" w:rsidR="004642CC" w:rsidRPr="004642CC" w:rsidRDefault="00FE49DE" w:rsidP="004642CC">
      <w:pPr>
        <w:pStyle w:val="Paragraphtext"/>
      </w:pPr>
      <w:r>
        <w:t xml:space="preserve">The market provides limited incentive to avoid excessive reliance on less stable funding sources. </w:t>
      </w:r>
      <w:r w:rsidR="00C7478E">
        <w:t>T</w:t>
      </w:r>
      <w:r w:rsidR="005B015B">
        <w:t xml:space="preserve">he return </w:t>
      </w:r>
      <w:r w:rsidR="00C7478E">
        <w:t xml:space="preserve">available </w:t>
      </w:r>
      <w:r w:rsidR="005B015B">
        <w:t>from accepting th</w:t>
      </w:r>
      <w:r w:rsidR="00C7478E">
        <w:t>e</w:t>
      </w:r>
      <w:r w:rsidR="005B015B">
        <w:t xml:space="preserve"> risk</w:t>
      </w:r>
      <w:r w:rsidR="00C7478E">
        <w:t xml:space="preserve"> associated with short-term wholesale </w:t>
      </w:r>
      <w:r w:rsidR="00C7478E">
        <w:lastRenderedPageBreak/>
        <w:t>funding</w:t>
      </w:r>
      <w:r w:rsidR="005B015B">
        <w:t xml:space="preserve"> can be </w:t>
      </w:r>
      <w:r w:rsidR="001A169B">
        <w:t>attractive to ADIs</w:t>
      </w:r>
      <w:r w:rsidR="005B015B">
        <w:t xml:space="preserve">. </w:t>
      </w:r>
      <w:r>
        <w:t>Short-term wholesale funding</w:t>
      </w:r>
      <w:r w:rsidR="0038198E">
        <w:t xml:space="preserve"> can be </w:t>
      </w:r>
      <w:r w:rsidR="00A02D6A">
        <w:t xml:space="preserve">comparatively </w:t>
      </w:r>
      <w:r w:rsidR="0038198E">
        <w:t>cheap</w:t>
      </w:r>
      <w:r w:rsidR="00A02D6A">
        <w:t>er</w:t>
      </w:r>
      <w:r w:rsidR="0038198E">
        <w:t xml:space="preserve">, </w:t>
      </w:r>
      <w:r w:rsidR="007E7F94">
        <w:t>readily available</w:t>
      </w:r>
      <w:r w:rsidR="0038198E">
        <w:t xml:space="preserve"> </w:t>
      </w:r>
      <w:r w:rsidR="001A169B">
        <w:t xml:space="preserve">while normal conditions persist </w:t>
      </w:r>
      <w:r w:rsidR="0038198E">
        <w:t xml:space="preserve">and </w:t>
      </w:r>
      <w:r w:rsidR="003658DC">
        <w:t xml:space="preserve">exposures can be </w:t>
      </w:r>
      <w:r w:rsidR="0038198E">
        <w:t xml:space="preserve">relatively easy to </w:t>
      </w:r>
      <w:r w:rsidR="00FB0DED">
        <w:t xml:space="preserve">modify </w:t>
      </w:r>
      <w:r w:rsidR="0038198E">
        <w:t xml:space="preserve">over-time compared to other </w:t>
      </w:r>
      <w:r w:rsidR="00757A5A">
        <w:t xml:space="preserve">more stable </w:t>
      </w:r>
      <w:r w:rsidR="0038198E">
        <w:t xml:space="preserve">funding options such as deposits. </w:t>
      </w:r>
      <w:r w:rsidR="00FB0DED">
        <w:t xml:space="preserve">Short-time </w:t>
      </w:r>
      <w:r w:rsidR="007E7F94">
        <w:t xml:space="preserve">funding sources can be used to rapidly </w:t>
      </w:r>
      <w:r w:rsidR="0038198E">
        <w:t xml:space="preserve">expand </w:t>
      </w:r>
      <w:r w:rsidR="007E7F94">
        <w:t xml:space="preserve">the </w:t>
      </w:r>
      <w:r w:rsidR="0038198E">
        <w:t>assets of ADIs</w:t>
      </w:r>
      <w:r w:rsidR="003658DC">
        <w:t xml:space="preserve"> and </w:t>
      </w:r>
      <w:r w:rsidR="00FB0DED">
        <w:t xml:space="preserve">improve </w:t>
      </w:r>
      <w:r w:rsidR="003658DC">
        <w:t>the return on those assets</w:t>
      </w:r>
      <w:r w:rsidR="007E7F94">
        <w:t xml:space="preserve">. </w:t>
      </w:r>
      <w:r w:rsidR="0046775B">
        <w:t>These</w:t>
      </w:r>
      <w:r w:rsidR="004642CC">
        <w:t xml:space="preserve"> </w:t>
      </w:r>
      <w:r w:rsidR="0046775B">
        <w:t>features mean ADIs’ relatively high reliance on short-term wholesale funding will continue unless</w:t>
      </w:r>
      <w:r w:rsidR="004642CC">
        <w:t xml:space="preserve"> government </w:t>
      </w:r>
      <w:r w:rsidR="0046775B">
        <w:t>intervenes</w:t>
      </w:r>
      <w:r w:rsidR="001B23FD">
        <w:t>,</w:t>
      </w:r>
      <w:r w:rsidR="005B1331">
        <w:t xml:space="preserve"> as there i</w:t>
      </w:r>
      <w:r w:rsidR="00385520">
        <w:t>s</w:t>
      </w:r>
      <w:r w:rsidR="005B1331">
        <w:t xml:space="preserve"> </w:t>
      </w:r>
      <w:r w:rsidR="001B23FD">
        <w:t>limited</w:t>
      </w:r>
      <w:r w:rsidR="005B1331">
        <w:t xml:space="preserve"> incentive for ADIs to use more stable sources of funding</w:t>
      </w:r>
      <w:r w:rsidR="0046775B">
        <w:t>.</w:t>
      </w:r>
    </w:p>
    <w:p w14:paraId="59423D8E" w14:textId="77777777" w:rsidR="0019342A" w:rsidRPr="004642CC" w:rsidRDefault="007C5322" w:rsidP="004642CC">
      <w:pPr>
        <w:pStyle w:val="Paragraphtext"/>
      </w:pPr>
      <w:bookmarkStart w:id="1" w:name="_Ref467133898"/>
      <w:r>
        <w:t>The elements of the B</w:t>
      </w:r>
      <w:r w:rsidR="00ED5C20">
        <w:t>asel</w:t>
      </w:r>
      <w:r>
        <w:t xml:space="preserve"> III liquidity framework that have been implemented to date do not specifically </w:t>
      </w:r>
      <w:r w:rsidR="006F3922">
        <w:t>target</w:t>
      </w:r>
      <w:r w:rsidR="00710CDE">
        <w:t xml:space="preserve"> </w:t>
      </w:r>
      <w:r w:rsidR="006F3922">
        <w:t>funding mismatches.</w:t>
      </w:r>
      <w:r w:rsidR="00A75330">
        <w:t xml:space="preserve"> The </w:t>
      </w:r>
      <w:r w:rsidR="00A75330" w:rsidRPr="004642CC">
        <w:rPr>
          <w:i/>
        </w:rPr>
        <w:t>Principles for Sound Liquidity Risk Management and Supervision</w:t>
      </w:r>
      <w:r w:rsidR="00A75330" w:rsidRPr="00A75330">
        <w:t xml:space="preserve"> </w:t>
      </w:r>
      <w:r w:rsidR="00A75330">
        <w:t xml:space="preserve">inform the approach ADIs should take </w:t>
      </w:r>
      <w:r w:rsidR="00EF3A71">
        <w:lastRenderedPageBreak/>
        <w:t>in</w:t>
      </w:r>
      <w:r w:rsidR="00A75330">
        <w:t xml:space="preserve"> managing liquidity risk, while the</w:t>
      </w:r>
      <w:r w:rsidR="00A75330" w:rsidRPr="00A75330">
        <w:t xml:space="preserve"> LCR</w:t>
      </w:r>
      <w:r w:rsidR="00A75330">
        <w:t xml:space="preserve"> </w:t>
      </w:r>
      <w:r w:rsidR="00034703">
        <w:t>set</w:t>
      </w:r>
      <w:r w:rsidR="00A75330">
        <w:t xml:space="preserve">s a </w:t>
      </w:r>
      <w:r w:rsidR="00034703">
        <w:t>required level of</w:t>
      </w:r>
      <w:r w:rsidR="00A75330">
        <w:t xml:space="preserve"> liquid</w:t>
      </w:r>
      <w:r w:rsidR="00034703">
        <w:t>it</w:t>
      </w:r>
      <w:r w:rsidR="00A75330">
        <w:t xml:space="preserve">y </w:t>
      </w:r>
      <w:r w:rsidR="00034703">
        <w:t xml:space="preserve">to be held for </w:t>
      </w:r>
      <w:r w:rsidR="0050313E">
        <w:t xml:space="preserve">a </w:t>
      </w:r>
      <w:r w:rsidR="00A75330">
        <w:t>30</w:t>
      </w:r>
      <w:r w:rsidR="00875244">
        <w:t>-</w:t>
      </w:r>
      <w:r w:rsidR="00A75330">
        <w:t>day period.</w:t>
      </w:r>
      <w:r w:rsidR="00034703">
        <w:t xml:space="preserve"> </w:t>
      </w:r>
      <w:r w:rsidR="00875244">
        <w:t>The issue of</w:t>
      </w:r>
      <w:r w:rsidR="00EE3EA0">
        <w:t xml:space="preserve"> stable funding</w:t>
      </w:r>
      <w:r w:rsidR="00EF3A71">
        <w:t>,</w:t>
      </w:r>
      <w:r w:rsidR="00EE3EA0">
        <w:t xml:space="preserve"> to be held over a longer duration</w:t>
      </w:r>
      <w:r w:rsidR="00EF3A71">
        <w:t>,</w:t>
      </w:r>
      <w:r w:rsidR="00875244">
        <w:t xml:space="preserve"> has not </w:t>
      </w:r>
      <w:r w:rsidR="00FB0DED">
        <w:t xml:space="preserve">yet </w:t>
      </w:r>
      <w:r w:rsidR="00875244">
        <w:t>been addressed</w:t>
      </w:r>
      <w:r w:rsidR="00FB0DED">
        <w:t xml:space="preserve"> in the Australian financial system</w:t>
      </w:r>
      <w:r w:rsidR="00EE3EA0">
        <w:t>.</w:t>
      </w:r>
      <w:bookmarkEnd w:id="1"/>
    </w:p>
    <w:p w14:paraId="5D4053CA" w14:textId="77777777" w:rsidR="0060357C" w:rsidRPr="000C2409" w:rsidRDefault="00AA2D4E" w:rsidP="006C17FD">
      <w:pPr>
        <w:pStyle w:val="Paragraphtext"/>
        <w:rPr>
          <w:i/>
        </w:rPr>
      </w:pPr>
      <w:r w:rsidRPr="00D57EB8">
        <w:t xml:space="preserve">The </w:t>
      </w:r>
      <w:r w:rsidR="009F2DE3" w:rsidRPr="00D57EB8">
        <w:t>objective of government</w:t>
      </w:r>
      <w:r w:rsidR="00EA14EF">
        <w:t xml:space="preserve"> intervention would be</w:t>
      </w:r>
      <w:r w:rsidR="009F2DE3">
        <w:t xml:space="preserve"> to mitigate the risk of future funding stress </w:t>
      </w:r>
      <w:r w:rsidR="00173F2E">
        <w:t>for individual ADIs</w:t>
      </w:r>
      <w:r w:rsidR="00AE76EF">
        <w:t>,</w:t>
      </w:r>
      <w:r w:rsidR="00173F2E">
        <w:t xml:space="preserve"> and also to minimise</w:t>
      </w:r>
      <w:r w:rsidR="006C0E7A">
        <w:t xml:space="preserve"> </w:t>
      </w:r>
      <w:r w:rsidR="00875244">
        <w:t xml:space="preserve">the </w:t>
      </w:r>
      <w:r w:rsidR="006C0E7A">
        <w:t>potential for funding stress to erode financial market stability</w:t>
      </w:r>
      <w:r w:rsidR="009F2DE3">
        <w:t xml:space="preserve">. </w:t>
      </w:r>
      <w:r w:rsidR="00EA14EF">
        <w:t xml:space="preserve">Intervention </w:t>
      </w:r>
      <w:r w:rsidR="00AC7F37">
        <w:t>promotes cross-jurisdictional consistency in the regulation of ADIs and ensur</w:t>
      </w:r>
      <w:r w:rsidR="0097041A">
        <w:t>e</w:t>
      </w:r>
      <w:r w:rsidR="00AC7F37">
        <w:t>s that, where there are sound reasons for doing so, the Australian prudential framework remains aligned with international standards</w:t>
      </w:r>
      <w:r w:rsidR="00D57EB8">
        <w:t>. Full impl</w:t>
      </w:r>
      <w:r w:rsidR="00221FE5">
        <w:t>eme</w:t>
      </w:r>
      <w:r w:rsidR="00D57EB8">
        <w:t xml:space="preserve">ntation of Basel III is </w:t>
      </w:r>
      <w:r w:rsidR="00221FE5">
        <w:t>consistent</w:t>
      </w:r>
      <w:r w:rsidR="009F2DE3">
        <w:t xml:space="preserve"> </w:t>
      </w:r>
      <w:r w:rsidR="00173F2E">
        <w:t xml:space="preserve">with </w:t>
      </w:r>
      <w:r w:rsidR="009F2DE3" w:rsidRPr="00691CD2">
        <w:t>Australia’s G20 commitments</w:t>
      </w:r>
      <w:r w:rsidR="009F2DE3">
        <w:t>.</w:t>
      </w:r>
    </w:p>
    <w:p w14:paraId="07DB591C" w14:textId="7051E085" w:rsidR="00DD5C81" w:rsidRPr="00A7671D" w:rsidRDefault="00DD5C81" w:rsidP="006C17FD">
      <w:pPr>
        <w:pStyle w:val="Paragraphtext"/>
        <w:rPr>
          <w:i/>
        </w:rPr>
      </w:pPr>
      <w:bookmarkStart w:id="2" w:name="_Ref467232270"/>
      <w:r>
        <w:t xml:space="preserve">The specific decision about how best to implement the Basel </w:t>
      </w:r>
      <w:r>
        <w:lastRenderedPageBreak/>
        <w:t>NSFR standard</w:t>
      </w:r>
      <w:r w:rsidR="0031120F">
        <w:t>, and the options for consideration,</w:t>
      </w:r>
      <w:r>
        <w:t xml:space="preserve"> requires consideration of the different types of ADIs</w:t>
      </w:r>
      <w:r w:rsidR="005F5DB5">
        <w:t xml:space="preserve"> that operate in Australia</w:t>
      </w:r>
      <w:r w:rsidR="00773C2F">
        <w:t xml:space="preserve">. ADIs can be broadly classified as larger, more complex ADIs or </w:t>
      </w:r>
      <w:r w:rsidR="00C2261B">
        <w:t>smaller</w:t>
      </w:r>
      <w:r w:rsidR="00773C2F">
        <w:t>, less complex ADIs. The distinction reflects not only size but that fact that at the larger end of the market the business of ADIs tends to be broader and includes operations beyond simple deposit-taking and lending</w:t>
      </w:r>
      <w:r w:rsidR="005F5DB5">
        <w:t xml:space="preserve">. In addition, </w:t>
      </w:r>
      <w:r w:rsidR="003D5CCE">
        <w:t xml:space="preserve">the nature of customers </w:t>
      </w:r>
      <w:r w:rsidR="005F5DB5">
        <w:t>an</w:t>
      </w:r>
      <w:r w:rsidR="003D5CCE">
        <w:t xml:space="preserve"> ADI </w:t>
      </w:r>
      <w:r w:rsidR="005F5DB5">
        <w:t xml:space="preserve">typically </w:t>
      </w:r>
      <w:r w:rsidR="003D5CCE">
        <w:t>deals with</w:t>
      </w:r>
      <w:r w:rsidR="005F5DB5">
        <w:t xml:space="preserve"> will vary with size</w:t>
      </w:r>
      <w:r w:rsidR="00773C2F">
        <w:t xml:space="preserve">. The larger end of the market is typically more reliant on wholesale funding from offshore markets given the Australian domestic financial markets </w:t>
      </w:r>
      <w:r w:rsidR="005F5DB5">
        <w:t>tend not to</w:t>
      </w:r>
      <w:r w:rsidR="00773C2F">
        <w:t xml:space="preserve"> have sufficient liquidity for th</w:t>
      </w:r>
      <w:r w:rsidR="002B15F3">
        <w:t>eir</w:t>
      </w:r>
      <w:r w:rsidR="00773C2F">
        <w:t xml:space="preserve"> purpose</w:t>
      </w:r>
      <w:r w:rsidR="002B15F3">
        <w:t>s</w:t>
      </w:r>
      <w:r w:rsidR="00773C2F">
        <w:t>. Smaller, less complex ADIs can typically rely, to a large extent</w:t>
      </w:r>
      <w:r w:rsidR="003D5CCE">
        <w:t>,</w:t>
      </w:r>
      <w:r w:rsidR="00773C2F">
        <w:t xml:space="preserve"> on their deposit base to fund </w:t>
      </w:r>
      <w:r w:rsidR="003D5CCE">
        <w:t>their lending activities</w:t>
      </w:r>
      <w:r w:rsidR="00773C2F">
        <w:t xml:space="preserve">. The existing designation of liquidity coverage ratio (LCR) ADIs tends to capture those </w:t>
      </w:r>
      <w:r w:rsidR="00773C2F">
        <w:lastRenderedPageBreak/>
        <w:t>ADIs that have larger, more complex operations</w:t>
      </w:r>
      <w:r w:rsidR="003D5CCE">
        <w:t xml:space="preserve"> and which typically </w:t>
      </w:r>
      <w:r w:rsidR="00BC6EA2">
        <w:t xml:space="preserve">access </w:t>
      </w:r>
      <w:r w:rsidR="003D5CCE">
        <w:t>international</w:t>
      </w:r>
      <w:r w:rsidR="00BC6EA2">
        <w:t xml:space="preserve"> capital</w:t>
      </w:r>
      <w:r w:rsidR="003D5CCE">
        <w:t xml:space="preserve"> markets</w:t>
      </w:r>
      <w:r w:rsidR="007A1DB2">
        <w:t xml:space="preserve"> whereas the minimum liquid holdings approach is appropriate for smaller, less complex ADIs</w:t>
      </w:r>
      <w:r w:rsidR="00773C2F">
        <w:t>.</w:t>
      </w:r>
      <w:r w:rsidR="0031120F">
        <w:rPr>
          <w:rStyle w:val="FootnoteReference"/>
        </w:rPr>
        <w:footnoteReference w:id="20"/>
      </w:r>
      <w:r w:rsidR="0031120F">
        <w:t xml:space="preserve"> </w:t>
      </w:r>
      <w:r w:rsidR="008822A0">
        <w:t xml:space="preserve">In considering </w:t>
      </w:r>
      <w:r w:rsidR="003D5CCE">
        <w:t>the options for application of the NSFR</w:t>
      </w:r>
      <w:r w:rsidR="008822A0">
        <w:t>, APRA has taken into account that</w:t>
      </w:r>
      <w:r w:rsidR="00A7671D">
        <w:t>:</w:t>
      </w:r>
      <w:bookmarkEnd w:id="2"/>
    </w:p>
    <w:p w14:paraId="04F629CB" w14:textId="77777777" w:rsidR="00526C19" w:rsidRPr="00526C19" w:rsidRDefault="00526C19" w:rsidP="0017035D">
      <w:pPr>
        <w:pStyle w:val="Paragraphtext"/>
        <w:numPr>
          <w:ilvl w:val="0"/>
          <w:numId w:val="13"/>
        </w:numPr>
        <w:ind w:left="851" w:hanging="425"/>
      </w:pPr>
      <w:r w:rsidRPr="00526C19">
        <w:t xml:space="preserve">the NSFR is designed to promote financial safety by ensuring that ADIs maintain a stable funding profile relative to their on- and off-balance sheet activities. This reduces the possibility that disruptions to funding could undermine an ADI’s liquidity position, and in so doing offers benefits to the Australian community by improving the capacity of </w:t>
      </w:r>
      <w:r w:rsidRPr="00526C19">
        <w:lastRenderedPageBreak/>
        <w:t xml:space="preserve">ADIs to continue to operate even in stressed conditions; </w:t>
      </w:r>
    </w:p>
    <w:p w14:paraId="72AE0112" w14:textId="5CFBBBDC" w:rsidR="00526C19" w:rsidRPr="00526C19" w:rsidRDefault="00526C19" w:rsidP="0017035D">
      <w:pPr>
        <w:pStyle w:val="Paragraphtext"/>
        <w:numPr>
          <w:ilvl w:val="0"/>
          <w:numId w:val="13"/>
        </w:numPr>
        <w:ind w:left="851" w:hanging="425"/>
      </w:pPr>
      <w:r w:rsidRPr="00526C19">
        <w:t xml:space="preserve">for ADIs that access international </w:t>
      </w:r>
      <w:r w:rsidR="00BC6EA2">
        <w:t>capital</w:t>
      </w:r>
      <w:r w:rsidRPr="00526C19">
        <w:t xml:space="preserve"> markets, ensuring they meet internationally agreed liquidity standards may be an important consideration when competing for funding with other internationally</w:t>
      </w:r>
      <w:r w:rsidR="002B15F3">
        <w:t xml:space="preserve"> </w:t>
      </w:r>
      <w:r w:rsidRPr="00526C19">
        <w:t xml:space="preserve">active banks; </w:t>
      </w:r>
    </w:p>
    <w:p w14:paraId="186C15D0" w14:textId="77777777" w:rsidR="00526C19" w:rsidRPr="00526C19" w:rsidRDefault="00526C19" w:rsidP="0017035D">
      <w:pPr>
        <w:pStyle w:val="Paragraphtext"/>
        <w:numPr>
          <w:ilvl w:val="0"/>
          <w:numId w:val="13"/>
        </w:numPr>
        <w:ind w:left="851" w:hanging="425"/>
      </w:pPr>
      <w:r w:rsidRPr="00526C19">
        <w:t>in the context of the Australian banking system’s reliance on funding sourced from offshore, by assisting with improving the resilience of larger, more complex ADIs, the NSFR will help to promote financial stability;</w:t>
      </w:r>
      <w:r w:rsidR="00AD4396">
        <w:t xml:space="preserve"> and</w:t>
      </w:r>
    </w:p>
    <w:p w14:paraId="058D9339" w14:textId="72209B8D" w:rsidR="00526C19" w:rsidRDefault="00526C19" w:rsidP="0017035D">
      <w:pPr>
        <w:pStyle w:val="Paragraphtext"/>
        <w:numPr>
          <w:ilvl w:val="0"/>
          <w:numId w:val="13"/>
        </w:numPr>
        <w:ind w:left="851" w:hanging="425"/>
      </w:pPr>
      <w:r w:rsidRPr="00526C19">
        <w:t xml:space="preserve">the </w:t>
      </w:r>
      <w:r w:rsidR="008822A0">
        <w:t xml:space="preserve">Basel </w:t>
      </w:r>
      <w:r w:rsidRPr="00526C19">
        <w:t>NSFR is</w:t>
      </w:r>
      <w:r w:rsidR="008822A0">
        <w:t xml:space="preserve"> at a minimum</w:t>
      </w:r>
      <w:r w:rsidRPr="00526C19">
        <w:t xml:space="preserve"> proposed to apply to larger, more complex ADIs. </w:t>
      </w:r>
      <w:r w:rsidR="00AD4396">
        <w:t>APRA’s options consider application to both larger</w:t>
      </w:r>
      <w:r w:rsidRPr="00526C19">
        <w:t>,</w:t>
      </w:r>
      <w:r w:rsidR="00AD4396">
        <w:t xml:space="preserve"> complex ADIs as well as extend</w:t>
      </w:r>
      <w:r w:rsidR="00AD4396">
        <w:lastRenderedPageBreak/>
        <w:t>ing the NSFR to those</w:t>
      </w:r>
      <w:r w:rsidRPr="00526C19">
        <w:t xml:space="preserve"> ADIs with simpler retail-based business models. APRA is of the view that adopting a proportionate approach to the implementation of the NSFR will result in enhanced efficiencies, and minimise the regulatory burden, in the financial system</w:t>
      </w:r>
      <w:r w:rsidR="00AD4396">
        <w:t>.</w:t>
      </w:r>
      <w:r w:rsidR="00FD4CE0">
        <w:t xml:space="preserve"> Given the funding requirements of smaller ADIs </w:t>
      </w:r>
      <w:r w:rsidR="00362C99">
        <w:t>are</w:t>
      </w:r>
      <w:r w:rsidR="00FD4CE0">
        <w:t xml:space="preserve"> largely met by more stable retail deposits, </w:t>
      </w:r>
      <w:r w:rsidR="00362C99">
        <w:t xml:space="preserve">the imposition of the NSFR on these ADIs would impose additional regulatory burden without </w:t>
      </w:r>
      <w:r w:rsidR="001F33F3">
        <w:t>improving financial safety, in this case funding resilience.</w:t>
      </w:r>
      <w:r w:rsidR="00362C99">
        <w:t xml:space="preserve"> </w:t>
      </w:r>
    </w:p>
    <w:p w14:paraId="2355B033" w14:textId="77777777" w:rsidR="00AD4396" w:rsidRDefault="00AD4396" w:rsidP="00AD4396">
      <w:pPr>
        <w:pStyle w:val="Paragraphtext"/>
      </w:pPr>
      <w:r>
        <w:t>APRA</w:t>
      </w:r>
      <w:r w:rsidR="003D5CCE">
        <w:t>,</w:t>
      </w:r>
      <w:r>
        <w:t xml:space="preserve"> in deciding the most appropriate option</w:t>
      </w:r>
      <w:r w:rsidR="003D5CCE">
        <w:t>,</w:t>
      </w:r>
      <w:r>
        <w:t xml:space="preserve"> seeks to balance the objectives of financial safety and efficiency, competition, contestability and competitive neutrality whilst promoting financial stability</w:t>
      </w:r>
      <w:r w:rsidR="005F5DB5">
        <w:t xml:space="preserve"> taken into account the factors outlined in paragraph </w:t>
      </w:r>
      <w:r w:rsidR="0005119E">
        <w:fldChar w:fldCharType="begin"/>
      </w:r>
      <w:r w:rsidR="00393E28">
        <w:instrText xml:space="preserve"> REF _Ref467232270 \r \h </w:instrText>
      </w:r>
      <w:r w:rsidR="0005119E">
        <w:fldChar w:fldCharType="separate"/>
      </w:r>
      <w:r w:rsidR="002F4A58">
        <w:t>23</w:t>
      </w:r>
      <w:r w:rsidR="0005119E">
        <w:fldChar w:fldCharType="end"/>
      </w:r>
      <w:r w:rsidR="005F5DB5">
        <w:t xml:space="preserve"> above</w:t>
      </w:r>
      <w:r>
        <w:t>.</w:t>
      </w:r>
    </w:p>
    <w:p w14:paraId="29555ABD" w14:textId="77777777" w:rsidR="009126A1" w:rsidRDefault="00221FE5" w:rsidP="005E4FE8">
      <w:pPr>
        <w:pStyle w:val="RISHeader4"/>
      </w:pPr>
      <w:r>
        <w:lastRenderedPageBreak/>
        <w:t>L</w:t>
      </w:r>
      <w:r w:rsidR="00B87588">
        <w:t>iquid assets requirement</w:t>
      </w:r>
      <w:r w:rsidR="007C5322">
        <w:t xml:space="preserve"> </w:t>
      </w:r>
      <w:r>
        <w:t xml:space="preserve">for </w:t>
      </w:r>
      <w:r w:rsidR="007C5322">
        <w:t>foreign ADIs</w:t>
      </w:r>
    </w:p>
    <w:p w14:paraId="4A86BFB4" w14:textId="77777777" w:rsidR="008A60B6" w:rsidRDefault="00971416" w:rsidP="00311FC0">
      <w:pPr>
        <w:pStyle w:val="Paragraphtext"/>
      </w:pPr>
      <w:r>
        <w:t>A</w:t>
      </w:r>
      <w:r w:rsidR="00B955E8">
        <w:t>PRA has applied a</w:t>
      </w:r>
      <w:r>
        <w:t xml:space="preserve"> reduced LCR to foreign ADIs</w:t>
      </w:r>
      <w:r w:rsidR="008A60B6">
        <w:t xml:space="preserve"> (</w:t>
      </w:r>
      <w:r w:rsidR="00EA14EF">
        <w:t xml:space="preserve">a </w:t>
      </w:r>
      <w:r w:rsidR="008A60B6">
        <w:t xml:space="preserve">40 per cent </w:t>
      </w:r>
      <w:r w:rsidR="00EA14EF">
        <w:t xml:space="preserve">minimum </w:t>
      </w:r>
      <w:r>
        <w:t>compared to a</w:t>
      </w:r>
      <w:r w:rsidR="00EA14EF">
        <w:t xml:space="preserve"> </w:t>
      </w:r>
      <w:r>
        <w:t>100 per cent</w:t>
      </w:r>
      <w:r w:rsidR="00EF3A71">
        <w:t xml:space="preserve"> minimum</w:t>
      </w:r>
      <w:r>
        <w:t xml:space="preserve"> for other </w:t>
      </w:r>
      <w:r w:rsidR="008A60B6">
        <w:t xml:space="preserve">ADIs that need to satisfy </w:t>
      </w:r>
      <w:r w:rsidR="00221FE5">
        <w:t xml:space="preserve">an LCR </w:t>
      </w:r>
      <w:r w:rsidR="00EA14EF">
        <w:t>requirement). This</w:t>
      </w:r>
      <w:r w:rsidR="008A60B6">
        <w:t xml:space="preserve"> concession has been established in recognition of foreign ADIs’ difficulties in meeting the </w:t>
      </w:r>
      <w:r w:rsidR="00EF3A71">
        <w:t xml:space="preserve">100 per cent </w:t>
      </w:r>
      <w:r w:rsidR="008A60B6">
        <w:t xml:space="preserve">liquid assets requirement </w:t>
      </w:r>
      <w:r w:rsidR="00221FE5">
        <w:t xml:space="preserve">and noting the nature of their operations </w:t>
      </w:r>
      <w:r w:rsidR="007E0682">
        <w:t>is</w:t>
      </w:r>
      <w:r w:rsidR="00221FE5">
        <w:t xml:space="preserve"> different to locally</w:t>
      </w:r>
      <w:r w:rsidR="004E1B75">
        <w:t xml:space="preserve"> </w:t>
      </w:r>
      <w:r w:rsidR="00221FE5">
        <w:t>incorporated ADIs.</w:t>
      </w:r>
      <w:r w:rsidR="00D43D50" w:rsidRPr="00D43D50">
        <w:t xml:space="preserve"> </w:t>
      </w:r>
      <w:r w:rsidR="00D43D50">
        <w:t>At the time of implementation, APRA noted the 40 per cent LCR was an interim measure and that it would consult on a permanent liquid assets requirement for foreign ADIs in 2015.</w:t>
      </w:r>
      <w:r w:rsidR="00AD4396">
        <w:t xml:space="preserve"> A </w:t>
      </w:r>
      <w:r w:rsidR="00AD4396" w:rsidRPr="00526C19">
        <w:t xml:space="preserve">modified liquid assets requirement for foreign ADIs recognises that a foreign ADI </w:t>
      </w:r>
      <w:r w:rsidR="00AD4396" w:rsidRPr="00F45A6D">
        <w:t xml:space="preserve">is able to place </w:t>
      </w:r>
      <w:r w:rsidR="002B15F3">
        <w:t>a high degree of</w:t>
      </w:r>
      <w:r w:rsidR="00AD4396" w:rsidRPr="00F45A6D">
        <w:t xml:space="preserve"> reliance on the liquidity of the broader banking group of which it </w:t>
      </w:r>
      <w:r w:rsidR="00C94C34">
        <w:t>is</w:t>
      </w:r>
      <w:r w:rsidR="00AD4396" w:rsidRPr="00F45A6D">
        <w:t xml:space="preserve"> a part</w:t>
      </w:r>
      <w:r w:rsidR="002B15F3">
        <w:t xml:space="preserve"> but in a crisis this liquidity may </w:t>
      </w:r>
      <w:r w:rsidR="002B15F3">
        <w:lastRenderedPageBreak/>
        <w:t>not necessarily be available</w:t>
      </w:r>
      <w:r w:rsidR="00D839F7">
        <w:t xml:space="preserve"> to the branch</w:t>
      </w:r>
      <w:r w:rsidR="00AD4396" w:rsidRPr="00F45A6D">
        <w:t>. Such recognition promotes a competitive and efficient Australian financial system, without unduly compromising financial safety</w:t>
      </w:r>
      <w:r w:rsidR="00AD4396">
        <w:t>.</w:t>
      </w:r>
    </w:p>
    <w:p w14:paraId="2E753B53" w14:textId="77777777" w:rsidR="00693ECC" w:rsidRDefault="00F10D9A" w:rsidP="00311FC0">
      <w:pPr>
        <w:pStyle w:val="Paragraphtext"/>
      </w:pPr>
      <w:r w:rsidRPr="00D57EB8">
        <w:t>The objective of government</w:t>
      </w:r>
      <w:r w:rsidR="007E0682">
        <w:t xml:space="preserve"> intervention would be</w:t>
      </w:r>
      <w:r>
        <w:t xml:space="preserve"> to </w:t>
      </w:r>
      <w:r w:rsidR="007E0682">
        <w:t>determine an</w:t>
      </w:r>
      <w:r w:rsidR="00693ECC">
        <w:t xml:space="preserve"> appropriate ongoing liquid asse</w:t>
      </w:r>
      <w:r w:rsidR="005D7BB6">
        <w:t>t</w:t>
      </w:r>
      <w:r w:rsidR="00693ECC">
        <w:t xml:space="preserve">s requirement </w:t>
      </w:r>
      <w:r w:rsidR="00173F2E">
        <w:t xml:space="preserve">that is </w:t>
      </w:r>
      <w:r w:rsidR="004E1B75">
        <w:t xml:space="preserve">well suited </w:t>
      </w:r>
      <w:r w:rsidR="00173F2E">
        <w:t>to the business of</w:t>
      </w:r>
      <w:r w:rsidR="0099096C">
        <w:t xml:space="preserve"> </w:t>
      </w:r>
      <w:r w:rsidR="00693ECC">
        <w:t xml:space="preserve">foreign </w:t>
      </w:r>
      <w:r w:rsidR="0099096C">
        <w:t>ADIs</w:t>
      </w:r>
      <w:r w:rsidR="007E0682">
        <w:t xml:space="preserve"> and </w:t>
      </w:r>
      <w:r w:rsidR="00CB226E">
        <w:t>better</w:t>
      </w:r>
      <w:r w:rsidR="0099096C">
        <w:t xml:space="preserve"> </w:t>
      </w:r>
      <w:r w:rsidR="00CB226E">
        <w:t>prepare</w:t>
      </w:r>
      <w:r w:rsidR="007E0682">
        <w:t>s them</w:t>
      </w:r>
      <w:r w:rsidR="0099096C">
        <w:t xml:space="preserve"> to </w:t>
      </w:r>
      <w:r w:rsidR="00693ECC">
        <w:t xml:space="preserve">withstand </w:t>
      </w:r>
      <w:r w:rsidR="0099096C">
        <w:t>a severe liquidity stress event.</w:t>
      </w:r>
    </w:p>
    <w:p w14:paraId="6271BE4F" w14:textId="77777777" w:rsidR="0049710B" w:rsidRDefault="00AA2D4E" w:rsidP="00916171">
      <w:pPr>
        <w:pStyle w:val="RISHeader3"/>
      </w:pPr>
      <w:r w:rsidRPr="00AA2D4E">
        <w:t>Policy options</w:t>
      </w:r>
      <w:r w:rsidR="00B565AD">
        <w:t xml:space="preserve"> and comparative net benefits</w:t>
      </w:r>
    </w:p>
    <w:p w14:paraId="409ED0C3" w14:textId="77777777" w:rsidR="00FC5E02" w:rsidRDefault="00FC5E02" w:rsidP="003C75B5">
      <w:pPr>
        <w:pStyle w:val="Paragraphtext"/>
        <w:keepNext/>
        <w:widowControl/>
      </w:pPr>
      <w:r>
        <w:t>APRA</w:t>
      </w:r>
      <w:r w:rsidR="00577C22">
        <w:t>’s options for</w:t>
      </w:r>
      <w:r w:rsidR="00BF7E9D">
        <w:t xml:space="preserve"> </w:t>
      </w:r>
      <w:r w:rsidR="009E6A04">
        <w:t>implement</w:t>
      </w:r>
      <w:r w:rsidR="00577C22">
        <w:t>ing</w:t>
      </w:r>
      <w:r w:rsidR="009E6A04">
        <w:t xml:space="preserve"> </w:t>
      </w:r>
      <w:r>
        <w:t xml:space="preserve">the </w:t>
      </w:r>
      <w:r w:rsidR="00EE1F8B">
        <w:t>NSFR</w:t>
      </w:r>
      <w:r>
        <w:t xml:space="preserve"> propose </w:t>
      </w:r>
      <w:r w:rsidR="00C048A4">
        <w:t xml:space="preserve">targeted </w:t>
      </w:r>
      <w:r>
        <w:t xml:space="preserve">changes to </w:t>
      </w:r>
      <w:r w:rsidR="00643981">
        <w:t xml:space="preserve">APS 210 </w:t>
      </w:r>
      <w:r>
        <w:t xml:space="preserve">and </w:t>
      </w:r>
      <w:r w:rsidR="00643981">
        <w:t>ARS 210</w:t>
      </w:r>
      <w:r>
        <w:t xml:space="preserve">. </w:t>
      </w:r>
      <w:r w:rsidR="00C048A4">
        <w:t>Each option</w:t>
      </w:r>
      <w:r>
        <w:t xml:space="preserve"> </w:t>
      </w:r>
      <w:r w:rsidR="00C048A4">
        <w:t xml:space="preserve">and the related net benefits </w:t>
      </w:r>
      <w:r w:rsidR="009E6A04">
        <w:t>are outlined below.</w:t>
      </w:r>
    </w:p>
    <w:p w14:paraId="27BBB08B" w14:textId="77777777" w:rsidR="00F3199E" w:rsidRPr="00F3199E" w:rsidRDefault="00F3199E" w:rsidP="005E4FE8">
      <w:pPr>
        <w:pStyle w:val="RISHeader4"/>
      </w:pPr>
      <w:r w:rsidRPr="00F3199E">
        <w:t>Status quo option</w:t>
      </w:r>
    </w:p>
    <w:p w14:paraId="667086F5" w14:textId="698588CC" w:rsidR="00DF65B2" w:rsidRDefault="00DF65B2" w:rsidP="006573C7">
      <w:pPr>
        <w:pStyle w:val="Paragraphtext"/>
      </w:pPr>
      <w:r>
        <w:t>APRA notes that</w:t>
      </w:r>
      <w:r w:rsidR="003B67FC">
        <w:t xml:space="preserve"> it does not consider</w:t>
      </w:r>
      <w:r>
        <w:t xml:space="preserve"> the status quo</w:t>
      </w:r>
      <w:r w:rsidR="003B67FC">
        <w:t xml:space="preserve"> of not </w:t>
      </w:r>
      <w:r w:rsidR="003B67FC">
        <w:lastRenderedPageBreak/>
        <w:t>implementing the NSFR to be</w:t>
      </w:r>
      <w:r w:rsidR="00CC2A63">
        <w:t xml:space="preserve"> an option</w:t>
      </w:r>
      <w:r w:rsidR="00B955E8">
        <w:t xml:space="preserve">. </w:t>
      </w:r>
      <w:r>
        <w:t>Australia</w:t>
      </w:r>
      <w:r w:rsidR="00B955E8">
        <w:t>,</w:t>
      </w:r>
      <w:r>
        <w:t xml:space="preserve"> as a member of the G20, has committed to implement the </w:t>
      </w:r>
      <w:r w:rsidR="00F10951">
        <w:t xml:space="preserve">Basel III </w:t>
      </w:r>
      <w:r>
        <w:t>framework</w:t>
      </w:r>
      <w:r w:rsidR="00F10951">
        <w:t>,</w:t>
      </w:r>
      <w:r>
        <w:t xml:space="preserve"> </w:t>
      </w:r>
      <w:r w:rsidR="00CC2A63">
        <w:t xml:space="preserve">including the Basel </w:t>
      </w:r>
      <w:r w:rsidR="006C79FD">
        <w:t>liquidity</w:t>
      </w:r>
      <w:r w:rsidR="00CC2A63">
        <w:t xml:space="preserve"> framework</w:t>
      </w:r>
      <w:r w:rsidR="003B67FC">
        <w:t>.</w:t>
      </w:r>
      <w:r w:rsidR="00976CF2">
        <w:t xml:space="preserve"> Maintaining the status quo would </w:t>
      </w:r>
      <w:r w:rsidR="003C2C2D">
        <w:t xml:space="preserve">result in </w:t>
      </w:r>
      <w:r w:rsidR="00976CF2">
        <w:t>Australia not meet</w:t>
      </w:r>
      <w:r w:rsidR="003C2C2D">
        <w:t>ing</w:t>
      </w:r>
      <w:r w:rsidR="00976CF2">
        <w:t xml:space="preserve"> its international obligations as agreed to by the Australian Government as a member of the G20. It would also mean that </w:t>
      </w:r>
      <w:r w:rsidR="00045342">
        <w:t>Australian</w:t>
      </w:r>
      <w:r w:rsidR="00976CF2">
        <w:t xml:space="preserve"> banks would </w:t>
      </w:r>
      <w:r w:rsidR="003C2C2D">
        <w:t xml:space="preserve">likely </w:t>
      </w:r>
      <w:r w:rsidR="00D8192C">
        <w:t xml:space="preserve">be disadvantaged </w:t>
      </w:r>
      <w:r w:rsidR="00D8192C" w:rsidRPr="00671F63">
        <w:rPr>
          <w:i/>
        </w:rPr>
        <w:t>vis-à-vis</w:t>
      </w:r>
      <w:r w:rsidR="00D8192C">
        <w:t xml:space="preserve"> other banks </w:t>
      </w:r>
      <w:r w:rsidR="00976CF2">
        <w:t>seeking funding in international markets, including higher funding costs, if they did not meet an international</w:t>
      </w:r>
      <w:r w:rsidR="00D8192C">
        <w:t>ly agreed framework.</w:t>
      </w:r>
    </w:p>
    <w:p w14:paraId="05F64344" w14:textId="77777777" w:rsidR="00732165" w:rsidRDefault="00732165" w:rsidP="00643981">
      <w:pPr>
        <w:pStyle w:val="Paragraphtext"/>
      </w:pPr>
      <w:r>
        <w:t xml:space="preserve">APRA’s review of the liquid assets requirement for foreign ADIs considers the existing </w:t>
      </w:r>
      <w:r w:rsidR="00447D61">
        <w:t xml:space="preserve">requirement </w:t>
      </w:r>
      <w:r>
        <w:t>as reflected in APS 210 and ARS 210</w:t>
      </w:r>
      <w:r w:rsidR="006643B0">
        <w:t>,</w:t>
      </w:r>
      <w:r>
        <w:t xml:space="preserve"> and options for potential adjustments to this arrangement.</w:t>
      </w:r>
      <w:r w:rsidRPr="00732165">
        <w:t xml:space="preserve"> </w:t>
      </w:r>
      <w:r>
        <w:t xml:space="preserve">Each option and the related </w:t>
      </w:r>
      <w:r w:rsidR="00635EEA">
        <w:t xml:space="preserve">costs, benefits and </w:t>
      </w:r>
      <w:r>
        <w:lastRenderedPageBreak/>
        <w:t xml:space="preserve">net </w:t>
      </w:r>
      <w:r w:rsidR="00635EEA">
        <w:t xml:space="preserve">impact </w:t>
      </w:r>
      <w:r>
        <w:t>are outlined below.</w:t>
      </w:r>
    </w:p>
    <w:p w14:paraId="537F4E82" w14:textId="77777777" w:rsidR="00643981" w:rsidRDefault="00643981" w:rsidP="00643981">
      <w:pPr>
        <w:pStyle w:val="Paragraphtext"/>
      </w:pPr>
      <w:r w:rsidRPr="00107290">
        <w:t>The net benefits for each policy option are considered in respect of ADIs</w:t>
      </w:r>
      <w:r w:rsidR="00107290">
        <w:t>, deposit-holders</w:t>
      </w:r>
      <w:r w:rsidRPr="00107290">
        <w:t xml:space="preserve"> </w:t>
      </w:r>
      <w:r w:rsidR="00107290">
        <w:t>and other creditors</w:t>
      </w:r>
      <w:r w:rsidR="003B6714">
        <w:t>,</w:t>
      </w:r>
      <w:r w:rsidRPr="00107290">
        <w:t xml:space="preserve"> </w:t>
      </w:r>
      <w:r w:rsidR="003B6714">
        <w:t xml:space="preserve">other consumers, </w:t>
      </w:r>
      <w:r w:rsidR="00262D48">
        <w:t xml:space="preserve">financial </w:t>
      </w:r>
      <w:r w:rsidRPr="00107290">
        <w:t>market participants</w:t>
      </w:r>
      <w:r w:rsidR="003B6714">
        <w:t xml:space="preserve"> and </w:t>
      </w:r>
      <w:r w:rsidR="00F3376F">
        <w:t>g</w:t>
      </w:r>
      <w:r w:rsidR="00F65432">
        <w:t>overnment</w:t>
      </w:r>
      <w:r w:rsidRPr="00107290">
        <w:t xml:space="preserve">. </w:t>
      </w:r>
      <w:r w:rsidR="00262D48">
        <w:t>While the proposals have direct business impacts on ADIs, other stakeholders benefit from prudent liquidity management within ADIs and can be indirectly impacted through changes in the service offering and operations of ADIs.</w:t>
      </w:r>
    </w:p>
    <w:p w14:paraId="55F3C404" w14:textId="77777777" w:rsidR="00393BBA" w:rsidRPr="00107290" w:rsidRDefault="00393BBA" w:rsidP="00393BBA">
      <w:pPr>
        <w:pStyle w:val="Paragraphtext"/>
      </w:pPr>
      <w:r w:rsidRPr="00293927">
        <w:t>APRA request</w:t>
      </w:r>
      <w:r w:rsidR="00E30C14">
        <w:t>ed</w:t>
      </w:r>
      <w:r>
        <w:t xml:space="preserve">, as part of consultation, </w:t>
      </w:r>
      <w:r w:rsidRPr="00293927">
        <w:t xml:space="preserve">that </w:t>
      </w:r>
      <w:r w:rsidR="000E11EE">
        <w:t xml:space="preserve">stakeholders </w:t>
      </w:r>
      <w:r w:rsidRPr="00293927">
        <w:t xml:space="preserve">provide information on the compliance impact </w:t>
      </w:r>
      <w:r w:rsidR="000D0589">
        <w:t xml:space="preserve">and associated costs </w:t>
      </w:r>
      <w:r w:rsidRPr="00293927">
        <w:t xml:space="preserve">of </w:t>
      </w:r>
      <w:r w:rsidR="000E11EE">
        <w:t>proposed options</w:t>
      </w:r>
      <w:r w:rsidRPr="00293927">
        <w:t>.</w:t>
      </w:r>
      <w:r>
        <w:t xml:space="preserve"> This information </w:t>
      </w:r>
      <w:r w:rsidR="00B23A55">
        <w:t xml:space="preserve">would </w:t>
      </w:r>
      <w:r>
        <w:t xml:space="preserve">be used by APRA to </w:t>
      </w:r>
      <w:r w:rsidR="00B23A55" w:rsidRPr="00B23A55">
        <w:t>quantify the change in regulatory burden using the Regulatory Burden Measurement framework</w:t>
      </w:r>
      <w:r w:rsidR="00B23A55">
        <w:t xml:space="preserve"> and </w:t>
      </w:r>
      <w:r>
        <w:t>inform final calculations of the net impact of the proposals.</w:t>
      </w:r>
    </w:p>
    <w:p w14:paraId="03B3B1C9" w14:textId="77777777" w:rsidR="00710CDE" w:rsidRDefault="00710CDE" w:rsidP="00324791">
      <w:pPr>
        <w:pStyle w:val="RISHeader4"/>
      </w:pPr>
      <w:r w:rsidRPr="00710CDE">
        <w:lastRenderedPageBreak/>
        <w:t xml:space="preserve">Net </w:t>
      </w:r>
      <w:r w:rsidR="009F508D">
        <w:t>s</w:t>
      </w:r>
      <w:r w:rsidR="009F508D" w:rsidRPr="00710CDE">
        <w:t xml:space="preserve">table </w:t>
      </w:r>
      <w:r w:rsidR="009F508D">
        <w:t>f</w:t>
      </w:r>
      <w:r w:rsidRPr="00710CDE">
        <w:t xml:space="preserve">unding </w:t>
      </w:r>
      <w:r w:rsidR="009F508D">
        <w:t>r</w:t>
      </w:r>
      <w:r w:rsidRPr="00710CDE">
        <w:t>atio</w:t>
      </w:r>
    </w:p>
    <w:p w14:paraId="1FB827D1" w14:textId="77777777" w:rsidR="00A90F58" w:rsidRDefault="00A90F58" w:rsidP="009A5C66">
      <w:pPr>
        <w:pStyle w:val="Paragraphtext"/>
        <w:keepNext/>
        <w:widowControl/>
      </w:pPr>
      <w:r>
        <w:t xml:space="preserve">APRA has identified </w:t>
      </w:r>
      <w:r w:rsidR="00A2411C">
        <w:t xml:space="preserve">two </w:t>
      </w:r>
      <w:r w:rsidR="00DD47DF">
        <w:t xml:space="preserve">NSFR </w:t>
      </w:r>
      <w:r>
        <w:t>options:</w:t>
      </w:r>
    </w:p>
    <w:p w14:paraId="76DC2E73" w14:textId="77777777" w:rsidR="00A90F58" w:rsidRDefault="00A90F58" w:rsidP="0017035D">
      <w:pPr>
        <w:pStyle w:val="Paragraphtext"/>
        <w:numPr>
          <w:ilvl w:val="0"/>
          <w:numId w:val="13"/>
        </w:numPr>
        <w:ind w:left="851" w:hanging="425"/>
      </w:pPr>
      <w:r>
        <w:t xml:space="preserve">Option 1 – </w:t>
      </w:r>
      <w:r w:rsidR="006C2296">
        <w:t>Basel NSFR standard</w:t>
      </w:r>
      <w:r>
        <w:t xml:space="preserve"> </w:t>
      </w:r>
      <w:r w:rsidR="00A2411C">
        <w:t xml:space="preserve">applied </w:t>
      </w:r>
      <w:r w:rsidR="00B53642">
        <w:t>to larger ADIs only</w:t>
      </w:r>
      <w:r w:rsidR="000C5A50">
        <w:t>; and</w:t>
      </w:r>
    </w:p>
    <w:p w14:paraId="77EEF473" w14:textId="77777777" w:rsidR="00A90F58" w:rsidRDefault="00A90F58" w:rsidP="0017035D">
      <w:pPr>
        <w:pStyle w:val="Paragraphtext"/>
        <w:numPr>
          <w:ilvl w:val="0"/>
          <w:numId w:val="13"/>
        </w:numPr>
        <w:ind w:left="851" w:hanging="425"/>
      </w:pPr>
      <w:r>
        <w:t xml:space="preserve">Option 2 – </w:t>
      </w:r>
      <w:r w:rsidR="006C2296">
        <w:t>Basel NSFR standard</w:t>
      </w:r>
      <w:r w:rsidR="00EB2DD7">
        <w:t xml:space="preserve"> applied to all ADIs</w:t>
      </w:r>
      <w:r w:rsidR="000C5A50">
        <w:t>.</w:t>
      </w:r>
    </w:p>
    <w:p w14:paraId="2524D797" w14:textId="77777777" w:rsidR="009A2F7B" w:rsidRPr="005363A7" w:rsidRDefault="00850C5D" w:rsidP="005E4FE8">
      <w:pPr>
        <w:pStyle w:val="RISHeader4"/>
        <w:rPr>
          <w:i/>
        </w:rPr>
      </w:pPr>
      <w:r>
        <w:t xml:space="preserve">NSFR </w:t>
      </w:r>
      <w:r w:rsidR="009A2F7B" w:rsidRPr="005363A7">
        <w:t xml:space="preserve">Option </w:t>
      </w:r>
      <w:r w:rsidR="009A2F7B">
        <w:t>1</w:t>
      </w:r>
      <w:r w:rsidR="009A2F7B" w:rsidRPr="005363A7">
        <w:t xml:space="preserve">: </w:t>
      </w:r>
      <w:r w:rsidR="00D509F1">
        <w:t xml:space="preserve"> </w:t>
      </w:r>
      <w:r w:rsidR="006C2296">
        <w:t>Basel NSFR standard</w:t>
      </w:r>
      <w:r w:rsidR="00D509F1">
        <w:t xml:space="preserve"> applied </w:t>
      </w:r>
      <w:r w:rsidR="00B53642">
        <w:t>to larger ADIs only</w:t>
      </w:r>
    </w:p>
    <w:p w14:paraId="116F806B" w14:textId="77777777" w:rsidR="00C0652D" w:rsidRDefault="00C0652D" w:rsidP="009A2F7B">
      <w:pPr>
        <w:pStyle w:val="Paragraphtext"/>
      </w:pPr>
      <w:bookmarkStart w:id="3" w:name="_Ref463593516"/>
      <w:r>
        <w:t>This option w</w:t>
      </w:r>
      <w:r w:rsidRPr="00CC1FC1">
        <w:t xml:space="preserve">ould commence on 1 </w:t>
      </w:r>
      <w:r>
        <w:t>January</w:t>
      </w:r>
      <w:r w:rsidRPr="00CC1FC1">
        <w:t xml:space="preserve"> 2018</w:t>
      </w:r>
      <w:r w:rsidR="00F10951">
        <w:t>,</w:t>
      </w:r>
      <w:r>
        <w:t xml:space="preserve"> consistent </w:t>
      </w:r>
      <w:r w:rsidRPr="00CC1FC1">
        <w:t xml:space="preserve">with the commencement date </w:t>
      </w:r>
      <w:r>
        <w:t>for the Basel NSFR standard. This timing would</w:t>
      </w:r>
      <w:r w:rsidRPr="00CC1FC1">
        <w:t xml:space="preserve"> allow industry sufficient time to make changes to </w:t>
      </w:r>
      <w:r>
        <w:t>comply with</w:t>
      </w:r>
      <w:r w:rsidRPr="00CC1FC1">
        <w:t xml:space="preserve"> the final form of </w:t>
      </w:r>
      <w:r>
        <w:t>the NSFR.</w:t>
      </w:r>
    </w:p>
    <w:p w14:paraId="7D9E4410" w14:textId="77777777" w:rsidR="009A2F7B" w:rsidRDefault="009A2F7B" w:rsidP="009A2F7B">
      <w:pPr>
        <w:pStyle w:val="Paragraphtext"/>
      </w:pPr>
      <w:bookmarkStart w:id="4" w:name="_Ref464123470"/>
      <w:r>
        <w:t xml:space="preserve">Under this option, </w:t>
      </w:r>
      <w:r w:rsidR="00D865F8">
        <w:t xml:space="preserve">APS 210 would </w:t>
      </w:r>
      <w:r w:rsidR="007579D7">
        <w:t xml:space="preserve">incorporate the Basel </w:t>
      </w:r>
      <w:r w:rsidR="007579D7">
        <w:lastRenderedPageBreak/>
        <w:t>NSFR standard</w:t>
      </w:r>
      <w:r>
        <w:t>.</w:t>
      </w:r>
      <w:r w:rsidR="00E02EAB">
        <w:t xml:space="preserve"> The scope of application under the Basel NSFR standard notes that ‘the NSFR should be applied to all internationally active banks on a consolidated basis, but may be used for other banks and on any subset of entities of internationally active banks as well to ensure greater consistency and a level playing field between domestic and cross-border banks’</w:t>
      </w:r>
      <w:r w:rsidR="00FC2710">
        <w:t>.</w:t>
      </w:r>
      <w:r w:rsidR="00E02EAB">
        <w:rPr>
          <w:rStyle w:val="FootnoteReference"/>
        </w:rPr>
        <w:footnoteReference w:id="21"/>
      </w:r>
      <w:bookmarkEnd w:id="3"/>
      <w:bookmarkEnd w:id="4"/>
      <w:r w:rsidR="00850C5D">
        <w:t xml:space="preserve"> This option is the assumed base-case scenario.</w:t>
      </w:r>
    </w:p>
    <w:p w14:paraId="3BA606AF" w14:textId="6C48D2E0" w:rsidR="00306BD7" w:rsidRDefault="009D4E80" w:rsidP="009A2F7B">
      <w:pPr>
        <w:pStyle w:val="Paragraphtext"/>
      </w:pPr>
      <w:r>
        <w:t xml:space="preserve">The ADIs that would be required to meet the NSFR under this option would be the 15 </w:t>
      </w:r>
      <w:r w:rsidR="00B7045C">
        <w:t xml:space="preserve">locally incorporated </w:t>
      </w:r>
      <w:r>
        <w:t xml:space="preserve">ADIs that </w:t>
      </w:r>
      <w:r w:rsidR="002729D7">
        <w:t xml:space="preserve">use the LCR to determine their </w:t>
      </w:r>
      <w:r w:rsidR="00B7045C">
        <w:t xml:space="preserve">short-term </w:t>
      </w:r>
      <w:r w:rsidR="002E4B19">
        <w:t>liquidity requirement</w:t>
      </w:r>
      <w:r>
        <w:t xml:space="preserve">. </w:t>
      </w:r>
      <w:r w:rsidR="002E4B19">
        <w:t xml:space="preserve">These ADIs </w:t>
      </w:r>
      <w:r w:rsidR="00ED1382">
        <w:t xml:space="preserve">have comparatively more complex operations and </w:t>
      </w:r>
      <w:r w:rsidR="00ED1382">
        <w:lastRenderedPageBreak/>
        <w:t xml:space="preserve">generally </w:t>
      </w:r>
      <w:r w:rsidR="00F10951">
        <w:t>access</w:t>
      </w:r>
      <w:r w:rsidR="00ED1382">
        <w:t xml:space="preserve"> international capital markets to </w:t>
      </w:r>
      <w:r w:rsidR="002729D7">
        <w:t>fund</w:t>
      </w:r>
      <w:r w:rsidR="00ED1382">
        <w:t xml:space="preserve"> a portion of their funding </w:t>
      </w:r>
      <w:r w:rsidR="002729D7">
        <w:t>requirements</w:t>
      </w:r>
      <w:r w:rsidR="00ED1382">
        <w:t xml:space="preserve">. </w:t>
      </w:r>
      <w:r>
        <w:t xml:space="preserve">This is consistent with the Basel scope of application noted in paragraph </w:t>
      </w:r>
      <w:r w:rsidR="0005119E">
        <w:fldChar w:fldCharType="begin"/>
      </w:r>
      <w:r>
        <w:instrText xml:space="preserve"> REF _Ref464123470 \r \h </w:instrText>
      </w:r>
      <w:r w:rsidR="0005119E">
        <w:fldChar w:fldCharType="separate"/>
      </w:r>
      <w:r w:rsidR="002F4A58">
        <w:t>34</w:t>
      </w:r>
      <w:r w:rsidR="0005119E">
        <w:fldChar w:fldCharType="end"/>
      </w:r>
      <w:r>
        <w:t xml:space="preserve"> above.</w:t>
      </w:r>
      <w:r w:rsidR="00330C38">
        <w:rPr>
          <w:rStyle w:val="FootnoteReference"/>
        </w:rPr>
        <w:footnoteReference w:id="22"/>
      </w:r>
      <w:r w:rsidR="009A6044">
        <w:t xml:space="preserve"> </w:t>
      </w:r>
    </w:p>
    <w:p w14:paraId="6B5B3E90" w14:textId="77777777" w:rsidR="009D4E80" w:rsidRDefault="0080387E" w:rsidP="009A2F7B">
      <w:pPr>
        <w:pStyle w:val="Paragraphtext"/>
      </w:pPr>
      <w:r>
        <w:t>In order to comply with this proposal</w:t>
      </w:r>
      <w:r w:rsidR="00BA65F8">
        <w:t>, an</w:t>
      </w:r>
      <w:r>
        <w:t xml:space="preserve"> ADI would </w:t>
      </w:r>
      <w:r w:rsidR="00BA65F8">
        <w:t xml:space="preserve">most likely </w:t>
      </w:r>
      <w:r>
        <w:t xml:space="preserve">need to make changes to </w:t>
      </w:r>
      <w:r w:rsidR="002B15F3">
        <w:t xml:space="preserve">its information technology </w:t>
      </w:r>
      <w:r>
        <w:t xml:space="preserve">systems to calculate </w:t>
      </w:r>
      <w:r w:rsidR="00BA65F8">
        <w:t>its</w:t>
      </w:r>
      <w:r>
        <w:t xml:space="preserve"> NSFR and report relevant data to APRA as well as implementing processes and procedures in relation to these functions. In addition, training for staff with respon</w:t>
      </w:r>
      <w:r>
        <w:lastRenderedPageBreak/>
        <w:t>sibility for NSFR-related matters, including risk and compliance staff</w:t>
      </w:r>
      <w:r w:rsidR="002B15F3">
        <w:t>,</w:t>
      </w:r>
      <w:r>
        <w:t xml:space="preserve"> would </w:t>
      </w:r>
      <w:r w:rsidR="002B15F3">
        <w:t>most likely</w:t>
      </w:r>
      <w:r>
        <w:t xml:space="preserve"> be necessary</w:t>
      </w:r>
      <w:r w:rsidR="00306BD7">
        <w:t>.</w:t>
      </w:r>
    </w:p>
    <w:p w14:paraId="267C1619" w14:textId="7026B48F" w:rsidR="009A2F7B" w:rsidRDefault="009A2F7B" w:rsidP="004766DC">
      <w:pPr>
        <w:pStyle w:val="Paragraphtext"/>
      </w:pPr>
      <w:r>
        <w:t>Th</w:t>
      </w:r>
      <w:r w:rsidR="009E406A">
        <w:t>is</w:t>
      </w:r>
      <w:r>
        <w:t xml:space="preserve"> </w:t>
      </w:r>
      <w:r w:rsidR="007528B5">
        <w:t xml:space="preserve">option </w:t>
      </w:r>
      <w:r w:rsidRPr="00691CD2">
        <w:t xml:space="preserve">would </w:t>
      </w:r>
      <w:r w:rsidR="007579D7">
        <w:t>involve</w:t>
      </w:r>
      <w:r>
        <w:t xml:space="preserve"> </w:t>
      </w:r>
      <w:r w:rsidR="00E30C14">
        <w:t xml:space="preserve">no </w:t>
      </w:r>
      <w:r>
        <w:t xml:space="preserve">additional </w:t>
      </w:r>
      <w:r w:rsidRPr="00691CD2">
        <w:t xml:space="preserve">compliance costs </w:t>
      </w:r>
      <w:r w:rsidR="00CF0B78">
        <w:t xml:space="preserve">beyond the implementation costs of $23,825,000 </w:t>
      </w:r>
      <w:r w:rsidR="007D6254">
        <w:t>for</w:t>
      </w:r>
      <w:r w:rsidR="007D6254" w:rsidRPr="00691CD2">
        <w:t xml:space="preserve"> </w:t>
      </w:r>
      <w:r w:rsidRPr="00691CD2">
        <w:t>ADI</w:t>
      </w:r>
      <w:r>
        <w:t>s</w:t>
      </w:r>
      <w:r w:rsidR="007579D7">
        <w:t xml:space="preserve"> in complying with the Basel NSFR standard</w:t>
      </w:r>
      <w:r w:rsidR="0097688C">
        <w:t xml:space="preserve"> </w:t>
      </w:r>
      <w:r w:rsidR="00976CF2">
        <w:t xml:space="preserve">noted in paragraph </w:t>
      </w:r>
      <w:r w:rsidR="0005119E">
        <w:fldChar w:fldCharType="begin"/>
      </w:r>
      <w:r w:rsidR="00976CF2">
        <w:instrText xml:space="preserve"> REF _Ref464821746 \r \h </w:instrText>
      </w:r>
      <w:r w:rsidR="0005119E">
        <w:fldChar w:fldCharType="separate"/>
      </w:r>
      <w:r w:rsidR="002F4A58">
        <w:t>40</w:t>
      </w:r>
      <w:r w:rsidR="0005119E">
        <w:fldChar w:fldCharType="end"/>
      </w:r>
      <w:r w:rsidR="00976CF2">
        <w:t xml:space="preserve">. This reflects the fact that under this option </w:t>
      </w:r>
      <w:r w:rsidR="0097688C">
        <w:t xml:space="preserve">APRA would apply the Basel NSFR standard to larger </w:t>
      </w:r>
      <w:r w:rsidR="001B2C09">
        <w:t>locally</w:t>
      </w:r>
      <w:r w:rsidR="006B5695">
        <w:t xml:space="preserve"> </w:t>
      </w:r>
      <w:r w:rsidR="001B2C09">
        <w:t xml:space="preserve">incorporated </w:t>
      </w:r>
      <w:r w:rsidR="0097688C">
        <w:t>ADIs only – hence, there would be no deviation from the Basel NSFR standard</w:t>
      </w:r>
      <w:r>
        <w:t>.</w:t>
      </w:r>
      <w:r w:rsidR="004766DC">
        <w:t xml:space="preserve"> </w:t>
      </w:r>
      <w:r w:rsidR="008D1AE7">
        <w:t>T</w:t>
      </w:r>
      <w:r w:rsidRPr="00691CD2">
        <w:t xml:space="preserve">he Basel framework is an internationally understood benchmark that allows market participants to understand and place reliance on the nature and standard of regulation to which a bank is subject. </w:t>
      </w:r>
      <w:r w:rsidR="00850C5D">
        <w:t xml:space="preserve">Full implementation of the Basel NSFR standard in Australia would have the benefit of </w:t>
      </w:r>
      <w:r w:rsidR="009E406A">
        <w:lastRenderedPageBreak/>
        <w:t>provid</w:t>
      </w:r>
      <w:r w:rsidR="00850C5D">
        <w:t>ing</w:t>
      </w:r>
      <w:r w:rsidR="009E406A">
        <w:t xml:space="preserve"> certainty to investors and creditors of </w:t>
      </w:r>
      <w:r w:rsidR="00850C5D">
        <w:t>an</w:t>
      </w:r>
      <w:r w:rsidR="009E406A">
        <w:t xml:space="preserve"> ADI including</w:t>
      </w:r>
      <w:r w:rsidR="004766DC">
        <w:t>:</w:t>
      </w:r>
    </w:p>
    <w:p w14:paraId="01687342" w14:textId="77777777" w:rsidR="00EB23EA" w:rsidRPr="004E697E" w:rsidRDefault="009A2F7B" w:rsidP="0017035D">
      <w:pPr>
        <w:pStyle w:val="Dotpoints"/>
        <w:ind w:left="851" w:hanging="425"/>
      </w:pPr>
      <w:r w:rsidRPr="00691CD2">
        <w:t>access to capital markets, as</w:t>
      </w:r>
      <w:r w:rsidR="003646F3">
        <w:t xml:space="preserve"> overseas</w:t>
      </w:r>
      <w:r w:rsidRPr="00691CD2">
        <w:t xml:space="preserve"> market participants prefer to deal with banks </w:t>
      </w:r>
      <w:r w:rsidR="00477708">
        <w:t>which are subject to</w:t>
      </w:r>
      <w:r w:rsidRPr="00691CD2">
        <w:t xml:space="preserve"> regulatory systems</w:t>
      </w:r>
      <w:r w:rsidR="00477708">
        <w:t xml:space="preserve"> that</w:t>
      </w:r>
      <w:r w:rsidRPr="00691CD2">
        <w:t xml:space="preserve"> are understood and </w:t>
      </w:r>
      <w:r w:rsidR="003646F3">
        <w:t>substantially equivalent to their own regulatory frameworks</w:t>
      </w:r>
      <w:r w:rsidRPr="00691CD2">
        <w:t>;</w:t>
      </w:r>
    </w:p>
    <w:p w14:paraId="1F1A6AF8" w14:textId="0C50B669" w:rsidR="009A2F7B" w:rsidRPr="00691CD2" w:rsidRDefault="002B15F3" w:rsidP="0017035D">
      <w:pPr>
        <w:pStyle w:val="Dotpoints"/>
        <w:ind w:left="851" w:hanging="425"/>
      </w:pPr>
      <w:r>
        <w:t xml:space="preserve">competing pressures on </w:t>
      </w:r>
      <w:r w:rsidR="009A2F7B" w:rsidRPr="00691CD2">
        <w:t xml:space="preserve"> </w:t>
      </w:r>
      <w:r w:rsidR="007F4315">
        <w:t>funding</w:t>
      </w:r>
      <w:r>
        <w:t xml:space="preserve"> costs</w:t>
      </w:r>
      <w:r w:rsidR="009A2F7B" w:rsidRPr="00691CD2">
        <w:t xml:space="preserve">. ADIs </w:t>
      </w:r>
      <w:r w:rsidR="000B2B3F">
        <w:t xml:space="preserve">in Australia are able to </w:t>
      </w:r>
      <w:r w:rsidR="009A2F7B" w:rsidRPr="00691CD2">
        <w:t>access</w:t>
      </w:r>
      <w:r w:rsidR="00B54530">
        <w:t xml:space="preserve"> overseas</w:t>
      </w:r>
      <w:r w:rsidR="009A2F7B" w:rsidRPr="00691CD2">
        <w:t xml:space="preserve"> capital markets</w:t>
      </w:r>
      <w:r w:rsidR="00E30C14">
        <w:t xml:space="preserve"> and </w:t>
      </w:r>
      <w:r w:rsidR="009E406A">
        <w:t xml:space="preserve">by meeting an international standard are </w:t>
      </w:r>
      <w:r w:rsidR="00E30C14">
        <w:t xml:space="preserve">less </w:t>
      </w:r>
      <w:r w:rsidR="009E406A">
        <w:t xml:space="preserve">likely to </w:t>
      </w:r>
      <w:r w:rsidR="00E30C14">
        <w:t>face additional risk</w:t>
      </w:r>
      <w:r w:rsidR="009A2F7B" w:rsidRPr="00691CD2">
        <w:t xml:space="preserve"> premium</w:t>
      </w:r>
      <w:r w:rsidR="009A2F7B">
        <w:t>s</w:t>
      </w:r>
      <w:r w:rsidR="009A2F7B" w:rsidRPr="00691CD2">
        <w:t xml:space="preserve"> </w:t>
      </w:r>
      <w:r w:rsidR="00E30C14">
        <w:t>when raising such funds</w:t>
      </w:r>
      <w:r w:rsidR="000B2B3F">
        <w:t xml:space="preserve"> </w:t>
      </w:r>
      <w:r w:rsidR="009A2F7B" w:rsidRPr="00691CD2">
        <w:t>(</w:t>
      </w:r>
      <w:r w:rsidR="009A2F7B">
        <w:t>ADI</w:t>
      </w:r>
      <w:r w:rsidR="009A2F7B" w:rsidRPr="00691CD2">
        <w:t>s</w:t>
      </w:r>
      <w:r w:rsidR="009A2F7B">
        <w:t xml:space="preserve"> </w:t>
      </w:r>
      <w:r w:rsidR="009A2F7B" w:rsidRPr="00691CD2">
        <w:t xml:space="preserve">currently source a material portion of their funds in international </w:t>
      </w:r>
      <w:r w:rsidR="007F4315">
        <w:lastRenderedPageBreak/>
        <w:t>funding</w:t>
      </w:r>
      <w:r w:rsidR="007F4315" w:rsidRPr="00691CD2">
        <w:t xml:space="preserve"> </w:t>
      </w:r>
      <w:r w:rsidR="009A2F7B" w:rsidRPr="00691CD2">
        <w:t>markets</w:t>
      </w:r>
      <w:r w:rsidR="00BC2DC1">
        <w:t>)</w:t>
      </w:r>
      <w:r w:rsidR="00844027" w:rsidRPr="00691CD2">
        <w:rPr>
          <w:rStyle w:val="FootnoteReference"/>
          <w:rFonts w:ascii="Times New Roman" w:hAnsi="Times New Roman"/>
          <w:color w:val="auto"/>
        </w:rPr>
        <w:footnoteReference w:id="23"/>
      </w:r>
      <w:r w:rsidR="00844027">
        <w:t>. This</w:t>
      </w:r>
      <w:r w:rsidR="009A2F7B" w:rsidRPr="00691CD2">
        <w:t xml:space="preserve"> point </w:t>
      </w:r>
      <w:r w:rsidR="00844027">
        <w:t xml:space="preserve">was </w:t>
      </w:r>
      <w:r w:rsidR="009A2F7B" w:rsidRPr="00691CD2">
        <w:t xml:space="preserve">made by </w:t>
      </w:r>
      <w:r w:rsidR="009A2F7B">
        <w:t>ADI</w:t>
      </w:r>
      <w:r w:rsidR="009A2F7B" w:rsidRPr="00691CD2">
        <w:t xml:space="preserve">s to the Financial </w:t>
      </w:r>
      <w:r w:rsidR="009A2F7B">
        <w:t>System</w:t>
      </w:r>
      <w:r w:rsidR="009A2F7B" w:rsidRPr="00691CD2">
        <w:t xml:space="preserve"> Inquiry</w:t>
      </w:r>
      <w:r w:rsidR="00844027">
        <w:t xml:space="preserve"> and reflects concerns that Australia is susceptible to </w:t>
      </w:r>
      <w:r w:rsidR="00AC7F37">
        <w:t xml:space="preserve">changes in investor </w:t>
      </w:r>
      <w:r w:rsidR="00844027">
        <w:t>sentiment in international funding</w:t>
      </w:r>
      <w:r w:rsidR="00692C6E">
        <w:t>.</w:t>
      </w:r>
      <w:r w:rsidR="009A2F7B" w:rsidRPr="00691CD2">
        <w:rPr>
          <w:rStyle w:val="FootnoteReference"/>
          <w:rFonts w:ascii="Times New Roman" w:hAnsi="Times New Roman"/>
        </w:rPr>
        <w:footnoteReference w:id="24"/>
      </w:r>
      <w:r w:rsidR="00692C6E">
        <w:t xml:space="preserve"> It is noted, however, that there may be increased costs associated with funding where increased competition for limited pools of funds forces up costs. For example, if there is strong competition for</w:t>
      </w:r>
      <w:r>
        <w:t xml:space="preserve"> domestic </w:t>
      </w:r>
      <w:r w:rsidR="00692C6E">
        <w:t>deposits, an ADI may be forced to offer a higher interest rate in order to increase its share of deposit funding</w:t>
      </w:r>
      <w:r w:rsidR="00BF1B97">
        <w:t>. Overall</w:t>
      </w:r>
      <w:r>
        <w:t>, the</w:t>
      </w:r>
      <w:r w:rsidR="00BF1B97">
        <w:t xml:space="preserve"> cost of funding will depend on an ADI’s </w:t>
      </w:r>
      <w:r w:rsidR="00BF1B97">
        <w:lastRenderedPageBreak/>
        <w:t>funding mix, including its composition of deposits and wholesale debt;</w:t>
      </w:r>
      <w:r w:rsidR="00692C6E">
        <w:t xml:space="preserve"> </w:t>
      </w:r>
    </w:p>
    <w:p w14:paraId="53866437" w14:textId="6E6B24BF" w:rsidR="00AC134F" w:rsidRDefault="009A2F7B" w:rsidP="0017035D">
      <w:pPr>
        <w:pStyle w:val="Dotpoints"/>
        <w:ind w:left="851" w:hanging="425"/>
      </w:pPr>
      <w:r w:rsidRPr="00691CD2">
        <w:t xml:space="preserve">in </w:t>
      </w:r>
      <w:r w:rsidR="00705ED0">
        <w:t xml:space="preserve">a </w:t>
      </w:r>
      <w:r w:rsidRPr="00691CD2">
        <w:t xml:space="preserve">future </w:t>
      </w:r>
      <w:r w:rsidR="00057A0A" w:rsidRPr="00691CD2">
        <w:t>cris</w:t>
      </w:r>
      <w:r w:rsidR="00057A0A">
        <w:t>i</w:t>
      </w:r>
      <w:r w:rsidR="00057A0A" w:rsidRPr="00691CD2">
        <w:t>s</w:t>
      </w:r>
      <w:r w:rsidRPr="00691CD2">
        <w:t>, ADIs</w:t>
      </w:r>
      <w:r>
        <w:t xml:space="preserve"> in Australia</w:t>
      </w:r>
      <w:r w:rsidRPr="00691CD2">
        <w:t xml:space="preserve"> </w:t>
      </w:r>
      <w:r w:rsidR="00B54530">
        <w:t>would</w:t>
      </w:r>
      <w:r w:rsidR="004766DC">
        <w:t xml:space="preserve"> be</w:t>
      </w:r>
      <w:r w:rsidRPr="00691CD2">
        <w:t xml:space="preserve"> </w:t>
      </w:r>
      <w:r w:rsidR="000B2B3F">
        <w:t>less</w:t>
      </w:r>
      <w:r w:rsidR="000B2B3F" w:rsidRPr="00691CD2">
        <w:t xml:space="preserve"> </w:t>
      </w:r>
      <w:r w:rsidRPr="00691CD2">
        <w:t xml:space="preserve">vulnerable to shocks in funding markets and </w:t>
      </w:r>
      <w:r w:rsidR="00AC7F37">
        <w:t xml:space="preserve">enjoy </w:t>
      </w:r>
      <w:r w:rsidR="000B2B3F">
        <w:t xml:space="preserve">higher </w:t>
      </w:r>
      <w:r w:rsidRPr="00691CD2">
        <w:t xml:space="preserve">confidence due to their compliance with the Basel </w:t>
      </w:r>
      <w:r w:rsidR="00E30C14">
        <w:t>NSFR standard</w:t>
      </w:r>
      <w:r>
        <w:t xml:space="preserve"> and </w:t>
      </w:r>
      <w:r w:rsidR="001B2C09">
        <w:t xml:space="preserve">likely </w:t>
      </w:r>
      <w:r w:rsidR="000B2B3F">
        <w:t>reduced</w:t>
      </w:r>
      <w:r w:rsidR="005163CF">
        <w:t xml:space="preserve"> </w:t>
      </w:r>
      <w:r>
        <w:t>exposure to short-term wholesale funding from offshore</w:t>
      </w:r>
      <w:r w:rsidR="00AC134F">
        <w:t>; and</w:t>
      </w:r>
    </w:p>
    <w:p w14:paraId="65BF7931" w14:textId="77777777" w:rsidR="009A2F7B" w:rsidRPr="00691CD2" w:rsidRDefault="00C064C6" w:rsidP="0017035D">
      <w:pPr>
        <w:pStyle w:val="Dotpoints"/>
        <w:ind w:left="851" w:hanging="425"/>
      </w:pPr>
      <w:r>
        <w:t xml:space="preserve">funding assets with more stable sources of funding would help to minimise the possibility of liquidity problems for an individual ADI and a reduced risk, in the event of a crisis, of liquidity problems at any one ADI spreading to other banks </w:t>
      </w:r>
      <w:r w:rsidR="002B15F3">
        <w:t xml:space="preserve">thereby </w:t>
      </w:r>
      <w:r>
        <w:t>undermining financial stability.</w:t>
      </w:r>
    </w:p>
    <w:p w14:paraId="7B7FA44D" w14:textId="77777777" w:rsidR="004C066B" w:rsidRDefault="00835C82" w:rsidP="003A2EE8">
      <w:pPr>
        <w:pStyle w:val="Paragraphtext"/>
      </w:pPr>
      <w:r>
        <w:lastRenderedPageBreak/>
        <w:t xml:space="preserve">There </w:t>
      </w:r>
      <w:r w:rsidR="008D1F4B">
        <w:t xml:space="preserve">would be </w:t>
      </w:r>
      <w:r w:rsidR="00DF132C">
        <w:t xml:space="preserve">additional indirect </w:t>
      </w:r>
      <w:r w:rsidR="000B2B3F">
        <w:t>benefits for</w:t>
      </w:r>
      <w:r w:rsidR="008D1F4B">
        <w:t xml:space="preserve"> other stakeholders</w:t>
      </w:r>
      <w:r w:rsidR="000364D5">
        <w:t xml:space="preserve"> in times of stress</w:t>
      </w:r>
      <w:r w:rsidR="0053520F">
        <w:t xml:space="preserve">. </w:t>
      </w:r>
      <w:r w:rsidR="00B31F41">
        <w:t>I</w:t>
      </w:r>
      <w:r w:rsidR="008D1F4B">
        <w:t>ndividual ADI</w:t>
      </w:r>
      <w:r w:rsidR="00B31F41">
        <w:t>s</w:t>
      </w:r>
      <w:r w:rsidR="009548BB">
        <w:t xml:space="preserve"> may</w:t>
      </w:r>
      <w:r w:rsidR="008D1F4B">
        <w:t xml:space="preserve"> have </w:t>
      </w:r>
      <w:r w:rsidR="000B2B3F">
        <w:t xml:space="preserve">less </w:t>
      </w:r>
      <w:r w:rsidR="008D1F4B">
        <w:t>difficulty</w:t>
      </w:r>
      <w:r w:rsidR="00113FB6">
        <w:t xml:space="preserve"> in</w:t>
      </w:r>
      <w:r w:rsidR="008D1F4B">
        <w:t xml:space="preserve"> meeting </w:t>
      </w:r>
      <w:r w:rsidR="00B31F41">
        <w:t>their</w:t>
      </w:r>
      <w:r w:rsidR="009548BB">
        <w:t xml:space="preserve"> </w:t>
      </w:r>
      <w:r w:rsidR="008D1F4B">
        <w:t>obligations to stakeholders</w:t>
      </w:r>
      <w:r w:rsidR="00113FB6">
        <w:t>, and</w:t>
      </w:r>
      <w:r w:rsidR="008D1F4B">
        <w:t xml:space="preserve"> </w:t>
      </w:r>
      <w:r w:rsidR="00113FB6">
        <w:t xml:space="preserve">customers </w:t>
      </w:r>
      <w:r w:rsidR="003C348E">
        <w:t>are</w:t>
      </w:r>
      <w:r w:rsidR="00113FB6">
        <w:t xml:space="preserve"> more</w:t>
      </w:r>
      <w:r w:rsidR="003C348E">
        <w:t xml:space="preserve"> likely to </w:t>
      </w:r>
      <w:r w:rsidR="000B2B3F">
        <w:t>have continued access to</w:t>
      </w:r>
      <w:r w:rsidR="003C348E">
        <w:t xml:space="preserve"> </w:t>
      </w:r>
      <w:r w:rsidR="00E72F0F">
        <w:t xml:space="preserve">financial products </w:t>
      </w:r>
      <w:r w:rsidR="009548BB">
        <w:t xml:space="preserve">and </w:t>
      </w:r>
      <w:r w:rsidR="00E72F0F">
        <w:t xml:space="preserve">services. </w:t>
      </w:r>
      <w:r w:rsidR="003C348E">
        <w:t>The</w:t>
      </w:r>
      <w:r w:rsidR="001376BF">
        <w:t xml:space="preserve"> </w:t>
      </w:r>
      <w:r w:rsidR="000B2B3F">
        <w:t xml:space="preserve">extent of these benefits </w:t>
      </w:r>
      <w:r w:rsidR="00BC16BB">
        <w:t>for</w:t>
      </w:r>
      <w:r w:rsidR="000B2B3F">
        <w:t xml:space="preserve"> any single ADI would </w:t>
      </w:r>
      <w:r w:rsidR="003C348E">
        <w:t xml:space="preserve">depend on </w:t>
      </w:r>
      <w:r w:rsidR="000B2B3F">
        <w:t xml:space="preserve">its </w:t>
      </w:r>
      <w:r w:rsidR="003C348E">
        <w:t xml:space="preserve">liquidity profile </w:t>
      </w:r>
      <w:r w:rsidR="000B2B3F">
        <w:t xml:space="preserve">as well as that of </w:t>
      </w:r>
      <w:r w:rsidR="003C348E">
        <w:t>the system overall.</w:t>
      </w:r>
    </w:p>
    <w:p w14:paraId="6ACF1E06" w14:textId="77777777" w:rsidR="007E6EC4" w:rsidRPr="00CC2A63" w:rsidRDefault="0053520F" w:rsidP="001B2824">
      <w:pPr>
        <w:pStyle w:val="Paragraphtext"/>
        <w:rPr>
          <w:u w:val="single"/>
        </w:rPr>
      </w:pPr>
      <w:r w:rsidRPr="00691CD2">
        <w:t xml:space="preserve">APRA </w:t>
      </w:r>
      <w:r w:rsidR="00850C5D">
        <w:t>consider</w:t>
      </w:r>
      <w:r w:rsidRPr="00691CD2">
        <w:t xml:space="preserve">s the net </w:t>
      </w:r>
      <w:r w:rsidR="00AC2263">
        <w:t>impact</w:t>
      </w:r>
      <w:r>
        <w:t xml:space="preserve"> </w:t>
      </w:r>
      <w:r w:rsidR="00850C5D">
        <w:t>of</w:t>
      </w:r>
      <w:r>
        <w:t xml:space="preserve"> this option</w:t>
      </w:r>
      <w:r w:rsidRPr="00691CD2">
        <w:t xml:space="preserve"> </w:t>
      </w:r>
      <w:r w:rsidR="00E0054D">
        <w:t>would be</w:t>
      </w:r>
      <w:r w:rsidR="00850C5D">
        <w:t xml:space="preserve"> to provide a material benefit.</w:t>
      </w:r>
      <w:r w:rsidR="00DD0692">
        <w:t xml:space="preserve"> </w:t>
      </w:r>
    </w:p>
    <w:p w14:paraId="26BFB65B" w14:textId="2017F1D4" w:rsidR="007E6EC4" w:rsidRPr="00916171" w:rsidRDefault="007E6EC4" w:rsidP="001B2824">
      <w:pPr>
        <w:pStyle w:val="Paragraphtext"/>
        <w:rPr>
          <w:u w:val="single"/>
        </w:rPr>
      </w:pPr>
      <w:bookmarkStart w:id="5" w:name="_Ref464821746"/>
      <w:r>
        <w:t>The costs of this option are represented in the Regulatory Burden Estimate (RBE) table below.</w:t>
      </w:r>
      <w:r w:rsidR="006A0A99">
        <w:t xml:space="preserve"> Given this is the baseline option</w:t>
      </w:r>
      <w:r w:rsidR="00113FB6">
        <w:t>,</w:t>
      </w:r>
      <w:r w:rsidR="006A0A99">
        <w:t xml:space="preserve"> implementation of the Basel NSFR framework involves no additional annual regulatory costs for ADIs as it is </w:t>
      </w:r>
      <w:r w:rsidR="006A0A99">
        <w:lastRenderedPageBreak/>
        <w:t>the business as usual option.</w:t>
      </w:r>
      <w:r w:rsidR="00297342">
        <w:t xml:space="preserve"> The actual cost of implementation of this option has been estimated at $</w:t>
      </w:r>
      <w:r w:rsidR="0003215C">
        <w:t>23,825,000</w:t>
      </w:r>
      <w:r w:rsidR="00DD0692">
        <w:t xml:space="preserve"> </w:t>
      </w:r>
      <w:r w:rsidR="004C6C67">
        <w:t xml:space="preserve">($2.38m per year) </w:t>
      </w:r>
      <w:r w:rsidR="00DD0692">
        <w:t>for the 15 ADIs that would be required to meet the NSFR requirement</w:t>
      </w:r>
      <w:r w:rsidR="00297342">
        <w:t>.</w:t>
      </w:r>
      <w:r w:rsidR="004A61ED">
        <w:t xml:space="preserve"> This figure includes costs associated with systems modifications (depending on </w:t>
      </w:r>
      <w:r w:rsidR="00F10951">
        <w:t xml:space="preserve">existing </w:t>
      </w:r>
      <w:r w:rsidR="004A61ED">
        <w:t xml:space="preserve">internal IT systems), </w:t>
      </w:r>
      <w:r w:rsidR="00037506">
        <w:t>staffing costs to perform tasks associated with the NSFR and the associated reporting costs through providing regular reports to APRA for NSFR purposes. The compliance costs associated with an ADI changing and maintaining an appropriate stable funding mix is also included</w:t>
      </w:r>
      <w:r w:rsidR="004A61ED">
        <w:t>.</w:t>
      </w:r>
      <w:bookmarkEnd w:id="5"/>
    </w:p>
    <w:p w14:paraId="5F346E62" w14:textId="797B7DB7" w:rsidR="00916171" w:rsidRPr="00CC2A63" w:rsidRDefault="00916171" w:rsidP="00324791">
      <w:pPr>
        <w:pStyle w:val="RISHeader4"/>
        <w:rPr>
          <w:u w:val="single"/>
        </w:rPr>
      </w:pPr>
      <w:r>
        <w:lastRenderedPageBreak/>
        <w:t>Table 1 - Average annual regulatory costs (from business as usual)</w:t>
      </w:r>
    </w:p>
    <w:tbl>
      <w:tblPr>
        <w:tblStyle w:val="LightGrid1"/>
        <w:tblW w:w="8788" w:type="dxa"/>
        <w:tblLook w:val="06A0" w:firstRow="1" w:lastRow="0" w:firstColumn="1" w:lastColumn="0" w:noHBand="1" w:noVBand="1"/>
        <w:tblCaption w:val="Table 1"/>
        <w:tblDescription w:val="Average annual regulatory costs (from business as usual)"/>
      </w:tblPr>
      <w:tblGrid>
        <w:gridCol w:w="2258"/>
        <w:gridCol w:w="1201"/>
        <w:gridCol w:w="1872"/>
        <w:gridCol w:w="1872"/>
        <w:gridCol w:w="1585"/>
      </w:tblGrid>
      <w:tr w:rsidR="007E6EC4" w14:paraId="5D8EC26B" w14:textId="77777777" w:rsidTr="00780CC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58" w:type="dxa"/>
            <w:noWrap/>
            <w:hideMark/>
          </w:tcPr>
          <w:p w14:paraId="210117CB" w14:textId="77777777" w:rsidR="007E6EC4" w:rsidRPr="00324791" w:rsidRDefault="007E6EC4" w:rsidP="00324791">
            <w:pPr>
              <w:pStyle w:val="RIStext"/>
              <w:jc w:val="left"/>
            </w:pPr>
            <w:r w:rsidRPr="00324791">
              <w:t>Change in costs ($ million)</w:t>
            </w:r>
          </w:p>
        </w:tc>
        <w:tc>
          <w:tcPr>
            <w:tcW w:w="1201" w:type="dxa"/>
            <w:noWrap/>
            <w:hideMark/>
          </w:tcPr>
          <w:p w14:paraId="41FA926D" w14:textId="77777777" w:rsidR="007E6EC4" w:rsidRPr="00324791" w:rsidRDefault="007E6EC4" w:rsidP="00324791">
            <w:pPr>
              <w:pStyle w:val="RIStext"/>
              <w:jc w:val="left"/>
              <w:cnfStyle w:val="100000000000" w:firstRow="1" w:lastRow="0" w:firstColumn="0" w:lastColumn="0" w:oddVBand="0" w:evenVBand="0" w:oddHBand="0" w:evenHBand="0" w:firstRowFirstColumn="0" w:firstRowLastColumn="0" w:lastRowFirstColumn="0" w:lastRowLastColumn="0"/>
            </w:pPr>
            <w:r w:rsidRPr="00324791">
              <w:t>Business</w:t>
            </w:r>
          </w:p>
        </w:tc>
        <w:tc>
          <w:tcPr>
            <w:tcW w:w="1872" w:type="dxa"/>
            <w:noWrap/>
            <w:hideMark/>
          </w:tcPr>
          <w:p w14:paraId="44D0249B" w14:textId="77777777" w:rsidR="007E6EC4" w:rsidRPr="00324791" w:rsidRDefault="007E6EC4" w:rsidP="00324791">
            <w:pPr>
              <w:pStyle w:val="RIStext"/>
              <w:jc w:val="left"/>
              <w:cnfStyle w:val="100000000000" w:firstRow="1" w:lastRow="0" w:firstColumn="0" w:lastColumn="0" w:oddVBand="0" w:evenVBand="0" w:oddHBand="0" w:evenHBand="0" w:firstRowFirstColumn="0" w:firstRowLastColumn="0" w:lastRowFirstColumn="0" w:lastRowLastColumn="0"/>
            </w:pPr>
            <w:r w:rsidRPr="00324791">
              <w:t>Community organisations</w:t>
            </w:r>
          </w:p>
        </w:tc>
        <w:tc>
          <w:tcPr>
            <w:tcW w:w="1872" w:type="dxa"/>
            <w:noWrap/>
            <w:hideMark/>
          </w:tcPr>
          <w:p w14:paraId="00193351" w14:textId="77777777" w:rsidR="007E6EC4" w:rsidRPr="00324791" w:rsidRDefault="007E6EC4" w:rsidP="00324791">
            <w:pPr>
              <w:pStyle w:val="RIStext"/>
              <w:jc w:val="left"/>
              <w:cnfStyle w:val="100000000000" w:firstRow="1" w:lastRow="0" w:firstColumn="0" w:lastColumn="0" w:oddVBand="0" w:evenVBand="0" w:oddHBand="0" w:evenHBand="0" w:firstRowFirstColumn="0" w:firstRowLastColumn="0" w:lastRowFirstColumn="0" w:lastRowLastColumn="0"/>
            </w:pPr>
            <w:r w:rsidRPr="00324791">
              <w:t>Individuals</w:t>
            </w:r>
          </w:p>
        </w:tc>
        <w:tc>
          <w:tcPr>
            <w:tcW w:w="1585" w:type="dxa"/>
            <w:noWrap/>
            <w:hideMark/>
          </w:tcPr>
          <w:p w14:paraId="61D25835" w14:textId="77777777" w:rsidR="007E6EC4" w:rsidRPr="00324791" w:rsidRDefault="007E6EC4" w:rsidP="00324791">
            <w:pPr>
              <w:pStyle w:val="RIStext"/>
              <w:jc w:val="left"/>
              <w:cnfStyle w:val="100000000000" w:firstRow="1" w:lastRow="0" w:firstColumn="0" w:lastColumn="0" w:oddVBand="0" w:evenVBand="0" w:oddHBand="0" w:evenHBand="0" w:firstRowFirstColumn="0" w:firstRowLastColumn="0" w:lastRowFirstColumn="0" w:lastRowLastColumn="0"/>
            </w:pPr>
            <w:r w:rsidRPr="00324791">
              <w:t>Total change in costs</w:t>
            </w:r>
          </w:p>
        </w:tc>
      </w:tr>
      <w:tr w:rsidR="007E6EC4" w14:paraId="6DB8652B" w14:textId="77777777" w:rsidTr="00324791">
        <w:trPr>
          <w:trHeight w:val="300"/>
        </w:trPr>
        <w:tc>
          <w:tcPr>
            <w:cnfStyle w:val="001000000000" w:firstRow="0" w:lastRow="0" w:firstColumn="1" w:lastColumn="0" w:oddVBand="0" w:evenVBand="0" w:oddHBand="0" w:evenHBand="0" w:firstRowFirstColumn="0" w:firstRowLastColumn="0" w:lastRowFirstColumn="0" w:lastRowLastColumn="0"/>
            <w:tcW w:w="2258" w:type="dxa"/>
            <w:noWrap/>
            <w:hideMark/>
          </w:tcPr>
          <w:p w14:paraId="48C57031" w14:textId="77777777" w:rsidR="007E6EC4" w:rsidRPr="00324791" w:rsidRDefault="007E6EC4" w:rsidP="00324791">
            <w:pPr>
              <w:pStyle w:val="RIStext"/>
            </w:pPr>
            <w:r w:rsidRPr="00324791">
              <w:t>Total, by sector</w:t>
            </w:r>
          </w:p>
        </w:tc>
        <w:tc>
          <w:tcPr>
            <w:tcW w:w="1201" w:type="dxa"/>
            <w:noWrap/>
            <w:hideMark/>
          </w:tcPr>
          <w:p w14:paraId="596DE22A" w14:textId="77777777" w:rsidR="007E6EC4" w:rsidRPr="00324791" w:rsidRDefault="007E6EC4" w:rsidP="00324791">
            <w:pPr>
              <w:pStyle w:val="RIStext"/>
              <w:cnfStyle w:val="000000000000" w:firstRow="0" w:lastRow="0" w:firstColumn="0" w:lastColumn="0" w:oddVBand="0" w:evenVBand="0" w:oddHBand="0" w:evenHBand="0" w:firstRowFirstColumn="0" w:firstRowLastColumn="0" w:lastRowFirstColumn="0" w:lastRowLastColumn="0"/>
            </w:pPr>
            <w:r w:rsidRPr="00324791">
              <w:t>$</w:t>
            </w:r>
            <w:r w:rsidR="00297342" w:rsidRPr="00324791">
              <w:t>0</w:t>
            </w:r>
          </w:p>
        </w:tc>
        <w:tc>
          <w:tcPr>
            <w:tcW w:w="1872" w:type="dxa"/>
            <w:noWrap/>
            <w:hideMark/>
          </w:tcPr>
          <w:p w14:paraId="678A4158" w14:textId="77777777" w:rsidR="007E6EC4" w:rsidRPr="00324791" w:rsidRDefault="007E6EC4" w:rsidP="00324791">
            <w:pPr>
              <w:pStyle w:val="RIStext"/>
              <w:cnfStyle w:val="000000000000" w:firstRow="0" w:lastRow="0" w:firstColumn="0" w:lastColumn="0" w:oddVBand="0" w:evenVBand="0" w:oddHBand="0" w:evenHBand="0" w:firstRowFirstColumn="0" w:firstRowLastColumn="0" w:lastRowFirstColumn="0" w:lastRowLastColumn="0"/>
            </w:pPr>
            <w:r w:rsidRPr="00324791">
              <w:t>$0</w:t>
            </w:r>
          </w:p>
        </w:tc>
        <w:tc>
          <w:tcPr>
            <w:tcW w:w="1872" w:type="dxa"/>
            <w:noWrap/>
            <w:hideMark/>
          </w:tcPr>
          <w:p w14:paraId="3DF9AFE0" w14:textId="77777777" w:rsidR="007E6EC4" w:rsidRPr="00324791" w:rsidRDefault="007E6EC4" w:rsidP="00324791">
            <w:pPr>
              <w:pStyle w:val="RIStext"/>
              <w:cnfStyle w:val="000000000000" w:firstRow="0" w:lastRow="0" w:firstColumn="0" w:lastColumn="0" w:oddVBand="0" w:evenVBand="0" w:oddHBand="0" w:evenHBand="0" w:firstRowFirstColumn="0" w:firstRowLastColumn="0" w:lastRowFirstColumn="0" w:lastRowLastColumn="0"/>
            </w:pPr>
            <w:r w:rsidRPr="00324791">
              <w:t>$0</w:t>
            </w:r>
          </w:p>
        </w:tc>
        <w:tc>
          <w:tcPr>
            <w:tcW w:w="1585" w:type="dxa"/>
            <w:noWrap/>
            <w:hideMark/>
          </w:tcPr>
          <w:p w14:paraId="2EDCF539" w14:textId="77777777" w:rsidR="007E6EC4" w:rsidRPr="00324791" w:rsidRDefault="007E6EC4" w:rsidP="00324791">
            <w:pPr>
              <w:pStyle w:val="RIStext"/>
              <w:cnfStyle w:val="000000000000" w:firstRow="0" w:lastRow="0" w:firstColumn="0" w:lastColumn="0" w:oddVBand="0" w:evenVBand="0" w:oddHBand="0" w:evenHBand="0" w:firstRowFirstColumn="0" w:firstRowLastColumn="0" w:lastRowFirstColumn="0" w:lastRowLastColumn="0"/>
            </w:pPr>
            <w:r w:rsidRPr="00324791">
              <w:t>$</w:t>
            </w:r>
            <w:r w:rsidR="00297342" w:rsidRPr="00324791">
              <w:t>0</w:t>
            </w:r>
          </w:p>
        </w:tc>
      </w:tr>
    </w:tbl>
    <w:p w14:paraId="560E1E2D" w14:textId="77777777" w:rsidR="003A2EE8" w:rsidRPr="005363A7" w:rsidRDefault="00850C5D" w:rsidP="005E4FE8">
      <w:pPr>
        <w:pStyle w:val="RISHeader4"/>
        <w:rPr>
          <w:i/>
        </w:rPr>
      </w:pPr>
      <w:r>
        <w:t xml:space="preserve">NSFR </w:t>
      </w:r>
      <w:r w:rsidR="003A2EE8" w:rsidRPr="005363A7">
        <w:t xml:space="preserve">Option </w:t>
      </w:r>
      <w:r w:rsidR="009A2F7B">
        <w:t>2</w:t>
      </w:r>
      <w:r w:rsidR="003A2EE8" w:rsidRPr="005363A7">
        <w:t xml:space="preserve">: </w:t>
      </w:r>
      <w:r w:rsidR="006C2296">
        <w:t>Basel NSFR standard</w:t>
      </w:r>
      <w:r w:rsidR="00EB2DD7">
        <w:t xml:space="preserve"> applied to all ADIs</w:t>
      </w:r>
    </w:p>
    <w:p w14:paraId="76A8926A" w14:textId="77777777" w:rsidR="0094303B" w:rsidRDefault="00A24163" w:rsidP="00E40D34">
      <w:pPr>
        <w:pStyle w:val="Paragraphtext"/>
      </w:pPr>
      <w:r>
        <w:t>Under this option</w:t>
      </w:r>
      <w:r w:rsidR="00E30C14">
        <w:t>,</w:t>
      </w:r>
      <w:r w:rsidR="000B2B3F">
        <w:t xml:space="preserve"> the Basel NSFR standard would be applied to all ADIs</w:t>
      </w:r>
      <w:r w:rsidR="00BC16BB">
        <w:t xml:space="preserve"> without regard to their size</w:t>
      </w:r>
      <w:r w:rsidR="00DD0692">
        <w:t>,</w:t>
      </w:r>
      <w:r w:rsidR="00CE2503">
        <w:t xml:space="preserve"> </w:t>
      </w:r>
      <w:r w:rsidR="00BC16BB">
        <w:t>liquidity or funding profile</w:t>
      </w:r>
      <w:r w:rsidR="00783B6C">
        <w:t xml:space="preserve"> or whether they are internationally active</w:t>
      </w:r>
      <w:r w:rsidR="00FE1508">
        <w:t>.</w:t>
      </w:r>
    </w:p>
    <w:p w14:paraId="3C05E631" w14:textId="77777777" w:rsidR="00DE4693" w:rsidRDefault="008126B7" w:rsidP="005363A7">
      <w:pPr>
        <w:pStyle w:val="Paragraphtext"/>
      </w:pPr>
      <w:r>
        <w:t>This option w</w:t>
      </w:r>
      <w:r w:rsidR="00DE4693" w:rsidRPr="00CC1FC1">
        <w:t xml:space="preserve">ould commence on 1 </w:t>
      </w:r>
      <w:r w:rsidR="004B5790">
        <w:t>January</w:t>
      </w:r>
      <w:r w:rsidR="00DE4693" w:rsidRPr="00CC1FC1">
        <w:t xml:space="preserve"> 2018</w:t>
      </w:r>
      <w:r w:rsidR="00037506">
        <w:t>,</w:t>
      </w:r>
      <w:r w:rsidR="00DE4693">
        <w:t xml:space="preserve"> consistent </w:t>
      </w:r>
      <w:r w:rsidR="00DE4693" w:rsidRPr="00CC1FC1">
        <w:t xml:space="preserve">with the commencement date </w:t>
      </w:r>
      <w:r w:rsidR="007F4315">
        <w:t xml:space="preserve">for the </w:t>
      </w:r>
      <w:r w:rsidR="00E30C14">
        <w:t xml:space="preserve">Basel </w:t>
      </w:r>
      <w:r w:rsidR="007F4315">
        <w:t xml:space="preserve">NSFR </w:t>
      </w:r>
      <w:r w:rsidR="00E30C14">
        <w:t>standard</w:t>
      </w:r>
      <w:r w:rsidR="00DE4693">
        <w:t xml:space="preserve">. This timing </w:t>
      </w:r>
      <w:r w:rsidR="00187014">
        <w:t>would</w:t>
      </w:r>
      <w:r w:rsidR="00DE4693" w:rsidRPr="00CC1FC1">
        <w:t xml:space="preserve"> allow industry sufficient time to make </w:t>
      </w:r>
      <w:r w:rsidR="00DE4693" w:rsidRPr="00CC1FC1">
        <w:lastRenderedPageBreak/>
        <w:t xml:space="preserve">changes to </w:t>
      </w:r>
      <w:r w:rsidR="00E30C14">
        <w:t>comply with</w:t>
      </w:r>
      <w:r w:rsidR="00E30C14" w:rsidRPr="00CC1FC1">
        <w:t xml:space="preserve"> </w:t>
      </w:r>
      <w:r w:rsidR="00DE4693" w:rsidRPr="00CC1FC1">
        <w:t xml:space="preserve">the final form of </w:t>
      </w:r>
      <w:r>
        <w:t>the NSFR</w:t>
      </w:r>
      <w:r w:rsidR="00BC16BB">
        <w:t>, noting though</w:t>
      </w:r>
      <w:r w:rsidR="00113FB6">
        <w:t xml:space="preserve"> that</w:t>
      </w:r>
      <w:r w:rsidR="00BC16BB">
        <w:t xml:space="preserve"> this timeframe may present challenges for </w:t>
      </w:r>
      <w:r w:rsidR="00CE2503">
        <w:t xml:space="preserve">smaller </w:t>
      </w:r>
      <w:r w:rsidR="00BC16BB">
        <w:t>ADIs to comply with</w:t>
      </w:r>
      <w:r w:rsidR="00DE4693" w:rsidRPr="00CC1FC1">
        <w:t>.</w:t>
      </w:r>
    </w:p>
    <w:p w14:paraId="495CBF0A" w14:textId="77777777" w:rsidR="009A6044" w:rsidRDefault="009A6044" w:rsidP="005363A7">
      <w:pPr>
        <w:pStyle w:val="Paragraphtext"/>
      </w:pPr>
      <w:r>
        <w:t xml:space="preserve">As for Option 1, </w:t>
      </w:r>
      <w:r w:rsidR="00306BD7">
        <w:t>in order to comply with this proposal</w:t>
      </w:r>
      <w:r w:rsidR="00BA65F8">
        <w:t>,</w:t>
      </w:r>
      <w:r w:rsidR="00306BD7">
        <w:t xml:space="preserve"> ADI</w:t>
      </w:r>
      <w:r w:rsidR="00BA65F8">
        <w:t>s</w:t>
      </w:r>
      <w:r w:rsidR="00306BD7">
        <w:t xml:space="preserve"> would need to make changes to systems </w:t>
      </w:r>
      <w:r w:rsidR="00AC134F">
        <w:t>in order</w:t>
      </w:r>
      <w:r w:rsidR="00306BD7">
        <w:t xml:space="preserve"> to calculate their NSFR and report relevant data to APRA as well as implementing processes and procedures</w:t>
      </w:r>
      <w:r w:rsidR="00A83828">
        <w:t xml:space="preserve"> in relation to these functions</w:t>
      </w:r>
      <w:r w:rsidR="00306BD7">
        <w:t>. In addition, training for staff with responsibility for NSFR-related matters, including risk and compliance staff would be necessary</w:t>
      </w:r>
      <w:r>
        <w:t>.</w:t>
      </w:r>
    </w:p>
    <w:p w14:paraId="0619C94A" w14:textId="77777777" w:rsidR="00C8322C" w:rsidRDefault="005363A7" w:rsidP="005363A7">
      <w:pPr>
        <w:pStyle w:val="Paragraphtext"/>
      </w:pPr>
      <w:r w:rsidRPr="00691CD2">
        <w:t>APRA expect</w:t>
      </w:r>
      <w:r w:rsidR="003E4C42">
        <w:t>s</w:t>
      </w:r>
      <w:r w:rsidRPr="00691CD2">
        <w:t xml:space="preserve"> </w:t>
      </w:r>
      <w:r w:rsidR="00FE1508">
        <w:t>this</w:t>
      </w:r>
      <w:r w:rsidR="00643981">
        <w:t xml:space="preserve"> </w:t>
      </w:r>
      <w:r w:rsidR="00FE1508">
        <w:t xml:space="preserve">option would result in the same costs and benefits for </w:t>
      </w:r>
      <w:r w:rsidR="00C970F8">
        <w:t>the 15 ADIs identified</w:t>
      </w:r>
      <w:r w:rsidR="00FE1508">
        <w:t xml:space="preserve"> under Option 1</w:t>
      </w:r>
      <w:r w:rsidR="006860DC">
        <w:t>,</w:t>
      </w:r>
      <w:r w:rsidR="00FE1508" w:rsidRPr="00691CD2">
        <w:t xml:space="preserve"> </w:t>
      </w:r>
      <w:r w:rsidR="00FE1508">
        <w:t xml:space="preserve">but additional costs for </w:t>
      </w:r>
      <w:r w:rsidR="009F21A3">
        <w:t xml:space="preserve">smaller, less complex </w:t>
      </w:r>
      <w:r w:rsidR="00FE1508">
        <w:t xml:space="preserve">ADIs </w:t>
      </w:r>
      <w:r w:rsidR="00A501BA">
        <w:t xml:space="preserve">and with limited benefits at the smaller end of the market. </w:t>
      </w:r>
      <w:r w:rsidR="00FE1508">
        <w:t xml:space="preserve">This is because </w:t>
      </w:r>
      <w:r w:rsidR="00FE1508">
        <w:lastRenderedPageBreak/>
        <w:t xml:space="preserve">the majority of ADIs, other than </w:t>
      </w:r>
      <w:r w:rsidR="00C970F8">
        <w:t>larger</w:t>
      </w:r>
      <w:r w:rsidR="00856DB3">
        <w:t>,</w:t>
      </w:r>
      <w:r w:rsidR="00C970F8">
        <w:t xml:space="preserve"> more complex</w:t>
      </w:r>
      <w:r w:rsidR="00FE1508">
        <w:t xml:space="preserve"> ADIs, </w:t>
      </w:r>
      <w:r w:rsidR="0054178B">
        <w:t>have simple retail-based business models</w:t>
      </w:r>
      <w:r w:rsidR="00B53642">
        <w:t xml:space="preserve"> and generally do not access material amounts of wholesale funding,</w:t>
      </w:r>
      <w:r w:rsidR="0054178B">
        <w:t xml:space="preserve"> </w:t>
      </w:r>
      <w:r w:rsidR="006860DC">
        <w:t xml:space="preserve">which makes them more </w:t>
      </w:r>
      <w:r w:rsidR="0054178B">
        <w:t>likely to meet the NSFR requirements and</w:t>
      </w:r>
      <w:r w:rsidR="006860DC">
        <w:t xml:space="preserve"> render additional requirements unnecessary</w:t>
      </w:r>
      <w:r w:rsidR="0054178B">
        <w:t>.</w:t>
      </w:r>
      <w:r w:rsidR="0092600E">
        <w:t xml:space="preserve"> These ADIs would incur</w:t>
      </w:r>
      <w:r w:rsidR="008473D1">
        <w:t xml:space="preserve"> </w:t>
      </w:r>
      <w:r w:rsidR="0092600E">
        <w:t>costs associated with putting in place system changes, policies, processes and procedures,</w:t>
      </w:r>
      <w:r w:rsidR="0054178B">
        <w:t xml:space="preserve"> without any additional discernible benefit</w:t>
      </w:r>
      <w:r w:rsidR="00B53642">
        <w:t xml:space="preserve"> in terms of financial safety or stability</w:t>
      </w:r>
      <w:r w:rsidR="00FE1508">
        <w:t>.</w:t>
      </w:r>
      <w:r w:rsidR="009A6044">
        <w:t xml:space="preserve"> </w:t>
      </w:r>
    </w:p>
    <w:p w14:paraId="264BC984" w14:textId="77777777" w:rsidR="003E4C42" w:rsidRDefault="003E4C42" w:rsidP="005363A7">
      <w:pPr>
        <w:pStyle w:val="Paragraphtext"/>
      </w:pPr>
      <w:r>
        <w:t xml:space="preserve">The indirect costs </w:t>
      </w:r>
      <w:r w:rsidR="00DF132C">
        <w:t>to ADI</w:t>
      </w:r>
      <w:r w:rsidR="00C23F57">
        <w:t>s</w:t>
      </w:r>
      <w:r w:rsidR="00DF132C">
        <w:t xml:space="preserve"> and </w:t>
      </w:r>
      <w:r w:rsidR="001C4F1C">
        <w:t xml:space="preserve">other stakeholders </w:t>
      </w:r>
      <w:r>
        <w:t>of Option</w:t>
      </w:r>
      <w:r w:rsidR="001C4F1C">
        <w:t> </w:t>
      </w:r>
      <w:r>
        <w:t xml:space="preserve">2 are the same as </w:t>
      </w:r>
      <w:r w:rsidR="00187014">
        <w:t xml:space="preserve">for </w:t>
      </w:r>
      <w:r>
        <w:t>Option</w:t>
      </w:r>
      <w:r w:rsidR="0019342A">
        <w:t> </w:t>
      </w:r>
      <w:r>
        <w:t>1.</w:t>
      </w:r>
    </w:p>
    <w:p w14:paraId="447E982E" w14:textId="2FCAD366" w:rsidR="007E6EC4" w:rsidRPr="00CC2A63" w:rsidRDefault="005363A7" w:rsidP="0064512E">
      <w:pPr>
        <w:pStyle w:val="Paragraphtext"/>
        <w:rPr>
          <w:u w:val="single"/>
        </w:rPr>
      </w:pPr>
      <w:r w:rsidRPr="00691CD2">
        <w:t xml:space="preserve">APRA believes </w:t>
      </w:r>
      <w:r w:rsidR="00B7788C">
        <w:t>that</w:t>
      </w:r>
      <w:r w:rsidR="00FC5C5B">
        <w:t xml:space="preserve"> this option</w:t>
      </w:r>
      <w:r w:rsidRPr="00691CD2">
        <w:t xml:space="preserve"> </w:t>
      </w:r>
      <w:r w:rsidR="00187014">
        <w:t xml:space="preserve">would </w:t>
      </w:r>
      <w:r w:rsidR="00B7788C">
        <w:t>result in</w:t>
      </w:r>
      <w:r w:rsidR="002664EE">
        <w:t xml:space="preserve"> </w:t>
      </w:r>
      <w:r w:rsidR="00E20DFD">
        <w:t>a net cost</w:t>
      </w:r>
      <w:r w:rsidR="009F21A3">
        <w:t xml:space="preserve"> on an industry-wide basis</w:t>
      </w:r>
      <w:r w:rsidR="006860DC">
        <w:t>,</w:t>
      </w:r>
      <w:r w:rsidR="00BB27A5">
        <w:t xml:space="preserve"> </w:t>
      </w:r>
      <w:r w:rsidR="00BC16BB">
        <w:t xml:space="preserve">with a moderate to material </w:t>
      </w:r>
      <w:r w:rsidR="00863BD5">
        <w:t>cost</w:t>
      </w:r>
      <w:r w:rsidR="00BC16BB">
        <w:t xml:space="preserve"> for </w:t>
      </w:r>
      <w:r w:rsidR="007A4BDF">
        <w:t>individual</w:t>
      </w:r>
      <w:r w:rsidR="00BC16BB">
        <w:t xml:space="preserve"> small</w:t>
      </w:r>
      <w:r w:rsidR="00E6205F">
        <w:t>er,</w:t>
      </w:r>
      <w:r w:rsidR="00CE2503">
        <w:t xml:space="preserve"> </w:t>
      </w:r>
      <w:r w:rsidR="00E6205F">
        <w:t>less complex</w:t>
      </w:r>
      <w:r w:rsidR="00CE2503">
        <w:t xml:space="preserve"> </w:t>
      </w:r>
      <w:r w:rsidR="00BC16BB">
        <w:t>ADIs</w:t>
      </w:r>
      <w:r w:rsidR="006860DC">
        <w:t>.</w:t>
      </w:r>
      <w:r w:rsidR="00BC16BB">
        <w:t xml:space="preserve"> </w:t>
      </w:r>
      <w:r w:rsidR="00AF35F7">
        <w:t xml:space="preserve">These ADIs would be </w:t>
      </w:r>
      <w:r w:rsidR="00BC16BB">
        <w:t xml:space="preserve">forced to bear the costs of implementation but without any </w:t>
      </w:r>
      <w:r w:rsidR="00BC16BB">
        <w:lastRenderedPageBreak/>
        <w:t>further</w:t>
      </w:r>
      <w:r w:rsidR="0098155D">
        <w:t xml:space="preserve"> material</w:t>
      </w:r>
      <w:r w:rsidR="00BC16BB">
        <w:t xml:space="preserve"> benefits</w:t>
      </w:r>
      <w:r w:rsidR="008473D1">
        <w:t>,</w:t>
      </w:r>
      <w:r w:rsidR="00BC16BB">
        <w:t xml:space="preserve"> given their funding profiles would </w:t>
      </w:r>
      <w:r w:rsidR="007A4BDF">
        <w:t>generally</w:t>
      </w:r>
      <w:r w:rsidR="00AF35F7">
        <w:t xml:space="preserve"> already</w:t>
      </w:r>
      <w:r w:rsidR="007A4BDF">
        <w:t xml:space="preserve"> </w:t>
      </w:r>
      <w:r w:rsidR="00BC16BB">
        <w:t xml:space="preserve">be </w:t>
      </w:r>
      <w:r w:rsidR="000F585D">
        <w:t>aligned with the funding stability objectives of the NSFR</w:t>
      </w:r>
      <w:r w:rsidR="008473D1">
        <w:t>.</w:t>
      </w:r>
    </w:p>
    <w:p w14:paraId="47A104A3" w14:textId="50C27D4E" w:rsidR="003F386E" w:rsidRDefault="007E6EC4" w:rsidP="003F386E">
      <w:pPr>
        <w:pStyle w:val="Paragraphtext"/>
      </w:pPr>
      <w:r>
        <w:t>The costs of this option are represented in the RBE table below.</w:t>
      </w:r>
      <w:r w:rsidR="003F386E">
        <w:t xml:space="preserve"> </w:t>
      </w:r>
      <w:r w:rsidR="003F386E" w:rsidRPr="003F386E">
        <w:t>This cost represents the cost of implementing this option being $</w:t>
      </w:r>
      <w:r w:rsidR="002224A4">
        <w:t>42,600</w:t>
      </w:r>
      <w:r w:rsidR="003F386E" w:rsidRPr="003F386E">
        <w:t>,000</w:t>
      </w:r>
      <w:r w:rsidR="000923ED">
        <w:t xml:space="preserve"> </w:t>
      </w:r>
      <w:r w:rsidR="004C6C67">
        <w:t xml:space="preserve">($4.26m per year) </w:t>
      </w:r>
      <w:r w:rsidR="000923ED">
        <w:t>which would be in addition to the actual cost of implementation of Option 1 – the business as usual option</w:t>
      </w:r>
      <w:r w:rsidR="003F386E" w:rsidRPr="003F386E">
        <w:t>.</w:t>
      </w:r>
    </w:p>
    <w:p w14:paraId="50425D4B" w14:textId="1D01F4D8" w:rsidR="00916171" w:rsidRDefault="00916171" w:rsidP="00324791">
      <w:pPr>
        <w:pStyle w:val="RISHeader4"/>
      </w:pPr>
      <w:r>
        <w:lastRenderedPageBreak/>
        <w:t>Table 2 - Average annual regulatory costs (from business as usual)</w:t>
      </w:r>
    </w:p>
    <w:tbl>
      <w:tblPr>
        <w:tblStyle w:val="LightGrid1"/>
        <w:tblW w:w="8788" w:type="dxa"/>
        <w:tblLook w:val="06A0" w:firstRow="1" w:lastRow="0" w:firstColumn="1" w:lastColumn="0" w:noHBand="1" w:noVBand="1"/>
        <w:tblCaption w:val="Table 2"/>
        <w:tblDescription w:val="Average annual regulatory costs (from business as usual)"/>
      </w:tblPr>
      <w:tblGrid>
        <w:gridCol w:w="1833"/>
        <w:gridCol w:w="1626"/>
        <w:gridCol w:w="1872"/>
        <w:gridCol w:w="1872"/>
        <w:gridCol w:w="1585"/>
      </w:tblGrid>
      <w:tr w:rsidR="007E6EC4" w14:paraId="788D6CF6" w14:textId="77777777" w:rsidTr="00AA03A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3" w:type="dxa"/>
            <w:noWrap/>
            <w:hideMark/>
          </w:tcPr>
          <w:p w14:paraId="3B321A7A" w14:textId="77777777" w:rsidR="007E6EC4" w:rsidRDefault="007E6EC4" w:rsidP="00324791">
            <w:pPr>
              <w:pStyle w:val="RIStext"/>
              <w:jc w:val="left"/>
              <w:rPr>
                <w:b w:val="0"/>
                <w:bCs w:val="0"/>
              </w:rPr>
            </w:pPr>
            <w:r>
              <w:t>Change in costs ($ million)</w:t>
            </w:r>
          </w:p>
        </w:tc>
        <w:tc>
          <w:tcPr>
            <w:tcW w:w="1626" w:type="dxa"/>
            <w:noWrap/>
            <w:hideMark/>
          </w:tcPr>
          <w:p w14:paraId="0C2E7C30" w14:textId="77777777" w:rsidR="007E6EC4" w:rsidRDefault="007E6EC4" w:rsidP="00324791">
            <w:pPr>
              <w:pStyle w:val="RIStext"/>
              <w:jc w:val="left"/>
              <w:cnfStyle w:val="100000000000" w:firstRow="1" w:lastRow="0" w:firstColumn="0" w:lastColumn="0" w:oddVBand="0" w:evenVBand="0" w:oddHBand="0" w:evenHBand="0" w:firstRowFirstColumn="0" w:firstRowLastColumn="0" w:lastRowFirstColumn="0" w:lastRowLastColumn="0"/>
            </w:pPr>
            <w:r>
              <w:t>Business</w:t>
            </w:r>
          </w:p>
        </w:tc>
        <w:tc>
          <w:tcPr>
            <w:tcW w:w="1872" w:type="dxa"/>
            <w:noWrap/>
            <w:hideMark/>
          </w:tcPr>
          <w:p w14:paraId="6E5EE3F3" w14:textId="77777777" w:rsidR="007E6EC4" w:rsidRDefault="007E6EC4" w:rsidP="00324791">
            <w:pPr>
              <w:pStyle w:val="RIStext"/>
              <w:jc w:val="left"/>
              <w:cnfStyle w:val="100000000000" w:firstRow="1" w:lastRow="0" w:firstColumn="0" w:lastColumn="0" w:oddVBand="0" w:evenVBand="0" w:oddHBand="0" w:evenHBand="0" w:firstRowFirstColumn="0" w:firstRowLastColumn="0" w:lastRowFirstColumn="0" w:lastRowLastColumn="0"/>
            </w:pPr>
            <w:r>
              <w:t>Community organisations</w:t>
            </w:r>
          </w:p>
        </w:tc>
        <w:tc>
          <w:tcPr>
            <w:tcW w:w="1872" w:type="dxa"/>
            <w:noWrap/>
            <w:hideMark/>
          </w:tcPr>
          <w:p w14:paraId="495BC90E" w14:textId="77777777" w:rsidR="007E6EC4" w:rsidRDefault="007E6EC4" w:rsidP="00324791">
            <w:pPr>
              <w:pStyle w:val="RIStext"/>
              <w:jc w:val="left"/>
              <w:cnfStyle w:val="100000000000" w:firstRow="1" w:lastRow="0" w:firstColumn="0" w:lastColumn="0" w:oddVBand="0" w:evenVBand="0" w:oddHBand="0" w:evenHBand="0" w:firstRowFirstColumn="0" w:firstRowLastColumn="0" w:lastRowFirstColumn="0" w:lastRowLastColumn="0"/>
            </w:pPr>
            <w:r>
              <w:t>Individuals</w:t>
            </w:r>
          </w:p>
        </w:tc>
        <w:tc>
          <w:tcPr>
            <w:tcW w:w="1585" w:type="dxa"/>
            <w:noWrap/>
            <w:hideMark/>
          </w:tcPr>
          <w:p w14:paraId="613CE797" w14:textId="77777777" w:rsidR="007E6EC4" w:rsidRDefault="007E6EC4" w:rsidP="00324791">
            <w:pPr>
              <w:pStyle w:val="RIStext"/>
              <w:jc w:val="left"/>
              <w:cnfStyle w:val="100000000000" w:firstRow="1" w:lastRow="0" w:firstColumn="0" w:lastColumn="0" w:oddVBand="0" w:evenVBand="0" w:oddHBand="0" w:evenHBand="0" w:firstRowFirstColumn="0" w:firstRowLastColumn="0" w:lastRowFirstColumn="0" w:lastRowLastColumn="0"/>
            </w:pPr>
            <w:r>
              <w:t>Total change in costs</w:t>
            </w:r>
          </w:p>
        </w:tc>
      </w:tr>
      <w:tr w:rsidR="007E6EC4" w14:paraId="2B3A3CFB" w14:textId="77777777" w:rsidTr="00324791">
        <w:trPr>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14:paraId="649A02CA" w14:textId="77777777" w:rsidR="007E6EC4" w:rsidRDefault="007E6EC4" w:rsidP="00324791">
            <w:pPr>
              <w:pStyle w:val="RIStext"/>
              <w:jc w:val="left"/>
            </w:pPr>
            <w:r>
              <w:t>Total, by sector</w:t>
            </w:r>
          </w:p>
        </w:tc>
        <w:tc>
          <w:tcPr>
            <w:tcW w:w="1626" w:type="dxa"/>
            <w:noWrap/>
            <w:hideMark/>
          </w:tcPr>
          <w:p w14:paraId="0369EF1B" w14:textId="2E7E47F7" w:rsidR="007E6EC4" w:rsidRDefault="007E6EC4" w:rsidP="00324791">
            <w:pPr>
              <w:pStyle w:val="RIStext"/>
              <w:jc w:val="left"/>
              <w:cnfStyle w:val="000000000000" w:firstRow="0" w:lastRow="0" w:firstColumn="0" w:lastColumn="0" w:oddVBand="0" w:evenVBand="0" w:oddHBand="0" w:evenHBand="0" w:firstRowFirstColumn="0" w:firstRowLastColumn="0" w:lastRowFirstColumn="0" w:lastRowLastColumn="0"/>
            </w:pPr>
            <w:r w:rsidRPr="006523AC">
              <w:t>$</w:t>
            </w:r>
            <w:r w:rsidR="0003215C">
              <w:t>4</w:t>
            </w:r>
            <w:r w:rsidR="004C6C67">
              <w:t>.</w:t>
            </w:r>
            <w:r w:rsidR="0003215C">
              <w:t>26</w:t>
            </w:r>
          </w:p>
        </w:tc>
        <w:tc>
          <w:tcPr>
            <w:tcW w:w="1872" w:type="dxa"/>
            <w:noWrap/>
            <w:hideMark/>
          </w:tcPr>
          <w:p w14:paraId="12068B9E" w14:textId="77777777" w:rsidR="007E6EC4" w:rsidRDefault="007E6EC4" w:rsidP="00324791">
            <w:pPr>
              <w:pStyle w:val="RIStext"/>
              <w:jc w:val="left"/>
              <w:cnfStyle w:val="000000000000" w:firstRow="0" w:lastRow="0" w:firstColumn="0" w:lastColumn="0" w:oddVBand="0" w:evenVBand="0" w:oddHBand="0" w:evenHBand="0" w:firstRowFirstColumn="0" w:firstRowLastColumn="0" w:lastRowFirstColumn="0" w:lastRowLastColumn="0"/>
            </w:pPr>
            <w:r>
              <w:t>$0</w:t>
            </w:r>
          </w:p>
        </w:tc>
        <w:tc>
          <w:tcPr>
            <w:tcW w:w="1872" w:type="dxa"/>
            <w:noWrap/>
            <w:hideMark/>
          </w:tcPr>
          <w:p w14:paraId="2026F7B4" w14:textId="77777777" w:rsidR="007E6EC4" w:rsidRDefault="007E6EC4" w:rsidP="00324791">
            <w:pPr>
              <w:pStyle w:val="RIStext"/>
              <w:jc w:val="left"/>
              <w:cnfStyle w:val="000000000000" w:firstRow="0" w:lastRow="0" w:firstColumn="0" w:lastColumn="0" w:oddVBand="0" w:evenVBand="0" w:oddHBand="0" w:evenHBand="0" w:firstRowFirstColumn="0" w:firstRowLastColumn="0" w:lastRowFirstColumn="0" w:lastRowLastColumn="0"/>
            </w:pPr>
            <w:r>
              <w:t>$0</w:t>
            </w:r>
          </w:p>
        </w:tc>
        <w:tc>
          <w:tcPr>
            <w:tcW w:w="1585" w:type="dxa"/>
            <w:noWrap/>
            <w:hideMark/>
          </w:tcPr>
          <w:p w14:paraId="11F97CED" w14:textId="3D9B8AE6" w:rsidR="007E6EC4" w:rsidRDefault="007E6EC4" w:rsidP="00324791">
            <w:pPr>
              <w:pStyle w:val="RIStext"/>
              <w:jc w:val="left"/>
              <w:cnfStyle w:val="000000000000" w:firstRow="0" w:lastRow="0" w:firstColumn="0" w:lastColumn="0" w:oddVBand="0" w:evenVBand="0" w:oddHBand="0" w:evenHBand="0" w:firstRowFirstColumn="0" w:firstRowLastColumn="0" w:lastRowFirstColumn="0" w:lastRowLastColumn="0"/>
            </w:pPr>
            <w:r w:rsidRPr="006523AC">
              <w:t>$</w:t>
            </w:r>
            <w:r w:rsidR="0003215C">
              <w:t>4</w:t>
            </w:r>
            <w:r w:rsidR="004C6C67">
              <w:t>.</w:t>
            </w:r>
            <w:r w:rsidR="0003215C">
              <w:t>26</w:t>
            </w:r>
          </w:p>
        </w:tc>
      </w:tr>
    </w:tbl>
    <w:p w14:paraId="74423B74" w14:textId="77777777" w:rsidR="009029EB" w:rsidRDefault="009029EB" w:rsidP="005E4FE8">
      <w:pPr>
        <w:pStyle w:val="RISHeader4"/>
      </w:pPr>
      <w:r w:rsidRPr="003974E0">
        <w:t>APRA’s recognition of Australian conditions and exercise of discretion</w:t>
      </w:r>
    </w:p>
    <w:p w14:paraId="2BEFBBEA" w14:textId="6352048A" w:rsidR="00C907DC" w:rsidRDefault="009029EB" w:rsidP="003974E0">
      <w:pPr>
        <w:pStyle w:val="Paragraphtext"/>
      </w:pPr>
      <w:r>
        <w:t xml:space="preserve">Within each of these options, there are a number of matters where APRA considers there is scope for APRA to exercise its discretion as to how it implements the </w:t>
      </w:r>
      <w:r w:rsidR="000F0039">
        <w:t xml:space="preserve">NSFR standard </w:t>
      </w:r>
      <w:r>
        <w:t xml:space="preserve">to reflect Australian conditions. These involve technical aspects of the implementation of the NSFR </w:t>
      </w:r>
      <w:r w:rsidR="000F0039">
        <w:t xml:space="preserve">standard </w:t>
      </w:r>
      <w:r>
        <w:t xml:space="preserve">and are not options within themselves, but require the same consideration as </w:t>
      </w:r>
      <w:r>
        <w:lastRenderedPageBreak/>
        <w:t xml:space="preserve">part of the two proposed options APRA has set out in this RIS. </w:t>
      </w:r>
      <w:r w:rsidR="00F334B3">
        <w:t xml:space="preserve">These matters were set out in APRA’s discussion paper </w:t>
      </w:r>
      <w:r w:rsidR="00F334B3">
        <w:rPr>
          <w:i/>
        </w:rPr>
        <w:t>Basel III liquidity – the net stable funding ratio and the liquid assets requirement for foreign ADIs</w:t>
      </w:r>
      <w:r w:rsidR="00F334B3">
        <w:t>, March 2016.</w:t>
      </w:r>
      <w:r w:rsidR="00BE7BAE">
        <w:t xml:space="preserve"> Regardless of the final decision in relation to each of these matters, it is expected that the regulatory burden would be unchanged as these are policy decisions within the NSFR framework and the implementation and</w:t>
      </w:r>
      <w:r w:rsidR="00632B96">
        <w:t xml:space="preserve"> associated compliance</w:t>
      </w:r>
      <w:r w:rsidR="00BE7BAE">
        <w:t xml:space="preserve"> costs of the NSFR would be </w:t>
      </w:r>
      <w:r w:rsidR="00632B96">
        <w:t>unaffected regardless of APRA’s final decision</w:t>
      </w:r>
      <w:r w:rsidR="00BE7BAE">
        <w:t>.</w:t>
      </w:r>
      <w:r w:rsidR="007712C9">
        <w:t xml:space="preserve"> </w:t>
      </w:r>
    </w:p>
    <w:p w14:paraId="2708D3B4" w14:textId="77777777" w:rsidR="007712C9" w:rsidRDefault="007712C9" w:rsidP="003974E0">
      <w:pPr>
        <w:pStyle w:val="Paragraphtext"/>
      </w:pPr>
      <w:r>
        <w:t>The most material of these issues include:</w:t>
      </w:r>
    </w:p>
    <w:p w14:paraId="18AE761C" w14:textId="0000360A" w:rsidR="0005119E" w:rsidRDefault="007712C9" w:rsidP="0017035D">
      <w:pPr>
        <w:pStyle w:val="Paragraphtext"/>
        <w:numPr>
          <w:ilvl w:val="0"/>
          <w:numId w:val="29"/>
        </w:numPr>
        <w:ind w:left="851" w:hanging="425"/>
      </w:pPr>
      <w:r>
        <w:t xml:space="preserve">recognising </w:t>
      </w:r>
      <w:r w:rsidR="008F544D">
        <w:t xml:space="preserve">self-securitised </w:t>
      </w:r>
      <w:r>
        <w:t>assets that are accepted by the Reserve Bank of Australia</w:t>
      </w:r>
      <w:r w:rsidR="00EA06D6">
        <w:t xml:space="preserve"> </w:t>
      </w:r>
      <w:r>
        <w:t>as being equivalent to high quality liquid assets for NSFR purposes;</w:t>
      </w:r>
    </w:p>
    <w:p w14:paraId="77F5E237" w14:textId="77777777" w:rsidR="0005119E" w:rsidRDefault="007712C9" w:rsidP="0017035D">
      <w:pPr>
        <w:pStyle w:val="Paragraphtext"/>
        <w:numPr>
          <w:ilvl w:val="0"/>
          <w:numId w:val="29"/>
        </w:numPr>
        <w:ind w:left="851" w:hanging="425"/>
      </w:pPr>
      <w:r>
        <w:lastRenderedPageBreak/>
        <w:t>the use of APRA’s credit risk weights for residential mortgages in determining the required stable funding of mortgages; and</w:t>
      </w:r>
    </w:p>
    <w:p w14:paraId="2EF45437" w14:textId="77777777" w:rsidR="0005119E" w:rsidRDefault="007712C9" w:rsidP="0017035D">
      <w:pPr>
        <w:pStyle w:val="Paragraphtext"/>
        <w:numPr>
          <w:ilvl w:val="0"/>
          <w:numId w:val="29"/>
        </w:numPr>
        <w:ind w:left="851" w:hanging="425"/>
      </w:pPr>
      <w:r>
        <w:t>the recognition of member-directed superannuation deposits as a stable source of funding.</w:t>
      </w:r>
    </w:p>
    <w:p w14:paraId="17867094" w14:textId="4182A60D" w:rsidR="00EA06D6" w:rsidRPr="00765F64" w:rsidRDefault="00EA06D6" w:rsidP="00765F64">
      <w:pPr>
        <w:pStyle w:val="Paragraphtext"/>
        <w:numPr>
          <w:ilvl w:val="0"/>
          <w:numId w:val="0"/>
        </w:numPr>
        <w:ind w:left="360"/>
      </w:pPr>
      <w:r w:rsidRPr="00765F64">
        <w:t xml:space="preserve">Recognition of </w:t>
      </w:r>
      <w:r w:rsidR="008F544D" w:rsidRPr="00765F64">
        <w:t xml:space="preserve">self-securitised </w:t>
      </w:r>
      <w:r w:rsidRPr="00765F64">
        <w:t>assets as HQLA-equivalent</w:t>
      </w:r>
    </w:p>
    <w:p w14:paraId="1B999E35" w14:textId="5D28E795" w:rsidR="00EA06D6" w:rsidRDefault="0065361E" w:rsidP="00EA06D6">
      <w:pPr>
        <w:pStyle w:val="Paragraphtext"/>
      </w:pPr>
      <w:r>
        <w:t>Self-securitised assets are residential mortgages held on an ADI’s balanc</w:t>
      </w:r>
      <w:r w:rsidR="00BA35A1">
        <w:t>e</w:t>
      </w:r>
      <w:r>
        <w:t xml:space="preserve"> sheet within a securitisation special purpose vehicle solely for purposes of obtaining liquidity through repos with the central bank. </w:t>
      </w:r>
      <w:r w:rsidR="00EA06D6">
        <w:t xml:space="preserve">Recognition of </w:t>
      </w:r>
      <w:r w:rsidR="008F544D">
        <w:t xml:space="preserve">self-securitised </w:t>
      </w:r>
      <w:r w:rsidR="00EA06D6">
        <w:t>assets</w:t>
      </w:r>
      <w:r w:rsidR="00B351F7">
        <w:t>,</w:t>
      </w:r>
      <w:r w:rsidR="00EA06D6">
        <w:t xml:space="preserve"> accepted by the </w:t>
      </w:r>
      <w:r w:rsidR="00DE6FCB">
        <w:t>Reserve Bank of Australia</w:t>
      </w:r>
      <w:r w:rsidR="00EA06D6">
        <w:t xml:space="preserve"> </w:t>
      </w:r>
      <w:r w:rsidR="00B351F7">
        <w:t xml:space="preserve">for its committed liquidity facility, </w:t>
      </w:r>
      <w:r w:rsidR="00EA06D6">
        <w:t xml:space="preserve">as being equivalent to high quality liquid assets would mean that such assets would be afforded a lower </w:t>
      </w:r>
      <w:r w:rsidR="00EA06D6">
        <w:lastRenderedPageBreak/>
        <w:t>required stable funding factor</w:t>
      </w:r>
      <w:r w:rsidR="005E5DA3">
        <w:t xml:space="preserve"> relative to that which would otherwise apply</w:t>
      </w:r>
      <w:r w:rsidR="00B351F7">
        <w:t xml:space="preserve"> to such assets</w:t>
      </w:r>
      <w:r w:rsidR="00EA06D6">
        <w:t xml:space="preserve">. This would have the effect of allowing ADIs to hold less stable funding </w:t>
      </w:r>
      <w:r w:rsidR="00B351F7">
        <w:t>for</w:t>
      </w:r>
      <w:r w:rsidR="00EA06D6">
        <w:t xml:space="preserve"> such assets. </w:t>
      </w:r>
      <w:r w:rsidR="003D32CA">
        <w:t xml:space="preserve">This would also lead to </w:t>
      </w:r>
      <w:r>
        <w:t>the appearance of a stronger</w:t>
      </w:r>
      <w:r w:rsidR="003D32CA">
        <w:t xml:space="preserve"> NSFR. However, while an ADI’s NSFR may appear to be higher</w:t>
      </w:r>
      <w:r>
        <w:t>,</w:t>
      </w:r>
      <w:r w:rsidR="003D32CA">
        <w:t xml:space="preserve"> this </w:t>
      </w:r>
      <w:r w:rsidR="00247328">
        <w:t>would</w:t>
      </w:r>
      <w:r w:rsidR="003D32CA">
        <w:t xml:space="preserve"> </w:t>
      </w:r>
      <w:r>
        <w:t>not reflect any underlying</w:t>
      </w:r>
      <w:r w:rsidR="003D32CA">
        <w:t xml:space="preserve"> improvement in the ADI’s liquidity self-reliance or longer-term resilience. This </w:t>
      </w:r>
      <w:r w:rsidR="00B351F7">
        <w:t>will be likely to</w:t>
      </w:r>
      <w:r w:rsidR="003D32CA">
        <w:t xml:space="preserve"> lead to a lower cost of funding for the ADI</w:t>
      </w:r>
      <w:r>
        <w:t>,</w:t>
      </w:r>
      <w:r w:rsidR="003D32CA">
        <w:t xml:space="preserve"> </w:t>
      </w:r>
      <w:r>
        <w:t xml:space="preserve">but a </w:t>
      </w:r>
      <w:r w:rsidR="003D32CA">
        <w:t>possible weakening of the ADI’s longer-term resilience.</w:t>
      </w:r>
      <w:r w:rsidR="001A1DA3">
        <w:t xml:space="preserve"> </w:t>
      </w:r>
    </w:p>
    <w:p w14:paraId="25A86219" w14:textId="08164B2C" w:rsidR="00DD41DB" w:rsidRPr="00765F64" w:rsidRDefault="00DD41DB" w:rsidP="00765F64">
      <w:pPr>
        <w:pStyle w:val="Paragraphtext"/>
        <w:numPr>
          <w:ilvl w:val="0"/>
          <w:numId w:val="0"/>
        </w:numPr>
        <w:ind w:left="360"/>
      </w:pPr>
      <w:r w:rsidRPr="00765F64">
        <w:t>Credit risk weights</w:t>
      </w:r>
    </w:p>
    <w:p w14:paraId="49F8661B" w14:textId="606429FE" w:rsidR="008F544D" w:rsidRDefault="008F544D" w:rsidP="008F544D">
      <w:pPr>
        <w:pStyle w:val="Paragraphtext"/>
      </w:pPr>
      <w:r w:rsidRPr="006C0883">
        <w:t xml:space="preserve">Under </w:t>
      </w:r>
      <w:r>
        <w:t xml:space="preserve">the </w:t>
      </w:r>
      <w:r w:rsidRPr="006C0883">
        <w:t xml:space="preserve">Basel </w:t>
      </w:r>
      <w:r>
        <w:t>NSFR standard</w:t>
      </w:r>
      <w:r w:rsidRPr="006C0883">
        <w:t xml:space="preserve">, in order to determine the </w:t>
      </w:r>
      <w:r w:rsidR="00C813B4">
        <w:t>required stable funding</w:t>
      </w:r>
      <w:r w:rsidRPr="006C0883">
        <w:t xml:space="preserve"> for residential mortgag</w:t>
      </w:r>
      <w:r>
        <w:t xml:space="preserve">es, </w:t>
      </w:r>
      <w:r w:rsidRPr="006C0883">
        <w:t xml:space="preserve">standardised risk weights </w:t>
      </w:r>
      <w:r>
        <w:t>in the Basel Committee’s capital framework are used</w:t>
      </w:r>
      <w:r w:rsidRPr="006C0883">
        <w:t xml:space="preserve">. </w:t>
      </w:r>
      <w:r w:rsidR="00C813B4">
        <w:t xml:space="preserve">These standardised risk weights are mapped to required </w:t>
      </w:r>
      <w:r w:rsidR="00C813B4">
        <w:lastRenderedPageBreak/>
        <w:t>stable funding factors to determine how much stable funding a bank is required to hold against residential mortgages</w:t>
      </w:r>
      <w:r w:rsidRPr="006C0883">
        <w:t xml:space="preserve">. </w:t>
      </w:r>
      <w:r>
        <w:t>APRA’s risk weights</w:t>
      </w:r>
      <w:r w:rsidR="00FD139F">
        <w:t xml:space="preserve"> are a more</w:t>
      </w:r>
      <w:r>
        <w:t xml:space="preserve"> conservative implementation of the Basel Committee’s capital framework, </w:t>
      </w:r>
      <w:r w:rsidR="00C813B4">
        <w:t>reflect</w:t>
      </w:r>
      <w:r w:rsidR="00FD139F">
        <w:t>ing</w:t>
      </w:r>
      <w:r w:rsidR="00C813B4">
        <w:t xml:space="preserve"> risk characteristics of </w:t>
      </w:r>
      <w:r w:rsidR="006F3EF1">
        <w:t xml:space="preserve">Australian </w:t>
      </w:r>
      <w:r w:rsidR="00247328">
        <w:t xml:space="preserve">residential </w:t>
      </w:r>
      <w:r w:rsidR="00C813B4">
        <w:t>mortgages held by ADIs</w:t>
      </w:r>
      <w:r>
        <w:t>.</w:t>
      </w:r>
      <w:r w:rsidR="00C813B4">
        <w:t xml:space="preserve"> Applying the Basel capital framework </w:t>
      </w:r>
      <w:r w:rsidR="00FD139F">
        <w:t xml:space="preserve">rather than APRA’ risk weights </w:t>
      </w:r>
      <w:r w:rsidR="00C813B4">
        <w:t>would lead to ADIs being able to hold less stable funding against residential mortgages with a resultant reduction in their cost of funding</w:t>
      </w:r>
      <w:r w:rsidR="007B7BBA">
        <w:t xml:space="preserve">. </w:t>
      </w:r>
      <w:r w:rsidR="00FD139F">
        <w:t xml:space="preserve">This </w:t>
      </w:r>
      <w:r w:rsidR="007B7BBA">
        <w:t>may mean such assets are not supported by an appropriate level of stable funding</w:t>
      </w:r>
      <w:r w:rsidR="00FD139F">
        <w:t>,</w:t>
      </w:r>
      <w:r w:rsidR="007B7BBA">
        <w:t xml:space="preserve"> which would become evident during a stress event. Adopting a conservative approach to required funding of mortgages may lead to higher costs but would improve the funding resilience of an ADI</w:t>
      </w:r>
      <w:r w:rsidR="00FD139F">
        <w:t>. The ADI would be</w:t>
      </w:r>
      <w:r w:rsidR="006F3EF1">
        <w:t xml:space="preserve"> </w:t>
      </w:r>
      <w:r w:rsidR="007B7BBA">
        <w:t xml:space="preserve">more likely to </w:t>
      </w:r>
      <w:r w:rsidR="006F3EF1">
        <w:t xml:space="preserve">be able to </w:t>
      </w:r>
      <w:r w:rsidR="007B7BBA">
        <w:lastRenderedPageBreak/>
        <w:t>withstand a stress event</w:t>
      </w:r>
      <w:r w:rsidR="00FD139F">
        <w:t>,</w:t>
      </w:r>
      <w:r w:rsidR="007B7BBA">
        <w:t xml:space="preserve"> minimising losses to depositors, investors and </w:t>
      </w:r>
      <w:r w:rsidR="006F3EF1">
        <w:t xml:space="preserve">also </w:t>
      </w:r>
      <w:r w:rsidR="007B7BBA">
        <w:t>reducing the likelihood of financial system instability.</w:t>
      </w:r>
      <w:r w:rsidR="00160337">
        <w:t xml:space="preserve"> </w:t>
      </w:r>
    </w:p>
    <w:p w14:paraId="378A96E1" w14:textId="5ACB1605" w:rsidR="00B351F7" w:rsidRPr="00765F64" w:rsidRDefault="00B351F7" w:rsidP="00765F64">
      <w:pPr>
        <w:pStyle w:val="Paragraphtext"/>
        <w:numPr>
          <w:ilvl w:val="0"/>
          <w:numId w:val="0"/>
        </w:numPr>
        <w:ind w:left="360"/>
      </w:pPr>
      <w:r w:rsidRPr="00765F64">
        <w:t>Member-directed superannuation deposits</w:t>
      </w:r>
    </w:p>
    <w:p w14:paraId="1815EF45" w14:textId="7863E63A" w:rsidR="00CE4880" w:rsidRPr="00CE4880" w:rsidRDefault="00BA35A1" w:rsidP="00290DFF">
      <w:pPr>
        <w:pStyle w:val="Paragraphtext"/>
      </w:pPr>
      <w:r>
        <w:t xml:space="preserve">Superannuation funds are considered to be more like wholesale investors in that they are better able to assess and quickly respond to the risks associated with the investments they undertake. Funding from such investors is typically less stable, and stable funding factors for such funding reflect this. This is reflected under the Basel NSFR standard by the fact that the availability of such deposits as a stable source of funding is lower than, for example, retail deposits. </w:t>
      </w:r>
      <w:r w:rsidR="00CE4880">
        <w:t>The Basel NSFR standard requires a deposi</w:t>
      </w:r>
      <w:r w:rsidR="00D930C1">
        <w:t>t from a financial institution</w:t>
      </w:r>
      <w:r w:rsidR="00CE4880">
        <w:t xml:space="preserve"> to be treated as such unless it meets the criteria for treatment as a </w:t>
      </w:r>
      <w:r w:rsidR="00CE4880">
        <w:lastRenderedPageBreak/>
        <w:t>retail deposit.</w:t>
      </w:r>
      <w:r w:rsidR="003D3D7D">
        <w:t xml:space="preserve"> A superannuation fund trustee has</w:t>
      </w:r>
      <w:r w:rsidR="00247328">
        <w:t xml:space="preserve"> a</w:t>
      </w:r>
      <w:r w:rsidR="003D3D7D">
        <w:t xml:space="preserve"> fiduciary duty to the fund’s members which would require the trustee to ensure that the members’ funds are protected. I</w:t>
      </w:r>
      <w:r w:rsidR="00FE569E">
        <w:t xml:space="preserve">f there was concern about an ADI’s financial condition, </w:t>
      </w:r>
      <w:r w:rsidR="003D3D7D">
        <w:t xml:space="preserve">the trustee would be expected to remove the members’ funds rather than risk funds being lost. </w:t>
      </w:r>
      <w:r w:rsidR="004070FA">
        <w:t>M</w:t>
      </w:r>
      <w:r w:rsidR="00116D5F">
        <w:t xml:space="preserve">ember-directed superannuation deposits </w:t>
      </w:r>
      <w:r w:rsidR="004070FA">
        <w:t xml:space="preserve">are more likely to behave </w:t>
      </w:r>
      <w:r w:rsidR="00116D5F">
        <w:t>as a more stable source of funding where the member continues to have direct control over the funds or, in the case of the superannuation fund itself, where the fund is contractually unable to move the funds for a specified minimum period of time.</w:t>
      </w:r>
    </w:p>
    <w:p w14:paraId="6E4F7BBF" w14:textId="16CBFEA5" w:rsidR="007712C9" w:rsidRPr="007712C9" w:rsidRDefault="00B31BB4" w:rsidP="007712C9">
      <w:pPr>
        <w:pStyle w:val="Paragraphtext"/>
      </w:pPr>
      <w:r>
        <w:t>APRA has consulted extensively with industry on these and other technical matters</w:t>
      </w:r>
      <w:r w:rsidR="004070FA">
        <w:t xml:space="preserve"> and </w:t>
      </w:r>
      <w:r w:rsidR="00BA35A1">
        <w:t xml:space="preserve">a </w:t>
      </w:r>
      <w:r w:rsidR="004070FA">
        <w:t>full discussion</w:t>
      </w:r>
      <w:r>
        <w:t xml:space="preserve"> can be found in</w:t>
      </w:r>
      <w:r w:rsidR="007712C9">
        <w:t xml:space="preserve"> the discussion paper</w:t>
      </w:r>
      <w:r w:rsidR="008751B1">
        <w:t xml:space="preserve"> </w:t>
      </w:r>
      <w:hyperlink r:id="rId16" w:history="1">
        <w:r w:rsidR="007712C9" w:rsidRPr="008751B1">
          <w:rPr>
            <w:rStyle w:val="Hyperlink"/>
            <w:rFonts w:ascii="Times New Roman" w:hAnsi="Times New Roman"/>
            <w:i/>
            <w:sz w:val="24"/>
          </w:rPr>
          <w:t xml:space="preserve">Basel III liquidity – the net stable funding </w:t>
        </w:r>
        <w:r w:rsidR="007712C9" w:rsidRPr="008751B1">
          <w:rPr>
            <w:rStyle w:val="Hyperlink"/>
            <w:rFonts w:ascii="Times New Roman" w:hAnsi="Times New Roman"/>
            <w:i/>
            <w:sz w:val="24"/>
          </w:rPr>
          <w:lastRenderedPageBreak/>
          <w:t>ratio and the liquid assets requirement for foreign ADIs</w:t>
        </w:r>
      </w:hyperlink>
      <w:r w:rsidR="007712C9">
        <w:t xml:space="preserve">, APRA, March 2016 and </w:t>
      </w:r>
      <w:r w:rsidR="008751B1">
        <w:t>r</w:t>
      </w:r>
      <w:r w:rsidR="007712C9">
        <w:t xml:space="preserve">esponse to submissions paper </w:t>
      </w:r>
      <w:hyperlink r:id="rId17" w:history="1">
        <w:r w:rsidR="007712C9" w:rsidRPr="008751B1">
          <w:rPr>
            <w:rStyle w:val="Hyperlink"/>
            <w:rFonts w:ascii="Times New Roman" w:hAnsi="Times New Roman"/>
            <w:i/>
            <w:sz w:val="24"/>
          </w:rPr>
          <w:t>Basel III liquidity – the net stable funding ratio and the liquid assets requirement for foreign ADIs</w:t>
        </w:r>
        <w:r w:rsidR="007712C9" w:rsidRPr="008751B1">
          <w:rPr>
            <w:rStyle w:val="Hyperlink"/>
            <w:rFonts w:ascii="Times New Roman" w:hAnsi="Times New Roman"/>
            <w:sz w:val="24"/>
          </w:rPr>
          <w:t>,</w:t>
        </w:r>
      </w:hyperlink>
      <w:r w:rsidR="007712C9">
        <w:t xml:space="preserve"> APRA, September 2016.</w:t>
      </w:r>
    </w:p>
    <w:p w14:paraId="7A4B504F" w14:textId="54338628" w:rsidR="00011033" w:rsidRPr="000C121E" w:rsidRDefault="007F283A" w:rsidP="0082125D">
      <w:pPr>
        <w:pStyle w:val="Paragraphtext"/>
        <w:keepNext/>
        <w:widowControl/>
        <w:numPr>
          <w:ilvl w:val="0"/>
          <w:numId w:val="0"/>
        </w:numPr>
        <w:rPr>
          <w:u w:val="single"/>
        </w:rPr>
      </w:pPr>
      <w:r>
        <w:rPr>
          <w:u w:val="single"/>
        </w:rPr>
        <w:t>Impact on cost of f</w:t>
      </w:r>
      <w:r w:rsidR="0097688C" w:rsidRPr="000C121E">
        <w:rPr>
          <w:u w:val="single"/>
        </w:rPr>
        <w:t xml:space="preserve">unding </w:t>
      </w:r>
    </w:p>
    <w:p w14:paraId="3654E5B4" w14:textId="5EFE5DEB" w:rsidR="000A6957" w:rsidRDefault="00011033" w:rsidP="0082125D">
      <w:pPr>
        <w:pStyle w:val="Paragraphtext"/>
        <w:keepNext/>
        <w:widowControl/>
      </w:pPr>
      <w:r>
        <w:t xml:space="preserve">Under each of the </w:t>
      </w:r>
      <w:r w:rsidR="00C970F8">
        <w:t xml:space="preserve">two </w:t>
      </w:r>
      <w:r>
        <w:t xml:space="preserve">options set out </w:t>
      </w:r>
      <w:r w:rsidR="004B037B">
        <w:t>in this RIS</w:t>
      </w:r>
      <w:r>
        <w:t xml:space="preserve">, </w:t>
      </w:r>
      <w:r w:rsidR="00AE76A8">
        <w:t xml:space="preserve">an </w:t>
      </w:r>
      <w:r>
        <w:t xml:space="preserve">ADI required to meet the NSFR requirement would incur additional </w:t>
      </w:r>
      <w:r w:rsidR="006804AF">
        <w:t xml:space="preserve">funding </w:t>
      </w:r>
      <w:r>
        <w:t xml:space="preserve">costs. </w:t>
      </w:r>
      <w:r w:rsidRPr="00036A9B">
        <w:t xml:space="preserve">These costs represent the additional </w:t>
      </w:r>
      <w:r w:rsidRPr="00696825">
        <w:t>cost associated with replacing short-term wholesale funding with longer-term wholesale funding</w:t>
      </w:r>
      <w:r w:rsidR="00233557">
        <w:t xml:space="preserve"> and which impacts ADIs’ profitability</w:t>
      </w:r>
      <w:r w:rsidR="005059BA">
        <w:t>.</w:t>
      </w:r>
      <w:r>
        <w:t xml:space="preserve"> </w:t>
      </w:r>
      <w:r w:rsidR="005059BA">
        <w:t>L</w:t>
      </w:r>
      <w:r>
        <w:t xml:space="preserve">onger-term funding </w:t>
      </w:r>
      <w:r w:rsidR="005059BA">
        <w:t xml:space="preserve">generally </w:t>
      </w:r>
      <w:r>
        <w:t>has a higher cost relative to the short-term funding it replaces.</w:t>
      </w:r>
      <w:r w:rsidR="0073735A">
        <w:t xml:space="preserve"> </w:t>
      </w:r>
      <w:r w:rsidR="00983B11">
        <w:t>In addition</w:t>
      </w:r>
      <w:r w:rsidR="008751B1">
        <w:t>,</w:t>
      </w:r>
      <w:r w:rsidR="00983B11">
        <w:t xml:space="preserve"> t</w:t>
      </w:r>
      <w:r w:rsidR="0073735A" w:rsidRPr="00C84E58">
        <w:t xml:space="preserve">he size of an ADI and the perceived risk of the ADI, amongst other factors, </w:t>
      </w:r>
      <w:r w:rsidR="00C82082" w:rsidRPr="00C84E58">
        <w:t xml:space="preserve">potentially </w:t>
      </w:r>
      <w:r w:rsidR="0073735A" w:rsidRPr="00C84E58">
        <w:t>affect the ADI’s cost of funds.</w:t>
      </w:r>
      <w:r w:rsidR="0073735A">
        <w:t xml:space="preserve"> Typically, </w:t>
      </w:r>
      <w:r w:rsidR="0025717C">
        <w:lastRenderedPageBreak/>
        <w:t xml:space="preserve">the </w:t>
      </w:r>
      <w:r w:rsidR="0073735A">
        <w:t xml:space="preserve">cost of funds will be </w:t>
      </w:r>
      <w:r w:rsidR="00AE76A8">
        <w:t>higher</w:t>
      </w:r>
      <w:r w:rsidR="0073735A">
        <w:t xml:space="preserve"> for smaller ADIs. On this basis</w:t>
      </w:r>
      <w:r w:rsidR="00AE76A8">
        <w:t>,</w:t>
      </w:r>
      <w:r w:rsidR="0073735A">
        <w:t xml:space="preserve"> the </w:t>
      </w:r>
      <w:r w:rsidR="008D47A2">
        <w:t xml:space="preserve">cost of </w:t>
      </w:r>
      <w:r w:rsidR="006804AF">
        <w:t>funding</w:t>
      </w:r>
      <w:r w:rsidR="008D47A2">
        <w:t xml:space="preserve"> can be broken down into the major ADIs and Regional/other ADIs</w:t>
      </w:r>
      <w:r w:rsidR="000A6957">
        <w:t xml:space="preserve"> as set out below</w:t>
      </w:r>
      <w:r w:rsidR="00F30004">
        <w:t>.</w:t>
      </w:r>
      <w:r w:rsidR="0065423E">
        <w:t xml:space="preserve"> </w:t>
      </w:r>
      <w:r w:rsidR="0065423E" w:rsidRPr="007B4346">
        <w:t xml:space="preserve">The costs associated with an ADI changing its funding profile for NSFR purposes have been included as part of the cost estimates under each of the options set out </w:t>
      </w:r>
      <w:r w:rsidR="00863BD5" w:rsidRPr="007B4346">
        <w:t>above</w:t>
      </w:r>
      <w:r w:rsidR="0065423E">
        <w:t>.</w:t>
      </w:r>
    </w:p>
    <w:tbl>
      <w:tblPr>
        <w:tblStyle w:val="LightGrid1"/>
        <w:tblW w:w="0" w:type="auto"/>
        <w:tblLook w:val="06A0" w:firstRow="1" w:lastRow="0" w:firstColumn="1" w:lastColumn="0" w:noHBand="1" w:noVBand="1"/>
        <w:tblCaption w:val="Table 3"/>
        <w:tblDescription w:val="Average costs associated with replacing short term funding with long term funding for each ADI grouped by regional/other ADIs and major ADIs"/>
      </w:tblPr>
      <w:tblGrid>
        <w:gridCol w:w="1809"/>
        <w:gridCol w:w="2410"/>
        <w:gridCol w:w="2268"/>
        <w:gridCol w:w="2395"/>
      </w:tblGrid>
      <w:tr w:rsidR="00983B11" w14:paraId="1D6F25A6" w14:textId="77777777" w:rsidTr="00AA03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71FCFFBB" w14:textId="77777777" w:rsidR="000A6957" w:rsidRPr="00916171" w:rsidRDefault="000A6957" w:rsidP="006F6084">
            <w:pPr>
              <w:pStyle w:val="RIStext"/>
              <w:jc w:val="left"/>
            </w:pPr>
          </w:p>
        </w:tc>
        <w:tc>
          <w:tcPr>
            <w:tcW w:w="2410" w:type="dxa"/>
          </w:tcPr>
          <w:p w14:paraId="11EBA4DE" w14:textId="359265CE" w:rsidR="000A6957" w:rsidRPr="00916171" w:rsidRDefault="000A6957" w:rsidP="006F6084">
            <w:pPr>
              <w:pStyle w:val="RIStext"/>
              <w:jc w:val="left"/>
              <w:cnfStyle w:val="100000000000" w:firstRow="1" w:lastRow="0" w:firstColumn="0" w:lastColumn="0" w:oddVBand="0" w:evenVBand="0" w:oddHBand="0" w:evenHBand="0" w:firstRowFirstColumn="0" w:firstRowLastColumn="0" w:lastRowFirstColumn="0" w:lastRowLastColumn="0"/>
            </w:pPr>
            <w:r w:rsidRPr="00916171">
              <w:t xml:space="preserve">Average </w:t>
            </w:r>
            <w:r w:rsidR="00233557" w:rsidRPr="00916171">
              <w:t xml:space="preserve">increase in </w:t>
            </w:r>
            <w:r w:rsidRPr="00916171">
              <w:t xml:space="preserve">cost of </w:t>
            </w:r>
            <w:r w:rsidR="00983B11" w:rsidRPr="00916171">
              <w:t>replacing short term funding with longer term funding</w:t>
            </w:r>
            <w:r w:rsidRPr="00916171">
              <w:t xml:space="preserve"> (basis points)</w:t>
            </w:r>
          </w:p>
        </w:tc>
        <w:tc>
          <w:tcPr>
            <w:tcW w:w="2268" w:type="dxa"/>
          </w:tcPr>
          <w:p w14:paraId="18209CE9" w14:textId="7F7A91D4" w:rsidR="000A6957" w:rsidRPr="00916171" w:rsidRDefault="000A6957" w:rsidP="006F6084">
            <w:pPr>
              <w:pStyle w:val="RIStext"/>
              <w:jc w:val="left"/>
              <w:cnfStyle w:val="100000000000" w:firstRow="1" w:lastRow="0" w:firstColumn="0" w:lastColumn="0" w:oddVBand="0" w:evenVBand="0" w:oddHBand="0" w:evenHBand="0" w:firstRowFirstColumn="0" w:firstRowLastColumn="0" w:lastRowFirstColumn="0" w:lastRowLastColumn="0"/>
            </w:pPr>
            <w:r w:rsidRPr="00916171">
              <w:t xml:space="preserve">Average additional </w:t>
            </w:r>
            <w:r w:rsidR="00983B11" w:rsidRPr="00916171">
              <w:t xml:space="preserve">longer term </w:t>
            </w:r>
            <w:r w:rsidRPr="00916171">
              <w:t xml:space="preserve">funding required </w:t>
            </w:r>
            <w:r w:rsidR="00233557" w:rsidRPr="00916171">
              <w:t xml:space="preserve">for each ADI </w:t>
            </w:r>
            <w:r w:rsidRPr="00916171">
              <w:t>($m)</w:t>
            </w:r>
          </w:p>
        </w:tc>
        <w:tc>
          <w:tcPr>
            <w:tcW w:w="2395" w:type="dxa"/>
          </w:tcPr>
          <w:p w14:paraId="7852D981" w14:textId="444ECEE7" w:rsidR="000A6957" w:rsidRPr="00916171" w:rsidRDefault="000A6957" w:rsidP="006F6084">
            <w:pPr>
              <w:pStyle w:val="RIStext"/>
              <w:jc w:val="left"/>
              <w:cnfStyle w:val="100000000000" w:firstRow="1" w:lastRow="0" w:firstColumn="0" w:lastColumn="0" w:oddVBand="0" w:evenVBand="0" w:oddHBand="0" w:evenHBand="0" w:firstRowFirstColumn="0" w:firstRowLastColumn="0" w:lastRowFirstColumn="0" w:lastRowLastColumn="0"/>
            </w:pPr>
            <w:r w:rsidRPr="00916171">
              <w:t>Total</w:t>
            </w:r>
            <w:r w:rsidR="00233557" w:rsidRPr="00916171">
              <w:t xml:space="preserve"> average additional cost of funding per </w:t>
            </w:r>
            <w:r w:rsidRPr="00916171">
              <w:t>ADI</w:t>
            </w:r>
            <w:r w:rsidR="00233557" w:rsidRPr="00916171">
              <w:t xml:space="preserve"> (i.e. reduction in </w:t>
            </w:r>
            <w:r w:rsidR="0001183B" w:rsidRPr="00916171">
              <w:t xml:space="preserve">annual </w:t>
            </w:r>
            <w:r w:rsidR="00233557" w:rsidRPr="00916171">
              <w:t>profit)</w:t>
            </w:r>
            <w:r w:rsidR="00916171">
              <w:t xml:space="preserve"> </w:t>
            </w:r>
            <w:r w:rsidRPr="00916171">
              <w:t>($m)</w:t>
            </w:r>
          </w:p>
        </w:tc>
      </w:tr>
      <w:tr w:rsidR="00983B11" w14:paraId="7926F742" w14:textId="77777777" w:rsidTr="00916171">
        <w:tc>
          <w:tcPr>
            <w:cnfStyle w:val="001000000000" w:firstRow="0" w:lastRow="0" w:firstColumn="1" w:lastColumn="0" w:oddVBand="0" w:evenVBand="0" w:oddHBand="0" w:evenHBand="0" w:firstRowFirstColumn="0" w:firstRowLastColumn="0" w:lastRowFirstColumn="0" w:lastRowLastColumn="0"/>
            <w:tcW w:w="1809" w:type="dxa"/>
          </w:tcPr>
          <w:p w14:paraId="4C04077A" w14:textId="77777777" w:rsidR="000A6957" w:rsidRPr="00916171" w:rsidRDefault="000A6957" w:rsidP="006F6084">
            <w:pPr>
              <w:pStyle w:val="RIStext"/>
              <w:jc w:val="left"/>
            </w:pPr>
            <w:r w:rsidRPr="00916171">
              <w:t>Regional/other ADIs</w:t>
            </w:r>
          </w:p>
        </w:tc>
        <w:tc>
          <w:tcPr>
            <w:tcW w:w="2410" w:type="dxa"/>
          </w:tcPr>
          <w:p w14:paraId="519FB9AC" w14:textId="77777777" w:rsidR="000A6957" w:rsidRPr="00916171" w:rsidRDefault="000A6957" w:rsidP="006F6084">
            <w:pPr>
              <w:pStyle w:val="RIStext"/>
              <w:jc w:val="left"/>
              <w:cnfStyle w:val="000000000000" w:firstRow="0" w:lastRow="0" w:firstColumn="0" w:lastColumn="0" w:oddVBand="0" w:evenVBand="0" w:oddHBand="0" w:evenHBand="0" w:firstRowFirstColumn="0" w:firstRowLastColumn="0" w:lastRowFirstColumn="0" w:lastRowLastColumn="0"/>
            </w:pPr>
            <w:r w:rsidRPr="00916171">
              <w:t>75-80</w:t>
            </w:r>
          </w:p>
        </w:tc>
        <w:tc>
          <w:tcPr>
            <w:tcW w:w="2268" w:type="dxa"/>
          </w:tcPr>
          <w:p w14:paraId="77A2D9F7" w14:textId="77777777" w:rsidR="000A6957" w:rsidRPr="00916171" w:rsidRDefault="006804AF" w:rsidP="006F6084">
            <w:pPr>
              <w:pStyle w:val="RIStext"/>
              <w:jc w:val="left"/>
              <w:cnfStyle w:val="000000000000" w:firstRow="0" w:lastRow="0" w:firstColumn="0" w:lastColumn="0" w:oddVBand="0" w:evenVBand="0" w:oddHBand="0" w:evenHBand="0" w:firstRowFirstColumn="0" w:firstRowLastColumn="0" w:lastRowFirstColumn="0" w:lastRowLastColumn="0"/>
            </w:pPr>
            <w:r w:rsidRPr="00916171">
              <w:t>1</w:t>
            </w:r>
            <w:r w:rsidR="000A6957" w:rsidRPr="00916171">
              <w:t>,000</w:t>
            </w:r>
          </w:p>
        </w:tc>
        <w:tc>
          <w:tcPr>
            <w:tcW w:w="2395" w:type="dxa"/>
          </w:tcPr>
          <w:p w14:paraId="3D90DACE" w14:textId="77777777" w:rsidR="000A6957" w:rsidRPr="00916171" w:rsidRDefault="006804AF" w:rsidP="006F6084">
            <w:pPr>
              <w:pStyle w:val="RIStext"/>
              <w:jc w:val="left"/>
              <w:cnfStyle w:val="000000000000" w:firstRow="0" w:lastRow="0" w:firstColumn="0" w:lastColumn="0" w:oddVBand="0" w:evenVBand="0" w:oddHBand="0" w:evenHBand="0" w:firstRowFirstColumn="0" w:firstRowLastColumn="0" w:lastRowFirstColumn="0" w:lastRowLastColumn="0"/>
            </w:pPr>
            <w:r w:rsidRPr="00916171">
              <w:t>7.5-8</w:t>
            </w:r>
          </w:p>
        </w:tc>
      </w:tr>
      <w:tr w:rsidR="00983B11" w14:paraId="1304CBDB" w14:textId="77777777" w:rsidTr="00916171">
        <w:tc>
          <w:tcPr>
            <w:cnfStyle w:val="001000000000" w:firstRow="0" w:lastRow="0" w:firstColumn="1" w:lastColumn="0" w:oddVBand="0" w:evenVBand="0" w:oddHBand="0" w:evenHBand="0" w:firstRowFirstColumn="0" w:firstRowLastColumn="0" w:lastRowFirstColumn="0" w:lastRowLastColumn="0"/>
            <w:tcW w:w="1809" w:type="dxa"/>
          </w:tcPr>
          <w:p w14:paraId="66E8AACA" w14:textId="77777777" w:rsidR="000A6957" w:rsidRPr="00916171" w:rsidRDefault="000A6957" w:rsidP="006F6084">
            <w:pPr>
              <w:pStyle w:val="RIStext"/>
              <w:jc w:val="left"/>
            </w:pPr>
            <w:r w:rsidRPr="00916171">
              <w:t>Major ADIs</w:t>
            </w:r>
          </w:p>
        </w:tc>
        <w:tc>
          <w:tcPr>
            <w:tcW w:w="2410" w:type="dxa"/>
          </w:tcPr>
          <w:p w14:paraId="06ED057E" w14:textId="77777777" w:rsidR="000A6957" w:rsidRPr="00916171" w:rsidRDefault="000A6957" w:rsidP="006F6084">
            <w:pPr>
              <w:pStyle w:val="RIStext"/>
              <w:jc w:val="left"/>
              <w:cnfStyle w:val="000000000000" w:firstRow="0" w:lastRow="0" w:firstColumn="0" w:lastColumn="0" w:oddVBand="0" w:evenVBand="0" w:oddHBand="0" w:evenHBand="0" w:firstRowFirstColumn="0" w:firstRowLastColumn="0" w:lastRowFirstColumn="0" w:lastRowLastColumn="0"/>
            </w:pPr>
            <w:r w:rsidRPr="00916171">
              <w:t>40-45</w:t>
            </w:r>
          </w:p>
        </w:tc>
        <w:tc>
          <w:tcPr>
            <w:tcW w:w="2268" w:type="dxa"/>
          </w:tcPr>
          <w:p w14:paraId="4DF85AC9" w14:textId="77777777" w:rsidR="000A6957" w:rsidRPr="00916171" w:rsidRDefault="006804AF" w:rsidP="006F6084">
            <w:pPr>
              <w:pStyle w:val="RIStext"/>
              <w:jc w:val="left"/>
              <w:cnfStyle w:val="000000000000" w:firstRow="0" w:lastRow="0" w:firstColumn="0" w:lastColumn="0" w:oddVBand="0" w:evenVBand="0" w:oddHBand="0" w:evenHBand="0" w:firstRowFirstColumn="0" w:firstRowLastColumn="0" w:lastRowFirstColumn="0" w:lastRowLastColumn="0"/>
            </w:pPr>
            <w:r w:rsidRPr="00916171">
              <w:t>15,000</w:t>
            </w:r>
          </w:p>
        </w:tc>
        <w:tc>
          <w:tcPr>
            <w:tcW w:w="2395" w:type="dxa"/>
          </w:tcPr>
          <w:p w14:paraId="4BBFAAB5" w14:textId="77777777" w:rsidR="000A6957" w:rsidRPr="00916171" w:rsidRDefault="006804AF" w:rsidP="006F6084">
            <w:pPr>
              <w:pStyle w:val="RIStext"/>
              <w:jc w:val="left"/>
              <w:cnfStyle w:val="000000000000" w:firstRow="0" w:lastRow="0" w:firstColumn="0" w:lastColumn="0" w:oddVBand="0" w:evenVBand="0" w:oddHBand="0" w:evenHBand="0" w:firstRowFirstColumn="0" w:firstRowLastColumn="0" w:lastRowFirstColumn="0" w:lastRowLastColumn="0"/>
            </w:pPr>
            <w:r w:rsidRPr="00916171">
              <w:t>60-67.5</w:t>
            </w:r>
          </w:p>
        </w:tc>
      </w:tr>
    </w:tbl>
    <w:p w14:paraId="3A0D4BD4" w14:textId="5F65F09D" w:rsidR="00692C6E" w:rsidRPr="00692C6E" w:rsidRDefault="003655C5" w:rsidP="00AD4EDD">
      <w:pPr>
        <w:pStyle w:val="Paragraphtext"/>
        <w:rPr>
          <w:bCs/>
          <w:iCs/>
        </w:rPr>
      </w:pPr>
      <w:r>
        <w:lastRenderedPageBreak/>
        <w:t>A</w:t>
      </w:r>
      <w:r w:rsidR="00BA65F8">
        <w:t xml:space="preserve">doption of the NSFR by ADIs that operate in international markets will lead to a lower cost of wholesale funding than would otherwise be the case. This reflects the adoption of internationally consistent standards </w:t>
      </w:r>
      <w:r w:rsidR="00F04B84">
        <w:t xml:space="preserve">which </w:t>
      </w:r>
      <w:r w:rsidR="008D450B">
        <w:t xml:space="preserve">leads to competitive neutrality as all </w:t>
      </w:r>
      <w:r w:rsidR="00F04B84">
        <w:t>internationall</w:t>
      </w:r>
      <w:r w:rsidR="008D450B">
        <w:t xml:space="preserve">y active banks are bound by the same </w:t>
      </w:r>
      <w:r w:rsidR="00F04B84">
        <w:t xml:space="preserve">(global) </w:t>
      </w:r>
      <w:r w:rsidR="008D450B">
        <w:t>l</w:t>
      </w:r>
      <w:r w:rsidR="00F04B84">
        <w:t>iquidity</w:t>
      </w:r>
      <w:r w:rsidR="008D450B">
        <w:t xml:space="preserve"> framework</w:t>
      </w:r>
      <w:r w:rsidR="00692C6E">
        <w:t>.</w:t>
      </w:r>
      <w:r w:rsidR="008D47A2">
        <w:t xml:space="preserve"> </w:t>
      </w:r>
      <w:r w:rsidR="00F04B84">
        <w:t xml:space="preserve">If the NSFR was not applied to internationally active Australian ADIs, the cost of funds would be materially higher and would negatively impact their capacity to compete for offshore funding. </w:t>
      </w:r>
    </w:p>
    <w:p w14:paraId="2B22D17E" w14:textId="2CE2BA1D" w:rsidR="000C5A50" w:rsidRPr="00E32236" w:rsidRDefault="00AD4EDD" w:rsidP="00AD4EDD">
      <w:pPr>
        <w:pStyle w:val="Paragraphtext"/>
        <w:rPr>
          <w:bCs/>
          <w:iCs/>
        </w:rPr>
      </w:pPr>
      <w:r>
        <w:t xml:space="preserve">The actual extent of the impact </w:t>
      </w:r>
      <w:r w:rsidR="000A0623">
        <w:t xml:space="preserve">on </w:t>
      </w:r>
      <w:r w:rsidR="006E68D7">
        <w:t>an ADI’s</w:t>
      </w:r>
      <w:r>
        <w:t xml:space="preserve"> profit</w:t>
      </w:r>
      <w:r w:rsidR="006E68D7">
        <w:t xml:space="preserve"> will depend on the extent to which it seeks to pass on these costs to its customers. This could take the form of reduced interest rates on deposits products o</w:t>
      </w:r>
      <w:r w:rsidR="00632B96">
        <w:t>r increased</w:t>
      </w:r>
      <w:r w:rsidR="006E68D7">
        <w:t xml:space="preserve"> interest costs on loans. ADI</w:t>
      </w:r>
      <w:r w:rsidR="003655C5">
        <w:t>s could also</w:t>
      </w:r>
      <w:r w:rsidR="006E68D7">
        <w:t xml:space="preserve"> cover any additional funding costs would be </w:t>
      </w:r>
      <w:r w:rsidR="006E68D7">
        <w:lastRenderedPageBreak/>
        <w:t xml:space="preserve">through reductions in payments to shareholders. The actual extent and impact </w:t>
      </w:r>
      <w:r w:rsidR="00632B96">
        <w:t>on</w:t>
      </w:r>
      <w:r w:rsidR="006E68D7">
        <w:t xml:space="preserve"> funding costs would be </w:t>
      </w:r>
      <w:r w:rsidR="00DB57EB">
        <w:t>specific to each ADI in terms of how it manage</w:t>
      </w:r>
      <w:r w:rsidR="00632B96">
        <w:t>s</w:t>
      </w:r>
      <w:r w:rsidR="00DB57EB">
        <w:t xml:space="preserve"> these costs.</w:t>
      </w:r>
      <w:r w:rsidR="00E32236">
        <w:t xml:space="preserve"> </w:t>
      </w:r>
    </w:p>
    <w:p w14:paraId="71CBA191" w14:textId="77777777" w:rsidR="00D27578" w:rsidRPr="000943FA" w:rsidRDefault="000943FA" w:rsidP="00653DC7">
      <w:pPr>
        <w:pStyle w:val="RISHeader3"/>
      </w:pPr>
      <w:r w:rsidRPr="000943FA">
        <w:t xml:space="preserve">Summary of </w:t>
      </w:r>
      <w:r w:rsidR="0040680F">
        <w:t xml:space="preserve">policy </w:t>
      </w:r>
      <w:r w:rsidRPr="000943FA">
        <w:t>options and net benefits</w:t>
      </w:r>
    </w:p>
    <w:p w14:paraId="2C022CDD" w14:textId="5872CBEA" w:rsidR="000943FA" w:rsidRPr="00691CD2" w:rsidRDefault="00653DC7" w:rsidP="00762C24">
      <w:pPr>
        <w:pStyle w:val="RISHeader4"/>
      </w:pPr>
      <w:r>
        <w:t>Table 4</w:t>
      </w:r>
      <w:r w:rsidR="000943FA" w:rsidRPr="00691CD2">
        <w:t xml:space="preserve">: Summary of the net benefits of each </w:t>
      </w:r>
      <w:r w:rsidR="00481555">
        <w:t xml:space="preserve">NSFR </w:t>
      </w:r>
      <w:r w:rsidR="000943FA" w:rsidRPr="00691CD2">
        <w:t>option</w:t>
      </w:r>
    </w:p>
    <w:tbl>
      <w:tblPr>
        <w:tblStyle w:val="LightGrid1"/>
        <w:tblW w:w="9180" w:type="dxa"/>
        <w:tblLook w:val="06A0" w:firstRow="1" w:lastRow="0" w:firstColumn="1" w:lastColumn="0" w:noHBand="1" w:noVBand="1"/>
        <w:tblCaption w:val="Table 4"/>
        <w:tblDescription w:val="Shows the summary of the net benefits of each NSFR option"/>
      </w:tblPr>
      <w:tblGrid>
        <w:gridCol w:w="3369"/>
        <w:gridCol w:w="2575"/>
        <w:gridCol w:w="3236"/>
      </w:tblGrid>
      <w:tr w:rsidR="004A61ED" w:rsidRPr="00691CD2" w14:paraId="28E3C926" w14:textId="77777777" w:rsidTr="00AA03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tcPr>
          <w:p w14:paraId="6A7FF76B" w14:textId="77777777" w:rsidR="004A61ED" w:rsidRPr="00916171" w:rsidRDefault="004A61ED" w:rsidP="00AA03AC">
            <w:pPr>
              <w:pStyle w:val="RIStext"/>
              <w:jc w:val="left"/>
            </w:pPr>
          </w:p>
        </w:tc>
        <w:tc>
          <w:tcPr>
            <w:tcW w:w="2575" w:type="dxa"/>
          </w:tcPr>
          <w:p w14:paraId="4A43BB9B" w14:textId="77777777" w:rsidR="004A61ED" w:rsidRPr="00916171" w:rsidRDefault="004A61ED" w:rsidP="00AA03AC">
            <w:pPr>
              <w:pStyle w:val="RIStext"/>
              <w:jc w:val="left"/>
              <w:cnfStyle w:val="100000000000" w:firstRow="1" w:lastRow="0" w:firstColumn="0" w:lastColumn="0" w:oddVBand="0" w:evenVBand="0" w:oddHBand="0" w:evenHBand="0" w:firstRowFirstColumn="0" w:firstRowLastColumn="0" w:lastRowFirstColumn="0" w:lastRowLastColumn="0"/>
              <w:rPr>
                <w:b w:val="0"/>
              </w:rPr>
            </w:pPr>
            <w:r w:rsidRPr="00916171">
              <w:t>Option 1:</w:t>
            </w:r>
            <w:r w:rsidRPr="00916171">
              <w:br/>
              <w:t xml:space="preserve">Basel NSFR </w:t>
            </w:r>
            <w:r w:rsidR="00DD47DF" w:rsidRPr="00916171">
              <w:t>standard without change</w:t>
            </w:r>
          </w:p>
        </w:tc>
        <w:tc>
          <w:tcPr>
            <w:tcW w:w="3236" w:type="dxa"/>
          </w:tcPr>
          <w:p w14:paraId="23810D31" w14:textId="77777777" w:rsidR="004A61ED" w:rsidRPr="00916171" w:rsidRDefault="004A61ED" w:rsidP="00AA03AC">
            <w:pPr>
              <w:pStyle w:val="RIStext"/>
              <w:jc w:val="left"/>
              <w:cnfStyle w:val="100000000000" w:firstRow="1" w:lastRow="0" w:firstColumn="0" w:lastColumn="0" w:oddVBand="0" w:evenVBand="0" w:oddHBand="0" w:evenHBand="0" w:firstRowFirstColumn="0" w:firstRowLastColumn="0" w:lastRowFirstColumn="0" w:lastRowLastColumn="0"/>
              <w:rPr>
                <w:b w:val="0"/>
              </w:rPr>
            </w:pPr>
            <w:r w:rsidRPr="00916171">
              <w:t xml:space="preserve">Option 2: </w:t>
            </w:r>
            <w:r w:rsidRPr="00916171">
              <w:br/>
              <w:t xml:space="preserve">Basel NSFR standard applied to all ADIs </w:t>
            </w:r>
          </w:p>
        </w:tc>
      </w:tr>
      <w:tr w:rsidR="004A61ED" w:rsidRPr="00691CD2" w14:paraId="2976CCB9" w14:textId="77777777" w:rsidTr="00AA03AC">
        <w:tc>
          <w:tcPr>
            <w:cnfStyle w:val="001000000000" w:firstRow="0" w:lastRow="0" w:firstColumn="1" w:lastColumn="0" w:oddVBand="0" w:evenVBand="0" w:oddHBand="0" w:evenHBand="0" w:firstRowFirstColumn="0" w:firstRowLastColumn="0" w:lastRowFirstColumn="0" w:lastRowLastColumn="0"/>
            <w:tcW w:w="3369" w:type="dxa"/>
          </w:tcPr>
          <w:p w14:paraId="45A8810F" w14:textId="77777777" w:rsidR="004A61ED" w:rsidRPr="00916171" w:rsidRDefault="004A61ED" w:rsidP="00AA03AC">
            <w:pPr>
              <w:pStyle w:val="RIStext"/>
              <w:jc w:val="left"/>
              <w:rPr>
                <w:b w:val="0"/>
              </w:rPr>
            </w:pPr>
            <w:r w:rsidRPr="00916171">
              <w:t>Compliance costs and indirect costs (indicative)</w:t>
            </w:r>
          </w:p>
        </w:tc>
        <w:tc>
          <w:tcPr>
            <w:tcW w:w="2575" w:type="dxa"/>
          </w:tcPr>
          <w:p w14:paraId="6C6BF683" w14:textId="77777777" w:rsidR="004A61ED" w:rsidRPr="00916171" w:rsidRDefault="004A61ED" w:rsidP="00AA03AC">
            <w:pPr>
              <w:pStyle w:val="RIStext"/>
              <w:jc w:val="left"/>
              <w:cnfStyle w:val="000000000000" w:firstRow="0" w:lastRow="0" w:firstColumn="0" w:lastColumn="0" w:oddVBand="0" w:evenVBand="0" w:oddHBand="0" w:evenHBand="0" w:firstRowFirstColumn="0" w:firstRowLastColumn="0" w:lastRowFirstColumn="0" w:lastRowLastColumn="0"/>
            </w:pPr>
            <w:r w:rsidRPr="00916171">
              <w:t>No change</w:t>
            </w:r>
          </w:p>
        </w:tc>
        <w:tc>
          <w:tcPr>
            <w:tcW w:w="3236" w:type="dxa"/>
          </w:tcPr>
          <w:p w14:paraId="04DCE62C" w14:textId="534B488F" w:rsidR="004A61ED" w:rsidRPr="00916171" w:rsidRDefault="00BB27A5" w:rsidP="00AA03AC">
            <w:pPr>
              <w:pStyle w:val="RIStext"/>
              <w:jc w:val="left"/>
              <w:cnfStyle w:val="000000000000" w:firstRow="0" w:lastRow="0" w:firstColumn="0" w:lastColumn="0" w:oddVBand="0" w:evenVBand="0" w:oddHBand="0" w:evenHBand="0" w:firstRowFirstColumn="0" w:firstRowLastColumn="0" w:lastRowFirstColumn="0" w:lastRowLastColumn="0"/>
            </w:pPr>
            <w:r w:rsidRPr="00916171">
              <w:t>Minor to m</w:t>
            </w:r>
            <w:r w:rsidR="004A61ED" w:rsidRPr="00916171">
              <w:t>oderate net cost</w:t>
            </w:r>
            <w:r w:rsidR="0098155D" w:rsidRPr="00916171">
              <w:t>s for small</w:t>
            </w:r>
            <w:r w:rsidR="00E6205F" w:rsidRPr="00916171">
              <w:t>er</w:t>
            </w:r>
            <w:r w:rsidR="0098155D" w:rsidRPr="00916171">
              <w:t xml:space="preserve"> ADIs</w:t>
            </w:r>
          </w:p>
        </w:tc>
      </w:tr>
      <w:tr w:rsidR="004A61ED" w:rsidRPr="00691CD2" w14:paraId="5ECB4D74" w14:textId="77777777" w:rsidTr="00AA03AC">
        <w:tc>
          <w:tcPr>
            <w:cnfStyle w:val="001000000000" w:firstRow="0" w:lastRow="0" w:firstColumn="1" w:lastColumn="0" w:oddVBand="0" w:evenVBand="0" w:oddHBand="0" w:evenHBand="0" w:firstRowFirstColumn="0" w:firstRowLastColumn="0" w:lastRowFirstColumn="0" w:lastRowLastColumn="0"/>
            <w:tcW w:w="3369" w:type="dxa"/>
          </w:tcPr>
          <w:p w14:paraId="4D98AB86" w14:textId="77777777" w:rsidR="004A61ED" w:rsidRPr="00916171" w:rsidRDefault="004A61ED" w:rsidP="00AA03AC">
            <w:pPr>
              <w:pStyle w:val="RIStext"/>
              <w:jc w:val="left"/>
              <w:rPr>
                <w:b w:val="0"/>
              </w:rPr>
            </w:pPr>
            <w:r w:rsidRPr="00916171">
              <w:t xml:space="preserve">Leads to better protection of ADIs’ stakeholders </w:t>
            </w:r>
          </w:p>
        </w:tc>
        <w:tc>
          <w:tcPr>
            <w:tcW w:w="2575" w:type="dxa"/>
          </w:tcPr>
          <w:p w14:paraId="74F9171B" w14:textId="77777777" w:rsidR="004A61ED" w:rsidRPr="00916171" w:rsidRDefault="004A61ED" w:rsidP="00AA03AC">
            <w:pPr>
              <w:pStyle w:val="RIStext"/>
              <w:jc w:val="left"/>
              <w:cnfStyle w:val="000000000000" w:firstRow="0" w:lastRow="0" w:firstColumn="0" w:lastColumn="0" w:oddVBand="0" w:evenVBand="0" w:oddHBand="0" w:evenHBand="0" w:firstRowFirstColumn="0" w:firstRowLastColumn="0" w:lastRowFirstColumn="0" w:lastRowLastColumn="0"/>
            </w:pPr>
            <w:r w:rsidRPr="00916171">
              <w:t>Meets this criteria</w:t>
            </w:r>
          </w:p>
        </w:tc>
        <w:tc>
          <w:tcPr>
            <w:tcW w:w="3236" w:type="dxa"/>
          </w:tcPr>
          <w:p w14:paraId="12F86870" w14:textId="77777777" w:rsidR="004A61ED" w:rsidRPr="00916171" w:rsidRDefault="004A61ED" w:rsidP="00AA03AC">
            <w:pPr>
              <w:pStyle w:val="RIStext"/>
              <w:jc w:val="left"/>
              <w:cnfStyle w:val="000000000000" w:firstRow="0" w:lastRow="0" w:firstColumn="0" w:lastColumn="0" w:oddVBand="0" w:evenVBand="0" w:oddHBand="0" w:evenHBand="0" w:firstRowFirstColumn="0" w:firstRowLastColumn="0" w:lastRowFirstColumn="0" w:lastRowLastColumn="0"/>
            </w:pPr>
            <w:r w:rsidRPr="00916171">
              <w:t>Meets this criteria</w:t>
            </w:r>
          </w:p>
        </w:tc>
      </w:tr>
      <w:tr w:rsidR="004A61ED" w:rsidRPr="00691CD2" w14:paraId="0CDC2CBF" w14:textId="77777777" w:rsidTr="00AA03AC">
        <w:tc>
          <w:tcPr>
            <w:cnfStyle w:val="001000000000" w:firstRow="0" w:lastRow="0" w:firstColumn="1" w:lastColumn="0" w:oddVBand="0" w:evenVBand="0" w:oddHBand="0" w:evenHBand="0" w:firstRowFirstColumn="0" w:firstRowLastColumn="0" w:lastRowFirstColumn="0" w:lastRowLastColumn="0"/>
            <w:tcW w:w="3369" w:type="dxa"/>
          </w:tcPr>
          <w:p w14:paraId="386740E5" w14:textId="77777777" w:rsidR="004A61ED" w:rsidRPr="00916171" w:rsidRDefault="004A61ED" w:rsidP="00AA03AC">
            <w:pPr>
              <w:pStyle w:val="RIStext"/>
              <w:jc w:val="left"/>
              <w:rPr>
                <w:b w:val="0"/>
              </w:rPr>
            </w:pPr>
            <w:r w:rsidRPr="00916171">
              <w:lastRenderedPageBreak/>
              <w:t>Consistent with G20 agreements and Basel  III</w:t>
            </w:r>
          </w:p>
        </w:tc>
        <w:tc>
          <w:tcPr>
            <w:tcW w:w="2575" w:type="dxa"/>
          </w:tcPr>
          <w:p w14:paraId="6C315E4A" w14:textId="77777777" w:rsidR="004A61ED" w:rsidRPr="00916171" w:rsidRDefault="004A61ED" w:rsidP="00AA03AC">
            <w:pPr>
              <w:pStyle w:val="RIStext"/>
              <w:jc w:val="left"/>
              <w:cnfStyle w:val="000000000000" w:firstRow="0" w:lastRow="0" w:firstColumn="0" w:lastColumn="0" w:oddVBand="0" w:evenVBand="0" w:oddHBand="0" w:evenHBand="0" w:firstRowFirstColumn="0" w:firstRowLastColumn="0" w:lastRowFirstColumn="0" w:lastRowLastColumn="0"/>
            </w:pPr>
            <w:r w:rsidRPr="00916171">
              <w:t>Meets this criteria</w:t>
            </w:r>
          </w:p>
        </w:tc>
        <w:tc>
          <w:tcPr>
            <w:tcW w:w="3236" w:type="dxa"/>
          </w:tcPr>
          <w:p w14:paraId="3CFB3990" w14:textId="77777777" w:rsidR="004A61ED" w:rsidRPr="00916171" w:rsidRDefault="004A61ED" w:rsidP="00AA03AC">
            <w:pPr>
              <w:pStyle w:val="RIStext"/>
              <w:jc w:val="left"/>
              <w:cnfStyle w:val="000000000000" w:firstRow="0" w:lastRow="0" w:firstColumn="0" w:lastColumn="0" w:oddVBand="0" w:evenVBand="0" w:oddHBand="0" w:evenHBand="0" w:firstRowFirstColumn="0" w:firstRowLastColumn="0" w:lastRowFirstColumn="0" w:lastRowLastColumn="0"/>
            </w:pPr>
            <w:r w:rsidRPr="00916171">
              <w:t>Meets this criteria</w:t>
            </w:r>
          </w:p>
        </w:tc>
      </w:tr>
      <w:tr w:rsidR="004A61ED" w:rsidRPr="00691CD2" w14:paraId="230041A4" w14:textId="77777777" w:rsidTr="00AA03AC">
        <w:tc>
          <w:tcPr>
            <w:cnfStyle w:val="001000000000" w:firstRow="0" w:lastRow="0" w:firstColumn="1" w:lastColumn="0" w:oddVBand="0" w:evenVBand="0" w:oddHBand="0" w:evenHBand="0" w:firstRowFirstColumn="0" w:firstRowLastColumn="0" w:lastRowFirstColumn="0" w:lastRowLastColumn="0"/>
            <w:tcW w:w="3369" w:type="dxa"/>
          </w:tcPr>
          <w:p w14:paraId="75AD5048" w14:textId="77777777" w:rsidR="004A61ED" w:rsidRPr="00916171" w:rsidRDefault="004A61ED" w:rsidP="00AA03AC">
            <w:pPr>
              <w:pStyle w:val="RIStext"/>
              <w:jc w:val="left"/>
              <w:rPr>
                <w:b w:val="0"/>
              </w:rPr>
            </w:pPr>
            <w:r w:rsidRPr="00916171">
              <w:t>Overall</w:t>
            </w:r>
          </w:p>
        </w:tc>
        <w:tc>
          <w:tcPr>
            <w:tcW w:w="2575" w:type="dxa"/>
          </w:tcPr>
          <w:p w14:paraId="14EDE381" w14:textId="77777777" w:rsidR="004A61ED" w:rsidRPr="00916171" w:rsidRDefault="005F3F47" w:rsidP="00AA03AC">
            <w:pPr>
              <w:pStyle w:val="RIStext"/>
              <w:jc w:val="left"/>
              <w:cnfStyle w:val="000000000000" w:firstRow="0" w:lastRow="0" w:firstColumn="0" w:lastColumn="0" w:oddVBand="0" w:evenVBand="0" w:oddHBand="0" w:evenHBand="0" w:firstRowFirstColumn="0" w:firstRowLastColumn="0" w:lastRowFirstColumn="0" w:lastRowLastColumn="0"/>
            </w:pPr>
            <w:r w:rsidRPr="00916171">
              <w:t>Net</w:t>
            </w:r>
            <w:r w:rsidR="00783B6C" w:rsidRPr="00916171">
              <w:t xml:space="preserve"> benefit</w:t>
            </w:r>
          </w:p>
        </w:tc>
        <w:tc>
          <w:tcPr>
            <w:tcW w:w="3236" w:type="dxa"/>
          </w:tcPr>
          <w:p w14:paraId="053D7D65" w14:textId="77777777" w:rsidR="004A61ED" w:rsidRPr="00916171" w:rsidRDefault="00E20DFD" w:rsidP="00AA03AC">
            <w:pPr>
              <w:pStyle w:val="RIStext"/>
              <w:jc w:val="left"/>
              <w:cnfStyle w:val="000000000000" w:firstRow="0" w:lastRow="0" w:firstColumn="0" w:lastColumn="0" w:oddVBand="0" w:evenVBand="0" w:oddHBand="0" w:evenHBand="0" w:firstRowFirstColumn="0" w:firstRowLastColumn="0" w:lastRowFirstColumn="0" w:lastRowLastColumn="0"/>
            </w:pPr>
            <w:r w:rsidRPr="00916171">
              <w:t>Moderate net cost</w:t>
            </w:r>
          </w:p>
        </w:tc>
      </w:tr>
    </w:tbl>
    <w:p w14:paraId="2ED18B07" w14:textId="77777777" w:rsidR="000943FA" w:rsidRPr="00B87588" w:rsidRDefault="00B87588" w:rsidP="00653DC7">
      <w:pPr>
        <w:pStyle w:val="RISHeader4"/>
      </w:pPr>
      <w:r>
        <w:t>L</w:t>
      </w:r>
      <w:r w:rsidRPr="00B87588">
        <w:t>iquid assets requirement for foreign ADIs</w:t>
      </w:r>
    </w:p>
    <w:p w14:paraId="37CF6622" w14:textId="77777777" w:rsidR="00FA6FE8" w:rsidRDefault="00FA6FE8" w:rsidP="00FA6FE8">
      <w:pPr>
        <w:pStyle w:val="Paragraphtext"/>
        <w:keepNext/>
        <w:widowControl/>
      </w:pPr>
      <w:r>
        <w:t>APRA has identified two options:</w:t>
      </w:r>
    </w:p>
    <w:p w14:paraId="2A8DF0FB" w14:textId="77777777" w:rsidR="00FA6FE8" w:rsidRDefault="00FA6FE8" w:rsidP="0017035D">
      <w:pPr>
        <w:pStyle w:val="Paragraphtext"/>
        <w:numPr>
          <w:ilvl w:val="0"/>
          <w:numId w:val="13"/>
        </w:numPr>
        <w:ind w:left="851" w:hanging="425"/>
      </w:pPr>
      <w:r>
        <w:t>Option 1 – status quo plus local operational capacity assessment; and</w:t>
      </w:r>
    </w:p>
    <w:p w14:paraId="2262A3BA" w14:textId="77777777" w:rsidR="00FA6FE8" w:rsidRDefault="00FA6FE8" w:rsidP="0017035D">
      <w:pPr>
        <w:pStyle w:val="Paragraphtext"/>
        <w:numPr>
          <w:ilvl w:val="0"/>
          <w:numId w:val="13"/>
        </w:numPr>
        <w:ind w:left="851" w:hanging="425"/>
      </w:pPr>
      <w:r>
        <w:t>Option 2 – adjusted minimum liquidity holding plus local operational capacity assessment</w:t>
      </w:r>
    </w:p>
    <w:p w14:paraId="3D2FE88B" w14:textId="77777777" w:rsidR="00B87588" w:rsidRPr="005363A7" w:rsidRDefault="00783B6C" w:rsidP="005E4FE8">
      <w:pPr>
        <w:pStyle w:val="RISHeader4"/>
        <w:rPr>
          <w:i/>
        </w:rPr>
      </w:pPr>
      <w:r w:rsidRPr="00FA6FE8">
        <w:lastRenderedPageBreak/>
        <w:t xml:space="preserve">Foreign ADI liquid assets </w:t>
      </w:r>
      <w:r w:rsidR="00B87588" w:rsidRPr="00FA6FE8">
        <w:t>Option 1:</w:t>
      </w:r>
      <w:r w:rsidR="00B87588" w:rsidRPr="005363A7">
        <w:t xml:space="preserve"> </w:t>
      </w:r>
      <w:r w:rsidR="00B87588">
        <w:t>status quo</w:t>
      </w:r>
      <w:r w:rsidR="00B87588" w:rsidRPr="005363A7">
        <w:t xml:space="preserve"> </w:t>
      </w:r>
      <w:r w:rsidR="008C2CBE">
        <w:t>plus local operational capacity</w:t>
      </w:r>
      <w:r w:rsidR="000411EB">
        <w:t xml:space="preserve"> </w:t>
      </w:r>
      <w:r w:rsidR="00FA6FE8">
        <w:t>assessment</w:t>
      </w:r>
    </w:p>
    <w:p w14:paraId="71F8EB65" w14:textId="77777777" w:rsidR="00B87588" w:rsidRDefault="00B87588" w:rsidP="00C7332D">
      <w:pPr>
        <w:pStyle w:val="Paragraphtext"/>
        <w:ind w:left="357" w:hanging="357"/>
      </w:pPr>
      <w:r>
        <w:t xml:space="preserve">Under this option, </w:t>
      </w:r>
      <w:r w:rsidR="008A62A8">
        <w:t xml:space="preserve">the current </w:t>
      </w:r>
      <w:r w:rsidR="00466C82">
        <w:t xml:space="preserve">40 per cent </w:t>
      </w:r>
      <w:r w:rsidR="008A62A8">
        <w:t xml:space="preserve">liquid assets requirement for foreign ADIs would be </w:t>
      </w:r>
      <w:r w:rsidR="00055D4C">
        <w:t>retained</w:t>
      </w:r>
      <w:r>
        <w:t>.</w:t>
      </w:r>
      <w:r w:rsidR="008A62A8">
        <w:t xml:space="preserve"> </w:t>
      </w:r>
      <w:r w:rsidR="004A4EE9">
        <w:t xml:space="preserve">APS 210 currently specifies that </w:t>
      </w:r>
      <w:r w:rsidR="009F2FCF">
        <w:t>f</w:t>
      </w:r>
      <w:r w:rsidR="008A62A8">
        <w:t>oreign ADIs:</w:t>
      </w:r>
    </w:p>
    <w:p w14:paraId="756B65CB" w14:textId="77777777" w:rsidR="008A62A8" w:rsidRDefault="001F0923" w:rsidP="0017035D">
      <w:pPr>
        <w:pStyle w:val="Paragraphtext"/>
        <w:numPr>
          <w:ilvl w:val="1"/>
          <w:numId w:val="12"/>
        </w:numPr>
        <w:ind w:left="851" w:hanging="425"/>
      </w:pPr>
      <w:r>
        <w:t xml:space="preserve">are subject to a 30 </w:t>
      </w:r>
      <w:r w:rsidR="008A62A8">
        <w:t>calendar</w:t>
      </w:r>
      <w:r>
        <w:t>-</w:t>
      </w:r>
      <w:r w:rsidR="008A62A8">
        <w:t>day time horizon LCR;</w:t>
      </w:r>
    </w:p>
    <w:p w14:paraId="342D105D" w14:textId="77777777" w:rsidR="008A62A8" w:rsidRDefault="001F0923" w:rsidP="0017035D">
      <w:pPr>
        <w:pStyle w:val="Paragraphtext"/>
        <w:numPr>
          <w:ilvl w:val="1"/>
          <w:numId w:val="12"/>
        </w:numPr>
        <w:ind w:left="851" w:hanging="425"/>
      </w:pPr>
      <w:r>
        <w:t xml:space="preserve">have a minimum compliance </w:t>
      </w:r>
      <w:r w:rsidR="008A62A8">
        <w:t xml:space="preserve">threshold set at 40 per cent; </w:t>
      </w:r>
      <w:r w:rsidR="008A47BB">
        <w:t>and</w:t>
      </w:r>
    </w:p>
    <w:p w14:paraId="3FD97DC0" w14:textId="77777777" w:rsidR="008A62A8" w:rsidRPr="000411EB" w:rsidRDefault="008A62A8" w:rsidP="0017035D">
      <w:pPr>
        <w:pStyle w:val="Paragraphtext"/>
        <w:numPr>
          <w:ilvl w:val="1"/>
          <w:numId w:val="12"/>
        </w:numPr>
        <w:ind w:left="851" w:hanging="425"/>
      </w:pPr>
      <w:r>
        <w:t xml:space="preserve">are required to meet the liquid assets requirement using </w:t>
      </w:r>
      <w:r w:rsidR="008A47BB">
        <w:lastRenderedPageBreak/>
        <w:t xml:space="preserve">high-quality liquid assets </w:t>
      </w:r>
      <w:r w:rsidRPr="000411EB">
        <w:t>only.</w:t>
      </w:r>
      <w:r w:rsidR="008A47BB">
        <w:rPr>
          <w:rStyle w:val="FootnoteReference"/>
        </w:rPr>
        <w:footnoteReference w:id="25"/>
      </w:r>
    </w:p>
    <w:p w14:paraId="15BA10E9" w14:textId="77777777" w:rsidR="00DB4A5C" w:rsidRPr="000411EB" w:rsidRDefault="00DB4A5C" w:rsidP="008A62A8">
      <w:pPr>
        <w:pStyle w:val="Paragraphtext"/>
      </w:pPr>
      <w:r w:rsidRPr="000411EB">
        <w:t>This option w</w:t>
      </w:r>
      <w:r w:rsidR="00901A57">
        <w:t>ould</w:t>
      </w:r>
      <w:r w:rsidRPr="000411EB">
        <w:t xml:space="preserve"> include adjustments to APS 210 </w:t>
      </w:r>
      <w:r w:rsidR="000411EB" w:rsidRPr="000411EB">
        <w:t xml:space="preserve">to </w:t>
      </w:r>
      <w:r w:rsidR="000120A7">
        <w:t>introduce</w:t>
      </w:r>
      <w:r w:rsidR="000411EB" w:rsidRPr="000411EB">
        <w:t xml:space="preserve"> a local operational</w:t>
      </w:r>
      <w:r w:rsidR="005059BA">
        <w:t xml:space="preserve"> </w:t>
      </w:r>
      <w:r w:rsidR="000411EB" w:rsidRPr="000411EB">
        <w:t xml:space="preserve"> capacity requirement.</w:t>
      </w:r>
      <w:r w:rsidR="00FE4B0D">
        <w:t xml:space="preserve"> </w:t>
      </w:r>
      <w:r w:rsidR="000411EB" w:rsidRPr="000411EB">
        <w:t>W</w:t>
      </w:r>
      <w:r w:rsidRPr="000411EB">
        <w:t xml:space="preserve">here a foreign ADI has outsourcing or offshoring arrangements in place for </w:t>
      </w:r>
      <w:r w:rsidR="0097688C">
        <w:t>certain critical</w:t>
      </w:r>
      <w:r w:rsidRPr="000411EB">
        <w:t xml:space="preserve"> functions, the foreign ADI would need to demonstrate both the existence of </w:t>
      </w:r>
      <w:r w:rsidR="008B6BB7">
        <w:t xml:space="preserve">high-quality liquid assets </w:t>
      </w:r>
      <w:r w:rsidR="000C2DE3">
        <w:t xml:space="preserve">to meet </w:t>
      </w:r>
      <w:r w:rsidRPr="000411EB">
        <w:t xml:space="preserve">the </w:t>
      </w:r>
      <w:r w:rsidR="000C2DE3">
        <w:t xml:space="preserve">40 per cent </w:t>
      </w:r>
      <w:r w:rsidRPr="000411EB">
        <w:t xml:space="preserve">LCR minimum and </w:t>
      </w:r>
      <w:r w:rsidR="000120A7">
        <w:t xml:space="preserve">demonstrate </w:t>
      </w:r>
      <w:r w:rsidRPr="000411EB">
        <w:t xml:space="preserve">its control over those assets should it need to draw on them. </w:t>
      </w:r>
      <w:r w:rsidR="00DB7569">
        <w:t>A foreign ADI</w:t>
      </w:r>
      <w:r w:rsidR="000120A7">
        <w:t>,</w:t>
      </w:r>
      <w:r w:rsidRPr="000411EB">
        <w:t xml:space="preserve"> </w:t>
      </w:r>
      <w:r w:rsidR="00055D4C">
        <w:t xml:space="preserve">in </w:t>
      </w:r>
      <w:r w:rsidR="000411EB" w:rsidRPr="000411EB">
        <w:t xml:space="preserve">establishing </w:t>
      </w:r>
      <w:r w:rsidR="00055D4C">
        <w:t>its</w:t>
      </w:r>
      <w:r w:rsidR="00055D4C" w:rsidRPr="000411EB">
        <w:t xml:space="preserve"> </w:t>
      </w:r>
      <w:r w:rsidRPr="000411EB">
        <w:t>local operational capacity</w:t>
      </w:r>
      <w:r w:rsidR="000120A7">
        <w:t>,</w:t>
      </w:r>
      <w:r w:rsidRPr="000411EB">
        <w:t xml:space="preserve"> </w:t>
      </w:r>
      <w:r w:rsidR="00DB7569">
        <w:t xml:space="preserve">would need </w:t>
      </w:r>
      <w:r w:rsidR="00DB7569">
        <w:lastRenderedPageBreak/>
        <w:t>to</w:t>
      </w:r>
      <w:r w:rsidR="000411EB" w:rsidRPr="000411EB">
        <w:t xml:space="preserve"> consider whether it:</w:t>
      </w:r>
    </w:p>
    <w:p w14:paraId="1E276C2D" w14:textId="77777777" w:rsidR="000411EB" w:rsidRPr="000411EB" w:rsidRDefault="000411EB" w:rsidP="0017035D">
      <w:pPr>
        <w:pStyle w:val="Paragraphtext"/>
        <w:numPr>
          <w:ilvl w:val="1"/>
          <w:numId w:val="12"/>
        </w:numPr>
        <w:ind w:left="851" w:hanging="425"/>
      </w:pPr>
      <w:r w:rsidRPr="000411EB">
        <w:t xml:space="preserve">has clear legal ownership </w:t>
      </w:r>
      <w:r w:rsidR="000120A7">
        <w:t xml:space="preserve">of assets that form part of its </w:t>
      </w:r>
      <w:r w:rsidR="00C60B35">
        <w:t xml:space="preserve">regulatory </w:t>
      </w:r>
      <w:r w:rsidR="000364D5">
        <w:t>liquidity requirement</w:t>
      </w:r>
      <w:r w:rsidRPr="000411EB">
        <w:t>;</w:t>
      </w:r>
    </w:p>
    <w:p w14:paraId="696DB04B" w14:textId="77777777" w:rsidR="000411EB" w:rsidRPr="000411EB" w:rsidRDefault="000411EB" w:rsidP="0017035D">
      <w:pPr>
        <w:pStyle w:val="Paragraphtext"/>
        <w:numPr>
          <w:ilvl w:val="1"/>
          <w:numId w:val="12"/>
        </w:numPr>
        <w:ind w:left="851" w:hanging="425"/>
      </w:pPr>
      <w:r w:rsidRPr="000411EB">
        <w:t>has the authority to liquidate its assets independently of its parent and is able to demonstrate that this is the case; and</w:t>
      </w:r>
    </w:p>
    <w:p w14:paraId="3011250F" w14:textId="77777777" w:rsidR="00042416" w:rsidRPr="003B6714" w:rsidRDefault="000411EB" w:rsidP="0017035D">
      <w:pPr>
        <w:pStyle w:val="Paragraphtext"/>
        <w:numPr>
          <w:ilvl w:val="1"/>
          <w:numId w:val="12"/>
        </w:numPr>
        <w:ind w:left="851" w:hanging="425"/>
      </w:pPr>
      <w:r w:rsidRPr="003B6714">
        <w:t>is able to identify, make and receive payments on its own behalf.</w:t>
      </w:r>
    </w:p>
    <w:p w14:paraId="1CC774F0" w14:textId="77777777" w:rsidR="005C7EF2" w:rsidRDefault="005B4D9A" w:rsidP="000E11EE">
      <w:pPr>
        <w:pStyle w:val="Paragraphtext"/>
      </w:pPr>
      <w:r>
        <w:t xml:space="preserve">The LCR </w:t>
      </w:r>
      <w:r w:rsidR="00DB7569">
        <w:t xml:space="preserve">and local operational capacity requirement </w:t>
      </w:r>
      <w:r w:rsidRPr="005B4D9A">
        <w:t>would</w:t>
      </w:r>
      <w:r w:rsidR="008C2092">
        <w:t>, if adopted,</w:t>
      </w:r>
      <w:r w:rsidRPr="005B4D9A">
        <w:t xml:space="preserve"> </w:t>
      </w:r>
      <w:r w:rsidR="00D55B7D">
        <w:t>have effect</w:t>
      </w:r>
      <w:r w:rsidRPr="005B4D9A">
        <w:t xml:space="preserve"> from </w:t>
      </w:r>
      <w:r w:rsidR="00DB7569">
        <w:t>1 January 201</w:t>
      </w:r>
      <w:r w:rsidR="00FE4B0D">
        <w:t>8</w:t>
      </w:r>
      <w:r w:rsidR="00DB7569">
        <w:t>.</w:t>
      </w:r>
    </w:p>
    <w:p w14:paraId="2ADDCF6A" w14:textId="77777777" w:rsidR="008A62A8" w:rsidRDefault="008A62A8" w:rsidP="000E11EE">
      <w:pPr>
        <w:pStyle w:val="Paragraphtext"/>
      </w:pPr>
      <w:r>
        <w:t xml:space="preserve">As </w:t>
      </w:r>
      <w:r w:rsidR="00A63F5D">
        <w:t xml:space="preserve">the </w:t>
      </w:r>
      <w:r>
        <w:t>existing</w:t>
      </w:r>
      <w:r w:rsidR="000411EB">
        <w:t xml:space="preserve"> liquid assets </w:t>
      </w:r>
      <w:r w:rsidR="00C60B35">
        <w:t>requirement</w:t>
      </w:r>
      <w:r w:rsidR="000411EB">
        <w:t xml:space="preserve"> </w:t>
      </w:r>
      <w:r>
        <w:t>would continue under this option</w:t>
      </w:r>
      <w:r w:rsidR="00523581">
        <w:t>,</w:t>
      </w:r>
      <w:r>
        <w:t xml:space="preserve"> there </w:t>
      </w:r>
      <w:r w:rsidRPr="00691CD2">
        <w:t xml:space="preserve">would </w:t>
      </w:r>
      <w:r>
        <w:t>not be</w:t>
      </w:r>
      <w:r w:rsidRPr="00691CD2">
        <w:t xml:space="preserve"> any </w:t>
      </w:r>
      <w:r>
        <w:t xml:space="preserve">immediate additional </w:t>
      </w:r>
      <w:r w:rsidRPr="00691CD2">
        <w:t xml:space="preserve">compliance costs </w:t>
      </w:r>
      <w:r w:rsidR="00D55B7D">
        <w:t>for</w:t>
      </w:r>
      <w:r w:rsidR="00D55B7D" w:rsidRPr="00691CD2">
        <w:t xml:space="preserve"> </w:t>
      </w:r>
      <w:r w:rsidRPr="00691CD2">
        <w:t>ADI</w:t>
      </w:r>
      <w:r>
        <w:t>s.</w:t>
      </w:r>
      <w:r w:rsidR="00074ABA">
        <w:t xml:space="preserve"> </w:t>
      </w:r>
      <w:r w:rsidR="000411EB">
        <w:t>Compliance with the local operational capacity requirement</w:t>
      </w:r>
      <w:r w:rsidR="00243A6D" w:rsidRPr="00243A6D">
        <w:t xml:space="preserve"> </w:t>
      </w:r>
      <w:r w:rsidR="00D55B7D">
        <w:t xml:space="preserve">would </w:t>
      </w:r>
      <w:r w:rsidR="00243A6D">
        <w:t xml:space="preserve">mean that foreign ADIs </w:t>
      </w:r>
      <w:r w:rsidR="00D55B7D">
        <w:lastRenderedPageBreak/>
        <w:t xml:space="preserve">may </w:t>
      </w:r>
      <w:r w:rsidR="00243A6D">
        <w:t xml:space="preserve">need to adjust </w:t>
      </w:r>
      <w:r w:rsidR="000C2DE3">
        <w:t xml:space="preserve">operational arrangements </w:t>
      </w:r>
      <w:r w:rsidR="00243A6D">
        <w:t>to demonstrate sufficient control</w:t>
      </w:r>
      <w:r w:rsidR="00FA66AF">
        <w:t xml:space="preserve"> </w:t>
      </w:r>
      <w:r w:rsidR="000C2DE3">
        <w:t xml:space="preserve">of their liquid assets </w:t>
      </w:r>
      <w:r w:rsidR="00FA66AF">
        <w:t>and associated compliance processes.</w:t>
      </w:r>
    </w:p>
    <w:p w14:paraId="1A6AE024" w14:textId="110AC607" w:rsidR="00FD0D91" w:rsidRDefault="00FD0D91" w:rsidP="00992342">
      <w:pPr>
        <w:pStyle w:val="Paragraphtext"/>
      </w:pPr>
      <w:r>
        <w:t xml:space="preserve">The </w:t>
      </w:r>
      <w:r w:rsidR="007A0B5B">
        <w:t xml:space="preserve">existing </w:t>
      </w:r>
      <w:r w:rsidR="002509CA">
        <w:t xml:space="preserve">compliance </w:t>
      </w:r>
      <w:r>
        <w:t>cost</w:t>
      </w:r>
      <w:r w:rsidR="0045641B">
        <w:t>s</w:t>
      </w:r>
      <w:r>
        <w:t xml:space="preserve"> for </w:t>
      </w:r>
      <w:r w:rsidR="007A0B5B">
        <w:t xml:space="preserve">foreign </w:t>
      </w:r>
      <w:r>
        <w:t xml:space="preserve">ADIs of holding </w:t>
      </w:r>
      <w:r w:rsidR="008B6BB7">
        <w:t xml:space="preserve">high-quality liquid assets </w:t>
      </w:r>
      <w:r w:rsidR="00EF408F">
        <w:t>depend</w:t>
      </w:r>
      <w:r w:rsidR="007A0B5B">
        <w:t>s</w:t>
      </w:r>
      <w:r w:rsidR="00FE2A9A">
        <w:t xml:space="preserve"> </w:t>
      </w:r>
      <w:r w:rsidR="00EF408F">
        <w:t>on their individual circumstances.</w:t>
      </w:r>
      <w:r w:rsidR="0045641B">
        <w:t xml:space="preserve"> </w:t>
      </w:r>
      <w:r w:rsidR="00B056FF">
        <w:t xml:space="preserve">The </w:t>
      </w:r>
      <w:r w:rsidR="0019605D">
        <w:t xml:space="preserve">extent and impact of </w:t>
      </w:r>
      <w:r w:rsidR="002509CA">
        <w:t>this option</w:t>
      </w:r>
      <w:r w:rsidR="0019605D">
        <w:t xml:space="preserve"> </w:t>
      </w:r>
      <w:r w:rsidR="002509CA">
        <w:t xml:space="preserve">for </w:t>
      </w:r>
      <w:r w:rsidR="008D4610">
        <w:t xml:space="preserve">foreign </w:t>
      </w:r>
      <w:r w:rsidR="0019605D">
        <w:t xml:space="preserve">ADIs is limited. </w:t>
      </w:r>
      <w:r w:rsidR="006D2D97">
        <w:t xml:space="preserve">Foreign ADIs </w:t>
      </w:r>
      <w:r w:rsidR="003655C5">
        <w:t>primarily</w:t>
      </w:r>
      <w:r w:rsidR="006D2D97">
        <w:t xml:space="preserve"> offer wholesale products to businesses and </w:t>
      </w:r>
      <w:r w:rsidR="00BB62EB">
        <w:t>individuals</w:t>
      </w:r>
      <w:r w:rsidR="003655C5">
        <w:t>, and are not permitted to accept small-value deposits</w:t>
      </w:r>
      <w:r w:rsidR="006D2D97">
        <w:t xml:space="preserve">. </w:t>
      </w:r>
      <w:r w:rsidR="00E176F9">
        <w:t xml:space="preserve">The </w:t>
      </w:r>
      <w:r w:rsidR="00C027AC">
        <w:t>LCR only applies to larger</w:t>
      </w:r>
      <w:r w:rsidR="0045641B">
        <w:t>,</w:t>
      </w:r>
      <w:r w:rsidR="00C027AC">
        <w:t xml:space="preserve"> more complex ADIs</w:t>
      </w:r>
      <w:r w:rsidR="0085400C">
        <w:t>,</w:t>
      </w:r>
      <w:r w:rsidR="00C027AC">
        <w:t xml:space="preserve"> including foreign ADIs</w:t>
      </w:r>
      <w:r w:rsidR="0085400C">
        <w:t>,</w:t>
      </w:r>
      <w:r w:rsidR="00C027AC">
        <w:t xml:space="preserve"> and it is set </w:t>
      </w:r>
      <w:r w:rsidR="00D539BA">
        <w:t xml:space="preserve">at </w:t>
      </w:r>
      <w:r w:rsidR="00C027AC">
        <w:t>a lower level for foreign ADIs</w:t>
      </w:r>
      <w:r w:rsidR="00E176F9">
        <w:t xml:space="preserve"> (</w:t>
      </w:r>
      <w:r w:rsidR="00204031">
        <w:t xml:space="preserve">40 per cent rather than </w:t>
      </w:r>
      <w:r w:rsidR="00C027AC">
        <w:t>100</w:t>
      </w:r>
      <w:r w:rsidR="00E176F9">
        <w:t xml:space="preserve"> per cent</w:t>
      </w:r>
      <w:r w:rsidR="00204031">
        <w:t xml:space="preserve"> for locally incorporated ADIs</w:t>
      </w:r>
      <w:r w:rsidR="00E176F9">
        <w:t>).</w:t>
      </w:r>
      <w:r w:rsidR="0019605D">
        <w:t xml:space="preserve"> </w:t>
      </w:r>
      <w:r w:rsidR="005F2634">
        <w:t>These factors would reduce the number of stakeholders exposed to the compliance burden and the amount of this burden.</w:t>
      </w:r>
    </w:p>
    <w:p w14:paraId="11257543" w14:textId="77777777" w:rsidR="00FC07EA" w:rsidRDefault="00042416" w:rsidP="00566B4E">
      <w:pPr>
        <w:pStyle w:val="Paragraphtext"/>
      </w:pPr>
      <w:r>
        <w:lastRenderedPageBreak/>
        <w:t xml:space="preserve">The </w:t>
      </w:r>
      <w:r w:rsidR="00751C1F">
        <w:t>key benefit</w:t>
      </w:r>
      <w:r>
        <w:t xml:space="preserve"> </w:t>
      </w:r>
      <w:r w:rsidR="0045641B">
        <w:t>for</w:t>
      </w:r>
      <w:r>
        <w:t xml:space="preserve"> </w:t>
      </w:r>
      <w:r w:rsidR="00B056FF">
        <w:t xml:space="preserve">foreign ADIs </w:t>
      </w:r>
      <w:r w:rsidR="0045641B">
        <w:t xml:space="preserve">of </w:t>
      </w:r>
      <w:r w:rsidR="00B056FF">
        <w:t>hold</w:t>
      </w:r>
      <w:r>
        <w:t>ing</w:t>
      </w:r>
      <w:r w:rsidR="00B056FF">
        <w:t xml:space="preserve"> a reasonable level of liquid assets in Australia </w:t>
      </w:r>
      <w:r>
        <w:t xml:space="preserve">is that they are </w:t>
      </w:r>
      <w:r w:rsidR="00751C1F">
        <w:t xml:space="preserve">more </w:t>
      </w:r>
      <w:r>
        <w:t xml:space="preserve">likely to </w:t>
      </w:r>
      <w:r w:rsidR="00204031">
        <w:t xml:space="preserve">be able to </w:t>
      </w:r>
      <w:r w:rsidR="00B056FF">
        <w:t>meet their obligations in Australia</w:t>
      </w:r>
      <w:r w:rsidR="00204031">
        <w:t xml:space="preserve"> in times of market stress</w:t>
      </w:r>
      <w:r w:rsidR="00B056FF">
        <w:t xml:space="preserve">. </w:t>
      </w:r>
      <w:r>
        <w:t xml:space="preserve">To </w:t>
      </w:r>
      <w:r w:rsidR="00751C1F">
        <w:t xml:space="preserve">fully realise this benefit </w:t>
      </w:r>
      <w:r w:rsidR="002F4130">
        <w:t>APRA’s view is that</w:t>
      </w:r>
      <w:r>
        <w:t xml:space="preserve"> </w:t>
      </w:r>
      <w:r w:rsidR="00751C1F">
        <w:t xml:space="preserve">the liquid assets requirement </w:t>
      </w:r>
      <w:r w:rsidR="0085400C">
        <w:t>requires</w:t>
      </w:r>
      <w:r w:rsidR="00751C1F">
        <w:t xml:space="preserve"> </w:t>
      </w:r>
      <w:r>
        <w:t>a quantitative basis</w:t>
      </w:r>
      <w:r w:rsidR="00751C1F">
        <w:t xml:space="preserve"> </w:t>
      </w:r>
      <w:r>
        <w:t xml:space="preserve">and </w:t>
      </w:r>
      <w:r w:rsidR="00CD14E6">
        <w:t xml:space="preserve">should </w:t>
      </w:r>
      <w:r>
        <w:t>be applied without exception to all foreign ADIs operating in Australia</w:t>
      </w:r>
      <w:r w:rsidR="00751C1F">
        <w:t>.</w:t>
      </w:r>
      <w:r w:rsidR="0085400C">
        <w:t xml:space="preserve"> This is the business as usual option with the addition of a requirement for a foreign ADI to perform an annual local operational capacity assessment. The cost of </w:t>
      </w:r>
      <w:r w:rsidR="00783B6C">
        <w:t>the local operational capacity</w:t>
      </w:r>
      <w:r w:rsidR="0085400C">
        <w:t xml:space="preserve"> assessment to foreign ADIs would be an addition to business as usual, hence the additional cost</w:t>
      </w:r>
      <w:r w:rsidR="00783B6C">
        <w:t xml:space="preserve"> of this</w:t>
      </w:r>
      <w:r w:rsidR="0085400C">
        <w:t xml:space="preserve"> is reflected in the table below.</w:t>
      </w:r>
    </w:p>
    <w:p w14:paraId="10369DB4" w14:textId="1A4CBC03" w:rsidR="00916171" w:rsidRDefault="00916171" w:rsidP="006F6084">
      <w:pPr>
        <w:pStyle w:val="RISHeader4"/>
      </w:pPr>
      <w:r>
        <w:lastRenderedPageBreak/>
        <w:t>Table 4 - Average annual regulatory costs (from business as usual)</w:t>
      </w:r>
    </w:p>
    <w:tbl>
      <w:tblPr>
        <w:tblStyle w:val="LightGrid1"/>
        <w:tblW w:w="8788" w:type="dxa"/>
        <w:tblLook w:val="06A0" w:firstRow="1" w:lastRow="0" w:firstColumn="1" w:lastColumn="0" w:noHBand="1" w:noVBand="1"/>
        <w:tblCaption w:val="Table 5"/>
        <w:tblDescription w:val="Average annual regulatory costs (from business as usual) "/>
      </w:tblPr>
      <w:tblGrid>
        <w:gridCol w:w="1975"/>
        <w:gridCol w:w="1417"/>
        <w:gridCol w:w="2268"/>
        <w:gridCol w:w="1543"/>
        <w:gridCol w:w="1585"/>
      </w:tblGrid>
      <w:tr w:rsidR="004962F7" w14:paraId="3FB9E6A0" w14:textId="77777777" w:rsidTr="00AA03A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603BD73" w14:textId="77777777" w:rsidR="004962F7" w:rsidRDefault="004962F7" w:rsidP="006F6084">
            <w:pPr>
              <w:pStyle w:val="RIStext"/>
              <w:jc w:val="left"/>
              <w:rPr>
                <w:b w:val="0"/>
                <w:bCs w:val="0"/>
              </w:rPr>
            </w:pPr>
            <w:r>
              <w:t>Change in costs ($ million)</w:t>
            </w:r>
          </w:p>
        </w:tc>
        <w:tc>
          <w:tcPr>
            <w:tcW w:w="1417" w:type="dxa"/>
            <w:noWrap/>
            <w:hideMark/>
          </w:tcPr>
          <w:p w14:paraId="3887D864" w14:textId="77777777" w:rsidR="004962F7" w:rsidRDefault="004962F7" w:rsidP="006F6084">
            <w:pPr>
              <w:pStyle w:val="RIStext"/>
              <w:jc w:val="left"/>
              <w:cnfStyle w:val="100000000000" w:firstRow="1" w:lastRow="0" w:firstColumn="0" w:lastColumn="0" w:oddVBand="0" w:evenVBand="0" w:oddHBand="0" w:evenHBand="0" w:firstRowFirstColumn="0" w:firstRowLastColumn="0" w:lastRowFirstColumn="0" w:lastRowLastColumn="0"/>
            </w:pPr>
            <w:r>
              <w:t>Business</w:t>
            </w:r>
          </w:p>
        </w:tc>
        <w:tc>
          <w:tcPr>
            <w:tcW w:w="2268" w:type="dxa"/>
            <w:noWrap/>
            <w:hideMark/>
          </w:tcPr>
          <w:p w14:paraId="4E855895" w14:textId="77777777" w:rsidR="004962F7" w:rsidRDefault="004962F7" w:rsidP="006F6084">
            <w:pPr>
              <w:pStyle w:val="RIStext"/>
              <w:jc w:val="left"/>
              <w:cnfStyle w:val="100000000000" w:firstRow="1" w:lastRow="0" w:firstColumn="0" w:lastColumn="0" w:oddVBand="0" w:evenVBand="0" w:oddHBand="0" w:evenHBand="0" w:firstRowFirstColumn="0" w:firstRowLastColumn="0" w:lastRowFirstColumn="0" w:lastRowLastColumn="0"/>
            </w:pPr>
            <w:r>
              <w:t>Community organisations</w:t>
            </w:r>
          </w:p>
        </w:tc>
        <w:tc>
          <w:tcPr>
            <w:tcW w:w="1543" w:type="dxa"/>
            <w:noWrap/>
            <w:hideMark/>
          </w:tcPr>
          <w:p w14:paraId="6CA42750" w14:textId="77777777" w:rsidR="004962F7" w:rsidRDefault="004962F7" w:rsidP="006F6084">
            <w:pPr>
              <w:pStyle w:val="RIStext"/>
              <w:jc w:val="left"/>
              <w:cnfStyle w:val="100000000000" w:firstRow="1" w:lastRow="0" w:firstColumn="0" w:lastColumn="0" w:oddVBand="0" w:evenVBand="0" w:oddHBand="0" w:evenHBand="0" w:firstRowFirstColumn="0" w:firstRowLastColumn="0" w:lastRowFirstColumn="0" w:lastRowLastColumn="0"/>
            </w:pPr>
            <w:r>
              <w:t>Individuals</w:t>
            </w:r>
          </w:p>
        </w:tc>
        <w:tc>
          <w:tcPr>
            <w:tcW w:w="1585" w:type="dxa"/>
            <w:noWrap/>
            <w:hideMark/>
          </w:tcPr>
          <w:p w14:paraId="70852A6F" w14:textId="77777777" w:rsidR="004962F7" w:rsidRDefault="004962F7" w:rsidP="006F6084">
            <w:pPr>
              <w:pStyle w:val="RIStext"/>
              <w:jc w:val="left"/>
              <w:cnfStyle w:val="100000000000" w:firstRow="1" w:lastRow="0" w:firstColumn="0" w:lastColumn="0" w:oddVBand="0" w:evenVBand="0" w:oddHBand="0" w:evenHBand="0" w:firstRowFirstColumn="0" w:firstRowLastColumn="0" w:lastRowFirstColumn="0" w:lastRowLastColumn="0"/>
            </w:pPr>
            <w:r>
              <w:t>Total change in costs</w:t>
            </w:r>
          </w:p>
        </w:tc>
      </w:tr>
      <w:tr w:rsidR="004962F7" w14:paraId="7B7650A8" w14:textId="77777777" w:rsidTr="006F6084">
        <w:trPr>
          <w:trHeight w:val="30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9D15D2B" w14:textId="77777777" w:rsidR="004962F7" w:rsidRDefault="004962F7" w:rsidP="006F6084">
            <w:pPr>
              <w:pStyle w:val="RIStext"/>
              <w:jc w:val="left"/>
            </w:pPr>
            <w:r>
              <w:t>Total, by sector</w:t>
            </w:r>
          </w:p>
        </w:tc>
        <w:tc>
          <w:tcPr>
            <w:tcW w:w="1417" w:type="dxa"/>
            <w:noWrap/>
            <w:hideMark/>
          </w:tcPr>
          <w:p w14:paraId="4FF01AAE" w14:textId="0A2B6933" w:rsidR="004962F7" w:rsidRDefault="004962F7" w:rsidP="006F6084">
            <w:pPr>
              <w:pStyle w:val="RIStext"/>
              <w:jc w:val="left"/>
              <w:cnfStyle w:val="000000000000" w:firstRow="0" w:lastRow="0" w:firstColumn="0" w:lastColumn="0" w:oddVBand="0" w:evenVBand="0" w:oddHBand="0" w:evenHBand="0" w:firstRowFirstColumn="0" w:firstRowLastColumn="0" w:lastRowFirstColumn="0" w:lastRowLastColumn="0"/>
            </w:pPr>
            <w:r>
              <w:t>$</w:t>
            </w:r>
            <w:r w:rsidR="004C6C67">
              <w:t>0.</w:t>
            </w:r>
            <w:r w:rsidR="00BC7AC7">
              <w:t>198</w:t>
            </w:r>
          </w:p>
        </w:tc>
        <w:tc>
          <w:tcPr>
            <w:tcW w:w="2268" w:type="dxa"/>
            <w:noWrap/>
            <w:hideMark/>
          </w:tcPr>
          <w:p w14:paraId="493C59CE" w14:textId="77777777" w:rsidR="004962F7" w:rsidRDefault="004962F7" w:rsidP="006F6084">
            <w:pPr>
              <w:pStyle w:val="RIStext"/>
              <w:jc w:val="left"/>
              <w:cnfStyle w:val="000000000000" w:firstRow="0" w:lastRow="0" w:firstColumn="0" w:lastColumn="0" w:oddVBand="0" w:evenVBand="0" w:oddHBand="0" w:evenHBand="0" w:firstRowFirstColumn="0" w:firstRowLastColumn="0" w:lastRowFirstColumn="0" w:lastRowLastColumn="0"/>
            </w:pPr>
            <w:r>
              <w:t>$0</w:t>
            </w:r>
          </w:p>
        </w:tc>
        <w:tc>
          <w:tcPr>
            <w:tcW w:w="1543" w:type="dxa"/>
            <w:noWrap/>
            <w:hideMark/>
          </w:tcPr>
          <w:p w14:paraId="2B4E1073" w14:textId="77777777" w:rsidR="004962F7" w:rsidRDefault="004962F7" w:rsidP="006F6084">
            <w:pPr>
              <w:pStyle w:val="RIStext"/>
              <w:jc w:val="left"/>
              <w:cnfStyle w:val="000000000000" w:firstRow="0" w:lastRow="0" w:firstColumn="0" w:lastColumn="0" w:oddVBand="0" w:evenVBand="0" w:oddHBand="0" w:evenHBand="0" w:firstRowFirstColumn="0" w:firstRowLastColumn="0" w:lastRowFirstColumn="0" w:lastRowLastColumn="0"/>
            </w:pPr>
            <w:r>
              <w:t>$0</w:t>
            </w:r>
          </w:p>
        </w:tc>
        <w:tc>
          <w:tcPr>
            <w:tcW w:w="1585" w:type="dxa"/>
            <w:noWrap/>
            <w:hideMark/>
          </w:tcPr>
          <w:p w14:paraId="6CD9D2BB" w14:textId="3E6F7570" w:rsidR="004962F7" w:rsidRDefault="004962F7" w:rsidP="006F6084">
            <w:pPr>
              <w:pStyle w:val="RIStext"/>
              <w:jc w:val="left"/>
              <w:cnfStyle w:val="000000000000" w:firstRow="0" w:lastRow="0" w:firstColumn="0" w:lastColumn="0" w:oddVBand="0" w:evenVBand="0" w:oddHBand="0" w:evenHBand="0" w:firstRowFirstColumn="0" w:firstRowLastColumn="0" w:lastRowFirstColumn="0" w:lastRowLastColumn="0"/>
            </w:pPr>
            <w:r w:rsidRPr="006523AC">
              <w:t>$</w:t>
            </w:r>
            <w:r w:rsidR="004C6C67">
              <w:t>0.</w:t>
            </w:r>
            <w:r w:rsidR="00BC7AC7">
              <w:t>198</w:t>
            </w:r>
          </w:p>
        </w:tc>
      </w:tr>
    </w:tbl>
    <w:p w14:paraId="1BF2F468" w14:textId="6605FE23" w:rsidR="002362D0" w:rsidRPr="005363A7" w:rsidRDefault="00783B6C" w:rsidP="005E4FE8">
      <w:pPr>
        <w:pStyle w:val="RISHeader4"/>
        <w:rPr>
          <w:i/>
        </w:rPr>
      </w:pPr>
      <w:r>
        <w:t xml:space="preserve">Foreign ADI liquid assets </w:t>
      </w:r>
      <w:r w:rsidR="002362D0" w:rsidRPr="005363A7">
        <w:t xml:space="preserve">Option </w:t>
      </w:r>
      <w:r w:rsidR="009D7477">
        <w:t>2</w:t>
      </w:r>
      <w:r w:rsidR="002362D0" w:rsidRPr="005363A7">
        <w:t xml:space="preserve">: </w:t>
      </w:r>
      <w:r w:rsidR="00FA6FE8">
        <w:t>adjusted minimum liquidity holding</w:t>
      </w:r>
      <w:r w:rsidR="00AB3147">
        <w:rPr>
          <w:i/>
        </w:rPr>
        <w:t xml:space="preserve"> </w:t>
      </w:r>
      <w:r w:rsidR="00FA6FE8">
        <w:t>plus local operational capacity assessment</w:t>
      </w:r>
    </w:p>
    <w:p w14:paraId="5297095B" w14:textId="77777777" w:rsidR="002362D0" w:rsidRDefault="002362D0" w:rsidP="00E57D3C">
      <w:pPr>
        <w:pStyle w:val="Paragraphtext"/>
      </w:pPr>
      <w:r>
        <w:t>Under this option</w:t>
      </w:r>
      <w:r w:rsidR="00952DDF">
        <w:t>,</w:t>
      </w:r>
      <w:r w:rsidR="00E57D3C">
        <w:t xml:space="preserve"> </w:t>
      </w:r>
      <w:r w:rsidR="00042416">
        <w:t xml:space="preserve">APS 210 would be </w:t>
      </w:r>
      <w:r w:rsidR="001D6EF4">
        <w:t xml:space="preserve">amended </w:t>
      </w:r>
      <w:r w:rsidR="001C734C">
        <w:t xml:space="preserve">to require </w:t>
      </w:r>
      <w:r w:rsidR="001D6EF4">
        <w:t xml:space="preserve">a </w:t>
      </w:r>
      <w:r w:rsidR="001C734C">
        <w:t>foreign ADI</w:t>
      </w:r>
      <w:r w:rsidR="00042416">
        <w:t xml:space="preserve"> to </w:t>
      </w:r>
      <w:r w:rsidR="008112D3">
        <w:t>satisfy a</w:t>
      </w:r>
      <w:r w:rsidR="006B2FD7">
        <w:t xml:space="preserve">n adjusted </w:t>
      </w:r>
      <w:r w:rsidR="008B6BB7">
        <w:t xml:space="preserve">minimum liquidity holding </w:t>
      </w:r>
      <w:r w:rsidR="006B2FD7">
        <w:t>requirement</w:t>
      </w:r>
      <w:r w:rsidR="004524F7">
        <w:t xml:space="preserve"> – known as the foreign ADI liquid assets requirement</w:t>
      </w:r>
      <w:r w:rsidR="00BA1393">
        <w:t>.</w:t>
      </w:r>
      <w:r w:rsidR="008112D3">
        <w:t xml:space="preserve"> </w:t>
      </w:r>
      <w:r w:rsidR="008B6BB7">
        <w:t xml:space="preserve">This option </w:t>
      </w:r>
      <w:r w:rsidR="00204031">
        <w:t xml:space="preserve">would </w:t>
      </w:r>
      <w:r w:rsidR="008B6BB7">
        <w:t xml:space="preserve">be simpler than the LCR requirement </w:t>
      </w:r>
      <w:r w:rsidR="00E35F3C">
        <w:t>with a</w:t>
      </w:r>
      <w:r w:rsidR="006B2FD7">
        <w:t xml:space="preserve"> f</w:t>
      </w:r>
      <w:r w:rsidR="008112D3">
        <w:t>oreign ADI</w:t>
      </w:r>
      <w:r w:rsidR="001D6EF4">
        <w:t xml:space="preserve"> required</w:t>
      </w:r>
      <w:r w:rsidR="008112D3">
        <w:t xml:space="preserve"> to </w:t>
      </w:r>
      <w:r w:rsidR="00042416">
        <w:t>hold a minimum of</w:t>
      </w:r>
      <w:r w:rsidR="006B2FD7">
        <w:t xml:space="preserve"> nine per cent of its external</w:t>
      </w:r>
      <w:r w:rsidR="00042416">
        <w:t xml:space="preserve"> liabilities </w:t>
      </w:r>
      <w:r w:rsidR="006B2FD7">
        <w:t xml:space="preserve">to unrelated parties </w:t>
      </w:r>
      <w:r w:rsidR="00042416">
        <w:t xml:space="preserve">in specified </w:t>
      </w:r>
      <w:r w:rsidR="00042416">
        <w:lastRenderedPageBreak/>
        <w:t>liquid assets</w:t>
      </w:r>
      <w:r w:rsidR="008112D3">
        <w:t>.</w:t>
      </w:r>
    </w:p>
    <w:p w14:paraId="074EBE28" w14:textId="77777777" w:rsidR="003F1AC6" w:rsidRDefault="004524F7" w:rsidP="003F1AC6">
      <w:pPr>
        <w:pStyle w:val="Paragraphtext"/>
      </w:pPr>
      <w:r>
        <w:t>In addition, t</w:t>
      </w:r>
      <w:r w:rsidR="00E57D3C" w:rsidRPr="000411EB">
        <w:t>his option w</w:t>
      </w:r>
      <w:r w:rsidR="00E57D3C">
        <w:t>ould</w:t>
      </w:r>
      <w:r w:rsidR="00E57D3C" w:rsidRPr="000411EB">
        <w:t xml:space="preserve"> </w:t>
      </w:r>
      <w:r w:rsidR="001D6EF4">
        <w:t>involve</w:t>
      </w:r>
      <w:r w:rsidR="001D6EF4" w:rsidRPr="000411EB">
        <w:t xml:space="preserve"> </w:t>
      </w:r>
      <w:r w:rsidR="00E57D3C" w:rsidRPr="000411EB">
        <w:t>adjustments to APS 210 to include a local operational capacity requirement</w:t>
      </w:r>
      <w:r w:rsidR="003F1AC6">
        <w:t xml:space="preserve">. </w:t>
      </w:r>
      <w:r w:rsidR="00E35F3C">
        <w:t>As for</w:t>
      </w:r>
      <w:r w:rsidR="003F1AC6">
        <w:t xml:space="preserve"> Option 1, this would </w:t>
      </w:r>
      <w:r w:rsidR="00734C63">
        <w:t xml:space="preserve">require </w:t>
      </w:r>
      <w:r w:rsidR="00E57D3C" w:rsidRPr="000411EB">
        <w:t>foreign ADI</w:t>
      </w:r>
      <w:r w:rsidR="003F1AC6">
        <w:t>s</w:t>
      </w:r>
      <w:r w:rsidR="00E57D3C" w:rsidRPr="000411EB">
        <w:t xml:space="preserve"> to demonstrate both the existence of liquid assets to cover its liquidity needs under the applicable liquidity </w:t>
      </w:r>
      <w:r w:rsidR="00E57D3C">
        <w:t xml:space="preserve">assets test </w:t>
      </w:r>
      <w:r w:rsidR="00E57D3C" w:rsidRPr="000411EB">
        <w:t>(</w:t>
      </w:r>
      <w:r w:rsidR="003F1AC6">
        <w:t xml:space="preserve">in this case the </w:t>
      </w:r>
      <w:r w:rsidR="00DF67FD">
        <w:t xml:space="preserve">minimum liquidity holding </w:t>
      </w:r>
      <w:r w:rsidR="003F1AC6">
        <w:t>minimum</w:t>
      </w:r>
      <w:r w:rsidR="00E57D3C" w:rsidRPr="000411EB">
        <w:t>)</w:t>
      </w:r>
      <w:r w:rsidR="00734C63">
        <w:t>,</w:t>
      </w:r>
      <w:r w:rsidR="00E57D3C" w:rsidRPr="000411EB">
        <w:t xml:space="preserve"> and </w:t>
      </w:r>
      <w:r w:rsidR="008D4610">
        <w:t>their</w:t>
      </w:r>
      <w:r w:rsidR="00A143B5">
        <w:t xml:space="preserve"> </w:t>
      </w:r>
      <w:r w:rsidR="00E57D3C" w:rsidRPr="000411EB">
        <w:t>control over those assets should it need to draw on them.</w:t>
      </w:r>
    </w:p>
    <w:p w14:paraId="72E1ACB1" w14:textId="77777777" w:rsidR="002B75BD" w:rsidRPr="004B5790" w:rsidRDefault="003F1AC6" w:rsidP="003F1AC6">
      <w:pPr>
        <w:pStyle w:val="Paragraphtext"/>
      </w:pPr>
      <w:r>
        <w:t>M</w:t>
      </w:r>
      <w:r w:rsidR="002B75BD">
        <w:t xml:space="preserve">inor amendments </w:t>
      </w:r>
      <w:r>
        <w:t xml:space="preserve">would also be made </w:t>
      </w:r>
      <w:r w:rsidR="002B75BD">
        <w:t>to</w:t>
      </w:r>
      <w:r w:rsidR="00311849" w:rsidRPr="003B6714">
        <w:t xml:space="preserve"> </w:t>
      </w:r>
      <w:r w:rsidR="002B75BD" w:rsidRPr="004B5790">
        <w:t xml:space="preserve">ARS 210 to </w:t>
      </w:r>
      <w:r w:rsidR="002B75BD">
        <w:t>incorporate</w:t>
      </w:r>
      <w:r w:rsidR="002B75BD" w:rsidRPr="004B5790">
        <w:t xml:space="preserve"> </w:t>
      </w:r>
      <w:r w:rsidR="002B75BD">
        <w:t>reporting</w:t>
      </w:r>
      <w:r w:rsidR="002B75BD" w:rsidRPr="004B5790">
        <w:t xml:space="preserve"> </w:t>
      </w:r>
      <w:r w:rsidR="00DF67FD">
        <w:t xml:space="preserve">amendments </w:t>
      </w:r>
      <w:r w:rsidR="00E35F3C">
        <w:t xml:space="preserve">for </w:t>
      </w:r>
      <w:r w:rsidR="002B75BD">
        <w:t>foreign ADIs</w:t>
      </w:r>
      <w:r w:rsidR="002B75BD" w:rsidRPr="004B5790">
        <w:t>.</w:t>
      </w:r>
    </w:p>
    <w:p w14:paraId="56AAE9ED" w14:textId="77777777" w:rsidR="00393BBA" w:rsidRPr="003F1AC6" w:rsidRDefault="008126B7" w:rsidP="003F1AC6">
      <w:pPr>
        <w:pStyle w:val="Paragraphtext"/>
      </w:pPr>
      <w:r>
        <w:t>This option</w:t>
      </w:r>
      <w:r w:rsidR="006706C0">
        <w:t>, if adopted,</w:t>
      </w:r>
      <w:r w:rsidRPr="008126B7">
        <w:t xml:space="preserve"> would commence </w:t>
      </w:r>
      <w:r>
        <w:t>on 1 January 201</w:t>
      </w:r>
      <w:r w:rsidR="000F432C">
        <w:t>8</w:t>
      </w:r>
      <w:r w:rsidR="004510C2">
        <w:t>.</w:t>
      </w:r>
      <w:r>
        <w:t xml:space="preserve"> </w:t>
      </w:r>
      <w:r w:rsidR="004510C2">
        <w:t>S</w:t>
      </w:r>
      <w:r w:rsidRPr="008126B7">
        <w:t xml:space="preserve">hould the </w:t>
      </w:r>
      <w:r w:rsidR="00DF67FD">
        <w:t>minimum liquidity holding requirement</w:t>
      </w:r>
      <w:r w:rsidR="00DF67FD" w:rsidRPr="008126B7">
        <w:t xml:space="preserve"> </w:t>
      </w:r>
      <w:r w:rsidRPr="008126B7">
        <w:t xml:space="preserve">be adopted </w:t>
      </w:r>
      <w:r w:rsidR="004510C2">
        <w:t xml:space="preserve">the proposed changes </w:t>
      </w:r>
      <w:r w:rsidRPr="008126B7">
        <w:t>are not expected to be onerous</w:t>
      </w:r>
      <w:r>
        <w:t>.</w:t>
      </w:r>
    </w:p>
    <w:p w14:paraId="75DD0B07" w14:textId="77777777" w:rsidR="00221543" w:rsidRPr="00691CD2" w:rsidRDefault="00221543" w:rsidP="00221543">
      <w:pPr>
        <w:pStyle w:val="Paragraphtext"/>
      </w:pPr>
      <w:r w:rsidRPr="00691CD2">
        <w:lastRenderedPageBreak/>
        <w:t xml:space="preserve">APRA anticipates that </w:t>
      </w:r>
      <w:r w:rsidR="000B0346">
        <w:t xml:space="preserve">foreign </w:t>
      </w:r>
      <w:r w:rsidRPr="00691CD2">
        <w:t xml:space="preserve">ADIs </w:t>
      </w:r>
      <w:r>
        <w:t xml:space="preserve">subject to </w:t>
      </w:r>
      <w:r w:rsidR="004524F7">
        <w:t>the foreign ADI</w:t>
      </w:r>
      <w:r w:rsidR="006706C0">
        <w:t xml:space="preserve"> </w:t>
      </w:r>
      <w:r w:rsidR="00311849">
        <w:t xml:space="preserve">liquid assets </w:t>
      </w:r>
      <w:r w:rsidR="005F2634">
        <w:t>requirement</w:t>
      </w:r>
      <w:r w:rsidR="00311849">
        <w:t xml:space="preserve"> </w:t>
      </w:r>
      <w:r w:rsidR="00311849" w:rsidRPr="00691CD2">
        <w:t>w</w:t>
      </w:r>
      <w:r w:rsidR="00311849">
        <w:t>ould</w:t>
      </w:r>
      <w:r w:rsidR="00311849" w:rsidRPr="00691CD2">
        <w:t xml:space="preserve"> face </w:t>
      </w:r>
      <w:r w:rsidR="00311849">
        <w:t xml:space="preserve">compliance </w:t>
      </w:r>
      <w:r w:rsidR="00311849" w:rsidRPr="00691CD2">
        <w:t>costs</w:t>
      </w:r>
      <w:r w:rsidR="005F2634">
        <w:t xml:space="preserve"> associated with the change</w:t>
      </w:r>
      <w:r w:rsidR="00311849">
        <w:t>, including</w:t>
      </w:r>
      <w:r w:rsidRPr="00691CD2">
        <w:t>:</w:t>
      </w:r>
    </w:p>
    <w:p w14:paraId="3BFCF4E5" w14:textId="77777777" w:rsidR="00221543" w:rsidRDefault="00221543" w:rsidP="0017035D">
      <w:pPr>
        <w:pStyle w:val="Paragraphtext"/>
        <w:numPr>
          <w:ilvl w:val="1"/>
          <w:numId w:val="12"/>
        </w:numPr>
        <w:ind w:left="851" w:hanging="425"/>
      </w:pPr>
      <w:r>
        <w:t>adjust</w:t>
      </w:r>
      <w:r w:rsidR="00B43347">
        <w:t>ing</w:t>
      </w:r>
      <w:r>
        <w:t xml:space="preserve"> their </w:t>
      </w:r>
      <w:r w:rsidR="00E33838">
        <w:t xml:space="preserve">holdings </w:t>
      </w:r>
      <w:r w:rsidR="00311849">
        <w:t xml:space="preserve">and control </w:t>
      </w:r>
      <w:r w:rsidR="00E33838">
        <w:t xml:space="preserve">of </w:t>
      </w:r>
      <w:r w:rsidR="00F32BC9">
        <w:t>liquid assets</w:t>
      </w:r>
      <w:r>
        <w:t>;</w:t>
      </w:r>
    </w:p>
    <w:p w14:paraId="724BB7A6" w14:textId="77777777" w:rsidR="00221543" w:rsidRDefault="00221543" w:rsidP="0017035D">
      <w:pPr>
        <w:pStyle w:val="Paragraphtext"/>
        <w:numPr>
          <w:ilvl w:val="1"/>
          <w:numId w:val="12"/>
        </w:numPr>
        <w:ind w:left="851" w:hanging="425"/>
      </w:pPr>
      <w:r>
        <w:t>adjustments to compliance processes to allow ongoing calculation</w:t>
      </w:r>
      <w:r w:rsidR="00F56A89">
        <w:t>,</w:t>
      </w:r>
      <w:r>
        <w:t xml:space="preserve"> monitoring and reporting</w:t>
      </w:r>
      <w:r w:rsidR="00F32BC9">
        <w:t>; and</w:t>
      </w:r>
    </w:p>
    <w:p w14:paraId="5DD15FED" w14:textId="77777777" w:rsidR="00221543" w:rsidRDefault="000B0346" w:rsidP="0017035D">
      <w:pPr>
        <w:pStyle w:val="Paragraphtext"/>
        <w:numPr>
          <w:ilvl w:val="1"/>
          <w:numId w:val="12"/>
        </w:numPr>
        <w:ind w:left="851" w:hanging="425"/>
      </w:pPr>
      <w:r>
        <w:t>possible</w:t>
      </w:r>
      <w:r w:rsidR="00221543" w:rsidRPr="00691CD2">
        <w:t xml:space="preserve"> additional education</w:t>
      </w:r>
      <w:r w:rsidR="00B43347">
        <w:t>al</w:t>
      </w:r>
      <w:r w:rsidR="00221543" w:rsidRPr="00691CD2">
        <w:t>, procedural and purchasing costs in order to comply with</w:t>
      </w:r>
      <w:r w:rsidR="00221543">
        <w:t xml:space="preserve"> the</w:t>
      </w:r>
      <w:r w:rsidR="00221543" w:rsidRPr="00691CD2">
        <w:t xml:space="preserve"> proposed requirements, depending on structures and processes</w:t>
      </w:r>
      <w:r w:rsidR="00F32BC9">
        <w:t>.</w:t>
      </w:r>
    </w:p>
    <w:p w14:paraId="4459F46B" w14:textId="655BBCB4" w:rsidR="004B6681" w:rsidRDefault="004B6681" w:rsidP="004B6681">
      <w:pPr>
        <w:pStyle w:val="Paragraphtext"/>
      </w:pPr>
      <w:r>
        <w:t xml:space="preserve">As with Option 1, the extent and impact of compliance costs on </w:t>
      </w:r>
      <w:r w:rsidR="000B0346">
        <w:t xml:space="preserve">foreign </w:t>
      </w:r>
      <w:r>
        <w:t xml:space="preserve">ADIs </w:t>
      </w:r>
      <w:r w:rsidR="00B43347">
        <w:t xml:space="preserve">would be </w:t>
      </w:r>
      <w:r>
        <w:t xml:space="preserve">limited due to </w:t>
      </w:r>
      <w:r w:rsidR="00BA35A1">
        <w:t xml:space="preserve">the </w:t>
      </w:r>
      <w:r w:rsidR="003655C5">
        <w:t>generally limited scope of</w:t>
      </w:r>
      <w:r>
        <w:t xml:space="preserve"> operation of f</w:t>
      </w:r>
      <w:r w:rsidR="0091625F">
        <w:t>oreign ADIs</w:t>
      </w:r>
      <w:r w:rsidR="00E35F3C">
        <w:t xml:space="preserve"> in Australia</w:t>
      </w:r>
      <w:r w:rsidR="0091625F">
        <w:t xml:space="preserve"> and conces</w:t>
      </w:r>
      <w:r w:rsidR="0091625F">
        <w:lastRenderedPageBreak/>
        <w:t xml:space="preserve">sional application of the liquid assets requirement in comparison to </w:t>
      </w:r>
      <w:r w:rsidR="00B43347">
        <w:t>equivalent locally</w:t>
      </w:r>
      <w:r w:rsidR="00E35F3C">
        <w:t xml:space="preserve"> </w:t>
      </w:r>
      <w:r w:rsidR="00B43347">
        <w:t>incorporated</w:t>
      </w:r>
      <w:r w:rsidR="0091625F">
        <w:t xml:space="preserve"> ADIs. </w:t>
      </w:r>
      <w:r w:rsidR="005F2634">
        <w:t xml:space="preserve">These factors would reduce the number of stakeholders exposed to the compliance burden and the </w:t>
      </w:r>
      <w:r w:rsidR="004524F7">
        <w:t>quantum</w:t>
      </w:r>
      <w:r w:rsidR="005F2634">
        <w:t xml:space="preserve"> of this burden.</w:t>
      </w:r>
    </w:p>
    <w:p w14:paraId="4A02873C" w14:textId="5FC44631" w:rsidR="008112D3" w:rsidRDefault="00A97A20" w:rsidP="002362D0">
      <w:pPr>
        <w:pStyle w:val="Paragraphtext"/>
      </w:pPr>
      <w:r>
        <w:t>T</w:t>
      </w:r>
      <w:r w:rsidR="008112D3">
        <w:t xml:space="preserve">he compliance costs </w:t>
      </w:r>
      <w:r w:rsidR="000364D5">
        <w:t xml:space="preserve">under this option </w:t>
      </w:r>
      <w:r w:rsidR="00B43347">
        <w:t>would be</w:t>
      </w:r>
      <w:r w:rsidR="008112D3">
        <w:t xml:space="preserve"> </w:t>
      </w:r>
      <w:r>
        <w:t xml:space="preserve">expected to be </w:t>
      </w:r>
      <w:r w:rsidR="00485D62">
        <w:t>limited</w:t>
      </w:r>
      <w:r w:rsidR="008112D3">
        <w:t xml:space="preserve"> </w:t>
      </w:r>
      <w:r w:rsidR="00B923A5">
        <w:t xml:space="preserve">as it is </w:t>
      </w:r>
      <w:r w:rsidR="00E35F3C">
        <w:t xml:space="preserve">anticipated to be </w:t>
      </w:r>
      <w:r w:rsidR="00B923A5">
        <w:t xml:space="preserve">less complex and better suited to foreign ADIs than </w:t>
      </w:r>
      <w:r>
        <w:t>Option 1</w:t>
      </w:r>
      <w:r w:rsidR="00B923A5">
        <w:t xml:space="preserve">. The application of </w:t>
      </w:r>
      <w:r w:rsidR="00E35F3C">
        <w:t>a</w:t>
      </w:r>
      <w:r w:rsidR="00B923A5">
        <w:t xml:space="preserve"> </w:t>
      </w:r>
      <w:r w:rsidR="006010ED">
        <w:t>minimum liquidity holding</w:t>
      </w:r>
      <w:r w:rsidR="00E35F3C">
        <w:t>s</w:t>
      </w:r>
      <w:r w:rsidR="006010ED">
        <w:t xml:space="preserve"> requirement </w:t>
      </w:r>
      <w:r w:rsidR="000B0346">
        <w:t>would</w:t>
      </w:r>
      <w:r w:rsidR="00B923A5">
        <w:t xml:space="preserve"> </w:t>
      </w:r>
      <w:r w:rsidR="000B0346">
        <w:t xml:space="preserve">allow a foreign ADI </w:t>
      </w:r>
      <w:r w:rsidR="00967614">
        <w:t xml:space="preserve">to hold </w:t>
      </w:r>
      <w:r w:rsidR="004524F7">
        <w:t>less</w:t>
      </w:r>
      <w:r w:rsidR="00967614">
        <w:t xml:space="preserve"> </w:t>
      </w:r>
      <w:r w:rsidR="006010ED">
        <w:t xml:space="preserve">liquid </w:t>
      </w:r>
      <w:r w:rsidR="00967614">
        <w:t xml:space="preserve">assets than if all liabilities are included as is the case for </w:t>
      </w:r>
      <w:r w:rsidR="000B0346">
        <w:t>locally</w:t>
      </w:r>
      <w:r w:rsidR="003A6319">
        <w:t xml:space="preserve"> </w:t>
      </w:r>
      <w:r w:rsidR="000B0346">
        <w:t xml:space="preserve">incorporated  </w:t>
      </w:r>
      <w:r w:rsidR="00967614">
        <w:t>ADIs.</w:t>
      </w:r>
    </w:p>
    <w:p w14:paraId="5E0AE4E2" w14:textId="7F33B6C6" w:rsidR="002224A4" w:rsidRDefault="005144FD" w:rsidP="00393BBA">
      <w:pPr>
        <w:pStyle w:val="Paragraphtext"/>
      </w:pPr>
      <w:r>
        <w:t>APRA</w:t>
      </w:r>
      <w:r w:rsidR="008D28DE">
        <w:t>’</w:t>
      </w:r>
      <w:r>
        <w:t xml:space="preserve">s view is that the net benefit </w:t>
      </w:r>
      <w:r w:rsidR="00046A95">
        <w:t xml:space="preserve">of </w:t>
      </w:r>
      <w:r>
        <w:t xml:space="preserve">Option </w:t>
      </w:r>
      <w:r w:rsidR="006A1AD3">
        <w:t xml:space="preserve">2 </w:t>
      </w:r>
      <w:r>
        <w:t xml:space="preserve">is not materially different to Option 1. While </w:t>
      </w:r>
      <w:r w:rsidR="006010ED">
        <w:t>a minimum liquidity holding</w:t>
      </w:r>
      <w:r>
        <w:t xml:space="preserve"> regime is a departure from the status quo, the benefits of a simpler calculation and ability to exclude external liabilities </w:t>
      </w:r>
      <w:r>
        <w:lastRenderedPageBreak/>
        <w:t>of foreign ADIs are likely to balance out the minimal costs of adjusting to a revised requirement.</w:t>
      </w:r>
      <w:r w:rsidR="00B35E8D">
        <w:t xml:space="preserve"> This option would have a net benefit for those foreign ADIs with less complex operations vis-à-vis the 40 per cent LCR requirement.</w:t>
      </w:r>
    </w:p>
    <w:p w14:paraId="62FB9501" w14:textId="77777777" w:rsidR="003A6319" w:rsidRDefault="003A6319" w:rsidP="00393BBA">
      <w:pPr>
        <w:pStyle w:val="Paragraphtext"/>
      </w:pPr>
      <w:r>
        <w:t xml:space="preserve">The compliance costs associated with this option are set out in the table below, including the costs of moving to the foreign ADI liquid assets requirement from the business as usual </w:t>
      </w:r>
      <w:r w:rsidR="009C09D0">
        <w:t>approach, and the costs of the local operational capacity assessment.</w:t>
      </w:r>
    </w:p>
    <w:p w14:paraId="65CDFEC3" w14:textId="4D9917DB" w:rsidR="0072442F" w:rsidRDefault="00916171" w:rsidP="00780CCD">
      <w:pPr>
        <w:pStyle w:val="RISHeader4"/>
      </w:pPr>
      <w:r>
        <w:lastRenderedPageBreak/>
        <w:t xml:space="preserve">Table </w:t>
      </w:r>
      <w:r w:rsidR="00994C26">
        <w:t>6</w:t>
      </w:r>
      <w:r>
        <w:t xml:space="preserve"> - Average annual regulatory costs (from business as usual)</w:t>
      </w:r>
    </w:p>
    <w:tbl>
      <w:tblPr>
        <w:tblStyle w:val="LightGrid1"/>
        <w:tblW w:w="8788" w:type="dxa"/>
        <w:tblLook w:val="06A0" w:firstRow="1" w:lastRow="0" w:firstColumn="1" w:lastColumn="0" w:noHBand="1" w:noVBand="1"/>
        <w:tblCaption w:val="Table 6"/>
        <w:tblDescription w:val="Average annual regulatory (from business as usual)"/>
      </w:tblPr>
      <w:tblGrid>
        <w:gridCol w:w="1975"/>
        <w:gridCol w:w="1484"/>
        <w:gridCol w:w="1872"/>
        <w:gridCol w:w="1872"/>
        <w:gridCol w:w="1585"/>
      </w:tblGrid>
      <w:tr w:rsidR="004962F7" w14:paraId="41EAFBC1" w14:textId="77777777" w:rsidTr="00780CC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D2027D7" w14:textId="77777777" w:rsidR="004962F7" w:rsidRDefault="004962F7" w:rsidP="00994C26">
            <w:pPr>
              <w:pStyle w:val="RIStext"/>
              <w:jc w:val="left"/>
              <w:rPr>
                <w:b w:val="0"/>
                <w:bCs w:val="0"/>
              </w:rPr>
            </w:pPr>
            <w:r>
              <w:t>Change in costs ($ million)</w:t>
            </w:r>
          </w:p>
        </w:tc>
        <w:tc>
          <w:tcPr>
            <w:tcW w:w="1484" w:type="dxa"/>
            <w:noWrap/>
            <w:hideMark/>
          </w:tcPr>
          <w:p w14:paraId="55A5511A" w14:textId="77777777" w:rsidR="004962F7" w:rsidRDefault="004962F7" w:rsidP="00994C26">
            <w:pPr>
              <w:pStyle w:val="RIStext"/>
              <w:jc w:val="left"/>
              <w:cnfStyle w:val="100000000000" w:firstRow="1" w:lastRow="0" w:firstColumn="0" w:lastColumn="0" w:oddVBand="0" w:evenVBand="0" w:oddHBand="0" w:evenHBand="0" w:firstRowFirstColumn="0" w:firstRowLastColumn="0" w:lastRowFirstColumn="0" w:lastRowLastColumn="0"/>
            </w:pPr>
            <w:r>
              <w:t>Business</w:t>
            </w:r>
          </w:p>
        </w:tc>
        <w:tc>
          <w:tcPr>
            <w:tcW w:w="1872" w:type="dxa"/>
            <w:noWrap/>
            <w:hideMark/>
          </w:tcPr>
          <w:p w14:paraId="42252A56" w14:textId="77777777" w:rsidR="004962F7" w:rsidRDefault="004962F7" w:rsidP="00994C26">
            <w:pPr>
              <w:pStyle w:val="RIStext"/>
              <w:jc w:val="left"/>
              <w:cnfStyle w:val="100000000000" w:firstRow="1" w:lastRow="0" w:firstColumn="0" w:lastColumn="0" w:oddVBand="0" w:evenVBand="0" w:oddHBand="0" w:evenHBand="0" w:firstRowFirstColumn="0" w:firstRowLastColumn="0" w:lastRowFirstColumn="0" w:lastRowLastColumn="0"/>
            </w:pPr>
            <w:r>
              <w:t>Community organisations</w:t>
            </w:r>
          </w:p>
        </w:tc>
        <w:tc>
          <w:tcPr>
            <w:tcW w:w="1872" w:type="dxa"/>
            <w:noWrap/>
            <w:hideMark/>
          </w:tcPr>
          <w:p w14:paraId="26D6018E" w14:textId="77777777" w:rsidR="004962F7" w:rsidRDefault="004962F7" w:rsidP="00994C26">
            <w:pPr>
              <w:pStyle w:val="RIStext"/>
              <w:jc w:val="left"/>
              <w:cnfStyle w:val="100000000000" w:firstRow="1" w:lastRow="0" w:firstColumn="0" w:lastColumn="0" w:oddVBand="0" w:evenVBand="0" w:oddHBand="0" w:evenHBand="0" w:firstRowFirstColumn="0" w:firstRowLastColumn="0" w:lastRowFirstColumn="0" w:lastRowLastColumn="0"/>
            </w:pPr>
            <w:r>
              <w:t>Individuals</w:t>
            </w:r>
          </w:p>
        </w:tc>
        <w:tc>
          <w:tcPr>
            <w:tcW w:w="1585" w:type="dxa"/>
            <w:noWrap/>
            <w:hideMark/>
          </w:tcPr>
          <w:p w14:paraId="7B067608" w14:textId="77777777" w:rsidR="004962F7" w:rsidRDefault="004962F7" w:rsidP="00994C26">
            <w:pPr>
              <w:pStyle w:val="RIStext"/>
              <w:jc w:val="left"/>
              <w:cnfStyle w:val="100000000000" w:firstRow="1" w:lastRow="0" w:firstColumn="0" w:lastColumn="0" w:oddVBand="0" w:evenVBand="0" w:oddHBand="0" w:evenHBand="0" w:firstRowFirstColumn="0" w:firstRowLastColumn="0" w:lastRowFirstColumn="0" w:lastRowLastColumn="0"/>
            </w:pPr>
            <w:r>
              <w:t>Total change in costs</w:t>
            </w:r>
          </w:p>
        </w:tc>
      </w:tr>
      <w:tr w:rsidR="004962F7" w14:paraId="5E85AE40" w14:textId="77777777" w:rsidTr="00780CCD">
        <w:trPr>
          <w:trHeight w:val="300"/>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EC8F5D9" w14:textId="77777777" w:rsidR="004962F7" w:rsidRDefault="004962F7" w:rsidP="00994C26">
            <w:pPr>
              <w:pStyle w:val="RIStext"/>
              <w:jc w:val="left"/>
            </w:pPr>
            <w:r>
              <w:t>Total, by sector</w:t>
            </w:r>
          </w:p>
        </w:tc>
        <w:tc>
          <w:tcPr>
            <w:tcW w:w="1484" w:type="dxa"/>
            <w:noWrap/>
            <w:hideMark/>
          </w:tcPr>
          <w:p w14:paraId="2E8C84C3" w14:textId="54F90E19" w:rsidR="004962F7" w:rsidRDefault="004962F7" w:rsidP="00994C26">
            <w:pPr>
              <w:pStyle w:val="RIStext"/>
              <w:jc w:val="left"/>
              <w:cnfStyle w:val="000000000000" w:firstRow="0" w:lastRow="0" w:firstColumn="0" w:lastColumn="0" w:oddVBand="0" w:evenVBand="0" w:oddHBand="0" w:evenHBand="0" w:firstRowFirstColumn="0" w:firstRowLastColumn="0" w:lastRowFirstColumn="0" w:lastRowLastColumn="0"/>
            </w:pPr>
            <w:r>
              <w:t>$</w:t>
            </w:r>
            <w:r w:rsidR="004C6C67">
              <w:t>0.</w:t>
            </w:r>
            <w:r w:rsidR="00BC7AC7">
              <w:t>594</w:t>
            </w:r>
          </w:p>
        </w:tc>
        <w:tc>
          <w:tcPr>
            <w:tcW w:w="1872" w:type="dxa"/>
            <w:noWrap/>
            <w:hideMark/>
          </w:tcPr>
          <w:p w14:paraId="5FCDFB4A" w14:textId="77777777" w:rsidR="004962F7" w:rsidRDefault="004962F7" w:rsidP="00994C26">
            <w:pPr>
              <w:pStyle w:val="RIStext"/>
              <w:jc w:val="left"/>
              <w:cnfStyle w:val="000000000000" w:firstRow="0" w:lastRow="0" w:firstColumn="0" w:lastColumn="0" w:oddVBand="0" w:evenVBand="0" w:oddHBand="0" w:evenHBand="0" w:firstRowFirstColumn="0" w:firstRowLastColumn="0" w:lastRowFirstColumn="0" w:lastRowLastColumn="0"/>
            </w:pPr>
            <w:r>
              <w:t>$0</w:t>
            </w:r>
          </w:p>
        </w:tc>
        <w:tc>
          <w:tcPr>
            <w:tcW w:w="1872" w:type="dxa"/>
            <w:noWrap/>
            <w:hideMark/>
          </w:tcPr>
          <w:p w14:paraId="7C2E2689" w14:textId="77777777" w:rsidR="004962F7" w:rsidRDefault="004962F7" w:rsidP="00994C26">
            <w:pPr>
              <w:pStyle w:val="RIStext"/>
              <w:jc w:val="left"/>
              <w:cnfStyle w:val="000000000000" w:firstRow="0" w:lastRow="0" w:firstColumn="0" w:lastColumn="0" w:oddVBand="0" w:evenVBand="0" w:oddHBand="0" w:evenHBand="0" w:firstRowFirstColumn="0" w:firstRowLastColumn="0" w:lastRowFirstColumn="0" w:lastRowLastColumn="0"/>
            </w:pPr>
            <w:r>
              <w:t>$0</w:t>
            </w:r>
          </w:p>
        </w:tc>
        <w:tc>
          <w:tcPr>
            <w:tcW w:w="1585" w:type="dxa"/>
            <w:noWrap/>
            <w:hideMark/>
          </w:tcPr>
          <w:p w14:paraId="1189621D" w14:textId="719EA8B3" w:rsidR="004962F7" w:rsidRDefault="004962F7" w:rsidP="00994C26">
            <w:pPr>
              <w:pStyle w:val="RIStext"/>
              <w:jc w:val="left"/>
              <w:cnfStyle w:val="000000000000" w:firstRow="0" w:lastRow="0" w:firstColumn="0" w:lastColumn="0" w:oddVBand="0" w:evenVBand="0" w:oddHBand="0" w:evenHBand="0" w:firstRowFirstColumn="0" w:firstRowLastColumn="0" w:lastRowFirstColumn="0" w:lastRowLastColumn="0"/>
            </w:pPr>
            <w:r w:rsidRPr="006523AC">
              <w:t>$</w:t>
            </w:r>
            <w:r w:rsidR="004C6C67">
              <w:t>0.</w:t>
            </w:r>
            <w:r w:rsidR="00BC7AC7">
              <w:t>594</w:t>
            </w:r>
          </w:p>
        </w:tc>
      </w:tr>
    </w:tbl>
    <w:p w14:paraId="05D29C35" w14:textId="77777777" w:rsidR="00C940AD" w:rsidRPr="000943FA" w:rsidRDefault="00C940AD" w:rsidP="00780CCD">
      <w:pPr>
        <w:pStyle w:val="RISHeader3"/>
      </w:pPr>
      <w:r w:rsidRPr="000943FA">
        <w:lastRenderedPageBreak/>
        <w:t xml:space="preserve">Summary of </w:t>
      </w:r>
      <w:r>
        <w:t xml:space="preserve">policy </w:t>
      </w:r>
      <w:r w:rsidRPr="000943FA">
        <w:t>options and net benefits</w:t>
      </w:r>
    </w:p>
    <w:p w14:paraId="7BBF47F6" w14:textId="1B7A03F9" w:rsidR="00C940AD" w:rsidRPr="00780CCD" w:rsidRDefault="00C940AD" w:rsidP="00780CCD">
      <w:pPr>
        <w:pStyle w:val="RISHeader4"/>
      </w:pPr>
      <w:r w:rsidRPr="00780CCD">
        <w:t xml:space="preserve">Table </w:t>
      </w:r>
      <w:r w:rsidR="00780CCD">
        <w:t>7</w:t>
      </w:r>
      <w:r w:rsidRPr="00780CCD">
        <w:t xml:space="preserve">: Summary of the net benefits of each </w:t>
      </w:r>
      <w:r w:rsidR="00481555" w:rsidRPr="00780CCD">
        <w:t xml:space="preserve">liquid assets requirement </w:t>
      </w:r>
      <w:r w:rsidRPr="00780CCD">
        <w:t>option</w:t>
      </w:r>
    </w:p>
    <w:tbl>
      <w:tblPr>
        <w:tblStyle w:val="LightGrid1"/>
        <w:tblW w:w="9180" w:type="dxa"/>
        <w:tblLook w:val="06A0" w:firstRow="1" w:lastRow="0" w:firstColumn="1" w:lastColumn="0" w:noHBand="1" w:noVBand="1"/>
        <w:tblCaption w:val="Table 7"/>
        <w:tblDescription w:val="Summary of the net benefits of each liquid assets requirement option"/>
      </w:tblPr>
      <w:tblGrid>
        <w:gridCol w:w="3652"/>
        <w:gridCol w:w="2693"/>
        <w:gridCol w:w="2835"/>
      </w:tblGrid>
      <w:tr w:rsidR="00A05A18" w:rsidRPr="00691CD2" w14:paraId="04A74FF5" w14:textId="77777777" w:rsidTr="00780C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14:paraId="743896BC" w14:textId="77777777" w:rsidR="00A05A18" w:rsidRPr="00762C24" w:rsidRDefault="00A05A18" w:rsidP="00780CCD">
            <w:pPr>
              <w:pStyle w:val="RIStext"/>
              <w:jc w:val="left"/>
            </w:pPr>
          </w:p>
        </w:tc>
        <w:tc>
          <w:tcPr>
            <w:tcW w:w="2693" w:type="dxa"/>
          </w:tcPr>
          <w:p w14:paraId="39FB9991" w14:textId="77777777" w:rsidR="00A05A18" w:rsidRPr="00762C24" w:rsidRDefault="00A05A18" w:rsidP="00780CCD">
            <w:pPr>
              <w:pStyle w:val="RIStext"/>
              <w:jc w:val="left"/>
              <w:cnfStyle w:val="100000000000" w:firstRow="1" w:lastRow="0" w:firstColumn="0" w:lastColumn="0" w:oddVBand="0" w:evenVBand="0" w:oddHBand="0" w:evenHBand="0" w:firstRowFirstColumn="0" w:firstRowLastColumn="0" w:lastRowFirstColumn="0" w:lastRowLastColumn="0"/>
              <w:rPr>
                <w:b w:val="0"/>
              </w:rPr>
            </w:pPr>
            <w:r w:rsidRPr="00762C24">
              <w:t>Option 1:</w:t>
            </w:r>
            <w:r w:rsidRPr="00762C24">
              <w:br/>
              <w:t xml:space="preserve">status quo </w:t>
            </w:r>
          </w:p>
        </w:tc>
        <w:tc>
          <w:tcPr>
            <w:tcW w:w="2835" w:type="dxa"/>
          </w:tcPr>
          <w:p w14:paraId="043F1F7A" w14:textId="77777777" w:rsidR="00A05A18" w:rsidRPr="00762C24" w:rsidRDefault="00A05A18" w:rsidP="00780CCD">
            <w:pPr>
              <w:pStyle w:val="RIStext"/>
              <w:jc w:val="left"/>
              <w:cnfStyle w:val="100000000000" w:firstRow="1" w:lastRow="0" w:firstColumn="0" w:lastColumn="0" w:oddVBand="0" w:evenVBand="0" w:oddHBand="0" w:evenHBand="0" w:firstRowFirstColumn="0" w:firstRowLastColumn="0" w:lastRowFirstColumn="0" w:lastRowLastColumn="0"/>
              <w:rPr>
                <w:b w:val="0"/>
              </w:rPr>
            </w:pPr>
            <w:r w:rsidRPr="00762C24">
              <w:t xml:space="preserve">Option 2: </w:t>
            </w:r>
            <w:r w:rsidRPr="00762C24">
              <w:br/>
              <w:t xml:space="preserve">revised concessionary regulation </w:t>
            </w:r>
          </w:p>
        </w:tc>
      </w:tr>
      <w:tr w:rsidR="00A05A18" w:rsidRPr="00691CD2" w14:paraId="04834ED3" w14:textId="77777777" w:rsidTr="00780CCD">
        <w:tc>
          <w:tcPr>
            <w:cnfStyle w:val="001000000000" w:firstRow="0" w:lastRow="0" w:firstColumn="1" w:lastColumn="0" w:oddVBand="0" w:evenVBand="0" w:oddHBand="0" w:evenHBand="0" w:firstRowFirstColumn="0" w:firstRowLastColumn="0" w:lastRowFirstColumn="0" w:lastRowLastColumn="0"/>
            <w:tcW w:w="3652" w:type="dxa"/>
          </w:tcPr>
          <w:p w14:paraId="21B32C2B" w14:textId="77777777" w:rsidR="00A05A18" w:rsidRPr="00762C24" w:rsidRDefault="00A05A18" w:rsidP="00780CCD">
            <w:pPr>
              <w:pStyle w:val="RIStext"/>
              <w:jc w:val="left"/>
              <w:rPr>
                <w:b w:val="0"/>
              </w:rPr>
            </w:pPr>
            <w:r w:rsidRPr="00762C24">
              <w:t>Compliance costs and indirect costs (indicative)</w:t>
            </w:r>
          </w:p>
        </w:tc>
        <w:tc>
          <w:tcPr>
            <w:tcW w:w="2693" w:type="dxa"/>
          </w:tcPr>
          <w:p w14:paraId="71B23001" w14:textId="77777777" w:rsidR="00A05A18" w:rsidRPr="00762C24" w:rsidRDefault="00BE3468" w:rsidP="00780CCD">
            <w:pPr>
              <w:pStyle w:val="RIStext"/>
              <w:jc w:val="left"/>
              <w:cnfStyle w:val="000000000000" w:firstRow="0" w:lastRow="0" w:firstColumn="0" w:lastColumn="0" w:oddVBand="0" w:evenVBand="0" w:oddHBand="0" w:evenHBand="0" w:firstRowFirstColumn="0" w:firstRowLastColumn="0" w:lastRowFirstColumn="0" w:lastRowLastColumn="0"/>
            </w:pPr>
            <w:r w:rsidRPr="00762C24">
              <w:t>Minor</w:t>
            </w:r>
            <w:r w:rsidR="00A05A18" w:rsidRPr="00762C24">
              <w:t xml:space="preserve"> net cost</w:t>
            </w:r>
            <w:r w:rsidRPr="00762C24">
              <w:t xml:space="preserve"> (for local operational capacity assessment)</w:t>
            </w:r>
          </w:p>
        </w:tc>
        <w:tc>
          <w:tcPr>
            <w:tcW w:w="2835" w:type="dxa"/>
          </w:tcPr>
          <w:p w14:paraId="5BE89404" w14:textId="77777777" w:rsidR="00A05A18" w:rsidRPr="00762C24" w:rsidRDefault="00A05A18" w:rsidP="00780CCD">
            <w:pPr>
              <w:pStyle w:val="RIStext"/>
              <w:jc w:val="left"/>
              <w:cnfStyle w:val="000000000000" w:firstRow="0" w:lastRow="0" w:firstColumn="0" w:lastColumn="0" w:oddVBand="0" w:evenVBand="0" w:oddHBand="0" w:evenHBand="0" w:firstRowFirstColumn="0" w:firstRowLastColumn="0" w:lastRowFirstColumn="0" w:lastRowLastColumn="0"/>
            </w:pPr>
            <w:r w:rsidRPr="00762C24">
              <w:t>May range from no change to moderate net cost</w:t>
            </w:r>
          </w:p>
        </w:tc>
      </w:tr>
      <w:tr w:rsidR="00A05A18" w:rsidRPr="00691CD2" w14:paraId="52DBC9CB" w14:textId="77777777" w:rsidTr="00780CCD">
        <w:tc>
          <w:tcPr>
            <w:cnfStyle w:val="001000000000" w:firstRow="0" w:lastRow="0" w:firstColumn="1" w:lastColumn="0" w:oddVBand="0" w:evenVBand="0" w:oddHBand="0" w:evenHBand="0" w:firstRowFirstColumn="0" w:firstRowLastColumn="0" w:lastRowFirstColumn="0" w:lastRowLastColumn="0"/>
            <w:tcW w:w="3652" w:type="dxa"/>
          </w:tcPr>
          <w:p w14:paraId="3C73A14F" w14:textId="77777777" w:rsidR="00A05A18" w:rsidRPr="00762C24" w:rsidRDefault="00A05A18" w:rsidP="00780CCD">
            <w:pPr>
              <w:pStyle w:val="RIStext"/>
              <w:jc w:val="left"/>
              <w:rPr>
                <w:b w:val="0"/>
              </w:rPr>
            </w:pPr>
            <w:r w:rsidRPr="00762C24">
              <w:t>Leads to better protection of ADIs’ stakeholders</w:t>
            </w:r>
          </w:p>
        </w:tc>
        <w:tc>
          <w:tcPr>
            <w:tcW w:w="2693" w:type="dxa"/>
          </w:tcPr>
          <w:p w14:paraId="3B00376E" w14:textId="77777777" w:rsidR="00A05A18" w:rsidRPr="00762C24" w:rsidRDefault="00A05A18" w:rsidP="00780CCD">
            <w:pPr>
              <w:pStyle w:val="RIStext"/>
              <w:jc w:val="left"/>
              <w:cnfStyle w:val="000000000000" w:firstRow="0" w:lastRow="0" w:firstColumn="0" w:lastColumn="0" w:oddVBand="0" w:evenVBand="0" w:oddHBand="0" w:evenHBand="0" w:firstRowFirstColumn="0" w:firstRowLastColumn="0" w:lastRowFirstColumn="0" w:lastRowLastColumn="0"/>
            </w:pPr>
            <w:r w:rsidRPr="00762C24">
              <w:t>Meets this criteria</w:t>
            </w:r>
          </w:p>
        </w:tc>
        <w:tc>
          <w:tcPr>
            <w:tcW w:w="2835" w:type="dxa"/>
          </w:tcPr>
          <w:p w14:paraId="125B47BD" w14:textId="77777777" w:rsidR="00A05A18" w:rsidRPr="00762C24" w:rsidRDefault="00A05A18" w:rsidP="00780CCD">
            <w:pPr>
              <w:pStyle w:val="RIStext"/>
              <w:jc w:val="left"/>
              <w:cnfStyle w:val="000000000000" w:firstRow="0" w:lastRow="0" w:firstColumn="0" w:lastColumn="0" w:oddVBand="0" w:evenVBand="0" w:oddHBand="0" w:evenHBand="0" w:firstRowFirstColumn="0" w:firstRowLastColumn="0" w:lastRowFirstColumn="0" w:lastRowLastColumn="0"/>
            </w:pPr>
            <w:r w:rsidRPr="00762C24">
              <w:t>May or may not meet this criteria</w:t>
            </w:r>
          </w:p>
        </w:tc>
      </w:tr>
      <w:tr w:rsidR="00A05A18" w:rsidRPr="00691CD2" w14:paraId="2B3CAF1D" w14:textId="77777777" w:rsidTr="00780CCD">
        <w:tc>
          <w:tcPr>
            <w:cnfStyle w:val="001000000000" w:firstRow="0" w:lastRow="0" w:firstColumn="1" w:lastColumn="0" w:oddVBand="0" w:evenVBand="0" w:oddHBand="0" w:evenHBand="0" w:firstRowFirstColumn="0" w:firstRowLastColumn="0" w:lastRowFirstColumn="0" w:lastRowLastColumn="0"/>
            <w:tcW w:w="3652" w:type="dxa"/>
          </w:tcPr>
          <w:p w14:paraId="54D94A0F" w14:textId="77777777" w:rsidR="00A05A18" w:rsidRPr="00762C24" w:rsidRDefault="00A05A18" w:rsidP="00780CCD">
            <w:pPr>
              <w:pStyle w:val="RIStext"/>
              <w:jc w:val="left"/>
              <w:rPr>
                <w:b w:val="0"/>
                <w:highlight w:val="yellow"/>
              </w:rPr>
            </w:pPr>
            <w:r w:rsidRPr="00762C24">
              <w:t>Consistent with G20 agreements and Basel  III</w:t>
            </w:r>
          </w:p>
        </w:tc>
        <w:tc>
          <w:tcPr>
            <w:tcW w:w="2693" w:type="dxa"/>
          </w:tcPr>
          <w:p w14:paraId="2EFB0F12" w14:textId="77777777" w:rsidR="00A05A18" w:rsidRPr="00762C24" w:rsidRDefault="00A05A18" w:rsidP="00780CCD">
            <w:pPr>
              <w:pStyle w:val="RIStext"/>
              <w:jc w:val="left"/>
              <w:cnfStyle w:val="000000000000" w:firstRow="0" w:lastRow="0" w:firstColumn="0" w:lastColumn="0" w:oddVBand="0" w:evenVBand="0" w:oddHBand="0" w:evenHBand="0" w:firstRowFirstColumn="0" w:firstRowLastColumn="0" w:lastRowFirstColumn="0" w:lastRowLastColumn="0"/>
            </w:pPr>
            <w:r w:rsidRPr="00762C24">
              <w:t>Meets this criteria</w:t>
            </w:r>
          </w:p>
        </w:tc>
        <w:tc>
          <w:tcPr>
            <w:tcW w:w="2835" w:type="dxa"/>
          </w:tcPr>
          <w:p w14:paraId="707DF569" w14:textId="77777777" w:rsidR="00A05A18" w:rsidRPr="00762C24" w:rsidRDefault="00A05A18" w:rsidP="00780CCD">
            <w:pPr>
              <w:pStyle w:val="RIStext"/>
              <w:jc w:val="left"/>
              <w:cnfStyle w:val="000000000000" w:firstRow="0" w:lastRow="0" w:firstColumn="0" w:lastColumn="0" w:oddVBand="0" w:evenVBand="0" w:oddHBand="0" w:evenHBand="0" w:firstRowFirstColumn="0" w:firstRowLastColumn="0" w:lastRowFirstColumn="0" w:lastRowLastColumn="0"/>
            </w:pPr>
            <w:r w:rsidRPr="00762C24">
              <w:t>May or may not meet this criteria</w:t>
            </w:r>
          </w:p>
        </w:tc>
      </w:tr>
      <w:tr w:rsidR="00A05A18" w:rsidRPr="00691CD2" w14:paraId="24A62B74" w14:textId="77777777" w:rsidTr="00780CCD">
        <w:tc>
          <w:tcPr>
            <w:cnfStyle w:val="001000000000" w:firstRow="0" w:lastRow="0" w:firstColumn="1" w:lastColumn="0" w:oddVBand="0" w:evenVBand="0" w:oddHBand="0" w:evenHBand="0" w:firstRowFirstColumn="0" w:firstRowLastColumn="0" w:lastRowFirstColumn="0" w:lastRowLastColumn="0"/>
            <w:tcW w:w="3652" w:type="dxa"/>
          </w:tcPr>
          <w:p w14:paraId="5216A9A6" w14:textId="77777777" w:rsidR="00A05A18" w:rsidRPr="00762C24" w:rsidRDefault="00A05A18" w:rsidP="00780CCD">
            <w:pPr>
              <w:pStyle w:val="RIStext"/>
              <w:jc w:val="left"/>
              <w:rPr>
                <w:b w:val="0"/>
              </w:rPr>
            </w:pPr>
            <w:r w:rsidRPr="00762C24">
              <w:lastRenderedPageBreak/>
              <w:t>Overall</w:t>
            </w:r>
          </w:p>
        </w:tc>
        <w:tc>
          <w:tcPr>
            <w:tcW w:w="2693" w:type="dxa"/>
          </w:tcPr>
          <w:p w14:paraId="4A773566" w14:textId="77777777" w:rsidR="00A05A18" w:rsidRPr="00762C24" w:rsidRDefault="00DB19A5" w:rsidP="00780CCD">
            <w:pPr>
              <w:pStyle w:val="RIStext"/>
              <w:jc w:val="left"/>
              <w:cnfStyle w:val="000000000000" w:firstRow="0" w:lastRow="0" w:firstColumn="0" w:lastColumn="0" w:oddVBand="0" w:evenVBand="0" w:oddHBand="0" w:evenHBand="0" w:firstRowFirstColumn="0" w:firstRowLastColumn="0" w:lastRowFirstColumn="0" w:lastRowLastColumn="0"/>
            </w:pPr>
            <w:r w:rsidRPr="00762C24">
              <w:t>Minor n</w:t>
            </w:r>
            <w:r w:rsidR="00A05A18" w:rsidRPr="00762C24">
              <w:t xml:space="preserve">et </w:t>
            </w:r>
            <w:r w:rsidR="00F11E24" w:rsidRPr="00762C24">
              <w:t>cost</w:t>
            </w:r>
            <w:r w:rsidR="00DD47DF" w:rsidRPr="00762C24">
              <w:t xml:space="preserve"> for loca</w:t>
            </w:r>
            <w:r w:rsidRPr="00762C24">
              <w:t>l operational capacity</w:t>
            </w:r>
          </w:p>
        </w:tc>
        <w:tc>
          <w:tcPr>
            <w:tcW w:w="2835" w:type="dxa"/>
          </w:tcPr>
          <w:p w14:paraId="5A4859B4" w14:textId="77777777" w:rsidR="00A05A18" w:rsidRPr="00762C24" w:rsidRDefault="00F11E24" w:rsidP="00780CCD">
            <w:pPr>
              <w:pStyle w:val="RIStext"/>
              <w:jc w:val="left"/>
              <w:cnfStyle w:val="000000000000" w:firstRow="0" w:lastRow="0" w:firstColumn="0" w:lastColumn="0" w:oddVBand="0" w:evenVBand="0" w:oddHBand="0" w:evenHBand="0" w:firstRowFirstColumn="0" w:firstRowLastColumn="0" w:lastRowFirstColumn="0" w:lastRowLastColumn="0"/>
            </w:pPr>
            <w:r w:rsidRPr="00762C24">
              <w:t>Moderate net cost</w:t>
            </w:r>
          </w:p>
        </w:tc>
      </w:tr>
    </w:tbl>
    <w:p w14:paraId="78D67B7E" w14:textId="77777777" w:rsidR="00DF26BB" w:rsidRPr="00FB251D" w:rsidRDefault="00DA7E2C" w:rsidP="00B03CAB">
      <w:pPr>
        <w:pStyle w:val="RISHeader3"/>
      </w:pPr>
      <w:r>
        <w:t>C</w:t>
      </w:r>
      <w:r w:rsidR="006F405A" w:rsidRPr="00FB251D">
        <w:t>onsult</w:t>
      </w:r>
      <w:r>
        <w:t>ation</w:t>
      </w:r>
    </w:p>
    <w:p w14:paraId="574C9578" w14:textId="77777777" w:rsidR="00FB251D" w:rsidRPr="009C4843" w:rsidRDefault="00FB251D" w:rsidP="00B03CAB">
      <w:pPr>
        <w:pStyle w:val="Paragraphtext"/>
        <w:keepNext/>
        <w:widowControl/>
      </w:pPr>
      <w:r w:rsidRPr="009C4843">
        <w:t xml:space="preserve">The Basel Committee </w:t>
      </w:r>
      <w:r w:rsidR="00951E8F">
        <w:t>first consulted on it</w:t>
      </w:r>
      <w:r w:rsidR="009C4843" w:rsidRPr="009C4843">
        <w:t>s liquidity framework</w:t>
      </w:r>
      <w:r w:rsidR="007629BD">
        <w:t>,</w:t>
      </w:r>
      <w:r w:rsidR="00951E8F">
        <w:t xml:space="preserve"> incorporating </w:t>
      </w:r>
      <w:r w:rsidR="007629BD">
        <w:t>the</w:t>
      </w:r>
      <w:r w:rsidR="00951E8F">
        <w:t xml:space="preserve"> NSFR</w:t>
      </w:r>
      <w:r w:rsidR="009C4843" w:rsidRPr="009C4843">
        <w:t xml:space="preserve"> </w:t>
      </w:r>
      <w:r w:rsidR="002636A2">
        <w:t>requirement</w:t>
      </w:r>
      <w:r w:rsidR="007629BD">
        <w:t>,</w:t>
      </w:r>
      <w:r w:rsidR="002636A2">
        <w:t xml:space="preserve"> </w:t>
      </w:r>
      <w:r w:rsidR="009C4843" w:rsidRPr="009C4843">
        <w:t>in December 2009</w:t>
      </w:r>
      <w:r w:rsidR="00BA1393">
        <w:t>.</w:t>
      </w:r>
      <w:r w:rsidR="00951E8F">
        <w:rPr>
          <w:rStyle w:val="FootnoteReference"/>
        </w:rPr>
        <w:footnoteReference w:id="26"/>
      </w:r>
      <w:r w:rsidR="004E697E">
        <w:t xml:space="preserve"> </w:t>
      </w:r>
      <w:r w:rsidR="00951E8F">
        <w:t xml:space="preserve">Feedback was received from a range of international financial institutions and their representatives, including the </w:t>
      </w:r>
      <w:r w:rsidR="00951E8F">
        <w:lastRenderedPageBreak/>
        <w:t>Australian Bankers</w:t>
      </w:r>
      <w:r w:rsidR="000032DC">
        <w:t>’</w:t>
      </w:r>
      <w:r w:rsidR="00951E8F">
        <w:t xml:space="preserve"> Association</w:t>
      </w:r>
      <w:r w:rsidR="00BA1393">
        <w:t>.</w:t>
      </w:r>
      <w:r w:rsidR="00951E8F">
        <w:rPr>
          <w:rStyle w:val="FootnoteReference"/>
        </w:rPr>
        <w:footnoteReference w:id="27"/>
      </w:r>
      <w:r w:rsidR="00AE57BC">
        <w:t xml:space="preserve"> </w:t>
      </w:r>
      <w:r w:rsidR="004E697E">
        <w:t>Further revisions to the liquidity framework were issued in December 2010</w:t>
      </w:r>
      <w:r w:rsidR="004E697E">
        <w:rPr>
          <w:rStyle w:val="FootnoteReference"/>
        </w:rPr>
        <w:footnoteReference w:id="28"/>
      </w:r>
      <w:r w:rsidR="004E697E">
        <w:t xml:space="preserve"> and</w:t>
      </w:r>
      <w:r w:rsidR="00AE57BC">
        <w:t xml:space="preserve"> consultation specifically regarding the NSFR w</w:t>
      </w:r>
      <w:r w:rsidR="004E697E">
        <w:t>as</w:t>
      </w:r>
      <w:r w:rsidR="00AE57BC">
        <w:t xml:space="preserve"> held between January 2014 and April</w:t>
      </w:r>
      <w:r w:rsidR="00F75989">
        <w:t> </w:t>
      </w:r>
      <w:r w:rsidR="00AE57BC">
        <w:t>2014</w:t>
      </w:r>
      <w:r w:rsidR="00BA1393">
        <w:t>.</w:t>
      </w:r>
      <w:r w:rsidR="006D0EE5">
        <w:rPr>
          <w:rStyle w:val="FootnoteReference"/>
        </w:rPr>
        <w:footnoteReference w:id="29"/>
      </w:r>
    </w:p>
    <w:p w14:paraId="300F10CF" w14:textId="77777777" w:rsidR="00054373" w:rsidRPr="00CC1FC1" w:rsidRDefault="00054373" w:rsidP="00054373">
      <w:pPr>
        <w:pStyle w:val="Paragraphtext"/>
      </w:pPr>
      <w:r w:rsidRPr="00CC1FC1">
        <w:t xml:space="preserve">APRA has </w:t>
      </w:r>
      <w:r w:rsidR="00BC4324">
        <w:t xml:space="preserve">also </w:t>
      </w:r>
      <w:r w:rsidRPr="00CC1FC1">
        <w:t>released a number of discussion and respo</w:t>
      </w:r>
      <w:r w:rsidR="005D3ACB">
        <w:t>nse papers concerning the Basel </w:t>
      </w:r>
      <w:r w:rsidRPr="00CC1FC1">
        <w:t>III liquidity framework</w:t>
      </w:r>
      <w:r w:rsidR="005D3ACB">
        <w:t xml:space="preserve"> and related reporting arrangements</w:t>
      </w:r>
      <w:r w:rsidR="00BA1393">
        <w:t>:</w:t>
      </w:r>
      <w:r w:rsidR="00BE343F">
        <w:rPr>
          <w:rStyle w:val="FootnoteReference"/>
        </w:rPr>
        <w:footnoteReference w:id="30"/>
      </w:r>
    </w:p>
    <w:p w14:paraId="4D04A479" w14:textId="77777777" w:rsidR="00FB251D" w:rsidRPr="00CC1FC1" w:rsidRDefault="00054373" w:rsidP="0017035D">
      <w:pPr>
        <w:pStyle w:val="Paragraphtext"/>
        <w:numPr>
          <w:ilvl w:val="1"/>
          <w:numId w:val="12"/>
        </w:numPr>
        <w:ind w:left="851" w:hanging="425"/>
      </w:pPr>
      <w:r w:rsidRPr="00CC1FC1">
        <w:rPr>
          <w:i/>
        </w:rPr>
        <w:t>Implementing Basel III liquidity reforms in Australia</w:t>
      </w:r>
      <w:r w:rsidRPr="00CC1FC1">
        <w:t>, November 2011 (discussion paper);</w:t>
      </w:r>
    </w:p>
    <w:p w14:paraId="4626968A" w14:textId="77777777" w:rsidR="00FB251D" w:rsidRPr="00CC1FC1" w:rsidRDefault="00054373" w:rsidP="0017035D">
      <w:pPr>
        <w:pStyle w:val="Paragraphtext"/>
        <w:numPr>
          <w:ilvl w:val="1"/>
          <w:numId w:val="12"/>
        </w:numPr>
        <w:ind w:left="851" w:hanging="425"/>
      </w:pPr>
      <w:r w:rsidRPr="00CC1FC1">
        <w:rPr>
          <w:i/>
        </w:rPr>
        <w:t>Liquidity reporting requirements for ADIs</w:t>
      </w:r>
      <w:r w:rsidRPr="00CC1FC1">
        <w:t>, November 2012</w:t>
      </w:r>
      <w:r w:rsidR="00404794">
        <w:t xml:space="preserve"> (discussion paper)</w:t>
      </w:r>
      <w:r w:rsidRPr="00CC1FC1">
        <w:t>;</w:t>
      </w:r>
    </w:p>
    <w:p w14:paraId="516A0B24" w14:textId="77777777" w:rsidR="00FB251D" w:rsidRPr="00CC1FC1" w:rsidRDefault="00054373" w:rsidP="0017035D">
      <w:pPr>
        <w:pStyle w:val="Paragraphtext"/>
        <w:numPr>
          <w:ilvl w:val="1"/>
          <w:numId w:val="12"/>
        </w:numPr>
        <w:ind w:left="851" w:hanging="425"/>
      </w:pPr>
      <w:r w:rsidRPr="00CC1FC1">
        <w:rPr>
          <w:i/>
        </w:rPr>
        <w:t>Implementing Basel III liquidity reforms in Australia</w:t>
      </w:r>
      <w:r w:rsidRPr="00CC1FC1">
        <w:t>, May 2013 (discussion paper);</w:t>
      </w:r>
    </w:p>
    <w:p w14:paraId="6C3A4A34" w14:textId="77777777" w:rsidR="00FB251D" w:rsidRPr="00CC1FC1" w:rsidRDefault="00054373" w:rsidP="0017035D">
      <w:pPr>
        <w:pStyle w:val="Paragraphtext"/>
        <w:numPr>
          <w:ilvl w:val="1"/>
          <w:numId w:val="12"/>
        </w:numPr>
        <w:ind w:left="851" w:hanging="425"/>
      </w:pPr>
      <w:r w:rsidRPr="00CC1FC1">
        <w:rPr>
          <w:i/>
        </w:rPr>
        <w:t>Implementing Basel III liquidity reforms in Australia</w:t>
      </w:r>
      <w:r w:rsidRPr="00CC1FC1">
        <w:t xml:space="preserve">, December 2013 (response </w:t>
      </w:r>
      <w:r w:rsidR="005D3ACB">
        <w:t>to submissions</w:t>
      </w:r>
      <w:r w:rsidRPr="00CC1FC1">
        <w:t>);</w:t>
      </w:r>
    </w:p>
    <w:p w14:paraId="133D9CD6" w14:textId="77777777" w:rsidR="005D3ACB" w:rsidRPr="005D3ACB" w:rsidRDefault="005D3ACB" w:rsidP="0017035D">
      <w:pPr>
        <w:pStyle w:val="Paragraphtext"/>
        <w:numPr>
          <w:ilvl w:val="1"/>
          <w:numId w:val="12"/>
        </w:numPr>
        <w:ind w:left="851" w:hanging="425"/>
      </w:pPr>
      <w:r w:rsidRPr="005D3ACB">
        <w:rPr>
          <w:i/>
        </w:rPr>
        <w:t>Changes to liquidity reporting arrangements</w:t>
      </w:r>
      <w:r>
        <w:t>, April 2014 (advice and request for submissions)</w:t>
      </w:r>
      <w:r w:rsidR="006C6C98">
        <w:t>;</w:t>
      </w:r>
    </w:p>
    <w:p w14:paraId="3DB67F9B" w14:textId="77777777" w:rsidR="006C6C98" w:rsidRPr="00CC1FC1" w:rsidRDefault="005D3ACB" w:rsidP="0017035D">
      <w:pPr>
        <w:pStyle w:val="Paragraphtext"/>
        <w:numPr>
          <w:ilvl w:val="1"/>
          <w:numId w:val="12"/>
        </w:numPr>
        <w:ind w:left="851" w:hanging="425"/>
      </w:pPr>
      <w:r>
        <w:rPr>
          <w:i/>
        </w:rPr>
        <w:t>P</w:t>
      </w:r>
      <w:r w:rsidR="00054373" w:rsidRPr="00CC1FC1">
        <w:rPr>
          <w:i/>
        </w:rPr>
        <w:t>roposed amendments to liquidity standard and reporting instructions</w:t>
      </w:r>
      <w:r>
        <w:t>, September </w:t>
      </w:r>
      <w:r w:rsidR="00054373" w:rsidRPr="00CC1FC1">
        <w:t>2014 (</w:t>
      </w:r>
      <w:r>
        <w:t>response to submissions</w:t>
      </w:r>
      <w:r w:rsidR="006C6C98">
        <w:t>);</w:t>
      </w:r>
      <w:r w:rsidR="00AD4C5A">
        <w:t xml:space="preserve"> </w:t>
      </w:r>
    </w:p>
    <w:p w14:paraId="1D4A2A30" w14:textId="77777777" w:rsidR="002636A2" w:rsidRDefault="00054373" w:rsidP="0017035D">
      <w:pPr>
        <w:pStyle w:val="Paragraphtext"/>
        <w:numPr>
          <w:ilvl w:val="1"/>
          <w:numId w:val="12"/>
        </w:numPr>
        <w:ind w:left="851" w:hanging="425"/>
      </w:pPr>
      <w:r w:rsidRPr="00CC1FC1">
        <w:rPr>
          <w:i/>
        </w:rPr>
        <w:t>Liquidity risk – recent consultations</w:t>
      </w:r>
      <w:r w:rsidRPr="00CC1FC1">
        <w:t>, November 2014 (</w:t>
      </w:r>
      <w:r w:rsidR="007E151C">
        <w:t>response to submissions)</w:t>
      </w:r>
      <w:r w:rsidR="002636A2">
        <w:t>;</w:t>
      </w:r>
    </w:p>
    <w:p w14:paraId="414134DA" w14:textId="77777777" w:rsidR="002636A2" w:rsidRDefault="002636A2" w:rsidP="0017035D">
      <w:pPr>
        <w:pStyle w:val="Paragraphtext"/>
        <w:numPr>
          <w:ilvl w:val="1"/>
          <w:numId w:val="12"/>
        </w:numPr>
        <w:ind w:left="851" w:hanging="425"/>
      </w:pPr>
      <w:r>
        <w:rPr>
          <w:i/>
        </w:rPr>
        <w:t xml:space="preserve">Basel III liquidity </w:t>
      </w:r>
      <w:r>
        <w:t xml:space="preserve">– </w:t>
      </w:r>
      <w:r>
        <w:rPr>
          <w:i/>
        </w:rPr>
        <w:t xml:space="preserve">the net stable funding ratio and the liquid assets requirement for foreign ADIs, </w:t>
      </w:r>
      <w:r>
        <w:t>March 2016 (discussion paper); and</w:t>
      </w:r>
    </w:p>
    <w:p w14:paraId="7D95589F" w14:textId="77777777" w:rsidR="006C6C98" w:rsidRPr="00CC1FC1" w:rsidRDefault="002636A2" w:rsidP="0017035D">
      <w:pPr>
        <w:pStyle w:val="Paragraphtext"/>
        <w:numPr>
          <w:ilvl w:val="1"/>
          <w:numId w:val="12"/>
        </w:numPr>
        <w:ind w:left="851" w:hanging="425"/>
      </w:pPr>
      <w:r>
        <w:rPr>
          <w:i/>
        </w:rPr>
        <w:t xml:space="preserve">Basel III liquidity </w:t>
      </w:r>
      <w:r>
        <w:t xml:space="preserve">– </w:t>
      </w:r>
      <w:r>
        <w:rPr>
          <w:i/>
        </w:rPr>
        <w:t xml:space="preserve">the net stable funding ratio and the liquid assets requirement for foreign ADIs, </w:t>
      </w:r>
      <w:r>
        <w:t>September 2016 (response to submissions)</w:t>
      </w:r>
      <w:r w:rsidR="006C6C98">
        <w:t>.</w:t>
      </w:r>
    </w:p>
    <w:p w14:paraId="6575CC43" w14:textId="77777777" w:rsidR="0004440E" w:rsidRDefault="0004440E" w:rsidP="00054373">
      <w:pPr>
        <w:pStyle w:val="Paragraphtext"/>
      </w:pPr>
      <w:r>
        <w:t xml:space="preserve">Specific consultation regarding the NSFR </w:t>
      </w:r>
      <w:r w:rsidR="00F158F2">
        <w:t>commenced in 201</w:t>
      </w:r>
      <w:r w:rsidR="000A1C81">
        <w:t>1, but further consul</w:t>
      </w:r>
      <w:r w:rsidR="00F158F2">
        <w:t>tation was deferred</w:t>
      </w:r>
      <w:r>
        <w:t xml:space="preserve"> until the finalisation of the Basel Committee’s </w:t>
      </w:r>
      <w:r w:rsidR="007629BD">
        <w:t>final NSFR standard</w:t>
      </w:r>
      <w:r>
        <w:t>,</w:t>
      </w:r>
      <w:r w:rsidR="002C09AF">
        <w:t xml:space="preserve"> which occurred in October 2014</w:t>
      </w:r>
      <w:r>
        <w:t>.</w:t>
      </w:r>
    </w:p>
    <w:p w14:paraId="732A13F5" w14:textId="77777777" w:rsidR="00B16000" w:rsidRDefault="00791794" w:rsidP="00054373">
      <w:pPr>
        <w:pStyle w:val="Paragraphtext"/>
      </w:pPr>
      <w:r>
        <w:t xml:space="preserve">In March 2016, </w:t>
      </w:r>
      <w:r w:rsidR="00CC1FC1">
        <w:t>APRA release</w:t>
      </w:r>
      <w:r w:rsidR="00FE7375">
        <w:t>d</w:t>
      </w:r>
      <w:r w:rsidR="00CC1FC1">
        <w:t xml:space="preserve"> a </w:t>
      </w:r>
      <w:r w:rsidR="00054373">
        <w:t xml:space="preserve">discussion paper </w:t>
      </w:r>
      <w:r w:rsidR="001F19A0">
        <w:t xml:space="preserve">(March discussion paper) </w:t>
      </w:r>
      <w:r w:rsidR="00CC1FC1">
        <w:t xml:space="preserve">which </w:t>
      </w:r>
      <w:r w:rsidR="00054373">
        <w:t xml:space="preserve">set out details of </w:t>
      </w:r>
      <w:r w:rsidR="000F7371">
        <w:t xml:space="preserve">the </w:t>
      </w:r>
      <w:r w:rsidR="00054373">
        <w:t>proposed implementation of the NSFR</w:t>
      </w:r>
      <w:r w:rsidR="00CC1FC1" w:rsidRPr="00CC1FC1">
        <w:t xml:space="preserve"> </w:t>
      </w:r>
      <w:r w:rsidR="00CC1FC1">
        <w:t xml:space="preserve">and </w:t>
      </w:r>
      <w:r w:rsidR="002C09AF">
        <w:t>review of the</w:t>
      </w:r>
      <w:r w:rsidR="00CC1FC1">
        <w:t xml:space="preserve"> liquid assets requirement for foreign ADIs.</w:t>
      </w:r>
      <w:r>
        <w:t xml:space="preserve"> </w:t>
      </w:r>
      <w:r w:rsidR="00CC1FC1">
        <w:t>Th</w:t>
      </w:r>
      <w:r w:rsidR="007629BD">
        <w:t>at</w:t>
      </w:r>
      <w:r w:rsidR="00CC1FC1">
        <w:t xml:space="preserve"> discussion </w:t>
      </w:r>
      <w:r w:rsidR="00866198">
        <w:t xml:space="preserve">paper </w:t>
      </w:r>
      <w:r w:rsidR="00CC1FC1">
        <w:t>propose</w:t>
      </w:r>
      <w:r w:rsidR="007629BD">
        <w:t>d</w:t>
      </w:r>
      <w:r w:rsidR="00CC1FC1">
        <w:t xml:space="preserve"> options which APRA’s current assessment suggest </w:t>
      </w:r>
      <w:r w:rsidR="000F7371">
        <w:t xml:space="preserve">would </w:t>
      </w:r>
      <w:r w:rsidR="00CC1FC1">
        <w:t xml:space="preserve">result in </w:t>
      </w:r>
      <w:r w:rsidR="007629BD">
        <w:t xml:space="preserve">the lowest cost option for </w:t>
      </w:r>
      <w:r w:rsidR="00866198" w:rsidRPr="003C75B5">
        <w:t xml:space="preserve">the NSFR </w:t>
      </w:r>
      <w:r w:rsidR="007629BD">
        <w:t>but the higher cost option</w:t>
      </w:r>
      <w:r w:rsidR="00DF5CDA" w:rsidRPr="003C75B5">
        <w:t xml:space="preserve"> </w:t>
      </w:r>
      <w:r w:rsidR="00866198" w:rsidRPr="003C75B5">
        <w:t xml:space="preserve">for </w:t>
      </w:r>
      <w:r w:rsidR="002C09AF" w:rsidRPr="003C75B5">
        <w:t>the</w:t>
      </w:r>
      <w:r w:rsidR="008D28DE" w:rsidRPr="003C75B5">
        <w:t xml:space="preserve"> </w:t>
      </w:r>
      <w:r w:rsidR="00866198" w:rsidRPr="003C75B5">
        <w:t>liquid assets requirement</w:t>
      </w:r>
      <w:r w:rsidR="008D28DE" w:rsidRPr="003C75B5">
        <w:t xml:space="preserve"> for foreign ADIs</w:t>
      </w:r>
      <w:r w:rsidR="00054373">
        <w:t>.</w:t>
      </w:r>
      <w:r w:rsidR="007629BD">
        <w:t xml:space="preserve"> The higher costs associated with the foreign ADI liquid assets requirement reflects the cost of moving to the new approach, with the ongoing costs </w:t>
      </w:r>
      <w:r w:rsidR="001F19A0">
        <w:t xml:space="preserve">considered to be lower than the business as usual approach on an ongoing basis. </w:t>
      </w:r>
      <w:r>
        <w:t xml:space="preserve">APRA also </w:t>
      </w:r>
      <w:r w:rsidR="00D8192C">
        <w:t xml:space="preserve">held </w:t>
      </w:r>
      <w:r w:rsidR="006D6BC3">
        <w:t>numerous</w:t>
      </w:r>
      <w:r w:rsidR="00D8192C">
        <w:t xml:space="preserve"> meetings </w:t>
      </w:r>
      <w:r>
        <w:t>with industry bodies</w:t>
      </w:r>
      <w:r w:rsidR="007629BD">
        <w:t xml:space="preserve"> and</w:t>
      </w:r>
      <w:r>
        <w:t xml:space="preserve"> individual ADIs</w:t>
      </w:r>
      <w:r w:rsidR="00D8192C">
        <w:t xml:space="preserve"> and </w:t>
      </w:r>
      <w:r w:rsidR="006D6BC3">
        <w:t xml:space="preserve">has </w:t>
      </w:r>
      <w:r w:rsidR="00D8192C">
        <w:t xml:space="preserve">consulted with </w:t>
      </w:r>
      <w:r w:rsidR="006D6BC3">
        <w:t>the Reserve Bank of Australia and the Treasury</w:t>
      </w:r>
      <w:r>
        <w:t>.</w:t>
      </w:r>
    </w:p>
    <w:p w14:paraId="304C943E" w14:textId="77777777" w:rsidR="00054373" w:rsidRDefault="00B16000" w:rsidP="00762C24">
      <w:pPr>
        <w:pStyle w:val="RISHeader3"/>
      </w:pPr>
      <w:r>
        <w:t>Submissions received</w:t>
      </w:r>
    </w:p>
    <w:p w14:paraId="04DFDA48" w14:textId="77777777" w:rsidR="000E418A" w:rsidRDefault="0080416D" w:rsidP="00CC2A63">
      <w:pPr>
        <w:pStyle w:val="Paragraphtext"/>
      </w:pPr>
      <w:r>
        <w:t xml:space="preserve">APRA received a total of 19 submissions in response to its March discussion paper. Eight of these were </w:t>
      </w:r>
      <w:r w:rsidR="00C537E6">
        <w:t>on</w:t>
      </w:r>
      <w:r>
        <w:t xml:space="preserve"> the NSFR proposals and 11 on the proposed liquid assets requirement for foreign ADIs.</w:t>
      </w:r>
    </w:p>
    <w:p w14:paraId="1AC5A1C6" w14:textId="77777777" w:rsidR="000E418A" w:rsidRPr="00CC2A63" w:rsidRDefault="000E418A" w:rsidP="00CC2A63">
      <w:pPr>
        <w:pStyle w:val="Paragraphtext"/>
        <w:numPr>
          <w:ilvl w:val="0"/>
          <w:numId w:val="0"/>
        </w:numPr>
        <w:rPr>
          <w:i/>
        </w:rPr>
      </w:pPr>
      <w:r w:rsidRPr="00CC2A63">
        <w:rPr>
          <w:i/>
        </w:rPr>
        <w:t>Net stable funding ratio</w:t>
      </w:r>
    </w:p>
    <w:p w14:paraId="2ADBE373" w14:textId="7DF7B500" w:rsidR="00126878" w:rsidRDefault="00126878" w:rsidP="00126878">
      <w:pPr>
        <w:pStyle w:val="Paragraphtext"/>
      </w:pPr>
      <w:r>
        <w:t xml:space="preserve">Overall, submissions supported the objective of the NSFR that, over time, ADIs should continue to improve their stable funding profile. </w:t>
      </w:r>
      <w:r w:rsidR="00E8752F">
        <w:t>T</w:t>
      </w:r>
      <w:r>
        <w:t>here were</w:t>
      </w:r>
      <w:r w:rsidR="00E8752F">
        <w:t>, however,</w:t>
      </w:r>
      <w:r>
        <w:t xml:space="preserve"> a number of specific issues raised relating to the </w:t>
      </w:r>
      <w:r w:rsidR="000F0039">
        <w:t xml:space="preserve">amount of </w:t>
      </w:r>
      <w:r>
        <w:t>required stable funding for various asset</w:t>
      </w:r>
      <w:r w:rsidR="00DD0692">
        <w:t xml:space="preserve"> classes</w:t>
      </w:r>
      <w:r w:rsidR="001F558A">
        <w:t xml:space="preserve"> with some submissions of the view that APRA’s proposed adoption of the Basel position was too onerous</w:t>
      </w:r>
      <w:r>
        <w:t>. Other issues raised were generally for the purpose of seeking clarification o</w:t>
      </w:r>
      <w:r w:rsidR="005775EE">
        <w:t>f</w:t>
      </w:r>
      <w:r>
        <w:t xml:space="preserve"> </w:t>
      </w:r>
      <w:r w:rsidR="000606A4">
        <w:t>the</w:t>
      </w:r>
      <w:r>
        <w:t xml:space="preserve"> treatment of assets and liabilities under the NSFR,</w:t>
      </w:r>
      <w:r w:rsidR="0034238B">
        <w:t xml:space="preserve"> or suggest</w:t>
      </w:r>
      <w:r w:rsidR="000606A4">
        <w:t>ions</w:t>
      </w:r>
      <w:r w:rsidR="0034238B">
        <w:t xml:space="preserve"> that APRA should deviate from the Basel NSFR standard in respect of certain matters.</w:t>
      </w:r>
      <w:r w:rsidR="00CA7E88">
        <w:t xml:space="preserve"> The key material issues are summarised below.</w:t>
      </w:r>
    </w:p>
    <w:p w14:paraId="50B1874C" w14:textId="497875C7" w:rsidR="0005119E" w:rsidRDefault="00485D62" w:rsidP="00B03CAB">
      <w:pPr>
        <w:pStyle w:val="Paragraphtext"/>
        <w:keepNext/>
        <w:widowControl/>
        <w:numPr>
          <w:ilvl w:val="0"/>
          <w:numId w:val="0"/>
        </w:numPr>
        <w:ind w:left="357"/>
      </w:pPr>
      <w:r>
        <w:t xml:space="preserve">Alignment of stable funding factors with </w:t>
      </w:r>
      <w:r w:rsidR="00073836">
        <w:t>risk weights</w:t>
      </w:r>
    </w:p>
    <w:p w14:paraId="45A04441" w14:textId="22E7B092" w:rsidR="00B25F35" w:rsidRDefault="00B25F35" w:rsidP="00B03CAB">
      <w:pPr>
        <w:pStyle w:val="Paragraphtext"/>
        <w:keepNext/>
        <w:widowControl/>
        <w:ind w:left="357"/>
      </w:pPr>
      <w:r>
        <w:t xml:space="preserve">Two submissions argued that APRA should adopt the risk weights set out in the Basel II standardised approach to credit risk, rather than those set out in Prudential Standard APS 112 Capital Adequacy: Standardised Approach to Credit Risk (APS 112), for the purpose of determining the </w:t>
      </w:r>
      <w:r w:rsidR="001F3B8B">
        <w:t xml:space="preserve">amount of </w:t>
      </w:r>
      <w:r>
        <w:t xml:space="preserve">required stable funding for unencumbered residential mortgages with a residual maturity of one year or more. </w:t>
      </w:r>
    </w:p>
    <w:p w14:paraId="30673CB1" w14:textId="42968270" w:rsidR="00B25F35" w:rsidRPr="00D723D0" w:rsidRDefault="00D723D0" w:rsidP="00B25F35">
      <w:pPr>
        <w:pStyle w:val="Paragraphtext"/>
      </w:pPr>
      <w:r w:rsidRPr="0082125D">
        <w:rPr>
          <w:rFonts w:eastAsia="Calibri"/>
          <w:color w:val="auto"/>
        </w:rPr>
        <w:t xml:space="preserve">The alignment of the </w:t>
      </w:r>
      <w:r w:rsidR="00FB7CD8">
        <w:rPr>
          <w:rFonts w:eastAsia="Calibri"/>
          <w:color w:val="auto"/>
        </w:rPr>
        <w:t>required stable funding</w:t>
      </w:r>
      <w:r w:rsidRPr="0082125D">
        <w:rPr>
          <w:rFonts w:eastAsia="Calibri"/>
          <w:color w:val="auto"/>
        </w:rPr>
        <w:t xml:space="preserve"> factor for mortgages with APS 112</w:t>
      </w:r>
      <w:r w:rsidR="0082125D">
        <w:rPr>
          <w:rFonts w:eastAsia="Calibri"/>
          <w:color w:val="auto"/>
        </w:rPr>
        <w:t xml:space="preserve"> is,</w:t>
      </w:r>
      <w:r w:rsidRPr="0082125D">
        <w:rPr>
          <w:rFonts w:eastAsia="Calibri"/>
          <w:color w:val="auto"/>
        </w:rPr>
        <w:t xml:space="preserve"> in APRA’s view</w:t>
      </w:r>
      <w:r w:rsidR="0082125D">
        <w:rPr>
          <w:rFonts w:eastAsia="Calibri"/>
          <w:color w:val="auto"/>
        </w:rPr>
        <w:t>,</w:t>
      </w:r>
      <w:r w:rsidRPr="0082125D">
        <w:rPr>
          <w:rFonts w:eastAsia="Calibri"/>
          <w:color w:val="auto"/>
        </w:rPr>
        <w:t xml:space="preserve"> appropriate. </w:t>
      </w:r>
      <w:r>
        <w:rPr>
          <w:rFonts w:eastAsia="Calibri"/>
          <w:color w:val="auto"/>
        </w:rPr>
        <w:t>A</w:t>
      </w:r>
      <w:r w:rsidRPr="0082125D">
        <w:rPr>
          <w:rFonts w:eastAsia="Calibri"/>
          <w:color w:val="auto"/>
        </w:rPr>
        <w:t xml:space="preserve"> lower, concessional </w:t>
      </w:r>
      <w:r>
        <w:rPr>
          <w:rFonts w:eastAsia="Calibri"/>
          <w:color w:val="auto"/>
        </w:rPr>
        <w:t xml:space="preserve">stable funding requirement </w:t>
      </w:r>
      <w:r w:rsidRPr="0082125D">
        <w:rPr>
          <w:rFonts w:eastAsia="Calibri"/>
          <w:color w:val="auto"/>
        </w:rPr>
        <w:t>is premised on loans being higher quality, liquefiable assets. This is best captured by loans with a lower loan to valuation ratio and those that meet the criteria for standard eligible mortgages as detailed in APS 112</w:t>
      </w:r>
      <w:r>
        <w:rPr>
          <w:rFonts w:eastAsia="Calibri"/>
          <w:color w:val="auto"/>
        </w:rPr>
        <w:t>.</w:t>
      </w:r>
    </w:p>
    <w:p w14:paraId="03902C4B" w14:textId="206FB291" w:rsidR="00B25F35" w:rsidRDefault="00B25F35" w:rsidP="00F949AC">
      <w:pPr>
        <w:pStyle w:val="Paragraphtext"/>
      </w:pPr>
      <w:r>
        <w:t xml:space="preserve"> As noted in the September response paper, inconsistencies in risk weights for mortgages across jurisdictions may reduce in the medium term following revisions to the Basel Committee’s standardised approach to credit risk, expected to be finalised around the end of 2016. This may materially address the concerns raised in submissions regarding alignment of </w:t>
      </w:r>
      <w:r w:rsidR="001864AA">
        <w:t>the amount of required stable funding</w:t>
      </w:r>
      <w:r>
        <w:t xml:space="preserve"> for unencumbered residential mortgages with those of international peers. APRA will monitor finalisation and implementation of the updated Basel framework and alignment under the NSFR. Should the anticipated alignment not occur APRA will review this position.</w:t>
      </w:r>
    </w:p>
    <w:p w14:paraId="4C5861E2" w14:textId="7EBFE72D" w:rsidR="00AF49E1" w:rsidRDefault="00AF49E1" w:rsidP="00AF49E1">
      <w:pPr>
        <w:pStyle w:val="Paragraphtext"/>
        <w:numPr>
          <w:ilvl w:val="0"/>
          <w:numId w:val="0"/>
        </w:numPr>
        <w:ind w:left="360"/>
      </w:pPr>
      <w:r>
        <w:t>Member-directed superannuation deposits</w:t>
      </w:r>
    </w:p>
    <w:p w14:paraId="4CFFF27E" w14:textId="658AFF44" w:rsidR="00B25F35" w:rsidRDefault="00B25F35" w:rsidP="00B25F35">
      <w:pPr>
        <w:pStyle w:val="Paragraphtext"/>
      </w:pPr>
      <w:r>
        <w:t xml:space="preserve">Three submissions raised the issue of the treatment of member-directed superannuation deposits, and questioned APRA’s decision to only allow such deposits to be given a higher available stable funding factor subject to a superannuation trustee (or other intermediaries) not being able to remove the deposits from an ADI within a defined period of time. Submissions argued that the size of the Australian superannuation system and the stable nature of investment allocations is reason to apply a lower, retail-like </w:t>
      </w:r>
      <w:r w:rsidR="00FB7CD8">
        <w:t>available stable funding factor</w:t>
      </w:r>
      <w:r>
        <w:t>.</w:t>
      </w:r>
    </w:p>
    <w:p w14:paraId="12069CED" w14:textId="0FCFCB53" w:rsidR="00B25F35" w:rsidRDefault="00B25F35" w:rsidP="00B25F35">
      <w:pPr>
        <w:pStyle w:val="Paragraphtext"/>
      </w:pPr>
      <w:r>
        <w:t>A key factor in determining the treatment of a deposit under APS 210 is the nature of the depositor. When an individual self-select</w:t>
      </w:r>
      <w:r w:rsidR="00432E56">
        <w:t>s</w:t>
      </w:r>
      <w:r>
        <w:t xml:space="preserve"> where to place their funds the deposit is classified as retail. When a superannuation fund is making the deposit then the deposit is classified as being from a financial institution. In the case of superannuation deposits there is the additional consideration of the fiduciary responsibilities of the trustee. The underlying principle is the distinction between an institution that manages money on behalf of others, and an individual managing their own funds.</w:t>
      </w:r>
    </w:p>
    <w:p w14:paraId="22BED8B6" w14:textId="324A8247" w:rsidR="00B25F35" w:rsidRDefault="00B25F35" w:rsidP="00B25F35">
      <w:pPr>
        <w:pStyle w:val="Paragraphtext"/>
      </w:pPr>
      <w:r>
        <w:t>Member-directed superannuation deposits may be considered retail for the purposes of the LCR if all the conditions in APS 210 are met. This recognises that it is the individual, rather than an intermediary, that has full control over the placement and withdrawal of the funds. For the avoidance of doubt, if such a deposit is considered as being retail under the LCR the deposit may be considered retail for NSFR purposes as well. The requirement in the NSFR that the intermediary cannot remove the deposit from an ADI within a defined period is again to ensure that it is the individual depositor that has control over the funds in the context of the time periods relevant for the NSFR.</w:t>
      </w:r>
    </w:p>
    <w:p w14:paraId="0E8C82D4" w14:textId="6F74B070" w:rsidR="009B5DC6" w:rsidRDefault="00B25F35" w:rsidP="00B25F35">
      <w:pPr>
        <w:pStyle w:val="Paragraphtext"/>
      </w:pPr>
      <w:r>
        <w:t xml:space="preserve">APRA’s approach recognises, in certain circumstances, such funding may be a stable source of funding, notably where such deposits are operational deposits or the trustee is not able to immediately remove the ADI that holds its deposits. This approach strikes an appropriate balance and allows for certain member-directed superannuation deposits to be accorded a higher </w:t>
      </w:r>
      <w:r w:rsidR="00FB7CD8">
        <w:t xml:space="preserve">available stable funding </w:t>
      </w:r>
      <w:r>
        <w:t>factor than would otherwise be the case.</w:t>
      </w:r>
    </w:p>
    <w:p w14:paraId="3F83C825" w14:textId="77777777" w:rsidR="0087043A" w:rsidRDefault="0087043A" w:rsidP="00CC2A63">
      <w:pPr>
        <w:pStyle w:val="Paragraphtext"/>
        <w:numPr>
          <w:ilvl w:val="0"/>
          <w:numId w:val="0"/>
        </w:numPr>
        <w:rPr>
          <w:i/>
        </w:rPr>
      </w:pPr>
      <w:r w:rsidRPr="00CC2A63">
        <w:rPr>
          <w:i/>
        </w:rPr>
        <w:t>Liquid assets requirement for foreign ADIs</w:t>
      </w:r>
    </w:p>
    <w:p w14:paraId="3DA21812" w14:textId="77777777" w:rsidR="001D0D51" w:rsidRDefault="001D0D51" w:rsidP="001D0D51">
      <w:pPr>
        <w:pStyle w:val="Paragraphtext"/>
      </w:pPr>
      <w:r>
        <w:t xml:space="preserve">Submissions on the proposals for the application of a liquid assets requirement for foreign ADIs were mixed. </w:t>
      </w:r>
      <w:r w:rsidR="00E8752F">
        <w:t>Generally, l</w:t>
      </w:r>
      <w:r>
        <w:t>ess complex foreign ADIs preferr</w:t>
      </w:r>
      <w:r w:rsidR="00E8752F">
        <w:t>ed</w:t>
      </w:r>
      <w:r>
        <w:t xml:space="preserve"> the </w:t>
      </w:r>
      <w:r w:rsidR="006F239D">
        <w:t xml:space="preserve">modified </w:t>
      </w:r>
      <w:r>
        <w:t xml:space="preserve">foreign ADI liquid assets requirement and foreign ADIs with more complex operations preferring the 40 per cent LCR. Importantly, submissions raised numerous issues which indicate that application of </w:t>
      </w:r>
      <w:r w:rsidR="00FA6FE8">
        <w:t xml:space="preserve">a </w:t>
      </w:r>
      <w:r w:rsidR="001032C7">
        <w:t xml:space="preserve">modified </w:t>
      </w:r>
      <w:r w:rsidR="00FD556D">
        <w:t xml:space="preserve">minimum liquidity holding requirement </w:t>
      </w:r>
      <w:r>
        <w:t>would not be as simple as originally intended and that the one-size-fits-all approach, as envisaged, may not be appropriate.</w:t>
      </w:r>
    </w:p>
    <w:p w14:paraId="0E824235" w14:textId="77777777" w:rsidR="00B16000" w:rsidRDefault="001D0D51" w:rsidP="00CC2A63">
      <w:pPr>
        <w:pStyle w:val="Paragraphtext"/>
      </w:pPr>
      <w:r>
        <w:t xml:space="preserve">Submissions were generally supportive of the proposal for a foreign ADI to conduct an annual local operational capacity assessment. APRA therefore </w:t>
      </w:r>
      <w:r w:rsidR="006F239D">
        <w:t>propose</w:t>
      </w:r>
      <w:r>
        <w:t>s to proceed with this proposal as set out in the March discussion paper.</w:t>
      </w:r>
    </w:p>
    <w:p w14:paraId="3632B2A9" w14:textId="77777777" w:rsidR="00B16000" w:rsidRDefault="00B16000" w:rsidP="00762C24">
      <w:pPr>
        <w:pStyle w:val="RISHeader3"/>
      </w:pPr>
      <w:r>
        <w:t>Conclusion and recommended option</w:t>
      </w:r>
    </w:p>
    <w:p w14:paraId="51FCDB34" w14:textId="2D4B4004" w:rsidR="009E6311" w:rsidRDefault="0044222B" w:rsidP="00C7332D">
      <w:pPr>
        <w:pStyle w:val="Paragraphtext"/>
        <w:keepNext/>
        <w:widowControl/>
      </w:pPr>
      <w:r>
        <w:t xml:space="preserve">APRA issued a </w:t>
      </w:r>
      <w:r w:rsidR="008E0D92">
        <w:t xml:space="preserve">response </w:t>
      </w:r>
      <w:r>
        <w:t>to submissions paper in September 2016 responding to issues raised in submissions to the March discussion paper. APRA has revised a nu</w:t>
      </w:r>
      <w:r w:rsidR="00EB265B">
        <w:t xml:space="preserve">mber of its original positions after consideration of further information provided by ADIs on the likely impacts of certain aspects of APRA’s proposals. This is </w:t>
      </w:r>
      <w:r w:rsidR="00406993">
        <w:t>the case</w:t>
      </w:r>
      <w:r w:rsidR="00EB265B">
        <w:t xml:space="preserve"> for proposals concerning both the NSFR and the liquid asset</w:t>
      </w:r>
      <w:r w:rsidR="00135E6A">
        <w:t>s</w:t>
      </w:r>
      <w:r w:rsidR="00EB265B">
        <w:t xml:space="preserve"> requirement for foreign ADIs.</w:t>
      </w:r>
    </w:p>
    <w:p w14:paraId="6C72439D" w14:textId="77777777" w:rsidR="009E6311" w:rsidRPr="00CC2A63" w:rsidRDefault="009E6311" w:rsidP="00803965">
      <w:pPr>
        <w:pStyle w:val="Paragraphtext"/>
        <w:keepNext/>
        <w:widowControl/>
        <w:numPr>
          <w:ilvl w:val="0"/>
          <w:numId w:val="0"/>
        </w:numPr>
        <w:ind w:left="357" w:hanging="357"/>
        <w:rPr>
          <w:i/>
        </w:rPr>
      </w:pPr>
      <w:r w:rsidRPr="00CC2A63">
        <w:rPr>
          <w:i/>
        </w:rPr>
        <w:t>Net stable funding ratio</w:t>
      </w:r>
    </w:p>
    <w:p w14:paraId="687C8410" w14:textId="19AB8E9E" w:rsidR="006A5CF5" w:rsidRDefault="009E6311" w:rsidP="00803965">
      <w:pPr>
        <w:pStyle w:val="Paragraphtext"/>
        <w:keepNext/>
        <w:widowControl/>
        <w:ind w:left="357" w:hanging="357"/>
      </w:pPr>
      <w:r>
        <w:t xml:space="preserve">After consideration of submissions, and further consultation with a number of ADIs, APRA amended its original proposal concerning the </w:t>
      </w:r>
      <w:r w:rsidR="002A2967">
        <w:t>amount of stable funding necessary for certain assets that are eligible as collateral to secure funding from the Reserve Bank of Australia</w:t>
      </w:r>
      <w:r>
        <w:t xml:space="preserve">. In addition, APRA proposes to allow recognition of </w:t>
      </w:r>
      <w:r w:rsidR="001032C7">
        <w:t>certain additional liquid assets</w:t>
      </w:r>
      <w:r w:rsidR="003A336A">
        <w:t xml:space="preserve"> </w:t>
      </w:r>
      <w:r>
        <w:t xml:space="preserve">for LCR purposes and hence these assets will also be able to be recognised in an ADI’s NSFR. Similarly, APRA proposes to allow certain Australian listed equities to be eligible for </w:t>
      </w:r>
      <w:r w:rsidR="002A2967">
        <w:t>a lesser amount of stable funding</w:t>
      </w:r>
      <w:r w:rsidR="00DE478F">
        <w:t xml:space="preserve"> </w:t>
      </w:r>
      <w:r w:rsidR="002A2967">
        <w:t>than</w:t>
      </w:r>
      <w:r>
        <w:t xml:space="preserve"> would otherwise have applied</w:t>
      </w:r>
      <w:r w:rsidR="003A336A">
        <w:t xml:space="preserve"> under its original proposals</w:t>
      </w:r>
      <w:r>
        <w:t>.</w:t>
      </w:r>
    </w:p>
    <w:p w14:paraId="5F9E0B6D" w14:textId="1F2CEDCD" w:rsidR="006A5CF5" w:rsidRDefault="009E6311" w:rsidP="00CC2A63">
      <w:pPr>
        <w:pStyle w:val="Paragraphtext"/>
      </w:pPr>
      <w:r>
        <w:t xml:space="preserve">On the issue regarding </w:t>
      </w:r>
      <w:r w:rsidR="002A2967">
        <w:t>the</w:t>
      </w:r>
      <w:r w:rsidR="00DE478F">
        <w:t xml:space="preserve"> </w:t>
      </w:r>
      <w:r w:rsidR="002A2967">
        <w:t>stable funding requirement</w:t>
      </w:r>
      <w:r>
        <w:t xml:space="preserve"> for residential mortgages, APRA has not changed its position from that set out in the March discussion paper</w:t>
      </w:r>
      <w:r w:rsidR="006A5CF5">
        <w:t>;</w:t>
      </w:r>
      <w:r w:rsidR="003A336A">
        <w:t xml:space="preserve"> APRA’s position remains consistent with the Basel NSFR standard</w:t>
      </w:r>
      <w:r>
        <w:t>.</w:t>
      </w:r>
    </w:p>
    <w:p w14:paraId="7698C32F" w14:textId="4D2939FA" w:rsidR="009E6311" w:rsidRDefault="009E6311" w:rsidP="00CC2A63">
      <w:pPr>
        <w:pStyle w:val="Paragraphtext"/>
      </w:pPr>
      <w:r>
        <w:t>In aggregate, APRA’s proposed revisions to the NSFR framework will improve the NSFRs of the majority of ADIs proposed to be subject to the NSFR framework.</w:t>
      </w:r>
      <w:r w:rsidR="00F11E24">
        <w:t xml:space="preserve"> Option 1 is the recommended option for application of the NSFR. Option 2 involving application to all ADIs </w:t>
      </w:r>
      <w:r w:rsidR="005F3F47">
        <w:t xml:space="preserve">is not </w:t>
      </w:r>
      <w:r w:rsidR="00F11E24">
        <w:t>considered feasible for the reasons set out under that option</w:t>
      </w:r>
      <w:r w:rsidR="005775EE">
        <w:t xml:space="preserve"> and the additional costs </w:t>
      </w:r>
      <w:r w:rsidR="00BB27A5">
        <w:t>for small</w:t>
      </w:r>
      <w:r w:rsidR="00E6205F">
        <w:t>er, less complex</w:t>
      </w:r>
      <w:r w:rsidR="00BB27A5">
        <w:t xml:space="preserve"> ADIs </w:t>
      </w:r>
      <w:r w:rsidR="005775EE">
        <w:t xml:space="preserve">without material </w:t>
      </w:r>
      <w:r w:rsidR="00BB27A5">
        <w:t>additional</w:t>
      </w:r>
      <w:r w:rsidR="005775EE">
        <w:t xml:space="preserve"> benefits</w:t>
      </w:r>
      <w:r w:rsidR="00F11E24">
        <w:t>.</w:t>
      </w:r>
    </w:p>
    <w:p w14:paraId="5D84EAAB" w14:textId="77777777" w:rsidR="009E6311" w:rsidRPr="00CC2A63" w:rsidRDefault="009E6311" w:rsidP="00CC2A63">
      <w:pPr>
        <w:pStyle w:val="Paragraphtext"/>
        <w:numPr>
          <w:ilvl w:val="0"/>
          <w:numId w:val="0"/>
        </w:numPr>
        <w:ind w:left="360" w:hanging="360"/>
        <w:rPr>
          <w:i/>
        </w:rPr>
      </w:pPr>
      <w:r w:rsidRPr="00CC2A63">
        <w:rPr>
          <w:i/>
        </w:rPr>
        <w:t>Liquid assets requirement for foreign ADIs</w:t>
      </w:r>
    </w:p>
    <w:p w14:paraId="4F2B810E" w14:textId="77777777" w:rsidR="009E6311" w:rsidRDefault="009E6311" w:rsidP="00CC2A63">
      <w:pPr>
        <w:pStyle w:val="Paragraphtext"/>
      </w:pPr>
      <w:r>
        <w:t xml:space="preserve">In light of issues raised in submissions, APRA proposes to retain the existing 40 per cent LCR as the default liquid assets requirement for foreign ADIs. APRA will, however, consider applications for a foreign ADI to </w:t>
      </w:r>
      <w:r w:rsidR="002A2967">
        <w:t xml:space="preserve">use the </w:t>
      </w:r>
      <w:r w:rsidR="00ED17D3">
        <w:t xml:space="preserve">existing </w:t>
      </w:r>
      <w:r w:rsidR="002A2967">
        <w:t>minimum liquidity holding</w:t>
      </w:r>
      <w:r w:rsidR="009035D5">
        <w:t>s</w:t>
      </w:r>
      <w:r w:rsidR="002A2967">
        <w:t xml:space="preserve"> regime</w:t>
      </w:r>
      <w:r>
        <w:t>.</w:t>
      </w:r>
      <w:r w:rsidR="00F11E24">
        <w:t xml:space="preserve"> In addition, APRA considers there is merit in requiring a foreign ADI to undertake a local operational capacity assessment, a proposal that industry </w:t>
      </w:r>
      <w:r w:rsidR="00EF0198">
        <w:t xml:space="preserve">also </w:t>
      </w:r>
      <w:r w:rsidR="00F11E24">
        <w:t>agreed had merit. On this basis, Option 1 is recommended</w:t>
      </w:r>
      <w:r w:rsidR="009035D5">
        <w:t xml:space="preserve"> with the addition of allowing flexibility in that a foreign ADI could apply for consideration to adopt the minimum liquidity holdings regime where that regime is considered more appropriate to its Australian operation</w:t>
      </w:r>
      <w:r w:rsidR="00F11E24">
        <w:t>.</w:t>
      </w:r>
    </w:p>
    <w:p w14:paraId="5302D53E" w14:textId="77777777" w:rsidR="009E6311" w:rsidRPr="006523AC" w:rsidRDefault="009E6311" w:rsidP="00CC2A63">
      <w:pPr>
        <w:pStyle w:val="Paragraphtext"/>
      </w:pPr>
      <w:r>
        <w:t xml:space="preserve">This </w:t>
      </w:r>
      <w:r w:rsidR="005775EE">
        <w:t xml:space="preserve">approach </w:t>
      </w:r>
      <w:r>
        <w:t xml:space="preserve">provides flexibility for foreign ADIs and APRA to choose the most appropriate liquid assets requirement based on an ADI’s individual circumstances. Under this option, ADIs would incur no additional costs if they remain </w:t>
      </w:r>
      <w:r w:rsidR="005775EE">
        <w:t>subject to</w:t>
      </w:r>
      <w:r>
        <w:t xml:space="preserve"> the existing 40 per cent LCR</w:t>
      </w:r>
      <w:r w:rsidR="00135E6A">
        <w:t>. I</w:t>
      </w:r>
      <w:r>
        <w:t xml:space="preserve">f they seek to </w:t>
      </w:r>
      <w:r w:rsidR="00DE6720">
        <w:t>use the minimum liquidity holding</w:t>
      </w:r>
      <w:r w:rsidR="005775EE">
        <w:t>s</w:t>
      </w:r>
      <w:r w:rsidR="00DE6720">
        <w:t xml:space="preserve"> regime</w:t>
      </w:r>
      <w:r w:rsidR="00135E6A">
        <w:t>, they</w:t>
      </w:r>
      <w:r w:rsidR="00BB572A">
        <w:t xml:space="preserve"> may face minor costs to amend their holdings of liquid assets and to meet different reporting requirements</w:t>
      </w:r>
      <w:r w:rsidR="00135E6A">
        <w:t>,</w:t>
      </w:r>
      <w:r w:rsidR="00BB572A">
        <w:t xml:space="preserve"> but would benefit from application of the liquid assets requirement </w:t>
      </w:r>
      <w:r w:rsidR="005775EE">
        <w:t>most appropriate to</w:t>
      </w:r>
      <w:r w:rsidR="00BB572A">
        <w:t xml:space="preserve"> their individual circumstances.</w:t>
      </w:r>
      <w:r w:rsidR="004234C3">
        <w:t xml:space="preserve"> ADIs would incur relatively minor costs in undertaking the annual local operational capacity assessment under this option.</w:t>
      </w:r>
    </w:p>
    <w:p w14:paraId="2EBB9F97" w14:textId="77777777" w:rsidR="00B16000" w:rsidRPr="00CC2A63" w:rsidRDefault="00B16000" w:rsidP="00762C24">
      <w:pPr>
        <w:pStyle w:val="RISHeader3"/>
      </w:pPr>
      <w:r>
        <w:t>Implementation and review</w:t>
      </w:r>
    </w:p>
    <w:p w14:paraId="6EE62531" w14:textId="77777777" w:rsidR="00EC01ED" w:rsidRDefault="00DE4693" w:rsidP="00765F64">
      <w:pPr>
        <w:pStyle w:val="Paragraphtext"/>
        <w:keepNext/>
        <w:widowControl/>
      </w:pPr>
      <w:r>
        <w:t>C</w:t>
      </w:r>
      <w:r w:rsidR="001C31C7" w:rsidRPr="00CC1FC1">
        <w:t>onsult</w:t>
      </w:r>
      <w:r>
        <w:t>ation</w:t>
      </w:r>
      <w:r w:rsidR="001C31C7" w:rsidRPr="00CC1FC1">
        <w:t xml:space="preserve"> on the </w:t>
      </w:r>
      <w:r w:rsidR="00406993">
        <w:t xml:space="preserve">current </w:t>
      </w:r>
      <w:r w:rsidR="001C31C7" w:rsidRPr="00CC1FC1">
        <w:t>pr</w:t>
      </w:r>
      <w:r>
        <w:t>oposals commenc</w:t>
      </w:r>
      <w:r w:rsidR="00111C92">
        <w:t>e</w:t>
      </w:r>
      <w:r w:rsidR="002A5F3E">
        <w:t>d</w:t>
      </w:r>
      <w:r w:rsidR="00111C92">
        <w:t xml:space="preserve"> </w:t>
      </w:r>
      <w:r>
        <w:t xml:space="preserve">in </w:t>
      </w:r>
      <w:r w:rsidR="00406993">
        <w:t>March</w:t>
      </w:r>
      <w:r w:rsidR="002A5F3E">
        <w:t xml:space="preserve"> </w:t>
      </w:r>
      <w:r>
        <w:t>201</w:t>
      </w:r>
      <w:r w:rsidR="002A5F3E">
        <w:t>6</w:t>
      </w:r>
      <w:r>
        <w:t xml:space="preserve"> </w:t>
      </w:r>
      <w:r w:rsidR="00871AE4">
        <w:t>with a discussion paper setting out APRA’s initial proposed positions. After consideration of submissions to this consultation</w:t>
      </w:r>
      <w:r w:rsidR="00661303">
        <w:t>,</w:t>
      </w:r>
      <w:r w:rsidR="00871AE4">
        <w:t xml:space="preserve"> APRA released a second consultation package – including a </w:t>
      </w:r>
      <w:r w:rsidR="007336C2">
        <w:t xml:space="preserve">response </w:t>
      </w:r>
      <w:r w:rsidR="00871AE4">
        <w:t>to submissions paper along with a</w:t>
      </w:r>
      <w:r w:rsidR="00AE42A3">
        <w:t xml:space="preserve"> revised draft APS 210 </w:t>
      </w:r>
      <w:r w:rsidR="00871AE4">
        <w:t xml:space="preserve">and APG 210 in late September </w:t>
      </w:r>
      <w:r w:rsidR="00AE42A3">
        <w:t>2016</w:t>
      </w:r>
      <w:r w:rsidR="00871AE4">
        <w:t xml:space="preserve">. APRA anticipates finalising its position in late 2016 after consideration of further submissions from interested parties. </w:t>
      </w:r>
      <w:r w:rsidR="00661303">
        <w:t>The r</w:t>
      </w:r>
      <w:r w:rsidR="00871AE4">
        <w:t xml:space="preserve">elease of the final standard in late 2016 will provide industry with </w:t>
      </w:r>
      <w:r w:rsidR="00661303">
        <w:t xml:space="preserve">a </w:t>
      </w:r>
      <w:r w:rsidR="00871AE4">
        <w:t xml:space="preserve">year to make </w:t>
      </w:r>
      <w:r w:rsidR="00661303">
        <w:t xml:space="preserve">any </w:t>
      </w:r>
      <w:r w:rsidR="00871AE4">
        <w:t>changes necessary to comply with the new requirements with effect from 1 January 2018.</w:t>
      </w:r>
    </w:p>
    <w:p w14:paraId="0E2DB1A1" w14:textId="37355583" w:rsidR="00EC01ED" w:rsidRPr="00EC01ED" w:rsidRDefault="00EC01ED" w:rsidP="00EC01ED">
      <w:pPr>
        <w:pStyle w:val="Paragraphtext"/>
      </w:pPr>
      <w:r w:rsidRPr="00EC01ED">
        <w:t xml:space="preserve">As delegated legislation, prudential standards impose enforceable obligations on affected institutions. APRA monitors ongoing compliance with its prudential framework as part of its supervisory activities. APRA has a range of remedial powers available for non-compliance with a prudential standard, including issuing a direction requiring compliance, </w:t>
      </w:r>
      <w:r>
        <w:t xml:space="preserve">the </w:t>
      </w:r>
      <w:r w:rsidRPr="00EC01ED">
        <w:t>breach of which is a criminal offence. Other actions include imposing a condition on an APRA-regulated institution’s authority to carry on its business or increasing regulatory capital requirements.</w:t>
      </w:r>
    </w:p>
    <w:p w14:paraId="0A042577" w14:textId="77777777" w:rsidR="001C31C7" w:rsidRDefault="00EC01ED" w:rsidP="00EC01ED">
      <w:pPr>
        <w:pStyle w:val="Paragraphtext"/>
      </w:pPr>
      <w:r w:rsidRPr="00EC01ED">
        <w:t xml:space="preserve">Under APRA’s policy development process, reviews of new measures are </w:t>
      </w:r>
      <w:r w:rsidR="00406993">
        <w:t xml:space="preserve">typically </w:t>
      </w:r>
      <w:r w:rsidRPr="00EC01ED">
        <w:t>scheduled for between two and three years from implementation. Such a review would consider whether the requirements continue to reflect good practice, remain consistent with international standards and remain relevant and effective in facilitating sound risk management practices. APRA will also take action within a shorter timeframe where there is a demonstrable need to amend a prudential requirement.</w:t>
      </w:r>
    </w:p>
    <w:p w14:paraId="5C1DEDA4" w14:textId="77777777" w:rsidR="00B16000" w:rsidRDefault="00B16000" w:rsidP="00762C24">
      <w:pPr>
        <w:pStyle w:val="RISHeader3"/>
      </w:pPr>
      <w:r>
        <w:t>Compliance with the Australian Government Guide to Regulation</w:t>
      </w:r>
    </w:p>
    <w:p w14:paraId="03329B40" w14:textId="77777777" w:rsidR="00F7037B" w:rsidRDefault="00F7037B">
      <w:pPr>
        <w:pStyle w:val="Paragraphtext"/>
      </w:pPr>
      <w:r>
        <w:t>APRA has prepared this RIS in accordance with The Australian Government Guide to Regulation. A RIS was prepared at an early stage of the policy development process and informally submitted to the OBPR for consideration. APRA has taken the OBPR</w:t>
      </w:r>
      <w:r w:rsidR="00467459">
        <w:t>’s comments</w:t>
      </w:r>
      <w:r>
        <w:t xml:space="preserve"> into account in preparing this RIS. The issues canvassed in this RIS were considered by APRA at each major decision point in the development of the proposals.</w:t>
      </w:r>
    </w:p>
    <w:p w14:paraId="477AA497" w14:textId="77777777" w:rsidR="006D011F" w:rsidRDefault="006D011F" w:rsidP="006D011F">
      <w:pPr>
        <w:pStyle w:val="Paragraphtext"/>
      </w:pPr>
      <w:r>
        <w:t xml:space="preserve">Using the Regulatory Burden Measurement framework, it has been agreed that the package will increase compliance costs by </w:t>
      </w:r>
      <w:r w:rsidRPr="00681CEB">
        <w:t>$</w:t>
      </w:r>
      <w:r w:rsidR="00360A7C" w:rsidRPr="00681CEB">
        <w:t xml:space="preserve">23,825,000 or $2,382,500 per year </w:t>
      </w:r>
      <w:r w:rsidR="00D13802">
        <w:t>in relation to implementation of the NSFR and by $1,980,000 or $198,000 per year in relation to proposals on the application of a local operational capacity assessment for foreign ADIs</w:t>
      </w:r>
      <w:r>
        <w:t>. For all reporting periods, the Treasury portfolio has delivered net compliance costs reductions and there is no reason why the portfolio will not continue to deliver on its red tape reduction target in this period, in line with the Government’s regulatory reform agenda.</w:t>
      </w:r>
    </w:p>
    <w:sectPr w:rsidR="006D011F" w:rsidSect="00B92460">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851"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5BD71" w14:textId="77777777" w:rsidR="003655C5" w:rsidRDefault="003655C5" w:rsidP="007A463E">
      <w:pPr>
        <w:spacing w:after="0" w:line="240" w:lineRule="auto"/>
      </w:pPr>
      <w:r>
        <w:separator/>
      </w:r>
    </w:p>
    <w:p w14:paraId="44318944" w14:textId="77777777" w:rsidR="003655C5" w:rsidRDefault="003655C5"/>
  </w:endnote>
  <w:endnote w:type="continuationSeparator" w:id="0">
    <w:p w14:paraId="34A95AC7" w14:textId="77777777" w:rsidR="003655C5" w:rsidRDefault="003655C5" w:rsidP="007A463E">
      <w:pPr>
        <w:spacing w:after="0" w:line="240" w:lineRule="auto"/>
      </w:pPr>
      <w:r>
        <w:continuationSeparator/>
      </w:r>
    </w:p>
    <w:p w14:paraId="600C5451" w14:textId="77777777" w:rsidR="003655C5" w:rsidRDefault="00365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6469E" w14:textId="77777777" w:rsidR="009E174D" w:rsidRDefault="009E1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644876818"/>
      <w:docPartObj>
        <w:docPartGallery w:val="Page Numbers (Bottom of Page)"/>
        <w:docPartUnique/>
      </w:docPartObj>
    </w:sdtPr>
    <w:sdtEndPr>
      <w:rPr>
        <w:rFonts w:ascii="Times New Roman" w:hAnsi="Times New Roman"/>
        <w:b w:val="0"/>
        <w:sz w:val="20"/>
        <w:szCs w:val="20"/>
      </w:rPr>
    </w:sdtEndPr>
    <w:sdtContent>
      <w:p w14:paraId="253EA11F" w14:textId="77777777" w:rsidR="003655C5" w:rsidRPr="005F7182" w:rsidRDefault="003655C5">
        <w:pPr>
          <w:pStyle w:val="Footer"/>
          <w:rPr>
            <w:rFonts w:ascii="Times New Roman" w:hAnsi="Times New Roman"/>
            <w:sz w:val="20"/>
            <w:szCs w:val="20"/>
          </w:rPr>
        </w:pPr>
        <w:r w:rsidRPr="005F7182">
          <w:rPr>
            <w:rFonts w:ascii="Times New Roman" w:hAnsi="Times New Roman"/>
            <w:sz w:val="20"/>
            <w:szCs w:val="20"/>
          </w:rPr>
          <w:fldChar w:fldCharType="begin"/>
        </w:r>
        <w:r w:rsidRPr="005F7182">
          <w:rPr>
            <w:rFonts w:ascii="Times New Roman" w:hAnsi="Times New Roman"/>
            <w:sz w:val="20"/>
            <w:szCs w:val="20"/>
          </w:rPr>
          <w:instrText xml:space="preserve"> PAGE  \* Arabic  \* MERGEFORMAT </w:instrText>
        </w:r>
        <w:r w:rsidRPr="005F7182">
          <w:rPr>
            <w:rFonts w:ascii="Times New Roman" w:hAnsi="Times New Roman"/>
            <w:sz w:val="20"/>
            <w:szCs w:val="20"/>
          </w:rPr>
          <w:fldChar w:fldCharType="separate"/>
        </w:r>
        <w:r w:rsidR="00206D29">
          <w:rPr>
            <w:rFonts w:ascii="Times New Roman" w:hAnsi="Times New Roman"/>
            <w:noProof/>
            <w:sz w:val="20"/>
            <w:szCs w:val="20"/>
          </w:rPr>
          <w:t>1</w:t>
        </w:r>
        <w:r w:rsidRPr="005F7182">
          <w:rPr>
            <w:rFonts w:ascii="Times New Roman" w:hAnsi="Times New Roman"/>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AD494" w14:textId="77777777" w:rsidR="009E174D" w:rsidRDefault="009E1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F7986" w14:textId="77777777" w:rsidR="003655C5" w:rsidRDefault="003655C5" w:rsidP="007A463E">
      <w:pPr>
        <w:spacing w:after="0" w:line="240" w:lineRule="auto"/>
      </w:pPr>
      <w:r>
        <w:separator/>
      </w:r>
    </w:p>
    <w:p w14:paraId="69C5A972" w14:textId="77777777" w:rsidR="003655C5" w:rsidRDefault="003655C5"/>
  </w:footnote>
  <w:footnote w:type="continuationSeparator" w:id="0">
    <w:p w14:paraId="7D3DDE6B" w14:textId="77777777" w:rsidR="003655C5" w:rsidRDefault="003655C5" w:rsidP="007A463E">
      <w:pPr>
        <w:spacing w:after="0" w:line="240" w:lineRule="auto"/>
      </w:pPr>
      <w:r>
        <w:continuationSeparator/>
      </w:r>
    </w:p>
    <w:p w14:paraId="498AAF39" w14:textId="77777777" w:rsidR="003655C5" w:rsidRDefault="003655C5"/>
  </w:footnote>
  <w:footnote w:id="1">
    <w:p w14:paraId="28924162" w14:textId="77777777" w:rsidR="003655C5" w:rsidRDefault="003655C5">
      <w:pPr>
        <w:pStyle w:val="FootnoteText"/>
      </w:pPr>
      <w:r>
        <w:rPr>
          <w:rStyle w:val="FootnoteReference"/>
        </w:rPr>
        <w:footnoteRef/>
      </w:r>
      <w:r>
        <w:t xml:space="preserve"> </w:t>
      </w:r>
      <w:r>
        <w:tab/>
        <w:t>Liquidity refers to the ability to convert assets into cash in order to meet financial obligations as and when they fall due.</w:t>
      </w:r>
    </w:p>
  </w:footnote>
  <w:footnote w:id="2">
    <w:p w14:paraId="0DE32672" w14:textId="77777777" w:rsidR="003655C5" w:rsidRDefault="003655C5">
      <w:pPr>
        <w:pStyle w:val="FootnoteText"/>
      </w:pPr>
      <w:r>
        <w:rPr>
          <w:rStyle w:val="FootnoteReference"/>
        </w:rPr>
        <w:footnoteRef/>
      </w:r>
      <w:r>
        <w:t xml:space="preserve"> </w:t>
      </w:r>
      <w:r>
        <w:tab/>
        <w:t>The prudential framework refers to the rules that a regulated institution is required to comply with as a condition of its licence.</w:t>
      </w:r>
    </w:p>
  </w:footnote>
  <w:footnote w:id="3">
    <w:p w14:paraId="5E468EB9" w14:textId="77777777" w:rsidR="003655C5" w:rsidRDefault="003655C5">
      <w:pPr>
        <w:pStyle w:val="FootnoteText"/>
      </w:pPr>
      <w:r>
        <w:rPr>
          <w:rStyle w:val="FootnoteReference"/>
        </w:rPr>
        <w:footnoteRef/>
      </w:r>
      <w:r>
        <w:t xml:space="preserve"> </w:t>
      </w:r>
      <w:r>
        <w:tab/>
      </w:r>
      <w:hyperlink r:id="rId1" w:history="1">
        <w:r w:rsidRPr="0089765E">
          <w:rPr>
            <w:rStyle w:val="Hyperlink"/>
            <w:rFonts w:ascii="Times New Roman" w:hAnsi="Times New Roman"/>
            <w:i/>
            <w:sz w:val="20"/>
          </w:rPr>
          <w:t>Basel III: International framework for liquidity risk measurement, standards and monitoring</w:t>
        </w:r>
      </w:hyperlink>
      <w:r w:rsidRPr="007C5322">
        <w:t xml:space="preserve">, </w:t>
      </w:r>
      <w:r>
        <w:t xml:space="preserve">Basel Committee, </w:t>
      </w:r>
      <w:r w:rsidRPr="007C5322">
        <w:t>December 2010</w:t>
      </w:r>
    </w:p>
  </w:footnote>
  <w:footnote w:id="4">
    <w:p w14:paraId="53DE2898" w14:textId="77777777" w:rsidR="003655C5" w:rsidRPr="00010BE0" w:rsidRDefault="003655C5" w:rsidP="00076B9D">
      <w:pPr>
        <w:pStyle w:val="FootnoteText"/>
      </w:pPr>
      <w:r w:rsidRPr="00010BE0">
        <w:rPr>
          <w:rStyle w:val="FootnoteReference"/>
        </w:rPr>
        <w:footnoteRef/>
      </w:r>
      <w:r w:rsidRPr="00010BE0">
        <w:t xml:space="preserve"> </w:t>
      </w:r>
      <w:r w:rsidRPr="00010BE0">
        <w:tab/>
      </w:r>
      <w:r w:rsidRPr="00766CB3">
        <w:t>Regulation Impact Statement:</w:t>
      </w:r>
      <w:r w:rsidRPr="00010BE0">
        <w:rPr>
          <w:i/>
        </w:rPr>
        <w:t xml:space="preserve"> </w:t>
      </w:r>
      <w:hyperlink r:id="rId2" w:history="1">
        <w:r w:rsidRPr="00766CB3">
          <w:rPr>
            <w:rStyle w:val="Hyperlink"/>
            <w:rFonts w:ascii="Times New Roman" w:hAnsi="Times New Roman"/>
            <w:i/>
            <w:sz w:val="20"/>
          </w:rPr>
          <w:t>Implementing Basel III liquidity reforms in Australia</w:t>
        </w:r>
      </w:hyperlink>
      <w:r w:rsidRPr="00010BE0">
        <w:t xml:space="preserve"> (OBPR ID:2012/14531), December 2013</w:t>
      </w:r>
    </w:p>
  </w:footnote>
  <w:footnote w:id="5">
    <w:p w14:paraId="0CC843D0" w14:textId="77777777" w:rsidR="003655C5" w:rsidRDefault="003655C5">
      <w:pPr>
        <w:pStyle w:val="FootnoteText"/>
      </w:pPr>
      <w:r>
        <w:rPr>
          <w:rStyle w:val="FootnoteReference"/>
        </w:rPr>
        <w:footnoteRef/>
      </w:r>
      <w:r>
        <w:t xml:space="preserve"> </w:t>
      </w:r>
      <w:r>
        <w:tab/>
        <w:t>‘ADI’ refers to a bank, building society or credit union so known as they are authorised to conduct banking business including the taking of deposits and the making of loans.</w:t>
      </w:r>
    </w:p>
  </w:footnote>
  <w:footnote w:id="6">
    <w:p w14:paraId="79DE27F3" w14:textId="77777777" w:rsidR="003655C5" w:rsidRDefault="003655C5">
      <w:pPr>
        <w:pStyle w:val="FootnoteText"/>
      </w:pPr>
      <w:r>
        <w:rPr>
          <w:rStyle w:val="FootnoteReference"/>
        </w:rPr>
        <w:footnoteRef/>
      </w:r>
      <w:r>
        <w:t xml:space="preserve"> </w:t>
      </w:r>
      <w:r>
        <w:tab/>
        <w:t>Foreign ADIs (overseas banks that operate in Australia as branches) are not allowed to accept retail deposits.</w:t>
      </w:r>
    </w:p>
  </w:footnote>
  <w:footnote w:id="7">
    <w:p w14:paraId="5AAF879E" w14:textId="548008F2" w:rsidR="003655C5" w:rsidRPr="00F70280" w:rsidRDefault="003655C5" w:rsidP="007E3365">
      <w:pPr>
        <w:pStyle w:val="FootnoteText"/>
        <w:rPr>
          <w:i/>
        </w:rPr>
      </w:pPr>
      <w:r>
        <w:rPr>
          <w:rStyle w:val="FootnoteReference"/>
        </w:rPr>
        <w:footnoteRef/>
      </w:r>
      <w:r>
        <w:t xml:space="preserve"> </w:t>
      </w:r>
      <w:r>
        <w:tab/>
        <w:t xml:space="preserve">Refer to </w:t>
      </w:r>
      <w:hyperlink r:id="rId3" w:history="1">
        <w:r w:rsidR="00F70280">
          <w:rPr>
            <w:rStyle w:val="Hyperlink"/>
            <w:rFonts w:ascii="Times New Roman" w:hAnsi="Times New Roman"/>
            <w:i/>
            <w:sz w:val="20"/>
          </w:rPr>
          <w:t>Prudential Standard APS 210 Liquidity</w:t>
        </w:r>
      </w:hyperlink>
      <w:r>
        <w:rPr>
          <w:i/>
        </w:rPr>
        <w:t xml:space="preserve"> </w:t>
      </w:r>
      <w:r>
        <w:t xml:space="preserve"> and </w:t>
      </w:r>
      <w:hyperlink r:id="rId4" w:history="1">
        <w:r w:rsidR="00F70280" w:rsidRPr="00F70280">
          <w:rPr>
            <w:rStyle w:val="Hyperlink"/>
            <w:rFonts w:ascii="Times New Roman" w:hAnsi="Times New Roman"/>
            <w:i/>
            <w:sz w:val="20"/>
          </w:rPr>
          <w:t>Prudential Practice Guide APG 210 Liquidity</w:t>
        </w:r>
      </w:hyperlink>
      <w:r w:rsidRPr="00F70280">
        <w:rPr>
          <w:i/>
        </w:rPr>
        <w:t xml:space="preserve">. </w:t>
      </w:r>
    </w:p>
  </w:footnote>
  <w:footnote w:id="8">
    <w:p w14:paraId="1AF2996F" w14:textId="77777777" w:rsidR="003655C5" w:rsidRDefault="003655C5">
      <w:pPr>
        <w:pStyle w:val="FootnoteText"/>
      </w:pPr>
      <w:r w:rsidRPr="00010BE0">
        <w:rPr>
          <w:rStyle w:val="FootnoteReference"/>
        </w:rPr>
        <w:footnoteRef/>
      </w:r>
      <w:r w:rsidRPr="00010BE0">
        <w:t xml:space="preserve"> </w:t>
      </w:r>
      <w:r w:rsidRPr="00010BE0">
        <w:tab/>
      </w:r>
      <w:hyperlink r:id="rId5" w:history="1">
        <w:r w:rsidRPr="009C4843">
          <w:rPr>
            <w:rStyle w:val="Hyperlink"/>
            <w:rFonts w:ascii="Times New Roman" w:hAnsi="Times New Roman"/>
            <w:i/>
            <w:sz w:val="20"/>
          </w:rPr>
          <w:t>Australian Government Guide to Regulation</w:t>
        </w:r>
      </w:hyperlink>
      <w:r>
        <w:t>, March 2014</w:t>
      </w:r>
    </w:p>
  </w:footnote>
  <w:footnote w:id="9">
    <w:p w14:paraId="67F4F36A" w14:textId="77777777" w:rsidR="003655C5" w:rsidRPr="001914F0" w:rsidRDefault="003655C5" w:rsidP="00EE7AEC">
      <w:pPr>
        <w:pStyle w:val="FootnoteText"/>
      </w:pPr>
      <w:r>
        <w:rPr>
          <w:rStyle w:val="FootnoteReference"/>
        </w:rPr>
        <w:footnoteRef/>
      </w:r>
      <w:r>
        <w:t xml:space="preserve"> </w:t>
      </w:r>
      <w:r>
        <w:tab/>
        <w:t xml:space="preserve">The major Basel III reforms are set out in </w:t>
      </w:r>
      <w:hyperlink r:id="rId6" w:history="1">
        <w:r w:rsidRPr="00134133">
          <w:rPr>
            <w:rStyle w:val="Hyperlink"/>
            <w:rFonts w:ascii="Times New Roman" w:hAnsi="Times New Roman"/>
            <w:i/>
            <w:sz w:val="20"/>
          </w:rPr>
          <w:t>Basel III: A global regulatory framework for more resilient banks and banking systems</w:t>
        </w:r>
      </w:hyperlink>
      <w:r>
        <w:t>, December 2010</w:t>
      </w:r>
      <w:r>
        <w:rPr>
          <w:i/>
        </w:rPr>
        <w:t xml:space="preserve">, </w:t>
      </w:r>
      <w:r>
        <w:t>revised June 2011.</w:t>
      </w:r>
    </w:p>
  </w:footnote>
  <w:footnote w:id="10">
    <w:p w14:paraId="3B2B1D46" w14:textId="5BAD6BE6" w:rsidR="003655C5" w:rsidRDefault="003655C5">
      <w:pPr>
        <w:pStyle w:val="FootnoteText"/>
      </w:pPr>
      <w:r>
        <w:rPr>
          <w:rStyle w:val="FootnoteReference"/>
        </w:rPr>
        <w:footnoteRef/>
      </w:r>
      <w:r>
        <w:t xml:space="preserve"> </w:t>
      </w:r>
      <w:r>
        <w:tab/>
        <w:t>Refer to APRA’s website for d</w:t>
      </w:r>
      <w:r w:rsidR="00F70280">
        <w:t>etails of the capital framework</w:t>
      </w:r>
    </w:p>
  </w:footnote>
  <w:footnote w:id="11">
    <w:p w14:paraId="000ED243" w14:textId="77777777" w:rsidR="003655C5" w:rsidRPr="007C5322" w:rsidRDefault="003655C5">
      <w:pPr>
        <w:pStyle w:val="FootnoteText"/>
      </w:pPr>
      <w:r>
        <w:rPr>
          <w:rStyle w:val="FootnoteReference"/>
        </w:rPr>
        <w:footnoteRef/>
      </w:r>
      <w:r>
        <w:t xml:space="preserve"> </w:t>
      </w:r>
      <w:r>
        <w:tab/>
      </w:r>
      <w:hyperlink r:id="rId7" w:history="1">
        <w:r w:rsidRPr="00EB0A6B">
          <w:rPr>
            <w:rStyle w:val="Hyperlink"/>
            <w:rFonts w:ascii="Times New Roman" w:hAnsi="Times New Roman"/>
            <w:i/>
            <w:sz w:val="20"/>
          </w:rPr>
          <w:t>Principles for Sound Liquidity Risk Management and Supervision</w:t>
        </w:r>
      </w:hyperlink>
      <w:r w:rsidRPr="007C5322">
        <w:t xml:space="preserve">, </w:t>
      </w:r>
      <w:r>
        <w:t xml:space="preserve">Basel Committee, </w:t>
      </w:r>
      <w:r w:rsidRPr="007C5322">
        <w:t>September 2008</w:t>
      </w:r>
    </w:p>
  </w:footnote>
  <w:footnote w:id="12">
    <w:p w14:paraId="53A500EC" w14:textId="77777777" w:rsidR="003655C5" w:rsidRPr="007C5322" w:rsidRDefault="003655C5">
      <w:pPr>
        <w:pStyle w:val="FootnoteText"/>
      </w:pPr>
      <w:r w:rsidRPr="007C5322">
        <w:rPr>
          <w:rStyle w:val="FootnoteReference"/>
        </w:rPr>
        <w:footnoteRef/>
      </w:r>
      <w:r w:rsidRPr="007C5322">
        <w:t xml:space="preserve"> </w:t>
      </w:r>
      <w:r w:rsidRPr="007C5322">
        <w:tab/>
        <w:t xml:space="preserve">Originally set out in </w:t>
      </w:r>
      <w:hyperlink r:id="rId8" w:history="1">
        <w:r w:rsidRPr="0089765E">
          <w:rPr>
            <w:rStyle w:val="Hyperlink"/>
            <w:rFonts w:ascii="Times New Roman" w:hAnsi="Times New Roman"/>
            <w:i/>
            <w:sz w:val="20"/>
          </w:rPr>
          <w:t>Basel III: International framework for liquidity risk measurement, standards and monitoring</w:t>
        </w:r>
      </w:hyperlink>
      <w:r w:rsidRPr="007C5322">
        <w:t xml:space="preserve">, December 2010 and revised in </w:t>
      </w:r>
      <w:hyperlink r:id="rId9" w:history="1">
        <w:r w:rsidRPr="007C5322">
          <w:rPr>
            <w:rStyle w:val="Hyperlink"/>
            <w:rFonts w:ascii="Times New Roman" w:hAnsi="Times New Roman"/>
            <w:i/>
            <w:sz w:val="20"/>
          </w:rPr>
          <w:t>Basel III: The Liquidity Coverage Ratio and liquidity risk monitoring tools</w:t>
        </w:r>
      </w:hyperlink>
      <w:r w:rsidRPr="007C5322">
        <w:t>, January 2013</w:t>
      </w:r>
    </w:p>
  </w:footnote>
  <w:footnote w:id="13">
    <w:p w14:paraId="7C213A7E" w14:textId="77777777" w:rsidR="003655C5" w:rsidRDefault="003655C5" w:rsidP="00E0463B">
      <w:pPr>
        <w:pStyle w:val="FootnoteText"/>
      </w:pPr>
      <w:r w:rsidRPr="007C5322">
        <w:rPr>
          <w:rStyle w:val="FootnoteReference"/>
        </w:rPr>
        <w:footnoteRef/>
      </w:r>
      <w:r w:rsidRPr="007C5322">
        <w:t xml:space="preserve"> </w:t>
      </w:r>
      <w:r w:rsidRPr="007C5322">
        <w:tab/>
        <w:t xml:space="preserve">Originally set out in </w:t>
      </w:r>
      <w:hyperlink r:id="rId10" w:history="1">
        <w:r w:rsidRPr="0089765E">
          <w:rPr>
            <w:rStyle w:val="Hyperlink"/>
            <w:rFonts w:ascii="Times New Roman" w:hAnsi="Times New Roman"/>
            <w:i/>
            <w:sz w:val="20"/>
          </w:rPr>
          <w:t>Basel III: International framework for liquidity risk measurement, standards and monitoring</w:t>
        </w:r>
      </w:hyperlink>
      <w:r w:rsidRPr="007C5322">
        <w:t>, December 2010</w:t>
      </w:r>
      <w:r>
        <w:t xml:space="preserve">  and revised in </w:t>
      </w:r>
      <w:hyperlink r:id="rId11" w:history="1">
        <w:r w:rsidRPr="00134133">
          <w:rPr>
            <w:rStyle w:val="Hyperlink"/>
            <w:rFonts w:ascii="Times New Roman" w:hAnsi="Times New Roman"/>
            <w:i/>
            <w:sz w:val="20"/>
          </w:rPr>
          <w:t>Basel III: the net stable funding ratio</w:t>
        </w:r>
      </w:hyperlink>
      <w:r>
        <w:t>, October 2014</w:t>
      </w:r>
    </w:p>
  </w:footnote>
  <w:footnote w:id="14">
    <w:p w14:paraId="21CDFCAB" w14:textId="77777777" w:rsidR="003655C5" w:rsidRDefault="003655C5" w:rsidP="00AC7F37">
      <w:pPr>
        <w:pStyle w:val="FootnoteText"/>
      </w:pPr>
      <w:r>
        <w:rPr>
          <w:rStyle w:val="FootnoteReference"/>
        </w:rPr>
        <w:footnoteRef/>
      </w:r>
      <w:r>
        <w:t xml:space="preserve"> </w:t>
      </w:r>
      <w:r>
        <w:tab/>
      </w:r>
      <w:hyperlink r:id="rId12" w:history="1">
        <w:r w:rsidRPr="0089765E">
          <w:rPr>
            <w:rStyle w:val="Hyperlink"/>
            <w:rFonts w:ascii="Times New Roman" w:hAnsi="Times New Roman"/>
            <w:i/>
            <w:sz w:val="20"/>
          </w:rPr>
          <w:t>Basel III: International framework for liquidity risk measurement, standards and monitoring</w:t>
        </w:r>
      </w:hyperlink>
      <w:r w:rsidRPr="0089765E">
        <w:t>,</w:t>
      </w:r>
      <w:r>
        <w:t xml:space="preserve"> Basel Committee, </w:t>
      </w:r>
      <w:r w:rsidRPr="0089765E">
        <w:t xml:space="preserve"> December 2010</w:t>
      </w:r>
      <w:r>
        <w:t xml:space="preserve">  </w:t>
      </w:r>
    </w:p>
  </w:footnote>
  <w:footnote w:id="15">
    <w:p w14:paraId="76630090" w14:textId="77777777" w:rsidR="003655C5" w:rsidRDefault="003655C5">
      <w:pPr>
        <w:pStyle w:val="FootnoteText"/>
      </w:pPr>
      <w:r>
        <w:rPr>
          <w:rStyle w:val="FootnoteReference"/>
        </w:rPr>
        <w:footnoteRef/>
      </w:r>
      <w:r>
        <w:t xml:space="preserve"> </w:t>
      </w:r>
      <w:r>
        <w:tab/>
        <w:t>HQLA are the most liquid assets of an ADI. That is, they can be readily converted into liquidity in need with minimal or no loss of value.</w:t>
      </w:r>
    </w:p>
  </w:footnote>
  <w:footnote w:id="16">
    <w:p w14:paraId="4F19895A" w14:textId="7CE1D984" w:rsidR="003655C5" w:rsidRDefault="003655C5">
      <w:pPr>
        <w:pStyle w:val="FootnoteText"/>
      </w:pPr>
      <w:r>
        <w:rPr>
          <w:rStyle w:val="FootnoteReference"/>
        </w:rPr>
        <w:footnoteRef/>
      </w:r>
      <w:r>
        <w:t xml:space="preserve"> </w:t>
      </w:r>
      <w:r>
        <w:tab/>
        <w:t xml:space="preserve">Refer to </w:t>
      </w:r>
      <w:hyperlink r:id="rId13" w:history="1">
        <w:r w:rsidR="00F70280">
          <w:rPr>
            <w:rStyle w:val="Hyperlink"/>
            <w:rFonts w:ascii="Times New Roman" w:hAnsi="Times New Roman"/>
            <w:sz w:val="20"/>
          </w:rPr>
          <w:t>the Australian Government Guarantee Scheme for Large Deposits and Wholesale Funding</w:t>
        </w:r>
      </w:hyperlink>
      <w:r>
        <w:t xml:space="preserve">. </w:t>
      </w:r>
    </w:p>
  </w:footnote>
  <w:footnote w:id="17">
    <w:p w14:paraId="21B7110C" w14:textId="77777777" w:rsidR="003655C5" w:rsidRDefault="003655C5">
      <w:pPr>
        <w:pStyle w:val="FootnoteText"/>
      </w:pPr>
      <w:r>
        <w:rPr>
          <w:rStyle w:val="FootnoteReference"/>
        </w:rPr>
        <w:footnoteRef/>
      </w:r>
      <w:r>
        <w:t xml:space="preserve"> </w:t>
      </w:r>
      <w:r>
        <w:tab/>
      </w:r>
      <w:hyperlink r:id="rId14" w:history="1">
        <w:r w:rsidRPr="00922321">
          <w:rPr>
            <w:rStyle w:val="Hyperlink"/>
            <w:rFonts w:ascii="Times New Roman" w:hAnsi="Times New Roman"/>
            <w:i/>
            <w:sz w:val="20"/>
          </w:rPr>
          <w:t>Financial System Inquiry</w:t>
        </w:r>
        <w:r w:rsidRPr="00922321">
          <w:rPr>
            <w:rStyle w:val="Hyperlink"/>
            <w:rFonts w:ascii="Times New Roman" w:hAnsi="Times New Roman"/>
            <w:sz w:val="20"/>
          </w:rPr>
          <w:t xml:space="preserve"> </w:t>
        </w:r>
        <w:r w:rsidRPr="00922321">
          <w:rPr>
            <w:rStyle w:val="Hyperlink"/>
            <w:rFonts w:ascii="Times New Roman" w:hAnsi="Times New Roman"/>
            <w:i/>
            <w:sz w:val="20"/>
          </w:rPr>
          <w:t>Final Report</w:t>
        </w:r>
      </w:hyperlink>
      <w:r>
        <w:t>¸ November 2014, page 22</w:t>
      </w:r>
    </w:p>
  </w:footnote>
  <w:footnote w:id="18">
    <w:p w14:paraId="0715BA8D" w14:textId="77777777" w:rsidR="003655C5" w:rsidRDefault="003655C5" w:rsidP="00DA5A2B">
      <w:pPr>
        <w:pStyle w:val="FootnoteText"/>
      </w:pPr>
      <w:r>
        <w:rPr>
          <w:rStyle w:val="FootnoteReference"/>
        </w:rPr>
        <w:footnoteRef/>
      </w:r>
      <w:r>
        <w:t xml:space="preserve"> </w:t>
      </w:r>
      <w:r>
        <w:tab/>
        <w:t>This chart has been sourced from Chart pack, Reserve Bank of Australia website.</w:t>
      </w:r>
    </w:p>
  </w:footnote>
  <w:footnote w:id="19">
    <w:p w14:paraId="31C3D10B" w14:textId="7E7F3302" w:rsidR="003655C5" w:rsidRDefault="003655C5">
      <w:pPr>
        <w:pStyle w:val="FootnoteText"/>
      </w:pPr>
      <w:r>
        <w:rPr>
          <w:rStyle w:val="FootnoteReference"/>
        </w:rPr>
        <w:footnoteRef/>
      </w:r>
      <w:r>
        <w:t xml:space="preserve"> </w:t>
      </w:r>
      <w:r>
        <w:tab/>
        <w:t xml:space="preserve">Sourced from the Bulletin, </w:t>
      </w:r>
      <w:r>
        <w:rPr>
          <w:i/>
        </w:rPr>
        <w:t>Development in Banks’ funding costs and lending rates</w:t>
      </w:r>
      <w:r>
        <w:t>, Reserve Bank of Australia, March 2016.</w:t>
      </w:r>
    </w:p>
  </w:footnote>
  <w:footnote w:id="20">
    <w:p w14:paraId="67A267BF" w14:textId="77777777" w:rsidR="003655C5" w:rsidRPr="006523AC" w:rsidRDefault="003655C5" w:rsidP="0031120F">
      <w:pPr>
        <w:pStyle w:val="FootnoteText"/>
      </w:pPr>
      <w:r>
        <w:rPr>
          <w:rStyle w:val="FootnoteReference"/>
        </w:rPr>
        <w:footnoteRef/>
      </w:r>
      <w:r>
        <w:t xml:space="preserve"> </w:t>
      </w:r>
      <w:r>
        <w:tab/>
      </w:r>
      <w:r>
        <w:rPr>
          <w:i/>
        </w:rPr>
        <w:t>Basel III: the net stable funding ratio</w:t>
      </w:r>
      <w:r>
        <w:t>, Basel Committee on Banking Supervision, October 2014.</w:t>
      </w:r>
    </w:p>
  </w:footnote>
  <w:footnote w:id="21">
    <w:p w14:paraId="5C72F0E3" w14:textId="77777777" w:rsidR="003655C5" w:rsidRPr="006523AC" w:rsidRDefault="003655C5" w:rsidP="006523AC">
      <w:pPr>
        <w:pStyle w:val="FootnoteText"/>
      </w:pPr>
      <w:r>
        <w:rPr>
          <w:rStyle w:val="FootnoteReference"/>
        </w:rPr>
        <w:footnoteRef/>
      </w:r>
      <w:r>
        <w:t xml:space="preserve"> </w:t>
      </w:r>
      <w:r>
        <w:tab/>
      </w:r>
      <w:r>
        <w:rPr>
          <w:i/>
        </w:rPr>
        <w:t>Basel III: the net stable funding ratio</w:t>
      </w:r>
      <w:r>
        <w:t>, Basel Committee on Banking Supervision, October 2014.</w:t>
      </w:r>
    </w:p>
  </w:footnote>
  <w:footnote w:id="22">
    <w:p w14:paraId="40CED6A2" w14:textId="5286C3F2" w:rsidR="003655C5" w:rsidRDefault="003655C5">
      <w:pPr>
        <w:pStyle w:val="FootnoteText"/>
      </w:pPr>
      <w:r>
        <w:rPr>
          <w:rStyle w:val="FootnoteReference"/>
        </w:rPr>
        <w:footnoteRef/>
      </w:r>
      <w:r>
        <w:t xml:space="preserve"> </w:t>
      </w:r>
      <w:r>
        <w:tab/>
        <w:t>As the NSFR is a whole of balance sheet metric, it is not necessary for foreign ADIs that operate in Australia as branches (of an overseas bank) to be subject to an NSFR requirement. In the case of foreign ADIs, the NSFR requirement would apply to the group (as a whole) of which the foreign ADI is a part.</w:t>
      </w:r>
    </w:p>
  </w:footnote>
  <w:footnote w:id="23">
    <w:p w14:paraId="409020E3" w14:textId="77777777" w:rsidR="003655C5" w:rsidRPr="00EA3CB5" w:rsidRDefault="003655C5" w:rsidP="009A2F7B">
      <w:pPr>
        <w:pStyle w:val="FootnoteText"/>
      </w:pPr>
      <w:r w:rsidRPr="00EA3CB5">
        <w:rPr>
          <w:rStyle w:val="FootnoteReference"/>
          <w:rFonts w:ascii="Times New Roman" w:hAnsi="Times New Roman"/>
        </w:rPr>
        <w:footnoteRef/>
      </w:r>
      <w:r w:rsidRPr="00EA3CB5">
        <w:t xml:space="preserve"> </w:t>
      </w:r>
      <w:r>
        <w:tab/>
      </w:r>
      <w:r w:rsidRPr="00EA3CB5">
        <w:rPr>
          <w:i/>
        </w:rPr>
        <w:t>International Activities of Australian Banks</w:t>
      </w:r>
      <w:r w:rsidRPr="00EA3CB5">
        <w:t>, Owen Bailey, Luke Van Uffelen and Kerry Wood,</w:t>
      </w:r>
      <w:r>
        <w:t xml:space="preserve"> </w:t>
      </w:r>
      <w:r w:rsidRPr="00EA3CB5">
        <w:t>Reserve Bank of Australian Bulletin, December 2013</w:t>
      </w:r>
    </w:p>
  </w:footnote>
  <w:footnote w:id="24">
    <w:p w14:paraId="744A77EF" w14:textId="77777777" w:rsidR="003655C5" w:rsidRPr="006E6CA3" w:rsidRDefault="003655C5" w:rsidP="009A2F7B">
      <w:pPr>
        <w:pStyle w:val="FootnoteText"/>
      </w:pPr>
      <w:r>
        <w:rPr>
          <w:rStyle w:val="FootnoteReference"/>
        </w:rPr>
        <w:footnoteRef/>
      </w:r>
      <w:r>
        <w:t xml:space="preserve"> </w:t>
      </w:r>
      <w:r>
        <w:tab/>
      </w:r>
      <w:hyperlink r:id="rId15" w:history="1">
        <w:r w:rsidRPr="00922321">
          <w:rPr>
            <w:rStyle w:val="Hyperlink"/>
            <w:rFonts w:ascii="Times New Roman" w:hAnsi="Times New Roman"/>
            <w:i/>
            <w:sz w:val="20"/>
          </w:rPr>
          <w:t>Financial System Inquiry</w:t>
        </w:r>
        <w:r w:rsidRPr="00922321">
          <w:rPr>
            <w:rStyle w:val="Hyperlink"/>
            <w:rFonts w:ascii="Times New Roman" w:hAnsi="Times New Roman"/>
            <w:sz w:val="20"/>
          </w:rPr>
          <w:t xml:space="preserve"> </w:t>
        </w:r>
        <w:r w:rsidRPr="00922321">
          <w:rPr>
            <w:rStyle w:val="Hyperlink"/>
            <w:rFonts w:ascii="Times New Roman" w:hAnsi="Times New Roman"/>
            <w:i/>
            <w:sz w:val="20"/>
          </w:rPr>
          <w:t>Final Report</w:t>
        </w:r>
      </w:hyperlink>
      <w:r>
        <w:t>¸ November 2014, page 77</w:t>
      </w:r>
    </w:p>
  </w:footnote>
  <w:footnote w:id="25">
    <w:p w14:paraId="67E7F300" w14:textId="77777777" w:rsidR="003655C5" w:rsidRDefault="003655C5" w:rsidP="008A47BB">
      <w:pPr>
        <w:pStyle w:val="FootnoteText"/>
      </w:pPr>
      <w:r>
        <w:rPr>
          <w:rStyle w:val="FootnoteReference"/>
        </w:rPr>
        <w:footnoteRef/>
      </w:r>
      <w:r>
        <w:t xml:space="preserve"> </w:t>
      </w:r>
      <w:r>
        <w:tab/>
        <w:t xml:space="preserve">Locally incorporated ADIs subject to the LCR requirement can access a committed liquidity facility which assists them to respond to an acute stress scenario by accessing an agreed amount of liquidity through repurchase agreements of eligible securities with the Reserve Bank of Australia. Refer to </w:t>
      </w:r>
      <w:hyperlink r:id="rId16" w:history="1">
        <w:r w:rsidRPr="00F44D26">
          <w:rPr>
            <w:rStyle w:val="Hyperlink"/>
            <w:rFonts w:ascii="Times New Roman" w:hAnsi="Times New Roman"/>
            <w:i/>
            <w:sz w:val="20"/>
          </w:rPr>
          <w:t>The RBA Committed Liquidity Facility</w:t>
        </w:r>
      </w:hyperlink>
      <w:r>
        <w:t>, RBA, November 2011</w:t>
      </w:r>
    </w:p>
  </w:footnote>
  <w:footnote w:id="26">
    <w:p w14:paraId="4862257C" w14:textId="430AFC35" w:rsidR="003655C5" w:rsidRDefault="003655C5">
      <w:pPr>
        <w:pStyle w:val="FootnoteText"/>
      </w:pPr>
      <w:r>
        <w:rPr>
          <w:rStyle w:val="FootnoteReference"/>
        </w:rPr>
        <w:footnoteRef/>
      </w:r>
      <w:r>
        <w:t xml:space="preserve"> </w:t>
      </w:r>
      <w:r>
        <w:tab/>
      </w:r>
      <w:hyperlink r:id="rId17" w:history="1">
        <w:r w:rsidRPr="00951E8F">
          <w:rPr>
            <w:rStyle w:val="Hyperlink"/>
            <w:rFonts w:ascii="Times New Roman" w:hAnsi="Times New Roman"/>
            <w:i/>
            <w:sz w:val="20"/>
          </w:rPr>
          <w:t>International framework for liquidity risk measurement, standards and monitoring - consultative document</w:t>
        </w:r>
      </w:hyperlink>
      <w:r>
        <w:t>, Basel Committee, December 2009</w:t>
      </w:r>
      <w:r w:rsidR="00485D62">
        <w:t>.</w:t>
      </w:r>
    </w:p>
  </w:footnote>
  <w:footnote w:id="27">
    <w:p w14:paraId="7844E1C2" w14:textId="177A64F5" w:rsidR="003655C5" w:rsidRDefault="003655C5" w:rsidP="006D0EE5">
      <w:pPr>
        <w:autoSpaceDE w:val="0"/>
        <w:autoSpaceDN w:val="0"/>
        <w:adjustRightInd w:val="0"/>
        <w:spacing w:after="0" w:line="240" w:lineRule="auto"/>
        <w:ind w:left="567" w:hanging="567"/>
      </w:pPr>
      <w:r>
        <w:rPr>
          <w:rStyle w:val="FootnoteReference"/>
        </w:rPr>
        <w:footnoteRef/>
      </w:r>
      <w:r>
        <w:t xml:space="preserve"> </w:t>
      </w:r>
      <w:r>
        <w:tab/>
      </w:r>
      <w:hyperlink r:id="rId18" w:history="1">
        <w:r w:rsidRPr="006D0EE5">
          <w:rPr>
            <w:rStyle w:val="Hyperlink"/>
            <w:rFonts w:ascii="Times New Roman" w:hAnsi="Times New Roman"/>
            <w:i/>
            <w:sz w:val="20"/>
            <w:szCs w:val="20"/>
          </w:rPr>
          <w:t>ABA submission on the Basel Committee’s International framework for liquidity risk, measurement, standards and monitoring</w:t>
        </w:r>
      </w:hyperlink>
      <w:r w:rsidRPr="006D0EE5">
        <w:rPr>
          <w:rFonts w:ascii="Times New Roman" w:hAnsi="Times New Roman"/>
          <w:i/>
          <w:sz w:val="20"/>
          <w:szCs w:val="20"/>
        </w:rPr>
        <w:t>,</w:t>
      </w:r>
      <w:r>
        <w:rPr>
          <w:rFonts w:ascii="Times New Roman" w:hAnsi="Times New Roman"/>
          <w:sz w:val="20"/>
          <w:szCs w:val="20"/>
        </w:rPr>
        <w:t xml:space="preserve"> Australian Bankers Association, April 2010</w:t>
      </w:r>
      <w:r w:rsidR="00485D62">
        <w:rPr>
          <w:rFonts w:ascii="Times New Roman" w:hAnsi="Times New Roman"/>
          <w:sz w:val="20"/>
          <w:szCs w:val="20"/>
        </w:rPr>
        <w:t>.</w:t>
      </w:r>
    </w:p>
  </w:footnote>
  <w:footnote w:id="28">
    <w:p w14:paraId="0595B5E8" w14:textId="4D7FCD77" w:rsidR="003655C5" w:rsidRDefault="003655C5" w:rsidP="004E697E">
      <w:pPr>
        <w:pStyle w:val="FootnoteText"/>
      </w:pPr>
      <w:r>
        <w:rPr>
          <w:rStyle w:val="FootnoteReference"/>
        </w:rPr>
        <w:footnoteRef/>
      </w:r>
      <w:r>
        <w:t xml:space="preserve"> </w:t>
      </w:r>
      <w:r>
        <w:tab/>
        <w:t xml:space="preserve">The major Basel III reforms are set out in </w:t>
      </w:r>
      <w:hyperlink r:id="rId19" w:history="1">
        <w:r w:rsidRPr="00134133">
          <w:rPr>
            <w:rStyle w:val="Hyperlink"/>
            <w:rFonts w:ascii="Times New Roman" w:hAnsi="Times New Roman"/>
            <w:i/>
            <w:sz w:val="20"/>
          </w:rPr>
          <w:t>Basel III: A global regulatory framework for more resilient banks and banking systems</w:t>
        </w:r>
      </w:hyperlink>
      <w:r>
        <w:t>, December 2010</w:t>
      </w:r>
      <w:r w:rsidR="00485D62">
        <w:t>.</w:t>
      </w:r>
    </w:p>
  </w:footnote>
  <w:footnote w:id="29">
    <w:p w14:paraId="5B704472" w14:textId="572AE07A" w:rsidR="003655C5" w:rsidRDefault="003655C5">
      <w:pPr>
        <w:pStyle w:val="FootnoteText"/>
      </w:pPr>
      <w:r>
        <w:rPr>
          <w:rStyle w:val="FootnoteReference"/>
        </w:rPr>
        <w:footnoteRef/>
      </w:r>
      <w:r>
        <w:t xml:space="preserve"> </w:t>
      </w:r>
      <w:r>
        <w:tab/>
      </w:r>
      <w:r w:rsidRPr="003E378E">
        <w:rPr>
          <w:i/>
        </w:rPr>
        <w:t>Basel III: the Net Stable Funding Ratio – consultative document</w:t>
      </w:r>
      <w:r>
        <w:t>, Basel Committee, January 2014</w:t>
      </w:r>
      <w:r w:rsidR="00485D62">
        <w:t>.</w:t>
      </w:r>
    </w:p>
  </w:footnote>
  <w:footnote w:id="30">
    <w:p w14:paraId="7CFEA7F8" w14:textId="18BD01B6" w:rsidR="003655C5" w:rsidRPr="0005478B" w:rsidRDefault="003655C5">
      <w:pPr>
        <w:pStyle w:val="FootnoteText"/>
      </w:pPr>
      <w:r>
        <w:rPr>
          <w:rStyle w:val="FootnoteReference"/>
        </w:rPr>
        <w:footnoteRef/>
      </w:r>
      <w:r>
        <w:t xml:space="preserve"> </w:t>
      </w:r>
      <w:r>
        <w:tab/>
      </w:r>
      <w:r w:rsidR="00485D62">
        <w:t>These can all be found on APRA’s public web site at</w:t>
      </w:r>
      <w:r>
        <w:t xml:space="preserve"> </w:t>
      </w:r>
      <w:hyperlink r:id="rId20" w:history="1">
        <w:r w:rsidRPr="00BE343F">
          <w:rPr>
            <w:rStyle w:val="Hyperlink"/>
            <w:rFonts w:ascii="Times New Roman" w:hAnsi="Times New Roman"/>
            <w:i/>
            <w:sz w:val="20"/>
          </w:rPr>
          <w:t>ADI Consultation Packages</w:t>
        </w:r>
      </w:hyperlink>
      <w:r w:rsidR="00485D62">
        <w:rPr>
          <w:rStyle w:val="Hyperlink"/>
          <w:rFonts w:ascii="Times New Roman" w:hAnsi="Times New Roman"/>
          <w:color w:val="auto"/>
          <w:sz w:val="20"/>
          <w:u w:val="none"/>
        </w:rPr>
        <w:t>.</w:t>
      </w:r>
      <w:r>
        <w:rPr>
          <w:rStyle w:val="Hyperlink"/>
          <w:rFonts w:ascii="Times New Roman" w:hAnsi="Times New Roman"/>
          <w:sz w:val="20"/>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D812A" w14:textId="77777777" w:rsidR="009E174D" w:rsidRDefault="009E1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F5FE4" w14:textId="26672E4E" w:rsidR="003655C5" w:rsidRPr="0016614F" w:rsidRDefault="003655C5" w:rsidP="001661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F8556" w14:textId="77777777" w:rsidR="003655C5" w:rsidRDefault="003655C5"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5E26E72"/>
    <w:multiLevelType w:val="hybridMultilevel"/>
    <w:tmpl w:val="BB121D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9B5198"/>
    <w:multiLevelType w:val="hybridMultilevel"/>
    <w:tmpl w:val="61521854"/>
    <w:lvl w:ilvl="0" w:tplc="C2AA66AE">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87236"/>
    <w:multiLevelType w:val="hybridMultilevel"/>
    <w:tmpl w:val="A84A9DDC"/>
    <w:lvl w:ilvl="0" w:tplc="7AC8D762">
      <w:start w:val="1"/>
      <w:numFmt w:val="bullet"/>
      <w:pStyle w:val="Paragraph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409B1"/>
    <w:multiLevelType w:val="multilevel"/>
    <w:tmpl w:val="0C09001F"/>
    <w:numStyleLink w:val="111111"/>
  </w:abstractNum>
  <w:abstractNum w:abstractNumId="9"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A24308"/>
    <w:multiLevelType w:val="hybridMultilevel"/>
    <w:tmpl w:val="2864CC9E"/>
    <w:lvl w:ilvl="0" w:tplc="877897C2">
      <w:start w:val="1"/>
      <w:numFmt w:val="decimal"/>
      <w:pStyle w:val="Paragraphtext"/>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96133D"/>
    <w:multiLevelType w:val="multilevel"/>
    <w:tmpl w:val="83D87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4255EE"/>
    <w:multiLevelType w:val="multilevel"/>
    <w:tmpl w:val="54A2396C"/>
    <w:numStyleLink w:val="APRAPPG"/>
  </w:abstractNum>
  <w:abstractNum w:abstractNumId="14" w15:restartNumberingAfterBreak="0">
    <w:nsid w:val="403D1882"/>
    <w:multiLevelType w:val="multilevel"/>
    <w:tmpl w:val="54A2396C"/>
    <w:styleLink w:val="APRAPPG"/>
    <w:lvl w:ilvl="0">
      <w:start w:val="1"/>
      <w:numFmt w:val="none"/>
      <w:suff w:val="nothing"/>
      <w:lvlText w:val=""/>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Chapter %1%3"/>
      <w:lvlJc w:val="left"/>
      <w:pPr>
        <w:ind w:left="0" w:firstLine="0"/>
      </w:pPr>
      <w:rPr>
        <w:rFonts w:hint="default"/>
      </w:rPr>
    </w:lvl>
    <w:lvl w:ilvl="3">
      <w:start w:val="1"/>
      <w:numFmt w:val="decimal"/>
      <w:suff w:val="space"/>
      <w:lvlText w:val="%1%3.%4"/>
      <w:lvlJc w:val="left"/>
      <w:pPr>
        <w:ind w:left="0" w:firstLine="0"/>
      </w:pPr>
      <w:rPr>
        <w:rFonts w:hint="default"/>
      </w:rPr>
    </w:lvl>
    <w:lvl w:ilvl="4">
      <w:start w:val="1"/>
      <w:numFmt w:val="decimal"/>
      <w:suff w:val="space"/>
      <w:lvlText w:val="%1%3.%4.%5"/>
      <w:lvlJc w:val="left"/>
      <w:pPr>
        <w:ind w:left="0" w:firstLine="0"/>
      </w:pPr>
      <w:rPr>
        <w:rFonts w:hint="default"/>
      </w:rPr>
    </w:lvl>
    <w:lvl w:ilvl="5">
      <w:start w:val="1"/>
      <w:numFmt w:val="decimal"/>
      <w:suff w:val="space"/>
      <w:lvlText w:val="%1%3.%4.%5.%6"/>
      <w:lvlJc w:val="left"/>
      <w:pPr>
        <w:ind w:left="0" w:firstLine="0"/>
      </w:pPr>
      <w:rPr>
        <w:rFonts w:hint="default"/>
      </w:rPr>
    </w:lvl>
    <w:lvl w:ilvl="6">
      <w:start w:val="1"/>
      <w:numFmt w:val="decimal"/>
      <w:suff w:val="space"/>
      <w:lvlText w:val="%1%3.%4.%5.%6.%7"/>
      <w:lvlJc w:val="left"/>
      <w:pPr>
        <w:ind w:left="0" w:firstLine="0"/>
      </w:pPr>
      <w:rPr>
        <w:rFonts w:hint="default"/>
      </w:rPr>
    </w:lvl>
    <w:lvl w:ilvl="7">
      <w:start w:val="1"/>
      <w:numFmt w:val="decimal"/>
      <w:suff w:val="space"/>
      <w:lvlText w:val="%1%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78F53A7"/>
    <w:multiLevelType w:val="hybridMultilevel"/>
    <w:tmpl w:val="FD44B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5E69BD"/>
    <w:multiLevelType w:val="hybridMultilevel"/>
    <w:tmpl w:val="7C147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E726386"/>
    <w:multiLevelType w:val="hybridMultilevel"/>
    <w:tmpl w:val="BAD02C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FDB05EE"/>
    <w:multiLevelType w:val="hybridMultilevel"/>
    <w:tmpl w:val="648E3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9"/>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2"/>
  </w:num>
  <w:num w:numId="10">
    <w:abstractNumId w:val="7"/>
  </w:num>
  <w:num w:numId="11">
    <w:abstractNumId w:val="6"/>
  </w:num>
  <w:num w:numId="12">
    <w:abstractNumId w:val="10"/>
  </w:num>
  <w:num w:numId="13">
    <w:abstractNumId w:val="17"/>
  </w:num>
  <w:num w:numId="14">
    <w:abstractNumId w:val="10"/>
    <w:lvlOverride w:ilvl="0">
      <w:startOverride w:val="1"/>
    </w:lvlOverride>
  </w:num>
  <w:num w:numId="15">
    <w:abstractNumId w:val="18"/>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4"/>
    <w:lvlOverride w:ilvl="0">
      <w:lvl w:ilvl="0">
        <w:start w:val="1"/>
        <w:numFmt w:val="none"/>
        <w:suff w:val="nothing"/>
        <w:lvlText w:val=""/>
        <w:lvlJc w:val="left"/>
        <w:pPr>
          <w:ind w:left="0" w:firstLine="0"/>
        </w:pPr>
        <w:rPr>
          <w:rFonts w:hint="default"/>
        </w:rPr>
      </w:lvl>
    </w:lvlOverride>
    <w:lvlOverride w:ilvl="1">
      <w:lvl w:ilvl="1">
        <w:start w:val="1"/>
        <w:numFmt w:val="none"/>
        <w:suff w:val="nothing"/>
        <w:lvlText w:val="%1"/>
        <w:lvlJc w:val="left"/>
        <w:pPr>
          <w:ind w:left="0" w:firstLine="0"/>
        </w:pPr>
        <w:rPr>
          <w:rFonts w:hint="default"/>
        </w:rPr>
      </w:lvl>
    </w:lvlOverride>
    <w:lvlOverride w:ilvl="2">
      <w:lvl w:ilvl="2">
        <w:start w:val="1"/>
        <w:numFmt w:val="decimal"/>
        <w:suff w:val="space"/>
        <w:lvlText w:val="Chapter %1%3"/>
        <w:lvlJc w:val="left"/>
        <w:pPr>
          <w:ind w:left="0" w:firstLine="0"/>
        </w:pPr>
        <w:rPr>
          <w:bCs w:val="0"/>
          <w:i w:val="0"/>
          <w:iCs w:val="0"/>
          <w:caps w:val="0"/>
          <w:smallCaps w:val="0"/>
          <w:strike w:val="0"/>
          <w:dstrike w:val="0"/>
          <w:outline w:val="0"/>
          <w:shadow w:val="0"/>
          <w:emboss w:val="0"/>
          <w:imprint w:val="0"/>
          <w:noProof w:val="0"/>
          <w:vanish w:val="0"/>
          <w:spacing w:val="0"/>
          <w:u w:val="none"/>
          <w:effect w:val="none"/>
          <w:vertAlign w:val="baseline"/>
          <w:em w:val="none"/>
          <w:specVanish w:val="0"/>
        </w:rPr>
      </w:lvl>
    </w:lvlOverride>
    <w:lvlOverride w:ilvl="3">
      <w:lvl w:ilvl="3">
        <w:start w:val="1"/>
        <w:numFmt w:val="decimal"/>
        <w:suff w:val="space"/>
        <w:lvlText w:val="%1%3.%4"/>
        <w:lvlJc w:val="left"/>
        <w:pPr>
          <w:ind w:left="1844" w:firstLine="0"/>
        </w:pPr>
        <w:rPr>
          <w:rFonts w:hint="default"/>
        </w:rPr>
      </w:lvl>
    </w:lvlOverride>
    <w:lvlOverride w:ilvl="4">
      <w:lvl w:ilvl="4">
        <w:start w:val="1"/>
        <w:numFmt w:val="decimal"/>
        <w:suff w:val="space"/>
        <w:lvlText w:val="%1%3.%4.%5"/>
        <w:lvlJc w:val="left"/>
        <w:pPr>
          <w:ind w:left="0" w:firstLine="0"/>
        </w:pPr>
        <w:rPr>
          <w:rFonts w:hint="default"/>
        </w:rPr>
      </w:lvl>
    </w:lvlOverride>
    <w:lvlOverride w:ilvl="5">
      <w:lvl w:ilvl="5">
        <w:start w:val="1"/>
        <w:numFmt w:val="decimal"/>
        <w:suff w:val="space"/>
        <w:lvlText w:val="%1%3.%4.%5.%6"/>
        <w:lvlJc w:val="left"/>
        <w:pPr>
          <w:ind w:left="0" w:firstLine="0"/>
        </w:pPr>
        <w:rPr>
          <w:rFonts w:hint="default"/>
        </w:rPr>
      </w:lvl>
    </w:lvlOverride>
    <w:lvlOverride w:ilvl="6">
      <w:lvl w:ilvl="6">
        <w:start w:val="1"/>
        <w:numFmt w:val="decimal"/>
        <w:suff w:val="space"/>
        <w:lvlText w:val="%1%3.%4.%5.%6.%7"/>
        <w:lvlJc w:val="left"/>
        <w:pPr>
          <w:ind w:left="0" w:firstLine="0"/>
        </w:pPr>
        <w:rPr>
          <w:rFonts w:hint="default"/>
        </w:rPr>
      </w:lvl>
    </w:lvlOverride>
    <w:lvlOverride w:ilvl="7">
      <w:lvl w:ilvl="7">
        <w:start w:val="1"/>
        <w:numFmt w:val="decimal"/>
        <w:suff w:val="space"/>
        <w:lvlText w:val="%1%3.%4.%5.%6.%7.%8"/>
        <w:lvlJc w:val="left"/>
        <w:pPr>
          <w:ind w:left="0" w:firstLine="0"/>
        </w:pPr>
        <w:rPr>
          <w:rFonts w:hint="default"/>
        </w:rPr>
      </w:lvl>
    </w:lvlOverride>
    <w:lvlOverride w:ilvl="8">
      <w:lvl w:ilvl="8">
        <w:start w:val="1"/>
        <w:numFmt w:val="decimal"/>
        <w:suff w:val="space"/>
        <w:lvlText w:val="%1%3.%4.%5.%6.%7.%8.%9"/>
        <w:lvlJc w:val="left"/>
        <w:pPr>
          <w:ind w:left="0" w:firstLine="0"/>
        </w:pPr>
        <w:rPr>
          <w:rFonts w:hint="default"/>
        </w:rPr>
      </w:lvl>
    </w:lvlOverride>
  </w:num>
  <w:num w:numId="21">
    <w:abstractNumId w:val="13"/>
  </w:num>
  <w:num w:numId="22">
    <w:abstractNumId w:val="14"/>
  </w:num>
  <w:num w:numId="23">
    <w:abstractNumId w:val="10"/>
  </w:num>
  <w:num w:numId="24">
    <w:abstractNumId w:val="10"/>
  </w:num>
  <w:num w:numId="25">
    <w:abstractNumId w:val="10"/>
  </w:num>
  <w:num w:numId="26">
    <w:abstractNumId w:val="15"/>
  </w:num>
  <w:num w:numId="27">
    <w:abstractNumId w:val="10"/>
  </w:num>
  <w:num w:numId="28">
    <w:abstractNumId w:val="16"/>
  </w:num>
  <w:num w:numId="29">
    <w:abstractNumId w:val="5"/>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6F"/>
    <w:rsid w:val="00001F1B"/>
    <w:rsid w:val="00003065"/>
    <w:rsid w:val="000032DC"/>
    <w:rsid w:val="000050AE"/>
    <w:rsid w:val="00006CD8"/>
    <w:rsid w:val="0001007C"/>
    <w:rsid w:val="0001088A"/>
    <w:rsid w:val="00010BE0"/>
    <w:rsid w:val="00011033"/>
    <w:rsid w:val="0001183B"/>
    <w:rsid w:val="00011A49"/>
    <w:rsid w:val="00011B0A"/>
    <w:rsid w:val="000120A7"/>
    <w:rsid w:val="0001258B"/>
    <w:rsid w:val="000128C4"/>
    <w:rsid w:val="00014592"/>
    <w:rsid w:val="00014A2F"/>
    <w:rsid w:val="00014AF3"/>
    <w:rsid w:val="000154C3"/>
    <w:rsid w:val="00017BE1"/>
    <w:rsid w:val="0002031F"/>
    <w:rsid w:val="00020E18"/>
    <w:rsid w:val="00021475"/>
    <w:rsid w:val="00023F36"/>
    <w:rsid w:val="00024868"/>
    <w:rsid w:val="00024ED6"/>
    <w:rsid w:val="00024F8B"/>
    <w:rsid w:val="000253A4"/>
    <w:rsid w:val="000253EC"/>
    <w:rsid w:val="000268D6"/>
    <w:rsid w:val="000304DA"/>
    <w:rsid w:val="00030DBD"/>
    <w:rsid w:val="0003148A"/>
    <w:rsid w:val="00031766"/>
    <w:rsid w:val="0003215C"/>
    <w:rsid w:val="000321DA"/>
    <w:rsid w:val="000326BC"/>
    <w:rsid w:val="00032841"/>
    <w:rsid w:val="00032C8F"/>
    <w:rsid w:val="0003352B"/>
    <w:rsid w:val="000335EA"/>
    <w:rsid w:val="000343F1"/>
    <w:rsid w:val="00034703"/>
    <w:rsid w:val="000347A2"/>
    <w:rsid w:val="000364D5"/>
    <w:rsid w:val="00036A9B"/>
    <w:rsid w:val="000373A8"/>
    <w:rsid w:val="00037506"/>
    <w:rsid w:val="00040515"/>
    <w:rsid w:val="00040573"/>
    <w:rsid w:val="00040676"/>
    <w:rsid w:val="0004080C"/>
    <w:rsid w:val="000408CA"/>
    <w:rsid w:val="000411EB"/>
    <w:rsid w:val="00042416"/>
    <w:rsid w:val="000440C7"/>
    <w:rsid w:val="00044390"/>
    <w:rsid w:val="0004440E"/>
    <w:rsid w:val="00044A5B"/>
    <w:rsid w:val="00044D28"/>
    <w:rsid w:val="00045294"/>
    <w:rsid w:val="00045342"/>
    <w:rsid w:val="00045478"/>
    <w:rsid w:val="00046A95"/>
    <w:rsid w:val="0004729A"/>
    <w:rsid w:val="000474BD"/>
    <w:rsid w:val="00050797"/>
    <w:rsid w:val="00050BED"/>
    <w:rsid w:val="00050C0E"/>
    <w:rsid w:val="0005119E"/>
    <w:rsid w:val="000512B3"/>
    <w:rsid w:val="00051C79"/>
    <w:rsid w:val="00051F0D"/>
    <w:rsid w:val="00053127"/>
    <w:rsid w:val="0005362C"/>
    <w:rsid w:val="00053877"/>
    <w:rsid w:val="00053E02"/>
    <w:rsid w:val="00053F0B"/>
    <w:rsid w:val="000542E0"/>
    <w:rsid w:val="00054373"/>
    <w:rsid w:val="0005478B"/>
    <w:rsid w:val="00054B72"/>
    <w:rsid w:val="00055D4C"/>
    <w:rsid w:val="0005661C"/>
    <w:rsid w:val="00057A0A"/>
    <w:rsid w:val="000606A4"/>
    <w:rsid w:val="00061A71"/>
    <w:rsid w:val="00062B3F"/>
    <w:rsid w:val="00062B48"/>
    <w:rsid w:val="00063305"/>
    <w:rsid w:val="000639BD"/>
    <w:rsid w:val="00063BDC"/>
    <w:rsid w:val="00064103"/>
    <w:rsid w:val="000643F6"/>
    <w:rsid w:val="000646D6"/>
    <w:rsid w:val="00064734"/>
    <w:rsid w:val="00065378"/>
    <w:rsid w:val="000653C4"/>
    <w:rsid w:val="000662C7"/>
    <w:rsid w:val="00066514"/>
    <w:rsid w:val="00066E0C"/>
    <w:rsid w:val="00067321"/>
    <w:rsid w:val="0006766A"/>
    <w:rsid w:val="00067709"/>
    <w:rsid w:val="00070996"/>
    <w:rsid w:val="000715C7"/>
    <w:rsid w:val="00072990"/>
    <w:rsid w:val="00072C01"/>
    <w:rsid w:val="000734BA"/>
    <w:rsid w:val="00073836"/>
    <w:rsid w:val="00074254"/>
    <w:rsid w:val="00074535"/>
    <w:rsid w:val="000747A1"/>
    <w:rsid w:val="00074ABA"/>
    <w:rsid w:val="000754EB"/>
    <w:rsid w:val="000755DD"/>
    <w:rsid w:val="00076120"/>
    <w:rsid w:val="00076B9D"/>
    <w:rsid w:val="0008059D"/>
    <w:rsid w:val="0008087A"/>
    <w:rsid w:val="00081070"/>
    <w:rsid w:val="00085274"/>
    <w:rsid w:val="00085D2D"/>
    <w:rsid w:val="00085E27"/>
    <w:rsid w:val="00085E7A"/>
    <w:rsid w:val="00086DA9"/>
    <w:rsid w:val="00087E3D"/>
    <w:rsid w:val="00090E73"/>
    <w:rsid w:val="00091252"/>
    <w:rsid w:val="00091271"/>
    <w:rsid w:val="00091CFC"/>
    <w:rsid w:val="000923ED"/>
    <w:rsid w:val="000926ED"/>
    <w:rsid w:val="00092B6F"/>
    <w:rsid w:val="00092EDA"/>
    <w:rsid w:val="00093737"/>
    <w:rsid w:val="00093C24"/>
    <w:rsid w:val="00094098"/>
    <w:rsid w:val="000943FA"/>
    <w:rsid w:val="000959EF"/>
    <w:rsid w:val="00097521"/>
    <w:rsid w:val="000A0623"/>
    <w:rsid w:val="000A1629"/>
    <w:rsid w:val="000A1A18"/>
    <w:rsid w:val="000A1C81"/>
    <w:rsid w:val="000A2504"/>
    <w:rsid w:val="000A2D53"/>
    <w:rsid w:val="000A2EAB"/>
    <w:rsid w:val="000A3FF4"/>
    <w:rsid w:val="000A459D"/>
    <w:rsid w:val="000A45C3"/>
    <w:rsid w:val="000A516F"/>
    <w:rsid w:val="000A56DE"/>
    <w:rsid w:val="000A5D77"/>
    <w:rsid w:val="000A646D"/>
    <w:rsid w:val="000A6957"/>
    <w:rsid w:val="000A6D53"/>
    <w:rsid w:val="000A72CD"/>
    <w:rsid w:val="000A7B5E"/>
    <w:rsid w:val="000B0346"/>
    <w:rsid w:val="000B048E"/>
    <w:rsid w:val="000B197A"/>
    <w:rsid w:val="000B211A"/>
    <w:rsid w:val="000B2B3F"/>
    <w:rsid w:val="000B42F0"/>
    <w:rsid w:val="000B51F2"/>
    <w:rsid w:val="000B5472"/>
    <w:rsid w:val="000C046F"/>
    <w:rsid w:val="000C0544"/>
    <w:rsid w:val="000C121E"/>
    <w:rsid w:val="000C170D"/>
    <w:rsid w:val="000C17A7"/>
    <w:rsid w:val="000C182A"/>
    <w:rsid w:val="000C18A6"/>
    <w:rsid w:val="000C1C7D"/>
    <w:rsid w:val="000C2409"/>
    <w:rsid w:val="000C2DE3"/>
    <w:rsid w:val="000C3BAB"/>
    <w:rsid w:val="000C558C"/>
    <w:rsid w:val="000C5A50"/>
    <w:rsid w:val="000C663E"/>
    <w:rsid w:val="000D010E"/>
    <w:rsid w:val="000D0347"/>
    <w:rsid w:val="000D0589"/>
    <w:rsid w:val="000D074A"/>
    <w:rsid w:val="000D09FA"/>
    <w:rsid w:val="000D1195"/>
    <w:rsid w:val="000D17D8"/>
    <w:rsid w:val="000D2A03"/>
    <w:rsid w:val="000D2D92"/>
    <w:rsid w:val="000D30C5"/>
    <w:rsid w:val="000D3A63"/>
    <w:rsid w:val="000D4E8D"/>
    <w:rsid w:val="000D5229"/>
    <w:rsid w:val="000D5A78"/>
    <w:rsid w:val="000D5B25"/>
    <w:rsid w:val="000D5C51"/>
    <w:rsid w:val="000E00DD"/>
    <w:rsid w:val="000E0195"/>
    <w:rsid w:val="000E0220"/>
    <w:rsid w:val="000E11EE"/>
    <w:rsid w:val="000E1FB2"/>
    <w:rsid w:val="000E26F1"/>
    <w:rsid w:val="000E26F5"/>
    <w:rsid w:val="000E3EF9"/>
    <w:rsid w:val="000E418A"/>
    <w:rsid w:val="000E5266"/>
    <w:rsid w:val="000E580B"/>
    <w:rsid w:val="000E5B5D"/>
    <w:rsid w:val="000E650A"/>
    <w:rsid w:val="000E7384"/>
    <w:rsid w:val="000F0039"/>
    <w:rsid w:val="000F030B"/>
    <w:rsid w:val="000F0C36"/>
    <w:rsid w:val="000F1481"/>
    <w:rsid w:val="000F20CF"/>
    <w:rsid w:val="000F3881"/>
    <w:rsid w:val="000F3901"/>
    <w:rsid w:val="000F41A8"/>
    <w:rsid w:val="000F432C"/>
    <w:rsid w:val="000F433E"/>
    <w:rsid w:val="000F4B9B"/>
    <w:rsid w:val="000F4E14"/>
    <w:rsid w:val="000F585D"/>
    <w:rsid w:val="000F594B"/>
    <w:rsid w:val="000F7371"/>
    <w:rsid w:val="000F75AC"/>
    <w:rsid w:val="000F75E5"/>
    <w:rsid w:val="00100004"/>
    <w:rsid w:val="001009F4"/>
    <w:rsid w:val="0010120E"/>
    <w:rsid w:val="00101291"/>
    <w:rsid w:val="001020D3"/>
    <w:rsid w:val="001028DF"/>
    <w:rsid w:val="00102994"/>
    <w:rsid w:val="00103215"/>
    <w:rsid w:val="001032C7"/>
    <w:rsid w:val="00105300"/>
    <w:rsid w:val="00105580"/>
    <w:rsid w:val="00107290"/>
    <w:rsid w:val="00110353"/>
    <w:rsid w:val="00111286"/>
    <w:rsid w:val="00111C92"/>
    <w:rsid w:val="00113FB6"/>
    <w:rsid w:val="001148D5"/>
    <w:rsid w:val="00114D5D"/>
    <w:rsid w:val="00114D69"/>
    <w:rsid w:val="001155C7"/>
    <w:rsid w:val="00116964"/>
    <w:rsid w:val="00116D5F"/>
    <w:rsid w:val="00116F15"/>
    <w:rsid w:val="00120742"/>
    <w:rsid w:val="00120BBB"/>
    <w:rsid w:val="00120DB2"/>
    <w:rsid w:val="00120E06"/>
    <w:rsid w:val="00121F32"/>
    <w:rsid w:val="001231EF"/>
    <w:rsid w:val="00123350"/>
    <w:rsid w:val="00124922"/>
    <w:rsid w:val="001249F3"/>
    <w:rsid w:val="00124C72"/>
    <w:rsid w:val="00126206"/>
    <w:rsid w:val="00126291"/>
    <w:rsid w:val="00126878"/>
    <w:rsid w:val="00127737"/>
    <w:rsid w:val="00127C57"/>
    <w:rsid w:val="001303CA"/>
    <w:rsid w:val="00131577"/>
    <w:rsid w:val="00133480"/>
    <w:rsid w:val="00133566"/>
    <w:rsid w:val="00133613"/>
    <w:rsid w:val="00134133"/>
    <w:rsid w:val="001342E2"/>
    <w:rsid w:val="001347D5"/>
    <w:rsid w:val="001353A6"/>
    <w:rsid w:val="00135E6A"/>
    <w:rsid w:val="00137661"/>
    <w:rsid w:val="001376BF"/>
    <w:rsid w:val="001401D9"/>
    <w:rsid w:val="00142233"/>
    <w:rsid w:val="0014367D"/>
    <w:rsid w:val="00143C23"/>
    <w:rsid w:val="00143E61"/>
    <w:rsid w:val="001448B4"/>
    <w:rsid w:val="00144D9C"/>
    <w:rsid w:val="001465D8"/>
    <w:rsid w:val="00146E3A"/>
    <w:rsid w:val="001470C6"/>
    <w:rsid w:val="00147E9C"/>
    <w:rsid w:val="001502F1"/>
    <w:rsid w:val="00150C8F"/>
    <w:rsid w:val="00151173"/>
    <w:rsid w:val="00151C4D"/>
    <w:rsid w:val="00151D46"/>
    <w:rsid w:val="00152459"/>
    <w:rsid w:val="00153638"/>
    <w:rsid w:val="00155634"/>
    <w:rsid w:val="00155C64"/>
    <w:rsid w:val="00155FF7"/>
    <w:rsid w:val="00156E3D"/>
    <w:rsid w:val="001570E5"/>
    <w:rsid w:val="001577DD"/>
    <w:rsid w:val="00160269"/>
    <w:rsid w:val="00160337"/>
    <w:rsid w:val="00160390"/>
    <w:rsid w:val="00160F1E"/>
    <w:rsid w:val="00161A2B"/>
    <w:rsid w:val="001624EE"/>
    <w:rsid w:val="00162E8A"/>
    <w:rsid w:val="001657AA"/>
    <w:rsid w:val="00165C57"/>
    <w:rsid w:val="0016614F"/>
    <w:rsid w:val="00166AB2"/>
    <w:rsid w:val="0017035D"/>
    <w:rsid w:val="0017060B"/>
    <w:rsid w:val="001714E7"/>
    <w:rsid w:val="00171EEF"/>
    <w:rsid w:val="00172BCB"/>
    <w:rsid w:val="00172F4C"/>
    <w:rsid w:val="00173F2E"/>
    <w:rsid w:val="00174CD0"/>
    <w:rsid w:val="00175EF0"/>
    <w:rsid w:val="00177683"/>
    <w:rsid w:val="001802AB"/>
    <w:rsid w:val="00180335"/>
    <w:rsid w:val="001813FF"/>
    <w:rsid w:val="00182206"/>
    <w:rsid w:val="001828C2"/>
    <w:rsid w:val="0018292D"/>
    <w:rsid w:val="00182E60"/>
    <w:rsid w:val="00182E8C"/>
    <w:rsid w:val="00184627"/>
    <w:rsid w:val="0018468B"/>
    <w:rsid w:val="00184CA9"/>
    <w:rsid w:val="00184E50"/>
    <w:rsid w:val="00185119"/>
    <w:rsid w:val="001853E7"/>
    <w:rsid w:val="00185877"/>
    <w:rsid w:val="001864AA"/>
    <w:rsid w:val="00186DD7"/>
    <w:rsid w:val="00186E28"/>
    <w:rsid w:val="00187014"/>
    <w:rsid w:val="00187D8C"/>
    <w:rsid w:val="001907C0"/>
    <w:rsid w:val="001914F0"/>
    <w:rsid w:val="00192B05"/>
    <w:rsid w:val="0019342A"/>
    <w:rsid w:val="00194419"/>
    <w:rsid w:val="00194E1B"/>
    <w:rsid w:val="00195729"/>
    <w:rsid w:val="00195ECD"/>
    <w:rsid w:val="0019605D"/>
    <w:rsid w:val="00197836"/>
    <w:rsid w:val="001A0CD5"/>
    <w:rsid w:val="001A169B"/>
    <w:rsid w:val="001A17DB"/>
    <w:rsid w:val="001A194F"/>
    <w:rsid w:val="001A1DA3"/>
    <w:rsid w:val="001A2C0D"/>
    <w:rsid w:val="001A2D42"/>
    <w:rsid w:val="001A4D05"/>
    <w:rsid w:val="001B1F31"/>
    <w:rsid w:val="001B203F"/>
    <w:rsid w:val="001B2074"/>
    <w:rsid w:val="001B23FD"/>
    <w:rsid w:val="001B25BA"/>
    <w:rsid w:val="001B2824"/>
    <w:rsid w:val="001B2ADA"/>
    <w:rsid w:val="001B2AFE"/>
    <w:rsid w:val="001B2C09"/>
    <w:rsid w:val="001B2D90"/>
    <w:rsid w:val="001B3B79"/>
    <w:rsid w:val="001B4AC1"/>
    <w:rsid w:val="001B4F91"/>
    <w:rsid w:val="001B5170"/>
    <w:rsid w:val="001B5D02"/>
    <w:rsid w:val="001B62FF"/>
    <w:rsid w:val="001B6606"/>
    <w:rsid w:val="001B72CD"/>
    <w:rsid w:val="001C0C75"/>
    <w:rsid w:val="001C0D17"/>
    <w:rsid w:val="001C2363"/>
    <w:rsid w:val="001C2D57"/>
    <w:rsid w:val="001C31C7"/>
    <w:rsid w:val="001C4F1C"/>
    <w:rsid w:val="001C4FB5"/>
    <w:rsid w:val="001C57CE"/>
    <w:rsid w:val="001C5DE0"/>
    <w:rsid w:val="001C72E2"/>
    <w:rsid w:val="001C734C"/>
    <w:rsid w:val="001C7DE3"/>
    <w:rsid w:val="001D0D51"/>
    <w:rsid w:val="001D0D76"/>
    <w:rsid w:val="001D2283"/>
    <w:rsid w:val="001D3046"/>
    <w:rsid w:val="001D3B1C"/>
    <w:rsid w:val="001D3DE1"/>
    <w:rsid w:val="001D45F1"/>
    <w:rsid w:val="001D505A"/>
    <w:rsid w:val="001D5099"/>
    <w:rsid w:val="001D5B3E"/>
    <w:rsid w:val="001D5F96"/>
    <w:rsid w:val="001D6EF4"/>
    <w:rsid w:val="001D74C7"/>
    <w:rsid w:val="001D7641"/>
    <w:rsid w:val="001D7D3C"/>
    <w:rsid w:val="001E00D2"/>
    <w:rsid w:val="001E0E4D"/>
    <w:rsid w:val="001E0EF3"/>
    <w:rsid w:val="001E0FE0"/>
    <w:rsid w:val="001E13A2"/>
    <w:rsid w:val="001E19CB"/>
    <w:rsid w:val="001E2AEA"/>
    <w:rsid w:val="001E2C3D"/>
    <w:rsid w:val="001E39C5"/>
    <w:rsid w:val="001E417B"/>
    <w:rsid w:val="001E4B11"/>
    <w:rsid w:val="001E540A"/>
    <w:rsid w:val="001E62E7"/>
    <w:rsid w:val="001E63E3"/>
    <w:rsid w:val="001E6438"/>
    <w:rsid w:val="001E66AA"/>
    <w:rsid w:val="001E6978"/>
    <w:rsid w:val="001E739B"/>
    <w:rsid w:val="001E7BB3"/>
    <w:rsid w:val="001F080C"/>
    <w:rsid w:val="001F0923"/>
    <w:rsid w:val="001F13F6"/>
    <w:rsid w:val="001F19A0"/>
    <w:rsid w:val="001F1A28"/>
    <w:rsid w:val="001F1D92"/>
    <w:rsid w:val="001F2062"/>
    <w:rsid w:val="001F33F3"/>
    <w:rsid w:val="001F354C"/>
    <w:rsid w:val="001F3B8B"/>
    <w:rsid w:val="001F3DE0"/>
    <w:rsid w:val="001F3FD5"/>
    <w:rsid w:val="001F4E11"/>
    <w:rsid w:val="001F558A"/>
    <w:rsid w:val="001F5D13"/>
    <w:rsid w:val="001F5F6B"/>
    <w:rsid w:val="001F6044"/>
    <w:rsid w:val="002001ED"/>
    <w:rsid w:val="0020071C"/>
    <w:rsid w:val="00200757"/>
    <w:rsid w:val="00200B0E"/>
    <w:rsid w:val="00200DE9"/>
    <w:rsid w:val="00201744"/>
    <w:rsid w:val="00201CC2"/>
    <w:rsid w:val="00201FF3"/>
    <w:rsid w:val="00202205"/>
    <w:rsid w:val="0020274B"/>
    <w:rsid w:val="00202A05"/>
    <w:rsid w:val="00203332"/>
    <w:rsid w:val="00204031"/>
    <w:rsid w:val="002050B2"/>
    <w:rsid w:val="00205BFC"/>
    <w:rsid w:val="00205D7E"/>
    <w:rsid w:val="00205DCE"/>
    <w:rsid w:val="0020656E"/>
    <w:rsid w:val="00206933"/>
    <w:rsid w:val="00206C35"/>
    <w:rsid w:val="00206D29"/>
    <w:rsid w:val="00207081"/>
    <w:rsid w:val="00207264"/>
    <w:rsid w:val="0020726C"/>
    <w:rsid w:val="00207460"/>
    <w:rsid w:val="00207BC1"/>
    <w:rsid w:val="002104A5"/>
    <w:rsid w:val="00210C64"/>
    <w:rsid w:val="0021143E"/>
    <w:rsid w:val="002115A3"/>
    <w:rsid w:val="00211689"/>
    <w:rsid w:val="002118E3"/>
    <w:rsid w:val="00212EE7"/>
    <w:rsid w:val="0021316B"/>
    <w:rsid w:val="00214728"/>
    <w:rsid w:val="002154DE"/>
    <w:rsid w:val="00215878"/>
    <w:rsid w:val="00215DEF"/>
    <w:rsid w:val="00220573"/>
    <w:rsid w:val="00220893"/>
    <w:rsid w:val="00221543"/>
    <w:rsid w:val="00221FE5"/>
    <w:rsid w:val="002224A4"/>
    <w:rsid w:val="00222DE9"/>
    <w:rsid w:val="00222E15"/>
    <w:rsid w:val="00223077"/>
    <w:rsid w:val="002234E3"/>
    <w:rsid w:val="00223C58"/>
    <w:rsid w:val="00224097"/>
    <w:rsid w:val="002244A8"/>
    <w:rsid w:val="0022474B"/>
    <w:rsid w:val="0022494A"/>
    <w:rsid w:val="002250CA"/>
    <w:rsid w:val="00225E15"/>
    <w:rsid w:val="002277AC"/>
    <w:rsid w:val="0023140B"/>
    <w:rsid w:val="0023166E"/>
    <w:rsid w:val="00231C89"/>
    <w:rsid w:val="00231F26"/>
    <w:rsid w:val="00232413"/>
    <w:rsid w:val="00232D9E"/>
    <w:rsid w:val="0023325D"/>
    <w:rsid w:val="00233491"/>
    <w:rsid w:val="00233557"/>
    <w:rsid w:val="00233B31"/>
    <w:rsid w:val="00233C99"/>
    <w:rsid w:val="00234A2C"/>
    <w:rsid w:val="00235282"/>
    <w:rsid w:val="002353D4"/>
    <w:rsid w:val="0023599D"/>
    <w:rsid w:val="00235D14"/>
    <w:rsid w:val="002362D0"/>
    <w:rsid w:val="002403C8"/>
    <w:rsid w:val="002407DC"/>
    <w:rsid w:val="00240B93"/>
    <w:rsid w:val="00240DBC"/>
    <w:rsid w:val="00241187"/>
    <w:rsid w:val="00241C70"/>
    <w:rsid w:val="00241D1B"/>
    <w:rsid w:val="0024263D"/>
    <w:rsid w:val="00242C6C"/>
    <w:rsid w:val="0024382D"/>
    <w:rsid w:val="00243A6D"/>
    <w:rsid w:val="00243D79"/>
    <w:rsid w:val="002443DC"/>
    <w:rsid w:val="00244515"/>
    <w:rsid w:val="00245804"/>
    <w:rsid w:val="00246FA0"/>
    <w:rsid w:val="00246FB9"/>
    <w:rsid w:val="00247328"/>
    <w:rsid w:val="0024753C"/>
    <w:rsid w:val="002505CE"/>
    <w:rsid w:val="002509CA"/>
    <w:rsid w:val="00250FA0"/>
    <w:rsid w:val="00250FE7"/>
    <w:rsid w:val="002528C9"/>
    <w:rsid w:val="00254B6D"/>
    <w:rsid w:val="00255913"/>
    <w:rsid w:val="00255932"/>
    <w:rsid w:val="00255BA7"/>
    <w:rsid w:val="0025666B"/>
    <w:rsid w:val="0025717C"/>
    <w:rsid w:val="002574CC"/>
    <w:rsid w:val="002577BC"/>
    <w:rsid w:val="00257E33"/>
    <w:rsid w:val="00260446"/>
    <w:rsid w:val="0026084B"/>
    <w:rsid w:val="00261181"/>
    <w:rsid w:val="00262CBD"/>
    <w:rsid w:val="00262D48"/>
    <w:rsid w:val="002636A2"/>
    <w:rsid w:val="00263DB6"/>
    <w:rsid w:val="002648ED"/>
    <w:rsid w:val="0026542C"/>
    <w:rsid w:val="002664EE"/>
    <w:rsid w:val="00267063"/>
    <w:rsid w:val="00267082"/>
    <w:rsid w:val="00267A90"/>
    <w:rsid w:val="00267CD0"/>
    <w:rsid w:val="00267EBC"/>
    <w:rsid w:val="0027059A"/>
    <w:rsid w:val="00271013"/>
    <w:rsid w:val="0027109C"/>
    <w:rsid w:val="00272489"/>
    <w:rsid w:val="00272889"/>
    <w:rsid w:val="002729D7"/>
    <w:rsid w:val="00273136"/>
    <w:rsid w:val="00273144"/>
    <w:rsid w:val="00273DDF"/>
    <w:rsid w:val="002747D9"/>
    <w:rsid w:val="0027496D"/>
    <w:rsid w:val="00274ADB"/>
    <w:rsid w:val="0027649C"/>
    <w:rsid w:val="002767C9"/>
    <w:rsid w:val="00280BF0"/>
    <w:rsid w:val="00281410"/>
    <w:rsid w:val="002826EB"/>
    <w:rsid w:val="00282E3E"/>
    <w:rsid w:val="002837AE"/>
    <w:rsid w:val="00283D42"/>
    <w:rsid w:val="0028449D"/>
    <w:rsid w:val="00284950"/>
    <w:rsid w:val="00285201"/>
    <w:rsid w:val="00287E9F"/>
    <w:rsid w:val="00287FA8"/>
    <w:rsid w:val="00290470"/>
    <w:rsid w:val="0029049C"/>
    <w:rsid w:val="002904A8"/>
    <w:rsid w:val="00290DFF"/>
    <w:rsid w:val="00291014"/>
    <w:rsid w:val="00291B80"/>
    <w:rsid w:val="002935C2"/>
    <w:rsid w:val="00293A83"/>
    <w:rsid w:val="00295DF7"/>
    <w:rsid w:val="00296E98"/>
    <w:rsid w:val="00297342"/>
    <w:rsid w:val="00297888"/>
    <w:rsid w:val="002A2084"/>
    <w:rsid w:val="002A2588"/>
    <w:rsid w:val="002A2967"/>
    <w:rsid w:val="002A3F74"/>
    <w:rsid w:val="002A52EC"/>
    <w:rsid w:val="002A5A34"/>
    <w:rsid w:val="002A5F3E"/>
    <w:rsid w:val="002B0B89"/>
    <w:rsid w:val="002B0E50"/>
    <w:rsid w:val="002B15F3"/>
    <w:rsid w:val="002B1911"/>
    <w:rsid w:val="002B1AE3"/>
    <w:rsid w:val="002B1E93"/>
    <w:rsid w:val="002B3022"/>
    <w:rsid w:val="002B4927"/>
    <w:rsid w:val="002B4E76"/>
    <w:rsid w:val="002B4E86"/>
    <w:rsid w:val="002B5870"/>
    <w:rsid w:val="002B6023"/>
    <w:rsid w:val="002B6F5E"/>
    <w:rsid w:val="002B71FA"/>
    <w:rsid w:val="002B7542"/>
    <w:rsid w:val="002B75BD"/>
    <w:rsid w:val="002B7BC8"/>
    <w:rsid w:val="002B7FD9"/>
    <w:rsid w:val="002C01F5"/>
    <w:rsid w:val="002C034D"/>
    <w:rsid w:val="002C09AF"/>
    <w:rsid w:val="002C0B89"/>
    <w:rsid w:val="002C190F"/>
    <w:rsid w:val="002C1BC1"/>
    <w:rsid w:val="002C1C55"/>
    <w:rsid w:val="002C2641"/>
    <w:rsid w:val="002C2F28"/>
    <w:rsid w:val="002C4604"/>
    <w:rsid w:val="002C4A90"/>
    <w:rsid w:val="002C5B40"/>
    <w:rsid w:val="002C6889"/>
    <w:rsid w:val="002C6D9D"/>
    <w:rsid w:val="002D08CF"/>
    <w:rsid w:val="002D21E7"/>
    <w:rsid w:val="002D289A"/>
    <w:rsid w:val="002D346E"/>
    <w:rsid w:val="002D3B94"/>
    <w:rsid w:val="002D41FF"/>
    <w:rsid w:val="002D458A"/>
    <w:rsid w:val="002D54F2"/>
    <w:rsid w:val="002D636B"/>
    <w:rsid w:val="002E0420"/>
    <w:rsid w:val="002E091F"/>
    <w:rsid w:val="002E0AEA"/>
    <w:rsid w:val="002E0DF5"/>
    <w:rsid w:val="002E10CA"/>
    <w:rsid w:val="002E14FC"/>
    <w:rsid w:val="002E19ED"/>
    <w:rsid w:val="002E1C48"/>
    <w:rsid w:val="002E1D55"/>
    <w:rsid w:val="002E350F"/>
    <w:rsid w:val="002E4869"/>
    <w:rsid w:val="002E4B19"/>
    <w:rsid w:val="002E4F48"/>
    <w:rsid w:val="002E535D"/>
    <w:rsid w:val="002E5397"/>
    <w:rsid w:val="002E578D"/>
    <w:rsid w:val="002E5A6D"/>
    <w:rsid w:val="002E6C9B"/>
    <w:rsid w:val="002F0157"/>
    <w:rsid w:val="002F0934"/>
    <w:rsid w:val="002F0C6F"/>
    <w:rsid w:val="002F0E47"/>
    <w:rsid w:val="002F0F14"/>
    <w:rsid w:val="002F146D"/>
    <w:rsid w:val="002F1646"/>
    <w:rsid w:val="002F1D75"/>
    <w:rsid w:val="002F20DE"/>
    <w:rsid w:val="002F2895"/>
    <w:rsid w:val="002F3F5C"/>
    <w:rsid w:val="002F3FF8"/>
    <w:rsid w:val="002F407C"/>
    <w:rsid w:val="002F4130"/>
    <w:rsid w:val="002F49E5"/>
    <w:rsid w:val="002F4A58"/>
    <w:rsid w:val="002F5035"/>
    <w:rsid w:val="002F507C"/>
    <w:rsid w:val="002F5816"/>
    <w:rsid w:val="002F5987"/>
    <w:rsid w:val="002F652D"/>
    <w:rsid w:val="002F6658"/>
    <w:rsid w:val="002F6B41"/>
    <w:rsid w:val="002F6F7C"/>
    <w:rsid w:val="002F7333"/>
    <w:rsid w:val="003011FA"/>
    <w:rsid w:val="00301C4E"/>
    <w:rsid w:val="00301D0E"/>
    <w:rsid w:val="00301FBE"/>
    <w:rsid w:val="003047EA"/>
    <w:rsid w:val="0030543E"/>
    <w:rsid w:val="00306217"/>
    <w:rsid w:val="003065DF"/>
    <w:rsid w:val="00306BD7"/>
    <w:rsid w:val="00307379"/>
    <w:rsid w:val="00307639"/>
    <w:rsid w:val="0031120F"/>
    <w:rsid w:val="00311849"/>
    <w:rsid w:val="00311FC0"/>
    <w:rsid w:val="00312BBB"/>
    <w:rsid w:val="00313D76"/>
    <w:rsid w:val="0031584A"/>
    <w:rsid w:val="003165B1"/>
    <w:rsid w:val="003166D9"/>
    <w:rsid w:val="00316B39"/>
    <w:rsid w:val="00316B87"/>
    <w:rsid w:val="00317FA8"/>
    <w:rsid w:val="003200C6"/>
    <w:rsid w:val="003215C9"/>
    <w:rsid w:val="00321660"/>
    <w:rsid w:val="0032221F"/>
    <w:rsid w:val="003230B4"/>
    <w:rsid w:val="003233C0"/>
    <w:rsid w:val="003239CC"/>
    <w:rsid w:val="00323A66"/>
    <w:rsid w:val="00323F62"/>
    <w:rsid w:val="00324791"/>
    <w:rsid w:val="003260C8"/>
    <w:rsid w:val="00327601"/>
    <w:rsid w:val="003278D3"/>
    <w:rsid w:val="00330C38"/>
    <w:rsid w:val="00331430"/>
    <w:rsid w:val="00331E97"/>
    <w:rsid w:val="00332129"/>
    <w:rsid w:val="0033229E"/>
    <w:rsid w:val="00332B57"/>
    <w:rsid w:val="00333B00"/>
    <w:rsid w:val="00334405"/>
    <w:rsid w:val="00334A49"/>
    <w:rsid w:val="00334C3F"/>
    <w:rsid w:val="00335310"/>
    <w:rsid w:val="003353C9"/>
    <w:rsid w:val="0033594F"/>
    <w:rsid w:val="003369D8"/>
    <w:rsid w:val="00337952"/>
    <w:rsid w:val="00340359"/>
    <w:rsid w:val="00340736"/>
    <w:rsid w:val="0034238B"/>
    <w:rsid w:val="0034326A"/>
    <w:rsid w:val="00347191"/>
    <w:rsid w:val="00347AD1"/>
    <w:rsid w:val="00347B50"/>
    <w:rsid w:val="00347F3C"/>
    <w:rsid w:val="00350E9B"/>
    <w:rsid w:val="00352681"/>
    <w:rsid w:val="003528FD"/>
    <w:rsid w:val="00352937"/>
    <w:rsid w:val="00352A46"/>
    <w:rsid w:val="0035384B"/>
    <w:rsid w:val="00353DE2"/>
    <w:rsid w:val="00355E30"/>
    <w:rsid w:val="003568F1"/>
    <w:rsid w:val="00357935"/>
    <w:rsid w:val="00357EB8"/>
    <w:rsid w:val="0036034B"/>
    <w:rsid w:val="00360A7C"/>
    <w:rsid w:val="00360AB8"/>
    <w:rsid w:val="00360BE3"/>
    <w:rsid w:val="003613DE"/>
    <w:rsid w:val="00361BBE"/>
    <w:rsid w:val="00361D3A"/>
    <w:rsid w:val="003627D2"/>
    <w:rsid w:val="00362A64"/>
    <w:rsid w:val="00362B81"/>
    <w:rsid w:val="00362C99"/>
    <w:rsid w:val="003646F3"/>
    <w:rsid w:val="0036528E"/>
    <w:rsid w:val="003654A0"/>
    <w:rsid w:val="003655C5"/>
    <w:rsid w:val="003658DC"/>
    <w:rsid w:val="00365EDC"/>
    <w:rsid w:val="0036668A"/>
    <w:rsid w:val="0036720A"/>
    <w:rsid w:val="003672D8"/>
    <w:rsid w:val="00367681"/>
    <w:rsid w:val="00367A5D"/>
    <w:rsid w:val="00367B1B"/>
    <w:rsid w:val="00367CB2"/>
    <w:rsid w:val="00370222"/>
    <w:rsid w:val="0037033E"/>
    <w:rsid w:val="003707EE"/>
    <w:rsid w:val="00373B0D"/>
    <w:rsid w:val="003763DD"/>
    <w:rsid w:val="00377946"/>
    <w:rsid w:val="003801DB"/>
    <w:rsid w:val="00380617"/>
    <w:rsid w:val="003808C1"/>
    <w:rsid w:val="00380A6B"/>
    <w:rsid w:val="0038198E"/>
    <w:rsid w:val="00381B7D"/>
    <w:rsid w:val="00381C5C"/>
    <w:rsid w:val="00381CCC"/>
    <w:rsid w:val="00384281"/>
    <w:rsid w:val="0038490F"/>
    <w:rsid w:val="00385520"/>
    <w:rsid w:val="0038643A"/>
    <w:rsid w:val="00386FBC"/>
    <w:rsid w:val="003871C5"/>
    <w:rsid w:val="00387D20"/>
    <w:rsid w:val="00390723"/>
    <w:rsid w:val="003911D4"/>
    <w:rsid w:val="00391E4E"/>
    <w:rsid w:val="003923AF"/>
    <w:rsid w:val="00393BBA"/>
    <w:rsid w:val="00393E28"/>
    <w:rsid w:val="003946BD"/>
    <w:rsid w:val="003946C0"/>
    <w:rsid w:val="003951D9"/>
    <w:rsid w:val="00395466"/>
    <w:rsid w:val="00395B8B"/>
    <w:rsid w:val="003964B4"/>
    <w:rsid w:val="00396511"/>
    <w:rsid w:val="003972E1"/>
    <w:rsid w:val="0039730A"/>
    <w:rsid w:val="003974E0"/>
    <w:rsid w:val="00397A72"/>
    <w:rsid w:val="00397AD4"/>
    <w:rsid w:val="003A0183"/>
    <w:rsid w:val="003A0C3F"/>
    <w:rsid w:val="003A0F0F"/>
    <w:rsid w:val="003A11A3"/>
    <w:rsid w:val="003A22B8"/>
    <w:rsid w:val="003A2C7B"/>
    <w:rsid w:val="003A2EE8"/>
    <w:rsid w:val="003A336A"/>
    <w:rsid w:val="003A5088"/>
    <w:rsid w:val="003A55CA"/>
    <w:rsid w:val="003A5B70"/>
    <w:rsid w:val="003A5E12"/>
    <w:rsid w:val="003A6319"/>
    <w:rsid w:val="003A634F"/>
    <w:rsid w:val="003A653C"/>
    <w:rsid w:val="003A6906"/>
    <w:rsid w:val="003A7112"/>
    <w:rsid w:val="003A7492"/>
    <w:rsid w:val="003B0531"/>
    <w:rsid w:val="003B07FC"/>
    <w:rsid w:val="003B20F0"/>
    <w:rsid w:val="003B2493"/>
    <w:rsid w:val="003B26F9"/>
    <w:rsid w:val="003B303F"/>
    <w:rsid w:val="003B308F"/>
    <w:rsid w:val="003B3E9F"/>
    <w:rsid w:val="003B4435"/>
    <w:rsid w:val="003B503D"/>
    <w:rsid w:val="003B5E5B"/>
    <w:rsid w:val="003B663D"/>
    <w:rsid w:val="003B66A6"/>
    <w:rsid w:val="003B6714"/>
    <w:rsid w:val="003B67FC"/>
    <w:rsid w:val="003B7B67"/>
    <w:rsid w:val="003B7CEC"/>
    <w:rsid w:val="003B7E38"/>
    <w:rsid w:val="003C1083"/>
    <w:rsid w:val="003C2C2D"/>
    <w:rsid w:val="003C348E"/>
    <w:rsid w:val="003C3BEF"/>
    <w:rsid w:val="003C3C3B"/>
    <w:rsid w:val="003C3CE7"/>
    <w:rsid w:val="003C468B"/>
    <w:rsid w:val="003C4ED2"/>
    <w:rsid w:val="003C542A"/>
    <w:rsid w:val="003C5FF8"/>
    <w:rsid w:val="003C6CBE"/>
    <w:rsid w:val="003C727C"/>
    <w:rsid w:val="003C75B5"/>
    <w:rsid w:val="003C7FDC"/>
    <w:rsid w:val="003D03FA"/>
    <w:rsid w:val="003D0641"/>
    <w:rsid w:val="003D12E9"/>
    <w:rsid w:val="003D1AB9"/>
    <w:rsid w:val="003D2BF3"/>
    <w:rsid w:val="003D32CA"/>
    <w:rsid w:val="003D3466"/>
    <w:rsid w:val="003D37C4"/>
    <w:rsid w:val="003D3D7D"/>
    <w:rsid w:val="003D4341"/>
    <w:rsid w:val="003D5092"/>
    <w:rsid w:val="003D5CCE"/>
    <w:rsid w:val="003D6738"/>
    <w:rsid w:val="003D6884"/>
    <w:rsid w:val="003E016F"/>
    <w:rsid w:val="003E0EEF"/>
    <w:rsid w:val="003E16FE"/>
    <w:rsid w:val="003E1FE9"/>
    <w:rsid w:val="003E31B3"/>
    <w:rsid w:val="003E34BB"/>
    <w:rsid w:val="003E378E"/>
    <w:rsid w:val="003E3B3F"/>
    <w:rsid w:val="003E4C42"/>
    <w:rsid w:val="003E4E69"/>
    <w:rsid w:val="003E4FDB"/>
    <w:rsid w:val="003E5757"/>
    <w:rsid w:val="003E5769"/>
    <w:rsid w:val="003F1AC6"/>
    <w:rsid w:val="003F20D1"/>
    <w:rsid w:val="003F264A"/>
    <w:rsid w:val="003F2B91"/>
    <w:rsid w:val="003F386E"/>
    <w:rsid w:val="003F52FB"/>
    <w:rsid w:val="003F60D7"/>
    <w:rsid w:val="003F64DA"/>
    <w:rsid w:val="00400EC0"/>
    <w:rsid w:val="004013E6"/>
    <w:rsid w:val="00401906"/>
    <w:rsid w:val="00402615"/>
    <w:rsid w:val="00402A8C"/>
    <w:rsid w:val="00402FEC"/>
    <w:rsid w:val="0040320D"/>
    <w:rsid w:val="00403E68"/>
    <w:rsid w:val="0040439C"/>
    <w:rsid w:val="00404794"/>
    <w:rsid w:val="00405C6A"/>
    <w:rsid w:val="0040680F"/>
    <w:rsid w:val="00406993"/>
    <w:rsid w:val="004070FA"/>
    <w:rsid w:val="004101CB"/>
    <w:rsid w:val="004102CC"/>
    <w:rsid w:val="0041121E"/>
    <w:rsid w:val="00412152"/>
    <w:rsid w:val="004121AD"/>
    <w:rsid w:val="00413B12"/>
    <w:rsid w:val="004143ED"/>
    <w:rsid w:val="00414B39"/>
    <w:rsid w:val="00415136"/>
    <w:rsid w:val="00415235"/>
    <w:rsid w:val="00415DEC"/>
    <w:rsid w:val="00416146"/>
    <w:rsid w:val="00416706"/>
    <w:rsid w:val="00417382"/>
    <w:rsid w:val="00417431"/>
    <w:rsid w:val="0041775F"/>
    <w:rsid w:val="00417D33"/>
    <w:rsid w:val="00420D08"/>
    <w:rsid w:val="00421576"/>
    <w:rsid w:val="004234C3"/>
    <w:rsid w:val="00423977"/>
    <w:rsid w:val="00426788"/>
    <w:rsid w:val="0042770F"/>
    <w:rsid w:val="00430325"/>
    <w:rsid w:val="00430335"/>
    <w:rsid w:val="0043103F"/>
    <w:rsid w:val="00431352"/>
    <w:rsid w:val="00431B02"/>
    <w:rsid w:val="00432B7A"/>
    <w:rsid w:val="00432E56"/>
    <w:rsid w:val="004339C5"/>
    <w:rsid w:val="0043440F"/>
    <w:rsid w:val="004344A4"/>
    <w:rsid w:val="00434B7A"/>
    <w:rsid w:val="00437D37"/>
    <w:rsid w:val="0044222B"/>
    <w:rsid w:val="00442FF0"/>
    <w:rsid w:val="00443019"/>
    <w:rsid w:val="0044325F"/>
    <w:rsid w:val="00444798"/>
    <w:rsid w:val="004448AC"/>
    <w:rsid w:val="00444905"/>
    <w:rsid w:val="00444BC2"/>
    <w:rsid w:val="00444BF0"/>
    <w:rsid w:val="00446C7A"/>
    <w:rsid w:val="00447D61"/>
    <w:rsid w:val="00450319"/>
    <w:rsid w:val="004510C2"/>
    <w:rsid w:val="00451832"/>
    <w:rsid w:val="00451D5F"/>
    <w:rsid w:val="00451FFF"/>
    <w:rsid w:val="004524F7"/>
    <w:rsid w:val="00453051"/>
    <w:rsid w:val="004538F3"/>
    <w:rsid w:val="00454318"/>
    <w:rsid w:val="0045443C"/>
    <w:rsid w:val="00454774"/>
    <w:rsid w:val="004558DC"/>
    <w:rsid w:val="00455C01"/>
    <w:rsid w:val="00455DD4"/>
    <w:rsid w:val="0045641B"/>
    <w:rsid w:val="004604FE"/>
    <w:rsid w:val="00460A36"/>
    <w:rsid w:val="00462EC4"/>
    <w:rsid w:val="00462FBB"/>
    <w:rsid w:val="004642CC"/>
    <w:rsid w:val="00465C78"/>
    <w:rsid w:val="00466309"/>
    <w:rsid w:val="00466C82"/>
    <w:rsid w:val="00467459"/>
    <w:rsid w:val="0046775B"/>
    <w:rsid w:val="00467B63"/>
    <w:rsid w:val="00470682"/>
    <w:rsid w:val="00470EDB"/>
    <w:rsid w:val="004737A4"/>
    <w:rsid w:val="00473B85"/>
    <w:rsid w:val="00473E79"/>
    <w:rsid w:val="004741E8"/>
    <w:rsid w:val="00474F39"/>
    <w:rsid w:val="004766DC"/>
    <w:rsid w:val="00476A7A"/>
    <w:rsid w:val="00477519"/>
    <w:rsid w:val="00477708"/>
    <w:rsid w:val="0047786B"/>
    <w:rsid w:val="0047792B"/>
    <w:rsid w:val="00481555"/>
    <w:rsid w:val="00481F05"/>
    <w:rsid w:val="00481FE5"/>
    <w:rsid w:val="00482440"/>
    <w:rsid w:val="00483690"/>
    <w:rsid w:val="00483B23"/>
    <w:rsid w:val="00485D62"/>
    <w:rsid w:val="00485DBD"/>
    <w:rsid w:val="0048623A"/>
    <w:rsid w:val="0048677F"/>
    <w:rsid w:val="00487BA6"/>
    <w:rsid w:val="00490418"/>
    <w:rsid w:val="00490BCA"/>
    <w:rsid w:val="00490DEE"/>
    <w:rsid w:val="004916F1"/>
    <w:rsid w:val="004928AA"/>
    <w:rsid w:val="00492C06"/>
    <w:rsid w:val="00492F81"/>
    <w:rsid w:val="004933BC"/>
    <w:rsid w:val="00494198"/>
    <w:rsid w:val="004948FA"/>
    <w:rsid w:val="00494EE4"/>
    <w:rsid w:val="004962F7"/>
    <w:rsid w:val="00496CDC"/>
    <w:rsid w:val="0049710B"/>
    <w:rsid w:val="004A042D"/>
    <w:rsid w:val="004A131D"/>
    <w:rsid w:val="004A1CD8"/>
    <w:rsid w:val="004A27BE"/>
    <w:rsid w:val="004A2B8E"/>
    <w:rsid w:val="004A2C3E"/>
    <w:rsid w:val="004A3907"/>
    <w:rsid w:val="004A433F"/>
    <w:rsid w:val="004A4592"/>
    <w:rsid w:val="004A4EE9"/>
    <w:rsid w:val="004A5D58"/>
    <w:rsid w:val="004A5DE2"/>
    <w:rsid w:val="004A61ED"/>
    <w:rsid w:val="004A7044"/>
    <w:rsid w:val="004B037B"/>
    <w:rsid w:val="004B040E"/>
    <w:rsid w:val="004B171D"/>
    <w:rsid w:val="004B30F9"/>
    <w:rsid w:val="004B3716"/>
    <w:rsid w:val="004B4492"/>
    <w:rsid w:val="004B4F0C"/>
    <w:rsid w:val="004B5790"/>
    <w:rsid w:val="004B5D6B"/>
    <w:rsid w:val="004B6340"/>
    <w:rsid w:val="004B6681"/>
    <w:rsid w:val="004B6E35"/>
    <w:rsid w:val="004C066B"/>
    <w:rsid w:val="004C0C21"/>
    <w:rsid w:val="004C1205"/>
    <w:rsid w:val="004C140D"/>
    <w:rsid w:val="004C1515"/>
    <w:rsid w:val="004C17BF"/>
    <w:rsid w:val="004C17E1"/>
    <w:rsid w:val="004C2C12"/>
    <w:rsid w:val="004C2EC4"/>
    <w:rsid w:val="004C3F8F"/>
    <w:rsid w:val="004C4559"/>
    <w:rsid w:val="004C60D0"/>
    <w:rsid w:val="004C62CC"/>
    <w:rsid w:val="004C6C67"/>
    <w:rsid w:val="004C70E3"/>
    <w:rsid w:val="004C761C"/>
    <w:rsid w:val="004D172D"/>
    <w:rsid w:val="004D1CF4"/>
    <w:rsid w:val="004D27BB"/>
    <w:rsid w:val="004D3E75"/>
    <w:rsid w:val="004D4751"/>
    <w:rsid w:val="004D4960"/>
    <w:rsid w:val="004D554B"/>
    <w:rsid w:val="004D5B98"/>
    <w:rsid w:val="004D6096"/>
    <w:rsid w:val="004D69A6"/>
    <w:rsid w:val="004D6F19"/>
    <w:rsid w:val="004D7117"/>
    <w:rsid w:val="004E04FF"/>
    <w:rsid w:val="004E13AF"/>
    <w:rsid w:val="004E1B75"/>
    <w:rsid w:val="004E2901"/>
    <w:rsid w:val="004E37A4"/>
    <w:rsid w:val="004E40C9"/>
    <w:rsid w:val="004E54C1"/>
    <w:rsid w:val="004E563B"/>
    <w:rsid w:val="004E6323"/>
    <w:rsid w:val="004E697E"/>
    <w:rsid w:val="004E79A3"/>
    <w:rsid w:val="004F0AE6"/>
    <w:rsid w:val="004F1196"/>
    <w:rsid w:val="004F1B7D"/>
    <w:rsid w:val="004F27CF"/>
    <w:rsid w:val="004F2987"/>
    <w:rsid w:val="004F2E75"/>
    <w:rsid w:val="004F2EAB"/>
    <w:rsid w:val="004F3CBC"/>
    <w:rsid w:val="004F3D83"/>
    <w:rsid w:val="004F3EE5"/>
    <w:rsid w:val="004F4576"/>
    <w:rsid w:val="004F466F"/>
    <w:rsid w:val="004F4C3A"/>
    <w:rsid w:val="004F6476"/>
    <w:rsid w:val="004F6572"/>
    <w:rsid w:val="004F68B6"/>
    <w:rsid w:val="00500066"/>
    <w:rsid w:val="00500D10"/>
    <w:rsid w:val="00501BF9"/>
    <w:rsid w:val="0050313E"/>
    <w:rsid w:val="00504026"/>
    <w:rsid w:val="0050454F"/>
    <w:rsid w:val="00504D99"/>
    <w:rsid w:val="005059BA"/>
    <w:rsid w:val="00505ADD"/>
    <w:rsid w:val="00506A4E"/>
    <w:rsid w:val="00506DA5"/>
    <w:rsid w:val="00510C25"/>
    <w:rsid w:val="00512A3E"/>
    <w:rsid w:val="00512CE5"/>
    <w:rsid w:val="005144FD"/>
    <w:rsid w:val="00515EB3"/>
    <w:rsid w:val="005162D3"/>
    <w:rsid w:val="005163CF"/>
    <w:rsid w:val="00516AEE"/>
    <w:rsid w:val="00516F02"/>
    <w:rsid w:val="005203C4"/>
    <w:rsid w:val="00520D75"/>
    <w:rsid w:val="00521481"/>
    <w:rsid w:val="005215E5"/>
    <w:rsid w:val="005234B9"/>
    <w:rsid w:val="00523581"/>
    <w:rsid w:val="005237C2"/>
    <w:rsid w:val="005238C3"/>
    <w:rsid w:val="00524109"/>
    <w:rsid w:val="00524D0D"/>
    <w:rsid w:val="00525605"/>
    <w:rsid w:val="00525912"/>
    <w:rsid w:val="00525EC6"/>
    <w:rsid w:val="00526C19"/>
    <w:rsid w:val="00526DCF"/>
    <w:rsid w:val="00526DEE"/>
    <w:rsid w:val="00527256"/>
    <w:rsid w:val="0053053D"/>
    <w:rsid w:val="00530E31"/>
    <w:rsid w:val="005326C8"/>
    <w:rsid w:val="00533FBF"/>
    <w:rsid w:val="0053484D"/>
    <w:rsid w:val="005350A1"/>
    <w:rsid w:val="0053520F"/>
    <w:rsid w:val="00536033"/>
    <w:rsid w:val="005363A7"/>
    <w:rsid w:val="00536A11"/>
    <w:rsid w:val="00537CF9"/>
    <w:rsid w:val="0054178B"/>
    <w:rsid w:val="00543D31"/>
    <w:rsid w:val="00545405"/>
    <w:rsid w:val="00545E07"/>
    <w:rsid w:val="00546746"/>
    <w:rsid w:val="00546E7F"/>
    <w:rsid w:val="00547263"/>
    <w:rsid w:val="0054744C"/>
    <w:rsid w:val="00547846"/>
    <w:rsid w:val="00547963"/>
    <w:rsid w:val="00550244"/>
    <w:rsid w:val="005504A8"/>
    <w:rsid w:val="005504CE"/>
    <w:rsid w:val="00550C47"/>
    <w:rsid w:val="00550F1A"/>
    <w:rsid w:val="005517A1"/>
    <w:rsid w:val="005522B5"/>
    <w:rsid w:val="00552CA7"/>
    <w:rsid w:val="00553489"/>
    <w:rsid w:val="005539B7"/>
    <w:rsid w:val="00555AD0"/>
    <w:rsid w:val="00555EE2"/>
    <w:rsid w:val="00556711"/>
    <w:rsid w:val="005571A1"/>
    <w:rsid w:val="00557BBC"/>
    <w:rsid w:val="0056056E"/>
    <w:rsid w:val="005611F7"/>
    <w:rsid w:val="005617D4"/>
    <w:rsid w:val="00561D82"/>
    <w:rsid w:val="00562ED8"/>
    <w:rsid w:val="00564D63"/>
    <w:rsid w:val="00564E86"/>
    <w:rsid w:val="00565238"/>
    <w:rsid w:val="005658FE"/>
    <w:rsid w:val="00566B4E"/>
    <w:rsid w:val="00566B53"/>
    <w:rsid w:val="0056799F"/>
    <w:rsid w:val="00567DC9"/>
    <w:rsid w:val="00570381"/>
    <w:rsid w:val="005710F5"/>
    <w:rsid w:val="00572214"/>
    <w:rsid w:val="0057268A"/>
    <w:rsid w:val="00573564"/>
    <w:rsid w:val="0057490B"/>
    <w:rsid w:val="0057583F"/>
    <w:rsid w:val="00575AAD"/>
    <w:rsid w:val="00576BCE"/>
    <w:rsid w:val="00576E04"/>
    <w:rsid w:val="005775EE"/>
    <w:rsid w:val="00577C22"/>
    <w:rsid w:val="00577C23"/>
    <w:rsid w:val="005803E0"/>
    <w:rsid w:val="00581113"/>
    <w:rsid w:val="0058170A"/>
    <w:rsid w:val="00581764"/>
    <w:rsid w:val="005820C9"/>
    <w:rsid w:val="0058266C"/>
    <w:rsid w:val="00582C4D"/>
    <w:rsid w:val="00583832"/>
    <w:rsid w:val="0058406C"/>
    <w:rsid w:val="00584A8F"/>
    <w:rsid w:val="00585815"/>
    <w:rsid w:val="00587C07"/>
    <w:rsid w:val="0059069B"/>
    <w:rsid w:val="005907E6"/>
    <w:rsid w:val="00590BFA"/>
    <w:rsid w:val="00591D0B"/>
    <w:rsid w:val="00592222"/>
    <w:rsid w:val="00592BD8"/>
    <w:rsid w:val="00593289"/>
    <w:rsid w:val="0059539F"/>
    <w:rsid w:val="00595858"/>
    <w:rsid w:val="00596F66"/>
    <w:rsid w:val="005A0D7B"/>
    <w:rsid w:val="005A1CB5"/>
    <w:rsid w:val="005A25F1"/>
    <w:rsid w:val="005A33AE"/>
    <w:rsid w:val="005A489F"/>
    <w:rsid w:val="005A511A"/>
    <w:rsid w:val="005A5764"/>
    <w:rsid w:val="005A5F19"/>
    <w:rsid w:val="005A5F66"/>
    <w:rsid w:val="005A6667"/>
    <w:rsid w:val="005A74FB"/>
    <w:rsid w:val="005A75BE"/>
    <w:rsid w:val="005A7618"/>
    <w:rsid w:val="005A79A2"/>
    <w:rsid w:val="005B015B"/>
    <w:rsid w:val="005B11C0"/>
    <w:rsid w:val="005B1331"/>
    <w:rsid w:val="005B15C4"/>
    <w:rsid w:val="005B18A8"/>
    <w:rsid w:val="005B216B"/>
    <w:rsid w:val="005B24CD"/>
    <w:rsid w:val="005B27C8"/>
    <w:rsid w:val="005B42F6"/>
    <w:rsid w:val="005B4AC8"/>
    <w:rsid w:val="005B4CF1"/>
    <w:rsid w:val="005B4D9A"/>
    <w:rsid w:val="005B5602"/>
    <w:rsid w:val="005B5E48"/>
    <w:rsid w:val="005B6466"/>
    <w:rsid w:val="005B67A8"/>
    <w:rsid w:val="005B759D"/>
    <w:rsid w:val="005B7EAA"/>
    <w:rsid w:val="005C2D3E"/>
    <w:rsid w:val="005C3107"/>
    <w:rsid w:val="005C374B"/>
    <w:rsid w:val="005C3C02"/>
    <w:rsid w:val="005C42EA"/>
    <w:rsid w:val="005C51B2"/>
    <w:rsid w:val="005C59A1"/>
    <w:rsid w:val="005C59A9"/>
    <w:rsid w:val="005C7353"/>
    <w:rsid w:val="005C7EF2"/>
    <w:rsid w:val="005D0071"/>
    <w:rsid w:val="005D0914"/>
    <w:rsid w:val="005D1623"/>
    <w:rsid w:val="005D1CF2"/>
    <w:rsid w:val="005D23A7"/>
    <w:rsid w:val="005D2DE4"/>
    <w:rsid w:val="005D3ACB"/>
    <w:rsid w:val="005D412F"/>
    <w:rsid w:val="005D45A3"/>
    <w:rsid w:val="005D4859"/>
    <w:rsid w:val="005D4F04"/>
    <w:rsid w:val="005D565D"/>
    <w:rsid w:val="005D643F"/>
    <w:rsid w:val="005D794C"/>
    <w:rsid w:val="005D7B8B"/>
    <w:rsid w:val="005D7BB6"/>
    <w:rsid w:val="005D7FC7"/>
    <w:rsid w:val="005E03B9"/>
    <w:rsid w:val="005E070D"/>
    <w:rsid w:val="005E1160"/>
    <w:rsid w:val="005E1171"/>
    <w:rsid w:val="005E1983"/>
    <w:rsid w:val="005E2FD6"/>
    <w:rsid w:val="005E35A5"/>
    <w:rsid w:val="005E3883"/>
    <w:rsid w:val="005E4057"/>
    <w:rsid w:val="005E4237"/>
    <w:rsid w:val="005E4FE8"/>
    <w:rsid w:val="005E500A"/>
    <w:rsid w:val="005E5DA3"/>
    <w:rsid w:val="005E7A27"/>
    <w:rsid w:val="005E7B67"/>
    <w:rsid w:val="005F0618"/>
    <w:rsid w:val="005F0894"/>
    <w:rsid w:val="005F0DA7"/>
    <w:rsid w:val="005F1636"/>
    <w:rsid w:val="005F1C49"/>
    <w:rsid w:val="005F1DB4"/>
    <w:rsid w:val="005F1E43"/>
    <w:rsid w:val="005F21C5"/>
    <w:rsid w:val="005F2634"/>
    <w:rsid w:val="005F3F21"/>
    <w:rsid w:val="005F3F47"/>
    <w:rsid w:val="005F471F"/>
    <w:rsid w:val="005F57F3"/>
    <w:rsid w:val="005F5CA4"/>
    <w:rsid w:val="005F5DB5"/>
    <w:rsid w:val="005F7182"/>
    <w:rsid w:val="005F74EA"/>
    <w:rsid w:val="00600240"/>
    <w:rsid w:val="006002AD"/>
    <w:rsid w:val="006008FD"/>
    <w:rsid w:val="006010ED"/>
    <w:rsid w:val="00601D4A"/>
    <w:rsid w:val="006025F1"/>
    <w:rsid w:val="00602AC6"/>
    <w:rsid w:val="00602F1B"/>
    <w:rsid w:val="0060357C"/>
    <w:rsid w:val="00603A93"/>
    <w:rsid w:val="0060529B"/>
    <w:rsid w:val="00606F5A"/>
    <w:rsid w:val="0060742D"/>
    <w:rsid w:val="00610365"/>
    <w:rsid w:val="006107E3"/>
    <w:rsid w:val="006115E7"/>
    <w:rsid w:val="00611615"/>
    <w:rsid w:val="00611AD4"/>
    <w:rsid w:val="006128BA"/>
    <w:rsid w:val="00613098"/>
    <w:rsid w:val="00613643"/>
    <w:rsid w:val="00613DB2"/>
    <w:rsid w:val="00614ED3"/>
    <w:rsid w:val="00615523"/>
    <w:rsid w:val="00615AEF"/>
    <w:rsid w:val="00616186"/>
    <w:rsid w:val="0061631D"/>
    <w:rsid w:val="006169AB"/>
    <w:rsid w:val="00620050"/>
    <w:rsid w:val="00620EC7"/>
    <w:rsid w:val="006218F3"/>
    <w:rsid w:val="00623DBA"/>
    <w:rsid w:val="006243EB"/>
    <w:rsid w:val="006251A3"/>
    <w:rsid w:val="0062548B"/>
    <w:rsid w:val="006264DF"/>
    <w:rsid w:val="00627025"/>
    <w:rsid w:val="00630059"/>
    <w:rsid w:val="00631616"/>
    <w:rsid w:val="00632B96"/>
    <w:rsid w:val="00633E88"/>
    <w:rsid w:val="0063401C"/>
    <w:rsid w:val="006346E5"/>
    <w:rsid w:val="00634B10"/>
    <w:rsid w:val="00634F27"/>
    <w:rsid w:val="006352A2"/>
    <w:rsid w:val="006353E5"/>
    <w:rsid w:val="006356D2"/>
    <w:rsid w:val="00635EEA"/>
    <w:rsid w:val="0063652D"/>
    <w:rsid w:val="006369CF"/>
    <w:rsid w:val="00637111"/>
    <w:rsid w:val="006402E3"/>
    <w:rsid w:val="006406C1"/>
    <w:rsid w:val="0064092F"/>
    <w:rsid w:val="0064136D"/>
    <w:rsid w:val="00641DC4"/>
    <w:rsid w:val="00643119"/>
    <w:rsid w:val="00643394"/>
    <w:rsid w:val="00643503"/>
    <w:rsid w:val="00643981"/>
    <w:rsid w:val="006439DA"/>
    <w:rsid w:val="00643B53"/>
    <w:rsid w:val="00644310"/>
    <w:rsid w:val="00644926"/>
    <w:rsid w:val="0064512E"/>
    <w:rsid w:val="0064570C"/>
    <w:rsid w:val="006466F5"/>
    <w:rsid w:val="00646A52"/>
    <w:rsid w:val="00646C7A"/>
    <w:rsid w:val="00650209"/>
    <w:rsid w:val="006506B4"/>
    <w:rsid w:val="00650DB2"/>
    <w:rsid w:val="006519B7"/>
    <w:rsid w:val="006523AC"/>
    <w:rsid w:val="0065361E"/>
    <w:rsid w:val="00653642"/>
    <w:rsid w:val="00653DC7"/>
    <w:rsid w:val="00653FEF"/>
    <w:rsid w:val="0065423E"/>
    <w:rsid w:val="00654639"/>
    <w:rsid w:val="00654842"/>
    <w:rsid w:val="006552EF"/>
    <w:rsid w:val="00655398"/>
    <w:rsid w:val="00655BE0"/>
    <w:rsid w:val="006573C7"/>
    <w:rsid w:val="006576C2"/>
    <w:rsid w:val="00660A0C"/>
    <w:rsid w:val="00660C62"/>
    <w:rsid w:val="0066127B"/>
    <w:rsid w:val="00661303"/>
    <w:rsid w:val="00662150"/>
    <w:rsid w:val="00663D72"/>
    <w:rsid w:val="00664159"/>
    <w:rsid w:val="006642E8"/>
    <w:rsid w:val="006643B0"/>
    <w:rsid w:val="00665727"/>
    <w:rsid w:val="00665FC6"/>
    <w:rsid w:val="006660FF"/>
    <w:rsid w:val="006705EF"/>
    <w:rsid w:val="006706C0"/>
    <w:rsid w:val="006706E9"/>
    <w:rsid w:val="00671F63"/>
    <w:rsid w:val="006724D8"/>
    <w:rsid w:val="00672FAD"/>
    <w:rsid w:val="00674038"/>
    <w:rsid w:val="00674CB6"/>
    <w:rsid w:val="00674D05"/>
    <w:rsid w:val="00675609"/>
    <w:rsid w:val="00676835"/>
    <w:rsid w:val="006776E0"/>
    <w:rsid w:val="006776EF"/>
    <w:rsid w:val="00677A36"/>
    <w:rsid w:val="00680449"/>
    <w:rsid w:val="006804AF"/>
    <w:rsid w:val="00680BA2"/>
    <w:rsid w:val="00681CEB"/>
    <w:rsid w:val="0068219B"/>
    <w:rsid w:val="006824A2"/>
    <w:rsid w:val="00682564"/>
    <w:rsid w:val="00682B8E"/>
    <w:rsid w:val="0068361C"/>
    <w:rsid w:val="00683743"/>
    <w:rsid w:val="00684920"/>
    <w:rsid w:val="00684F29"/>
    <w:rsid w:val="00685C45"/>
    <w:rsid w:val="006860DC"/>
    <w:rsid w:val="00686723"/>
    <w:rsid w:val="006873C7"/>
    <w:rsid w:val="0068743E"/>
    <w:rsid w:val="00687D47"/>
    <w:rsid w:val="00690502"/>
    <w:rsid w:val="00690821"/>
    <w:rsid w:val="00691917"/>
    <w:rsid w:val="00691CD2"/>
    <w:rsid w:val="00692C6E"/>
    <w:rsid w:val="00693ECC"/>
    <w:rsid w:val="006949E5"/>
    <w:rsid w:val="0069620E"/>
    <w:rsid w:val="00696546"/>
    <w:rsid w:val="00696825"/>
    <w:rsid w:val="00697918"/>
    <w:rsid w:val="006A0A99"/>
    <w:rsid w:val="006A1219"/>
    <w:rsid w:val="006A1317"/>
    <w:rsid w:val="006A1AD3"/>
    <w:rsid w:val="006A1EBC"/>
    <w:rsid w:val="006A25E9"/>
    <w:rsid w:val="006A2EBD"/>
    <w:rsid w:val="006A31E6"/>
    <w:rsid w:val="006A32E0"/>
    <w:rsid w:val="006A338B"/>
    <w:rsid w:val="006A39AE"/>
    <w:rsid w:val="006A5169"/>
    <w:rsid w:val="006A5CF5"/>
    <w:rsid w:val="006A60A1"/>
    <w:rsid w:val="006A62BE"/>
    <w:rsid w:val="006B06DC"/>
    <w:rsid w:val="006B2FD7"/>
    <w:rsid w:val="006B3DC1"/>
    <w:rsid w:val="006B5695"/>
    <w:rsid w:val="006B6F3C"/>
    <w:rsid w:val="006C0914"/>
    <w:rsid w:val="006C0E7A"/>
    <w:rsid w:val="006C13E4"/>
    <w:rsid w:val="006C1429"/>
    <w:rsid w:val="006C146D"/>
    <w:rsid w:val="006C17FD"/>
    <w:rsid w:val="006C1B59"/>
    <w:rsid w:val="006C2296"/>
    <w:rsid w:val="006C2E0A"/>
    <w:rsid w:val="006C2E16"/>
    <w:rsid w:val="006C37BF"/>
    <w:rsid w:val="006C4481"/>
    <w:rsid w:val="006C4C2A"/>
    <w:rsid w:val="006C6C98"/>
    <w:rsid w:val="006C79FD"/>
    <w:rsid w:val="006C7DAF"/>
    <w:rsid w:val="006D008F"/>
    <w:rsid w:val="006D011F"/>
    <w:rsid w:val="006D0B8B"/>
    <w:rsid w:val="006D0E27"/>
    <w:rsid w:val="006D0EE5"/>
    <w:rsid w:val="006D108C"/>
    <w:rsid w:val="006D2D87"/>
    <w:rsid w:val="006D2D97"/>
    <w:rsid w:val="006D4177"/>
    <w:rsid w:val="006D48BF"/>
    <w:rsid w:val="006D4EAC"/>
    <w:rsid w:val="006D5DAF"/>
    <w:rsid w:val="006D5E80"/>
    <w:rsid w:val="006D6BC3"/>
    <w:rsid w:val="006D6D04"/>
    <w:rsid w:val="006D7042"/>
    <w:rsid w:val="006D7858"/>
    <w:rsid w:val="006D7DC0"/>
    <w:rsid w:val="006E05D0"/>
    <w:rsid w:val="006E08FB"/>
    <w:rsid w:val="006E1122"/>
    <w:rsid w:val="006E1849"/>
    <w:rsid w:val="006E22C9"/>
    <w:rsid w:val="006E293E"/>
    <w:rsid w:val="006E2CBB"/>
    <w:rsid w:val="006E34E2"/>
    <w:rsid w:val="006E3C53"/>
    <w:rsid w:val="006E4003"/>
    <w:rsid w:val="006E52AD"/>
    <w:rsid w:val="006E604D"/>
    <w:rsid w:val="006E68D7"/>
    <w:rsid w:val="006E6CA3"/>
    <w:rsid w:val="006E6E0D"/>
    <w:rsid w:val="006E78C8"/>
    <w:rsid w:val="006E7A5B"/>
    <w:rsid w:val="006F0771"/>
    <w:rsid w:val="006F07F8"/>
    <w:rsid w:val="006F0D7A"/>
    <w:rsid w:val="006F0F13"/>
    <w:rsid w:val="006F105C"/>
    <w:rsid w:val="006F10F9"/>
    <w:rsid w:val="006F239D"/>
    <w:rsid w:val="006F2492"/>
    <w:rsid w:val="006F2F31"/>
    <w:rsid w:val="006F3922"/>
    <w:rsid w:val="006F3C58"/>
    <w:rsid w:val="006F3EF1"/>
    <w:rsid w:val="006F405A"/>
    <w:rsid w:val="006F477E"/>
    <w:rsid w:val="006F4BF7"/>
    <w:rsid w:val="006F5DEF"/>
    <w:rsid w:val="006F5E36"/>
    <w:rsid w:val="006F6084"/>
    <w:rsid w:val="006F7FEC"/>
    <w:rsid w:val="00700A1B"/>
    <w:rsid w:val="00700D1F"/>
    <w:rsid w:val="00701128"/>
    <w:rsid w:val="00702666"/>
    <w:rsid w:val="0070378C"/>
    <w:rsid w:val="007038F4"/>
    <w:rsid w:val="007048B3"/>
    <w:rsid w:val="00704A5D"/>
    <w:rsid w:val="00704E9D"/>
    <w:rsid w:val="00705943"/>
    <w:rsid w:val="00705A8D"/>
    <w:rsid w:val="00705ED0"/>
    <w:rsid w:val="0070608F"/>
    <w:rsid w:val="007073F3"/>
    <w:rsid w:val="00710CDE"/>
    <w:rsid w:val="0071102B"/>
    <w:rsid w:val="00711B8C"/>
    <w:rsid w:val="007120F2"/>
    <w:rsid w:val="00712DD9"/>
    <w:rsid w:val="007132A9"/>
    <w:rsid w:val="00713749"/>
    <w:rsid w:val="00713793"/>
    <w:rsid w:val="007144EE"/>
    <w:rsid w:val="0071478F"/>
    <w:rsid w:val="00714875"/>
    <w:rsid w:val="007156E9"/>
    <w:rsid w:val="007161B1"/>
    <w:rsid w:val="007164C2"/>
    <w:rsid w:val="00716585"/>
    <w:rsid w:val="007168C3"/>
    <w:rsid w:val="00717BF0"/>
    <w:rsid w:val="0072003B"/>
    <w:rsid w:val="007208A9"/>
    <w:rsid w:val="007215D3"/>
    <w:rsid w:val="007224CC"/>
    <w:rsid w:val="007236E2"/>
    <w:rsid w:val="0072399C"/>
    <w:rsid w:val="00723BDF"/>
    <w:rsid w:val="0072442F"/>
    <w:rsid w:val="00724F15"/>
    <w:rsid w:val="0072544A"/>
    <w:rsid w:val="00725E0C"/>
    <w:rsid w:val="00726D22"/>
    <w:rsid w:val="0072720F"/>
    <w:rsid w:val="00727AAE"/>
    <w:rsid w:val="00732165"/>
    <w:rsid w:val="0073229A"/>
    <w:rsid w:val="007322CA"/>
    <w:rsid w:val="00733441"/>
    <w:rsid w:val="007334CB"/>
    <w:rsid w:val="007336C2"/>
    <w:rsid w:val="00734212"/>
    <w:rsid w:val="00734614"/>
    <w:rsid w:val="00734C63"/>
    <w:rsid w:val="007353CE"/>
    <w:rsid w:val="00735B7B"/>
    <w:rsid w:val="00735F74"/>
    <w:rsid w:val="007362EA"/>
    <w:rsid w:val="0073735A"/>
    <w:rsid w:val="00737F0A"/>
    <w:rsid w:val="00740230"/>
    <w:rsid w:val="007403DD"/>
    <w:rsid w:val="007407FA"/>
    <w:rsid w:val="00741801"/>
    <w:rsid w:val="00741A0D"/>
    <w:rsid w:val="00741A6F"/>
    <w:rsid w:val="00743A63"/>
    <w:rsid w:val="00743B16"/>
    <w:rsid w:val="00744AEE"/>
    <w:rsid w:val="00745017"/>
    <w:rsid w:val="00745CA1"/>
    <w:rsid w:val="0074613C"/>
    <w:rsid w:val="00746776"/>
    <w:rsid w:val="00746C21"/>
    <w:rsid w:val="00746DAB"/>
    <w:rsid w:val="0074748B"/>
    <w:rsid w:val="0074761E"/>
    <w:rsid w:val="007508A3"/>
    <w:rsid w:val="0075134C"/>
    <w:rsid w:val="0075161E"/>
    <w:rsid w:val="00751C1F"/>
    <w:rsid w:val="007528B5"/>
    <w:rsid w:val="00753A9A"/>
    <w:rsid w:val="00753B74"/>
    <w:rsid w:val="007542D5"/>
    <w:rsid w:val="0075442A"/>
    <w:rsid w:val="00754D1B"/>
    <w:rsid w:val="00754E76"/>
    <w:rsid w:val="00755CBA"/>
    <w:rsid w:val="00756853"/>
    <w:rsid w:val="00756F4D"/>
    <w:rsid w:val="0075723B"/>
    <w:rsid w:val="007578BD"/>
    <w:rsid w:val="007579D7"/>
    <w:rsid w:val="00757A5A"/>
    <w:rsid w:val="007626DC"/>
    <w:rsid w:val="0076277A"/>
    <w:rsid w:val="007629BD"/>
    <w:rsid w:val="00762C24"/>
    <w:rsid w:val="00762C7B"/>
    <w:rsid w:val="007633D9"/>
    <w:rsid w:val="007635B6"/>
    <w:rsid w:val="00764C92"/>
    <w:rsid w:val="00765079"/>
    <w:rsid w:val="00765F64"/>
    <w:rsid w:val="00766CB3"/>
    <w:rsid w:val="00766D0A"/>
    <w:rsid w:val="00766E9B"/>
    <w:rsid w:val="007673B3"/>
    <w:rsid w:val="00767495"/>
    <w:rsid w:val="007678CC"/>
    <w:rsid w:val="00770259"/>
    <w:rsid w:val="007708B9"/>
    <w:rsid w:val="00770A49"/>
    <w:rsid w:val="00770B87"/>
    <w:rsid w:val="007712C9"/>
    <w:rsid w:val="00771CA0"/>
    <w:rsid w:val="00771EEB"/>
    <w:rsid w:val="00773C2F"/>
    <w:rsid w:val="00773CF8"/>
    <w:rsid w:val="00774429"/>
    <w:rsid w:val="00775094"/>
    <w:rsid w:val="007754EA"/>
    <w:rsid w:val="007758B7"/>
    <w:rsid w:val="00775FEC"/>
    <w:rsid w:val="007761FA"/>
    <w:rsid w:val="0077667B"/>
    <w:rsid w:val="0077677B"/>
    <w:rsid w:val="00777CC9"/>
    <w:rsid w:val="00777CF0"/>
    <w:rsid w:val="00780064"/>
    <w:rsid w:val="007804D9"/>
    <w:rsid w:val="00780CCD"/>
    <w:rsid w:val="00780D60"/>
    <w:rsid w:val="00780E58"/>
    <w:rsid w:val="00781AB9"/>
    <w:rsid w:val="00781BEC"/>
    <w:rsid w:val="00781FF4"/>
    <w:rsid w:val="00781FF6"/>
    <w:rsid w:val="00783B6C"/>
    <w:rsid w:val="00783D4F"/>
    <w:rsid w:val="00784EF0"/>
    <w:rsid w:val="00786527"/>
    <w:rsid w:val="00786B45"/>
    <w:rsid w:val="00786B63"/>
    <w:rsid w:val="00787083"/>
    <w:rsid w:val="007874E3"/>
    <w:rsid w:val="00787D89"/>
    <w:rsid w:val="00790E38"/>
    <w:rsid w:val="0079124E"/>
    <w:rsid w:val="00791794"/>
    <w:rsid w:val="00791EB7"/>
    <w:rsid w:val="00792FBF"/>
    <w:rsid w:val="00793480"/>
    <w:rsid w:val="00794338"/>
    <w:rsid w:val="00794BE6"/>
    <w:rsid w:val="007979C1"/>
    <w:rsid w:val="007A0676"/>
    <w:rsid w:val="007A0B5B"/>
    <w:rsid w:val="007A11D6"/>
    <w:rsid w:val="007A1589"/>
    <w:rsid w:val="007A1CDF"/>
    <w:rsid w:val="007A1DB2"/>
    <w:rsid w:val="007A263D"/>
    <w:rsid w:val="007A2BB1"/>
    <w:rsid w:val="007A2E23"/>
    <w:rsid w:val="007A2EB8"/>
    <w:rsid w:val="007A463E"/>
    <w:rsid w:val="007A4BDF"/>
    <w:rsid w:val="007A5CE7"/>
    <w:rsid w:val="007A6173"/>
    <w:rsid w:val="007A696E"/>
    <w:rsid w:val="007A7100"/>
    <w:rsid w:val="007A7108"/>
    <w:rsid w:val="007A733A"/>
    <w:rsid w:val="007B16E8"/>
    <w:rsid w:val="007B19D8"/>
    <w:rsid w:val="007B2C56"/>
    <w:rsid w:val="007B2EA9"/>
    <w:rsid w:val="007B3486"/>
    <w:rsid w:val="007B36BA"/>
    <w:rsid w:val="007B39E9"/>
    <w:rsid w:val="007B4346"/>
    <w:rsid w:val="007B4AA7"/>
    <w:rsid w:val="007B551B"/>
    <w:rsid w:val="007B599A"/>
    <w:rsid w:val="007B5CDA"/>
    <w:rsid w:val="007B5DB0"/>
    <w:rsid w:val="007B6531"/>
    <w:rsid w:val="007B6AB8"/>
    <w:rsid w:val="007B76D6"/>
    <w:rsid w:val="007B7BBA"/>
    <w:rsid w:val="007C07F1"/>
    <w:rsid w:val="007C0EDF"/>
    <w:rsid w:val="007C0FC9"/>
    <w:rsid w:val="007C12B0"/>
    <w:rsid w:val="007C145A"/>
    <w:rsid w:val="007C1796"/>
    <w:rsid w:val="007C1D13"/>
    <w:rsid w:val="007C1E4F"/>
    <w:rsid w:val="007C2C84"/>
    <w:rsid w:val="007C33A8"/>
    <w:rsid w:val="007C473F"/>
    <w:rsid w:val="007C5322"/>
    <w:rsid w:val="007C554E"/>
    <w:rsid w:val="007C5CAA"/>
    <w:rsid w:val="007C7CA7"/>
    <w:rsid w:val="007D05B1"/>
    <w:rsid w:val="007D18A2"/>
    <w:rsid w:val="007D1D0D"/>
    <w:rsid w:val="007D33C0"/>
    <w:rsid w:val="007D3420"/>
    <w:rsid w:val="007D3CDB"/>
    <w:rsid w:val="007D44FC"/>
    <w:rsid w:val="007D6254"/>
    <w:rsid w:val="007D6CE4"/>
    <w:rsid w:val="007D75A0"/>
    <w:rsid w:val="007E067E"/>
    <w:rsid w:val="007E0682"/>
    <w:rsid w:val="007E151C"/>
    <w:rsid w:val="007E1F30"/>
    <w:rsid w:val="007E3365"/>
    <w:rsid w:val="007E6359"/>
    <w:rsid w:val="007E6EC4"/>
    <w:rsid w:val="007E6EFF"/>
    <w:rsid w:val="007E7639"/>
    <w:rsid w:val="007E7E0C"/>
    <w:rsid w:val="007E7F94"/>
    <w:rsid w:val="007F0099"/>
    <w:rsid w:val="007F11DB"/>
    <w:rsid w:val="007F283A"/>
    <w:rsid w:val="007F4315"/>
    <w:rsid w:val="007F5097"/>
    <w:rsid w:val="007F586A"/>
    <w:rsid w:val="007F6310"/>
    <w:rsid w:val="008004F4"/>
    <w:rsid w:val="00800D30"/>
    <w:rsid w:val="00801359"/>
    <w:rsid w:val="008017F4"/>
    <w:rsid w:val="0080193B"/>
    <w:rsid w:val="00801E2D"/>
    <w:rsid w:val="0080387E"/>
    <w:rsid w:val="00803965"/>
    <w:rsid w:val="008039A2"/>
    <w:rsid w:val="00803EB2"/>
    <w:rsid w:val="00804017"/>
    <w:rsid w:val="008040F8"/>
    <w:rsid w:val="0080416D"/>
    <w:rsid w:val="00804488"/>
    <w:rsid w:val="00804A4E"/>
    <w:rsid w:val="00805B78"/>
    <w:rsid w:val="0080628A"/>
    <w:rsid w:val="00806337"/>
    <w:rsid w:val="008072C4"/>
    <w:rsid w:val="00807325"/>
    <w:rsid w:val="0081097A"/>
    <w:rsid w:val="008112D3"/>
    <w:rsid w:val="00812230"/>
    <w:rsid w:val="008126B7"/>
    <w:rsid w:val="00812F99"/>
    <w:rsid w:val="0081391D"/>
    <w:rsid w:val="00814729"/>
    <w:rsid w:val="00814D70"/>
    <w:rsid w:val="008155FD"/>
    <w:rsid w:val="0081582B"/>
    <w:rsid w:val="00816255"/>
    <w:rsid w:val="00816B68"/>
    <w:rsid w:val="008178CF"/>
    <w:rsid w:val="008204C0"/>
    <w:rsid w:val="00820C4A"/>
    <w:rsid w:val="00820F15"/>
    <w:rsid w:val="0082125D"/>
    <w:rsid w:val="00821858"/>
    <w:rsid w:val="00821980"/>
    <w:rsid w:val="00821A99"/>
    <w:rsid w:val="0082237F"/>
    <w:rsid w:val="00822AEE"/>
    <w:rsid w:val="0082312F"/>
    <w:rsid w:val="00823926"/>
    <w:rsid w:val="00823D6B"/>
    <w:rsid w:val="0082401C"/>
    <w:rsid w:val="00824B3E"/>
    <w:rsid w:val="00824F27"/>
    <w:rsid w:val="00825053"/>
    <w:rsid w:val="00825215"/>
    <w:rsid w:val="00825765"/>
    <w:rsid w:val="00827165"/>
    <w:rsid w:val="008275FC"/>
    <w:rsid w:val="00827764"/>
    <w:rsid w:val="00827B86"/>
    <w:rsid w:val="0083360B"/>
    <w:rsid w:val="0083386F"/>
    <w:rsid w:val="00834779"/>
    <w:rsid w:val="00834B3B"/>
    <w:rsid w:val="00834D83"/>
    <w:rsid w:val="008354F0"/>
    <w:rsid w:val="008356BD"/>
    <w:rsid w:val="00835C82"/>
    <w:rsid w:val="008362C4"/>
    <w:rsid w:val="008363DE"/>
    <w:rsid w:val="00836C7C"/>
    <w:rsid w:val="0083720E"/>
    <w:rsid w:val="00837988"/>
    <w:rsid w:val="008401DE"/>
    <w:rsid w:val="008407AC"/>
    <w:rsid w:val="00840C01"/>
    <w:rsid w:val="00840C86"/>
    <w:rsid w:val="00842762"/>
    <w:rsid w:val="008436F9"/>
    <w:rsid w:val="00844027"/>
    <w:rsid w:val="008441F1"/>
    <w:rsid w:val="008447E4"/>
    <w:rsid w:val="00846308"/>
    <w:rsid w:val="0084664F"/>
    <w:rsid w:val="00846BC8"/>
    <w:rsid w:val="00846E85"/>
    <w:rsid w:val="008473D1"/>
    <w:rsid w:val="00850C5D"/>
    <w:rsid w:val="00851319"/>
    <w:rsid w:val="00851AC5"/>
    <w:rsid w:val="00853AF8"/>
    <w:rsid w:val="00853B45"/>
    <w:rsid w:val="00853E12"/>
    <w:rsid w:val="0085400C"/>
    <w:rsid w:val="00854657"/>
    <w:rsid w:val="00854D33"/>
    <w:rsid w:val="008568E9"/>
    <w:rsid w:val="00856DB3"/>
    <w:rsid w:val="0085725E"/>
    <w:rsid w:val="00857706"/>
    <w:rsid w:val="008600D9"/>
    <w:rsid w:val="00860179"/>
    <w:rsid w:val="00861411"/>
    <w:rsid w:val="00862433"/>
    <w:rsid w:val="008628B8"/>
    <w:rsid w:val="008629C7"/>
    <w:rsid w:val="008637CB"/>
    <w:rsid w:val="0086399D"/>
    <w:rsid w:val="00863BD5"/>
    <w:rsid w:val="008644F6"/>
    <w:rsid w:val="00864B56"/>
    <w:rsid w:val="00864F9C"/>
    <w:rsid w:val="0086509C"/>
    <w:rsid w:val="00865311"/>
    <w:rsid w:val="00865BAD"/>
    <w:rsid w:val="00866198"/>
    <w:rsid w:val="00867C54"/>
    <w:rsid w:val="00867F32"/>
    <w:rsid w:val="0087043A"/>
    <w:rsid w:val="008704B0"/>
    <w:rsid w:val="00870FFC"/>
    <w:rsid w:val="00871AE4"/>
    <w:rsid w:val="00872E1D"/>
    <w:rsid w:val="008748ED"/>
    <w:rsid w:val="008751B1"/>
    <w:rsid w:val="00875244"/>
    <w:rsid w:val="00875520"/>
    <w:rsid w:val="00875680"/>
    <w:rsid w:val="00876659"/>
    <w:rsid w:val="00877CF5"/>
    <w:rsid w:val="00880D85"/>
    <w:rsid w:val="00880FA0"/>
    <w:rsid w:val="00881920"/>
    <w:rsid w:val="008822A0"/>
    <w:rsid w:val="00883154"/>
    <w:rsid w:val="008833B1"/>
    <w:rsid w:val="00883F4A"/>
    <w:rsid w:val="00885BCC"/>
    <w:rsid w:val="008869F3"/>
    <w:rsid w:val="00886ED8"/>
    <w:rsid w:val="0088792E"/>
    <w:rsid w:val="00887D7A"/>
    <w:rsid w:val="0089014F"/>
    <w:rsid w:val="00890F68"/>
    <w:rsid w:val="00892392"/>
    <w:rsid w:val="00892BC7"/>
    <w:rsid w:val="00892C67"/>
    <w:rsid w:val="00892D85"/>
    <w:rsid w:val="00893D87"/>
    <w:rsid w:val="008954E5"/>
    <w:rsid w:val="00895AEF"/>
    <w:rsid w:val="00896635"/>
    <w:rsid w:val="00896FF6"/>
    <w:rsid w:val="0089765E"/>
    <w:rsid w:val="0089788E"/>
    <w:rsid w:val="00897C82"/>
    <w:rsid w:val="008A14AC"/>
    <w:rsid w:val="008A1566"/>
    <w:rsid w:val="008A180C"/>
    <w:rsid w:val="008A1A5C"/>
    <w:rsid w:val="008A2BCC"/>
    <w:rsid w:val="008A2D83"/>
    <w:rsid w:val="008A36FE"/>
    <w:rsid w:val="008A398F"/>
    <w:rsid w:val="008A47BB"/>
    <w:rsid w:val="008A4D5F"/>
    <w:rsid w:val="008A60B6"/>
    <w:rsid w:val="008A62A8"/>
    <w:rsid w:val="008A62D7"/>
    <w:rsid w:val="008A62FC"/>
    <w:rsid w:val="008A6A85"/>
    <w:rsid w:val="008B0B6A"/>
    <w:rsid w:val="008B1905"/>
    <w:rsid w:val="008B2704"/>
    <w:rsid w:val="008B2E6A"/>
    <w:rsid w:val="008B48AC"/>
    <w:rsid w:val="008B49EF"/>
    <w:rsid w:val="008B4A0C"/>
    <w:rsid w:val="008B4C93"/>
    <w:rsid w:val="008B5264"/>
    <w:rsid w:val="008B5916"/>
    <w:rsid w:val="008B59D5"/>
    <w:rsid w:val="008B6BB7"/>
    <w:rsid w:val="008B6FE8"/>
    <w:rsid w:val="008B7312"/>
    <w:rsid w:val="008B7353"/>
    <w:rsid w:val="008B7399"/>
    <w:rsid w:val="008B74F8"/>
    <w:rsid w:val="008C0668"/>
    <w:rsid w:val="008C1D26"/>
    <w:rsid w:val="008C2092"/>
    <w:rsid w:val="008C2615"/>
    <w:rsid w:val="008C29A1"/>
    <w:rsid w:val="008C2C87"/>
    <w:rsid w:val="008C2CBE"/>
    <w:rsid w:val="008C2E66"/>
    <w:rsid w:val="008C3DC0"/>
    <w:rsid w:val="008C589F"/>
    <w:rsid w:val="008C71DC"/>
    <w:rsid w:val="008C78E5"/>
    <w:rsid w:val="008D0542"/>
    <w:rsid w:val="008D07FA"/>
    <w:rsid w:val="008D0DF7"/>
    <w:rsid w:val="008D1AE7"/>
    <w:rsid w:val="008D1F4B"/>
    <w:rsid w:val="008D28DE"/>
    <w:rsid w:val="008D4366"/>
    <w:rsid w:val="008D450B"/>
    <w:rsid w:val="008D4610"/>
    <w:rsid w:val="008D47A2"/>
    <w:rsid w:val="008D5199"/>
    <w:rsid w:val="008D520A"/>
    <w:rsid w:val="008D5689"/>
    <w:rsid w:val="008D7F01"/>
    <w:rsid w:val="008E07E4"/>
    <w:rsid w:val="008E0A3D"/>
    <w:rsid w:val="008E0D92"/>
    <w:rsid w:val="008E1566"/>
    <w:rsid w:val="008E38A7"/>
    <w:rsid w:val="008E3A5F"/>
    <w:rsid w:val="008E4064"/>
    <w:rsid w:val="008E6765"/>
    <w:rsid w:val="008E7388"/>
    <w:rsid w:val="008E746F"/>
    <w:rsid w:val="008F0655"/>
    <w:rsid w:val="008F0995"/>
    <w:rsid w:val="008F0C5F"/>
    <w:rsid w:val="008F0E2C"/>
    <w:rsid w:val="008F1D13"/>
    <w:rsid w:val="008F257F"/>
    <w:rsid w:val="008F35DA"/>
    <w:rsid w:val="008F46B1"/>
    <w:rsid w:val="008F4891"/>
    <w:rsid w:val="008F544D"/>
    <w:rsid w:val="008F5729"/>
    <w:rsid w:val="008F5743"/>
    <w:rsid w:val="008F6B05"/>
    <w:rsid w:val="009001D8"/>
    <w:rsid w:val="00900DC1"/>
    <w:rsid w:val="00901A57"/>
    <w:rsid w:val="0090224D"/>
    <w:rsid w:val="0090281E"/>
    <w:rsid w:val="009029EB"/>
    <w:rsid w:val="009035D5"/>
    <w:rsid w:val="00903D1A"/>
    <w:rsid w:val="00904D3B"/>
    <w:rsid w:val="00904EFF"/>
    <w:rsid w:val="00904F7A"/>
    <w:rsid w:val="00906CC0"/>
    <w:rsid w:val="00907266"/>
    <w:rsid w:val="00907579"/>
    <w:rsid w:val="00907DE5"/>
    <w:rsid w:val="00910073"/>
    <w:rsid w:val="00910B7E"/>
    <w:rsid w:val="009123D0"/>
    <w:rsid w:val="009126A1"/>
    <w:rsid w:val="00912F71"/>
    <w:rsid w:val="00913058"/>
    <w:rsid w:val="00913795"/>
    <w:rsid w:val="00913ADC"/>
    <w:rsid w:val="00915F4D"/>
    <w:rsid w:val="00916171"/>
    <w:rsid w:val="0091625F"/>
    <w:rsid w:val="00916DAD"/>
    <w:rsid w:val="009177AF"/>
    <w:rsid w:val="00917D91"/>
    <w:rsid w:val="0092044D"/>
    <w:rsid w:val="00920A62"/>
    <w:rsid w:val="00920EFA"/>
    <w:rsid w:val="00921080"/>
    <w:rsid w:val="00921341"/>
    <w:rsid w:val="009215F8"/>
    <w:rsid w:val="009220DD"/>
    <w:rsid w:val="00922121"/>
    <w:rsid w:val="00922222"/>
    <w:rsid w:val="00922321"/>
    <w:rsid w:val="0092251B"/>
    <w:rsid w:val="0092265F"/>
    <w:rsid w:val="00922ADE"/>
    <w:rsid w:val="009230AE"/>
    <w:rsid w:val="00924A96"/>
    <w:rsid w:val="00925804"/>
    <w:rsid w:val="00925B4B"/>
    <w:rsid w:val="0092600E"/>
    <w:rsid w:val="0092635A"/>
    <w:rsid w:val="00926D23"/>
    <w:rsid w:val="00927B74"/>
    <w:rsid w:val="00930D21"/>
    <w:rsid w:val="0093144C"/>
    <w:rsid w:val="00931F1F"/>
    <w:rsid w:val="00932266"/>
    <w:rsid w:val="0093230A"/>
    <w:rsid w:val="00932AF4"/>
    <w:rsid w:val="00933A78"/>
    <w:rsid w:val="00933CF9"/>
    <w:rsid w:val="00934E3C"/>
    <w:rsid w:val="00936129"/>
    <w:rsid w:val="00936566"/>
    <w:rsid w:val="009372C2"/>
    <w:rsid w:val="009401D9"/>
    <w:rsid w:val="009406E4"/>
    <w:rsid w:val="0094083A"/>
    <w:rsid w:val="00940956"/>
    <w:rsid w:val="00940A3B"/>
    <w:rsid w:val="0094105C"/>
    <w:rsid w:val="009410AA"/>
    <w:rsid w:val="00942203"/>
    <w:rsid w:val="0094303B"/>
    <w:rsid w:val="0094309C"/>
    <w:rsid w:val="009438FD"/>
    <w:rsid w:val="00944736"/>
    <w:rsid w:val="009453FE"/>
    <w:rsid w:val="00950A00"/>
    <w:rsid w:val="00950DD4"/>
    <w:rsid w:val="00950FCD"/>
    <w:rsid w:val="00951172"/>
    <w:rsid w:val="0095119F"/>
    <w:rsid w:val="009513F0"/>
    <w:rsid w:val="009519C2"/>
    <w:rsid w:val="00951E8F"/>
    <w:rsid w:val="009527B5"/>
    <w:rsid w:val="00952DDF"/>
    <w:rsid w:val="009548BB"/>
    <w:rsid w:val="00954FEB"/>
    <w:rsid w:val="00956150"/>
    <w:rsid w:val="0095692B"/>
    <w:rsid w:val="00956A29"/>
    <w:rsid w:val="009572A4"/>
    <w:rsid w:val="009572FA"/>
    <w:rsid w:val="009604E6"/>
    <w:rsid w:val="00960A4C"/>
    <w:rsid w:val="0096116A"/>
    <w:rsid w:val="00961714"/>
    <w:rsid w:val="00961BC1"/>
    <w:rsid w:val="0096235C"/>
    <w:rsid w:val="00962F96"/>
    <w:rsid w:val="00962FB6"/>
    <w:rsid w:val="00963B61"/>
    <w:rsid w:val="00965B65"/>
    <w:rsid w:val="00967614"/>
    <w:rsid w:val="00967971"/>
    <w:rsid w:val="0097041A"/>
    <w:rsid w:val="00970A4C"/>
    <w:rsid w:val="009710B3"/>
    <w:rsid w:val="00971416"/>
    <w:rsid w:val="0097229F"/>
    <w:rsid w:val="00972622"/>
    <w:rsid w:val="00974461"/>
    <w:rsid w:val="00974556"/>
    <w:rsid w:val="00974BAF"/>
    <w:rsid w:val="00975266"/>
    <w:rsid w:val="009752D8"/>
    <w:rsid w:val="0097534D"/>
    <w:rsid w:val="0097688C"/>
    <w:rsid w:val="00976CF2"/>
    <w:rsid w:val="0097718E"/>
    <w:rsid w:val="0098024E"/>
    <w:rsid w:val="00980381"/>
    <w:rsid w:val="0098155D"/>
    <w:rsid w:val="009815CB"/>
    <w:rsid w:val="00981EAF"/>
    <w:rsid w:val="0098213D"/>
    <w:rsid w:val="00983285"/>
    <w:rsid w:val="009833DF"/>
    <w:rsid w:val="00983B11"/>
    <w:rsid w:val="0098418C"/>
    <w:rsid w:val="0098425E"/>
    <w:rsid w:val="009857E9"/>
    <w:rsid w:val="00985C4C"/>
    <w:rsid w:val="00986BC3"/>
    <w:rsid w:val="0098791C"/>
    <w:rsid w:val="0099068F"/>
    <w:rsid w:val="009908A9"/>
    <w:rsid w:val="0099096C"/>
    <w:rsid w:val="00991D95"/>
    <w:rsid w:val="00992342"/>
    <w:rsid w:val="00992E53"/>
    <w:rsid w:val="00993624"/>
    <w:rsid w:val="00993D51"/>
    <w:rsid w:val="00994ACC"/>
    <w:rsid w:val="00994C26"/>
    <w:rsid w:val="009951BD"/>
    <w:rsid w:val="00996073"/>
    <w:rsid w:val="00996627"/>
    <w:rsid w:val="009973E4"/>
    <w:rsid w:val="009979D9"/>
    <w:rsid w:val="009A0555"/>
    <w:rsid w:val="009A1B49"/>
    <w:rsid w:val="009A1FBA"/>
    <w:rsid w:val="009A2D44"/>
    <w:rsid w:val="009A2D58"/>
    <w:rsid w:val="009A2F7B"/>
    <w:rsid w:val="009A3226"/>
    <w:rsid w:val="009A38B1"/>
    <w:rsid w:val="009A434C"/>
    <w:rsid w:val="009A441D"/>
    <w:rsid w:val="009A585A"/>
    <w:rsid w:val="009A5B8A"/>
    <w:rsid w:val="009A5C66"/>
    <w:rsid w:val="009A5E63"/>
    <w:rsid w:val="009A6044"/>
    <w:rsid w:val="009A6B39"/>
    <w:rsid w:val="009A70EC"/>
    <w:rsid w:val="009A7568"/>
    <w:rsid w:val="009A7821"/>
    <w:rsid w:val="009B05C0"/>
    <w:rsid w:val="009B15BD"/>
    <w:rsid w:val="009B1C51"/>
    <w:rsid w:val="009B2AB3"/>
    <w:rsid w:val="009B2F89"/>
    <w:rsid w:val="009B45A7"/>
    <w:rsid w:val="009B4E14"/>
    <w:rsid w:val="009B5DC6"/>
    <w:rsid w:val="009B6FF5"/>
    <w:rsid w:val="009C0019"/>
    <w:rsid w:val="009C00DD"/>
    <w:rsid w:val="009C09D0"/>
    <w:rsid w:val="009C1D18"/>
    <w:rsid w:val="009C375B"/>
    <w:rsid w:val="009C4843"/>
    <w:rsid w:val="009C5E48"/>
    <w:rsid w:val="009C76FF"/>
    <w:rsid w:val="009D3A28"/>
    <w:rsid w:val="009D43D6"/>
    <w:rsid w:val="009D4E80"/>
    <w:rsid w:val="009D5B3C"/>
    <w:rsid w:val="009D6AAF"/>
    <w:rsid w:val="009D7477"/>
    <w:rsid w:val="009E174D"/>
    <w:rsid w:val="009E1D5D"/>
    <w:rsid w:val="009E3157"/>
    <w:rsid w:val="009E406A"/>
    <w:rsid w:val="009E5C6C"/>
    <w:rsid w:val="009E5CCF"/>
    <w:rsid w:val="009E6311"/>
    <w:rsid w:val="009E6400"/>
    <w:rsid w:val="009E6A04"/>
    <w:rsid w:val="009E7EFE"/>
    <w:rsid w:val="009F0840"/>
    <w:rsid w:val="009F0899"/>
    <w:rsid w:val="009F1036"/>
    <w:rsid w:val="009F124C"/>
    <w:rsid w:val="009F1EE8"/>
    <w:rsid w:val="009F210E"/>
    <w:rsid w:val="009F21A3"/>
    <w:rsid w:val="009F2699"/>
    <w:rsid w:val="009F2DE3"/>
    <w:rsid w:val="009F2F51"/>
    <w:rsid w:val="009F2FCF"/>
    <w:rsid w:val="009F356A"/>
    <w:rsid w:val="009F4258"/>
    <w:rsid w:val="009F470C"/>
    <w:rsid w:val="009F508D"/>
    <w:rsid w:val="009F508F"/>
    <w:rsid w:val="009F5A59"/>
    <w:rsid w:val="009F5DF4"/>
    <w:rsid w:val="009F6D69"/>
    <w:rsid w:val="009F71CD"/>
    <w:rsid w:val="009F763A"/>
    <w:rsid w:val="009F7900"/>
    <w:rsid w:val="009F795C"/>
    <w:rsid w:val="00A00652"/>
    <w:rsid w:val="00A00C56"/>
    <w:rsid w:val="00A0135B"/>
    <w:rsid w:val="00A01A21"/>
    <w:rsid w:val="00A02D6A"/>
    <w:rsid w:val="00A035D9"/>
    <w:rsid w:val="00A04E84"/>
    <w:rsid w:val="00A057FE"/>
    <w:rsid w:val="00A05A18"/>
    <w:rsid w:val="00A06EE8"/>
    <w:rsid w:val="00A07083"/>
    <w:rsid w:val="00A075FC"/>
    <w:rsid w:val="00A07655"/>
    <w:rsid w:val="00A07CC9"/>
    <w:rsid w:val="00A10BA8"/>
    <w:rsid w:val="00A1120F"/>
    <w:rsid w:val="00A119E9"/>
    <w:rsid w:val="00A11CCD"/>
    <w:rsid w:val="00A1312E"/>
    <w:rsid w:val="00A134FA"/>
    <w:rsid w:val="00A136F7"/>
    <w:rsid w:val="00A13CB9"/>
    <w:rsid w:val="00A14222"/>
    <w:rsid w:val="00A143B5"/>
    <w:rsid w:val="00A157F4"/>
    <w:rsid w:val="00A1609B"/>
    <w:rsid w:val="00A16903"/>
    <w:rsid w:val="00A16D4E"/>
    <w:rsid w:val="00A17687"/>
    <w:rsid w:val="00A222E9"/>
    <w:rsid w:val="00A22C1D"/>
    <w:rsid w:val="00A22C28"/>
    <w:rsid w:val="00A22E4C"/>
    <w:rsid w:val="00A23778"/>
    <w:rsid w:val="00A23B7F"/>
    <w:rsid w:val="00A23F20"/>
    <w:rsid w:val="00A2411C"/>
    <w:rsid w:val="00A24163"/>
    <w:rsid w:val="00A25841"/>
    <w:rsid w:val="00A258DC"/>
    <w:rsid w:val="00A2722D"/>
    <w:rsid w:val="00A2731D"/>
    <w:rsid w:val="00A304C2"/>
    <w:rsid w:val="00A30827"/>
    <w:rsid w:val="00A30CB1"/>
    <w:rsid w:val="00A30CC6"/>
    <w:rsid w:val="00A31723"/>
    <w:rsid w:val="00A31A4E"/>
    <w:rsid w:val="00A32755"/>
    <w:rsid w:val="00A327AA"/>
    <w:rsid w:val="00A32860"/>
    <w:rsid w:val="00A329EE"/>
    <w:rsid w:val="00A32B3F"/>
    <w:rsid w:val="00A32D5A"/>
    <w:rsid w:val="00A33212"/>
    <w:rsid w:val="00A3369F"/>
    <w:rsid w:val="00A336F8"/>
    <w:rsid w:val="00A34153"/>
    <w:rsid w:val="00A3554D"/>
    <w:rsid w:val="00A35AD8"/>
    <w:rsid w:val="00A36859"/>
    <w:rsid w:val="00A37017"/>
    <w:rsid w:val="00A373B1"/>
    <w:rsid w:val="00A40A8E"/>
    <w:rsid w:val="00A40F8A"/>
    <w:rsid w:val="00A40FEF"/>
    <w:rsid w:val="00A4187A"/>
    <w:rsid w:val="00A425B5"/>
    <w:rsid w:val="00A436F4"/>
    <w:rsid w:val="00A4397B"/>
    <w:rsid w:val="00A44171"/>
    <w:rsid w:val="00A445D8"/>
    <w:rsid w:val="00A447B3"/>
    <w:rsid w:val="00A44AD6"/>
    <w:rsid w:val="00A465D5"/>
    <w:rsid w:val="00A471BB"/>
    <w:rsid w:val="00A501BA"/>
    <w:rsid w:val="00A51987"/>
    <w:rsid w:val="00A526CF"/>
    <w:rsid w:val="00A52D1A"/>
    <w:rsid w:val="00A53F9F"/>
    <w:rsid w:val="00A54527"/>
    <w:rsid w:val="00A549D3"/>
    <w:rsid w:val="00A55022"/>
    <w:rsid w:val="00A55618"/>
    <w:rsid w:val="00A56B60"/>
    <w:rsid w:val="00A575EC"/>
    <w:rsid w:val="00A57680"/>
    <w:rsid w:val="00A6007C"/>
    <w:rsid w:val="00A6019E"/>
    <w:rsid w:val="00A60271"/>
    <w:rsid w:val="00A6145D"/>
    <w:rsid w:val="00A61D5F"/>
    <w:rsid w:val="00A62C79"/>
    <w:rsid w:val="00A62F4D"/>
    <w:rsid w:val="00A636BC"/>
    <w:rsid w:val="00A63B31"/>
    <w:rsid w:val="00A63F5D"/>
    <w:rsid w:val="00A64916"/>
    <w:rsid w:val="00A65152"/>
    <w:rsid w:val="00A652A8"/>
    <w:rsid w:val="00A65510"/>
    <w:rsid w:val="00A65AD8"/>
    <w:rsid w:val="00A66C8E"/>
    <w:rsid w:val="00A671B1"/>
    <w:rsid w:val="00A701A5"/>
    <w:rsid w:val="00A71E40"/>
    <w:rsid w:val="00A728E6"/>
    <w:rsid w:val="00A7339B"/>
    <w:rsid w:val="00A743EF"/>
    <w:rsid w:val="00A75330"/>
    <w:rsid w:val="00A762BF"/>
    <w:rsid w:val="00A7671D"/>
    <w:rsid w:val="00A76D1E"/>
    <w:rsid w:val="00A77685"/>
    <w:rsid w:val="00A80930"/>
    <w:rsid w:val="00A809EC"/>
    <w:rsid w:val="00A80EBC"/>
    <w:rsid w:val="00A81A44"/>
    <w:rsid w:val="00A825E2"/>
    <w:rsid w:val="00A826E2"/>
    <w:rsid w:val="00A82A98"/>
    <w:rsid w:val="00A82B61"/>
    <w:rsid w:val="00A83828"/>
    <w:rsid w:val="00A83F13"/>
    <w:rsid w:val="00A844C3"/>
    <w:rsid w:val="00A854A7"/>
    <w:rsid w:val="00A858F4"/>
    <w:rsid w:val="00A86081"/>
    <w:rsid w:val="00A86924"/>
    <w:rsid w:val="00A8727D"/>
    <w:rsid w:val="00A8787E"/>
    <w:rsid w:val="00A87B54"/>
    <w:rsid w:val="00A87B92"/>
    <w:rsid w:val="00A90F58"/>
    <w:rsid w:val="00A9124D"/>
    <w:rsid w:val="00A9127B"/>
    <w:rsid w:val="00A9294E"/>
    <w:rsid w:val="00A92A65"/>
    <w:rsid w:val="00A92D9B"/>
    <w:rsid w:val="00A9351E"/>
    <w:rsid w:val="00A939AC"/>
    <w:rsid w:val="00A94192"/>
    <w:rsid w:val="00A94982"/>
    <w:rsid w:val="00A94B81"/>
    <w:rsid w:val="00A94EB9"/>
    <w:rsid w:val="00A9517D"/>
    <w:rsid w:val="00A955D9"/>
    <w:rsid w:val="00A96BC7"/>
    <w:rsid w:val="00A97A20"/>
    <w:rsid w:val="00A97E24"/>
    <w:rsid w:val="00AA0148"/>
    <w:rsid w:val="00AA03AC"/>
    <w:rsid w:val="00AA0442"/>
    <w:rsid w:val="00AA08DC"/>
    <w:rsid w:val="00AA0C6F"/>
    <w:rsid w:val="00AA0D64"/>
    <w:rsid w:val="00AA1BE3"/>
    <w:rsid w:val="00AA1C18"/>
    <w:rsid w:val="00AA2BBD"/>
    <w:rsid w:val="00AA2D4E"/>
    <w:rsid w:val="00AA30A8"/>
    <w:rsid w:val="00AA35E5"/>
    <w:rsid w:val="00AA3D99"/>
    <w:rsid w:val="00AA4023"/>
    <w:rsid w:val="00AA4A0A"/>
    <w:rsid w:val="00AA5B61"/>
    <w:rsid w:val="00AB078B"/>
    <w:rsid w:val="00AB106B"/>
    <w:rsid w:val="00AB17CD"/>
    <w:rsid w:val="00AB181C"/>
    <w:rsid w:val="00AB1F7E"/>
    <w:rsid w:val="00AB2209"/>
    <w:rsid w:val="00AB3147"/>
    <w:rsid w:val="00AB35D3"/>
    <w:rsid w:val="00AB4824"/>
    <w:rsid w:val="00AB5DB4"/>
    <w:rsid w:val="00AB6447"/>
    <w:rsid w:val="00AB6712"/>
    <w:rsid w:val="00AB6C10"/>
    <w:rsid w:val="00AB7131"/>
    <w:rsid w:val="00AB7425"/>
    <w:rsid w:val="00AC097B"/>
    <w:rsid w:val="00AC1296"/>
    <w:rsid w:val="00AC134F"/>
    <w:rsid w:val="00AC1ACD"/>
    <w:rsid w:val="00AC21BF"/>
    <w:rsid w:val="00AC2251"/>
    <w:rsid w:val="00AC2263"/>
    <w:rsid w:val="00AC24D8"/>
    <w:rsid w:val="00AC291C"/>
    <w:rsid w:val="00AC4B32"/>
    <w:rsid w:val="00AC6A3B"/>
    <w:rsid w:val="00AC7275"/>
    <w:rsid w:val="00AC7B8C"/>
    <w:rsid w:val="00AC7F37"/>
    <w:rsid w:val="00AD00D6"/>
    <w:rsid w:val="00AD0194"/>
    <w:rsid w:val="00AD1C67"/>
    <w:rsid w:val="00AD27EE"/>
    <w:rsid w:val="00AD3353"/>
    <w:rsid w:val="00AD3B0C"/>
    <w:rsid w:val="00AD4253"/>
    <w:rsid w:val="00AD4396"/>
    <w:rsid w:val="00AD4C5A"/>
    <w:rsid w:val="00AD4EDD"/>
    <w:rsid w:val="00AD5EF9"/>
    <w:rsid w:val="00AD6329"/>
    <w:rsid w:val="00AD67AC"/>
    <w:rsid w:val="00AD6A1B"/>
    <w:rsid w:val="00AD6C4A"/>
    <w:rsid w:val="00AD7051"/>
    <w:rsid w:val="00AD7225"/>
    <w:rsid w:val="00AD76A2"/>
    <w:rsid w:val="00AE03D0"/>
    <w:rsid w:val="00AE098D"/>
    <w:rsid w:val="00AE0CA3"/>
    <w:rsid w:val="00AE1269"/>
    <w:rsid w:val="00AE16D0"/>
    <w:rsid w:val="00AE1DC5"/>
    <w:rsid w:val="00AE30E8"/>
    <w:rsid w:val="00AE33CA"/>
    <w:rsid w:val="00AE36AA"/>
    <w:rsid w:val="00AE3750"/>
    <w:rsid w:val="00AE3D76"/>
    <w:rsid w:val="00AE42A3"/>
    <w:rsid w:val="00AE57BC"/>
    <w:rsid w:val="00AE66B6"/>
    <w:rsid w:val="00AE68B4"/>
    <w:rsid w:val="00AE6A04"/>
    <w:rsid w:val="00AE7326"/>
    <w:rsid w:val="00AE753F"/>
    <w:rsid w:val="00AE76A8"/>
    <w:rsid w:val="00AE76EF"/>
    <w:rsid w:val="00AF0EB5"/>
    <w:rsid w:val="00AF10AC"/>
    <w:rsid w:val="00AF2202"/>
    <w:rsid w:val="00AF2574"/>
    <w:rsid w:val="00AF25FB"/>
    <w:rsid w:val="00AF274B"/>
    <w:rsid w:val="00AF35F7"/>
    <w:rsid w:val="00AF421C"/>
    <w:rsid w:val="00AF49E1"/>
    <w:rsid w:val="00AF4B80"/>
    <w:rsid w:val="00AF5C36"/>
    <w:rsid w:val="00AF7768"/>
    <w:rsid w:val="00B003ED"/>
    <w:rsid w:val="00B00BD7"/>
    <w:rsid w:val="00B0120A"/>
    <w:rsid w:val="00B03CAB"/>
    <w:rsid w:val="00B04996"/>
    <w:rsid w:val="00B056FF"/>
    <w:rsid w:val="00B06F93"/>
    <w:rsid w:val="00B07144"/>
    <w:rsid w:val="00B10204"/>
    <w:rsid w:val="00B10211"/>
    <w:rsid w:val="00B12548"/>
    <w:rsid w:val="00B13862"/>
    <w:rsid w:val="00B157E6"/>
    <w:rsid w:val="00B16000"/>
    <w:rsid w:val="00B20465"/>
    <w:rsid w:val="00B20507"/>
    <w:rsid w:val="00B20CD1"/>
    <w:rsid w:val="00B216BD"/>
    <w:rsid w:val="00B21A37"/>
    <w:rsid w:val="00B2278D"/>
    <w:rsid w:val="00B23A55"/>
    <w:rsid w:val="00B24C96"/>
    <w:rsid w:val="00B250FF"/>
    <w:rsid w:val="00B25F35"/>
    <w:rsid w:val="00B27B29"/>
    <w:rsid w:val="00B30342"/>
    <w:rsid w:val="00B309B0"/>
    <w:rsid w:val="00B311AC"/>
    <w:rsid w:val="00B31622"/>
    <w:rsid w:val="00B31BB4"/>
    <w:rsid w:val="00B31F41"/>
    <w:rsid w:val="00B322D4"/>
    <w:rsid w:val="00B33DF2"/>
    <w:rsid w:val="00B33F40"/>
    <w:rsid w:val="00B349A5"/>
    <w:rsid w:val="00B34AC9"/>
    <w:rsid w:val="00B34BAA"/>
    <w:rsid w:val="00B34EAD"/>
    <w:rsid w:val="00B351F7"/>
    <w:rsid w:val="00B35E8D"/>
    <w:rsid w:val="00B36930"/>
    <w:rsid w:val="00B37366"/>
    <w:rsid w:val="00B378A2"/>
    <w:rsid w:val="00B402B9"/>
    <w:rsid w:val="00B41010"/>
    <w:rsid w:val="00B4152B"/>
    <w:rsid w:val="00B4174B"/>
    <w:rsid w:val="00B418BE"/>
    <w:rsid w:val="00B4213A"/>
    <w:rsid w:val="00B43347"/>
    <w:rsid w:val="00B448F3"/>
    <w:rsid w:val="00B464A9"/>
    <w:rsid w:val="00B47804"/>
    <w:rsid w:val="00B501A7"/>
    <w:rsid w:val="00B502C6"/>
    <w:rsid w:val="00B51614"/>
    <w:rsid w:val="00B51667"/>
    <w:rsid w:val="00B52F21"/>
    <w:rsid w:val="00B53642"/>
    <w:rsid w:val="00B54530"/>
    <w:rsid w:val="00B556B7"/>
    <w:rsid w:val="00B557F1"/>
    <w:rsid w:val="00B55A6E"/>
    <w:rsid w:val="00B56334"/>
    <w:rsid w:val="00B56390"/>
    <w:rsid w:val="00B565AD"/>
    <w:rsid w:val="00B56D72"/>
    <w:rsid w:val="00B56DB4"/>
    <w:rsid w:val="00B56F61"/>
    <w:rsid w:val="00B57C92"/>
    <w:rsid w:val="00B57F53"/>
    <w:rsid w:val="00B57F6C"/>
    <w:rsid w:val="00B6090F"/>
    <w:rsid w:val="00B609E3"/>
    <w:rsid w:val="00B621E3"/>
    <w:rsid w:val="00B626EC"/>
    <w:rsid w:val="00B62FBF"/>
    <w:rsid w:val="00B6438E"/>
    <w:rsid w:val="00B6492F"/>
    <w:rsid w:val="00B64B88"/>
    <w:rsid w:val="00B662DB"/>
    <w:rsid w:val="00B6644D"/>
    <w:rsid w:val="00B6679C"/>
    <w:rsid w:val="00B66C27"/>
    <w:rsid w:val="00B7003B"/>
    <w:rsid w:val="00B7045C"/>
    <w:rsid w:val="00B709B6"/>
    <w:rsid w:val="00B70B06"/>
    <w:rsid w:val="00B712D5"/>
    <w:rsid w:val="00B71DAB"/>
    <w:rsid w:val="00B71EBB"/>
    <w:rsid w:val="00B71F71"/>
    <w:rsid w:val="00B72963"/>
    <w:rsid w:val="00B75C62"/>
    <w:rsid w:val="00B767B0"/>
    <w:rsid w:val="00B76FCD"/>
    <w:rsid w:val="00B7788C"/>
    <w:rsid w:val="00B778E1"/>
    <w:rsid w:val="00B8010D"/>
    <w:rsid w:val="00B8073F"/>
    <w:rsid w:val="00B80A1A"/>
    <w:rsid w:val="00B80DB5"/>
    <w:rsid w:val="00B82655"/>
    <w:rsid w:val="00B82AA2"/>
    <w:rsid w:val="00B83814"/>
    <w:rsid w:val="00B84155"/>
    <w:rsid w:val="00B84203"/>
    <w:rsid w:val="00B854E7"/>
    <w:rsid w:val="00B86EF7"/>
    <w:rsid w:val="00B87588"/>
    <w:rsid w:val="00B87B2B"/>
    <w:rsid w:val="00B87D75"/>
    <w:rsid w:val="00B9073B"/>
    <w:rsid w:val="00B90909"/>
    <w:rsid w:val="00B923A5"/>
    <w:rsid w:val="00B92460"/>
    <w:rsid w:val="00B929D0"/>
    <w:rsid w:val="00B92D03"/>
    <w:rsid w:val="00B92DDD"/>
    <w:rsid w:val="00B9350C"/>
    <w:rsid w:val="00B9391C"/>
    <w:rsid w:val="00B940B1"/>
    <w:rsid w:val="00B94FBD"/>
    <w:rsid w:val="00B955E8"/>
    <w:rsid w:val="00B95834"/>
    <w:rsid w:val="00B96534"/>
    <w:rsid w:val="00B96689"/>
    <w:rsid w:val="00B967CA"/>
    <w:rsid w:val="00B97ACF"/>
    <w:rsid w:val="00B97D40"/>
    <w:rsid w:val="00B97D8C"/>
    <w:rsid w:val="00BA1393"/>
    <w:rsid w:val="00BA1B39"/>
    <w:rsid w:val="00BA2BF6"/>
    <w:rsid w:val="00BA33FA"/>
    <w:rsid w:val="00BA353E"/>
    <w:rsid w:val="00BA35A1"/>
    <w:rsid w:val="00BA44B1"/>
    <w:rsid w:val="00BA4E8C"/>
    <w:rsid w:val="00BA4EA9"/>
    <w:rsid w:val="00BA4F18"/>
    <w:rsid w:val="00BA50EA"/>
    <w:rsid w:val="00BA65F8"/>
    <w:rsid w:val="00BA76B4"/>
    <w:rsid w:val="00BA7E24"/>
    <w:rsid w:val="00BB0071"/>
    <w:rsid w:val="00BB082C"/>
    <w:rsid w:val="00BB14C2"/>
    <w:rsid w:val="00BB19B4"/>
    <w:rsid w:val="00BB27A5"/>
    <w:rsid w:val="00BB391B"/>
    <w:rsid w:val="00BB3F32"/>
    <w:rsid w:val="00BB41A3"/>
    <w:rsid w:val="00BB52AA"/>
    <w:rsid w:val="00BB52F8"/>
    <w:rsid w:val="00BB572A"/>
    <w:rsid w:val="00BB5FD6"/>
    <w:rsid w:val="00BB62EB"/>
    <w:rsid w:val="00BB6CA0"/>
    <w:rsid w:val="00BC16BB"/>
    <w:rsid w:val="00BC2842"/>
    <w:rsid w:val="00BC2863"/>
    <w:rsid w:val="00BC2DC1"/>
    <w:rsid w:val="00BC32A9"/>
    <w:rsid w:val="00BC384C"/>
    <w:rsid w:val="00BC4324"/>
    <w:rsid w:val="00BC49F6"/>
    <w:rsid w:val="00BC4EF4"/>
    <w:rsid w:val="00BC583C"/>
    <w:rsid w:val="00BC6C09"/>
    <w:rsid w:val="00BC6EA2"/>
    <w:rsid w:val="00BC7AC7"/>
    <w:rsid w:val="00BD10C0"/>
    <w:rsid w:val="00BD1A3F"/>
    <w:rsid w:val="00BD1F2B"/>
    <w:rsid w:val="00BD28F7"/>
    <w:rsid w:val="00BD2D1F"/>
    <w:rsid w:val="00BD3918"/>
    <w:rsid w:val="00BD4A70"/>
    <w:rsid w:val="00BD5F27"/>
    <w:rsid w:val="00BD6775"/>
    <w:rsid w:val="00BD7763"/>
    <w:rsid w:val="00BE1A39"/>
    <w:rsid w:val="00BE1ADD"/>
    <w:rsid w:val="00BE1C97"/>
    <w:rsid w:val="00BE1DB8"/>
    <w:rsid w:val="00BE2223"/>
    <w:rsid w:val="00BE252D"/>
    <w:rsid w:val="00BE2653"/>
    <w:rsid w:val="00BE2E7E"/>
    <w:rsid w:val="00BE343F"/>
    <w:rsid w:val="00BE3468"/>
    <w:rsid w:val="00BE3A77"/>
    <w:rsid w:val="00BE44BA"/>
    <w:rsid w:val="00BE55C0"/>
    <w:rsid w:val="00BE759A"/>
    <w:rsid w:val="00BE7BAE"/>
    <w:rsid w:val="00BF128A"/>
    <w:rsid w:val="00BF1663"/>
    <w:rsid w:val="00BF1A48"/>
    <w:rsid w:val="00BF1B97"/>
    <w:rsid w:val="00BF3661"/>
    <w:rsid w:val="00BF3A05"/>
    <w:rsid w:val="00BF41B8"/>
    <w:rsid w:val="00BF50B7"/>
    <w:rsid w:val="00BF6022"/>
    <w:rsid w:val="00BF66A2"/>
    <w:rsid w:val="00BF6984"/>
    <w:rsid w:val="00BF7360"/>
    <w:rsid w:val="00BF7601"/>
    <w:rsid w:val="00BF7AAE"/>
    <w:rsid w:val="00BF7E9D"/>
    <w:rsid w:val="00C00098"/>
    <w:rsid w:val="00C00178"/>
    <w:rsid w:val="00C007A8"/>
    <w:rsid w:val="00C0122D"/>
    <w:rsid w:val="00C01445"/>
    <w:rsid w:val="00C01620"/>
    <w:rsid w:val="00C01CC4"/>
    <w:rsid w:val="00C0253D"/>
    <w:rsid w:val="00C027AC"/>
    <w:rsid w:val="00C0358D"/>
    <w:rsid w:val="00C04574"/>
    <w:rsid w:val="00C048A4"/>
    <w:rsid w:val="00C04F30"/>
    <w:rsid w:val="00C050C7"/>
    <w:rsid w:val="00C05DDF"/>
    <w:rsid w:val="00C06408"/>
    <w:rsid w:val="00C064C6"/>
    <w:rsid w:val="00C0652D"/>
    <w:rsid w:val="00C067CC"/>
    <w:rsid w:val="00C06C19"/>
    <w:rsid w:val="00C0706F"/>
    <w:rsid w:val="00C07951"/>
    <w:rsid w:val="00C102EC"/>
    <w:rsid w:val="00C10B5B"/>
    <w:rsid w:val="00C114C8"/>
    <w:rsid w:val="00C1198D"/>
    <w:rsid w:val="00C11BB6"/>
    <w:rsid w:val="00C11BC7"/>
    <w:rsid w:val="00C12D04"/>
    <w:rsid w:val="00C14670"/>
    <w:rsid w:val="00C15B4D"/>
    <w:rsid w:val="00C166FD"/>
    <w:rsid w:val="00C16773"/>
    <w:rsid w:val="00C17F30"/>
    <w:rsid w:val="00C2022F"/>
    <w:rsid w:val="00C2057F"/>
    <w:rsid w:val="00C2071D"/>
    <w:rsid w:val="00C2208A"/>
    <w:rsid w:val="00C2261B"/>
    <w:rsid w:val="00C2316B"/>
    <w:rsid w:val="00C23F57"/>
    <w:rsid w:val="00C24AB2"/>
    <w:rsid w:val="00C25D7E"/>
    <w:rsid w:val="00C26250"/>
    <w:rsid w:val="00C2654A"/>
    <w:rsid w:val="00C2681F"/>
    <w:rsid w:val="00C2744D"/>
    <w:rsid w:val="00C30A5C"/>
    <w:rsid w:val="00C310A2"/>
    <w:rsid w:val="00C3137D"/>
    <w:rsid w:val="00C31589"/>
    <w:rsid w:val="00C3282E"/>
    <w:rsid w:val="00C32E1F"/>
    <w:rsid w:val="00C33482"/>
    <w:rsid w:val="00C33908"/>
    <w:rsid w:val="00C34908"/>
    <w:rsid w:val="00C35128"/>
    <w:rsid w:val="00C352C0"/>
    <w:rsid w:val="00C371ED"/>
    <w:rsid w:val="00C3759F"/>
    <w:rsid w:val="00C37CD6"/>
    <w:rsid w:val="00C40227"/>
    <w:rsid w:val="00C40EE8"/>
    <w:rsid w:val="00C4178E"/>
    <w:rsid w:val="00C4205B"/>
    <w:rsid w:val="00C43823"/>
    <w:rsid w:val="00C44125"/>
    <w:rsid w:val="00C445B0"/>
    <w:rsid w:val="00C44C38"/>
    <w:rsid w:val="00C44DDC"/>
    <w:rsid w:val="00C44E5B"/>
    <w:rsid w:val="00C454DE"/>
    <w:rsid w:val="00C471CD"/>
    <w:rsid w:val="00C47821"/>
    <w:rsid w:val="00C47830"/>
    <w:rsid w:val="00C47A87"/>
    <w:rsid w:val="00C5012E"/>
    <w:rsid w:val="00C50132"/>
    <w:rsid w:val="00C50801"/>
    <w:rsid w:val="00C50C71"/>
    <w:rsid w:val="00C513FD"/>
    <w:rsid w:val="00C521DA"/>
    <w:rsid w:val="00C5285C"/>
    <w:rsid w:val="00C52FEC"/>
    <w:rsid w:val="00C537E6"/>
    <w:rsid w:val="00C53808"/>
    <w:rsid w:val="00C53B12"/>
    <w:rsid w:val="00C53BC8"/>
    <w:rsid w:val="00C5416A"/>
    <w:rsid w:val="00C554C3"/>
    <w:rsid w:val="00C5576D"/>
    <w:rsid w:val="00C55834"/>
    <w:rsid w:val="00C5600E"/>
    <w:rsid w:val="00C5694F"/>
    <w:rsid w:val="00C57787"/>
    <w:rsid w:val="00C609AA"/>
    <w:rsid w:val="00C60B35"/>
    <w:rsid w:val="00C614B7"/>
    <w:rsid w:val="00C614C0"/>
    <w:rsid w:val="00C618EF"/>
    <w:rsid w:val="00C61C22"/>
    <w:rsid w:val="00C61CCF"/>
    <w:rsid w:val="00C62913"/>
    <w:rsid w:val="00C631AD"/>
    <w:rsid w:val="00C63833"/>
    <w:rsid w:val="00C63981"/>
    <w:rsid w:val="00C65186"/>
    <w:rsid w:val="00C657CB"/>
    <w:rsid w:val="00C6584E"/>
    <w:rsid w:val="00C6670A"/>
    <w:rsid w:val="00C67510"/>
    <w:rsid w:val="00C6754F"/>
    <w:rsid w:val="00C67A25"/>
    <w:rsid w:val="00C67C79"/>
    <w:rsid w:val="00C707FC"/>
    <w:rsid w:val="00C70F0B"/>
    <w:rsid w:val="00C714BD"/>
    <w:rsid w:val="00C72298"/>
    <w:rsid w:val="00C7249D"/>
    <w:rsid w:val="00C72539"/>
    <w:rsid w:val="00C72A30"/>
    <w:rsid w:val="00C72D03"/>
    <w:rsid w:val="00C73140"/>
    <w:rsid w:val="00C7332D"/>
    <w:rsid w:val="00C73582"/>
    <w:rsid w:val="00C7478E"/>
    <w:rsid w:val="00C74E66"/>
    <w:rsid w:val="00C75DC8"/>
    <w:rsid w:val="00C76A58"/>
    <w:rsid w:val="00C76D62"/>
    <w:rsid w:val="00C77468"/>
    <w:rsid w:val="00C7765A"/>
    <w:rsid w:val="00C77683"/>
    <w:rsid w:val="00C77D56"/>
    <w:rsid w:val="00C80797"/>
    <w:rsid w:val="00C80EEC"/>
    <w:rsid w:val="00C813B4"/>
    <w:rsid w:val="00C81B73"/>
    <w:rsid w:val="00C81F9B"/>
    <w:rsid w:val="00C82082"/>
    <w:rsid w:val="00C82721"/>
    <w:rsid w:val="00C8322C"/>
    <w:rsid w:val="00C83238"/>
    <w:rsid w:val="00C837AD"/>
    <w:rsid w:val="00C84E58"/>
    <w:rsid w:val="00C85915"/>
    <w:rsid w:val="00C85D40"/>
    <w:rsid w:val="00C85E6C"/>
    <w:rsid w:val="00C8752A"/>
    <w:rsid w:val="00C87D05"/>
    <w:rsid w:val="00C907DC"/>
    <w:rsid w:val="00C90DB5"/>
    <w:rsid w:val="00C916E2"/>
    <w:rsid w:val="00C929D9"/>
    <w:rsid w:val="00C93178"/>
    <w:rsid w:val="00C9372B"/>
    <w:rsid w:val="00C940AD"/>
    <w:rsid w:val="00C94A6D"/>
    <w:rsid w:val="00C94C1C"/>
    <w:rsid w:val="00C94C34"/>
    <w:rsid w:val="00C96311"/>
    <w:rsid w:val="00C970A7"/>
    <w:rsid w:val="00C970F8"/>
    <w:rsid w:val="00C979FD"/>
    <w:rsid w:val="00C97F58"/>
    <w:rsid w:val="00CA00DA"/>
    <w:rsid w:val="00CA04C1"/>
    <w:rsid w:val="00CA04C3"/>
    <w:rsid w:val="00CA0B4D"/>
    <w:rsid w:val="00CA0D74"/>
    <w:rsid w:val="00CA20F0"/>
    <w:rsid w:val="00CA2C2A"/>
    <w:rsid w:val="00CA32E6"/>
    <w:rsid w:val="00CA4B1A"/>
    <w:rsid w:val="00CA565A"/>
    <w:rsid w:val="00CA60EF"/>
    <w:rsid w:val="00CA78D8"/>
    <w:rsid w:val="00CA7E88"/>
    <w:rsid w:val="00CB226E"/>
    <w:rsid w:val="00CB28B9"/>
    <w:rsid w:val="00CB5062"/>
    <w:rsid w:val="00CB528E"/>
    <w:rsid w:val="00CB53F4"/>
    <w:rsid w:val="00CB579F"/>
    <w:rsid w:val="00CB5E96"/>
    <w:rsid w:val="00CB6381"/>
    <w:rsid w:val="00CB736D"/>
    <w:rsid w:val="00CB7456"/>
    <w:rsid w:val="00CB7790"/>
    <w:rsid w:val="00CC05EA"/>
    <w:rsid w:val="00CC0B4C"/>
    <w:rsid w:val="00CC1FC1"/>
    <w:rsid w:val="00CC201A"/>
    <w:rsid w:val="00CC23A1"/>
    <w:rsid w:val="00CC2A63"/>
    <w:rsid w:val="00CC2ED2"/>
    <w:rsid w:val="00CC3A5F"/>
    <w:rsid w:val="00CC3CF3"/>
    <w:rsid w:val="00CC7148"/>
    <w:rsid w:val="00CC7196"/>
    <w:rsid w:val="00CC7ADD"/>
    <w:rsid w:val="00CD0925"/>
    <w:rsid w:val="00CD14E6"/>
    <w:rsid w:val="00CD2369"/>
    <w:rsid w:val="00CD62AA"/>
    <w:rsid w:val="00CD76DB"/>
    <w:rsid w:val="00CE0163"/>
    <w:rsid w:val="00CE0CA8"/>
    <w:rsid w:val="00CE2032"/>
    <w:rsid w:val="00CE2128"/>
    <w:rsid w:val="00CE2503"/>
    <w:rsid w:val="00CE2EA9"/>
    <w:rsid w:val="00CE34F0"/>
    <w:rsid w:val="00CE4880"/>
    <w:rsid w:val="00CE71FF"/>
    <w:rsid w:val="00CE7E60"/>
    <w:rsid w:val="00CF0B78"/>
    <w:rsid w:val="00CF1FC4"/>
    <w:rsid w:val="00CF373D"/>
    <w:rsid w:val="00CF3B3B"/>
    <w:rsid w:val="00CF40C0"/>
    <w:rsid w:val="00CF4783"/>
    <w:rsid w:val="00CF5498"/>
    <w:rsid w:val="00CF5AA6"/>
    <w:rsid w:val="00CF5D12"/>
    <w:rsid w:val="00CF7472"/>
    <w:rsid w:val="00CF7B3E"/>
    <w:rsid w:val="00D009CE"/>
    <w:rsid w:val="00D00C40"/>
    <w:rsid w:val="00D01E92"/>
    <w:rsid w:val="00D02242"/>
    <w:rsid w:val="00D022AE"/>
    <w:rsid w:val="00D02689"/>
    <w:rsid w:val="00D0286E"/>
    <w:rsid w:val="00D028F1"/>
    <w:rsid w:val="00D02A3A"/>
    <w:rsid w:val="00D0493F"/>
    <w:rsid w:val="00D0598D"/>
    <w:rsid w:val="00D05B73"/>
    <w:rsid w:val="00D06ACA"/>
    <w:rsid w:val="00D070D6"/>
    <w:rsid w:val="00D07386"/>
    <w:rsid w:val="00D079B4"/>
    <w:rsid w:val="00D1043E"/>
    <w:rsid w:val="00D10BF9"/>
    <w:rsid w:val="00D11326"/>
    <w:rsid w:val="00D12462"/>
    <w:rsid w:val="00D13802"/>
    <w:rsid w:val="00D13B84"/>
    <w:rsid w:val="00D14049"/>
    <w:rsid w:val="00D14BD8"/>
    <w:rsid w:val="00D14F81"/>
    <w:rsid w:val="00D15531"/>
    <w:rsid w:val="00D15DE8"/>
    <w:rsid w:val="00D16C90"/>
    <w:rsid w:val="00D17B7A"/>
    <w:rsid w:val="00D17E29"/>
    <w:rsid w:val="00D20700"/>
    <w:rsid w:val="00D208CD"/>
    <w:rsid w:val="00D20AB1"/>
    <w:rsid w:val="00D2487D"/>
    <w:rsid w:val="00D24BB8"/>
    <w:rsid w:val="00D26217"/>
    <w:rsid w:val="00D2641C"/>
    <w:rsid w:val="00D26A9D"/>
    <w:rsid w:val="00D27578"/>
    <w:rsid w:val="00D30192"/>
    <w:rsid w:val="00D30573"/>
    <w:rsid w:val="00D30D6D"/>
    <w:rsid w:val="00D310FF"/>
    <w:rsid w:val="00D31134"/>
    <w:rsid w:val="00D31A16"/>
    <w:rsid w:val="00D3239A"/>
    <w:rsid w:val="00D32915"/>
    <w:rsid w:val="00D3394F"/>
    <w:rsid w:val="00D3479B"/>
    <w:rsid w:val="00D349A2"/>
    <w:rsid w:val="00D3525E"/>
    <w:rsid w:val="00D3552C"/>
    <w:rsid w:val="00D35E34"/>
    <w:rsid w:val="00D3649E"/>
    <w:rsid w:val="00D36F8F"/>
    <w:rsid w:val="00D37193"/>
    <w:rsid w:val="00D37FF2"/>
    <w:rsid w:val="00D40744"/>
    <w:rsid w:val="00D40AE5"/>
    <w:rsid w:val="00D40C6C"/>
    <w:rsid w:val="00D41596"/>
    <w:rsid w:val="00D4219B"/>
    <w:rsid w:val="00D43D50"/>
    <w:rsid w:val="00D44A12"/>
    <w:rsid w:val="00D44FC4"/>
    <w:rsid w:val="00D4572F"/>
    <w:rsid w:val="00D46401"/>
    <w:rsid w:val="00D46868"/>
    <w:rsid w:val="00D46B65"/>
    <w:rsid w:val="00D46B6B"/>
    <w:rsid w:val="00D501CC"/>
    <w:rsid w:val="00D5046F"/>
    <w:rsid w:val="00D509F1"/>
    <w:rsid w:val="00D50AAA"/>
    <w:rsid w:val="00D516FD"/>
    <w:rsid w:val="00D51D31"/>
    <w:rsid w:val="00D525BD"/>
    <w:rsid w:val="00D539BA"/>
    <w:rsid w:val="00D548DF"/>
    <w:rsid w:val="00D55B7D"/>
    <w:rsid w:val="00D567E7"/>
    <w:rsid w:val="00D56E40"/>
    <w:rsid w:val="00D576CB"/>
    <w:rsid w:val="00D57EB8"/>
    <w:rsid w:val="00D600E8"/>
    <w:rsid w:val="00D60147"/>
    <w:rsid w:val="00D616D6"/>
    <w:rsid w:val="00D63906"/>
    <w:rsid w:val="00D64900"/>
    <w:rsid w:val="00D64C04"/>
    <w:rsid w:val="00D65A80"/>
    <w:rsid w:val="00D66F9C"/>
    <w:rsid w:val="00D67099"/>
    <w:rsid w:val="00D6738D"/>
    <w:rsid w:val="00D67634"/>
    <w:rsid w:val="00D70461"/>
    <w:rsid w:val="00D70F79"/>
    <w:rsid w:val="00D71C1B"/>
    <w:rsid w:val="00D723D0"/>
    <w:rsid w:val="00D725CF"/>
    <w:rsid w:val="00D72EDE"/>
    <w:rsid w:val="00D72F22"/>
    <w:rsid w:val="00D73EB5"/>
    <w:rsid w:val="00D75CF6"/>
    <w:rsid w:val="00D77717"/>
    <w:rsid w:val="00D80956"/>
    <w:rsid w:val="00D8106D"/>
    <w:rsid w:val="00D8113E"/>
    <w:rsid w:val="00D81596"/>
    <w:rsid w:val="00D8192C"/>
    <w:rsid w:val="00D83785"/>
    <w:rsid w:val="00D839F7"/>
    <w:rsid w:val="00D865BB"/>
    <w:rsid w:val="00D865F8"/>
    <w:rsid w:val="00D86BA2"/>
    <w:rsid w:val="00D8775B"/>
    <w:rsid w:val="00D87C03"/>
    <w:rsid w:val="00D90B8A"/>
    <w:rsid w:val="00D92348"/>
    <w:rsid w:val="00D92A1C"/>
    <w:rsid w:val="00D92E7F"/>
    <w:rsid w:val="00D930C1"/>
    <w:rsid w:val="00D93363"/>
    <w:rsid w:val="00D93CFB"/>
    <w:rsid w:val="00D93DC3"/>
    <w:rsid w:val="00D93E3C"/>
    <w:rsid w:val="00D94B14"/>
    <w:rsid w:val="00D94B2D"/>
    <w:rsid w:val="00D94CEF"/>
    <w:rsid w:val="00D955BC"/>
    <w:rsid w:val="00D9596E"/>
    <w:rsid w:val="00D95999"/>
    <w:rsid w:val="00D95DAF"/>
    <w:rsid w:val="00D95FB6"/>
    <w:rsid w:val="00D96A67"/>
    <w:rsid w:val="00D96EEE"/>
    <w:rsid w:val="00D971EA"/>
    <w:rsid w:val="00D97B55"/>
    <w:rsid w:val="00DA11C8"/>
    <w:rsid w:val="00DA4F10"/>
    <w:rsid w:val="00DA5A2B"/>
    <w:rsid w:val="00DA6FBE"/>
    <w:rsid w:val="00DA72CA"/>
    <w:rsid w:val="00DA7E2C"/>
    <w:rsid w:val="00DB07C4"/>
    <w:rsid w:val="00DB168D"/>
    <w:rsid w:val="00DB19A5"/>
    <w:rsid w:val="00DB2AC2"/>
    <w:rsid w:val="00DB4A5C"/>
    <w:rsid w:val="00DB4FB8"/>
    <w:rsid w:val="00DB57EB"/>
    <w:rsid w:val="00DB584B"/>
    <w:rsid w:val="00DB6CE0"/>
    <w:rsid w:val="00DB7184"/>
    <w:rsid w:val="00DB7569"/>
    <w:rsid w:val="00DB760E"/>
    <w:rsid w:val="00DB763F"/>
    <w:rsid w:val="00DB79D5"/>
    <w:rsid w:val="00DC08BE"/>
    <w:rsid w:val="00DC0C57"/>
    <w:rsid w:val="00DC39CF"/>
    <w:rsid w:val="00DC3F33"/>
    <w:rsid w:val="00DC59F6"/>
    <w:rsid w:val="00DC5C72"/>
    <w:rsid w:val="00DC5C9C"/>
    <w:rsid w:val="00DC61F4"/>
    <w:rsid w:val="00DC6D64"/>
    <w:rsid w:val="00DC71EF"/>
    <w:rsid w:val="00DC7B86"/>
    <w:rsid w:val="00DC7EF3"/>
    <w:rsid w:val="00DD01B1"/>
    <w:rsid w:val="00DD0692"/>
    <w:rsid w:val="00DD0697"/>
    <w:rsid w:val="00DD0945"/>
    <w:rsid w:val="00DD0C49"/>
    <w:rsid w:val="00DD0D52"/>
    <w:rsid w:val="00DD36DE"/>
    <w:rsid w:val="00DD3C97"/>
    <w:rsid w:val="00DD41DB"/>
    <w:rsid w:val="00DD4237"/>
    <w:rsid w:val="00DD4283"/>
    <w:rsid w:val="00DD47DF"/>
    <w:rsid w:val="00DD5769"/>
    <w:rsid w:val="00DD5C81"/>
    <w:rsid w:val="00DD61EB"/>
    <w:rsid w:val="00DD6D46"/>
    <w:rsid w:val="00DE044C"/>
    <w:rsid w:val="00DE0A59"/>
    <w:rsid w:val="00DE0A90"/>
    <w:rsid w:val="00DE2999"/>
    <w:rsid w:val="00DE2A97"/>
    <w:rsid w:val="00DE2B8E"/>
    <w:rsid w:val="00DE2E01"/>
    <w:rsid w:val="00DE2FC3"/>
    <w:rsid w:val="00DE4012"/>
    <w:rsid w:val="00DE4693"/>
    <w:rsid w:val="00DE478F"/>
    <w:rsid w:val="00DE4C4A"/>
    <w:rsid w:val="00DE6655"/>
    <w:rsid w:val="00DE6720"/>
    <w:rsid w:val="00DE6FCB"/>
    <w:rsid w:val="00DE7A24"/>
    <w:rsid w:val="00DE7CAA"/>
    <w:rsid w:val="00DE7FCB"/>
    <w:rsid w:val="00DF132C"/>
    <w:rsid w:val="00DF1AB3"/>
    <w:rsid w:val="00DF21A2"/>
    <w:rsid w:val="00DF26BB"/>
    <w:rsid w:val="00DF29DE"/>
    <w:rsid w:val="00DF2D9F"/>
    <w:rsid w:val="00DF469C"/>
    <w:rsid w:val="00DF4FD8"/>
    <w:rsid w:val="00DF5CDA"/>
    <w:rsid w:val="00DF6238"/>
    <w:rsid w:val="00DF6248"/>
    <w:rsid w:val="00DF65B2"/>
    <w:rsid w:val="00DF67FD"/>
    <w:rsid w:val="00DF7C29"/>
    <w:rsid w:val="00DF7DA0"/>
    <w:rsid w:val="00E0054D"/>
    <w:rsid w:val="00E00B87"/>
    <w:rsid w:val="00E00C40"/>
    <w:rsid w:val="00E00C95"/>
    <w:rsid w:val="00E016E3"/>
    <w:rsid w:val="00E02A2A"/>
    <w:rsid w:val="00E02EAB"/>
    <w:rsid w:val="00E0463B"/>
    <w:rsid w:val="00E04665"/>
    <w:rsid w:val="00E061EE"/>
    <w:rsid w:val="00E06998"/>
    <w:rsid w:val="00E06F0F"/>
    <w:rsid w:val="00E11B08"/>
    <w:rsid w:val="00E11C7C"/>
    <w:rsid w:val="00E1225E"/>
    <w:rsid w:val="00E12ECC"/>
    <w:rsid w:val="00E13107"/>
    <w:rsid w:val="00E13C15"/>
    <w:rsid w:val="00E1430F"/>
    <w:rsid w:val="00E1474F"/>
    <w:rsid w:val="00E1649C"/>
    <w:rsid w:val="00E1656A"/>
    <w:rsid w:val="00E16843"/>
    <w:rsid w:val="00E16D96"/>
    <w:rsid w:val="00E176F9"/>
    <w:rsid w:val="00E200AB"/>
    <w:rsid w:val="00E203C4"/>
    <w:rsid w:val="00E20454"/>
    <w:rsid w:val="00E20BA5"/>
    <w:rsid w:val="00E20CE9"/>
    <w:rsid w:val="00E20DFD"/>
    <w:rsid w:val="00E213DB"/>
    <w:rsid w:val="00E22700"/>
    <w:rsid w:val="00E22733"/>
    <w:rsid w:val="00E22BA0"/>
    <w:rsid w:val="00E22C14"/>
    <w:rsid w:val="00E230BD"/>
    <w:rsid w:val="00E239C6"/>
    <w:rsid w:val="00E24179"/>
    <w:rsid w:val="00E24686"/>
    <w:rsid w:val="00E25230"/>
    <w:rsid w:val="00E27133"/>
    <w:rsid w:val="00E277E3"/>
    <w:rsid w:val="00E27D8C"/>
    <w:rsid w:val="00E30C14"/>
    <w:rsid w:val="00E32236"/>
    <w:rsid w:val="00E32842"/>
    <w:rsid w:val="00E32CE9"/>
    <w:rsid w:val="00E32F4C"/>
    <w:rsid w:val="00E33221"/>
    <w:rsid w:val="00E3331C"/>
    <w:rsid w:val="00E33838"/>
    <w:rsid w:val="00E33868"/>
    <w:rsid w:val="00E346EC"/>
    <w:rsid w:val="00E356AE"/>
    <w:rsid w:val="00E35F3C"/>
    <w:rsid w:val="00E36BD9"/>
    <w:rsid w:val="00E36C9E"/>
    <w:rsid w:val="00E36F70"/>
    <w:rsid w:val="00E374A9"/>
    <w:rsid w:val="00E37BFB"/>
    <w:rsid w:val="00E40D34"/>
    <w:rsid w:val="00E40D99"/>
    <w:rsid w:val="00E412CB"/>
    <w:rsid w:val="00E4165A"/>
    <w:rsid w:val="00E418DA"/>
    <w:rsid w:val="00E41B42"/>
    <w:rsid w:val="00E43F22"/>
    <w:rsid w:val="00E4465C"/>
    <w:rsid w:val="00E448C7"/>
    <w:rsid w:val="00E44925"/>
    <w:rsid w:val="00E45935"/>
    <w:rsid w:val="00E45C25"/>
    <w:rsid w:val="00E4628B"/>
    <w:rsid w:val="00E46A04"/>
    <w:rsid w:val="00E470D1"/>
    <w:rsid w:val="00E47419"/>
    <w:rsid w:val="00E47D01"/>
    <w:rsid w:val="00E502A0"/>
    <w:rsid w:val="00E50874"/>
    <w:rsid w:val="00E50C42"/>
    <w:rsid w:val="00E5131A"/>
    <w:rsid w:val="00E53BD3"/>
    <w:rsid w:val="00E53E16"/>
    <w:rsid w:val="00E54129"/>
    <w:rsid w:val="00E54259"/>
    <w:rsid w:val="00E54ADC"/>
    <w:rsid w:val="00E55A7E"/>
    <w:rsid w:val="00E55EC1"/>
    <w:rsid w:val="00E56306"/>
    <w:rsid w:val="00E5691A"/>
    <w:rsid w:val="00E56CE9"/>
    <w:rsid w:val="00E57272"/>
    <w:rsid w:val="00E5734A"/>
    <w:rsid w:val="00E5737E"/>
    <w:rsid w:val="00E578AD"/>
    <w:rsid w:val="00E57BCE"/>
    <w:rsid w:val="00E57D3C"/>
    <w:rsid w:val="00E57D7F"/>
    <w:rsid w:val="00E602E2"/>
    <w:rsid w:val="00E612D3"/>
    <w:rsid w:val="00E614F5"/>
    <w:rsid w:val="00E6205F"/>
    <w:rsid w:val="00E62252"/>
    <w:rsid w:val="00E62D2A"/>
    <w:rsid w:val="00E63012"/>
    <w:rsid w:val="00E638F5"/>
    <w:rsid w:val="00E64360"/>
    <w:rsid w:val="00E6441A"/>
    <w:rsid w:val="00E64502"/>
    <w:rsid w:val="00E64F6C"/>
    <w:rsid w:val="00E6616D"/>
    <w:rsid w:val="00E66A76"/>
    <w:rsid w:val="00E66D9F"/>
    <w:rsid w:val="00E70AE5"/>
    <w:rsid w:val="00E71366"/>
    <w:rsid w:val="00E71B71"/>
    <w:rsid w:val="00E72F0F"/>
    <w:rsid w:val="00E73E25"/>
    <w:rsid w:val="00E749D6"/>
    <w:rsid w:val="00E75047"/>
    <w:rsid w:val="00E755CD"/>
    <w:rsid w:val="00E76E24"/>
    <w:rsid w:val="00E77666"/>
    <w:rsid w:val="00E77BA9"/>
    <w:rsid w:val="00E80009"/>
    <w:rsid w:val="00E82B88"/>
    <w:rsid w:val="00E83731"/>
    <w:rsid w:val="00E83A15"/>
    <w:rsid w:val="00E83D82"/>
    <w:rsid w:val="00E8400B"/>
    <w:rsid w:val="00E84370"/>
    <w:rsid w:val="00E8458A"/>
    <w:rsid w:val="00E847A1"/>
    <w:rsid w:val="00E849F4"/>
    <w:rsid w:val="00E84A7E"/>
    <w:rsid w:val="00E850FD"/>
    <w:rsid w:val="00E85706"/>
    <w:rsid w:val="00E85CCE"/>
    <w:rsid w:val="00E85F0E"/>
    <w:rsid w:val="00E85F4A"/>
    <w:rsid w:val="00E871F4"/>
    <w:rsid w:val="00E8752F"/>
    <w:rsid w:val="00E87543"/>
    <w:rsid w:val="00E8775E"/>
    <w:rsid w:val="00E9067A"/>
    <w:rsid w:val="00E90F70"/>
    <w:rsid w:val="00E9138C"/>
    <w:rsid w:val="00E91828"/>
    <w:rsid w:val="00E923B2"/>
    <w:rsid w:val="00E9282B"/>
    <w:rsid w:val="00E92E7A"/>
    <w:rsid w:val="00E93347"/>
    <w:rsid w:val="00E9387A"/>
    <w:rsid w:val="00E945F0"/>
    <w:rsid w:val="00E953EC"/>
    <w:rsid w:val="00E9542F"/>
    <w:rsid w:val="00E95AA4"/>
    <w:rsid w:val="00E96618"/>
    <w:rsid w:val="00E96747"/>
    <w:rsid w:val="00E968FF"/>
    <w:rsid w:val="00E977F4"/>
    <w:rsid w:val="00E97EB6"/>
    <w:rsid w:val="00EA06D6"/>
    <w:rsid w:val="00EA14EF"/>
    <w:rsid w:val="00EA27D2"/>
    <w:rsid w:val="00EA33CF"/>
    <w:rsid w:val="00EA3BF2"/>
    <w:rsid w:val="00EA4550"/>
    <w:rsid w:val="00EA4CCE"/>
    <w:rsid w:val="00EB013B"/>
    <w:rsid w:val="00EB0A6B"/>
    <w:rsid w:val="00EB0AAA"/>
    <w:rsid w:val="00EB0E62"/>
    <w:rsid w:val="00EB1A75"/>
    <w:rsid w:val="00EB1CF7"/>
    <w:rsid w:val="00EB1EBD"/>
    <w:rsid w:val="00EB2302"/>
    <w:rsid w:val="00EB23EA"/>
    <w:rsid w:val="00EB265B"/>
    <w:rsid w:val="00EB2DD7"/>
    <w:rsid w:val="00EB34C7"/>
    <w:rsid w:val="00EB3DDD"/>
    <w:rsid w:val="00EB3EC2"/>
    <w:rsid w:val="00EB5AF0"/>
    <w:rsid w:val="00EB79A4"/>
    <w:rsid w:val="00EC00D5"/>
    <w:rsid w:val="00EC01ED"/>
    <w:rsid w:val="00EC1ABE"/>
    <w:rsid w:val="00EC1F1D"/>
    <w:rsid w:val="00EC2ACB"/>
    <w:rsid w:val="00EC3AD5"/>
    <w:rsid w:val="00EC3FBD"/>
    <w:rsid w:val="00EC4EC0"/>
    <w:rsid w:val="00EC62DE"/>
    <w:rsid w:val="00EC6740"/>
    <w:rsid w:val="00EC6A5F"/>
    <w:rsid w:val="00EC7950"/>
    <w:rsid w:val="00ED0DFC"/>
    <w:rsid w:val="00ED1382"/>
    <w:rsid w:val="00ED144F"/>
    <w:rsid w:val="00ED17D3"/>
    <w:rsid w:val="00ED2092"/>
    <w:rsid w:val="00ED2C92"/>
    <w:rsid w:val="00ED326C"/>
    <w:rsid w:val="00ED3926"/>
    <w:rsid w:val="00ED3A90"/>
    <w:rsid w:val="00ED48F3"/>
    <w:rsid w:val="00ED5223"/>
    <w:rsid w:val="00ED5390"/>
    <w:rsid w:val="00ED54AE"/>
    <w:rsid w:val="00ED57B2"/>
    <w:rsid w:val="00ED5C20"/>
    <w:rsid w:val="00ED5E30"/>
    <w:rsid w:val="00ED6599"/>
    <w:rsid w:val="00ED675F"/>
    <w:rsid w:val="00ED67D2"/>
    <w:rsid w:val="00ED7DF2"/>
    <w:rsid w:val="00EE008C"/>
    <w:rsid w:val="00EE02D9"/>
    <w:rsid w:val="00EE0D5B"/>
    <w:rsid w:val="00EE1D32"/>
    <w:rsid w:val="00EE1F8B"/>
    <w:rsid w:val="00EE2624"/>
    <w:rsid w:val="00EE3EA0"/>
    <w:rsid w:val="00EE468C"/>
    <w:rsid w:val="00EE6DC3"/>
    <w:rsid w:val="00EE7415"/>
    <w:rsid w:val="00EE78DD"/>
    <w:rsid w:val="00EE7AEC"/>
    <w:rsid w:val="00EF0198"/>
    <w:rsid w:val="00EF09DB"/>
    <w:rsid w:val="00EF3165"/>
    <w:rsid w:val="00EF3328"/>
    <w:rsid w:val="00EF3A71"/>
    <w:rsid w:val="00EF3CBF"/>
    <w:rsid w:val="00EF3E8C"/>
    <w:rsid w:val="00EF408F"/>
    <w:rsid w:val="00EF42D1"/>
    <w:rsid w:val="00EF496F"/>
    <w:rsid w:val="00EF4C69"/>
    <w:rsid w:val="00EF57B1"/>
    <w:rsid w:val="00EF5C11"/>
    <w:rsid w:val="00EF5EE9"/>
    <w:rsid w:val="00EF76D1"/>
    <w:rsid w:val="00EF79F2"/>
    <w:rsid w:val="00F01936"/>
    <w:rsid w:val="00F025E5"/>
    <w:rsid w:val="00F04B6A"/>
    <w:rsid w:val="00F04B84"/>
    <w:rsid w:val="00F04CB5"/>
    <w:rsid w:val="00F05175"/>
    <w:rsid w:val="00F05F58"/>
    <w:rsid w:val="00F07041"/>
    <w:rsid w:val="00F073B4"/>
    <w:rsid w:val="00F10951"/>
    <w:rsid w:val="00F10C28"/>
    <w:rsid w:val="00F10D9A"/>
    <w:rsid w:val="00F11E24"/>
    <w:rsid w:val="00F12575"/>
    <w:rsid w:val="00F1291A"/>
    <w:rsid w:val="00F12C3B"/>
    <w:rsid w:val="00F12D75"/>
    <w:rsid w:val="00F12FD3"/>
    <w:rsid w:val="00F13479"/>
    <w:rsid w:val="00F136F4"/>
    <w:rsid w:val="00F13C97"/>
    <w:rsid w:val="00F14B9F"/>
    <w:rsid w:val="00F158F2"/>
    <w:rsid w:val="00F15B0B"/>
    <w:rsid w:val="00F15F5B"/>
    <w:rsid w:val="00F16B97"/>
    <w:rsid w:val="00F16D9C"/>
    <w:rsid w:val="00F179E4"/>
    <w:rsid w:val="00F17F8D"/>
    <w:rsid w:val="00F20F07"/>
    <w:rsid w:val="00F21CD3"/>
    <w:rsid w:val="00F22BAC"/>
    <w:rsid w:val="00F236E0"/>
    <w:rsid w:val="00F23B81"/>
    <w:rsid w:val="00F24F15"/>
    <w:rsid w:val="00F30004"/>
    <w:rsid w:val="00F31651"/>
    <w:rsid w:val="00F3199E"/>
    <w:rsid w:val="00F31B12"/>
    <w:rsid w:val="00F3239E"/>
    <w:rsid w:val="00F32BC9"/>
    <w:rsid w:val="00F32D34"/>
    <w:rsid w:val="00F334B3"/>
    <w:rsid w:val="00F334D1"/>
    <w:rsid w:val="00F3376F"/>
    <w:rsid w:val="00F33C73"/>
    <w:rsid w:val="00F34EF0"/>
    <w:rsid w:val="00F34F34"/>
    <w:rsid w:val="00F36361"/>
    <w:rsid w:val="00F36B78"/>
    <w:rsid w:val="00F36CE4"/>
    <w:rsid w:val="00F37139"/>
    <w:rsid w:val="00F37FB4"/>
    <w:rsid w:val="00F41984"/>
    <w:rsid w:val="00F41ECD"/>
    <w:rsid w:val="00F4207C"/>
    <w:rsid w:val="00F44D26"/>
    <w:rsid w:val="00F44F1F"/>
    <w:rsid w:val="00F45725"/>
    <w:rsid w:val="00F45732"/>
    <w:rsid w:val="00F4739B"/>
    <w:rsid w:val="00F47CB9"/>
    <w:rsid w:val="00F47F84"/>
    <w:rsid w:val="00F500B8"/>
    <w:rsid w:val="00F50603"/>
    <w:rsid w:val="00F51467"/>
    <w:rsid w:val="00F521E1"/>
    <w:rsid w:val="00F52235"/>
    <w:rsid w:val="00F52611"/>
    <w:rsid w:val="00F5268B"/>
    <w:rsid w:val="00F52BC3"/>
    <w:rsid w:val="00F52EA7"/>
    <w:rsid w:val="00F530C5"/>
    <w:rsid w:val="00F54374"/>
    <w:rsid w:val="00F5452A"/>
    <w:rsid w:val="00F55AD7"/>
    <w:rsid w:val="00F56A89"/>
    <w:rsid w:val="00F56E3D"/>
    <w:rsid w:val="00F56ED7"/>
    <w:rsid w:val="00F62F5D"/>
    <w:rsid w:val="00F63807"/>
    <w:rsid w:val="00F644ED"/>
    <w:rsid w:val="00F6460D"/>
    <w:rsid w:val="00F65432"/>
    <w:rsid w:val="00F65446"/>
    <w:rsid w:val="00F65478"/>
    <w:rsid w:val="00F65734"/>
    <w:rsid w:val="00F65EA1"/>
    <w:rsid w:val="00F66015"/>
    <w:rsid w:val="00F66849"/>
    <w:rsid w:val="00F678A9"/>
    <w:rsid w:val="00F678C3"/>
    <w:rsid w:val="00F67971"/>
    <w:rsid w:val="00F67A25"/>
    <w:rsid w:val="00F70280"/>
    <w:rsid w:val="00F7037B"/>
    <w:rsid w:val="00F7173F"/>
    <w:rsid w:val="00F717D9"/>
    <w:rsid w:val="00F73313"/>
    <w:rsid w:val="00F74CD5"/>
    <w:rsid w:val="00F74CDC"/>
    <w:rsid w:val="00F75118"/>
    <w:rsid w:val="00F7554D"/>
    <w:rsid w:val="00F75989"/>
    <w:rsid w:val="00F75C6E"/>
    <w:rsid w:val="00F769A5"/>
    <w:rsid w:val="00F76E6E"/>
    <w:rsid w:val="00F77596"/>
    <w:rsid w:val="00F77BD0"/>
    <w:rsid w:val="00F77F5D"/>
    <w:rsid w:val="00F80246"/>
    <w:rsid w:val="00F80261"/>
    <w:rsid w:val="00F81851"/>
    <w:rsid w:val="00F81C6B"/>
    <w:rsid w:val="00F821C6"/>
    <w:rsid w:val="00F823E2"/>
    <w:rsid w:val="00F83DE9"/>
    <w:rsid w:val="00F84C7D"/>
    <w:rsid w:val="00F84E46"/>
    <w:rsid w:val="00F861B2"/>
    <w:rsid w:val="00F864E4"/>
    <w:rsid w:val="00F865EB"/>
    <w:rsid w:val="00F87B67"/>
    <w:rsid w:val="00F87B9C"/>
    <w:rsid w:val="00F900D9"/>
    <w:rsid w:val="00F90933"/>
    <w:rsid w:val="00F909C7"/>
    <w:rsid w:val="00F91189"/>
    <w:rsid w:val="00F915E6"/>
    <w:rsid w:val="00F9209D"/>
    <w:rsid w:val="00F92B4C"/>
    <w:rsid w:val="00F93394"/>
    <w:rsid w:val="00F93CBE"/>
    <w:rsid w:val="00F949AC"/>
    <w:rsid w:val="00F94A46"/>
    <w:rsid w:val="00F94B1F"/>
    <w:rsid w:val="00F94C17"/>
    <w:rsid w:val="00F94F19"/>
    <w:rsid w:val="00F95F22"/>
    <w:rsid w:val="00F966CA"/>
    <w:rsid w:val="00F97421"/>
    <w:rsid w:val="00F974AC"/>
    <w:rsid w:val="00FA04D3"/>
    <w:rsid w:val="00FA095F"/>
    <w:rsid w:val="00FA1F68"/>
    <w:rsid w:val="00FA261A"/>
    <w:rsid w:val="00FA2F99"/>
    <w:rsid w:val="00FA356D"/>
    <w:rsid w:val="00FA43D0"/>
    <w:rsid w:val="00FA4849"/>
    <w:rsid w:val="00FA6314"/>
    <w:rsid w:val="00FA6640"/>
    <w:rsid w:val="00FA66AF"/>
    <w:rsid w:val="00FA6FE8"/>
    <w:rsid w:val="00FA7BD0"/>
    <w:rsid w:val="00FB0A37"/>
    <w:rsid w:val="00FB0DB8"/>
    <w:rsid w:val="00FB0DED"/>
    <w:rsid w:val="00FB19B3"/>
    <w:rsid w:val="00FB251D"/>
    <w:rsid w:val="00FB2A4F"/>
    <w:rsid w:val="00FB3478"/>
    <w:rsid w:val="00FB3A55"/>
    <w:rsid w:val="00FB3DCB"/>
    <w:rsid w:val="00FB4237"/>
    <w:rsid w:val="00FB4E5F"/>
    <w:rsid w:val="00FB74BF"/>
    <w:rsid w:val="00FB7CD8"/>
    <w:rsid w:val="00FC07EA"/>
    <w:rsid w:val="00FC08B4"/>
    <w:rsid w:val="00FC0CE4"/>
    <w:rsid w:val="00FC1098"/>
    <w:rsid w:val="00FC126D"/>
    <w:rsid w:val="00FC1983"/>
    <w:rsid w:val="00FC1B45"/>
    <w:rsid w:val="00FC2187"/>
    <w:rsid w:val="00FC2601"/>
    <w:rsid w:val="00FC2710"/>
    <w:rsid w:val="00FC2CF2"/>
    <w:rsid w:val="00FC3B1C"/>
    <w:rsid w:val="00FC436C"/>
    <w:rsid w:val="00FC4ED3"/>
    <w:rsid w:val="00FC5A85"/>
    <w:rsid w:val="00FC5C5B"/>
    <w:rsid w:val="00FC5E02"/>
    <w:rsid w:val="00FC5E2B"/>
    <w:rsid w:val="00FC67A6"/>
    <w:rsid w:val="00FC6A07"/>
    <w:rsid w:val="00FC7028"/>
    <w:rsid w:val="00FC78C4"/>
    <w:rsid w:val="00FC7EAA"/>
    <w:rsid w:val="00FD0467"/>
    <w:rsid w:val="00FD0D91"/>
    <w:rsid w:val="00FD139F"/>
    <w:rsid w:val="00FD1E02"/>
    <w:rsid w:val="00FD282A"/>
    <w:rsid w:val="00FD3023"/>
    <w:rsid w:val="00FD3191"/>
    <w:rsid w:val="00FD3C15"/>
    <w:rsid w:val="00FD4CE0"/>
    <w:rsid w:val="00FD556D"/>
    <w:rsid w:val="00FD5570"/>
    <w:rsid w:val="00FD63E0"/>
    <w:rsid w:val="00FD7828"/>
    <w:rsid w:val="00FD7BFE"/>
    <w:rsid w:val="00FE00A7"/>
    <w:rsid w:val="00FE12E8"/>
    <w:rsid w:val="00FE1508"/>
    <w:rsid w:val="00FE2290"/>
    <w:rsid w:val="00FE2A9A"/>
    <w:rsid w:val="00FE2E78"/>
    <w:rsid w:val="00FE39B8"/>
    <w:rsid w:val="00FE3A21"/>
    <w:rsid w:val="00FE49DE"/>
    <w:rsid w:val="00FE4B0D"/>
    <w:rsid w:val="00FE5580"/>
    <w:rsid w:val="00FE569E"/>
    <w:rsid w:val="00FE656E"/>
    <w:rsid w:val="00FE6FAB"/>
    <w:rsid w:val="00FE7375"/>
    <w:rsid w:val="00FF065C"/>
    <w:rsid w:val="00FF0C52"/>
    <w:rsid w:val="00FF0DB4"/>
    <w:rsid w:val="00FF1106"/>
    <w:rsid w:val="00FF202A"/>
    <w:rsid w:val="00FF3F60"/>
    <w:rsid w:val="00FF50F7"/>
    <w:rsid w:val="00FF56E1"/>
    <w:rsid w:val="00FF6701"/>
    <w:rsid w:val="00FF68F7"/>
    <w:rsid w:val="00FF6FA3"/>
    <w:rsid w:val="00FF743A"/>
    <w:rsid w:val="00FF7695"/>
    <w:rsid w:val="00FF795B"/>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1D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CCC"/>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Default"/>
    <w:next w:val="Paragraphtext"/>
    <w:link w:val="Heading2Char"/>
    <w:uiPriority w:val="9"/>
    <w:unhideWhenUsed/>
    <w:qFormat/>
    <w:rsid w:val="00481FE5"/>
    <w:pPr>
      <w:keepNext/>
      <w:spacing w:before="240" w:after="200" w:line="360" w:lineRule="auto"/>
      <w:jc w:val="both"/>
      <w:outlineLvl w:val="1"/>
    </w:pPr>
    <w:rPr>
      <w:b/>
      <w:sz w:val="28"/>
    </w:rPr>
  </w:style>
  <w:style w:type="paragraph" w:styleId="Heading3">
    <w:name w:val="heading 3"/>
    <w:basedOn w:val="Default"/>
    <w:next w:val="Paragraphtext"/>
    <w:link w:val="Heading3Char"/>
    <w:uiPriority w:val="9"/>
    <w:unhideWhenUsed/>
    <w:qFormat/>
    <w:rsid w:val="00481FE5"/>
    <w:pPr>
      <w:keepNext/>
      <w:spacing w:before="240" w:after="200" w:line="360" w:lineRule="auto"/>
      <w:jc w:val="both"/>
      <w:outlineLvl w:val="2"/>
    </w:pPr>
    <w:rPr>
      <w:i/>
    </w:rPr>
  </w:style>
  <w:style w:type="paragraph" w:styleId="Heading4">
    <w:name w:val="heading 4"/>
    <w:basedOn w:val="Heading3"/>
    <w:next w:val="Normal"/>
    <w:link w:val="Heading4Char"/>
    <w:uiPriority w:val="9"/>
    <w:unhideWhenUsed/>
    <w:qFormat/>
    <w:rsid w:val="000D17D8"/>
    <w:pPr>
      <w:spacing w:before="200"/>
      <w:outlineLvl w:val="3"/>
    </w:pPr>
    <w:rPr>
      <w:bCs/>
      <w:i w:val="0"/>
      <w:iCs/>
      <w:u w:val="single"/>
    </w:rPr>
  </w:style>
  <w:style w:type="paragraph" w:styleId="Heading5">
    <w:name w:val="heading 5"/>
    <w:basedOn w:val="Heading4"/>
    <w:next w:val="Normal"/>
    <w:link w:val="Heading5Char"/>
    <w:uiPriority w:val="9"/>
    <w:unhideWhenUsed/>
    <w:qFormat/>
    <w:rsid w:val="00444BF0"/>
    <w:pPr>
      <w:spacing w:before="120"/>
      <w:outlineLvl w:val="4"/>
    </w:pPr>
  </w:style>
  <w:style w:type="paragraph" w:styleId="Heading6">
    <w:name w:val="heading 6"/>
    <w:basedOn w:val="Heading5"/>
    <w:next w:val="Normal"/>
    <w:link w:val="Heading6Char"/>
    <w:uiPriority w:val="9"/>
    <w:unhideWhenUsed/>
    <w:qFormat/>
    <w:rsid w:val="00677A36"/>
    <w:pPr>
      <w:outlineLvl w:val="5"/>
    </w:pPr>
    <w:rPr>
      <w:b/>
      <w:i/>
    </w:rPr>
  </w:style>
  <w:style w:type="paragraph" w:styleId="Heading7">
    <w:name w:val="heading 7"/>
    <w:basedOn w:val="Heading6"/>
    <w:next w:val="Normal"/>
    <w:link w:val="Heading7Char"/>
    <w:uiPriority w:val="9"/>
    <w:semiHidden/>
    <w:unhideWhenUsed/>
    <w:rsid w:val="00444BF0"/>
    <w:pPr>
      <w:spacing w:before="200" w:after="120" w:line="288" w:lineRule="auto"/>
      <w:outlineLvl w:val="6"/>
    </w:pPr>
    <w:rPr>
      <w:b w:val="0"/>
      <w:i w:val="0"/>
      <w:color w:val="40404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81FE5"/>
    <w:rPr>
      <w:rFonts w:ascii="Times New Roman" w:hAnsi="Times New Roman"/>
      <w:b/>
      <w:color w:val="000000"/>
      <w:sz w:val="28"/>
      <w:szCs w:val="24"/>
    </w:rPr>
  </w:style>
  <w:style w:type="character" w:customStyle="1" w:styleId="Heading4Char">
    <w:name w:val="Heading 4 Char"/>
    <w:link w:val="Heading4"/>
    <w:uiPriority w:val="9"/>
    <w:rsid w:val="000D17D8"/>
    <w:rPr>
      <w:rFonts w:ascii="Times New Roman" w:hAnsi="Times New Roman"/>
      <w:bCs/>
      <w:iCs/>
      <w:color w:val="000000"/>
      <w:sz w:val="24"/>
      <w:szCs w:val="24"/>
      <w:u w:val="single"/>
    </w:rPr>
  </w:style>
  <w:style w:type="paragraph" w:customStyle="1" w:styleId="Bullet">
    <w:name w:val="Bullet"/>
    <w:basedOn w:val="Normal"/>
    <w:link w:val="BulletChar"/>
    <w:rsid w:val="006E4003"/>
    <w:pPr>
      <w:numPr>
        <w:numId w:val="1"/>
      </w:numPr>
      <w:tabs>
        <w:tab w:val="left" w:pos="1935"/>
      </w:tabs>
      <w:spacing w:before="120" w:line="240" w:lineRule="auto"/>
    </w:pPr>
    <w:rPr>
      <w:sz w:val="24"/>
    </w:rPr>
  </w:style>
  <w:style w:type="character" w:customStyle="1" w:styleId="BulletChar">
    <w:name w:val="Bullet Char"/>
    <w:link w:val="Bullet"/>
    <w:rsid w:val="006E4003"/>
    <w:rPr>
      <w:sz w:val="24"/>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iCs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iCs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81FE5"/>
    <w:rPr>
      <w:rFonts w:ascii="Times New Roman" w:hAnsi="Times New Roman"/>
      <w:i/>
      <w:color w:val="000000"/>
      <w:sz w:val="24"/>
      <w:szCs w:val="24"/>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aliases w:val=" Char"/>
    <w:basedOn w:val="Normal"/>
    <w:link w:val="FootnoteTextChar"/>
    <w:uiPriority w:val="99"/>
    <w:unhideWhenUsed/>
    <w:rsid w:val="0095692B"/>
    <w:pPr>
      <w:spacing w:line="240" w:lineRule="auto"/>
      <w:ind w:left="567" w:hanging="567"/>
    </w:pPr>
    <w:rPr>
      <w:rFonts w:ascii="Times New Roman" w:hAnsi="Times New Roman"/>
      <w:sz w:val="20"/>
      <w:szCs w:val="20"/>
    </w:rPr>
  </w:style>
  <w:style w:type="character" w:customStyle="1" w:styleId="FootnoteTextChar">
    <w:name w:val="Footnote Text Char"/>
    <w:aliases w:val=" Char Char"/>
    <w:link w:val="FootnoteText"/>
    <w:uiPriority w:val="99"/>
    <w:rsid w:val="0095692B"/>
    <w:rPr>
      <w:rFonts w:ascii="Times New Roman" w:hAnsi="Times New Roman"/>
      <w:sz w:val="20"/>
      <w:szCs w:val="20"/>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C7DAF"/>
    <w:pPr>
      <w:autoSpaceDE w:val="0"/>
      <w:autoSpaceDN w:val="0"/>
      <w:adjustRightInd w:val="0"/>
      <w:spacing w:after="0" w:line="240" w:lineRule="auto"/>
      <w:ind w:left="1134"/>
      <w:jc w:val="both"/>
    </w:pPr>
    <w:rPr>
      <w:rFonts w:ascii="Times New Roman" w:hAnsi="Times New Roman"/>
      <w:i/>
      <w:sz w:val="24"/>
      <w:szCs w:val="24"/>
    </w:rPr>
  </w:style>
  <w:style w:type="character" w:customStyle="1" w:styleId="QuoteChar">
    <w:name w:val="Quote Char"/>
    <w:link w:val="Quote"/>
    <w:uiPriority w:val="29"/>
    <w:rsid w:val="006C7DAF"/>
    <w:rPr>
      <w:rFonts w:ascii="Times New Roman" w:hAnsi="Times New Roman"/>
      <w:i/>
      <w:sz w:val="24"/>
      <w:szCs w:val="24"/>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link w:val="ListBulletChar"/>
    <w:uiPriority w:val="99"/>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rFonts w:cstheme="minorBidi"/>
      <w:b/>
      <w:sz w:val="20"/>
    </w:rPr>
  </w:style>
  <w:style w:type="paragraph" w:customStyle="1" w:styleId="TableRowHeading">
    <w:name w:val="Table Row Heading"/>
    <w:basedOn w:val="Normal"/>
    <w:rsid w:val="00677A36"/>
    <w:pPr>
      <w:keepNext/>
      <w:widowControl w:val="0"/>
      <w:spacing w:before="120" w:line="240" w:lineRule="auto"/>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Autospacing="0" w:afterLines="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customStyle="1" w:styleId="Default">
    <w:name w:val="Default"/>
    <w:link w:val="DefaultChar"/>
    <w:rsid w:val="008E746F"/>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semiHidden/>
    <w:unhideWhenUsed/>
    <w:rsid w:val="00D3394F"/>
    <w:rPr>
      <w:sz w:val="16"/>
      <w:szCs w:val="16"/>
    </w:rPr>
  </w:style>
  <w:style w:type="paragraph" w:styleId="CommentText">
    <w:name w:val="annotation text"/>
    <w:basedOn w:val="Normal"/>
    <w:link w:val="CommentTextChar"/>
    <w:semiHidden/>
    <w:unhideWhenUsed/>
    <w:rsid w:val="00D3394F"/>
    <w:pPr>
      <w:spacing w:line="240" w:lineRule="auto"/>
    </w:pPr>
    <w:rPr>
      <w:sz w:val="20"/>
      <w:szCs w:val="20"/>
    </w:rPr>
  </w:style>
  <w:style w:type="character" w:customStyle="1" w:styleId="CommentTextChar">
    <w:name w:val="Comment Text Char"/>
    <w:basedOn w:val="DefaultParagraphFont"/>
    <w:link w:val="CommentText"/>
    <w:semiHidden/>
    <w:rsid w:val="00D3394F"/>
    <w:rPr>
      <w:sz w:val="20"/>
      <w:szCs w:val="20"/>
    </w:rPr>
  </w:style>
  <w:style w:type="paragraph" w:styleId="NormalWeb">
    <w:name w:val="Normal (Web)"/>
    <w:basedOn w:val="Normal"/>
    <w:rsid w:val="00840C01"/>
    <w:pPr>
      <w:spacing w:before="100" w:beforeAutospacing="1" w:after="100" w:afterAutospacing="1" w:line="240" w:lineRule="auto"/>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71366"/>
    <w:rPr>
      <w:b/>
      <w:bCs/>
    </w:rPr>
  </w:style>
  <w:style w:type="character" w:customStyle="1" w:styleId="CommentSubjectChar">
    <w:name w:val="Comment Subject Char"/>
    <w:basedOn w:val="CommentTextChar"/>
    <w:link w:val="CommentSubject"/>
    <w:uiPriority w:val="99"/>
    <w:semiHidden/>
    <w:rsid w:val="00E71366"/>
    <w:rPr>
      <w:b/>
      <w:bCs/>
      <w:sz w:val="20"/>
      <w:szCs w:val="20"/>
    </w:rPr>
  </w:style>
  <w:style w:type="character" w:styleId="HTMLCite">
    <w:name w:val="HTML Cite"/>
    <w:basedOn w:val="DefaultParagraphFont"/>
    <w:uiPriority w:val="99"/>
    <w:semiHidden/>
    <w:unhideWhenUsed/>
    <w:rsid w:val="004538F3"/>
    <w:rPr>
      <w:i/>
      <w:iCs/>
    </w:rPr>
  </w:style>
  <w:style w:type="paragraph" w:customStyle="1" w:styleId="Paragraphtext">
    <w:name w:val="Paragraph text"/>
    <w:basedOn w:val="Default"/>
    <w:link w:val="ParagraphtextChar"/>
    <w:qFormat/>
    <w:rsid w:val="00E62D2A"/>
    <w:pPr>
      <w:widowControl w:val="0"/>
      <w:numPr>
        <w:numId w:val="12"/>
      </w:numPr>
      <w:spacing w:before="240" w:after="200" w:line="360" w:lineRule="auto"/>
      <w:jc w:val="both"/>
    </w:pPr>
  </w:style>
  <w:style w:type="paragraph" w:styleId="Revision">
    <w:name w:val="Revision"/>
    <w:hidden/>
    <w:uiPriority w:val="99"/>
    <w:semiHidden/>
    <w:rsid w:val="004A5DE2"/>
    <w:pPr>
      <w:spacing w:after="0" w:line="240" w:lineRule="auto"/>
    </w:pPr>
  </w:style>
  <w:style w:type="paragraph" w:customStyle="1" w:styleId="Paragraphlist">
    <w:name w:val="Paragraph list"/>
    <w:basedOn w:val="Paragraphtext"/>
    <w:qFormat/>
    <w:rsid w:val="00E13C15"/>
    <w:pPr>
      <w:numPr>
        <w:numId w:val="10"/>
      </w:numPr>
      <w:ind w:left="567" w:hanging="567"/>
    </w:pPr>
  </w:style>
  <w:style w:type="paragraph" w:customStyle="1" w:styleId="Quotes">
    <w:name w:val="Quotes"/>
    <w:basedOn w:val="Default"/>
    <w:qFormat/>
    <w:rsid w:val="000326BC"/>
    <w:pPr>
      <w:spacing w:before="240" w:after="200"/>
      <w:ind w:left="720"/>
      <w:jc w:val="both"/>
    </w:pPr>
    <w:rPr>
      <w:i/>
    </w:rPr>
  </w:style>
  <w:style w:type="paragraph" w:customStyle="1" w:styleId="RIStext">
    <w:name w:val="RIS text"/>
    <w:basedOn w:val="Default"/>
    <w:qFormat/>
    <w:rsid w:val="00516F02"/>
    <w:pPr>
      <w:spacing w:before="240" w:after="200" w:line="360" w:lineRule="auto"/>
      <w:jc w:val="both"/>
    </w:pPr>
  </w:style>
  <w:style w:type="paragraph" w:customStyle="1" w:styleId="Dotpoints">
    <w:name w:val="Dot points"/>
    <w:basedOn w:val="Default"/>
    <w:qFormat/>
    <w:rsid w:val="006C7DAF"/>
    <w:pPr>
      <w:numPr>
        <w:numId w:val="11"/>
      </w:numPr>
      <w:spacing w:before="240" w:after="200" w:line="360" w:lineRule="auto"/>
      <w:jc w:val="both"/>
    </w:pPr>
  </w:style>
  <w:style w:type="table" w:customStyle="1" w:styleId="LightGrid1">
    <w:name w:val="Light Grid1"/>
    <w:basedOn w:val="TableNormal"/>
    <w:next w:val="LightGrid"/>
    <w:uiPriority w:val="62"/>
    <w:rsid w:val="00A00C56"/>
    <w:pPr>
      <w:spacing w:after="0" w:line="240" w:lineRule="auto"/>
    </w:pPr>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A00C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Textform">
    <w:name w:val="TableText form"/>
    <w:basedOn w:val="Normal"/>
    <w:qFormat/>
    <w:rsid w:val="001C31C7"/>
    <w:pPr>
      <w:spacing w:before="40" w:after="240" w:line="240" w:lineRule="auto"/>
    </w:pPr>
    <w:rPr>
      <w:rFonts w:ascii="Arial" w:eastAsiaTheme="majorEastAsia" w:hAnsi="Arial" w:cs="Arial"/>
      <w:bCs/>
      <w:sz w:val="20"/>
      <w:szCs w:val="20"/>
    </w:rPr>
  </w:style>
  <w:style w:type="character" w:customStyle="1" w:styleId="ListBulletChar">
    <w:name w:val="List Bullet Char"/>
    <w:basedOn w:val="DefaultParagraphFont"/>
    <w:link w:val="ListBullet"/>
    <w:uiPriority w:val="99"/>
    <w:rsid w:val="00054373"/>
  </w:style>
  <w:style w:type="paragraph" w:customStyle="1" w:styleId="TableText">
    <w:name w:val="TableText"/>
    <w:basedOn w:val="Normal"/>
    <w:uiPriority w:val="99"/>
    <w:rsid w:val="007E6EC4"/>
    <w:pPr>
      <w:spacing w:before="120" w:line="240" w:lineRule="auto"/>
    </w:pPr>
    <w:rPr>
      <w:rFonts w:ascii="Arial" w:hAnsi="Arial" w:cs="Arial"/>
      <w:sz w:val="20"/>
      <w:szCs w:val="20"/>
    </w:rPr>
  </w:style>
  <w:style w:type="table" w:customStyle="1" w:styleId="TableGrid1">
    <w:name w:val="Table Grid1"/>
    <w:basedOn w:val="TableNormal"/>
    <w:next w:val="TableGrid"/>
    <w:rsid w:val="002F407C"/>
    <w:pPr>
      <w:spacing w:after="0" w:line="240" w:lineRule="auto"/>
    </w:pPr>
    <w:rPr>
      <w:rFonts w:eastAsia="Trebuchet MS"/>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PRAPPG">
    <w:name w:val="APRA PPG"/>
    <w:uiPriority w:val="99"/>
    <w:rsid w:val="000A6D53"/>
    <w:pPr>
      <w:numPr>
        <w:numId w:val="22"/>
      </w:numPr>
    </w:pPr>
  </w:style>
  <w:style w:type="paragraph" w:customStyle="1" w:styleId="Heading20">
    <w:name w:val="Heading2"/>
    <w:basedOn w:val="Default"/>
    <w:link w:val="Heading2Char0"/>
    <w:qFormat/>
    <w:rsid w:val="00B71EBB"/>
    <w:pPr>
      <w:spacing w:after="120"/>
    </w:pPr>
    <w:rPr>
      <w:rFonts w:asciiTheme="majorHAnsi" w:hAnsiTheme="majorHAnsi"/>
      <w:b/>
      <w:bCs/>
      <w:sz w:val="32"/>
      <w:szCs w:val="32"/>
    </w:rPr>
  </w:style>
  <w:style w:type="paragraph" w:customStyle="1" w:styleId="Heading10">
    <w:name w:val="Heading1"/>
    <w:basedOn w:val="Default"/>
    <w:link w:val="Heading1Char0"/>
    <w:qFormat/>
    <w:rsid w:val="00717BF0"/>
    <w:pPr>
      <w:spacing w:after="120" w:line="360" w:lineRule="auto"/>
      <w:ind w:left="567" w:hanging="567"/>
    </w:pPr>
    <w:rPr>
      <w:b/>
      <w:bCs/>
      <w:sz w:val="40"/>
      <w:szCs w:val="40"/>
    </w:rPr>
  </w:style>
  <w:style w:type="character" w:customStyle="1" w:styleId="DefaultChar">
    <w:name w:val="Default Char"/>
    <w:basedOn w:val="DefaultParagraphFont"/>
    <w:link w:val="Default"/>
    <w:rsid w:val="00B71EBB"/>
    <w:rPr>
      <w:rFonts w:ascii="Times New Roman" w:hAnsi="Times New Roman"/>
      <w:color w:val="000000"/>
      <w:sz w:val="24"/>
      <w:szCs w:val="24"/>
    </w:rPr>
  </w:style>
  <w:style w:type="character" w:customStyle="1" w:styleId="Heading2Char0">
    <w:name w:val="Heading2 Char"/>
    <w:basedOn w:val="DefaultChar"/>
    <w:link w:val="Heading20"/>
    <w:rsid w:val="00B71EBB"/>
    <w:rPr>
      <w:rFonts w:asciiTheme="majorHAnsi" w:hAnsiTheme="majorHAnsi"/>
      <w:b/>
      <w:bCs/>
      <w:color w:val="000000"/>
      <w:sz w:val="32"/>
      <w:szCs w:val="32"/>
    </w:rPr>
  </w:style>
  <w:style w:type="paragraph" w:customStyle="1" w:styleId="RISHeader2">
    <w:name w:val="RIS Header 2"/>
    <w:basedOn w:val="Default"/>
    <w:link w:val="RISHeader2Char"/>
    <w:qFormat/>
    <w:rsid w:val="00717BF0"/>
    <w:pPr>
      <w:spacing w:after="120"/>
    </w:pPr>
    <w:rPr>
      <w:b/>
      <w:bCs/>
      <w:sz w:val="32"/>
      <w:szCs w:val="32"/>
    </w:rPr>
  </w:style>
  <w:style w:type="character" w:customStyle="1" w:styleId="Heading1Char0">
    <w:name w:val="Heading1 Char"/>
    <w:basedOn w:val="DefaultChar"/>
    <w:link w:val="Heading10"/>
    <w:rsid w:val="00717BF0"/>
    <w:rPr>
      <w:rFonts w:ascii="Times New Roman" w:hAnsi="Times New Roman"/>
      <w:b/>
      <w:bCs/>
      <w:color w:val="000000"/>
      <w:sz w:val="40"/>
      <w:szCs w:val="40"/>
    </w:rPr>
  </w:style>
  <w:style w:type="paragraph" w:customStyle="1" w:styleId="RISHeader1">
    <w:name w:val="RIS Header 1"/>
    <w:basedOn w:val="Heading10"/>
    <w:link w:val="RISHeader1Char"/>
    <w:qFormat/>
    <w:rsid w:val="00717BF0"/>
  </w:style>
  <w:style w:type="character" w:customStyle="1" w:styleId="RISHeader2Char">
    <w:name w:val="RIS Header 2 Char"/>
    <w:basedOn w:val="DefaultChar"/>
    <w:link w:val="RISHeader2"/>
    <w:rsid w:val="00717BF0"/>
    <w:rPr>
      <w:rFonts w:ascii="Times New Roman" w:hAnsi="Times New Roman"/>
      <w:b/>
      <w:bCs/>
      <w:color w:val="000000"/>
      <w:sz w:val="32"/>
      <w:szCs w:val="32"/>
    </w:rPr>
  </w:style>
  <w:style w:type="paragraph" w:customStyle="1" w:styleId="RISHeader3">
    <w:name w:val="RIS Header 3"/>
    <w:basedOn w:val="Heading2"/>
    <w:link w:val="RISHeader3Char"/>
    <w:qFormat/>
    <w:rsid w:val="00717BF0"/>
  </w:style>
  <w:style w:type="character" w:customStyle="1" w:styleId="RISHeader1Char">
    <w:name w:val="RIS Header 1 Char"/>
    <w:basedOn w:val="Heading1Char0"/>
    <w:link w:val="RISHeader1"/>
    <w:rsid w:val="00717BF0"/>
    <w:rPr>
      <w:rFonts w:ascii="Times New Roman" w:hAnsi="Times New Roman"/>
      <w:b/>
      <w:bCs/>
      <w:color w:val="000000"/>
      <w:sz w:val="40"/>
      <w:szCs w:val="40"/>
    </w:rPr>
  </w:style>
  <w:style w:type="paragraph" w:customStyle="1" w:styleId="RISHeader4">
    <w:name w:val="RIS Header 4"/>
    <w:basedOn w:val="Default"/>
    <w:link w:val="RISHeader4Char"/>
    <w:qFormat/>
    <w:rsid w:val="00762C24"/>
    <w:pPr>
      <w:keepNext/>
      <w:spacing w:before="240" w:after="200" w:line="360" w:lineRule="auto"/>
      <w:jc w:val="both"/>
    </w:pPr>
    <w:rPr>
      <w:b/>
      <w:color w:val="auto"/>
    </w:rPr>
  </w:style>
  <w:style w:type="character" w:customStyle="1" w:styleId="RISHeader3Char">
    <w:name w:val="RIS Header 3 Char"/>
    <w:basedOn w:val="Heading2Char"/>
    <w:link w:val="RISHeader3"/>
    <w:rsid w:val="00717BF0"/>
    <w:rPr>
      <w:rFonts w:ascii="Times New Roman" w:hAnsi="Times New Roman"/>
      <w:b/>
      <w:color w:val="000000"/>
      <w:sz w:val="28"/>
      <w:szCs w:val="24"/>
    </w:rPr>
  </w:style>
  <w:style w:type="character" w:customStyle="1" w:styleId="RISHeader4Char">
    <w:name w:val="RIS Header 4 Char"/>
    <w:basedOn w:val="DefaultChar"/>
    <w:link w:val="RISHeader4"/>
    <w:rsid w:val="00762C24"/>
    <w:rPr>
      <w:rFonts w:ascii="Times New Roman" w:hAnsi="Times New Roman"/>
      <w:b/>
      <w:color w:val="000000"/>
      <w:sz w:val="24"/>
      <w:szCs w:val="24"/>
    </w:rPr>
  </w:style>
  <w:style w:type="paragraph" w:customStyle="1" w:styleId="RISlist">
    <w:name w:val="RIS list"/>
    <w:basedOn w:val="Paragraphtext"/>
    <w:link w:val="RISlistChar"/>
    <w:qFormat/>
    <w:rsid w:val="003911D4"/>
  </w:style>
  <w:style w:type="character" w:customStyle="1" w:styleId="ParagraphtextChar">
    <w:name w:val="Paragraph text Char"/>
    <w:basedOn w:val="DefaultChar"/>
    <w:link w:val="Paragraphtext"/>
    <w:rsid w:val="003911D4"/>
    <w:rPr>
      <w:rFonts w:ascii="Times New Roman" w:hAnsi="Times New Roman"/>
      <w:color w:val="000000"/>
      <w:sz w:val="24"/>
      <w:szCs w:val="24"/>
    </w:rPr>
  </w:style>
  <w:style w:type="character" w:customStyle="1" w:styleId="RISlistChar">
    <w:name w:val="RIS list Char"/>
    <w:basedOn w:val="ParagraphtextChar"/>
    <w:link w:val="RISlist"/>
    <w:rsid w:val="003911D4"/>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8305">
      <w:bodyDiv w:val="1"/>
      <w:marLeft w:val="0"/>
      <w:marRight w:val="0"/>
      <w:marTop w:val="0"/>
      <w:marBottom w:val="0"/>
      <w:divBdr>
        <w:top w:val="none" w:sz="0" w:space="0" w:color="auto"/>
        <w:left w:val="none" w:sz="0" w:space="0" w:color="auto"/>
        <w:bottom w:val="none" w:sz="0" w:space="0" w:color="auto"/>
        <w:right w:val="none" w:sz="0" w:space="0" w:color="auto"/>
      </w:divBdr>
    </w:div>
    <w:div w:id="163709757">
      <w:bodyDiv w:val="1"/>
      <w:marLeft w:val="5"/>
      <w:marRight w:val="5"/>
      <w:marTop w:val="0"/>
      <w:marBottom w:val="0"/>
      <w:divBdr>
        <w:top w:val="none" w:sz="0" w:space="0" w:color="auto"/>
        <w:left w:val="none" w:sz="0" w:space="0" w:color="auto"/>
        <w:bottom w:val="none" w:sz="0" w:space="0" w:color="auto"/>
        <w:right w:val="none" w:sz="0" w:space="0" w:color="auto"/>
      </w:divBdr>
    </w:div>
    <w:div w:id="246774310">
      <w:bodyDiv w:val="1"/>
      <w:marLeft w:val="5"/>
      <w:marRight w:val="5"/>
      <w:marTop w:val="0"/>
      <w:marBottom w:val="0"/>
      <w:divBdr>
        <w:top w:val="none" w:sz="0" w:space="0" w:color="auto"/>
        <w:left w:val="none" w:sz="0" w:space="0" w:color="auto"/>
        <w:bottom w:val="none" w:sz="0" w:space="0" w:color="auto"/>
        <w:right w:val="none" w:sz="0" w:space="0" w:color="auto"/>
      </w:divBdr>
    </w:div>
    <w:div w:id="555750019">
      <w:bodyDiv w:val="1"/>
      <w:marLeft w:val="0"/>
      <w:marRight w:val="0"/>
      <w:marTop w:val="0"/>
      <w:marBottom w:val="0"/>
      <w:divBdr>
        <w:top w:val="none" w:sz="0" w:space="0" w:color="auto"/>
        <w:left w:val="none" w:sz="0" w:space="0" w:color="auto"/>
        <w:bottom w:val="none" w:sz="0" w:space="0" w:color="auto"/>
        <w:right w:val="none" w:sz="0" w:space="0" w:color="auto"/>
      </w:divBdr>
      <w:divsChild>
        <w:div w:id="248274458">
          <w:marLeft w:val="0"/>
          <w:marRight w:val="0"/>
          <w:marTop w:val="0"/>
          <w:marBottom w:val="0"/>
          <w:divBdr>
            <w:top w:val="none" w:sz="0" w:space="0" w:color="auto"/>
            <w:left w:val="none" w:sz="0" w:space="0" w:color="auto"/>
            <w:bottom w:val="none" w:sz="0" w:space="0" w:color="auto"/>
            <w:right w:val="none" w:sz="0" w:space="0" w:color="auto"/>
          </w:divBdr>
          <w:divsChild>
            <w:div w:id="788398164">
              <w:marLeft w:val="0"/>
              <w:marRight w:val="0"/>
              <w:marTop w:val="0"/>
              <w:marBottom w:val="0"/>
              <w:divBdr>
                <w:top w:val="none" w:sz="0" w:space="0" w:color="auto"/>
                <w:left w:val="none" w:sz="0" w:space="0" w:color="auto"/>
                <w:bottom w:val="none" w:sz="0" w:space="0" w:color="auto"/>
                <w:right w:val="none" w:sz="0" w:space="0" w:color="auto"/>
              </w:divBdr>
              <w:divsChild>
                <w:div w:id="741682113">
                  <w:marLeft w:val="0"/>
                  <w:marRight w:val="0"/>
                  <w:marTop w:val="0"/>
                  <w:marBottom w:val="0"/>
                  <w:divBdr>
                    <w:top w:val="single" w:sz="48" w:space="0" w:color="FFFFFF"/>
                    <w:left w:val="none" w:sz="0" w:space="0" w:color="auto"/>
                    <w:bottom w:val="none" w:sz="0" w:space="0" w:color="auto"/>
                    <w:right w:val="none" w:sz="0" w:space="0" w:color="auto"/>
                  </w:divBdr>
                  <w:divsChild>
                    <w:div w:id="2146462582">
                      <w:marLeft w:val="3150"/>
                      <w:marRight w:val="0"/>
                      <w:marTop w:val="0"/>
                      <w:marBottom w:val="0"/>
                      <w:divBdr>
                        <w:top w:val="none" w:sz="0" w:space="0" w:color="auto"/>
                        <w:left w:val="none" w:sz="0" w:space="0" w:color="auto"/>
                        <w:bottom w:val="none" w:sz="0" w:space="0" w:color="auto"/>
                        <w:right w:val="none" w:sz="0" w:space="0" w:color="auto"/>
                      </w:divBdr>
                      <w:divsChild>
                        <w:div w:id="1318680531">
                          <w:marLeft w:val="0"/>
                          <w:marRight w:val="0"/>
                          <w:marTop w:val="0"/>
                          <w:marBottom w:val="0"/>
                          <w:divBdr>
                            <w:top w:val="none" w:sz="0" w:space="0" w:color="auto"/>
                            <w:left w:val="none" w:sz="0" w:space="0" w:color="auto"/>
                            <w:bottom w:val="none" w:sz="0" w:space="0" w:color="auto"/>
                            <w:right w:val="none" w:sz="0" w:space="0" w:color="auto"/>
                          </w:divBdr>
                          <w:divsChild>
                            <w:div w:id="952588436">
                              <w:marLeft w:val="0"/>
                              <w:marRight w:val="2925"/>
                              <w:marTop w:val="0"/>
                              <w:marBottom w:val="0"/>
                              <w:divBdr>
                                <w:top w:val="none" w:sz="0" w:space="0" w:color="auto"/>
                                <w:left w:val="none" w:sz="0" w:space="0" w:color="auto"/>
                                <w:bottom w:val="none" w:sz="0" w:space="0" w:color="auto"/>
                                <w:right w:val="none" w:sz="0" w:space="0" w:color="auto"/>
                              </w:divBdr>
                              <w:divsChild>
                                <w:div w:id="1049232169">
                                  <w:marLeft w:val="0"/>
                                  <w:marRight w:val="0"/>
                                  <w:marTop w:val="0"/>
                                  <w:marBottom w:val="0"/>
                                  <w:divBdr>
                                    <w:top w:val="none" w:sz="0" w:space="0" w:color="auto"/>
                                    <w:left w:val="none" w:sz="0" w:space="0" w:color="auto"/>
                                    <w:bottom w:val="none" w:sz="0" w:space="0" w:color="auto"/>
                                    <w:right w:val="none" w:sz="0" w:space="0" w:color="auto"/>
                                  </w:divBdr>
                                  <w:divsChild>
                                    <w:div w:id="2087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871048">
      <w:bodyDiv w:val="1"/>
      <w:marLeft w:val="0"/>
      <w:marRight w:val="0"/>
      <w:marTop w:val="0"/>
      <w:marBottom w:val="0"/>
      <w:divBdr>
        <w:top w:val="none" w:sz="0" w:space="0" w:color="auto"/>
        <w:left w:val="none" w:sz="0" w:space="0" w:color="auto"/>
        <w:bottom w:val="none" w:sz="0" w:space="0" w:color="auto"/>
        <w:right w:val="none" w:sz="0" w:space="0" w:color="auto"/>
      </w:divBdr>
    </w:div>
    <w:div w:id="957179665">
      <w:bodyDiv w:val="1"/>
      <w:marLeft w:val="0"/>
      <w:marRight w:val="0"/>
      <w:marTop w:val="0"/>
      <w:marBottom w:val="0"/>
      <w:divBdr>
        <w:top w:val="none" w:sz="0" w:space="0" w:color="auto"/>
        <w:left w:val="none" w:sz="0" w:space="0" w:color="auto"/>
        <w:bottom w:val="none" w:sz="0" w:space="0" w:color="auto"/>
        <w:right w:val="none" w:sz="0" w:space="0" w:color="auto"/>
      </w:divBdr>
    </w:div>
    <w:div w:id="959609448">
      <w:bodyDiv w:val="1"/>
      <w:marLeft w:val="0"/>
      <w:marRight w:val="0"/>
      <w:marTop w:val="0"/>
      <w:marBottom w:val="0"/>
      <w:divBdr>
        <w:top w:val="none" w:sz="0" w:space="0" w:color="auto"/>
        <w:left w:val="none" w:sz="0" w:space="0" w:color="auto"/>
        <w:bottom w:val="none" w:sz="0" w:space="0" w:color="auto"/>
        <w:right w:val="none" w:sz="0" w:space="0" w:color="auto"/>
      </w:divBdr>
    </w:div>
    <w:div w:id="1617832039">
      <w:bodyDiv w:val="1"/>
      <w:marLeft w:val="0"/>
      <w:marRight w:val="0"/>
      <w:marTop w:val="0"/>
      <w:marBottom w:val="0"/>
      <w:divBdr>
        <w:top w:val="none" w:sz="0" w:space="0" w:color="auto"/>
        <w:left w:val="none" w:sz="0" w:space="0" w:color="auto"/>
        <w:bottom w:val="none" w:sz="0" w:space="0" w:color="auto"/>
        <w:right w:val="none" w:sz="0" w:space="0" w:color="auto"/>
      </w:divBdr>
    </w:div>
    <w:div w:id="1814444725">
      <w:bodyDiv w:val="1"/>
      <w:marLeft w:val="0"/>
      <w:marRight w:val="0"/>
      <w:marTop w:val="0"/>
      <w:marBottom w:val="0"/>
      <w:divBdr>
        <w:top w:val="none" w:sz="0" w:space="0" w:color="auto"/>
        <w:left w:val="none" w:sz="0" w:space="0" w:color="auto"/>
        <w:bottom w:val="none" w:sz="0" w:space="0" w:color="auto"/>
        <w:right w:val="none" w:sz="0" w:space="0" w:color="auto"/>
      </w:divBdr>
    </w:div>
    <w:div w:id="1917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pra.gov.au/adi/PrudentialFramework/Pages/Basel-III-liquidity-NSFR-September-2016.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pra.gov.au/adi/PrudentialFramework/Pages/Basel-III-liquidity-NSFR-March-2016.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gif"/><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bis.org/publ/bcbs165.htm" TargetMode="External"/><Relationship Id="rId13" Type="http://schemas.openxmlformats.org/officeDocument/2006/relationships/hyperlink" Target="http://www.guaranteescheme.gov.au/qa/deposits.html" TargetMode="External"/><Relationship Id="rId18" Type="http://schemas.openxmlformats.org/officeDocument/2006/relationships/hyperlink" Target="http://www.bis.org/publ/bcbs165/cacomments.htm" TargetMode="External"/><Relationship Id="rId3" Type="http://schemas.openxmlformats.org/officeDocument/2006/relationships/hyperlink" Target="http://www.apra.gov.au/adi/PrudentialFramework/Pages/prudential-standards-and-guidance-notes-for-adis.aspx" TargetMode="External"/><Relationship Id="rId7" Type="http://schemas.openxmlformats.org/officeDocument/2006/relationships/hyperlink" Target="http://www.bis.org/publ/bcbs144.htm" TargetMode="External"/><Relationship Id="rId12" Type="http://schemas.openxmlformats.org/officeDocument/2006/relationships/hyperlink" Target="http://www.bis.org/publ/bcbs165.htm" TargetMode="External"/><Relationship Id="rId17" Type="http://schemas.openxmlformats.org/officeDocument/2006/relationships/hyperlink" Target="http://www.bis.org/publ/bcbs165.htm" TargetMode="External"/><Relationship Id="rId2" Type="http://schemas.openxmlformats.org/officeDocument/2006/relationships/hyperlink" Target="http://www.apra.gov.au/Policy/Pages/regulation-impact-statements.aspx" TargetMode="External"/><Relationship Id="rId16" Type="http://schemas.openxmlformats.org/officeDocument/2006/relationships/hyperlink" Target="http://www.rba.gov.au/media-releases/2011/mr-11-25.html" TargetMode="External"/><Relationship Id="rId20" Type="http://schemas.openxmlformats.org/officeDocument/2006/relationships/hyperlink" Target="http://www.apra.gov.au/adi/PrudentialFramework/Pages/adi-consultation-packages.aspx" TargetMode="External"/><Relationship Id="rId1" Type="http://schemas.openxmlformats.org/officeDocument/2006/relationships/hyperlink" Target="http://www.bis.org/publ/bcbs165.htm" TargetMode="External"/><Relationship Id="rId6" Type="http://schemas.openxmlformats.org/officeDocument/2006/relationships/hyperlink" Target="http://www.bis.org/publ/bcbs189.htm" TargetMode="External"/><Relationship Id="rId11" Type="http://schemas.openxmlformats.org/officeDocument/2006/relationships/hyperlink" Target="http://www.bis.org/bcbs/publ/d295.htm" TargetMode="External"/><Relationship Id="rId5" Type="http://schemas.openxmlformats.org/officeDocument/2006/relationships/hyperlink" Target="http://cuttingredtape.gov.au/handbook/australian-government-guide-regulation" TargetMode="External"/><Relationship Id="rId15" Type="http://schemas.openxmlformats.org/officeDocument/2006/relationships/hyperlink" Target="http://fsi.gov.au/publications/final-report/" TargetMode="External"/><Relationship Id="rId10" Type="http://schemas.openxmlformats.org/officeDocument/2006/relationships/hyperlink" Target="http://www.bis.org/publ/bcbs165.htm" TargetMode="External"/><Relationship Id="rId19" Type="http://schemas.openxmlformats.org/officeDocument/2006/relationships/hyperlink" Target="http://www.bis.org/publ/bcbs189.htm" TargetMode="External"/><Relationship Id="rId4" Type="http://schemas.openxmlformats.org/officeDocument/2006/relationships/hyperlink" Target="http://www.apra.gov.au/adi/PrudentialFramework/Pages/authorised-deposit-taking-institutions-ppgs.aspx" TargetMode="External"/><Relationship Id="rId9" Type="http://schemas.openxmlformats.org/officeDocument/2006/relationships/hyperlink" Target="http://www.bis.org/publ/bcbs238.htm" TargetMode="External"/><Relationship Id="rId14" Type="http://schemas.openxmlformats.org/officeDocument/2006/relationships/hyperlink" Target="http://fsi.gov.au/publications/final-report/"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Regulatory impact</TermName>
          <TermId xmlns="http://schemas.microsoft.com/office/infopath/2007/PartnerControls">40656dd8-3228-4b2e-8ca9-b2a0077576bd</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2017-10-19T13:00:00+00:00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10</Value>
      <Value>26</Value>
      <Value>134</Value>
      <Value>435</Value>
      <Value>434</Value>
      <Value>109</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Regulation Impact Statement (RIS) for Financial Sector (Collection of Data) (reporting standard) determination No. 19 of 2017</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5JENXJJSCC7A-445999044-3749</_dlc_DocId>
    <_dlc_DocIdUrl xmlns="814d62cb-2db6-4c25-ab62-b9075facbc11">
      <Url>https://im/teams/LEGAL/_layouts/15/DocIdRedir.aspx?ID=5JENXJJSCC7A-445999044-3749</Url>
      <Description>5JENXJJSCC7A-445999044-3749</Description>
    </_dlc_DocIdUrl>
    <APRAMeetingDate xmlns="814d62cb-2db6-4c25-ab62-b9075facbc11" xsi:nil="true"/>
    <APRAMeetingNumber xmlns="814d62cb-2db6-4c25-ab62-b9075facbc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B1F5-4202-4BFE-B791-62A52A304947}">
  <ds:schemaRefs>
    <ds:schemaRef ds:uri="814d62cb-2db6-4c25-ab62-b9075facbc11"/>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FECAF4CC-AEF5-4BA5-8F37-B8E5A9B84415}">
  <ds:schemaRefs>
    <ds:schemaRef ds:uri="http://schemas.microsoft.com/sharepoint/v3/contenttype/forms"/>
  </ds:schemaRefs>
</ds:datastoreItem>
</file>

<file path=customXml/itemProps3.xml><?xml version="1.0" encoding="utf-8"?>
<ds:datastoreItem xmlns:ds="http://schemas.openxmlformats.org/officeDocument/2006/customXml" ds:itemID="{924C7EF4-2F5A-4780-80C9-8D3920A59B7D}">
  <ds:schemaRefs>
    <ds:schemaRef ds:uri="http://schemas.microsoft.com/sharepoint/events"/>
  </ds:schemaRefs>
</ds:datastoreItem>
</file>

<file path=customXml/itemProps4.xml><?xml version="1.0" encoding="utf-8"?>
<ds:datastoreItem xmlns:ds="http://schemas.openxmlformats.org/officeDocument/2006/customXml" ds:itemID="{16B896D8-0128-49B3-80C5-D6D62ACC3A01}">
  <ds:schemaRefs>
    <ds:schemaRef ds:uri="Microsoft.SharePoint.Taxonomy.ContentTypeSync"/>
  </ds:schemaRefs>
</ds:datastoreItem>
</file>

<file path=customXml/itemProps5.xml><?xml version="1.0" encoding="utf-8"?>
<ds:datastoreItem xmlns:ds="http://schemas.openxmlformats.org/officeDocument/2006/customXml" ds:itemID="{DB96BC62-ABD8-4619-BF20-17243CA29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20BB3D-BEB6-4D2F-A41D-7A0650B9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9127</Words>
  <Characters>49745</Characters>
  <Application>Microsoft Office Word</Application>
  <DocSecurity>0</DocSecurity>
  <Lines>888</Lines>
  <Paragraphs>327</Paragraphs>
  <ScaleCrop>false</ScaleCrop>
  <HeadingPairs>
    <vt:vector size="2" baseType="variant">
      <vt:variant>
        <vt:lpstr>Title</vt:lpstr>
      </vt:variant>
      <vt:variant>
        <vt:i4>1</vt:i4>
      </vt:variant>
    </vt:vector>
  </HeadingPairs>
  <TitlesOfParts>
    <vt:vector size="1" baseType="lpstr">
      <vt:lpstr>161220 RIS - NSFR final for publication ACCESSIBLE</vt:lpstr>
    </vt:vector>
  </TitlesOfParts>
  <Company/>
  <LinksUpToDate>false</LinksUpToDate>
  <CharactersWithSpaces>58545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 Financial Sector (Collection of Data) (reporting standard) determination No. 19 of 2017</dc:title>
  <dc:creator/>
  <cp:keywords>[SEC=UNCLASSIFIED]</cp:keywords>
  <cp:lastModifiedBy/>
  <cp:revision>1</cp:revision>
  <dcterms:created xsi:type="dcterms:W3CDTF">2017-10-20T01:32:00Z</dcterms:created>
  <dcterms:modified xsi:type="dcterms:W3CDTF">2017-10-20T01:32:00Z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Qualifier_Prev">
    <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Originator_Hash_SHA1">
    <vt:lpwstr>C3AD57350F36D8E1BD75F8F67CB06D435C9C43CA</vt:lpwstr>
  </property>
  <property fmtid="{D5CDD505-2E9C-101B-9397-08002B2CF9AE}" pid="6" name="PM_ProtectiveMarkingImage_Header">
    <vt:lpwstr>C:\Program Files (x86)\Common Files\janusNET Shared\janusSEAL\Images\DocumentSlashBlue.png</vt:lpwstr>
  </property>
  <property fmtid="{D5CDD505-2E9C-101B-9397-08002B2CF9AE}" pid="7" name="PM_Hash_SHA1">
    <vt:lpwstr>8F4A4BFDD1C294DCCF820D07F43560DD693DF92B</vt:lpwstr>
  </property>
  <property fmtid="{D5CDD505-2E9C-101B-9397-08002B2CF9AE}" pid="8" name="PM_ProtectiveMarkingImage_Footer">
    <vt:lpwstr>C:\Program Files (x86)\Common Files\janusNET Shared\janusSEAL\Images\DocumentSlashBlue.png</vt:lpwstr>
  </property>
  <property fmtid="{D5CDD505-2E9C-101B-9397-08002B2CF9AE}" pid="9" name="PM_Hash_Version">
    <vt:lpwstr>2016.1</vt:lpwstr>
  </property>
  <property fmtid="{D5CDD505-2E9C-101B-9397-08002B2CF9AE}" pid="10" name="PM_ProtectiveMarkingValue_Header">
    <vt:lpwstr>UNCLASSIFIED</vt:lpwstr>
  </property>
  <property fmtid="{D5CDD505-2E9C-101B-9397-08002B2CF9AE}" pid="11" name="PM_Originating_FileId">
    <vt:lpwstr>5C1B351AB979479DAC4172DF6D8B3C13</vt:lpwstr>
  </property>
  <property fmtid="{D5CDD505-2E9C-101B-9397-08002B2CF9AE}" pid="12" name="PM_Hash_Salt_Prev">
    <vt:lpwstr>833622E32C2073C2D71E82341779755F</vt:lpwstr>
  </property>
  <property fmtid="{D5CDD505-2E9C-101B-9397-08002B2CF9AE}" pid="13" name="PM_Version">
    <vt:lpwstr>2012.3</vt:lpwstr>
  </property>
  <property fmtid="{D5CDD505-2E9C-101B-9397-08002B2CF9AE}" pid="14" name="PM_SecurityClassification_Prev">
    <vt:lpwstr>UNCLASSIFIED</vt:lpwstr>
  </property>
  <property fmtid="{D5CDD505-2E9C-101B-9397-08002B2CF9AE}" pid="15" name="PM_Qualifier">
    <vt:lpwstr/>
  </property>
  <property fmtid="{D5CDD505-2E9C-101B-9397-08002B2CF9AE}" pid="16" name="PM_ProtectiveMarkingValue_Footer">
    <vt:lpwstr>UNCLASSIFIED</vt:lpwstr>
  </property>
  <property fmtid="{D5CDD505-2E9C-101B-9397-08002B2CF9AE}" pid="17" name="PM_InsertionValue">
    <vt:lpwstr>UNCLASSIFIED</vt:lpwstr>
  </property>
  <property fmtid="{D5CDD505-2E9C-101B-9397-08002B2CF9AE}" pid="18" name="PM_MinimumSecurityClassification">
    <vt:lpwstr/>
  </property>
  <property fmtid="{D5CDD505-2E9C-101B-9397-08002B2CF9AE}" pid="19" name="PM_Hash_Salt">
    <vt:lpwstr>3507FFD4E2E47A15DED189D000C07B8E</vt:lpwstr>
  </property>
  <property fmtid="{D5CDD505-2E9C-101B-9397-08002B2CF9AE}" pid="20" name="PM_OriginationTimeStamp">
    <vt:lpwstr>2017-10-20T01:31:45Z</vt:lpwstr>
  </property>
  <property fmtid="{D5CDD505-2E9C-101B-9397-08002B2CF9AE}" pid="21" name="PM_Caveats_Count">
    <vt:lpwstr>0</vt:lpwstr>
  </property>
  <property fmtid="{D5CDD505-2E9C-101B-9397-08002B2CF9AE}" pid="22" name="PM_Namespace">
    <vt:lpwstr>gov.au</vt:lpwstr>
  </property>
  <property fmtid="{D5CDD505-2E9C-101B-9397-08002B2CF9AE}" pid="23" name="ContentTypeId">
    <vt:lpwstr>0x0101008CA7A4F8331B45C7B0D3158B4994D0CA0200577EC0F5A1FBFC498F9A8436B963F8A6</vt:lpwstr>
  </property>
  <property fmtid="{D5CDD505-2E9C-101B-9397-08002B2CF9AE}" pid="24" name="APRAPeriod">
    <vt:lpwstr/>
  </property>
  <property fmtid="{D5CDD505-2E9C-101B-9397-08002B2CF9AE}" pid="25" name="APRAYear">
    <vt:lpwstr/>
  </property>
  <property fmtid="{D5CDD505-2E9C-101B-9397-08002B2CF9AE}" pid="26" name="APRAIndustry">
    <vt:lpwstr/>
  </property>
  <property fmtid="{D5CDD505-2E9C-101B-9397-08002B2CF9AE}" pid="27" name="APRAPRSG">
    <vt:lpwstr/>
  </property>
  <property fmtid="{D5CDD505-2E9C-101B-9397-08002B2CF9AE}" pid="28" name="_dlc_DocIdItemGuid">
    <vt:lpwstr>008ad2ee-0f03-4dd0-bae3-17df5154e321</vt:lpwstr>
  </property>
  <property fmtid="{D5CDD505-2E9C-101B-9397-08002B2CF9AE}" pid="29" name="IsLocked">
    <vt:lpwstr>False</vt:lpwstr>
  </property>
  <property fmtid="{D5CDD505-2E9C-101B-9397-08002B2CF9AE}" pid="30"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1" name="IT system type">
    <vt:lpwstr/>
  </property>
  <property fmtid="{D5CDD505-2E9C-101B-9397-08002B2CF9AE}" pid="32" name="APRACategory">
    <vt:lpwstr/>
  </property>
  <property fmtid="{D5CDD505-2E9C-101B-9397-08002B2CF9AE}" pid="33" name="APRADocumentType">
    <vt:lpwstr>435;#Regulation impact statement|a6de7b22-aec6-40f3-a54e-dbfeb004713c</vt:lpwstr>
  </property>
  <property fmtid="{D5CDD505-2E9C-101B-9397-08002B2CF9AE}" pid="34" name="APRAStatus">
    <vt:lpwstr>19;#Final|84d6b2d0-8498-4d62-bf46-bab38babbe9e</vt:lpwstr>
  </property>
  <property fmtid="{D5CDD505-2E9C-101B-9397-08002B2CF9AE}" pid="35" name="APRAActivity">
    <vt:lpwstr>434;#Regulatory impact|40656dd8-3228-4b2e-8ca9-b2a0077576bd;#109;#Statutory instrument|fe68928c-5a9c-4caf-bc8c-6c18cedcb17f;#10;#Registration|390476ce-d76d-4e8d-905f-28e32d2df127</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{008ad2ee-0f03-4dd0-bae3-17df5154e321}</vt:lpwstr>
  </property>
  <property fmtid="{D5CDD505-2E9C-101B-9397-08002B2CF9AE}" pid="45" name="RecordPoint_RecordNumberSubmitted">
    <vt:lpwstr>R0000216452</vt:lpwstr>
  </property>
  <property fmtid="{D5CDD505-2E9C-101B-9397-08002B2CF9AE}" pid="46" name="RecordPoint_SubmissionCompleted">
    <vt:lpwstr>2017-10-20T13:17:00.0510954+11:00</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