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36" w:rsidRPr="001F7C05" w:rsidRDefault="00426736" w:rsidP="001F7C05">
      <w:pPr>
        <w:pStyle w:val="Title"/>
      </w:pPr>
      <w:r w:rsidRPr="001F7C05">
        <w:t>AIRWORTHINESS DIRECTIVE</w:t>
      </w:r>
    </w:p>
    <w:p w:rsidR="00F11A06" w:rsidRPr="001F7C05" w:rsidRDefault="00F11A06" w:rsidP="00F11A06">
      <w:pPr>
        <w:pStyle w:val="Preamble"/>
        <w:rPr>
          <w:sz w:val="18"/>
          <w:szCs w:val="18"/>
        </w:rPr>
      </w:pPr>
      <w:r w:rsidRPr="001F7C05">
        <w:rPr>
          <w:sz w:val="18"/>
          <w:szCs w:val="18"/>
        </w:rPr>
        <w:t xml:space="preserve">On the </w:t>
      </w:r>
      <w:r w:rsidR="00F13CBC" w:rsidRPr="001F7C05">
        <w:rPr>
          <w:sz w:val="18"/>
          <w:szCs w:val="18"/>
        </w:rPr>
        <w:t>commencement</w:t>
      </w:r>
      <w:r w:rsidRPr="001F7C05">
        <w:rPr>
          <w:sz w:val="18"/>
          <w:szCs w:val="18"/>
        </w:rPr>
        <w:t xml:space="preserve"> date specified below, and for the reasons set out in the background section, the CASA delegate whose signature appears below repeals Airworthiness Directive </w:t>
      </w:r>
      <w:r w:rsidRPr="00532389">
        <w:rPr>
          <w:sz w:val="18"/>
          <w:szCs w:val="18"/>
        </w:rPr>
        <w:t>(</w:t>
      </w:r>
      <w:r w:rsidRPr="00532389">
        <w:rPr>
          <w:b/>
          <w:sz w:val="18"/>
          <w:szCs w:val="18"/>
        </w:rPr>
        <w:t>AD</w:t>
      </w:r>
      <w:r w:rsidRPr="00532389">
        <w:rPr>
          <w:sz w:val="18"/>
          <w:szCs w:val="18"/>
        </w:rPr>
        <w:t>)</w:t>
      </w:r>
      <w:r w:rsidRPr="001F7C05">
        <w:rPr>
          <w:sz w:val="18"/>
          <w:szCs w:val="18"/>
        </w:rPr>
        <w:t xml:space="preserve"> </w:t>
      </w:r>
      <w:r w:rsidR="0098367E">
        <w:rPr>
          <w:sz w:val="18"/>
          <w:szCs w:val="18"/>
        </w:rPr>
        <w:t>AD/DHC-8</w:t>
      </w:r>
      <w:r w:rsidR="005574FE">
        <w:rPr>
          <w:sz w:val="18"/>
          <w:szCs w:val="18"/>
        </w:rPr>
        <w:t>/</w:t>
      </w:r>
      <w:r w:rsidR="0098367E">
        <w:rPr>
          <w:sz w:val="18"/>
          <w:szCs w:val="18"/>
        </w:rPr>
        <w:t>138</w:t>
      </w:r>
      <w:r w:rsidRPr="001F7C05">
        <w:rPr>
          <w:sz w:val="18"/>
          <w:szCs w:val="18"/>
        </w:rPr>
        <w:t xml:space="preserve"> and issues the following AD under </w:t>
      </w:r>
      <w:proofErr w:type="spellStart"/>
      <w:r w:rsidRPr="001F7C05">
        <w:rPr>
          <w:sz w:val="18"/>
          <w:szCs w:val="18"/>
        </w:rPr>
        <w:t>subregulation</w:t>
      </w:r>
      <w:proofErr w:type="spellEnd"/>
      <w:r w:rsidRPr="001F7C05">
        <w:rPr>
          <w:sz w:val="18"/>
          <w:szCs w:val="18"/>
        </w:rPr>
        <w:t xml:space="preserve"> 39.001</w:t>
      </w:r>
      <w:r w:rsidR="00757783" w:rsidRPr="001F7C05">
        <w:rPr>
          <w:sz w:val="18"/>
          <w:szCs w:val="18"/>
        </w:rPr>
        <w:t> </w:t>
      </w:r>
      <w:r w:rsidRPr="001F7C05">
        <w:rPr>
          <w:sz w:val="18"/>
          <w:szCs w:val="18"/>
        </w:rPr>
        <w:t>(1) of CASR 1998 and subsection 33</w:t>
      </w:r>
      <w:r w:rsidR="009B01D8" w:rsidRPr="001F7C05">
        <w:rPr>
          <w:sz w:val="18"/>
          <w:szCs w:val="18"/>
        </w:rPr>
        <w:t> </w:t>
      </w:r>
      <w:r w:rsidRPr="001F7C05">
        <w:rPr>
          <w:sz w:val="18"/>
          <w:szCs w:val="18"/>
        </w:rPr>
        <w:t xml:space="preserve">(3) of the </w:t>
      </w:r>
      <w:r w:rsidRPr="001F7C05">
        <w:rPr>
          <w:i/>
          <w:sz w:val="18"/>
          <w:szCs w:val="18"/>
        </w:rPr>
        <w:t>Acts Interpretation Act 1901</w:t>
      </w:r>
      <w:r w:rsidRPr="001F7C05">
        <w:rPr>
          <w:sz w:val="18"/>
          <w:szCs w:val="18"/>
        </w:rPr>
        <w:t xml:space="preserve">. The AD requires that the action set out in the requirement section (being action that the delegate considers necessary to correct </w:t>
      </w:r>
      <w:r w:rsidR="001C1971" w:rsidRPr="001F7C05">
        <w:rPr>
          <w:sz w:val="18"/>
          <w:szCs w:val="18"/>
        </w:rPr>
        <w:t xml:space="preserve">an </w:t>
      </w:r>
      <w:r w:rsidRPr="001F7C05">
        <w:rPr>
          <w:sz w:val="18"/>
          <w:szCs w:val="18"/>
        </w:rPr>
        <w:t>unsafe condition) be taken in relation to the aircr</w:t>
      </w:r>
      <w:bookmarkStart w:id="0" w:name="_GoBack"/>
      <w:bookmarkEnd w:id="0"/>
      <w:r w:rsidRPr="001F7C05">
        <w:rPr>
          <w:sz w:val="18"/>
          <w:szCs w:val="18"/>
        </w:rPr>
        <w:t>aft or aeronautical product mentioned in the applicability section: (a) in the circumstances mentioned in the requirement section; and (b) in accordance with the instructions set out in the requirement section; and (c) at the time mentioned in the compliance section.</w:t>
      </w:r>
    </w:p>
    <w:p w:rsidR="00426736" w:rsidRPr="001F7C05" w:rsidRDefault="0098367E" w:rsidP="001F7C05">
      <w:pPr>
        <w:pStyle w:val="Heading1"/>
      </w:pPr>
      <w:r w:rsidRPr="0098367E">
        <w:t>Bombardier DHC-8 Series Aeroplanes</w:t>
      </w:r>
    </w:p>
    <w:tbl>
      <w:tblPr>
        <w:tblW w:w="0" w:type="auto"/>
        <w:tblLayout w:type="fixed"/>
        <w:tblLook w:val="0000" w:firstRow="0" w:lastRow="0" w:firstColumn="0" w:lastColumn="0" w:noHBand="0" w:noVBand="0"/>
        <w:tblDescription w:val="Amended airworthiness directive"/>
      </w:tblPr>
      <w:tblGrid>
        <w:gridCol w:w="2235"/>
        <w:gridCol w:w="6237"/>
        <w:gridCol w:w="1723"/>
      </w:tblGrid>
      <w:tr w:rsidR="00426736" w:rsidTr="0098367E">
        <w:tc>
          <w:tcPr>
            <w:tcW w:w="2235" w:type="dxa"/>
          </w:tcPr>
          <w:p w:rsidR="00426736" w:rsidRDefault="00426736" w:rsidP="0098367E">
            <w:pPr>
              <w:pStyle w:val="Heading2"/>
            </w:pPr>
            <w:r>
              <w:t>AD</w:t>
            </w:r>
            <w:r w:rsidR="000E7214">
              <w:t>/</w:t>
            </w:r>
            <w:r w:rsidR="0098367E">
              <w:t>DHC-8</w:t>
            </w:r>
            <w:r w:rsidR="000E7214">
              <w:t>/</w:t>
            </w:r>
            <w:r w:rsidR="0098367E">
              <w:t>138</w:t>
            </w:r>
            <w:r w:rsidR="001C1971">
              <w:t xml:space="preserve"> </w:t>
            </w:r>
            <w:proofErr w:type="spellStart"/>
            <w:r w:rsidR="001C1971">
              <w:t>Amdt</w:t>
            </w:r>
            <w:proofErr w:type="spellEnd"/>
            <w:r w:rsidR="00510BFA">
              <w:t xml:space="preserve"> </w:t>
            </w:r>
            <w:r w:rsidR="0098367E">
              <w:t>1</w:t>
            </w:r>
          </w:p>
        </w:tc>
        <w:tc>
          <w:tcPr>
            <w:tcW w:w="6237" w:type="dxa"/>
          </w:tcPr>
          <w:p w:rsidR="00426736" w:rsidRDefault="0098367E" w:rsidP="0098367E">
            <w:pPr>
              <w:pStyle w:val="Heading2"/>
              <w:jc w:val="center"/>
            </w:pPr>
            <w:r w:rsidRPr="0098367E">
              <w:t>Fuel System Safety</w:t>
            </w:r>
          </w:p>
        </w:tc>
        <w:tc>
          <w:tcPr>
            <w:tcW w:w="1723" w:type="dxa"/>
          </w:tcPr>
          <w:p w:rsidR="00426736" w:rsidRDefault="0098367E" w:rsidP="00ED7A98">
            <w:pPr>
              <w:pStyle w:val="Heading2"/>
              <w:jc w:val="center"/>
            </w:pPr>
            <w:r>
              <w:t>22/2017</w:t>
            </w:r>
          </w:p>
        </w:tc>
      </w:tr>
    </w:tbl>
    <w:p w:rsidR="00426736" w:rsidRDefault="00426736">
      <w:pPr>
        <w:pStyle w:val="Style1"/>
      </w:pPr>
    </w:p>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426736" w:rsidTr="0065121D">
        <w:tc>
          <w:tcPr>
            <w:tcW w:w="1701" w:type="dxa"/>
          </w:tcPr>
          <w:p w:rsidR="00426736" w:rsidRDefault="00426736" w:rsidP="0098367E">
            <w:r>
              <w:t>Applicability:</w:t>
            </w:r>
          </w:p>
        </w:tc>
        <w:tc>
          <w:tcPr>
            <w:tcW w:w="8505" w:type="dxa"/>
          </w:tcPr>
          <w:p w:rsidR="00426736" w:rsidRDefault="0098367E" w:rsidP="0098367E">
            <w:r>
              <w:rPr>
                <w:szCs w:val="24"/>
                <w:lang w:val="en-AU" w:eastAsia="en-AU"/>
              </w:rPr>
              <w:t>Bombardier DHC-8-400, DHC-8-401 and DHC-8-402 model aeroplanes.</w:t>
            </w:r>
          </w:p>
        </w:tc>
      </w:tr>
      <w:tr w:rsidR="00426736" w:rsidTr="0065121D">
        <w:tc>
          <w:tcPr>
            <w:tcW w:w="1701" w:type="dxa"/>
          </w:tcPr>
          <w:p w:rsidR="00426736" w:rsidRDefault="00426736" w:rsidP="0098367E">
            <w:r>
              <w:t>Requirement:</w:t>
            </w:r>
          </w:p>
        </w:tc>
        <w:tc>
          <w:tcPr>
            <w:tcW w:w="8505" w:type="dxa"/>
          </w:tcPr>
          <w:p w:rsidR="0098367E" w:rsidRDefault="0098367E" w:rsidP="0098367E">
            <w:pPr>
              <w:rPr>
                <w:szCs w:val="24"/>
                <w:lang w:val="en-AU" w:eastAsia="en-AU"/>
              </w:rPr>
            </w:pPr>
            <w:r>
              <w:rPr>
                <w:szCs w:val="24"/>
                <w:lang w:val="en-AU" w:eastAsia="en-AU"/>
              </w:rPr>
              <w:t xml:space="preserve">To ensure management and control of Critical Design Configuration Control Limitations (CDCCL) items, each </w:t>
            </w:r>
            <w:r w:rsidR="003665F8">
              <w:rPr>
                <w:szCs w:val="24"/>
                <w:lang w:val="en-AU" w:eastAsia="en-AU"/>
              </w:rPr>
              <w:t xml:space="preserve">registered </w:t>
            </w:r>
            <w:r>
              <w:rPr>
                <w:szCs w:val="24"/>
                <w:lang w:val="en-AU" w:eastAsia="en-AU"/>
              </w:rPr>
              <w:t xml:space="preserve">operator </w:t>
            </w:r>
            <w:r w:rsidR="003665F8">
              <w:rPr>
                <w:szCs w:val="24"/>
                <w:lang w:val="en-AU" w:eastAsia="en-AU"/>
              </w:rPr>
              <w:t xml:space="preserve">of the aeroplane </w:t>
            </w:r>
            <w:r>
              <w:rPr>
                <w:szCs w:val="24"/>
                <w:lang w:val="en-AU" w:eastAsia="en-AU"/>
              </w:rPr>
              <w:t>must:</w:t>
            </w:r>
          </w:p>
          <w:p w:rsidR="0098367E" w:rsidRDefault="0098367E" w:rsidP="0098367E">
            <w:pPr>
              <w:ind w:left="426" w:hanging="426"/>
              <w:rPr>
                <w:szCs w:val="24"/>
                <w:lang w:val="en-AU" w:eastAsia="en-AU"/>
              </w:rPr>
            </w:pPr>
            <w:r>
              <w:rPr>
                <w:szCs w:val="24"/>
                <w:lang w:val="en-AU" w:eastAsia="en-AU"/>
              </w:rPr>
              <w:t>a.</w:t>
            </w:r>
            <w:r>
              <w:rPr>
                <w:szCs w:val="24"/>
                <w:lang w:val="en-AU" w:eastAsia="en-AU"/>
              </w:rPr>
              <w:tab/>
              <w:t xml:space="preserve">Amend their copies of </w:t>
            </w:r>
            <w:r w:rsidR="003665F8">
              <w:rPr>
                <w:szCs w:val="24"/>
                <w:lang w:val="en-AU" w:eastAsia="en-AU"/>
              </w:rPr>
              <w:t xml:space="preserve">the </w:t>
            </w:r>
            <w:r>
              <w:rPr>
                <w:szCs w:val="24"/>
                <w:lang w:val="en-AU" w:eastAsia="en-AU"/>
              </w:rPr>
              <w:t>DHC-8-400 Maintenance Requirements Manual, PSM 1</w:t>
            </w:r>
            <w:r>
              <w:rPr>
                <w:szCs w:val="24"/>
                <w:lang w:val="en-AU" w:eastAsia="en-AU"/>
              </w:rPr>
              <w:noBreakHyphen/>
              <w:t>84</w:t>
            </w:r>
            <w:r>
              <w:rPr>
                <w:szCs w:val="24"/>
                <w:lang w:val="en-AU" w:eastAsia="en-AU"/>
              </w:rPr>
              <w:noBreakHyphen/>
              <w:t>7 Part 2 “Airworthiness Limitations Items”</w:t>
            </w:r>
            <w:r w:rsidR="0065121D">
              <w:rPr>
                <w:szCs w:val="24"/>
                <w:lang w:val="en-AU" w:eastAsia="en-AU"/>
              </w:rPr>
              <w:t>, as in force at the time of issue of AD/DHC-8/138,</w:t>
            </w:r>
            <w:r>
              <w:rPr>
                <w:szCs w:val="24"/>
                <w:lang w:val="en-AU" w:eastAsia="en-AU"/>
              </w:rPr>
              <w:t xml:space="preserve"> to incorporate the CDCCL items introduced in Temporary Revisions (TR) ALI-55 and ALI-56</w:t>
            </w:r>
            <w:r w:rsidR="0065121D">
              <w:rPr>
                <w:szCs w:val="24"/>
                <w:lang w:val="en-AU" w:eastAsia="en-AU"/>
              </w:rPr>
              <w:t>, as in force at the time of issue of AD/DHC</w:t>
            </w:r>
            <w:r w:rsidR="0065121D">
              <w:rPr>
                <w:szCs w:val="24"/>
                <w:lang w:val="en-AU" w:eastAsia="en-AU"/>
              </w:rPr>
              <w:noBreakHyphen/>
              <w:t>8/138</w:t>
            </w:r>
            <w:r>
              <w:rPr>
                <w:szCs w:val="24"/>
                <w:lang w:val="en-AU" w:eastAsia="en-AU"/>
              </w:rPr>
              <w:t>. This may be accomplished by inserting copies of the TR in the manual.</w:t>
            </w:r>
          </w:p>
          <w:p w:rsidR="0098367E" w:rsidRDefault="0098367E" w:rsidP="0098367E">
            <w:pPr>
              <w:ind w:left="426" w:hanging="426"/>
              <w:rPr>
                <w:szCs w:val="24"/>
                <w:lang w:val="en-AU" w:eastAsia="en-AU"/>
              </w:rPr>
            </w:pPr>
            <w:r>
              <w:rPr>
                <w:szCs w:val="24"/>
                <w:lang w:val="en-AU" w:eastAsia="en-AU"/>
              </w:rPr>
              <w:t>b.</w:t>
            </w:r>
            <w:r>
              <w:rPr>
                <w:szCs w:val="24"/>
                <w:lang w:val="en-AU" w:eastAsia="en-AU"/>
              </w:rPr>
              <w:tab/>
              <w:t>Amend any of their DHC-8-400 Series aircraft related procedures and documentation to highlight the existence of CDCCL items noted above and to highlight the necessary requirements to maintain the design features of those CDCCL items.</w:t>
            </w:r>
          </w:p>
          <w:p w:rsidR="0098367E" w:rsidRDefault="0098367E" w:rsidP="0098367E">
            <w:pPr>
              <w:rPr>
                <w:i/>
                <w:iCs/>
                <w:szCs w:val="24"/>
                <w:lang w:val="en-AU" w:eastAsia="en-AU"/>
              </w:rPr>
            </w:pPr>
            <w:r>
              <w:rPr>
                <w:i/>
                <w:iCs/>
                <w:szCs w:val="24"/>
                <w:lang w:val="en-AU" w:eastAsia="en-AU"/>
              </w:rPr>
              <w:t>Note 1:  Maintenance Requirements Manual TRs introduced by this Directive may be removed from the manual when the TR is cancelled or superseded by either a further TR or later normal revision to the manual.</w:t>
            </w:r>
          </w:p>
          <w:p w:rsidR="001B39ED" w:rsidRPr="001B39ED" w:rsidRDefault="0098367E" w:rsidP="0098367E">
            <w:pPr>
              <w:rPr>
                <w:i/>
                <w:iCs/>
                <w:szCs w:val="24"/>
                <w:lang w:val="en-AU" w:eastAsia="en-AU"/>
              </w:rPr>
            </w:pPr>
            <w:r>
              <w:rPr>
                <w:i/>
                <w:iCs/>
                <w:szCs w:val="24"/>
                <w:lang w:val="en-AU" w:eastAsia="en-AU"/>
              </w:rPr>
              <w:t>Note 2:  Transport Canada AD CF-2008-06 refers.</w:t>
            </w:r>
          </w:p>
        </w:tc>
      </w:tr>
      <w:tr w:rsidR="00426736" w:rsidTr="0065121D">
        <w:tc>
          <w:tcPr>
            <w:tcW w:w="1701" w:type="dxa"/>
          </w:tcPr>
          <w:p w:rsidR="00426736" w:rsidRDefault="00426736" w:rsidP="0098367E">
            <w:r>
              <w:t>Compliance:</w:t>
            </w:r>
          </w:p>
        </w:tc>
        <w:tc>
          <w:tcPr>
            <w:tcW w:w="8505" w:type="dxa"/>
          </w:tcPr>
          <w:p w:rsidR="00426736" w:rsidRDefault="0065121D" w:rsidP="0065121D">
            <w:pPr>
              <w:rPr>
                <w:szCs w:val="24"/>
                <w:lang w:val="en-AU" w:eastAsia="en-AU"/>
              </w:rPr>
            </w:pPr>
            <w:r>
              <w:rPr>
                <w:szCs w:val="24"/>
                <w:lang w:val="en-AU" w:eastAsia="en-AU"/>
              </w:rPr>
              <w:t>Within 3</w:t>
            </w:r>
            <w:r w:rsidR="0098367E">
              <w:rPr>
                <w:szCs w:val="24"/>
                <w:lang w:val="en-AU" w:eastAsia="en-AU"/>
              </w:rPr>
              <w:t xml:space="preserve">0 days after the </w:t>
            </w:r>
            <w:r>
              <w:rPr>
                <w:szCs w:val="24"/>
                <w:lang w:val="en-AU" w:eastAsia="en-AU"/>
              </w:rPr>
              <w:t>commencement</w:t>
            </w:r>
            <w:r w:rsidR="0098367E">
              <w:rPr>
                <w:szCs w:val="24"/>
                <w:lang w:val="en-AU" w:eastAsia="en-AU"/>
              </w:rPr>
              <w:t xml:space="preserve"> date of this Directive</w:t>
            </w:r>
            <w:r>
              <w:rPr>
                <w:szCs w:val="24"/>
                <w:lang w:val="en-AU" w:eastAsia="en-AU"/>
              </w:rPr>
              <w:t>, unless previously accomplished.</w:t>
            </w:r>
          </w:p>
          <w:p w:rsidR="001B39ED" w:rsidRPr="001B39ED" w:rsidRDefault="001B39ED" w:rsidP="0065121D">
            <w:pPr>
              <w:rPr>
                <w:i/>
              </w:rPr>
            </w:pPr>
            <w:r w:rsidRPr="001B39ED">
              <w:rPr>
                <w:i/>
                <w:szCs w:val="24"/>
                <w:lang w:val="en-AU" w:eastAsia="en-AU"/>
              </w:rPr>
              <w:t>Note 3:  Previous compliance with the requirements in AD/DHC-8/138 constitute</w:t>
            </w:r>
            <w:r w:rsidR="005574FE">
              <w:rPr>
                <w:i/>
                <w:szCs w:val="24"/>
                <w:lang w:val="en-AU" w:eastAsia="en-AU"/>
              </w:rPr>
              <w:t>s</w:t>
            </w:r>
            <w:r w:rsidRPr="001B39ED">
              <w:rPr>
                <w:i/>
                <w:szCs w:val="24"/>
                <w:lang w:val="en-AU" w:eastAsia="en-AU"/>
              </w:rPr>
              <w:t xml:space="preserve"> compliance with the equivalent requirements in this AD.</w:t>
            </w:r>
          </w:p>
        </w:tc>
      </w:tr>
      <w:tr w:rsidR="00426736" w:rsidTr="0065121D">
        <w:tc>
          <w:tcPr>
            <w:tcW w:w="1701" w:type="dxa"/>
          </w:tcPr>
          <w:p w:rsidR="00426736" w:rsidRDefault="00426736" w:rsidP="0098367E"/>
        </w:tc>
        <w:tc>
          <w:tcPr>
            <w:tcW w:w="8505" w:type="dxa"/>
          </w:tcPr>
          <w:p w:rsidR="00426736" w:rsidRPr="0099077A" w:rsidRDefault="00426736" w:rsidP="0065121D">
            <w:pPr>
              <w:rPr>
                <w:color w:val="000000"/>
              </w:rPr>
            </w:pPr>
            <w:r w:rsidRPr="00CE0731">
              <w:t>Th</w:t>
            </w:r>
            <w:r w:rsidR="002E1101">
              <w:t>is</w:t>
            </w:r>
            <w:r w:rsidR="00F11A06" w:rsidRPr="00CE0731">
              <w:t xml:space="preserve"> </w:t>
            </w:r>
            <w:r w:rsidR="001C1971" w:rsidRPr="00CE0731">
              <w:t xml:space="preserve">AD </w:t>
            </w:r>
            <w:r w:rsidR="002E1101">
              <w:t>commences on</w:t>
            </w:r>
            <w:r w:rsidR="0065121D">
              <w:t xml:space="preserve"> 3 November 2017.</w:t>
            </w:r>
          </w:p>
        </w:tc>
      </w:tr>
      <w:tr w:rsidR="00426736" w:rsidTr="0065121D">
        <w:tc>
          <w:tcPr>
            <w:tcW w:w="1701" w:type="dxa"/>
          </w:tcPr>
          <w:p w:rsidR="00426736" w:rsidRDefault="00426736" w:rsidP="0098367E">
            <w:r>
              <w:t>Background:</w:t>
            </w:r>
          </w:p>
        </w:tc>
        <w:tc>
          <w:tcPr>
            <w:tcW w:w="8505" w:type="dxa"/>
          </w:tcPr>
          <w:p w:rsidR="0065121D" w:rsidRDefault="0098367E" w:rsidP="0065121D">
            <w:r>
              <w:rPr>
                <w:szCs w:val="24"/>
                <w:lang w:val="en-AU" w:eastAsia="en-AU"/>
              </w:rPr>
              <w:t>Bombardier Aerospace has completed a system safety review of the aircraft fuel system against fuel tank safety standards introduced in Chapter 525 of the Airworthiness Manual through Notice of Proposed Amendment (NPA) 2002-043. The identified non-compliances were then assessed using Transport Canada Policy Letter No. 525-001, to determine if mandatory corrective action is required.</w:t>
            </w:r>
          </w:p>
        </w:tc>
      </w:tr>
    </w:tbl>
    <w:p w:rsidR="0065121D" w:rsidRDefault="0065121D"/>
    <w:p w:rsidR="0065121D" w:rsidRDefault="0065121D"/>
    <w:p w:rsidR="0065121D" w:rsidRDefault="0065121D"/>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65121D" w:rsidTr="0065121D">
        <w:tc>
          <w:tcPr>
            <w:tcW w:w="1701" w:type="dxa"/>
          </w:tcPr>
          <w:p w:rsidR="0065121D" w:rsidRDefault="0065121D" w:rsidP="0098367E"/>
        </w:tc>
        <w:tc>
          <w:tcPr>
            <w:tcW w:w="8505" w:type="dxa"/>
          </w:tcPr>
          <w:p w:rsidR="0065121D" w:rsidRDefault="0065121D" w:rsidP="005574FE">
            <w:pPr>
              <w:rPr>
                <w:szCs w:val="24"/>
                <w:lang w:val="en-AU" w:eastAsia="en-AU"/>
              </w:rPr>
            </w:pPr>
            <w:r>
              <w:rPr>
                <w:szCs w:val="24"/>
                <w:lang w:val="en-AU" w:eastAsia="en-AU"/>
              </w:rPr>
              <w:t>Amendment 1 of the AD is issued to correct a temporary revision number referenced in the Requirement section of th</w:t>
            </w:r>
            <w:r w:rsidR="005574FE">
              <w:rPr>
                <w:szCs w:val="24"/>
                <w:lang w:val="en-AU" w:eastAsia="en-AU"/>
              </w:rPr>
              <w:t>is</w:t>
            </w:r>
            <w:r>
              <w:rPr>
                <w:szCs w:val="24"/>
                <w:lang w:val="en-AU" w:eastAsia="en-AU"/>
              </w:rPr>
              <w:t xml:space="preserve"> AD.</w:t>
            </w:r>
          </w:p>
        </w:tc>
      </w:tr>
    </w:tbl>
    <w:p w:rsidR="00915E25" w:rsidRDefault="00915E25" w:rsidP="00915E25">
      <w:r>
        <w:rPr>
          <w:noProof/>
          <w:lang w:val="en-AU" w:eastAsia="en-AU"/>
        </w:rPr>
        <w:drawing>
          <wp:inline distT="0" distB="0" distL="0" distR="0">
            <wp:extent cx="14859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 DIJK_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9662" cy="1365523"/>
                    </a:xfrm>
                    <a:prstGeom prst="rect">
                      <a:avLst/>
                    </a:prstGeom>
                  </pic:spPr>
                </pic:pic>
              </a:graphicData>
            </a:graphic>
          </wp:inline>
        </w:drawing>
      </w:r>
    </w:p>
    <w:p w:rsidR="00426736" w:rsidRPr="0065121D" w:rsidRDefault="00E9335C" w:rsidP="00915E25">
      <w:r>
        <w:t>Pieter van Dijk</w:t>
      </w:r>
      <w:r w:rsidR="00426736" w:rsidRPr="0065121D">
        <w:br/>
        <w:t>Delegate of the Civil Aviation Safety Authority</w:t>
      </w:r>
    </w:p>
    <w:p w:rsidR="0005393E" w:rsidRPr="0065121D" w:rsidRDefault="00915E25" w:rsidP="005C4F41">
      <w:pPr>
        <w:tabs>
          <w:tab w:val="left" w:pos="3810"/>
        </w:tabs>
      </w:pPr>
      <w:r>
        <w:t>31</w:t>
      </w:r>
      <w:r w:rsidR="0065121D" w:rsidRPr="0065121D">
        <w:t> October 2017</w:t>
      </w:r>
    </w:p>
    <w:sectPr w:rsidR="0005393E" w:rsidRPr="0065121D">
      <w:headerReference w:type="default" r:id="rId8"/>
      <w:footerReference w:type="default" r:id="rId9"/>
      <w:headerReference w:type="first" r:id="rId10"/>
      <w:footerReference w:type="first" r:id="rId11"/>
      <w:type w:val="continuous"/>
      <w:pgSz w:w="11907" w:h="16840" w:code="9"/>
      <w:pgMar w:top="1701" w:right="964" w:bottom="851" w:left="96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FA" w:rsidRDefault="009D7AFA">
      <w:r>
        <w:separator/>
      </w:r>
    </w:p>
  </w:endnote>
  <w:endnote w:type="continuationSeparator" w:id="0">
    <w:p w:rsidR="009D7AFA" w:rsidRDefault="009D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FA" w:rsidRDefault="009D7AFA">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00FA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0FA4">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FA" w:rsidRDefault="009D7AFA" w:rsidP="001F7C05">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A00FA4">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A00FA4">
      <w:rPr>
        <w:noProof/>
        <w:lang w:val="en-US"/>
      </w:rPr>
      <w:t>2</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FA" w:rsidRDefault="009D7AFA">
      <w:r>
        <w:separator/>
      </w:r>
    </w:p>
  </w:footnote>
  <w:footnote w:type="continuationSeparator" w:id="0">
    <w:p w:rsidR="009D7AFA" w:rsidRDefault="009D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FA" w:rsidRDefault="009D7AFA" w:rsidP="00510BFA">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t>Civil Aviation Safety Regulations 1998 (</w:t>
    </w:r>
    <w:r w:rsidRPr="00CE0731">
      <w:rPr>
        <w:rFonts w:ascii="Arial" w:hAnsi="Arial"/>
        <w:b/>
        <w:i/>
        <w:sz w:val="20"/>
      </w:rPr>
      <w:t>CASR 1998</w:t>
    </w:r>
    <w:r>
      <w:rPr>
        <w:rFonts w:ascii="Arial" w:hAnsi="Arial"/>
        <w:b/>
        <w:sz w:val="20"/>
      </w:rPr>
      <w:t>)</w:t>
    </w:r>
  </w:p>
  <w:p w:rsidR="009D7AFA" w:rsidRPr="00D0782E" w:rsidRDefault="009D7AFA" w:rsidP="00510BFA">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rsidR="009D7AFA" w:rsidRDefault="0065121D">
    <w:pPr>
      <w:pStyle w:val="Heading3"/>
    </w:pPr>
    <w:r w:rsidRPr="0098367E">
      <w:t>Bombardier DHC-8 Series Aeroplanes</w:t>
    </w:r>
  </w:p>
  <w:p w:rsidR="009D7AFA" w:rsidRDefault="009D7AFA">
    <w:r>
      <w:t>AD</w:t>
    </w:r>
    <w:r w:rsidR="0065121D">
      <w:t xml:space="preserve">/DHC-8/138 </w:t>
    </w:r>
    <w:proofErr w:type="spellStart"/>
    <w:r w:rsidR="0065121D">
      <w:t>Amdt</w:t>
    </w:r>
    <w:proofErr w:type="spellEnd"/>
    <w:r w:rsidR="0065121D">
      <w:t xml:space="preserve"> 1</w:t>
    </w:r>
    <w:r>
      <w:t xml:space="preserve">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FA" w:rsidRDefault="009D7AFA" w:rsidP="001F7C05">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r>
    <w:r w:rsidRPr="00532389">
      <w:rPr>
        <w:rFonts w:ascii="Arial" w:hAnsi="Arial"/>
        <w:b/>
        <w:i/>
        <w:sz w:val="20"/>
      </w:rPr>
      <w:t>Civil Aviation Safety Regulations 1998</w:t>
    </w:r>
    <w:r>
      <w:rPr>
        <w:rFonts w:ascii="Arial" w:hAnsi="Arial"/>
        <w:b/>
        <w:sz w:val="20"/>
      </w:rPr>
      <w:t xml:space="preserve"> </w:t>
    </w:r>
    <w:r w:rsidRPr="00532389">
      <w:rPr>
        <w:rFonts w:ascii="Arial" w:hAnsi="Arial"/>
        <w:b/>
        <w:i/>
        <w:sz w:val="20"/>
      </w:rPr>
      <w:t>(CASR 1998)</w:t>
    </w:r>
  </w:p>
  <w:p w:rsidR="009D7AFA" w:rsidRPr="00D0782E" w:rsidRDefault="009D7AFA" w:rsidP="001F7C05">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rsidR="009D7AFA" w:rsidRPr="001F7C05" w:rsidRDefault="009D7AFA" w:rsidP="001F7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87"/>
    <w:rsid w:val="0005249C"/>
    <w:rsid w:val="0005393E"/>
    <w:rsid w:val="000958DB"/>
    <w:rsid w:val="000B0960"/>
    <w:rsid w:val="000E7214"/>
    <w:rsid w:val="001277B8"/>
    <w:rsid w:val="00177080"/>
    <w:rsid w:val="001B39ED"/>
    <w:rsid w:val="001C1971"/>
    <w:rsid w:val="001F7C05"/>
    <w:rsid w:val="00275942"/>
    <w:rsid w:val="002860D1"/>
    <w:rsid w:val="002B0A65"/>
    <w:rsid w:val="002E1101"/>
    <w:rsid w:val="002E5D13"/>
    <w:rsid w:val="00345CE3"/>
    <w:rsid w:val="003665F8"/>
    <w:rsid w:val="003957E3"/>
    <w:rsid w:val="00426736"/>
    <w:rsid w:val="00434769"/>
    <w:rsid w:val="00465EA5"/>
    <w:rsid w:val="004B4BC2"/>
    <w:rsid w:val="00510BFA"/>
    <w:rsid w:val="00532389"/>
    <w:rsid w:val="0055568F"/>
    <w:rsid w:val="005574FE"/>
    <w:rsid w:val="00577617"/>
    <w:rsid w:val="005C4F41"/>
    <w:rsid w:val="005D7481"/>
    <w:rsid w:val="0065121D"/>
    <w:rsid w:val="007221DC"/>
    <w:rsid w:val="00757783"/>
    <w:rsid w:val="00915E25"/>
    <w:rsid w:val="00962FA6"/>
    <w:rsid w:val="0098367E"/>
    <w:rsid w:val="0098743A"/>
    <w:rsid w:val="0099077A"/>
    <w:rsid w:val="009B01D8"/>
    <w:rsid w:val="009D7AFA"/>
    <w:rsid w:val="00A00FA4"/>
    <w:rsid w:val="00AC657D"/>
    <w:rsid w:val="00B33FA5"/>
    <w:rsid w:val="00B35E87"/>
    <w:rsid w:val="00B542BF"/>
    <w:rsid w:val="00BF5FE7"/>
    <w:rsid w:val="00C74B4B"/>
    <w:rsid w:val="00CA599C"/>
    <w:rsid w:val="00CB43DA"/>
    <w:rsid w:val="00CE0731"/>
    <w:rsid w:val="00D035D9"/>
    <w:rsid w:val="00D0782E"/>
    <w:rsid w:val="00D30C9E"/>
    <w:rsid w:val="00D35A02"/>
    <w:rsid w:val="00DC2248"/>
    <w:rsid w:val="00E10B68"/>
    <w:rsid w:val="00E137FC"/>
    <w:rsid w:val="00E374C4"/>
    <w:rsid w:val="00E9335C"/>
    <w:rsid w:val="00EB7309"/>
    <w:rsid w:val="00ED7A98"/>
    <w:rsid w:val="00F11A06"/>
    <w:rsid w:val="00F13CBC"/>
    <w:rsid w:val="00F25547"/>
    <w:rsid w:val="00F65147"/>
    <w:rsid w:val="00FA3AF5"/>
    <w:rsid w:val="00FE18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before="120" w:after="120"/>
      <w:textAlignment w:val="baseline"/>
    </w:pPr>
    <w:rPr>
      <w:sz w:val="24"/>
      <w:lang w:val="en-GB" w:eastAsia="en-US"/>
    </w:rPr>
  </w:style>
  <w:style w:type="paragraph" w:styleId="Heading1">
    <w:name w:val="heading 1"/>
    <w:basedOn w:val="Heading3"/>
    <w:next w:val="Normal"/>
    <w:qFormat/>
    <w:rsid w:val="001F7C05"/>
    <w:pPr>
      <w:outlineLvl w:val="0"/>
    </w:pPr>
  </w:style>
  <w:style w:type="paragraph" w:styleId="Heading2">
    <w:name w:val="heading 2"/>
    <w:basedOn w:val="Normal"/>
    <w:next w:val="Normal"/>
    <w:qFormat/>
    <w:pPr>
      <w:keepNext/>
      <w:spacing w:before="280"/>
      <w:outlineLvl w:val="1"/>
    </w:pPr>
    <w:rPr>
      <w:rFonts w:ascii="Arial" w:hAnsi="Arial"/>
      <w:b/>
      <w:sz w:val="28"/>
    </w:rPr>
  </w:style>
  <w:style w:type="paragraph" w:styleId="Heading3">
    <w:name w:val="heading 3"/>
    <w:basedOn w:val="Normal"/>
    <w:next w:val="Normal"/>
    <w:qFormat/>
    <w:pPr>
      <w:keepNext/>
      <w:spacing w:before="240"/>
      <w:outlineLvl w:val="2"/>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esName">
    <w:name w:val="Series Name"/>
    <w:basedOn w:val="Normal"/>
    <w:pPr>
      <w:pageBreakBefore/>
      <w:pBdr>
        <w:bottom w:val="single" w:sz="12" w:space="1" w:color="auto"/>
      </w:pBdr>
      <w:tabs>
        <w:tab w:val="right" w:pos="9923"/>
      </w:tabs>
      <w:spacing w:before="240"/>
    </w:pPr>
  </w:style>
  <w:style w:type="paragraph" w:customStyle="1" w:styleId="ADHeader">
    <w:name w:val="AD Header"/>
    <w:basedOn w:val="Normal"/>
    <w:pPr>
      <w:tabs>
        <w:tab w:val="center" w:pos="5670"/>
        <w:tab w:val="right" w:pos="9923"/>
      </w:tabs>
      <w:spacing w:before="280" w:after="160"/>
    </w:pPr>
    <w:rPr>
      <w:rFonts w:ascii="Helvetica" w:hAnsi="Helvetica"/>
      <w:b/>
    </w:rPr>
  </w:style>
  <w:style w:type="paragraph" w:customStyle="1" w:styleId="Note">
    <w:name w:val="Note"/>
    <w:basedOn w:val="Normal"/>
    <w:rPr>
      <w:i/>
    </w:rPr>
  </w:style>
  <w:style w:type="paragraph" w:styleId="Header">
    <w:name w:val="header"/>
    <w:basedOn w:val="Normal"/>
    <w:pPr>
      <w:tabs>
        <w:tab w:val="right" w:pos="9923"/>
      </w:tabs>
      <w:spacing w:before="60" w:after="60"/>
    </w:pPr>
    <w:rPr>
      <w:rFonts w:ascii="Helvetica" w:hAnsi="Helvetica"/>
      <w:b/>
    </w:rPr>
  </w:style>
  <w:style w:type="paragraph" w:styleId="Footer">
    <w:name w:val="footer"/>
    <w:basedOn w:val="Normal"/>
    <w:pPr>
      <w:tabs>
        <w:tab w:val="center" w:pos="4320"/>
        <w:tab w:val="right" w:pos="9639"/>
      </w:tabs>
      <w:spacing w:before="0" w:after="0"/>
    </w:pPr>
    <w:rPr>
      <w:sz w:val="20"/>
    </w:rPr>
  </w:style>
  <w:style w:type="paragraph" w:customStyle="1" w:styleId="ADName">
    <w:name w:val="AD Name"/>
    <w:basedOn w:val="Normal"/>
    <w:pPr>
      <w:tabs>
        <w:tab w:val="left" w:pos="5103"/>
      </w:tabs>
      <w:spacing w:before="60" w:after="60" w:line="240" w:lineRule="exact"/>
      <w:ind w:left="4650" w:hanging="3232"/>
    </w:pPr>
    <w:rPr>
      <w:rFonts w:ascii="Times" w:hAnsi="Times"/>
    </w:rPr>
  </w:style>
  <w:style w:type="character" w:styleId="PageNumber">
    <w:name w:val="page number"/>
    <w:basedOn w:val="DefaultParagraphFont"/>
  </w:style>
  <w:style w:type="paragraph" w:customStyle="1" w:styleId="ALNumber">
    <w:name w:val="AL Number"/>
    <w:basedOn w:val="Normal"/>
    <w:pPr>
      <w:tabs>
        <w:tab w:val="right" w:pos="9923"/>
      </w:tabs>
      <w:spacing w:before="240" w:line="240" w:lineRule="exact"/>
    </w:pPr>
    <w:rPr>
      <w:rFonts w:ascii="Times" w:hAnsi="Times"/>
    </w:rPr>
  </w:style>
  <w:style w:type="paragraph" w:customStyle="1" w:styleId="Justification">
    <w:name w:val="Justification"/>
    <w:basedOn w:val="Normal"/>
    <w:rPr>
      <w:b/>
      <w:sz w:val="20"/>
    </w:rPr>
  </w:style>
  <w:style w:type="paragraph" w:customStyle="1" w:styleId="FooterTable">
    <w:name w:val="Footer Table"/>
    <w:basedOn w:val="FooterTableHead"/>
    <w:rPr>
      <w:b w:val="0"/>
    </w:rPr>
  </w:style>
  <w:style w:type="paragraph" w:customStyle="1" w:styleId="FooterTableHead">
    <w:name w:val="Footer Table Head"/>
    <w:basedOn w:val="Heading5"/>
    <w:pPr>
      <w:keepNext/>
      <w:spacing w:before="60" w:after="0"/>
      <w:outlineLvl w:val="9"/>
    </w:pPr>
    <w:rPr>
      <w:rFonts w:ascii="Times New Roman" w:hAnsi="Times New Roman"/>
      <w:b/>
      <w:sz w:val="20"/>
      <w:lang w:val="en-US"/>
    </w:rPr>
  </w:style>
  <w:style w:type="paragraph" w:customStyle="1" w:styleId="STANDARD">
    <w:name w:val="STANDARD"/>
    <w:basedOn w:val="Normal"/>
    <w:pPr>
      <w:tabs>
        <w:tab w:val="left" w:pos="567"/>
        <w:tab w:val="left" w:pos="1134"/>
        <w:tab w:val="left" w:pos="1701"/>
        <w:tab w:val="left" w:pos="2268"/>
        <w:tab w:val="left" w:pos="2835"/>
        <w:tab w:val="left" w:pos="3402"/>
      </w:tabs>
      <w:spacing w:before="0" w:after="0"/>
      <w:jc w:val="both"/>
    </w:pPr>
    <w:rPr>
      <w:lang w:val="en-US"/>
    </w:rPr>
  </w:style>
  <w:style w:type="paragraph" w:customStyle="1" w:styleId="Style1">
    <w:name w:val="Style1"/>
    <w:basedOn w:val="Normal"/>
    <w:pPr>
      <w:spacing w:before="0" w:after="0"/>
    </w:pPr>
    <w:rPr>
      <w:sz w:val="20"/>
    </w:rPr>
  </w:style>
  <w:style w:type="paragraph" w:customStyle="1" w:styleId="Preamble">
    <w:name w:val="Preamble"/>
    <w:basedOn w:val="Normal"/>
    <w:pPr>
      <w:pBdr>
        <w:bottom w:val="single" w:sz="6" w:space="3" w:color="auto"/>
      </w:pBdr>
      <w:overflowPunct/>
      <w:spacing w:before="0" w:after="0" w:line="180" w:lineRule="exact"/>
      <w:textAlignment w:val="auto"/>
    </w:pPr>
    <w:rPr>
      <w:rFonts w:ascii="Times" w:hAnsi="Times"/>
      <w:sz w:val="15"/>
      <w:lang w:val="en-US"/>
    </w:rPr>
  </w:style>
  <w:style w:type="paragraph" w:styleId="BalloonText">
    <w:name w:val="Balloon Text"/>
    <w:basedOn w:val="Normal"/>
    <w:link w:val="BalloonTextChar"/>
    <w:rsid w:val="001C1971"/>
    <w:pPr>
      <w:spacing w:before="0" w:after="0"/>
    </w:pPr>
    <w:rPr>
      <w:rFonts w:ascii="Tahoma" w:hAnsi="Tahoma" w:cs="Tahoma"/>
      <w:sz w:val="16"/>
      <w:szCs w:val="16"/>
    </w:rPr>
  </w:style>
  <w:style w:type="character" w:customStyle="1" w:styleId="BalloonTextChar">
    <w:name w:val="Balloon Text Char"/>
    <w:link w:val="BalloonText"/>
    <w:rsid w:val="001C1971"/>
    <w:rPr>
      <w:rFonts w:ascii="Tahoma" w:hAnsi="Tahoma" w:cs="Tahoma"/>
      <w:sz w:val="16"/>
      <w:szCs w:val="16"/>
      <w:lang w:val="en-GB" w:eastAsia="en-US"/>
    </w:rPr>
  </w:style>
  <w:style w:type="paragraph" w:styleId="Title">
    <w:name w:val="Title"/>
    <w:basedOn w:val="STANDARD"/>
    <w:next w:val="Normal"/>
    <w:link w:val="TitleChar"/>
    <w:qFormat/>
    <w:rsid w:val="001F7C05"/>
    <w:pPr>
      <w:pBdr>
        <w:top w:val="single" w:sz="6" w:space="3" w:color="auto"/>
        <w:bottom w:val="single" w:sz="6" w:space="3" w:color="auto"/>
      </w:pBdr>
      <w:tabs>
        <w:tab w:val="clear" w:pos="567"/>
        <w:tab w:val="clear" w:pos="1134"/>
        <w:tab w:val="clear" w:pos="1701"/>
        <w:tab w:val="clear" w:pos="2268"/>
        <w:tab w:val="clear" w:pos="2835"/>
        <w:tab w:val="clear" w:pos="3402"/>
        <w:tab w:val="left" w:pos="5812"/>
      </w:tabs>
      <w:spacing w:before="120" w:after="60"/>
      <w:jc w:val="center"/>
    </w:pPr>
    <w:rPr>
      <w:rFonts w:ascii="Arial" w:hAnsi="Arial"/>
      <w:b/>
      <w:sz w:val="28"/>
    </w:rPr>
  </w:style>
  <w:style w:type="character" w:customStyle="1" w:styleId="TitleChar">
    <w:name w:val="Title Char"/>
    <w:basedOn w:val="DefaultParagraphFont"/>
    <w:link w:val="Title"/>
    <w:rsid w:val="001F7C05"/>
    <w:rPr>
      <w:rFonts w:ascii="Arial" w:hAnsi="Arial"/>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before="120" w:after="120"/>
      <w:textAlignment w:val="baseline"/>
    </w:pPr>
    <w:rPr>
      <w:sz w:val="24"/>
      <w:lang w:val="en-GB" w:eastAsia="en-US"/>
    </w:rPr>
  </w:style>
  <w:style w:type="paragraph" w:styleId="Heading1">
    <w:name w:val="heading 1"/>
    <w:basedOn w:val="Heading3"/>
    <w:next w:val="Normal"/>
    <w:qFormat/>
    <w:rsid w:val="001F7C05"/>
    <w:pPr>
      <w:outlineLvl w:val="0"/>
    </w:pPr>
  </w:style>
  <w:style w:type="paragraph" w:styleId="Heading2">
    <w:name w:val="heading 2"/>
    <w:basedOn w:val="Normal"/>
    <w:next w:val="Normal"/>
    <w:qFormat/>
    <w:pPr>
      <w:keepNext/>
      <w:spacing w:before="280"/>
      <w:outlineLvl w:val="1"/>
    </w:pPr>
    <w:rPr>
      <w:rFonts w:ascii="Arial" w:hAnsi="Arial"/>
      <w:b/>
      <w:sz w:val="28"/>
    </w:rPr>
  </w:style>
  <w:style w:type="paragraph" w:styleId="Heading3">
    <w:name w:val="heading 3"/>
    <w:basedOn w:val="Normal"/>
    <w:next w:val="Normal"/>
    <w:qFormat/>
    <w:pPr>
      <w:keepNext/>
      <w:spacing w:before="240"/>
      <w:outlineLvl w:val="2"/>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esName">
    <w:name w:val="Series Name"/>
    <w:basedOn w:val="Normal"/>
    <w:pPr>
      <w:pageBreakBefore/>
      <w:pBdr>
        <w:bottom w:val="single" w:sz="12" w:space="1" w:color="auto"/>
      </w:pBdr>
      <w:tabs>
        <w:tab w:val="right" w:pos="9923"/>
      </w:tabs>
      <w:spacing w:before="240"/>
    </w:pPr>
  </w:style>
  <w:style w:type="paragraph" w:customStyle="1" w:styleId="ADHeader">
    <w:name w:val="AD Header"/>
    <w:basedOn w:val="Normal"/>
    <w:pPr>
      <w:tabs>
        <w:tab w:val="center" w:pos="5670"/>
        <w:tab w:val="right" w:pos="9923"/>
      </w:tabs>
      <w:spacing w:before="280" w:after="160"/>
    </w:pPr>
    <w:rPr>
      <w:rFonts w:ascii="Helvetica" w:hAnsi="Helvetica"/>
      <w:b/>
    </w:rPr>
  </w:style>
  <w:style w:type="paragraph" w:customStyle="1" w:styleId="Note">
    <w:name w:val="Note"/>
    <w:basedOn w:val="Normal"/>
    <w:rPr>
      <w:i/>
    </w:rPr>
  </w:style>
  <w:style w:type="paragraph" w:styleId="Header">
    <w:name w:val="header"/>
    <w:basedOn w:val="Normal"/>
    <w:pPr>
      <w:tabs>
        <w:tab w:val="right" w:pos="9923"/>
      </w:tabs>
      <w:spacing w:before="60" w:after="60"/>
    </w:pPr>
    <w:rPr>
      <w:rFonts w:ascii="Helvetica" w:hAnsi="Helvetica"/>
      <w:b/>
    </w:rPr>
  </w:style>
  <w:style w:type="paragraph" w:styleId="Footer">
    <w:name w:val="footer"/>
    <w:basedOn w:val="Normal"/>
    <w:pPr>
      <w:tabs>
        <w:tab w:val="center" w:pos="4320"/>
        <w:tab w:val="right" w:pos="9639"/>
      </w:tabs>
      <w:spacing w:before="0" w:after="0"/>
    </w:pPr>
    <w:rPr>
      <w:sz w:val="20"/>
    </w:rPr>
  </w:style>
  <w:style w:type="paragraph" w:customStyle="1" w:styleId="ADName">
    <w:name w:val="AD Name"/>
    <w:basedOn w:val="Normal"/>
    <w:pPr>
      <w:tabs>
        <w:tab w:val="left" w:pos="5103"/>
      </w:tabs>
      <w:spacing w:before="60" w:after="60" w:line="240" w:lineRule="exact"/>
      <w:ind w:left="4650" w:hanging="3232"/>
    </w:pPr>
    <w:rPr>
      <w:rFonts w:ascii="Times" w:hAnsi="Times"/>
    </w:rPr>
  </w:style>
  <w:style w:type="character" w:styleId="PageNumber">
    <w:name w:val="page number"/>
    <w:basedOn w:val="DefaultParagraphFont"/>
  </w:style>
  <w:style w:type="paragraph" w:customStyle="1" w:styleId="ALNumber">
    <w:name w:val="AL Number"/>
    <w:basedOn w:val="Normal"/>
    <w:pPr>
      <w:tabs>
        <w:tab w:val="right" w:pos="9923"/>
      </w:tabs>
      <w:spacing w:before="240" w:line="240" w:lineRule="exact"/>
    </w:pPr>
    <w:rPr>
      <w:rFonts w:ascii="Times" w:hAnsi="Times"/>
    </w:rPr>
  </w:style>
  <w:style w:type="paragraph" w:customStyle="1" w:styleId="Justification">
    <w:name w:val="Justification"/>
    <w:basedOn w:val="Normal"/>
    <w:rPr>
      <w:b/>
      <w:sz w:val="20"/>
    </w:rPr>
  </w:style>
  <w:style w:type="paragraph" w:customStyle="1" w:styleId="FooterTable">
    <w:name w:val="Footer Table"/>
    <w:basedOn w:val="FooterTableHead"/>
    <w:rPr>
      <w:b w:val="0"/>
    </w:rPr>
  </w:style>
  <w:style w:type="paragraph" w:customStyle="1" w:styleId="FooterTableHead">
    <w:name w:val="Footer Table Head"/>
    <w:basedOn w:val="Heading5"/>
    <w:pPr>
      <w:keepNext/>
      <w:spacing w:before="60" w:after="0"/>
      <w:outlineLvl w:val="9"/>
    </w:pPr>
    <w:rPr>
      <w:rFonts w:ascii="Times New Roman" w:hAnsi="Times New Roman"/>
      <w:b/>
      <w:sz w:val="20"/>
      <w:lang w:val="en-US"/>
    </w:rPr>
  </w:style>
  <w:style w:type="paragraph" w:customStyle="1" w:styleId="STANDARD">
    <w:name w:val="STANDARD"/>
    <w:basedOn w:val="Normal"/>
    <w:pPr>
      <w:tabs>
        <w:tab w:val="left" w:pos="567"/>
        <w:tab w:val="left" w:pos="1134"/>
        <w:tab w:val="left" w:pos="1701"/>
        <w:tab w:val="left" w:pos="2268"/>
        <w:tab w:val="left" w:pos="2835"/>
        <w:tab w:val="left" w:pos="3402"/>
      </w:tabs>
      <w:spacing w:before="0" w:after="0"/>
      <w:jc w:val="both"/>
    </w:pPr>
    <w:rPr>
      <w:lang w:val="en-US"/>
    </w:rPr>
  </w:style>
  <w:style w:type="paragraph" w:customStyle="1" w:styleId="Style1">
    <w:name w:val="Style1"/>
    <w:basedOn w:val="Normal"/>
    <w:pPr>
      <w:spacing w:before="0" w:after="0"/>
    </w:pPr>
    <w:rPr>
      <w:sz w:val="20"/>
    </w:rPr>
  </w:style>
  <w:style w:type="paragraph" w:customStyle="1" w:styleId="Preamble">
    <w:name w:val="Preamble"/>
    <w:basedOn w:val="Normal"/>
    <w:pPr>
      <w:pBdr>
        <w:bottom w:val="single" w:sz="6" w:space="3" w:color="auto"/>
      </w:pBdr>
      <w:overflowPunct/>
      <w:spacing w:before="0" w:after="0" w:line="180" w:lineRule="exact"/>
      <w:textAlignment w:val="auto"/>
    </w:pPr>
    <w:rPr>
      <w:rFonts w:ascii="Times" w:hAnsi="Times"/>
      <w:sz w:val="15"/>
      <w:lang w:val="en-US"/>
    </w:rPr>
  </w:style>
  <w:style w:type="paragraph" w:styleId="BalloonText">
    <w:name w:val="Balloon Text"/>
    <w:basedOn w:val="Normal"/>
    <w:link w:val="BalloonTextChar"/>
    <w:rsid w:val="001C1971"/>
    <w:pPr>
      <w:spacing w:before="0" w:after="0"/>
    </w:pPr>
    <w:rPr>
      <w:rFonts w:ascii="Tahoma" w:hAnsi="Tahoma" w:cs="Tahoma"/>
      <w:sz w:val="16"/>
      <w:szCs w:val="16"/>
    </w:rPr>
  </w:style>
  <w:style w:type="character" w:customStyle="1" w:styleId="BalloonTextChar">
    <w:name w:val="Balloon Text Char"/>
    <w:link w:val="BalloonText"/>
    <w:rsid w:val="001C1971"/>
    <w:rPr>
      <w:rFonts w:ascii="Tahoma" w:hAnsi="Tahoma" w:cs="Tahoma"/>
      <w:sz w:val="16"/>
      <w:szCs w:val="16"/>
      <w:lang w:val="en-GB" w:eastAsia="en-US"/>
    </w:rPr>
  </w:style>
  <w:style w:type="paragraph" w:styleId="Title">
    <w:name w:val="Title"/>
    <w:basedOn w:val="STANDARD"/>
    <w:next w:val="Normal"/>
    <w:link w:val="TitleChar"/>
    <w:qFormat/>
    <w:rsid w:val="001F7C05"/>
    <w:pPr>
      <w:pBdr>
        <w:top w:val="single" w:sz="6" w:space="3" w:color="auto"/>
        <w:bottom w:val="single" w:sz="6" w:space="3" w:color="auto"/>
      </w:pBdr>
      <w:tabs>
        <w:tab w:val="clear" w:pos="567"/>
        <w:tab w:val="clear" w:pos="1134"/>
        <w:tab w:val="clear" w:pos="1701"/>
        <w:tab w:val="clear" w:pos="2268"/>
        <w:tab w:val="clear" w:pos="2835"/>
        <w:tab w:val="clear" w:pos="3402"/>
        <w:tab w:val="left" w:pos="5812"/>
      </w:tabs>
      <w:spacing w:before="120" w:after="60"/>
      <w:jc w:val="center"/>
    </w:pPr>
    <w:rPr>
      <w:rFonts w:ascii="Arial" w:hAnsi="Arial"/>
      <w:b/>
      <w:sz w:val="28"/>
    </w:rPr>
  </w:style>
  <w:style w:type="character" w:customStyle="1" w:styleId="TitleChar">
    <w:name w:val="Title Char"/>
    <w:basedOn w:val="DefaultParagraphFont"/>
    <w:link w:val="Title"/>
    <w:rsid w:val="001F7C05"/>
    <w:rPr>
      <w:rFonts w:ascii="Arial" w:hAnsi="Arial"/>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5664">
      <w:bodyDiv w:val="1"/>
      <w:marLeft w:val="0"/>
      <w:marRight w:val="0"/>
      <w:marTop w:val="0"/>
      <w:marBottom w:val="0"/>
      <w:divBdr>
        <w:top w:val="none" w:sz="0" w:space="0" w:color="auto"/>
        <w:left w:val="none" w:sz="0" w:space="0" w:color="auto"/>
        <w:bottom w:val="none" w:sz="0" w:space="0" w:color="auto"/>
        <w:right w:val="none" w:sz="0" w:space="0" w:color="auto"/>
      </w:divBdr>
    </w:div>
    <w:div w:id="7809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AD/DHC-8/138 Amdt 1</vt:lpstr>
    </vt:vector>
  </TitlesOfParts>
  <Company>CASA</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AD/DHC-8/138 Amdt 1</dc:title>
  <dc:subject>Fuel System Safety</dc:subject>
  <dc:creator>Civil Aviation Safety Authority</dc:creator>
  <cp:lastModifiedBy>Nadia Spesyvy</cp:lastModifiedBy>
  <cp:revision>2</cp:revision>
  <cp:lastPrinted>2017-10-30T21:23:00Z</cp:lastPrinted>
  <dcterms:created xsi:type="dcterms:W3CDTF">2017-11-01T01:34:00Z</dcterms:created>
  <dcterms:modified xsi:type="dcterms:W3CDTF">2017-11-01T01:34:00Z</dcterms:modified>
  <cp:category>Airworthiness Directives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