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211BB6" w:rsidP="00BA4F48">
      <w:pPr>
        <w:tabs>
          <w:tab w:val="left" w:pos="900"/>
        </w:tabs>
      </w:pPr>
    </w:p>
    <w:p w14:paraId="2AEC5C74" w14:textId="77777777" w:rsidR="00BA4F48" w:rsidRPr="00A27335" w:rsidRDefault="00211BB6" w:rsidP="00BA4F48">
      <w:pPr>
        <w:tabs>
          <w:tab w:val="left" w:pos="900"/>
        </w:tabs>
        <w:jc w:val="center"/>
      </w:pPr>
    </w:p>
    <w:p w14:paraId="2AEC5C75" w14:textId="77777777" w:rsidR="00BA4F48" w:rsidRPr="00A27335" w:rsidRDefault="00211BB6" w:rsidP="00BA4F48">
      <w:pPr>
        <w:tabs>
          <w:tab w:val="left" w:pos="900"/>
        </w:tabs>
        <w:jc w:val="center"/>
      </w:pPr>
    </w:p>
    <w:p w14:paraId="2AEC5C76" w14:textId="61A4206F" w:rsidR="00BA4F48" w:rsidRPr="00CA7971" w:rsidRDefault="008D140A" w:rsidP="00194C83">
      <w:pPr>
        <w:tabs>
          <w:tab w:val="left" w:pos="900"/>
        </w:tabs>
        <w:jc w:val="center"/>
      </w:pPr>
      <w:r w:rsidRPr="00194C83">
        <w:rPr>
          <w:b/>
          <w:sz w:val="40"/>
          <w:szCs w:val="40"/>
        </w:rPr>
        <w:t xml:space="preserve">Vehicle Standard (Australian Design Rule </w:t>
      </w:r>
      <w:r w:rsidR="007134DD" w:rsidRPr="007134DD">
        <w:rPr>
          <w:b/>
          <w:sz w:val="40"/>
          <w:szCs w:val="40"/>
        </w:rPr>
        <w:t>74/00 – Side Marker Lamps) 2006</w:t>
      </w:r>
      <w:r>
        <w:rPr>
          <w:b/>
          <w:sz w:val="40"/>
          <w:szCs w:val="40"/>
        </w:rPr>
        <w:t xml:space="preserve"> Amendment </w:t>
      </w:r>
      <w:r w:rsidR="00132B0C">
        <w:rPr>
          <w:b/>
          <w:sz w:val="40"/>
          <w:szCs w:val="40"/>
        </w:rPr>
        <w:t>1</w:t>
      </w:r>
    </w:p>
    <w:p w14:paraId="2AEC5C77" w14:textId="77777777" w:rsidR="00485E16" w:rsidRPr="00CA7971" w:rsidRDefault="00211BB6" w:rsidP="00BA4F48">
      <w:pPr>
        <w:tabs>
          <w:tab w:val="left" w:pos="900"/>
        </w:tabs>
      </w:pPr>
    </w:p>
    <w:p w14:paraId="2AEC5C78" w14:textId="77777777" w:rsidR="00BA4F48" w:rsidRPr="00CA7971" w:rsidRDefault="00211BB6" w:rsidP="00BA4F48">
      <w:pPr>
        <w:tabs>
          <w:tab w:val="left" w:pos="900"/>
        </w:tabs>
      </w:pPr>
    </w:p>
    <w:p w14:paraId="2AEC5C79" w14:textId="77777777" w:rsidR="00BA4F48" w:rsidRPr="00CA7971" w:rsidRDefault="00211BB6"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211BB6" w:rsidP="00BA4F48">
      <w:pPr>
        <w:tabs>
          <w:tab w:val="left" w:pos="900"/>
        </w:tabs>
      </w:pPr>
    </w:p>
    <w:p w14:paraId="2AEC5C7C" w14:textId="77777777" w:rsidR="00BA4F48" w:rsidRPr="00CA7971" w:rsidRDefault="00211BB6" w:rsidP="00BA4F48">
      <w:pPr>
        <w:tabs>
          <w:tab w:val="left" w:pos="900"/>
        </w:tabs>
      </w:pPr>
    </w:p>
    <w:p w14:paraId="2AEC5C7D" w14:textId="77777777" w:rsidR="00BA4F48" w:rsidRPr="00CA7971" w:rsidRDefault="00211BB6" w:rsidP="00BA4F48">
      <w:pPr>
        <w:tabs>
          <w:tab w:val="left" w:pos="900"/>
        </w:tabs>
      </w:pPr>
    </w:p>
    <w:p w14:paraId="2AEC5C7E" w14:textId="77777777" w:rsidR="00BA4F48" w:rsidRPr="00CA7971" w:rsidRDefault="00211BB6" w:rsidP="00BA4F48">
      <w:pPr>
        <w:tabs>
          <w:tab w:val="left" w:pos="900"/>
        </w:tabs>
      </w:pPr>
    </w:p>
    <w:p w14:paraId="2AEC5C7F" w14:textId="77777777" w:rsidR="00BA4F48" w:rsidRPr="00CA7971" w:rsidRDefault="00211BB6" w:rsidP="00BA4F48">
      <w:pPr>
        <w:tabs>
          <w:tab w:val="left" w:pos="900"/>
        </w:tabs>
      </w:pPr>
    </w:p>
    <w:p w14:paraId="2AEC5C80" w14:textId="77777777" w:rsidR="00BA4F48" w:rsidRPr="00CA7971" w:rsidRDefault="00211BB6" w:rsidP="00BA4F48">
      <w:pPr>
        <w:tabs>
          <w:tab w:val="left" w:pos="900"/>
        </w:tabs>
      </w:pPr>
    </w:p>
    <w:p w14:paraId="2AEC5C81" w14:textId="39C21769" w:rsidR="00BA4F48" w:rsidRPr="00CA7971" w:rsidRDefault="0021341C" w:rsidP="00BA4F48">
      <w:pPr>
        <w:pStyle w:val="ADRTitle"/>
        <w:tabs>
          <w:tab w:val="left" w:pos="900"/>
        </w:tabs>
        <w:jc w:val="center"/>
      </w:pPr>
      <w:r>
        <w:t xml:space="preserve">Replacement </w:t>
      </w:r>
      <w:r w:rsidR="008D140A" w:rsidRPr="00CA7971">
        <w:t>Explanatory Statement</w:t>
      </w:r>
    </w:p>
    <w:p w14:paraId="2AEC5C82" w14:textId="77777777" w:rsidR="00BA4F48" w:rsidRPr="00CA7971" w:rsidRDefault="00211BB6" w:rsidP="00BA4F48">
      <w:pPr>
        <w:tabs>
          <w:tab w:val="left" w:pos="900"/>
        </w:tabs>
      </w:pPr>
    </w:p>
    <w:p w14:paraId="2AEC5C83" w14:textId="77777777" w:rsidR="00BA4F48" w:rsidRPr="00CA7971" w:rsidRDefault="00211BB6" w:rsidP="00BA4F48">
      <w:pPr>
        <w:tabs>
          <w:tab w:val="left" w:pos="900"/>
        </w:tabs>
      </w:pPr>
    </w:p>
    <w:p w14:paraId="2AEC5C84" w14:textId="77777777" w:rsidR="00BA4F48" w:rsidRPr="00CA7971" w:rsidRDefault="00211BB6" w:rsidP="00BA4F48">
      <w:pPr>
        <w:tabs>
          <w:tab w:val="left" w:pos="900"/>
        </w:tabs>
      </w:pPr>
    </w:p>
    <w:p w14:paraId="2AEC5C85" w14:textId="77777777" w:rsidR="00BA4F48" w:rsidRPr="00CA7971" w:rsidRDefault="00211BB6" w:rsidP="00BA4F48">
      <w:pPr>
        <w:tabs>
          <w:tab w:val="left" w:pos="900"/>
        </w:tabs>
      </w:pPr>
    </w:p>
    <w:p w14:paraId="2AEC5C86" w14:textId="77777777" w:rsidR="00BA4F48" w:rsidRPr="00CA7971" w:rsidRDefault="00211BB6" w:rsidP="00BA4F48">
      <w:pPr>
        <w:tabs>
          <w:tab w:val="left" w:pos="900"/>
        </w:tabs>
      </w:pPr>
    </w:p>
    <w:p w14:paraId="2AEC5C87" w14:textId="77777777" w:rsidR="00BA4F48" w:rsidRPr="00CA7971" w:rsidRDefault="00211BB6" w:rsidP="00BA4F48">
      <w:pPr>
        <w:tabs>
          <w:tab w:val="left" w:pos="900"/>
        </w:tabs>
      </w:pPr>
    </w:p>
    <w:p w14:paraId="2AEC5C88" w14:textId="77777777" w:rsidR="00BA4F48" w:rsidRPr="00CA7971" w:rsidRDefault="00211BB6" w:rsidP="00BA4F48">
      <w:pPr>
        <w:tabs>
          <w:tab w:val="left" w:pos="900"/>
        </w:tabs>
      </w:pPr>
    </w:p>
    <w:p w14:paraId="2AEC5C89" w14:textId="77777777" w:rsidR="00BA4F48" w:rsidRPr="00CA7971" w:rsidRDefault="00211BB6" w:rsidP="00BA4F48">
      <w:pPr>
        <w:tabs>
          <w:tab w:val="left" w:pos="900"/>
        </w:tabs>
      </w:pPr>
    </w:p>
    <w:p w14:paraId="1E7BAB3B" w14:textId="77777777" w:rsidR="006529DE" w:rsidRPr="00CA7971" w:rsidRDefault="006529DE" w:rsidP="006529DE">
      <w:pPr>
        <w:tabs>
          <w:tab w:val="left" w:pos="900"/>
        </w:tabs>
        <w:jc w:val="center"/>
      </w:pPr>
      <w:r w:rsidRPr="00CA7971">
        <w:t xml:space="preserve">Issued by the authority of the </w:t>
      </w:r>
      <w:r w:rsidRPr="00FF4915">
        <w:t xml:space="preserve">Minister for </w:t>
      </w:r>
      <w:r>
        <w:t>Urban Infrastructure and Cities</w:t>
      </w:r>
    </w:p>
    <w:p w14:paraId="2AEC5C8B" w14:textId="77777777" w:rsidR="00BA4F48" w:rsidRPr="00CA7971" w:rsidRDefault="00211BB6" w:rsidP="00BA4F48">
      <w:pPr>
        <w:tabs>
          <w:tab w:val="left" w:pos="900"/>
        </w:tabs>
      </w:pPr>
    </w:p>
    <w:p w14:paraId="2AEC5C8C" w14:textId="77777777" w:rsidR="00BA4F48" w:rsidRPr="00CA7971" w:rsidRDefault="00211BB6" w:rsidP="00BA4F48">
      <w:pPr>
        <w:tabs>
          <w:tab w:val="left" w:pos="900"/>
        </w:tabs>
      </w:pPr>
    </w:p>
    <w:p w14:paraId="2AEC5C8D" w14:textId="77777777" w:rsidR="00BA4F48" w:rsidRPr="00CA7971" w:rsidRDefault="00211BB6" w:rsidP="00BA4F48">
      <w:pPr>
        <w:tabs>
          <w:tab w:val="left" w:pos="900"/>
        </w:tabs>
      </w:pPr>
    </w:p>
    <w:p w14:paraId="2AEC5C8E" w14:textId="77777777" w:rsidR="00BA4F48" w:rsidRPr="00CA7971" w:rsidRDefault="00211BB6" w:rsidP="00BA4F48">
      <w:pPr>
        <w:tabs>
          <w:tab w:val="left" w:pos="900"/>
        </w:tabs>
      </w:pPr>
    </w:p>
    <w:p w14:paraId="2AEC5C8F" w14:textId="77777777" w:rsidR="00BA4F48" w:rsidRPr="00CA7971" w:rsidRDefault="00211BB6" w:rsidP="00BA4F48">
      <w:pPr>
        <w:tabs>
          <w:tab w:val="left" w:pos="900"/>
        </w:tabs>
      </w:pPr>
    </w:p>
    <w:p w14:paraId="2AEC5C90" w14:textId="77777777" w:rsidR="00BA4F48" w:rsidRPr="00CA7971" w:rsidRDefault="00211BB6" w:rsidP="00BA4F48">
      <w:pPr>
        <w:tabs>
          <w:tab w:val="left" w:pos="900"/>
        </w:tabs>
      </w:pPr>
    </w:p>
    <w:p w14:paraId="2AEC5C91" w14:textId="77777777" w:rsidR="00BA4F48" w:rsidRPr="00CA7971" w:rsidRDefault="00211BB6" w:rsidP="00BA4F48">
      <w:pPr>
        <w:tabs>
          <w:tab w:val="left" w:pos="900"/>
        </w:tabs>
      </w:pPr>
    </w:p>
    <w:p w14:paraId="2AEC5C92" w14:textId="1E2EE03D" w:rsidR="00BA4F48" w:rsidRPr="00CA7971" w:rsidRDefault="00452FB5" w:rsidP="00BA4F48">
      <w:pPr>
        <w:pStyle w:val="ADRTitle"/>
        <w:tabs>
          <w:tab w:val="left" w:pos="900"/>
        </w:tabs>
        <w:jc w:val="center"/>
      </w:pPr>
      <w:r>
        <w:t>February 2018</w:t>
      </w:r>
    </w:p>
    <w:p w14:paraId="2AEC5C93" w14:textId="77777777" w:rsidR="00BA4F48" w:rsidRPr="00CA7971" w:rsidRDefault="00211BB6" w:rsidP="00BA4F48">
      <w:pPr>
        <w:tabs>
          <w:tab w:val="left" w:pos="900"/>
        </w:tabs>
      </w:pPr>
    </w:p>
    <w:p w14:paraId="2AEC5C94" w14:textId="77777777" w:rsidR="00BA4F48" w:rsidRPr="00CA7971" w:rsidRDefault="00211BB6" w:rsidP="0028346B">
      <w:pPr>
        <w:tabs>
          <w:tab w:val="left" w:pos="900"/>
        </w:tabs>
      </w:pPr>
    </w:p>
    <w:p w14:paraId="2AEC5C95" w14:textId="77777777" w:rsidR="00BA4F48" w:rsidRPr="00CA7971" w:rsidRDefault="008D140A" w:rsidP="00BA4F48">
      <w:pPr>
        <w:tabs>
          <w:tab w:val="left" w:pos="900"/>
        </w:tabs>
        <w:jc w:val="center"/>
        <w:rPr>
          <w:b/>
        </w:rPr>
      </w:pPr>
      <w:r w:rsidRPr="00CA7971">
        <w:rPr>
          <w:b/>
        </w:rPr>
        <w:br w:type="page"/>
      </w:r>
      <w:r w:rsidRPr="00CA7971">
        <w:rPr>
          <w:b/>
        </w:rPr>
        <w:lastRenderedPageBreak/>
        <w:t>CONTENTS</w:t>
      </w:r>
    </w:p>
    <w:p w14:paraId="2AEC5C96" w14:textId="77777777" w:rsidR="00BA4F48" w:rsidRPr="00CA7971" w:rsidRDefault="00211BB6" w:rsidP="00BA4F48">
      <w:pPr>
        <w:tabs>
          <w:tab w:val="left" w:pos="900"/>
        </w:tabs>
        <w:rPr>
          <w:b/>
        </w:rPr>
      </w:pPr>
    </w:p>
    <w:p w14:paraId="214A62AD" w14:textId="78F02105" w:rsidR="009108ED" w:rsidRDefault="008D140A">
      <w:pPr>
        <w:pStyle w:val="TOC1"/>
        <w:rPr>
          <w:rFonts w:asciiTheme="minorHAnsi" w:eastAsiaTheme="minorEastAsia" w:hAnsiTheme="minorHAnsi" w:cstheme="minorBidi"/>
          <w:caps w:val="0"/>
          <w:noProof/>
          <w:sz w:val="22"/>
          <w:szCs w:val="22"/>
        </w:rPr>
      </w:pPr>
      <w:r>
        <w:fldChar w:fldCharType="begin"/>
      </w:r>
      <w:r>
        <w:instrText xml:space="preserve"> TOC \f \h \z \t "Main Headding,1,Sub section,2" </w:instrText>
      </w:r>
      <w:r>
        <w:fldChar w:fldCharType="separate"/>
      </w:r>
      <w:hyperlink w:anchor="_Toc505067237" w:history="1">
        <w:r w:rsidR="009108ED" w:rsidRPr="00317C45">
          <w:rPr>
            <w:rStyle w:val="Hyperlink"/>
            <w:noProof/>
          </w:rPr>
          <w:t>1.</w:t>
        </w:r>
        <w:r w:rsidR="009108ED">
          <w:rPr>
            <w:rFonts w:asciiTheme="minorHAnsi" w:eastAsiaTheme="minorEastAsia" w:hAnsiTheme="minorHAnsi" w:cstheme="minorBidi"/>
            <w:caps w:val="0"/>
            <w:noProof/>
            <w:sz w:val="22"/>
            <w:szCs w:val="22"/>
          </w:rPr>
          <w:tab/>
        </w:r>
        <w:r w:rsidR="009108ED" w:rsidRPr="00317C45">
          <w:rPr>
            <w:rStyle w:val="Hyperlink"/>
            <w:noProof/>
          </w:rPr>
          <w:t>legislative context</w:t>
        </w:r>
        <w:r w:rsidR="009108ED">
          <w:rPr>
            <w:noProof/>
            <w:webHidden/>
          </w:rPr>
          <w:tab/>
        </w:r>
        <w:r w:rsidR="009108ED">
          <w:rPr>
            <w:noProof/>
            <w:webHidden/>
          </w:rPr>
          <w:fldChar w:fldCharType="begin"/>
        </w:r>
        <w:r w:rsidR="009108ED">
          <w:rPr>
            <w:noProof/>
            <w:webHidden/>
          </w:rPr>
          <w:instrText xml:space="preserve"> PAGEREF _Toc505067237 \h </w:instrText>
        </w:r>
        <w:r w:rsidR="009108ED">
          <w:rPr>
            <w:noProof/>
            <w:webHidden/>
          </w:rPr>
        </w:r>
        <w:r w:rsidR="009108ED">
          <w:rPr>
            <w:noProof/>
            <w:webHidden/>
          </w:rPr>
          <w:fldChar w:fldCharType="separate"/>
        </w:r>
        <w:r w:rsidR="00141A4B">
          <w:rPr>
            <w:noProof/>
            <w:webHidden/>
          </w:rPr>
          <w:t>3</w:t>
        </w:r>
        <w:r w:rsidR="009108ED">
          <w:rPr>
            <w:noProof/>
            <w:webHidden/>
          </w:rPr>
          <w:fldChar w:fldCharType="end"/>
        </w:r>
      </w:hyperlink>
    </w:p>
    <w:p w14:paraId="3DB85898" w14:textId="2B104890" w:rsidR="009108ED" w:rsidRDefault="00211BB6">
      <w:pPr>
        <w:pStyle w:val="TOC1"/>
        <w:rPr>
          <w:rFonts w:asciiTheme="minorHAnsi" w:eastAsiaTheme="minorEastAsia" w:hAnsiTheme="minorHAnsi" w:cstheme="minorBidi"/>
          <w:caps w:val="0"/>
          <w:noProof/>
          <w:sz w:val="22"/>
          <w:szCs w:val="22"/>
        </w:rPr>
      </w:pPr>
      <w:hyperlink w:anchor="_Toc505067238" w:history="1">
        <w:r w:rsidR="009108ED" w:rsidRPr="00317C45">
          <w:rPr>
            <w:rStyle w:val="Hyperlink"/>
            <w:rFonts w:cs="Arial"/>
            <w:noProof/>
          </w:rPr>
          <w:t>2.</w:t>
        </w:r>
        <w:r w:rsidR="009108ED">
          <w:rPr>
            <w:rFonts w:asciiTheme="minorHAnsi" w:eastAsiaTheme="minorEastAsia" w:hAnsiTheme="minorHAnsi" w:cstheme="minorBidi"/>
            <w:caps w:val="0"/>
            <w:noProof/>
            <w:sz w:val="22"/>
            <w:szCs w:val="22"/>
          </w:rPr>
          <w:tab/>
        </w:r>
        <w:r w:rsidR="009108ED" w:rsidRPr="00317C45">
          <w:rPr>
            <w:rStyle w:val="Hyperlink"/>
            <w:noProof/>
          </w:rPr>
          <w:t>content and effect of ADR 74/00 and the amendment</w:t>
        </w:r>
        <w:r w:rsidR="009108ED">
          <w:rPr>
            <w:noProof/>
            <w:webHidden/>
          </w:rPr>
          <w:tab/>
        </w:r>
        <w:r w:rsidR="009108ED">
          <w:rPr>
            <w:noProof/>
            <w:webHidden/>
          </w:rPr>
          <w:fldChar w:fldCharType="begin"/>
        </w:r>
        <w:r w:rsidR="009108ED">
          <w:rPr>
            <w:noProof/>
            <w:webHidden/>
          </w:rPr>
          <w:instrText xml:space="preserve"> PAGEREF _Toc505067238 \h </w:instrText>
        </w:r>
        <w:r w:rsidR="009108ED">
          <w:rPr>
            <w:noProof/>
            <w:webHidden/>
          </w:rPr>
        </w:r>
        <w:r w:rsidR="009108ED">
          <w:rPr>
            <w:noProof/>
            <w:webHidden/>
          </w:rPr>
          <w:fldChar w:fldCharType="separate"/>
        </w:r>
        <w:r w:rsidR="00141A4B">
          <w:rPr>
            <w:noProof/>
            <w:webHidden/>
          </w:rPr>
          <w:t>3</w:t>
        </w:r>
        <w:r w:rsidR="009108ED">
          <w:rPr>
            <w:noProof/>
            <w:webHidden/>
          </w:rPr>
          <w:fldChar w:fldCharType="end"/>
        </w:r>
      </w:hyperlink>
    </w:p>
    <w:p w14:paraId="642B9F93" w14:textId="45671047"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39" w:history="1">
        <w:r w:rsidR="009108ED" w:rsidRPr="00317C45">
          <w:rPr>
            <w:rStyle w:val="Hyperlink"/>
            <w:noProof/>
          </w:rPr>
          <w:t>2.1.</w:t>
        </w:r>
        <w:r w:rsidR="009108ED">
          <w:rPr>
            <w:rFonts w:asciiTheme="minorHAnsi" w:eastAsiaTheme="minorEastAsia" w:hAnsiTheme="minorHAnsi" w:cstheme="minorBidi"/>
            <w:noProof/>
            <w:sz w:val="22"/>
            <w:szCs w:val="22"/>
          </w:rPr>
          <w:tab/>
        </w:r>
        <w:r w:rsidR="009108ED" w:rsidRPr="00317C45">
          <w:rPr>
            <w:rStyle w:val="Hyperlink"/>
            <w:noProof/>
          </w:rPr>
          <w:t>Overview of the ADR</w:t>
        </w:r>
        <w:r w:rsidR="009108ED">
          <w:rPr>
            <w:noProof/>
            <w:webHidden/>
          </w:rPr>
          <w:tab/>
        </w:r>
        <w:r w:rsidR="009108ED">
          <w:rPr>
            <w:noProof/>
            <w:webHidden/>
          </w:rPr>
          <w:fldChar w:fldCharType="begin"/>
        </w:r>
        <w:r w:rsidR="009108ED">
          <w:rPr>
            <w:noProof/>
            <w:webHidden/>
          </w:rPr>
          <w:instrText xml:space="preserve"> PAGEREF _Toc505067239 \h </w:instrText>
        </w:r>
        <w:r w:rsidR="009108ED">
          <w:rPr>
            <w:noProof/>
            <w:webHidden/>
          </w:rPr>
        </w:r>
        <w:r w:rsidR="009108ED">
          <w:rPr>
            <w:noProof/>
            <w:webHidden/>
          </w:rPr>
          <w:fldChar w:fldCharType="separate"/>
        </w:r>
        <w:r w:rsidR="00141A4B">
          <w:rPr>
            <w:noProof/>
            <w:webHidden/>
          </w:rPr>
          <w:t>3</w:t>
        </w:r>
        <w:r w:rsidR="009108ED">
          <w:rPr>
            <w:noProof/>
            <w:webHidden/>
          </w:rPr>
          <w:fldChar w:fldCharType="end"/>
        </w:r>
      </w:hyperlink>
    </w:p>
    <w:p w14:paraId="7895BADE" w14:textId="728620EC"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40" w:history="1">
        <w:r w:rsidR="009108ED" w:rsidRPr="00317C45">
          <w:rPr>
            <w:rStyle w:val="Hyperlink"/>
            <w:noProof/>
          </w:rPr>
          <w:t>2.2.</w:t>
        </w:r>
        <w:r w:rsidR="009108ED">
          <w:rPr>
            <w:rFonts w:asciiTheme="minorHAnsi" w:eastAsiaTheme="minorEastAsia" w:hAnsiTheme="minorHAnsi" w:cstheme="minorBidi"/>
            <w:noProof/>
            <w:sz w:val="22"/>
            <w:szCs w:val="22"/>
          </w:rPr>
          <w:tab/>
        </w:r>
        <w:r w:rsidR="009108ED" w:rsidRPr="00317C45">
          <w:rPr>
            <w:rStyle w:val="Hyperlink"/>
            <w:noProof/>
          </w:rPr>
          <w:t>Effect of the ADR Amendment</w:t>
        </w:r>
        <w:r w:rsidR="009108ED">
          <w:rPr>
            <w:noProof/>
            <w:webHidden/>
          </w:rPr>
          <w:tab/>
        </w:r>
        <w:r w:rsidR="009108ED">
          <w:rPr>
            <w:noProof/>
            <w:webHidden/>
          </w:rPr>
          <w:fldChar w:fldCharType="begin"/>
        </w:r>
        <w:r w:rsidR="009108ED">
          <w:rPr>
            <w:noProof/>
            <w:webHidden/>
          </w:rPr>
          <w:instrText xml:space="preserve"> PAGEREF _Toc505067240 \h </w:instrText>
        </w:r>
        <w:r w:rsidR="009108ED">
          <w:rPr>
            <w:noProof/>
            <w:webHidden/>
          </w:rPr>
        </w:r>
        <w:r w:rsidR="009108ED">
          <w:rPr>
            <w:noProof/>
            <w:webHidden/>
          </w:rPr>
          <w:fldChar w:fldCharType="separate"/>
        </w:r>
        <w:r w:rsidR="00141A4B">
          <w:rPr>
            <w:noProof/>
            <w:webHidden/>
          </w:rPr>
          <w:t>3</w:t>
        </w:r>
        <w:r w:rsidR="009108ED">
          <w:rPr>
            <w:noProof/>
            <w:webHidden/>
          </w:rPr>
          <w:fldChar w:fldCharType="end"/>
        </w:r>
      </w:hyperlink>
    </w:p>
    <w:p w14:paraId="232EC924" w14:textId="0AA1C66C"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41" w:history="1">
        <w:r w:rsidR="009108ED" w:rsidRPr="00317C45">
          <w:rPr>
            <w:rStyle w:val="Hyperlink"/>
            <w:noProof/>
          </w:rPr>
          <w:t>2.3.</w:t>
        </w:r>
        <w:r w:rsidR="009108ED">
          <w:rPr>
            <w:rFonts w:asciiTheme="minorHAnsi" w:eastAsiaTheme="minorEastAsia" w:hAnsiTheme="minorHAnsi" w:cstheme="minorBidi"/>
            <w:noProof/>
            <w:sz w:val="22"/>
            <w:szCs w:val="22"/>
          </w:rPr>
          <w:tab/>
        </w:r>
        <w:r w:rsidR="009108ED" w:rsidRPr="00317C45">
          <w:rPr>
            <w:rStyle w:val="Hyperlink"/>
            <w:noProof/>
          </w:rPr>
          <w:t>Incorporated Documents</w:t>
        </w:r>
        <w:r w:rsidR="009108ED">
          <w:rPr>
            <w:noProof/>
            <w:webHidden/>
          </w:rPr>
          <w:tab/>
        </w:r>
        <w:r w:rsidR="009108ED">
          <w:rPr>
            <w:noProof/>
            <w:webHidden/>
          </w:rPr>
          <w:fldChar w:fldCharType="begin"/>
        </w:r>
        <w:r w:rsidR="009108ED">
          <w:rPr>
            <w:noProof/>
            <w:webHidden/>
          </w:rPr>
          <w:instrText xml:space="preserve"> PAGEREF _Toc505067241 \h </w:instrText>
        </w:r>
        <w:r w:rsidR="009108ED">
          <w:rPr>
            <w:noProof/>
            <w:webHidden/>
          </w:rPr>
        </w:r>
        <w:r w:rsidR="009108ED">
          <w:rPr>
            <w:noProof/>
            <w:webHidden/>
          </w:rPr>
          <w:fldChar w:fldCharType="separate"/>
        </w:r>
        <w:r w:rsidR="00141A4B">
          <w:rPr>
            <w:noProof/>
            <w:webHidden/>
          </w:rPr>
          <w:t>3</w:t>
        </w:r>
        <w:r w:rsidR="009108ED">
          <w:rPr>
            <w:noProof/>
            <w:webHidden/>
          </w:rPr>
          <w:fldChar w:fldCharType="end"/>
        </w:r>
      </w:hyperlink>
    </w:p>
    <w:p w14:paraId="54E73288" w14:textId="7085C9EB" w:rsidR="009108ED" w:rsidRDefault="00211BB6">
      <w:pPr>
        <w:pStyle w:val="TOC1"/>
        <w:rPr>
          <w:rFonts w:asciiTheme="minorHAnsi" w:eastAsiaTheme="minorEastAsia" w:hAnsiTheme="minorHAnsi" w:cstheme="minorBidi"/>
          <w:caps w:val="0"/>
          <w:noProof/>
          <w:sz w:val="22"/>
          <w:szCs w:val="22"/>
        </w:rPr>
      </w:pPr>
      <w:hyperlink w:anchor="_Toc505067242" w:history="1">
        <w:r w:rsidR="009108ED" w:rsidRPr="00317C45">
          <w:rPr>
            <w:rStyle w:val="Hyperlink"/>
            <w:noProof/>
          </w:rPr>
          <w:t>3.</w:t>
        </w:r>
        <w:r w:rsidR="009108ED">
          <w:rPr>
            <w:rFonts w:asciiTheme="minorHAnsi" w:eastAsiaTheme="minorEastAsia" w:hAnsiTheme="minorHAnsi" w:cstheme="minorBidi"/>
            <w:caps w:val="0"/>
            <w:noProof/>
            <w:sz w:val="22"/>
            <w:szCs w:val="22"/>
          </w:rPr>
          <w:tab/>
        </w:r>
        <w:r w:rsidR="009108ED" w:rsidRPr="00317C45">
          <w:rPr>
            <w:rStyle w:val="Hyperlink"/>
            <w:noProof/>
          </w:rPr>
          <w:t>best practice regulation</w:t>
        </w:r>
        <w:r w:rsidR="009108ED">
          <w:rPr>
            <w:noProof/>
            <w:webHidden/>
          </w:rPr>
          <w:tab/>
        </w:r>
        <w:r w:rsidR="009108ED">
          <w:rPr>
            <w:noProof/>
            <w:webHidden/>
          </w:rPr>
          <w:fldChar w:fldCharType="begin"/>
        </w:r>
        <w:r w:rsidR="009108ED">
          <w:rPr>
            <w:noProof/>
            <w:webHidden/>
          </w:rPr>
          <w:instrText xml:space="preserve"> PAGEREF _Toc505067242 \h </w:instrText>
        </w:r>
        <w:r w:rsidR="009108ED">
          <w:rPr>
            <w:noProof/>
            <w:webHidden/>
          </w:rPr>
        </w:r>
        <w:r w:rsidR="009108ED">
          <w:rPr>
            <w:noProof/>
            <w:webHidden/>
          </w:rPr>
          <w:fldChar w:fldCharType="separate"/>
        </w:r>
        <w:r w:rsidR="00141A4B">
          <w:rPr>
            <w:noProof/>
            <w:webHidden/>
          </w:rPr>
          <w:t>4</w:t>
        </w:r>
        <w:r w:rsidR="009108ED">
          <w:rPr>
            <w:noProof/>
            <w:webHidden/>
          </w:rPr>
          <w:fldChar w:fldCharType="end"/>
        </w:r>
      </w:hyperlink>
    </w:p>
    <w:p w14:paraId="448A7E0C" w14:textId="5A9635A4"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43" w:history="1">
        <w:r w:rsidR="009108ED" w:rsidRPr="00317C45">
          <w:rPr>
            <w:rStyle w:val="Hyperlink"/>
            <w:noProof/>
          </w:rPr>
          <w:t>3.1.</w:t>
        </w:r>
        <w:r w:rsidR="009108ED">
          <w:rPr>
            <w:rFonts w:asciiTheme="minorHAnsi" w:eastAsiaTheme="minorEastAsia" w:hAnsiTheme="minorHAnsi" w:cstheme="minorBidi"/>
            <w:noProof/>
            <w:sz w:val="22"/>
            <w:szCs w:val="22"/>
          </w:rPr>
          <w:tab/>
        </w:r>
        <w:r w:rsidR="009108ED" w:rsidRPr="00317C45">
          <w:rPr>
            <w:rStyle w:val="Hyperlink"/>
            <w:noProof/>
          </w:rPr>
          <w:t>Business Cost Calculator</w:t>
        </w:r>
        <w:r w:rsidR="009108ED">
          <w:rPr>
            <w:noProof/>
            <w:webHidden/>
          </w:rPr>
          <w:tab/>
        </w:r>
        <w:r w:rsidR="009108ED">
          <w:rPr>
            <w:noProof/>
            <w:webHidden/>
          </w:rPr>
          <w:fldChar w:fldCharType="begin"/>
        </w:r>
        <w:r w:rsidR="009108ED">
          <w:rPr>
            <w:noProof/>
            <w:webHidden/>
          </w:rPr>
          <w:instrText xml:space="preserve"> PAGEREF _Toc505067243 \h </w:instrText>
        </w:r>
        <w:r w:rsidR="009108ED">
          <w:rPr>
            <w:noProof/>
            <w:webHidden/>
          </w:rPr>
        </w:r>
        <w:r w:rsidR="009108ED">
          <w:rPr>
            <w:noProof/>
            <w:webHidden/>
          </w:rPr>
          <w:fldChar w:fldCharType="separate"/>
        </w:r>
        <w:r w:rsidR="00141A4B">
          <w:rPr>
            <w:noProof/>
            <w:webHidden/>
          </w:rPr>
          <w:t>4</w:t>
        </w:r>
        <w:r w:rsidR="009108ED">
          <w:rPr>
            <w:noProof/>
            <w:webHidden/>
          </w:rPr>
          <w:fldChar w:fldCharType="end"/>
        </w:r>
      </w:hyperlink>
    </w:p>
    <w:p w14:paraId="101268C1" w14:textId="79BDC5EE"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44" w:history="1">
        <w:r w:rsidR="009108ED" w:rsidRPr="00317C45">
          <w:rPr>
            <w:rStyle w:val="Hyperlink"/>
            <w:noProof/>
          </w:rPr>
          <w:t>3.2.</w:t>
        </w:r>
        <w:r w:rsidR="009108ED">
          <w:rPr>
            <w:rFonts w:asciiTheme="minorHAnsi" w:eastAsiaTheme="minorEastAsia" w:hAnsiTheme="minorHAnsi" w:cstheme="minorBidi"/>
            <w:noProof/>
            <w:sz w:val="22"/>
            <w:szCs w:val="22"/>
          </w:rPr>
          <w:tab/>
        </w:r>
        <w:r w:rsidR="009108ED" w:rsidRPr="00317C45">
          <w:rPr>
            <w:rStyle w:val="Hyperlink"/>
            <w:noProof/>
          </w:rPr>
          <w:t>General Consultation Arrangements</w:t>
        </w:r>
        <w:r w:rsidR="009108ED">
          <w:rPr>
            <w:noProof/>
            <w:webHidden/>
          </w:rPr>
          <w:tab/>
        </w:r>
        <w:r w:rsidR="009108ED">
          <w:rPr>
            <w:noProof/>
            <w:webHidden/>
          </w:rPr>
          <w:fldChar w:fldCharType="begin"/>
        </w:r>
        <w:r w:rsidR="009108ED">
          <w:rPr>
            <w:noProof/>
            <w:webHidden/>
          </w:rPr>
          <w:instrText xml:space="preserve"> PAGEREF _Toc505067244 \h </w:instrText>
        </w:r>
        <w:r w:rsidR="009108ED">
          <w:rPr>
            <w:noProof/>
            <w:webHidden/>
          </w:rPr>
        </w:r>
        <w:r w:rsidR="009108ED">
          <w:rPr>
            <w:noProof/>
            <w:webHidden/>
          </w:rPr>
          <w:fldChar w:fldCharType="separate"/>
        </w:r>
        <w:r w:rsidR="00141A4B">
          <w:rPr>
            <w:noProof/>
            <w:webHidden/>
          </w:rPr>
          <w:t>4</w:t>
        </w:r>
        <w:r w:rsidR="009108ED">
          <w:rPr>
            <w:noProof/>
            <w:webHidden/>
          </w:rPr>
          <w:fldChar w:fldCharType="end"/>
        </w:r>
      </w:hyperlink>
    </w:p>
    <w:p w14:paraId="2D497826" w14:textId="226CD233"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45" w:history="1">
        <w:r w:rsidR="009108ED" w:rsidRPr="00317C45">
          <w:rPr>
            <w:rStyle w:val="Hyperlink"/>
            <w:noProof/>
          </w:rPr>
          <w:t>3.3.</w:t>
        </w:r>
        <w:r w:rsidR="009108ED">
          <w:rPr>
            <w:rFonts w:asciiTheme="minorHAnsi" w:eastAsiaTheme="minorEastAsia" w:hAnsiTheme="minorHAnsi" w:cstheme="minorBidi"/>
            <w:noProof/>
            <w:sz w:val="22"/>
            <w:szCs w:val="22"/>
          </w:rPr>
          <w:tab/>
        </w:r>
        <w:r w:rsidR="009108ED" w:rsidRPr="00317C45">
          <w:rPr>
            <w:rStyle w:val="Hyperlink"/>
            <w:noProof/>
          </w:rPr>
          <w:t>Specific Consultation Arrangements for this Vehicle Standard</w:t>
        </w:r>
        <w:r w:rsidR="009108ED">
          <w:rPr>
            <w:noProof/>
            <w:webHidden/>
          </w:rPr>
          <w:tab/>
        </w:r>
        <w:r w:rsidR="009108ED">
          <w:rPr>
            <w:noProof/>
            <w:webHidden/>
          </w:rPr>
          <w:fldChar w:fldCharType="begin"/>
        </w:r>
        <w:r w:rsidR="009108ED">
          <w:rPr>
            <w:noProof/>
            <w:webHidden/>
          </w:rPr>
          <w:instrText xml:space="preserve"> PAGEREF _Toc505067245 \h </w:instrText>
        </w:r>
        <w:r w:rsidR="009108ED">
          <w:rPr>
            <w:noProof/>
            <w:webHidden/>
          </w:rPr>
        </w:r>
        <w:r w:rsidR="009108ED">
          <w:rPr>
            <w:noProof/>
            <w:webHidden/>
          </w:rPr>
          <w:fldChar w:fldCharType="separate"/>
        </w:r>
        <w:r w:rsidR="00141A4B">
          <w:rPr>
            <w:noProof/>
            <w:webHidden/>
          </w:rPr>
          <w:t>5</w:t>
        </w:r>
        <w:r w:rsidR="009108ED">
          <w:rPr>
            <w:noProof/>
            <w:webHidden/>
          </w:rPr>
          <w:fldChar w:fldCharType="end"/>
        </w:r>
      </w:hyperlink>
    </w:p>
    <w:p w14:paraId="769320F1" w14:textId="09DBB231"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46" w:history="1">
        <w:r w:rsidR="009108ED" w:rsidRPr="00317C45">
          <w:rPr>
            <w:rStyle w:val="Hyperlink"/>
            <w:noProof/>
          </w:rPr>
          <w:t>3.4.</w:t>
        </w:r>
        <w:r w:rsidR="009108ED">
          <w:rPr>
            <w:rFonts w:asciiTheme="minorHAnsi" w:eastAsiaTheme="minorEastAsia" w:hAnsiTheme="minorHAnsi" w:cstheme="minorBidi"/>
            <w:noProof/>
            <w:sz w:val="22"/>
            <w:szCs w:val="22"/>
          </w:rPr>
          <w:tab/>
        </w:r>
        <w:r w:rsidR="009108ED" w:rsidRPr="00317C45">
          <w:rPr>
            <w:rStyle w:val="Hyperlink"/>
            <w:noProof/>
          </w:rPr>
          <w:t>Regulation Impact Statement</w:t>
        </w:r>
        <w:r w:rsidR="009108ED">
          <w:rPr>
            <w:noProof/>
            <w:webHidden/>
          </w:rPr>
          <w:tab/>
        </w:r>
        <w:r w:rsidR="009108ED">
          <w:rPr>
            <w:noProof/>
            <w:webHidden/>
          </w:rPr>
          <w:fldChar w:fldCharType="begin"/>
        </w:r>
        <w:r w:rsidR="009108ED">
          <w:rPr>
            <w:noProof/>
            <w:webHidden/>
          </w:rPr>
          <w:instrText xml:space="preserve"> PAGEREF _Toc505067246 \h </w:instrText>
        </w:r>
        <w:r w:rsidR="009108ED">
          <w:rPr>
            <w:noProof/>
            <w:webHidden/>
          </w:rPr>
        </w:r>
        <w:r w:rsidR="009108ED">
          <w:rPr>
            <w:noProof/>
            <w:webHidden/>
          </w:rPr>
          <w:fldChar w:fldCharType="separate"/>
        </w:r>
        <w:r w:rsidR="00141A4B">
          <w:rPr>
            <w:noProof/>
            <w:webHidden/>
          </w:rPr>
          <w:t>5</w:t>
        </w:r>
        <w:r w:rsidR="009108ED">
          <w:rPr>
            <w:noProof/>
            <w:webHidden/>
          </w:rPr>
          <w:fldChar w:fldCharType="end"/>
        </w:r>
      </w:hyperlink>
    </w:p>
    <w:p w14:paraId="0563C746" w14:textId="609B1F86" w:rsidR="009108ED" w:rsidRDefault="00211BB6">
      <w:pPr>
        <w:pStyle w:val="TOC1"/>
        <w:rPr>
          <w:rFonts w:asciiTheme="minorHAnsi" w:eastAsiaTheme="minorEastAsia" w:hAnsiTheme="minorHAnsi" w:cstheme="minorBidi"/>
          <w:caps w:val="0"/>
          <w:noProof/>
          <w:sz w:val="22"/>
          <w:szCs w:val="22"/>
        </w:rPr>
      </w:pPr>
      <w:hyperlink w:anchor="_Toc505067247" w:history="1">
        <w:r w:rsidR="009108ED" w:rsidRPr="00317C45">
          <w:rPr>
            <w:rStyle w:val="Hyperlink"/>
            <w:noProof/>
          </w:rPr>
          <w:t>4.</w:t>
        </w:r>
        <w:r w:rsidR="009108ED">
          <w:rPr>
            <w:rFonts w:asciiTheme="minorHAnsi" w:eastAsiaTheme="minorEastAsia" w:hAnsiTheme="minorHAnsi" w:cstheme="minorBidi"/>
            <w:caps w:val="0"/>
            <w:noProof/>
            <w:sz w:val="22"/>
            <w:szCs w:val="22"/>
          </w:rPr>
          <w:tab/>
        </w:r>
        <w:r w:rsidR="009108ED" w:rsidRPr="00317C45">
          <w:rPr>
            <w:rStyle w:val="Hyperlink"/>
            <w:noProof/>
          </w:rPr>
          <w:t>STATEMENT OF COMPATIBILITY WITH HUMAN RIGHTS</w:t>
        </w:r>
        <w:r w:rsidR="009108ED">
          <w:rPr>
            <w:noProof/>
            <w:webHidden/>
          </w:rPr>
          <w:tab/>
        </w:r>
        <w:r w:rsidR="009108ED">
          <w:rPr>
            <w:noProof/>
            <w:webHidden/>
          </w:rPr>
          <w:fldChar w:fldCharType="begin"/>
        </w:r>
        <w:r w:rsidR="009108ED">
          <w:rPr>
            <w:noProof/>
            <w:webHidden/>
          </w:rPr>
          <w:instrText xml:space="preserve"> PAGEREF _Toc505067247 \h </w:instrText>
        </w:r>
        <w:r w:rsidR="009108ED">
          <w:rPr>
            <w:noProof/>
            <w:webHidden/>
          </w:rPr>
        </w:r>
        <w:r w:rsidR="009108ED">
          <w:rPr>
            <w:noProof/>
            <w:webHidden/>
          </w:rPr>
          <w:fldChar w:fldCharType="separate"/>
        </w:r>
        <w:r w:rsidR="00141A4B">
          <w:rPr>
            <w:noProof/>
            <w:webHidden/>
          </w:rPr>
          <w:t>5</w:t>
        </w:r>
        <w:r w:rsidR="009108ED">
          <w:rPr>
            <w:noProof/>
            <w:webHidden/>
          </w:rPr>
          <w:fldChar w:fldCharType="end"/>
        </w:r>
      </w:hyperlink>
      <w:bookmarkStart w:id="0" w:name="_GoBack"/>
      <w:bookmarkEnd w:id="0"/>
    </w:p>
    <w:p w14:paraId="5FE07682" w14:textId="14FF7B2C"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48" w:history="1">
        <w:r w:rsidR="009108ED" w:rsidRPr="00317C45">
          <w:rPr>
            <w:rStyle w:val="Hyperlink"/>
            <w:noProof/>
          </w:rPr>
          <w:t>4.1.</w:t>
        </w:r>
        <w:r w:rsidR="009108ED">
          <w:rPr>
            <w:rFonts w:asciiTheme="minorHAnsi" w:eastAsiaTheme="minorEastAsia" w:hAnsiTheme="minorHAnsi" w:cstheme="minorBidi"/>
            <w:noProof/>
            <w:sz w:val="22"/>
            <w:szCs w:val="22"/>
          </w:rPr>
          <w:tab/>
        </w:r>
        <w:r w:rsidR="009108ED" w:rsidRPr="00317C45">
          <w:rPr>
            <w:rStyle w:val="Hyperlink"/>
            <w:noProof/>
          </w:rPr>
          <w:t>Overview of the Legislative Instrument</w:t>
        </w:r>
        <w:r w:rsidR="009108ED">
          <w:rPr>
            <w:noProof/>
            <w:webHidden/>
          </w:rPr>
          <w:tab/>
        </w:r>
        <w:r w:rsidR="009108ED">
          <w:rPr>
            <w:noProof/>
            <w:webHidden/>
          </w:rPr>
          <w:fldChar w:fldCharType="begin"/>
        </w:r>
        <w:r w:rsidR="009108ED">
          <w:rPr>
            <w:noProof/>
            <w:webHidden/>
          </w:rPr>
          <w:instrText xml:space="preserve"> PAGEREF _Toc505067248 \h </w:instrText>
        </w:r>
        <w:r w:rsidR="009108ED">
          <w:rPr>
            <w:noProof/>
            <w:webHidden/>
          </w:rPr>
        </w:r>
        <w:r w:rsidR="009108ED">
          <w:rPr>
            <w:noProof/>
            <w:webHidden/>
          </w:rPr>
          <w:fldChar w:fldCharType="separate"/>
        </w:r>
        <w:r w:rsidR="00141A4B">
          <w:rPr>
            <w:noProof/>
            <w:webHidden/>
          </w:rPr>
          <w:t>5</w:t>
        </w:r>
        <w:r w:rsidR="009108ED">
          <w:rPr>
            <w:noProof/>
            <w:webHidden/>
          </w:rPr>
          <w:fldChar w:fldCharType="end"/>
        </w:r>
      </w:hyperlink>
    </w:p>
    <w:p w14:paraId="412F4E44" w14:textId="3836EFC6"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49" w:history="1">
        <w:r w:rsidR="009108ED" w:rsidRPr="00317C45">
          <w:rPr>
            <w:rStyle w:val="Hyperlink"/>
            <w:noProof/>
          </w:rPr>
          <w:t>4.2.</w:t>
        </w:r>
        <w:r w:rsidR="009108ED">
          <w:rPr>
            <w:rFonts w:asciiTheme="minorHAnsi" w:eastAsiaTheme="minorEastAsia" w:hAnsiTheme="minorHAnsi" w:cstheme="minorBidi"/>
            <w:noProof/>
            <w:sz w:val="22"/>
            <w:szCs w:val="22"/>
          </w:rPr>
          <w:tab/>
        </w:r>
        <w:r w:rsidR="009108ED" w:rsidRPr="00317C45">
          <w:rPr>
            <w:rStyle w:val="Hyperlink"/>
            <w:noProof/>
          </w:rPr>
          <w:t>Human Rights Implications</w:t>
        </w:r>
        <w:r w:rsidR="009108ED">
          <w:rPr>
            <w:noProof/>
            <w:webHidden/>
          </w:rPr>
          <w:tab/>
        </w:r>
        <w:r w:rsidR="009108ED">
          <w:rPr>
            <w:noProof/>
            <w:webHidden/>
          </w:rPr>
          <w:fldChar w:fldCharType="begin"/>
        </w:r>
        <w:r w:rsidR="009108ED">
          <w:rPr>
            <w:noProof/>
            <w:webHidden/>
          </w:rPr>
          <w:instrText xml:space="preserve"> PAGEREF _Toc505067249 \h </w:instrText>
        </w:r>
        <w:r w:rsidR="009108ED">
          <w:rPr>
            <w:noProof/>
            <w:webHidden/>
          </w:rPr>
        </w:r>
        <w:r w:rsidR="009108ED">
          <w:rPr>
            <w:noProof/>
            <w:webHidden/>
          </w:rPr>
          <w:fldChar w:fldCharType="separate"/>
        </w:r>
        <w:r w:rsidR="00141A4B">
          <w:rPr>
            <w:noProof/>
            <w:webHidden/>
          </w:rPr>
          <w:t>6</w:t>
        </w:r>
        <w:r w:rsidR="009108ED">
          <w:rPr>
            <w:noProof/>
            <w:webHidden/>
          </w:rPr>
          <w:fldChar w:fldCharType="end"/>
        </w:r>
      </w:hyperlink>
    </w:p>
    <w:p w14:paraId="4EDA55E7" w14:textId="681EAABF" w:rsidR="009108ED" w:rsidRDefault="00211BB6">
      <w:pPr>
        <w:pStyle w:val="TOC2"/>
        <w:tabs>
          <w:tab w:val="left" w:pos="851"/>
          <w:tab w:val="right" w:leader="dot" w:pos="8302"/>
        </w:tabs>
        <w:rPr>
          <w:rFonts w:asciiTheme="minorHAnsi" w:eastAsiaTheme="minorEastAsia" w:hAnsiTheme="minorHAnsi" w:cstheme="minorBidi"/>
          <w:noProof/>
          <w:sz w:val="22"/>
          <w:szCs w:val="22"/>
        </w:rPr>
      </w:pPr>
      <w:hyperlink w:anchor="_Toc505067250" w:history="1">
        <w:r w:rsidR="009108ED" w:rsidRPr="00317C45">
          <w:rPr>
            <w:rStyle w:val="Hyperlink"/>
            <w:noProof/>
          </w:rPr>
          <w:t>4.3.</w:t>
        </w:r>
        <w:r w:rsidR="009108ED">
          <w:rPr>
            <w:rFonts w:asciiTheme="minorHAnsi" w:eastAsiaTheme="minorEastAsia" w:hAnsiTheme="minorHAnsi" w:cstheme="minorBidi"/>
            <w:noProof/>
            <w:sz w:val="22"/>
            <w:szCs w:val="22"/>
          </w:rPr>
          <w:tab/>
        </w:r>
        <w:r w:rsidR="009108ED" w:rsidRPr="00317C45">
          <w:rPr>
            <w:rStyle w:val="Hyperlink"/>
            <w:noProof/>
          </w:rPr>
          <w:t>Conclusion</w:t>
        </w:r>
        <w:r w:rsidR="009108ED">
          <w:rPr>
            <w:noProof/>
            <w:webHidden/>
          </w:rPr>
          <w:tab/>
        </w:r>
        <w:r w:rsidR="009108ED">
          <w:rPr>
            <w:noProof/>
            <w:webHidden/>
          </w:rPr>
          <w:fldChar w:fldCharType="begin"/>
        </w:r>
        <w:r w:rsidR="009108ED">
          <w:rPr>
            <w:noProof/>
            <w:webHidden/>
          </w:rPr>
          <w:instrText xml:space="preserve"> PAGEREF _Toc505067250 \h </w:instrText>
        </w:r>
        <w:r w:rsidR="009108ED">
          <w:rPr>
            <w:noProof/>
            <w:webHidden/>
          </w:rPr>
        </w:r>
        <w:r w:rsidR="009108ED">
          <w:rPr>
            <w:noProof/>
            <w:webHidden/>
          </w:rPr>
          <w:fldChar w:fldCharType="separate"/>
        </w:r>
        <w:r w:rsidR="00141A4B">
          <w:rPr>
            <w:noProof/>
            <w:webHidden/>
          </w:rPr>
          <w:t>6</w:t>
        </w:r>
        <w:r w:rsidR="009108ED">
          <w:rPr>
            <w:noProof/>
            <w:webHidden/>
          </w:rPr>
          <w:fldChar w:fldCharType="end"/>
        </w:r>
      </w:hyperlink>
    </w:p>
    <w:p w14:paraId="2AEC5CA5" w14:textId="0B570D7A" w:rsidR="00724A62" w:rsidRDefault="008D140A" w:rsidP="008D1860">
      <w:pPr>
        <w:tabs>
          <w:tab w:val="left" w:pos="900"/>
          <w:tab w:val="right" w:leader="dot" w:pos="8222"/>
        </w:tabs>
      </w:pPr>
      <w:r>
        <w:fldChar w:fldCharType="end"/>
      </w:r>
    </w:p>
    <w:p w14:paraId="2AEC5CA6" w14:textId="77777777" w:rsidR="00BA4F48" w:rsidRPr="00CA7971" w:rsidRDefault="00211BB6" w:rsidP="00BA4F48">
      <w:pPr>
        <w:tabs>
          <w:tab w:val="left" w:pos="900"/>
        </w:tabs>
      </w:pPr>
    </w:p>
    <w:p w14:paraId="2AEC5CA7" w14:textId="77777777" w:rsidR="00BA4F48" w:rsidRPr="00CA7971" w:rsidRDefault="00211BB6" w:rsidP="00BA4F48">
      <w:pPr>
        <w:tabs>
          <w:tab w:val="left" w:pos="900"/>
        </w:tabs>
      </w:pPr>
    </w:p>
    <w:p w14:paraId="2AEC5CA8" w14:textId="77777777" w:rsidR="00BA4F48" w:rsidRPr="00CA7971" w:rsidRDefault="00211BB6" w:rsidP="00C56213">
      <w:pPr>
        <w:tabs>
          <w:tab w:val="left" w:pos="2220"/>
        </w:tabs>
      </w:pPr>
    </w:p>
    <w:p w14:paraId="2AEC5CA9" w14:textId="77777777" w:rsidR="00BA4F48" w:rsidRPr="00CA7971" w:rsidRDefault="00211BB6" w:rsidP="00BA4F48">
      <w:pPr>
        <w:tabs>
          <w:tab w:val="left" w:pos="900"/>
        </w:tabs>
      </w:pPr>
    </w:p>
    <w:p w14:paraId="2AEC5CAA" w14:textId="77777777" w:rsidR="00BA4F48" w:rsidRPr="00CA7971" w:rsidRDefault="00211BB6" w:rsidP="00BA4F48">
      <w:pPr>
        <w:tabs>
          <w:tab w:val="left" w:pos="900"/>
        </w:tabs>
      </w:pPr>
    </w:p>
    <w:p w14:paraId="2AEC5CAB" w14:textId="77777777" w:rsidR="00BA4F48" w:rsidRPr="00CA7971" w:rsidRDefault="00211BB6" w:rsidP="00BA4F48">
      <w:pPr>
        <w:tabs>
          <w:tab w:val="left" w:pos="900"/>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26"/>
      <w:bookmarkStart w:id="2" w:name="_Toc256000013"/>
      <w:bookmarkStart w:id="3" w:name="_Toc256000000"/>
      <w:bookmarkStart w:id="4" w:name="_Toc167864611"/>
      <w:bookmarkStart w:id="5" w:name="_Toc390430612"/>
      <w:bookmarkStart w:id="6" w:name="_Toc458587249"/>
      <w:bookmarkStart w:id="7" w:name="_Toc505067237"/>
      <w:bookmarkStart w:id="8" w:name="_Toc465165777"/>
      <w:r w:rsidRPr="00CA7971">
        <w:lastRenderedPageBreak/>
        <w:t>legislative context</w:t>
      </w:r>
      <w:bookmarkEnd w:id="1"/>
      <w:bookmarkEnd w:id="2"/>
      <w:bookmarkEnd w:id="3"/>
      <w:bookmarkEnd w:id="4"/>
      <w:bookmarkEnd w:id="5"/>
      <w:bookmarkEnd w:id="6"/>
      <w:bookmarkEnd w:id="7"/>
      <w:bookmarkEnd w:id="8"/>
    </w:p>
    <w:p w14:paraId="02A698A2" w14:textId="406AE769" w:rsidR="00B3567E" w:rsidRPr="00B3567E" w:rsidRDefault="00B3567E" w:rsidP="00B3567E">
      <w:pPr>
        <w:pStyle w:val="StyledotArialLeft0cmFirstline0cmAfter12pt"/>
        <w:rPr>
          <w:rFonts w:cs="Arial"/>
          <w:szCs w:val="24"/>
        </w:rPr>
      </w:pPr>
      <w:r w:rsidRPr="00B3567E">
        <w:rPr>
          <w:rFonts w:cs="Arial"/>
          <w:szCs w:val="24"/>
        </w:rPr>
        <w:t xml:space="preserve">Vehicle Standard (Australian Design Rule </w:t>
      </w:r>
      <w:r w:rsidR="002B641E" w:rsidRPr="002B641E">
        <w:rPr>
          <w:rFonts w:cs="Arial"/>
          <w:szCs w:val="24"/>
        </w:rPr>
        <w:t>74</w:t>
      </w:r>
      <w:r w:rsidR="002B63B7" w:rsidRPr="002B641E">
        <w:rPr>
          <w:rFonts w:cs="Arial"/>
          <w:szCs w:val="24"/>
        </w:rPr>
        <w:t>/00</w:t>
      </w:r>
      <w:r w:rsidR="00132B0C" w:rsidRPr="002B641E">
        <w:rPr>
          <w:rFonts w:cs="Arial"/>
          <w:szCs w:val="24"/>
        </w:rPr>
        <w:t xml:space="preserve"> – </w:t>
      </w:r>
      <w:r w:rsidR="002B641E" w:rsidRPr="002B641E">
        <w:rPr>
          <w:rFonts w:cs="Arial"/>
          <w:szCs w:val="24"/>
        </w:rPr>
        <w:t>Side Marker Lamps</w:t>
      </w:r>
      <w:r w:rsidRPr="002B641E">
        <w:rPr>
          <w:rFonts w:cs="Arial"/>
          <w:szCs w:val="24"/>
        </w:rPr>
        <w:t>) 200</w:t>
      </w:r>
      <w:r w:rsidR="002B63B7" w:rsidRPr="002B641E">
        <w:rPr>
          <w:rFonts w:cs="Arial"/>
          <w:szCs w:val="24"/>
        </w:rPr>
        <w:t>6</w:t>
      </w:r>
      <w:r w:rsidRPr="002B641E">
        <w:rPr>
          <w:rFonts w:cs="Arial"/>
          <w:szCs w:val="24"/>
        </w:rPr>
        <w:t xml:space="preserve"> Amendment </w:t>
      </w:r>
      <w:r w:rsidR="002B63B7" w:rsidRPr="002B641E">
        <w:rPr>
          <w:rFonts w:cs="Arial"/>
          <w:szCs w:val="24"/>
        </w:rPr>
        <w:t>1</w:t>
      </w:r>
      <w:r w:rsidRPr="002B641E">
        <w:rPr>
          <w:rFonts w:cs="Arial"/>
          <w:szCs w:val="24"/>
        </w:rPr>
        <w:t xml:space="preserve"> is</w:t>
      </w:r>
      <w:r w:rsidRPr="00B3567E">
        <w:rPr>
          <w:rFonts w:cs="Arial"/>
          <w:szCs w:val="24"/>
        </w:rPr>
        <w:t xml:space="preserve"> made under the </w:t>
      </w:r>
      <w:r w:rsidRPr="00240627">
        <w:rPr>
          <w:rFonts w:cs="Arial"/>
          <w:i/>
          <w:szCs w:val="24"/>
        </w:rPr>
        <w:t>Motor Vehicle Standards Act 1989</w:t>
      </w:r>
      <w:r w:rsidRPr="00240627">
        <w:rPr>
          <w:rFonts w:cs="Arial"/>
          <w:szCs w:val="24"/>
        </w:rPr>
        <w:t xml:space="preserve"> (the Act)</w:t>
      </w:r>
      <w:r w:rsidRPr="00B3567E">
        <w:rPr>
          <w:rFonts w:cs="Arial"/>
          <w:szCs w:val="24"/>
        </w:rPr>
        <w:t xml:space="preserve">.  The Act enables the Australian Government to establish nationally uniform standards that apply to new road vehicles when they </w:t>
      </w:r>
      <w:proofErr w:type="gramStart"/>
      <w:r w:rsidRPr="00B3567E">
        <w:rPr>
          <w:rFonts w:cs="Arial"/>
          <w:szCs w:val="24"/>
        </w:rPr>
        <w:t>are first supplied</w:t>
      </w:r>
      <w:proofErr w:type="gramEnd"/>
      <w:r w:rsidRPr="00B3567E">
        <w:rPr>
          <w:rFonts w:cs="Arial"/>
          <w:szCs w:val="24"/>
        </w:rPr>
        <w:t xml:space="preserve"> to the market in Australia.  The Act applies to such vehicles whether they </w:t>
      </w:r>
      <w:proofErr w:type="gramStart"/>
      <w:r w:rsidRPr="00B3567E">
        <w:rPr>
          <w:rFonts w:cs="Arial"/>
          <w:szCs w:val="24"/>
        </w:rPr>
        <w:t>are manufactured in Australia or imported</w:t>
      </w:r>
      <w:proofErr w:type="gramEnd"/>
      <w:r w:rsidRPr="00B3567E">
        <w:rPr>
          <w:rFonts w:cs="Arial"/>
          <w:szCs w:val="24"/>
        </w:rPr>
        <w:t>.</w:t>
      </w:r>
    </w:p>
    <w:p w14:paraId="6D0BD052" w14:textId="77777777" w:rsidR="00B3567E" w:rsidRPr="00B67D1C" w:rsidRDefault="00B3567E" w:rsidP="00B3567E">
      <w:pPr>
        <w:pStyle w:val="StyledotArialLeft0cmFirstline0cmAfter12pt"/>
        <w:rPr>
          <w:rFonts w:cs="Arial"/>
          <w:szCs w:val="24"/>
        </w:rPr>
      </w:pPr>
      <w:r w:rsidRPr="00B3567E">
        <w:rPr>
          <w:rFonts w:cs="Arial"/>
          <w:szCs w:val="24"/>
        </w:rPr>
        <w:t xml:space="preserve">The making of the vehicle standards necessary for the Act's effective operation is </w:t>
      </w:r>
      <w:r w:rsidRPr="00B67D1C">
        <w:rPr>
          <w:rFonts w:cs="Arial"/>
          <w:szCs w:val="24"/>
        </w:rPr>
        <w:t xml:space="preserve">provided for in section </w:t>
      </w:r>
      <w:proofErr w:type="gramStart"/>
      <w:r w:rsidRPr="00B67D1C">
        <w:rPr>
          <w:rFonts w:cs="Arial"/>
          <w:szCs w:val="24"/>
        </w:rPr>
        <w:t>7 which</w:t>
      </w:r>
      <w:proofErr w:type="gramEnd"/>
      <w:r w:rsidRPr="00B67D1C">
        <w:rPr>
          <w:rFonts w:cs="Arial"/>
          <w:szCs w:val="24"/>
        </w:rPr>
        <w:t xml:space="preserve"> empowers the Minister to "determine vehicle standards for road vehicles or vehicle components".</w:t>
      </w:r>
    </w:p>
    <w:p w14:paraId="67C66031" w14:textId="0A3EBCFB" w:rsidR="002B63B7" w:rsidRPr="00B67D1C" w:rsidRDefault="002B63B7" w:rsidP="00B3567E">
      <w:pPr>
        <w:pStyle w:val="StyledotArialLeft0cmFirstline0cmAfter12pt"/>
        <w:rPr>
          <w:rFonts w:cs="Arial"/>
          <w:szCs w:val="24"/>
        </w:rPr>
      </w:pPr>
      <w:r w:rsidRPr="00B67D1C">
        <w:rPr>
          <w:rFonts w:cs="Arial"/>
          <w:szCs w:val="24"/>
        </w:rPr>
        <w:t xml:space="preserve">Australian Design Rule (ADR) </w:t>
      </w:r>
      <w:r w:rsidR="00F372D9" w:rsidRPr="00B67D1C">
        <w:rPr>
          <w:rFonts w:cs="Arial"/>
          <w:szCs w:val="24"/>
        </w:rPr>
        <w:t>74</w:t>
      </w:r>
      <w:r w:rsidRPr="00B67D1C">
        <w:rPr>
          <w:rFonts w:cs="Arial"/>
          <w:szCs w:val="24"/>
        </w:rPr>
        <w:t xml:space="preserve">/00 was originally determined in </w:t>
      </w:r>
      <w:r w:rsidRPr="00DC5362">
        <w:rPr>
          <w:i/>
        </w:rPr>
        <w:t xml:space="preserve">Road Vehicle (National Standards) Determination </w:t>
      </w:r>
      <w:r w:rsidR="00F372D9" w:rsidRPr="00DC5362">
        <w:rPr>
          <w:i/>
        </w:rPr>
        <w:t>1</w:t>
      </w:r>
      <w:r w:rsidRPr="00DC5362">
        <w:rPr>
          <w:i/>
        </w:rPr>
        <w:t xml:space="preserve"> of </w:t>
      </w:r>
      <w:r w:rsidR="00F372D9" w:rsidRPr="00DC5362">
        <w:rPr>
          <w:i/>
        </w:rPr>
        <w:t>2001</w:t>
      </w:r>
      <w:r w:rsidR="00F372D9" w:rsidRPr="00B67D1C">
        <w:rPr>
          <w:rFonts w:cs="Arial"/>
          <w:szCs w:val="24"/>
        </w:rPr>
        <w:t>, and</w:t>
      </w:r>
      <w:r w:rsidRPr="00B67D1C">
        <w:rPr>
          <w:rFonts w:cs="Arial"/>
          <w:szCs w:val="24"/>
        </w:rPr>
        <w:t xml:space="preserve"> </w:t>
      </w:r>
      <w:proofErr w:type="gramStart"/>
      <w:r w:rsidRPr="00B67D1C">
        <w:rPr>
          <w:rFonts w:cs="Arial"/>
          <w:szCs w:val="24"/>
        </w:rPr>
        <w:t>was remade</w:t>
      </w:r>
      <w:proofErr w:type="gramEnd"/>
      <w:r w:rsidRPr="00B67D1C">
        <w:rPr>
          <w:rFonts w:cs="Arial"/>
          <w:szCs w:val="24"/>
        </w:rPr>
        <w:t xml:space="preserve"> to comply with the requirements of the </w:t>
      </w:r>
      <w:r w:rsidRPr="00DC5362">
        <w:rPr>
          <w:i/>
        </w:rPr>
        <w:t>Legislative Instruments Act 2003</w:t>
      </w:r>
      <w:r w:rsidRPr="00B67D1C">
        <w:rPr>
          <w:rFonts w:cs="Arial"/>
          <w:szCs w:val="24"/>
        </w:rPr>
        <w:t xml:space="preserve"> in 2006.</w:t>
      </w:r>
    </w:p>
    <w:p w14:paraId="2AEC5CB0" w14:textId="1E9CDBDA" w:rsidR="00BA4F48" w:rsidRPr="00B67D1C" w:rsidRDefault="008D140A" w:rsidP="00C86C04">
      <w:pPr>
        <w:pStyle w:val="MainHeadding"/>
        <w:rPr>
          <w:rFonts w:cs="Arial"/>
        </w:rPr>
      </w:pPr>
      <w:bookmarkStart w:id="9" w:name="_Toc167864612"/>
      <w:bookmarkStart w:id="10" w:name="_Toc390430613"/>
      <w:bookmarkStart w:id="11" w:name="_Toc256000027"/>
      <w:bookmarkStart w:id="12" w:name="_Toc256000014"/>
      <w:bookmarkStart w:id="13" w:name="_Toc256000001"/>
      <w:bookmarkStart w:id="14" w:name="_Toc458587250"/>
      <w:bookmarkStart w:id="15" w:name="_Toc505067238"/>
      <w:bookmarkStart w:id="16" w:name="_Toc465165778"/>
      <w:r w:rsidRPr="00B67D1C">
        <w:t xml:space="preserve">content and effect of ADR </w:t>
      </w:r>
      <w:bookmarkEnd w:id="9"/>
      <w:bookmarkEnd w:id="10"/>
      <w:r w:rsidR="007134DD" w:rsidRPr="00B67D1C">
        <w:t>74/00</w:t>
      </w:r>
      <w:r w:rsidRPr="00B67D1C">
        <w:t xml:space="preserve"> and the amendment</w:t>
      </w:r>
      <w:bookmarkEnd w:id="11"/>
      <w:bookmarkEnd w:id="12"/>
      <w:bookmarkEnd w:id="13"/>
      <w:bookmarkEnd w:id="14"/>
      <w:bookmarkEnd w:id="15"/>
      <w:bookmarkEnd w:id="16"/>
    </w:p>
    <w:p w14:paraId="2AEC5CB1" w14:textId="77777777" w:rsidR="00BA4F48" w:rsidRPr="00B67D1C" w:rsidRDefault="008D140A" w:rsidP="00BA4F48">
      <w:pPr>
        <w:pStyle w:val="Subsection"/>
      </w:pPr>
      <w:bookmarkStart w:id="17" w:name="_Toc256000028"/>
      <w:bookmarkStart w:id="18" w:name="_Toc256000015"/>
      <w:bookmarkStart w:id="19" w:name="_Toc256000002"/>
      <w:bookmarkStart w:id="20" w:name="_Toc167864613"/>
      <w:bookmarkStart w:id="21" w:name="_Toc390430614"/>
      <w:bookmarkStart w:id="22" w:name="_Toc458587251"/>
      <w:bookmarkStart w:id="23" w:name="_Toc505067239"/>
      <w:bookmarkStart w:id="24" w:name="_Toc465165779"/>
      <w:r w:rsidRPr="00B67D1C">
        <w:t>Overview of the ADR</w:t>
      </w:r>
      <w:bookmarkEnd w:id="17"/>
      <w:bookmarkEnd w:id="18"/>
      <w:bookmarkEnd w:id="19"/>
      <w:bookmarkEnd w:id="20"/>
      <w:bookmarkEnd w:id="21"/>
      <w:bookmarkEnd w:id="22"/>
      <w:bookmarkEnd w:id="23"/>
      <w:bookmarkEnd w:id="24"/>
    </w:p>
    <w:p w14:paraId="2AEC5CB2" w14:textId="3698C39B" w:rsidR="00147A75" w:rsidRDefault="00B3567E" w:rsidP="003B4F16">
      <w:r w:rsidRPr="00B67D1C">
        <w:t xml:space="preserve">The function of Australian Design Rule (ADR) </w:t>
      </w:r>
      <w:r w:rsidR="007134DD" w:rsidRPr="00B67D1C">
        <w:t>74</w:t>
      </w:r>
      <w:r w:rsidR="007134DD" w:rsidRPr="007134DD">
        <w:t>/00</w:t>
      </w:r>
      <w:r w:rsidRPr="007134DD">
        <w:t xml:space="preserve"> is to prescribe </w:t>
      </w:r>
      <w:r w:rsidR="007134DD" w:rsidRPr="007134DD">
        <w:t xml:space="preserve">the photometric requirements of side marker </w:t>
      </w:r>
      <w:proofErr w:type="gramStart"/>
      <w:r w:rsidR="007134DD" w:rsidRPr="007134DD">
        <w:t>lamps which</w:t>
      </w:r>
      <w:proofErr w:type="gramEnd"/>
      <w:r w:rsidR="007134DD" w:rsidRPr="007134DD">
        <w:t xml:space="preserve"> are used to increase the visibility of the sides of road vehicles.</w:t>
      </w:r>
      <w:r w:rsidRPr="00F1167D">
        <w:t xml:space="preserve">  </w:t>
      </w:r>
    </w:p>
    <w:p w14:paraId="2AEC5CB3" w14:textId="77777777" w:rsidR="003F01D5" w:rsidRPr="00CA7971" w:rsidRDefault="008D140A" w:rsidP="009231EC">
      <w:pPr>
        <w:pStyle w:val="Subsection"/>
      </w:pPr>
      <w:bookmarkStart w:id="25" w:name="_Toc167864614"/>
      <w:bookmarkStart w:id="26" w:name="_Toc390430615"/>
      <w:bookmarkStart w:id="27" w:name="_Toc256000029"/>
      <w:bookmarkStart w:id="28" w:name="_Toc256000016"/>
      <w:bookmarkStart w:id="29" w:name="_Toc256000003"/>
      <w:bookmarkStart w:id="30" w:name="_Toc458587252"/>
      <w:bookmarkStart w:id="31" w:name="_Toc505067240"/>
      <w:bookmarkStart w:id="32" w:name="_Toc465165780"/>
      <w:r w:rsidRPr="00CA7971">
        <w:t>Effect of the ADR</w:t>
      </w:r>
      <w:bookmarkEnd w:id="25"/>
      <w:bookmarkEnd w:id="26"/>
      <w:r>
        <w:t xml:space="preserve"> Amendment</w:t>
      </w:r>
      <w:bookmarkEnd w:id="27"/>
      <w:bookmarkEnd w:id="28"/>
      <w:bookmarkEnd w:id="29"/>
      <w:bookmarkEnd w:id="30"/>
      <w:bookmarkEnd w:id="31"/>
      <w:bookmarkEnd w:id="32"/>
    </w:p>
    <w:p w14:paraId="403962B3" w14:textId="075D3E62" w:rsidR="005A0AA6" w:rsidRPr="001853FF" w:rsidRDefault="005372A7" w:rsidP="00F935C2">
      <w:pPr>
        <w:spacing w:after="240"/>
        <w:rPr>
          <w:highlight w:val="yellow"/>
        </w:rPr>
      </w:pPr>
      <w:bookmarkStart w:id="33" w:name="_Toc167864615"/>
      <w:r>
        <w:rPr>
          <w:rFonts w:cs="Arial"/>
        </w:rPr>
        <w:t>T</w:t>
      </w:r>
      <w:r w:rsidRPr="005372A7">
        <w:rPr>
          <w:rFonts w:cs="Arial"/>
        </w:rPr>
        <w:t xml:space="preserve">his amendment incorporates the latest version </w:t>
      </w:r>
      <w:r w:rsidRPr="00B67D1C">
        <w:rPr>
          <w:rFonts w:cs="Arial"/>
        </w:rPr>
        <w:t>of U</w:t>
      </w:r>
      <w:r w:rsidR="00067A24">
        <w:rPr>
          <w:rFonts w:cs="Arial"/>
        </w:rPr>
        <w:t xml:space="preserve">nited </w:t>
      </w:r>
      <w:r w:rsidRPr="00B67D1C">
        <w:rPr>
          <w:rFonts w:cs="Arial"/>
        </w:rPr>
        <w:t>N</w:t>
      </w:r>
      <w:r w:rsidR="00067A24">
        <w:rPr>
          <w:rFonts w:cs="Arial"/>
        </w:rPr>
        <w:t>ations (</w:t>
      </w:r>
      <w:r w:rsidR="00067A24" w:rsidRPr="00DC5362">
        <w:t>UN</w:t>
      </w:r>
      <w:r w:rsidR="00067A24">
        <w:rPr>
          <w:rFonts w:cs="Arial"/>
        </w:rPr>
        <w:t>)</w:t>
      </w:r>
      <w:r w:rsidRPr="00DC5362">
        <w:t xml:space="preserve"> Regulation No. 91</w:t>
      </w:r>
      <w:r w:rsidRPr="00B67D1C">
        <w:rPr>
          <w:rFonts w:cs="Arial"/>
        </w:rPr>
        <w:t xml:space="preserve"> </w:t>
      </w:r>
      <w:r w:rsidR="00067A24">
        <w:rPr>
          <w:rFonts w:cs="Arial"/>
        </w:rPr>
        <w:t>(</w:t>
      </w:r>
      <w:r w:rsidR="00031DD0" w:rsidRPr="00B67D1C">
        <w:t>from the 00 series of amendments and including up to the 03 series of amendments</w:t>
      </w:r>
      <w:r w:rsidR="00067A24">
        <w:t>)</w:t>
      </w:r>
      <w:r w:rsidRPr="00B67D1C">
        <w:rPr>
          <w:rFonts w:cs="Arial"/>
        </w:rPr>
        <w:t xml:space="preserve">, which </w:t>
      </w:r>
      <w:r w:rsidR="00031DD0" w:rsidRPr="00B67D1C">
        <w:rPr>
          <w:rFonts w:cs="Arial"/>
        </w:rPr>
        <w:t>permit LED</w:t>
      </w:r>
      <w:r w:rsidRPr="00B67D1C">
        <w:rPr>
          <w:rFonts w:cs="Arial"/>
        </w:rPr>
        <w:t xml:space="preserve"> light modules</w:t>
      </w:r>
      <w:r w:rsidR="00F372D9">
        <w:rPr>
          <w:rFonts w:cs="Arial"/>
        </w:rPr>
        <w:t>, amongst other</w:t>
      </w:r>
      <w:r w:rsidR="00067A24" w:rsidRPr="00067A24">
        <w:rPr>
          <w:rFonts w:cs="Arial"/>
        </w:rPr>
        <w:t xml:space="preserve"> typographical and </w:t>
      </w:r>
      <w:r w:rsidR="00F372D9">
        <w:rPr>
          <w:rFonts w:cs="Arial"/>
        </w:rPr>
        <w:t>clarifying changes</w:t>
      </w:r>
      <w:r w:rsidR="00067A24" w:rsidRPr="00067A24">
        <w:rPr>
          <w:rFonts w:cs="Arial"/>
        </w:rPr>
        <w:t>.</w:t>
      </w:r>
    </w:p>
    <w:p w14:paraId="07A3207E" w14:textId="75691B4F" w:rsidR="003A4B24" w:rsidRPr="00131A71" w:rsidRDefault="00131A71" w:rsidP="00F935C2">
      <w:pPr>
        <w:spacing w:after="240"/>
        <w:rPr>
          <w:rFonts w:cs="Arial"/>
        </w:rPr>
      </w:pPr>
      <w:r w:rsidRPr="00B67D1C">
        <w:rPr>
          <w:rFonts w:cs="Arial"/>
        </w:rPr>
        <w:t>This amendment also incorporates alternative Australian-specific requirements for side marker lamps</w:t>
      </w:r>
      <w:r w:rsidR="001863F0">
        <w:rPr>
          <w:rFonts w:cs="Arial"/>
        </w:rPr>
        <w:t xml:space="preserve">. </w:t>
      </w:r>
      <w:r w:rsidR="00F372D9">
        <w:rPr>
          <w:rFonts w:cs="Arial"/>
        </w:rPr>
        <w:t xml:space="preserve"> </w:t>
      </w:r>
      <w:r w:rsidR="00F372D9" w:rsidRPr="00B67D1C">
        <w:rPr>
          <w:rFonts w:cs="Arial"/>
        </w:rPr>
        <w:t xml:space="preserve">These requirements were </w:t>
      </w:r>
      <w:r w:rsidRPr="00B67D1C">
        <w:rPr>
          <w:rFonts w:cs="Arial"/>
        </w:rPr>
        <w:t xml:space="preserve">previously contained within </w:t>
      </w:r>
      <w:r w:rsidRPr="00DC5362">
        <w:t>ADR 45/01</w:t>
      </w:r>
      <w:r w:rsidRPr="00B67D1C">
        <w:rPr>
          <w:rFonts w:cs="Arial"/>
        </w:rPr>
        <w:t xml:space="preserve"> </w:t>
      </w:r>
      <w:r w:rsidRPr="00DC5362">
        <w:t>– Lighting and Light Signalling Devices</w:t>
      </w:r>
      <w:r w:rsidR="00777277" w:rsidRPr="00B67D1C">
        <w:rPr>
          <w:rFonts w:cs="Arial"/>
        </w:rPr>
        <w:t xml:space="preserve"> </w:t>
      </w:r>
      <w:r w:rsidRPr="00B67D1C">
        <w:rPr>
          <w:rFonts w:cs="Arial"/>
        </w:rPr>
        <w:t>not Covered by ECE Regulations</w:t>
      </w:r>
      <w:r w:rsidR="00F372D9" w:rsidRPr="00B67D1C">
        <w:rPr>
          <w:rFonts w:cs="Arial"/>
        </w:rPr>
        <w:t xml:space="preserve">, and </w:t>
      </w:r>
      <w:proofErr w:type="gramStart"/>
      <w:r w:rsidR="00F372D9" w:rsidRPr="00B67D1C">
        <w:rPr>
          <w:rFonts w:cs="Arial"/>
        </w:rPr>
        <w:t>have been removed</w:t>
      </w:r>
      <w:proofErr w:type="gramEnd"/>
      <w:r w:rsidR="00F372D9" w:rsidRPr="00B67D1C">
        <w:rPr>
          <w:rFonts w:cs="Arial"/>
        </w:rPr>
        <w:t xml:space="preserve"> from that ADR by a parallel amendment</w:t>
      </w:r>
      <w:r w:rsidRPr="00B67D1C">
        <w:rPr>
          <w:rFonts w:cs="Arial"/>
        </w:rPr>
        <w:t>.</w:t>
      </w:r>
    </w:p>
    <w:p w14:paraId="07515E86" w14:textId="77777777" w:rsidR="000151BB" w:rsidRPr="00671B07" w:rsidRDefault="000151BB" w:rsidP="00F935C2">
      <w:pPr>
        <w:spacing w:after="240"/>
        <w:rPr>
          <w:rFonts w:cs="Arial"/>
        </w:rPr>
      </w:pPr>
      <w:r w:rsidRPr="00131A71">
        <w:rPr>
          <w:rFonts w:cs="Arial"/>
        </w:rPr>
        <w:t xml:space="preserve">Finally, the amendment improves the quality of the ADR by removing typographical </w:t>
      </w:r>
      <w:r w:rsidR="00F372D9">
        <w:rPr>
          <w:rFonts w:cs="Arial"/>
        </w:rPr>
        <w:t xml:space="preserve">and layout </w:t>
      </w:r>
      <w:r w:rsidRPr="00131A71">
        <w:rPr>
          <w:rFonts w:cs="Arial"/>
        </w:rPr>
        <w:t>errors.</w:t>
      </w:r>
    </w:p>
    <w:p w14:paraId="6ADE3EB1" w14:textId="011D6A84" w:rsidR="00124466" w:rsidRPr="001853FF" w:rsidRDefault="001863F0" w:rsidP="00F935C2">
      <w:pPr>
        <w:spacing w:after="240"/>
        <w:rPr>
          <w:highlight w:val="yellow"/>
        </w:rPr>
      </w:pPr>
      <w:r>
        <w:rPr>
          <w:rFonts w:cs="Arial"/>
        </w:rPr>
        <w:t>This amendment</w:t>
      </w:r>
      <w:r w:rsidR="00124466">
        <w:rPr>
          <w:rFonts w:cs="Arial"/>
        </w:rPr>
        <w:t xml:space="preserve"> </w:t>
      </w:r>
      <w:r w:rsidR="00031DD0">
        <w:rPr>
          <w:rFonts w:cs="Arial"/>
        </w:rPr>
        <w:t xml:space="preserve">corrects </w:t>
      </w:r>
      <w:r w:rsidR="00031DD0" w:rsidRPr="00131A71">
        <w:rPr>
          <w:rFonts w:cs="Arial"/>
        </w:rPr>
        <w:t xml:space="preserve">typographical </w:t>
      </w:r>
      <w:r w:rsidR="00031DD0">
        <w:rPr>
          <w:rFonts w:cs="Arial"/>
        </w:rPr>
        <w:t xml:space="preserve">and layout </w:t>
      </w:r>
      <w:r w:rsidR="00031DD0" w:rsidRPr="00131A71">
        <w:rPr>
          <w:rFonts w:cs="Arial"/>
        </w:rPr>
        <w:t>errors</w:t>
      </w:r>
      <w:r w:rsidR="00031DD0" w:rsidRPr="00124466">
        <w:rPr>
          <w:rFonts w:cs="Arial"/>
        </w:rPr>
        <w:t xml:space="preserve"> </w:t>
      </w:r>
      <w:r w:rsidR="00031DD0">
        <w:rPr>
          <w:rFonts w:cs="Arial"/>
        </w:rPr>
        <w:t>and</w:t>
      </w:r>
      <w:r>
        <w:rPr>
          <w:rFonts w:cs="Arial"/>
        </w:rPr>
        <w:t xml:space="preserve"> </w:t>
      </w:r>
      <w:r w:rsidRPr="00124466">
        <w:rPr>
          <w:rFonts w:cs="Arial"/>
        </w:rPr>
        <w:t>is part of a package of introductions and amendments to ADRs associated with vehicle l</w:t>
      </w:r>
      <w:r>
        <w:rPr>
          <w:rFonts w:cs="Arial"/>
        </w:rPr>
        <w:t xml:space="preserve">ighting generally, with the </w:t>
      </w:r>
      <w:r w:rsidR="00124466" w:rsidRPr="00124466">
        <w:rPr>
          <w:rFonts w:cs="Arial"/>
        </w:rPr>
        <w:t>aims</w:t>
      </w:r>
      <w:r w:rsidRPr="00124466">
        <w:rPr>
          <w:rFonts w:cs="Arial"/>
        </w:rPr>
        <w:t xml:space="preserve"> of addressing parking and cornering lamps more explicitly and clearly, and improving the quality of </w:t>
      </w:r>
      <w:r w:rsidR="00124466" w:rsidRPr="00124466">
        <w:rPr>
          <w:rFonts w:cs="Arial"/>
        </w:rPr>
        <w:t xml:space="preserve">the </w:t>
      </w:r>
      <w:r w:rsidRPr="00124466">
        <w:rPr>
          <w:rFonts w:cs="Arial"/>
        </w:rPr>
        <w:t xml:space="preserve">lighting </w:t>
      </w:r>
      <w:r w:rsidR="00124466" w:rsidRPr="00124466">
        <w:rPr>
          <w:rFonts w:cs="Arial"/>
        </w:rPr>
        <w:t xml:space="preserve">ADR suite.  </w:t>
      </w:r>
    </w:p>
    <w:p w14:paraId="79ECACC9" w14:textId="77777777" w:rsidR="00BD1D31" w:rsidRPr="00AB6F9D" w:rsidRDefault="00BD1D31" w:rsidP="00BD1D31">
      <w:pPr>
        <w:pStyle w:val="Subsection"/>
      </w:pPr>
      <w:bookmarkStart w:id="34" w:name="_Toc500150424"/>
      <w:bookmarkStart w:id="35" w:name="_Toc505067241"/>
      <w:r w:rsidRPr="00AB6F9D">
        <w:t>Incorporated Documents</w:t>
      </w:r>
      <w:bookmarkEnd w:id="34"/>
      <w:bookmarkEnd w:id="35"/>
    </w:p>
    <w:p w14:paraId="388ACEB3" w14:textId="77777777" w:rsidR="00DC5362" w:rsidRPr="00DC5362" w:rsidRDefault="00DC5362" w:rsidP="00DC5362">
      <w:pPr>
        <w:spacing w:after="240"/>
        <w:rPr>
          <w:rFonts w:cs="Arial"/>
        </w:rPr>
      </w:pPr>
      <w:r w:rsidRPr="00DC5362">
        <w:rPr>
          <w:rFonts w:cs="Arial"/>
        </w:rPr>
        <w:t>This amendment does not introduce additional references to the documents already incorporated in the ADRs.</w:t>
      </w:r>
    </w:p>
    <w:p w14:paraId="4028747B" w14:textId="31120648" w:rsidR="00DC5362" w:rsidRPr="00DC5362" w:rsidRDefault="00DC5362" w:rsidP="00DC5362">
      <w:pPr>
        <w:spacing w:after="240"/>
        <w:rPr>
          <w:rFonts w:cs="Arial"/>
        </w:rPr>
      </w:pPr>
      <w:r w:rsidRPr="00DC5362">
        <w:rPr>
          <w:rFonts w:cs="Arial"/>
        </w:rPr>
        <w:t xml:space="preserve">The amended Clause 8 maintains an existing reference to UN Regulation No. 91 - UNIFORM PROVISIONS CONCERNING THE APPROVAL OF SIDE MARKER LAMPS FOR MOTOR VEHICLES AND THEIR TRAILERS. Applicable sections of </w:t>
      </w:r>
      <w:r w:rsidRPr="00DC5362">
        <w:rPr>
          <w:rFonts w:cs="Arial"/>
        </w:rPr>
        <w:lastRenderedPageBreak/>
        <w:t>UN Regulation No. 91 in turn reference UN Regulation Nos. 1, 3, 6, 7, 8, 23, 37, 38, 48, 91</w:t>
      </w:r>
      <w:r w:rsidR="00DD4051">
        <w:rPr>
          <w:rFonts w:cs="Arial"/>
        </w:rPr>
        <w:t>,</w:t>
      </w:r>
      <w:r w:rsidRPr="00DC5362">
        <w:rPr>
          <w:rFonts w:cs="Arial"/>
        </w:rPr>
        <w:t xml:space="preserve"> 128 and International Electrical Commission (IEC) Publication 60061.</w:t>
      </w:r>
    </w:p>
    <w:p w14:paraId="6B096926" w14:textId="4714757C" w:rsidR="00DC5362" w:rsidRPr="00DC5362" w:rsidRDefault="00DC5362" w:rsidP="00DC5362">
      <w:pPr>
        <w:spacing w:after="240"/>
        <w:rPr>
          <w:rFonts w:cs="Arial"/>
        </w:rPr>
      </w:pPr>
      <w:r w:rsidRPr="00DC5362">
        <w:rPr>
          <w:rFonts w:cs="Arial"/>
        </w:rPr>
        <w:t xml:space="preserve">While these standards are highly technical in nature and typically accessed by manufacturers and test facilities as part of their professional library, the UN regulations are accessible free of charge via the UN World Forum for the Harmonization of Vehicle Regulations (WP.29) website at </w:t>
      </w:r>
      <w:hyperlink r:id="rId11" w:history="1">
        <w:r w:rsidRPr="009C3DED">
          <w:rPr>
            <w:rStyle w:val="Hyperlink"/>
            <w:rFonts w:cs="Arial"/>
          </w:rPr>
          <w:t>https://www.unece.org/trans/main/welcwp29.html</w:t>
        </w:r>
      </w:hyperlink>
      <w:r w:rsidRPr="00DC5362">
        <w:rPr>
          <w:rFonts w:cs="Arial"/>
        </w:rPr>
        <w:t>.</w:t>
      </w:r>
      <w:r>
        <w:rPr>
          <w:rFonts w:cs="Arial"/>
        </w:rPr>
        <w:t xml:space="preserve"> </w:t>
      </w:r>
      <w:r w:rsidRPr="00DC5362">
        <w:rPr>
          <w:rFonts w:cs="Arial"/>
        </w:rPr>
        <w:t xml:space="preserve">IEC publications are available for purchase at </w:t>
      </w:r>
      <w:hyperlink r:id="rId12" w:history="1">
        <w:r w:rsidRPr="009C3DED">
          <w:rPr>
            <w:rStyle w:val="Hyperlink"/>
            <w:rFonts w:cs="Arial"/>
          </w:rPr>
          <w:t>https://webstore.iec.ch/?ref=menu</w:t>
        </w:r>
      </w:hyperlink>
      <w:r>
        <w:rPr>
          <w:rFonts w:cs="Arial"/>
        </w:rPr>
        <w:t>.</w:t>
      </w:r>
    </w:p>
    <w:p w14:paraId="4824D179" w14:textId="34A7F506" w:rsidR="00DC5362" w:rsidRDefault="00DC5362" w:rsidP="00682629">
      <w:pPr>
        <w:spacing w:after="240"/>
        <w:rPr>
          <w:rFonts w:cs="Arial"/>
        </w:rPr>
      </w:pPr>
      <w:r w:rsidRPr="00DC5362">
        <w:rPr>
          <w:rFonts w:cs="Arial"/>
        </w:rPr>
        <w:t>In accordance with subsections 14(1</w:t>
      </w:r>
      <w:proofErr w:type="gramStart"/>
      <w:r w:rsidRPr="00DC5362">
        <w:rPr>
          <w:rFonts w:cs="Arial"/>
        </w:rPr>
        <w:t>)(</w:t>
      </w:r>
      <w:proofErr w:type="gramEnd"/>
      <w:r w:rsidRPr="00DC5362">
        <w:rPr>
          <w:rFonts w:cs="Arial"/>
        </w:rPr>
        <w:t>b) and 14(2) of the Legislation Act 2003, referenced standards are incorporated as in force at the commencement of the Determination.</w:t>
      </w:r>
    </w:p>
    <w:p w14:paraId="2AEC5CBC" w14:textId="77777777" w:rsidR="00ED4DF9" w:rsidRPr="005D21F5" w:rsidRDefault="008D140A" w:rsidP="00ED4DF9">
      <w:pPr>
        <w:pStyle w:val="MainHeadding"/>
      </w:pPr>
      <w:bookmarkStart w:id="36" w:name="_Toc317158947"/>
      <w:bookmarkStart w:id="37" w:name="_Toc317171386"/>
      <w:bookmarkStart w:id="38" w:name="_Toc317171512"/>
      <w:bookmarkStart w:id="39" w:name="_Toc377388629"/>
      <w:bookmarkStart w:id="40" w:name="_Toc393194583"/>
      <w:bookmarkStart w:id="41" w:name="_Toc256000017"/>
      <w:bookmarkStart w:id="42" w:name="_Toc256000004"/>
      <w:bookmarkStart w:id="43" w:name="_Toc458587253"/>
      <w:bookmarkStart w:id="44" w:name="_Toc256000030"/>
      <w:bookmarkStart w:id="45" w:name="_Toc505067242"/>
      <w:bookmarkStart w:id="46" w:name="_Toc465165781"/>
      <w:bookmarkStart w:id="47" w:name="_Toc167864618"/>
      <w:bookmarkStart w:id="48" w:name="_Toc390430618"/>
      <w:bookmarkStart w:id="49" w:name="_Toc318271645"/>
      <w:bookmarkStart w:id="50" w:name="_Toc317171517"/>
      <w:bookmarkStart w:id="51" w:name="_Toc317171391"/>
      <w:bookmarkStart w:id="52" w:name="_Toc317158948"/>
      <w:bookmarkStart w:id="53" w:name="_Toc318272904"/>
      <w:bookmarkStart w:id="54" w:name="_Toc319402529"/>
      <w:bookmarkStart w:id="55" w:name="_Toc390430619"/>
      <w:bookmarkEnd w:id="33"/>
      <w:r w:rsidRPr="005D21F5">
        <w:t>best practice regulation</w:t>
      </w:r>
      <w:bookmarkEnd w:id="36"/>
      <w:bookmarkEnd w:id="37"/>
      <w:bookmarkEnd w:id="38"/>
      <w:bookmarkEnd w:id="39"/>
      <w:bookmarkEnd w:id="40"/>
      <w:bookmarkEnd w:id="41"/>
      <w:bookmarkEnd w:id="42"/>
      <w:bookmarkEnd w:id="43"/>
      <w:bookmarkEnd w:id="44"/>
      <w:bookmarkEnd w:id="45"/>
      <w:bookmarkEnd w:id="46"/>
    </w:p>
    <w:p w14:paraId="2AEC5CBD" w14:textId="77777777" w:rsidR="007A5DEA" w:rsidRDefault="008D140A" w:rsidP="007A5DEA">
      <w:pPr>
        <w:pStyle w:val="Subsection"/>
      </w:pPr>
      <w:bookmarkStart w:id="56" w:name="_Toc256000031"/>
      <w:bookmarkStart w:id="57" w:name="_Toc256000018"/>
      <w:bookmarkStart w:id="58" w:name="_Toc256000005"/>
      <w:bookmarkStart w:id="59" w:name="_Toc167864616"/>
      <w:bookmarkStart w:id="60" w:name="_Toc317171387"/>
      <w:bookmarkStart w:id="61" w:name="_Toc317171513"/>
      <w:bookmarkStart w:id="62" w:name="_Toc377388630"/>
      <w:bookmarkStart w:id="63" w:name="_Toc393194584"/>
      <w:bookmarkStart w:id="64" w:name="_Toc458587254"/>
      <w:bookmarkStart w:id="65" w:name="_Toc505067243"/>
      <w:bookmarkStart w:id="66" w:name="_Toc465165782"/>
      <w:r w:rsidRPr="00952B82">
        <w:t>Business Cost Calculator</w:t>
      </w:r>
      <w:bookmarkStart w:id="67" w:name="_Toc256000019"/>
      <w:bookmarkStart w:id="68" w:name="_Toc256000006"/>
      <w:bookmarkEnd w:id="56"/>
      <w:bookmarkEnd w:id="57"/>
      <w:bookmarkEnd w:id="58"/>
      <w:bookmarkEnd w:id="59"/>
      <w:bookmarkEnd w:id="60"/>
      <w:bookmarkEnd w:id="61"/>
      <w:bookmarkEnd w:id="62"/>
      <w:bookmarkEnd w:id="63"/>
      <w:bookmarkEnd w:id="64"/>
      <w:bookmarkEnd w:id="65"/>
      <w:bookmarkEnd w:id="66"/>
    </w:p>
    <w:p w14:paraId="2AEC5CBE" w14:textId="55375CCE" w:rsidR="007A5DEA" w:rsidRDefault="00D82BFD" w:rsidP="00A75CD2">
      <w:bookmarkStart w:id="69" w:name="_Toc256000032"/>
      <w:r w:rsidRPr="006009C0">
        <w:t xml:space="preserve">There is no significant cost or saving associated with this ADR </w:t>
      </w:r>
      <w:proofErr w:type="gramStart"/>
      <w:r w:rsidRPr="006009C0">
        <w:t>amendment</w:t>
      </w:r>
      <w:proofErr w:type="gramEnd"/>
      <w:r w:rsidRPr="006009C0">
        <w:t xml:space="preserve"> as it </w:t>
      </w:r>
      <w:r w:rsidR="006009C0" w:rsidRPr="006009C0">
        <w:t>has no significant effect on stringency</w:t>
      </w:r>
      <w:r w:rsidRPr="006009C0">
        <w:t>.</w:t>
      </w:r>
      <w:bookmarkEnd w:id="69"/>
      <w:r w:rsidR="008D140A" w:rsidRPr="00EA183A">
        <w:t xml:space="preserve"> </w:t>
      </w:r>
      <w:bookmarkStart w:id="70" w:name="_Toc458587255"/>
      <w:bookmarkStart w:id="71" w:name="_Toc167864617"/>
      <w:bookmarkStart w:id="72" w:name="_Toc317171388"/>
      <w:bookmarkStart w:id="73" w:name="_Toc317171514"/>
      <w:bookmarkStart w:id="74" w:name="_Toc377388631"/>
      <w:bookmarkStart w:id="75" w:name="_Toc393194585"/>
    </w:p>
    <w:p w14:paraId="2AEC5CBF" w14:textId="77777777" w:rsidR="007669CE" w:rsidRDefault="008D140A" w:rsidP="00ED4DF9">
      <w:pPr>
        <w:pStyle w:val="Subsection"/>
      </w:pPr>
      <w:bookmarkStart w:id="76" w:name="_Toc256000033"/>
      <w:bookmarkStart w:id="77" w:name="_Toc505067244"/>
      <w:bookmarkStart w:id="78" w:name="_Toc465165783"/>
      <w:r>
        <w:t>General Consultation Arrangements</w:t>
      </w:r>
      <w:bookmarkEnd w:id="67"/>
      <w:bookmarkEnd w:id="68"/>
      <w:bookmarkEnd w:id="70"/>
      <w:bookmarkEnd w:id="76"/>
      <w:bookmarkEnd w:id="77"/>
      <w:bookmarkEnd w:id="78"/>
    </w:p>
    <w:bookmarkEnd w:id="71"/>
    <w:bookmarkEnd w:id="72"/>
    <w:bookmarkEnd w:id="73"/>
    <w:bookmarkEnd w:id="74"/>
    <w:bookmarkEnd w:id="75"/>
    <w:p w14:paraId="2AEC5CC0" w14:textId="77777777" w:rsidR="006863C9" w:rsidRPr="00933AA9" w:rsidRDefault="008D140A" w:rsidP="006863C9">
      <w:pPr>
        <w:spacing w:after="240"/>
        <w:rPr>
          <w:rFonts w:cs="Arial"/>
        </w:rPr>
      </w:pPr>
      <w:r w:rsidRPr="00933AA9">
        <w:rPr>
          <w:rFonts w:cs="Arial"/>
        </w:rPr>
        <w:t xml:space="preserve">It has been longstanding practice to consult widely on proposed new or amended vehicle standards.  For many </w:t>
      </w:r>
      <w:proofErr w:type="gramStart"/>
      <w:r w:rsidRPr="00933AA9">
        <w:rPr>
          <w:rFonts w:cs="Arial"/>
        </w:rPr>
        <w:t>years</w:t>
      </w:r>
      <w:proofErr w:type="gramEnd"/>
      <w:r w:rsidRPr="00933AA9">
        <w:rPr>
          <w:rFonts w:cs="Arial"/>
        </w:rPr>
        <w:t xml:space="preserve">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933AA9">
        <w:rPr>
          <w:rFonts w:cs="Arial"/>
        </w:rPr>
        <w:t>is expected</w:t>
      </w:r>
      <w:proofErr w:type="gramEnd"/>
      <w:r w:rsidRPr="00933AA9">
        <w:rPr>
          <w:rFonts w:cs="Arial"/>
        </w:rPr>
        <w:t xml:space="preserve"> to have on industry or road users.</w:t>
      </w:r>
    </w:p>
    <w:p w14:paraId="2AEC5CC1" w14:textId="77777777" w:rsidR="006863C9" w:rsidRPr="00933AA9" w:rsidRDefault="008D140A" w:rsidP="006863C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 xml:space="preserve">TLG consists of technical representatives of government agencies (Australian and state/territory), the National Transport Commission and the National </w:t>
      </w:r>
      <w:r w:rsidRPr="00933AA9">
        <w:rPr>
          <w:rFonts w:cs="Arial"/>
        </w:rPr>
        <w:lastRenderedPageBreak/>
        <w:t>Heavy Vehicle Regulator, the manufacturing and operational arms of the industry and of representative organisations of consumers and road users (the same organisations as represented in SVSEG).</w:t>
      </w:r>
    </w:p>
    <w:p w14:paraId="2AEC5CC5" w14:textId="77777777" w:rsidR="006863C9" w:rsidRPr="00933AA9" w:rsidRDefault="008D140A" w:rsidP="006863C9">
      <w:pPr>
        <w:numPr>
          <w:ilvl w:val="0"/>
          <w:numId w:val="22"/>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proofErr w:type="gramStart"/>
      <w:r w:rsidRPr="00933AA9">
        <w:rPr>
          <w:rFonts w:cs="Arial"/>
        </w:rPr>
        <w:t xml:space="preserve">Editorial changes and changes to correct errors are processed by the </w:t>
      </w:r>
      <w:r>
        <w:rPr>
          <w:rFonts w:cs="Arial"/>
        </w:rPr>
        <w:t>Department</w:t>
      </w:r>
      <w:proofErr w:type="gramEnd"/>
      <w:r w:rsidRPr="00933AA9">
        <w:rPr>
          <w:rFonts w:cs="Arial"/>
        </w:rPr>
        <w:t xml:space="preserve">.  This approach </w:t>
      </w:r>
      <w:proofErr w:type="gramStart"/>
      <w:r w:rsidRPr="00933AA9">
        <w:rPr>
          <w:rFonts w:cs="Arial"/>
        </w:rPr>
        <w:t>is only used</w:t>
      </w:r>
      <w:proofErr w:type="gramEnd"/>
      <w:r w:rsidRPr="00933AA9">
        <w:rPr>
          <w:rFonts w:cs="Arial"/>
        </w:rPr>
        <w:t xml:space="preserve"> where the amendments do not vary the intent of the vehicle standard.</w:t>
      </w:r>
    </w:p>
    <w:p w14:paraId="2AEC5CC8" w14:textId="77777777" w:rsidR="006863C9" w:rsidRPr="00D04EF5" w:rsidRDefault="008D140A" w:rsidP="006863C9">
      <w:pPr>
        <w:spacing w:after="240"/>
        <w:rPr>
          <w:rFonts w:cs="Arial"/>
          <w:i/>
        </w:rPr>
      </w:pPr>
      <w:r w:rsidRPr="00D04EF5">
        <w:rPr>
          <w:rFonts w:cs="Arial"/>
        </w:rPr>
        <w:t xml:space="preserve">Proposals that </w:t>
      </w:r>
      <w:proofErr w:type="gramStart"/>
      <w:r w:rsidRPr="00D04EF5">
        <w:rPr>
          <w:rFonts w:cs="Arial"/>
        </w:rPr>
        <w:t>are regarded</w:t>
      </w:r>
      <w:proofErr w:type="gramEnd"/>
      <w:r w:rsidRPr="00D04EF5">
        <w:rPr>
          <w:rFonts w:cs="Arial"/>
        </w:rPr>
        <w:t xml:space="preserve"> as significant need to be supported by a Regulation Impact Statement meeting the requirements of the Office of Best Practice Regulation (OBPR) as published in the </w:t>
      </w:r>
      <w:r w:rsidRPr="00D04EF5">
        <w:rPr>
          <w:rFonts w:cs="Arial"/>
          <w:i/>
        </w:rPr>
        <w:t>Australian Government Guide to Regulation</w:t>
      </w:r>
      <w:r w:rsidRPr="00D04EF5">
        <w:rPr>
          <w:rFonts w:cs="Arial"/>
        </w:rPr>
        <w:t xml:space="preserve"> and the Council of Australian Government’s </w:t>
      </w:r>
      <w:r w:rsidRPr="00D04EF5">
        <w:rPr>
          <w:rFonts w:cs="Arial"/>
          <w:i/>
          <w:iCs/>
        </w:rPr>
        <w:t>Best Practice Regulation: A Guide</w:t>
      </w:r>
      <w:r w:rsidRPr="00D04EF5">
        <w:rPr>
          <w:rFonts w:cs="Arial"/>
        </w:rPr>
        <w:t xml:space="preserve"> </w:t>
      </w:r>
      <w:r w:rsidRPr="00D04EF5">
        <w:rPr>
          <w:rFonts w:cs="Arial"/>
          <w:i/>
        </w:rPr>
        <w:t>for Ministerial Councils and Standard-Setting Bodies</w:t>
      </w:r>
      <w:r w:rsidRPr="00D04EF5">
        <w:rPr>
          <w:rFonts w:cs="Arial"/>
        </w:rPr>
        <w:t>.</w:t>
      </w:r>
    </w:p>
    <w:p w14:paraId="2AEC5CC9" w14:textId="77777777" w:rsidR="00ED4DF9" w:rsidRPr="00D04EF5" w:rsidRDefault="008D140A" w:rsidP="00ED4DF9">
      <w:pPr>
        <w:pStyle w:val="Subsection"/>
      </w:pPr>
      <w:bookmarkStart w:id="79" w:name="_Toc458587256"/>
      <w:bookmarkStart w:id="80" w:name="_Toc458587257"/>
      <w:bookmarkStart w:id="81" w:name="_Toc458587258"/>
      <w:bookmarkStart w:id="82" w:name="_Toc458587259"/>
      <w:bookmarkStart w:id="83" w:name="_Toc458587260"/>
      <w:bookmarkStart w:id="84" w:name="_Toc458587261"/>
      <w:bookmarkStart w:id="85" w:name="_Toc458587262"/>
      <w:bookmarkStart w:id="86" w:name="_Toc458587263"/>
      <w:bookmarkStart w:id="87" w:name="_Toc458587264"/>
      <w:bookmarkStart w:id="88" w:name="_Toc256000034"/>
      <w:bookmarkStart w:id="89" w:name="_Toc256000020"/>
      <w:bookmarkStart w:id="90" w:name="_Toc256000007"/>
      <w:bookmarkStart w:id="91" w:name="_Toc317171389"/>
      <w:bookmarkStart w:id="92" w:name="_Toc317171515"/>
      <w:bookmarkStart w:id="93" w:name="_Toc377388632"/>
      <w:bookmarkStart w:id="94" w:name="_Toc393194586"/>
      <w:bookmarkStart w:id="95" w:name="_Toc458587265"/>
      <w:bookmarkStart w:id="96" w:name="_Toc505067245"/>
      <w:bookmarkStart w:id="97" w:name="_Toc465165784"/>
      <w:bookmarkEnd w:id="79"/>
      <w:bookmarkEnd w:id="80"/>
      <w:bookmarkEnd w:id="81"/>
      <w:bookmarkEnd w:id="82"/>
      <w:bookmarkEnd w:id="83"/>
      <w:bookmarkEnd w:id="84"/>
      <w:bookmarkEnd w:id="85"/>
      <w:bookmarkEnd w:id="86"/>
      <w:bookmarkEnd w:id="87"/>
      <w:r w:rsidRPr="00D04EF5">
        <w:t>Specific Consultation Arrangements for this Vehicle Standard</w:t>
      </w:r>
      <w:bookmarkEnd w:id="88"/>
      <w:bookmarkEnd w:id="89"/>
      <w:bookmarkEnd w:id="90"/>
      <w:bookmarkEnd w:id="91"/>
      <w:bookmarkEnd w:id="92"/>
      <w:bookmarkEnd w:id="93"/>
      <w:bookmarkEnd w:id="94"/>
      <w:bookmarkEnd w:id="95"/>
      <w:bookmarkEnd w:id="96"/>
      <w:bookmarkEnd w:id="97"/>
    </w:p>
    <w:p w14:paraId="127F7C05" w14:textId="77777777" w:rsidR="00124466" w:rsidRPr="00D04EF5" w:rsidRDefault="00124466" w:rsidP="00ED4DF9">
      <w:pPr>
        <w:spacing w:after="240"/>
        <w:rPr>
          <w:rFonts w:cs="Arial"/>
        </w:rPr>
      </w:pPr>
      <w:r w:rsidRPr="00D04EF5">
        <w:rPr>
          <w:rFonts w:cs="Arial"/>
        </w:rPr>
        <w:t xml:space="preserve">The incorporation of UN Regulations for parking and cornering </w:t>
      </w:r>
      <w:proofErr w:type="gramStart"/>
      <w:r w:rsidRPr="00D04EF5">
        <w:rPr>
          <w:rFonts w:cs="Arial"/>
        </w:rPr>
        <w:t>lamps which drives this amendment</w:t>
      </w:r>
      <w:proofErr w:type="gramEnd"/>
      <w:r w:rsidRPr="00D04EF5">
        <w:rPr>
          <w:rFonts w:cs="Arial"/>
        </w:rPr>
        <w:t xml:space="preserve"> was discussed and agreed at SVSEG meeting 9 in 2014.  The specifics of this amendment </w:t>
      </w:r>
      <w:proofErr w:type="gramStart"/>
      <w:r w:rsidRPr="00D04EF5">
        <w:rPr>
          <w:rFonts w:cs="Arial"/>
        </w:rPr>
        <w:t>were discussed with and agreed by TLG in September 2016</w:t>
      </w:r>
      <w:proofErr w:type="gramEnd"/>
      <w:r w:rsidRPr="00D04EF5">
        <w:rPr>
          <w:rFonts w:cs="Arial"/>
        </w:rPr>
        <w:t xml:space="preserve">. </w:t>
      </w:r>
    </w:p>
    <w:p w14:paraId="2AEC5CCB" w14:textId="034894C2" w:rsidR="00ED4DF9" w:rsidRPr="00D04EF5" w:rsidRDefault="008D140A" w:rsidP="00ED4DF9">
      <w:pPr>
        <w:spacing w:after="240"/>
      </w:pPr>
      <w:r w:rsidRPr="00D04EF5">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D04EF5" w:rsidRDefault="008D140A" w:rsidP="00ED4DF9">
      <w:pPr>
        <w:pStyle w:val="Subsection"/>
      </w:pPr>
      <w:bookmarkStart w:id="98" w:name="_Toc256000035"/>
      <w:bookmarkStart w:id="99" w:name="_Toc256000021"/>
      <w:bookmarkStart w:id="100" w:name="_Toc256000008"/>
      <w:bookmarkStart w:id="101" w:name="_Toc317171390"/>
      <w:bookmarkStart w:id="102" w:name="_Toc317171516"/>
      <w:bookmarkStart w:id="103" w:name="_Toc377388633"/>
      <w:bookmarkStart w:id="104" w:name="_Toc393194587"/>
      <w:bookmarkStart w:id="105" w:name="_Toc458587266"/>
      <w:bookmarkStart w:id="106" w:name="_Toc505067246"/>
      <w:bookmarkStart w:id="107" w:name="_Toc465165785"/>
      <w:r w:rsidRPr="00D04EF5">
        <w:t>Regulation Impact Statement</w:t>
      </w:r>
      <w:bookmarkEnd w:id="98"/>
      <w:bookmarkEnd w:id="99"/>
      <w:bookmarkEnd w:id="100"/>
      <w:bookmarkEnd w:id="101"/>
      <w:bookmarkEnd w:id="102"/>
      <w:bookmarkEnd w:id="103"/>
      <w:bookmarkEnd w:id="104"/>
      <w:bookmarkEnd w:id="105"/>
      <w:bookmarkEnd w:id="106"/>
      <w:bookmarkEnd w:id="107"/>
      <w:r w:rsidRPr="00D04EF5">
        <w:t xml:space="preserve"> </w:t>
      </w:r>
    </w:p>
    <w:p w14:paraId="2AEC5CCD" w14:textId="77777777" w:rsidR="00ED4DF9" w:rsidRPr="00D04EF5" w:rsidRDefault="008D140A" w:rsidP="00ED4DF9">
      <w:pPr>
        <w:spacing w:after="240"/>
      </w:pPr>
      <w:r w:rsidRPr="00D04EF5">
        <w:t>As the proposed amendment does not increase the stringency of the ADR, a Regulation Impact Statement is not required.</w:t>
      </w:r>
    </w:p>
    <w:p w14:paraId="2AEC5CCE" w14:textId="1947C6B9" w:rsidR="00ED4DF9" w:rsidRPr="00D04EF5" w:rsidRDefault="008D140A" w:rsidP="00ED4DF9">
      <w:pPr>
        <w:spacing w:after="240"/>
      </w:pPr>
      <w:r w:rsidRPr="00D04EF5">
        <w:t xml:space="preserve">Since the </w:t>
      </w:r>
      <w:proofErr w:type="gramStart"/>
      <w:r w:rsidRPr="00D04EF5">
        <w:t>decision is made by the Minister</w:t>
      </w:r>
      <w:proofErr w:type="gramEnd"/>
      <w:r w:rsidRPr="00D04EF5">
        <w:t xml:space="preserve"> for Urban Infrastructure </w:t>
      </w:r>
      <w:r w:rsidR="003E6F47">
        <w:t xml:space="preserve">and Cities </w:t>
      </w:r>
      <w:r w:rsidRPr="00D04EF5">
        <w:t>without reference to the TIC and the proposal is not considered significant, the Office of Best Practice Regulation requirements have been met for this regulatory proposal (OBPR Reference ID 2</w:t>
      </w:r>
      <w:r w:rsidR="00124466" w:rsidRPr="00D04EF5">
        <w:t>1346</w:t>
      </w:r>
      <w:r w:rsidRPr="00D04EF5">
        <w:t>).</w:t>
      </w:r>
    </w:p>
    <w:p w14:paraId="2AEC5CCF" w14:textId="77777777" w:rsidR="00586887" w:rsidRPr="00D04EF5" w:rsidRDefault="008D140A" w:rsidP="00586887">
      <w:pPr>
        <w:pStyle w:val="MainHeadding"/>
        <w:tabs>
          <w:tab w:val="left" w:pos="900"/>
        </w:tabs>
      </w:pPr>
      <w:bookmarkStart w:id="108" w:name="_Toc256000036"/>
      <w:bookmarkStart w:id="109" w:name="_Toc256000022"/>
      <w:bookmarkStart w:id="110" w:name="_Toc256000009"/>
      <w:bookmarkStart w:id="111" w:name="_Toc458587267"/>
      <w:bookmarkStart w:id="112" w:name="_Toc505067247"/>
      <w:bookmarkStart w:id="113" w:name="_Toc465165786"/>
      <w:bookmarkEnd w:id="47"/>
      <w:bookmarkEnd w:id="48"/>
      <w:r w:rsidRPr="00D04EF5">
        <w:t>STATEMENT OF COMPATIBILITY WITH HUMAN RIGHTS</w:t>
      </w:r>
      <w:bookmarkEnd w:id="49"/>
      <w:bookmarkEnd w:id="50"/>
      <w:bookmarkEnd w:id="51"/>
      <w:bookmarkEnd w:id="52"/>
      <w:bookmarkEnd w:id="53"/>
      <w:bookmarkEnd w:id="54"/>
      <w:bookmarkEnd w:id="55"/>
      <w:bookmarkEnd w:id="108"/>
      <w:bookmarkEnd w:id="109"/>
      <w:bookmarkEnd w:id="110"/>
      <w:bookmarkEnd w:id="111"/>
      <w:bookmarkEnd w:id="112"/>
      <w:bookmarkEnd w:id="113"/>
    </w:p>
    <w:p w14:paraId="2AEC5CD0" w14:textId="77777777" w:rsidR="00586887" w:rsidRPr="00D04EF5" w:rsidRDefault="008D140A" w:rsidP="00586887">
      <w:r w:rsidRPr="00D04EF5">
        <w:t xml:space="preserve">The following Statement is prepared in accordance with Part 3 of the </w:t>
      </w:r>
      <w:r w:rsidRPr="00D04EF5">
        <w:rPr>
          <w:i/>
          <w:iCs/>
        </w:rPr>
        <w:t>Human Rights (Parliamentary Scrutiny) Act 2011.</w:t>
      </w:r>
      <w:r w:rsidRPr="00D04EF5">
        <w:t xml:space="preserve"> </w:t>
      </w:r>
    </w:p>
    <w:p w14:paraId="2AEC5CD1" w14:textId="77777777" w:rsidR="00586887" w:rsidRPr="00D04EF5" w:rsidRDefault="008D140A" w:rsidP="00586887">
      <w:pPr>
        <w:pStyle w:val="Subsection"/>
      </w:pPr>
      <w:bookmarkStart w:id="114" w:name="_Toc256000037"/>
      <w:bookmarkStart w:id="115" w:name="_Toc256000023"/>
      <w:bookmarkStart w:id="116" w:name="_Toc256000010"/>
      <w:bookmarkStart w:id="117" w:name="_Toc318271646"/>
      <w:bookmarkStart w:id="118" w:name="_Toc317171518"/>
      <w:bookmarkStart w:id="119" w:name="_Toc317171392"/>
      <w:bookmarkStart w:id="120" w:name="_Toc318272905"/>
      <w:bookmarkStart w:id="121" w:name="_Toc319402530"/>
      <w:bookmarkStart w:id="122" w:name="_Toc390430620"/>
      <w:bookmarkStart w:id="123" w:name="_Toc458587268"/>
      <w:bookmarkStart w:id="124" w:name="_Toc505067248"/>
      <w:bookmarkStart w:id="125" w:name="_Toc465165787"/>
      <w:r w:rsidRPr="00D04EF5">
        <w:t>Overview of the Legislative Instrument</w:t>
      </w:r>
      <w:bookmarkEnd w:id="114"/>
      <w:bookmarkEnd w:id="115"/>
      <w:bookmarkEnd w:id="116"/>
      <w:bookmarkEnd w:id="117"/>
      <w:bookmarkEnd w:id="118"/>
      <w:bookmarkEnd w:id="119"/>
      <w:bookmarkEnd w:id="120"/>
      <w:bookmarkEnd w:id="121"/>
      <w:bookmarkEnd w:id="122"/>
      <w:bookmarkEnd w:id="123"/>
      <w:bookmarkEnd w:id="124"/>
      <w:bookmarkEnd w:id="125"/>
    </w:p>
    <w:p w14:paraId="2AEC5CD2" w14:textId="7D9800DE" w:rsidR="00586887" w:rsidRPr="00D04EF5" w:rsidRDefault="008D140A" w:rsidP="002501C9">
      <w:r w:rsidRPr="00D04EF5">
        <w:t xml:space="preserve">This amendment </w:t>
      </w:r>
      <w:r w:rsidR="00230E2C" w:rsidRPr="00D04EF5">
        <w:t xml:space="preserve">updates the version of the incorporated UN Regulation, </w:t>
      </w:r>
      <w:r w:rsidR="00385A61" w:rsidRPr="00D04EF5">
        <w:t xml:space="preserve">and incorporates alternative side marker lamp </w:t>
      </w:r>
      <w:proofErr w:type="gramStart"/>
      <w:r w:rsidR="00385A61" w:rsidRPr="00D04EF5">
        <w:t>requirements which</w:t>
      </w:r>
      <w:proofErr w:type="gramEnd"/>
      <w:r w:rsidR="00385A61" w:rsidRPr="00D04EF5">
        <w:t xml:space="preserve"> were previously held in another ADR.</w:t>
      </w:r>
      <w:r w:rsidR="007F0518" w:rsidRPr="00D04EF5">
        <w:t xml:space="preserve"> </w:t>
      </w:r>
    </w:p>
    <w:p w14:paraId="2AEC5CD3" w14:textId="77777777" w:rsidR="00586887" w:rsidRPr="00D04EF5" w:rsidRDefault="008D140A" w:rsidP="00141A4B">
      <w:pPr>
        <w:pStyle w:val="Subsection"/>
        <w:keepNext/>
      </w:pPr>
      <w:bookmarkStart w:id="126" w:name="_Toc256000038"/>
      <w:bookmarkStart w:id="127" w:name="_Toc256000024"/>
      <w:bookmarkStart w:id="128" w:name="_Toc256000011"/>
      <w:bookmarkStart w:id="129" w:name="_Toc318271647"/>
      <w:bookmarkStart w:id="130" w:name="_Toc317171519"/>
      <w:bookmarkStart w:id="131" w:name="_Toc317171393"/>
      <w:bookmarkStart w:id="132" w:name="_Toc318272906"/>
      <w:bookmarkStart w:id="133" w:name="_Toc319402531"/>
      <w:bookmarkStart w:id="134" w:name="_Toc390430621"/>
      <w:bookmarkStart w:id="135" w:name="_Toc458587269"/>
      <w:bookmarkStart w:id="136" w:name="_Toc505067249"/>
      <w:bookmarkStart w:id="137" w:name="_Toc465165788"/>
      <w:r w:rsidRPr="00D04EF5">
        <w:lastRenderedPageBreak/>
        <w:t>Human Rights Implications</w:t>
      </w:r>
      <w:bookmarkEnd w:id="126"/>
      <w:bookmarkEnd w:id="127"/>
      <w:bookmarkEnd w:id="128"/>
      <w:bookmarkEnd w:id="129"/>
      <w:bookmarkEnd w:id="130"/>
      <w:bookmarkEnd w:id="131"/>
      <w:bookmarkEnd w:id="132"/>
      <w:bookmarkEnd w:id="133"/>
      <w:bookmarkEnd w:id="134"/>
      <w:bookmarkEnd w:id="135"/>
      <w:bookmarkEnd w:id="136"/>
      <w:bookmarkEnd w:id="137"/>
    </w:p>
    <w:p w14:paraId="2AEC5CD4" w14:textId="065C2087" w:rsidR="007C7E7E" w:rsidRPr="00D04EF5" w:rsidRDefault="008D140A">
      <w:bookmarkStart w:id="138" w:name="_Toc319402532"/>
      <w:r w:rsidRPr="00D04EF5">
        <w:t xml:space="preserve">This amendment to ADR </w:t>
      </w:r>
      <w:r w:rsidR="007134DD" w:rsidRPr="00D04EF5">
        <w:t>74</w:t>
      </w:r>
      <w:r w:rsidR="002B63B7" w:rsidRPr="00D04EF5">
        <w:t>/00</w:t>
      </w:r>
      <w:r w:rsidRPr="00D04EF5">
        <w:t xml:space="preserve"> does not engage any of the human rights and freedoms recognised or declared in the international instruments listed in section 3 of the </w:t>
      </w:r>
      <w:r w:rsidRPr="00D04EF5">
        <w:rPr>
          <w:i/>
        </w:rPr>
        <w:t>Human Rights (Parliamentary Scrutiny) Act 2011</w:t>
      </w:r>
      <w:r w:rsidRPr="00D04EF5">
        <w:t>.</w:t>
      </w:r>
    </w:p>
    <w:p w14:paraId="2AEC5CD5" w14:textId="77777777" w:rsidR="00586887" w:rsidRPr="00D04EF5" w:rsidRDefault="008D140A" w:rsidP="00E45699">
      <w:pPr>
        <w:pStyle w:val="Subsection"/>
      </w:pPr>
      <w:bookmarkStart w:id="139" w:name="_Toc256000039"/>
      <w:bookmarkStart w:id="140" w:name="_Toc256000025"/>
      <w:bookmarkStart w:id="141" w:name="_Toc256000012"/>
      <w:bookmarkStart w:id="142" w:name="_Toc458587270"/>
      <w:bookmarkStart w:id="143" w:name="_Toc505067250"/>
      <w:bookmarkStart w:id="144" w:name="_Toc465165789"/>
      <w:r w:rsidRPr="00D04EF5">
        <w:t>Conclusion</w:t>
      </w:r>
      <w:bookmarkEnd w:id="138"/>
      <w:bookmarkEnd w:id="139"/>
      <w:bookmarkEnd w:id="140"/>
      <w:bookmarkEnd w:id="141"/>
      <w:bookmarkEnd w:id="142"/>
      <w:bookmarkEnd w:id="143"/>
      <w:bookmarkEnd w:id="144"/>
    </w:p>
    <w:p w14:paraId="2AEC5CD6" w14:textId="001895E4" w:rsidR="002D7277" w:rsidRPr="007A3BB4" w:rsidRDefault="008D140A" w:rsidP="0012110B">
      <w:r w:rsidRPr="00D04EF5">
        <w:t xml:space="preserve">This amendment to ADR </w:t>
      </w:r>
      <w:r w:rsidR="007134DD" w:rsidRPr="00D04EF5">
        <w:t>74</w:t>
      </w:r>
      <w:r w:rsidR="002B63B7" w:rsidRPr="00D04EF5">
        <w:t>/00</w:t>
      </w:r>
      <w:r w:rsidRPr="00D04EF5">
        <w:t xml:space="preserve"> is compatible with human </w:t>
      </w:r>
      <w:proofErr w:type="gramStart"/>
      <w:r w:rsidRPr="00D04EF5">
        <w:t>rights</w:t>
      </w:r>
      <w:proofErr w:type="gramEnd"/>
      <w:r w:rsidRPr="00D04EF5">
        <w:t xml:space="preserve"> as it does not raise any human rights issues.</w:t>
      </w:r>
    </w:p>
    <w:sectPr w:rsidR="002D7277" w:rsidRPr="007A3BB4" w:rsidSect="003F0AC5">
      <w:headerReference w:type="default" r:id="rId13"/>
      <w:footerReference w:type="default" r:id="rId14"/>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BBA6B" w14:textId="77777777" w:rsidR="00211BB6" w:rsidRDefault="00211BB6">
      <w:r>
        <w:separator/>
      </w:r>
    </w:p>
  </w:endnote>
  <w:endnote w:type="continuationSeparator" w:id="0">
    <w:p w14:paraId="596D2B1F" w14:textId="77777777" w:rsidR="00211BB6" w:rsidRDefault="00211BB6">
      <w:r>
        <w:continuationSeparator/>
      </w:r>
    </w:p>
  </w:endnote>
  <w:endnote w:type="continuationNotice" w:id="1">
    <w:p w14:paraId="6F7C08F1" w14:textId="77777777" w:rsidR="00211BB6" w:rsidRDefault="00211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211BB6"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0C0D" w14:textId="77777777" w:rsidR="00211BB6" w:rsidRDefault="00211BB6">
      <w:r>
        <w:separator/>
      </w:r>
    </w:p>
  </w:footnote>
  <w:footnote w:type="continuationSeparator" w:id="0">
    <w:p w14:paraId="0F060F18" w14:textId="77777777" w:rsidR="00211BB6" w:rsidRDefault="00211BB6">
      <w:r>
        <w:continuationSeparator/>
      </w:r>
    </w:p>
  </w:footnote>
  <w:footnote w:type="continuationNotice" w:id="1">
    <w:p w14:paraId="53F1123F" w14:textId="77777777" w:rsidR="00211BB6" w:rsidRDefault="00211B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73E47B76" w:rsidR="006B2A4B" w:rsidRDefault="008D140A">
    <w:pPr>
      <w:pStyle w:val="Header"/>
      <w:jc w:val="right"/>
    </w:pPr>
    <w:r>
      <w:fldChar w:fldCharType="begin"/>
    </w:r>
    <w:r>
      <w:instrText xml:space="preserve"> PAGE   \* MERGEFORMAT </w:instrText>
    </w:r>
    <w:r>
      <w:fldChar w:fldCharType="separate"/>
    </w:r>
    <w:r w:rsidR="00141A4B">
      <w:rPr>
        <w:noProof/>
      </w:rPr>
      <w:t>6</w:t>
    </w:r>
    <w:r>
      <w:rPr>
        <w:noProof/>
      </w:rPr>
      <w:fldChar w:fldCharType="end"/>
    </w:r>
  </w:p>
  <w:p w14:paraId="2AEC5CD8" w14:textId="023CB351" w:rsidR="006B2A4B" w:rsidRPr="003234FA" w:rsidRDefault="00476326" w:rsidP="0012110B">
    <w:pPr>
      <w:pStyle w:val="Header"/>
      <w:rPr>
        <w:szCs w:val="20"/>
      </w:rPr>
    </w:pPr>
    <w:r w:rsidRPr="00476326">
      <w:rPr>
        <w:szCs w:val="20"/>
      </w:rPr>
      <w:t xml:space="preserve">Vehicle Standard (Australian Design Rule 74/00) 2006 Amendment </w:t>
    </w:r>
    <w:r>
      <w:rPr>
        <w:szCs w:val="20"/>
      </w:rPr>
      <w:t>1</w:t>
    </w:r>
  </w:p>
  <w:p w14:paraId="2AEC5CD9" w14:textId="21B76E42" w:rsidR="006B2A4B" w:rsidRDefault="00476326" w:rsidP="0012110B">
    <w:pPr>
      <w:pStyle w:val="Header"/>
      <w:pBdr>
        <w:bottom w:val="single" w:sz="4" w:space="1" w:color="auto"/>
      </w:pBdr>
      <w:tabs>
        <w:tab w:val="clear" w:pos="4153"/>
        <w:tab w:val="left" w:pos="7740"/>
      </w:tabs>
      <w:rPr>
        <w:szCs w:val="20"/>
      </w:rPr>
    </w:pPr>
    <w:r>
      <w:rPr>
        <w:szCs w:val="20"/>
      </w:rPr>
      <w:t>Explanatory Statement</w:t>
    </w:r>
  </w:p>
  <w:p w14:paraId="2AEC5CDA" w14:textId="77777777" w:rsidR="006B2A4B" w:rsidRDefault="00211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007A39"/>
    <w:rsid w:val="000151BB"/>
    <w:rsid w:val="00031DD0"/>
    <w:rsid w:val="00033E95"/>
    <w:rsid w:val="00067A24"/>
    <w:rsid w:val="000A4041"/>
    <w:rsid w:val="00124466"/>
    <w:rsid w:val="00131A71"/>
    <w:rsid w:val="00132B0C"/>
    <w:rsid w:val="00141A4B"/>
    <w:rsid w:val="001853FF"/>
    <w:rsid w:val="001863F0"/>
    <w:rsid w:val="001E3C09"/>
    <w:rsid w:val="00211BB6"/>
    <w:rsid w:val="0021341C"/>
    <w:rsid w:val="00230E2C"/>
    <w:rsid w:val="0023779E"/>
    <w:rsid w:val="00240627"/>
    <w:rsid w:val="002B63B7"/>
    <w:rsid w:val="002B641E"/>
    <w:rsid w:val="002D0AF7"/>
    <w:rsid w:val="002E31DC"/>
    <w:rsid w:val="00385A61"/>
    <w:rsid w:val="003A4B24"/>
    <w:rsid w:val="003E6F47"/>
    <w:rsid w:val="003F283A"/>
    <w:rsid w:val="00413234"/>
    <w:rsid w:val="004358F1"/>
    <w:rsid w:val="00452FB5"/>
    <w:rsid w:val="00455D7E"/>
    <w:rsid w:val="00476326"/>
    <w:rsid w:val="004D466C"/>
    <w:rsid w:val="00527968"/>
    <w:rsid w:val="005372A7"/>
    <w:rsid w:val="005A0AA6"/>
    <w:rsid w:val="005A5639"/>
    <w:rsid w:val="006009C0"/>
    <w:rsid w:val="00623E63"/>
    <w:rsid w:val="0063120C"/>
    <w:rsid w:val="00635C78"/>
    <w:rsid w:val="006529DE"/>
    <w:rsid w:val="00671B07"/>
    <w:rsid w:val="00682629"/>
    <w:rsid w:val="00697B51"/>
    <w:rsid w:val="006F27E1"/>
    <w:rsid w:val="006F6AF6"/>
    <w:rsid w:val="007134DD"/>
    <w:rsid w:val="00724A62"/>
    <w:rsid w:val="007716F6"/>
    <w:rsid w:val="00777277"/>
    <w:rsid w:val="007C262A"/>
    <w:rsid w:val="007F0518"/>
    <w:rsid w:val="00877213"/>
    <w:rsid w:val="008D140A"/>
    <w:rsid w:val="009108ED"/>
    <w:rsid w:val="009A75C7"/>
    <w:rsid w:val="00A01942"/>
    <w:rsid w:val="00A64C2E"/>
    <w:rsid w:val="00A75CD2"/>
    <w:rsid w:val="00AF6A65"/>
    <w:rsid w:val="00B3567E"/>
    <w:rsid w:val="00B42342"/>
    <w:rsid w:val="00B56B55"/>
    <w:rsid w:val="00B67D1C"/>
    <w:rsid w:val="00B84E6F"/>
    <w:rsid w:val="00BD1D31"/>
    <w:rsid w:val="00BD30E0"/>
    <w:rsid w:val="00CA1E32"/>
    <w:rsid w:val="00CC2C9C"/>
    <w:rsid w:val="00D04EF5"/>
    <w:rsid w:val="00D82BFD"/>
    <w:rsid w:val="00DC5362"/>
    <w:rsid w:val="00DD4051"/>
    <w:rsid w:val="00DE11F2"/>
    <w:rsid w:val="00DE4B7F"/>
    <w:rsid w:val="00E01579"/>
    <w:rsid w:val="00E12921"/>
    <w:rsid w:val="00EB2FBA"/>
    <w:rsid w:val="00F10A86"/>
    <w:rsid w:val="00F1167D"/>
    <w:rsid w:val="00F12930"/>
    <w:rsid w:val="00F22043"/>
    <w:rsid w:val="00F372D9"/>
    <w:rsid w:val="00FD13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link w:val="SubsectionChar"/>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 w:type="character" w:customStyle="1" w:styleId="SubsectionChar">
    <w:name w:val="Sub section Char"/>
    <w:link w:val="Subsection"/>
    <w:rsid w:val="00BD1D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store.iec.ch/?ref=men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ce.org/trans/main/welcwp29.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 xsi:nil="true"/>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60CE-C90E-4F0A-872E-F747FA3C8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5242C-9E7A-4B47-A853-7E861A5189FB}">
  <ds:schemaRefs>
    <ds:schemaRef ds:uri="http://schemas.microsoft.com/office/2006/metadata/properties"/>
    <ds:schemaRef ds:uri="http://schemas.microsoft.com/office/infopath/2007/PartnerControls"/>
    <ds:schemaRef ds:uri="8B6C1F0B-2A90-46E2-9BA3-AA1A929CCC29"/>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F5B71AD9-2ABD-42A1-B5B6-7CB4EB72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 Standards (Australian Design Rule (ADR) 2/01 - Side Door Latches and Hinges) 2006 Amendment 2 and Application of the United Nations Regulation 11</dc:subject>
  <dc:creator/>
  <cp:lastModifiedBy/>
  <cp:revision>1</cp:revision>
  <cp:lastPrinted>2009-02-16T01:57:00Z</cp:lastPrinted>
  <dcterms:created xsi:type="dcterms:W3CDTF">2018-02-22T00:06:00Z</dcterms:created>
  <dcterms:modified xsi:type="dcterms:W3CDTF">2018-04-09T06:00:00Z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