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F782D" w14:textId="77777777" w:rsidR="00BA4F48" w:rsidRPr="00A27335" w:rsidRDefault="00A81D24" w:rsidP="00BA4F48">
      <w:pPr>
        <w:tabs>
          <w:tab w:val="left" w:pos="900"/>
        </w:tabs>
      </w:pPr>
    </w:p>
    <w:p w14:paraId="233F782E" w14:textId="77777777" w:rsidR="00BA4F48" w:rsidRPr="00A27335" w:rsidRDefault="00A81D24" w:rsidP="00BA4F48">
      <w:pPr>
        <w:tabs>
          <w:tab w:val="left" w:pos="900"/>
        </w:tabs>
        <w:jc w:val="center"/>
      </w:pPr>
    </w:p>
    <w:p w14:paraId="233F782F" w14:textId="77777777" w:rsidR="00BA4F48" w:rsidRPr="00A27335" w:rsidRDefault="00A81D24" w:rsidP="00BA4F48">
      <w:pPr>
        <w:tabs>
          <w:tab w:val="left" w:pos="900"/>
        </w:tabs>
        <w:jc w:val="center"/>
      </w:pPr>
    </w:p>
    <w:p w14:paraId="233F7830" w14:textId="3858E7FC" w:rsidR="00BA4F48" w:rsidRPr="00F1614C" w:rsidRDefault="00E86965"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 xml:space="preserve">Australian Design Rule </w:t>
      </w:r>
      <w:r w:rsidR="00BF5EDA">
        <w:rPr>
          <w:rFonts w:cs="Arial"/>
          <w:spacing w:val="-6"/>
        </w:rPr>
        <w:t>8</w:t>
      </w:r>
      <w:r w:rsidR="005A24FB">
        <w:rPr>
          <w:rFonts w:cs="Arial"/>
          <w:spacing w:val="-6"/>
        </w:rPr>
        <w:t>7</w:t>
      </w:r>
      <w:r w:rsidRPr="00F1614C">
        <w:rPr>
          <w:rFonts w:cs="Arial"/>
          <w:spacing w:val="-6"/>
        </w:rPr>
        <w:t>/00 –</w:t>
      </w:r>
      <w:r w:rsidR="005A24FB">
        <w:rPr>
          <w:rFonts w:cs="Arial"/>
          <w:bCs/>
          <w:spacing w:val="-6"/>
        </w:rPr>
        <w:t>Cornering</w:t>
      </w:r>
      <w:r w:rsidR="00BF5EDA">
        <w:rPr>
          <w:rFonts w:cs="Arial"/>
          <w:bCs/>
          <w:spacing w:val="-6"/>
        </w:rPr>
        <w:t xml:space="preserve"> Lamps</w:t>
      </w:r>
      <w:r w:rsidRPr="00F1614C">
        <w:rPr>
          <w:rFonts w:cs="Arial"/>
          <w:bCs/>
          <w:spacing w:val="-6"/>
        </w:rPr>
        <w:t>) 20</w:t>
      </w:r>
      <w:r w:rsidR="00BF5EDA">
        <w:rPr>
          <w:rFonts w:cs="Arial"/>
          <w:bCs/>
          <w:spacing w:val="-6"/>
        </w:rPr>
        <w:t>1</w:t>
      </w:r>
      <w:r w:rsidRPr="00F1614C">
        <w:rPr>
          <w:rFonts w:cs="Arial"/>
          <w:bCs/>
          <w:spacing w:val="-6"/>
        </w:rPr>
        <w:t>6</w:t>
      </w:r>
      <w:bookmarkEnd w:id="0"/>
    </w:p>
    <w:p w14:paraId="233F7831" w14:textId="77777777" w:rsidR="00BA4F48" w:rsidRPr="00CA7971" w:rsidRDefault="00E86965" w:rsidP="000B6FA4">
      <w:pPr>
        <w:tabs>
          <w:tab w:val="left" w:pos="900"/>
        </w:tabs>
        <w:spacing w:before="720" w:after="2040"/>
        <w:jc w:val="center"/>
      </w:pPr>
      <w:r w:rsidRPr="00CA7971">
        <w:t xml:space="preserve">Made under section 7 of the </w:t>
      </w:r>
      <w:r w:rsidRPr="00BF517E">
        <w:rPr>
          <w:i/>
        </w:rPr>
        <w:t>Motor Vehicle Standards Act 1989</w:t>
      </w:r>
    </w:p>
    <w:p w14:paraId="233F7832" w14:textId="77777777" w:rsidR="00BA4F48" w:rsidRPr="00070368" w:rsidRDefault="00E86965" w:rsidP="00070368">
      <w:pPr>
        <w:pStyle w:val="Title"/>
      </w:pPr>
      <w:bookmarkStart w:id="1" w:name="_Toc415055940"/>
      <w:r w:rsidRPr="00070368">
        <w:t>Explanatory Statement</w:t>
      </w:r>
      <w:bookmarkEnd w:id="1"/>
    </w:p>
    <w:p w14:paraId="233F7833" w14:textId="4D037787" w:rsidR="00B42A81" w:rsidRDefault="00E86965" w:rsidP="00B204BE">
      <w:pPr>
        <w:tabs>
          <w:tab w:val="left" w:pos="900"/>
        </w:tabs>
        <w:spacing w:before="720" w:after="2040"/>
        <w:jc w:val="center"/>
      </w:pPr>
      <w:r w:rsidRPr="00CA7971">
        <w:t xml:space="preserve">Issued by the authority of the </w:t>
      </w:r>
      <w:r>
        <w:t xml:space="preserve">Minister for </w:t>
      </w:r>
      <w:r w:rsidR="00E636B0">
        <w:t>Urban Infrastructure</w:t>
      </w:r>
    </w:p>
    <w:p w14:paraId="233F7834" w14:textId="74A9BA9D" w:rsidR="00BA4F48" w:rsidRPr="00070368" w:rsidRDefault="00A81D24" w:rsidP="00070368">
      <w:pPr>
        <w:pStyle w:val="Title"/>
      </w:pPr>
      <w:r>
        <w:t>November</w:t>
      </w:r>
      <w:bookmarkStart w:id="2" w:name="_GoBack"/>
      <w:bookmarkEnd w:id="2"/>
      <w:r w:rsidR="00257BB7">
        <w:t xml:space="preserve"> 2017</w:t>
      </w:r>
    </w:p>
    <w:p w14:paraId="233F7835" w14:textId="77777777" w:rsidR="00070368" w:rsidRDefault="00A81D24" w:rsidP="000B6FA4">
      <w:pPr>
        <w:tabs>
          <w:tab w:val="left" w:pos="900"/>
        </w:tabs>
        <w:jc w:val="center"/>
        <w:rPr>
          <w:b/>
        </w:rPr>
        <w:sectPr w:rsidR="00070368" w:rsidSect="00444B70">
          <w:headerReference w:type="default"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pPr>
    </w:p>
    <w:p w14:paraId="233F7836" w14:textId="77777777" w:rsidR="00541EF4" w:rsidRDefault="00E86965" w:rsidP="00541EF4">
      <w:pPr>
        <w:pStyle w:val="TOC1"/>
        <w:jc w:val="center"/>
        <w:rPr>
          <w:b/>
        </w:rPr>
      </w:pPr>
      <w:bookmarkStart w:id="3" w:name="_Toc167864611"/>
      <w:bookmarkStart w:id="4" w:name="_Toc390430612"/>
      <w:bookmarkStart w:id="5" w:name="_Toc409446963"/>
      <w:r w:rsidRPr="00BF517E">
        <w:rPr>
          <w:b/>
        </w:rPr>
        <w:lastRenderedPageBreak/>
        <w:t>Contents</w:t>
      </w:r>
    </w:p>
    <w:p w14:paraId="129D0B87" w14:textId="77777777" w:rsidR="00BF517E" w:rsidRPr="00BF517E" w:rsidRDefault="00BF517E" w:rsidP="00BF517E"/>
    <w:p w14:paraId="03065657" w14:textId="49B49276" w:rsidR="00DF47CF" w:rsidRDefault="00E86965">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65150364" w:history="1">
        <w:r w:rsidR="00DF47CF" w:rsidRPr="00E42DF3">
          <w:rPr>
            <w:rStyle w:val="Hyperlink"/>
            <w:noProof/>
          </w:rPr>
          <w:t>1.</w:t>
        </w:r>
        <w:r w:rsidR="00DF47CF">
          <w:rPr>
            <w:rFonts w:asciiTheme="minorHAnsi" w:eastAsiaTheme="minorEastAsia" w:hAnsiTheme="minorHAnsi" w:cstheme="minorBidi"/>
            <w:caps w:val="0"/>
            <w:noProof/>
            <w:sz w:val="22"/>
            <w:szCs w:val="22"/>
          </w:rPr>
          <w:tab/>
        </w:r>
        <w:r w:rsidR="00DF47CF" w:rsidRPr="00E42DF3">
          <w:rPr>
            <w:rStyle w:val="Hyperlink"/>
            <w:noProof/>
          </w:rPr>
          <w:t>Legislative context</w:t>
        </w:r>
        <w:r w:rsidR="00DF47CF">
          <w:rPr>
            <w:noProof/>
            <w:webHidden/>
          </w:rPr>
          <w:tab/>
        </w:r>
        <w:r w:rsidR="00DF47CF">
          <w:rPr>
            <w:noProof/>
            <w:webHidden/>
          </w:rPr>
          <w:fldChar w:fldCharType="begin"/>
        </w:r>
        <w:r w:rsidR="00DF47CF">
          <w:rPr>
            <w:noProof/>
            <w:webHidden/>
          </w:rPr>
          <w:instrText xml:space="preserve"> PAGEREF _Toc465150364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252AEEF2" w14:textId="238BA329" w:rsidR="00DF47CF" w:rsidRDefault="00A81D24">
      <w:pPr>
        <w:pStyle w:val="TOC1"/>
        <w:rPr>
          <w:rFonts w:asciiTheme="minorHAnsi" w:eastAsiaTheme="minorEastAsia" w:hAnsiTheme="minorHAnsi" w:cstheme="minorBidi"/>
          <w:caps w:val="0"/>
          <w:noProof/>
          <w:sz w:val="22"/>
          <w:szCs w:val="22"/>
        </w:rPr>
      </w:pPr>
      <w:hyperlink w:anchor="_Toc465150365" w:history="1">
        <w:r w:rsidR="00DF47CF" w:rsidRPr="00E42DF3">
          <w:rPr>
            <w:rStyle w:val="Hyperlink"/>
            <w:noProof/>
          </w:rPr>
          <w:t>2.</w:t>
        </w:r>
        <w:r w:rsidR="00DF47CF">
          <w:rPr>
            <w:rFonts w:asciiTheme="minorHAnsi" w:eastAsiaTheme="minorEastAsia" w:hAnsiTheme="minorHAnsi" w:cstheme="minorBidi"/>
            <w:caps w:val="0"/>
            <w:noProof/>
            <w:sz w:val="22"/>
            <w:szCs w:val="22"/>
          </w:rPr>
          <w:tab/>
        </w:r>
        <w:r w:rsidR="00DF47CF" w:rsidRPr="00E42DF3">
          <w:rPr>
            <w:rStyle w:val="Hyperlink"/>
            <w:noProof/>
          </w:rPr>
          <w:t>content and effect of ADR 86/00</w:t>
        </w:r>
        <w:r w:rsidR="00DF47CF">
          <w:rPr>
            <w:noProof/>
            <w:webHidden/>
          </w:rPr>
          <w:tab/>
        </w:r>
        <w:r w:rsidR="00DF47CF">
          <w:rPr>
            <w:noProof/>
            <w:webHidden/>
          </w:rPr>
          <w:fldChar w:fldCharType="begin"/>
        </w:r>
        <w:r w:rsidR="00DF47CF">
          <w:rPr>
            <w:noProof/>
            <w:webHidden/>
          </w:rPr>
          <w:instrText xml:space="preserve"> PAGEREF _Toc465150365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7B1D7B40" w14:textId="2B83C8B6" w:rsidR="00DF47CF" w:rsidRDefault="00A81D24">
      <w:pPr>
        <w:pStyle w:val="TOC2"/>
        <w:tabs>
          <w:tab w:val="left" w:pos="851"/>
          <w:tab w:val="right" w:leader="dot" w:pos="8302"/>
        </w:tabs>
        <w:rPr>
          <w:rFonts w:asciiTheme="minorHAnsi" w:eastAsiaTheme="minorEastAsia" w:hAnsiTheme="minorHAnsi" w:cstheme="minorBidi"/>
          <w:noProof/>
          <w:sz w:val="22"/>
          <w:szCs w:val="22"/>
        </w:rPr>
      </w:pPr>
      <w:hyperlink w:anchor="_Toc465150366" w:history="1">
        <w:r w:rsidR="00DF47CF" w:rsidRPr="00E42DF3">
          <w:rPr>
            <w:rStyle w:val="Hyperlink"/>
            <w:noProof/>
          </w:rPr>
          <w:t>2.1.</w:t>
        </w:r>
        <w:r w:rsidR="00DF47CF">
          <w:rPr>
            <w:rFonts w:asciiTheme="minorHAnsi" w:eastAsiaTheme="minorEastAsia" w:hAnsiTheme="minorHAnsi" w:cstheme="minorBidi"/>
            <w:noProof/>
            <w:sz w:val="22"/>
            <w:szCs w:val="22"/>
          </w:rPr>
          <w:tab/>
        </w:r>
        <w:r w:rsidR="00DF47CF" w:rsidRPr="00E42DF3">
          <w:rPr>
            <w:rStyle w:val="Hyperlink"/>
            <w:noProof/>
          </w:rPr>
          <w:t>Overview of the ADR</w:t>
        </w:r>
        <w:r w:rsidR="00DF47CF">
          <w:rPr>
            <w:noProof/>
            <w:webHidden/>
          </w:rPr>
          <w:tab/>
        </w:r>
        <w:r w:rsidR="00DF47CF">
          <w:rPr>
            <w:noProof/>
            <w:webHidden/>
          </w:rPr>
          <w:fldChar w:fldCharType="begin"/>
        </w:r>
        <w:r w:rsidR="00DF47CF">
          <w:rPr>
            <w:noProof/>
            <w:webHidden/>
          </w:rPr>
          <w:instrText xml:space="preserve"> PAGEREF _Toc465150366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350E4614" w14:textId="005692CB" w:rsidR="00DF47CF" w:rsidRDefault="00A81D24">
      <w:pPr>
        <w:pStyle w:val="TOC2"/>
        <w:tabs>
          <w:tab w:val="left" w:pos="851"/>
          <w:tab w:val="right" w:leader="dot" w:pos="8302"/>
        </w:tabs>
        <w:rPr>
          <w:rFonts w:asciiTheme="minorHAnsi" w:eastAsiaTheme="minorEastAsia" w:hAnsiTheme="minorHAnsi" w:cstheme="minorBidi"/>
          <w:noProof/>
          <w:sz w:val="22"/>
          <w:szCs w:val="22"/>
        </w:rPr>
      </w:pPr>
      <w:hyperlink w:anchor="_Toc465150367" w:history="1">
        <w:r w:rsidR="00DF47CF" w:rsidRPr="00E42DF3">
          <w:rPr>
            <w:rStyle w:val="Hyperlink"/>
            <w:noProof/>
          </w:rPr>
          <w:t>2.2.</w:t>
        </w:r>
        <w:r w:rsidR="00DF47CF">
          <w:rPr>
            <w:rFonts w:asciiTheme="minorHAnsi" w:eastAsiaTheme="minorEastAsia" w:hAnsiTheme="minorHAnsi" w:cstheme="minorBidi"/>
            <w:noProof/>
            <w:sz w:val="22"/>
            <w:szCs w:val="22"/>
          </w:rPr>
          <w:tab/>
        </w:r>
        <w:r w:rsidR="00DF47CF" w:rsidRPr="00E42DF3">
          <w:rPr>
            <w:rStyle w:val="Hyperlink"/>
            <w:noProof/>
          </w:rPr>
          <w:t>Effect of the introduction of the ADR</w:t>
        </w:r>
        <w:r w:rsidR="00DF47CF">
          <w:rPr>
            <w:noProof/>
            <w:webHidden/>
          </w:rPr>
          <w:tab/>
        </w:r>
        <w:r w:rsidR="00DF47CF">
          <w:rPr>
            <w:noProof/>
            <w:webHidden/>
          </w:rPr>
          <w:fldChar w:fldCharType="begin"/>
        </w:r>
        <w:r w:rsidR="00DF47CF">
          <w:rPr>
            <w:noProof/>
            <w:webHidden/>
          </w:rPr>
          <w:instrText xml:space="preserve"> PAGEREF _Toc465150367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7FA3429B" w14:textId="54A3D234" w:rsidR="00DF47CF" w:rsidRDefault="00A81D24">
      <w:pPr>
        <w:pStyle w:val="TOC1"/>
        <w:rPr>
          <w:rFonts w:asciiTheme="minorHAnsi" w:eastAsiaTheme="minorEastAsia" w:hAnsiTheme="minorHAnsi" w:cstheme="minorBidi"/>
          <w:caps w:val="0"/>
          <w:noProof/>
          <w:sz w:val="22"/>
          <w:szCs w:val="22"/>
        </w:rPr>
      </w:pPr>
      <w:hyperlink w:anchor="_Toc465150368" w:history="1">
        <w:r w:rsidR="00DF47CF" w:rsidRPr="00E42DF3">
          <w:rPr>
            <w:rStyle w:val="Hyperlink"/>
            <w:noProof/>
          </w:rPr>
          <w:t>3.</w:t>
        </w:r>
        <w:r w:rsidR="00DF47CF">
          <w:rPr>
            <w:rFonts w:asciiTheme="minorHAnsi" w:eastAsiaTheme="minorEastAsia" w:hAnsiTheme="minorHAnsi" w:cstheme="minorBidi"/>
            <w:caps w:val="0"/>
            <w:noProof/>
            <w:sz w:val="22"/>
            <w:szCs w:val="22"/>
          </w:rPr>
          <w:tab/>
        </w:r>
        <w:r w:rsidR="00DF47CF" w:rsidRPr="00E42DF3">
          <w:rPr>
            <w:rStyle w:val="Hyperlink"/>
            <w:noProof/>
          </w:rPr>
          <w:t>best practice regulation</w:t>
        </w:r>
        <w:r w:rsidR="00DF47CF">
          <w:rPr>
            <w:noProof/>
            <w:webHidden/>
          </w:rPr>
          <w:tab/>
        </w:r>
        <w:r w:rsidR="00DF47CF">
          <w:rPr>
            <w:noProof/>
            <w:webHidden/>
          </w:rPr>
          <w:fldChar w:fldCharType="begin"/>
        </w:r>
        <w:r w:rsidR="00DF47CF">
          <w:rPr>
            <w:noProof/>
            <w:webHidden/>
          </w:rPr>
          <w:instrText xml:space="preserve"> PAGEREF _Toc465150368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353F303E" w14:textId="6835D395" w:rsidR="00DF47CF" w:rsidRDefault="00A81D24">
      <w:pPr>
        <w:pStyle w:val="TOC2"/>
        <w:tabs>
          <w:tab w:val="left" w:pos="851"/>
          <w:tab w:val="right" w:leader="dot" w:pos="8302"/>
        </w:tabs>
        <w:rPr>
          <w:rFonts w:asciiTheme="minorHAnsi" w:eastAsiaTheme="minorEastAsia" w:hAnsiTheme="minorHAnsi" w:cstheme="minorBidi"/>
          <w:noProof/>
          <w:sz w:val="22"/>
          <w:szCs w:val="22"/>
        </w:rPr>
      </w:pPr>
      <w:hyperlink w:anchor="_Toc465150369" w:history="1">
        <w:r w:rsidR="00DF47CF" w:rsidRPr="00E42DF3">
          <w:rPr>
            <w:rStyle w:val="Hyperlink"/>
            <w:noProof/>
          </w:rPr>
          <w:t>3.1.</w:t>
        </w:r>
        <w:r w:rsidR="00DF47CF">
          <w:rPr>
            <w:rFonts w:asciiTheme="minorHAnsi" w:eastAsiaTheme="minorEastAsia" w:hAnsiTheme="minorHAnsi" w:cstheme="minorBidi"/>
            <w:noProof/>
            <w:sz w:val="22"/>
            <w:szCs w:val="22"/>
          </w:rPr>
          <w:tab/>
        </w:r>
        <w:r w:rsidR="00DF47CF" w:rsidRPr="00E42DF3">
          <w:rPr>
            <w:rStyle w:val="Hyperlink"/>
            <w:noProof/>
          </w:rPr>
          <w:t>Business Cost Calculator</w:t>
        </w:r>
        <w:r w:rsidR="00DF47CF">
          <w:rPr>
            <w:noProof/>
            <w:webHidden/>
          </w:rPr>
          <w:tab/>
        </w:r>
        <w:r w:rsidR="00DF47CF">
          <w:rPr>
            <w:noProof/>
            <w:webHidden/>
          </w:rPr>
          <w:fldChar w:fldCharType="begin"/>
        </w:r>
        <w:r w:rsidR="00DF47CF">
          <w:rPr>
            <w:noProof/>
            <w:webHidden/>
          </w:rPr>
          <w:instrText xml:space="preserve"> PAGEREF _Toc465150369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542A7EC8" w14:textId="55200ACB" w:rsidR="00DF47CF" w:rsidRDefault="00A81D24">
      <w:pPr>
        <w:pStyle w:val="TOC2"/>
        <w:tabs>
          <w:tab w:val="left" w:pos="851"/>
          <w:tab w:val="right" w:leader="dot" w:pos="8302"/>
        </w:tabs>
        <w:rPr>
          <w:rFonts w:asciiTheme="minorHAnsi" w:eastAsiaTheme="minorEastAsia" w:hAnsiTheme="minorHAnsi" w:cstheme="minorBidi"/>
          <w:noProof/>
          <w:sz w:val="22"/>
          <w:szCs w:val="22"/>
        </w:rPr>
      </w:pPr>
      <w:hyperlink w:anchor="_Toc465150370" w:history="1">
        <w:r w:rsidR="00DF47CF" w:rsidRPr="00E42DF3">
          <w:rPr>
            <w:rStyle w:val="Hyperlink"/>
            <w:noProof/>
          </w:rPr>
          <w:t>3.2.</w:t>
        </w:r>
        <w:r w:rsidR="00DF47CF">
          <w:rPr>
            <w:rFonts w:asciiTheme="minorHAnsi" w:eastAsiaTheme="minorEastAsia" w:hAnsiTheme="minorHAnsi" w:cstheme="minorBidi"/>
            <w:noProof/>
            <w:sz w:val="22"/>
            <w:szCs w:val="22"/>
          </w:rPr>
          <w:tab/>
        </w:r>
        <w:r w:rsidR="00DF47CF" w:rsidRPr="00E42DF3">
          <w:rPr>
            <w:rStyle w:val="Hyperlink"/>
            <w:noProof/>
          </w:rPr>
          <w:t>General Consultation Arrangements</w:t>
        </w:r>
        <w:r w:rsidR="00DF47CF">
          <w:rPr>
            <w:noProof/>
            <w:webHidden/>
          </w:rPr>
          <w:tab/>
        </w:r>
        <w:r w:rsidR="00DF47CF">
          <w:rPr>
            <w:noProof/>
            <w:webHidden/>
          </w:rPr>
          <w:fldChar w:fldCharType="begin"/>
        </w:r>
        <w:r w:rsidR="00DF47CF">
          <w:rPr>
            <w:noProof/>
            <w:webHidden/>
          </w:rPr>
          <w:instrText xml:space="preserve"> PAGEREF _Toc465150370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7D4EAAB3" w14:textId="29B123DA" w:rsidR="00DF47CF" w:rsidRDefault="00A81D24">
      <w:pPr>
        <w:pStyle w:val="TOC2"/>
        <w:tabs>
          <w:tab w:val="left" w:pos="851"/>
          <w:tab w:val="right" w:leader="dot" w:pos="8302"/>
        </w:tabs>
        <w:rPr>
          <w:rFonts w:asciiTheme="minorHAnsi" w:eastAsiaTheme="minorEastAsia" w:hAnsiTheme="minorHAnsi" w:cstheme="minorBidi"/>
          <w:noProof/>
          <w:sz w:val="22"/>
          <w:szCs w:val="22"/>
        </w:rPr>
      </w:pPr>
      <w:hyperlink w:anchor="_Toc465150371" w:history="1">
        <w:r w:rsidR="00DF47CF" w:rsidRPr="00E42DF3">
          <w:rPr>
            <w:rStyle w:val="Hyperlink"/>
            <w:noProof/>
          </w:rPr>
          <w:t>3.3.</w:t>
        </w:r>
        <w:r w:rsidR="00DF47CF">
          <w:rPr>
            <w:rFonts w:asciiTheme="minorHAnsi" w:eastAsiaTheme="minorEastAsia" w:hAnsiTheme="minorHAnsi" w:cstheme="minorBidi"/>
            <w:noProof/>
            <w:sz w:val="22"/>
            <w:szCs w:val="22"/>
          </w:rPr>
          <w:tab/>
        </w:r>
        <w:r w:rsidR="00DF47CF" w:rsidRPr="00E42DF3">
          <w:rPr>
            <w:rStyle w:val="Hyperlink"/>
            <w:noProof/>
          </w:rPr>
          <w:t>Specific Consultation Arrangements for this Vehicle Standard</w:t>
        </w:r>
        <w:r w:rsidR="00DF47CF">
          <w:rPr>
            <w:noProof/>
            <w:webHidden/>
          </w:rPr>
          <w:tab/>
        </w:r>
        <w:r w:rsidR="00DF47CF">
          <w:rPr>
            <w:noProof/>
            <w:webHidden/>
          </w:rPr>
          <w:fldChar w:fldCharType="begin"/>
        </w:r>
        <w:r w:rsidR="00DF47CF">
          <w:rPr>
            <w:noProof/>
            <w:webHidden/>
          </w:rPr>
          <w:instrText xml:space="preserve"> PAGEREF _Toc465150371 \h </w:instrText>
        </w:r>
        <w:r w:rsidR="00DF47CF">
          <w:rPr>
            <w:noProof/>
            <w:webHidden/>
          </w:rPr>
        </w:r>
        <w:r w:rsidR="00DF47CF">
          <w:rPr>
            <w:noProof/>
            <w:webHidden/>
          </w:rPr>
          <w:fldChar w:fldCharType="separate"/>
        </w:r>
        <w:r w:rsidR="00DF47CF">
          <w:rPr>
            <w:noProof/>
            <w:webHidden/>
          </w:rPr>
          <w:t>4</w:t>
        </w:r>
        <w:r w:rsidR="00DF47CF">
          <w:rPr>
            <w:noProof/>
            <w:webHidden/>
          </w:rPr>
          <w:fldChar w:fldCharType="end"/>
        </w:r>
      </w:hyperlink>
    </w:p>
    <w:p w14:paraId="4DF79262" w14:textId="61BA75AC" w:rsidR="00DF47CF" w:rsidRDefault="00A81D24">
      <w:pPr>
        <w:pStyle w:val="TOC2"/>
        <w:tabs>
          <w:tab w:val="left" w:pos="851"/>
          <w:tab w:val="right" w:leader="dot" w:pos="8302"/>
        </w:tabs>
        <w:rPr>
          <w:rFonts w:asciiTheme="minorHAnsi" w:eastAsiaTheme="minorEastAsia" w:hAnsiTheme="minorHAnsi" w:cstheme="minorBidi"/>
          <w:noProof/>
          <w:sz w:val="22"/>
          <w:szCs w:val="22"/>
        </w:rPr>
      </w:pPr>
      <w:hyperlink w:anchor="_Toc465150372" w:history="1">
        <w:r w:rsidR="00DF47CF" w:rsidRPr="00E42DF3">
          <w:rPr>
            <w:rStyle w:val="Hyperlink"/>
            <w:noProof/>
          </w:rPr>
          <w:t>3.4.</w:t>
        </w:r>
        <w:r w:rsidR="00DF47CF">
          <w:rPr>
            <w:rFonts w:asciiTheme="minorHAnsi" w:eastAsiaTheme="minorEastAsia" w:hAnsiTheme="minorHAnsi" w:cstheme="minorBidi"/>
            <w:noProof/>
            <w:sz w:val="22"/>
            <w:szCs w:val="22"/>
          </w:rPr>
          <w:tab/>
        </w:r>
        <w:r w:rsidR="00DF47CF" w:rsidRPr="00E42DF3">
          <w:rPr>
            <w:rStyle w:val="Hyperlink"/>
            <w:noProof/>
          </w:rPr>
          <w:t>Regulation Impact Statement</w:t>
        </w:r>
        <w:r w:rsidR="00DF47CF">
          <w:rPr>
            <w:noProof/>
            <w:webHidden/>
          </w:rPr>
          <w:tab/>
        </w:r>
        <w:r w:rsidR="00DF47CF">
          <w:rPr>
            <w:noProof/>
            <w:webHidden/>
          </w:rPr>
          <w:fldChar w:fldCharType="begin"/>
        </w:r>
        <w:r w:rsidR="00DF47CF">
          <w:rPr>
            <w:noProof/>
            <w:webHidden/>
          </w:rPr>
          <w:instrText xml:space="preserve"> PAGEREF _Toc465150372 \h </w:instrText>
        </w:r>
        <w:r w:rsidR="00DF47CF">
          <w:rPr>
            <w:noProof/>
            <w:webHidden/>
          </w:rPr>
        </w:r>
        <w:r w:rsidR="00DF47CF">
          <w:rPr>
            <w:noProof/>
            <w:webHidden/>
          </w:rPr>
          <w:fldChar w:fldCharType="separate"/>
        </w:r>
        <w:r w:rsidR="00DF47CF">
          <w:rPr>
            <w:noProof/>
            <w:webHidden/>
          </w:rPr>
          <w:t>5</w:t>
        </w:r>
        <w:r w:rsidR="00DF47CF">
          <w:rPr>
            <w:noProof/>
            <w:webHidden/>
          </w:rPr>
          <w:fldChar w:fldCharType="end"/>
        </w:r>
      </w:hyperlink>
    </w:p>
    <w:p w14:paraId="2DB78F19" w14:textId="786076CA" w:rsidR="00DF47CF" w:rsidRDefault="00A81D24">
      <w:pPr>
        <w:pStyle w:val="TOC1"/>
        <w:rPr>
          <w:rFonts w:asciiTheme="minorHAnsi" w:eastAsiaTheme="minorEastAsia" w:hAnsiTheme="minorHAnsi" w:cstheme="minorBidi"/>
          <w:caps w:val="0"/>
          <w:noProof/>
          <w:sz w:val="22"/>
          <w:szCs w:val="22"/>
        </w:rPr>
      </w:pPr>
      <w:hyperlink w:anchor="_Toc465150373" w:history="1">
        <w:r w:rsidR="00DF47CF" w:rsidRPr="00E42DF3">
          <w:rPr>
            <w:rStyle w:val="Hyperlink"/>
            <w:noProof/>
          </w:rPr>
          <w:t>4.</w:t>
        </w:r>
        <w:r w:rsidR="00DF47CF">
          <w:rPr>
            <w:rFonts w:asciiTheme="minorHAnsi" w:eastAsiaTheme="minorEastAsia" w:hAnsiTheme="minorHAnsi" w:cstheme="minorBidi"/>
            <w:caps w:val="0"/>
            <w:noProof/>
            <w:sz w:val="22"/>
            <w:szCs w:val="22"/>
          </w:rPr>
          <w:tab/>
        </w:r>
        <w:r w:rsidR="00DF47CF" w:rsidRPr="00E42DF3">
          <w:rPr>
            <w:rStyle w:val="Hyperlink"/>
            <w:noProof/>
          </w:rPr>
          <w:t>STATEMENT OF COMPATIBILITY WITH HUMAN RIGHTS</w:t>
        </w:r>
        <w:r w:rsidR="00DF47CF">
          <w:rPr>
            <w:noProof/>
            <w:webHidden/>
          </w:rPr>
          <w:tab/>
        </w:r>
        <w:r w:rsidR="00DF47CF">
          <w:rPr>
            <w:noProof/>
            <w:webHidden/>
          </w:rPr>
          <w:fldChar w:fldCharType="begin"/>
        </w:r>
        <w:r w:rsidR="00DF47CF">
          <w:rPr>
            <w:noProof/>
            <w:webHidden/>
          </w:rPr>
          <w:instrText xml:space="preserve"> PAGEREF _Toc465150373 \h </w:instrText>
        </w:r>
        <w:r w:rsidR="00DF47CF">
          <w:rPr>
            <w:noProof/>
            <w:webHidden/>
          </w:rPr>
        </w:r>
        <w:r w:rsidR="00DF47CF">
          <w:rPr>
            <w:noProof/>
            <w:webHidden/>
          </w:rPr>
          <w:fldChar w:fldCharType="separate"/>
        </w:r>
        <w:r w:rsidR="00DF47CF">
          <w:rPr>
            <w:noProof/>
            <w:webHidden/>
          </w:rPr>
          <w:t>5</w:t>
        </w:r>
        <w:r w:rsidR="00DF47CF">
          <w:rPr>
            <w:noProof/>
            <w:webHidden/>
          </w:rPr>
          <w:fldChar w:fldCharType="end"/>
        </w:r>
      </w:hyperlink>
    </w:p>
    <w:p w14:paraId="75F96F38" w14:textId="7928DFEB" w:rsidR="00DF47CF" w:rsidRDefault="00A81D24">
      <w:pPr>
        <w:pStyle w:val="TOC2"/>
        <w:tabs>
          <w:tab w:val="left" w:pos="851"/>
          <w:tab w:val="right" w:leader="dot" w:pos="8302"/>
        </w:tabs>
        <w:rPr>
          <w:rFonts w:asciiTheme="minorHAnsi" w:eastAsiaTheme="minorEastAsia" w:hAnsiTheme="minorHAnsi" w:cstheme="minorBidi"/>
          <w:noProof/>
          <w:sz w:val="22"/>
          <w:szCs w:val="22"/>
        </w:rPr>
      </w:pPr>
      <w:hyperlink w:anchor="_Toc465150374" w:history="1">
        <w:r w:rsidR="00DF47CF" w:rsidRPr="00E42DF3">
          <w:rPr>
            <w:rStyle w:val="Hyperlink"/>
            <w:noProof/>
          </w:rPr>
          <w:t>4.1.</w:t>
        </w:r>
        <w:r w:rsidR="00DF47CF">
          <w:rPr>
            <w:rFonts w:asciiTheme="minorHAnsi" w:eastAsiaTheme="minorEastAsia" w:hAnsiTheme="minorHAnsi" w:cstheme="minorBidi"/>
            <w:noProof/>
            <w:sz w:val="22"/>
            <w:szCs w:val="22"/>
          </w:rPr>
          <w:tab/>
        </w:r>
        <w:r w:rsidR="00DF47CF" w:rsidRPr="00E42DF3">
          <w:rPr>
            <w:rStyle w:val="Hyperlink"/>
            <w:noProof/>
          </w:rPr>
          <w:t>Overview of the Legislative Instrument</w:t>
        </w:r>
        <w:r w:rsidR="00DF47CF">
          <w:rPr>
            <w:noProof/>
            <w:webHidden/>
          </w:rPr>
          <w:tab/>
        </w:r>
        <w:r w:rsidR="00DF47CF">
          <w:rPr>
            <w:noProof/>
            <w:webHidden/>
          </w:rPr>
          <w:fldChar w:fldCharType="begin"/>
        </w:r>
        <w:r w:rsidR="00DF47CF">
          <w:rPr>
            <w:noProof/>
            <w:webHidden/>
          </w:rPr>
          <w:instrText xml:space="preserve"> PAGEREF _Toc465150374 \h </w:instrText>
        </w:r>
        <w:r w:rsidR="00DF47CF">
          <w:rPr>
            <w:noProof/>
            <w:webHidden/>
          </w:rPr>
        </w:r>
        <w:r w:rsidR="00DF47CF">
          <w:rPr>
            <w:noProof/>
            <w:webHidden/>
          </w:rPr>
          <w:fldChar w:fldCharType="separate"/>
        </w:r>
        <w:r w:rsidR="00DF47CF">
          <w:rPr>
            <w:noProof/>
            <w:webHidden/>
          </w:rPr>
          <w:t>5</w:t>
        </w:r>
        <w:r w:rsidR="00DF47CF">
          <w:rPr>
            <w:noProof/>
            <w:webHidden/>
          </w:rPr>
          <w:fldChar w:fldCharType="end"/>
        </w:r>
      </w:hyperlink>
    </w:p>
    <w:p w14:paraId="7D2CBFEF" w14:textId="34182342" w:rsidR="00DF47CF" w:rsidRDefault="00A81D24">
      <w:pPr>
        <w:pStyle w:val="TOC2"/>
        <w:tabs>
          <w:tab w:val="left" w:pos="851"/>
          <w:tab w:val="right" w:leader="dot" w:pos="8302"/>
        </w:tabs>
        <w:rPr>
          <w:rFonts w:asciiTheme="minorHAnsi" w:eastAsiaTheme="minorEastAsia" w:hAnsiTheme="minorHAnsi" w:cstheme="minorBidi"/>
          <w:noProof/>
          <w:sz w:val="22"/>
          <w:szCs w:val="22"/>
        </w:rPr>
      </w:pPr>
      <w:hyperlink w:anchor="_Toc465150375" w:history="1">
        <w:r w:rsidR="00DF47CF" w:rsidRPr="00E42DF3">
          <w:rPr>
            <w:rStyle w:val="Hyperlink"/>
            <w:noProof/>
          </w:rPr>
          <w:t>4.2.</w:t>
        </w:r>
        <w:r w:rsidR="00DF47CF">
          <w:rPr>
            <w:rFonts w:asciiTheme="minorHAnsi" w:eastAsiaTheme="minorEastAsia" w:hAnsiTheme="minorHAnsi" w:cstheme="minorBidi"/>
            <w:noProof/>
            <w:sz w:val="22"/>
            <w:szCs w:val="22"/>
          </w:rPr>
          <w:tab/>
        </w:r>
        <w:r w:rsidR="00DF47CF" w:rsidRPr="00E42DF3">
          <w:rPr>
            <w:rStyle w:val="Hyperlink"/>
            <w:noProof/>
          </w:rPr>
          <w:t>Human Rights Implications</w:t>
        </w:r>
        <w:r w:rsidR="00DF47CF">
          <w:rPr>
            <w:noProof/>
            <w:webHidden/>
          </w:rPr>
          <w:tab/>
        </w:r>
        <w:r w:rsidR="00DF47CF">
          <w:rPr>
            <w:noProof/>
            <w:webHidden/>
          </w:rPr>
          <w:fldChar w:fldCharType="begin"/>
        </w:r>
        <w:r w:rsidR="00DF47CF">
          <w:rPr>
            <w:noProof/>
            <w:webHidden/>
          </w:rPr>
          <w:instrText xml:space="preserve"> PAGEREF _Toc465150375 \h </w:instrText>
        </w:r>
        <w:r w:rsidR="00DF47CF">
          <w:rPr>
            <w:noProof/>
            <w:webHidden/>
          </w:rPr>
        </w:r>
        <w:r w:rsidR="00DF47CF">
          <w:rPr>
            <w:noProof/>
            <w:webHidden/>
          </w:rPr>
          <w:fldChar w:fldCharType="separate"/>
        </w:r>
        <w:r w:rsidR="00DF47CF">
          <w:rPr>
            <w:noProof/>
            <w:webHidden/>
          </w:rPr>
          <w:t>5</w:t>
        </w:r>
        <w:r w:rsidR="00DF47CF">
          <w:rPr>
            <w:noProof/>
            <w:webHidden/>
          </w:rPr>
          <w:fldChar w:fldCharType="end"/>
        </w:r>
      </w:hyperlink>
    </w:p>
    <w:p w14:paraId="38CC391F" w14:textId="74386001" w:rsidR="00DF47CF" w:rsidRDefault="00A81D24">
      <w:pPr>
        <w:pStyle w:val="TOC2"/>
        <w:tabs>
          <w:tab w:val="left" w:pos="851"/>
          <w:tab w:val="right" w:leader="dot" w:pos="8302"/>
        </w:tabs>
        <w:rPr>
          <w:rFonts w:asciiTheme="minorHAnsi" w:eastAsiaTheme="minorEastAsia" w:hAnsiTheme="minorHAnsi" w:cstheme="minorBidi"/>
          <w:noProof/>
          <w:sz w:val="22"/>
          <w:szCs w:val="22"/>
        </w:rPr>
      </w:pPr>
      <w:hyperlink w:anchor="_Toc465150376" w:history="1">
        <w:r w:rsidR="00DF47CF" w:rsidRPr="00E42DF3">
          <w:rPr>
            <w:rStyle w:val="Hyperlink"/>
            <w:noProof/>
          </w:rPr>
          <w:t>4.3.</w:t>
        </w:r>
        <w:r w:rsidR="00DF47CF">
          <w:rPr>
            <w:rFonts w:asciiTheme="minorHAnsi" w:eastAsiaTheme="minorEastAsia" w:hAnsiTheme="minorHAnsi" w:cstheme="minorBidi"/>
            <w:noProof/>
            <w:sz w:val="22"/>
            <w:szCs w:val="22"/>
          </w:rPr>
          <w:tab/>
        </w:r>
        <w:r w:rsidR="00DF47CF" w:rsidRPr="00E42DF3">
          <w:rPr>
            <w:rStyle w:val="Hyperlink"/>
            <w:noProof/>
          </w:rPr>
          <w:t>Conclusion</w:t>
        </w:r>
        <w:r w:rsidR="00DF47CF">
          <w:rPr>
            <w:noProof/>
            <w:webHidden/>
          </w:rPr>
          <w:tab/>
        </w:r>
        <w:r w:rsidR="00DF47CF">
          <w:rPr>
            <w:noProof/>
            <w:webHidden/>
          </w:rPr>
          <w:fldChar w:fldCharType="begin"/>
        </w:r>
        <w:r w:rsidR="00DF47CF">
          <w:rPr>
            <w:noProof/>
            <w:webHidden/>
          </w:rPr>
          <w:instrText xml:space="preserve"> PAGEREF _Toc465150376 \h </w:instrText>
        </w:r>
        <w:r w:rsidR="00DF47CF">
          <w:rPr>
            <w:noProof/>
            <w:webHidden/>
          </w:rPr>
        </w:r>
        <w:r w:rsidR="00DF47CF">
          <w:rPr>
            <w:noProof/>
            <w:webHidden/>
          </w:rPr>
          <w:fldChar w:fldCharType="separate"/>
        </w:r>
        <w:r w:rsidR="00DF47CF">
          <w:rPr>
            <w:noProof/>
            <w:webHidden/>
          </w:rPr>
          <w:t>5</w:t>
        </w:r>
        <w:r w:rsidR="00DF47CF">
          <w:rPr>
            <w:noProof/>
            <w:webHidden/>
          </w:rPr>
          <w:fldChar w:fldCharType="end"/>
        </w:r>
      </w:hyperlink>
    </w:p>
    <w:p w14:paraId="233F7844" w14:textId="332DE711" w:rsidR="00560227" w:rsidRDefault="00E86965" w:rsidP="00070368">
      <w:r>
        <w:fldChar w:fldCharType="end"/>
      </w:r>
    </w:p>
    <w:p w14:paraId="233F7845" w14:textId="77777777" w:rsidR="00070368" w:rsidRDefault="00E86965">
      <w:r>
        <w:br w:type="page"/>
      </w:r>
    </w:p>
    <w:p w14:paraId="233F7846" w14:textId="77777777" w:rsidR="00BA4F48" w:rsidRPr="00070368" w:rsidRDefault="00E86965" w:rsidP="00070368">
      <w:pPr>
        <w:pStyle w:val="Heading1"/>
      </w:pPr>
      <w:bookmarkStart w:id="6" w:name="_Toc256000000"/>
      <w:bookmarkStart w:id="7" w:name="_Toc433288572"/>
      <w:bookmarkStart w:id="8" w:name="_Toc465150364"/>
      <w:r w:rsidRPr="00070368">
        <w:lastRenderedPageBreak/>
        <w:t>Legislative context</w:t>
      </w:r>
      <w:bookmarkEnd w:id="6"/>
      <w:bookmarkEnd w:id="3"/>
      <w:bookmarkEnd w:id="4"/>
      <w:bookmarkEnd w:id="5"/>
      <w:bookmarkEnd w:id="7"/>
      <w:bookmarkEnd w:id="8"/>
    </w:p>
    <w:p w14:paraId="233F7847" w14:textId="1139393D" w:rsidR="003F01D5" w:rsidRPr="00942B88" w:rsidRDefault="00E86965" w:rsidP="00942B88">
      <w:pPr>
        <w:rPr>
          <w:rFonts w:cs="Arial"/>
        </w:rPr>
      </w:pPr>
      <w:r w:rsidRPr="00BF517E">
        <w:rPr>
          <w:rFonts w:cs="Arial"/>
        </w:rPr>
        <w:t xml:space="preserve">Vehicle Standard (Australian Design Rule </w:t>
      </w:r>
      <w:r w:rsidR="00716BCB">
        <w:rPr>
          <w:rFonts w:cs="Arial"/>
        </w:rPr>
        <w:t>8</w:t>
      </w:r>
      <w:r w:rsidR="005A24FB">
        <w:rPr>
          <w:rFonts w:cs="Arial"/>
        </w:rPr>
        <w:t>7</w:t>
      </w:r>
      <w:r w:rsidRPr="00BF517E">
        <w:rPr>
          <w:rFonts w:cs="Arial"/>
        </w:rPr>
        <w:t xml:space="preserve">/00 – </w:t>
      </w:r>
      <w:r w:rsidR="005A24FB">
        <w:rPr>
          <w:rFonts w:cs="Arial"/>
        </w:rPr>
        <w:t>Cornering</w:t>
      </w:r>
      <w:r w:rsidR="00716BCB">
        <w:rPr>
          <w:rFonts w:cs="Arial"/>
        </w:rPr>
        <w:t xml:space="preserve"> Lamps</w:t>
      </w:r>
      <w:r w:rsidRPr="00BF517E">
        <w:rPr>
          <w:rFonts w:cs="Arial"/>
        </w:rPr>
        <w:t>) 20</w:t>
      </w:r>
      <w:r w:rsidR="00716BCB">
        <w:rPr>
          <w:rFonts w:cs="Arial"/>
        </w:rPr>
        <w:t>1</w:t>
      </w:r>
      <w:r w:rsidRPr="00BF517E">
        <w:rPr>
          <w:rFonts w:cs="Arial"/>
        </w:rPr>
        <w:t>6</w:t>
      </w:r>
      <w:r w:rsidRPr="00B97E32">
        <w:rPr>
          <w:rFonts w:cs="Arial"/>
        </w:rPr>
        <w:t xml:space="preserve"> is</w:t>
      </w:r>
      <w:r w:rsidRPr="00CA7971">
        <w:rPr>
          <w:rFonts w:cs="Arial"/>
        </w:rPr>
        <w:t xml:space="preserve"> made under the </w:t>
      </w:r>
      <w:r w:rsidRPr="00CA7971">
        <w:rPr>
          <w:rFonts w:cs="Arial"/>
          <w:i/>
        </w:rPr>
        <w:t>Motor Vehicle Standards Act 1989</w:t>
      </w:r>
      <w:r w:rsidRPr="00CA7971">
        <w:rPr>
          <w:rFonts w:cs="Arial"/>
        </w:rPr>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Pr>
          <w:rFonts w:cs="Arial"/>
        </w:rPr>
        <w:t>.</w:t>
      </w:r>
    </w:p>
    <w:p w14:paraId="233F7849" w14:textId="7212F9D8" w:rsidR="00EE2C80" w:rsidRPr="00CA7971" w:rsidRDefault="00E86965" w:rsidP="00716BCB">
      <w:pPr>
        <w:pStyle w:val="StyledotArialLeft0cmFirstline0cmAfter12pt"/>
        <w:spacing w:before="120"/>
      </w:pPr>
      <w:r w:rsidRPr="00CA7971">
        <w:t>The making of the vehicle standards necessary for the Act's effective operation is provided for in section 7 which empowers the Minister to "determine vehicle standards for road vehicles or vehicle components".</w:t>
      </w:r>
    </w:p>
    <w:p w14:paraId="233F784A" w14:textId="524849C7" w:rsidR="00BA4F48" w:rsidRPr="00070368" w:rsidRDefault="00E86965" w:rsidP="00070368">
      <w:pPr>
        <w:pStyle w:val="Heading1"/>
      </w:pPr>
      <w:bookmarkStart w:id="9" w:name="_Toc167864612"/>
      <w:bookmarkStart w:id="10" w:name="_Toc390430613"/>
      <w:bookmarkStart w:id="11" w:name="_Toc409446964"/>
      <w:bookmarkStart w:id="12" w:name="_Toc256000001"/>
      <w:bookmarkStart w:id="13" w:name="_Toc433288573"/>
      <w:bookmarkStart w:id="14" w:name="_Toc465150365"/>
      <w:r w:rsidRPr="00942B88">
        <w:t xml:space="preserve">content and effect of </w:t>
      </w:r>
      <w:bookmarkStart w:id="15" w:name="_Toc167864613"/>
      <w:bookmarkStart w:id="16" w:name="_Toc390430614"/>
      <w:bookmarkStart w:id="17" w:name="_Toc409446965"/>
      <w:bookmarkEnd w:id="9"/>
      <w:bookmarkEnd w:id="10"/>
      <w:bookmarkEnd w:id="11"/>
      <w:r w:rsidR="00747017">
        <w:t>ADR</w:t>
      </w:r>
      <w:r w:rsidR="00716BCB">
        <w:t xml:space="preserve"> 8</w:t>
      </w:r>
      <w:r w:rsidR="005A24FB">
        <w:t>7</w:t>
      </w:r>
      <w:r w:rsidRPr="00B17DF2">
        <w:t>/00</w:t>
      </w:r>
      <w:bookmarkEnd w:id="12"/>
      <w:bookmarkEnd w:id="13"/>
      <w:bookmarkEnd w:id="15"/>
      <w:bookmarkEnd w:id="16"/>
      <w:bookmarkEnd w:id="17"/>
      <w:bookmarkEnd w:id="14"/>
    </w:p>
    <w:p w14:paraId="233F784B" w14:textId="77777777" w:rsidR="006776F9" w:rsidRDefault="00E86965" w:rsidP="00B204BE">
      <w:pPr>
        <w:pStyle w:val="Heading2"/>
      </w:pPr>
      <w:bookmarkStart w:id="18" w:name="_Toc256000002"/>
      <w:bookmarkStart w:id="19" w:name="_Toc433288574"/>
      <w:bookmarkStart w:id="20" w:name="_Toc465150366"/>
      <w:r>
        <w:t>Overview of the ADR</w:t>
      </w:r>
      <w:bookmarkEnd w:id="18"/>
      <w:bookmarkEnd w:id="19"/>
      <w:bookmarkEnd w:id="20"/>
    </w:p>
    <w:p w14:paraId="233F784C" w14:textId="6136FD56" w:rsidR="008F0437" w:rsidRDefault="00E86965" w:rsidP="00B204BE">
      <w:r w:rsidRPr="008F0437">
        <w:t xml:space="preserve">The function of Australian Design Rule (ADR) </w:t>
      </w:r>
      <w:r w:rsidR="00716BCB">
        <w:t>8</w:t>
      </w:r>
      <w:r w:rsidR="005A24FB">
        <w:t>7</w:t>
      </w:r>
      <w:r w:rsidR="00716BCB">
        <w:t>/</w:t>
      </w:r>
      <w:r w:rsidRPr="008F0437">
        <w:t xml:space="preserve">00 is to specify requirements for </w:t>
      </w:r>
      <w:r w:rsidR="005A24FB">
        <w:t>cornering</w:t>
      </w:r>
      <w:r w:rsidR="00107419">
        <w:t xml:space="preserve"> lamps, </w:t>
      </w:r>
      <w:r w:rsidR="00B1031B" w:rsidRPr="00B1031B">
        <w:t>which are used to provide supplementary illumination of that part of the road which is located near the forward corner of the vehicle at the side towards which the vehicle is going to turn</w:t>
      </w:r>
      <w:r w:rsidRPr="00107419">
        <w:t>.</w:t>
      </w:r>
      <w:r w:rsidR="00174634">
        <w:t xml:space="preserve">  This ADR incorporates the technical requirements of </w:t>
      </w:r>
      <w:r w:rsidR="00C554E3">
        <w:t xml:space="preserve">the current version of </w:t>
      </w:r>
      <w:r w:rsidR="00C554E3" w:rsidRPr="002E579B">
        <w:t xml:space="preserve">United Nations (UN) Regulation No. </w:t>
      </w:r>
      <w:r w:rsidR="005A24FB" w:rsidRPr="002E579B">
        <w:t>119</w:t>
      </w:r>
      <w:r w:rsidR="00C554E3" w:rsidRPr="002E579B">
        <w:t xml:space="preserve"> - Uniform provisions concerning the approval of </w:t>
      </w:r>
      <w:r w:rsidR="002E579B" w:rsidRPr="002E579B">
        <w:t>parking</w:t>
      </w:r>
      <w:r w:rsidR="00C554E3" w:rsidRPr="002E579B">
        <w:t xml:space="preserve"> lamps for power-driven vehicles i</w:t>
      </w:r>
      <w:r w:rsidR="002E579B" w:rsidRPr="002E579B">
        <w:t>ncorporating the 01 series of amendments</w:t>
      </w:r>
      <w:r w:rsidR="00C554E3" w:rsidRPr="002E579B">
        <w:t>.</w:t>
      </w:r>
      <w:r w:rsidR="00C554E3">
        <w:t xml:space="preserve">  </w:t>
      </w:r>
    </w:p>
    <w:p w14:paraId="233F784D" w14:textId="44008E89" w:rsidR="003F01D5" w:rsidRPr="00107419" w:rsidRDefault="00E86965" w:rsidP="00B204BE">
      <w:pPr>
        <w:pStyle w:val="Heading2"/>
      </w:pPr>
      <w:bookmarkStart w:id="21" w:name="_Toc417639703"/>
      <w:bookmarkStart w:id="22" w:name="_Toc167864614"/>
      <w:bookmarkStart w:id="23" w:name="_Toc390430615"/>
      <w:bookmarkStart w:id="24" w:name="_Toc256000003"/>
      <w:bookmarkStart w:id="25" w:name="_Toc409446966"/>
      <w:bookmarkStart w:id="26" w:name="_Toc433288575"/>
      <w:bookmarkStart w:id="27" w:name="_Toc465150367"/>
      <w:bookmarkEnd w:id="21"/>
      <w:r w:rsidRPr="00107419">
        <w:t>Effect of the</w:t>
      </w:r>
      <w:r w:rsidR="00107419" w:rsidRPr="00107419">
        <w:t xml:space="preserve"> introduction of the</w:t>
      </w:r>
      <w:r w:rsidRPr="00107419">
        <w:t xml:space="preserve"> ADR</w:t>
      </w:r>
      <w:bookmarkEnd w:id="22"/>
      <w:bookmarkEnd w:id="23"/>
      <w:bookmarkEnd w:id="24"/>
      <w:bookmarkEnd w:id="25"/>
      <w:bookmarkEnd w:id="26"/>
      <w:bookmarkEnd w:id="27"/>
    </w:p>
    <w:p w14:paraId="233F784F" w14:textId="74822536" w:rsidR="00B83360" w:rsidRDefault="002E579B" w:rsidP="002E579B">
      <w:pPr>
        <w:pStyle w:val="StyledotArialLeft0cmFirstline0cmAfter12pt"/>
      </w:pPr>
      <w:bookmarkStart w:id="28" w:name="_Toc167864615"/>
      <w:r w:rsidRPr="002E579B">
        <w:t>Cornering</w:t>
      </w:r>
      <w:r w:rsidR="00107419" w:rsidRPr="002E579B">
        <w:t xml:space="preserve"> lamps </w:t>
      </w:r>
      <w:r w:rsidR="001070BA" w:rsidRPr="002E579B">
        <w:t xml:space="preserve">compliant with the </w:t>
      </w:r>
      <w:r w:rsidR="00107419" w:rsidRPr="002E579B">
        <w:t xml:space="preserve">UN </w:t>
      </w:r>
      <w:r w:rsidR="001070BA" w:rsidRPr="002E579B">
        <w:t xml:space="preserve">Regulation are already permitted </w:t>
      </w:r>
      <w:r w:rsidR="00107419" w:rsidRPr="002E579B">
        <w:t xml:space="preserve">through </w:t>
      </w:r>
      <w:r w:rsidR="001070BA" w:rsidRPr="002E579B">
        <w:t xml:space="preserve">an </w:t>
      </w:r>
      <w:r w:rsidR="00107419" w:rsidRPr="002E579B">
        <w:t>ADR 13/00 reference to UN R</w:t>
      </w:r>
      <w:r w:rsidR="001070BA" w:rsidRPr="002E579B">
        <w:t xml:space="preserve">egulation No. </w:t>
      </w:r>
      <w:r w:rsidRPr="002E579B">
        <w:t>119</w:t>
      </w:r>
      <w:r w:rsidR="00107419" w:rsidRPr="002E579B">
        <w:t>.</w:t>
      </w:r>
      <w:r w:rsidR="001070BA" w:rsidRPr="002E579B">
        <w:t xml:space="preserve">  </w:t>
      </w:r>
      <w:r w:rsidRPr="002E579B">
        <w:t>Cornering</w:t>
      </w:r>
      <w:r w:rsidR="00107419" w:rsidRPr="002E579B">
        <w:t xml:space="preserve"> lamp installation</w:t>
      </w:r>
      <w:r w:rsidR="001070BA" w:rsidRPr="002E579B">
        <w:t xml:space="preserve"> is</w:t>
      </w:r>
      <w:r w:rsidR="00107419" w:rsidRPr="002E579B">
        <w:t xml:space="preserve"> optional</w:t>
      </w:r>
      <w:r w:rsidR="001070BA" w:rsidRPr="002E579B">
        <w:t xml:space="preserve"> for Australian vehicles.</w:t>
      </w:r>
      <w:r>
        <w:t xml:space="preserve">  The ADRs have included Australian-specific alternative requirements for cornering lamps in ADR 45/01 - Lighting and Light Signalling Devices not Covered by ECE Regulations, but these requirements were </w:t>
      </w:r>
      <w:r w:rsidR="00012777">
        <w:t>vague, and on discussion with industry, not in use.</w:t>
      </w:r>
      <w:r w:rsidR="001070BA" w:rsidRPr="002E579B">
        <w:t xml:space="preserve">  </w:t>
      </w:r>
      <w:r w:rsidR="001070BA" w:rsidRPr="00012777">
        <w:t>Introducing this ADR incorporating the UN Regulation will clarify the requirements for vehicles fitted with parking lamps</w:t>
      </w:r>
      <w:r w:rsidR="00012777" w:rsidRPr="00012777">
        <w:t>, and align Australian requirements with international vehicle standards</w:t>
      </w:r>
      <w:r w:rsidR="00DF47CF" w:rsidRPr="00012777">
        <w:t>.</w:t>
      </w:r>
    </w:p>
    <w:p w14:paraId="3035987B" w14:textId="0AB1E383" w:rsidR="00DF47CF" w:rsidRDefault="00DF47CF" w:rsidP="00107419">
      <w:pPr>
        <w:pStyle w:val="StyledotArialLeft0cmFirstline0cmAfter12pt"/>
      </w:pPr>
      <w:r>
        <w:t xml:space="preserve">The introduction of this ADR is part of a package of introductions and amendments to ADRs associated with vehicle lighting generally, with the aims of addressing parking and cornering lamps more explicitly and clearly, and improving the quality of the lighting ADR suite.  </w:t>
      </w:r>
    </w:p>
    <w:p w14:paraId="588E03AF" w14:textId="6D56681F" w:rsidR="00C554E3" w:rsidRPr="005F0368" w:rsidRDefault="00C554E3" w:rsidP="00107419">
      <w:pPr>
        <w:pStyle w:val="StyledotArialLeft0cmFirstline0cmAfter12pt"/>
      </w:pPr>
      <w:r w:rsidRPr="00C554E3">
        <w:t>It is the intent of the Department of Infrastructure and Regional Development</w:t>
      </w:r>
      <w:r w:rsidR="00DF47CF">
        <w:t xml:space="preserve"> (the Department)</w:t>
      </w:r>
      <w:r w:rsidRPr="00C554E3">
        <w:t xml:space="preserve"> to apply UN Regulation No. </w:t>
      </w:r>
      <w:r w:rsidR="005A24FB">
        <w:t>119</w:t>
      </w:r>
      <w:r w:rsidRPr="00C554E3">
        <w:t>.  This application will mean that all future updates to UN Regulation</w:t>
      </w:r>
      <w:r>
        <w:t xml:space="preserve"> No.</w:t>
      </w:r>
      <w:r w:rsidRPr="00C554E3">
        <w:t xml:space="preserve"> </w:t>
      </w:r>
      <w:r w:rsidR="005A24FB">
        <w:t>119</w:t>
      </w:r>
      <w:r w:rsidRPr="00C554E3">
        <w:t xml:space="preserve"> will flow through automatically to the ADRs.  This will allow for future vehicles with the latest technology in </w:t>
      </w:r>
      <w:r w:rsidR="00012777">
        <w:t>cornering lamps</w:t>
      </w:r>
      <w:r w:rsidRPr="00C554E3">
        <w:t xml:space="preserve"> to be introduced into the Australian market as quickly as possible, providing savings to industry and consumers.</w:t>
      </w:r>
    </w:p>
    <w:p w14:paraId="233F7850" w14:textId="77777777" w:rsidR="00ED4DF9" w:rsidRPr="005D21F5" w:rsidRDefault="00E86965" w:rsidP="00070368">
      <w:pPr>
        <w:pStyle w:val="Heading1"/>
      </w:pPr>
      <w:bookmarkStart w:id="29" w:name="_Toc256000004"/>
      <w:bookmarkStart w:id="30" w:name="_Toc317158947"/>
      <w:bookmarkStart w:id="31" w:name="_Toc317171386"/>
      <w:bookmarkStart w:id="32" w:name="_Toc317171512"/>
      <w:bookmarkStart w:id="33" w:name="_Toc377388629"/>
      <w:bookmarkStart w:id="34" w:name="_Toc393194583"/>
      <w:bookmarkStart w:id="35" w:name="_Toc409446967"/>
      <w:bookmarkStart w:id="36" w:name="_Toc433288576"/>
      <w:bookmarkStart w:id="37" w:name="_Toc465150368"/>
      <w:bookmarkStart w:id="38" w:name="_Toc167864618"/>
      <w:bookmarkStart w:id="39" w:name="_Toc390430618"/>
      <w:bookmarkStart w:id="40" w:name="_Toc318271645"/>
      <w:bookmarkStart w:id="41" w:name="_Toc317171517"/>
      <w:bookmarkStart w:id="42" w:name="_Toc317171391"/>
      <w:bookmarkStart w:id="43" w:name="_Toc317158948"/>
      <w:bookmarkStart w:id="44" w:name="_Toc318272904"/>
      <w:bookmarkStart w:id="45" w:name="_Toc319402529"/>
      <w:bookmarkStart w:id="46" w:name="_Toc390430619"/>
      <w:bookmarkEnd w:id="28"/>
      <w:r w:rsidRPr="005D21F5">
        <w:t>best practice regulation</w:t>
      </w:r>
      <w:bookmarkEnd w:id="29"/>
      <w:bookmarkEnd w:id="30"/>
      <w:bookmarkEnd w:id="31"/>
      <w:bookmarkEnd w:id="32"/>
      <w:bookmarkEnd w:id="33"/>
      <w:bookmarkEnd w:id="34"/>
      <w:bookmarkEnd w:id="35"/>
      <w:bookmarkEnd w:id="36"/>
      <w:bookmarkEnd w:id="37"/>
    </w:p>
    <w:p w14:paraId="233F7851" w14:textId="77777777" w:rsidR="00ED4DF9" w:rsidRPr="00C554E3" w:rsidRDefault="00E86965" w:rsidP="00070368">
      <w:pPr>
        <w:pStyle w:val="Heading2"/>
      </w:pPr>
      <w:bookmarkStart w:id="47" w:name="_Toc256000005"/>
      <w:bookmarkStart w:id="48" w:name="_Toc167864616"/>
      <w:bookmarkStart w:id="49" w:name="_Toc317171387"/>
      <w:bookmarkStart w:id="50" w:name="_Toc317171513"/>
      <w:bookmarkStart w:id="51" w:name="_Toc377388630"/>
      <w:bookmarkStart w:id="52" w:name="_Toc393194584"/>
      <w:bookmarkStart w:id="53" w:name="_Toc409446968"/>
      <w:bookmarkStart w:id="54" w:name="_Toc433288577"/>
      <w:bookmarkStart w:id="55" w:name="_Toc465150369"/>
      <w:r w:rsidRPr="00C554E3">
        <w:t>Business Cost Calculator</w:t>
      </w:r>
      <w:bookmarkEnd w:id="47"/>
      <w:bookmarkEnd w:id="48"/>
      <w:bookmarkEnd w:id="49"/>
      <w:bookmarkEnd w:id="50"/>
      <w:bookmarkEnd w:id="51"/>
      <w:bookmarkEnd w:id="52"/>
      <w:bookmarkEnd w:id="53"/>
      <w:bookmarkEnd w:id="54"/>
      <w:bookmarkEnd w:id="55"/>
    </w:p>
    <w:p w14:paraId="233F7852" w14:textId="60C72F9B" w:rsidR="00ED4DF9" w:rsidRPr="00C554E3" w:rsidRDefault="00BF517E" w:rsidP="00003F3F">
      <w:r w:rsidRPr="00843722">
        <w:t xml:space="preserve">There is no </w:t>
      </w:r>
      <w:r w:rsidR="00107419" w:rsidRPr="00843722">
        <w:t xml:space="preserve">significant </w:t>
      </w:r>
      <w:r w:rsidRPr="00843722">
        <w:t>cost or savin</w:t>
      </w:r>
      <w:r w:rsidR="00107419" w:rsidRPr="00843722">
        <w:t xml:space="preserve">g associated with the introduction of this ADR, as it simply clarifies the current vehicle standards as relate to </w:t>
      </w:r>
      <w:r w:rsidR="00843722" w:rsidRPr="00843722">
        <w:t>cornering</w:t>
      </w:r>
      <w:r w:rsidR="00107419" w:rsidRPr="00843722">
        <w:t xml:space="preserve"> lamps and supports the app</w:t>
      </w:r>
      <w:r w:rsidR="00C554E3" w:rsidRPr="00843722">
        <w:t>lication of the UN Regulation.</w:t>
      </w:r>
    </w:p>
    <w:p w14:paraId="77DB5672" w14:textId="3094D493" w:rsidR="00C554E3" w:rsidRDefault="00C554E3" w:rsidP="00003F3F"/>
    <w:p w14:paraId="58ABCCAA" w14:textId="149B7903" w:rsidR="00C554E3" w:rsidRPr="00AA3C7B" w:rsidRDefault="00C554E3" w:rsidP="00003F3F">
      <w:r>
        <w:t xml:space="preserve">Any potential cost saving under the Commonwealth’s Regulatory Burden Measurement framework would only be apparent and realised after the introduction of the International Whole Vehicle Type Approval (IWVTA) in 2017.  </w:t>
      </w:r>
    </w:p>
    <w:p w14:paraId="233F7853" w14:textId="77777777" w:rsidR="00ED4DF9" w:rsidRDefault="00E86965" w:rsidP="00070368">
      <w:pPr>
        <w:pStyle w:val="Heading2"/>
      </w:pPr>
      <w:bookmarkStart w:id="56" w:name="_Toc256000006"/>
      <w:bookmarkStart w:id="57" w:name="_Toc167864617"/>
      <w:bookmarkStart w:id="58" w:name="_Toc317171388"/>
      <w:bookmarkStart w:id="59" w:name="_Toc317171514"/>
      <w:bookmarkStart w:id="60" w:name="_Toc377388631"/>
      <w:bookmarkStart w:id="61" w:name="_Toc393194585"/>
      <w:bookmarkStart w:id="62" w:name="_Toc409446969"/>
      <w:bookmarkStart w:id="63" w:name="_Toc433288578"/>
      <w:bookmarkStart w:id="64" w:name="_Toc465150370"/>
      <w:r>
        <w:t>General Consultation Arrangements</w:t>
      </w:r>
      <w:bookmarkEnd w:id="56"/>
      <w:bookmarkEnd w:id="57"/>
      <w:bookmarkEnd w:id="58"/>
      <w:bookmarkEnd w:id="59"/>
      <w:bookmarkEnd w:id="60"/>
      <w:bookmarkEnd w:id="61"/>
      <w:bookmarkEnd w:id="62"/>
      <w:bookmarkEnd w:id="63"/>
      <w:bookmarkEnd w:id="64"/>
    </w:p>
    <w:p w14:paraId="233F7854" w14:textId="22FA0E31" w:rsidR="00ED4DF9" w:rsidRDefault="00E86965" w:rsidP="00ED4DF9">
      <w:pPr>
        <w:spacing w:after="240"/>
        <w:rPr>
          <w:rFonts w:cs="Arial"/>
        </w:rPr>
      </w:pPr>
      <w:r w:rsidRPr="005D1AA0">
        <w:rPr>
          <w:rFonts w:cs="Arial"/>
        </w:rPr>
        <w:t>It has been longstanding practice to consult widely on proposed new or amended vehicle standards.  For many years there has been active co</w:t>
      </w:r>
      <w:r w:rsidR="00747017">
        <w:rPr>
          <w:rFonts w:cs="Arial"/>
        </w:rPr>
        <w:t>llaboration between the Federal</w:t>
      </w:r>
      <w:r>
        <w:rPr>
          <w:rFonts w:cs="Arial"/>
        </w:rPr>
        <w:t xml:space="preserve"> </w:t>
      </w:r>
      <w:r w:rsidRPr="005D1AA0">
        <w:rPr>
          <w:rFonts w:cs="Arial"/>
        </w:rPr>
        <w:t xml:space="preserve">and the </w:t>
      </w:r>
      <w:r>
        <w:rPr>
          <w:rFonts w:cs="Arial"/>
        </w:rPr>
        <w:t>s</w:t>
      </w:r>
      <w:r w:rsidRPr="005D1AA0">
        <w:rPr>
          <w:rFonts w:cs="Arial"/>
        </w:rPr>
        <w:t>tate/</w:t>
      </w:r>
      <w:r>
        <w:rPr>
          <w:rFonts w:cs="Arial"/>
        </w:rPr>
        <w:t>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33F7855" w14:textId="2D0D7FDF" w:rsidR="00ED4DF9" w:rsidRPr="00A01A9E" w:rsidRDefault="00E86965" w:rsidP="00ED4DF9">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w:t>
      </w:r>
      <w:r w:rsidR="00747017">
        <w:rPr>
          <w:rFonts w:cs="Arial"/>
        </w:rPr>
        <w:t xml:space="preserve"> (the Council)</w:t>
      </w:r>
      <w:r w:rsidRPr="005E2CAE">
        <w:rPr>
          <w:rFonts w:cs="Arial"/>
        </w:rPr>
        <w:t>.</w:t>
      </w:r>
    </w:p>
    <w:p w14:paraId="233F7856" w14:textId="77777777" w:rsidR="00ED4DF9" w:rsidRDefault="00E86965" w:rsidP="00ED4DF9">
      <w:pPr>
        <w:numPr>
          <w:ilvl w:val="0"/>
          <w:numId w:val="22"/>
        </w:numPr>
        <w:spacing w:after="160"/>
        <w:rPr>
          <w:rFonts w:cs="Arial"/>
        </w:rPr>
      </w:pPr>
      <w:r>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33F7857" w14:textId="77777777" w:rsidR="00ED4DF9" w:rsidRDefault="00E86965" w:rsidP="00ED4DF9">
      <w:pPr>
        <w:numPr>
          <w:ilvl w:val="0"/>
          <w:numId w:val="22"/>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14:paraId="233F7858" w14:textId="77777777" w:rsidR="00ED4DF9" w:rsidRDefault="00E86965" w:rsidP="00ED4DF9">
      <w:pPr>
        <w:numPr>
          <w:ilvl w:val="0"/>
          <w:numId w:val="22"/>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14:paraId="233F7859" w14:textId="77777777" w:rsidR="00ED4DF9" w:rsidRPr="00A01A9E" w:rsidRDefault="00E86965" w:rsidP="00ED4DF9">
      <w:pPr>
        <w:numPr>
          <w:ilvl w:val="0"/>
          <w:numId w:val="22"/>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14:paraId="233F785A" w14:textId="79EF4A1A" w:rsidR="00ED4DF9" w:rsidRPr="00A01A9E" w:rsidRDefault="00E86965" w:rsidP="00ED4DF9">
      <w:pPr>
        <w:numPr>
          <w:ilvl w:val="0"/>
          <w:numId w:val="22"/>
        </w:numPr>
        <w:spacing w:after="240"/>
        <w:rPr>
          <w:rFonts w:cs="Arial"/>
        </w:rPr>
      </w:pPr>
      <w:r>
        <w:rPr>
          <w:rFonts w:cs="Arial"/>
        </w:rPr>
        <w:t>The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14:paraId="233F785B" w14:textId="5C1A4426" w:rsidR="00ED4DF9" w:rsidRDefault="00E86965" w:rsidP="00ED4DF9">
      <w:pPr>
        <w:spacing w:after="240"/>
        <w:rPr>
          <w:rFonts w:cs="Arial"/>
        </w:rPr>
      </w:pPr>
      <w:r>
        <w:rPr>
          <w:rFonts w:cs="Arial"/>
        </w:rPr>
        <w:t>Editorial changes and changes to correct errors are processed by the Department.  This approach is only used where the amendments do not vary the intent of the vehicle standard.</w:t>
      </w:r>
    </w:p>
    <w:p w14:paraId="233F785C" w14:textId="77777777" w:rsidR="00ED4DF9" w:rsidRPr="008607BD" w:rsidRDefault="00E86965" w:rsidP="00003F3F">
      <w:pPr>
        <w:spacing w:after="240"/>
        <w:rPr>
          <w:rFonts w:cs="Arial"/>
          <w:i/>
        </w:rPr>
      </w:pPr>
      <w:r w:rsidRPr="00867B73">
        <w:rPr>
          <w:rFonts w:cs="Arial"/>
        </w:rPr>
        <w:t xml:space="preserve">Proposals that are regarded as significant need to be supported by a Regulation Impact Statement meeting the requirements of the </w:t>
      </w:r>
      <w:r w:rsidRPr="00C40CF4">
        <w:rPr>
          <w:rFonts w:cs="Arial"/>
        </w:rPr>
        <w:t>Office of Best Practice Regulation</w:t>
      </w:r>
      <w:r w:rsidRPr="00867B73">
        <w:rPr>
          <w:rFonts w:cs="Arial"/>
        </w:rPr>
        <w:t xml:space="preserve"> </w:t>
      </w:r>
      <w:r>
        <w:rPr>
          <w:rFonts w:cs="Arial"/>
        </w:rPr>
        <w:t xml:space="preserve">(OBPR) </w:t>
      </w:r>
      <w:r w:rsidRPr="00867B73">
        <w:rPr>
          <w:rFonts w:cs="Arial"/>
        </w:rPr>
        <w:lastRenderedPageBreak/>
        <w:t xml:space="preserve">as published in </w:t>
      </w:r>
      <w:r>
        <w:rPr>
          <w:rFonts w:cs="Arial"/>
        </w:rPr>
        <w:t xml:space="preserve">the </w:t>
      </w:r>
      <w:r>
        <w:rPr>
          <w:rFonts w:cs="Arial"/>
          <w:i/>
        </w:rPr>
        <w:t>Australian Government Guide to Regulation</w:t>
      </w:r>
      <w:r w:rsidRPr="00867B73">
        <w:rPr>
          <w:rFonts w:cs="Arial"/>
        </w:rPr>
        <w:t xml:space="preserve"> and the Council of Australian Government</w:t>
      </w:r>
      <w:r>
        <w:rPr>
          <w:rFonts w:cs="Arial"/>
        </w:rPr>
        <w:t>’</w:t>
      </w:r>
      <w:r w:rsidRPr="00867B73">
        <w:rPr>
          <w:rFonts w:cs="Arial"/>
        </w:rPr>
        <w:t xml:space="preserve">s </w:t>
      </w:r>
      <w:r w:rsidRPr="00AB6B4E">
        <w:rPr>
          <w:rFonts w:cs="Arial"/>
          <w:i/>
          <w:iCs/>
        </w:rPr>
        <w:t>Best Practice Regulation: A Guide</w:t>
      </w:r>
      <w:r>
        <w:rPr>
          <w:rFonts w:cs="Arial"/>
        </w:rPr>
        <w:t xml:space="preserve"> </w:t>
      </w:r>
      <w:r w:rsidRPr="00867B73">
        <w:rPr>
          <w:rFonts w:cs="Arial"/>
          <w:i/>
        </w:rPr>
        <w:t>for Ministerial Councils and Standard-Setting Bodies</w:t>
      </w:r>
      <w:r w:rsidRPr="00867B73">
        <w:rPr>
          <w:rFonts w:cs="Arial"/>
        </w:rPr>
        <w:t>.</w:t>
      </w:r>
    </w:p>
    <w:p w14:paraId="233F785D" w14:textId="77777777" w:rsidR="00ED4DF9" w:rsidRPr="00875240" w:rsidRDefault="00E86965" w:rsidP="00070368">
      <w:pPr>
        <w:pStyle w:val="Heading2"/>
      </w:pPr>
      <w:bookmarkStart w:id="65" w:name="_Toc256000007"/>
      <w:bookmarkStart w:id="66" w:name="_Toc317171389"/>
      <w:bookmarkStart w:id="67" w:name="_Toc317171515"/>
      <w:bookmarkStart w:id="68" w:name="_Toc377388632"/>
      <w:bookmarkStart w:id="69" w:name="_Toc393194586"/>
      <w:bookmarkStart w:id="70" w:name="_Toc409446970"/>
      <w:bookmarkStart w:id="71" w:name="_Toc433288579"/>
      <w:bookmarkStart w:id="72" w:name="_Toc465150371"/>
      <w:r w:rsidRPr="00875240">
        <w:t>Specific Consultation Arrangements for this Vehicle Standard</w:t>
      </w:r>
      <w:bookmarkEnd w:id="65"/>
      <w:bookmarkEnd w:id="66"/>
      <w:bookmarkEnd w:id="67"/>
      <w:bookmarkEnd w:id="68"/>
      <w:bookmarkEnd w:id="69"/>
      <w:bookmarkEnd w:id="70"/>
      <w:bookmarkEnd w:id="71"/>
      <w:bookmarkEnd w:id="72"/>
    </w:p>
    <w:p w14:paraId="77EC3847" w14:textId="3B8D6A4D" w:rsidR="001070BA" w:rsidRPr="00DF47CF" w:rsidRDefault="001070BA" w:rsidP="00ED4DF9">
      <w:pPr>
        <w:spacing w:after="240"/>
      </w:pPr>
      <w:r w:rsidRPr="00DF47CF">
        <w:t xml:space="preserve">The explicit incorporation of UN Regulation No. </w:t>
      </w:r>
      <w:r w:rsidR="005A24FB">
        <w:t>119</w:t>
      </w:r>
      <w:r w:rsidRPr="00DF47CF">
        <w:t xml:space="preserve"> within the ADRs</w:t>
      </w:r>
      <w:r w:rsidR="00DF47CF" w:rsidRPr="00DF47CF">
        <w:t xml:space="preserve"> generally</w:t>
      </w:r>
      <w:r w:rsidRPr="00DF47CF">
        <w:t xml:space="preserve"> was discussed and agreed at SVSEG meeting 9 in 2014.  The specific solution of creation of a new ADR was discussed with and agreed by TLG in September 2016. </w:t>
      </w:r>
    </w:p>
    <w:p w14:paraId="233F785F" w14:textId="70ABE2F7" w:rsidR="00ED4DF9" w:rsidRPr="00FC40B0" w:rsidRDefault="00DF47CF" w:rsidP="00ED4DF9">
      <w:pPr>
        <w:spacing w:after="240"/>
      </w:pPr>
      <w:r>
        <w:t>As the introduction of this ADR will only have a minor administrative effect on vehicle standards</w:t>
      </w:r>
      <w:r w:rsidR="00E86965" w:rsidRPr="00C554E3">
        <w:t>, and does not increase the stringency of the ADR</w:t>
      </w:r>
      <w:r w:rsidR="00C554E3" w:rsidRPr="00C554E3">
        <w:t>s generally</w:t>
      </w:r>
      <w:r w:rsidR="00E86965" w:rsidRPr="00C554E3">
        <w:t>, there is no need for furth</w:t>
      </w:r>
      <w:r w:rsidR="00747017" w:rsidRPr="00C554E3">
        <w:t>er consultation through TISOC, T</w:t>
      </w:r>
      <w:r w:rsidR="00E86965" w:rsidRPr="00C554E3">
        <w:t>he Council, or the public comment process.</w:t>
      </w:r>
    </w:p>
    <w:p w14:paraId="233F7860" w14:textId="77777777" w:rsidR="00ED4DF9" w:rsidRPr="00AD1A1D" w:rsidRDefault="00E86965" w:rsidP="00070368">
      <w:pPr>
        <w:pStyle w:val="Heading2"/>
      </w:pPr>
      <w:bookmarkStart w:id="73" w:name="_Toc256000008"/>
      <w:bookmarkStart w:id="74" w:name="_Toc317171390"/>
      <w:bookmarkStart w:id="75" w:name="_Toc317171516"/>
      <w:bookmarkStart w:id="76" w:name="_Toc377388633"/>
      <w:bookmarkStart w:id="77" w:name="_Toc393194587"/>
      <w:bookmarkStart w:id="78" w:name="_Toc409446971"/>
      <w:bookmarkStart w:id="79" w:name="_Toc433288580"/>
      <w:bookmarkStart w:id="80" w:name="_Toc465150372"/>
      <w:r w:rsidRPr="00AD1A1D">
        <w:t>Regulation Impact Statement</w:t>
      </w:r>
      <w:bookmarkEnd w:id="73"/>
      <w:bookmarkEnd w:id="74"/>
      <w:bookmarkEnd w:id="75"/>
      <w:bookmarkEnd w:id="76"/>
      <w:bookmarkEnd w:id="77"/>
      <w:bookmarkEnd w:id="78"/>
      <w:bookmarkEnd w:id="79"/>
      <w:bookmarkEnd w:id="80"/>
      <w:r w:rsidRPr="00AD1A1D">
        <w:t xml:space="preserve"> </w:t>
      </w:r>
    </w:p>
    <w:p w14:paraId="233F7861" w14:textId="5225D10A" w:rsidR="00ED4DF9" w:rsidRPr="00C554E3" w:rsidRDefault="00E86965" w:rsidP="00ED4DF9">
      <w:pPr>
        <w:spacing w:after="240"/>
      </w:pPr>
      <w:r w:rsidRPr="00C554E3">
        <w:t xml:space="preserve">As the proposed </w:t>
      </w:r>
      <w:r w:rsidR="00DF47CF">
        <w:t>introduction</w:t>
      </w:r>
      <w:r w:rsidRPr="00C554E3">
        <w:t xml:space="preserve"> does not increase the stringency of the ADR</w:t>
      </w:r>
      <w:r w:rsidR="00C554E3" w:rsidRPr="00C554E3">
        <w:t>s generally</w:t>
      </w:r>
      <w:r w:rsidRPr="00C554E3">
        <w:t>, a Regulation Impact Statement is not required.</w:t>
      </w:r>
    </w:p>
    <w:p w14:paraId="233F7862" w14:textId="13098E19" w:rsidR="00ED4DF9" w:rsidRDefault="00E86965" w:rsidP="00ED4DF9">
      <w:pPr>
        <w:spacing w:after="240"/>
      </w:pPr>
      <w:r w:rsidRPr="00C554E3">
        <w:t xml:space="preserve">Since the decision is made by the Minister for </w:t>
      </w:r>
      <w:r w:rsidR="00E636B0" w:rsidRPr="00C554E3">
        <w:t>Urban Infrastructure</w:t>
      </w:r>
      <w:r w:rsidRPr="00C554E3">
        <w:t xml:space="preserve"> without reference to the Council and the proposal is not considered significant, the Office of Best Practice Regulation requirements have been met for this regulatory proposal (OBPR Reference ID </w:t>
      </w:r>
      <w:r w:rsidR="00716BCB" w:rsidRPr="00C554E3">
        <w:t>21346</w:t>
      </w:r>
      <w:r w:rsidRPr="00C554E3">
        <w:t>).</w:t>
      </w:r>
    </w:p>
    <w:p w14:paraId="233F7863" w14:textId="77777777" w:rsidR="00586887" w:rsidRPr="00CA7971" w:rsidRDefault="00E86965" w:rsidP="00070368">
      <w:pPr>
        <w:pStyle w:val="Heading1"/>
      </w:pPr>
      <w:bookmarkStart w:id="81" w:name="_Toc256000009"/>
      <w:bookmarkStart w:id="82" w:name="_Toc409446972"/>
      <w:bookmarkStart w:id="83" w:name="_Toc433288581"/>
      <w:bookmarkStart w:id="84" w:name="_Toc465150373"/>
      <w:bookmarkEnd w:id="38"/>
      <w:bookmarkEnd w:id="39"/>
      <w:r w:rsidRPr="00CA7971">
        <w:t>STATEMENT OF COMPATIBILITY WITH HUMAN RIGHTS</w:t>
      </w:r>
      <w:bookmarkEnd w:id="40"/>
      <w:bookmarkEnd w:id="41"/>
      <w:bookmarkEnd w:id="42"/>
      <w:bookmarkEnd w:id="43"/>
      <w:bookmarkEnd w:id="44"/>
      <w:bookmarkEnd w:id="45"/>
      <w:bookmarkEnd w:id="46"/>
      <w:bookmarkEnd w:id="81"/>
      <w:bookmarkEnd w:id="82"/>
      <w:bookmarkEnd w:id="83"/>
      <w:bookmarkEnd w:id="84"/>
    </w:p>
    <w:p w14:paraId="233F7864" w14:textId="77777777" w:rsidR="00586887" w:rsidRPr="00CA7971" w:rsidRDefault="00E86965" w:rsidP="00586887">
      <w:r w:rsidRPr="00CA7971">
        <w:t xml:space="preserve">The following Statement is prepared in accordance with Part 3 of the </w:t>
      </w:r>
      <w:r w:rsidRPr="00CA7971">
        <w:rPr>
          <w:i/>
          <w:iCs/>
        </w:rPr>
        <w:t>Human Rights (Parliamentary Scrutiny) Act 2011.</w:t>
      </w:r>
      <w:r w:rsidRPr="00CA7971">
        <w:t xml:space="preserve"> </w:t>
      </w:r>
    </w:p>
    <w:p w14:paraId="233F7865" w14:textId="77777777" w:rsidR="00586887" w:rsidRPr="00CA7971" w:rsidRDefault="00E86965" w:rsidP="00070368">
      <w:pPr>
        <w:pStyle w:val="Heading2"/>
      </w:pPr>
      <w:bookmarkStart w:id="85" w:name="_Toc256000010"/>
      <w:bookmarkStart w:id="86" w:name="_Toc318271646"/>
      <w:bookmarkStart w:id="87" w:name="_Toc317171518"/>
      <w:bookmarkStart w:id="88" w:name="_Toc317171392"/>
      <w:bookmarkStart w:id="89" w:name="_Toc318272905"/>
      <w:bookmarkStart w:id="90" w:name="_Toc319402530"/>
      <w:bookmarkStart w:id="91" w:name="_Toc390430620"/>
      <w:bookmarkStart w:id="92" w:name="_Toc409446973"/>
      <w:bookmarkStart w:id="93" w:name="_Toc433288582"/>
      <w:bookmarkStart w:id="94" w:name="_Toc465150374"/>
      <w:r w:rsidRPr="00CA7971">
        <w:t>Overview of the Legislative Instrument</w:t>
      </w:r>
      <w:bookmarkEnd w:id="85"/>
      <w:bookmarkEnd w:id="86"/>
      <w:bookmarkEnd w:id="87"/>
      <w:bookmarkEnd w:id="88"/>
      <w:bookmarkEnd w:id="89"/>
      <w:bookmarkEnd w:id="90"/>
      <w:bookmarkEnd w:id="91"/>
      <w:bookmarkEnd w:id="92"/>
      <w:bookmarkEnd w:id="93"/>
      <w:bookmarkEnd w:id="94"/>
    </w:p>
    <w:p w14:paraId="233F7866" w14:textId="37758806" w:rsidR="00586887" w:rsidRPr="00CA7971" w:rsidRDefault="00E86965" w:rsidP="002501C9">
      <w:r w:rsidRPr="00C554E3">
        <w:t xml:space="preserve">This </w:t>
      </w:r>
      <w:r w:rsidR="00C554E3" w:rsidRPr="00C554E3">
        <w:t xml:space="preserve">ADR contains technical requirements covering </w:t>
      </w:r>
      <w:r w:rsidR="005A24FB">
        <w:t>cornering</w:t>
      </w:r>
      <w:r w:rsidR="00C554E3" w:rsidRPr="00C554E3">
        <w:t xml:space="preserve"> lamps for fitment to road vehicles</w:t>
      </w:r>
      <w:r w:rsidR="00F563E7" w:rsidRPr="00C554E3">
        <w:t>.</w:t>
      </w:r>
    </w:p>
    <w:p w14:paraId="233F7867" w14:textId="1E833D20" w:rsidR="00586887" w:rsidRPr="00CA7971" w:rsidRDefault="00E86965" w:rsidP="00070368">
      <w:pPr>
        <w:pStyle w:val="Heading2"/>
      </w:pPr>
      <w:bookmarkStart w:id="95" w:name="_Toc256000011"/>
      <w:bookmarkStart w:id="96" w:name="_Toc318271647"/>
      <w:bookmarkStart w:id="97" w:name="_Toc317171519"/>
      <w:bookmarkStart w:id="98" w:name="_Toc317171393"/>
      <w:bookmarkStart w:id="99" w:name="_Toc318272906"/>
      <w:bookmarkStart w:id="100" w:name="_Toc319402531"/>
      <w:bookmarkStart w:id="101" w:name="_Toc390430621"/>
      <w:bookmarkStart w:id="102" w:name="_Toc409446974"/>
      <w:bookmarkStart w:id="103" w:name="_Toc433288583"/>
      <w:bookmarkStart w:id="104" w:name="_Toc465150375"/>
      <w:r w:rsidRPr="00CA7971">
        <w:t>Human Rights Implications</w:t>
      </w:r>
      <w:bookmarkEnd w:id="95"/>
      <w:bookmarkEnd w:id="96"/>
      <w:bookmarkEnd w:id="97"/>
      <w:bookmarkEnd w:id="98"/>
      <w:bookmarkEnd w:id="99"/>
      <w:bookmarkEnd w:id="100"/>
      <w:bookmarkEnd w:id="101"/>
      <w:bookmarkEnd w:id="102"/>
      <w:bookmarkEnd w:id="103"/>
      <w:bookmarkEnd w:id="104"/>
    </w:p>
    <w:p w14:paraId="233F7868" w14:textId="5168F73E" w:rsidR="007C7E7E" w:rsidRPr="00C554E3" w:rsidRDefault="00716BCB">
      <w:bookmarkStart w:id="105" w:name="_Toc319402532"/>
      <w:r w:rsidRPr="00C554E3">
        <w:t>The</w:t>
      </w:r>
      <w:r w:rsidR="00E86965" w:rsidRPr="00C554E3">
        <w:t xml:space="preserve"> </w:t>
      </w:r>
      <w:r w:rsidRPr="00C554E3">
        <w:t>introduction of</w:t>
      </w:r>
      <w:r w:rsidR="00E86965" w:rsidRPr="00C554E3">
        <w:t xml:space="preserve"> ADR </w:t>
      </w:r>
      <w:r w:rsidRPr="00C554E3">
        <w:t>8</w:t>
      </w:r>
      <w:r w:rsidR="005A24FB">
        <w:t>7</w:t>
      </w:r>
      <w:r w:rsidR="00E86965" w:rsidRPr="00C554E3">
        <w:t xml:space="preserve">/00 does not engage any of the human rights and freedoms recognised or declared in the international instruments listed in section 3 of the </w:t>
      </w:r>
      <w:r w:rsidR="00E86965" w:rsidRPr="00C554E3">
        <w:rPr>
          <w:i/>
        </w:rPr>
        <w:t>Human Rights (Parliamentary Scrutiny) Act 2011</w:t>
      </w:r>
      <w:r w:rsidR="00E86965" w:rsidRPr="00C554E3">
        <w:t>.</w:t>
      </w:r>
    </w:p>
    <w:p w14:paraId="233F7869" w14:textId="77777777" w:rsidR="00586887" w:rsidRPr="00C554E3" w:rsidRDefault="00E86965" w:rsidP="00070368">
      <w:pPr>
        <w:pStyle w:val="Heading2"/>
      </w:pPr>
      <w:bookmarkStart w:id="106" w:name="_Toc256000012"/>
      <w:bookmarkStart w:id="107" w:name="_Toc409446975"/>
      <w:bookmarkStart w:id="108" w:name="_Toc433288584"/>
      <w:bookmarkStart w:id="109" w:name="_Toc465150376"/>
      <w:r w:rsidRPr="00C554E3">
        <w:t>Conclusion</w:t>
      </w:r>
      <w:bookmarkEnd w:id="105"/>
      <w:bookmarkEnd w:id="106"/>
      <w:bookmarkEnd w:id="107"/>
      <w:bookmarkEnd w:id="108"/>
      <w:bookmarkEnd w:id="109"/>
    </w:p>
    <w:p w14:paraId="233F786A" w14:textId="301424D9" w:rsidR="002D7277" w:rsidRPr="007A3BB4" w:rsidRDefault="00E86965" w:rsidP="0012110B">
      <w:r w:rsidRPr="00C554E3">
        <w:t>Th</w:t>
      </w:r>
      <w:r w:rsidR="00C554E3" w:rsidRPr="00C554E3">
        <w:t>e introduction of</w:t>
      </w:r>
      <w:r w:rsidRPr="00C554E3">
        <w:t xml:space="preserve"> ADR </w:t>
      </w:r>
      <w:r w:rsidR="00C554E3" w:rsidRPr="00C554E3">
        <w:t>8</w:t>
      </w:r>
      <w:r w:rsidR="005A24FB">
        <w:t>7</w:t>
      </w:r>
      <w:r w:rsidRPr="00C554E3">
        <w:t>/00 is compatible with human rights as it does not raise any human rights issues.</w:t>
      </w:r>
    </w:p>
    <w:sectPr w:rsidR="002D7277" w:rsidRPr="007A3BB4" w:rsidSect="00BF517E">
      <w:headerReference w:type="default" r:id="rId15"/>
      <w:headerReference w:type="firs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787F" w14:textId="77777777" w:rsidR="006E7901" w:rsidRDefault="00E86965">
      <w:r>
        <w:separator/>
      </w:r>
    </w:p>
  </w:endnote>
  <w:endnote w:type="continuationSeparator" w:id="0">
    <w:p w14:paraId="233F7881" w14:textId="77777777" w:rsidR="006E7901" w:rsidRDefault="00E8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225727"/>
      <w:docPartObj>
        <w:docPartGallery w:val="Page Numbers (Bottom of Page)"/>
        <w:docPartUnique/>
      </w:docPartObj>
    </w:sdtPr>
    <w:sdtEndPr>
      <w:rPr>
        <w:noProof/>
      </w:rPr>
    </w:sdtEndPr>
    <w:sdtContent>
      <w:p w14:paraId="398F0AB2" w14:textId="73995CE1" w:rsidR="00BF517E" w:rsidRDefault="00BF517E">
        <w:pPr>
          <w:pStyle w:val="Footer"/>
          <w:pBdr>
            <w:bottom w:val="single" w:sz="6" w:space="1" w:color="auto"/>
          </w:pBdr>
          <w:jc w:val="right"/>
        </w:pPr>
      </w:p>
      <w:p w14:paraId="233F786F" w14:textId="3F9A1133" w:rsidR="00444B70" w:rsidRDefault="00A81D24">
        <w:pPr>
          <w:pStyle w:val="Footer"/>
          <w:jc w:val="right"/>
          <w:rPr>
            <w:noProof/>
          </w:rPr>
        </w:pPr>
      </w:p>
    </w:sdtContent>
  </w:sdt>
  <w:p w14:paraId="070F8FF9" w14:textId="77777777" w:rsidR="00F563E7" w:rsidRDefault="00F563E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3" w14:textId="4984ABF2" w:rsidR="00444B70" w:rsidRDefault="00A81D24">
    <w:pPr>
      <w:pStyle w:val="Footer"/>
      <w:jc w:val="right"/>
    </w:pPr>
  </w:p>
  <w:p w14:paraId="233F7874" w14:textId="77777777" w:rsidR="00444B70" w:rsidRDefault="00A81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787B" w14:textId="77777777" w:rsidR="006E7901" w:rsidRDefault="00E86965">
      <w:r>
        <w:separator/>
      </w:r>
    </w:p>
  </w:footnote>
  <w:footnote w:type="continuationSeparator" w:id="0">
    <w:p w14:paraId="233F787D" w14:textId="77777777" w:rsidR="006E7901" w:rsidRDefault="00E8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77777777" w:rsidR="006B2A4B" w:rsidRDefault="00E86965">
    <w:pPr>
      <w:pStyle w:val="Header"/>
      <w:jc w:val="right"/>
    </w:pPr>
    <w:r>
      <w:fldChar w:fldCharType="begin"/>
    </w:r>
    <w:r>
      <w:instrText xml:space="preserve"> PAGE   \* MERGEFORMAT </w:instrText>
    </w:r>
    <w:r>
      <w:fldChar w:fldCharType="separate"/>
    </w:r>
    <w:r w:rsidR="00421960">
      <w:rPr>
        <w:noProof/>
      </w:rPr>
      <w:t>5</w:t>
    </w:r>
    <w:r>
      <w:rPr>
        <w:noProof/>
      </w:rPr>
      <w:fldChar w:fldCharType="end"/>
    </w:r>
  </w:p>
  <w:p w14:paraId="233F786C" w14:textId="77777777" w:rsidR="00541EF4" w:rsidRDefault="00E86965" w:rsidP="00541EF4">
    <w:pPr>
      <w:pStyle w:val="Header"/>
      <w:rPr>
        <w:szCs w:val="20"/>
      </w:rPr>
    </w:pPr>
    <w:r>
      <w:rPr>
        <w:szCs w:val="20"/>
      </w:rPr>
      <w:t>Explanatory Statement</w:t>
    </w:r>
  </w:p>
  <w:p w14:paraId="233F786D" w14:textId="77777777" w:rsidR="006B2A4B" w:rsidRDefault="00E86965">
    <w:pPr>
      <w:pStyle w:val="Header"/>
      <w:rPr>
        <w:rFonts w:cs="Arial"/>
        <w:bCs/>
        <w:spacing w:val="-6"/>
      </w:rPr>
    </w:pPr>
    <w:r>
      <w:rPr>
        <w:spacing w:val="-6"/>
      </w:rPr>
      <w:t xml:space="preserve">Vehicle Standard </w:t>
    </w:r>
    <w:r>
      <w:rPr>
        <w:rFonts w:cs="Arial"/>
        <w:spacing w:val="-6"/>
      </w:rPr>
      <w:t>Australian Design Rule 57/00 –</w:t>
    </w:r>
    <w:r>
      <w:rPr>
        <w:rFonts w:cs="Arial"/>
        <w:bCs/>
        <w:spacing w:val="-6"/>
      </w:rPr>
      <w:t>Special Requirements for L-Group Vehicles) 2006 Amendment 1</w:t>
    </w:r>
  </w:p>
  <w:p w14:paraId="233F786E" w14:textId="77777777" w:rsidR="00541EF4" w:rsidRDefault="00A81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1" w14:textId="626054CD" w:rsidR="0068774D" w:rsidRPr="002031D9" w:rsidRDefault="00E86965" w:rsidP="0068774D">
    <w:pPr>
      <w:pStyle w:val="Header"/>
      <w:jc w:val="right"/>
      <w:rPr>
        <w:rFonts w:asciiTheme="minorHAnsi" w:hAnsiTheme="minorHAnsi"/>
        <w:b/>
        <w:sz w:val="24"/>
      </w:rPr>
    </w:pPr>
    <w:r>
      <w:tab/>
    </w:r>
    <w:r>
      <w:tab/>
    </w:r>
  </w:p>
  <w:p w14:paraId="233F7872" w14:textId="77777777" w:rsidR="008B6483" w:rsidRDefault="00A81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5" w14:textId="77777777" w:rsidR="00541EF4" w:rsidRDefault="00A81D24">
    <w:pPr>
      <w:pStyle w:val="Header"/>
      <w:jc w:val="right"/>
    </w:pPr>
  </w:p>
  <w:p w14:paraId="233F7876" w14:textId="278558BA" w:rsidR="00541EF4" w:rsidRDefault="00B33DEF" w:rsidP="00BF517E">
    <w:pPr>
      <w:pStyle w:val="Header"/>
      <w:tabs>
        <w:tab w:val="clear" w:pos="4153"/>
      </w:tabs>
      <w:rPr>
        <w:szCs w:val="20"/>
      </w:rPr>
    </w:pPr>
    <w:r>
      <w:rPr>
        <w:spacing w:val="-6"/>
      </w:rPr>
      <w:t>Vehicle Standard (</w:t>
    </w:r>
    <w:r>
      <w:rPr>
        <w:rFonts w:cs="Arial"/>
        <w:spacing w:val="-6"/>
      </w:rPr>
      <w:t>Australian Design Rule 87/00 – Cornering Lamps</w:t>
    </w:r>
    <w:r>
      <w:rPr>
        <w:rFonts w:cs="Arial"/>
        <w:bCs/>
        <w:spacing w:val="-6"/>
      </w:rPr>
      <w:t>) 2016</w:t>
    </w:r>
    <w:r w:rsidR="00BF517E">
      <w:rPr>
        <w:szCs w:val="20"/>
      </w:rPr>
      <w:tab/>
    </w:r>
    <w:r w:rsidR="00BF517E" w:rsidRPr="00BF517E">
      <w:rPr>
        <w:szCs w:val="20"/>
      </w:rPr>
      <w:fldChar w:fldCharType="begin"/>
    </w:r>
    <w:r w:rsidR="00BF517E" w:rsidRPr="00BF517E">
      <w:rPr>
        <w:szCs w:val="20"/>
      </w:rPr>
      <w:instrText xml:space="preserve"> PAGE   \* MERGEFORMAT </w:instrText>
    </w:r>
    <w:r w:rsidR="00BF517E" w:rsidRPr="00BF517E">
      <w:rPr>
        <w:szCs w:val="20"/>
      </w:rPr>
      <w:fldChar w:fldCharType="separate"/>
    </w:r>
    <w:r w:rsidR="00A81D24">
      <w:rPr>
        <w:noProof/>
        <w:szCs w:val="20"/>
      </w:rPr>
      <w:t>5</w:t>
    </w:r>
    <w:r w:rsidR="00BF517E" w:rsidRPr="00BF517E">
      <w:rPr>
        <w:noProof/>
        <w:szCs w:val="20"/>
      </w:rPr>
      <w:fldChar w:fldCharType="end"/>
    </w:r>
  </w:p>
  <w:p w14:paraId="233F7878" w14:textId="5377E7E6" w:rsidR="00541EF4" w:rsidRDefault="00B33DEF" w:rsidP="00BF517E">
    <w:pPr>
      <w:pStyle w:val="Header"/>
      <w:pBdr>
        <w:bottom w:val="single" w:sz="6" w:space="1" w:color="auto"/>
      </w:pBdr>
    </w:pPr>
    <w:r>
      <w:rPr>
        <w:spacing w:val="-6"/>
      </w:rPr>
      <w:t>Explanatory Statement</w:t>
    </w:r>
  </w:p>
  <w:p w14:paraId="558A28FF" w14:textId="77777777" w:rsidR="00BF517E" w:rsidRDefault="00BF51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A81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4"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7"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0"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1"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17"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
  </w:num>
  <w:num w:numId="4">
    <w:abstractNumId w:val="15"/>
  </w:num>
  <w:num w:numId="5">
    <w:abstractNumId w:val="0"/>
  </w:num>
  <w:num w:numId="6">
    <w:abstractNumId w:val="14"/>
  </w:num>
  <w:num w:numId="7">
    <w:abstractNumId w:val="2"/>
  </w:num>
  <w:num w:numId="8">
    <w:abstractNumId w:val="11"/>
  </w:num>
  <w:num w:numId="9">
    <w:abstractNumId w:val="7"/>
  </w:num>
  <w:num w:numId="10">
    <w:abstractNumId w:val="13"/>
  </w:num>
  <w:num w:numId="11">
    <w:abstractNumId w:val="5"/>
  </w:num>
  <w:num w:numId="12">
    <w:abstractNumId w:val="9"/>
  </w:num>
  <w:num w:numId="13">
    <w:abstractNumId w:val="3"/>
  </w:num>
  <w:num w:numId="14">
    <w:abstractNumId w:val="8"/>
  </w:num>
  <w:num w:numId="15">
    <w:abstractNumId w:val="12"/>
  </w:num>
  <w:num w:numId="16">
    <w:abstractNumId w:val="12"/>
  </w:num>
  <w:num w:numId="17">
    <w:abstractNumId w:val="12"/>
  </w:num>
  <w:num w:numId="18">
    <w:abstractNumId w:val="12"/>
  </w:num>
  <w:num w:numId="19">
    <w:abstractNumId w:val="12"/>
  </w:num>
  <w:num w:numId="20">
    <w:abstractNumId w:val="16"/>
  </w:num>
  <w:num w:numId="21">
    <w:abstractNumId w:val="4"/>
  </w:num>
  <w:num w:numId="22">
    <w:abstractNumId w:val="10"/>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12777"/>
    <w:rsid w:val="000E5A87"/>
    <w:rsid w:val="001070BA"/>
    <w:rsid w:val="00107419"/>
    <w:rsid w:val="001621AE"/>
    <w:rsid w:val="00174634"/>
    <w:rsid w:val="00257BB7"/>
    <w:rsid w:val="002E579B"/>
    <w:rsid w:val="0038464F"/>
    <w:rsid w:val="00421960"/>
    <w:rsid w:val="00516DBF"/>
    <w:rsid w:val="00560227"/>
    <w:rsid w:val="005726BE"/>
    <w:rsid w:val="005A24FB"/>
    <w:rsid w:val="005A5C3E"/>
    <w:rsid w:val="005C1259"/>
    <w:rsid w:val="006C2184"/>
    <w:rsid w:val="006D4D5A"/>
    <w:rsid w:val="006E7901"/>
    <w:rsid w:val="00716BCB"/>
    <w:rsid w:val="00747017"/>
    <w:rsid w:val="007A63F0"/>
    <w:rsid w:val="00843722"/>
    <w:rsid w:val="00885218"/>
    <w:rsid w:val="00A81D24"/>
    <w:rsid w:val="00A82845"/>
    <w:rsid w:val="00B1031B"/>
    <w:rsid w:val="00B14FF0"/>
    <w:rsid w:val="00B33DEF"/>
    <w:rsid w:val="00BD6A14"/>
    <w:rsid w:val="00BE1E8E"/>
    <w:rsid w:val="00BF517E"/>
    <w:rsid w:val="00BF5EDA"/>
    <w:rsid w:val="00C554E3"/>
    <w:rsid w:val="00DF47CF"/>
    <w:rsid w:val="00E636B0"/>
    <w:rsid w:val="00E86965"/>
    <w:rsid w:val="00F563E7"/>
    <w:rsid w:val="00FE2C9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3F0"/>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541EF4"/>
    <w:pPr>
      <w:tabs>
        <w:tab w:val="left" w:pos="851"/>
        <w:tab w:val="right" w:leader="dot" w:pos="8329"/>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E6034E82EC7F44AB5EA43D13DE8228" ma:contentTypeVersion="" ma:contentTypeDescription="PDMS Document Site Content Type" ma:contentTypeScope="" ma:versionID="8ed7e83a26a162cd17f68cc645e4f72c">
  <xsd:schema xmlns:xsd="http://www.w3.org/2001/XMLSchema" xmlns:xs="http://www.w3.org/2001/XMLSchema" xmlns:p="http://schemas.microsoft.com/office/2006/metadata/properties" xmlns:ns2="A81F0870-6367-43E4-8288-09DC5FB414CD" targetNamespace="http://schemas.microsoft.com/office/2006/metadata/properties" ma:root="true" ma:fieldsID="d8f0f77f59130ae733db05d5d77878e6" ns2:_="">
    <xsd:import namespace="A81F0870-6367-43E4-8288-09DC5FB414C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F0870-6367-43E4-8288-09DC5FB414C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81F0870-6367-43E4-8288-09DC5FB414C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ECE96-5F28-4284-B610-51F0F8702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F0870-6367-43E4-8288-09DC5FB41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3.xml><?xml version="1.0" encoding="utf-8"?>
<ds:datastoreItem xmlns:ds="http://schemas.openxmlformats.org/officeDocument/2006/customXml" ds:itemID="{07B5242C-9E7A-4B47-A853-7E861A5189FB}">
  <ds:schemaRefs>
    <ds:schemaRef ds:uri="http://schemas.microsoft.com/office/infopath/2007/PartnerControls"/>
    <ds:schemaRef ds:uri="http://purl.org/dc/terms/"/>
    <ds:schemaRef ds:uri="http://www.w3.org/XML/1998/namespace"/>
    <ds:schemaRef ds:uri="http://schemas.microsoft.com/office/2006/metadata/properties"/>
    <ds:schemaRef ds:uri="http://purl.org/dc/elements/1.1/"/>
    <ds:schemaRef ds:uri="A81F0870-6367-43E4-8288-09DC5FB414CD"/>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231659A-CA57-43C3-A56B-BF39FD5C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2017-08-29T23:47:00Z</dcterms:created>
  <dcterms:modified xsi:type="dcterms:W3CDTF">2017-10-23T01:25:00Z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0x010100266966F133664895A6EE3632470D45F50100722CA71941607C46BEB9966A4C1E8970</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