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8E2637" w:rsidRDefault="00193461" w:rsidP="0020300C">
      <w:pPr>
        <w:rPr>
          <w:sz w:val="28"/>
        </w:rPr>
      </w:pPr>
      <w:r w:rsidRPr="008E2637">
        <w:rPr>
          <w:noProof/>
          <w:lang w:eastAsia="en-AU"/>
        </w:rPr>
        <w:drawing>
          <wp:inline distT="0" distB="0" distL="0" distR="0" wp14:anchorId="260C275D" wp14:editId="3B4EEF88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8E2637" w:rsidRDefault="0048364F" w:rsidP="0048364F">
      <w:pPr>
        <w:rPr>
          <w:sz w:val="19"/>
        </w:rPr>
      </w:pPr>
    </w:p>
    <w:p w:rsidR="0048364F" w:rsidRPr="008E2637" w:rsidRDefault="00271B07" w:rsidP="00271B07">
      <w:pPr>
        <w:pStyle w:val="ShortT"/>
      </w:pPr>
      <w:r w:rsidRPr="008E2637">
        <w:t xml:space="preserve">Customs (International Obligations) Amendment </w:t>
      </w:r>
      <w:r w:rsidR="00E30500" w:rsidRPr="008E2637">
        <w:t>(Singapore</w:t>
      </w:r>
      <w:r w:rsidR="008E2637">
        <w:noBreakHyphen/>
      </w:r>
      <w:r w:rsidR="00E30500" w:rsidRPr="008E2637">
        <w:t xml:space="preserve">Australia Free Trade Agreement Amendment Implementation) </w:t>
      </w:r>
      <w:r w:rsidRPr="008E2637">
        <w:t>Regulations</w:t>
      </w:r>
      <w:r w:rsidR="008E2637" w:rsidRPr="008E2637">
        <w:t> </w:t>
      </w:r>
      <w:r w:rsidRPr="008E2637">
        <w:t>2017</w:t>
      </w:r>
    </w:p>
    <w:p w:rsidR="00271B07" w:rsidRPr="008E2637" w:rsidRDefault="00271B07" w:rsidP="007517B8">
      <w:pPr>
        <w:pStyle w:val="SignCoverPageStart"/>
        <w:spacing w:before="240"/>
        <w:rPr>
          <w:szCs w:val="22"/>
        </w:rPr>
      </w:pPr>
      <w:r w:rsidRPr="008E2637">
        <w:rPr>
          <w:szCs w:val="22"/>
        </w:rPr>
        <w:t>I, General the Honourable Sir Peter Cosgrove AK MC (</w:t>
      </w:r>
      <w:proofErr w:type="spellStart"/>
      <w:r w:rsidRPr="008E2637">
        <w:rPr>
          <w:szCs w:val="22"/>
        </w:rPr>
        <w:t>Ret’d</w:t>
      </w:r>
      <w:proofErr w:type="spellEnd"/>
      <w:r w:rsidRPr="008E2637">
        <w:rPr>
          <w:szCs w:val="22"/>
        </w:rPr>
        <w:t xml:space="preserve">), </w:t>
      </w:r>
      <w:r w:rsidR="008E2637" w:rsidRPr="008E2637">
        <w:rPr>
          <w:szCs w:val="22"/>
        </w:rPr>
        <w:t>Governor</w:t>
      </w:r>
      <w:r w:rsidR="008E2637">
        <w:rPr>
          <w:szCs w:val="22"/>
        </w:rPr>
        <w:noBreakHyphen/>
      </w:r>
      <w:r w:rsidR="008E2637" w:rsidRPr="008E2637">
        <w:rPr>
          <w:szCs w:val="22"/>
        </w:rPr>
        <w:t>General</w:t>
      </w:r>
      <w:r w:rsidRPr="008E2637">
        <w:rPr>
          <w:szCs w:val="22"/>
        </w:rPr>
        <w:t xml:space="preserve"> of the Commonwealth of Australia, acting with the advice of the Federal Executive Council, make the following regulations.</w:t>
      </w:r>
    </w:p>
    <w:p w:rsidR="00271B07" w:rsidRPr="008E2637" w:rsidRDefault="00271B07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8E2637">
        <w:rPr>
          <w:szCs w:val="22"/>
        </w:rPr>
        <w:t xml:space="preserve">Dated </w:t>
      </w:r>
      <w:r w:rsidRPr="008E2637">
        <w:rPr>
          <w:szCs w:val="22"/>
        </w:rPr>
        <w:fldChar w:fldCharType="begin"/>
      </w:r>
      <w:r w:rsidRPr="008E2637">
        <w:rPr>
          <w:szCs w:val="22"/>
        </w:rPr>
        <w:instrText xml:space="preserve"> DOCPROPERTY  DateMade </w:instrText>
      </w:r>
      <w:r w:rsidRPr="008E2637">
        <w:rPr>
          <w:szCs w:val="22"/>
        </w:rPr>
        <w:fldChar w:fldCharType="separate"/>
      </w:r>
      <w:r w:rsidR="00660157">
        <w:rPr>
          <w:szCs w:val="22"/>
        </w:rPr>
        <w:t>16 November 2017</w:t>
      </w:r>
      <w:r w:rsidRPr="008E2637">
        <w:rPr>
          <w:szCs w:val="22"/>
        </w:rPr>
        <w:fldChar w:fldCharType="end"/>
      </w:r>
    </w:p>
    <w:p w:rsidR="00271B07" w:rsidRPr="008E2637" w:rsidRDefault="00271B07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8E2637">
        <w:rPr>
          <w:szCs w:val="22"/>
        </w:rPr>
        <w:t>Peter Cosgrove</w:t>
      </w:r>
    </w:p>
    <w:p w:rsidR="00271B07" w:rsidRPr="008E2637" w:rsidRDefault="008E2637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8E2637">
        <w:rPr>
          <w:szCs w:val="22"/>
        </w:rPr>
        <w:t>Governor</w:t>
      </w:r>
      <w:r>
        <w:rPr>
          <w:szCs w:val="22"/>
        </w:rPr>
        <w:noBreakHyphen/>
      </w:r>
      <w:r w:rsidRPr="008E2637">
        <w:rPr>
          <w:szCs w:val="22"/>
        </w:rPr>
        <w:t>General</w:t>
      </w:r>
    </w:p>
    <w:p w:rsidR="00271B07" w:rsidRPr="008E2637" w:rsidRDefault="00271B07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8E2637">
        <w:rPr>
          <w:szCs w:val="22"/>
        </w:rPr>
        <w:t>By His Excellency’s Command</w:t>
      </w:r>
    </w:p>
    <w:p w:rsidR="00271B07" w:rsidRPr="008E2637" w:rsidRDefault="00271B07" w:rsidP="00271B07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8E2637">
        <w:rPr>
          <w:szCs w:val="22"/>
        </w:rPr>
        <w:t>Alex Hawke</w:t>
      </w:r>
    </w:p>
    <w:p w:rsidR="00271B07" w:rsidRPr="008E2637" w:rsidRDefault="00271B07" w:rsidP="00271B07">
      <w:pPr>
        <w:pStyle w:val="SignCoverPageEnd"/>
        <w:rPr>
          <w:szCs w:val="22"/>
        </w:rPr>
      </w:pPr>
      <w:r w:rsidRPr="008E2637">
        <w:rPr>
          <w:szCs w:val="22"/>
        </w:rPr>
        <w:t>Assistant Minister for Immigration and Border Protection</w:t>
      </w:r>
      <w:r w:rsidRPr="008E2637">
        <w:rPr>
          <w:szCs w:val="22"/>
        </w:rPr>
        <w:br/>
        <w:t>Parliamentary Secretary to the Minister for Immigration and Border Protection</w:t>
      </w:r>
    </w:p>
    <w:p w:rsidR="00271B07" w:rsidRPr="008E2637" w:rsidRDefault="00271B07" w:rsidP="007517B8"/>
    <w:p w:rsidR="00271B07" w:rsidRPr="008E2637" w:rsidRDefault="00271B07" w:rsidP="007517B8"/>
    <w:p w:rsidR="00271B07" w:rsidRPr="008E2637" w:rsidRDefault="00271B07" w:rsidP="007517B8"/>
    <w:p w:rsidR="00271B07" w:rsidRPr="008E2637" w:rsidRDefault="00271B07" w:rsidP="00271B07"/>
    <w:p w:rsidR="0048364F" w:rsidRPr="008E2637" w:rsidRDefault="0048364F" w:rsidP="0048364F">
      <w:pPr>
        <w:pStyle w:val="Header"/>
        <w:tabs>
          <w:tab w:val="clear" w:pos="4150"/>
          <w:tab w:val="clear" w:pos="8307"/>
        </w:tabs>
      </w:pPr>
      <w:r w:rsidRPr="008E2637">
        <w:rPr>
          <w:rStyle w:val="CharAmSchNo"/>
        </w:rPr>
        <w:t xml:space="preserve"> </w:t>
      </w:r>
      <w:r w:rsidRPr="008E2637">
        <w:rPr>
          <w:rStyle w:val="CharAmSchText"/>
        </w:rPr>
        <w:t xml:space="preserve"> </w:t>
      </w:r>
    </w:p>
    <w:p w:rsidR="0048364F" w:rsidRPr="008E2637" w:rsidRDefault="0048364F" w:rsidP="0048364F">
      <w:pPr>
        <w:pStyle w:val="Header"/>
        <w:tabs>
          <w:tab w:val="clear" w:pos="4150"/>
          <w:tab w:val="clear" w:pos="8307"/>
        </w:tabs>
      </w:pPr>
      <w:r w:rsidRPr="008E2637">
        <w:rPr>
          <w:rStyle w:val="CharAmPartNo"/>
        </w:rPr>
        <w:t xml:space="preserve"> </w:t>
      </w:r>
      <w:r w:rsidRPr="008E2637">
        <w:rPr>
          <w:rStyle w:val="CharAmPartText"/>
        </w:rPr>
        <w:t xml:space="preserve"> </w:t>
      </w:r>
    </w:p>
    <w:p w:rsidR="0048364F" w:rsidRPr="008E2637" w:rsidRDefault="0048364F" w:rsidP="0048364F">
      <w:pPr>
        <w:sectPr w:rsidR="0048364F" w:rsidRPr="008E2637" w:rsidSect="0056261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8E2637" w:rsidRDefault="0048364F" w:rsidP="00DF5A48">
      <w:pPr>
        <w:rPr>
          <w:sz w:val="36"/>
        </w:rPr>
      </w:pPr>
      <w:r w:rsidRPr="008E2637">
        <w:rPr>
          <w:sz w:val="36"/>
        </w:rPr>
        <w:lastRenderedPageBreak/>
        <w:t>Contents</w:t>
      </w:r>
    </w:p>
    <w:p w:rsidR="00C301AD" w:rsidRPr="008E2637" w:rsidRDefault="00C301A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E2637">
        <w:fldChar w:fldCharType="begin"/>
      </w:r>
      <w:r w:rsidRPr="008E2637">
        <w:instrText xml:space="preserve"> TOC \o "1-9" </w:instrText>
      </w:r>
      <w:r w:rsidRPr="008E2637">
        <w:fldChar w:fldCharType="separate"/>
      </w:r>
      <w:r w:rsidRPr="008E2637">
        <w:rPr>
          <w:noProof/>
        </w:rPr>
        <w:t>1</w:t>
      </w:r>
      <w:r w:rsidRPr="008E2637">
        <w:rPr>
          <w:noProof/>
        </w:rPr>
        <w:tab/>
        <w:t>Name</w:t>
      </w:r>
      <w:r w:rsidRPr="008E2637">
        <w:rPr>
          <w:noProof/>
        </w:rPr>
        <w:tab/>
      </w:r>
      <w:r w:rsidRPr="008E2637">
        <w:rPr>
          <w:noProof/>
        </w:rPr>
        <w:fldChar w:fldCharType="begin"/>
      </w:r>
      <w:r w:rsidRPr="008E2637">
        <w:rPr>
          <w:noProof/>
        </w:rPr>
        <w:instrText xml:space="preserve"> PAGEREF _Toc496693839 \h </w:instrText>
      </w:r>
      <w:r w:rsidRPr="008E2637">
        <w:rPr>
          <w:noProof/>
        </w:rPr>
      </w:r>
      <w:r w:rsidRPr="008E2637">
        <w:rPr>
          <w:noProof/>
        </w:rPr>
        <w:fldChar w:fldCharType="separate"/>
      </w:r>
      <w:r w:rsidR="00660157">
        <w:rPr>
          <w:noProof/>
        </w:rPr>
        <w:t>1</w:t>
      </w:r>
      <w:r w:rsidRPr="008E2637">
        <w:rPr>
          <w:noProof/>
        </w:rPr>
        <w:fldChar w:fldCharType="end"/>
      </w:r>
    </w:p>
    <w:p w:rsidR="00C301AD" w:rsidRPr="008E2637" w:rsidRDefault="00C301A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E2637">
        <w:rPr>
          <w:noProof/>
        </w:rPr>
        <w:t>2</w:t>
      </w:r>
      <w:r w:rsidRPr="008E2637">
        <w:rPr>
          <w:noProof/>
        </w:rPr>
        <w:tab/>
        <w:t>Commencement</w:t>
      </w:r>
      <w:r w:rsidRPr="008E2637">
        <w:rPr>
          <w:noProof/>
        </w:rPr>
        <w:tab/>
      </w:r>
      <w:r w:rsidRPr="008E2637">
        <w:rPr>
          <w:noProof/>
        </w:rPr>
        <w:fldChar w:fldCharType="begin"/>
      </w:r>
      <w:r w:rsidRPr="008E2637">
        <w:rPr>
          <w:noProof/>
        </w:rPr>
        <w:instrText xml:space="preserve"> PAGEREF _Toc496693840 \h </w:instrText>
      </w:r>
      <w:r w:rsidRPr="008E2637">
        <w:rPr>
          <w:noProof/>
        </w:rPr>
      </w:r>
      <w:r w:rsidRPr="008E2637">
        <w:rPr>
          <w:noProof/>
        </w:rPr>
        <w:fldChar w:fldCharType="separate"/>
      </w:r>
      <w:r w:rsidR="00660157">
        <w:rPr>
          <w:noProof/>
        </w:rPr>
        <w:t>1</w:t>
      </w:r>
      <w:r w:rsidRPr="008E2637">
        <w:rPr>
          <w:noProof/>
        </w:rPr>
        <w:fldChar w:fldCharType="end"/>
      </w:r>
    </w:p>
    <w:p w:rsidR="00C301AD" w:rsidRPr="008E2637" w:rsidRDefault="00C301A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E2637">
        <w:rPr>
          <w:noProof/>
        </w:rPr>
        <w:t>3</w:t>
      </w:r>
      <w:r w:rsidRPr="008E2637">
        <w:rPr>
          <w:noProof/>
        </w:rPr>
        <w:tab/>
        <w:t>Authority</w:t>
      </w:r>
      <w:r w:rsidRPr="008E2637">
        <w:rPr>
          <w:noProof/>
        </w:rPr>
        <w:tab/>
      </w:r>
      <w:r w:rsidRPr="008E2637">
        <w:rPr>
          <w:noProof/>
        </w:rPr>
        <w:fldChar w:fldCharType="begin"/>
      </w:r>
      <w:r w:rsidRPr="008E2637">
        <w:rPr>
          <w:noProof/>
        </w:rPr>
        <w:instrText xml:space="preserve"> PAGEREF _Toc496693841 \h </w:instrText>
      </w:r>
      <w:r w:rsidRPr="008E2637">
        <w:rPr>
          <w:noProof/>
        </w:rPr>
      </w:r>
      <w:r w:rsidRPr="008E2637">
        <w:rPr>
          <w:noProof/>
        </w:rPr>
        <w:fldChar w:fldCharType="separate"/>
      </w:r>
      <w:r w:rsidR="00660157">
        <w:rPr>
          <w:noProof/>
        </w:rPr>
        <w:t>1</w:t>
      </w:r>
      <w:r w:rsidRPr="008E2637">
        <w:rPr>
          <w:noProof/>
        </w:rPr>
        <w:fldChar w:fldCharType="end"/>
      </w:r>
    </w:p>
    <w:p w:rsidR="00C301AD" w:rsidRPr="008E2637" w:rsidRDefault="00C301A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E2637">
        <w:rPr>
          <w:noProof/>
        </w:rPr>
        <w:t>4</w:t>
      </w:r>
      <w:r w:rsidRPr="008E2637">
        <w:rPr>
          <w:noProof/>
        </w:rPr>
        <w:tab/>
        <w:t>Schedules</w:t>
      </w:r>
      <w:r w:rsidRPr="008E2637">
        <w:rPr>
          <w:noProof/>
        </w:rPr>
        <w:tab/>
      </w:r>
      <w:r w:rsidRPr="008E2637">
        <w:rPr>
          <w:noProof/>
        </w:rPr>
        <w:fldChar w:fldCharType="begin"/>
      </w:r>
      <w:r w:rsidRPr="008E2637">
        <w:rPr>
          <w:noProof/>
        </w:rPr>
        <w:instrText xml:space="preserve"> PAGEREF _Toc496693842 \h </w:instrText>
      </w:r>
      <w:r w:rsidRPr="008E2637">
        <w:rPr>
          <w:noProof/>
        </w:rPr>
      </w:r>
      <w:r w:rsidRPr="008E2637">
        <w:rPr>
          <w:noProof/>
        </w:rPr>
        <w:fldChar w:fldCharType="separate"/>
      </w:r>
      <w:r w:rsidR="00660157">
        <w:rPr>
          <w:noProof/>
        </w:rPr>
        <w:t>1</w:t>
      </w:r>
      <w:r w:rsidRPr="008E2637">
        <w:rPr>
          <w:noProof/>
        </w:rPr>
        <w:fldChar w:fldCharType="end"/>
      </w:r>
    </w:p>
    <w:p w:rsidR="00C301AD" w:rsidRPr="008E2637" w:rsidRDefault="00C301A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E2637">
        <w:rPr>
          <w:noProof/>
        </w:rPr>
        <w:t>Schedule</w:t>
      </w:r>
      <w:r w:rsidR="008E2637" w:rsidRPr="008E2637">
        <w:rPr>
          <w:noProof/>
        </w:rPr>
        <w:t> </w:t>
      </w:r>
      <w:r w:rsidRPr="008E2637">
        <w:rPr>
          <w:noProof/>
        </w:rPr>
        <w:t>1—Amendments</w:t>
      </w:r>
      <w:r w:rsidRPr="008E2637">
        <w:rPr>
          <w:b w:val="0"/>
          <w:noProof/>
          <w:sz w:val="18"/>
        </w:rPr>
        <w:tab/>
      </w:r>
      <w:r w:rsidRPr="008E2637">
        <w:rPr>
          <w:b w:val="0"/>
          <w:noProof/>
          <w:sz w:val="18"/>
        </w:rPr>
        <w:fldChar w:fldCharType="begin"/>
      </w:r>
      <w:r w:rsidRPr="008E2637">
        <w:rPr>
          <w:b w:val="0"/>
          <w:noProof/>
          <w:sz w:val="18"/>
        </w:rPr>
        <w:instrText xml:space="preserve"> PAGEREF _Toc496693843 \h </w:instrText>
      </w:r>
      <w:r w:rsidRPr="008E2637">
        <w:rPr>
          <w:b w:val="0"/>
          <w:noProof/>
          <w:sz w:val="18"/>
        </w:rPr>
      </w:r>
      <w:r w:rsidRPr="008E2637">
        <w:rPr>
          <w:b w:val="0"/>
          <w:noProof/>
          <w:sz w:val="18"/>
        </w:rPr>
        <w:fldChar w:fldCharType="separate"/>
      </w:r>
      <w:r w:rsidR="00660157">
        <w:rPr>
          <w:b w:val="0"/>
          <w:noProof/>
          <w:sz w:val="18"/>
        </w:rPr>
        <w:t>2</w:t>
      </w:r>
      <w:r w:rsidRPr="008E2637">
        <w:rPr>
          <w:b w:val="0"/>
          <w:noProof/>
          <w:sz w:val="18"/>
        </w:rPr>
        <w:fldChar w:fldCharType="end"/>
      </w:r>
    </w:p>
    <w:p w:rsidR="00C301AD" w:rsidRPr="008E2637" w:rsidRDefault="00C301AD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E2637">
        <w:rPr>
          <w:noProof/>
        </w:rPr>
        <w:t>Part</w:t>
      </w:r>
      <w:r w:rsidR="008E2637" w:rsidRPr="008E2637">
        <w:rPr>
          <w:noProof/>
        </w:rPr>
        <w:t> </w:t>
      </w:r>
      <w:r w:rsidRPr="008E2637">
        <w:rPr>
          <w:noProof/>
        </w:rPr>
        <w:t>1—Main amendments</w:t>
      </w:r>
      <w:r w:rsidRPr="008E2637">
        <w:rPr>
          <w:noProof/>
          <w:sz w:val="18"/>
        </w:rPr>
        <w:tab/>
      </w:r>
      <w:r w:rsidRPr="008E2637">
        <w:rPr>
          <w:noProof/>
          <w:sz w:val="18"/>
        </w:rPr>
        <w:fldChar w:fldCharType="begin"/>
      </w:r>
      <w:r w:rsidRPr="008E2637">
        <w:rPr>
          <w:noProof/>
          <w:sz w:val="18"/>
        </w:rPr>
        <w:instrText xml:space="preserve"> PAGEREF _Toc496693844 \h </w:instrText>
      </w:r>
      <w:r w:rsidRPr="008E2637">
        <w:rPr>
          <w:noProof/>
          <w:sz w:val="18"/>
        </w:rPr>
      </w:r>
      <w:r w:rsidRPr="008E2637">
        <w:rPr>
          <w:noProof/>
          <w:sz w:val="18"/>
        </w:rPr>
        <w:fldChar w:fldCharType="separate"/>
      </w:r>
      <w:r w:rsidR="00660157">
        <w:rPr>
          <w:noProof/>
          <w:sz w:val="18"/>
        </w:rPr>
        <w:t>2</w:t>
      </w:r>
      <w:r w:rsidRPr="008E2637">
        <w:rPr>
          <w:noProof/>
          <w:sz w:val="18"/>
        </w:rPr>
        <w:fldChar w:fldCharType="end"/>
      </w:r>
    </w:p>
    <w:p w:rsidR="00C301AD" w:rsidRPr="008E2637" w:rsidRDefault="00C301A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E2637">
        <w:rPr>
          <w:noProof/>
        </w:rPr>
        <w:t>Customs (International Obligations) Regulation</w:t>
      </w:r>
      <w:r w:rsidR="008E2637" w:rsidRPr="008E2637">
        <w:rPr>
          <w:noProof/>
        </w:rPr>
        <w:t> </w:t>
      </w:r>
      <w:r w:rsidRPr="008E2637">
        <w:rPr>
          <w:noProof/>
        </w:rPr>
        <w:t>2015</w:t>
      </w:r>
      <w:r w:rsidRPr="008E2637">
        <w:rPr>
          <w:i w:val="0"/>
          <w:noProof/>
          <w:sz w:val="18"/>
        </w:rPr>
        <w:tab/>
      </w:r>
      <w:r w:rsidRPr="008E2637">
        <w:rPr>
          <w:i w:val="0"/>
          <w:noProof/>
          <w:sz w:val="18"/>
        </w:rPr>
        <w:fldChar w:fldCharType="begin"/>
      </w:r>
      <w:r w:rsidRPr="008E2637">
        <w:rPr>
          <w:i w:val="0"/>
          <w:noProof/>
          <w:sz w:val="18"/>
        </w:rPr>
        <w:instrText xml:space="preserve"> PAGEREF _Toc496693845 \h </w:instrText>
      </w:r>
      <w:r w:rsidRPr="008E2637">
        <w:rPr>
          <w:i w:val="0"/>
          <w:noProof/>
          <w:sz w:val="18"/>
        </w:rPr>
      </w:r>
      <w:r w:rsidRPr="008E2637">
        <w:rPr>
          <w:i w:val="0"/>
          <w:noProof/>
          <w:sz w:val="18"/>
        </w:rPr>
        <w:fldChar w:fldCharType="separate"/>
      </w:r>
      <w:r w:rsidR="00660157">
        <w:rPr>
          <w:i w:val="0"/>
          <w:noProof/>
          <w:sz w:val="18"/>
        </w:rPr>
        <w:t>2</w:t>
      </w:r>
      <w:r w:rsidRPr="008E2637">
        <w:rPr>
          <w:i w:val="0"/>
          <w:noProof/>
          <w:sz w:val="18"/>
        </w:rPr>
        <w:fldChar w:fldCharType="end"/>
      </w:r>
    </w:p>
    <w:p w:rsidR="00C301AD" w:rsidRPr="008E2637" w:rsidRDefault="00C301AD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E2637">
        <w:rPr>
          <w:noProof/>
        </w:rPr>
        <w:t>Part</w:t>
      </w:r>
      <w:r w:rsidR="008E2637" w:rsidRPr="008E2637">
        <w:rPr>
          <w:noProof/>
        </w:rPr>
        <w:t> </w:t>
      </w:r>
      <w:r w:rsidRPr="008E2637">
        <w:rPr>
          <w:noProof/>
        </w:rPr>
        <w:t>2—Other amendments</w:t>
      </w:r>
      <w:r w:rsidRPr="008E2637">
        <w:rPr>
          <w:noProof/>
          <w:sz w:val="18"/>
        </w:rPr>
        <w:tab/>
      </w:r>
      <w:r w:rsidRPr="008E2637">
        <w:rPr>
          <w:noProof/>
          <w:sz w:val="18"/>
        </w:rPr>
        <w:fldChar w:fldCharType="begin"/>
      </w:r>
      <w:r w:rsidRPr="008E2637">
        <w:rPr>
          <w:noProof/>
          <w:sz w:val="18"/>
        </w:rPr>
        <w:instrText xml:space="preserve"> PAGEREF _Toc496693850 \h </w:instrText>
      </w:r>
      <w:r w:rsidRPr="008E2637">
        <w:rPr>
          <w:noProof/>
          <w:sz w:val="18"/>
        </w:rPr>
      </w:r>
      <w:r w:rsidRPr="008E2637">
        <w:rPr>
          <w:noProof/>
          <w:sz w:val="18"/>
        </w:rPr>
        <w:fldChar w:fldCharType="separate"/>
      </w:r>
      <w:r w:rsidR="00660157">
        <w:rPr>
          <w:noProof/>
          <w:sz w:val="18"/>
        </w:rPr>
        <w:t>6</w:t>
      </w:r>
      <w:r w:rsidRPr="008E2637">
        <w:rPr>
          <w:noProof/>
          <w:sz w:val="18"/>
        </w:rPr>
        <w:fldChar w:fldCharType="end"/>
      </w:r>
    </w:p>
    <w:p w:rsidR="00C301AD" w:rsidRPr="008E2637" w:rsidRDefault="00C301A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E2637">
        <w:rPr>
          <w:noProof/>
        </w:rPr>
        <w:t>Customs (International Obligations) Regulation</w:t>
      </w:r>
      <w:r w:rsidR="008E2637" w:rsidRPr="008E2637">
        <w:rPr>
          <w:noProof/>
        </w:rPr>
        <w:t> </w:t>
      </w:r>
      <w:r w:rsidRPr="008E2637">
        <w:rPr>
          <w:noProof/>
        </w:rPr>
        <w:t>2015</w:t>
      </w:r>
      <w:r w:rsidRPr="008E2637">
        <w:rPr>
          <w:i w:val="0"/>
          <w:noProof/>
          <w:sz w:val="18"/>
        </w:rPr>
        <w:tab/>
      </w:r>
      <w:r w:rsidRPr="008E2637">
        <w:rPr>
          <w:i w:val="0"/>
          <w:noProof/>
          <w:sz w:val="18"/>
        </w:rPr>
        <w:fldChar w:fldCharType="begin"/>
      </w:r>
      <w:r w:rsidRPr="008E2637">
        <w:rPr>
          <w:i w:val="0"/>
          <w:noProof/>
          <w:sz w:val="18"/>
        </w:rPr>
        <w:instrText xml:space="preserve"> PAGEREF _Toc496693851 \h </w:instrText>
      </w:r>
      <w:r w:rsidRPr="008E2637">
        <w:rPr>
          <w:i w:val="0"/>
          <w:noProof/>
          <w:sz w:val="18"/>
        </w:rPr>
      </w:r>
      <w:r w:rsidRPr="008E2637">
        <w:rPr>
          <w:i w:val="0"/>
          <w:noProof/>
          <w:sz w:val="18"/>
        </w:rPr>
        <w:fldChar w:fldCharType="separate"/>
      </w:r>
      <w:r w:rsidR="00660157">
        <w:rPr>
          <w:i w:val="0"/>
          <w:noProof/>
          <w:sz w:val="18"/>
        </w:rPr>
        <w:t>6</w:t>
      </w:r>
      <w:r w:rsidRPr="008E2637">
        <w:rPr>
          <w:i w:val="0"/>
          <w:noProof/>
          <w:sz w:val="18"/>
        </w:rPr>
        <w:fldChar w:fldCharType="end"/>
      </w:r>
    </w:p>
    <w:p w:rsidR="0048364F" w:rsidRPr="008E2637" w:rsidRDefault="00C301AD" w:rsidP="0048364F">
      <w:r w:rsidRPr="008E2637">
        <w:fldChar w:fldCharType="end"/>
      </w:r>
    </w:p>
    <w:p w:rsidR="0048364F" w:rsidRPr="008E2637" w:rsidRDefault="0048364F" w:rsidP="0048364F">
      <w:pPr>
        <w:sectPr w:rsidR="0048364F" w:rsidRPr="008E2637" w:rsidSect="0056261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8E2637" w:rsidRDefault="0048364F" w:rsidP="0048364F">
      <w:pPr>
        <w:pStyle w:val="ActHead5"/>
      </w:pPr>
      <w:bookmarkStart w:id="0" w:name="_Toc496693839"/>
      <w:r w:rsidRPr="008E2637">
        <w:rPr>
          <w:rStyle w:val="CharSectno"/>
        </w:rPr>
        <w:lastRenderedPageBreak/>
        <w:t>1</w:t>
      </w:r>
      <w:r w:rsidRPr="008E2637">
        <w:t xml:space="preserve">  </w:t>
      </w:r>
      <w:r w:rsidR="004F676E" w:rsidRPr="008E2637">
        <w:t>Name</w:t>
      </w:r>
      <w:bookmarkEnd w:id="0"/>
    </w:p>
    <w:p w:rsidR="0048364F" w:rsidRPr="008E2637" w:rsidRDefault="0048364F" w:rsidP="0048364F">
      <w:pPr>
        <w:pStyle w:val="subsection"/>
      </w:pPr>
      <w:r w:rsidRPr="008E2637">
        <w:tab/>
      </w:r>
      <w:r w:rsidRPr="008E2637">
        <w:tab/>
      </w:r>
      <w:r w:rsidR="00271B07" w:rsidRPr="008E2637">
        <w:t>This instrument is</w:t>
      </w:r>
      <w:r w:rsidRPr="008E2637">
        <w:t xml:space="preserve"> the </w:t>
      </w:r>
      <w:r w:rsidR="00414ADE" w:rsidRPr="008E2637">
        <w:rPr>
          <w:i/>
        </w:rPr>
        <w:fldChar w:fldCharType="begin"/>
      </w:r>
      <w:r w:rsidR="00414ADE" w:rsidRPr="008E2637">
        <w:rPr>
          <w:i/>
        </w:rPr>
        <w:instrText xml:space="preserve"> STYLEREF  ShortT </w:instrText>
      </w:r>
      <w:r w:rsidR="00414ADE" w:rsidRPr="008E2637">
        <w:rPr>
          <w:i/>
        </w:rPr>
        <w:fldChar w:fldCharType="separate"/>
      </w:r>
      <w:r w:rsidR="00660157">
        <w:rPr>
          <w:i/>
          <w:noProof/>
        </w:rPr>
        <w:t>Customs (International Obligations) Amendment (Singapore-Australia Free Trade Agreement Amendment Implementation) Regulations 2017</w:t>
      </w:r>
      <w:r w:rsidR="00414ADE" w:rsidRPr="008E2637">
        <w:rPr>
          <w:i/>
        </w:rPr>
        <w:fldChar w:fldCharType="end"/>
      </w:r>
      <w:r w:rsidRPr="008E2637">
        <w:t>.</w:t>
      </w:r>
    </w:p>
    <w:p w:rsidR="004F676E" w:rsidRPr="008E2637" w:rsidRDefault="0048364F" w:rsidP="005452CC">
      <w:pPr>
        <w:pStyle w:val="ActHead5"/>
      </w:pPr>
      <w:bookmarkStart w:id="1" w:name="_Toc496693840"/>
      <w:r w:rsidRPr="008E2637">
        <w:rPr>
          <w:rStyle w:val="CharSectno"/>
        </w:rPr>
        <w:t>2</w:t>
      </w:r>
      <w:r w:rsidRPr="008E2637">
        <w:t xml:space="preserve">  Commencement</w:t>
      </w:r>
      <w:bookmarkEnd w:id="1"/>
    </w:p>
    <w:p w:rsidR="005452CC" w:rsidRPr="008E2637" w:rsidRDefault="005452CC" w:rsidP="00593449">
      <w:pPr>
        <w:pStyle w:val="subsection"/>
      </w:pPr>
      <w:r w:rsidRPr="008E2637">
        <w:tab/>
        <w:t>(1)</w:t>
      </w:r>
      <w:r w:rsidRPr="008E2637">
        <w:tab/>
        <w:t xml:space="preserve">Each provision of </w:t>
      </w:r>
      <w:r w:rsidR="00271B07" w:rsidRPr="008E2637">
        <w:t>this instrument</w:t>
      </w:r>
      <w:r w:rsidRPr="008E2637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8E2637" w:rsidRDefault="005452CC" w:rsidP="00593449">
      <w:pPr>
        <w:pStyle w:val="Tabletex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8E2637" w:rsidTr="00CA7CDF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5452CC" w:rsidRPr="008E2637" w:rsidRDefault="005452CC" w:rsidP="00612709">
            <w:pPr>
              <w:pStyle w:val="TableHeading"/>
            </w:pPr>
            <w:r w:rsidRPr="008E2637">
              <w:t>Commencement information</w:t>
            </w:r>
          </w:p>
        </w:tc>
      </w:tr>
      <w:tr w:rsidR="005452CC" w:rsidRPr="008E2637" w:rsidTr="00CA7CDF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5452CC" w:rsidRPr="008E2637" w:rsidRDefault="005452CC" w:rsidP="00612709">
            <w:pPr>
              <w:pStyle w:val="TableHeading"/>
            </w:pPr>
            <w:r w:rsidRPr="008E263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5452CC" w:rsidRPr="008E2637" w:rsidRDefault="005452CC" w:rsidP="00612709">
            <w:pPr>
              <w:pStyle w:val="TableHeading"/>
            </w:pPr>
            <w:r w:rsidRPr="008E263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5452CC" w:rsidRPr="008E2637" w:rsidRDefault="005452CC" w:rsidP="00612709">
            <w:pPr>
              <w:pStyle w:val="TableHeading"/>
            </w:pPr>
            <w:r w:rsidRPr="008E2637">
              <w:t>Column 3</w:t>
            </w:r>
          </w:p>
        </w:tc>
      </w:tr>
      <w:tr w:rsidR="005452CC" w:rsidRPr="008E2637" w:rsidTr="00CA7CDF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5452CC" w:rsidRPr="008E2637" w:rsidRDefault="005452CC" w:rsidP="00612709">
            <w:pPr>
              <w:pStyle w:val="TableHeading"/>
            </w:pPr>
            <w:r w:rsidRPr="008E263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5452CC" w:rsidRPr="008E2637" w:rsidRDefault="005452CC" w:rsidP="00612709">
            <w:pPr>
              <w:pStyle w:val="TableHeading"/>
            </w:pPr>
            <w:r w:rsidRPr="008E263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5452CC" w:rsidRPr="008E2637" w:rsidRDefault="005452CC" w:rsidP="00612709">
            <w:pPr>
              <w:pStyle w:val="TableHeading"/>
            </w:pPr>
            <w:r w:rsidRPr="008E2637">
              <w:t>Date/Details</w:t>
            </w:r>
          </w:p>
        </w:tc>
      </w:tr>
      <w:tr w:rsidR="005452CC" w:rsidRPr="008E2637" w:rsidTr="00CA7CDF">
        <w:trPr>
          <w:cantSplit/>
        </w:trPr>
        <w:tc>
          <w:tcPr>
            <w:tcW w:w="2127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5452CC" w:rsidRPr="008E2637" w:rsidRDefault="005452CC" w:rsidP="005452CC">
            <w:pPr>
              <w:pStyle w:val="Tabletext"/>
            </w:pPr>
            <w:r w:rsidRPr="008E2637">
              <w:t>1.  Sections</w:t>
            </w:r>
            <w:r w:rsidR="008E2637" w:rsidRPr="008E2637">
              <w:t> </w:t>
            </w:r>
            <w:r w:rsidRPr="008E2637">
              <w:t xml:space="preserve">1 to 4 and anything in </w:t>
            </w:r>
            <w:r w:rsidR="00271B07" w:rsidRPr="008E2637">
              <w:t>this instrument</w:t>
            </w:r>
            <w:r w:rsidRPr="008E2637">
              <w:t xml:space="preserve">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5452CC" w:rsidRPr="008E2637" w:rsidRDefault="005452CC" w:rsidP="005452CC">
            <w:pPr>
              <w:pStyle w:val="Tabletext"/>
            </w:pPr>
            <w:r w:rsidRPr="008E2637">
              <w:t xml:space="preserve">The day after </w:t>
            </w:r>
            <w:r w:rsidR="00271B07" w:rsidRPr="008E2637">
              <w:t>this instrument is</w:t>
            </w:r>
            <w:r w:rsidRPr="008E2637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5452CC" w:rsidRPr="008E2637" w:rsidRDefault="00C33CE5">
            <w:pPr>
              <w:pStyle w:val="Tabletext"/>
            </w:pPr>
            <w:r>
              <w:t>18 November 2017</w:t>
            </w:r>
          </w:p>
        </w:tc>
      </w:tr>
      <w:tr w:rsidR="005452CC" w:rsidRPr="008E2637" w:rsidTr="00CA7CDF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5452CC" w:rsidRPr="008E2637" w:rsidRDefault="00EE5187" w:rsidP="00EE5187">
            <w:pPr>
              <w:pStyle w:val="Tabletext"/>
            </w:pPr>
            <w:r w:rsidRPr="008E2637">
              <w:t>2</w:t>
            </w:r>
            <w:r w:rsidR="005452CC" w:rsidRPr="008E2637">
              <w:t xml:space="preserve">.  </w:t>
            </w:r>
            <w:r w:rsidRPr="008E2637">
              <w:t>Schedule</w:t>
            </w:r>
            <w:r w:rsidR="008E2637" w:rsidRPr="008E2637">
              <w:t> </w:t>
            </w:r>
            <w:r w:rsidRPr="008E2637">
              <w:t>1, Part</w:t>
            </w:r>
            <w:r w:rsidR="008E2637" w:rsidRPr="008E2637">
              <w:t> </w:t>
            </w:r>
            <w:r w:rsidRPr="008E2637">
              <w:t>1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452CC" w:rsidRPr="008E2637" w:rsidRDefault="00EE5187">
            <w:pPr>
              <w:pStyle w:val="Tabletext"/>
            </w:pPr>
            <w:r w:rsidRPr="008E2637">
              <w:t>At the same time as Schedule</w:t>
            </w:r>
            <w:r w:rsidR="008E2637" w:rsidRPr="008E2637">
              <w:t> </w:t>
            </w:r>
            <w:r w:rsidRPr="008E2637">
              <w:t xml:space="preserve">1 to the </w:t>
            </w:r>
            <w:r w:rsidRPr="008E2637">
              <w:rPr>
                <w:i/>
              </w:rPr>
              <w:t>Customs Amendment (Singapore</w:t>
            </w:r>
            <w:r w:rsidR="008E2637">
              <w:rPr>
                <w:i/>
              </w:rPr>
              <w:noBreakHyphen/>
            </w:r>
            <w:r w:rsidRPr="008E2637">
              <w:rPr>
                <w:i/>
              </w:rPr>
              <w:t>Australia Free Trade Agreement Amendment Implementation) Act 2017</w:t>
            </w:r>
            <w:r w:rsidRPr="008E2637">
              <w:t xml:space="preserve"> commences.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452CC" w:rsidRPr="008E2637" w:rsidRDefault="004B72B7">
            <w:pPr>
              <w:pStyle w:val="Tabletext"/>
            </w:pPr>
            <w:r>
              <w:t>1 December 2017</w:t>
            </w:r>
          </w:p>
        </w:tc>
      </w:tr>
      <w:tr w:rsidR="005452CC" w:rsidRPr="008E2637" w:rsidTr="00CA7CDF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5452CC" w:rsidRPr="008E2637" w:rsidRDefault="00EE5187" w:rsidP="00EE5187">
            <w:pPr>
              <w:pStyle w:val="Tabletext"/>
            </w:pPr>
            <w:r w:rsidRPr="008E2637">
              <w:t>3</w:t>
            </w:r>
            <w:r w:rsidR="005452CC" w:rsidRPr="008E2637">
              <w:t xml:space="preserve">.  </w:t>
            </w:r>
            <w:r w:rsidRPr="008E2637">
              <w:t>Schedule</w:t>
            </w:r>
            <w:r w:rsidR="008E2637" w:rsidRPr="008E2637">
              <w:t> </w:t>
            </w:r>
            <w:r w:rsidRPr="008E2637">
              <w:t>1, Part</w:t>
            </w:r>
            <w:r w:rsidR="008E2637" w:rsidRPr="008E2637">
              <w:t> </w:t>
            </w:r>
            <w:r w:rsidRPr="008E2637">
              <w:t>2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5452CC" w:rsidRPr="008E2637" w:rsidRDefault="00EE5187">
            <w:pPr>
              <w:pStyle w:val="Tabletext"/>
            </w:pPr>
            <w:r w:rsidRPr="008E2637">
              <w:t>At the same time as Schedule</w:t>
            </w:r>
            <w:r w:rsidR="008E2637" w:rsidRPr="008E2637">
              <w:t> </w:t>
            </w:r>
            <w:r w:rsidRPr="008E2637">
              <w:t xml:space="preserve">2 to the </w:t>
            </w:r>
            <w:r w:rsidRPr="008E2637">
              <w:rPr>
                <w:i/>
              </w:rPr>
              <w:t>Customs Amendment (Singapore</w:t>
            </w:r>
            <w:r w:rsidR="008E2637">
              <w:rPr>
                <w:i/>
              </w:rPr>
              <w:noBreakHyphen/>
            </w:r>
            <w:r w:rsidRPr="008E2637">
              <w:rPr>
                <w:i/>
              </w:rPr>
              <w:t>Australia Free Trade Agreement Amendment Implementation) Act 2017</w:t>
            </w:r>
            <w:r w:rsidRPr="008E2637">
              <w:t xml:space="preserve"> commences.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5452CC" w:rsidRPr="008E2637" w:rsidRDefault="004B72B7">
            <w:pPr>
              <w:pStyle w:val="Tabletext"/>
            </w:pPr>
            <w:r>
              <w:t>1 December 2020</w:t>
            </w:r>
            <w:bookmarkStart w:id="2" w:name="_GoBack"/>
            <w:bookmarkEnd w:id="2"/>
          </w:p>
        </w:tc>
      </w:tr>
    </w:tbl>
    <w:p w:rsidR="005452CC" w:rsidRPr="008E2637" w:rsidRDefault="005452CC" w:rsidP="00D21F74">
      <w:pPr>
        <w:pStyle w:val="notetext"/>
      </w:pPr>
      <w:r w:rsidRPr="008E2637">
        <w:rPr>
          <w:snapToGrid w:val="0"/>
          <w:lang w:eastAsia="en-US"/>
        </w:rPr>
        <w:t>Note:</w:t>
      </w:r>
      <w:r w:rsidRPr="008E2637">
        <w:rPr>
          <w:snapToGrid w:val="0"/>
          <w:lang w:eastAsia="en-US"/>
        </w:rPr>
        <w:tab/>
        <w:t xml:space="preserve">This table relates only to the provisions of </w:t>
      </w:r>
      <w:r w:rsidR="00271B07" w:rsidRPr="008E2637">
        <w:rPr>
          <w:snapToGrid w:val="0"/>
          <w:lang w:eastAsia="en-US"/>
        </w:rPr>
        <w:t>this instrument</w:t>
      </w:r>
      <w:r w:rsidRPr="008E2637">
        <w:t xml:space="preserve"> </w:t>
      </w:r>
      <w:r w:rsidRPr="008E2637">
        <w:rPr>
          <w:snapToGrid w:val="0"/>
          <w:lang w:eastAsia="en-US"/>
        </w:rPr>
        <w:t xml:space="preserve">as originally made. It will not be amended to deal with any later amendments of </w:t>
      </w:r>
      <w:r w:rsidR="00271B07" w:rsidRPr="008E2637">
        <w:rPr>
          <w:snapToGrid w:val="0"/>
          <w:lang w:eastAsia="en-US"/>
        </w:rPr>
        <w:t>this instrument</w:t>
      </w:r>
      <w:r w:rsidRPr="008E2637">
        <w:rPr>
          <w:snapToGrid w:val="0"/>
          <w:lang w:eastAsia="en-US"/>
        </w:rPr>
        <w:t>.</w:t>
      </w:r>
    </w:p>
    <w:p w:rsidR="005452CC" w:rsidRPr="008E2637" w:rsidRDefault="005452CC" w:rsidP="00D455E3">
      <w:pPr>
        <w:pStyle w:val="subsection"/>
      </w:pPr>
      <w:r w:rsidRPr="008E2637">
        <w:tab/>
        <w:t>(2)</w:t>
      </w:r>
      <w:r w:rsidRPr="008E2637">
        <w:tab/>
        <w:t xml:space="preserve">Any information in column 3 of the table is not part of </w:t>
      </w:r>
      <w:r w:rsidR="00271B07" w:rsidRPr="008E2637">
        <w:t>this instrument</w:t>
      </w:r>
      <w:r w:rsidRPr="008E2637">
        <w:t xml:space="preserve">. Information may be inserted in this column, or information in it may be edited, in any published version of </w:t>
      </w:r>
      <w:r w:rsidR="00271B07" w:rsidRPr="008E2637">
        <w:t>this instrument</w:t>
      </w:r>
      <w:r w:rsidRPr="008E2637">
        <w:t>.</w:t>
      </w:r>
    </w:p>
    <w:p w:rsidR="005452CC" w:rsidRPr="008E2637" w:rsidRDefault="005452CC" w:rsidP="004F676E">
      <w:pPr>
        <w:pStyle w:val="subsection"/>
      </w:pPr>
    </w:p>
    <w:p w:rsidR="00BF6650" w:rsidRPr="008E2637" w:rsidRDefault="00BF6650" w:rsidP="00BF6650">
      <w:pPr>
        <w:pStyle w:val="ActHead5"/>
      </w:pPr>
      <w:bookmarkStart w:id="3" w:name="_Toc496693841"/>
      <w:r w:rsidRPr="008E2637">
        <w:rPr>
          <w:rStyle w:val="CharSectno"/>
        </w:rPr>
        <w:t>3</w:t>
      </w:r>
      <w:r w:rsidRPr="008E2637">
        <w:t xml:space="preserve">  Authority</w:t>
      </w:r>
      <w:bookmarkEnd w:id="3"/>
    </w:p>
    <w:p w:rsidR="00BF6650" w:rsidRPr="008E2637" w:rsidRDefault="00BF6650" w:rsidP="00BF6650">
      <w:pPr>
        <w:pStyle w:val="subsection"/>
      </w:pPr>
      <w:r w:rsidRPr="008E2637">
        <w:tab/>
      </w:r>
      <w:r w:rsidRPr="008E2637">
        <w:tab/>
      </w:r>
      <w:r w:rsidR="00271B07" w:rsidRPr="008E2637">
        <w:t>This instrument is</w:t>
      </w:r>
      <w:r w:rsidRPr="008E2637">
        <w:t xml:space="preserve"> </w:t>
      </w:r>
      <w:r w:rsidR="000163E4" w:rsidRPr="008E2637">
        <w:t xml:space="preserve">made under the </w:t>
      </w:r>
      <w:r w:rsidR="000163E4" w:rsidRPr="008E2637">
        <w:rPr>
          <w:i/>
        </w:rPr>
        <w:t>Customs Act 1901</w:t>
      </w:r>
      <w:r w:rsidR="000163E4" w:rsidRPr="008E2637">
        <w:t>.</w:t>
      </w:r>
    </w:p>
    <w:p w:rsidR="00557C7A" w:rsidRPr="008E2637" w:rsidRDefault="00BF6650" w:rsidP="00557C7A">
      <w:pPr>
        <w:pStyle w:val="ActHead5"/>
      </w:pPr>
      <w:bookmarkStart w:id="4" w:name="_Toc496693842"/>
      <w:r w:rsidRPr="008E2637">
        <w:rPr>
          <w:rStyle w:val="CharSectno"/>
        </w:rPr>
        <w:t>4</w:t>
      </w:r>
      <w:r w:rsidR="00557C7A" w:rsidRPr="008E2637">
        <w:t xml:space="preserve">  </w:t>
      </w:r>
      <w:r w:rsidR="00083F48" w:rsidRPr="008E2637">
        <w:t>Schedules</w:t>
      </w:r>
      <w:bookmarkEnd w:id="4"/>
    </w:p>
    <w:p w:rsidR="00557C7A" w:rsidRPr="008E2637" w:rsidRDefault="00557C7A" w:rsidP="00557C7A">
      <w:pPr>
        <w:pStyle w:val="subsection"/>
      </w:pPr>
      <w:r w:rsidRPr="008E2637">
        <w:tab/>
      </w:r>
      <w:r w:rsidRPr="008E2637">
        <w:tab/>
      </w:r>
      <w:r w:rsidR="00083F48" w:rsidRPr="008E2637">
        <w:t xml:space="preserve">Each </w:t>
      </w:r>
      <w:r w:rsidR="00160BD7" w:rsidRPr="008E2637">
        <w:t>instrument</w:t>
      </w:r>
      <w:r w:rsidR="00083F48" w:rsidRPr="008E2637">
        <w:t xml:space="preserve"> that is specified in a Schedule to </w:t>
      </w:r>
      <w:r w:rsidR="00271B07" w:rsidRPr="008E2637">
        <w:t>this instrument</w:t>
      </w:r>
      <w:r w:rsidR="00083F48" w:rsidRPr="008E2637">
        <w:t xml:space="preserve"> is amended or repealed as set out in the applicable items in the Schedule concerned, and any other item in a Schedule to </w:t>
      </w:r>
      <w:r w:rsidR="00271B07" w:rsidRPr="008E2637">
        <w:t>this instrument</w:t>
      </w:r>
      <w:r w:rsidR="00083F48" w:rsidRPr="008E2637">
        <w:t xml:space="preserve"> has effect according to its terms.</w:t>
      </w:r>
    </w:p>
    <w:p w:rsidR="0048364F" w:rsidRPr="008E2637" w:rsidRDefault="0048364F" w:rsidP="009C5989">
      <w:pPr>
        <w:pStyle w:val="ActHead6"/>
        <w:pageBreakBefore/>
      </w:pPr>
      <w:bookmarkStart w:id="5" w:name="_Toc496693843"/>
      <w:bookmarkStart w:id="6" w:name="opcAmSched"/>
      <w:bookmarkStart w:id="7" w:name="opcCurrentFind"/>
      <w:r w:rsidRPr="008E2637">
        <w:rPr>
          <w:rStyle w:val="CharAmSchNo"/>
        </w:rPr>
        <w:t>Schedule</w:t>
      </w:r>
      <w:r w:rsidR="008E2637" w:rsidRPr="008E2637">
        <w:rPr>
          <w:rStyle w:val="CharAmSchNo"/>
        </w:rPr>
        <w:t> </w:t>
      </w:r>
      <w:r w:rsidRPr="008E2637">
        <w:rPr>
          <w:rStyle w:val="CharAmSchNo"/>
        </w:rPr>
        <w:t>1</w:t>
      </w:r>
      <w:r w:rsidRPr="008E2637">
        <w:t>—</w:t>
      </w:r>
      <w:r w:rsidR="00460499" w:rsidRPr="008E2637">
        <w:rPr>
          <w:rStyle w:val="CharAmSchText"/>
        </w:rPr>
        <w:t>Amendments</w:t>
      </w:r>
      <w:bookmarkEnd w:id="5"/>
    </w:p>
    <w:p w:rsidR="00EE5187" w:rsidRPr="008E2637" w:rsidRDefault="00EE5187" w:rsidP="00EE5187">
      <w:pPr>
        <w:pStyle w:val="ActHead7"/>
      </w:pPr>
      <w:bookmarkStart w:id="8" w:name="_Toc496693844"/>
      <w:bookmarkEnd w:id="6"/>
      <w:bookmarkEnd w:id="7"/>
      <w:r w:rsidRPr="008E2637">
        <w:rPr>
          <w:rStyle w:val="CharAmPartNo"/>
        </w:rPr>
        <w:t>Part</w:t>
      </w:r>
      <w:r w:rsidR="008E2637" w:rsidRPr="008E2637">
        <w:rPr>
          <w:rStyle w:val="CharAmPartNo"/>
        </w:rPr>
        <w:t> </w:t>
      </w:r>
      <w:r w:rsidRPr="008E2637">
        <w:rPr>
          <w:rStyle w:val="CharAmPartNo"/>
        </w:rPr>
        <w:t>1</w:t>
      </w:r>
      <w:r w:rsidRPr="008E2637">
        <w:t>—</w:t>
      </w:r>
      <w:r w:rsidRPr="008E2637">
        <w:rPr>
          <w:rStyle w:val="CharAmPartText"/>
        </w:rPr>
        <w:t>Main amendments</w:t>
      </w:r>
      <w:bookmarkEnd w:id="8"/>
    </w:p>
    <w:p w:rsidR="0084172C" w:rsidRPr="008E2637" w:rsidRDefault="00C35FB6" w:rsidP="00EA0D36">
      <w:pPr>
        <w:pStyle w:val="ActHead9"/>
      </w:pPr>
      <w:bookmarkStart w:id="9" w:name="_Toc496693845"/>
      <w:r w:rsidRPr="008E2637">
        <w:t>Customs (International Obligations) Regulation</w:t>
      </w:r>
      <w:r w:rsidR="008E2637" w:rsidRPr="008E2637">
        <w:t> </w:t>
      </w:r>
      <w:r w:rsidRPr="008E2637">
        <w:t>2015</w:t>
      </w:r>
      <w:bookmarkEnd w:id="9"/>
    </w:p>
    <w:p w:rsidR="00867598" w:rsidRPr="008E2637" w:rsidRDefault="00734449" w:rsidP="00867598">
      <w:pPr>
        <w:pStyle w:val="ItemHead"/>
      </w:pPr>
      <w:r w:rsidRPr="008E2637">
        <w:t>1</w:t>
      </w:r>
      <w:r w:rsidR="00867598" w:rsidRPr="008E2637">
        <w:t xml:space="preserve">  Section</w:t>
      </w:r>
      <w:r w:rsidR="008E2637" w:rsidRPr="008E2637">
        <w:t> </w:t>
      </w:r>
      <w:r w:rsidR="00867598" w:rsidRPr="008E2637">
        <w:t xml:space="preserve">4 (before </w:t>
      </w:r>
      <w:r w:rsidR="008E2637" w:rsidRPr="008E2637">
        <w:t>paragraph (</w:t>
      </w:r>
      <w:r w:rsidR="00867598" w:rsidRPr="008E2637">
        <w:t xml:space="preserve">a) of the definition of </w:t>
      </w:r>
      <w:r w:rsidR="00867598" w:rsidRPr="008E2637">
        <w:rPr>
          <w:i/>
        </w:rPr>
        <w:t>Australian originating goods</w:t>
      </w:r>
      <w:r w:rsidR="00867598" w:rsidRPr="008E2637">
        <w:t>)</w:t>
      </w:r>
    </w:p>
    <w:p w:rsidR="00867598" w:rsidRPr="008E2637" w:rsidRDefault="00867598" w:rsidP="00867598">
      <w:pPr>
        <w:pStyle w:val="Item"/>
      </w:pPr>
      <w:r w:rsidRPr="008E2637">
        <w:t>Insert:</w:t>
      </w:r>
    </w:p>
    <w:p w:rsidR="00867598" w:rsidRPr="008E2637" w:rsidRDefault="00867598" w:rsidP="00867598">
      <w:pPr>
        <w:pStyle w:val="paragraph"/>
      </w:pPr>
      <w:r w:rsidRPr="008E2637">
        <w:tab/>
        <w:t>(aa)</w:t>
      </w:r>
      <w:r w:rsidRPr="008E2637">
        <w:tab/>
        <w:t>in Division</w:t>
      </w:r>
      <w:r w:rsidR="008E2637" w:rsidRPr="008E2637">
        <w:t> </w:t>
      </w:r>
      <w:r w:rsidRPr="008E2637">
        <w:t>1 of Part</w:t>
      </w:r>
      <w:r w:rsidR="008E2637" w:rsidRPr="008E2637">
        <w:t> </w:t>
      </w:r>
      <w:r w:rsidRPr="008E2637">
        <w:t>3—has the meaning given by subsection</w:t>
      </w:r>
      <w:r w:rsidR="008E2637" w:rsidRPr="008E2637">
        <w:t> </w:t>
      </w:r>
      <w:r w:rsidRPr="008E2637">
        <w:t>153XD(1) of the Act; or</w:t>
      </w:r>
    </w:p>
    <w:p w:rsidR="00D843C4" w:rsidRPr="008E2637" w:rsidRDefault="00734449" w:rsidP="00D843C4">
      <w:pPr>
        <w:pStyle w:val="ItemHead"/>
      </w:pPr>
      <w:r w:rsidRPr="008E2637">
        <w:t>2</w:t>
      </w:r>
      <w:r w:rsidR="00D843C4" w:rsidRPr="008E2637">
        <w:t xml:space="preserve">  Section</w:t>
      </w:r>
      <w:r w:rsidR="008E2637" w:rsidRPr="008E2637">
        <w:t> </w:t>
      </w:r>
      <w:r w:rsidR="00D843C4" w:rsidRPr="008E2637">
        <w:t xml:space="preserve">4 (definition of </w:t>
      </w:r>
      <w:proofErr w:type="spellStart"/>
      <w:r w:rsidR="00D843C4" w:rsidRPr="008E2637">
        <w:rPr>
          <w:i/>
        </w:rPr>
        <w:t>SAFTA</w:t>
      </w:r>
      <w:proofErr w:type="spellEnd"/>
      <w:r w:rsidR="00D843C4" w:rsidRPr="008E2637">
        <w:t>)</w:t>
      </w:r>
    </w:p>
    <w:p w:rsidR="00D843C4" w:rsidRPr="008E2637" w:rsidRDefault="00D843C4" w:rsidP="00D843C4">
      <w:pPr>
        <w:pStyle w:val="Item"/>
      </w:pPr>
      <w:r w:rsidRPr="008E2637">
        <w:t>Repeal the definition, substitute:</w:t>
      </w:r>
    </w:p>
    <w:p w:rsidR="006050BB" w:rsidRPr="008E2637" w:rsidRDefault="00D843C4" w:rsidP="006050BB">
      <w:pPr>
        <w:pStyle w:val="Definition"/>
      </w:pPr>
      <w:proofErr w:type="spellStart"/>
      <w:r w:rsidRPr="008E2637">
        <w:rPr>
          <w:b/>
          <w:i/>
        </w:rPr>
        <w:t>SAFTA</w:t>
      </w:r>
      <w:proofErr w:type="spellEnd"/>
      <w:r w:rsidRPr="008E2637">
        <w:rPr>
          <w:b/>
          <w:i/>
        </w:rPr>
        <w:t xml:space="preserve"> </w:t>
      </w:r>
      <w:r w:rsidR="006050BB" w:rsidRPr="008E2637">
        <w:t>means the Singapore</w:t>
      </w:r>
      <w:r w:rsidR="008E2637">
        <w:noBreakHyphen/>
      </w:r>
      <w:r w:rsidR="006050BB" w:rsidRPr="008E2637">
        <w:t>Australia Free Trade Agreement done at Singapore on 17</w:t>
      </w:r>
      <w:r w:rsidR="008E2637" w:rsidRPr="008E2637">
        <w:t> </w:t>
      </w:r>
      <w:r w:rsidR="006050BB" w:rsidRPr="008E2637">
        <w:t>February 2003, as amended from time to time.</w:t>
      </w:r>
    </w:p>
    <w:p w:rsidR="006050BB" w:rsidRPr="008E2637" w:rsidRDefault="006050BB" w:rsidP="006050BB">
      <w:pPr>
        <w:pStyle w:val="notetext"/>
      </w:pPr>
      <w:r w:rsidRPr="008E2637">
        <w:t>Note:</w:t>
      </w:r>
      <w:r w:rsidRPr="008E2637">
        <w:tab/>
        <w:t>The Agreement is in Australian Treaty Series 2003 No.</w:t>
      </w:r>
      <w:r w:rsidR="008E2637" w:rsidRPr="008E2637">
        <w:t> </w:t>
      </w:r>
      <w:r w:rsidRPr="008E2637">
        <w:t xml:space="preserve">16 ([2003] ATS 16) and could in 2017 be viewed in the Australian Treaties Library on the </w:t>
      </w:r>
      <w:proofErr w:type="spellStart"/>
      <w:r w:rsidRPr="008E2637">
        <w:t>AustLII</w:t>
      </w:r>
      <w:proofErr w:type="spellEnd"/>
      <w:r w:rsidRPr="008E2637">
        <w:t xml:space="preserve"> website (http://www.austlii.edu.au).</w:t>
      </w:r>
    </w:p>
    <w:p w:rsidR="00B82245" w:rsidRPr="008E2637" w:rsidRDefault="00734449" w:rsidP="00B82245">
      <w:pPr>
        <w:pStyle w:val="ItemHead"/>
      </w:pPr>
      <w:r w:rsidRPr="008E2637">
        <w:t>3</w:t>
      </w:r>
      <w:r w:rsidR="00B82245" w:rsidRPr="008E2637">
        <w:t xml:space="preserve">  Section</w:t>
      </w:r>
      <w:r w:rsidR="008E2637" w:rsidRPr="008E2637">
        <w:t> </w:t>
      </w:r>
      <w:r w:rsidR="00B82245" w:rsidRPr="008E2637">
        <w:t>4</w:t>
      </w:r>
    </w:p>
    <w:p w:rsidR="00B82245" w:rsidRPr="008E2637" w:rsidRDefault="00B82245" w:rsidP="00B82245">
      <w:pPr>
        <w:pStyle w:val="Item"/>
      </w:pPr>
      <w:r w:rsidRPr="008E2637">
        <w:t>Insert:</w:t>
      </w:r>
    </w:p>
    <w:p w:rsidR="00B82245" w:rsidRPr="008E2637" w:rsidRDefault="00B82245" w:rsidP="00B82245">
      <w:pPr>
        <w:pStyle w:val="Definition"/>
      </w:pPr>
      <w:r w:rsidRPr="008E2637">
        <w:rPr>
          <w:b/>
          <w:i/>
        </w:rPr>
        <w:t>Singaporean originating goods</w:t>
      </w:r>
      <w:r w:rsidRPr="008E2637">
        <w:t xml:space="preserve"> has the meaning given by subsection</w:t>
      </w:r>
      <w:r w:rsidR="008E2637" w:rsidRPr="008E2637">
        <w:t> </w:t>
      </w:r>
      <w:r w:rsidRPr="008E2637">
        <w:t>153XD(1) of the Act.</w:t>
      </w:r>
    </w:p>
    <w:p w:rsidR="003925C0" w:rsidRPr="008E2637" w:rsidRDefault="00734449" w:rsidP="003925C0">
      <w:pPr>
        <w:pStyle w:val="ItemHead"/>
      </w:pPr>
      <w:r w:rsidRPr="008E2637">
        <w:t>4</w:t>
      </w:r>
      <w:r w:rsidR="003925C0" w:rsidRPr="008E2637">
        <w:t xml:space="preserve">  Section</w:t>
      </w:r>
      <w:r w:rsidR="008E2637" w:rsidRPr="008E2637">
        <w:t> </w:t>
      </w:r>
      <w:r w:rsidR="003925C0" w:rsidRPr="008E2637">
        <w:t>7 (heading)</w:t>
      </w:r>
    </w:p>
    <w:p w:rsidR="003925C0" w:rsidRPr="008E2637" w:rsidRDefault="003925C0" w:rsidP="003925C0">
      <w:pPr>
        <w:pStyle w:val="Item"/>
      </w:pPr>
      <w:r w:rsidRPr="008E2637">
        <w:t>Repeal the heading, substitute:</w:t>
      </w:r>
    </w:p>
    <w:p w:rsidR="003925C0" w:rsidRPr="008E2637" w:rsidRDefault="003925C0" w:rsidP="003925C0">
      <w:pPr>
        <w:pStyle w:val="ActHead5"/>
      </w:pPr>
      <w:bookmarkStart w:id="10" w:name="_Toc496693846"/>
      <w:r w:rsidRPr="008E2637">
        <w:rPr>
          <w:rStyle w:val="CharSectno"/>
        </w:rPr>
        <w:t>7</w:t>
      </w:r>
      <w:r w:rsidRPr="008E2637">
        <w:t xml:space="preserve">  Record keeping for the producer or manufacturer of goods claimed to be the produce or manufacture of Australia</w:t>
      </w:r>
      <w:bookmarkEnd w:id="10"/>
    </w:p>
    <w:p w:rsidR="003925C0" w:rsidRPr="008E2637" w:rsidRDefault="00734449" w:rsidP="003925C0">
      <w:pPr>
        <w:pStyle w:val="ItemHead"/>
      </w:pPr>
      <w:r w:rsidRPr="008E2637">
        <w:t>5</w:t>
      </w:r>
      <w:r w:rsidR="003925C0" w:rsidRPr="008E2637">
        <w:t xml:space="preserve">  Before subsection</w:t>
      </w:r>
      <w:r w:rsidR="008E2637" w:rsidRPr="008E2637">
        <w:t> </w:t>
      </w:r>
      <w:r w:rsidR="003925C0" w:rsidRPr="008E2637">
        <w:t>7(1)</w:t>
      </w:r>
    </w:p>
    <w:p w:rsidR="003925C0" w:rsidRPr="008E2637" w:rsidRDefault="003925C0" w:rsidP="003925C0">
      <w:pPr>
        <w:pStyle w:val="Item"/>
      </w:pPr>
      <w:r w:rsidRPr="008E2637">
        <w:t>Insert:</w:t>
      </w:r>
    </w:p>
    <w:p w:rsidR="003925C0" w:rsidRPr="008E2637" w:rsidRDefault="003925C0" w:rsidP="003925C0">
      <w:pPr>
        <w:pStyle w:val="subsection"/>
      </w:pPr>
      <w:r w:rsidRPr="008E2637">
        <w:tab/>
        <w:t>(1A)</w:t>
      </w:r>
      <w:r w:rsidRPr="008E2637">
        <w:tab/>
        <w:t>This section applies in relation to goods that:</w:t>
      </w:r>
    </w:p>
    <w:p w:rsidR="003925C0" w:rsidRPr="008E2637" w:rsidRDefault="003925C0" w:rsidP="003925C0">
      <w:pPr>
        <w:pStyle w:val="paragraph"/>
      </w:pPr>
      <w:r w:rsidRPr="008E2637">
        <w:tab/>
        <w:t>(a)</w:t>
      </w:r>
      <w:r w:rsidRPr="008E2637">
        <w:tab/>
        <w:t>are exported to Singapore; and</w:t>
      </w:r>
    </w:p>
    <w:p w:rsidR="003925C0" w:rsidRPr="008E2637" w:rsidRDefault="003925C0" w:rsidP="003925C0">
      <w:pPr>
        <w:pStyle w:val="paragraph"/>
      </w:pPr>
      <w:r w:rsidRPr="008E2637">
        <w:tab/>
        <w:t>(b)</w:t>
      </w:r>
      <w:r w:rsidRPr="008E2637">
        <w:tab/>
        <w:t>are claimed to be the produce or manufacture of Australia for the purpose of obtaining a preferential tariff in Singapore.</w:t>
      </w:r>
    </w:p>
    <w:p w:rsidR="00C35FB6" w:rsidRPr="008E2637" w:rsidRDefault="00734449" w:rsidP="00572EDB">
      <w:pPr>
        <w:pStyle w:val="ItemHead"/>
      </w:pPr>
      <w:r w:rsidRPr="008E2637">
        <w:t>6</w:t>
      </w:r>
      <w:r w:rsidR="00C35FB6" w:rsidRPr="008E2637">
        <w:t xml:space="preserve">  </w:t>
      </w:r>
      <w:r w:rsidR="00572EDB" w:rsidRPr="008E2637">
        <w:t>Subsection</w:t>
      </w:r>
      <w:r w:rsidR="008E2637" w:rsidRPr="008E2637">
        <w:t> </w:t>
      </w:r>
      <w:r w:rsidR="00572EDB" w:rsidRPr="008E2637">
        <w:t>7(1)</w:t>
      </w:r>
    </w:p>
    <w:p w:rsidR="00572EDB" w:rsidRPr="008E2637" w:rsidRDefault="00572EDB" w:rsidP="00572EDB">
      <w:pPr>
        <w:pStyle w:val="Item"/>
      </w:pPr>
      <w:r w:rsidRPr="008E2637">
        <w:t>Omit “For section</w:t>
      </w:r>
      <w:r w:rsidR="008E2637" w:rsidRPr="008E2637">
        <w:t> </w:t>
      </w:r>
      <w:r w:rsidRPr="008E2637">
        <w:t>126AB of the Act, the producer or manufacturer (whether or not the producer or manufacturer is the exporter) of goods mentioned in that section”, substitute “</w:t>
      </w:r>
      <w:r w:rsidR="003925C0" w:rsidRPr="008E2637">
        <w:t>For the purposes of section</w:t>
      </w:r>
      <w:r w:rsidR="008E2637" w:rsidRPr="008E2637">
        <w:t> </w:t>
      </w:r>
      <w:r w:rsidR="003925C0" w:rsidRPr="008E2637">
        <w:t>126AB of the Act, the producer or manufacturer (whether or not the producer or manufacturer is the exporter) of the goods</w:t>
      </w:r>
      <w:r w:rsidRPr="008E2637">
        <w:t>”.</w:t>
      </w:r>
    </w:p>
    <w:p w:rsidR="00572EDB" w:rsidRPr="008E2637" w:rsidRDefault="00734449" w:rsidP="003925C0">
      <w:pPr>
        <w:pStyle w:val="ItemHead"/>
      </w:pPr>
      <w:r w:rsidRPr="008E2637">
        <w:t>7</w:t>
      </w:r>
      <w:r w:rsidR="003925C0" w:rsidRPr="008E2637">
        <w:t xml:space="preserve">  After section</w:t>
      </w:r>
      <w:r w:rsidR="008E2637" w:rsidRPr="008E2637">
        <w:t> </w:t>
      </w:r>
      <w:r w:rsidR="003925C0" w:rsidRPr="008E2637">
        <w:t>7</w:t>
      </w:r>
    </w:p>
    <w:p w:rsidR="003925C0" w:rsidRPr="008E2637" w:rsidRDefault="003925C0" w:rsidP="003925C0">
      <w:pPr>
        <w:pStyle w:val="Item"/>
      </w:pPr>
      <w:r w:rsidRPr="008E2637">
        <w:t>Insert:</w:t>
      </w:r>
    </w:p>
    <w:p w:rsidR="003925C0" w:rsidRPr="008E2637" w:rsidRDefault="003925C0" w:rsidP="003925C0">
      <w:pPr>
        <w:pStyle w:val="ActHead5"/>
      </w:pPr>
      <w:bookmarkStart w:id="11" w:name="_Toc496693847"/>
      <w:r w:rsidRPr="008E2637">
        <w:rPr>
          <w:rStyle w:val="CharSectno"/>
        </w:rPr>
        <w:t>7A</w:t>
      </w:r>
      <w:r w:rsidRPr="008E2637">
        <w:t xml:space="preserve">  Record keeping for the producer of goods claimed to be Australian originating goods</w:t>
      </w:r>
      <w:bookmarkEnd w:id="11"/>
    </w:p>
    <w:p w:rsidR="003925C0" w:rsidRPr="008E2637" w:rsidRDefault="003925C0" w:rsidP="003925C0">
      <w:pPr>
        <w:pStyle w:val="subsection"/>
      </w:pPr>
      <w:r w:rsidRPr="008E2637">
        <w:tab/>
        <w:t>(1)</w:t>
      </w:r>
      <w:r w:rsidRPr="008E2637">
        <w:tab/>
        <w:t>This section applies in relation to goods that:</w:t>
      </w:r>
    </w:p>
    <w:p w:rsidR="003925C0" w:rsidRPr="008E2637" w:rsidRDefault="003925C0" w:rsidP="003925C0">
      <w:pPr>
        <w:pStyle w:val="paragraph"/>
      </w:pPr>
      <w:r w:rsidRPr="008E2637">
        <w:tab/>
        <w:t>(a)</w:t>
      </w:r>
      <w:r w:rsidRPr="008E2637">
        <w:tab/>
        <w:t>are exported to Singapore; and</w:t>
      </w:r>
    </w:p>
    <w:p w:rsidR="003925C0" w:rsidRPr="008E2637" w:rsidRDefault="003925C0" w:rsidP="003925C0">
      <w:pPr>
        <w:pStyle w:val="paragraph"/>
      </w:pPr>
      <w:r w:rsidRPr="008E2637">
        <w:tab/>
        <w:t>(b)</w:t>
      </w:r>
      <w:r w:rsidRPr="008E2637">
        <w:tab/>
        <w:t>are claimed to be Australian originating goods for the purpose of obtaining a preferential tariff in Singapore.</w:t>
      </w:r>
    </w:p>
    <w:p w:rsidR="003925C0" w:rsidRPr="008E2637" w:rsidRDefault="003925C0" w:rsidP="003925C0">
      <w:pPr>
        <w:pStyle w:val="subsection"/>
      </w:pPr>
      <w:r w:rsidRPr="008E2637">
        <w:tab/>
        <w:t>(2)</w:t>
      </w:r>
      <w:r w:rsidRPr="008E2637">
        <w:tab/>
        <w:t>For the purposes of section</w:t>
      </w:r>
      <w:r w:rsidR="008E2637" w:rsidRPr="008E2637">
        <w:t> </w:t>
      </w:r>
      <w:r w:rsidRPr="008E2637">
        <w:t>126AB of the Act, the producer (whether or not the producer is the exporter) of the goods must keep the records set out in the following table.</w:t>
      </w:r>
    </w:p>
    <w:p w:rsidR="003925C0" w:rsidRPr="008E2637" w:rsidRDefault="003925C0" w:rsidP="003925C0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6373"/>
      </w:tblGrid>
      <w:tr w:rsidR="003925C0" w:rsidRPr="008E2637" w:rsidTr="009F3CDA">
        <w:trPr>
          <w:tblHeader/>
        </w:trPr>
        <w:tc>
          <w:tcPr>
            <w:tcW w:w="7087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3925C0" w:rsidRPr="008E2637" w:rsidRDefault="003925C0" w:rsidP="003925C0">
            <w:pPr>
              <w:pStyle w:val="TableHeading"/>
            </w:pPr>
            <w:r w:rsidRPr="008E2637">
              <w:t>Records to be kept by producers exporting goods to Singapore</w:t>
            </w:r>
          </w:p>
        </w:tc>
      </w:tr>
      <w:tr w:rsidR="003925C0" w:rsidRPr="008E2637" w:rsidTr="009F3CDA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925C0" w:rsidRPr="008E2637" w:rsidRDefault="003925C0" w:rsidP="009F3CDA">
            <w:pPr>
              <w:pStyle w:val="TableHeading"/>
            </w:pPr>
            <w:r w:rsidRPr="008E2637">
              <w:t>Item</w:t>
            </w:r>
          </w:p>
        </w:tc>
        <w:tc>
          <w:tcPr>
            <w:tcW w:w="637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925C0" w:rsidRPr="008E2637" w:rsidRDefault="003925C0" w:rsidP="009F3CDA">
            <w:pPr>
              <w:pStyle w:val="TableHeading"/>
            </w:pPr>
            <w:r w:rsidRPr="008E2637">
              <w:t>Records</w:t>
            </w:r>
          </w:p>
        </w:tc>
      </w:tr>
      <w:tr w:rsidR="003925C0" w:rsidRPr="008E2637" w:rsidTr="009F3CDA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3925C0" w:rsidRPr="008E2637" w:rsidRDefault="003925C0" w:rsidP="009F3CDA">
            <w:pPr>
              <w:pStyle w:val="Tabletext"/>
            </w:pPr>
            <w:r w:rsidRPr="008E2637">
              <w:t>1</w:t>
            </w:r>
          </w:p>
        </w:tc>
        <w:tc>
          <w:tcPr>
            <w:tcW w:w="6373" w:type="dxa"/>
            <w:tcBorders>
              <w:top w:val="single" w:sz="12" w:space="0" w:color="auto"/>
            </w:tcBorders>
            <w:shd w:val="clear" w:color="auto" w:fill="auto"/>
          </w:tcPr>
          <w:p w:rsidR="003925C0" w:rsidRPr="008E2637" w:rsidRDefault="003925C0" w:rsidP="009F3CDA">
            <w:pPr>
              <w:pStyle w:val="Tabletext"/>
            </w:pPr>
            <w:r w:rsidRPr="008E2637">
              <w:t>Records of the purchase of the goods</w:t>
            </w:r>
          </w:p>
        </w:tc>
      </w:tr>
      <w:tr w:rsidR="003925C0" w:rsidRPr="008E2637" w:rsidTr="009F3CDA">
        <w:tc>
          <w:tcPr>
            <w:tcW w:w="714" w:type="dxa"/>
            <w:shd w:val="clear" w:color="auto" w:fill="auto"/>
          </w:tcPr>
          <w:p w:rsidR="003925C0" w:rsidRPr="008E2637" w:rsidRDefault="003925C0" w:rsidP="009F3CDA">
            <w:pPr>
              <w:pStyle w:val="Tabletext"/>
            </w:pPr>
            <w:r w:rsidRPr="008E2637">
              <w:t>2</w:t>
            </w:r>
          </w:p>
        </w:tc>
        <w:tc>
          <w:tcPr>
            <w:tcW w:w="6373" w:type="dxa"/>
            <w:shd w:val="clear" w:color="auto" w:fill="auto"/>
          </w:tcPr>
          <w:p w:rsidR="003925C0" w:rsidRPr="008E2637" w:rsidRDefault="003925C0" w:rsidP="009F3CDA">
            <w:pPr>
              <w:pStyle w:val="Tabletext"/>
            </w:pPr>
            <w:r w:rsidRPr="008E2637">
              <w:t>Evidence that payment has been made for the goods</w:t>
            </w:r>
          </w:p>
        </w:tc>
      </w:tr>
      <w:tr w:rsidR="003925C0" w:rsidRPr="008E2637" w:rsidTr="009F3CDA">
        <w:tc>
          <w:tcPr>
            <w:tcW w:w="714" w:type="dxa"/>
            <w:shd w:val="clear" w:color="auto" w:fill="auto"/>
          </w:tcPr>
          <w:p w:rsidR="003925C0" w:rsidRPr="008E2637" w:rsidRDefault="003925C0" w:rsidP="009F3CDA">
            <w:pPr>
              <w:pStyle w:val="Tabletext"/>
            </w:pPr>
            <w:r w:rsidRPr="008E2637">
              <w:t>3</w:t>
            </w:r>
          </w:p>
        </w:tc>
        <w:tc>
          <w:tcPr>
            <w:tcW w:w="6373" w:type="dxa"/>
            <w:shd w:val="clear" w:color="auto" w:fill="auto"/>
          </w:tcPr>
          <w:p w:rsidR="003925C0" w:rsidRPr="008E2637" w:rsidRDefault="003925C0" w:rsidP="009F3CDA">
            <w:pPr>
              <w:pStyle w:val="Tabletext"/>
            </w:pPr>
            <w:r w:rsidRPr="008E2637">
              <w:t>Evidence of the cost of the goods in the form in which they were sold to the buyer</w:t>
            </w:r>
          </w:p>
        </w:tc>
      </w:tr>
      <w:tr w:rsidR="003925C0" w:rsidRPr="008E2637" w:rsidTr="009F3CDA">
        <w:tc>
          <w:tcPr>
            <w:tcW w:w="714" w:type="dxa"/>
            <w:shd w:val="clear" w:color="auto" w:fill="auto"/>
          </w:tcPr>
          <w:p w:rsidR="003925C0" w:rsidRPr="008E2637" w:rsidRDefault="003925C0" w:rsidP="009F3CDA">
            <w:pPr>
              <w:pStyle w:val="Tabletext"/>
            </w:pPr>
            <w:r w:rsidRPr="008E2637">
              <w:t>4</w:t>
            </w:r>
          </w:p>
        </w:tc>
        <w:tc>
          <w:tcPr>
            <w:tcW w:w="6373" w:type="dxa"/>
            <w:shd w:val="clear" w:color="auto" w:fill="auto"/>
          </w:tcPr>
          <w:p w:rsidR="003925C0" w:rsidRPr="008E2637" w:rsidRDefault="003925C0" w:rsidP="009F3CDA">
            <w:pPr>
              <w:pStyle w:val="Tabletext"/>
            </w:pPr>
            <w:r w:rsidRPr="008E2637">
              <w:t>Evidence of the value of the goods</w:t>
            </w:r>
          </w:p>
        </w:tc>
      </w:tr>
      <w:tr w:rsidR="003925C0" w:rsidRPr="008E2637" w:rsidTr="009F3CDA">
        <w:tc>
          <w:tcPr>
            <w:tcW w:w="714" w:type="dxa"/>
            <w:shd w:val="clear" w:color="auto" w:fill="auto"/>
          </w:tcPr>
          <w:p w:rsidR="003925C0" w:rsidRPr="008E2637" w:rsidRDefault="003925C0" w:rsidP="009F3CDA">
            <w:pPr>
              <w:pStyle w:val="Tabletext"/>
            </w:pPr>
            <w:r w:rsidRPr="008E2637">
              <w:t>5</w:t>
            </w:r>
          </w:p>
        </w:tc>
        <w:tc>
          <w:tcPr>
            <w:tcW w:w="6373" w:type="dxa"/>
            <w:shd w:val="clear" w:color="auto" w:fill="auto"/>
          </w:tcPr>
          <w:p w:rsidR="003925C0" w:rsidRPr="008E2637" w:rsidRDefault="003925C0" w:rsidP="003925C0">
            <w:pPr>
              <w:pStyle w:val="Tabletext"/>
            </w:pPr>
            <w:r w:rsidRPr="008E2637">
              <w:t>Records of the purchase of all materials that were purchased for use or consumption in the production of the goods</w:t>
            </w:r>
          </w:p>
        </w:tc>
      </w:tr>
      <w:tr w:rsidR="003925C0" w:rsidRPr="008E2637" w:rsidTr="009F3CDA">
        <w:tc>
          <w:tcPr>
            <w:tcW w:w="714" w:type="dxa"/>
            <w:shd w:val="clear" w:color="auto" w:fill="auto"/>
          </w:tcPr>
          <w:p w:rsidR="003925C0" w:rsidRPr="008E2637" w:rsidRDefault="003925C0" w:rsidP="009F3CDA">
            <w:pPr>
              <w:pStyle w:val="Tabletext"/>
            </w:pPr>
            <w:r w:rsidRPr="008E2637">
              <w:t>6</w:t>
            </w:r>
          </w:p>
        </w:tc>
        <w:tc>
          <w:tcPr>
            <w:tcW w:w="6373" w:type="dxa"/>
            <w:shd w:val="clear" w:color="auto" w:fill="auto"/>
          </w:tcPr>
          <w:p w:rsidR="003925C0" w:rsidRPr="008E2637" w:rsidRDefault="003925C0" w:rsidP="009F3CDA">
            <w:pPr>
              <w:pStyle w:val="Tabletext"/>
            </w:pPr>
            <w:r w:rsidRPr="008E2637">
              <w:t>Evidence that payment has been made for the materials mentioned in item</w:t>
            </w:r>
            <w:r w:rsidR="008E2637" w:rsidRPr="008E2637">
              <w:t> </w:t>
            </w:r>
            <w:r w:rsidRPr="008E2637">
              <w:t>5</w:t>
            </w:r>
          </w:p>
        </w:tc>
      </w:tr>
      <w:tr w:rsidR="003925C0" w:rsidRPr="008E2637" w:rsidTr="009F3CDA">
        <w:tc>
          <w:tcPr>
            <w:tcW w:w="714" w:type="dxa"/>
            <w:shd w:val="clear" w:color="auto" w:fill="auto"/>
          </w:tcPr>
          <w:p w:rsidR="003925C0" w:rsidRPr="008E2637" w:rsidRDefault="003925C0" w:rsidP="009F3CDA">
            <w:pPr>
              <w:pStyle w:val="Tabletext"/>
            </w:pPr>
            <w:r w:rsidRPr="008E2637">
              <w:t>7</w:t>
            </w:r>
          </w:p>
        </w:tc>
        <w:tc>
          <w:tcPr>
            <w:tcW w:w="6373" w:type="dxa"/>
            <w:shd w:val="clear" w:color="auto" w:fill="auto"/>
          </w:tcPr>
          <w:p w:rsidR="003925C0" w:rsidRPr="008E2637" w:rsidRDefault="003925C0" w:rsidP="003925C0">
            <w:pPr>
              <w:pStyle w:val="Tabletext"/>
            </w:pPr>
            <w:r w:rsidRPr="008E2637">
              <w:t>Evidence of the cost of the materials mentioned in item</w:t>
            </w:r>
            <w:r w:rsidR="008E2637" w:rsidRPr="008E2637">
              <w:t> </w:t>
            </w:r>
            <w:r w:rsidRPr="008E2637">
              <w:t>5 in the form in which they were sold to the producer</w:t>
            </w:r>
          </w:p>
        </w:tc>
      </w:tr>
      <w:tr w:rsidR="003925C0" w:rsidRPr="008E2637" w:rsidTr="009F3CDA">
        <w:tc>
          <w:tcPr>
            <w:tcW w:w="714" w:type="dxa"/>
            <w:shd w:val="clear" w:color="auto" w:fill="auto"/>
          </w:tcPr>
          <w:p w:rsidR="003925C0" w:rsidRPr="008E2637" w:rsidRDefault="003925C0" w:rsidP="009F3CDA">
            <w:pPr>
              <w:pStyle w:val="Tabletext"/>
            </w:pPr>
            <w:r w:rsidRPr="008E2637">
              <w:t>8</w:t>
            </w:r>
          </w:p>
        </w:tc>
        <w:tc>
          <w:tcPr>
            <w:tcW w:w="6373" w:type="dxa"/>
            <w:shd w:val="clear" w:color="auto" w:fill="auto"/>
          </w:tcPr>
          <w:p w:rsidR="003925C0" w:rsidRPr="008E2637" w:rsidRDefault="003925C0" w:rsidP="009F3CDA">
            <w:pPr>
              <w:pStyle w:val="Tabletext"/>
            </w:pPr>
            <w:r w:rsidRPr="008E2637">
              <w:t>Evidence of the value of the materials mentioned in item</w:t>
            </w:r>
            <w:r w:rsidR="008E2637" w:rsidRPr="008E2637">
              <w:t> </w:t>
            </w:r>
            <w:r w:rsidRPr="008E2637">
              <w:t>5</w:t>
            </w:r>
          </w:p>
        </w:tc>
      </w:tr>
      <w:tr w:rsidR="003925C0" w:rsidRPr="008E2637" w:rsidTr="009F3CDA">
        <w:tc>
          <w:tcPr>
            <w:tcW w:w="714" w:type="dxa"/>
            <w:shd w:val="clear" w:color="auto" w:fill="auto"/>
          </w:tcPr>
          <w:p w:rsidR="003925C0" w:rsidRPr="008E2637" w:rsidRDefault="003925C0" w:rsidP="009F3CDA">
            <w:pPr>
              <w:pStyle w:val="Tabletext"/>
            </w:pPr>
            <w:r w:rsidRPr="008E2637">
              <w:t>9</w:t>
            </w:r>
          </w:p>
        </w:tc>
        <w:tc>
          <w:tcPr>
            <w:tcW w:w="6373" w:type="dxa"/>
            <w:shd w:val="clear" w:color="auto" w:fill="auto"/>
          </w:tcPr>
          <w:p w:rsidR="003925C0" w:rsidRPr="008E2637" w:rsidRDefault="003925C0" w:rsidP="00C64D82">
            <w:pPr>
              <w:pStyle w:val="Tabletext"/>
            </w:pPr>
            <w:r w:rsidRPr="008E2637">
              <w:t>Records of the production of the goods</w:t>
            </w:r>
          </w:p>
        </w:tc>
      </w:tr>
      <w:tr w:rsidR="00E35454" w:rsidRPr="008E2637" w:rsidTr="009F3CDA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:rsidR="00E35454" w:rsidRPr="008E2637" w:rsidRDefault="00E35454" w:rsidP="009F3CDA">
            <w:pPr>
              <w:pStyle w:val="Tabletext"/>
            </w:pPr>
            <w:r w:rsidRPr="008E2637">
              <w:t>10</w:t>
            </w:r>
          </w:p>
        </w:tc>
        <w:tc>
          <w:tcPr>
            <w:tcW w:w="6373" w:type="dxa"/>
            <w:tcBorders>
              <w:bottom w:val="single" w:sz="12" w:space="0" w:color="auto"/>
            </w:tcBorders>
            <w:shd w:val="clear" w:color="auto" w:fill="auto"/>
          </w:tcPr>
          <w:p w:rsidR="00E35454" w:rsidRPr="008E2637" w:rsidRDefault="00E35454" w:rsidP="009F3CDA">
            <w:pPr>
              <w:pStyle w:val="Tabletext"/>
            </w:pPr>
            <w:r w:rsidRPr="008E2637">
              <w:t>A copy of the certification of origin (within the meaning of section</w:t>
            </w:r>
            <w:r w:rsidR="008E2637" w:rsidRPr="008E2637">
              <w:t> </w:t>
            </w:r>
            <w:r w:rsidRPr="008E2637">
              <w:t>153XD of the Act) in relation to the goods</w:t>
            </w:r>
          </w:p>
        </w:tc>
      </w:tr>
    </w:tbl>
    <w:p w:rsidR="003925C0" w:rsidRPr="008E2637" w:rsidRDefault="003925C0" w:rsidP="003925C0">
      <w:pPr>
        <w:pStyle w:val="subsection"/>
      </w:pPr>
      <w:r w:rsidRPr="008E2637">
        <w:tab/>
      </w:r>
      <w:r w:rsidR="009F124A" w:rsidRPr="008E2637">
        <w:t>(3</w:t>
      </w:r>
      <w:r w:rsidRPr="008E2637">
        <w:t>)</w:t>
      </w:r>
      <w:r w:rsidRPr="008E2637">
        <w:tab/>
        <w:t xml:space="preserve">The producer must keep the records for </w:t>
      </w:r>
      <w:r w:rsidR="00C64D82" w:rsidRPr="008E2637">
        <w:t>at least 5 years starting on the da</w:t>
      </w:r>
      <w:r w:rsidR="009F124A" w:rsidRPr="008E2637">
        <w:t>y</w:t>
      </w:r>
      <w:r w:rsidR="00C64D82" w:rsidRPr="008E2637">
        <w:t xml:space="preserve"> the certification of origin (within the meaning of section</w:t>
      </w:r>
      <w:r w:rsidR="008E2637" w:rsidRPr="008E2637">
        <w:t> </w:t>
      </w:r>
      <w:r w:rsidR="00C64D82" w:rsidRPr="008E2637">
        <w:t>153XD of the Act) for the goods is issued.</w:t>
      </w:r>
    </w:p>
    <w:p w:rsidR="003925C0" w:rsidRPr="008E2637" w:rsidRDefault="003925C0" w:rsidP="003925C0">
      <w:pPr>
        <w:pStyle w:val="subsection"/>
      </w:pPr>
      <w:r w:rsidRPr="008E2637">
        <w:tab/>
        <w:t>(</w:t>
      </w:r>
      <w:r w:rsidR="009F124A" w:rsidRPr="008E2637">
        <w:t>4</w:t>
      </w:r>
      <w:r w:rsidRPr="008E2637">
        <w:t>)</w:t>
      </w:r>
      <w:r w:rsidRPr="008E2637">
        <w:tab/>
        <w:t>The producer may keep a record under this section at any place (whether or not in Australia).</w:t>
      </w:r>
    </w:p>
    <w:p w:rsidR="00A64255" w:rsidRPr="008E2637" w:rsidRDefault="00734449" w:rsidP="00A64255">
      <w:pPr>
        <w:pStyle w:val="ItemHead"/>
      </w:pPr>
      <w:r w:rsidRPr="008E2637">
        <w:t>8</w:t>
      </w:r>
      <w:r w:rsidR="00A64255" w:rsidRPr="008E2637">
        <w:t xml:space="preserve">  Section</w:t>
      </w:r>
      <w:r w:rsidR="008E2637" w:rsidRPr="008E2637">
        <w:t> </w:t>
      </w:r>
      <w:r w:rsidR="00A64255" w:rsidRPr="008E2637">
        <w:t>8 (heading)</w:t>
      </w:r>
    </w:p>
    <w:p w:rsidR="00A64255" w:rsidRPr="008E2637" w:rsidRDefault="00A64255" w:rsidP="00A64255">
      <w:pPr>
        <w:pStyle w:val="Item"/>
      </w:pPr>
      <w:r w:rsidRPr="008E2637">
        <w:t>Repeal the heading, substitute:</w:t>
      </w:r>
    </w:p>
    <w:p w:rsidR="00A64255" w:rsidRPr="008E2637" w:rsidRDefault="00A64255" w:rsidP="00A64255">
      <w:pPr>
        <w:pStyle w:val="ActHead5"/>
      </w:pPr>
      <w:bookmarkStart w:id="12" w:name="_Toc496693848"/>
      <w:r w:rsidRPr="008E2637">
        <w:rPr>
          <w:rStyle w:val="CharSectno"/>
        </w:rPr>
        <w:t>8</w:t>
      </w:r>
      <w:r w:rsidRPr="008E2637">
        <w:t xml:space="preserve">  Record keeping for </w:t>
      </w:r>
      <w:r w:rsidR="005D7AB1" w:rsidRPr="008E2637">
        <w:t xml:space="preserve">other </w:t>
      </w:r>
      <w:r w:rsidRPr="008E2637">
        <w:t>exporter</w:t>
      </w:r>
      <w:r w:rsidR="005D7AB1" w:rsidRPr="008E2637">
        <w:t>s</w:t>
      </w:r>
      <w:r w:rsidRPr="008E2637">
        <w:t xml:space="preserve"> of goods </w:t>
      </w:r>
      <w:r w:rsidR="00B82245" w:rsidRPr="008E2637">
        <w:t>claimed to be the produce or manufacture of Australia</w:t>
      </w:r>
      <w:bookmarkEnd w:id="12"/>
    </w:p>
    <w:p w:rsidR="00A64255" w:rsidRPr="008E2637" w:rsidRDefault="00734449" w:rsidP="00A64255">
      <w:pPr>
        <w:pStyle w:val="ItemHead"/>
      </w:pPr>
      <w:r w:rsidRPr="008E2637">
        <w:t>9</w:t>
      </w:r>
      <w:r w:rsidR="00A64255" w:rsidRPr="008E2637">
        <w:t xml:space="preserve">  Before subsection</w:t>
      </w:r>
      <w:r w:rsidR="008E2637" w:rsidRPr="008E2637">
        <w:t> </w:t>
      </w:r>
      <w:r w:rsidR="00A64255" w:rsidRPr="008E2637">
        <w:t>8(1)</w:t>
      </w:r>
    </w:p>
    <w:p w:rsidR="00A64255" w:rsidRPr="008E2637" w:rsidRDefault="00A64255" w:rsidP="00A64255">
      <w:pPr>
        <w:pStyle w:val="Item"/>
      </w:pPr>
      <w:r w:rsidRPr="008E2637">
        <w:t>Insert:</w:t>
      </w:r>
    </w:p>
    <w:p w:rsidR="00A64255" w:rsidRPr="008E2637" w:rsidRDefault="00A64255" w:rsidP="00A64255">
      <w:pPr>
        <w:pStyle w:val="subsection"/>
      </w:pPr>
      <w:r w:rsidRPr="008E2637">
        <w:tab/>
        <w:t>(1A)</w:t>
      </w:r>
      <w:r w:rsidRPr="008E2637">
        <w:tab/>
        <w:t>This section applies in relation to goods that:</w:t>
      </w:r>
    </w:p>
    <w:p w:rsidR="00A64255" w:rsidRPr="008E2637" w:rsidRDefault="00A64255" w:rsidP="00A64255">
      <w:pPr>
        <w:pStyle w:val="paragraph"/>
      </w:pPr>
      <w:r w:rsidRPr="008E2637">
        <w:tab/>
        <w:t>(a)</w:t>
      </w:r>
      <w:r w:rsidRPr="008E2637">
        <w:tab/>
        <w:t>are exported to Singapore; and</w:t>
      </w:r>
    </w:p>
    <w:p w:rsidR="00A64255" w:rsidRPr="008E2637" w:rsidRDefault="00A64255" w:rsidP="00A64255">
      <w:pPr>
        <w:pStyle w:val="paragraph"/>
      </w:pPr>
      <w:r w:rsidRPr="008E2637">
        <w:tab/>
        <w:t>(b)</w:t>
      </w:r>
      <w:r w:rsidRPr="008E2637">
        <w:tab/>
        <w:t>are claimed to be the produce or manufacture of Australia for the purpose of obtaining a preferential tariff in Singapore.</w:t>
      </w:r>
    </w:p>
    <w:p w:rsidR="00A64255" w:rsidRPr="008E2637" w:rsidRDefault="00734449" w:rsidP="009F124A">
      <w:pPr>
        <w:pStyle w:val="ItemHead"/>
      </w:pPr>
      <w:r w:rsidRPr="008E2637">
        <w:t>10</w:t>
      </w:r>
      <w:r w:rsidR="00A64255" w:rsidRPr="008E2637">
        <w:t xml:space="preserve">  </w:t>
      </w:r>
      <w:r w:rsidR="009F124A" w:rsidRPr="008E2637">
        <w:t>Subsection</w:t>
      </w:r>
      <w:r w:rsidR="008E2637" w:rsidRPr="008E2637">
        <w:t> </w:t>
      </w:r>
      <w:r w:rsidR="009F124A" w:rsidRPr="008E2637">
        <w:t>8(1)</w:t>
      </w:r>
    </w:p>
    <w:p w:rsidR="009F124A" w:rsidRPr="008E2637" w:rsidRDefault="009F124A" w:rsidP="009F124A">
      <w:pPr>
        <w:pStyle w:val="Item"/>
      </w:pPr>
      <w:r w:rsidRPr="008E2637">
        <w:t>Omit “For section</w:t>
      </w:r>
      <w:r w:rsidR="008E2637" w:rsidRPr="008E2637">
        <w:t> </w:t>
      </w:r>
      <w:r w:rsidRPr="008E2637">
        <w:t>126AB of the Act, an exporter of goods mentioned in that section”, substitute “For the purposes of section</w:t>
      </w:r>
      <w:r w:rsidR="008E2637" w:rsidRPr="008E2637">
        <w:t> </w:t>
      </w:r>
      <w:r w:rsidRPr="008E2637">
        <w:t>126AB of the Act, the exporter of the goods”.</w:t>
      </w:r>
    </w:p>
    <w:p w:rsidR="009F124A" w:rsidRPr="008E2637" w:rsidRDefault="00734449" w:rsidP="009F124A">
      <w:pPr>
        <w:pStyle w:val="ItemHead"/>
      </w:pPr>
      <w:r w:rsidRPr="008E2637">
        <w:t>11</w:t>
      </w:r>
      <w:r w:rsidR="009F124A" w:rsidRPr="008E2637">
        <w:t xml:space="preserve">  After section</w:t>
      </w:r>
      <w:r w:rsidR="008E2637" w:rsidRPr="008E2637">
        <w:t> </w:t>
      </w:r>
      <w:r w:rsidR="009F124A" w:rsidRPr="008E2637">
        <w:t>8</w:t>
      </w:r>
    </w:p>
    <w:p w:rsidR="009F124A" w:rsidRPr="008E2637" w:rsidRDefault="009F124A" w:rsidP="009F124A">
      <w:pPr>
        <w:pStyle w:val="Item"/>
      </w:pPr>
      <w:r w:rsidRPr="008E2637">
        <w:t>Insert:</w:t>
      </w:r>
    </w:p>
    <w:p w:rsidR="009F124A" w:rsidRPr="008E2637" w:rsidRDefault="009F124A" w:rsidP="009F124A">
      <w:pPr>
        <w:pStyle w:val="ActHead5"/>
      </w:pPr>
      <w:bookmarkStart w:id="13" w:name="_Toc496693849"/>
      <w:r w:rsidRPr="008E2637">
        <w:rPr>
          <w:rStyle w:val="CharSectno"/>
        </w:rPr>
        <w:t>8A</w:t>
      </w:r>
      <w:r w:rsidRPr="008E2637">
        <w:t xml:space="preserve">  Record keeping for </w:t>
      </w:r>
      <w:r w:rsidR="005D7AB1" w:rsidRPr="008E2637">
        <w:t xml:space="preserve">other </w:t>
      </w:r>
      <w:r w:rsidRPr="008E2637">
        <w:t>exporter</w:t>
      </w:r>
      <w:r w:rsidR="005D7AB1" w:rsidRPr="008E2637">
        <w:t>s</w:t>
      </w:r>
      <w:r w:rsidRPr="008E2637">
        <w:t xml:space="preserve"> of goods </w:t>
      </w:r>
      <w:r w:rsidR="00B82245" w:rsidRPr="008E2637">
        <w:t>claimed to be Australian originating goods</w:t>
      </w:r>
      <w:bookmarkEnd w:id="13"/>
    </w:p>
    <w:p w:rsidR="009F124A" w:rsidRPr="008E2637" w:rsidRDefault="009F124A" w:rsidP="009F124A">
      <w:pPr>
        <w:pStyle w:val="subsection"/>
      </w:pPr>
      <w:r w:rsidRPr="008E2637">
        <w:tab/>
        <w:t>(1)</w:t>
      </w:r>
      <w:r w:rsidRPr="008E2637">
        <w:tab/>
        <w:t>This section applies in relation to goods that:</w:t>
      </w:r>
    </w:p>
    <w:p w:rsidR="009F124A" w:rsidRPr="008E2637" w:rsidRDefault="009F124A" w:rsidP="009F124A">
      <w:pPr>
        <w:pStyle w:val="paragraph"/>
      </w:pPr>
      <w:r w:rsidRPr="008E2637">
        <w:tab/>
        <w:t>(a)</w:t>
      </w:r>
      <w:r w:rsidRPr="008E2637">
        <w:tab/>
        <w:t>are exported to Singapore; and</w:t>
      </w:r>
    </w:p>
    <w:p w:rsidR="009F124A" w:rsidRPr="008E2637" w:rsidRDefault="009F124A" w:rsidP="009F124A">
      <w:pPr>
        <w:pStyle w:val="paragraph"/>
      </w:pPr>
      <w:r w:rsidRPr="008E2637">
        <w:tab/>
        <w:t>(b)</w:t>
      </w:r>
      <w:r w:rsidRPr="008E2637">
        <w:tab/>
        <w:t>are claimed to be Australian originating goods for the purpose of obtaining a preferential tariff in Singapore.</w:t>
      </w:r>
    </w:p>
    <w:p w:rsidR="009F124A" w:rsidRPr="008E2637" w:rsidRDefault="009F124A" w:rsidP="009F124A">
      <w:pPr>
        <w:pStyle w:val="subsection"/>
      </w:pPr>
      <w:r w:rsidRPr="008E2637">
        <w:tab/>
        <w:t>(2)</w:t>
      </w:r>
      <w:r w:rsidRPr="008E2637">
        <w:tab/>
        <w:t>For the purposes of section</w:t>
      </w:r>
      <w:r w:rsidR="008E2637" w:rsidRPr="008E2637">
        <w:t> </w:t>
      </w:r>
      <w:r w:rsidRPr="008E2637">
        <w:t>126AB of the Act, the exporter of the goods must keep the following records, unless the exporter is also the producer of the goods:</w:t>
      </w:r>
    </w:p>
    <w:p w:rsidR="009F124A" w:rsidRPr="008E2637" w:rsidRDefault="009F124A" w:rsidP="009F124A">
      <w:pPr>
        <w:pStyle w:val="paragraph"/>
      </w:pPr>
      <w:r w:rsidRPr="008E2637">
        <w:tab/>
        <w:t>(a)</w:t>
      </w:r>
      <w:r w:rsidRPr="008E2637">
        <w:tab/>
        <w:t>records of the purchase of the goods by the exporter, including evidence that payment has been made for the goods;</w:t>
      </w:r>
    </w:p>
    <w:p w:rsidR="009F124A" w:rsidRPr="008E2637" w:rsidRDefault="009F124A" w:rsidP="009F124A">
      <w:pPr>
        <w:pStyle w:val="paragraph"/>
      </w:pPr>
      <w:r w:rsidRPr="008E2637">
        <w:tab/>
        <w:t>(b)</w:t>
      </w:r>
      <w:r w:rsidRPr="008E2637">
        <w:tab/>
        <w:t>records of the purchase of the goods by the person to whom the goods are exported, including evidence that payment has been made for the goods;</w:t>
      </w:r>
    </w:p>
    <w:p w:rsidR="009F124A" w:rsidRPr="008E2637" w:rsidRDefault="009F124A" w:rsidP="009F124A">
      <w:pPr>
        <w:pStyle w:val="paragraph"/>
      </w:pPr>
      <w:r w:rsidRPr="008E2637">
        <w:tab/>
        <w:t>(c)</w:t>
      </w:r>
      <w:r w:rsidRPr="008E2637">
        <w:tab/>
        <w:t>a copy of the certification of origin (within the meaning of section</w:t>
      </w:r>
      <w:r w:rsidR="008E2637" w:rsidRPr="008E2637">
        <w:t> </w:t>
      </w:r>
      <w:r w:rsidRPr="008E2637">
        <w:t>153XD of the Act) in relation to the goods.</w:t>
      </w:r>
    </w:p>
    <w:p w:rsidR="009F124A" w:rsidRPr="008E2637" w:rsidRDefault="009F124A" w:rsidP="009F124A">
      <w:pPr>
        <w:pStyle w:val="subsection"/>
      </w:pPr>
      <w:r w:rsidRPr="008E2637">
        <w:tab/>
        <w:t>(3)</w:t>
      </w:r>
      <w:r w:rsidRPr="008E2637">
        <w:tab/>
        <w:t>The exporter must keep the records for at least 5 years starting on the day the certification of origin (within the meaning of section</w:t>
      </w:r>
      <w:r w:rsidR="008E2637" w:rsidRPr="008E2637">
        <w:t> </w:t>
      </w:r>
      <w:r w:rsidRPr="008E2637">
        <w:t>153XD of the Act) for the goods is issued.</w:t>
      </w:r>
    </w:p>
    <w:p w:rsidR="009F124A" w:rsidRPr="008E2637" w:rsidRDefault="009F124A" w:rsidP="009F124A">
      <w:pPr>
        <w:pStyle w:val="subsection"/>
      </w:pPr>
      <w:r w:rsidRPr="008E2637">
        <w:tab/>
        <w:t>(4)</w:t>
      </w:r>
      <w:r w:rsidRPr="008E2637">
        <w:tab/>
        <w:t>The exporter may keep a record under this section at any place (whether or not in Australia).</w:t>
      </w:r>
    </w:p>
    <w:p w:rsidR="009F124A" w:rsidRPr="008E2637" w:rsidRDefault="00734449" w:rsidP="00D843C4">
      <w:pPr>
        <w:pStyle w:val="ItemHead"/>
      </w:pPr>
      <w:r w:rsidRPr="008E2637">
        <w:t>12</w:t>
      </w:r>
      <w:r w:rsidR="00D843C4" w:rsidRPr="008E2637">
        <w:t xml:space="preserve">  Paragraph 9(a)</w:t>
      </w:r>
    </w:p>
    <w:p w:rsidR="00D843C4" w:rsidRPr="008E2637" w:rsidRDefault="00D843C4" w:rsidP="00D843C4">
      <w:pPr>
        <w:pStyle w:val="Item"/>
      </w:pPr>
      <w:r w:rsidRPr="008E2637">
        <w:t>After “Australia,”, insert “or are Australian originating goods,”.</w:t>
      </w:r>
    </w:p>
    <w:p w:rsidR="00B82245" w:rsidRPr="008E2637" w:rsidRDefault="00734449" w:rsidP="00B82245">
      <w:pPr>
        <w:pStyle w:val="ItemHead"/>
      </w:pPr>
      <w:r w:rsidRPr="008E2637">
        <w:t>13</w:t>
      </w:r>
      <w:r w:rsidR="00B82245" w:rsidRPr="008E2637">
        <w:t xml:space="preserve">  Section</w:t>
      </w:r>
      <w:r w:rsidR="008E2637" w:rsidRPr="008E2637">
        <w:t> </w:t>
      </w:r>
      <w:r w:rsidR="00B82245" w:rsidRPr="008E2637">
        <w:t>23 (before table item</w:t>
      </w:r>
      <w:r w:rsidR="008E2637" w:rsidRPr="008E2637">
        <w:t> </w:t>
      </w:r>
      <w:r w:rsidR="00B82245" w:rsidRPr="008E2637">
        <w:t>1)</w:t>
      </w:r>
    </w:p>
    <w:p w:rsidR="00B82245" w:rsidRPr="008E2637" w:rsidRDefault="00B82245" w:rsidP="00B82245">
      <w:pPr>
        <w:pStyle w:val="Item"/>
      </w:pPr>
      <w:r w:rsidRPr="008E2637">
        <w:t>Insert:</w:t>
      </w:r>
    </w:p>
    <w:tbl>
      <w:tblPr>
        <w:tblW w:w="7083" w:type="dxa"/>
        <w:tblInd w:w="113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693"/>
        <w:gridCol w:w="3686"/>
      </w:tblGrid>
      <w:tr w:rsidR="00B82245" w:rsidRPr="008E2637" w:rsidTr="00B82245">
        <w:tc>
          <w:tcPr>
            <w:tcW w:w="704" w:type="dxa"/>
            <w:shd w:val="clear" w:color="auto" w:fill="auto"/>
          </w:tcPr>
          <w:p w:rsidR="00B82245" w:rsidRPr="008E2637" w:rsidRDefault="00B82245" w:rsidP="00B82245">
            <w:pPr>
              <w:pStyle w:val="Tabletext"/>
            </w:pPr>
            <w:r w:rsidRPr="008E2637">
              <w:t>1A</w:t>
            </w:r>
          </w:p>
        </w:tc>
        <w:tc>
          <w:tcPr>
            <w:tcW w:w="2693" w:type="dxa"/>
          </w:tcPr>
          <w:p w:rsidR="00B82245" w:rsidRPr="008E2637" w:rsidRDefault="00B82245" w:rsidP="00B82245">
            <w:pPr>
              <w:pStyle w:val="Tabletext"/>
            </w:pPr>
            <w:r w:rsidRPr="008E2637">
              <w:t>Singaporean originating goods</w:t>
            </w:r>
          </w:p>
        </w:tc>
        <w:tc>
          <w:tcPr>
            <w:tcW w:w="3686" w:type="dxa"/>
            <w:shd w:val="clear" w:color="auto" w:fill="auto"/>
          </w:tcPr>
          <w:p w:rsidR="00B82245" w:rsidRPr="008E2637" w:rsidRDefault="00B82245" w:rsidP="00A04B84">
            <w:pPr>
              <w:pStyle w:val="Tabletext"/>
            </w:pPr>
            <w:r w:rsidRPr="008E2637">
              <w:t>Duty has been paid on the goods.</w:t>
            </w:r>
          </w:p>
        </w:tc>
      </w:tr>
      <w:tr w:rsidR="00B82245" w:rsidRPr="008E2637" w:rsidTr="00B82245">
        <w:tc>
          <w:tcPr>
            <w:tcW w:w="704" w:type="dxa"/>
            <w:shd w:val="clear" w:color="auto" w:fill="auto"/>
          </w:tcPr>
          <w:p w:rsidR="00B82245" w:rsidRPr="008E2637" w:rsidRDefault="00B82245" w:rsidP="00B82245">
            <w:pPr>
              <w:pStyle w:val="Tabletext"/>
            </w:pPr>
            <w:r w:rsidRPr="008E2637">
              <w:t>1B</w:t>
            </w:r>
          </w:p>
        </w:tc>
        <w:tc>
          <w:tcPr>
            <w:tcW w:w="2693" w:type="dxa"/>
          </w:tcPr>
          <w:p w:rsidR="00B82245" w:rsidRPr="008E2637" w:rsidRDefault="00B82245" w:rsidP="00A04B84">
            <w:pPr>
              <w:pStyle w:val="Tabletext"/>
            </w:pPr>
            <w:r w:rsidRPr="008E2637">
              <w:t>Goods that would have been Singaporean originating goods if, at the time the goods were imported, the importer held:</w:t>
            </w:r>
          </w:p>
          <w:p w:rsidR="00B82245" w:rsidRPr="008E2637" w:rsidRDefault="00B82245" w:rsidP="00A04B84">
            <w:pPr>
              <w:pStyle w:val="Tablea"/>
            </w:pPr>
            <w:r w:rsidRPr="008E2637">
              <w:t xml:space="preserve">(a) a certification of origin </w:t>
            </w:r>
            <w:r w:rsidR="00D973F8" w:rsidRPr="008E2637">
              <w:t>(within the meaning of section</w:t>
            </w:r>
            <w:r w:rsidR="008E2637" w:rsidRPr="008E2637">
              <w:t> </w:t>
            </w:r>
            <w:r w:rsidR="00D973F8" w:rsidRPr="008E2637">
              <w:t xml:space="preserve">153XD of the Act) </w:t>
            </w:r>
            <w:r w:rsidRPr="008E2637">
              <w:t>for the goods; or</w:t>
            </w:r>
          </w:p>
          <w:p w:rsidR="00B82245" w:rsidRPr="008E2637" w:rsidRDefault="00B82245" w:rsidP="00A04B84">
            <w:pPr>
              <w:pStyle w:val="Tablea"/>
            </w:pPr>
            <w:r w:rsidRPr="008E2637">
              <w:t xml:space="preserve">(b) a copy of a document mentioned in </w:t>
            </w:r>
            <w:r w:rsidR="008E2637" w:rsidRPr="008E2637">
              <w:t>paragraph (</w:t>
            </w:r>
            <w:r w:rsidRPr="008E2637">
              <w:t>a)</w:t>
            </w:r>
          </w:p>
        </w:tc>
        <w:tc>
          <w:tcPr>
            <w:tcW w:w="3686" w:type="dxa"/>
            <w:shd w:val="clear" w:color="auto" w:fill="auto"/>
          </w:tcPr>
          <w:p w:rsidR="00B82245" w:rsidRPr="008E2637" w:rsidRDefault="00B82245" w:rsidP="00A04B84">
            <w:pPr>
              <w:pStyle w:val="Tabletext"/>
            </w:pPr>
            <w:r w:rsidRPr="008E2637">
              <w:t>Both of the following apply:</w:t>
            </w:r>
          </w:p>
          <w:p w:rsidR="00B82245" w:rsidRPr="008E2637" w:rsidRDefault="00B82245" w:rsidP="00A04B84">
            <w:pPr>
              <w:pStyle w:val="Tablea"/>
            </w:pPr>
            <w:r w:rsidRPr="008E2637">
              <w:t>(a) duty has been paid on the goods;</w:t>
            </w:r>
          </w:p>
          <w:p w:rsidR="00B82245" w:rsidRPr="008E2637" w:rsidRDefault="00B82245" w:rsidP="00B82245">
            <w:pPr>
              <w:pStyle w:val="Tablea"/>
            </w:pPr>
            <w:r w:rsidRPr="008E2637">
              <w:t xml:space="preserve">(b) the importer holds a certification of origin </w:t>
            </w:r>
            <w:r w:rsidR="00D973F8" w:rsidRPr="008E2637">
              <w:t>(within the meaning of section</w:t>
            </w:r>
            <w:r w:rsidR="008E2637" w:rsidRPr="008E2637">
              <w:t> </w:t>
            </w:r>
            <w:r w:rsidR="00D973F8" w:rsidRPr="008E2637">
              <w:t xml:space="preserve">153XD of the Act) </w:t>
            </w:r>
            <w:r w:rsidRPr="008E2637">
              <w:t>for the goods, or a copy of one, at the time of making the application for the refund.</w:t>
            </w:r>
          </w:p>
        </w:tc>
      </w:tr>
    </w:tbl>
    <w:p w:rsidR="00B82245" w:rsidRPr="008E2637" w:rsidRDefault="00734449" w:rsidP="00B82245">
      <w:pPr>
        <w:pStyle w:val="ItemHead"/>
      </w:pPr>
      <w:r w:rsidRPr="008E2637">
        <w:t>14</w:t>
      </w:r>
      <w:r w:rsidR="00B82245" w:rsidRPr="008E2637">
        <w:t xml:space="preserve">  Before paragraph</w:t>
      </w:r>
      <w:r w:rsidR="008E2637" w:rsidRPr="008E2637">
        <w:t> </w:t>
      </w:r>
      <w:r w:rsidR="00B82245" w:rsidRPr="008E2637">
        <w:t>24(a)</w:t>
      </w:r>
    </w:p>
    <w:p w:rsidR="00B82245" w:rsidRPr="008E2637" w:rsidRDefault="00B82245" w:rsidP="00B82245">
      <w:pPr>
        <w:pStyle w:val="Item"/>
      </w:pPr>
      <w:r w:rsidRPr="008E2637">
        <w:t>Insert:</w:t>
      </w:r>
    </w:p>
    <w:p w:rsidR="00B82245" w:rsidRPr="008E2637" w:rsidRDefault="00B82245" w:rsidP="00B82245">
      <w:pPr>
        <w:pStyle w:val="paragraph"/>
      </w:pPr>
      <w:r w:rsidRPr="008E2637">
        <w:tab/>
        <w:t>(aa)</w:t>
      </w:r>
      <w:r w:rsidRPr="008E2637">
        <w:tab/>
        <w:t>the goods mentioned in item</w:t>
      </w:r>
      <w:r w:rsidR="008E2637" w:rsidRPr="008E2637">
        <w:t> </w:t>
      </w:r>
      <w:r w:rsidRPr="008E2637">
        <w:t>1A or 1B of the table in section</w:t>
      </w:r>
      <w:r w:rsidR="008E2637" w:rsidRPr="008E2637">
        <w:t> </w:t>
      </w:r>
      <w:r w:rsidRPr="008E2637">
        <w:t>23 are Singaporean originating goods</w:t>
      </w:r>
      <w:r w:rsidR="00F4000B" w:rsidRPr="008E2637">
        <w:t>; or</w:t>
      </w:r>
    </w:p>
    <w:p w:rsidR="00B82245" w:rsidRPr="008E2637" w:rsidRDefault="00734449" w:rsidP="00D973F8">
      <w:pPr>
        <w:pStyle w:val="ItemHead"/>
      </w:pPr>
      <w:r w:rsidRPr="008E2637">
        <w:t>15</w:t>
      </w:r>
      <w:r w:rsidR="00D973F8" w:rsidRPr="008E2637">
        <w:t xml:space="preserve">  Subsection</w:t>
      </w:r>
      <w:r w:rsidR="008E2637" w:rsidRPr="008E2637">
        <w:t> </w:t>
      </w:r>
      <w:r w:rsidR="00D973F8" w:rsidRPr="008E2637">
        <w:t>31(2) (</w:t>
      </w:r>
      <w:r w:rsidR="008E2637" w:rsidRPr="008E2637">
        <w:t>paragraph (</w:t>
      </w:r>
      <w:r w:rsidR="00D973F8" w:rsidRPr="008E2637">
        <w:t xml:space="preserve">a) of the definition of </w:t>
      </w:r>
      <w:r w:rsidR="00D973F8" w:rsidRPr="008E2637">
        <w:rPr>
          <w:i/>
        </w:rPr>
        <w:t>duty payable</w:t>
      </w:r>
      <w:r w:rsidR="00D973F8" w:rsidRPr="008E2637">
        <w:t>)</w:t>
      </w:r>
    </w:p>
    <w:p w:rsidR="00D973F8" w:rsidRPr="008E2637" w:rsidRDefault="00D973F8" w:rsidP="00D973F8">
      <w:pPr>
        <w:pStyle w:val="Item"/>
      </w:pPr>
      <w:r w:rsidRPr="008E2637">
        <w:t>After “item”, insert “1A,”.</w:t>
      </w:r>
    </w:p>
    <w:p w:rsidR="00D973F8" w:rsidRPr="008E2637" w:rsidRDefault="00734449" w:rsidP="00D973F8">
      <w:pPr>
        <w:pStyle w:val="ItemHead"/>
      </w:pPr>
      <w:r w:rsidRPr="008E2637">
        <w:t>16</w:t>
      </w:r>
      <w:r w:rsidR="00D973F8" w:rsidRPr="008E2637">
        <w:t xml:space="preserve">  Subsection</w:t>
      </w:r>
      <w:r w:rsidR="008E2637" w:rsidRPr="008E2637">
        <w:t> </w:t>
      </w:r>
      <w:r w:rsidR="00D973F8" w:rsidRPr="008E2637">
        <w:t>31(2) (</w:t>
      </w:r>
      <w:r w:rsidR="008E2637" w:rsidRPr="008E2637">
        <w:t>paragraph (</w:t>
      </w:r>
      <w:r w:rsidR="00D973F8" w:rsidRPr="008E2637">
        <w:t xml:space="preserve">b) of the definition of </w:t>
      </w:r>
      <w:r w:rsidR="00D973F8" w:rsidRPr="008E2637">
        <w:rPr>
          <w:i/>
        </w:rPr>
        <w:t>duty payable</w:t>
      </w:r>
      <w:r w:rsidR="00D973F8" w:rsidRPr="008E2637">
        <w:t>)</w:t>
      </w:r>
    </w:p>
    <w:p w:rsidR="00D973F8" w:rsidRPr="008E2637" w:rsidRDefault="00D973F8" w:rsidP="00D973F8">
      <w:pPr>
        <w:pStyle w:val="Item"/>
      </w:pPr>
      <w:r w:rsidRPr="008E2637">
        <w:t>After “item”, insert “1B,”.</w:t>
      </w:r>
    </w:p>
    <w:p w:rsidR="00D973F8" w:rsidRPr="008E2637" w:rsidRDefault="00734449" w:rsidP="00D973F8">
      <w:pPr>
        <w:pStyle w:val="ItemHead"/>
      </w:pPr>
      <w:r w:rsidRPr="008E2637">
        <w:t>17</w:t>
      </w:r>
      <w:r w:rsidR="00D973F8" w:rsidRPr="008E2637">
        <w:t xml:space="preserve">  Subsection</w:t>
      </w:r>
      <w:r w:rsidR="008E2637" w:rsidRPr="008E2637">
        <w:t> </w:t>
      </w:r>
      <w:r w:rsidR="00D973F8" w:rsidRPr="008E2637">
        <w:t xml:space="preserve">31(2) (before </w:t>
      </w:r>
      <w:r w:rsidR="008E2637" w:rsidRPr="008E2637">
        <w:t>paragraph (</w:t>
      </w:r>
      <w:r w:rsidR="00D973F8" w:rsidRPr="008E2637">
        <w:t xml:space="preserve">a) of the definition of </w:t>
      </w:r>
      <w:r w:rsidR="00D973F8" w:rsidRPr="008E2637">
        <w:rPr>
          <w:i/>
        </w:rPr>
        <w:t>relevant originating goods</w:t>
      </w:r>
      <w:r w:rsidR="00D973F8" w:rsidRPr="008E2637">
        <w:t>)</w:t>
      </w:r>
    </w:p>
    <w:p w:rsidR="00D973F8" w:rsidRPr="008E2637" w:rsidRDefault="00D973F8" w:rsidP="00D973F8">
      <w:pPr>
        <w:pStyle w:val="Item"/>
      </w:pPr>
      <w:r w:rsidRPr="008E2637">
        <w:t>Insert:</w:t>
      </w:r>
    </w:p>
    <w:p w:rsidR="00D973F8" w:rsidRPr="008E2637" w:rsidRDefault="00D973F8" w:rsidP="00D973F8">
      <w:pPr>
        <w:pStyle w:val="paragraph"/>
      </w:pPr>
      <w:r w:rsidRPr="008E2637">
        <w:tab/>
        <w:t>(aa)</w:t>
      </w:r>
      <w:r w:rsidRPr="008E2637">
        <w:tab/>
        <w:t>Singaporean originating goods;</w:t>
      </w:r>
    </w:p>
    <w:p w:rsidR="00EE5187" w:rsidRPr="008E2637" w:rsidRDefault="00EE5187" w:rsidP="00EE5187">
      <w:pPr>
        <w:pStyle w:val="ActHead7"/>
        <w:pageBreakBefore/>
      </w:pPr>
      <w:bookmarkStart w:id="14" w:name="_Toc496693850"/>
      <w:r w:rsidRPr="008E2637">
        <w:rPr>
          <w:rStyle w:val="CharAmPartNo"/>
        </w:rPr>
        <w:t>Part</w:t>
      </w:r>
      <w:r w:rsidR="008E2637" w:rsidRPr="008E2637">
        <w:rPr>
          <w:rStyle w:val="CharAmPartNo"/>
        </w:rPr>
        <w:t> </w:t>
      </w:r>
      <w:r w:rsidRPr="008E2637">
        <w:rPr>
          <w:rStyle w:val="CharAmPartNo"/>
        </w:rPr>
        <w:t>2</w:t>
      </w:r>
      <w:r w:rsidRPr="008E2637">
        <w:t>—</w:t>
      </w:r>
      <w:r w:rsidRPr="008E2637">
        <w:rPr>
          <w:rStyle w:val="CharAmPartText"/>
        </w:rPr>
        <w:t>Other amendments</w:t>
      </w:r>
      <w:bookmarkEnd w:id="14"/>
    </w:p>
    <w:p w:rsidR="00EE5187" w:rsidRPr="008E2637" w:rsidRDefault="00EE5187" w:rsidP="00EE5187">
      <w:pPr>
        <w:pStyle w:val="ActHead9"/>
      </w:pPr>
      <w:bookmarkStart w:id="15" w:name="_Toc496693851"/>
      <w:r w:rsidRPr="008E2637">
        <w:t>Customs (International Obligations) Regulation</w:t>
      </w:r>
      <w:r w:rsidR="008E2637" w:rsidRPr="008E2637">
        <w:t> </w:t>
      </w:r>
      <w:r w:rsidRPr="008E2637">
        <w:t>2015</w:t>
      </w:r>
      <w:bookmarkEnd w:id="15"/>
    </w:p>
    <w:p w:rsidR="006050BB" w:rsidRPr="008E2637" w:rsidRDefault="00734449" w:rsidP="006050BB">
      <w:pPr>
        <w:pStyle w:val="ItemHead"/>
      </w:pPr>
      <w:r w:rsidRPr="008E2637">
        <w:t>18</w:t>
      </w:r>
      <w:r w:rsidR="006050BB" w:rsidRPr="008E2637">
        <w:t xml:space="preserve">  Section</w:t>
      </w:r>
      <w:r w:rsidR="008E2637" w:rsidRPr="008E2637">
        <w:t> </w:t>
      </w:r>
      <w:r w:rsidR="006050BB" w:rsidRPr="008E2637">
        <w:t>4 (</w:t>
      </w:r>
      <w:r w:rsidR="008E2637" w:rsidRPr="008E2637">
        <w:t>paragraph (</w:t>
      </w:r>
      <w:r w:rsidR="006050BB" w:rsidRPr="008E2637">
        <w:t xml:space="preserve">a) of the definition of </w:t>
      </w:r>
      <w:r w:rsidR="006050BB" w:rsidRPr="008E2637">
        <w:rPr>
          <w:i/>
        </w:rPr>
        <w:t>Certificate of Origin</w:t>
      </w:r>
      <w:r w:rsidR="006050BB" w:rsidRPr="008E2637">
        <w:t>)</w:t>
      </w:r>
    </w:p>
    <w:p w:rsidR="006050BB" w:rsidRPr="008E2637" w:rsidRDefault="006050BB" w:rsidP="006050BB">
      <w:pPr>
        <w:pStyle w:val="Item"/>
      </w:pPr>
      <w:r w:rsidRPr="008E2637">
        <w:t>Repeal the paragraph.</w:t>
      </w:r>
    </w:p>
    <w:p w:rsidR="00FD4A41" w:rsidRPr="008E2637" w:rsidRDefault="00734449" w:rsidP="00FD4A41">
      <w:pPr>
        <w:pStyle w:val="ItemHead"/>
      </w:pPr>
      <w:r w:rsidRPr="008E2637">
        <w:t>19</w:t>
      </w:r>
      <w:r w:rsidR="00FD4A41" w:rsidRPr="008E2637">
        <w:t xml:space="preserve">  Section</w:t>
      </w:r>
      <w:r w:rsidR="00BC2EE0" w:rsidRPr="008E2637">
        <w:t>s</w:t>
      </w:r>
      <w:r w:rsidR="008E2637" w:rsidRPr="008E2637">
        <w:t> </w:t>
      </w:r>
      <w:r w:rsidR="00FD4A41" w:rsidRPr="008E2637">
        <w:t>6</w:t>
      </w:r>
      <w:r w:rsidR="009F124A" w:rsidRPr="008E2637">
        <w:t>,</w:t>
      </w:r>
      <w:r w:rsidR="00BC2EE0" w:rsidRPr="008E2637">
        <w:t xml:space="preserve"> 7</w:t>
      </w:r>
      <w:r w:rsidR="009F124A" w:rsidRPr="008E2637">
        <w:t xml:space="preserve"> and 8</w:t>
      </w:r>
    </w:p>
    <w:p w:rsidR="00FD4A41" w:rsidRPr="008E2637" w:rsidRDefault="00FD4A41" w:rsidP="00FD4A41">
      <w:pPr>
        <w:pStyle w:val="Item"/>
      </w:pPr>
      <w:r w:rsidRPr="008E2637">
        <w:t>Repeal the section</w:t>
      </w:r>
      <w:r w:rsidR="00BC2EE0" w:rsidRPr="008E2637">
        <w:t>s</w:t>
      </w:r>
      <w:r w:rsidRPr="008E2637">
        <w:t>.</w:t>
      </w:r>
    </w:p>
    <w:p w:rsidR="006050BB" w:rsidRPr="008E2637" w:rsidRDefault="00734449" w:rsidP="006050BB">
      <w:pPr>
        <w:pStyle w:val="ItemHead"/>
      </w:pPr>
      <w:r w:rsidRPr="008E2637">
        <w:t>20</w:t>
      </w:r>
      <w:r w:rsidR="006050BB" w:rsidRPr="008E2637">
        <w:t xml:space="preserve">  Paragraph 9(a)</w:t>
      </w:r>
    </w:p>
    <w:p w:rsidR="006050BB" w:rsidRPr="008E2637" w:rsidRDefault="006050BB" w:rsidP="006050BB">
      <w:pPr>
        <w:pStyle w:val="Item"/>
      </w:pPr>
      <w:r w:rsidRPr="008E2637">
        <w:t>Omit “the produce or manufacture of Australia, or are”.</w:t>
      </w:r>
    </w:p>
    <w:sectPr w:rsidR="006050BB" w:rsidRPr="008E2637" w:rsidSect="0056261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B07" w:rsidRDefault="00271B07" w:rsidP="0048364F">
      <w:pPr>
        <w:spacing w:line="240" w:lineRule="auto"/>
      </w:pPr>
      <w:r>
        <w:separator/>
      </w:r>
    </w:p>
  </w:endnote>
  <w:endnote w:type="continuationSeparator" w:id="0">
    <w:p w:rsidR="00271B07" w:rsidRDefault="00271B0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62611" w:rsidRDefault="00562611" w:rsidP="0056261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62611">
      <w:rPr>
        <w:i/>
        <w:sz w:val="18"/>
      </w:rPr>
      <w:t>OPC62956 -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562611" w:rsidRDefault="00562611" w:rsidP="00562611">
    <w:pPr>
      <w:rPr>
        <w:rFonts w:cs="Times New Roman"/>
        <w:i/>
        <w:sz w:val="18"/>
      </w:rPr>
    </w:pPr>
    <w:r w:rsidRPr="00562611">
      <w:rPr>
        <w:rFonts w:cs="Times New Roman"/>
        <w:i/>
        <w:sz w:val="18"/>
      </w:rPr>
      <w:t>OPC62956 -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62611" w:rsidRDefault="00562611" w:rsidP="0056261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62611">
      <w:rPr>
        <w:i/>
        <w:sz w:val="18"/>
      </w:rPr>
      <w:t>OPC62956 -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8E263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F0AFA">
            <w:rPr>
              <w:i/>
              <w:noProof/>
              <w:sz w:val="18"/>
            </w:rPr>
            <w:t>vi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60157">
            <w:rPr>
              <w:i/>
              <w:sz w:val="18"/>
            </w:rPr>
            <w:t>Customs (International Obligations) Amendment (Singapore-Australia Free Trade Agreement Amendment Implementation)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562611" w:rsidRDefault="00562611" w:rsidP="00562611">
    <w:pPr>
      <w:rPr>
        <w:rFonts w:cs="Times New Roman"/>
        <w:i/>
        <w:sz w:val="18"/>
      </w:rPr>
    </w:pPr>
    <w:r w:rsidRPr="00562611">
      <w:rPr>
        <w:rFonts w:cs="Times New Roman"/>
        <w:i/>
        <w:sz w:val="18"/>
      </w:rPr>
      <w:t>OPC62956 -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8E263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60157">
            <w:rPr>
              <w:i/>
              <w:sz w:val="18"/>
            </w:rPr>
            <w:t>Customs (International Obligations) Amendment (Singapore-Australia Free Trade Agreement Amendment Implementation)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B72B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562611" w:rsidRDefault="00562611" w:rsidP="00562611">
    <w:pPr>
      <w:rPr>
        <w:rFonts w:cs="Times New Roman"/>
        <w:i/>
        <w:sz w:val="18"/>
      </w:rPr>
    </w:pPr>
    <w:r w:rsidRPr="00562611">
      <w:rPr>
        <w:rFonts w:cs="Times New Roman"/>
        <w:i/>
        <w:sz w:val="18"/>
      </w:rPr>
      <w:t>OPC62956 -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8E263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B72B7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60157">
            <w:rPr>
              <w:i/>
              <w:sz w:val="18"/>
            </w:rPr>
            <w:t>Customs (International Obligations) Amendment (Singapore-Australia Free Trade Agreement Amendment Implementation)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562611" w:rsidRDefault="00562611" w:rsidP="00562611">
    <w:pPr>
      <w:rPr>
        <w:rFonts w:cs="Times New Roman"/>
        <w:i/>
        <w:sz w:val="18"/>
      </w:rPr>
    </w:pPr>
    <w:r w:rsidRPr="00562611">
      <w:rPr>
        <w:rFonts w:cs="Times New Roman"/>
        <w:i/>
        <w:sz w:val="18"/>
      </w:rPr>
      <w:t>OPC62956 -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60157">
            <w:rPr>
              <w:i/>
              <w:sz w:val="18"/>
            </w:rPr>
            <w:t>Customs (International Obligations) Amendment (Singapore-Australia Free Trade Agreement Amendment Implementation)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B72B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562611" w:rsidRDefault="00562611" w:rsidP="00562611">
    <w:pPr>
      <w:rPr>
        <w:rFonts w:cs="Times New Roman"/>
        <w:i/>
        <w:sz w:val="18"/>
      </w:rPr>
    </w:pPr>
    <w:r w:rsidRPr="00562611">
      <w:rPr>
        <w:rFonts w:cs="Times New Roman"/>
        <w:i/>
        <w:sz w:val="18"/>
      </w:rPr>
      <w:t>OPC62956 -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60157">
            <w:rPr>
              <w:i/>
              <w:sz w:val="18"/>
            </w:rPr>
            <w:t>Customs (International Obligations) Amendment (Singapore-Australia Free Trade Agreement Amendment Implementation)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F0AFA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562611" w:rsidRDefault="00562611" w:rsidP="00562611">
    <w:pPr>
      <w:rPr>
        <w:rFonts w:cs="Times New Roman"/>
        <w:i/>
        <w:sz w:val="18"/>
      </w:rPr>
    </w:pPr>
    <w:r w:rsidRPr="00562611">
      <w:rPr>
        <w:rFonts w:cs="Times New Roman"/>
        <w:i/>
        <w:sz w:val="18"/>
      </w:rPr>
      <w:t>OPC62956 -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B07" w:rsidRDefault="00271B07" w:rsidP="0048364F">
      <w:pPr>
        <w:spacing w:line="240" w:lineRule="auto"/>
      </w:pPr>
      <w:r>
        <w:separator/>
      </w:r>
    </w:p>
  </w:footnote>
  <w:footnote w:type="continuationSeparator" w:id="0">
    <w:p w:rsidR="00271B07" w:rsidRDefault="00271B0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B72B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4B72B7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4B72B7">
      <w:rPr>
        <w:b/>
        <w:noProof/>
        <w:sz w:val="20"/>
      </w:rPr>
      <w:t>Part 2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4B72B7">
      <w:rPr>
        <w:noProof/>
        <w:sz w:val="20"/>
      </w:rPr>
      <w:t>Other amendments</w: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07"/>
    <w:rsid w:val="00000263"/>
    <w:rsid w:val="000113BC"/>
    <w:rsid w:val="000136AF"/>
    <w:rsid w:val="000163E4"/>
    <w:rsid w:val="000233B2"/>
    <w:rsid w:val="0004044E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71B07"/>
    <w:rsid w:val="00285CDD"/>
    <w:rsid w:val="00291167"/>
    <w:rsid w:val="00297ECB"/>
    <w:rsid w:val="002C152A"/>
    <w:rsid w:val="002D043A"/>
    <w:rsid w:val="0031713F"/>
    <w:rsid w:val="00321913"/>
    <w:rsid w:val="003316DC"/>
    <w:rsid w:val="00332E0D"/>
    <w:rsid w:val="003415D3"/>
    <w:rsid w:val="00346335"/>
    <w:rsid w:val="00352B0F"/>
    <w:rsid w:val="003561B0"/>
    <w:rsid w:val="00367960"/>
    <w:rsid w:val="003925C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0F9A"/>
    <w:rsid w:val="00474835"/>
    <w:rsid w:val="004819C7"/>
    <w:rsid w:val="0048364F"/>
    <w:rsid w:val="00490F2E"/>
    <w:rsid w:val="00496DB3"/>
    <w:rsid w:val="00496F97"/>
    <w:rsid w:val="004A53EA"/>
    <w:rsid w:val="004B72B7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478B9"/>
    <w:rsid w:val="00554243"/>
    <w:rsid w:val="00557C7A"/>
    <w:rsid w:val="00561BCF"/>
    <w:rsid w:val="00562611"/>
    <w:rsid w:val="00562A58"/>
    <w:rsid w:val="00572EDB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D7AB1"/>
    <w:rsid w:val="005E61D3"/>
    <w:rsid w:val="005F7738"/>
    <w:rsid w:val="00600219"/>
    <w:rsid w:val="006050BB"/>
    <w:rsid w:val="00613EAD"/>
    <w:rsid w:val="006158AC"/>
    <w:rsid w:val="00640402"/>
    <w:rsid w:val="00640F78"/>
    <w:rsid w:val="00646E7B"/>
    <w:rsid w:val="00655D6A"/>
    <w:rsid w:val="00656DE9"/>
    <w:rsid w:val="00660157"/>
    <w:rsid w:val="00677CC2"/>
    <w:rsid w:val="00685F42"/>
    <w:rsid w:val="006866A1"/>
    <w:rsid w:val="0069207B"/>
    <w:rsid w:val="006A4309"/>
    <w:rsid w:val="006B7006"/>
    <w:rsid w:val="006C7F8C"/>
    <w:rsid w:val="006D7AB9"/>
    <w:rsid w:val="00700B2C"/>
    <w:rsid w:val="00713084"/>
    <w:rsid w:val="00720FC2"/>
    <w:rsid w:val="00731E00"/>
    <w:rsid w:val="00732E9D"/>
    <w:rsid w:val="00734449"/>
    <w:rsid w:val="0073491A"/>
    <w:rsid w:val="007440B7"/>
    <w:rsid w:val="00747993"/>
    <w:rsid w:val="007634AD"/>
    <w:rsid w:val="007715C9"/>
    <w:rsid w:val="00774EDD"/>
    <w:rsid w:val="007757EC"/>
    <w:rsid w:val="007A35E6"/>
    <w:rsid w:val="007A6863"/>
    <w:rsid w:val="007D45C1"/>
    <w:rsid w:val="007E7D4A"/>
    <w:rsid w:val="007F48ED"/>
    <w:rsid w:val="007F7947"/>
    <w:rsid w:val="008041CC"/>
    <w:rsid w:val="00806ADC"/>
    <w:rsid w:val="00812F45"/>
    <w:rsid w:val="0084172C"/>
    <w:rsid w:val="00856A31"/>
    <w:rsid w:val="00867598"/>
    <w:rsid w:val="008754D0"/>
    <w:rsid w:val="00877D48"/>
    <w:rsid w:val="0088345B"/>
    <w:rsid w:val="0088712B"/>
    <w:rsid w:val="008A16A5"/>
    <w:rsid w:val="008A184E"/>
    <w:rsid w:val="008C2B5D"/>
    <w:rsid w:val="008D0EE0"/>
    <w:rsid w:val="008D5B99"/>
    <w:rsid w:val="008D7A27"/>
    <w:rsid w:val="008E2637"/>
    <w:rsid w:val="008E4702"/>
    <w:rsid w:val="008E56BB"/>
    <w:rsid w:val="008E69AA"/>
    <w:rsid w:val="008F4F1C"/>
    <w:rsid w:val="00922764"/>
    <w:rsid w:val="00932377"/>
    <w:rsid w:val="00937B2E"/>
    <w:rsid w:val="00943102"/>
    <w:rsid w:val="0094523D"/>
    <w:rsid w:val="009559E6"/>
    <w:rsid w:val="00976A63"/>
    <w:rsid w:val="009774D4"/>
    <w:rsid w:val="00983419"/>
    <w:rsid w:val="00995145"/>
    <w:rsid w:val="009C3431"/>
    <w:rsid w:val="009C5989"/>
    <w:rsid w:val="009D08DA"/>
    <w:rsid w:val="009F124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255"/>
    <w:rsid w:val="00A64912"/>
    <w:rsid w:val="00A70A74"/>
    <w:rsid w:val="00AA0343"/>
    <w:rsid w:val="00AA2A5C"/>
    <w:rsid w:val="00AB78E9"/>
    <w:rsid w:val="00AD3467"/>
    <w:rsid w:val="00AD5641"/>
    <w:rsid w:val="00AE0F9B"/>
    <w:rsid w:val="00AF55FF"/>
    <w:rsid w:val="00B032D8"/>
    <w:rsid w:val="00B33B3C"/>
    <w:rsid w:val="00B40D74"/>
    <w:rsid w:val="00B52663"/>
    <w:rsid w:val="00B56DCB"/>
    <w:rsid w:val="00B64C78"/>
    <w:rsid w:val="00B770D2"/>
    <w:rsid w:val="00B82245"/>
    <w:rsid w:val="00B94E23"/>
    <w:rsid w:val="00BA47A3"/>
    <w:rsid w:val="00BA5026"/>
    <w:rsid w:val="00BB6E79"/>
    <w:rsid w:val="00BC2EE0"/>
    <w:rsid w:val="00BE3B31"/>
    <w:rsid w:val="00BE719A"/>
    <w:rsid w:val="00BE720A"/>
    <w:rsid w:val="00BF6650"/>
    <w:rsid w:val="00C05B35"/>
    <w:rsid w:val="00C067E5"/>
    <w:rsid w:val="00C164CA"/>
    <w:rsid w:val="00C301AD"/>
    <w:rsid w:val="00C33CE5"/>
    <w:rsid w:val="00C35FB6"/>
    <w:rsid w:val="00C42BF8"/>
    <w:rsid w:val="00C460AE"/>
    <w:rsid w:val="00C50043"/>
    <w:rsid w:val="00C50A0F"/>
    <w:rsid w:val="00C64D82"/>
    <w:rsid w:val="00C71048"/>
    <w:rsid w:val="00C7573B"/>
    <w:rsid w:val="00C76CF3"/>
    <w:rsid w:val="00CA7844"/>
    <w:rsid w:val="00CB58EF"/>
    <w:rsid w:val="00CE7D64"/>
    <w:rsid w:val="00CF0BB2"/>
    <w:rsid w:val="00D13441"/>
    <w:rsid w:val="00D1508D"/>
    <w:rsid w:val="00D243A3"/>
    <w:rsid w:val="00D3200B"/>
    <w:rsid w:val="00D33440"/>
    <w:rsid w:val="00D52EFE"/>
    <w:rsid w:val="00D54C3A"/>
    <w:rsid w:val="00D56A0D"/>
    <w:rsid w:val="00D57AB9"/>
    <w:rsid w:val="00D63EF6"/>
    <w:rsid w:val="00D66518"/>
    <w:rsid w:val="00D70DFB"/>
    <w:rsid w:val="00D71EEA"/>
    <w:rsid w:val="00D735CD"/>
    <w:rsid w:val="00D766DF"/>
    <w:rsid w:val="00D843C4"/>
    <w:rsid w:val="00D95891"/>
    <w:rsid w:val="00D973F8"/>
    <w:rsid w:val="00DB5CB4"/>
    <w:rsid w:val="00DE149E"/>
    <w:rsid w:val="00DF5A48"/>
    <w:rsid w:val="00E05704"/>
    <w:rsid w:val="00E12F1A"/>
    <w:rsid w:val="00E1412B"/>
    <w:rsid w:val="00E21CFB"/>
    <w:rsid w:val="00E22935"/>
    <w:rsid w:val="00E30500"/>
    <w:rsid w:val="00E35454"/>
    <w:rsid w:val="00E44D81"/>
    <w:rsid w:val="00E54292"/>
    <w:rsid w:val="00E60191"/>
    <w:rsid w:val="00E67B5E"/>
    <w:rsid w:val="00E74DC7"/>
    <w:rsid w:val="00E81F89"/>
    <w:rsid w:val="00E87699"/>
    <w:rsid w:val="00E92E27"/>
    <w:rsid w:val="00E9586B"/>
    <w:rsid w:val="00E97334"/>
    <w:rsid w:val="00EA0D36"/>
    <w:rsid w:val="00EB2A4C"/>
    <w:rsid w:val="00ED391B"/>
    <w:rsid w:val="00ED4928"/>
    <w:rsid w:val="00EE5187"/>
    <w:rsid w:val="00EE6190"/>
    <w:rsid w:val="00EF0AFA"/>
    <w:rsid w:val="00EF2E3A"/>
    <w:rsid w:val="00EF6402"/>
    <w:rsid w:val="00F047E2"/>
    <w:rsid w:val="00F04D57"/>
    <w:rsid w:val="00F078DC"/>
    <w:rsid w:val="00F13E86"/>
    <w:rsid w:val="00F32FCB"/>
    <w:rsid w:val="00F4000B"/>
    <w:rsid w:val="00F6709F"/>
    <w:rsid w:val="00F677A9"/>
    <w:rsid w:val="00F732EA"/>
    <w:rsid w:val="00F835DE"/>
    <w:rsid w:val="00F84CF5"/>
    <w:rsid w:val="00F8612E"/>
    <w:rsid w:val="00FA420B"/>
    <w:rsid w:val="00FD4A41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263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26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26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26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263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263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263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26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263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263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E2637"/>
  </w:style>
  <w:style w:type="paragraph" w:customStyle="1" w:styleId="OPCParaBase">
    <w:name w:val="OPCParaBase"/>
    <w:qFormat/>
    <w:rsid w:val="008E263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E263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E263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E263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E263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E263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E263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E263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E263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E263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E263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E2637"/>
  </w:style>
  <w:style w:type="paragraph" w:customStyle="1" w:styleId="Blocks">
    <w:name w:val="Blocks"/>
    <w:aliases w:val="bb"/>
    <w:basedOn w:val="OPCParaBase"/>
    <w:qFormat/>
    <w:rsid w:val="008E263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E263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E263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E2637"/>
    <w:rPr>
      <w:i/>
    </w:rPr>
  </w:style>
  <w:style w:type="paragraph" w:customStyle="1" w:styleId="BoxList">
    <w:name w:val="BoxList"/>
    <w:aliases w:val="bl"/>
    <w:basedOn w:val="BoxText"/>
    <w:qFormat/>
    <w:rsid w:val="008E263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E263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E263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E2637"/>
    <w:pPr>
      <w:ind w:left="1985" w:hanging="851"/>
    </w:pPr>
  </w:style>
  <w:style w:type="character" w:customStyle="1" w:styleId="CharAmPartNo">
    <w:name w:val="CharAmPartNo"/>
    <w:basedOn w:val="OPCCharBase"/>
    <w:qFormat/>
    <w:rsid w:val="008E2637"/>
  </w:style>
  <w:style w:type="character" w:customStyle="1" w:styleId="CharAmPartText">
    <w:name w:val="CharAmPartText"/>
    <w:basedOn w:val="OPCCharBase"/>
    <w:qFormat/>
    <w:rsid w:val="008E2637"/>
  </w:style>
  <w:style w:type="character" w:customStyle="1" w:styleId="CharAmSchNo">
    <w:name w:val="CharAmSchNo"/>
    <w:basedOn w:val="OPCCharBase"/>
    <w:qFormat/>
    <w:rsid w:val="008E2637"/>
  </w:style>
  <w:style w:type="character" w:customStyle="1" w:styleId="CharAmSchText">
    <w:name w:val="CharAmSchText"/>
    <w:basedOn w:val="OPCCharBase"/>
    <w:qFormat/>
    <w:rsid w:val="008E2637"/>
  </w:style>
  <w:style w:type="character" w:customStyle="1" w:styleId="CharBoldItalic">
    <w:name w:val="CharBoldItalic"/>
    <w:basedOn w:val="OPCCharBase"/>
    <w:uiPriority w:val="1"/>
    <w:qFormat/>
    <w:rsid w:val="008E2637"/>
    <w:rPr>
      <w:b/>
      <w:i/>
    </w:rPr>
  </w:style>
  <w:style w:type="character" w:customStyle="1" w:styleId="CharChapNo">
    <w:name w:val="CharChapNo"/>
    <w:basedOn w:val="OPCCharBase"/>
    <w:uiPriority w:val="1"/>
    <w:qFormat/>
    <w:rsid w:val="008E2637"/>
  </w:style>
  <w:style w:type="character" w:customStyle="1" w:styleId="CharChapText">
    <w:name w:val="CharChapText"/>
    <w:basedOn w:val="OPCCharBase"/>
    <w:uiPriority w:val="1"/>
    <w:qFormat/>
    <w:rsid w:val="008E2637"/>
  </w:style>
  <w:style w:type="character" w:customStyle="1" w:styleId="CharDivNo">
    <w:name w:val="CharDivNo"/>
    <w:basedOn w:val="OPCCharBase"/>
    <w:uiPriority w:val="1"/>
    <w:qFormat/>
    <w:rsid w:val="008E2637"/>
  </w:style>
  <w:style w:type="character" w:customStyle="1" w:styleId="CharDivText">
    <w:name w:val="CharDivText"/>
    <w:basedOn w:val="OPCCharBase"/>
    <w:uiPriority w:val="1"/>
    <w:qFormat/>
    <w:rsid w:val="008E2637"/>
  </w:style>
  <w:style w:type="character" w:customStyle="1" w:styleId="CharItalic">
    <w:name w:val="CharItalic"/>
    <w:basedOn w:val="OPCCharBase"/>
    <w:uiPriority w:val="1"/>
    <w:qFormat/>
    <w:rsid w:val="008E2637"/>
    <w:rPr>
      <w:i/>
    </w:rPr>
  </w:style>
  <w:style w:type="character" w:customStyle="1" w:styleId="CharPartNo">
    <w:name w:val="CharPartNo"/>
    <w:basedOn w:val="OPCCharBase"/>
    <w:uiPriority w:val="1"/>
    <w:qFormat/>
    <w:rsid w:val="008E2637"/>
  </w:style>
  <w:style w:type="character" w:customStyle="1" w:styleId="CharPartText">
    <w:name w:val="CharPartText"/>
    <w:basedOn w:val="OPCCharBase"/>
    <w:uiPriority w:val="1"/>
    <w:qFormat/>
    <w:rsid w:val="008E2637"/>
  </w:style>
  <w:style w:type="character" w:customStyle="1" w:styleId="CharSectno">
    <w:name w:val="CharSectno"/>
    <w:basedOn w:val="OPCCharBase"/>
    <w:qFormat/>
    <w:rsid w:val="008E2637"/>
  </w:style>
  <w:style w:type="character" w:customStyle="1" w:styleId="CharSubdNo">
    <w:name w:val="CharSubdNo"/>
    <w:basedOn w:val="OPCCharBase"/>
    <w:uiPriority w:val="1"/>
    <w:qFormat/>
    <w:rsid w:val="008E2637"/>
  </w:style>
  <w:style w:type="character" w:customStyle="1" w:styleId="CharSubdText">
    <w:name w:val="CharSubdText"/>
    <w:basedOn w:val="OPCCharBase"/>
    <w:uiPriority w:val="1"/>
    <w:qFormat/>
    <w:rsid w:val="008E2637"/>
  </w:style>
  <w:style w:type="paragraph" w:customStyle="1" w:styleId="CTA--">
    <w:name w:val="CTA --"/>
    <w:basedOn w:val="OPCParaBase"/>
    <w:next w:val="Normal"/>
    <w:rsid w:val="008E263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E263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E263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E263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E263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E263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E263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E263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E263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E263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E263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E263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E263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E263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8E263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E263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E263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E263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E263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E263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E263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E263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E263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E263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E263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E263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E263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E263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E263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E263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E263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E263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E263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E263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E263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8E263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E263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E263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E263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E263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E263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E263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E263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E263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E263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E263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E263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E263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E263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E263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E263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E263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E263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E263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E263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E263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8E263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E263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E2637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E263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E2637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8E2637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E2637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E2637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E263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E263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E263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E263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E263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E263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E263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E263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E2637"/>
    <w:rPr>
      <w:sz w:val="16"/>
    </w:rPr>
  </w:style>
  <w:style w:type="table" w:customStyle="1" w:styleId="CFlag">
    <w:name w:val="CFlag"/>
    <w:basedOn w:val="TableNormal"/>
    <w:uiPriority w:val="99"/>
    <w:rsid w:val="008E263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8E26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6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2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E263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E263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2637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E263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E263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E263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8E2637"/>
    <w:pPr>
      <w:spacing w:before="120"/>
    </w:pPr>
  </w:style>
  <w:style w:type="paragraph" w:customStyle="1" w:styleId="CompiledActNo">
    <w:name w:val="CompiledActNo"/>
    <w:basedOn w:val="OPCParaBase"/>
    <w:next w:val="Normal"/>
    <w:rsid w:val="008E263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E263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E263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E263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E263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E263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E263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E263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E263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E263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E263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E263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E263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E263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E263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8E263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E263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E2637"/>
  </w:style>
  <w:style w:type="character" w:customStyle="1" w:styleId="CharSubPartNoCASA">
    <w:name w:val="CharSubPartNo(CASA)"/>
    <w:basedOn w:val="OPCCharBase"/>
    <w:uiPriority w:val="1"/>
    <w:rsid w:val="008E2637"/>
  </w:style>
  <w:style w:type="paragraph" w:customStyle="1" w:styleId="ENoteTTIndentHeadingSub">
    <w:name w:val="ENoteTTIndentHeadingSub"/>
    <w:aliases w:val="enTTHis"/>
    <w:basedOn w:val="OPCParaBase"/>
    <w:rsid w:val="008E263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E263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E263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E263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E263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E263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E2637"/>
    <w:rPr>
      <w:sz w:val="22"/>
    </w:rPr>
  </w:style>
  <w:style w:type="paragraph" w:customStyle="1" w:styleId="SOTextNote">
    <w:name w:val="SO TextNote"/>
    <w:aliases w:val="sont"/>
    <w:basedOn w:val="SOText"/>
    <w:qFormat/>
    <w:rsid w:val="008E263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E263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E2637"/>
    <w:rPr>
      <w:sz w:val="22"/>
    </w:rPr>
  </w:style>
  <w:style w:type="paragraph" w:customStyle="1" w:styleId="FileName">
    <w:name w:val="FileName"/>
    <w:basedOn w:val="Normal"/>
    <w:rsid w:val="008E2637"/>
  </w:style>
  <w:style w:type="paragraph" w:customStyle="1" w:styleId="TableHeading">
    <w:name w:val="TableHeading"/>
    <w:aliases w:val="th"/>
    <w:basedOn w:val="OPCParaBase"/>
    <w:next w:val="Tabletext"/>
    <w:rsid w:val="008E263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E263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E263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E263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E263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E263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E263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E263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E263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E263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E263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E263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E263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E263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E26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26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263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263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263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263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263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263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26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ctHead5Char">
    <w:name w:val="ActHead 5 Char"/>
    <w:aliases w:val="s Char"/>
    <w:link w:val="ActHead5"/>
    <w:locked/>
    <w:rsid w:val="003925C0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locked/>
    <w:rsid w:val="003925C0"/>
    <w:rPr>
      <w:rFonts w:eastAsia="Times New Roman" w:cs="Times New Roman"/>
      <w:sz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263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26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26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26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263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263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263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26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263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263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E2637"/>
  </w:style>
  <w:style w:type="paragraph" w:customStyle="1" w:styleId="OPCParaBase">
    <w:name w:val="OPCParaBase"/>
    <w:qFormat/>
    <w:rsid w:val="008E263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E263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E263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E263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E263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E263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E263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E263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E263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E263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E263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E2637"/>
  </w:style>
  <w:style w:type="paragraph" w:customStyle="1" w:styleId="Blocks">
    <w:name w:val="Blocks"/>
    <w:aliases w:val="bb"/>
    <w:basedOn w:val="OPCParaBase"/>
    <w:qFormat/>
    <w:rsid w:val="008E263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E263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E263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E2637"/>
    <w:rPr>
      <w:i/>
    </w:rPr>
  </w:style>
  <w:style w:type="paragraph" w:customStyle="1" w:styleId="BoxList">
    <w:name w:val="BoxList"/>
    <w:aliases w:val="bl"/>
    <w:basedOn w:val="BoxText"/>
    <w:qFormat/>
    <w:rsid w:val="008E263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E263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E263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E2637"/>
    <w:pPr>
      <w:ind w:left="1985" w:hanging="851"/>
    </w:pPr>
  </w:style>
  <w:style w:type="character" w:customStyle="1" w:styleId="CharAmPartNo">
    <w:name w:val="CharAmPartNo"/>
    <w:basedOn w:val="OPCCharBase"/>
    <w:qFormat/>
    <w:rsid w:val="008E2637"/>
  </w:style>
  <w:style w:type="character" w:customStyle="1" w:styleId="CharAmPartText">
    <w:name w:val="CharAmPartText"/>
    <w:basedOn w:val="OPCCharBase"/>
    <w:qFormat/>
    <w:rsid w:val="008E2637"/>
  </w:style>
  <w:style w:type="character" w:customStyle="1" w:styleId="CharAmSchNo">
    <w:name w:val="CharAmSchNo"/>
    <w:basedOn w:val="OPCCharBase"/>
    <w:qFormat/>
    <w:rsid w:val="008E2637"/>
  </w:style>
  <w:style w:type="character" w:customStyle="1" w:styleId="CharAmSchText">
    <w:name w:val="CharAmSchText"/>
    <w:basedOn w:val="OPCCharBase"/>
    <w:qFormat/>
    <w:rsid w:val="008E2637"/>
  </w:style>
  <w:style w:type="character" w:customStyle="1" w:styleId="CharBoldItalic">
    <w:name w:val="CharBoldItalic"/>
    <w:basedOn w:val="OPCCharBase"/>
    <w:uiPriority w:val="1"/>
    <w:qFormat/>
    <w:rsid w:val="008E2637"/>
    <w:rPr>
      <w:b/>
      <w:i/>
    </w:rPr>
  </w:style>
  <w:style w:type="character" w:customStyle="1" w:styleId="CharChapNo">
    <w:name w:val="CharChapNo"/>
    <w:basedOn w:val="OPCCharBase"/>
    <w:uiPriority w:val="1"/>
    <w:qFormat/>
    <w:rsid w:val="008E2637"/>
  </w:style>
  <w:style w:type="character" w:customStyle="1" w:styleId="CharChapText">
    <w:name w:val="CharChapText"/>
    <w:basedOn w:val="OPCCharBase"/>
    <w:uiPriority w:val="1"/>
    <w:qFormat/>
    <w:rsid w:val="008E2637"/>
  </w:style>
  <w:style w:type="character" w:customStyle="1" w:styleId="CharDivNo">
    <w:name w:val="CharDivNo"/>
    <w:basedOn w:val="OPCCharBase"/>
    <w:uiPriority w:val="1"/>
    <w:qFormat/>
    <w:rsid w:val="008E2637"/>
  </w:style>
  <w:style w:type="character" w:customStyle="1" w:styleId="CharDivText">
    <w:name w:val="CharDivText"/>
    <w:basedOn w:val="OPCCharBase"/>
    <w:uiPriority w:val="1"/>
    <w:qFormat/>
    <w:rsid w:val="008E2637"/>
  </w:style>
  <w:style w:type="character" w:customStyle="1" w:styleId="CharItalic">
    <w:name w:val="CharItalic"/>
    <w:basedOn w:val="OPCCharBase"/>
    <w:uiPriority w:val="1"/>
    <w:qFormat/>
    <w:rsid w:val="008E2637"/>
    <w:rPr>
      <w:i/>
    </w:rPr>
  </w:style>
  <w:style w:type="character" w:customStyle="1" w:styleId="CharPartNo">
    <w:name w:val="CharPartNo"/>
    <w:basedOn w:val="OPCCharBase"/>
    <w:uiPriority w:val="1"/>
    <w:qFormat/>
    <w:rsid w:val="008E2637"/>
  </w:style>
  <w:style w:type="character" w:customStyle="1" w:styleId="CharPartText">
    <w:name w:val="CharPartText"/>
    <w:basedOn w:val="OPCCharBase"/>
    <w:uiPriority w:val="1"/>
    <w:qFormat/>
    <w:rsid w:val="008E2637"/>
  </w:style>
  <w:style w:type="character" w:customStyle="1" w:styleId="CharSectno">
    <w:name w:val="CharSectno"/>
    <w:basedOn w:val="OPCCharBase"/>
    <w:qFormat/>
    <w:rsid w:val="008E2637"/>
  </w:style>
  <w:style w:type="character" w:customStyle="1" w:styleId="CharSubdNo">
    <w:name w:val="CharSubdNo"/>
    <w:basedOn w:val="OPCCharBase"/>
    <w:uiPriority w:val="1"/>
    <w:qFormat/>
    <w:rsid w:val="008E2637"/>
  </w:style>
  <w:style w:type="character" w:customStyle="1" w:styleId="CharSubdText">
    <w:name w:val="CharSubdText"/>
    <w:basedOn w:val="OPCCharBase"/>
    <w:uiPriority w:val="1"/>
    <w:qFormat/>
    <w:rsid w:val="008E2637"/>
  </w:style>
  <w:style w:type="paragraph" w:customStyle="1" w:styleId="CTA--">
    <w:name w:val="CTA --"/>
    <w:basedOn w:val="OPCParaBase"/>
    <w:next w:val="Normal"/>
    <w:rsid w:val="008E263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E263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E263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E263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E263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E263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E263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E263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E263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E263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E263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E263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E263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E263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8E263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E263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E263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E263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E263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E263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E263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E263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E263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E263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E263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E263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E263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E263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E263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E263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E263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E263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E263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E263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E263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8E263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E263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E263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E263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E263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E263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E263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E263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E263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E263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E263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E263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E263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E263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E263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E263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E263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E263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E263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E263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E263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8E263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E263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E2637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E263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E2637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8E2637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E2637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E2637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E263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E263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E263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E263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E263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E263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E263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E263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E2637"/>
    <w:rPr>
      <w:sz w:val="16"/>
    </w:rPr>
  </w:style>
  <w:style w:type="table" w:customStyle="1" w:styleId="CFlag">
    <w:name w:val="CFlag"/>
    <w:basedOn w:val="TableNormal"/>
    <w:uiPriority w:val="99"/>
    <w:rsid w:val="008E263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8E26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6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2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E263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E263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2637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E263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E263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E263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8E2637"/>
    <w:pPr>
      <w:spacing w:before="120"/>
    </w:pPr>
  </w:style>
  <w:style w:type="paragraph" w:customStyle="1" w:styleId="CompiledActNo">
    <w:name w:val="CompiledActNo"/>
    <w:basedOn w:val="OPCParaBase"/>
    <w:next w:val="Normal"/>
    <w:rsid w:val="008E263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E263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E263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E263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E263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E263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E263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E263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E263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E263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E263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E263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E263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E263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E263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8E263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E263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E2637"/>
  </w:style>
  <w:style w:type="character" w:customStyle="1" w:styleId="CharSubPartNoCASA">
    <w:name w:val="CharSubPartNo(CASA)"/>
    <w:basedOn w:val="OPCCharBase"/>
    <w:uiPriority w:val="1"/>
    <w:rsid w:val="008E2637"/>
  </w:style>
  <w:style w:type="paragraph" w:customStyle="1" w:styleId="ENoteTTIndentHeadingSub">
    <w:name w:val="ENoteTTIndentHeadingSub"/>
    <w:aliases w:val="enTTHis"/>
    <w:basedOn w:val="OPCParaBase"/>
    <w:rsid w:val="008E263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E263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E263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E263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E263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E263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E2637"/>
    <w:rPr>
      <w:sz w:val="22"/>
    </w:rPr>
  </w:style>
  <w:style w:type="paragraph" w:customStyle="1" w:styleId="SOTextNote">
    <w:name w:val="SO TextNote"/>
    <w:aliases w:val="sont"/>
    <w:basedOn w:val="SOText"/>
    <w:qFormat/>
    <w:rsid w:val="008E263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E263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E2637"/>
    <w:rPr>
      <w:sz w:val="22"/>
    </w:rPr>
  </w:style>
  <w:style w:type="paragraph" w:customStyle="1" w:styleId="FileName">
    <w:name w:val="FileName"/>
    <w:basedOn w:val="Normal"/>
    <w:rsid w:val="008E2637"/>
  </w:style>
  <w:style w:type="paragraph" w:customStyle="1" w:styleId="TableHeading">
    <w:name w:val="TableHeading"/>
    <w:aliases w:val="th"/>
    <w:basedOn w:val="OPCParaBase"/>
    <w:next w:val="Tabletext"/>
    <w:rsid w:val="008E263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E263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E263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E263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E263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E263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E263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E263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E263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E263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E263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E263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E263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E263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E26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26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263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263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263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263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263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263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26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ctHead5Char">
    <w:name w:val="ActHead 5 Char"/>
    <w:aliases w:val="s Char"/>
    <w:link w:val="ActHead5"/>
    <w:locked/>
    <w:rsid w:val="003925C0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locked/>
    <w:rsid w:val="003925C0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10</Pages>
  <Words>1381</Words>
  <Characters>7877</Characters>
  <Application>Microsoft Office Word</Application>
  <DocSecurity>4</DocSecurity>
  <PresentationFormat/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9240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2017-10-26T22:19:00Z</cp:lastPrinted>
  <dcterms:created xsi:type="dcterms:W3CDTF">2017-12-05T00:49:00Z</dcterms:created>
  <dcterms:modified xsi:type="dcterms:W3CDTF">2017-12-05T00:49:00Z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Customs (International Obligations) Amendment (Singapore-Australia Free Trade Agreement Amendment Implementation) Regulations 2017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16 November 2017</vt:lpwstr>
  </property>
  <property fmtid="{D5CDD505-2E9C-101B-9397-08002B2CF9AE}" pid="10" name="ID">
    <vt:lpwstr>OPC62956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16 November 2017</vt:lpwstr>
  </property>
</Properties>
</file>