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E1544" w14:textId="77777777" w:rsidR="005833BE" w:rsidRPr="009032C6" w:rsidRDefault="00F109D4" w:rsidP="009032C6">
      <w:pPr>
        <w:pStyle w:val="Heading1"/>
      </w:pPr>
      <w:r w:rsidRPr="00503E44">
        <w:t>EXPLANATORY STATEMENT</w:t>
      </w:r>
    </w:p>
    <w:p w14:paraId="6B2C6D0E" w14:textId="77777777" w:rsidR="00F109D4" w:rsidRPr="00503E44" w:rsidRDefault="00F109D4" w:rsidP="00326682">
      <w:pPr>
        <w:pStyle w:val="Heading2"/>
        <w:jc w:val="center"/>
      </w:pPr>
      <w:r w:rsidRPr="00503E44">
        <w:t xml:space="preserve">Issued by authority of the </w:t>
      </w:r>
      <w:r w:rsidR="00326682">
        <w:t>Treasurer</w:t>
      </w:r>
    </w:p>
    <w:p w14:paraId="2260A0AF" w14:textId="77777777" w:rsidR="00F109D4" w:rsidRPr="00503E44" w:rsidRDefault="00326682" w:rsidP="0070088D">
      <w:pPr>
        <w:jc w:val="center"/>
        <w:rPr>
          <w:i/>
        </w:rPr>
      </w:pPr>
      <w:r>
        <w:rPr>
          <w:i/>
        </w:rPr>
        <w:t>Foreign Acquisitions and Takeovers Act 1975</w:t>
      </w:r>
      <w:r w:rsidR="00D63678">
        <w:rPr>
          <w:i/>
        </w:rPr>
        <w:t xml:space="preserve"> </w:t>
      </w:r>
    </w:p>
    <w:p w14:paraId="4AC14B66" w14:textId="6634C18E" w:rsidR="003A1357" w:rsidRDefault="00FA52C8" w:rsidP="003A1357">
      <w:pPr>
        <w:jc w:val="center"/>
        <w:rPr>
          <w:i/>
        </w:rPr>
      </w:pPr>
      <w:r w:rsidRPr="00FA52C8">
        <w:rPr>
          <w:i/>
        </w:rPr>
        <w:t>Foreign Acquisitions and Takeovers Amendment (Amendments of Singapore</w:t>
      </w:r>
      <w:r w:rsidR="003A1357">
        <w:rPr>
          <w:i/>
        </w:rPr>
        <w:noBreakHyphen/>
      </w:r>
      <w:r w:rsidRPr="00FA52C8">
        <w:rPr>
          <w:i/>
        </w:rPr>
        <w:t>Australia Free Trade Agreement) Regulations 2017</w:t>
      </w:r>
    </w:p>
    <w:p w14:paraId="7B9AD314" w14:textId="7DA0947B" w:rsidR="00B71451" w:rsidRDefault="00B71451" w:rsidP="0070088D">
      <w:r>
        <w:rPr>
          <w:szCs w:val="24"/>
        </w:rPr>
        <w:t xml:space="preserve">The </w:t>
      </w:r>
      <w:r>
        <w:rPr>
          <w:i/>
          <w:szCs w:val="24"/>
        </w:rPr>
        <w:t xml:space="preserve">Foreign Acquisitions and Takeovers Act 1975 </w:t>
      </w:r>
      <w:r>
        <w:rPr>
          <w:szCs w:val="24"/>
        </w:rPr>
        <w:t>(the Act) provides for the regulation of foreign investment in Australia, specifying the circumstances under which foreign investors require the Treasurer’s approval to invest in Australia.</w:t>
      </w:r>
    </w:p>
    <w:p w14:paraId="73F3F6AB" w14:textId="56208003" w:rsidR="00D63678" w:rsidRDefault="00276FBE" w:rsidP="0070088D">
      <w:r>
        <w:t>Subsection </w:t>
      </w:r>
      <w:r w:rsidR="00326682">
        <w:t>139(1)</w:t>
      </w:r>
      <w:r w:rsidR="00F109D4" w:rsidRPr="00503E44">
        <w:t xml:space="preserve"> of the </w:t>
      </w:r>
      <w:r w:rsidR="00B71451">
        <w:t>Act</w:t>
      </w:r>
      <w:r w:rsidR="008B2141">
        <w:t xml:space="preserve"> </w:t>
      </w:r>
      <w:r w:rsidR="00F109D4" w:rsidRPr="00503E44">
        <w:t>provides that the Governor</w:t>
      </w:r>
      <w:r w:rsidR="00DA534E">
        <w:noBreakHyphen/>
      </w:r>
      <w:r w:rsidR="00F109D4" w:rsidRPr="00503E44">
        <w:t xml:space="preserve">General may make regulations prescribing matters required or permitted by the Act to be prescribed, or necessary or convenient to be prescribed for carrying </w:t>
      </w:r>
      <w:r w:rsidR="00D63678">
        <w:t>o</w:t>
      </w:r>
      <w:r w:rsidR="008B2141">
        <w:t>ut or giving effect to the</w:t>
      </w:r>
      <w:r w:rsidR="00D63678">
        <w:t xml:space="preserve"> Act.</w:t>
      </w:r>
    </w:p>
    <w:p w14:paraId="714AE765" w14:textId="52B3BB40" w:rsidR="00C235F7" w:rsidRDefault="00C225DC" w:rsidP="0070088D">
      <w:r>
        <w:t xml:space="preserve">The </w:t>
      </w:r>
      <w:r w:rsidR="00FA52C8" w:rsidRPr="00FA52C8">
        <w:rPr>
          <w:i/>
        </w:rPr>
        <w:t>Foreign Acquisitions and Takeovers Amendment (Amendments of Singapore</w:t>
      </w:r>
      <w:r w:rsidR="003A1357">
        <w:rPr>
          <w:i/>
        </w:rPr>
        <w:noBreakHyphen/>
      </w:r>
      <w:r w:rsidR="00FA52C8" w:rsidRPr="00FA52C8">
        <w:rPr>
          <w:i/>
        </w:rPr>
        <w:t>Australia Free Trade Agreement) Regulations 2017</w:t>
      </w:r>
      <w:r>
        <w:t xml:space="preserve"> </w:t>
      </w:r>
      <w:r w:rsidR="00ED365B">
        <w:t>(</w:t>
      </w:r>
      <w:r w:rsidR="00591BD6">
        <w:t xml:space="preserve">the </w:t>
      </w:r>
      <w:r w:rsidR="00680857">
        <w:t>Regulations</w:t>
      </w:r>
      <w:r w:rsidR="00ED365B">
        <w:t>) amend</w:t>
      </w:r>
      <w:r w:rsidR="00F510DD">
        <w:t xml:space="preserve"> the </w:t>
      </w:r>
      <w:r w:rsidR="00F510DD">
        <w:rPr>
          <w:i/>
        </w:rPr>
        <w:t xml:space="preserve">Foreign Acquisitions and Takeovers </w:t>
      </w:r>
      <w:r w:rsidR="00276FBE">
        <w:rPr>
          <w:i/>
        </w:rPr>
        <w:t>Regulation </w:t>
      </w:r>
      <w:r w:rsidR="00F510DD">
        <w:rPr>
          <w:i/>
        </w:rPr>
        <w:t>2015</w:t>
      </w:r>
      <w:r w:rsidR="005C714F">
        <w:t xml:space="preserve"> </w:t>
      </w:r>
      <w:r w:rsidR="00F510DD">
        <w:t xml:space="preserve">to give </w:t>
      </w:r>
      <w:r w:rsidR="005C714F">
        <w:t xml:space="preserve">effect </w:t>
      </w:r>
      <w:r w:rsidR="00F510DD">
        <w:t xml:space="preserve">to </w:t>
      </w:r>
      <w:r w:rsidR="000714D1">
        <w:t xml:space="preserve">Australia’s obligations under the </w:t>
      </w:r>
      <w:r w:rsidR="00FA52C8">
        <w:t>Agreement to Amend the Singapore-Australia Free Trade Agreement (</w:t>
      </w:r>
      <w:r w:rsidR="00591BD6">
        <w:t xml:space="preserve">the </w:t>
      </w:r>
      <w:r w:rsidR="00FA52C8">
        <w:t>S</w:t>
      </w:r>
      <w:r w:rsidR="006D57C9">
        <w:t>AFTA</w:t>
      </w:r>
      <w:r w:rsidR="00FA52C8">
        <w:t xml:space="preserve"> Amendment</w:t>
      </w:r>
      <w:r w:rsidR="006D57C9">
        <w:t>)</w:t>
      </w:r>
      <w:r w:rsidR="001E4ADB">
        <w:t>.</w:t>
      </w:r>
      <w:r w:rsidR="000714D1">
        <w:t xml:space="preserve"> </w:t>
      </w:r>
    </w:p>
    <w:p w14:paraId="619BEF79" w14:textId="71B0CC96" w:rsidR="00C225DC" w:rsidRDefault="007A2BA8" w:rsidP="0070088D">
      <w:r>
        <w:t xml:space="preserve">The </w:t>
      </w:r>
      <w:r w:rsidR="00FA52C8">
        <w:t>SAFTA Amendment</w:t>
      </w:r>
      <w:r>
        <w:t xml:space="preserve"> was tabled in Parliament on </w:t>
      </w:r>
      <w:r w:rsidR="00923C8A">
        <w:t xml:space="preserve">20 March 2017. </w:t>
      </w:r>
      <w:r>
        <w:t xml:space="preserve">The Joint Standing Committee on Treaties (JSCOT) reviewed the </w:t>
      </w:r>
      <w:r w:rsidR="00FA52C8">
        <w:t>SAFTA Amendment</w:t>
      </w:r>
      <w:r>
        <w:t xml:space="preserve"> to ensure that ratification was in the national interest and recommended that binding treaty action be taken.</w:t>
      </w:r>
      <w:r w:rsidR="00ED365B">
        <w:rPr>
          <w:rStyle w:val="FootnoteReference"/>
        </w:rPr>
        <w:footnoteReference w:id="2"/>
      </w:r>
      <w:r>
        <w:t xml:space="preserve"> </w:t>
      </w:r>
      <w:r w:rsidR="00282DB0">
        <w:t xml:space="preserve">The SAFTA Amendment </w:t>
      </w:r>
      <w:r w:rsidR="00D63C63" w:rsidRPr="00D63C63">
        <w:t xml:space="preserve">is scheduled to enter into force on or before 1 December 2017. </w:t>
      </w:r>
    </w:p>
    <w:p w14:paraId="1D3CFE0E" w14:textId="77777777" w:rsidR="007E3FA5" w:rsidRDefault="00282DB0" w:rsidP="007E3FA5">
      <w:r>
        <w:t xml:space="preserve">The Regulations form part of the steps Australia must take to implement the SAFTA Amendment. </w:t>
      </w:r>
      <w:r w:rsidR="007B7B2A">
        <w:t xml:space="preserve">The Regulations alter </w:t>
      </w:r>
      <w:r w:rsidR="00872170">
        <w:t>certain</w:t>
      </w:r>
      <w:r w:rsidR="00D2516D">
        <w:t xml:space="preserve"> threshold</w:t>
      </w:r>
      <w:r w:rsidR="004D486B">
        <w:t xml:space="preserve"> values (that is monetary amounts)</w:t>
      </w:r>
      <w:r w:rsidR="00D2516D">
        <w:t xml:space="preserve"> that apply t</w:t>
      </w:r>
      <w:r w:rsidR="0070088D">
        <w:t>o</w:t>
      </w:r>
      <w:r w:rsidR="006C69CA">
        <w:t xml:space="preserve"> determine when</w:t>
      </w:r>
      <w:r w:rsidR="0070088D">
        <w:t xml:space="preserve"> </w:t>
      </w:r>
      <w:r w:rsidR="00FA52C8">
        <w:t>Singaporean</w:t>
      </w:r>
      <w:r w:rsidR="0070088D">
        <w:t xml:space="preserve"> investors </w:t>
      </w:r>
      <w:r w:rsidR="00276FBE" w:rsidRPr="00276FBE">
        <w:t xml:space="preserve">(other than foreign government investors) </w:t>
      </w:r>
      <w:r w:rsidR="006C69CA">
        <w:t>are subject to the foreign investment framework</w:t>
      </w:r>
      <w:r w:rsidR="00872170">
        <w:t xml:space="preserve">. The </w:t>
      </w:r>
      <w:r w:rsidR="007B7B2A">
        <w:t xml:space="preserve">Regulations increase the </w:t>
      </w:r>
      <w:r w:rsidR="00872170">
        <w:t>threshold for investments in most business</w:t>
      </w:r>
      <w:r w:rsidR="007B7B2A">
        <w:t xml:space="preserve">, </w:t>
      </w:r>
      <w:r w:rsidR="00872170">
        <w:t>entities</w:t>
      </w:r>
      <w:r w:rsidR="00D2516D">
        <w:t xml:space="preserve"> </w:t>
      </w:r>
      <w:r w:rsidR="007B7B2A">
        <w:t>and non</w:t>
      </w:r>
      <w:r w:rsidR="007B7B2A">
        <w:noBreakHyphen/>
        <w:t>vacant commercial land</w:t>
      </w:r>
      <w:r w:rsidR="00D2516D">
        <w:t xml:space="preserve"> from $</w:t>
      </w:r>
      <w:r w:rsidR="00276FBE">
        <w:t>252 </w:t>
      </w:r>
      <w:r w:rsidR="00D2516D">
        <w:t>million to $1,</w:t>
      </w:r>
      <w:r w:rsidR="00276FBE">
        <w:t>094 </w:t>
      </w:r>
      <w:r w:rsidR="00D2516D">
        <w:t>million.</w:t>
      </w:r>
      <w:r w:rsidR="006C69CA">
        <w:t xml:space="preserve"> The threshold for investments in agricultural land decrease</w:t>
      </w:r>
      <w:r w:rsidR="00B71451">
        <w:t>s</w:t>
      </w:r>
      <w:r w:rsidR="006C69CA">
        <w:t xml:space="preserve"> from </w:t>
      </w:r>
      <w:r w:rsidR="003A1357">
        <w:t>$50 </w:t>
      </w:r>
      <w:r w:rsidR="006623AC">
        <w:t>million to $15 million</w:t>
      </w:r>
      <w:r w:rsidR="007B7B2A">
        <w:t>, applied on a cumulative basis</w:t>
      </w:r>
      <w:r w:rsidR="006623AC">
        <w:t xml:space="preserve">. The </w:t>
      </w:r>
      <w:r w:rsidR="006623AC" w:rsidRPr="006623AC">
        <w:t>$55 million</w:t>
      </w:r>
      <w:r w:rsidR="006623AC">
        <w:t xml:space="preserve"> threshold for investments in agribusiness </w:t>
      </w:r>
      <w:r w:rsidR="00B71451">
        <w:t>remains</w:t>
      </w:r>
      <w:r w:rsidR="00872170">
        <w:t xml:space="preserve"> </w:t>
      </w:r>
      <w:r w:rsidR="00B71451">
        <w:t>un</w:t>
      </w:r>
      <w:r w:rsidR="00872170">
        <w:t>altered</w:t>
      </w:r>
      <w:r w:rsidR="006623AC">
        <w:t>.</w:t>
      </w:r>
      <w:r w:rsidR="00B300A3">
        <w:t xml:space="preserve"> </w:t>
      </w:r>
      <w:r w:rsidR="007B7B2A">
        <w:t xml:space="preserve">The Department of the Treasury did not undertake consultation on the Regulations, the purpose of which is to implement the commitments already made and on which consultation has already taken place. </w:t>
      </w:r>
    </w:p>
    <w:p w14:paraId="677099A1" w14:textId="77777777" w:rsidR="007E3FA5" w:rsidRDefault="00591BD6" w:rsidP="007E3FA5">
      <w:r>
        <w:t xml:space="preserve">The Commonwealth undertook consultation on the proposed SAFTA Amendment. This included calling for public submissions and directly engaging with stakeholders affected by the proposed SAFTA Amendment. Feedback received during this process was taken into account when negotiating the SAFTA Amendment. </w:t>
      </w:r>
    </w:p>
    <w:p w14:paraId="57AB0FE4" w14:textId="65C295EB" w:rsidR="00591BD6" w:rsidRDefault="00591BD6" w:rsidP="007E3FA5">
      <w:bookmarkStart w:id="0" w:name="_GoBack"/>
      <w:bookmarkEnd w:id="0"/>
      <w:r>
        <w:t xml:space="preserve">The Department of Foreign Affairs and Trade (DFAT) commenced stakeholder consultations in November 2015, with a call for public </w:t>
      </w:r>
      <w:r w:rsidRPr="00357492">
        <w:t>submissions. Three submissions were received</w:t>
      </w:r>
      <w:r>
        <w:t xml:space="preserve"> from Curtin University, the University of Tasmania and Wilmar Sugar Australia. </w:t>
      </w:r>
    </w:p>
    <w:p w14:paraId="588D7FE8" w14:textId="77777777" w:rsidR="00591BD6" w:rsidRDefault="00591BD6" w:rsidP="00591BD6">
      <w:pPr>
        <w:keepNext/>
      </w:pPr>
      <w:r w:rsidRPr="00357492">
        <w:lastRenderedPageBreak/>
        <w:t xml:space="preserve">DFAT also consulted with stakeholders who would be directly affected by the </w:t>
      </w:r>
      <w:r>
        <w:t xml:space="preserve">proposed </w:t>
      </w:r>
      <w:r w:rsidRPr="00357492">
        <w:t xml:space="preserve">SAFTA Amendment, including </w:t>
      </w:r>
      <w:r w:rsidRPr="00357492">
        <w:rPr>
          <w:szCs w:val="24"/>
        </w:rPr>
        <w:t>individual companies and peak bodies from a range of sectors. Input was also sought from the Australian Chamber of Commerce in</w:t>
      </w:r>
      <w:r>
        <w:rPr>
          <w:szCs w:val="24"/>
        </w:rPr>
        <w:t xml:space="preserve"> </w:t>
      </w:r>
      <w:r w:rsidRPr="00357492">
        <w:rPr>
          <w:szCs w:val="24"/>
        </w:rPr>
        <w:t>Singapore.</w:t>
      </w:r>
      <w:r w:rsidRPr="00357492">
        <w:t xml:space="preserve"> </w:t>
      </w:r>
    </w:p>
    <w:p w14:paraId="4770DE91" w14:textId="0D10C959" w:rsidR="00591BD6" w:rsidRPr="000E0204" w:rsidRDefault="00D63C63" w:rsidP="00591BD6">
      <w:pPr>
        <w:keepNext/>
      </w:pPr>
      <w:r>
        <w:t>State and t</w:t>
      </w:r>
      <w:r w:rsidR="00591BD6" w:rsidRPr="000E0204">
        <w:t>erritory governments were consulted in meetings of the Commonwealth</w:t>
      </w:r>
      <w:r w:rsidR="00591BD6" w:rsidRPr="000E0204">
        <w:noBreakHyphen/>
        <w:t>State-Territory Standing Commit</w:t>
      </w:r>
      <w:r>
        <w:t>tee on Treaties. Additionally, state and t</w:t>
      </w:r>
      <w:r w:rsidR="00591BD6" w:rsidRPr="000E0204">
        <w:t>erritory officials were consulted in correspondence from the Minister for Trade and Investment and the Minister for Trade, T</w:t>
      </w:r>
      <w:r>
        <w:t>ourism and Investment. The states and t</w:t>
      </w:r>
      <w:r w:rsidR="00591BD6" w:rsidRPr="000E0204">
        <w:t>erritories have agreed to the SAFTA Amendment, including those parts which would impact the states and territories. The amendments included in the proposed Regulations would not impact the states and territories</w:t>
      </w:r>
      <w:r>
        <w:t xml:space="preserve"> directly</w:t>
      </w:r>
      <w:r w:rsidR="00591BD6" w:rsidRPr="000E0204">
        <w:t xml:space="preserve">. </w:t>
      </w:r>
    </w:p>
    <w:p w14:paraId="5017411C" w14:textId="77777777" w:rsidR="00591BD6" w:rsidRPr="00357492" w:rsidRDefault="00591BD6" w:rsidP="00591BD6">
      <w:pPr>
        <w:keepNext/>
      </w:pPr>
      <w:r w:rsidRPr="005253A1">
        <w:t>More than 15 organisations issued public statements in support of the SAFTA</w:t>
      </w:r>
      <w:r>
        <w:t xml:space="preserve"> Amendment</w:t>
      </w:r>
      <w:r w:rsidRPr="005253A1">
        <w:t>, including: Australian Chamber of Commerce Singapore, Singapore Business Circle, Universities Australia, James Cook University, ANZ, National Australia Bank, Engineers Australia, PriceWaterhouseCooper, and the Law</w:t>
      </w:r>
      <w:r>
        <w:t> </w:t>
      </w:r>
      <w:r w:rsidRPr="005253A1">
        <w:t>Council of Australia</w:t>
      </w:r>
      <w:r>
        <w:t xml:space="preserve">. </w:t>
      </w:r>
    </w:p>
    <w:p w14:paraId="2729A03F" w14:textId="4DD611EC" w:rsidR="00591BD6" w:rsidRDefault="00591BD6" w:rsidP="00591BD6">
      <w:pPr>
        <w:keepNext/>
        <w:rPr>
          <w:szCs w:val="24"/>
        </w:rPr>
      </w:pPr>
      <w:r>
        <w:t>Further information on the consultation process is included in the National Interest Analysis (NIA) provided to the JSCOT.</w:t>
      </w:r>
      <w:r>
        <w:rPr>
          <w:rStyle w:val="FootnoteReference"/>
        </w:rPr>
        <w:footnoteReference w:id="3"/>
      </w:r>
    </w:p>
    <w:p w14:paraId="4B8CF326" w14:textId="77777777" w:rsidR="00B71451" w:rsidRDefault="00B71451" w:rsidP="00B71451">
      <w:r>
        <w:t xml:space="preserve">Further details of the Regulations are set out in </w:t>
      </w:r>
      <w:r>
        <w:rPr>
          <w:u w:val="single"/>
        </w:rPr>
        <w:t>Attachment A</w:t>
      </w:r>
      <w:r>
        <w:t>.</w:t>
      </w:r>
    </w:p>
    <w:p w14:paraId="7958E60C" w14:textId="77777777" w:rsidR="00B71451" w:rsidRPr="00621251" w:rsidRDefault="00B71451" w:rsidP="00B71451">
      <w:pPr>
        <w:rPr>
          <w:u w:val="single"/>
        </w:rPr>
      </w:pPr>
      <w:r>
        <w:t xml:space="preserve">The Statement of Compatibility is set out in </w:t>
      </w:r>
      <w:r>
        <w:rPr>
          <w:u w:val="single"/>
        </w:rPr>
        <w:t>Attachment B</w:t>
      </w:r>
      <w:r>
        <w:t>.</w:t>
      </w:r>
    </w:p>
    <w:p w14:paraId="627E541E" w14:textId="77777777" w:rsidR="00B71451" w:rsidRDefault="00B71451" w:rsidP="00B71451">
      <w:r>
        <w:t xml:space="preserve">The Act does not specify any conditions that need to be met before the power to make the Regulations may be exercised. </w:t>
      </w:r>
    </w:p>
    <w:p w14:paraId="3440F473" w14:textId="2D4673C4" w:rsidR="00276FBE" w:rsidRDefault="00276FBE" w:rsidP="00276FBE">
      <w:r>
        <w:t xml:space="preserve">A </w:t>
      </w:r>
      <w:r w:rsidR="006A341C">
        <w:t>R</w:t>
      </w:r>
      <w:r w:rsidR="006A341C" w:rsidRPr="006A341C">
        <w:t xml:space="preserve">egulation </w:t>
      </w:r>
      <w:r w:rsidR="006A341C">
        <w:t>Impact S</w:t>
      </w:r>
      <w:r w:rsidR="006A341C" w:rsidRPr="006A341C">
        <w:t>tatement</w:t>
      </w:r>
      <w:r>
        <w:t xml:space="preserve"> accompanied the NIA.</w:t>
      </w:r>
      <w:r w:rsidR="00EA26F7">
        <w:rPr>
          <w:rStyle w:val="FootnoteReference"/>
        </w:rPr>
        <w:footnoteReference w:id="4"/>
      </w:r>
      <w:r>
        <w:t xml:space="preserve"> </w:t>
      </w:r>
    </w:p>
    <w:p w14:paraId="3AEEB246" w14:textId="75114F51" w:rsidR="00276FBE" w:rsidRDefault="00276FBE" w:rsidP="00276FBE">
      <w:pPr>
        <w:pStyle w:val="Bullet"/>
        <w:numPr>
          <w:ilvl w:val="0"/>
          <w:numId w:val="0"/>
        </w:numPr>
        <w:spacing w:before="120"/>
      </w:pPr>
      <w:r>
        <w:t xml:space="preserve">The </w:t>
      </w:r>
      <w:r w:rsidR="00680857">
        <w:t>Regulations</w:t>
      </w:r>
      <w:r>
        <w:t xml:space="preserve"> </w:t>
      </w:r>
      <w:r w:rsidR="00EF3A85">
        <w:t>are</w:t>
      </w:r>
      <w:r>
        <w:t xml:space="preserve"> a legislative instrument for the purpose of the </w:t>
      </w:r>
      <w:r>
        <w:rPr>
          <w:i/>
        </w:rPr>
        <w:t>Legislative Instruments Act 2003</w:t>
      </w:r>
      <w:r>
        <w:t>. Section 2 of the Regulation</w:t>
      </w:r>
      <w:r w:rsidR="008B2141">
        <w:t>s</w:t>
      </w:r>
      <w:r>
        <w:t xml:space="preserve"> specifies when each provision </w:t>
      </w:r>
      <w:r w:rsidR="00B71451">
        <w:t>takes</w:t>
      </w:r>
      <w:r>
        <w:t xml:space="preserve"> effect.</w:t>
      </w:r>
    </w:p>
    <w:p w14:paraId="723A00BE" w14:textId="77777777" w:rsidR="009E6DCA" w:rsidRDefault="009E6DCA">
      <w:pPr>
        <w:spacing w:before="0" w:after="0"/>
      </w:pPr>
      <w:r>
        <w:br w:type="page"/>
      </w:r>
    </w:p>
    <w:p w14:paraId="363B66A5" w14:textId="77777777" w:rsidR="00621251" w:rsidRPr="00276FBE" w:rsidRDefault="00276FBE" w:rsidP="009E6DCA">
      <w:pPr>
        <w:jc w:val="right"/>
        <w:rPr>
          <w:b/>
          <w:u w:val="single"/>
        </w:rPr>
      </w:pPr>
      <w:r w:rsidRPr="00276FBE">
        <w:rPr>
          <w:b/>
          <w:u w:val="single"/>
        </w:rPr>
        <w:lastRenderedPageBreak/>
        <w:t>ATTACHMENT A</w:t>
      </w:r>
    </w:p>
    <w:p w14:paraId="1FDD97E4" w14:textId="77777777" w:rsidR="003F7BAE" w:rsidRPr="003619F9" w:rsidRDefault="00276FBE" w:rsidP="0070088D">
      <w:pPr>
        <w:rPr>
          <w:b/>
        </w:rPr>
      </w:pPr>
      <w:r w:rsidRPr="003619F9">
        <w:rPr>
          <w:b/>
        </w:rPr>
        <w:t>Section</w:t>
      </w:r>
      <w:r>
        <w:rPr>
          <w:b/>
        </w:rPr>
        <w:t> </w:t>
      </w:r>
      <w:r w:rsidR="000769DD" w:rsidRPr="003619F9">
        <w:rPr>
          <w:b/>
        </w:rPr>
        <w:t>1 — Name</w:t>
      </w:r>
    </w:p>
    <w:p w14:paraId="1318D867" w14:textId="77777777" w:rsidR="001B52CA" w:rsidRPr="001B52CA" w:rsidRDefault="00AE6A5B" w:rsidP="0070088D">
      <w:pPr>
        <w:rPr>
          <w:i/>
        </w:rPr>
      </w:pPr>
      <w:r>
        <w:t xml:space="preserve">The title of the </w:t>
      </w:r>
      <w:r w:rsidR="00680857">
        <w:t>Regulations</w:t>
      </w:r>
      <w:r>
        <w:t xml:space="preserve"> is the </w:t>
      </w:r>
      <w:r w:rsidR="00787226" w:rsidRPr="00FA52C8">
        <w:rPr>
          <w:i/>
        </w:rPr>
        <w:t>Foreign Acquisitions and Takeovers Amendment (Amendments of Singapore Australia Free Trade Agreement) Regulations 2017</w:t>
      </w:r>
      <w:r>
        <w:rPr>
          <w:i/>
        </w:rPr>
        <w:t>.</w:t>
      </w:r>
    </w:p>
    <w:p w14:paraId="3B32A157" w14:textId="77777777" w:rsidR="008876E1" w:rsidRPr="003619F9" w:rsidRDefault="008876E1" w:rsidP="0070088D">
      <w:pPr>
        <w:rPr>
          <w:b/>
        </w:rPr>
      </w:pPr>
      <w:r w:rsidRPr="003619F9">
        <w:rPr>
          <w:b/>
        </w:rPr>
        <w:t>Section 2 — Commencement</w:t>
      </w:r>
    </w:p>
    <w:p w14:paraId="206449BE" w14:textId="1E7889C7" w:rsidR="00B55AA3" w:rsidRDefault="003C3888" w:rsidP="0070088D">
      <w:r>
        <w:t>T</w:t>
      </w:r>
      <w:r w:rsidR="008876E1">
        <w:t xml:space="preserve">he </w:t>
      </w:r>
      <w:r w:rsidR="00680857">
        <w:t>Regulations</w:t>
      </w:r>
      <w:r w:rsidR="008876E1">
        <w:t xml:space="preserve"> commence on the </w:t>
      </w:r>
      <w:r w:rsidR="00B55AA3">
        <w:t>late</w:t>
      </w:r>
      <w:r w:rsidR="00591BD6">
        <w:t>r</w:t>
      </w:r>
      <w:r w:rsidR="00B55AA3">
        <w:t xml:space="preserve"> </w:t>
      </w:r>
      <w:r w:rsidR="008876E1">
        <w:t>of</w:t>
      </w:r>
      <w:r w:rsidR="00B55AA3">
        <w:t>:</w:t>
      </w:r>
    </w:p>
    <w:p w14:paraId="426DCE46" w14:textId="77777777" w:rsidR="00B55AA3" w:rsidRDefault="001E4ADB" w:rsidP="00C60544">
      <w:pPr>
        <w:pStyle w:val="ListParagraph"/>
        <w:numPr>
          <w:ilvl w:val="0"/>
          <w:numId w:val="3"/>
        </w:numPr>
        <w:ind w:left="714" w:hanging="357"/>
        <w:contextualSpacing w:val="0"/>
      </w:pPr>
      <w:r>
        <w:t xml:space="preserve">the </w:t>
      </w:r>
      <w:r w:rsidR="00B55AA3">
        <w:t xml:space="preserve">start of the </w:t>
      </w:r>
      <w:r>
        <w:t xml:space="preserve">day after the </w:t>
      </w:r>
      <w:r w:rsidR="00680857">
        <w:t>Regulations</w:t>
      </w:r>
      <w:r>
        <w:t xml:space="preserve"> is</w:t>
      </w:r>
      <w:r w:rsidR="00177612">
        <w:t xml:space="preserve"> registered on the </w:t>
      </w:r>
      <w:r w:rsidR="003C3888">
        <w:t>Federal Register of Legislative Instruments</w:t>
      </w:r>
      <w:r w:rsidR="00794ADA">
        <w:t xml:space="preserve">; </w:t>
      </w:r>
      <w:r w:rsidR="003C3888">
        <w:t>and</w:t>
      </w:r>
    </w:p>
    <w:p w14:paraId="098F1B84" w14:textId="77777777" w:rsidR="00B55AA3" w:rsidRDefault="00794ADA" w:rsidP="00C60544">
      <w:pPr>
        <w:pStyle w:val="ListParagraph"/>
        <w:numPr>
          <w:ilvl w:val="0"/>
          <w:numId w:val="3"/>
        </w:numPr>
        <w:ind w:left="714" w:hanging="357"/>
        <w:contextualSpacing w:val="0"/>
      </w:pPr>
      <w:r>
        <w:t xml:space="preserve">the start of the day the </w:t>
      </w:r>
      <w:r w:rsidR="003C3888">
        <w:t>SAFTA Amendment</w:t>
      </w:r>
      <w:r>
        <w:t xml:space="preserve"> enters into force.</w:t>
      </w:r>
      <w:r w:rsidR="00CF08CD">
        <w:t xml:space="preserve"> </w:t>
      </w:r>
    </w:p>
    <w:p w14:paraId="521F4063" w14:textId="77777777" w:rsidR="00B55AA3" w:rsidRDefault="00CF08CD" w:rsidP="00B55AA3">
      <w:r>
        <w:t>However</w:t>
      </w:r>
      <w:r w:rsidR="00F65AEA">
        <w:t xml:space="preserve">, if </w:t>
      </w:r>
      <w:r w:rsidR="00B55AA3">
        <w:t xml:space="preserve">b) </w:t>
      </w:r>
      <w:r w:rsidR="003C3888">
        <w:t>does not</w:t>
      </w:r>
      <w:r w:rsidR="00B55AA3">
        <w:t xml:space="preserve"> occur, </w:t>
      </w:r>
      <w:r w:rsidR="00F65AEA">
        <w:t xml:space="preserve">the </w:t>
      </w:r>
      <w:r w:rsidR="00680857">
        <w:t>Regulations</w:t>
      </w:r>
      <w:r w:rsidR="00F65AEA">
        <w:t xml:space="preserve"> </w:t>
      </w:r>
      <w:r w:rsidR="00B55AA3">
        <w:t>will not commence</w:t>
      </w:r>
      <w:r>
        <w:t>.</w:t>
      </w:r>
      <w:r w:rsidR="006215A7">
        <w:t xml:space="preserve"> </w:t>
      </w:r>
      <w:r w:rsidR="00856ED0">
        <w:t>The SAFTA Amendment</w:t>
      </w:r>
      <w:r w:rsidR="00B55AA3">
        <w:t xml:space="preserve"> provides that </w:t>
      </w:r>
      <w:r w:rsidR="00856ED0">
        <w:t>it</w:t>
      </w:r>
      <w:r w:rsidR="00B55AA3">
        <w:t xml:space="preserve"> will enter into force </w:t>
      </w:r>
      <w:r w:rsidR="00856ED0">
        <w:t>on the date of the latest note of an exchange of notes confirming that each Party has completed its respective domestic requirements for entry into force</w:t>
      </w:r>
      <w:r w:rsidR="00B55AA3">
        <w:t>.</w:t>
      </w:r>
    </w:p>
    <w:p w14:paraId="13F600F7" w14:textId="77777777" w:rsidR="00856ED0" w:rsidRPr="003619F9" w:rsidRDefault="006215A7" w:rsidP="00B55AA3">
      <w:r>
        <w:t>Section 2 provides that the</w:t>
      </w:r>
      <w:r w:rsidR="00C553C6">
        <w:t xml:space="preserve"> Treasurer must announce the date that the SAFTA Amendment comes into force so that if b) applies, the date of commencement of the </w:t>
      </w:r>
      <w:r w:rsidR="00680857">
        <w:t>Regulations</w:t>
      </w:r>
      <w:r w:rsidR="00C553C6">
        <w:t xml:space="preserve"> is clear.</w:t>
      </w:r>
    </w:p>
    <w:p w14:paraId="5F8FC5E4" w14:textId="77777777" w:rsidR="00BE5FF4" w:rsidRPr="003619F9" w:rsidRDefault="00B55AA3" w:rsidP="0070088D">
      <w:pPr>
        <w:rPr>
          <w:b/>
        </w:rPr>
      </w:pPr>
      <w:r w:rsidRPr="003619F9">
        <w:rPr>
          <w:b/>
        </w:rPr>
        <w:t>Section</w:t>
      </w:r>
      <w:r>
        <w:rPr>
          <w:b/>
        </w:rPr>
        <w:t> </w:t>
      </w:r>
      <w:r w:rsidR="00BE5FF4" w:rsidRPr="003619F9">
        <w:rPr>
          <w:b/>
        </w:rPr>
        <w:t>3 — Authority</w:t>
      </w:r>
    </w:p>
    <w:p w14:paraId="29A7A494" w14:textId="77777777" w:rsidR="00B55AA3" w:rsidRDefault="00B55AA3" w:rsidP="00B55AA3">
      <w:r>
        <w:t xml:space="preserve">The </w:t>
      </w:r>
      <w:r w:rsidR="00680857">
        <w:t>Regulations</w:t>
      </w:r>
      <w:r>
        <w:t xml:space="preserve"> </w:t>
      </w:r>
      <w:r w:rsidR="00680857">
        <w:t>are</w:t>
      </w:r>
      <w:r>
        <w:t xml:space="preserve"> made under the </w:t>
      </w:r>
      <w:r w:rsidRPr="00513FF0">
        <w:rPr>
          <w:i/>
        </w:rPr>
        <w:t>Foreign Acquisitions and Takeovers Act 1975</w:t>
      </w:r>
      <w:r>
        <w:t xml:space="preserve">. </w:t>
      </w:r>
    </w:p>
    <w:p w14:paraId="1F61990F" w14:textId="77777777" w:rsidR="00280CB6" w:rsidRDefault="00B55AA3" w:rsidP="0070088D">
      <w:pPr>
        <w:rPr>
          <w:b/>
        </w:rPr>
      </w:pPr>
      <w:r w:rsidRPr="00EF1D75">
        <w:rPr>
          <w:b/>
        </w:rPr>
        <w:t>Section</w:t>
      </w:r>
      <w:r>
        <w:rPr>
          <w:b/>
        </w:rPr>
        <w:t> </w:t>
      </w:r>
      <w:r w:rsidR="00EF1D75" w:rsidRPr="00EF1D75">
        <w:rPr>
          <w:b/>
        </w:rPr>
        <w:t>4 — Schedules</w:t>
      </w:r>
    </w:p>
    <w:p w14:paraId="7E399F60" w14:textId="77777777" w:rsidR="003619F9" w:rsidRDefault="00833E18" w:rsidP="0070088D">
      <w:r>
        <w:t>Section 4 provides that ‘</w:t>
      </w:r>
      <w:r w:rsidR="00EF3A85">
        <w:t>[e]</w:t>
      </w:r>
      <w:r w:rsidR="00423276" w:rsidRPr="00530B9F">
        <w:t>ach instrument that is specified in a Schedule to this instrument is amended or repealed as set out in the applicable items in the Schedule concerned, and any other item in a Schedule to this instrument has effect according to its terms</w:t>
      </w:r>
      <w:r w:rsidR="003E7CA1">
        <w:t>.</w:t>
      </w:r>
      <w:r>
        <w:t>’</w:t>
      </w:r>
      <w:r w:rsidR="00D15F56">
        <w:t xml:space="preserve"> This is a technical provision which gives operational effect to the amendments contained in the Schedules. </w:t>
      </w:r>
    </w:p>
    <w:p w14:paraId="03A4184B" w14:textId="77777777" w:rsidR="000473FC" w:rsidRDefault="000473FC">
      <w:pPr>
        <w:spacing w:before="0" w:after="0"/>
      </w:pPr>
      <w:r>
        <w:br w:type="page"/>
      </w:r>
    </w:p>
    <w:p w14:paraId="4944B6CF" w14:textId="20E4A0D8" w:rsidR="00EF1D75" w:rsidRPr="003619F9" w:rsidRDefault="00B55AA3" w:rsidP="0070088D">
      <w:pPr>
        <w:rPr>
          <w:b/>
          <w:u w:val="single"/>
        </w:rPr>
      </w:pPr>
      <w:r w:rsidRPr="003619F9">
        <w:rPr>
          <w:b/>
          <w:u w:val="single"/>
        </w:rPr>
        <w:lastRenderedPageBreak/>
        <w:t>Schedule</w:t>
      </w:r>
      <w:r>
        <w:rPr>
          <w:b/>
          <w:u w:val="single"/>
        </w:rPr>
        <w:t> </w:t>
      </w:r>
      <w:r w:rsidRPr="003619F9">
        <w:rPr>
          <w:b/>
          <w:u w:val="single"/>
        </w:rPr>
        <w:t xml:space="preserve">1 — Amendments to the </w:t>
      </w:r>
      <w:r w:rsidRPr="00AC6E70">
        <w:rPr>
          <w:b/>
          <w:i/>
          <w:u w:val="single"/>
        </w:rPr>
        <w:t>Foreign Acquisitions and Takeovers Regulation </w:t>
      </w:r>
      <w:r w:rsidR="00EA26F7">
        <w:rPr>
          <w:b/>
          <w:i/>
          <w:u w:val="single"/>
        </w:rPr>
        <w:t>2015</w:t>
      </w:r>
    </w:p>
    <w:p w14:paraId="6C25FA90" w14:textId="77777777" w:rsidR="003619F9" w:rsidRPr="005A79A6" w:rsidRDefault="00C338AD" w:rsidP="0070088D">
      <w:pPr>
        <w:rPr>
          <w:b/>
        </w:rPr>
      </w:pPr>
      <w:r w:rsidRPr="005A79A6">
        <w:rPr>
          <w:b/>
        </w:rPr>
        <w:t xml:space="preserve">1 </w:t>
      </w:r>
      <w:r w:rsidR="00B55AA3" w:rsidRPr="005A79A6">
        <w:rPr>
          <w:b/>
        </w:rPr>
        <w:t>Section</w:t>
      </w:r>
      <w:r w:rsidR="00B55AA3">
        <w:rPr>
          <w:b/>
        </w:rPr>
        <w:t> </w:t>
      </w:r>
      <w:r w:rsidRPr="005A79A6">
        <w:rPr>
          <w:b/>
        </w:rPr>
        <w:t>5</w:t>
      </w:r>
    </w:p>
    <w:p w14:paraId="080A5E93" w14:textId="291C7E10" w:rsidR="00294296" w:rsidRDefault="00282DB0" w:rsidP="0070088D">
      <w:r>
        <w:t>Item 1</w:t>
      </w:r>
      <w:r w:rsidR="00C338AD">
        <w:t xml:space="preserve"> </w:t>
      </w:r>
      <w:r w:rsidR="005005B6">
        <w:t>amend</w:t>
      </w:r>
      <w:r>
        <w:t>s</w:t>
      </w:r>
      <w:r w:rsidR="001B52CA">
        <w:t xml:space="preserve"> the definition of </w:t>
      </w:r>
      <w:r w:rsidR="00C338AD">
        <w:t xml:space="preserve">the term ‘agreement country’ </w:t>
      </w:r>
      <w:r w:rsidR="00B90F05">
        <w:t xml:space="preserve">in section 5 of </w:t>
      </w:r>
      <w:r w:rsidR="00B90F05" w:rsidRPr="0099054F">
        <w:rPr>
          <w:i/>
        </w:rPr>
        <w:t>Foreign Acquisitions and Takeovers Regulation 2015</w:t>
      </w:r>
      <w:r w:rsidR="00B90F05">
        <w:rPr>
          <w:i/>
        </w:rPr>
        <w:t xml:space="preserve"> </w:t>
      </w:r>
      <w:r w:rsidR="00C338AD">
        <w:t xml:space="preserve">to </w:t>
      </w:r>
      <w:r w:rsidR="001B52CA">
        <w:t xml:space="preserve">include </w:t>
      </w:r>
      <w:r w:rsidR="005213C4">
        <w:t>Singapore</w:t>
      </w:r>
      <w:r w:rsidR="001B52CA">
        <w:t>.</w:t>
      </w:r>
      <w:r w:rsidR="008248F1">
        <w:t xml:space="preserve"> </w:t>
      </w:r>
      <w:r w:rsidR="001B52CA">
        <w:t xml:space="preserve">The other countries which are ‘agreement countries’ are </w:t>
      </w:r>
      <w:r w:rsidR="00B90F05" w:rsidRPr="00B90F05">
        <w:t>Japan, New</w:t>
      </w:r>
      <w:r w:rsidR="00B90F05">
        <w:t> </w:t>
      </w:r>
      <w:r w:rsidR="00B90F05" w:rsidRPr="00B90F05">
        <w:t>Zealan</w:t>
      </w:r>
      <w:r w:rsidR="003A1357">
        <w:t>d, the Republic of Chile</w:t>
      </w:r>
      <w:r w:rsidR="00B90F05" w:rsidRPr="00B90F05">
        <w:t>,</w:t>
      </w:r>
      <w:r w:rsidR="003A1357">
        <w:t xml:space="preserve"> the Republic of Korea</w:t>
      </w:r>
      <w:r w:rsidR="005213C4">
        <w:t xml:space="preserve">, </w:t>
      </w:r>
      <w:r w:rsidR="003A1357">
        <w:t>the United States of America</w:t>
      </w:r>
      <w:r w:rsidR="005213C4">
        <w:t xml:space="preserve"> and China</w:t>
      </w:r>
      <w:r w:rsidR="001B52CA">
        <w:t>.</w:t>
      </w:r>
    </w:p>
    <w:p w14:paraId="10DAF569" w14:textId="619C7B31" w:rsidR="00A32A1A" w:rsidRDefault="00D01B9D" w:rsidP="0070088D">
      <w:r>
        <w:t xml:space="preserve">The effect is that </w:t>
      </w:r>
      <w:r w:rsidR="004B013A">
        <w:t>investors from</w:t>
      </w:r>
      <w:r>
        <w:t xml:space="preserve"> </w:t>
      </w:r>
      <w:r w:rsidR="00A32A1A">
        <w:t>Singapore</w:t>
      </w:r>
      <w:r>
        <w:t xml:space="preserve"> benefit from the higher threshold</w:t>
      </w:r>
      <w:r w:rsidR="00B90F05">
        <w:t xml:space="preserve"> value</w:t>
      </w:r>
      <w:r>
        <w:t>s that apply to agreement country investors</w:t>
      </w:r>
      <w:r w:rsidR="007B7B2A">
        <w:t xml:space="preserve"> to determine </w:t>
      </w:r>
      <w:r w:rsidR="007C0630">
        <w:t xml:space="preserve">whether they are subject to Australia’s foreign investment regime. </w:t>
      </w:r>
    </w:p>
    <w:p w14:paraId="2A3468F6" w14:textId="4DCD0310" w:rsidR="007B7B2A" w:rsidRDefault="003C4DEE" w:rsidP="0070088D">
      <w:r>
        <w:t>Specifically, t</w:t>
      </w:r>
      <w:r w:rsidR="00D205FD">
        <w:t>he threshold value for actions relating to entities and business</w:t>
      </w:r>
      <w:r w:rsidR="008375DD">
        <w:t>es</w:t>
      </w:r>
      <w:r w:rsidR="00D205FD">
        <w:t xml:space="preserve"> </w:t>
      </w:r>
      <w:r w:rsidR="0059582C">
        <w:t>(with the excep</w:t>
      </w:r>
      <w:r w:rsidR="00A61829">
        <w:t>tion of entities relating to a sensitive business</w:t>
      </w:r>
      <w:r w:rsidR="0059582C">
        <w:t xml:space="preserve">) </w:t>
      </w:r>
      <w:r w:rsidR="00B90F05">
        <w:t xml:space="preserve">proposed or </w:t>
      </w:r>
      <w:r w:rsidR="0059582C">
        <w:t xml:space="preserve">taken by </w:t>
      </w:r>
      <w:r w:rsidR="008375DD">
        <w:t>investors from</w:t>
      </w:r>
      <w:r w:rsidR="0059582C">
        <w:t xml:space="preserve"> </w:t>
      </w:r>
      <w:r w:rsidR="00A32A1A">
        <w:t>Singapore</w:t>
      </w:r>
      <w:r w:rsidR="0059582C">
        <w:t xml:space="preserve"> </w:t>
      </w:r>
      <w:r w:rsidR="00EA26F7">
        <w:t xml:space="preserve">increases </w:t>
      </w:r>
      <w:r w:rsidR="0059582C">
        <w:t>from $</w:t>
      </w:r>
      <w:r w:rsidR="00B90F05">
        <w:t>252 </w:t>
      </w:r>
      <w:r w:rsidR="0059582C">
        <w:t>million to</w:t>
      </w:r>
      <w:r w:rsidR="008248F1">
        <w:t xml:space="preserve"> $</w:t>
      </w:r>
      <w:r w:rsidR="00D205FD">
        <w:t>1,</w:t>
      </w:r>
      <w:r w:rsidR="00B90F05">
        <w:t>094 </w:t>
      </w:r>
      <w:r w:rsidR="00D205FD">
        <w:t>million</w:t>
      </w:r>
      <w:r w:rsidR="008248F1">
        <w:t xml:space="preserve"> (section 51</w:t>
      </w:r>
      <w:r w:rsidR="0059582C">
        <w:t xml:space="preserve"> of the </w:t>
      </w:r>
      <w:r w:rsidR="0059582C" w:rsidRPr="00B90F05">
        <w:rPr>
          <w:i/>
        </w:rPr>
        <w:t>Foreign Acquisitions and Takeovers Regulation</w:t>
      </w:r>
      <w:r w:rsidR="00B90F05">
        <w:rPr>
          <w:i/>
        </w:rPr>
        <w:t> </w:t>
      </w:r>
      <w:r w:rsidR="00B90F05" w:rsidRPr="00B90F05">
        <w:rPr>
          <w:i/>
        </w:rPr>
        <w:t>2015</w:t>
      </w:r>
      <w:r w:rsidR="0059582C">
        <w:t>)</w:t>
      </w:r>
      <w:r w:rsidR="00D205FD">
        <w:t xml:space="preserve">. </w:t>
      </w:r>
      <w:r>
        <w:t>T</w:t>
      </w:r>
      <w:r w:rsidR="0059582C">
        <w:t>he t</w:t>
      </w:r>
      <w:r w:rsidR="008248F1">
        <w:t>hreshold value for commercial land (other than commercial land</w:t>
      </w:r>
      <w:r w:rsidR="00B90F05" w:rsidRPr="00B90F05">
        <w:t xml:space="preserve"> </w:t>
      </w:r>
      <w:r w:rsidR="00B90F05">
        <w:t>that is vacant</w:t>
      </w:r>
      <w:r w:rsidR="008248F1">
        <w:t>) increase</w:t>
      </w:r>
      <w:r w:rsidR="00EA26F7">
        <w:t>s</w:t>
      </w:r>
      <w:r w:rsidR="008248F1">
        <w:t xml:space="preserve"> from $</w:t>
      </w:r>
      <w:r w:rsidR="00B90F05">
        <w:t>252 </w:t>
      </w:r>
      <w:r w:rsidR="008248F1">
        <w:t>million</w:t>
      </w:r>
      <w:r w:rsidR="00B90F05">
        <w:t xml:space="preserve"> to</w:t>
      </w:r>
      <w:r w:rsidR="008248F1">
        <w:t xml:space="preserve"> $</w:t>
      </w:r>
      <w:r w:rsidR="0059582C">
        <w:t>1,</w:t>
      </w:r>
      <w:r w:rsidR="00B90F05">
        <w:t>094 </w:t>
      </w:r>
      <w:r w:rsidR="0059582C">
        <w:t xml:space="preserve">million </w:t>
      </w:r>
      <w:r w:rsidR="00AE2142">
        <w:t>(</w:t>
      </w:r>
      <w:r w:rsidR="008248F1">
        <w:t>sub</w:t>
      </w:r>
      <w:r w:rsidR="00AE2142">
        <w:t>section </w:t>
      </w:r>
      <w:r w:rsidR="008248F1">
        <w:t>52(5)</w:t>
      </w:r>
      <w:r w:rsidR="00AE2142">
        <w:t xml:space="preserve"> of the </w:t>
      </w:r>
      <w:r w:rsidR="00AE2142" w:rsidRPr="00B90F05">
        <w:rPr>
          <w:i/>
        </w:rPr>
        <w:t>Foreign Acquisitions and Takeovers Regulation</w:t>
      </w:r>
      <w:r w:rsidR="00B90F05" w:rsidRPr="00B90F05">
        <w:rPr>
          <w:i/>
        </w:rPr>
        <w:t> 2015</w:t>
      </w:r>
      <w:r w:rsidR="00AE2142">
        <w:t>).</w:t>
      </w:r>
      <w:r w:rsidR="007B7B2A" w:rsidRPr="007B7B2A">
        <w:t xml:space="preserve"> </w:t>
      </w:r>
    </w:p>
    <w:p w14:paraId="3B0585FA" w14:textId="2CFF97F1" w:rsidR="005A79A6" w:rsidRDefault="007B7B2A" w:rsidP="0070088D">
      <w:r>
        <w:t xml:space="preserve">However, foreign government investors from an ‘agreement country’ remain subject to $0 threshold for investments of any kind. This includes foreign government investors from Singapore. </w:t>
      </w:r>
    </w:p>
    <w:p w14:paraId="5DF19093" w14:textId="77777777" w:rsidR="00272A6B" w:rsidRDefault="00272A6B" w:rsidP="0070088D">
      <w:pPr>
        <w:rPr>
          <w:b/>
        </w:rPr>
      </w:pPr>
      <w:r>
        <w:rPr>
          <w:b/>
        </w:rPr>
        <w:t>2</w:t>
      </w:r>
      <w:r w:rsidR="00B90F05">
        <w:rPr>
          <w:b/>
        </w:rPr>
        <w:t xml:space="preserve"> </w:t>
      </w:r>
      <w:r w:rsidR="001E3EC5">
        <w:rPr>
          <w:b/>
        </w:rPr>
        <w:t>Subsections 40(2) and (3)</w:t>
      </w:r>
    </w:p>
    <w:p w14:paraId="7FB36771" w14:textId="57B574FD" w:rsidR="00EA26F7" w:rsidRDefault="00282DB0" w:rsidP="001E3EC5">
      <w:r>
        <w:t>Item 2</w:t>
      </w:r>
      <w:r w:rsidR="005005B6" w:rsidRPr="000F4141">
        <w:t xml:space="preserve"> amend</w:t>
      </w:r>
      <w:r>
        <w:t>s</w:t>
      </w:r>
      <w:r w:rsidR="008F7092" w:rsidRPr="000F4141">
        <w:t xml:space="preserve"> </w:t>
      </w:r>
      <w:r w:rsidR="00B90F05" w:rsidRPr="000F4141">
        <w:t>section </w:t>
      </w:r>
      <w:r w:rsidR="000F4141">
        <w:t>40</w:t>
      </w:r>
      <w:r w:rsidR="001E3EC5">
        <w:t xml:space="preserve">(2) and (3) of the </w:t>
      </w:r>
      <w:r w:rsidR="001E3EC5" w:rsidRPr="003B79AF">
        <w:rPr>
          <w:i/>
        </w:rPr>
        <w:t>Foreign Acquisitions and Takeovers Regulation 2015</w:t>
      </w:r>
      <w:r w:rsidR="001E3EC5">
        <w:t xml:space="preserve"> to remove mention of Singapore. </w:t>
      </w:r>
    </w:p>
    <w:p w14:paraId="6243A6B7" w14:textId="79BB3D92" w:rsidR="00EA26F7" w:rsidRDefault="001E3EC5" w:rsidP="001E3EC5">
      <w:r>
        <w:t xml:space="preserve">This amendment </w:t>
      </w:r>
      <w:r w:rsidR="00EA26F7">
        <w:t xml:space="preserve">is </w:t>
      </w:r>
      <w:r>
        <w:t xml:space="preserve">necessary because under the Singapore-Australia Free Trade Agreement as originally in force (SAFTA), it was agreed that investors from Singapore (other than foreign government investors) </w:t>
      </w:r>
      <w:r w:rsidR="007B7B2A">
        <w:t>were</w:t>
      </w:r>
      <w:r>
        <w:t xml:space="preserve"> subject to a threshold of $50 million for</w:t>
      </w:r>
      <w:r w:rsidR="00EA26F7">
        <w:t xml:space="preserve"> acquisitions of</w:t>
      </w:r>
      <w:r>
        <w:t xml:space="preserve"> agricultural land. </w:t>
      </w:r>
    </w:p>
    <w:p w14:paraId="6B47C099" w14:textId="1FA97C5E" w:rsidR="00EA26F7" w:rsidRDefault="00EA26F7" w:rsidP="001E3EC5">
      <w:r>
        <w:t xml:space="preserve">However, the </w:t>
      </w:r>
      <w:r w:rsidR="001E3EC5">
        <w:t>SAFTA Amendment reverse</w:t>
      </w:r>
      <w:r>
        <w:t>s</w:t>
      </w:r>
      <w:r w:rsidR="001E3EC5">
        <w:t xml:space="preserve"> </w:t>
      </w:r>
      <w:r w:rsidR="008F60C7">
        <w:t>the SAFTA</w:t>
      </w:r>
      <w:r w:rsidR="001E3EC5">
        <w:t xml:space="preserve"> agreement </w:t>
      </w:r>
      <w:r w:rsidR="008F60C7">
        <w:t xml:space="preserve">on the higher threshold for agricultural land, </w:t>
      </w:r>
      <w:r>
        <w:t xml:space="preserve">so that </w:t>
      </w:r>
      <w:r w:rsidR="001E3EC5">
        <w:t>investors from Singapore are subject to the standard</w:t>
      </w:r>
      <w:r w:rsidR="007B7B2A">
        <w:t xml:space="preserve"> cumulative</w:t>
      </w:r>
      <w:r w:rsidR="001E3EC5">
        <w:t xml:space="preserve"> threshold of $15 million </w:t>
      </w:r>
      <w:r w:rsidR="007B7B2A">
        <w:t>which</w:t>
      </w:r>
      <w:r w:rsidRPr="00D14157">
        <w:t xml:space="preserve"> applies to all other investors</w:t>
      </w:r>
      <w:r>
        <w:rPr>
          <w:i/>
        </w:rPr>
        <w:t xml:space="preserve"> </w:t>
      </w:r>
      <w:r w:rsidRPr="00D14157">
        <w:t xml:space="preserve">(other than </w:t>
      </w:r>
      <w:r>
        <w:t xml:space="preserve">foreign </w:t>
      </w:r>
      <w:r w:rsidRPr="00D14157">
        <w:t xml:space="preserve">government investors </w:t>
      </w:r>
      <w:r w:rsidR="007B7B2A">
        <w:t>and</w:t>
      </w:r>
      <w:r w:rsidRPr="00D14157">
        <w:t xml:space="preserve"> investors from Thailand)</w:t>
      </w:r>
      <w:r w:rsidR="001E3EC5">
        <w:t xml:space="preserve">. </w:t>
      </w:r>
    </w:p>
    <w:p w14:paraId="17443F8E" w14:textId="3AB48E3D" w:rsidR="00272A6B" w:rsidRPr="001E3EC5" w:rsidRDefault="001E3EC5" w:rsidP="001E3EC5">
      <w:r>
        <w:t xml:space="preserve">Removing mention of Singapore from subsections 40(2) and (3) of the </w:t>
      </w:r>
      <w:r w:rsidRPr="003B79AF">
        <w:rPr>
          <w:i/>
        </w:rPr>
        <w:t>Foreign Acquisitions and Takeovers Regulation 2015</w:t>
      </w:r>
      <w:r>
        <w:t xml:space="preserve"> gives effect to that reversal.</w:t>
      </w:r>
    </w:p>
    <w:p w14:paraId="3046F07F" w14:textId="77777777" w:rsidR="00E81039" w:rsidRDefault="00E81039" w:rsidP="0070088D">
      <w:pPr>
        <w:rPr>
          <w:b/>
        </w:rPr>
      </w:pPr>
      <w:r>
        <w:rPr>
          <w:b/>
        </w:rPr>
        <w:t xml:space="preserve">3 </w:t>
      </w:r>
      <w:r w:rsidR="003B79AF">
        <w:rPr>
          <w:b/>
        </w:rPr>
        <w:t>Subsection </w:t>
      </w:r>
      <w:r w:rsidR="001E3EC5">
        <w:rPr>
          <w:b/>
        </w:rPr>
        <w:t>52(4</w:t>
      </w:r>
      <w:r>
        <w:rPr>
          <w:b/>
        </w:rPr>
        <w:t>) (note)</w:t>
      </w:r>
    </w:p>
    <w:p w14:paraId="3BC1A023" w14:textId="77777777" w:rsidR="00EA26F7" w:rsidRDefault="003B79AF" w:rsidP="0070088D">
      <w:r>
        <w:t>Item </w:t>
      </w:r>
      <w:r w:rsidR="0099182D">
        <w:t xml:space="preserve">3 </w:t>
      </w:r>
      <w:r w:rsidR="001E3EC5">
        <w:t xml:space="preserve">removes </w:t>
      </w:r>
      <w:r w:rsidR="006D4E50">
        <w:t xml:space="preserve">mention of </w:t>
      </w:r>
      <w:r w:rsidR="001E3EC5">
        <w:t>Singapore from</w:t>
      </w:r>
      <w:r w:rsidR="0099182D">
        <w:t xml:space="preserve"> the note to </w:t>
      </w:r>
      <w:r>
        <w:t>subsection </w:t>
      </w:r>
      <w:r w:rsidR="001E3EC5">
        <w:t>52(4</w:t>
      </w:r>
      <w:r w:rsidR="0099182D">
        <w:t xml:space="preserve">) of the </w:t>
      </w:r>
      <w:r w:rsidR="0099182D" w:rsidRPr="003B79AF">
        <w:rPr>
          <w:i/>
        </w:rPr>
        <w:t xml:space="preserve">Foreign Acquisitions and Takeovers </w:t>
      </w:r>
      <w:r w:rsidRPr="003B79AF">
        <w:rPr>
          <w:i/>
        </w:rPr>
        <w:t>Regulation 2015</w:t>
      </w:r>
      <w:r>
        <w:t xml:space="preserve"> </w:t>
      </w:r>
      <w:r w:rsidR="001E3EC5">
        <w:t xml:space="preserve">to give effect to the </w:t>
      </w:r>
      <w:r w:rsidR="008375DD">
        <w:t>abovementioned reversal of the SAFTA agreement</w:t>
      </w:r>
      <w:r w:rsidR="00C40C05">
        <w:t xml:space="preserve"> on the higher threshold of $50 </w:t>
      </w:r>
      <w:r w:rsidR="008375DD">
        <w:t>million for agricultural land</w:t>
      </w:r>
      <w:r>
        <w:t>.</w:t>
      </w:r>
      <w:r w:rsidR="008375DD">
        <w:t xml:space="preserve"> </w:t>
      </w:r>
    </w:p>
    <w:p w14:paraId="1CC1AC77" w14:textId="5D70DC4E" w:rsidR="00A15919" w:rsidRDefault="00A15919" w:rsidP="0070088D">
      <w:r>
        <w:t>The</w:t>
      </w:r>
      <w:r w:rsidR="001E3EC5">
        <w:t xml:space="preserve"> note to </w:t>
      </w:r>
      <w:r w:rsidR="008375DD">
        <w:t xml:space="preserve">subsection </w:t>
      </w:r>
      <w:r w:rsidR="001E3EC5">
        <w:t xml:space="preserve">52(4) of the </w:t>
      </w:r>
      <w:r w:rsidR="001E3EC5" w:rsidRPr="003B79AF">
        <w:rPr>
          <w:i/>
        </w:rPr>
        <w:t>Foreign Acquisitions and Takeovers Regulation 2015</w:t>
      </w:r>
      <w:r w:rsidR="001E3EC5">
        <w:t xml:space="preserve"> </w:t>
      </w:r>
      <w:r>
        <w:t xml:space="preserve">explains when the </w:t>
      </w:r>
      <w:r w:rsidR="00A03DE8">
        <w:t xml:space="preserve">cumulative </w:t>
      </w:r>
      <w:r>
        <w:t xml:space="preserve">$15 million monetary threshold for investments in agricultural land does not apply. </w:t>
      </w:r>
    </w:p>
    <w:p w14:paraId="2C84FDAC" w14:textId="0387E994" w:rsidR="00E81039" w:rsidRPr="00C301B7" w:rsidRDefault="00A15919" w:rsidP="0070088D">
      <w:r>
        <w:t>As</w:t>
      </w:r>
      <w:r w:rsidR="008F60C7">
        <w:t xml:space="preserve"> it was agreed in the SAFTA Amendment that Singaporean investors </w:t>
      </w:r>
      <w:r>
        <w:t>will be</w:t>
      </w:r>
      <w:r w:rsidR="008F60C7">
        <w:t xml:space="preserve"> subject to the </w:t>
      </w:r>
      <w:r w:rsidR="003A1357">
        <w:t xml:space="preserve">standard </w:t>
      </w:r>
      <w:r w:rsidR="00A03DE8">
        <w:t xml:space="preserve">cumulative </w:t>
      </w:r>
      <w:r w:rsidR="003A1357">
        <w:t>threshold of $15 </w:t>
      </w:r>
      <w:r w:rsidR="00C301B7">
        <w:t>million for agricultural land</w:t>
      </w:r>
      <w:r>
        <w:t xml:space="preserve"> </w:t>
      </w:r>
      <w:r>
        <w:lastRenderedPageBreak/>
        <w:t>referencing</w:t>
      </w:r>
      <w:r w:rsidR="00C301B7">
        <w:t xml:space="preserve"> Singapore in the note to subsection 52(4) of the </w:t>
      </w:r>
      <w:r w:rsidR="00C301B7" w:rsidRPr="003B79AF">
        <w:rPr>
          <w:i/>
        </w:rPr>
        <w:t>Foreign Acquisitions and Takeovers Regulation 2015</w:t>
      </w:r>
      <w:r>
        <w:rPr>
          <w:i/>
        </w:rPr>
        <w:t xml:space="preserve"> </w:t>
      </w:r>
      <w:r>
        <w:t>is no longer correct</w:t>
      </w:r>
      <w:r w:rsidR="00C301B7">
        <w:t>.</w:t>
      </w:r>
    </w:p>
    <w:p w14:paraId="0504788B" w14:textId="77777777" w:rsidR="00E569D6" w:rsidRPr="00C301B7" w:rsidRDefault="00E81039" w:rsidP="0070088D">
      <w:pPr>
        <w:rPr>
          <w:b/>
        </w:rPr>
      </w:pPr>
      <w:r w:rsidRPr="00C301B7">
        <w:rPr>
          <w:b/>
        </w:rPr>
        <w:t>4</w:t>
      </w:r>
      <w:r w:rsidR="00E569D6" w:rsidRPr="00C301B7">
        <w:rPr>
          <w:b/>
        </w:rPr>
        <w:t xml:space="preserve"> </w:t>
      </w:r>
      <w:r w:rsidR="00C301B7">
        <w:rPr>
          <w:b/>
        </w:rPr>
        <w:t>Subsection 52(5) (table item 2)</w:t>
      </w:r>
    </w:p>
    <w:p w14:paraId="335A0339" w14:textId="77777777" w:rsidR="00A03DE8" w:rsidRDefault="00A03DE8" w:rsidP="0070088D">
      <w:r>
        <w:t xml:space="preserve">Table item 2 in subsection 52(5) of the </w:t>
      </w:r>
      <w:r w:rsidRPr="003B79AF">
        <w:rPr>
          <w:i/>
        </w:rPr>
        <w:t>Foreign Acquisitions and Takeovers Regulation 2015</w:t>
      </w:r>
      <w:r>
        <w:rPr>
          <w:i/>
        </w:rPr>
        <w:t xml:space="preserve"> </w:t>
      </w:r>
      <w:r>
        <w:t xml:space="preserve">specifies when a $50 million threshold for acquisitions of agricultural land applies to some investors. </w:t>
      </w:r>
    </w:p>
    <w:p w14:paraId="179123CC" w14:textId="67A41E2F" w:rsidR="00DA0950" w:rsidRDefault="006D4E50" w:rsidP="0070088D">
      <w:r>
        <w:t xml:space="preserve">Item 4 removes </w:t>
      </w:r>
      <w:r w:rsidR="00DA0950">
        <w:t xml:space="preserve">mention of Singapore from table item 2 in subsection 52(5) of the </w:t>
      </w:r>
      <w:r w:rsidR="00DA0950" w:rsidRPr="003B79AF">
        <w:rPr>
          <w:i/>
        </w:rPr>
        <w:t>Foreign Acquisitions and Takeovers Regulation 2015</w:t>
      </w:r>
      <w:r w:rsidR="00A03DE8">
        <w:rPr>
          <w:i/>
        </w:rPr>
        <w:t xml:space="preserve"> </w:t>
      </w:r>
      <w:r w:rsidR="00A03DE8">
        <w:t>giving</w:t>
      </w:r>
      <w:r w:rsidR="00DA0950">
        <w:t xml:space="preserve"> effect to the abovementioned reversal of the SAFTA agreement on the higher threshold of $50</w:t>
      </w:r>
      <w:r w:rsidR="00A15919">
        <w:t> </w:t>
      </w:r>
      <w:r w:rsidR="00DA0950">
        <w:t>million for agricultural land.</w:t>
      </w:r>
    </w:p>
    <w:p w14:paraId="2B2F94CE" w14:textId="77777777" w:rsidR="005A79A6" w:rsidRDefault="00BE0636" w:rsidP="0070088D">
      <w:pPr>
        <w:rPr>
          <w:b/>
        </w:rPr>
      </w:pPr>
      <w:r>
        <w:rPr>
          <w:b/>
        </w:rPr>
        <w:t>5</w:t>
      </w:r>
      <w:r w:rsidR="005A79A6" w:rsidRPr="005A79A6">
        <w:rPr>
          <w:b/>
        </w:rPr>
        <w:t xml:space="preserve"> </w:t>
      </w:r>
      <w:r w:rsidR="003B79AF" w:rsidRPr="005A79A6">
        <w:rPr>
          <w:b/>
        </w:rPr>
        <w:t>Subsection</w:t>
      </w:r>
      <w:r w:rsidR="003B79AF">
        <w:rPr>
          <w:b/>
        </w:rPr>
        <w:t> </w:t>
      </w:r>
      <w:r w:rsidR="00DA0950">
        <w:rPr>
          <w:b/>
        </w:rPr>
        <w:t>53</w:t>
      </w:r>
      <w:r w:rsidR="005A79A6" w:rsidRPr="005A79A6">
        <w:rPr>
          <w:b/>
        </w:rPr>
        <w:t>(1)</w:t>
      </w:r>
      <w:r w:rsidR="00DA0950">
        <w:rPr>
          <w:b/>
        </w:rPr>
        <w:t xml:space="preserve"> (note)</w:t>
      </w:r>
    </w:p>
    <w:p w14:paraId="4843D9FC" w14:textId="77777777" w:rsidR="00A03DE8" w:rsidRDefault="00A03DE8" w:rsidP="0070088D">
      <w:r>
        <w:t xml:space="preserve">Subsection 53(1) of the </w:t>
      </w:r>
      <w:r w:rsidRPr="003B79AF">
        <w:rPr>
          <w:i/>
        </w:rPr>
        <w:t>Foreign Acquisitions and Takeovers Regulation 2015</w:t>
      </w:r>
      <w:r>
        <w:rPr>
          <w:i/>
        </w:rPr>
        <w:t xml:space="preserve"> </w:t>
      </w:r>
      <w:r>
        <w:t xml:space="preserve">explains how certain thresholds are indexed. The higher threshold of $50 million for agricultural land is mentioned in the note to subsection 53(1). </w:t>
      </w:r>
    </w:p>
    <w:p w14:paraId="67577FCD" w14:textId="634A18EC" w:rsidR="002F1C27" w:rsidRPr="0070088D" w:rsidRDefault="00DA0950" w:rsidP="0036110D">
      <w:r>
        <w:t>Item 5 removes mention of Singapore from the note to subsection 53(1)</w:t>
      </w:r>
      <w:r w:rsidR="008375DD">
        <w:t xml:space="preserve"> of the </w:t>
      </w:r>
      <w:r w:rsidR="008375DD" w:rsidRPr="003B79AF">
        <w:rPr>
          <w:i/>
        </w:rPr>
        <w:t>Foreign Acquisitions and Takeovers Regulation 2015</w:t>
      </w:r>
      <w:r w:rsidR="0036110D">
        <w:t xml:space="preserve">, because as a result of the SAFTA Amendment, the higher threshold is no longer available to investors from Singapore. </w:t>
      </w:r>
    </w:p>
    <w:p w14:paraId="22CEBEC1" w14:textId="77777777" w:rsidR="002F1C27" w:rsidRDefault="00BE0636" w:rsidP="0070088D">
      <w:pPr>
        <w:rPr>
          <w:b/>
        </w:rPr>
      </w:pPr>
      <w:r>
        <w:rPr>
          <w:b/>
        </w:rPr>
        <w:t>6</w:t>
      </w:r>
      <w:r w:rsidR="002F1C27" w:rsidRPr="002F1C27">
        <w:rPr>
          <w:b/>
        </w:rPr>
        <w:t xml:space="preserve"> </w:t>
      </w:r>
      <w:r w:rsidR="00527098">
        <w:rPr>
          <w:b/>
        </w:rPr>
        <w:t>In the appropriate position in Part 7</w:t>
      </w:r>
    </w:p>
    <w:p w14:paraId="7078BF70" w14:textId="6C0E03C4" w:rsidR="00527098" w:rsidRPr="00DF169C" w:rsidRDefault="00527098" w:rsidP="0070088D">
      <w:pPr>
        <w:rPr>
          <w:szCs w:val="24"/>
        </w:rPr>
      </w:pPr>
      <w:r w:rsidRPr="00DF169C">
        <w:rPr>
          <w:szCs w:val="24"/>
        </w:rPr>
        <w:t xml:space="preserve">Item 6 inserts a section in Part 7 </w:t>
      </w:r>
      <w:r w:rsidR="004965FE">
        <w:rPr>
          <w:szCs w:val="24"/>
        </w:rPr>
        <w:t>to clarify</w:t>
      </w:r>
      <w:r w:rsidRPr="00DF169C">
        <w:rPr>
          <w:szCs w:val="24"/>
        </w:rPr>
        <w:t xml:space="preserve"> </w:t>
      </w:r>
      <w:r w:rsidR="004965FE">
        <w:rPr>
          <w:szCs w:val="24"/>
        </w:rPr>
        <w:t xml:space="preserve">when the amendments included in the Regulations apply. </w:t>
      </w:r>
    </w:p>
    <w:p w14:paraId="18EB351E" w14:textId="2ABAB024" w:rsidR="004965FE" w:rsidRDefault="00527098" w:rsidP="004965FE">
      <w:pPr>
        <w:rPr>
          <w:sz w:val="22"/>
          <w:szCs w:val="22"/>
        </w:rPr>
      </w:pPr>
      <w:r>
        <w:t>The amendments apply to significant actions and notifiable actions</w:t>
      </w:r>
      <w:r w:rsidR="00A72AF4">
        <w:t xml:space="preserve"> taken on or after the day that the SAFTA Amendment comes into force. Significant actions and notifiable actions are the most important concepts in the </w:t>
      </w:r>
      <w:r w:rsidR="00A72AF4" w:rsidRPr="00326682">
        <w:rPr>
          <w:i/>
        </w:rPr>
        <w:t>Foreign</w:t>
      </w:r>
      <w:r w:rsidR="00A72AF4">
        <w:rPr>
          <w:i/>
        </w:rPr>
        <w:t> </w:t>
      </w:r>
      <w:r w:rsidR="00A72AF4" w:rsidRPr="00326682">
        <w:rPr>
          <w:i/>
        </w:rPr>
        <w:t>Acquisitions and Takeovers Act</w:t>
      </w:r>
      <w:r w:rsidR="00A72AF4">
        <w:rPr>
          <w:i/>
        </w:rPr>
        <w:t> </w:t>
      </w:r>
      <w:r w:rsidR="00A72AF4" w:rsidRPr="00326682">
        <w:rPr>
          <w:i/>
        </w:rPr>
        <w:t>1975</w:t>
      </w:r>
      <w:r w:rsidR="00A72AF4">
        <w:t xml:space="preserve">, as explained in section 38 of </w:t>
      </w:r>
      <w:r w:rsidR="0036110D">
        <w:t>that Act</w:t>
      </w:r>
      <w:r w:rsidR="00B5667E" w:rsidRPr="00B5667E">
        <w:rPr>
          <w:sz w:val="22"/>
          <w:szCs w:val="22"/>
        </w:rPr>
        <w:t xml:space="preserve">. </w:t>
      </w:r>
      <w:r w:rsidR="004965FE" w:rsidRPr="007C0630">
        <w:rPr>
          <w:szCs w:val="24"/>
        </w:rPr>
        <w:t xml:space="preserve">Very simply, a significant or notifiable action is an action taken by a foreign investor, such as taking an interest in a business or buying Australian land which </w:t>
      </w:r>
      <w:r w:rsidR="0036110D" w:rsidRPr="007C0630">
        <w:rPr>
          <w:szCs w:val="24"/>
        </w:rPr>
        <w:t xml:space="preserve">is </w:t>
      </w:r>
      <w:r w:rsidR="004965FE" w:rsidRPr="007C0630">
        <w:rPr>
          <w:szCs w:val="24"/>
        </w:rPr>
        <w:t xml:space="preserve">subject to </w:t>
      </w:r>
      <w:r w:rsidR="0036110D" w:rsidRPr="007C0630">
        <w:rPr>
          <w:szCs w:val="24"/>
        </w:rPr>
        <w:t xml:space="preserve">the </w:t>
      </w:r>
      <w:r w:rsidR="004965FE" w:rsidRPr="007C0630">
        <w:rPr>
          <w:szCs w:val="24"/>
        </w:rPr>
        <w:t xml:space="preserve">scrutiny </w:t>
      </w:r>
      <w:r w:rsidR="0036110D" w:rsidRPr="007C0630">
        <w:rPr>
          <w:szCs w:val="24"/>
        </w:rPr>
        <w:t>of</w:t>
      </w:r>
      <w:r w:rsidR="004965FE" w:rsidRPr="007C0630">
        <w:rPr>
          <w:szCs w:val="24"/>
        </w:rPr>
        <w:t xml:space="preserve"> the Treasurer.</w:t>
      </w:r>
      <w:r w:rsidR="004965FE">
        <w:rPr>
          <w:sz w:val="22"/>
          <w:szCs w:val="22"/>
        </w:rPr>
        <w:t xml:space="preserve"> </w:t>
      </w:r>
    </w:p>
    <w:p w14:paraId="4B366560" w14:textId="3087BEC0" w:rsidR="00A72AF4" w:rsidRPr="007C0630" w:rsidRDefault="00C40C05" w:rsidP="00C40C05">
      <w:pPr>
        <w:ind w:left="720"/>
        <w:rPr>
          <w:szCs w:val="24"/>
        </w:rPr>
      </w:pPr>
      <w:r w:rsidRPr="007C0630">
        <w:rPr>
          <w:szCs w:val="24"/>
        </w:rPr>
        <w:t xml:space="preserve">Example: The SAFTA Amendment enters into force on 1 December 2017. A Singaporean investor (other than a foreign government investor) </w:t>
      </w:r>
      <w:r w:rsidR="004965FE" w:rsidRPr="007C0630">
        <w:rPr>
          <w:szCs w:val="24"/>
        </w:rPr>
        <w:t xml:space="preserve">acquires an interest of 45 per cent in </w:t>
      </w:r>
      <w:r w:rsidRPr="007C0630">
        <w:rPr>
          <w:szCs w:val="24"/>
        </w:rPr>
        <w:t>a non-sensitive business on 2 December 2017 valued at $420</w:t>
      </w:r>
      <w:r w:rsidR="004965FE" w:rsidRPr="007C0630">
        <w:rPr>
          <w:szCs w:val="24"/>
        </w:rPr>
        <w:t> </w:t>
      </w:r>
      <w:r w:rsidRPr="007C0630">
        <w:rPr>
          <w:szCs w:val="24"/>
        </w:rPr>
        <w:t xml:space="preserve">million. This acquisition is not a significant </w:t>
      </w:r>
      <w:r w:rsidR="004965FE" w:rsidRPr="007C0630">
        <w:rPr>
          <w:szCs w:val="24"/>
        </w:rPr>
        <w:t xml:space="preserve">or notifiable </w:t>
      </w:r>
      <w:r w:rsidRPr="007C0630">
        <w:rPr>
          <w:szCs w:val="24"/>
        </w:rPr>
        <w:t>action because it does not meet the $1,094 million threshold.</w:t>
      </w:r>
    </w:p>
    <w:p w14:paraId="6C08B78C" w14:textId="37D4898E" w:rsidR="0036110D" w:rsidRPr="007C0630" w:rsidRDefault="0036110D" w:rsidP="0036110D">
      <w:pPr>
        <w:ind w:left="720"/>
        <w:rPr>
          <w:szCs w:val="24"/>
        </w:rPr>
      </w:pPr>
      <w:r w:rsidRPr="007C0630">
        <w:rPr>
          <w:szCs w:val="24"/>
        </w:rPr>
        <w:t xml:space="preserve">If the investor acquired the interest prior to the SAFTA Amendment coming into force, the acquisition would have been a significant and notifiable action as the relevant monetary threshold </w:t>
      </w:r>
      <w:r w:rsidR="007C0630">
        <w:rPr>
          <w:szCs w:val="24"/>
        </w:rPr>
        <w:t xml:space="preserve">that would have applied </w:t>
      </w:r>
      <w:r w:rsidRPr="007C0630">
        <w:rPr>
          <w:szCs w:val="24"/>
        </w:rPr>
        <w:t xml:space="preserve">would </w:t>
      </w:r>
      <w:r w:rsidR="007C0630">
        <w:rPr>
          <w:szCs w:val="24"/>
        </w:rPr>
        <w:t xml:space="preserve">have </w:t>
      </w:r>
      <w:r w:rsidRPr="007C0630">
        <w:rPr>
          <w:szCs w:val="24"/>
        </w:rPr>
        <w:t>be</w:t>
      </w:r>
      <w:r w:rsidR="007C0630">
        <w:rPr>
          <w:szCs w:val="24"/>
        </w:rPr>
        <w:t>en $252 </w:t>
      </w:r>
      <w:r w:rsidRPr="007C0630">
        <w:rPr>
          <w:szCs w:val="24"/>
        </w:rPr>
        <w:t xml:space="preserve">million. </w:t>
      </w:r>
    </w:p>
    <w:p w14:paraId="56496E79" w14:textId="77777777" w:rsidR="0036110D" w:rsidRPr="007C0630" w:rsidRDefault="0036110D" w:rsidP="00C40C05">
      <w:pPr>
        <w:ind w:left="720"/>
        <w:rPr>
          <w:szCs w:val="24"/>
        </w:rPr>
      </w:pPr>
    </w:p>
    <w:p w14:paraId="00DBE82C" w14:textId="77777777" w:rsidR="00F724C8" w:rsidRDefault="00F724C8">
      <w:pPr>
        <w:spacing w:before="0" w:after="0"/>
      </w:pPr>
      <w:r>
        <w:br w:type="page"/>
      </w:r>
    </w:p>
    <w:p w14:paraId="0F66A0BA" w14:textId="77777777" w:rsidR="00621251" w:rsidRPr="00326682" w:rsidRDefault="004D486B" w:rsidP="00621251">
      <w:pPr>
        <w:jc w:val="right"/>
      </w:pPr>
      <w:r w:rsidRPr="004D486B">
        <w:rPr>
          <w:b/>
          <w:u w:val="single"/>
        </w:rPr>
        <w:lastRenderedPageBreak/>
        <w:t>ATTACHMENT B</w:t>
      </w:r>
    </w:p>
    <w:p w14:paraId="6F30B0A6" w14:textId="77777777" w:rsidR="00E4438C" w:rsidRDefault="00E4438C" w:rsidP="00E4438C">
      <w:pPr>
        <w:pStyle w:val="Heading3"/>
        <w:jc w:val="center"/>
      </w:pPr>
      <w:r>
        <w:t>Statement of Compatibility with Human Rights</w:t>
      </w:r>
    </w:p>
    <w:p w14:paraId="39F5B4AC" w14:textId="77777777" w:rsidR="00E4438C" w:rsidRPr="00E4438C" w:rsidRDefault="00E4438C" w:rsidP="00E4438C">
      <w:pPr>
        <w:jc w:val="center"/>
        <w:rPr>
          <w:i/>
        </w:rPr>
      </w:pPr>
      <w:r w:rsidRPr="00E4438C">
        <w:rPr>
          <w:i/>
        </w:rPr>
        <w:t xml:space="preserve">Prepared in accordance with </w:t>
      </w:r>
      <w:r w:rsidR="004D486B" w:rsidRPr="00E4438C">
        <w:rPr>
          <w:i/>
        </w:rPr>
        <w:t>Part</w:t>
      </w:r>
      <w:r w:rsidR="004D486B">
        <w:rPr>
          <w:i/>
        </w:rPr>
        <w:t> </w:t>
      </w:r>
      <w:r w:rsidRPr="00E4438C">
        <w:rPr>
          <w:i/>
        </w:rPr>
        <w:t xml:space="preserve">3 of the Human Rights (Parliamentary Scrutiny) </w:t>
      </w:r>
      <w:r w:rsidR="004D486B" w:rsidRPr="00E4438C">
        <w:rPr>
          <w:i/>
        </w:rPr>
        <w:t>Act</w:t>
      </w:r>
      <w:r w:rsidR="004D486B">
        <w:rPr>
          <w:i/>
        </w:rPr>
        <w:t> </w:t>
      </w:r>
      <w:r w:rsidRPr="00E4438C">
        <w:rPr>
          <w:i/>
        </w:rPr>
        <w:t>2011</w:t>
      </w:r>
    </w:p>
    <w:p w14:paraId="2220FCFC" w14:textId="4B7AD324" w:rsidR="00E4438C" w:rsidRPr="009E6DCA" w:rsidRDefault="00680857" w:rsidP="00E4438C">
      <w:pPr>
        <w:jc w:val="center"/>
        <w:rPr>
          <w:b/>
          <w:i/>
        </w:rPr>
      </w:pPr>
      <w:r w:rsidRPr="00680857">
        <w:rPr>
          <w:b/>
          <w:i/>
        </w:rPr>
        <w:t>Foreign Acquisitions and Takeovers Amendment (Amendments of Singapore Australia Free Trade Agreement) Regulations 2017</w:t>
      </w:r>
      <w:r w:rsidR="004965FE">
        <w:rPr>
          <w:b/>
          <w:i/>
        </w:rPr>
        <w:t xml:space="preserve"> (the Regulations)</w:t>
      </w:r>
    </w:p>
    <w:p w14:paraId="6696027F" w14:textId="77777777" w:rsidR="004D486B" w:rsidRDefault="004D486B" w:rsidP="004D486B">
      <w:r>
        <w:t xml:space="preserve">This Legislative Instrument is compatible with the human rights and freedoms recognised or declared in the international instruments listed in section 3 of the </w:t>
      </w:r>
      <w:r w:rsidRPr="00E4438C">
        <w:rPr>
          <w:i/>
        </w:rPr>
        <w:t>Human Rights (Parliamentary Scrutiny) Act</w:t>
      </w:r>
      <w:r>
        <w:rPr>
          <w:i/>
        </w:rPr>
        <w:t> </w:t>
      </w:r>
      <w:r w:rsidRPr="00E4438C">
        <w:rPr>
          <w:i/>
        </w:rPr>
        <w:t>2011</w:t>
      </w:r>
      <w:r>
        <w:t>.</w:t>
      </w:r>
    </w:p>
    <w:p w14:paraId="23EAAFC2" w14:textId="77777777" w:rsidR="00E4438C" w:rsidRDefault="00E4438C" w:rsidP="00F84E14">
      <w:pPr>
        <w:pStyle w:val="Heading4"/>
      </w:pPr>
      <w:r>
        <w:t xml:space="preserve">Overview of the </w:t>
      </w:r>
      <w:r w:rsidRPr="00E4438C">
        <w:t>Legislative</w:t>
      </w:r>
      <w:r w:rsidR="00F84E14">
        <w:t xml:space="preserve"> Instrument</w:t>
      </w:r>
    </w:p>
    <w:p w14:paraId="5B377BCE" w14:textId="32AFFB3B" w:rsidR="006222B2" w:rsidRDefault="00F84E14" w:rsidP="00F84E14">
      <w:pPr>
        <w:pStyle w:val="base-text-paragraph"/>
        <w:ind w:left="0"/>
      </w:pPr>
      <w:r>
        <w:t xml:space="preserve">The </w:t>
      </w:r>
      <w:r w:rsidR="006222B2" w:rsidRPr="00D14157">
        <w:rPr>
          <w:i/>
        </w:rPr>
        <w:t>Foreign Acquisitions and Takeovers Amendment (Amendments of Singapore Australia Free Trade Agreement) Regulations 2017</w:t>
      </w:r>
      <w:r w:rsidR="006222B2">
        <w:t xml:space="preserve"> amends the Foreign Acquisitions and Takeovers Regulation 2015 </w:t>
      </w:r>
      <w:r w:rsidR="001A730C">
        <w:t xml:space="preserve">to </w:t>
      </w:r>
      <w:r>
        <w:t xml:space="preserve">give effect to Australia’s obligations under the </w:t>
      </w:r>
      <w:r w:rsidR="00A61829" w:rsidRPr="00A61829">
        <w:rPr>
          <w:i/>
        </w:rPr>
        <w:t>Agreement to Amend the Singapore-Australia Free Trade Agreement</w:t>
      </w:r>
      <w:r w:rsidR="00A61829">
        <w:t xml:space="preserve"> (SAFTA Amendment)</w:t>
      </w:r>
      <w:r>
        <w:t xml:space="preserve">. </w:t>
      </w:r>
    </w:p>
    <w:p w14:paraId="7D657559" w14:textId="3B50CE49" w:rsidR="00FB0A88" w:rsidRDefault="00025175" w:rsidP="00F84E14">
      <w:pPr>
        <w:pStyle w:val="base-text-paragraph"/>
        <w:ind w:left="0"/>
      </w:pPr>
      <w:r>
        <w:t xml:space="preserve">The SAFTA amendment </w:t>
      </w:r>
      <w:r w:rsidR="006222B2">
        <w:t>increase</w:t>
      </w:r>
      <w:r>
        <w:t>s</w:t>
      </w:r>
      <w:r w:rsidR="006222B2">
        <w:t xml:space="preserve"> from $252 million to $1,094 million, the monetary thresholds below which investments by private Singaporean investors are considered by the Treasurer under Australia’s foreign investment screening regime. This higher threshold will apply to investments in non-sensitive businesses and non-vacant commercial land. </w:t>
      </w:r>
    </w:p>
    <w:p w14:paraId="0E31639E" w14:textId="6586A2BC" w:rsidR="006222B2" w:rsidRDefault="006222B2" w:rsidP="00F84E14">
      <w:pPr>
        <w:pStyle w:val="base-text-paragraph"/>
        <w:ind w:left="0"/>
      </w:pPr>
      <w:r>
        <w:t xml:space="preserve">Under the agreement a new cumulative $15 million threshold will apply to acquisitions of agricultural land. This replaces the previous threshold of $50 million. </w:t>
      </w:r>
      <w:r w:rsidR="0070682B">
        <w:t xml:space="preserve">The new threshold means that investors from Singapore will need to seek a no objection notification from the Treasurer where the consideration for the proposed acquisition and the value of the person’s existing agricultural land holdings in Australia will exceed $15 million. </w:t>
      </w:r>
    </w:p>
    <w:p w14:paraId="791DF842" w14:textId="77777777" w:rsidR="0070682B" w:rsidRDefault="001A730C" w:rsidP="00F84E14">
      <w:pPr>
        <w:pStyle w:val="base-text-paragraph"/>
        <w:ind w:left="0"/>
      </w:pPr>
      <w:r>
        <w:t xml:space="preserve">The outcomes under the SAFTA Amendment are equivalent to Australia’s free trade agreements with Korea, China and Japan. </w:t>
      </w:r>
    </w:p>
    <w:p w14:paraId="3853C94C" w14:textId="7F50B5BA" w:rsidR="00FB0A88" w:rsidRDefault="0070682B" w:rsidP="007C0630">
      <w:r>
        <w:t xml:space="preserve">Australia welcomes foreign investment in Australia because of the important role it plays in the development of the economy. However, it is necessary to have a robust and flexible legal framework which permits the Treasurer to </w:t>
      </w:r>
      <w:r w:rsidR="007C0630">
        <w:t>review</w:t>
      </w:r>
      <w:r>
        <w:t xml:space="preserve"> proposed investment</w:t>
      </w:r>
      <w:r w:rsidR="007C0630">
        <w:t>s</w:t>
      </w:r>
      <w:r>
        <w:t xml:space="preserve"> </w:t>
      </w:r>
      <w:r w:rsidR="007C0630">
        <w:t xml:space="preserve">to ensure </w:t>
      </w:r>
      <w:r w:rsidR="00CF6F64">
        <w:t>the investment</w:t>
      </w:r>
      <w:r w:rsidR="007C0630">
        <w:t xml:space="preserve"> is not </w:t>
      </w:r>
      <w:r w:rsidRPr="009C01C8">
        <w:t>contrary to</w:t>
      </w:r>
      <w:r w:rsidR="007C0630">
        <w:t xml:space="preserve"> the national</w:t>
      </w:r>
      <w:r w:rsidR="00CF6F64">
        <w:t xml:space="preserve"> interest</w:t>
      </w:r>
      <w:r w:rsidR="007C0630">
        <w:t xml:space="preserve">. </w:t>
      </w:r>
      <w:r w:rsidRPr="00167E8E">
        <w:t xml:space="preserve">The </w:t>
      </w:r>
      <w:r>
        <w:t xml:space="preserve">foreign investment </w:t>
      </w:r>
      <w:r w:rsidRPr="00167E8E">
        <w:t xml:space="preserve">framework </w:t>
      </w:r>
      <w:r>
        <w:t xml:space="preserve">ensures </w:t>
      </w:r>
      <w:r w:rsidRPr="0066793C">
        <w:t xml:space="preserve">community confidence in foreign investment in Australia while </w:t>
      </w:r>
      <w:r w:rsidRPr="0070682B">
        <w:t>providing a predictable and welcoming environment for foreign investors.</w:t>
      </w:r>
    </w:p>
    <w:p w14:paraId="015E4D18" w14:textId="77777777" w:rsidR="00E4438C" w:rsidRDefault="00E4438C" w:rsidP="00E4438C">
      <w:pPr>
        <w:pStyle w:val="Heading4"/>
      </w:pPr>
      <w:r>
        <w:t>Human rights implications</w:t>
      </w:r>
    </w:p>
    <w:p w14:paraId="7C6AAEA4" w14:textId="3DB4B8C0" w:rsidR="001A730C" w:rsidRDefault="00E4438C" w:rsidP="00E4438C">
      <w:r>
        <w:t xml:space="preserve">This Legislative Instrument </w:t>
      </w:r>
      <w:r w:rsidR="001A730C">
        <w:t>engages the right to freedom from discrimination</w:t>
      </w:r>
      <w:r w:rsidR="00604782">
        <w:t xml:space="preserve">. </w:t>
      </w:r>
    </w:p>
    <w:p w14:paraId="7BB012B4" w14:textId="77777777" w:rsidR="001A730C" w:rsidRDefault="001A730C" w:rsidP="00D14157">
      <w:pPr>
        <w:pStyle w:val="base-text-paragraph"/>
        <w:tabs>
          <w:tab w:val="clear" w:pos="1987"/>
        </w:tabs>
        <w:ind w:left="0"/>
      </w:pPr>
      <w:r>
        <w:t>Article </w:t>
      </w:r>
      <w:r w:rsidRPr="00227C98">
        <w:t>26 of the ICCPR recognises that all persons are equal before the law and are entitled without discrimination to the equal protection of the law. Art</w:t>
      </w:r>
      <w:r>
        <w:t>icle </w:t>
      </w:r>
      <w:r w:rsidRPr="00227C98">
        <w:t xml:space="preserve">26 further provides that ‘the law shall prohibit any discrimination and guarantee to all persons equal and effective protection against discrimination on any ground such as national origin. </w:t>
      </w:r>
    </w:p>
    <w:p w14:paraId="1E6C8207" w14:textId="2CCA6B78" w:rsidR="001A730C" w:rsidRPr="00227C98" w:rsidRDefault="001A730C" w:rsidP="00D14157">
      <w:pPr>
        <w:pStyle w:val="base-text-paragraph"/>
        <w:tabs>
          <w:tab w:val="clear" w:pos="1987"/>
        </w:tabs>
        <w:ind w:left="0"/>
      </w:pPr>
      <w:r w:rsidRPr="00227C98">
        <w:t xml:space="preserve">However, the Human Rights Committee has recognised that ‘not every differentiation of treatment will constitute discrimination, if the criteria for such differentiation are </w:t>
      </w:r>
      <w:r w:rsidRPr="00227C98">
        <w:lastRenderedPageBreak/>
        <w:t>reasonable and objective and if the aim is to achieve a purpose which is legitimate under the Covenant’.</w:t>
      </w:r>
      <w:r w:rsidRPr="00227C98">
        <w:rPr>
          <w:rStyle w:val="FootnoteReference"/>
        </w:rPr>
        <w:footnoteReference w:id="5"/>
      </w:r>
    </w:p>
    <w:p w14:paraId="4B82162B" w14:textId="41FF1065" w:rsidR="001A730C" w:rsidRDefault="001A730C" w:rsidP="00E4438C">
      <w:r w:rsidRPr="00227C98">
        <w:t xml:space="preserve">The </w:t>
      </w:r>
      <w:r w:rsidR="00604782">
        <w:t>Legislative Instrument</w:t>
      </w:r>
      <w:r w:rsidRPr="00227C98">
        <w:t xml:space="preserve"> also generally engages the rights protected by the International Convention on the Elimination of All Forms of Racial D</w:t>
      </w:r>
      <w:r>
        <w:t>iscrimination. Paragraph 1 of Article </w:t>
      </w:r>
      <w:r w:rsidRPr="00227C98">
        <w:t>1 of International Convention on the Elimination of All Forms of Racial D</w:t>
      </w:r>
      <w:r>
        <w:t>iscrimination</w:t>
      </w:r>
      <w:r w:rsidRPr="00227C98">
        <w:t xml:space="preserve"> defines the term ‘racial discrimination’ to mean ‘any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w:t>
      </w:r>
      <w:r>
        <w:t xml:space="preserve">life’. </w:t>
      </w:r>
    </w:p>
    <w:p w14:paraId="42F6CD84" w14:textId="77777777" w:rsidR="001A730C" w:rsidRDefault="001A730C" w:rsidP="00E4438C">
      <w:r>
        <w:t xml:space="preserve">Under Article 2(a)(a) of the </w:t>
      </w:r>
      <w:r w:rsidRPr="00227C98">
        <w:t>International Convention on the Elimination of All Forms of Racial D</w:t>
      </w:r>
      <w:r>
        <w:t>iscrimination</w:t>
      </w:r>
      <w:r w:rsidRPr="00227C98">
        <w:t xml:space="preserve">, [E]ach State Party undertakes to engage </w:t>
      </w:r>
      <w:r>
        <w:t>in</w:t>
      </w:r>
      <w:r w:rsidRPr="00227C98">
        <w:t xml:space="preserve"> no act or practice of racial discrimination against persons, groups of persons or institutions and to ensure that all public authorities and public institutions, national and local shall act in conformity with this </w:t>
      </w:r>
      <w:r>
        <w:t xml:space="preserve">obligation’. Under Article 5 of </w:t>
      </w:r>
      <w:r w:rsidRPr="00227C98">
        <w:t>International Convention on the Elimination of All Forms of Racial D</w:t>
      </w:r>
      <w:r>
        <w:t>iscrimination</w:t>
      </w:r>
      <w:r w:rsidRPr="00227C98">
        <w:t xml:space="preserve"> States Parties ‘undertake to prohibit and eliminate racial discrimination in all its forms and to guarantee the right of everyone, without distinction as to …national …origin, to equality before the law’ in the enjoyment of civil, political, economic, social and cultural rights</w:t>
      </w:r>
      <w:r>
        <w:t>, including the ‘right to own property alone as well as in association with others’</w:t>
      </w:r>
      <w:r w:rsidRPr="00227C98">
        <w:t>.</w:t>
      </w:r>
    </w:p>
    <w:p w14:paraId="52130071" w14:textId="1857F6B2" w:rsidR="00604782" w:rsidRDefault="00604782" w:rsidP="00D14157">
      <w:r>
        <w:t xml:space="preserve">The Legislative Instrument engages these human rights as it applies certain monetary thresholds based on the citizenship of the investor. These monetary thresholds </w:t>
      </w:r>
      <w:r w:rsidR="00EB46CC">
        <w:t xml:space="preserve">interact with provisions in the </w:t>
      </w:r>
      <w:r w:rsidR="00EB46CC" w:rsidRPr="00D14157">
        <w:rPr>
          <w:i/>
        </w:rPr>
        <w:t>Foreign Acquisitions and Takeovers Act 1975</w:t>
      </w:r>
      <w:r w:rsidR="00EB46CC">
        <w:t xml:space="preserve"> to </w:t>
      </w:r>
      <w:r w:rsidR="0066793C">
        <w:t>determine whether or not an i</w:t>
      </w:r>
      <w:r w:rsidR="00ED4D65">
        <w:t xml:space="preserve">nvestor </w:t>
      </w:r>
      <w:r w:rsidR="00CF6F64">
        <w:t>is subject to</w:t>
      </w:r>
      <w:r w:rsidR="00025175">
        <w:t xml:space="preserve"> Australia’s foreign investment framework</w:t>
      </w:r>
      <w:r w:rsidR="00EB46CC">
        <w:t xml:space="preserve">. </w:t>
      </w:r>
      <w:r w:rsidR="0066793C">
        <w:t xml:space="preserve"> </w:t>
      </w:r>
    </w:p>
    <w:p w14:paraId="04BF7432" w14:textId="75FA9557" w:rsidR="0070682B" w:rsidRDefault="0070682B" w:rsidP="00D14157">
      <w:r>
        <w:t xml:space="preserve">The increased </w:t>
      </w:r>
      <w:r w:rsidR="00C26AA4">
        <w:t xml:space="preserve">thresholds </w:t>
      </w:r>
      <w:r w:rsidR="00CF6F64">
        <w:t xml:space="preserve">for business, entities and no-vacant commercial land </w:t>
      </w:r>
      <w:r w:rsidR="00C26AA4">
        <w:t xml:space="preserve">benefit investors from Singapore as the increase should reduce </w:t>
      </w:r>
      <w:r w:rsidR="00262427">
        <w:t xml:space="preserve">how frequently </w:t>
      </w:r>
      <w:r w:rsidR="00C26AA4">
        <w:t>affect</w:t>
      </w:r>
      <w:r w:rsidR="00262427">
        <w:t xml:space="preserve">ed investors need to seek a no </w:t>
      </w:r>
      <w:r w:rsidR="00C26AA4">
        <w:t xml:space="preserve">objection notification </w:t>
      </w:r>
      <w:r w:rsidR="00262427">
        <w:t>from the Treasurer. However, the lower and cumulative threshold for agricultural investment may mean more investors need to seek a no objections notification from the Treasurer</w:t>
      </w:r>
      <w:r w:rsidR="00CF6F64">
        <w:t>.</w:t>
      </w:r>
      <w:r w:rsidR="00262427">
        <w:t xml:space="preserve"> </w:t>
      </w:r>
    </w:p>
    <w:p w14:paraId="62C31017" w14:textId="7447BDFE" w:rsidR="00167E8E" w:rsidRDefault="00104705" w:rsidP="00D14157">
      <w:r>
        <w:t xml:space="preserve">The </w:t>
      </w:r>
      <w:r w:rsidR="00025175">
        <w:t>underlying principle</w:t>
      </w:r>
      <w:r>
        <w:t xml:space="preserve"> of </w:t>
      </w:r>
      <w:r w:rsidR="00167E8E">
        <w:t>Australia</w:t>
      </w:r>
      <w:r>
        <w:t xml:space="preserve">’s foreign investment framework is that foreign investment in Australia is welcome where it is in the national interest. The </w:t>
      </w:r>
      <w:r w:rsidR="00025175">
        <w:t xml:space="preserve">objective of the </w:t>
      </w:r>
      <w:r>
        <w:t xml:space="preserve">framework </w:t>
      </w:r>
      <w:r w:rsidR="00025175">
        <w:t>is</w:t>
      </w:r>
      <w:r>
        <w:t xml:space="preserve"> to provide a </w:t>
      </w:r>
      <w:r w:rsidRPr="0070682B">
        <w:t>predictable and welcoming environment for foreign investors</w:t>
      </w:r>
      <w:r>
        <w:t xml:space="preserve"> while </w:t>
      </w:r>
      <w:r w:rsidR="00025175">
        <w:t>giving</w:t>
      </w:r>
      <w:r>
        <w:t xml:space="preserve"> the Treasurer </w:t>
      </w:r>
      <w:r w:rsidR="00025175">
        <w:t xml:space="preserve">the power </w:t>
      </w:r>
      <w:r w:rsidR="00CF6F64">
        <w:t xml:space="preserve">to review certain investments to ensure that investment is not </w:t>
      </w:r>
      <w:r w:rsidR="00CF6F64" w:rsidRPr="009C01C8">
        <w:t>contrary to</w:t>
      </w:r>
      <w:r w:rsidR="00CF6F64">
        <w:t xml:space="preserve"> the</w:t>
      </w:r>
      <w:r>
        <w:t xml:space="preserve"> national interest</w:t>
      </w:r>
      <w:r w:rsidR="00025175">
        <w:t xml:space="preserve">. </w:t>
      </w:r>
    </w:p>
    <w:p w14:paraId="0C7254BD" w14:textId="70981ABA" w:rsidR="001A730C" w:rsidRPr="00B31641" w:rsidRDefault="001A730C" w:rsidP="00D14157">
      <w:r>
        <w:t xml:space="preserve">While the </w:t>
      </w:r>
      <w:r w:rsidR="00025175">
        <w:t xml:space="preserve">legislative instrument </w:t>
      </w:r>
      <w:r>
        <w:t>affect</w:t>
      </w:r>
      <w:r w:rsidR="00025175">
        <w:t>s</w:t>
      </w:r>
      <w:r>
        <w:t xml:space="preserve"> individuals who are citizens of countries other than Australia,</w:t>
      </w:r>
      <w:r w:rsidR="00025175">
        <w:t xml:space="preserve"> namely Singapore,</w:t>
      </w:r>
      <w:r>
        <w:t xml:space="preserve"> </w:t>
      </w:r>
      <w:r w:rsidR="00025175">
        <w:t xml:space="preserve">in the context of Australia’s foreign investment framework </w:t>
      </w:r>
      <w:r>
        <w:t xml:space="preserve">there is no less restrictive way of achieving the </w:t>
      </w:r>
      <w:r w:rsidR="00025175">
        <w:t xml:space="preserve">framework’s </w:t>
      </w:r>
      <w:r>
        <w:t>objectives</w:t>
      </w:r>
      <w:r w:rsidR="00025175">
        <w:t xml:space="preserve">. </w:t>
      </w:r>
      <w:r>
        <w:t xml:space="preserve">Accordingly those limitations are reasonable, necessary and proportionate. </w:t>
      </w:r>
    </w:p>
    <w:p w14:paraId="7DC15CA4" w14:textId="77777777" w:rsidR="00E4438C" w:rsidRDefault="00E4438C" w:rsidP="00E4438C">
      <w:pPr>
        <w:pStyle w:val="Heading4"/>
      </w:pPr>
      <w:r>
        <w:t>Conclusion</w:t>
      </w:r>
    </w:p>
    <w:p w14:paraId="7E0BE823" w14:textId="77777777" w:rsidR="00E4438C" w:rsidRDefault="00E4438C" w:rsidP="00E4438C">
      <w:r>
        <w:t>This Legislative Instrument is compatible with human rights as it does not raise any human rights issues.</w:t>
      </w:r>
    </w:p>
    <w:sectPr w:rsidR="00E4438C"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9E68F" w14:textId="77777777" w:rsidR="00C03D43" w:rsidRDefault="00C03D43" w:rsidP="006D57C9">
      <w:pPr>
        <w:spacing w:before="0" w:after="0"/>
      </w:pPr>
      <w:r>
        <w:separator/>
      </w:r>
    </w:p>
  </w:endnote>
  <w:endnote w:type="continuationSeparator" w:id="0">
    <w:p w14:paraId="1B4C992A" w14:textId="77777777" w:rsidR="00C03D43" w:rsidRDefault="00C03D43" w:rsidP="006D57C9">
      <w:pPr>
        <w:spacing w:before="0" w:after="0"/>
      </w:pPr>
      <w:r>
        <w:continuationSeparator/>
      </w:r>
    </w:p>
  </w:endnote>
  <w:endnote w:type="continuationNotice" w:id="1">
    <w:p w14:paraId="68AB04A3" w14:textId="77777777" w:rsidR="00C03D43" w:rsidRDefault="00C03D4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270504"/>
      <w:docPartObj>
        <w:docPartGallery w:val="Page Numbers (Bottom of Page)"/>
        <w:docPartUnique/>
      </w:docPartObj>
    </w:sdtPr>
    <w:sdtEndPr>
      <w:rPr>
        <w:noProof/>
      </w:rPr>
    </w:sdtEndPr>
    <w:sdtContent>
      <w:p w14:paraId="6D2150F6" w14:textId="77777777" w:rsidR="00695356" w:rsidRDefault="00695356">
        <w:pPr>
          <w:pStyle w:val="Footer"/>
          <w:jc w:val="right"/>
        </w:pPr>
        <w:r>
          <w:fldChar w:fldCharType="begin"/>
        </w:r>
        <w:r>
          <w:instrText xml:space="preserve"> PAGE   \* MERGEFORMAT </w:instrText>
        </w:r>
        <w:r>
          <w:fldChar w:fldCharType="separate"/>
        </w:r>
        <w:r w:rsidR="007E3FA5">
          <w:rPr>
            <w:noProof/>
          </w:rPr>
          <w:t>2</w:t>
        </w:r>
        <w:r>
          <w:rPr>
            <w:noProof/>
          </w:rPr>
          <w:fldChar w:fldCharType="end"/>
        </w:r>
      </w:p>
    </w:sdtContent>
  </w:sdt>
  <w:p w14:paraId="322BE16F" w14:textId="77777777" w:rsidR="00695356" w:rsidRDefault="006953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5862B" w14:textId="77777777" w:rsidR="00C03D43" w:rsidRDefault="00C03D43" w:rsidP="006D57C9">
      <w:pPr>
        <w:spacing w:before="0" w:after="0"/>
      </w:pPr>
      <w:r>
        <w:separator/>
      </w:r>
    </w:p>
  </w:footnote>
  <w:footnote w:type="continuationSeparator" w:id="0">
    <w:p w14:paraId="44AEB75A" w14:textId="77777777" w:rsidR="00C03D43" w:rsidRDefault="00C03D43" w:rsidP="006D57C9">
      <w:pPr>
        <w:spacing w:before="0" w:after="0"/>
      </w:pPr>
      <w:r>
        <w:continuationSeparator/>
      </w:r>
    </w:p>
  </w:footnote>
  <w:footnote w:type="continuationNotice" w:id="1">
    <w:p w14:paraId="4CD3E811" w14:textId="77777777" w:rsidR="00C03D43" w:rsidRDefault="00C03D43">
      <w:pPr>
        <w:spacing w:before="0" w:after="0"/>
      </w:pPr>
    </w:p>
  </w:footnote>
  <w:footnote w:id="2">
    <w:p w14:paraId="21F4987F" w14:textId="77777777" w:rsidR="00695356" w:rsidRPr="00276FBE" w:rsidRDefault="00695356" w:rsidP="00276FBE">
      <w:pPr>
        <w:pStyle w:val="FootnoteText"/>
        <w:rPr>
          <w:sz w:val="24"/>
          <w:szCs w:val="24"/>
        </w:rPr>
      </w:pPr>
      <w:r w:rsidRPr="00276FBE">
        <w:rPr>
          <w:rStyle w:val="FootnoteReference"/>
          <w:sz w:val="24"/>
          <w:szCs w:val="24"/>
        </w:rPr>
        <w:footnoteRef/>
      </w:r>
      <w:r w:rsidRPr="00276FBE">
        <w:rPr>
          <w:sz w:val="24"/>
          <w:szCs w:val="24"/>
        </w:rPr>
        <w:t xml:space="preserve"> </w:t>
      </w:r>
      <w:r w:rsidRPr="00276FBE">
        <w:rPr>
          <w:sz w:val="24"/>
          <w:szCs w:val="24"/>
        </w:rPr>
        <w:tab/>
        <w:t xml:space="preserve">The Parliament of the Commonwealth of Australia Joint Standing Committee on Treaties, </w:t>
      </w:r>
      <w:r w:rsidRPr="00276FBE">
        <w:rPr>
          <w:i/>
          <w:sz w:val="24"/>
          <w:szCs w:val="24"/>
        </w:rPr>
        <w:t>Report</w:t>
      </w:r>
      <w:r>
        <w:rPr>
          <w:i/>
          <w:sz w:val="24"/>
          <w:szCs w:val="24"/>
        </w:rPr>
        <w:t> </w:t>
      </w:r>
      <w:r w:rsidR="00E40477">
        <w:rPr>
          <w:i/>
          <w:sz w:val="24"/>
          <w:szCs w:val="24"/>
        </w:rPr>
        <w:t>172</w:t>
      </w:r>
      <w:r w:rsidRPr="00276FBE">
        <w:rPr>
          <w:i/>
          <w:sz w:val="24"/>
          <w:szCs w:val="24"/>
        </w:rPr>
        <w:t xml:space="preserve">: Treaty tabled on </w:t>
      </w:r>
      <w:r w:rsidR="00E40477">
        <w:rPr>
          <w:i/>
          <w:sz w:val="24"/>
          <w:szCs w:val="24"/>
        </w:rPr>
        <w:t>20 March 2017</w:t>
      </w:r>
      <w:r w:rsidRPr="00276FBE">
        <w:rPr>
          <w:sz w:val="24"/>
          <w:szCs w:val="24"/>
        </w:rPr>
        <w:t xml:space="preserve">, </w:t>
      </w:r>
      <w:r w:rsidR="00E40477">
        <w:rPr>
          <w:sz w:val="24"/>
          <w:szCs w:val="24"/>
        </w:rPr>
        <w:t>August 2017</w:t>
      </w:r>
      <w:r>
        <w:rPr>
          <w:sz w:val="24"/>
          <w:szCs w:val="24"/>
        </w:rPr>
        <w:t>.</w:t>
      </w:r>
    </w:p>
  </w:footnote>
  <w:footnote w:id="3">
    <w:p w14:paraId="287A5A9C" w14:textId="1D07ABA3" w:rsidR="00591BD6" w:rsidRDefault="00591BD6">
      <w:pPr>
        <w:pStyle w:val="FootnoteText"/>
      </w:pPr>
      <w:r>
        <w:rPr>
          <w:rStyle w:val="FootnoteReference"/>
        </w:rPr>
        <w:footnoteRef/>
      </w:r>
      <w:r>
        <w:t xml:space="preserve"> </w:t>
      </w:r>
      <w:r w:rsidRPr="00187DE3">
        <w:rPr>
          <w:i/>
          <w:sz w:val="24"/>
          <w:szCs w:val="24"/>
        </w:rPr>
        <w:t>National Interest Analysis</w:t>
      </w:r>
      <w:r w:rsidRPr="00187DE3">
        <w:rPr>
          <w:sz w:val="24"/>
          <w:szCs w:val="24"/>
        </w:rPr>
        <w:t xml:space="preserve"> [</w:t>
      </w:r>
      <w:r>
        <w:rPr>
          <w:sz w:val="24"/>
          <w:szCs w:val="24"/>
        </w:rPr>
        <w:t>2017</w:t>
      </w:r>
      <w:r w:rsidRPr="00187DE3">
        <w:rPr>
          <w:sz w:val="24"/>
          <w:szCs w:val="24"/>
        </w:rPr>
        <w:t>] ATNIA </w:t>
      </w:r>
      <w:r>
        <w:rPr>
          <w:sz w:val="24"/>
          <w:szCs w:val="24"/>
        </w:rPr>
        <w:t>9</w:t>
      </w:r>
      <w:r w:rsidRPr="00187DE3">
        <w:rPr>
          <w:sz w:val="24"/>
          <w:szCs w:val="24"/>
        </w:rPr>
        <w:t xml:space="preserve"> with attachments. In </w:t>
      </w:r>
      <w:r>
        <w:rPr>
          <w:sz w:val="24"/>
          <w:szCs w:val="24"/>
        </w:rPr>
        <w:t>September 2017</w:t>
      </w:r>
      <w:r w:rsidRPr="00187DE3">
        <w:rPr>
          <w:sz w:val="24"/>
          <w:szCs w:val="24"/>
        </w:rPr>
        <w:t xml:space="preserve"> the NIA, including attachments, was available at </w:t>
      </w:r>
      <w:r w:rsidRPr="00E40477">
        <w:rPr>
          <w:sz w:val="24"/>
          <w:szCs w:val="24"/>
        </w:rPr>
        <w:t>http://www.aph.gov.au/Parliamentary_Business/Committees/Joint/Treaties/SingaporeFTA-Amendment/Treaty_being_considered</w:t>
      </w:r>
      <w:r w:rsidRPr="00187DE3">
        <w:rPr>
          <w:sz w:val="24"/>
          <w:szCs w:val="24"/>
        </w:rPr>
        <w:t>.</w:t>
      </w:r>
    </w:p>
  </w:footnote>
  <w:footnote w:id="4">
    <w:p w14:paraId="2BDE44E3" w14:textId="6C709031" w:rsidR="00EA26F7" w:rsidRDefault="00EA26F7">
      <w:pPr>
        <w:pStyle w:val="FootnoteText"/>
      </w:pPr>
      <w:r>
        <w:rPr>
          <w:rStyle w:val="FootnoteReference"/>
        </w:rPr>
        <w:footnoteRef/>
      </w:r>
      <w:r>
        <w:t xml:space="preserve"> </w:t>
      </w:r>
      <w:r w:rsidRPr="00187DE3">
        <w:rPr>
          <w:sz w:val="24"/>
          <w:szCs w:val="24"/>
        </w:rPr>
        <w:t>Attachment II to the NIA</w:t>
      </w:r>
    </w:p>
  </w:footnote>
  <w:footnote w:id="5">
    <w:p w14:paraId="43C518D0" w14:textId="77777777" w:rsidR="001A730C" w:rsidRDefault="001A730C" w:rsidP="001A730C">
      <w:pPr>
        <w:pStyle w:val="FootnoteText"/>
      </w:pPr>
      <w:r>
        <w:rPr>
          <w:rStyle w:val="FootnoteReference"/>
        </w:rPr>
        <w:footnoteRef/>
      </w:r>
      <w:r>
        <w:t xml:space="preserve"> General Comment No 18: Non-discrimination at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28C2"/>
    <w:multiLevelType w:val="hybridMultilevel"/>
    <w:tmpl w:val="AA8AEB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4FC803FE"/>
    <w:multiLevelType w:val="hybridMultilevel"/>
    <w:tmpl w:val="C3C2A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67A43C0B"/>
    <w:multiLevelType w:val="multilevel"/>
    <w:tmpl w:val="EFD45F7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3"/>
  </w:num>
  <w:num w:numId="4">
    <w:abstractNumId w:val="0"/>
  </w:num>
  <w:num w:numId="5">
    <w:abstractNumId w:val="2"/>
  </w:num>
  <w:num w:numId="6">
    <w:abstractNumId w:val="4"/>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1985"/>
          </w:tabs>
          <w:ind w:left="1134" w:firstLine="0"/>
        </w:pPr>
        <w:rPr>
          <w:rFonts w:hint="default"/>
          <w:b w:val="0"/>
          <w:i w:val="0"/>
          <w:sz w:val="22"/>
          <w:szCs w:val="22"/>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67"/>
    <w:rsid w:val="00004B54"/>
    <w:rsid w:val="0000518C"/>
    <w:rsid w:val="00016EA2"/>
    <w:rsid w:val="00025175"/>
    <w:rsid w:val="000473FC"/>
    <w:rsid w:val="00056706"/>
    <w:rsid w:val="0005775B"/>
    <w:rsid w:val="000714D1"/>
    <w:rsid w:val="000769DD"/>
    <w:rsid w:val="00095211"/>
    <w:rsid w:val="000A1DD7"/>
    <w:rsid w:val="000C10DF"/>
    <w:rsid w:val="000C7D48"/>
    <w:rsid w:val="000F4141"/>
    <w:rsid w:val="000F509E"/>
    <w:rsid w:val="00104705"/>
    <w:rsid w:val="00104834"/>
    <w:rsid w:val="00113B45"/>
    <w:rsid w:val="00146198"/>
    <w:rsid w:val="001562B9"/>
    <w:rsid w:val="00167E8E"/>
    <w:rsid w:val="00177612"/>
    <w:rsid w:val="00181121"/>
    <w:rsid w:val="001A730C"/>
    <w:rsid w:val="001B3E09"/>
    <w:rsid w:val="001B52CA"/>
    <w:rsid w:val="001E1FD6"/>
    <w:rsid w:val="001E3EC5"/>
    <w:rsid w:val="001E4ADB"/>
    <w:rsid w:val="001E6A74"/>
    <w:rsid w:val="001F41D0"/>
    <w:rsid w:val="00214D80"/>
    <w:rsid w:val="00220F16"/>
    <w:rsid w:val="00250158"/>
    <w:rsid w:val="00254C5B"/>
    <w:rsid w:val="00257D60"/>
    <w:rsid w:val="00262427"/>
    <w:rsid w:val="00272A6B"/>
    <w:rsid w:val="00276FBE"/>
    <w:rsid w:val="00280CB6"/>
    <w:rsid w:val="00282DB0"/>
    <w:rsid w:val="00294296"/>
    <w:rsid w:val="002B7DDD"/>
    <w:rsid w:val="002D765B"/>
    <w:rsid w:val="002F1C27"/>
    <w:rsid w:val="00326682"/>
    <w:rsid w:val="003342CD"/>
    <w:rsid w:val="00335042"/>
    <w:rsid w:val="0036110D"/>
    <w:rsid w:val="003619F9"/>
    <w:rsid w:val="003629B6"/>
    <w:rsid w:val="00376C75"/>
    <w:rsid w:val="00392BBA"/>
    <w:rsid w:val="0039332A"/>
    <w:rsid w:val="003A1357"/>
    <w:rsid w:val="003B79AF"/>
    <w:rsid w:val="003C3888"/>
    <w:rsid w:val="003C4DEE"/>
    <w:rsid w:val="003D404D"/>
    <w:rsid w:val="003E25B5"/>
    <w:rsid w:val="003E2D4D"/>
    <w:rsid w:val="003E7CA1"/>
    <w:rsid w:val="003F7BAE"/>
    <w:rsid w:val="00423276"/>
    <w:rsid w:val="004757FF"/>
    <w:rsid w:val="004965FE"/>
    <w:rsid w:val="004B013A"/>
    <w:rsid w:val="004D1150"/>
    <w:rsid w:val="004D486B"/>
    <w:rsid w:val="004E39E1"/>
    <w:rsid w:val="00500356"/>
    <w:rsid w:val="005005B6"/>
    <w:rsid w:val="00503E44"/>
    <w:rsid w:val="0051209B"/>
    <w:rsid w:val="00514C01"/>
    <w:rsid w:val="00515283"/>
    <w:rsid w:val="005213C4"/>
    <w:rsid w:val="00527098"/>
    <w:rsid w:val="00531C67"/>
    <w:rsid w:val="0055675D"/>
    <w:rsid w:val="00573506"/>
    <w:rsid w:val="005833BE"/>
    <w:rsid w:val="00587CE5"/>
    <w:rsid w:val="00591BD6"/>
    <w:rsid w:val="0059582C"/>
    <w:rsid w:val="005A79A6"/>
    <w:rsid w:val="005C714F"/>
    <w:rsid w:val="005D7D5A"/>
    <w:rsid w:val="005F535D"/>
    <w:rsid w:val="0060130D"/>
    <w:rsid w:val="00604782"/>
    <w:rsid w:val="00621251"/>
    <w:rsid w:val="006215A7"/>
    <w:rsid w:val="006222B2"/>
    <w:rsid w:val="0064129F"/>
    <w:rsid w:val="00645BF0"/>
    <w:rsid w:val="006623AC"/>
    <w:rsid w:val="0066438C"/>
    <w:rsid w:val="0066793C"/>
    <w:rsid w:val="00680857"/>
    <w:rsid w:val="00695356"/>
    <w:rsid w:val="006A341C"/>
    <w:rsid w:val="006C4548"/>
    <w:rsid w:val="006C69CA"/>
    <w:rsid w:val="006D4E50"/>
    <w:rsid w:val="006D57C9"/>
    <w:rsid w:val="006F348D"/>
    <w:rsid w:val="0070088D"/>
    <w:rsid w:val="0070682B"/>
    <w:rsid w:val="0071348D"/>
    <w:rsid w:val="007311A5"/>
    <w:rsid w:val="007421F2"/>
    <w:rsid w:val="00745EEC"/>
    <w:rsid w:val="00787226"/>
    <w:rsid w:val="00791B4A"/>
    <w:rsid w:val="00794ADA"/>
    <w:rsid w:val="00795228"/>
    <w:rsid w:val="00796936"/>
    <w:rsid w:val="007A2BA8"/>
    <w:rsid w:val="007B7B2A"/>
    <w:rsid w:val="007C0630"/>
    <w:rsid w:val="007C7A78"/>
    <w:rsid w:val="007E018D"/>
    <w:rsid w:val="007E0DA7"/>
    <w:rsid w:val="007E3FA5"/>
    <w:rsid w:val="00806CA7"/>
    <w:rsid w:val="00807E7D"/>
    <w:rsid w:val="00820FA4"/>
    <w:rsid w:val="008212E4"/>
    <w:rsid w:val="008248F1"/>
    <w:rsid w:val="0082654C"/>
    <w:rsid w:val="00831675"/>
    <w:rsid w:val="00833E18"/>
    <w:rsid w:val="008371F8"/>
    <w:rsid w:val="008375DD"/>
    <w:rsid w:val="00856ED0"/>
    <w:rsid w:val="00863372"/>
    <w:rsid w:val="00872170"/>
    <w:rsid w:val="0088467C"/>
    <w:rsid w:val="008876E1"/>
    <w:rsid w:val="008B2141"/>
    <w:rsid w:val="008C7D51"/>
    <w:rsid w:val="008D16F7"/>
    <w:rsid w:val="008E3417"/>
    <w:rsid w:val="008F60C7"/>
    <w:rsid w:val="008F7092"/>
    <w:rsid w:val="009002CF"/>
    <w:rsid w:val="009032C6"/>
    <w:rsid w:val="0091732C"/>
    <w:rsid w:val="00923C8A"/>
    <w:rsid w:val="00933A9F"/>
    <w:rsid w:val="0093500D"/>
    <w:rsid w:val="0094100A"/>
    <w:rsid w:val="0094530A"/>
    <w:rsid w:val="00951190"/>
    <w:rsid w:val="0099182D"/>
    <w:rsid w:val="00997E71"/>
    <w:rsid w:val="009A0BEF"/>
    <w:rsid w:val="009A511F"/>
    <w:rsid w:val="009D0982"/>
    <w:rsid w:val="009E2F86"/>
    <w:rsid w:val="009E6DCA"/>
    <w:rsid w:val="00A03DE8"/>
    <w:rsid w:val="00A12209"/>
    <w:rsid w:val="00A15919"/>
    <w:rsid w:val="00A32A1A"/>
    <w:rsid w:val="00A36DF3"/>
    <w:rsid w:val="00A532DD"/>
    <w:rsid w:val="00A611E5"/>
    <w:rsid w:val="00A61829"/>
    <w:rsid w:val="00A72AF4"/>
    <w:rsid w:val="00A80BCF"/>
    <w:rsid w:val="00A86806"/>
    <w:rsid w:val="00AA736D"/>
    <w:rsid w:val="00AD06F6"/>
    <w:rsid w:val="00AD3F34"/>
    <w:rsid w:val="00AE2142"/>
    <w:rsid w:val="00AE40CE"/>
    <w:rsid w:val="00AE6A5B"/>
    <w:rsid w:val="00B07B0C"/>
    <w:rsid w:val="00B300A3"/>
    <w:rsid w:val="00B4329D"/>
    <w:rsid w:val="00B55AA3"/>
    <w:rsid w:val="00B5667E"/>
    <w:rsid w:val="00B65A0E"/>
    <w:rsid w:val="00B71451"/>
    <w:rsid w:val="00B90F05"/>
    <w:rsid w:val="00BD61A2"/>
    <w:rsid w:val="00BE0636"/>
    <w:rsid w:val="00BE484D"/>
    <w:rsid w:val="00BE5959"/>
    <w:rsid w:val="00BE5FF4"/>
    <w:rsid w:val="00C03D43"/>
    <w:rsid w:val="00C13705"/>
    <w:rsid w:val="00C225DC"/>
    <w:rsid w:val="00C235F7"/>
    <w:rsid w:val="00C26AA4"/>
    <w:rsid w:val="00C301B7"/>
    <w:rsid w:val="00C32A7B"/>
    <w:rsid w:val="00C338AD"/>
    <w:rsid w:val="00C37E05"/>
    <w:rsid w:val="00C40C05"/>
    <w:rsid w:val="00C553C6"/>
    <w:rsid w:val="00C55D29"/>
    <w:rsid w:val="00C60544"/>
    <w:rsid w:val="00C64ED1"/>
    <w:rsid w:val="00C71AE1"/>
    <w:rsid w:val="00C738C7"/>
    <w:rsid w:val="00C973CE"/>
    <w:rsid w:val="00CC6EED"/>
    <w:rsid w:val="00CF08CD"/>
    <w:rsid w:val="00CF6F64"/>
    <w:rsid w:val="00D01B9D"/>
    <w:rsid w:val="00D05BF2"/>
    <w:rsid w:val="00D14157"/>
    <w:rsid w:val="00D15F56"/>
    <w:rsid w:val="00D205FD"/>
    <w:rsid w:val="00D2516D"/>
    <w:rsid w:val="00D34626"/>
    <w:rsid w:val="00D4257A"/>
    <w:rsid w:val="00D63678"/>
    <w:rsid w:val="00D63C63"/>
    <w:rsid w:val="00DA0950"/>
    <w:rsid w:val="00DA534E"/>
    <w:rsid w:val="00DC0CDE"/>
    <w:rsid w:val="00DC63F1"/>
    <w:rsid w:val="00DD4D6E"/>
    <w:rsid w:val="00DF169C"/>
    <w:rsid w:val="00E0624D"/>
    <w:rsid w:val="00E260DD"/>
    <w:rsid w:val="00E40477"/>
    <w:rsid w:val="00E4438C"/>
    <w:rsid w:val="00E457F3"/>
    <w:rsid w:val="00E569D6"/>
    <w:rsid w:val="00E81039"/>
    <w:rsid w:val="00E8565A"/>
    <w:rsid w:val="00E96F9D"/>
    <w:rsid w:val="00EA26F7"/>
    <w:rsid w:val="00EB46CC"/>
    <w:rsid w:val="00EB7E71"/>
    <w:rsid w:val="00EC606F"/>
    <w:rsid w:val="00ED365B"/>
    <w:rsid w:val="00ED4D65"/>
    <w:rsid w:val="00EE0D9A"/>
    <w:rsid w:val="00EE5D4E"/>
    <w:rsid w:val="00EF1D75"/>
    <w:rsid w:val="00EF3A85"/>
    <w:rsid w:val="00F0102D"/>
    <w:rsid w:val="00F109D4"/>
    <w:rsid w:val="00F15D36"/>
    <w:rsid w:val="00F24B6F"/>
    <w:rsid w:val="00F318DC"/>
    <w:rsid w:val="00F46618"/>
    <w:rsid w:val="00F510DD"/>
    <w:rsid w:val="00F55086"/>
    <w:rsid w:val="00F62172"/>
    <w:rsid w:val="00F65AEA"/>
    <w:rsid w:val="00F71CF2"/>
    <w:rsid w:val="00F724C8"/>
    <w:rsid w:val="00F84E14"/>
    <w:rsid w:val="00F94690"/>
    <w:rsid w:val="00FA52C8"/>
    <w:rsid w:val="00FB0A88"/>
    <w:rsid w:val="00FB590D"/>
    <w:rsid w:val="00FD24ED"/>
    <w:rsid w:val="00FD5140"/>
    <w:rsid w:val="00FE15FB"/>
    <w:rsid w:val="00FE4258"/>
    <w:rsid w:val="00FF105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7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FootnoteText">
    <w:name w:val="footnote text"/>
    <w:basedOn w:val="Normal"/>
    <w:link w:val="FootnoteTextChar"/>
    <w:unhideWhenUsed/>
    <w:rsid w:val="006D57C9"/>
    <w:pPr>
      <w:spacing w:before="0" w:after="0"/>
    </w:pPr>
    <w:rPr>
      <w:sz w:val="20"/>
    </w:rPr>
  </w:style>
  <w:style w:type="character" w:customStyle="1" w:styleId="FootnoteTextChar">
    <w:name w:val="Footnote Text Char"/>
    <w:basedOn w:val="DefaultParagraphFont"/>
    <w:link w:val="FootnoteText"/>
    <w:uiPriority w:val="99"/>
    <w:semiHidden/>
    <w:rsid w:val="006D57C9"/>
  </w:style>
  <w:style w:type="character" w:styleId="FootnoteReference">
    <w:name w:val="footnote reference"/>
    <w:basedOn w:val="DefaultParagraphFont"/>
    <w:unhideWhenUsed/>
    <w:rsid w:val="006D57C9"/>
    <w:rPr>
      <w:vertAlign w:val="superscript"/>
    </w:rPr>
  </w:style>
  <w:style w:type="paragraph" w:styleId="Header">
    <w:name w:val="header"/>
    <w:basedOn w:val="Normal"/>
    <w:link w:val="HeaderChar"/>
    <w:uiPriority w:val="99"/>
    <w:unhideWhenUsed/>
    <w:rsid w:val="00FE15FB"/>
    <w:pPr>
      <w:tabs>
        <w:tab w:val="center" w:pos="4513"/>
        <w:tab w:val="right" w:pos="9026"/>
      </w:tabs>
      <w:spacing w:before="0" w:after="0"/>
    </w:pPr>
  </w:style>
  <w:style w:type="character" w:customStyle="1" w:styleId="HeaderChar">
    <w:name w:val="Header Char"/>
    <w:basedOn w:val="DefaultParagraphFont"/>
    <w:link w:val="Header"/>
    <w:uiPriority w:val="99"/>
    <w:rsid w:val="00FE15FB"/>
    <w:rPr>
      <w:sz w:val="24"/>
    </w:rPr>
  </w:style>
  <w:style w:type="paragraph" w:styleId="Footer">
    <w:name w:val="footer"/>
    <w:basedOn w:val="Normal"/>
    <w:link w:val="FooterChar"/>
    <w:uiPriority w:val="99"/>
    <w:unhideWhenUsed/>
    <w:rsid w:val="00FE15FB"/>
    <w:pPr>
      <w:tabs>
        <w:tab w:val="center" w:pos="4513"/>
        <w:tab w:val="right" w:pos="9026"/>
      </w:tabs>
      <w:spacing w:before="0" w:after="0"/>
    </w:pPr>
  </w:style>
  <w:style w:type="character" w:customStyle="1" w:styleId="FooterChar">
    <w:name w:val="Footer Char"/>
    <w:basedOn w:val="DefaultParagraphFont"/>
    <w:link w:val="Footer"/>
    <w:uiPriority w:val="99"/>
    <w:rsid w:val="00FE15FB"/>
    <w:rPr>
      <w:sz w:val="24"/>
    </w:rPr>
  </w:style>
  <w:style w:type="paragraph" w:styleId="ListParagraph">
    <w:name w:val="List Paragraph"/>
    <w:basedOn w:val="Normal"/>
    <w:uiPriority w:val="34"/>
    <w:qFormat/>
    <w:rsid w:val="00B55AA3"/>
    <w:pPr>
      <w:ind w:left="720"/>
      <w:contextualSpacing/>
    </w:pPr>
  </w:style>
  <w:style w:type="paragraph" w:customStyle="1" w:styleId="subsection">
    <w:name w:val="subsection"/>
    <w:aliases w:val="ss"/>
    <w:basedOn w:val="Normal"/>
    <w:link w:val="subsectionChar"/>
    <w:rsid w:val="00A72AF4"/>
    <w:pPr>
      <w:tabs>
        <w:tab w:val="right" w:pos="1021"/>
      </w:tabs>
      <w:spacing w:before="180" w:after="0"/>
      <w:ind w:left="1134" w:hanging="1134"/>
    </w:pPr>
    <w:rPr>
      <w:sz w:val="22"/>
    </w:rPr>
  </w:style>
  <w:style w:type="character" w:customStyle="1" w:styleId="subsectionChar">
    <w:name w:val="subsection Char"/>
    <w:aliases w:val="ss Char"/>
    <w:link w:val="subsection"/>
    <w:locked/>
    <w:rsid w:val="00A72AF4"/>
    <w:rPr>
      <w:sz w:val="22"/>
    </w:rPr>
  </w:style>
  <w:style w:type="paragraph" w:styleId="EndnoteText">
    <w:name w:val="endnote text"/>
    <w:basedOn w:val="Normal"/>
    <w:link w:val="EndnoteTextChar"/>
    <w:uiPriority w:val="99"/>
    <w:semiHidden/>
    <w:unhideWhenUsed/>
    <w:rsid w:val="00EA26F7"/>
    <w:pPr>
      <w:spacing w:before="0" w:after="0"/>
    </w:pPr>
    <w:rPr>
      <w:sz w:val="20"/>
    </w:rPr>
  </w:style>
  <w:style w:type="character" w:customStyle="1" w:styleId="EndnoteTextChar">
    <w:name w:val="Endnote Text Char"/>
    <w:basedOn w:val="DefaultParagraphFont"/>
    <w:link w:val="EndnoteText"/>
    <w:uiPriority w:val="99"/>
    <w:semiHidden/>
    <w:rsid w:val="00EA26F7"/>
  </w:style>
  <w:style w:type="character" w:styleId="EndnoteReference">
    <w:name w:val="endnote reference"/>
    <w:basedOn w:val="DefaultParagraphFont"/>
    <w:uiPriority w:val="99"/>
    <w:semiHidden/>
    <w:unhideWhenUsed/>
    <w:rsid w:val="00EA26F7"/>
    <w:rPr>
      <w:vertAlign w:val="superscript"/>
    </w:rPr>
  </w:style>
  <w:style w:type="character" w:styleId="CommentReference">
    <w:name w:val="annotation reference"/>
    <w:basedOn w:val="DefaultParagraphFont"/>
    <w:uiPriority w:val="99"/>
    <w:semiHidden/>
    <w:unhideWhenUsed/>
    <w:rsid w:val="00EA26F7"/>
    <w:rPr>
      <w:sz w:val="16"/>
      <w:szCs w:val="16"/>
    </w:rPr>
  </w:style>
  <w:style w:type="paragraph" w:styleId="CommentText">
    <w:name w:val="annotation text"/>
    <w:basedOn w:val="Normal"/>
    <w:link w:val="CommentTextChar"/>
    <w:uiPriority w:val="99"/>
    <w:semiHidden/>
    <w:unhideWhenUsed/>
    <w:rsid w:val="00EA26F7"/>
    <w:rPr>
      <w:sz w:val="20"/>
    </w:rPr>
  </w:style>
  <w:style w:type="character" w:customStyle="1" w:styleId="CommentTextChar">
    <w:name w:val="Comment Text Char"/>
    <w:basedOn w:val="DefaultParagraphFont"/>
    <w:link w:val="CommentText"/>
    <w:uiPriority w:val="99"/>
    <w:semiHidden/>
    <w:rsid w:val="00EA26F7"/>
  </w:style>
  <w:style w:type="paragraph" w:styleId="CommentSubject">
    <w:name w:val="annotation subject"/>
    <w:basedOn w:val="CommentText"/>
    <w:next w:val="CommentText"/>
    <w:link w:val="CommentSubjectChar"/>
    <w:uiPriority w:val="99"/>
    <w:semiHidden/>
    <w:unhideWhenUsed/>
    <w:rsid w:val="00EA26F7"/>
    <w:rPr>
      <w:b/>
      <w:bCs/>
    </w:rPr>
  </w:style>
  <w:style w:type="character" w:customStyle="1" w:styleId="CommentSubjectChar">
    <w:name w:val="Comment Subject Char"/>
    <w:basedOn w:val="CommentTextChar"/>
    <w:link w:val="CommentSubject"/>
    <w:uiPriority w:val="99"/>
    <w:semiHidden/>
    <w:rsid w:val="00EA26F7"/>
    <w:rPr>
      <w:b/>
      <w:bCs/>
    </w:rPr>
  </w:style>
  <w:style w:type="paragraph" w:customStyle="1" w:styleId="ChapterHeading">
    <w:name w:val="Chapter Heading"/>
    <w:next w:val="Heading2"/>
    <w:rsid w:val="001A730C"/>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1A730C"/>
    <w:pPr>
      <w:tabs>
        <w:tab w:val="clear" w:pos="1987"/>
        <w:tab w:val="num" w:pos="360"/>
      </w:tabs>
      <w:ind w:left="1134"/>
    </w:pPr>
    <w:rPr>
      <w:kern w:val="0"/>
      <w:sz w:val="22"/>
    </w:rPr>
  </w:style>
  <w:style w:type="paragraph" w:customStyle="1" w:styleId="ExampleHeading">
    <w:name w:val="Example Heading"/>
    <w:basedOn w:val="Normal"/>
    <w:next w:val="Normal"/>
    <w:rsid w:val="001A730C"/>
    <w:pPr>
      <w:keepNext/>
      <w:tabs>
        <w:tab w:val="num" w:pos="360"/>
      </w:tabs>
    </w:pPr>
    <w:rPr>
      <w:b/>
      <w:sz w:val="22"/>
    </w:rPr>
  </w:style>
  <w:style w:type="paragraph" w:customStyle="1" w:styleId="Diagram">
    <w:name w:val="Diagram"/>
    <w:basedOn w:val="Normal"/>
    <w:next w:val="Normal"/>
    <w:rsid w:val="001A730C"/>
    <w:pPr>
      <w:keepNext/>
      <w:tabs>
        <w:tab w:val="num" w:pos="360"/>
      </w:tabs>
      <w:spacing w:before="0" w:after="0"/>
    </w:pPr>
    <w:rPr>
      <w:b/>
      <w:sz w:val="22"/>
    </w:rPr>
  </w:style>
  <w:style w:type="character" w:customStyle="1" w:styleId="base-text-paragraphChar">
    <w:name w:val="base-text-paragraph Char"/>
    <w:basedOn w:val="DefaultParagraphFont"/>
    <w:link w:val="base-text-paragraph"/>
    <w:rsid w:val="001A730C"/>
    <w:rPr>
      <w:sz w:val="24"/>
    </w:rPr>
  </w:style>
  <w:style w:type="numbering" w:customStyle="1" w:styleId="ChapterList">
    <w:name w:val="ChapterList"/>
    <w:uiPriority w:val="99"/>
    <w:rsid w:val="001A730C"/>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aliases w:val="b"/>
    <w:basedOn w:val="Normal"/>
    <w:link w:val="BulletChar"/>
    <w:qFormat/>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aliases w:val="b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styleId="FootnoteText">
    <w:name w:val="footnote text"/>
    <w:basedOn w:val="Normal"/>
    <w:link w:val="FootnoteTextChar"/>
    <w:unhideWhenUsed/>
    <w:rsid w:val="006D57C9"/>
    <w:pPr>
      <w:spacing w:before="0" w:after="0"/>
    </w:pPr>
    <w:rPr>
      <w:sz w:val="20"/>
    </w:rPr>
  </w:style>
  <w:style w:type="character" w:customStyle="1" w:styleId="FootnoteTextChar">
    <w:name w:val="Footnote Text Char"/>
    <w:basedOn w:val="DefaultParagraphFont"/>
    <w:link w:val="FootnoteText"/>
    <w:uiPriority w:val="99"/>
    <w:semiHidden/>
    <w:rsid w:val="006D57C9"/>
  </w:style>
  <w:style w:type="character" w:styleId="FootnoteReference">
    <w:name w:val="footnote reference"/>
    <w:basedOn w:val="DefaultParagraphFont"/>
    <w:unhideWhenUsed/>
    <w:rsid w:val="006D57C9"/>
    <w:rPr>
      <w:vertAlign w:val="superscript"/>
    </w:rPr>
  </w:style>
  <w:style w:type="paragraph" w:styleId="Header">
    <w:name w:val="header"/>
    <w:basedOn w:val="Normal"/>
    <w:link w:val="HeaderChar"/>
    <w:uiPriority w:val="99"/>
    <w:unhideWhenUsed/>
    <w:rsid w:val="00FE15FB"/>
    <w:pPr>
      <w:tabs>
        <w:tab w:val="center" w:pos="4513"/>
        <w:tab w:val="right" w:pos="9026"/>
      </w:tabs>
      <w:spacing w:before="0" w:after="0"/>
    </w:pPr>
  </w:style>
  <w:style w:type="character" w:customStyle="1" w:styleId="HeaderChar">
    <w:name w:val="Header Char"/>
    <w:basedOn w:val="DefaultParagraphFont"/>
    <w:link w:val="Header"/>
    <w:uiPriority w:val="99"/>
    <w:rsid w:val="00FE15FB"/>
    <w:rPr>
      <w:sz w:val="24"/>
    </w:rPr>
  </w:style>
  <w:style w:type="paragraph" w:styleId="Footer">
    <w:name w:val="footer"/>
    <w:basedOn w:val="Normal"/>
    <w:link w:val="FooterChar"/>
    <w:uiPriority w:val="99"/>
    <w:unhideWhenUsed/>
    <w:rsid w:val="00FE15FB"/>
    <w:pPr>
      <w:tabs>
        <w:tab w:val="center" w:pos="4513"/>
        <w:tab w:val="right" w:pos="9026"/>
      </w:tabs>
      <w:spacing w:before="0" w:after="0"/>
    </w:pPr>
  </w:style>
  <w:style w:type="character" w:customStyle="1" w:styleId="FooterChar">
    <w:name w:val="Footer Char"/>
    <w:basedOn w:val="DefaultParagraphFont"/>
    <w:link w:val="Footer"/>
    <w:uiPriority w:val="99"/>
    <w:rsid w:val="00FE15FB"/>
    <w:rPr>
      <w:sz w:val="24"/>
    </w:rPr>
  </w:style>
  <w:style w:type="paragraph" w:styleId="ListParagraph">
    <w:name w:val="List Paragraph"/>
    <w:basedOn w:val="Normal"/>
    <w:uiPriority w:val="34"/>
    <w:qFormat/>
    <w:rsid w:val="00B55AA3"/>
    <w:pPr>
      <w:ind w:left="720"/>
      <w:contextualSpacing/>
    </w:pPr>
  </w:style>
  <w:style w:type="paragraph" w:customStyle="1" w:styleId="subsection">
    <w:name w:val="subsection"/>
    <w:aliases w:val="ss"/>
    <w:basedOn w:val="Normal"/>
    <w:link w:val="subsectionChar"/>
    <w:rsid w:val="00A72AF4"/>
    <w:pPr>
      <w:tabs>
        <w:tab w:val="right" w:pos="1021"/>
      </w:tabs>
      <w:spacing w:before="180" w:after="0"/>
      <w:ind w:left="1134" w:hanging="1134"/>
    </w:pPr>
    <w:rPr>
      <w:sz w:val="22"/>
    </w:rPr>
  </w:style>
  <w:style w:type="character" w:customStyle="1" w:styleId="subsectionChar">
    <w:name w:val="subsection Char"/>
    <w:aliases w:val="ss Char"/>
    <w:link w:val="subsection"/>
    <w:locked/>
    <w:rsid w:val="00A72AF4"/>
    <w:rPr>
      <w:sz w:val="22"/>
    </w:rPr>
  </w:style>
  <w:style w:type="paragraph" w:styleId="EndnoteText">
    <w:name w:val="endnote text"/>
    <w:basedOn w:val="Normal"/>
    <w:link w:val="EndnoteTextChar"/>
    <w:uiPriority w:val="99"/>
    <w:semiHidden/>
    <w:unhideWhenUsed/>
    <w:rsid w:val="00EA26F7"/>
    <w:pPr>
      <w:spacing w:before="0" w:after="0"/>
    </w:pPr>
    <w:rPr>
      <w:sz w:val="20"/>
    </w:rPr>
  </w:style>
  <w:style w:type="character" w:customStyle="1" w:styleId="EndnoteTextChar">
    <w:name w:val="Endnote Text Char"/>
    <w:basedOn w:val="DefaultParagraphFont"/>
    <w:link w:val="EndnoteText"/>
    <w:uiPriority w:val="99"/>
    <w:semiHidden/>
    <w:rsid w:val="00EA26F7"/>
  </w:style>
  <w:style w:type="character" w:styleId="EndnoteReference">
    <w:name w:val="endnote reference"/>
    <w:basedOn w:val="DefaultParagraphFont"/>
    <w:uiPriority w:val="99"/>
    <w:semiHidden/>
    <w:unhideWhenUsed/>
    <w:rsid w:val="00EA26F7"/>
    <w:rPr>
      <w:vertAlign w:val="superscript"/>
    </w:rPr>
  </w:style>
  <w:style w:type="character" w:styleId="CommentReference">
    <w:name w:val="annotation reference"/>
    <w:basedOn w:val="DefaultParagraphFont"/>
    <w:uiPriority w:val="99"/>
    <w:semiHidden/>
    <w:unhideWhenUsed/>
    <w:rsid w:val="00EA26F7"/>
    <w:rPr>
      <w:sz w:val="16"/>
      <w:szCs w:val="16"/>
    </w:rPr>
  </w:style>
  <w:style w:type="paragraph" w:styleId="CommentText">
    <w:name w:val="annotation text"/>
    <w:basedOn w:val="Normal"/>
    <w:link w:val="CommentTextChar"/>
    <w:uiPriority w:val="99"/>
    <w:semiHidden/>
    <w:unhideWhenUsed/>
    <w:rsid w:val="00EA26F7"/>
    <w:rPr>
      <w:sz w:val="20"/>
    </w:rPr>
  </w:style>
  <w:style w:type="character" w:customStyle="1" w:styleId="CommentTextChar">
    <w:name w:val="Comment Text Char"/>
    <w:basedOn w:val="DefaultParagraphFont"/>
    <w:link w:val="CommentText"/>
    <w:uiPriority w:val="99"/>
    <w:semiHidden/>
    <w:rsid w:val="00EA26F7"/>
  </w:style>
  <w:style w:type="paragraph" w:styleId="CommentSubject">
    <w:name w:val="annotation subject"/>
    <w:basedOn w:val="CommentText"/>
    <w:next w:val="CommentText"/>
    <w:link w:val="CommentSubjectChar"/>
    <w:uiPriority w:val="99"/>
    <w:semiHidden/>
    <w:unhideWhenUsed/>
    <w:rsid w:val="00EA26F7"/>
    <w:rPr>
      <w:b/>
      <w:bCs/>
    </w:rPr>
  </w:style>
  <w:style w:type="character" w:customStyle="1" w:styleId="CommentSubjectChar">
    <w:name w:val="Comment Subject Char"/>
    <w:basedOn w:val="CommentTextChar"/>
    <w:link w:val="CommentSubject"/>
    <w:uiPriority w:val="99"/>
    <w:semiHidden/>
    <w:rsid w:val="00EA26F7"/>
    <w:rPr>
      <w:b/>
      <w:bCs/>
    </w:rPr>
  </w:style>
  <w:style w:type="paragraph" w:customStyle="1" w:styleId="ChapterHeading">
    <w:name w:val="Chapter Heading"/>
    <w:next w:val="Heading2"/>
    <w:rsid w:val="001A730C"/>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1A730C"/>
    <w:pPr>
      <w:tabs>
        <w:tab w:val="clear" w:pos="1987"/>
        <w:tab w:val="num" w:pos="360"/>
      </w:tabs>
      <w:ind w:left="1134"/>
    </w:pPr>
    <w:rPr>
      <w:kern w:val="0"/>
      <w:sz w:val="22"/>
    </w:rPr>
  </w:style>
  <w:style w:type="paragraph" w:customStyle="1" w:styleId="ExampleHeading">
    <w:name w:val="Example Heading"/>
    <w:basedOn w:val="Normal"/>
    <w:next w:val="Normal"/>
    <w:rsid w:val="001A730C"/>
    <w:pPr>
      <w:keepNext/>
      <w:tabs>
        <w:tab w:val="num" w:pos="360"/>
      </w:tabs>
    </w:pPr>
    <w:rPr>
      <w:b/>
      <w:sz w:val="22"/>
    </w:rPr>
  </w:style>
  <w:style w:type="paragraph" w:customStyle="1" w:styleId="Diagram">
    <w:name w:val="Diagram"/>
    <w:basedOn w:val="Normal"/>
    <w:next w:val="Normal"/>
    <w:rsid w:val="001A730C"/>
    <w:pPr>
      <w:keepNext/>
      <w:tabs>
        <w:tab w:val="num" w:pos="360"/>
      </w:tabs>
      <w:spacing w:before="0" w:after="0"/>
    </w:pPr>
    <w:rPr>
      <w:b/>
      <w:sz w:val="22"/>
    </w:rPr>
  </w:style>
  <w:style w:type="character" w:customStyle="1" w:styleId="base-text-paragraphChar">
    <w:name w:val="base-text-paragraph Char"/>
    <w:basedOn w:val="DefaultParagraphFont"/>
    <w:link w:val="base-text-paragraph"/>
    <w:rsid w:val="001A730C"/>
    <w:rPr>
      <w:sz w:val="24"/>
    </w:rPr>
  </w:style>
  <w:style w:type="numbering" w:customStyle="1" w:styleId="ChapterList">
    <w:name w:val="ChapterList"/>
    <w:uiPriority w:val="99"/>
    <w:rsid w:val="001A730C"/>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ExCo-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9f7bc583-7cbe-45b9-a2bd-8bbb6543b37e">
      <Value>7</Value>
    </TaxCatchAll>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2017RG-111-7781</_dlc_DocId>
    <_dlc_DocIdUrl xmlns="9f7bc583-7cbe-45b9-a2bd-8bbb6543b37e">
      <Url>http://tweb/sites/rg/ldp/lmu/_layouts/15/DocIdRedir.aspx?ID=2017RG-111-7781</Url>
      <Description>2017RG-111-7781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6878" ma:contentTypeDescription=" " ma:contentTypeScope="" ma:versionID="a8a41fefe153fcd0da59d32bcf22efa3">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8A294-5A70-4FEF-9E8D-6C3D646710FA}">
  <ds:schemaRefs>
    <ds:schemaRef ds:uri="office.server.policy"/>
  </ds:schemaRefs>
</ds:datastoreItem>
</file>

<file path=customXml/itemProps2.xml><?xml version="1.0" encoding="utf-8"?>
<ds:datastoreItem xmlns:ds="http://schemas.openxmlformats.org/officeDocument/2006/customXml" ds:itemID="{8328E189-505B-4692-9F12-8BFBB17E8121}">
  <ds:schemaRefs>
    <ds:schemaRef ds:uri="http://purl.org/dc/elements/1.1/"/>
    <ds:schemaRef ds:uri="http://www.w3.org/XML/1998/namespace"/>
    <ds:schemaRef ds:uri="http://purl.org/dc/dcmitype/"/>
    <ds:schemaRef ds:uri="http://purl.org/dc/terms/"/>
    <ds:schemaRef ds:uri="http://schemas.microsoft.com/sharepoint/v3"/>
    <ds:schemaRef ds:uri="9f7bc583-7cbe-45b9-a2bd-8bbb6543b37e"/>
    <ds:schemaRef ds:uri="http://schemas.microsoft.com/sharepoint/v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4E16115-1DEC-4315-B5A0-754A1A7A3840}">
  <ds:schemaRefs>
    <ds:schemaRef ds:uri="http://schemas.microsoft.com/sharepoint/v3/contenttype/forms"/>
  </ds:schemaRefs>
</ds:datastoreItem>
</file>

<file path=customXml/itemProps4.xml><?xml version="1.0" encoding="utf-8"?>
<ds:datastoreItem xmlns:ds="http://schemas.openxmlformats.org/officeDocument/2006/customXml" ds:itemID="{21C77BC3-3F12-4EFF-843B-70C94A52899E}"/>
</file>

<file path=customXml/itemProps5.xml><?xml version="1.0" encoding="utf-8"?>
<ds:datastoreItem xmlns:ds="http://schemas.openxmlformats.org/officeDocument/2006/customXml" ds:itemID="{9F940DF2-F7F7-432A-8D09-D220F6A8D174}">
  <ds:schemaRefs>
    <ds:schemaRef ds:uri="http://schemas.microsoft.com/sharepoint/events"/>
  </ds:schemaRefs>
</ds:datastoreItem>
</file>

<file path=customXml/itemProps6.xml><?xml version="1.0" encoding="utf-8"?>
<ds:datastoreItem xmlns:ds="http://schemas.openxmlformats.org/officeDocument/2006/customXml" ds:itemID="{3D3F8566-18DB-48E1-8221-41684044A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ExCo-Explanatory Statement.dotm</Template>
  <TotalTime>386</TotalTime>
  <Pages>7</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151116 ES Treasury Legislation Amendment (China Australia Free Trade Agreement) Regulation 2015</vt:lpstr>
    </vt:vector>
  </TitlesOfParts>
  <Company>ATO</Company>
  <LinksUpToDate>false</LinksUpToDate>
  <CharactersWithSpaces>17209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151116 ES Treasury Legislation Amendment (China Australia Free Trade Agreement) Regulation 2015</dc:title>
  <dc:creator>Sutton, Emilie</dc:creator>
  <cp:lastModifiedBy>Osborne, Lea</cp:lastModifiedBy>
  <cp:revision>13</cp:revision>
  <cp:lastPrinted>2017-11-01T03:47:00Z</cp:lastPrinted>
  <dcterms:created xsi:type="dcterms:W3CDTF">2017-10-26T01:09:00Z</dcterms:created>
  <dcterms:modified xsi:type="dcterms:W3CDTF">2017-11-01T03:47:00Z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348842055</vt:i4>
  </property>
  <property fmtid="{D5CDD505-2E9C-101B-9397-08002B2CF9AE}" pid="3" name="_NewReviewCycle">
    <vt:lpwstr/>
  </property>
  <property fmtid="{D5CDD505-2E9C-101B-9397-08002B2CF9AE}" pid="4" name="_EmailSubject">
    <vt:lpwstr>FOR CLEARANCE - The Foreign Acquisitions and Takeovers Amendment (Amendments of Singapore-Australia Free Trade Agreement) Regulation 2017 [SEC=PROTECTED, DLM=Sensitive]</vt:lpwstr>
  </property>
  <property fmtid="{D5CDD505-2E9C-101B-9397-08002B2CF9AE}" pid="5" name="_AuthorEmail">
    <vt:lpwstr>Anna.SchneiderRumble@treasury.gov.au</vt:lpwstr>
  </property>
  <property fmtid="{D5CDD505-2E9C-101B-9397-08002B2CF9AE}" pid="6" name="_AuthorEmailDisplayName">
    <vt:lpwstr>Schneider Rumble, Anna</vt:lpwstr>
  </property>
  <property fmtid="{D5CDD505-2E9C-101B-9397-08002B2CF9AE}" pid="7" name="ContentTypeId">
    <vt:lpwstr>0x01010036BB8DE7EC542E42A8B2E98CC20CB69700D5C18F41BA18FB44827A222ACD6776F5</vt:lpwstr>
  </property>
  <property fmtid="{D5CDD505-2E9C-101B-9397-08002B2CF9AE}" pid="8" name="RecordPoint_ActiveItemUniqueId">
    <vt:lpwstr>{2c2de4a3-a367-4273-aaed-ab5f52845bc6}</vt:lpwstr>
  </property>
  <property fmtid="{D5CDD505-2E9C-101B-9397-08002B2CF9AE}" pid="9" name="TSYRecordClass">
    <vt:lpwstr>11</vt:lpwstr>
  </property>
  <property fmtid="{D5CDD505-2E9C-101B-9397-08002B2CF9AE}" pid="10" name="RecordPoint_WorkflowType">
    <vt:lpwstr>ActiveSubmitStub</vt:lpwstr>
  </property>
  <property fmtid="{D5CDD505-2E9C-101B-9397-08002B2CF9AE}" pid="11" name="_dlc_DocIdItemGuid">
    <vt:lpwstr>2c2de4a3-a367-4273-aaed-ab5f52845bc6</vt:lpwstr>
  </property>
  <property fmtid="{D5CDD505-2E9C-101B-9397-08002B2CF9AE}" pid="12" name="RecordPoint_ActiveItemWebId">
    <vt:lpwstr>{2602612e-a30f-4de0-b9eb-e01e73dc8005}</vt:lpwstr>
  </property>
  <property fmtid="{D5CDD505-2E9C-101B-9397-08002B2CF9AE}" pid="13" name="RecordPoint_ActiveItemSiteId">
    <vt:lpwstr>{5b52b9a5-e5b2-4521-8814-a1e24ca2869d}</vt:lpwstr>
  </property>
  <property fmtid="{D5CDD505-2E9C-101B-9397-08002B2CF9AE}" pid="14" name="RecordPoint_ActiveItemListId">
    <vt:lpwstr>{1a010be9-83b3-4740-abb7-452f2d1120fe}</vt:lpwstr>
  </property>
  <property fmtid="{D5CDD505-2E9C-101B-9397-08002B2CF9AE}" pid="15" name="RecordPoint_RecordNumberSubmitted">
    <vt:lpwstr>R0001466585</vt:lpwstr>
  </property>
  <property fmtid="{D5CDD505-2E9C-101B-9397-08002B2CF9AE}" pid="16" name="RecordPoint_SubmissionCompleted">
    <vt:lpwstr>2017-11-01T15:01:24.4903330+11:00</vt:lpwstr>
  </property>
  <property fmtid="{D5CDD505-2E9C-101B-9397-08002B2CF9AE}" pid="17" name="_PreviousAdHocReviewCycleID">
    <vt:i4>-1801637266</vt:i4>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