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7FC73" w14:textId="77777777" w:rsidR="00E94180" w:rsidRDefault="00E94180" w:rsidP="00E94180">
      <w:pPr>
        <w:pStyle w:val="Heading1"/>
        <w:spacing w:line="360" w:lineRule="auto"/>
      </w:pPr>
      <w:bookmarkStart w:id="0" w:name="_GoBack"/>
      <w:bookmarkEnd w:id="0"/>
      <w:r>
        <w:t>EXPLANATORY STATEMENT</w:t>
      </w:r>
    </w:p>
    <w:p w14:paraId="0DFC77A9" w14:textId="77777777" w:rsidR="00E94180" w:rsidRDefault="00E94180" w:rsidP="00E94180">
      <w:pPr>
        <w:pStyle w:val="Heading2"/>
        <w:spacing w:before="120" w:after="360" w:line="360" w:lineRule="auto"/>
        <w:ind w:left="0" w:firstLine="0"/>
      </w:pPr>
      <w:r w:rsidRPr="009C715D">
        <w:rPr>
          <w:i/>
        </w:rPr>
        <w:t>Migration Act 1958</w:t>
      </w:r>
    </w:p>
    <w:p w14:paraId="2987447F" w14:textId="77777777" w:rsidR="00E94180" w:rsidRDefault="00E94180" w:rsidP="00E94180">
      <w:pPr>
        <w:spacing w:after="480" w:line="360" w:lineRule="auto"/>
        <w:ind w:hanging="23"/>
        <w:jc w:val="center"/>
        <w:rPr>
          <w:b/>
          <w:sz w:val="24"/>
        </w:rPr>
      </w:pPr>
      <w:r w:rsidRPr="00643749">
        <w:rPr>
          <w:b/>
          <w:sz w:val="24"/>
        </w:rPr>
        <w:t xml:space="preserve">Migration (IMMI 17/109: Determination of International Trade Obligations relating to Labour Market Testing) Instrument 2017 </w:t>
      </w:r>
    </w:p>
    <w:p w14:paraId="455B7528" w14:textId="77777777" w:rsidR="00E94180" w:rsidRPr="009C715D" w:rsidRDefault="00E94180" w:rsidP="00E94180">
      <w:pPr>
        <w:spacing w:after="480" w:line="360" w:lineRule="auto"/>
        <w:ind w:hanging="23"/>
        <w:jc w:val="center"/>
        <w:rPr>
          <w:i/>
          <w:sz w:val="24"/>
        </w:rPr>
      </w:pPr>
      <w:r w:rsidRPr="009C715D">
        <w:rPr>
          <w:i/>
          <w:sz w:val="24"/>
        </w:rPr>
        <w:t>(</w:t>
      </w:r>
      <w:r>
        <w:rPr>
          <w:i/>
          <w:sz w:val="24"/>
        </w:rPr>
        <w:t>Subsection 140GBA(2))</w:t>
      </w:r>
    </w:p>
    <w:p w14:paraId="60AA6223" w14:textId="77777777" w:rsidR="00E94180" w:rsidRDefault="00E94180" w:rsidP="00E94180">
      <w:pPr>
        <w:numPr>
          <w:ilvl w:val="0"/>
          <w:numId w:val="1"/>
        </w:numPr>
        <w:spacing w:line="36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Instrument </w:t>
      </w:r>
      <w:r w:rsidRPr="009C715D">
        <w:rPr>
          <w:sz w:val="24"/>
        </w:rPr>
        <w:t>IMMI</w:t>
      </w:r>
      <w:r>
        <w:rPr>
          <w:sz w:val="24"/>
        </w:rPr>
        <w:t xml:space="preserve"> 17/109 is made under subsection 140GBA(2) of the </w:t>
      </w:r>
      <w:r>
        <w:rPr>
          <w:sz w:val="24"/>
        </w:rPr>
        <w:br/>
      </w:r>
      <w:r>
        <w:rPr>
          <w:i/>
          <w:sz w:val="24"/>
        </w:rPr>
        <w:t xml:space="preserve">Migration Act 1958 </w:t>
      </w:r>
      <w:r w:rsidRPr="009C715D">
        <w:rPr>
          <w:sz w:val="24"/>
        </w:rPr>
        <w:t>(the Act).</w:t>
      </w:r>
    </w:p>
    <w:p w14:paraId="0383B40E" w14:textId="3EEA42CB" w:rsidR="00E94180" w:rsidRDefault="00E94180" w:rsidP="00E94180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 w:rsidRPr="00193A68">
        <w:rPr>
          <w:sz w:val="24"/>
        </w:rPr>
        <w:t xml:space="preserve">Instrument </w:t>
      </w:r>
      <w:r>
        <w:rPr>
          <w:sz w:val="24"/>
        </w:rPr>
        <w:t>IMMI 17/109 repeals</w:t>
      </w:r>
      <w:r w:rsidRPr="00193A68">
        <w:rPr>
          <w:sz w:val="24"/>
        </w:rPr>
        <w:t xml:space="preserve"> IMMI</w:t>
      </w:r>
      <w:r>
        <w:rPr>
          <w:sz w:val="24"/>
        </w:rPr>
        <w:t xml:space="preserve"> 14/107, IMMI 14/113 and IMMI 15/149 in accordance with</w:t>
      </w:r>
      <w:r w:rsidRPr="00193A68">
        <w:rPr>
          <w:sz w:val="24"/>
          <w:szCs w:val="24"/>
        </w:rPr>
        <w:t xml:space="preserve"> subsection 33(3) of the </w:t>
      </w:r>
      <w:r w:rsidRPr="00193A68">
        <w:rPr>
          <w:i/>
          <w:sz w:val="24"/>
          <w:szCs w:val="24"/>
        </w:rPr>
        <w:t>Acts Interpretation Act 1901</w:t>
      </w:r>
      <w:r>
        <w:rPr>
          <w:i/>
          <w:sz w:val="24"/>
          <w:szCs w:val="24"/>
        </w:rPr>
        <w:t xml:space="preserve"> </w:t>
      </w:r>
      <w:r w:rsidRPr="00643749">
        <w:rPr>
          <w:sz w:val="24"/>
          <w:szCs w:val="24"/>
        </w:rPr>
        <w:t xml:space="preserve">(the Interpretation Act). </w:t>
      </w:r>
      <w:r>
        <w:rPr>
          <w:sz w:val="24"/>
          <w:szCs w:val="24"/>
        </w:rPr>
        <w:t>Subsection 33(3) of t</w:t>
      </w:r>
      <w:r w:rsidRPr="00643749">
        <w:rPr>
          <w:sz w:val="24"/>
          <w:szCs w:val="24"/>
        </w:rPr>
        <w:t>he Interpretation Act states</w:t>
      </w:r>
      <w:r w:rsidRPr="00193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 w:rsidRPr="00193A68">
        <w:rPr>
          <w:sz w:val="24"/>
          <w:szCs w:val="24"/>
        </w:rPr>
        <w:t xml:space="preserve">where an Act confers a power to make, grant or issue any instrument of a legislative or administrative character, the power shall be construed as including a power exercisable in the like manner and subject to the like conditions </w:t>
      </w:r>
      <w:r w:rsidRPr="00641022">
        <w:rPr>
          <w:sz w:val="24"/>
          <w:szCs w:val="24"/>
        </w:rPr>
        <w:t>(if any) to repeal, rescind, revoke, amend, or vary any such instrument</w:t>
      </w:r>
      <w:r>
        <w:rPr>
          <w:sz w:val="24"/>
          <w:szCs w:val="24"/>
        </w:rPr>
        <w:t>.</w:t>
      </w:r>
    </w:p>
    <w:p w14:paraId="6E9F40AB" w14:textId="639E2B04" w:rsidR="00E94180" w:rsidRPr="005015FA" w:rsidRDefault="007C5E69" w:rsidP="00E94180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</w:rPr>
        <w:t>The instrument</w:t>
      </w:r>
      <w:r w:rsidR="00E94180">
        <w:rPr>
          <w:sz w:val="24"/>
        </w:rPr>
        <w:t xml:space="preserve"> </w:t>
      </w:r>
      <w:r w:rsidR="00E94180" w:rsidRPr="005015FA">
        <w:rPr>
          <w:sz w:val="24"/>
          <w:szCs w:val="24"/>
        </w:rPr>
        <w:t xml:space="preserve">operates to determine </w:t>
      </w:r>
      <w:r w:rsidR="00C43BE8" w:rsidRPr="00C43BE8">
        <w:rPr>
          <w:sz w:val="24"/>
          <w:szCs w:val="24"/>
        </w:rPr>
        <w:t>internationa</w:t>
      </w:r>
      <w:r w:rsidR="00A4689A">
        <w:rPr>
          <w:sz w:val="24"/>
          <w:szCs w:val="24"/>
        </w:rPr>
        <w:t>l trade obligations of Australia</w:t>
      </w:r>
      <w:r w:rsidR="00C43BE8" w:rsidRPr="00C43BE8">
        <w:rPr>
          <w:sz w:val="24"/>
          <w:szCs w:val="24"/>
        </w:rPr>
        <w:t xml:space="preserve"> </w:t>
      </w:r>
      <w:r w:rsidR="00C43BE8">
        <w:rPr>
          <w:sz w:val="24"/>
          <w:szCs w:val="24"/>
        </w:rPr>
        <w:t>for the purposes of paragraph 140GBA(1)(c) of the Act.  Paragraph 140GBA(1)(c) provides, in effect, that the labour</w:t>
      </w:r>
      <w:r w:rsidR="00A4689A">
        <w:rPr>
          <w:sz w:val="24"/>
          <w:szCs w:val="24"/>
        </w:rPr>
        <w:t xml:space="preserve"> market testing condition in section 140GBA</w:t>
      </w:r>
      <w:r w:rsidR="00C43BE8">
        <w:rPr>
          <w:sz w:val="24"/>
          <w:szCs w:val="24"/>
        </w:rPr>
        <w:t xml:space="preserve"> does not apply to a nomination by an approved sponsor if it would </w:t>
      </w:r>
      <w:r w:rsidR="00C43BE8" w:rsidRPr="00C43BE8">
        <w:rPr>
          <w:sz w:val="24"/>
          <w:szCs w:val="24"/>
        </w:rPr>
        <w:t xml:space="preserve">be inconsistent with any international trade obligation of Australia determined </w:t>
      </w:r>
      <w:r w:rsidR="00A4689A">
        <w:rPr>
          <w:sz w:val="24"/>
          <w:szCs w:val="24"/>
        </w:rPr>
        <w:t>in the instrument</w:t>
      </w:r>
      <w:r w:rsidR="00C43BE8" w:rsidRPr="00C43BE8">
        <w:rPr>
          <w:sz w:val="24"/>
          <w:szCs w:val="24"/>
        </w:rPr>
        <w:t xml:space="preserve"> to require the sponsor to satisfy the </w:t>
      </w:r>
      <w:hyperlink r:id="rId7" w:anchor="labourmarkettesting" w:history="1">
        <w:r w:rsidR="00C43BE8" w:rsidRPr="00C43BE8">
          <w:rPr>
            <w:sz w:val="24"/>
            <w:szCs w:val="24"/>
          </w:rPr>
          <w:t>labour market testing</w:t>
        </w:r>
      </w:hyperlink>
      <w:r w:rsidR="00C43BE8" w:rsidRPr="00C43BE8">
        <w:rPr>
          <w:sz w:val="24"/>
          <w:szCs w:val="24"/>
        </w:rPr>
        <w:t xml:space="preserve"> condition in </w:t>
      </w:r>
      <w:r w:rsidR="00A4689A">
        <w:rPr>
          <w:sz w:val="24"/>
          <w:szCs w:val="24"/>
        </w:rPr>
        <w:t>section 140GBA</w:t>
      </w:r>
      <w:r w:rsidR="00C43BE8" w:rsidRPr="00C43BE8">
        <w:rPr>
          <w:sz w:val="24"/>
          <w:szCs w:val="24"/>
        </w:rPr>
        <w:t>, in relation to the nominated position</w:t>
      </w:r>
      <w:r w:rsidR="00C43BE8">
        <w:rPr>
          <w:sz w:val="24"/>
          <w:szCs w:val="24"/>
        </w:rPr>
        <w:t xml:space="preserve">. </w:t>
      </w:r>
    </w:p>
    <w:p w14:paraId="6E80DA2D" w14:textId="77777777" w:rsidR="00E94180" w:rsidRPr="00643749" w:rsidRDefault="00E94180" w:rsidP="00E94180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The purpose of the i</w:t>
      </w:r>
      <w:r w:rsidRPr="00A66396">
        <w:rPr>
          <w:spacing w:val="-1"/>
          <w:sz w:val="24"/>
          <w:szCs w:val="24"/>
        </w:rPr>
        <w:t>nstrument is</w:t>
      </w:r>
      <w:r>
        <w:rPr>
          <w:spacing w:val="-1"/>
          <w:sz w:val="24"/>
          <w:szCs w:val="24"/>
        </w:rPr>
        <w:t xml:space="preserve"> to:</w:t>
      </w:r>
    </w:p>
    <w:p w14:paraId="603EEC81" w14:textId="77777777" w:rsidR="00E94180" w:rsidRPr="00643749" w:rsidRDefault="00E94180" w:rsidP="00E94180">
      <w:pPr>
        <w:numPr>
          <w:ilvl w:val="1"/>
          <w:numId w:val="1"/>
        </w:numPr>
        <w:tabs>
          <w:tab w:val="left" w:pos="567"/>
        </w:tabs>
        <w:spacing w:before="360" w:line="360" w:lineRule="auto"/>
        <w:jc w:val="both"/>
        <w:rPr>
          <w:sz w:val="24"/>
          <w:szCs w:val="24"/>
        </w:rPr>
      </w:pPr>
      <w:r w:rsidRPr="00A66396">
        <w:rPr>
          <w:spacing w:val="-1"/>
          <w:sz w:val="24"/>
          <w:szCs w:val="24"/>
        </w:rPr>
        <w:t>give domestic effect to Australia’s commitments under international trade agreements to which it is</w:t>
      </w:r>
      <w:r>
        <w:rPr>
          <w:spacing w:val="-1"/>
          <w:sz w:val="24"/>
          <w:szCs w:val="24"/>
        </w:rPr>
        <w:t xml:space="preserve"> a</w:t>
      </w:r>
      <w:r w:rsidRPr="00A66396">
        <w:rPr>
          <w:spacing w:val="-1"/>
          <w:sz w:val="24"/>
          <w:szCs w:val="24"/>
        </w:rPr>
        <w:t xml:space="preserve"> party.  Such commitments have the status of obli</w:t>
      </w:r>
      <w:r>
        <w:rPr>
          <w:spacing w:val="-1"/>
          <w:sz w:val="24"/>
          <w:szCs w:val="24"/>
        </w:rPr>
        <w:t>gations under international law;</w:t>
      </w:r>
    </w:p>
    <w:p w14:paraId="6903E9F3" w14:textId="48BF2C43" w:rsidR="00E94180" w:rsidRDefault="00E94180" w:rsidP="00E94180">
      <w:pPr>
        <w:numPr>
          <w:ilvl w:val="1"/>
          <w:numId w:val="1"/>
        </w:numPr>
        <w:tabs>
          <w:tab w:val="left" w:pos="567"/>
        </w:tabs>
        <w:spacing w:before="360" w:line="360" w:lineRule="auto"/>
        <w:jc w:val="both"/>
        <w:rPr>
          <w:sz w:val="24"/>
          <w:szCs w:val="24"/>
        </w:rPr>
      </w:pPr>
      <w:r w:rsidRPr="00A66396">
        <w:rPr>
          <w:spacing w:val="-1"/>
          <w:sz w:val="24"/>
          <w:szCs w:val="24"/>
        </w:rPr>
        <w:lastRenderedPageBreak/>
        <w:t xml:space="preserve">consolidate existing </w:t>
      </w:r>
      <w:r>
        <w:rPr>
          <w:spacing w:val="-1"/>
          <w:sz w:val="24"/>
          <w:szCs w:val="24"/>
        </w:rPr>
        <w:t>i</w:t>
      </w:r>
      <w:r w:rsidRPr="00A66396">
        <w:rPr>
          <w:spacing w:val="-1"/>
          <w:sz w:val="24"/>
          <w:szCs w:val="24"/>
        </w:rPr>
        <w:t>nstruments</w:t>
      </w:r>
      <w:r>
        <w:rPr>
          <w:spacing w:val="-1"/>
          <w:sz w:val="24"/>
          <w:szCs w:val="24"/>
        </w:rPr>
        <w:t xml:space="preserve">, </w:t>
      </w:r>
      <w:r w:rsidRPr="00A66396">
        <w:rPr>
          <w:spacing w:val="-1"/>
          <w:sz w:val="24"/>
          <w:szCs w:val="24"/>
        </w:rPr>
        <w:t>and</w:t>
      </w:r>
      <w:r>
        <w:rPr>
          <w:spacing w:val="-1"/>
          <w:sz w:val="24"/>
          <w:szCs w:val="24"/>
        </w:rPr>
        <w:t xml:space="preserve"> simplify the obligations by</w:t>
      </w:r>
      <w:r>
        <w:rPr>
          <w:spacing w:val="43"/>
          <w:sz w:val="24"/>
          <w:szCs w:val="24"/>
        </w:rPr>
        <w:t xml:space="preserve"> </w:t>
      </w:r>
      <w:r w:rsidRPr="00AA236C">
        <w:rPr>
          <w:spacing w:val="-1"/>
          <w:sz w:val="24"/>
          <w:szCs w:val="24"/>
        </w:rPr>
        <w:t>de</w:t>
      </w:r>
      <w:r w:rsidRPr="00A66396">
        <w:rPr>
          <w:spacing w:val="-1"/>
          <w:sz w:val="24"/>
          <w:szCs w:val="24"/>
        </w:rPr>
        <w:t>fer</w:t>
      </w:r>
      <w:r>
        <w:rPr>
          <w:spacing w:val="-1"/>
          <w:sz w:val="24"/>
          <w:szCs w:val="24"/>
        </w:rPr>
        <w:t>ring</w:t>
      </w:r>
      <w:r w:rsidRPr="00A66396">
        <w:rPr>
          <w:spacing w:val="42"/>
          <w:sz w:val="24"/>
          <w:szCs w:val="24"/>
        </w:rPr>
        <w:t xml:space="preserve"> </w:t>
      </w:r>
      <w:r w:rsidRPr="00A66396">
        <w:rPr>
          <w:sz w:val="24"/>
          <w:szCs w:val="24"/>
        </w:rPr>
        <w:t>to</w:t>
      </w:r>
      <w:r w:rsidR="009F0218">
        <w:rPr>
          <w:sz w:val="24"/>
          <w:szCs w:val="24"/>
        </w:rPr>
        <w:t xml:space="preserve"> international trade agreements</w:t>
      </w:r>
      <w:r w:rsidRPr="00A66396">
        <w:rPr>
          <w:spacing w:val="42"/>
          <w:sz w:val="24"/>
          <w:szCs w:val="24"/>
        </w:rPr>
        <w:t xml:space="preserve"> </w:t>
      </w:r>
      <w:r w:rsidRPr="00A66396">
        <w:rPr>
          <w:spacing w:val="-1"/>
          <w:sz w:val="24"/>
          <w:szCs w:val="24"/>
        </w:rPr>
        <w:t>as</w:t>
      </w:r>
      <w:r w:rsidRPr="00A66396">
        <w:rPr>
          <w:spacing w:val="43"/>
          <w:sz w:val="24"/>
          <w:szCs w:val="24"/>
        </w:rPr>
        <w:t xml:space="preserve"> </w:t>
      </w:r>
      <w:r w:rsidRPr="00A66396">
        <w:rPr>
          <w:sz w:val="24"/>
          <w:szCs w:val="24"/>
        </w:rPr>
        <w:t>the</w:t>
      </w:r>
      <w:r w:rsidRPr="00A66396">
        <w:rPr>
          <w:spacing w:val="44"/>
          <w:sz w:val="24"/>
          <w:szCs w:val="24"/>
        </w:rPr>
        <w:t xml:space="preserve"> </w:t>
      </w:r>
      <w:r w:rsidRPr="00A66396">
        <w:rPr>
          <w:spacing w:val="-1"/>
          <w:sz w:val="24"/>
          <w:szCs w:val="24"/>
        </w:rPr>
        <w:t>authoritative</w:t>
      </w:r>
      <w:r w:rsidRPr="00A66396">
        <w:rPr>
          <w:spacing w:val="69"/>
          <w:sz w:val="24"/>
          <w:szCs w:val="24"/>
        </w:rPr>
        <w:t xml:space="preserve"> </w:t>
      </w:r>
      <w:r w:rsidRPr="00A66396">
        <w:rPr>
          <w:spacing w:val="-1"/>
          <w:sz w:val="24"/>
          <w:szCs w:val="24"/>
        </w:rPr>
        <w:t>source</w:t>
      </w:r>
      <w:r w:rsidRPr="00A66396">
        <w:rPr>
          <w:spacing w:val="27"/>
          <w:sz w:val="24"/>
          <w:szCs w:val="24"/>
        </w:rPr>
        <w:t xml:space="preserve"> </w:t>
      </w:r>
      <w:r w:rsidRPr="00A66396">
        <w:rPr>
          <w:sz w:val="24"/>
          <w:szCs w:val="24"/>
        </w:rPr>
        <w:t>on</w:t>
      </w:r>
      <w:r w:rsidRPr="00A66396">
        <w:rPr>
          <w:spacing w:val="28"/>
          <w:sz w:val="24"/>
          <w:szCs w:val="24"/>
        </w:rPr>
        <w:t xml:space="preserve"> </w:t>
      </w:r>
      <w:r w:rsidRPr="00A66396">
        <w:rPr>
          <w:spacing w:val="-1"/>
          <w:sz w:val="24"/>
          <w:szCs w:val="24"/>
        </w:rPr>
        <w:t>Australia’s</w:t>
      </w:r>
      <w:r w:rsidRPr="00A66396">
        <w:rPr>
          <w:spacing w:val="29"/>
          <w:sz w:val="24"/>
          <w:szCs w:val="24"/>
        </w:rPr>
        <w:t xml:space="preserve"> </w:t>
      </w:r>
      <w:r w:rsidRPr="00A66396">
        <w:rPr>
          <w:spacing w:val="-1"/>
          <w:sz w:val="24"/>
          <w:szCs w:val="24"/>
        </w:rPr>
        <w:t>international</w:t>
      </w:r>
      <w:r w:rsidRPr="00A66396">
        <w:rPr>
          <w:spacing w:val="29"/>
          <w:sz w:val="24"/>
          <w:szCs w:val="24"/>
        </w:rPr>
        <w:t xml:space="preserve"> </w:t>
      </w:r>
      <w:r w:rsidRPr="00A66396">
        <w:rPr>
          <w:spacing w:val="-1"/>
          <w:sz w:val="24"/>
          <w:szCs w:val="24"/>
        </w:rPr>
        <w:t>trade</w:t>
      </w:r>
      <w:r w:rsidRPr="00A66396"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obligations; and</w:t>
      </w:r>
    </w:p>
    <w:p w14:paraId="107FA7EA" w14:textId="4A616B12" w:rsidR="005A7117" w:rsidRPr="00A4689A" w:rsidRDefault="00A80DB2" w:rsidP="00B07F37">
      <w:pPr>
        <w:numPr>
          <w:ilvl w:val="1"/>
          <w:numId w:val="1"/>
        </w:numPr>
        <w:tabs>
          <w:tab w:val="left" w:pos="567"/>
        </w:tabs>
        <w:spacing w:before="360" w:after="360" w:line="360" w:lineRule="auto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reflect the Agreement to Amend the Singapore-Australia Free Trade Agreement</w:t>
      </w:r>
      <w:r w:rsidR="006638D6">
        <w:rPr>
          <w:sz w:val="24"/>
          <w:szCs w:val="24"/>
        </w:rPr>
        <w:t xml:space="preserve"> (the Amending Agreement)</w:t>
      </w:r>
      <w:r>
        <w:rPr>
          <w:sz w:val="24"/>
          <w:szCs w:val="24"/>
        </w:rPr>
        <w:t xml:space="preserve">.  </w:t>
      </w:r>
    </w:p>
    <w:p w14:paraId="7FBA954B" w14:textId="6E1294F4" w:rsidR="00E94180" w:rsidRPr="00A4689A" w:rsidRDefault="00E94180" w:rsidP="00B07F37">
      <w:pPr>
        <w:pStyle w:val="ListParagraph"/>
        <w:numPr>
          <w:ilvl w:val="0"/>
          <w:numId w:val="1"/>
        </w:numPr>
        <w:tabs>
          <w:tab w:val="left" w:pos="567"/>
        </w:tabs>
        <w:spacing w:before="240" w:line="360" w:lineRule="auto"/>
        <w:ind w:left="567" w:hanging="567"/>
        <w:jc w:val="both"/>
        <w:rPr>
          <w:sz w:val="24"/>
          <w:szCs w:val="24"/>
        </w:rPr>
      </w:pPr>
      <w:r w:rsidRPr="00A4689A">
        <w:rPr>
          <w:sz w:val="24"/>
          <w:szCs w:val="24"/>
        </w:rPr>
        <w:t xml:space="preserve">The Department of Foreign Affairs and Trade was consulted </w:t>
      </w:r>
      <w:r w:rsidR="00EB0F85" w:rsidRPr="00A4689A">
        <w:rPr>
          <w:sz w:val="24"/>
          <w:szCs w:val="24"/>
        </w:rPr>
        <w:t>before</w:t>
      </w:r>
      <w:r w:rsidRPr="00A4689A">
        <w:rPr>
          <w:sz w:val="24"/>
          <w:szCs w:val="24"/>
        </w:rPr>
        <w:t xml:space="preserve"> this instrument was made.</w:t>
      </w:r>
    </w:p>
    <w:p w14:paraId="33FE4F17" w14:textId="77777777" w:rsidR="00E94180" w:rsidRPr="001841F7" w:rsidRDefault="00E94180" w:rsidP="00E94180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193A68">
        <w:rPr>
          <w:sz w:val="24"/>
          <w:szCs w:val="24"/>
        </w:rPr>
        <w:t xml:space="preserve">The Office of Best Practice Regulation </w:t>
      </w:r>
      <w:r>
        <w:rPr>
          <w:sz w:val="24"/>
          <w:szCs w:val="24"/>
        </w:rPr>
        <w:t xml:space="preserve">(OBPR) </w:t>
      </w:r>
      <w:r w:rsidRPr="00193A68">
        <w:rPr>
          <w:sz w:val="24"/>
          <w:szCs w:val="24"/>
        </w:rPr>
        <w:t xml:space="preserve">has advised that a Regulatory Impact </w:t>
      </w:r>
      <w:r w:rsidRPr="000C1098">
        <w:rPr>
          <w:sz w:val="24"/>
          <w:szCs w:val="24"/>
        </w:rPr>
        <w:t>Statement is not required</w:t>
      </w:r>
      <w:r w:rsidRPr="00193A68">
        <w:rPr>
          <w:sz w:val="24"/>
          <w:szCs w:val="24"/>
        </w:rPr>
        <w:t xml:space="preserve"> (OBPR Reference </w:t>
      </w:r>
      <w:r w:rsidRPr="00EE766C">
        <w:rPr>
          <w:sz w:val="24"/>
          <w:szCs w:val="24"/>
        </w:rPr>
        <w:t>20888)</w:t>
      </w:r>
      <w:r>
        <w:rPr>
          <w:sz w:val="24"/>
          <w:szCs w:val="24"/>
        </w:rPr>
        <w:t>.</w:t>
      </w:r>
    </w:p>
    <w:p w14:paraId="3E2CEE1C" w14:textId="77777777" w:rsidR="00E94180" w:rsidRPr="000C1098" w:rsidRDefault="00E94180" w:rsidP="00E94180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0C1098">
        <w:rPr>
          <w:sz w:val="24"/>
          <w:szCs w:val="24"/>
        </w:rPr>
        <w:t xml:space="preserve">Under section 10 of the </w:t>
      </w:r>
      <w:r w:rsidRPr="000C1098">
        <w:rPr>
          <w:i/>
          <w:sz w:val="24"/>
          <w:szCs w:val="24"/>
        </w:rPr>
        <w:t>Legislation (Exemptions and Other Matters) Regulation 2015</w:t>
      </w:r>
      <w:r w:rsidRPr="000C1098">
        <w:rPr>
          <w:sz w:val="24"/>
          <w:szCs w:val="24"/>
        </w:rPr>
        <w:t>, the Instrument is exempt from disallowance and therefore a Statement of Compatibility with Human Rights is not required.</w:t>
      </w:r>
    </w:p>
    <w:p w14:paraId="1BBFB44E" w14:textId="77777777" w:rsidR="00F13F1E" w:rsidRPr="00596A77" w:rsidRDefault="003C65B1" w:rsidP="00F13F1E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i/>
        </w:rPr>
      </w:pPr>
      <w:r>
        <w:rPr>
          <w:sz w:val="24"/>
        </w:rPr>
        <w:t xml:space="preserve">This instrument </w:t>
      </w:r>
      <w:r w:rsidR="00D168B9">
        <w:rPr>
          <w:sz w:val="24"/>
        </w:rPr>
        <w:t xml:space="preserve">commences </w:t>
      </w:r>
      <w:r w:rsidR="007E5B3C">
        <w:rPr>
          <w:sz w:val="24"/>
        </w:rPr>
        <w:t xml:space="preserve">immediately following </w:t>
      </w:r>
      <w:r w:rsidR="00616E13">
        <w:rPr>
          <w:sz w:val="24"/>
        </w:rPr>
        <w:t xml:space="preserve">the commencement of </w:t>
      </w:r>
      <w:r w:rsidR="00BC7555">
        <w:rPr>
          <w:sz w:val="24"/>
        </w:rPr>
        <w:t xml:space="preserve">Schedule 1 to the </w:t>
      </w:r>
      <w:r w:rsidR="00BC7555">
        <w:rPr>
          <w:i/>
          <w:sz w:val="24"/>
        </w:rPr>
        <w:t>Customs Amendment (Singapore-Australia Free Trade Agreement Amendment Implementation) Act 2017</w:t>
      </w:r>
      <w:r w:rsidR="00F13F1E">
        <w:rPr>
          <w:sz w:val="24"/>
        </w:rPr>
        <w:t xml:space="preserve">.  </w:t>
      </w:r>
    </w:p>
    <w:p w14:paraId="09288610" w14:textId="2D986085" w:rsidR="007F1C10" w:rsidRPr="00596A77" w:rsidRDefault="00F13F1E" w:rsidP="00F13F1E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i/>
        </w:rPr>
      </w:pPr>
      <w:r>
        <w:rPr>
          <w:sz w:val="24"/>
        </w:rPr>
        <w:t xml:space="preserve">Schedule 1 of the </w:t>
      </w:r>
      <w:r>
        <w:rPr>
          <w:i/>
          <w:sz w:val="24"/>
        </w:rPr>
        <w:t>Customs Amendment (Singapore-Australia Free Trade Agreement Amendment Implementation) Act 2017</w:t>
      </w:r>
      <w:r>
        <w:rPr>
          <w:sz w:val="24"/>
        </w:rPr>
        <w:t xml:space="preserve"> </w:t>
      </w:r>
      <w:r w:rsidR="00A80DB2" w:rsidRPr="00596A77">
        <w:rPr>
          <w:sz w:val="24"/>
        </w:rPr>
        <w:t xml:space="preserve">commences on the day </w:t>
      </w:r>
      <w:r w:rsidR="006638D6" w:rsidRPr="00596A77">
        <w:rPr>
          <w:sz w:val="24"/>
        </w:rPr>
        <w:t>the Amending Agreement</w:t>
      </w:r>
      <w:r w:rsidR="00A80DB2" w:rsidRPr="00596A77">
        <w:rPr>
          <w:sz w:val="24"/>
        </w:rPr>
        <w:t xml:space="preserve"> enters into force for Australia.  </w:t>
      </w:r>
    </w:p>
    <w:p w14:paraId="26D090B7" w14:textId="664C54F1" w:rsidR="00A80DB2" w:rsidRPr="003E7326" w:rsidRDefault="00A80DB2" w:rsidP="003E7326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i/>
        </w:rPr>
      </w:pPr>
      <w:r>
        <w:rPr>
          <w:sz w:val="24"/>
        </w:rPr>
        <w:t xml:space="preserve">The Amending Agreement enters into force upon notification of domestic requirements by both Australia and Singapore.  This instrument is a necessary part of Australia’s domestic implementation of the amended Singapore-Australia Free Trade Agreement.  </w:t>
      </w:r>
      <w:r w:rsidRPr="003E7326">
        <w:rPr>
          <w:sz w:val="24"/>
        </w:rPr>
        <w:t xml:space="preserve">A notifiable instrument will announce the day the Amending Agreement enters into force for Australia and will be published on the Federal Register of Legislation. </w:t>
      </w:r>
    </w:p>
    <w:p w14:paraId="1A9C26B3" w14:textId="40AC0B79" w:rsidR="00C60D60" w:rsidRPr="009F0218" w:rsidRDefault="00C60D60" w:rsidP="009F0218">
      <w:pPr>
        <w:tabs>
          <w:tab w:val="left" w:pos="567"/>
        </w:tabs>
        <w:spacing w:before="360" w:line="360" w:lineRule="auto"/>
        <w:jc w:val="both"/>
        <w:rPr>
          <w:sz w:val="24"/>
          <w:szCs w:val="24"/>
        </w:rPr>
      </w:pPr>
    </w:p>
    <w:sectPr w:rsidR="00C60D60" w:rsidRPr="009F0218" w:rsidSect="00C85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6" w:bottom="1134" w:left="1418" w:header="426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C3154" w14:textId="77777777" w:rsidR="00423478" w:rsidRDefault="00423478" w:rsidP="00423478">
      <w:r>
        <w:separator/>
      </w:r>
    </w:p>
  </w:endnote>
  <w:endnote w:type="continuationSeparator" w:id="0">
    <w:p w14:paraId="4E8543FB" w14:textId="77777777" w:rsidR="00423478" w:rsidRDefault="00423478" w:rsidP="0042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5E9A5" w14:textId="77777777" w:rsidR="00423478" w:rsidRDefault="00423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2BB5" w14:textId="77777777" w:rsidR="00423478" w:rsidRDefault="00423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34788" w14:textId="77777777" w:rsidR="00423478" w:rsidRDefault="00423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3E89B" w14:textId="77777777" w:rsidR="00423478" w:rsidRDefault="00423478" w:rsidP="00423478">
      <w:r>
        <w:separator/>
      </w:r>
    </w:p>
  </w:footnote>
  <w:footnote w:type="continuationSeparator" w:id="0">
    <w:p w14:paraId="560ADBE1" w14:textId="77777777" w:rsidR="00423478" w:rsidRDefault="00423478" w:rsidP="0042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8BE98" w14:textId="77777777" w:rsidR="00423478" w:rsidRDefault="00423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5D074" w14:textId="4FCD709E" w:rsidR="00546F77" w:rsidRPr="009C715D" w:rsidRDefault="00423478" w:rsidP="00C85D16">
    <w:pPr>
      <w:pStyle w:val="Header"/>
      <w:jc w:val="right"/>
      <w:rPr>
        <w:rFonts w:ascii="Times New Roman" w:hAnsi="Times New Roman"/>
        <w:i/>
        <w:sz w:val="22"/>
        <w:szCs w:val="22"/>
      </w:rPr>
    </w:pPr>
    <w:r>
      <w:rPr>
        <w:rFonts w:ascii="Times New Roman" w:hAnsi="Times New Roman"/>
        <w:i/>
        <w:sz w:val="22"/>
        <w:szCs w:val="22"/>
      </w:rPr>
      <w:t>IMMI 17/109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4EEE5" w14:textId="77777777" w:rsidR="00423478" w:rsidRDefault="00423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044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80"/>
    <w:rsid w:val="000350DE"/>
    <w:rsid w:val="000A2769"/>
    <w:rsid w:val="000E1A4B"/>
    <w:rsid w:val="001636C0"/>
    <w:rsid w:val="00167F7E"/>
    <w:rsid w:val="001E6CC1"/>
    <w:rsid w:val="0024701F"/>
    <w:rsid w:val="00360C91"/>
    <w:rsid w:val="003C65B1"/>
    <w:rsid w:val="003D067D"/>
    <w:rsid w:val="003E7326"/>
    <w:rsid w:val="00423478"/>
    <w:rsid w:val="004F2BC2"/>
    <w:rsid w:val="0058177E"/>
    <w:rsid w:val="00596A77"/>
    <w:rsid w:val="005A7117"/>
    <w:rsid w:val="00616E13"/>
    <w:rsid w:val="006638D6"/>
    <w:rsid w:val="006C6574"/>
    <w:rsid w:val="006F076E"/>
    <w:rsid w:val="00713F97"/>
    <w:rsid w:val="007C5E69"/>
    <w:rsid w:val="007E5B3C"/>
    <w:rsid w:val="007F1C10"/>
    <w:rsid w:val="00897BFF"/>
    <w:rsid w:val="00992A23"/>
    <w:rsid w:val="009C3E49"/>
    <w:rsid w:val="009F0218"/>
    <w:rsid w:val="009F16AE"/>
    <w:rsid w:val="00A32083"/>
    <w:rsid w:val="00A4689A"/>
    <w:rsid w:val="00A80DB2"/>
    <w:rsid w:val="00AD49BC"/>
    <w:rsid w:val="00B07F37"/>
    <w:rsid w:val="00BC7555"/>
    <w:rsid w:val="00BD54E2"/>
    <w:rsid w:val="00C43BE8"/>
    <w:rsid w:val="00C60D60"/>
    <w:rsid w:val="00C92A3B"/>
    <w:rsid w:val="00CC376B"/>
    <w:rsid w:val="00D168B9"/>
    <w:rsid w:val="00E66386"/>
    <w:rsid w:val="00E8320E"/>
    <w:rsid w:val="00E94180"/>
    <w:rsid w:val="00EB0F85"/>
    <w:rsid w:val="00F13F1E"/>
    <w:rsid w:val="00F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D3BE2C6"/>
  <w15:docId w15:val="{12D53405-5314-487C-99EB-4882E654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94180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94180"/>
    <w:pPr>
      <w:keepNext/>
      <w:ind w:left="1440" w:hanging="144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180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rsid w:val="00E94180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E94180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E94180"/>
    <w:rPr>
      <w:rFonts w:ascii="Arial" w:eastAsia="Times New Roman" w:hAnsi="Arial" w:cs="Times New Roman"/>
      <w:sz w:val="24"/>
      <w:szCs w:val="20"/>
      <w:lang w:eastAsia="en-AU"/>
    </w:rPr>
  </w:style>
  <w:style w:type="character" w:styleId="CommentReference">
    <w:name w:val="annotation reference"/>
    <w:uiPriority w:val="99"/>
    <w:semiHidden/>
    <w:unhideWhenUsed/>
    <w:rsid w:val="00E94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1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18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80"/>
    <w:rPr>
      <w:rFonts w:ascii="Segoe UI" w:eastAsia="Times New Roman" w:hAnsi="Segoe UI" w:cs="Segoe UI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234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47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8B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A3208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3BE8"/>
    <w:rPr>
      <w:strike w:val="0"/>
      <w:dstrike w:val="0"/>
      <w:color w:val="007AC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egend.border.gov.au/migration/2017-2020/2017/21-10-2017/legend_current_ma/Pages/_document00000/_level%20100005/level%20200009.aspx?searchstring=%22140gba%2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LONG</dc:creator>
  <cp:lastModifiedBy>Savitha NARAYAN</cp:lastModifiedBy>
  <cp:revision>2</cp:revision>
  <cp:lastPrinted>2017-11-14T22:24:00Z</cp:lastPrinted>
  <dcterms:created xsi:type="dcterms:W3CDTF">2017-11-22T23:49:00Z</dcterms:created>
  <dcterms:modified xsi:type="dcterms:W3CDTF">2017-11-22T23:49:00Z</dcterms:modified>
</cp:coreProperties>
</file>