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48" w:rsidRPr="00A27335" w:rsidRDefault="00BA4F48" w:rsidP="0066367E">
      <w:pPr>
        <w:pStyle w:val="Heading1"/>
      </w:pPr>
      <w:bookmarkStart w:id="0" w:name="_GoBack"/>
      <w:bookmarkEnd w:id="0"/>
    </w:p>
    <w:p w:rsidR="00BA4F48" w:rsidRPr="00ED1AFB" w:rsidRDefault="00BA4F48" w:rsidP="0066367E">
      <w:pPr>
        <w:pStyle w:val="Heading1"/>
      </w:pPr>
      <w:r w:rsidRPr="00ED1AFB">
        <w:t>Vehicle Standard (</w:t>
      </w:r>
      <w:r w:rsidR="00F74E8C" w:rsidRPr="00ED1AFB">
        <w:t>Australian Design Rule </w:t>
      </w:r>
      <w:r w:rsidR="003D239D" w:rsidRPr="003D239D">
        <w:t xml:space="preserve">33/01 </w:t>
      </w:r>
      <w:r w:rsidR="00F74E8C" w:rsidRPr="00ED1AFB">
        <w:t xml:space="preserve">– </w:t>
      </w:r>
      <w:r w:rsidR="003D239D" w:rsidRPr="003D239D">
        <w:t>Brake Systems for Motorcycles and Mopeds) 2017</w:t>
      </w:r>
    </w:p>
    <w:p w:rsidR="00BA4F48" w:rsidRPr="00CA7971" w:rsidRDefault="00BA4F48" w:rsidP="0066367E"/>
    <w:p w:rsidR="00485E16" w:rsidRPr="00CA7971" w:rsidRDefault="00485E16" w:rsidP="0066367E"/>
    <w:p w:rsidR="00BA4F48" w:rsidRPr="00CA7971" w:rsidRDefault="00BA4F48" w:rsidP="0066367E"/>
    <w:p w:rsidR="00BA4F48" w:rsidRPr="00CA7971" w:rsidRDefault="00BA4F48" w:rsidP="0066367E"/>
    <w:p w:rsidR="00BA4F48" w:rsidRPr="00CA7971" w:rsidRDefault="00BA4F48" w:rsidP="00BA4F48">
      <w:pPr>
        <w:tabs>
          <w:tab w:val="left" w:pos="900"/>
        </w:tabs>
        <w:jc w:val="center"/>
      </w:pPr>
      <w:r w:rsidRPr="0066367E">
        <w:t>Made under section 7 of the</w:t>
      </w:r>
      <w:r w:rsidRPr="00CA7971">
        <w:t xml:space="preserve"> </w:t>
      </w:r>
      <w:r w:rsidRPr="0066367E">
        <w:rPr>
          <w:i/>
          <w:iCs/>
        </w:rPr>
        <w:t>Motor Vehicle Standards Act 1989</w:t>
      </w:r>
    </w:p>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66367E" w:rsidRDefault="00BA4F48" w:rsidP="0066367E">
      <w:pPr>
        <w:pStyle w:val="Heading1"/>
      </w:pPr>
      <w:r w:rsidRPr="0066367E">
        <w:t>Explanatory Statement</w:t>
      </w:r>
    </w:p>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BA4F48">
      <w:pPr>
        <w:tabs>
          <w:tab w:val="left" w:pos="900"/>
        </w:tabs>
      </w:pPr>
    </w:p>
    <w:p w:rsidR="00BA4F48" w:rsidRPr="00CA7971" w:rsidRDefault="00BA4F48" w:rsidP="0066367E">
      <w:pPr>
        <w:jc w:val="center"/>
      </w:pPr>
      <w:r w:rsidRPr="00CA7971">
        <w:t xml:space="preserve">Issued by the authority of the </w:t>
      </w:r>
      <w:r w:rsidR="008C0815" w:rsidRPr="00AF43DD">
        <w:t xml:space="preserve">Minister </w:t>
      </w:r>
      <w:r w:rsidR="00977888" w:rsidRPr="00AF43DD">
        <w:t xml:space="preserve">for </w:t>
      </w:r>
      <w:r w:rsidR="003D239D">
        <w:t>Urban Infrastructure</w:t>
      </w:r>
    </w:p>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CA7971" w:rsidRDefault="00BA4F48" w:rsidP="0066367E"/>
    <w:p w:rsidR="00BA4F48" w:rsidRPr="00AC052E" w:rsidRDefault="003D239D" w:rsidP="00AC052E">
      <w:pPr>
        <w:spacing w:before="240" w:after="60"/>
        <w:jc w:val="center"/>
        <w:rPr>
          <w:b/>
          <w:sz w:val="40"/>
          <w:szCs w:val="40"/>
        </w:rPr>
      </w:pPr>
      <w:r w:rsidRPr="00AC052E">
        <w:rPr>
          <w:b/>
          <w:sz w:val="40"/>
          <w:szCs w:val="40"/>
        </w:rPr>
        <w:t>November</w:t>
      </w:r>
      <w:r w:rsidR="00D87171" w:rsidRPr="00AC052E">
        <w:rPr>
          <w:b/>
          <w:sz w:val="40"/>
          <w:szCs w:val="40"/>
        </w:rPr>
        <w:t xml:space="preserve"> </w:t>
      </w:r>
      <w:r w:rsidR="0028346B" w:rsidRPr="00AC052E">
        <w:rPr>
          <w:b/>
          <w:sz w:val="40"/>
          <w:szCs w:val="40"/>
        </w:rPr>
        <w:t>201</w:t>
      </w:r>
      <w:r w:rsidRPr="00AC052E">
        <w:rPr>
          <w:b/>
          <w:sz w:val="40"/>
          <w:szCs w:val="40"/>
        </w:rPr>
        <w:t>7</w:t>
      </w:r>
    </w:p>
    <w:p w:rsidR="00BA4F48" w:rsidRPr="00CA7971" w:rsidRDefault="00BA4F48" w:rsidP="0066367E"/>
    <w:p w:rsidR="00BA4F48" w:rsidRPr="00CA7971" w:rsidRDefault="00BA4F48" w:rsidP="0066367E"/>
    <w:p w:rsidR="006F6A67" w:rsidRDefault="006F6A67" w:rsidP="00AC052E">
      <w:pPr>
        <w:pStyle w:val="ContentsHeading"/>
        <w:outlineLvl w:val="0"/>
        <w:sectPr w:rsidR="006F6A67" w:rsidSect="006F6A67">
          <w:headerReference w:type="default" r:id="rId11"/>
          <w:footerReference w:type="default" r:id="rId12"/>
          <w:pgSz w:w="11906" w:h="16838" w:code="9"/>
          <w:pgMar w:top="1440" w:right="1440" w:bottom="1440" w:left="1440" w:header="709" w:footer="709" w:gutter="0"/>
          <w:pgNumType w:start="1"/>
          <w:cols w:space="708"/>
          <w:titlePg/>
          <w:docGrid w:linePitch="360"/>
        </w:sectPr>
      </w:pPr>
    </w:p>
    <w:p w:rsidR="00BA4F48" w:rsidRPr="00CA7971" w:rsidRDefault="00BA4F48" w:rsidP="00AC052E">
      <w:pPr>
        <w:pStyle w:val="ContentsHeading"/>
        <w:outlineLvl w:val="0"/>
      </w:pPr>
      <w:r w:rsidRPr="00CA7971">
        <w:lastRenderedPageBreak/>
        <w:t>CONTENTS</w:t>
      </w:r>
    </w:p>
    <w:p w:rsidR="00BA4F48" w:rsidRPr="00CA7971" w:rsidRDefault="00BA4F48" w:rsidP="0066367E"/>
    <w:p w:rsidR="003A3373" w:rsidRPr="001D262C" w:rsidRDefault="003A3373" w:rsidP="00E72106">
      <w:pPr>
        <w:tabs>
          <w:tab w:val="left" w:pos="851"/>
          <w:tab w:val="left" w:leader="dot" w:pos="8222"/>
        </w:tabs>
      </w:pPr>
      <w:r w:rsidRPr="00CA7971">
        <w:rPr>
          <w:noProof/>
        </w:rPr>
        <w:t>1.</w:t>
      </w:r>
      <w:r w:rsidRPr="00CA7971">
        <w:rPr>
          <w:caps/>
          <w:noProof/>
        </w:rPr>
        <w:tab/>
      </w:r>
      <w:r w:rsidR="001D262C" w:rsidRPr="00766349">
        <w:rPr>
          <w:caps/>
        </w:rPr>
        <w:t>legislative context</w:t>
      </w:r>
      <w:r w:rsidR="00B4033C">
        <w:rPr>
          <w:caps/>
        </w:rPr>
        <w:tab/>
      </w:r>
      <w:r w:rsidR="00D160C9" w:rsidRPr="00CA7971">
        <w:t>3</w:t>
      </w:r>
    </w:p>
    <w:p w:rsidR="003A3373" w:rsidRPr="001D262C" w:rsidRDefault="003A3373" w:rsidP="00E72106">
      <w:pPr>
        <w:tabs>
          <w:tab w:val="left" w:pos="851"/>
          <w:tab w:val="left" w:leader="dot" w:pos="8222"/>
        </w:tabs>
      </w:pPr>
      <w:r w:rsidRPr="001D262C">
        <w:t>2.</w:t>
      </w:r>
      <w:r w:rsidRPr="001D262C">
        <w:tab/>
      </w:r>
      <w:r w:rsidR="008A4638" w:rsidRPr="00766349">
        <w:rPr>
          <w:caps/>
        </w:rPr>
        <w:t xml:space="preserve">content and effect of ADR </w:t>
      </w:r>
      <w:r w:rsidR="00E47A3E">
        <w:rPr>
          <w:caps/>
        </w:rPr>
        <w:t>33</w:t>
      </w:r>
      <w:r w:rsidR="008A4638" w:rsidRPr="00766349">
        <w:rPr>
          <w:caps/>
        </w:rPr>
        <w:t>/0</w:t>
      </w:r>
      <w:r w:rsidR="00E47A3E">
        <w:rPr>
          <w:caps/>
        </w:rPr>
        <w:t>1</w:t>
      </w:r>
      <w:r w:rsidR="00766349">
        <w:tab/>
      </w:r>
      <w:r w:rsidR="00D160C9" w:rsidRPr="00CA7971">
        <w:t>3</w:t>
      </w:r>
    </w:p>
    <w:p w:rsidR="003A3373" w:rsidRPr="00CA7971" w:rsidRDefault="003A3373" w:rsidP="00E72106">
      <w:pPr>
        <w:tabs>
          <w:tab w:val="left" w:pos="851"/>
          <w:tab w:val="left" w:leader="dot" w:pos="8222"/>
        </w:tabs>
      </w:pPr>
      <w:r w:rsidRPr="00CA7971">
        <w:t>2.1.</w:t>
      </w:r>
      <w:r w:rsidRPr="00CA7971">
        <w:tab/>
        <w:t>Overvi</w:t>
      </w:r>
      <w:r w:rsidR="00766349">
        <w:t>ew of the ADR</w:t>
      </w:r>
      <w:r w:rsidR="00766349">
        <w:tab/>
      </w:r>
      <w:r w:rsidR="00D160C9" w:rsidRPr="00CA7971">
        <w:t>3</w:t>
      </w:r>
    </w:p>
    <w:p w:rsidR="003A3373" w:rsidRDefault="003A3373" w:rsidP="00E72106">
      <w:pPr>
        <w:tabs>
          <w:tab w:val="left" w:pos="851"/>
          <w:tab w:val="left" w:leader="dot" w:pos="8222"/>
        </w:tabs>
      </w:pPr>
      <w:r w:rsidRPr="00CA7971">
        <w:t>2.2.</w:t>
      </w:r>
      <w:r w:rsidRPr="00CA7971">
        <w:tab/>
      </w:r>
      <w:r w:rsidR="00785C95" w:rsidRPr="00CA7971">
        <w:t>Effect of</w:t>
      </w:r>
      <w:r w:rsidR="00766349">
        <w:t xml:space="preserve"> the ADR</w:t>
      </w:r>
      <w:r w:rsidR="00766349">
        <w:tab/>
      </w:r>
      <w:r w:rsidR="00D160C9" w:rsidRPr="00CA7971">
        <w:t>3</w:t>
      </w:r>
    </w:p>
    <w:p w:rsidR="00EC1371" w:rsidRPr="00CA7971" w:rsidRDefault="00EC1371" w:rsidP="00E72106">
      <w:pPr>
        <w:tabs>
          <w:tab w:val="left" w:pos="851"/>
          <w:tab w:val="left" w:leader="dot" w:pos="8222"/>
        </w:tabs>
      </w:pPr>
      <w:r>
        <w:t>2.3</w:t>
      </w:r>
      <w:r w:rsidRPr="00CA7971">
        <w:t>.</w:t>
      </w:r>
      <w:r w:rsidRPr="00CA7971">
        <w:tab/>
      </w:r>
      <w:r>
        <w:t>Incorporated Documents</w:t>
      </w:r>
      <w:r>
        <w:tab/>
      </w:r>
      <w:r w:rsidRPr="00CA7971">
        <w:t>3</w:t>
      </w:r>
    </w:p>
    <w:p w:rsidR="003A3373" w:rsidRPr="001D262C" w:rsidRDefault="003A3373" w:rsidP="00E72106">
      <w:pPr>
        <w:tabs>
          <w:tab w:val="left" w:pos="851"/>
          <w:tab w:val="left" w:leader="dot" w:pos="8222"/>
        </w:tabs>
      </w:pPr>
      <w:r w:rsidRPr="00CA7971">
        <w:t>3.</w:t>
      </w:r>
      <w:r w:rsidRPr="001D262C">
        <w:tab/>
      </w:r>
      <w:r w:rsidRPr="00766349">
        <w:rPr>
          <w:caps/>
        </w:rPr>
        <w:t>best practice regulation</w:t>
      </w:r>
      <w:r w:rsidRPr="00CA7971">
        <w:tab/>
      </w:r>
      <w:r w:rsidR="002F3EEF" w:rsidRPr="00CA7971">
        <w:t>4</w:t>
      </w:r>
    </w:p>
    <w:p w:rsidR="003A3373" w:rsidRPr="00CA7971" w:rsidRDefault="00766349" w:rsidP="00E72106">
      <w:pPr>
        <w:tabs>
          <w:tab w:val="left" w:pos="851"/>
          <w:tab w:val="left" w:leader="dot" w:pos="8222"/>
        </w:tabs>
      </w:pPr>
      <w:r>
        <w:t>3.1.</w:t>
      </w:r>
      <w:r>
        <w:tab/>
        <w:t>Business Cost Calculator</w:t>
      </w:r>
      <w:r>
        <w:tab/>
      </w:r>
      <w:r w:rsidR="002F3EEF" w:rsidRPr="00CA7971">
        <w:t>4</w:t>
      </w:r>
    </w:p>
    <w:p w:rsidR="003A3373" w:rsidRPr="00CA7971" w:rsidRDefault="003A3373" w:rsidP="00E72106">
      <w:pPr>
        <w:tabs>
          <w:tab w:val="left" w:pos="851"/>
          <w:tab w:val="left" w:leader="dot" w:pos="8222"/>
        </w:tabs>
      </w:pPr>
      <w:r w:rsidRPr="00CA7971">
        <w:t>3.2.</w:t>
      </w:r>
      <w:r w:rsidRPr="00CA7971">
        <w:tab/>
        <w:t>Ge</w:t>
      </w:r>
      <w:r w:rsidR="00766349">
        <w:t>neral Consultation Arrangements</w:t>
      </w:r>
      <w:r w:rsidR="00766349">
        <w:tab/>
      </w:r>
      <w:r w:rsidR="002F3EEF" w:rsidRPr="00CA7971">
        <w:t>4</w:t>
      </w:r>
    </w:p>
    <w:p w:rsidR="003A3373" w:rsidRPr="00CA7971" w:rsidRDefault="003A3373" w:rsidP="00E72106">
      <w:pPr>
        <w:tabs>
          <w:tab w:val="left" w:pos="851"/>
          <w:tab w:val="left" w:leader="dot" w:pos="8222"/>
        </w:tabs>
      </w:pPr>
      <w:r w:rsidRPr="00CA7971">
        <w:t>3.3.</w:t>
      </w:r>
      <w:r w:rsidRPr="00CA7971">
        <w:tab/>
        <w:t>Specific Consultation Arrange</w:t>
      </w:r>
      <w:r w:rsidR="00766349">
        <w:t>ments for this Vehicle Standard</w:t>
      </w:r>
      <w:r w:rsidR="00766349">
        <w:tab/>
      </w:r>
      <w:r w:rsidR="002F3EEF" w:rsidRPr="00CA7971">
        <w:t>5</w:t>
      </w:r>
    </w:p>
    <w:p w:rsidR="003E56E7" w:rsidRPr="001D262C" w:rsidRDefault="003E56E7" w:rsidP="00E72106">
      <w:pPr>
        <w:tabs>
          <w:tab w:val="left" w:pos="851"/>
          <w:tab w:val="left" w:leader="dot" w:pos="8222"/>
        </w:tabs>
      </w:pPr>
      <w:r w:rsidRPr="001D262C">
        <w:t>4.</w:t>
      </w:r>
      <w:r w:rsidRPr="001D262C">
        <w:tab/>
        <w:t>STATEMENT OF COMPATIBILITY WITH HUMAN RIGHTS</w:t>
      </w:r>
      <w:r w:rsidR="00766349">
        <w:rPr>
          <w:webHidden/>
        </w:rPr>
        <w:tab/>
      </w:r>
      <w:r w:rsidRPr="00CA7971">
        <w:rPr>
          <w:webHidden/>
        </w:rPr>
        <w:t>5</w:t>
      </w:r>
    </w:p>
    <w:p w:rsidR="003E56E7" w:rsidRPr="001D262C" w:rsidRDefault="003E56E7" w:rsidP="00E72106">
      <w:pPr>
        <w:tabs>
          <w:tab w:val="left" w:pos="851"/>
          <w:tab w:val="left" w:leader="dot" w:pos="8222"/>
        </w:tabs>
      </w:pPr>
      <w:r w:rsidRPr="001D262C">
        <w:t>4.1.</w:t>
      </w:r>
      <w:r w:rsidRPr="001D262C">
        <w:tab/>
        <w:t>Overview of the Legislative Instrument</w:t>
      </w:r>
      <w:r w:rsidR="00766349">
        <w:rPr>
          <w:webHidden/>
        </w:rPr>
        <w:tab/>
      </w:r>
      <w:r w:rsidRPr="00CA7971">
        <w:rPr>
          <w:webHidden/>
        </w:rPr>
        <w:t>5</w:t>
      </w:r>
    </w:p>
    <w:p w:rsidR="003E56E7" w:rsidRPr="001D262C" w:rsidRDefault="003E56E7" w:rsidP="00E72106">
      <w:pPr>
        <w:tabs>
          <w:tab w:val="left" w:pos="851"/>
          <w:tab w:val="left" w:leader="dot" w:pos="8222"/>
        </w:tabs>
      </w:pPr>
      <w:r w:rsidRPr="001D262C">
        <w:t>4.2.</w:t>
      </w:r>
      <w:r w:rsidRPr="001D262C">
        <w:tab/>
        <w:t>Human Rights Implications</w:t>
      </w:r>
      <w:r w:rsidR="00766349">
        <w:rPr>
          <w:webHidden/>
        </w:rPr>
        <w:tab/>
      </w:r>
      <w:r w:rsidRPr="00CA7971">
        <w:rPr>
          <w:webHidden/>
        </w:rPr>
        <w:t>5</w:t>
      </w:r>
    </w:p>
    <w:p w:rsidR="003E56E7" w:rsidRPr="00CA7971" w:rsidRDefault="003E56E7" w:rsidP="00E72106">
      <w:pPr>
        <w:tabs>
          <w:tab w:val="left" w:pos="851"/>
          <w:tab w:val="left" w:leader="dot" w:pos="8222"/>
        </w:tabs>
        <w:rPr>
          <w:rFonts w:ascii="Calibri" w:hAnsi="Calibri"/>
          <w:noProof/>
          <w:sz w:val="22"/>
          <w:szCs w:val="22"/>
        </w:rPr>
      </w:pPr>
      <w:r w:rsidRPr="001D262C">
        <w:t>4.3.</w:t>
      </w:r>
      <w:r w:rsidRPr="001D262C">
        <w:tab/>
        <w:t>Conclusion</w:t>
      </w:r>
      <w:r w:rsidR="00766349">
        <w:rPr>
          <w:noProof/>
          <w:webHidden/>
        </w:rPr>
        <w:tab/>
      </w:r>
      <w:r w:rsidRPr="00CA7971">
        <w:rPr>
          <w:noProof/>
          <w:webHidden/>
        </w:rPr>
        <w:t>5</w:t>
      </w:r>
    </w:p>
    <w:p w:rsidR="00BA4F48" w:rsidRPr="00CA7971" w:rsidRDefault="00BA4F48" w:rsidP="0066367E"/>
    <w:p w:rsidR="00BA4F48" w:rsidRPr="00766349" w:rsidRDefault="00BA4F48" w:rsidP="00AC052E">
      <w:pPr>
        <w:pStyle w:val="HeadingLevel1"/>
        <w:outlineLvl w:val="0"/>
      </w:pPr>
      <w:r w:rsidRPr="00CA7971">
        <w:br w:type="page"/>
      </w:r>
      <w:bookmarkStart w:id="1" w:name="_Toc167864611"/>
      <w:r w:rsidR="00AC052E" w:rsidRPr="00766349">
        <w:rPr>
          <w:caps w:val="0"/>
        </w:rPr>
        <w:lastRenderedPageBreak/>
        <w:t>LEGISLATIVE CONTEXT</w:t>
      </w:r>
      <w:bookmarkEnd w:id="1"/>
    </w:p>
    <w:p w:rsidR="003F01D5" w:rsidRPr="00CA7971" w:rsidRDefault="00EC6915" w:rsidP="001D262C">
      <w:pPr>
        <w:rPr>
          <w:i/>
        </w:rPr>
      </w:pPr>
      <w:r w:rsidRPr="00ED1AFB">
        <w:t>Vehicle Standard (</w:t>
      </w:r>
      <w:r w:rsidR="00F74E8C" w:rsidRPr="00ED1AFB">
        <w:t>Australian Design Rule </w:t>
      </w:r>
      <w:r w:rsidR="003D239D">
        <w:t>33</w:t>
      </w:r>
      <w:r w:rsidR="00F74E8C" w:rsidRPr="00ED1AFB">
        <w:t>/0</w:t>
      </w:r>
      <w:r w:rsidR="003D239D">
        <w:t>1</w:t>
      </w:r>
      <w:r w:rsidRPr="00ED1AFB">
        <w:t xml:space="preserve"> – </w:t>
      </w:r>
      <w:r w:rsidR="003D239D" w:rsidRPr="003D239D">
        <w:rPr>
          <w:noProof/>
          <w:shd w:val="clear" w:color="auto" w:fill="FFFFFF"/>
        </w:rPr>
        <w:t xml:space="preserve">Brake Systems </w:t>
      </w:r>
      <w:r w:rsidR="003D239D">
        <w:rPr>
          <w:noProof/>
          <w:shd w:val="clear" w:color="auto" w:fill="FFFFFF"/>
        </w:rPr>
        <w:t>for Motorcycles and Mopeds</w:t>
      </w:r>
      <w:r w:rsidRPr="00ED1AFB">
        <w:t>) 20</w:t>
      </w:r>
      <w:r w:rsidR="007D671C" w:rsidRPr="00ED1AFB">
        <w:t>1</w:t>
      </w:r>
      <w:r w:rsidR="003D239D">
        <w:t>7</w:t>
      </w:r>
      <w:r w:rsidRPr="00CA7971">
        <w:rPr>
          <w:i/>
        </w:rPr>
        <w:t xml:space="preserve"> </w:t>
      </w:r>
      <w:r w:rsidR="003F01D5" w:rsidRPr="00CA7971">
        <w:t xml:space="preserve">is made under the </w:t>
      </w:r>
      <w:r w:rsidR="003F01D5" w:rsidRPr="0066367E">
        <w:rPr>
          <w:i/>
          <w:iCs/>
        </w:rPr>
        <w:t>Motor Vehicle Standards Act 1989</w:t>
      </w:r>
      <w:r w:rsidR="003F01D5" w:rsidRPr="00CA7971">
        <w:t xml:space="preserve"> (the Act).  </w:t>
      </w:r>
      <w:r w:rsidR="00373A7D" w:rsidRPr="00CA7971">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CA7971" w:rsidRDefault="003F01D5" w:rsidP="001D262C">
      <w:r w:rsidRPr="00CA7971">
        <w:t>The making of the vehicle standards necessary for the Act's effective operation is provided for in section 7 which empowers the Minister to "determine vehicle standards for road vehicles or vehicle components".</w:t>
      </w:r>
    </w:p>
    <w:p w:rsidR="003F01D5" w:rsidRPr="00CA7971" w:rsidRDefault="00EC6915" w:rsidP="001D262C">
      <w:r w:rsidRPr="00CA7971">
        <w:t>Vehicle Standa</w:t>
      </w:r>
      <w:r w:rsidR="00F14473" w:rsidRPr="00CA7971">
        <w:t>rd (Australian Design Rule </w:t>
      </w:r>
      <w:r w:rsidR="003D239D">
        <w:t>33</w:t>
      </w:r>
      <w:r w:rsidR="00F14473" w:rsidRPr="00CA7971">
        <w:t>/0</w:t>
      </w:r>
      <w:r w:rsidR="003D239D">
        <w:t>1</w:t>
      </w:r>
      <w:r w:rsidRPr="00CA7971">
        <w:t xml:space="preserve"> – </w:t>
      </w:r>
      <w:r w:rsidR="003D239D" w:rsidRPr="003D239D">
        <w:rPr>
          <w:noProof/>
          <w:shd w:val="clear" w:color="auto" w:fill="FFFFFF"/>
        </w:rPr>
        <w:t xml:space="preserve">Brake Systems </w:t>
      </w:r>
      <w:r w:rsidR="003D239D">
        <w:rPr>
          <w:noProof/>
          <w:shd w:val="clear" w:color="auto" w:fill="FFFFFF"/>
        </w:rPr>
        <w:t>for Motorcycles and Mopeds</w:t>
      </w:r>
      <w:r w:rsidR="00F14473" w:rsidRPr="00CA7971">
        <w:t>) 201</w:t>
      </w:r>
      <w:r w:rsidR="003D239D">
        <w:t>7</w:t>
      </w:r>
      <w:r w:rsidRPr="00CA7971">
        <w:t xml:space="preserve"> </w:t>
      </w:r>
      <w:r w:rsidR="003F01D5" w:rsidRPr="00CA7971">
        <w:t>(</w:t>
      </w:r>
      <w:r w:rsidRPr="00CA7971">
        <w:t xml:space="preserve">ADR </w:t>
      </w:r>
      <w:r w:rsidR="003D239D">
        <w:t>33</w:t>
      </w:r>
      <w:r w:rsidRPr="00CA7971">
        <w:t>/0</w:t>
      </w:r>
      <w:r w:rsidR="003D239D">
        <w:t>1</w:t>
      </w:r>
      <w:r w:rsidR="003F01D5" w:rsidRPr="00CA7971">
        <w:t>)</w:t>
      </w:r>
      <w:r w:rsidR="00113D23">
        <w:t xml:space="preserve"> replace</w:t>
      </w:r>
      <w:r w:rsidR="003D239D">
        <w:t>s</w:t>
      </w:r>
      <w:r w:rsidR="00113D23">
        <w:t xml:space="preserve"> </w:t>
      </w:r>
      <w:r w:rsidR="003D239D">
        <w:t>ADR 33/00 2007</w:t>
      </w:r>
      <w:r w:rsidR="003F01D5" w:rsidRPr="00CA7971">
        <w:t>.</w:t>
      </w:r>
    </w:p>
    <w:p w:rsidR="00BA4F48" w:rsidRPr="00CA7971" w:rsidRDefault="00AC052E" w:rsidP="00AC052E">
      <w:pPr>
        <w:pStyle w:val="HeadingLevel1"/>
        <w:outlineLvl w:val="0"/>
        <w:rPr>
          <w:rFonts w:cs="Arial"/>
        </w:rPr>
      </w:pPr>
      <w:bookmarkStart w:id="2" w:name="_Toc167864612"/>
      <w:r w:rsidRPr="00CA7971">
        <w:rPr>
          <w:caps w:val="0"/>
        </w:rPr>
        <w:t xml:space="preserve">CONTENT AND EFFECT OF ADR </w:t>
      </w:r>
      <w:bookmarkEnd w:id="2"/>
      <w:r>
        <w:rPr>
          <w:caps w:val="0"/>
        </w:rPr>
        <w:t>33</w:t>
      </w:r>
      <w:r w:rsidRPr="00CA7971">
        <w:rPr>
          <w:caps w:val="0"/>
        </w:rPr>
        <w:t>/0</w:t>
      </w:r>
      <w:r>
        <w:rPr>
          <w:caps w:val="0"/>
        </w:rPr>
        <w:t>1</w:t>
      </w:r>
      <w:r w:rsidRPr="00CA7971">
        <w:rPr>
          <w:caps w:val="0"/>
        </w:rPr>
        <w:t xml:space="preserve"> – </w:t>
      </w:r>
      <w:r w:rsidRPr="003D239D">
        <w:rPr>
          <w:caps w:val="0"/>
          <w:noProof/>
          <w:shd w:val="clear" w:color="auto" w:fill="FFFFFF"/>
        </w:rPr>
        <w:t>BRAKE SYSTEMS FOR MOTORCYCLES AND MOPEDS</w:t>
      </w:r>
      <w:r>
        <w:rPr>
          <w:caps w:val="0"/>
          <w:noProof/>
          <w:shd w:val="clear" w:color="auto" w:fill="FFFFFF"/>
        </w:rPr>
        <w:t xml:space="preserve"> </w:t>
      </w:r>
      <w:r w:rsidRPr="00AF43DD" w:rsidDel="00AF43DD">
        <w:rPr>
          <w:caps w:val="0"/>
          <w:noProof/>
          <w:highlight w:val="yellow"/>
          <w:shd w:val="clear" w:color="auto" w:fill="FFFFFF"/>
        </w:rPr>
        <w:t xml:space="preserve"> </w:t>
      </w:r>
    </w:p>
    <w:p w:rsidR="00BA4F48" w:rsidRPr="00CA7971" w:rsidRDefault="00BA4F48" w:rsidP="001D262C">
      <w:pPr>
        <w:pStyle w:val="HeadingLevel2"/>
      </w:pPr>
      <w:bookmarkStart w:id="3" w:name="_Toc167864613"/>
      <w:r w:rsidRPr="00CA7971">
        <w:t>Overview of the ADR</w:t>
      </w:r>
      <w:bookmarkEnd w:id="3"/>
      <w:r w:rsidR="003D239D">
        <w:t xml:space="preserve"> </w:t>
      </w:r>
    </w:p>
    <w:p w:rsidR="00113D23" w:rsidRPr="00115B51" w:rsidRDefault="00E47A3E" w:rsidP="001D262C">
      <w:r>
        <w:t xml:space="preserve">The function of this standard is to ensure safe braking under normal and emergency </w:t>
      </w:r>
      <w:r w:rsidRPr="00115B51">
        <w:t>conditions for motorcycles (</w:t>
      </w:r>
      <w:r w:rsidR="00EB51F6">
        <w:t xml:space="preserve">ADR </w:t>
      </w:r>
      <w:r w:rsidRPr="00115B51">
        <w:t>categories LC, LD and LE) and mopeds (</w:t>
      </w:r>
      <w:r w:rsidR="00EB51F6">
        <w:t xml:space="preserve">ADR </w:t>
      </w:r>
      <w:r w:rsidRPr="00115B51">
        <w:t>categories LA and LB).</w:t>
      </w:r>
      <w:r w:rsidR="00AF3725" w:rsidRPr="00115B51">
        <w:t xml:space="preserve"> It will apply to new model vehicles of </w:t>
      </w:r>
      <w:r w:rsidRPr="0022514F">
        <w:t>these categories</w:t>
      </w:r>
      <w:r w:rsidR="0022514F">
        <w:t xml:space="preserve"> </w:t>
      </w:r>
      <w:r w:rsidR="00AF3725" w:rsidRPr="00115B51">
        <w:t>from 1 November 201</w:t>
      </w:r>
      <w:r w:rsidRPr="00115B51">
        <w:t>9</w:t>
      </w:r>
      <w:r w:rsidR="0022514F">
        <w:t xml:space="preserve"> </w:t>
      </w:r>
      <w:r w:rsidR="00994429" w:rsidRPr="00115B51">
        <w:t xml:space="preserve">and all new vehicles of </w:t>
      </w:r>
      <w:r w:rsidRPr="00115B51">
        <w:t>these categories</w:t>
      </w:r>
      <w:r w:rsidR="00994429" w:rsidRPr="00115B51">
        <w:t xml:space="preserve"> from 1 November 202</w:t>
      </w:r>
      <w:r w:rsidRPr="00115B51">
        <w:t>1</w:t>
      </w:r>
      <w:r w:rsidR="00AF3725" w:rsidRPr="00115B51">
        <w:t>.</w:t>
      </w:r>
    </w:p>
    <w:p w:rsidR="00AF3725" w:rsidRPr="004D6CC1" w:rsidRDefault="00AF3725" w:rsidP="00AF3725">
      <w:pPr>
        <w:rPr>
          <w:b/>
        </w:rPr>
      </w:pPr>
      <w:r w:rsidRPr="00115B51">
        <w:t xml:space="preserve">The </w:t>
      </w:r>
      <w:r w:rsidR="00E47A3E" w:rsidRPr="00115B51">
        <w:t>standard is based upon</w:t>
      </w:r>
      <w:r w:rsidR="007D0417">
        <w:t xml:space="preserve"> </w:t>
      </w:r>
      <w:r w:rsidRPr="00115B51">
        <w:t xml:space="preserve">United Nations Regulation No. </w:t>
      </w:r>
      <w:r w:rsidR="00E47A3E" w:rsidRPr="0022514F">
        <w:t>78</w:t>
      </w:r>
      <w:r w:rsidRPr="00115B51">
        <w:t>.</w:t>
      </w:r>
    </w:p>
    <w:p w:rsidR="003F01D5" w:rsidRPr="00CA7971" w:rsidRDefault="003F01D5" w:rsidP="001D262C">
      <w:pPr>
        <w:pStyle w:val="HeadingLevel2"/>
      </w:pPr>
      <w:bookmarkStart w:id="4" w:name="_Toc167864614"/>
      <w:r w:rsidRPr="00CA7971">
        <w:t>Effect of</w:t>
      </w:r>
      <w:r w:rsidR="00BA4F48" w:rsidRPr="00CA7971">
        <w:t xml:space="preserve"> the ADR</w:t>
      </w:r>
      <w:bookmarkEnd w:id="4"/>
    </w:p>
    <w:p w:rsidR="00AF3725" w:rsidRPr="0022514F" w:rsidRDefault="0022514F" w:rsidP="0022514F">
      <w:r w:rsidRPr="0022514F">
        <w:t xml:space="preserve">The standard </w:t>
      </w:r>
      <w:r w:rsidR="00EB51F6">
        <w:t>is being made</w:t>
      </w:r>
      <w:r w:rsidRPr="0022514F">
        <w:t xml:space="preserve"> to set mandatory requirements for advanced braking systems. Advanced braking systems include Anti-lock Braking Systems (ABS) and Combined Braking Systems (CBS).</w:t>
      </w:r>
    </w:p>
    <w:p w:rsidR="006132B9" w:rsidRDefault="0022514F" w:rsidP="001D262C">
      <w:r w:rsidRPr="0022514F">
        <w:t xml:space="preserve">The </w:t>
      </w:r>
      <w:r w:rsidR="004163FA" w:rsidRPr="0022514F">
        <w:t>standard is expected to reduce the cost of road trauma</w:t>
      </w:r>
      <w:r w:rsidR="00693F4E" w:rsidRPr="0022514F">
        <w:t xml:space="preserve">, particularly in relation to </w:t>
      </w:r>
      <w:r w:rsidRPr="0022514F">
        <w:t>serious and fatal motorcyclist</w:t>
      </w:r>
      <w:r w:rsidR="00693F4E" w:rsidRPr="0022514F">
        <w:t xml:space="preserve"> injur</w:t>
      </w:r>
      <w:r w:rsidRPr="0022514F">
        <w:t>y.</w:t>
      </w:r>
      <w:bookmarkStart w:id="5" w:name="_Toc167864615"/>
    </w:p>
    <w:p w:rsidR="008F6F2C" w:rsidRDefault="008F6F2C" w:rsidP="002351E9">
      <w:pPr>
        <w:pStyle w:val="HeadingLevel2"/>
      </w:pPr>
      <w:bookmarkStart w:id="6" w:name="_Toc496218095"/>
      <w:r w:rsidRPr="001B029B">
        <w:t>Incorporated Documents</w:t>
      </w:r>
      <w:bookmarkEnd w:id="6"/>
    </w:p>
    <w:p w:rsidR="008F6F2C" w:rsidRPr="001B029B" w:rsidRDefault="008F6F2C" w:rsidP="000C11BE">
      <w:r w:rsidRPr="001B029B">
        <w:t xml:space="preserve">The </w:t>
      </w:r>
      <w:r>
        <w:t>ADR</w:t>
      </w:r>
      <w:r w:rsidRPr="001B029B">
        <w:t xml:space="preserve"> incorporates references to </w:t>
      </w:r>
      <w:r w:rsidR="0074026C">
        <w:t xml:space="preserve">international standards </w:t>
      </w:r>
      <w:r w:rsidR="0074026C" w:rsidRPr="00030CF9">
        <w:t xml:space="preserve">United Nations Regulation No 78 – </w:t>
      </w:r>
      <w:r w:rsidR="0074026C" w:rsidRPr="00082AD5">
        <w:t>UNIFORM PROVISIONS CONCERNING THE APPROVAL OF VEHICLES OF CATEGORIES L</w:t>
      </w:r>
      <w:r w:rsidR="0074026C" w:rsidRPr="000C11BE">
        <w:t>1</w:t>
      </w:r>
      <w:r w:rsidR="0074026C" w:rsidRPr="00082AD5">
        <w:t>, L</w:t>
      </w:r>
      <w:r w:rsidR="0074026C" w:rsidRPr="000C11BE">
        <w:t>2</w:t>
      </w:r>
      <w:r w:rsidR="0074026C" w:rsidRPr="00082AD5">
        <w:t>, L</w:t>
      </w:r>
      <w:r w:rsidR="0074026C" w:rsidRPr="000C11BE">
        <w:t>3</w:t>
      </w:r>
      <w:r w:rsidR="0074026C" w:rsidRPr="00082AD5">
        <w:t>, L</w:t>
      </w:r>
      <w:r w:rsidR="0074026C" w:rsidRPr="000C11BE">
        <w:t>4</w:t>
      </w:r>
      <w:r w:rsidR="0074026C" w:rsidRPr="00082AD5">
        <w:t xml:space="preserve"> AND L</w:t>
      </w:r>
      <w:r w:rsidR="0074026C" w:rsidRPr="000C11BE">
        <w:t>5</w:t>
      </w:r>
      <w:r w:rsidR="0074026C" w:rsidRPr="00082AD5">
        <w:t xml:space="preserve"> WITH REGARD TO BRAKING</w:t>
      </w:r>
      <w:r w:rsidR="0074026C">
        <w:t xml:space="preserve"> and </w:t>
      </w:r>
      <w:r w:rsidR="0074026C" w:rsidRPr="0074026C">
        <w:t>United Nations Global Technical Regulation No. 3 – MOTORCYCLE BRAKE SYSTEMS</w:t>
      </w:r>
      <w:r w:rsidRPr="001B029B">
        <w:t xml:space="preserve">.  These standards specify </w:t>
      </w:r>
      <w:r w:rsidR="0074026C">
        <w:t xml:space="preserve">equivalent </w:t>
      </w:r>
      <w:r w:rsidRPr="001B029B">
        <w:t>requirements and test methods</w:t>
      </w:r>
      <w:r w:rsidR="0074026C">
        <w:t xml:space="preserve"> to Appendix A of the ADR</w:t>
      </w:r>
      <w:r w:rsidRPr="001B029B">
        <w:t>.</w:t>
      </w:r>
    </w:p>
    <w:p w:rsidR="008F6F2C" w:rsidRPr="001B029B" w:rsidRDefault="008F6F2C" w:rsidP="000C11BE">
      <w:r w:rsidRPr="001B029B">
        <w:t xml:space="preserve">In accordance with </w:t>
      </w:r>
      <w:r>
        <w:t>subsections</w:t>
      </w:r>
      <w:r w:rsidRPr="001B029B">
        <w:t xml:space="preserve"> 14(1)(b) </w:t>
      </w:r>
      <w:r>
        <w:t xml:space="preserve">and 14(2) </w:t>
      </w:r>
      <w:r w:rsidRPr="001B029B">
        <w:t xml:space="preserve">of the </w:t>
      </w:r>
      <w:r w:rsidRPr="000C11BE">
        <w:rPr>
          <w:i/>
        </w:rPr>
        <w:t>Legislation Act 2003</w:t>
      </w:r>
      <w:r w:rsidRPr="001B029B">
        <w:t xml:space="preserve"> these standards are incorporated as in force at the commencement of the Determination.</w:t>
      </w:r>
    </w:p>
    <w:p w:rsidR="0074026C" w:rsidRDefault="008F6F2C" w:rsidP="000C11BE">
      <w:r w:rsidRPr="001B029B">
        <w:t xml:space="preserve">The standards may be freely accessed </w:t>
      </w:r>
      <w:r>
        <w:t>online</w:t>
      </w:r>
      <w:r w:rsidRPr="001B029B">
        <w:t xml:space="preserve"> through the </w:t>
      </w:r>
      <w:r w:rsidR="0074026C">
        <w:t xml:space="preserve">United Nations World Forum for the Harmonization of Vehicle Regulations (WP.29). The WP.29 website is </w:t>
      </w:r>
      <w:r w:rsidR="0074026C" w:rsidRPr="002351E9">
        <w:t>https://www.unece.org/trans/main/welcwp29.html</w:t>
      </w:r>
      <w:r w:rsidR="0074026C">
        <w:t>.</w:t>
      </w:r>
    </w:p>
    <w:p w:rsidR="00BA4F48" w:rsidRPr="00CA7971" w:rsidRDefault="00AC052E" w:rsidP="00AC052E">
      <w:pPr>
        <w:pStyle w:val="HeadingLevel1"/>
        <w:keepNext/>
        <w:outlineLvl w:val="0"/>
      </w:pPr>
      <w:r>
        <w:rPr>
          <w:caps w:val="0"/>
        </w:rPr>
        <w:lastRenderedPageBreak/>
        <w:t>BEST PRACTICE REGULATION</w:t>
      </w:r>
      <w:bookmarkEnd w:id="5"/>
    </w:p>
    <w:p w:rsidR="00BA4F48" w:rsidRPr="00CA7971" w:rsidRDefault="00BA4F48" w:rsidP="001D262C">
      <w:pPr>
        <w:pStyle w:val="HeadingLevel2"/>
      </w:pPr>
      <w:bookmarkStart w:id="7" w:name="_Toc167864616"/>
      <w:r w:rsidRPr="00CA7971">
        <w:t>Business Cost Calculator</w:t>
      </w:r>
      <w:bookmarkEnd w:id="7"/>
    </w:p>
    <w:p w:rsidR="00282648" w:rsidRDefault="006B2A4B" w:rsidP="006B2A4B">
      <w:r w:rsidRPr="00CA7971">
        <w:t xml:space="preserve">There </w:t>
      </w:r>
      <w:r w:rsidR="00F57937" w:rsidRPr="00CA7971">
        <w:t>are</w:t>
      </w:r>
      <w:r w:rsidRPr="00CA7971">
        <w:t xml:space="preserve"> cost</w:t>
      </w:r>
      <w:r w:rsidR="00F57937" w:rsidRPr="00CA7971">
        <w:t>s</w:t>
      </w:r>
      <w:r w:rsidRPr="00CA7971">
        <w:t xml:space="preserve"> associated with mandating </w:t>
      </w:r>
      <w:r w:rsidR="0097733B">
        <w:t xml:space="preserve">the ADR </w:t>
      </w:r>
      <w:r w:rsidR="00453027" w:rsidRPr="00CA7971">
        <w:t xml:space="preserve">but </w:t>
      </w:r>
      <w:r w:rsidR="007169E6">
        <w:t>as indicated by the</w:t>
      </w:r>
      <w:r w:rsidRPr="00CA7971">
        <w:t xml:space="preserve"> Regulation Impact Statement (RIS</w:t>
      </w:r>
      <w:r w:rsidR="00135B6F">
        <w:t>)</w:t>
      </w:r>
      <w:r w:rsidR="0097733B">
        <w:t xml:space="preserve"> </w:t>
      </w:r>
      <w:r w:rsidR="007169E6">
        <w:t>these are significantly outweighed by</w:t>
      </w:r>
      <w:r w:rsidRPr="00CA7971">
        <w:t xml:space="preserve"> benefit</w:t>
      </w:r>
      <w:r w:rsidR="003B6992" w:rsidRPr="00CA7971">
        <w:t>s.</w:t>
      </w:r>
      <w:r w:rsidR="000E36A9">
        <w:t xml:space="preserve">  Overall, t</w:t>
      </w:r>
      <w:r w:rsidR="000E36A9" w:rsidRPr="00AB5889">
        <w:t xml:space="preserve">he </w:t>
      </w:r>
      <w:r w:rsidR="005506E2">
        <w:t>new ADR</w:t>
      </w:r>
      <w:r w:rsidR="005506E2" w:rsidRPr="00AB5889">
        <w:t xml:space="preserve"> </w:t>
      </w:r>
      <w:r w:rsidR="000E36A9">
        <w:t>will</w:t>
      </w:r>
      <w:r w:rsidR="000E36A9" w:rsidRPr="00AB5889">
        <w:t xml:space="preserve"> pro</w:t>
      </w:r>
      <w:r w:rsidR="000E36A9">
        <w:t xml:space="preserve">vide a reduction in road trauma </w:t>
      </w:r>
      <w:r w:rsidR="000E36A9" w:rsidRPr="00AB5889">
        <w:t xml:space="preserve">estimated at </w:t>
      </w:r>
      <w:r w:rsidR="00135B6F">
        <w:t xml:space="preserve">a total </w:t>
      </w:r>
      <w:r w:rsidR="00282648">
        <w:t xml:space="preserve">of </w:t>
      </w:r>
      <w:r w:rsidR="005D51D1">
        <w:t>580</w:t>
      </w:r>
      <w:r w:rsidR="005F1876" w:rsidRPr="00CA6BE2">
        <w:t xml:space="preserve"> </w:t>
      </w:r>
      <w:r w:rsidR="00282648" w:rsidRPr="00CA6BE2">
        <w:t>lives saved</w:t>
      </w:r>
      <w:r w:rsidR="005D51D1">
        <w:t xml:space="preserve"> </w:t>
      </w:r>
      <w:r w:rsidR="00E510D5">
        <w:t>from a 15 year period</w:t>
      </w:r>
      <w:r w:rsidR="00282648">
        <w:t xml:space="preserve"> of regulation</w:t>
      </w:r>
      <w:r w:rsidR="009B12A3">
        <w:t xml:space="preserve">.  </w:t>
      </w:r>
      <w:r w:rsidR="007169E6">
        <w:t>Net benefits will be</w:t>
      </w:r>
      <w:r w:rsidR="00282648" w:rsidRPr="00AB5889">
        <w:t xml:space="preserve"> $</w:t>
      </w:r>
      <w:r w:rsidR="005D51D1">
        <w:t>1.66</w:t>
      </w:r>
      <w:r w:rsidR="005F1876" w:rsidRPr="00AB5889">
        <w:t xml:space="preserve"> </w:t>
      </w:r>
      <w:r w:rsidR="005D51D1">
        <w:t>b</w:t>
      </w:r>
      <w:r w:rsidR="00282648" w:rsidRPr="00AB5889">
        <w:t>illion.</w:t>
      </w:r>
    </w:p>
    <w:p w:rsidR="00626DBC" w:rsidRPr="00CA7971" w:rsidRDefault="00626DBC" w:rsidP="001D262C">
      <w:pPr>
        <w:pStyle w:val="HeadingLevel2"/>
      </w:pPr>
      <w:bookmarkStart w:id="8" w:name="_Toc167864617"/>
      <w:r w:rsidRPr="00CA7971">
        <w:t>General Consultation Arrangements</w:t>
      </w:r>
      <w:bookmarkEnd w:id="8"/>
    </w:p>
    <w:p w:rsidR="00CB5A16" w:rsidRPr="00CA7971" w:rsidRDefault="00CB5A16" w:rsidP="001D262C">
      <w:bookmarkStart w:id="9" w:name="_Toc167864618"/>
      <w:r w:rsidRPr="00CA7971">
        <w:t xml:space="preserve">It has been longstanding practice to consult widely on proposed new or amended vehicle standards.  For many years there has been active collaboration between the </w:t>
      </w:r>
      <w:r w:rsidR="00DE4A56">
        <w:t>Commonwealth</w:t>
      </w:r>
      <w:r w:rsidR="00DE4A56" w:rsidRPr="00CA7971">
        <w:t xml:space="preserve"> </w:t>
      </w:r>
      <w:r w:rsidRPr="00CA7971">
        <w:t>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EC1371" w:rsidRPr="001F0CA5" w:rsidRDefault="00EC1371" w:rsidP="00EC1371">
      <w:r w:rsidRPr="001F0CA5">
        <w:t>Depending on the nature of the proposed changes, consultation could involve the Technical Liaison Group (TLG)</w:t>
      </w:r>
      <w:r>
        <w:t xml:space="preserve"> and the Australian Motor Vehicle Certification Board (AMVCB), the</w:t>
      </w:r>
      <w:r w:rsidRPr="001F0CA5">
        <w:t xml:space="preserve"> Strategic Vehicle Safety and Environment Group (SVSEG)</w:t>
      </w:r>
      <w:r>
        <w:t xml:space="preserve"> and the Austroads Safe Vehicle</w:t>
      </w:r>
      <w:r w:rsidR="008C560F">
        <w:t>s</w:t>
      </w:r>
      <w:r>
        <w:t xml:space="preserve"> Theme Group (SVTG)</w:t>
      </w:r>
      <w:r w:rsidRPr="001F0CA5">
        <w:t xml:space="preserve">, </w:t>
      </w:r>
      <w:r>
        <w:t xml:space="preserve">the </w:t>
      </w:r>
      <w:r w:rsidRPr="001F0CA5">
        <w:t>Transport and Infrastructure Senior Officials’ Committee (TISOC) and the Transport and Infrastructure Council (the Council).</w:t>
      </w:r>
    </w:p>
    <w:p w:rsidR="00EC1371" w:rsidRPr="001F0CA5" w:rsidRDefault="00EC1371" w:rsidP="00EC1371">
      <w:pPr>
        <w:pStyle w:val="BulletList"/>
      </w:pPr>
      <w:r w:rsidRPr="001F0CA5">
        <w:t xml:space="preserve">TLG consists of technical representatives of government (Australian and state/territory), the manufacturing and operational arms of the industry (including organisations such as the </w:t>
      </w:r>
      <w:r>
        <w:t>Federal Chamber of Automotive Industries</w:t>
      </w:r>
      <w:r w:rsidRPr="001F0CA5">
        <w:t xml:space="preserve"> and the Australian Trucking Association) and of representative organisations of consumers and road users (particularly through the </w:t>
      </w:r>
      <w:r>
        <w:t>Australian Automobile Association</w:t>
      </w:r>
      <w:r w:rsidRPr="001F0CA5">
        <w:t>).</w:t>
      </w:r>
      <w:r>
        <w:t xml:space="preserve"> AMVCB consists of the government members of TLG.</w:t>
      </w:r>
    </w:p>
    <w:p w:rsidR="00EC1371" w:rsidRPr="001F0CA5" w:rsidRDefault="00EC1371" w:rsidP="00EC1371">
      <w:pPr>
        <w:pStyle w:val="BulletList"/>
      </w:pPr>
      <w:r w:rsidRPr="001F0CA5">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t xml:space="preserve"> SVTG consists of the government members of SVSEG.</w:t>
      </w:r>
    </w:p>
    <w:p w:rsidR="00EC1371" w:rsidRPr="001F0CA5" w:rsidRDefault="00EC1371" w:rsidP="00EC1371">
      <w:pPr>
        <w:pStyle w:val="BulletList"/>
      </w:pPr>
      <w:r w:rsidRPr="001F0CA5">
        <w:t>TISOC consists of state and territory transport and/or infrastructure Chief Executive Officers (CEOs) (or equivalents), the CEO of the National Transport Commission, New Zealand and the Australian Local Government Association.</w:t>
      </w:r>
    </w:p>
    <w:p w:rsidR="00EC1371" w:rsidRPr="001F0CA5" w:rsidRDefault="00EC1371" w:rsidP="00EC1371">
      <w:pPr>
        <w:pStyle w:val="BulletList"/>
      </w:pPr>
      <w:r w:rsidRPr="001F0CA5">
        <w:t>The Council consists of the Australian, state/territory and New Zealand Ministers with responsibility for transport and infrastructure issues.</w:t>
      </w:r>
    </w:p>
    <w:p w:rsidR="006B246D" w:rsidRDefault="00CB5A16" w:rsidP="001D262C">
      <w:r w:rsidRPr="00CA7971">
        <w:t>Editorial changes and changes to correct errors are processed by the Department of Infrastructure</w:t>
      </w:r>
      <w:r w:rsidR="00C012F7">
        <w:t xml:space="preserve"> and </w:t>
      </w:r>
      <w:r w:rsidR="00FE69C0">
        <w:t>R</w:t>
      </w:r>
      <w:r w:rsidR="00C012F7">
        <w:t xml:space="preserve">egional </w:t>
      </w:r>
      <w:r w:rsidR="00FE69C0">
        <w:t>D</w:t>
      </w:r>
      <w:r w:rsidR="00C012F7">
        <w:t>evelopment</w:t>
      </w:r>
      <w:r w:rsidRPr="00CA7971">
        <w:t>.  This approach is only used where the amendments do not vary the intent of the vehicle standard.</w:t>
      </w:r>
    </w:p>
    <w:p w:rsidR="00CB5A16" w:rsidRPr="005F4DAF" w:rsidRDefault="00CB5A16" w:rsidP="0093212F">
      <w:pPr>
        <w:keepLines/>
      </w:pPr>
      <w:r w:rsidRPr="00CA7971">
        <w:lastRenderedPageBreak/>
        <w:t xml:space="preserve">Proposals that are regarded as significant need to be supported by a </w:t>
      </w:r>
      <w:r w:rsidR="00A65A2C" w:rsidRPr="00CA7971">
        <w:t>RIS</w:t>
      </w:r>
      <w:r w:rsidRPr="00CA7971">
        <w:t xml:space="preserve"> meeting the requirements of the Office of Best Practice Regulation (OBPR) as published in </w:t>
      </w:r>
      <w:r w:rsidR="00A94E67" w:rsidRPr="009C4A2E">
        <w:rPr>
          <w:i/>
        </w:rPr>
        <w:t xml:space="preserve">the </w:t>
      </w:r>
      <w:r w:rsidR="00A94E67" w:rsidRPr="009C4A2E">
        <w:rPr>
          <w:i/>
          <w:iCs/>
        </w:rPr>
        <w:t>Australian Government Guide to Regulation</w:t>
      </w:r>
      <w:r w:rsidRPr="009C4A2E">
        <w:t xml:space="preserve"> and the Council of Australian Governments</w:t>
      </w:r>
      <w:r w:rsidR="00BF3ADD">
        <w:t>’</w:t>
      </w:r>
      <w:r w:rsidRPr="009C4A2E">
        <w:t xml:space="preserve"> </w:t>
      </w:r>
      <w:r w:rsidR="00BF3ADD" w:rsidRPr="00BF3ADD">
        <w:rPr>
          <w:i/>
          <w:iCs/>
        </w:rPr>
        <w:t xml:space="preserve">Best Practice Regulation: A </w:t>
      </w:r>
      <w:r w:rsidR="003C0795">
        <w:rPr>
          <w:i/>
          <w:iCs/>
        </w:rPr>
        <w:t>G</w:t>
      </w:r>
      <w:r w:rsidR="00BF3ADD" w:rsidRPr="00BF3ADD">
        <w:rPr>
          <w:i/>
          <w:iCs/>
        </w:rPr>
        <w:t xml:space="preserve">uide for Ministerial Councils and National </w:t>
      </w:r>
      <w:r w:rsidR="00BF3ADD" w:rsidRPr="005F4DAF">
        <w:rPr>
          <w:i/>
          <w:iCs/>
        </w:rPr>
        <w:t>Standard Setting Bodies</w:t>
      </w:r>
      <w:r w:rsidRPr="005F4DAF">
        <w:rPr>
          <w:i/>
        </w:rPr>
        <w:t>.</w:t>
      </w:r>
    </w:p>
    <w:p w:rsidR="00066F93" w:rsidRPr="005F4DAF" w:rsidRDefault="00BA4F48" w:rsidP="001D262C">
      <w:pPr>
        <w:pStyle w:val="HeadingLevel2"/>
      </w:pPr>
      <w:r w:rsidRPr="005F4DAF">
        <w:t>Specific Consultation Arrangements for this Vehicle Standard</w:t>
      </w:r>
      <w:bookmarkEnd w:id="9"/>
    </w:p>
    <w:p w:rsidR="0022514F" w:rsidRDefault="0022514F" w:rsidP="0022514F">
      <w:r>
        <w:t>State and territory governments, industry and road use</w:t>
      </w:r>
      <w:r w:rsidR="005F4DAF">
        <w:t xml:space="preserve">r groups have been consulted </w:t>
      </w:r>
      <w:r>
        <w:t>using the established consultation mechanisms for the development of the ADRs.</w:t>
      </w:r>
      <w:r w:rsidR="001B4A6F">
        <w:t xml:space="preserve"> </w:t>
      </w:r>
      <w:r w:rsidR="00203B41">
        <w:t>In addition</w:t>
      </w:r>
      <w:r w:rsidR="00492249">
        <w:t>,</w:t>
      </w:r>
      <w:r w:rsidR="00203B41">
        <w:t xml:space="preserve"> t</w:t>
      </w:r>
      <w:r>
        <w:t>he Department</w:t>
      </w:r>
      <w:r w:rsidR="0001445D">
        <w:t xml:space="preserve"> </w:t>
      </w:r>
      <w:r>
        <w:t xml:space="preserve">conducted preliminary consultation meetings </w:t>
      </w:r>
      <w:r w:rsidR="00492249">
        <w:t>with motorcycling interest groups</w:t>
      </w:r>
      <w:r w:rsidR="005F4DAF">
        <w:t xml:space="preserve"> to discuss the results</w:t>
      </w:r>
      <w:r w:rsidR="00492249">
        <w:t xml:space="preserve"> of commissioned research</w:t>
      </w:r>
      <w:r w:rsidR="0001445D">
        <w:t xml:space="preserve"> on the topic</w:t>
      </w:r>
      <w:r w:rsidR="00492249">
        <w:t>. The Department subsequently released a public discussion paper for comment.</w:t>
      </w:r>
    </w:p>
    <w:p w:rsidR="0022514F" w:rsidRPr="00B84E3B" w:rsidRDefault="005F4DAF" w:rsidP="001D262C">
      <w:r w:rsidRPr="005F4DAF">
        <w:t>In accordance with OBPR requirements, a</w:t>
      </w:r>
      <w:r w:rsidR="00203B41">
        <w:t xml:space="preserve"> consultation </w:t>
      </w:r>
      <w:r w:rsidR="0022514F" w:rsidRPr="005F4DAF">
        <w:t xml:space="preserve">RIS was </w:t>
      </w:r>
      <w:r w:rsidR="00492249">
        <w:t xml:space="preserve">then </w:t>
      </w:r>
      <w:r w:rsidR="0022514F" w:rsidRPr="005F4DAF">
        <w:t>released for a six-week public consultation period</w:t>
      </w:r>
      <w:r w:rsidRPr="005F4DAF">
        <w:t xml:space="preserve"> </w:t>
      </w:r>
      <w:r w:rsidR="00203B41">
        <w:t>in</w:t>
      </w:r>
      <w:r w:rsidRPr="005F4DAF">
        <w:t xml:space="preserve"> Ma</w:t>
      </w:r>
      <w:r w:rsidR="00203B41">
        <w:t>y</w:t>
      </w:r>
      <w:r w:rsidRPr="005F4DAF">
        <w:t xml:space="preserve"> 2017</w:t>
      </w:r>
      <w:r w:rsidR="0022514F" w:rsidRPr="005F4DAF">
        <w:t>.</w:t>
      </w:r>
      <w:r w:rsidRPr="005F4DAF">
        <w:t xml:space="preserve"> </w:t>
      </w:r>
      <w:r w:rsidR="00203B41">
        <w:t>T</w:t>
      </w:r>
      <w:r w:rsidRPr="005F4DAF">
        <w:t>he</w:t>
      </w:r>
      <w:r w:rsidR="00203B41">
        <w:t xml:space="preserve"> </w:t>
      </w:r>
      <w:r w:rsidRPr="005F4DAF">
        <w:t>RIS conform</w:t>
      </w:r>
      <w:r w:rsidR="00203B41">
        <w:t>s</w:t>
      </w:r>
      <w:r w:rsidRPr="005F4DAF">
        <w:t xml:space="preserve"> to </w:t>
      </w:r>
      <w:r w:rsidR="00203B41" w:rsidRPr="005F4DAF">
        <w:t xml:space="preserve">requirements </w:t>
      </w:r>
      <w:r w:rsidR="00E24E77">
        <w:t>established</w:t>
      </w:r>
      <w:r>
        <w:t xml:space="preserve"> </w:t>
      </w:r>
      <w:r w:rsidR="00203B41">
        <w:t xml:space="preserve">by </w:t>
      </w:r>
      <w:r w:rsidR="00203B41" w:rsidRPr="005F4DAF">
        <w:t>the</w:t>
      </w:r>
      <w:r w:rsidR="00203B41">
        <w:t xml:space="preserve"> OBPR </w:t>
      </w:r>
      <w:r>
        <w:t>for</w:t>
      </w:r>
      <w:r w:rsidRPr="005F4DAF">
        <w:t xml:space="preserve"> regulatory proposals where the decision maker is the Australian Government’s Cabinet, the Prime Minister, minister, statutory authority, board or other regulator. The OBPR reference number for the RIS is 22202.</w:t>
      </w:r>
    </w:p>
    <w:p w:rsidR="00586887" w:rsidRPr="00CA7971" w:rsidRDefault="00766349" w:rsidP="00AC052E">
      <w:pPr>
        <w:pStyle w:val="HeadingLevel1"/>
        <w:outlineLvl w:val="0"/>
      </w:pPr>
      <w:r>
        <w:t>Statement of compatibility with human rights</w:t>
      </w:r>
    </w:p>
    <w:p w:rsidR="00586887" w:rsidRPr="00CA7971" w:rsidRDefault="00586887" w:rsidP="0066367E">
      <w:r w:rsidRPr="00CA7971">
        <w:t xml:space="preserve">The following Statement is prepared in accordance with Part 3 of the </w:t>
      </w:r>
      <w:r w:rsidRPr="0066367E">
        <w:rPr>
          <w:i/>
        </w:rPr>
        <w:t>Human Rights (Parliamentary Scrutiny) Act 2011</w:t>
      </w:r>
      <w:r w:rsidR="0093212F">
        <w:t>.</w:t>
      </w:r>
    </w:p>
    <w:p w:rsidR="00586887" w:rsidRPr="00CA7971" w:rsidRDefault="00586887" w:rsidP="001D262C">
      <w:pPr>
        <w:pStyle w:val="HeadingLevel2"/>
      </w:pPr>
      <w:bookmarkStart w:id="10" w:name="_Toc318271646"/>
      <w:bookmarkStart w:id="11" w:name="_Toc317171518"/>
      <w:bookmarkStart w:id="12" w:name="_Toc317171392"/>
      <w:bookmarkStart w:id="13" w:name="_Toc318272905"/>
      <w:bookmarkStart w:id="14" w:name="_Toc319402530"/>
      <w:r w:rsidRPr="00CA7971">
        <w:t>Overview of the Legislative Instrument</w:t>
      </w:r>
      <w:bookmarkEnd w:id="10"/>
      <w:bookmarkEnd w:id="11"/>
      <w:bookmarkEnd w:id="12"/>
      <w:bookmarkEnd w:id="13"/>
      <w:bookmarkEnd w:id="14"/>
    </w:p>
    <w:p w:rsidR="00C012F7" w:rsidRPr="00CA7971" w:rsidRDefault="00586887" w:rsidP="00586887">
      <w:r w:rsidRPr="00940D50">
        <w:t xml:space="preserve">ADR </w:t>
      </w:r>
      <w:r w:rsidR="00312DBC">
        <w:t>33</w:t>
      </w:r>
      <w:r w:rsidR="000927B2" w:rsidRPr="00940D50">
        <w:t>/0</w:t>
      </w:r>
      <w:r w:rsidR="00312DBC">
        <w:t>1</w:t>
      </w:r>
      <w:r w:rsidR="000927B2" w:rsidRPr="00940D50">
        <w:t xml:space="preserve"> </w:t>
      </w:r>
      <w:r w:rsidRPr="00940D50">
        <w:t xml:space="preserve">is </w:t>
      </w:r>
      <w:r w:rsidR="00C012F7" w:rsidRPr="00940D50">
        <w:t>a new standard</w:t>
      </w:r>
      <w:r w:rsidRPr="00940D50">
        <w:t xml:space="preserve">.  </w:t>
      </w:r>
      <w:r w:rsidR="00BE5C7D" w:rsidRPr="00940D50">
        <w:t xml:space="preserve">It </w:t>
      </w:r>
      <w:r w:rsidR="0001445D">
        <w:t>sets mandatory</w:t>
      </w:r>
      <w:r w:rsidR="00177758" w:rsidRPr="00940D50">
        <w:t xml:space="preserve"> </w:t>
      </w:r>
      <w:r w:rsidR="00C012F7" w:rsidRPr="00940D50">
        <w:t>requirements</w:t>
      </w:r>
      <w:r w:rsidR="0001445D">
        <w:t xml:space="preserve"> for advanced braking systems</w:t>
      </w:r>
      <w:r w:rsidR="00C012F7" w:rsidRPr="00940D50">
        <w:t xml:space="preserve"> </w:t>
      </w:r>
      <w:r w:rsidR="006A40A4">
        <w:t xml:space="preserve">to ensure safe braking under normal and emergency </w:t>
      </w:r>
      <w:r w:rsidR="006A40A4" w:rsidRPr="00115B51">
        <w:t>conditions for motorcycles (</w:t>
      </w:r>
      <w:r w:rsidR="006A40A4">
        <w:t xml:space="preserve">ADR </w:t>
      </w:r>
      <w:r w:rsidR="006A40A4" w:rsidRPr="00115B51">
        <w:t>categories LC, LD and LE) and mopeds (</w:t>
      </w:r>
      <w:r w:rsidR="006A40A4">
        <w:t xml:space="preserve">ADR </w:t>
      </w:r>
      <w:r w:rsidR="006A40A4" w:rsidRPr="00115B51">
        <w:t>categories LA and LB).</w:t>
      </w:r>
    </w:p>
    <w:p w:rsidR="00586887" w:rsidRPr="00CA7971" w:rsidRDefault="00586887" w:rsidP="001D262C">
      <w:pPr>
        <w:pStyle w:val="HeadingLevel2"/>
      </w:pPr>
      <w:bookmarkStart w:id="15" w:name="_Toc318271647"/>
      <w:bookmarkStart w:id="16" w:name="_Toc317171519"/>
      <w:bookmarkStart w:id="17" w:name="_Toc317171393"/>
      <w:bookmarkStart w:id="18" w:name="_Toc318272906"/>
      <w:bookmarkStart w:id="19" w:name="_Toc319402531"/>
      <w:r w:rsidRPr="00CA7971">
        <w:t>Human Rights Implications</w:t>
      </w:r>
      <w:bookmarkEnd w:id="15"/>
      <w:bookmarkEnd w:id="16"/>
      <w:bookmarkEnd w:id="17"/>
      <w:bookmarkEnd w:id="18"/>
      <w:bookmarkEnd w:id="19"/>
    </w:p>
    <w:p w:rsidR="00586887" w:rsidRPr="00CA7971" w:rsidRDefault="00586887" w:rsidP="001D262C">
      <w:r w:rsidRPr="00CA7971">
        <w:t xml:space="preserve">ADR </w:t>
      </w:r>
      <w:r w:rsidR="00312DBC">
        <w:t>33</w:t>
      </w:r>
      <w:r w:rsidRPr="00CA7971">
        <w:t>/</w:t>
      </w:r>
      <w:r w:rsidR="00BE4399" w:rsidRPr="00CA7971">
        <w:t>0</w:t>
      </w:r>
      <w:r w:rsidR="00312DBC">
        <w:t>1</w:t>
      </w:r>
      <w:r w:rsidRPr="00CA7971">
        <w:t xml:space="preserve"> does not engage any of the human rights and freedoms recognised or declared in the international instruments listed in section 3 of the </w:t>
      </w:r>
      <w:r w:rsidRPr="0066367E">
        <w:rPr>
          <w:i/>
          <w:iCs/>
        </w:rPr>
        <w:t>Human Rights (Parliamentary Scrutiny) Act 2011</w:t>
      </w:r>
      <w:r w:rsidRPr="00CA7971">
        <w:t>.</w:t>
      </w:r>
    </w:p>
    <w:p w:rsidR="00586887" w:rsidRPr="00CA7971" w:rsidRDefault="00586887" w:rsidP="001D262C">
      <w:pPr>
        <w:pStyle w:val="HeadingLevel2"/>
      </w:pPr>
      <w:bookmarkStart w:id="20" w:name="_Toc319402532"/>
      <w:r w:rsidRPr="00CA7971">
        <w:t>Conclusion</w:t>
      </w:r>
      <w:bookmarkEnd w:id="20"/>
    </w:p>
    <w:p w:rsidR="00586887" w:rsidRPr="00586887" w:rsidRDefault="00586887" w:rsidP="001D262C">
      <w:r w:rsidRPr="00CA7971">
        <w:t xml:space="preserve">ADR </w:t>
      </w:r>
      <w:r w:rsidR="00312DBC">
        <w:t>33</w:t>
      </w:r>
      <w:r w:rsidRPr="00CA7971">
        <w:t>/</w:t>
      </w:r>
      <w:r w:rsidR="00EB5F9C" w:rsidRPr="00CA7971">
        <w:t>0</w:t>
      </w:r>
      <w:r w:rsidR="00312DBC">
        <w:t>1</w:t>
      </w:r>
      <w:r w:rsidRPr="00CA7971">
        <w:t xml:space="preserve"> is compatible with human rights as it does not raise any human rights issues.</w:t>
      </w:r>
    </w:p>
    <w:sectPr w:rsidR="00586887" w:rsidRPr="00586887" w:rsidSect="006F6A67">
      <w:headerReference w:type="first" r:id="rId13"/>
      <w:pgSz w:w="11906" w:h="16838" w:code="9"/>
      <w:pgMar w:top="1440" w:right="1701" w:bottom="1440"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643" w:rsidRDefault="008C1643">
      <w:r>
        <w:separator/>
      </w:r>
    </w:p>
  </w:endnote>
  <w:endnote w:type="continuationSeparator" w:id="0">
    <w:p w:rsidR="008C1643" w:rsidRDefault="008C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C12E27">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643" w:rsidRDefault="008C1643">
      <w:r>
        <w:separator/>
      </w:r>
    </w:p>
  </w:footnote>
  <w:footnote w:type="continuationSeparator" w:id="0">
    <w:p w:rsidR="008C1643" w:rsidRDefault="008C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935B60">
    <w:pPr>
      <w:pStyle w:val="Header"/>
      <w:jc w:val="right"/>
    </w:pPr>
    <w:r>
      <w:fldChar w:fldCharType="begin"/>
    </w:r>
    <w:r w:rsidR="008142FF">
      <w:instrText xml:space="preserve"> PAGE   \* MERGEFORMAT </w:instrText>
    </w:r>
    <w:r>
      <w:fldChar w:fldCharType="separate"/>
    </w:r>
    <w:r w:rsidR="00D51B43">
      <w:rPr>
        <w:noProof/>
      </w:rPr>
      <w:t>2</w:t>
    </w:r>
    <w:r>
      <w:rPr>
        <w:noProof/>
      </w:rPr>
      <w:fldChar w:fldCharType="end"/>
    </w:r>
  </w:p>
  <w:p w:rsidR="006B2A4B" w:rsidRPr="003234FA" w:rsidRDefault="006B2A4B" w:rsidP="0012110B">
    <w:pPr>
      <w:pStyle w:val="Header"/>
      <w:rPr>
        <w:szCs w:val="20"/>
      </w:rPr>
    </w:pPr>
    <w:r w:rsidRPr="003234FA">
      <w:rPr>
        <w:szCs w:val="20"/>
      </w:rPr>
      <w:t>Explanatory Statement</w:t>
    </w:r>
  </w:p>
  <w:p w:rsidR="006B2A4B" w:rsidRPr="00ED1AFB" w:rsidRDefault="00D5709E" w:rsidP="0012110B">
    <w:pPr>
      <w:pStyle w:val="Header"/>
      <w:pBdr>
        <w:bottom w:val="single" w:sz="4" w:space="1" w:color="auto"/>
      </w:pBdr>
      <w:tabs>
        <w:tab w:val="clear" w:pos="4153"/>
        <w:tab w:val="left" w:pos="7740"/>
      </w:tabs>
      <w:rPr>
        <w:szCs w:val="20"/>
        <w:lang w:val="en-AU"/>
      </w:rPr>
    </w:pPr>
    <w:r w:rsidRPr="00DC33CF">
      <w:rPr>
        <w:szCs w:val="20"/>
      </w:rPr>
      <w:t>Vehicle Standard (</w:t>
    </w:r>
    <w:r w:rsidR="006B2A4B" w:rsidRPr="003234FA">
      <w:rPr>
        <w:szCs w:val="20"/>
      </w:rPr>
      <w:t xml:space="preserve">Australian </w:t>
    </w:r>
    <w:r w:rsidR="006B2A4B" w:rsidRPr="006132B9">
      <w:rPr>
        <w:szCs w:val="20"/>
      </w:rPr>
      <w:t xml:space="preserve">Design Rule </w:t>
    </w:r>
    <w:r w:rsidR="003D239D">
      <w:rPr>
        <w:szCs w:val="20"/>
        <w:lang w:val="en-AU"/>
      </w:rPr>
      <w:t>33</w:t>
    </w:r>
    <w:r w:rsidRPr="006132B9">
      <w:rPr>
        <w:szCs w:val="20"/>
      </w:rPr>
      <w:t>/</w:t>
    </w:r>
    <w:r w:rsidR="00D20CAA" w:rsidRPr="006132B9">
      <w:rPr>
        <w:szCs w:val="20"/>
      </w:rPr>
      <w:t>0</w:t>
    </w:r>
    <w:r w:rsidR="003D239D">
      <w:rPr>
        <w:szCs w:val="20"/>
        <w:lang w:val="en-AU"/>
      </w:rPr>
      <w:t>1</w:t>
    </w:r>
    <w:r w:rsidR="006B2A4B" w:rsidRPr="006132B9">
      <w:rPr>
        <w:szCs w:val="20"/>
      </w:rPr>
      <w:t xml:space="preserve"> </w:t>
    </w:r>
    <w:r w:rsidRPr="006132B9">
      <w:rPr>
        <w:szCs w:val="20"/>
      </w:rPr>
      <w:t xml:space="preserve">– </w:t>
    </w:r>
    <w:r w:rsidR="003D239D" w:rsidRPr="003D239D">
      <w:rPr>
        <w:szCs w:val="20"/>
      </w:rPr>
      <w:t xml:space="preserve">Brake Systems </w:t>
    </w:r>
    <w:r w:rsidR="003D239D">
      <w:rPr>
        <w:szCs w:val="20"/>
      </w:rPr>
      <w:t>for Motorcycles and Mopeds</w:t>
    </w:r>
    <w:r>
      <w:t>) 201</w:t>
    </w:r>
    <w:r w:rsidR="003D239D">
      <w:rPr>
        <w:lang w:val="en-AU"/>
      </w:rPr>
      <w:t>7</w:t>
    </w:r>
  </w:p>
  <w:p w:rsidR="001D4A9B" w:rsidRDefault="001D4A9B" w:rsidP="004C5515">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A67" w:rsidRDefault="006F6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A75CFD0A"/>
    <w:lvl w:ilvl="0" w:tplc="ED4636AA">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66BCCDD0"/>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1445D"/>
    <w:rsid w:val="000157B0"/>
    <w:rsid w:val="000220C0"/>
    <w:rsid w:val="00022CA1"/>
    <w:rsid w:val="000245BE"/>
    <w:rsid w:val="000260C3"/>
    <w:rsid w:val="0003223D"/>
    <w:rsid w:val="000335E2"/>
    <w:rsid w:val="00052AC7"/>
    <w:rsid w:val="000562F1"/>
    <w:rsid w:val="00066F93"/>
    <w:rsid w:val="000713D8"/>
    <w:rsid w:val="000740DE"/>
    <w:rsid w:val="00074D90"/>
    <w:rsid w:val="00075396"/>
    <w:rsid w:val="0008418F"/>
    <w:rsid w:val="0008652F"/>
    <w:rsid w:val="000927B2"/>
    <w:rsid w:val="000B1C73"/>
    <w:rsid w:val="000B3DBE"/>
    <w:rsid w:val="000B6924"/>
    <w:rsid w:val="000B6EDB"/>
    <w:rsid w:val="000C0E62"/>
    <w:rsid w:val="000C11BE"/>
    <w:rsid w:val="000C14D3"/>
    <w:rsid w:val="000C171E"/>
    <w:rsid w:val="000C57AC"/>
    <w:rsid w:val="000C7A88"/>
    <w:rsid w:val="000D3459"/>
    <w:rsid w:val="000D44AB"/>
    <w:rsid w:val="000D6331"/>
    <w:rsid w:val="000E3161"/>
    <w:rsid w:val="000E36A9"/>
    <w:rsid w:val="000E3CB6"/>
    <w:rsid w:val="000E46B1"/>
    <w:rsid w:val="000E6F99"/>
    <w:rsid w:val="000E7A76"/>
    <w:rsid w:val="000F4182"/>
    <w:rsid w:val="000F534E"/>
    <w:rsid w:val="000F793B"/>
    <w:rsid w:val="00101E42"/>
    <w:rsid w:val="00102EE7"/>
    <w:rsid w:val="00105209"/>
    <w:rsid w:val="00106C75"/>
    <w:rsid w:val="00113D23"/>
    <w:rsid w:val="001143B9"/>
    <w:rsid w:val="00115B51"/>
    <w:rsid w:val="0012110B"/>
    <w:rsid w:val="00135B6F"/>
    <w:rsid w:val="00141FF9"/>
    <w:rsid w:val="00152636"/>
    <w:rsid w:val="00152B07"/>
    <w:rsid w:val="00155FE4"/>
    <w:rsid w:val="00160C84"/>
    <w:rsid w:val="001631FD"/>
    <w:rsid w:val="00166159"/>
    <w:rsid w:val="00170AE8"/>
    <w:rsid w:val="001717FC"/>
    <w:rsid w:val="00171B84"/>
    <w:rsid w:val="0017428B"/>
    <w:rsid w:val="00177758"/>
    <w:rsid w:val="00177ADF"/>
    <w:rsid w:val="00183B5F"/>
    <w:rsid w:val="00187070"/>
    <w:rsid w:val="00187D37"/>
    <w:rsid w:val="0019636E"/>
    <w:rsid w:val="00197EE4"/>
    <w:rsid w:val="001A25B9"/>
    <w:rsid w:val="001B0EFB"/>
    <w:rsid w:val="001B38AA"/>
    <w:rsid w:val="001B4A6F"/>
    <w:rsid w:val="001D17F3"/>
    <w:rsid w:val="001D262C"/>
    <w:rsid w:val="001D4A9B"/>
    <w:rsid w:val="001E1A19"/>
    <w:rsid w:val="001E6F6F"/>
    <w:rsid w:val="001E7240"/>
    <w:rsid w:val="00200879"/>
    <w:rsid w:val="002019EC"/>
    <w:rsid w:val="0020273D"/>
    <w:rsid w:val="00203B41"/>
    <w:rsid w:val="00212153"/>
    <w:rsid w:val="00214257"/>
    <w:rsid w:val="00216DD3"/>
    <w:rsid w:val="0022514F"/>
    <w:rsid w:val="00225589"/>
    <w:rsid w:val="0022575C"/>
    <w:rsid w:val="00226CB6"/>
    <w:rsid w:val="0022719C"/>
    <w:rsid w:val="00227A72"/>
    <w:rsid w:val="00230807"/>
    <w:rsid w:val="0023125C"/>
    <w:rsid w:val="00233F4B"/>
    <w:rsid w:val="002351E9"/>
    <w:rsid w:val="00237831"/>
    <w:rsid w:val="002425A0"/>
    <w:rsid w:val="00242D6F"/>
    <w:rsid w:val="002449FF"/>
    <w:rsid w:val="00246F06"/>
    <w:rsid w:val="002550C2"/>
    <w:rsid w:val="002640E7"/>
    <w:rsid w:val="00266FE7"/>
    <w:rsid w:val="00267FAC"/>
    <w:rsid w:val="00270FAD"/>
    <w:rsid w:val="002714C6"/>
    <w:rsid w:val="00282648"/>
    <w:rsid w:val="00282AAC"/>
    <w:rsid w:val="00283230"/>
    <w:rsid w:val="0028346B"/>
    <w:rsid w:val="002904A2"/>
    <w:rsid w:val="00292D0D"/>
    <w:rsid w:val="002938EB"/>
    <w:rsid w:val="002968C5"/>
    <w:rsid w:val="002975C7"/>
    <w:rsid w:val="002A063C"/>
    <w:rsid w:val="002B1FE3"/>
    <w:rsid w:val="002B20F4"/>
    <w:rsid w:val="002B459D"/>
    <w:rsid w:val="002B574B"/>
    <w:rsid w:val="002B7491"/>
    <w:rsid w:val="002B7CA5"/>
    <w:rsid w:val="002D070C"/>
    <w:rsid w:val="002D3608"/>
    <w:rsid w:val="002D508E"/>
    <w:rsid w:val="002D5997"/>
    <w:rsid w:val="002D7277"/>
    <w:rsid w:val="002E1691"/>
    <w:rsid w:val="002E1BBE"/>
    <w:rsid w:val="002E37E2"/>
    <w:rsid w:val="002E5035"/>
    <w:rsid w:val="002E5FEA"/>
    <w:rsid w:val="002E6D99"/>
    <w:rsid w:val="002F17FE"/>
    <w:rsid w:val="002F37AE"/>
    <w:rsid w:val="002F3EEF"/>
    <w:rsid w:val="0030081B"/>
    <w:rsid w:val="00303912"/>
    <w:rsid w:val="003039C0"/>
    <w:rsid w:val="00304422"/>
    <w:rsid w:val="00310E9F"/>
    <w:rsid w:val="003119C5"/>
    <w:rsid w:val="00312DBC"/>
    <w:rsid w:val="00314DEA"/>
    <w:rsid w:val="003157F6"/>
    <w:rsid w:val="003210C8"/>
    <w:rsid w:val="003368C2"/>
    <w:rsid w:val="00341EF6"/>
    <w:rsid w:val="003443C2"/>
    <w:rsid w:val="003447E5"/>
    <w:rsid w:val="00344A42"/>
    <w:rsid w:val="00347408"/>
    <w:rsid w:val="00347940"/>
    <w:rsid w:val="0035037C"/>
    <w:rsid w:val="003534C0"/>
    <w:rsid w:val="00353C97"/>
    <w:rsid w:val="00353DBD"/>
    <w:rsid w:val="003567BF"/>
    <w:rsid w:val="0036261D"/>
    <w:rsid w:val="00365500"/>
    <w:rsid w:val="00373116"/>
    <w:rsid w:val="003736E6"/>
    <w:rsid w:val="003737A4"/>
    <w:rsid w:val="00373A7D"/>
    <w:rsid w:val="003778A3"/>
    <w:rsid w:val="0039439E"/>
    <w:rsid w:val="00395DAB"/>
    <w:rsid w:val="00396C92"/>
    <w:rsid w:val="003A3373"/>
    <w:rsid w:val="003A45FB"/>
    <w:rsid w:val="003A4F94"/>
    <w:rsid w:val="003B08C9"/>
    <w:rsid w:val="003B220C"/>
    <w:rsid w:val="003B2EB6"/>
    <w:rsid w:val="003B4057"/>
    <w:rsid w:val="003B4482"/>
    <w:rsid w:val="003B6992"/>
    <w:rsid w:val="003C0795"/>
    <w:rsid w:val="003D1AB8"/>
    <w:rsid w:val="003D239D"/>
    <w:rsid w:val="003D3D19"/>
    <w:rsid w:val="003E2522"/>
    <w:rsid w:val="003E2ACE"/>
    <w:rsid w:val="003E5643"/>
    <w:rsid w:val="003E56E7"/>
    <w:rsid w:val="003F01D5"/>
    <w:rsid w:val="003F25A8"/>
    <w:rsid w:val="003F51E5"/>
    <w:rsid w:val="003F6981"/>
    <w:rsid w:val="00402B28"/>
    <w:rsid w:val="00404CC7"/>
    <w:rsid w:val="00410063"/>
    <w:rsid w:val="00412A94"/>
    <w:rsid w:val="004161CF"/>
    <w:rsid w:val="004163FA"/>
    <w:rsid w:val="004174F7"/>
    <w:rsid w:val="00422A41"/>
    <w:rsid w:val="00426BF7"/>
    <w:rsid w:val="00431883"/>
    <w:rsid w:val="00433473"/>
    <w:rsid w:val="00435FBC"/>
    <w:rsid w:val="00436451"/>
    <w:rsid w:val="00437142"/>
    <w:rsid w:val="00441D7B"/>
    <w:rsid w:val="00442D5E"/>
    <w:rsid w:val="004433E1"/>
    <w:rsid w:val="004454CA"/>
    <w:rsid w:val="0044652B"/>
    <w:rsid w:val="00450F3A"/>
    <w:rsid w:val="00453027"/>
    <w:rsid w:val="004619D3"/>
    <w:rsid w:val="00476B93"/>
    <w:rsid w:val="0047737B"/>
    <w:rsid w:val="00477592"/>
    <w:rsid w:val="00485D93"/>
    <w:rsid w:val="00485E16"/>
    <w:rsid w:val="00492249"/>
    <w:rsid w:val="004A7D83"/>
    <w:rsid w:val="004B0B6B"/>
    <w:rsid w:val="004B17C6"/>
    <w:rsid w:val="004C52F0"/>
    <w:rsid w:val="004C5515"/>
    <w:rsid w:val="004C68B7"/>
    <w:rsid w:val="004C77FE"/>
    <w:rsid w:val="004D6CC1"/>
    <w:rsid w:val="004D785B"/>
    <w:rsid w:val="004E3903"/>
    <w:rsid w:val="004E7515"/>
    <w:rsid w:val="004F747E"/>
    <w:rsid w:val="005022F7"/>
    <w:rsid w:val="005077CE"/>
    <w:rsid w:val="00510E74"/>
    <w:rsid w:val="0051368F"/>
    <w:rsid w:val="00513F9E"/>
    <w:rsid w:val="00525905"/>
    <w:rsid w:val="005338E3"/>
    <w:rsid w:val="00536F80"/>
    <w:rsid w:val="0054701F"/>
    <w:rsid w:val="0055053C"/>
    <w:rsid w:val="005506E2"/>
    <w:rsid w:val="00550A6B"/>
    <w:rsid w:val="00560C37"/>
    <w:rsid w:val="00561BCD"/>
    <w:rsid w:val="00564479"/>
    <w:rsid w:val="0056701E"/>
    <w:rsid w:val="005725C2"/>
    <w:rsid w:val="005753E3"/>
    <w:rsid w:val="00577A60"/>
    <w:rsid w:val="00581C0B"/>
    <w:rsid w:val="00586887"/>
    <w:rsid w:val="0059095D"/>
    <w:rsid w:val="00594765"/>
    <w:rsid w:val="00595B2F"/>
    <w:rsid w:val="005963A1"/>
    <w:rsid w:val="00596853"/>
    <w:rsid w:val="005B114C"/>
    <w:rsid w:val="005B1D19"/>
    <w:rsid w:val="005C46E4"/>
    <w:rsid w:val="005C48D4"/>
    <w:rsid w:val="005C65A4"/>
    <w:rsid w:val="005D100B"/>
    <w:rsid w:val="005D21F5"/>
    <w:rsid w:val="005D51D1"/>
    <w:rsid w:val="005D79C8"/>
    <w:rsid w:val="005E2B4C"/>
    <w:rsid w:val="005F0774"/>
    <w:rsid w:val="005F1876"/>
    <w:rsid w:val="005F26EF"/>
    <w:rsid w:val="005F4DAF"/>
    <w:rsid w:val="005F7B12"/>
    <w:rsid w:val="005F7B3B"/>
    <w:rsid w:val="005F7F32"/>
    <w:rsid w:val="00606506"/>
    <w:rsid w:val="006132B9"/>
    <w:rsid w:val="006136AA"/>
    <w:rsid w:val="00614AE7"/>
    <w:rsid w:val="0062524B"/>
    <w:rsid w:val="00626DBC"/>
    <w:rsid w:val="00630795"/>
    <w:rsid w:val="006334AE"/>
    <w:rsid w:val="00633730"/>
    <w:rsid w:val="00635090"/>
    <w:rsid w:val="006434F1"/>
    <w:rsid w:val="006438BB"/>
    <w:rsid w:val="006440AF"/>
    <w:rsid w:val="00645C09"/>
    <w:rsid w:val="00654C03"/>
    <w:rsid w:val="00662397"/>
    <w:rsid w:val="0066367E"/>
    <w:rsid w:val="00663810"/>
    <w:rsid w:val="00672700"/>
    <w:rsid w:val="00680C49"/>
    <w:rsid w:val="006815B3"/>
    <w:rsid w:val="00681FF3"/>
    <w:rsid w:val="006909D0"/>
    <w:rsid w:val="0069365C"/>
    <w:rsid w:val="00693F4E"/>
    <w:rsid w:val="00694C9C"/>
    <w:rsid w:val="00696758"/>
    <w:rsid w:val="006A0D9E"/>
    <w:rsid w:val="006A3C57"/>
    <w:rsid w:val="006A40A4"/>
    <w:rsid w:val="006A5E2A"/>
    <w:rsid w:val="006A6CDC"/>
    <w:rsid w:val="006B246D"/>
    <w:rsid w:val="006B2A4B"/>
    <w:rsid w:val="006B55BE"/>
    <w:rsid w:val="006B7D5F"/>
    <w:rsid w:val="006C1E06"/>
    <w:rsid w:val="006C4478"/>
    <w:rsid w:val="006C54A0"/>
    <w:rsid w:val="006C69D9"/>
    <w:rsid w:val="006D3E64"/>
    <w:rsid w:val="006D5556"/>
    <w:rsid w:val="006D6283"/>
    <w:rsid w:val="006F2BF5"/>
    <w:rsid w:val="006F6A67"/>
    <w:rsid w:val="006F6F26"/>
    <w:rsid w:val="007011DC"/>
    <w:rsid w:val="00701E0E"/>
    <w:rsid w:val="00702CE4"/>
    <w:rsid w:val="00707003"/>
    <w:rsid w:val="007136C2"/>
    <w:rsid w:val="0071541C"/>
    <w:rsid w:val="007169E6"/>
    <w:rsid w:val="007243F0"/>
    <w:rsid w:val="0073109B"/>
    <w:rsid w:val="00733478"/>
    <w:rsid w:val="00734941"/>
    <w:rsid w:val="007358A7"/>
    <w:rsid w:val="0074026C"/>
    <w:rsid w:val="00743AC9"/>
    <w:rsid w:val="00743B9A"/>
    <w:rsid w:val="00747F6A"/>
    <w:rsid w:val="00760342"/>
    <w:rsid w:val="00760426"/>
    <w:rsid w:val="00762957"/>
    <w:rsid w:val="007653BB"/>
    <w:rsid w:val="00766349"/>
    <w:rsid w:val="007668B6"/>
    <w:rsid w:val="007753E7"/>
    <w:rsid w:val="0078303D"/>
    <w:rsid w:val="00785BEC"/>
    <w:rsid w:val="00785C95"/>
    <w:rsid w:val="00792C5E"/>
    <w:rsid w:val="007963C2"/>
    <w:rsid w:val="00796570"/>
    <w:rsid w:val="007A1E1A"/>
    <w:rsid w:val="007A36C3"/>
    <w:rsid w:val="007A3BB4"/>
    <w:rsid w:val="007A576D"/>
    <w:rsid w:val="007B14D6"/>
    <w:rsid w:val="007B247C"/>
    <w:rsid w:val="007B6B17"/>
    <w:rsid w:val="007C337C"/>
    <w:rsid w:val="007C454A"/>
    <w:rsid w:val="007D0417"/>
    <w:rsid w:val="007D28E4"/>
    <w:rsid w:val="007D65A6"/>
    <w:rsid w:val="007D671C"/>
    <w:rsid w:val="007E270A"/>
    <w:rsid w:val="007E69D0"/>
    <w:rsid w:val="007F1CA7"/>
    <w:rsid w:val="007F3A3C"/>
    <w:rsid w:val="00803C41"/>
    <w:rsid w:val="00811BFA"/>
    <w:rsid w:val="008142FF"/>
    <w:rsid w:val="00816F99"/>
    <w:rsid w:val="0082139D"/>
    <w:rsid w:val="008235EB"/>
    <w:rsid w:val="00827FAE"/>
    <w:rsid w:val="008353AD"/>
    <w:rsid w:val="008356AB"/>
    <w:rsid w:val="00845ABF"/>
    <w:rsid w:val="00846B0F"/>
    <w:rsid w:val="008470F8"/>
    <w:rsid w:val="0085194A"/>
    <w:rsid w:val="00854C95"/>
    <w:rsid w:val="008553C3"/>
    <w:rsid w:val="00856306"/>
    <w:rsid w:val="0085695A"/>
    <w:rsid w:val="0085751C"/>
    <w:rsid w:val="00862803"/>
    <w:rsid w:val="00863EF3"/>
    <w:rsid w:val="00863F76"/>
    <w:rsid w:val="00872B7C"/>
    <w:rsid w:val="00875846"/>
    <w:rsid w:val="00880D9C"/>
    <w:rsid w:val="0088281D"/>
    <w:rsid w:val="00887FC8"/>
    <w:rsid w:val="008933EB"/>
    <w:rsid w:val="00896B15"/>
    <w:rsid w:val="008A1EBB"/>
    <w:rsid w:val="008A4638"/>
    <w:rsid w:val="008A51A2"/>
    <w:rsid w:val="008A5F73"/>
    <w:rsid w:val="008B457B"/>
    <w:rsid w:val="008B5A21"/>
    <w:rsid w:val="008B76E2"/>
    <w:rsid w:val="008C0815"/>
    <w:rsid w:val="008C1643"/>
    <w:rsid w:val="008C185F"/>
    <w:rsid w:val="008C1BC3"/>
    <w:rsid w:val="008C3DED"/>
    <w:rsid w:val="008C560F"/>
    <w:rsid w:val="008C605A"/>
    <w:rsid w:val="008C7693"/>
    <w:rsid w:val="008D374F"/>
    <w:rsid w:val="008D4470"/>
    <w:rsid w:val="008D5E04"/>
    <w:rsid w:val="008F2C8A"/>
    <w:rsid w:val="008F6DCD"/>
    <w:rsid w:val="008F6F2C"/>
    <w:rsid w:val="008F74E6"/>
    <w:rsid w:val="0090191B"/>
    <w:rsid w:val="009043D9"/>
    <w:rsid w:val="009074B5"/>
    <w:rsid w:val="0091237F"/>
    <w:rsid w:val="00921439"/>
    <w:rsid w:val="009231EC"/>
    <w:rsid w:val="00927FBE"/>
    <w:rsid w:val="0093212F"/>
    <w:rsid w:val="009327EF"/>
    <w:rsid w:val="0093299E"/>
    <w:rsid w:val="00933218"/>
    <w:rsid w:val="00934F06"/>
    <w:rsid w:val="00935B60"/>
    <w:rsid w:val="00937F7F"/>
    <w:rsid w:val="00940B32"/>
    <w:rsid w:val="00940D50"/>
    <w:rsid w:val="00944396"/>
    <w:rsid w:val="00946AE0"/>
    <w:rsid w:val="00950BD1"/>
    <w:rsid w:val="00950F8F"/>
    <w:rsid w:val="0095143D"/>
    <w:rsid w:val="0095255D"/>
    <w:rsid w:val="00952B82"/>
    <w:rsid w:val="0095554F"/>
    <w:rsid w:val="00956D94"/>
    <w:rsid w:val="00957B66"/>
    <w:rsid w:val="00961F3B"/>
    <w:rsid w:val="00963ABC"/>
    <w:rsid w:val="00971128"/>
    <w:rsid w:val="00976110"/>
    <w:rsid w:val="0097733B"/>
    <w:rsid w:val="00977888"/>
    <w:rsid w:val="009846F3"/>
    <w:rsid w:val="00985846"/>
    <w:rsid w:val="009860B3"/>
    <w:rsid w:val="00994429"/>
    <w:rsid w:val="00997893"/>
    <w:rsid w:val="009A1670"/>
    <w:rsid w:val="009A38D2"/>
    <w:rsid w:val="009A3B5E"/>
    <w:rsid w:val="009A40C7"/>
    <w:rsid w:val="009B12A3"/>
    <w:rsid w:val="009C0B8F"/>
    <w:rsid w:val="009C1BA6"/>
    <w:rsid w:val="009C1F80"/>
    <w:rsid w:val="009C3304"/>
    <w:rsid w:val="009C407C"/>
    <w:rsid w:val="009C4A2E"/>
    <w:rsid w:val="009C56AF"/>
    <w:rsid w:val="009C69B1"/>
    <w:rsid w:val="009C6FCA"/>
    <w:rsid w:val="009D2E35"/>
    <w:rsid w:val="009D6FB6"/>
    <w:rsid w:val="009E00D5"/>
    <w:rsid w:val="009E5A5D"/>
    <w:rsid w:val="009E6091"/>
    <w:rsid w:val="009E67A7"/>
    <w:rsid w:val="009E7D0B"/>
    <w:rsid w:val="009F04AC"/>
    <w:rsid w:val="009F5065"/>
    <w:rsid w:val="009F5254"/>
    <w:rsid w:val="009F6964"/>
    <w:rsid w:val="009F75E4"/>
    <w:rsid w:val="00A01B43"/>
    <w:rsid w:val="00A065ED"/>
    <w:rsid w:val="00A06839"/>
    <w:rsid w:val="00A1063D"/>
    <w:rsid w:val="00A10F22"/>
    <w:rsid w:val="00A27335"/>
    <w:rsid w:val="00A30666"/>
    <w:rsid w:val="00A30939"/>
    <w:rsid w:val="00A30DC9"/>
    <w:rsid w:val="00A321D7"/>
    <w:rsid w:val="00A34A31"/>
    <w:rsid w:val="00A351DD"/>
    <w:rsid w:val="00A35B99"/>
    <w:rsid w:val="00A362A2"/>
    <w:rsid w:val="00A36FAB"/>
    <w:rsid w:val="00A43237"/>
    <w:rsid w:val="00A4412B"/>
    <w:rsid w:val="00A501A3"/>
    <w:rsid w:val="00A50768"/>
    <w:rsid w:val="00A51E84"/>
    <w:rsid w:val="00A53C3C"/>
    <w:rsid w:val="00A54A7E"/>
    <w:rsid w:val="00A62388"/>
    <w:rsid w:val="00A63852"/>
    <w:rsid w:val="00A63A1A"/>
    <w:rsid w:val="00A63FE4"/>
    <w:rsid w:val="00A64236"/>
    <w:rsid w:val="00A65A2C"/>
    <w:rsid w:val="00A65E15"/>
    <w:rsid w:val="00A66D92"/>
    <w:rsid w:val="00A71585"/>
    <w:rsid w:val="00A82B4B"/>
    <w:rsid w:val="00A8398A"/>
    <w:rsid w:val="00A8675A"/>
    <w:rsid w:val="00A94E67"/>
    <w:rsid w:val="00AA319A"/>
    <w:rsid w:val="00AB119D"/>
    <w:rsid w:val="00AB42B4"/>
    <w:rsid w:val="00AC0271"/>
    <w:rsid w:val="00AC052E"/>
    <w:rsid w:val="00AC5E4B"/>
    <w:rsid w:val="00AC7497"/>
    <w:rsid w:val="00AC74A7"/>
    <w:rsid w:val="00AE5123"/>
    <w:rsid w:val="00AE52FE"/>
    <w:rsid w:val="00AE5AB2"/>
    <w:rsid w:val="00AE6EF0"/>
    <w:rsid w:val="00AE7E33"/>
    <w:rsid w:val="00AF2989"/>
    <w:rsid w:val="00AF3725"/>
    <w:rsid w:val="00AF43DD"/>
    <w:rsid w:val="00AF5477"/>
    <w:rsid w:val="00B03FF8"/>
    <w:rsid w:val="00B07906"/>
    <w:rsid w:val="00B07B3F"/>
    <w:rsid w:val="00B129D9"/>
    <w:rsid w:val="00B1441E"/>
    <w:rsid w:val="00B14F33"/>
    <w:rsid w:val="00B25A3B"/>
    <w:rsid w:val="00B27156"/>
    <w:rsid w:val="00B31E5C"/>
    <w:rsid w:val="00B36270"/>
    <w:rsid w:val="00B4033C"/>
    <w:rsid w:val="00B45F4C"/>
    <w:rsid w:val="00B468E6"/>
    <w:rsid w:val="00B50379"/>
    <w:rsid w:val="00B50DFD"/>
    <w:rsid w:val="00B5379B"/>
    <w:rsid w:val="00B559A6"/>
    <w:rsid w:val="00B56230"/>
    <w:rsid w:val="00B633CD"/>
    <w:rsid w:val="00B64155"/>
    <w:rsid w:val="00B71DB3"/>
    <w:rsid w:val="00B71E15"/>
    <w:rsid w:val="00B73F27"/>
    <w:rsid w:val="00B779DB"/>
    <w:rsid w:val="00B83C7F"/>
    <w:rsid w:val="00B84E3B"/>
    <w:rsid w:val="00B91F72"/>
    <w:rsid w:val="00BA0190"/>
    <w:rsid w:val="00BA233E"/>
    <w:rsid w:val="00BA4F48"/>
    <w:rsid w:val="00BA7601"/>
    <w:rsid w:val="00BB05C3"/>
    <w:rsid w:val="00BB260D"/>
    <w:rsid w:val="00BB5D41"/>
    <w:rsid w:val="00BC1371"/>
    <w:rsid w:val="00BC2B83"/>
    <w:rsid w:val="00BC77EA"/>
    <w:rsid w:val="00BD6FAD"/>
    <w:rsid w:val="00BE4399"/>
    <w:rsid w:val="00BE44C6"/>
    <w:rsid w:val="00BE51BB"/>
    <w:rsid w:val="00BE5C7D"/>
    <w:rsid w:val="00BF3ADD"/>
    <w:rsid w:val="00C012F7"/>
    <w:rsid w:val="00C02832"/>
    <w:rsid w:val="00C030D6"/>
    <w:rsid w:val="00C03DAD"/>
    <w:rsid w:val="00C04554"/>
    <w:rsid w:val="00C11D56"/>
    <w:rsid w:val="00C12E27"/>
    <w:rsid w:val="00C15408"/>
    <w:rsid w:val="00C16AC9"/>
    <w:rsid w:val="00C17636"/>
    <w:rsid w:val="00C20AA8"/>
    <w:rsid w:val="00C271D6"/>
    <w:rsid w:val="00C319A8"/>
    <w:rsid w:val="00C319F9"/>
    <w:rsid w:val="00C35C89"/>
    <w:rsid w:val="00C45889"/>
    <w:rsid w:val="00C476BC"/>
    <w:rsid w:val="00C52421"/>
    <w:rsid w:val="00C52AD3"/>
    <w:rsid w:val="00C536F1"/>
    <w:rsid w:val="00C56213"/>
    <w:rsid w:val="00C6582D"/>
    <w:rsid w:val="00C667DD"/>
    <w:rsid w:val="00C7224A"/>
    <w:rsid w:val="00C74150"/>
    <w:rsid w:val="00C80926"/>
    <w:rsid w:val="00C818D7"/>
    <w:rsid w:val="00C847AA"/>
    <w:rsid w:val="00C87C30"/>
    <w:rsid w:val="00C92559"/>
    <w:rsid w:val="00CA25DB"/>
    <w:rsid w:val="00CA38A4"/>
    <w:rsid w:val="00CA46B8"/>
    <w:rsid w:val="00CA6875"/>
    <w:rsid w:val="00CA7778"/>
    <w:rsid w:val="00CA7971"/>
    <w:rsid w:val="00CA7F62"/>
    <w:rsid w:val="00CA7FA6"/>
    <w:rsid w:val="00CB0314"/>
    <w:rsid w:val="00CB2CAE"/>
    <w:rsid w:val="00CB3A64"/>
    <w:rsid w:val="00CB5631"/>
    <w:rsid w:val="00CB5A16"/>
    <w:rsid w:val="00CC28A7"/>
    <w:rsid w:val="00CD02EB"/>
    <w:rsid w:val="00CD34CD"/>
    <w:rsid w:val="00CD3BF9"/>
    <w:rsid w:val="00CD7B08"/>
    <w:rsid w:val="00CE25C1"/>
    <w:rsid w:val="00CE7CEC"/>
    <w:rsid w:val="00CF0DE5"/>
    <w:rsid w:val="00CF6DAA"/>
    <w:rsid w:val="00CF7B2E"/>
    <w:rsid w:val="00D0611E"/>
    <w:rsid w:val="00D160C9"/>
    <w:rsid w:val="00D20CAA"/>
    <w:rsid w:val="00D2209E"/>
    <w:rsid w:val="00D36368"/>
    <w:rsid w:val="00D4148E"/>
    <w:rsid w:val="00D42718"/>
    <w:rsid w:val="00D43A16"/>
    <w:rsid w:val="00D47605"/>
    <w:rsid w:val="00D50541"/>
    <w:rsid w:val="00D514DB"/>
    <w:rsid w:val="00D51B43"/>
    <w:rsid w:val="00D5709E"/>
    <w:rsid w:val="00D60FA3"/>
    <w:rsid w:val="00D62FB9"/>
    <w:rsid w:val="00D647E7"/>
    <w:rsid w:val="00D6618A"/>
    <w:rsid w:val="00D7635A"/>
    <w:rsid w:val="00D81A4E"/>
    <w:rsid w:val="00D846AE"/>
    <w:rsid w:val="00D850AF"/>
    <w:rsid w:val="00D86FF6"/>
    <w:rsid w:val="00D87171"/>
    <w:rsid w:val="00D8777D"/>
    <w:rsid w:val="00D90845"/>
    <w:rsid w:val="00D914B4"/>
    <w:rsid w:val="00D91886"/>
    <w:rsid w:val="00D92FE3"/>
    <w:rsid w:val="00D952C5"/>
    <w:rsid w:val="00D96789"/>
    <w:rsid w:val="00DA4154"/>
    <w:rsid w:val="00DA45D5"/>
    <w:rsid w:val="00DB3101"/>
    <w:rsid w:val="00DC4200"/>
    <w:rsid w:val="00DC7027"/>
    <w:rsid w:val="00DD375E"/>
    <w:rsid w:val="00DD3D05"/>
    <w:rsid w:val="00DD51BB"/>
    <w:rsid w:val="00DD5EA6"/>
    <w:rsid w:val="00DD6F4A"/>
    <w:rsid w:val="00DE0385"/>
    <w:rsid w:val="00DE1C49"/>
    <w:rsid w:val="00DE4A56"/>
    <w:rsid w:val="00DF4F8A"/>
    <w:rsid w:val="00DF536E"/>
    <w:rsid w:val="00DF758A"/>
    <w:rsid w:val="00E03457"/>
    <w:rsid w:val="00E0625B"/>
    <w:rsid w:val="00E069A2"/>
    <w:rsid w:val="00E1309A"/>
    <w:rsid w:val="00E13FD9"/>
    <w:rsid w:val="00E24E77"/>
    <w:rsid w:val="00E32662"/>
    <w:rsid w:val="00E3785E"/>
    <w:rsid w:val="00E43E64"/>
    <w:rsid w:val="00E44BDA"/>
    <w:rsid w:val="00E4695D"/>
    <w:rsid w:val="00E4712A"/>
    <w:rsid w:val="00E47A3E"/>
    <w:rsid w:val="00E510D5"/>
    <w:rsid w:val="00E55368"/>
    <w:rsid w:val="00E5721E"/>
    <w:rsid w:val="00E61E45"/>
    <w:rsid w:val="00E66B69"/>
    <w:rsid w:val="00E708DE"/>
    <w:rsid w:val="00E72106"/>
    <w:rsid w:val="00E72475"/>
    <w:rsid w:val="00E82C94"/>
    <w:rsid w:val="00E86850"/>
    <w:rsid w:val="00E919FA"/>
    <w:rsid w:val="00E91E6B"/>
    <w:rsid w:val="00E9460A"/>
    <w:rsid w:val="00E952CB"/>
    <w:rsid w:val="00EA1477"/>
    <w:rsid w:val="00EA57A3"/>
    <w:rsid w:val="00EA746B"/>
    <w:rsid w:val="00EB037C"/>
    <w:rsid w:val="00EB07AF"/>
    <w:rsid w:val="00EB0B49"/>
    <w:rsid w:val="00EB1C77"/>
    <w:rsid w:val="00EB3DE0"/>
    <w:rsid w:val="00EB51F6"/>
    <w:rsid w:val="00EB5F9C"/>
    <w:rsid w:val="00EB7D96"/>
    <w:rsid w:val="00EC1371"/>
    <w:rsid w:val="00EC6915"/>
    <w:rsid w:val="00EC7758"/>
    <w:rsid w:val="00ED1AFB"/>
    <w:rsid w:val="00ED3152"/>
    <w:rsid w:val="00ED3E7E"/>
    <w:rsid w:val="00ED46E6"/>
    <w:rsid w:val="00EE32E7"/>
    <w:rsid w:val="00EF3239"/>
    <w:rsid w:val="00EF414D"/>
    <w:rsid w:val="00F10914"/>
    <w:rsid w:val="00F10C86"/>
    <w:rsid w:val="00F122DA"/>
    <w:rsid w:val="00F12511"/>
    <w:rsid w:val="00F14473"/>
    <w:rsid w:val="00F175EF"/>
    <w:rsid w:val="00F205D0"/>
    <w:rsid w:val="00F24B9A"/>
    <w:rsid w:val="00F45D54"/>
    <w:rsid w:val="00F4754C"/>
    <w:rsid w:val="00F47E5E"/>
    <w:rsid w:val="00F51B92"/>
    <w:rsid w:val="00F553C0"/>
    <w:rsid w:val="00F56EDC"/>
    <w:rsid w:val="00F57937"/>
    <w:rsid w:val="00F6085C"/>
    <w:rsid w:val="00F648B2"/>
    <w:rsid w:val="00F65091"/>
    <w:rsid w:val="00F74E8C"/>
    <w:rsid w:val="00F7536E"/>
    <w:rsid w:val="00F80A33"/>
    <w:rsid w:val="00F82B48"/>
    <w:rsid w:val="00F8343B"/>
    <w:rsid w:val="00F8665A"/>
    <w:rsid w:val="00F90262"/>
    <w:rsid w:val="00F92159"/>
    <w:rsid w:val="00FA6A12"/>
    <w:rsid w:val="00FB46FD"/>
    <w:rsid w:val="00FC6B80"/>
    <w:rsid w:val="00FC7C4B"/>
    <w:rsid w:val="00FD59BF"/>
    <w:rsid w:val="00FE05F0"/>
    <w:rsid w:val="00FE36E8"/>
    <w:rsid w:val="00FE666D"/>
    <w:rsid w:val="00FE69C0"/>
    <w:rsid w:val="00FF14E5"/>
    <w:rsid w:val="00FF5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2C"/>
    <w:pPr>
      <w:spacing w:before="120" w:after="120"/>
      <w:jc w:val="both"/>
    </w:pPr>
    <w:rPr>
      <w:sz w:val="24"/>
      <w:szCs w:val="24"/>
    </w:rPr>
  </w:style>
  <w:style w:type="paragraph" w:styleId="Heading1">
    <w:name w:val="heading 1"/>
    <w:basedOn w:val="Normal"/>
    <w:next w:val="Normal"/>
    <w:qFormat/>
    <w:rsid w:val="000B6EDB"/>
    <w:pPr>
      <w:keepNext/>
      <w:spacing w:before="240" w:after="60"/>
      <w:jc w:val="center"/>
      <w:outlineLvl w:val="0"/>
    </w:pPr>
    <w:rPr>
      <w:rFonts w:cs="Arial"/>
      <w:b/>
      <w:bCs/>
      <w:kern w:val="32"/>
      <w:sz w:val="40"/>
      <w:szCs w:val="32"/>
    </w:rPr>
  </w:style>
  <w:style w:type="paragraph" w:styleId="Heading2">
    <w:name w:val="heading 2"/>
    <w:basedOn w:val="Normal"/>
    <w:next w:val="Normal"/>
    <w:qFormat/>
    <w:rsid w:val="00CD3B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F48"/>
    <w:pPr>
      <w:numPr>
        <w:numId w:val="1"/>
      </w:numPr>
      <w:spacing w:before="240"/>
    </w:pPr>
    <w:rPr>
      <w:b/>
      <w:caps/>
    </w:rPr>
  </w:style>
  <w:style w:type="paragraph" w:customStyle="1" w:styleId="Subsection">
    <w:name w:val="Sub section"/>
    <w:basedOn w:val="Normal"/>
    <w:next w:val="Normal"/>
    <w:link w:val="SubsectionChar"/>
    <w:rsid w:val="00BA4F48"/>
    <w:pPr>
      <w:numPr>
        <w:ilvl w:val="1"/>
        <w:numId w:val="1"/>
      </w:numPr>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autoRedefine/>
    <w:uiPriority w:val="39"/>
    <w:rsid w:val="00BA4F48"/>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lang w:val="x-none" w:eastAsia="x-none"/>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rPr>
      <w:lang w:val="x-none" w:eastAsia="x-none"/>
    </w:r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CD3BF9"/>
    <w:pPr>
      <w:ind w:left="240"/>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rPr>
      <w:lang w:val="x-none" w:eastAsia="x-none"/>
    </w:r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styleId="ListParagraph">
    <w:name w:val="List Paragraph"/>
    <w:basedOn w:val="Normal"/>
    <w:link w:val="ListParagraphChar"/>
    <w:uiPriority w:val="34"/>
    <w:qFormat/>
    <w:rsid w:val="00FE69C0"/>
    <w:pPr>
      <w:tabs>
        <w:tab w:val="left" w:pos="720"/>
      </w:tabs>
      <w:spacing w:line="264" w:lineRule="auto"/>
      <w:ind w:left="720"/>
    </w:pPr>
    <w:rPr>
      <w:rFonts w:eastAsia="Calibri"/>
      <w:szCs w:val="22"/>
      <w:lang w:eastAsia="en-US"/>
    </w:rPr>
  </w:style>
  <w:style w:type="character" w:customStyle="1" w:styleId="ListParagraphChar">
    <w:name w:val="List Paragraph Char"/>
    <w:link w:val="ListParagraph"/>
    <w:uiPriority w:val="34"/>
    <w:rsid w:val="00FE69C0"/>
    <w:rPr>
      <w:rFonts w:eastAsia="Calibri"/>
      <w:sz w:val="24"/>
      <w:szCs w:val="22"/>
      <w:lang w:eastAsia="en-US"/>
    </w:rPr>
  </w:style>
  <w:style w:type="character" w:styleId="CommentReference">
    <w:name w:val="annotation reference"/>
    <w:uiPriority w:val="99"/>
    <w:semiHidden/>
    <w:unhideWhenUsed/>
    <w:rsid w:val="00FE69C0"/>
    <w:rPr>
      <w:sz w:val="16"/>
      <w:szCs w:val="16"/>
    </w:rPr>
  </w:style>
  <w:style w:type="paragraph" w:styleId="CommentText">
    <w:name w:val="annotation text"/>
    <w:basedOn w:val="Normal"/>
    <w:link w:val="CommentTextChar"/>
    <w:uiPriority w:val="99"/>
    <w:semiHidden/>
    <w:unhideWhenUsed/>
    <w:rsid w:val="00FE69C0"/>
    <w:rPr>
      <w:sz w:val="20"/>
      <w:szCs w:val="20"/>
    </w:rPr>
  </w:style>
  <w:style w:type="character" w:customStyle="1" w:styleId="CommentTextChar">
    <w:name w:val="Comment Text Char"/>
    <w:basedOn w:val="DefaultParagraphFont"/>
    <w:link w:val="CommentText"/>
    <w:uiPriority w:val="99"/>
    <w:semiHidden/>
    <w:rsid w:val="00FE69C0"/>
  </w:style>
  <w:style w:type="paragraph" w:styleId="CommentSubject">
    <w:name w:val="annotation subject"/>
    <w:basedOn w:val="CommentText"/>
    <w:next w:val="CommentText"/>
    <w:link w:val="CommentSubjectChar"/>
    <w:uiPriority w:val="99"/>
    <w:semiHidden/>
    <w:unhideWhenUsed/>
    <w:rsid w:val="00FE69C0"/>
    <w:rPr>
      <w:b/>
      <w:bCs/>
    </w:rPr>
  </w:style>
  <w:style w:type="character" w:customStyle="1" w:styleId="CommentSubjectChar">
    <w:name w:val="Comment Subject Char"/>
    <w:link w:val="CommentSubject"/>
    <w:uiPriority w:val="99"/>
    <w:semiHidden/>
    <w:rsid w:val="00FE69C0"/>
    <w:rPr>
      <w:b/>
      <w:bCs/>
    </w:rPr>
  </w:style>
  <w:style w:type="paragraph" w:styleId="Revision">
    <w:name w:val="Revision"/>
    <w:hidden/>
    <w:uiPriority w:val="99"/>
    <w:semiHidden/>
    <w:rsid w:val="00FE69C0"/>
    <w:rPr>
      <w:sz w:val="24"/>
      <w:szCs w:val="24"/>
    </w:rPr>
  </w:style>
  <w:style w:type="paragraph" w:styleId="FootnoteText">
    <w:name w:val="footnote text"/>
    <w:basedOn w:val="Normal"/>
    <w:link w:val="FootnoteTextChar"/>
    <w:uiPriority w:val="99"/>
    <w:semiHidden/>
    <w:unhideWhenUsed/>
    <w:rsid w:val="003534C0"/>
    <w:rPr>
      <w:sz w:val="20"/>
      <w:szCs w:val="20"/>
    </w:rPr>
  </w:style>
  <w:style w:type="character" w:customStyle="1" w:styleId="FootnoteTextChar">
    <w:name w:val="Footnote Text Char"/>
    <w:basedOn w:val="DefaultParagraphFont"/>
    <w:link w:val="FootnoteText"/>
    <w:uiPriority w:val="99"/>
    <w:semiHidden/>
    <w:rsid w:val="003534C0"/>
  </w:style>
  <w:style w:type="character" w:styleId="FootnoteReference">
    <w:name w:val="footnote reference"/>
    <w:uiPriority w:val="99"/>
    <w:semiHidden/>
    <w:unhideWhenUsed/>
    <w:rsid w:val="003534C0"/>
    <w:rPr>
      <w:vertAlign w:val="superscript"/>
    </w:rPr>
  </w:style>
  <w:style w:type="paragraph" w:styleId="Title">
    <w:name w:val="Title"/>
    <w:basedOn w:val="Normal"/>
    <w:next w:val="Normal"/>
    <w:link w:val="TitleChar"/>
    <w:uiPriority w:val="10"/>
    <w:qFormat/>
    <w:rsid w:val="000B6EDB"/>
    <w:pPr>
      <w:spacing w:before="240" w:after="60"/>
      <w:outlineLvl w:val="0"/>
    </w:pPr>
    <w:rPr>
      <w:b/>
      <w:bCs/>
      <w:kern w:val="28"/>
      <w:sz w:val="40"/>
      <w:szCs w:val="32"/>
    </w:rPr>
  </w:style>
  <w:style w:type="character" w:customStyle="1" w:styleId="TitleChar">
    <w:name w:val="Title Char"/>
    <w:link w:val="Title"/>
    <w:uiPriority w:val="10"/>
    <w:rsid w:val="000B6EDB"/>
    <w:rPr>
      <w:rFonts w:eastAsia="Times New Roman" w:cs="Times New Roman"/>
      <w:b/>
      <w:bCs/>
      <w:kern w:val="28"/>
      <w:sz w:val="40"/>
      <w:szCs w:val="32"/>
    </w:rPr>
  </w:style>
  <w:style w:type="paragraph" w:customStyle="1" w:styleId="HeadingLevel1">
    <w:name w:val="Heading Level 1"/>
    <w:basedOn w:val="MainHeadding"/>
    <w:link w:val="HeadingLevel1Char"/>
    <w:qFormat/>
    <w:rsid w:val="001D262C"/>
    <w:pPr>
      <w:tabs>
        <w:tab w:val="left" w:pos="900"/>
      </w:tabs>
      <w:spacing w:after="240"/>
    </w:pPr>
  </w:style>
  <w:style w:type="paragraph" w:customStyle="1" w:styleId="HeadingLevel2">
    <w:name w:val="Heading Level 2"/>
    <w:basedOn w:val="Subsection"/>
    <w:link w:val="HeadingLevel2Char"/>
    <w:qFormat/>
    <w:rsid w:val="001D262C"/>
    <w:pPr>
      <w:spacing w:before="240" w:after="240"/>
    </w:pPr>
  </w:style>
  <w:style w:type="character" w:customStyle="1" w:styleId="MainHeaddingChar">
    <w:name w:val="Main Headding Char"/>
    <w:link w:val="MainHeadding"/>
    <w:rsid w:val="001D262C"/>
    <w:rPr>
      <w:b/>
      <w:caps/>
      <w:sz w:val="24"/>
      <w:szCs w:val="24"/>
    </w:rPr>
  </w:style>
  <w:style w:type="character" w:customStyle="1" w:styleId="HeadingLevel1Char">
    <w:name w:val="Heading Level 1 Char"/>
    <w:basedOn w:val="MainHeaddingChar"/>
    <w:link w:val="HeadingLevel1"/>
    <w:rsid w:val="001D262C"/>
    <w:rPr>
      <w:b/>
      <w:caps/>
      <w:sz w:val="24"/>
      <w:szCs w:val="24"/>
    </w:rPr>
  </w:style>
  <w:style w:type="paragraph" w:customStyle="1" w:styleId="ContentsHeading">
    <w:name w:val="Contents Heading"/>
    <w:basedOn w:val="Normal"/>
    <w:link w:val="ContentsHeadingChar"/>
    <w:qFormat/>
    <w:rsid w:val="008D4470"/>
    <w:pPr>
      <w:tabs>
        <w:tab w:val="left" w:pos="900"/>
      </w:tabs>
      <w:jc w:val="center"/>
    </w:pPr>
    <w:rPr>
      <w:b/>
    </w:rPr>
  </w:style>
  <w:style w:type="character" w:customStyle="1" w:styleId="SubsectionChar">
    <w:name w:val="Sub section Char"/>
    <w:link w:val="Subsection"/>
    <w:rsid w:val="001D262C"/>
    <w:rPr>
      <w:sz w:val="24"/>
      <w:szCs w:val="24"/>
    </w:rPr>
  </w:style>
  <w:style w:type="character" w:customStyle="1" w:styleId="HeadingLevel2Char">
    <w:name w:val="Heading Level 2 Char"/>
    <w:basedOn w:val="SubsectionChar"/>
    <w:link w:val="HeadingLevel2"/>
    <w:rsid w:val="001D262C"/>
    <w:rPr>
      <w:sz w:val="24"/>
      <w:szCs w:val="24"/>
    </w:rPr>
  </w:style>
  <w:style w:type="paragraph" w:customStyle="1" w:styleId="BulletList">
    <w:name w:val="Bullet List"/>
    <w:basedOn w:val="ListParagraph"/>
    <w:link w:val="BulletListChar"/>
    <w:qFormat/>
    <w:rsid w:val="001A25B9"/>
    <w:pPr>
      <w:widowControl w:val="0"/>
      <w:numPr>
        <w:numId w:val="19"/>
      </w:numPr>
      <w:tabs>
        <w:tab w:val="clear" w:pos="720"/>
      </w:tabs>
      <w:ind w:left="357" w:hanging="357"/>
    </w:pPr>
  </w:style>
  <w:style w:type="character" w:customStyle="1" w:styleId="ContentsHeadingChar">
    <w:name w:val="Contents Heading Char"/>
    <w:link w:val="ContentsHeading"/>
    <w:rsid w:val="008D4470"/>
    <w:rPr>
      <w:b/>
      <w:sz w:val="24"/>
      <w:szCs w:val="24"/>
    </w:rPr>
  </w:style>
  <w:style w:type="paragraph" w:customStyle="1" w:styleId="ESNormal">
    <w:name w:val="ES_Normal"/>
    <w:link w:val="ESNormalChar"/>
    <w:qFormat/>
    <w:rsid w:val="008F6F2C"/>
    <w:pPr>
      <w:spacing w:before="120" w:after="120" w:line="276" w:lineRule="auto"/>
    </w:pPr>
    <w:rPr>
      <w:rFonts w:eastAsia="Calibri"/>
      <w:sz w:val="24"/>
      <w:szCs w:val="22"/>
      <w:lang w:eastAsia="en-US"/>
    </w:rPr>
  </w:style>
  <w:style w:type="character" w:customStyle="1" w:styleId="BulletListChar">
    <w:name w:val="Bullet List Char"/>
    <w:basedOn w:val="ListParagraphChar"/>
    <w:link w:val="BulletList"/>
    <w:rsid w:val="001A25B9"/>
    <w:rPr>
      <w:rFonts w:eastAsia="Calibri"/>
      <w:sz w:val="24"/>
      <w:szCs w:val="22"/>
      <w:lang w:eastAsia="en-US"/>
    </w:rPr>
  </w:style>
  <w:style w:type="character" w:customStyle="1" w:styleId="ESNormalChar">
    <w:name w:val="ES_Normal Char"/>
    <w:link w:val="ESNormal"/>
    <w:rsid w:val="008F6F2C"/>
    <w:rPr>
      <w:rFonts w:eastAsia="Calibri"/>
      <w:sz w:val="24"/>
      <w:szCs w:val="22"/>
      <w:lang w:eastAsia="en-US"/>
    </w:rPr>
  </w:style>
  <w:style w:type="paragraph" w:customStyle="1" w:styleId="ESLevel1">
    <w:name w:val="ES_Level1"/>
    <w:basedOn w:val="ESNormal"/>
    <w:qFormat/>
    <w:rsid w:val="008F6F2C"/>
    <w:pPr>
      <w:keepNext/>
      <w:numPr>
        <w:numId w:val="20"/>
      </w:numPr>
      <w:tabs>
        <w:tab w:val="num" w:pos="851"/>
      </w:tabs>
      <w:spacing w:before="240" w:after="240"/>
    </w:pPr>
    <w:rPr>
      <w:b/>
      <w:caps/>
    </w:rPr>
  </w:style>
  <w:style w:type="paragraph" w:customStyle="1" w:styleId="ESLevel2">
    <w:name w:val="ES_Level2"/>
    <w:basedOn w:val="ESNormal"/>
    <w:next w:val="ESNormal"/>
    <w:link w:val="ESLevel2Char"/>
    <w:qFormat/>
    <w:rsid w:val="008F6F2C"/>
    <w:pPr>
      <w:keepNext/>
      <w:numPr>
        <w:ilvl w:val="1"/>
        <w:numId w:val="20"/>
      </w:numPr>
      <w:tabs>
        <w:tab w:val="num" w:pos="851"/>
      </w:tabs>
      <w:spacing w:before="240" w:after="240"/>
    </w:pPr>
  </w:style>
  <w:style w:type="character" w:customStyle="1" w:styleId="ESNormalItalicised">
    <w:name w:val="ES_Normal_Italicised"/>
    <w:uiPriority w:val="1"/>
    <w:qFormat/>
    <w:rsid w:val="008F6F2C"/>
    <w:rPr>
      <w:i/>
    </w:rPr>
  </w:style>
  <w:style w:type="character" w:customStyle="1" w:styleId="ESLevel2Char">
    <w:name w:val="ES_Level2 Char"/>
    <w:link w:val="ESLevel2"/>
    <w:rsid w:val="008F6F2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4EBE1588A499D4B8098603649652971" ma:contentTypeVersion="" ma:contentTypeDescription="PDMS Documentation Content Type" ma:contentTypeScope="" ma:versionID="ba17f74799435a14f849a5ba23e48878">
  <xsd:schema xmlns:xsd="http://www.w3.org/2001/XMLSchema" xmlns:xs="http://www.w3.org/2001/XMLSchema" xmlns:p="http://schemas.microsoft.com/office/2006/metadata/properties" xmlns:ns2="66EA63AA-2AC4-4B4D-9E73-5EE651D2329E" targetNamespace="http://schemas.microsoft.com/office/2006/metadata/properties" ma:root="true" ma:fieldsID="afb9e97306391531abbf1f79b1e9200b" ns2:_="">
    <xsd:import namespace="66EA63AA-2AC4-4B4D-9E73-5EE651D2329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A63AA-2AC4-4B4D-9E73-5EE651D232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dms_Reason xmlns="66EA63AA-2AC4-4B4D-9E73-5EE651D2329E" xsi:nil="true"/>
    <SecurityClassification xmlns="66EA63AA-2AC4-4B4D-9E73-5EE651D2329E" xsi:nil="true"/>
    <pdms_AttachedBy xmlns="66EA63AA-2AC4-4B4D-9E73-5EE651D2329E" xsi:nil="true"/>
    <pdms_SecurityClassification xmlns="66EA63AA-2AC4-4B4D-9E73-5EE651D2329E" xsi:nil="true"/>
    <pdms_DocumentType xmlns="66EA63AA-2AC4-4B4D-9E73-5EE651D232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7365-D171-4DF9-9253-B89967864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A63AA-2AC4-4B4D-9E73-5EE651D23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B4EA6-696E-4FA1-8716-C15B02336AA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66EA63AA-2AC4-4B4D-9E73-5EE651D2329E"/>
    <ds:schemaRef ds:uri="http://www.w3.org/XML/1998/namespace"/>
    <ds:schemaRef ds:uri="http://purl.org/dc/terms/"/>
  </ds:schemaRefs>
</ds:datastoreItem>
</file>

<file path=customXml/itemProps3.xml><?xml version="1.0" encoding="utf-8"?>
<ds:datastoreItem xmlns:ds="http://schemas.openxmlformats.org/officeDocument/2006/customXml" ds:itemID="{4E4B7A4D-657E-4BE4-A0C2-C0E1F22E37ED}">
  <ds:schemaRefs>
    <ds:schemaRef ds:uri="http://schemas.microsoft.com/sharepoint/v3/contenttype/forms"/>
  </ds:schemaRefs>
</ds:datastoreItem>
</file>

<file path=customXml/itemProps4.xml><?xml version="1.0" encoding="utf-8"?>
<ds:datastoreItem xmlns:ds="http://schemas.openxmlformats.org/officeDocument/2006/customXml" ds:itemID="{BBFD4F6E-F826-4FCB-93A7-B1AF7D13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2017-11-27T22:31:00Z</dcterms:created>
  <dcterms:modified xsi:type="dcterms:W3CDTF">2017-11-27T22:31:00Z</dcterms:modified>
</cp:coreProperties>
</file>