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DF" w:rsidRDefault="008B60B0" w:rsidP="00887FDF">
      <w:pPr>
        <w:pStyle w:val="Title"/>
        <w:rPr>
          <w:i/>
        </w:rPr>
      </w:pPr>
      <w:r>
        <w:rPr>
          <w:i/>
        </w:rPr>
        <w:t>ASIC Corporations (Amendment) Instrument 2017/1049</w:t>
      </w:r>
    </w:p>
    <w:p w:rsidR="00887FDF" w:rsidRPr="00971232" w:rsidRDefault="00887FDF" w:rsidP="00887FDF">
      <w:pPr>
        <w:pStyle w:val="Title"/>
      </w:pPr>
    </w:p>
    <w:p w:rsidR="00887FDF" w:rsidRPr="00971232" w:rsidRDefault="00887FDF" w:rsidP="00887FDF">
      <w:pPr>
        <w:pStyle w:val="Title"/>
      </w:pPr>
      <w:r w:rsidRPr="004A2982">
        <w:t>Explanatory Statement</w:t>
      </w:r>
    </w:p>
    <w:p w:rsidR="00887FDF" w:rsidRPr="004A2982" w:rsidRDefault="00887FDF" w:rsidP="00887FDF">
      <w:pPr>
        <w:jc w:val="center"/>
        <w:rPr>
          <w:b/>
        </w:rPr>
      </w:pPr>
    </w:p>
    <w:p w:rsidR="00887FDF" w:rsidRPr="000B2800" w:rsidRDefault="00887FDF" w:rsidP="0088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sz w:val="24"/>
          <w:szCs w:val="24"/>
        </w:rPr>
        <w:t>Prepared by the Australian Securities and Investments Commission</w:t>
      </w:r>
    </w:p>
    <w:p w:rsidR="00887FDF" w:rsidRPr="000B2800" w:rsidRDefault="00887FDF" w:rsidP="0088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800">
        <w:rPr>
          <w:rFonts w:ascii="Times New Roman" w:hAnsi="Times New Roman" w:cs="Times New Roman"/>
          <w:i/>
          <w:sz w:val="24"/>
          <w:szCs w:val="24"/>
        </w:rPr>
        <w:t>Corporations Act 2001</w:t>
      </w:r>
    </w:p>
    <w:p w:rsidR="00887FDF" w:rsidRDefault="00887FDF" w:rsidP="00887FDF">
      <w:pPr>
        <w:jc w:val="center"/>
      </w:pPr>
    </w:p>
    <w:p w:rsidR="006C5D07" w:rsidRDefault="00887FDF">
      <w:pPr>
        <w:rPr>
          <w:rFonts w:ascii="Times New Roman" w:hAnsi="Times New Roman" w:cs="Times New Roman"/>
          <w:sz w:val="24"/>
          <w:szCs w:val="24"/>
        </w:rPr>
      </w:pPr>
      <w:r w:rsidRPr="00971232">
        <w:rPr>
          <w:rFonts w:ascii="Times New Roman" w:hAnsi="Times New Roman" w:cs="Times New Roman"/>
          <w:sz w:val="24"/>
          <w:szCs w:val="24"/>
        </w:rPr>
        <w:t>The Australian Securities and Investments Commission (</w:t>
      </w:r>
      <w:r w:rsidRPr="00971232">
        <w:rPr>
          <w:rFonts w:ascii="Times New Roman" w:hAnsi="Times New Roman" w:cs="Times New Roman"/>
          <w:b/>
          <w:i/>
          <w:sz w:val="24"/>
          <w:szCs w:val="24"/>
        </w:rPr>
        <w:t>ASIC</w:t>
      </w:r>
      <w:r w:rsidRPr="00971232">
        <w:rPr>
          <w:rFonts w:ascii="Times New Roman" w:hAnsi="Times New Roman" w:cs="Times New Roman"/>
          <w:sz w:val="24"/>
          <w:szCs w:val="24"/>
        </w:rPr>
        <w:t xml:space="preserve">) makes </w:t>
      </w:r>
      <w:r w:rsidR="00B37F81">
        <w:rPr>
          <w:rFonts w:ascii="Times New Roman" w:hAnsi="Times New Roman" w:cs="Times New Roman"/>
          <w:sz w:val="24"/>
          <w:szCs w:val="24"/>
        </w:rPr>
        <w:t xml:space="preserve">ASIC Corporations (Amendment) Instrument 2017/1049 under subsections 601QA(1), 741(1) and 1020F(1) of the </w:t>
      </w:r>
      <w:r w:rsidR="00B37F81" w:rsidRPr="00B7498B">
        <w:rPr>
          <w:rFonts w:ascii="Times New Roman" w:hAnsi="Times New Roman" w:cs="Times New Roman"/>
          <w:i/>
          <w:sz w:val="24"/>
          <w:szCs w:val="24"/>
        </w:rPr>
        <w:t>Corporations Act 2001</w:t>
      </w:r>
      <w:r w:rsidR="00B37F81">
        <w:rPr>
          <w:rFonts w:ascii="Times New Roman" w:hAnsi="Times New Roman" w:cs="Times New Roman"/>
          <w:sz w:val="24"/>
          <w:szCs w:val="24"/>
        </w:rPr>
        <w:t xml:space="preserve"> (</w:t>
      </w:r>
      <w:r w:rsidR="00B37F81" w:rsidRPr="00B37F81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="008B00DA">
        <w:rPr>
          <w:rFonts w:ascii="Times New Roman" w:hAnsi="Times New Roman" w:cs="Times New Roman"/>
          <w:sz w:val="24"/>
          <w:szCs w:val="24"/>
        </w:rPr>
        <w:t>).</w:t>
      </w:r>
    </w:p>
    <w:p w:rsidR="008B00DA" w:rsidRDefault="008B00DA">
      <w:pPr>
        <w:rPr>
          <w:rFonts w:ascii="Times New Roman" w:hAnsi="Times New Roman" w:cs="Times New Roman"/>
          <w:sz w:val="24"/>
          <w:szCs w:val="24"/>
        </w:rPr>
      </w:pPr>
    </w:p>
    <w:p w:rsidR="008B00DA" w:rsidRPr="00B7498B" w:rsidRDefault="00C4012E" w:rsidP="00B7498B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3956C7" w:rsidRDefault="008B0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ASIC Corporations (Amendment) Instrument 2017/1049 </w:t>
      </w:r>
      <w:r w:rsidR="00664637">
        <w:rPr>
          <w:rFonts w:ascii="Times New Roman" w:hAnsi="Times New Roman" w:cs="Times New Roman"/>
          <w:sz w:val="24"/>
          <w:szCs w:val="24"/>
        </w:rPr>
        <w:t>(</w:t>
      </w:r>
      <w:r w:rsidR="00664637" w:rsidRPr="00664637">
        <w:rPr>
          <w:rFonts w:ascii="Times New Roman" w:hAnsi="Times New Roman" w:cs="Times New Roman"/>
          <w:b/>
          <w:i/>
          <w:sz w:val="24"/>
          <w:szCs w:val="24"/>
        </w:rPr>
        <w:t>Instrument</w:t>
      </w:r>
      <w:r w:rsidR="00C63F7F">
        <w:rPr>
          <w:rFonts w:ascii="Times New Roman" w:hAnsi="Times New Roman" w:cs="Times New Roman"/>
          <w:b/>
          <w:i/>
          <w:sz w:val="24"/>
          <w:szCs w:val="24"/>
        </w:rPr>
        <w:t xml:space="preserve"> 2017/1049</w:t>
      </w:r>
      <w:r w:rsidR="00664637">
        <w:rPr>
          <w:rFonts w:ascii="Times New Roman" w:hAnsi="Times New Roman" w:cs="Times New Roman"/>
          <w:sz w:val="24"/>
          <w:szCs w:val="24"/>
        </w:rPr>
        <w:t xml:space="preserve">) </w:t>
      </w:r>
      <w:r w:rsidR="00AC5BF1">
        <w:rPr>
          <w:rFonts w:ascii="Times New Roman" w:hAnsi="Times New Roman" w:cs="Times New Roman"/>
          <w:sz w:val="24"/>
          <w:szCs w:val="24"/>
        </w:rPr>
        <w:t>makes amendments to</w:t>
      </w:r>
      <w:r>
        <w:rPr>
          <w:rFonts w:ascii="Times New Roman" w:hAnsi="Times New Roman" w:cs="Times New Roman"/>
          <w:sz w:val="24"/>
          <w:szCs w:val="24"/>
        </w:rPr>
        <w:t xml:space="preserve"> ASIC Class Order [CO 14/1000]</w:t>
      </w:r>
      <w:r w:rsidR="00AC5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BF1" w:rsidRDefault="00AC5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[CO 14/1000] </w:t>
      </w:r>
      <w:r w:rsidR="00C63F7F">
        <w:rPr>
          <w:rFonts w:ascii="Times New Roman" w:hAnsi="Times New Roman" w:cs="Times New Roman"/>
          <w:sz w:val="24"/>
          <w:szCs w:val="24"/>
        </w:rPr>
        <w:t xml:space="preserve">provides </w:t>
      </w:r>
      <w:r w:rsidR="00850C42">
        <w:rPr>
          <w:rFonts w:ascii="Times New Roman" w:hAnsi="Times New Roman" w:cs="Times New Roman"/>
          <w:sz w:val="24"/>
          <w:szCs w:val="24"/>
        </w:rPr>
        <w:t xml:space="preserve">conditional relief </w:t>
      </w:r>
      <w:r>
        <w:rPr>
          <w:rFonts w:ascii="Times New Roman" w:hAnsi="Times New Roman" w:cs="Times New Roman"/>
          <w:sz w:val="24"/>
          <w:szCs w:val="24"/>
        </w:rPr>
        <w:t>from a range of statutory obligations that apply in relatio</w:t>
      </w:r>
      <w:r w:rsidR="00850C42">
        <w:rPr>
          <w:rFonts w:ascii="Times New Roman" w:hAnsi="Times New Roman" w:cs="Times New Roman"/>
          <w:sz w:val="24"/>
          <w:szCs w:val="24"/>
        </w:rPr>
        <w:t>n to employee incentive schemes</w:t>
      </w:r>
      <w:r w:rsidR="00C63F7F">
        <w:rPr>
          <w:rFonts w:ascii="Times New Roman" w:hAnsi="Times New Roman" w:cs="Times New Roman"/>
          <w:sz w:val="24"/>
          <w:szCs w:val="24"/>
        </w:rPr>
        <w:t xml:space="preserve"> offered by listed entities</w:t>
      </w:r>
      <w:r w:rsidR="00F06F07">
        <w:rPr>
          <w:rFonts w:ascii="Times New Roman" w:hAnsi="Times New Roman" w:cs="Times New Roman"/>
          <w:sz w:val="24"/>
          <w:szCs w:val="24"/>
        </w:rPr>
        <w:t>.</w:t>
      </w:r>
      <w:r w:rsidR="004E6547">
        <w:rPr>
          <w:rFonts w:ascii="Times New Roman" w:hAnsi="Times New Roman" w:cs="Times New Roman"/>
          <w:sz w:val="24"/>
          <w:szCs w:val="24"/>
        </w:rPr>
        <w:t xml:space="preserve"> ASIC may also grant individual relief to a listed entity where they cannot comply with all the requirements of [CO 14/1000]</w:t>
      </w:r>
      <w:r w:rsidR="00F54A4B" w:rsidRPr="00F54A4B">
        <w:rPr>
          <w:rStyle w:val="FootnoteReference"/>
        </w:rPr>
        <w:t xml:space="preserve"> </w:t>
      </w:r>
      <w:r w:rsidR="00C63F7F">
        <w:rPr>
          <w:rFonts w:ascii="Times New Roman" w:hAnsi="Times New Roman" w:cs="Times New Roman"/>
          <w:sz w:val="24"/>
          <w:szCs w:val="24"/>
        </w:rPr>
        <w:t xml:space="preserve">if to do </w:t>
      </w:r>
      <w:r w:rsidR="00F54A4B">
        <w:rPr>
          <w:rFonts w:ascii="Times New Roman" w:hAnsi="Times New Roman" w:cs="Times New Roman"/>
          <w:sz w:val="24"/>
          <w:szCs w:val="24"/>
        </w:rPr>
        <w:t xml:space="preserve">so </w:t>
      </w:r>
      <w:r w:rsidR="00C63F7F">
        <w:rPr>
          <w:rFonts w:ascii="Times New Roman" w:hAnsi="Times New Roman" w:cs="Times New Roman"/>
          <w:sz w:val="24"/>
          <w:szCs w:val="24"/>
        </w:rPr>
        <w:t xml:space="preserve">complies with our policy in Regulatory Guide 49 </w:t>
      </w:r>
      <w:r w:rsidR="00C63F7F">
        <w:rPr>
          <w:rFonts w:ascii="Times New Roman" w:hAnsi="Times New Roman" w:cs="Times New Roman"/>
          <w:i/>
          <w:sz w:val="24"/>
          <w:szCs w:val="24"/>
        </w:rPr>
        <w:t>Employee Incentive Schemes</w:t>
      </w:r>
      <w:r w:rsidR="00C63F7F">
        <w:rPr>
          <w:rFonts w:ascii="Times New Roman" w:hAnsi="Times New Roman" w:cs="Times New Roman"/>
          <w:sz w:val="24"/>
          <w:szCs w:val="24"/>
        </w:rPr>
        <w:t xml:space="preserve"> (</w:t>
      </w:r>
      <w:r w:rsidR="00C63F7F" w:rsidRPr="00AC5BF1">
        <w:rPr>
          <w:rFonts w:ascii="Times New Roman" w:hAnsi="Times New Roman" w:cs="Times New Roman"/>
          <w:b/>
          <w:sz w:val="24"/>
          <w:szCs w:val="24"/>
        </w:rPr>
        <w:t>RG 49</w:t>
      </w:r>
      <w:r w:rsidR="00C63F7F">
        <w:rPr>
          <w:rFonts w:ascii="Times New Roman" w:hAnsi="Times New Roman" w:cs="Times New Roman"/>
          <w:sz w:val="24"/>
          <w:szCs w:val="24"/>
        </w:rPr>
        <w:t>)</w:t>
      </w:r>
      <w:r w:rsidR="004E65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42E44" w:rsidRDefault="004E6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general approach to granting individual relief is to limit the relief to that required for the particular transaction. Our individual </w:t>
      </w:r>
      <w:r w:rsidR="00E57EFA">
        <w:rPr>
          <w:rFonts w:ascii="Times New Roman" w:hAnsi="Times New Roman" w:cs="Times New Roman"/>
          <w:sz w:val="24"/>
          <w:szCs w:val="24"/>
        </w:rPr>
        <w:t xml:space="preserve">relief </w:t>
      </w:r>
      <w:r w:rsidR="00B42E44">
        <w:rPr>
          <w:rFonts w:ascii="Times New Roman" w:hAnsi="Times New Roman" w:cs="Times New Roman"/>
          <w:sz w:val="24"/>
          <w:szCs w:val="24"/>
        </w:rPr>
        <w:t xml:space="preserve">for listed entities that could not rely on [CO 14/1000] was </w:t>
      </w:r>
      <w:r>
        <w:rPr>
          <w:rFonts w:ascii="Times New Roman" w:hAnsi="Times New Roman" w:cs="Times New Roman"/>
          <w:sz w:val="24"/>
          <w:szCs w:val="24"/>
        </w:rPr>
        <w:t xml:space="preserve">therefore </w:t>
      </w:r>
      <w:r w:rsidR="00C63F7F">
        <w:rPr>
          <w:rFonts w:ascii="Times New Roman" w:hAnsi="Times New Roman" w:cs="Times New Roman"/>
          <w:sz w:val="24"/>
          <w:szCs w:val="24"/>
        </w:rPr>
        <w:t>restricted to the applicant's</w:t>
      </w:r>
      <w:r w:rsidR="00B42E44">
        <w:rPr>
          <w:rFonts w:ascii="Times New Roman" w:hAnsi="Times New Roman" w:cs="Times New Roman"/>
          <w:sz w:val="24"/>
          <w:szCs w:val="24"/>
        </w:rPr>
        <w:t xml:space="preserve"> specific employee incentive scheme and only gave the relief required for that scheme. The disadvantage of this approach is that the entity must apply for furt</w:t>
      </w:r>
      <w:r w:rsidR="00C63F7F">
        <w:rPr>
          <w:rFonts w:ascii="Times New Roman" w:hAnsi="Times New Roman" w:cs="Times New Roman"/>
          <w:sz w:val="24"/>
          <w:szCs w:val="24"/>
        </w:rPr>
        <w:t>her relief each time they</w:t>
      </w:r>
      <w:r w:rsidR="00B42E44">
        <w:rPr>
          <w:rFonts w:ascii="Times New Roman" w:hAnsi="Times New Roman" w:cs="Times New Roman"/>
          <w:sz w:val="24"/>
          <w:szCs w:val="24"/>
        </w:rPr>
        <w:t xml:space="preserve"> make significant changes to their scheme and when they adopt a new scheme. </w:t>
      </w:r>
    </w:p>
    <w:p w:rsidR="00264EC6" w:rsidRDefault="004E6547" w:rsidP="0026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42E44">
        <w:rPr>
          <w:rFonts w:ascii="Times New Roman" w:hAnsi="Times New Roman" w:cs="Times New Roman"/>
          <w:sz w:val="24"/>
          <w:szCs w:val="24"/>
        </w:rPr>
        <w:t>consider that there are regulatory benefits and efficiencies with granting broader individual relief on terms that are substantially similar to the class order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  <w:r w:rsidR="00791F85">
        <w:rPr>
          <w:rFonts w:ascii="Times New Roman" w:hAnsi="Times New Roman" w:cs="Times New Roman"/>
          <w:sz w:val="24"/>
          <w:szCs w:val="24"/>
        </w:rPr>
        <w:t>where we are satisfied that the entity should be able to rely on [CO 14/1000]</w:t>
      </w:r>
      <w:r w:rsidR="00B42E44">
        <w:rPr>
          <w:rFonts w:ascii="Times New Roman" w:hAnsi="Times New Roman" w:cs="Times New Roman"/>
          <w:sz w:val="24"/>
          <w:szCs w:val="24"/>
        </w:rPr>
        <w:t>.</w:t>
      </w:r>
      <w:r w:rsidR="00791F85">
        <w:rPr>
          <w:rFonts w:ascii="Times New Roman" w:hAnsi="Times New Roman" w:cs="Times New Roman"/>
          <w:sz w:val="24"/>
          <w:szCs w:val="24"/>
        </w:rPr>
        <w:t xml:space="preserve"> </w:t>
      </w:r>
      <w:r w:rsidR="00813739">
        <w:rPr>
          <w:rFonts w:ascii="Times New Roman" w:hAnsi="Times New Roman" w:cs="Times New Roman"/>
          <w:sz w:val="24"/>
          <w:szCs w:val="24"/>
        </w:rPr>
        <w:t>The amendments made to the class order by Instrument 2017/1049 facilitate this broader approach.</w:t>
      </w:r>
    </w:p>
    <w:p w:rsidR="00264EC6" w:rsidRDefault="00264EC6" w:rsidP="00264EC6">
      <w:pPr>
        <w:rPr>
          <w:rFonts w:ascii="Times New Roman" w:hAnsi="Times New Roman" w:cs="Times New Roman"/>
          <w:sz w:val="24"/>
          <w:szCs w:val="24"/>
        </w:rPr>
      </w:pPr>
    </w:p>
    <w:p w:rsidR="00B42E44" w:rsidRPr="00264EC6" w:rsidRDefault="00BA74D6" w:rsidP="00264EC6">
      <w:pPr>
        <w:pStyle w:val="ListParagraph"/>
        <w:keepNext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Purpose of </w:t>
      </w:r>
      <w:r w:rsidR="002514EE" w:rsidRPr="00264EC6">
        <w:rPr>
          <w:rFonts w:ascii="Times New Roman" w:hAnsi="Times New Roman" w:cs="Times New Roman"/>
          <w:b/>
          <w:sz w:val="24"/>
          <w:szCs w:val="24"/>
        </w:rPr>
        <w:t>I</w:t>
      </w:r>
      <w:r w:rsidR="00791F85" w:rsidRPr="00264EC6">
        <w:rPr>
          <w:rFonts w:ascii="Times New Roman" w:hAnsi="Times New Roman" w:cs="Times New Roman"/>
          <w:b/>
          <w:sz w:val="24"/>
          <w:szCs w:val="24"/>
        </w:rPr>
        <w:t>nstrument</w:t>
      </w:r>
      <w:r w:rsidR="00264EC6" w:rsidRPr="00264EC6">
        <w:rPr>
          <w:rFonts w:ascii="Times New Roman" w:hAnsi="Times New Roman" w:cs="Times New Roman"/>
          <w:b/>
          <w:sz w:val="24"/>
          <w:szCs w:val="24"/>
        </w:rPr>
        <w:t xml:space="preserve"> 2017/1049</w:t>
      </w:r>
    </w:p>
    <w:p w:rsidR="00A670FA" w:rsidRDefault="00A670FA" w:rsidP="00A670FA">
      <w:r>
        <w:rPr>
          <w:rFonts w:ascii="Times New Roman" w:hAnsi="Times New Roman" w:cs="Times New Roman"/>
          <w:color w:val="000000"/>
          <w:sz w:val="24"/>
          <w:szCs w:val="24"/>
        </w:rPr>
        <w:t xml:space="preserve">ASIC can grant broad individual relief to a named entity and to persons associated with the named entity without creating a legislative instrument under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Legislation Act 2003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item 9 of the table in regulation 7 of the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Legislation (Exemptions and Other Matters) Regulation 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[CO 14/1000] also provides relief for trustees and financial advisers who are not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necessarily associated with the listed entity and who are not specified by name. </w:t>
      </w:r>
      <w:r w:rsidRPr="00C92E88">
        <w:rPr>
          <w:rFonts w:ascii="Times New Roman" w:hAnsi="Times New Roman" w:cs="Times New Roman"/>
          <w:color w:val="000000"/>
          <w:sz w:val="24"/>
          <w:szCs w:val="24"/>
        </w:rPr>
        <w:t>Although we can grant individual relief for trustees and financial advis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C92E88">
        <w:rPr>
          <w:rFonts w:ascii="Times New Roman" w:hAnsi="Times New Roman" w:cs="Times New Roman"/>
          <w:color w:val="000000"/>
          <w:sz w:val="24"/>
          <w:szCs w:val="24"/>
        </w:rPr>
        <w:t xml:space="preserve">rs we cannot do so using the same style of drafting in [CO 14/1000] without creating a legislative instrument. </w:t>
      </w:r>
      <w:r>
        <w:rPr>
          <w:rFonts w:ascii="Times New Roman" w:hAnsi="Times New Roman" w:cs="Times New Roman"/>
          <w:color w:val="000000"/>
          <w:sz w:val="24"/>
          <w:szCs w:val="24"/>
        </w:rPr>
        <w:t>The purpose of Instrument 2017/1049 is therefore to amend [CO 14/1000] to provide relief for trustees and financial advisers where the relevant employee incentive scheme is covered by individual relief on terms that are similar to the class order.</w:t>
      </w:r>
    </w:p>
    <w:p w:rsidR="00264EC6" w:rsidRDefault="00813739" w:rsidP="00264EC6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64EC6">
        <w:rPr>
          <w:rFonts w:ascii="Times New Roman" w:hAnsi="Times New Roman" w:cs="Times New Roman"/>
          <w:sz w:val="24"/>
          <w:szCs w:val="24"/>
        </w:rPr>
        <w:t>purpose of Instrument 2017/1049 is</w:t>
      </w:r>
      <w:r w:rsidR="00775C37">
        <w:rPr>
          <w:rFonts w:ascii="Times New Roman" w:hAnsi="Times New Roman" w:cs="Times New Roman"/>
          <w:sz w:val="24"/>
          <w:szCs w:val="24"/>
        </w:rPr>
        <w:t xml:space="preserve"> therefore</w:t>
      </w:r>
      <w:r w:rsidR="00264EC6">
        <w:rPr>
          <w:rFonts w:ascii="Times New Roman" w:hAnsi="Times New Roman" w:cs="Times New Roman"/>
          <w:sz w:val="24"/>
          <w:szCs w:val="24"/>
        </w:rPr>
        <w:t xml:space="preserve"> to </w:t>
      </w:r>
      <w:r w:rsidR="00F54A4B">
        <w:rPr>
          <w:rFonts w:ascii="Times New Roman" w:hAnsi="Times New Roman" w:cs="Times New Roman"/>
          <w:sz w:val="24"/>
          <w:szCs w:val="24"/>
        </w:rPr>
        <w:t>amend [CO 14/1000] to provide relief for trustees and financial advisers where the relevant employee incentive scheme is covered by</w:t>
      </w:r>
      <w:r w:rsidR="00775C37">
        <w:rPr>
          <w:rFonts w:ascii="Times New Roman" w:hAnsi="Times New Roman" w:cs="Times New Roman"/>
          <w:sz w:val="24"/>
          <w:szCs w:val="24"/>
        </w:rPr>
        <w:t xml:space="preserve"> </w:t>
      </w:r>
      <w:r w:rsidR="00F54A4B">
        <w:rPr>
          <w:rFonts w:ascii="Times New Roman" w:hAnsi="Times New Roman" w:cs="Times New Roman"/>
          <w:sz w:val="24"/>
          <w:szCs w:val="24"/>
        </w:rPr>
        <w:t>individual relief</w:t>
      </w:r>
      <w:r w:rsidR="00775C37">
        <w:rPr>
          <w:rFonts w:ascii="Times New Roman" w:hAnsi="Times New Roman" w:cs="Times New Roman"/>
          <w:sz w:val="24"/>
          <w:szCs w:val="24"/>
        </w:rPr>
        <w:t xml:space="preserve"> on terms that are similar to the class order</w:t>
      </w:r>
      <w:r w:rsidR="00F54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EE" w:rsidRPr="002514EE" w:rsidRDefault="002514EE" w:rsidP="00E8195D">
      <w:pPr>
        <w:pStyle w:val="ListParagraph"/>
        <w:keepNext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2514EE">
        <w:rPr>
          <w:rFonts w:ascii="Times New Roman" w:hAnsi="Times New Roman" w:cs="Times New Roman"/>
          <w:b/>
          <w:sz w:val="24"/>
          <w:szCs w:val="24"/>
        </w:rPr>
        <w:t>Operation of Instrument</w:t>
      </w:r>
      <w:r w:rsidR="00C63F7F">
        <w:rPr>
          <w:rFonts w:ascii="Times New Roman" w:hAnsi="Times New Roman" w:cs="Times New Roman"/>
          <w:b/>
          <w:sz w:val="24"/>
          <w:szCs w:val="24"/>
        </w:rPr>
        <w:t xml:space="preserve"> 2017/1049</w:t>
      </w:r>
    </w:p>
    <w:p w:rsidR="003D5316" w:rsidRDefault="00E70008" w:rsidP="00E8195D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determine that a listed entity should have the benefit of the relief for employee incentive schemes in [CO 14/1000], notwithstanding an inability to comply with a requirement or condition of the class order, we provide the specific entity and its related bo</w:t>
      </w:r>
      <w:r w:rsidR="003D5316">
        <w:rPr>
          <w:rFonts w:ascii="Times New Roman" w:hAnsi="Times New Roman" w:cs="Times New Roman"/>
          <w:sz w:val="24"/>
          <w:szCs w:val="24"/>
        </w:rPr>
        <w:t xml:space="preserve">dies corporate with </w:t>
      </w:r>
      <w:r w:rsidR="00E8195D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3D5316">
        <w:rPr>
          <w:rFonts w:ascii="Times New Roman" w:hAnsi="Times New Roman" w:cs="Times New Roman"/>
          <w:sz w:val="24"/>
          <w:szCs w:val="24"/>
        </w:rPr>
        <w:t xml:space="preserve">relief </w:t>
      </w:r>
      <w:r w:rsidR="00E8195D">
        <w:rPr>
          <w:rFonts w:ascii="Times New Roman" w:hAnsi="Times New Roman" w:cs="Times New Roman"/>
          <w:sz w:val="24"/>
          <w:szCs w:val="24"/>
        </w:rPr>
        <w:t>on terms that are as close</w:t>
      </w:r>
      <w:r w:rsidR="00C63F7F">
        <w:rPr>
          <w:rFonts w:ascii="Times New Roman" w:hAnsi="Times New Roman" w:cs="Times New Roman"/>
          <w:sz w:val="24"/>
          <w:szCs w:val="24"/>
        </w:rPr>
        <w:t xml:space="preserve"> as possible</w:t>
      </w:r>
      <w:r w:rsidR="00E8195D">
        <w:rPr>
          <w:rFonts w:ascii="Times New Roman" w:hAnsi="Times New Roman" w:cs="Times New Roman"/>
          <w:sz w:val="24"/>
          <w:szCs w:val="24"/>
        </w:rPr>
        <w:t xml:space="preserve"> to [CO 14/1000]</w:t>
      </w:r>
      <w:r w:rsidR="00F54A4B">
        <w:rPr>
          <w:rFonts w:ascii="Times New Roman" w:hAnsi="Times New Roman" w:cs="Times New Roman"/>
          <w:sz w:val="24"/>
          <w:szCs w:val="24"/>
        </w:rPr>
        <w:t xml:space="preserve"> </w:t>
      </w:r>
      <w:r w:rsidR="00F54A4B" w:rsidRPr="00F54A4B">
        <w:rPr>
          <w:rFonts w:ascii="Times New Roman" w:hAnsi="Times New Roman" w:cs="Times New Roman"/>
          <w:b/>
          <w:i/>
          <w:sz w:val="24"/>
          <w:szCs w:val="24"/>
        </w:rPr>
        <w:t>(individual relief instrument</w:t>
      </w:r>
      <w:r w:rsidR="00F54A4B">
        <w:rPr>
          <w:rFonts w:ascii="Times New Roman" w:hAnsi="Times New Roman" w:cs="Times New Roman"/>
          <w:sz w:val="24"/>
          <w:szCs w:val="24"/>
        </w:rPr>
        <w:t>)</w:t>
      </w:r>
      <w:r w:rsidR="00E819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4EE" w:rsidRDefault="00251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</w:t>
      </w:r>
      <w:r w:rsidR="00C63F7F">
        <w:rPr>
          <w:rFonts w:ascii="Times New Roman" w:hAnsi="Times New Roman" w:cs="Times New Roman"/>
          <w:sz w:val="24"/>
          <w:szCs w:val="24"/>
        </w:rPr>
        <w:t xml:space="preserve"> 2017/1049</w:t>
      </w:r>
      <w:r>
        <w:rPr>
          <w:rFonts w:ascii="Times New Roman" w:hAnsi="Times New Roman" w:cs="Times New Roman"/>
          <w:sz w:val="24"/>
          <w:szCs w:val="24"/>
        </w:rPr>
        <w:t xml:space="preserve"> amends [CO 14/1000] to provide</w:t>
      </w:r>
      <w:r w:rsidR="003D5316">
        <w:rPr>
          <w:rFonts w:ascii="Times New Roman" w:hAnsi="Times New Roman" w:cs="Times New Roman"/>
          <w:sz w:val="24"/>
          <w:szCs w:val="24"/>
        </w:rPr>
        <w:t xml:space="preserve"> relief for trustees and financial advisors where an employee incentive scheme is covered by an individual relief instrument. As a result of these amendments, [CO 14/1000] provides</w:t>
      </w:r>
      <w:r w:rsidR="00264EC6">
        <w:rPr>
          <w:rFonts w:ascii="Times New Roman" w:hAnsi="Times New Roman" w:cs="Times New Roman"/>
          <w:sz w:val="24"/>
          <w:szCs w:val="24"/>
        </w:rPr>
        <w:t>:</w:t>
      </w:r>
    </w:p>
    <w:p w:rsidR="002514EE" w:rsidRDefault="002514EE" w:rsidP="002514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disclosure relief to trustees who </w:t>
      </w:r>
      <w:r w:rsidR="003956C7">
        <w:rPr>
          <w:rFonts w:ascii="Times New Roman" w:hAnsi="Times New Roman" w:cs="Times New Roman"/>
          <w:sz w:val="24"/>
          <w:szCs w:val="24"/>
        </w:rPr>
        <w:t xml:space="preserve">make an offer of </w:t>
      </w:r>
      <w:r>
        <w:rPr>
          <w:rFonts w:ascii="Times New Roman" w:hAnsi="Times New Roman" w:cs="Times New Roman"/>
          <w:sz w:val="24"/>
          <w:szCs w:val="24"/>
        </w:rPr>
        <w:t>unit</w:t>
      </w:r>
      <w:r w:rsidR="003956C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underlying eligible products in connection with an employee incentive scheme that is covered by an individual relief instrument: paragraph 28A of [CO 14/1000];</w:t>
      </w:r>
    </w:p>
    <w:p w:rsidR="002514EE" w:rsidRDefault="002514EE" w:rsidP="002514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advertising relief to trustees who advertise or publish a statement that is reasonably likely to induce eligible participants to acquire an eligible product under an employee incentive scheme that is covered by an individual relief instrument: paragraph 28B of </w:t>
      </w:r>
      <w:r w:rsidR="003D5316">
        <w:rPr>
          <w:rFonts w:ascii="Times New Roman" w:hAnsi="Times New Roman" w:cs="Times New Roman"/>
          <w:sz w:val="24"/>
          <w:szCs w:val="24"/>
        </w:rPr>
        <w:t>[CO 14/1000];</w:t>
      </w:r>
    </w:p>
    <w:p w:rsidR="003D5316" w:rsidRDefault="003D5316" w:rsidP="002514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relief from the registration requirements in s601ED where a trustee operates a managed investment scheme only by reason of a contribution plan in connection with an employee incentive scheme that is covered by an individual relief instrument: paragraph 28C of [CO 14/1000];</w:t>
      </w:r>
      <w:r w:rsidR="00C63F7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956C7" w:rsidRDefault="003D5316" w:rsidP="00395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956C7">
        <w:rPr>
          <w:rFonts w:ascii="Times New Roman" w:hAnsi="Times New Roman" w:cs="Times New Roman"/>
          <w:sz w:val="24"/>
          <w:szCs w:val="24"/>
        </w:rPr>
        <w:t xml:space="preserve">relief 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to financial services licensees or an authorised representative of a financial services licensee </w:t>
      </w:r>
      <w:r w:rsidRPr="003956C7">
        <w:rPr>
          <w:rFonts w:ascii="Times New Roman" w:hAnsi="Times New Roman" w:cs="Times New Roman"/>
          <w:sz w:val="24"/>
          <w:szCs w:val="24"/>
        </w:rPr>
        <w:t xml:space="preserve">from the 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PDS </w:t>
      </w:r>
      <w:r w:rsidRPr="003956C7">
        <w:rPr>
          <w:rFonts w:ascii="Times New Roman" w:hAnsi="Times New Roman" w:cs="Times New Roman"/>
          <w:sz w:val="24"/>
          <w:szCs w:val="24"/>
        </w:rPr>
        <w:t xml:space="preserve">requirement in s1012A 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for </w:t>
      </w:r>
      <w:r w:rsidRPr="003956C7">
        <w:rPr>
          <w:rFonts w:ascii="Times New Roman" w:hAnsi="Times New Roman" w:cs="Times New Roman"/>
          <w:sz w:val="24"/>
          <w:szCs w:val="24"/>
        </w:rPr>
        <w:t>advice relating to the acquisition of an</w:t>
      </w:r>
      <w:r w:rsidR="003956C7" w:rsidRPr="003956C7">
        <w:rPr>
          <w:rFonts w:ascii="Times New Roman" w:hAnsi="Times New Roman" w:cs="Times New Roman"/>
          <w:sz w:val="24"/>
          <w:szCs w:val="24"/>
        </w:rPr>
        <w:t xml:space="preserve"> eligible product in connection with an employee incentive scheme covered by an individual relief instrument</w:t>
      </w:r>
      <w:r w:rsidR="003956C7">
        <w:rPr>
          <w:rFonts w:ascii="Times New Roman" w:hAnsi="Times New Roman" w:cs="Times New Roman"/>
          <w:sz w:val="24"/>
          <w:szCs w:val="24"/>
        </w:rPr>
        <w:t>.</w:t>
      </w:r>
    </w:p>
    <w:p w:rsidR="003956C7" w:rsidRDefault="003956C7" w:rsidP="00E8195D">
      <w:pPr>
        <w:rPr>
          <w:rFonts w:ascii="Times New Roman" w:hAnsi="Times New Roman" w:cs="Times New Roman"/>
          <w:sz w:val="24"/>
          <w:szCs w:val="24"/>
        </w:rPr>
      </w:pPr>
    </w:p>
    <w:p w:rsidR="008B00DA" w:rsidRDefault="003956C7" w:rsidP="003956C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3956C7">
        <w:rPr>
          <w:rFonts w:ascii="Times New Roman" w:hAnsi="Times New Roman" w:cs="Times New Roman"/>
          <w:b/>
          <w:sz w:val="24"/>
          <w:szCs w:val="24"/>
        </w:rPr>
        <w:t>onsultation</w:t>
      </w:r>
      <w:r w:rsidR="00B7498B" w:rsidRPr="00395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6D6" w:rsidRDefault="003956C7" w:rsidP="009806D6">
      <w:pPr>
        <w:ind w:left="360"/>
        <w:rPr>
          <w:rFonts w:ascii="Times New Roman" w:hAnsi="Times New Roman" w:cs="Times New Roman"/>
          <w:sz w:val="24"/>
          <w:szCs w:val="24"/>
        </w:rPr>
      </w:pPr>
      <w:r w:rsidRPr="003956C7">
        <w:rPr>
          <w:rFonts w:ascii="Times New Roman" w:hAnsi="Times New Roman" w:cs="Times New Roman"/>
          <w:sz w:val="24"/>
          <w:szCs w:val="24"/>
        </w:rPr>
        <w:t xml:space="preserve">ASIC did not conduct any public consultation on </w:t>
      </w:r>
      <w:r w:rsidRPr="003956C7">
        <w:rPr>
          <w:rFonts w:ascii="Times New Roman" w:hAnsi="Times New Roman" w:cs="Times New Roman"/>
          <w:i/>
          <w:sz w:val="24"/>
          <w:szCs w:val="24"/>
        </w:rPr>
        <w:t>ASIC Corporatio</w:t>
      </w:r>
      <w:r>
        <w:rPr>
          <w:rFonts w:ascii="Times New Roman" w:hAnsi="Times New Roman" w:cs="Times New Roman"/>
          <w:i/>
          <w:sz w:val="24"/>
          <w:szCs w:val="24"/>
        </w:rPr>
        <w:t xml:space="preserve">ns (Amendment) Instrument 2017/1049 </w:t>
      </w:r>
      <w:r w:rsidRPr="003956C7">
        <w:rPr>
          <w:rFonts w:ascii="Times New Roman" w:hAnsi="Times New Roman" w:cs="Times New Roman"/>
          <w:sz w:val="24"/>
          <w:szCs w:val="24"/>
        </w:rPr>
        <w:t>because</w:t>
      </w:r>
      <w:r w:rsidR="009806D6">
        <w:rPr>
          <w:rFonts w:ascii="Times New Roman" w:hAnsi="Times New Roman" w:cs="Times New Roman"/>
          <w:sz w:val="24"/>
          <w:szCs w:val="24"/>
        </w:rPr>
        <w:t xml:space="preserve"> the substantive effect of the instrument is replicate the relief that [CO 14/1000] gives for trustees and financial advisers in a form that will </w:t>
      </w:r>
      <w:r w:rsidR="009806D6">
        <w:rPr>
          <w:rFonts w:ascii="Times New Roman" w:hAnsi="Times New Roman" w:cs="Times New Roman"/>
          <w:sz w:val="24"/>
          <w:szCs w:val="24"/>
        </w:rPr>
        <w:lastRenderedPageBreak/>
        <w:t>extend to employee incentive schemes covered by an individual relief instrument. The instrument is therefore consistent with ASIC's policy in RG 49.</w:t>
      </w:r>
    </w:p>
    <w:p w:rsidR="00425EA9" w:rsidRDefault="00425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EA9" w:rsidRDefault="00425EA9" w:rsidP="00425EA9">
      <w:pPr>
        <w:pStyle w:val="Comment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Statement of Compatibility with Human Rights</w:t>
      </w:r>
    </w:p>
    <w:p w:rsidR="00425EA9" w:rsidRDefault="00425EA9" w:rsidP="00425EA9">
      <w:pPr>
        <w:pStyle w:val="CommentText"/>
        <w:jc w:val="center"/>
        <w:rPr>
          <w:b/>
          <w:sz w:val="24"/>
          <w:szCs w:val="24"/>
        </w:rPr>
      </w:pPr>
    </w:p>
    <w:p w:rsidR="00425EA9" w:rsidRDefault="00425EA9" w:rsidP="00425EA9">
      <w:pPr>
        <w:pStyle w:val="CommentTex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Pr="000B2800" w:rsidRDefault="00425EA9" w:rsidP="00425EA9">
      <w:pPr>
        <w:pStyle w:val="CommentText"/>
        <w:jc w:val="center"/>
        <w:rPr>
          <w:b/>
          <w:sz w:val="24"/>
          <w:szCs w:val="24"/>
        </w:rPr>
      </w:pPr>
      <w:r w:rsidRPr="000B2800">
        <w:rPr>
          <w:b/>
          <w:sz w:val="24"/>
          <w:szCs w:val="24"/>
        </w:rPr>
        <w:t>ASIC Corporations (</w:t>
      </w:r>
      <w:r w:rsidR="005A52A3">
        <w:rPr>
          <w:b/>
          <w:sz w:val="24"/>
          <w:szCs w:val="24"/>
        </w:rPr>
        <w:t>Amendment) Instrument 2017/1049</w:t>
      </w:r>
      <w:bookmarkStart w:id="0" w:name="_GoBack"/>
      <w:bookmarkEnd w:id="0"/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Overview of the legislative instrument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Pr="000B2800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The purpose of this legislative instrument is to add a definition to section 9 of the Act of '</w:t>
      </w:r>
      <w:r w:rsidRPr="000B2800">
        <w:rPr>
          <w:color w:val="000000"/>
          <w:sz w:val="24"/>
          <w:szCs w:val="24"/>
        </w:rPr>
        <w:t>approved foreign market</w:t>
      </w:r>
      <w:r>
        <w:rPr>
          <w:color w:val="000000"/>
          <w:sz w:val="24"/>
          <w:szCs w:val="24"/>
        </w:rPr>
        <w:t>'</w:t>
      </w:r>
      <w:r w:rsidRPr="000B2800">
        <w:rPr>
          <w:color w:val="000000"/>
          <w:sz w:val="24"/>
          <w:szCs w:val="24"/>
        </w:rPr>
        <w:t>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Human rights implications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does not engage any of the applicable rights or freedoms.</w:t>
      </w:r>
    </w:p>
    <w:p w:rsidR="00425EA9" w:rsidRDefault="00425EA9" w:rsidP="00425EA9">
      <w:pPr>
        <w:pStyle w:val="CommentText"/>
        <w:rPr>
          <w:b/>
          <w:sz w:val="24"/>
          <w:szCs w:val="24"/>
        </w:rPr>
      </w:pPr>
    </w:p>
    <w:p w:rsidR="00425EA9" w:rsidRDefault="00425EA9" w:rsidP="00425EA9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>Conclusion</w:t>
      </w:r>
    </w:p>
    <w:p w:rsidR="00425EA9" w:rsidRDefault="00425EA9" w:rsidP="00425EA9">
      <w:pPr>
        <w:pStyle w:val="CommentText"/>
        <w:rPr>
          <w:sz w:val="24"/>
          <w:szCs w:val="24"/>
        </w:rPr>
      </w:pPr>
    </w:p>
    <w:p w:rsidR="00425EA9" w:rsidRDefault="00425EA9" w:rsidP="00425EA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This legislative instrument is compatible with human rights as it does not raise any human rights issues.</w:t>
      </w:r>
    </w:p>
    <w:p w:rsidR="009806D6" w:rsidRDefault="009806D6" w:rsidP="009806D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806D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36" w:rsidRDefault="00301A36" w:rsidP="00E728AC">
      <w:pPr>
        <w:spacing w:after="0" w:line="240" w:lineRule="auto"/>
      </w:pPr>
      <w:r>
        <w:separator/>
      </w:r>
    </w:p>
  </w:endnote>
  <w:endnote w:type="continuationSeparator" w:id="0">
    <w:p w:rsidR="00301A36" w:rsidRDefault="00301A36" w:rsidP="00E7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224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28AC" w:rsidRDefault="00E728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2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28AC" w:rsidRDefault="00E72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36" w:rsidRDefault="00301A36" w:rsidP="00E728AC">
      <w:pPr>
        <w:spacing w:after="0" w:line="240" w:lineRule="auto"/>
      </w:pPr>
      <w:r>
        <w:separator/>
      </w:r>
    </w:p>
  </w:footnote>
  <w:footnote w:type="continuationSeparator" w:id="0">
    <w:p w:rsidR="00301A36" w:rsidRDefault="00301A36" w:rsidP="00E7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606"/>
    <w:multiLevelType w:val="hybridMultilevel"/>
    <w:tmpl w:val="323CABE0"/>
    <w:lvl w:ilvl="0" w:tplc="69181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F54AC"/>
    <w:multiLevelType w:val="hybridMultilevel"/>
    <w:tmpl w:val="87648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E002E"/>
    <w:multiLevelType w:val="hybridMultilevel"/>
    <w:tmpl w:val="DD8E3C6A"/>
    <w:lvl w:ilvl="0" w:tplc="B5FAC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DF"/>
    <w:rsid w:val="0012569F"/>
    <w:rsid w:val="002514EE"/>
    <w:rsid w:val="00264EC6"/>
    <w:rsid w:val="00301A36"/>
    <w:rsid w:val="003956C7"/>
    <w:rsid w:val="003D5316"/>
    <w:rsid w:val="00425EA9"/>
    <w:rsid w:val="004E6547"/>
    <w:rsid w:val="005A52A3"/>
    <w:rsid w:val="00664637"/>
    <w:rsid w:val="0067136A"/>
    <w:rsid w:val="00703426"/>
    <w:rsid w:val="007616D9"/>
    <w:rsid w:val="00775C37"/>
    <w:rsid w:val="00791F85"/>
    <w:rsid w:val="00813739"/>
    <w:rsid w:val="00850A23"/>
    <w:rsid w:val="00850C42"/>
    <w:rsid w:val="00887FDF"/>
    <w:rsid w:val="008B00DA"/>
    <w:rsid w:val="008B60B0"/>
    <w:rsid w:val="00925FE6"/>
    <w:rsid w:val="009806D6"/>
    <w:rsid w:val="00A670FA"/>
    <w:rsid w:val="00A943A2"/>
    <w:rsid w:val="00AC5BF1"/>
    <w:rsid w:val="00B37F81"/>
    <w:rsid w:val="00B42E44"/>
    <w:rsid w:val="00B7498B"/>
    <w:rsid w:val="00BA1253"/>
    <w:rsid w:val="00BA74D6"/>
    <w:rsid w:val="00C4012E"/>
    <w:rsid w:val="00C63F7F"/>
    <w:rsid w:val="00E57EFA"/>
    <w:rsid w:val="00E70008"/>
    <w:rsid w:val="00E728AC"/>
    <w:rsid w:val="00E8195D"/>
    <w:rsid w:val="00F06F07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7FDF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7FD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B7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AC"/>
  </w:style>
  <w:style w:type="paragraph" w:styleId="Footer">
    <w:name w:val="footer"/>
    <w:basedOn w:val="Normal"/>
    <w:link w:val="Foot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AC"/>
  </w:style>
  <w:style w:type="paragraph" w:styleId="BalloonText">
    <w:name w:val="Balloon Text"/>
    <w:basedOn w:val="Normal"/>
    <w:link w:val="BalloonTextChar"/>
    <w:uiPriority w:val="99"/>
    <w:semiHidden/>
    <w:unhideWhenUsed/>
    <w:rsid w:val="00E7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95D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42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EA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7FDF"/>
    <w:pPr>
      <w:overflowPunct w:val="0"/>
      <w:autoSpaceDE w:val="0"/>
      <w:autoSpaceDN w:val="0"/>
      <w:adjustRightInd w:val="0"/>
      <w:spacing w:after="0" w:line="240" w:lineRule="auto"/>
      <w:ind w:left="567" w:hanging="567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7FD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B7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8AC"/>
  </w:style>
  <w:style w:type="paragraph" w:styleId="Footer">
    <w:name w:val="footer"/>
    <w:basedOn w:val="Normal"/>
    <w:link w:val="FooterChar"/>
    <w:uiPriority w:val="99"/>
    <w:unhideWhenUsed/>
    <w:rsid w:val="00E72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8AC"/>
  </w:style>
  <w:style w:type="paragraph" w:styleId="BalloonText">
    <w:name w:val="Balloon Text"/>
    <w:basedOn w:val="Normal"/>
    <w:link w:val="BalloonTextChar"/>
    <w:uiPriority w:val="99"/>
    <w:semiHidden/>
    <w:unhideWhenUsed/>
    <w:rsid w:val="00E7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9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9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95D"/>
    <w:rPr>
      <w:vertAlign w:val="superscript"/>
    </w:rPr>
  </w:style>
  <w:style w:type="paragraph" w:styleId="CommentText">
    <w:name w:val="annotation text"/>
    <w:basedOn w:val="Normal"/>
    <w:link w:val="CommentTextChar"/>
    <w:semiHidden/>
    <w:unhideWhenUsed/>
    <w:rsid w:val="0042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5E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D7F1-B805-42FE-A908-913DDB25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fiona.laidlaw</dc:creator>
  <cp:lastModifiedBy>fiona.laidlaw</cp:lastModifiedBy>
  <cp:revision>2</cp:revision>
  <cp:lastPrinted>2017-11-24T00:58:00Z</cp:lastPrinted>
  <dcterms:created xsi:type="dcterms:W3CDTF">2017-12-04T03:48:00Z</dcterms:created>
  <dcterms:modified xsi:type="dcterms:W3CDTF">2017-12-04T03:48:00Z</dcterms:modified>
</cp:coreProperties>
</file>