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F5B" w:rsidRPr="00CF4F5B" w:rsidRDefault="00CF4F5B" w:rsidP="00CF4F5B">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b/>
          <w:bCs/>
          <w:sz w:val="24"/>
          <w:szCs w:val="24"/>
          <w:u w:val="single"/>
          <w:lang w:eastAsia="en-AU"/>
        </w:rPr>
        <w:t>EXPLANATORY STATEMENT</w:t>
      </w:r>
    </w:p>
    <w:p w:rsidR="00983C0B" w:rsidRDefault="00983C0B" w:rsidP="00C2699D">
      <w:pPr>
        <w:shd w:val="clear" w:color="auto" w:fill="FFFFFF"/>
        <w:spacing w:before="100" w:beforeAutospacing="1" w:after="100" w:afterAutospacing="1" w:line="240" w:lineRule="auto"/>
        <w:jc w:val="center"/>
        <w:rPr>
          <w:rFonts w:ascii="Times New Roman" w:eastAsia="Times New Roman" w:hAnsi="Times New Roman" w:cs="Times New Roman"/>
          <w:i/>
          <w:iCs/>
          <w:sz w:val="24"/>
          <w:szCs w:val="24"/>
          <w:lang w:eastAsia="en-AU"/>
        </w:rPr>
      </w:pPr>
    </w:p>
    <w:p w:rsidR="00C2699D" w:rsidRPr="00CF4F5B" w:rsidRDefault="00C2699D" w:rsidP="00C2699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val="en-US" w:eastAsia="en-AU"/>
        </w:rPr>
      </w:pPr>
      <w:r w:rsidRPr="00CF4F5B">
        <w:rPr>
          <w:rFonts w:ascii="Times New Roman" w:eastAsia="Times New Roman" w:hAnsi="Times New Roman" w:cs="Times New Roman"/>
          <w:i/>
          <w:iCs/>
          <w:sz w:val="24"/>
          <w:szCs w:val="24"/>
          <w:lang w:eastAsia="en-AU"/>
        </w:rPr>
        <w:t>Therapeutic Goods Act 1989</w:t>
      </w:r>
    </w:p>
    <w:p w:rsidR="00CF4F5B" w:rsidRPr="00983C0B" w:rsidRDefault="00CF4F5B" w:rsidP="00CF4F5B">
      <w:pPr>
        <w:shd w:val="clear" w:color="auto" w:fill="FFFFFF"/>
        <w:spacing w:before="100" w:beforeAutospacing="1" w:after="100" w:afterAutospacing="1" w:line="240" w:lineRule="auto"/>
        <w:rPr>
          <w:rFonts w:ascii="Times New Roman" w:eastAsia="Times New Roman" w:hAnsi="Times New Roman" w:cs="Times New Roman"/>
          <w:i/>
          <w:sz w:val="24"/>
          <w:szCs w:val="24"/>
          <w:lang w:val="en-US" w:eastAsia="en-AU"/>
        </w:rPr>
      </w:pPr>
      <w:r w:rsidRPr="00CF4F5B">
        <w:rPr>
          <w:rFonts w:ascii="Times New Roman" w:eastAsia="Times New Roman" w:hAnsi="Times New Roman" w:cs="Times New Roman"/>
          <w:b/>
          <w:bCs/>
          <w:sz w:val="24"/>
          <w:szCs w:val="24"/>
          <w:lang w:eastAsia="en-AU"/>
        </w:rPr>
        <w:t> </w:t>
      </w:r>
      <w:r w:rsidRPr="00983C0B">
        <w:rPr>
          <w:rFonts w:ascii="Times New Roman" w:eastAsia="Times New Roman" w:hAnsi="Times New Roman" w:cs="Times New Roman"/>
          <w:bCs/>
          <w:i/>
          <w:sz w:val="24"/>
          <w:szCs w:val="24"/>
          <w:lang w:eastAsia="en-AU"/>
        </w:rPr>
        <w:t xml:space="preserve">Therapeutic Goods </w:t>
      </w:r>
      <w:r w:rsidR="00021F9A" w:rsidRPr="00983C0B">
        <w:rPr>
          <w:rFonts w:ascii="Times New Roman" w:eastAsia="Times New Roman" w:hAnsi="Times New Roman" w:cs="Times New Roman"/>
          <w:bCs/>
          <w:i/>
          <w:sz w:val="24"/>
          <w:szCs w:val="24"/>
          <w:lang w:eastAsia="en-AU"/>
        </w:rPr>
        <w:t>Information</w:t>
      </w:r>
      <w:r w:rsidR="00C2699D" w:rsidRPr="00983C0B">
        <w:rPr>
          <w:rFonts w:ascii="Times New Roman" w:eastAsia="Times New Roman" w:hAnsi="Times New Roman" w:cs="Times New Roman"/>
          <w:bCs/>
          <w:i/>
          <w:sz w:val="24"/>
          <w:szCs w:val="24"/>
          <w:lang w:eastAsia="en-AU"/>
        </w:rPr>
        <w:t xml:space="preserve"> </w:t>
      </w:r>
      <w:r w:rsidRPr="00983C0B">
        <w:rPr>
          <w:rFonts w:ascii="Times New Roman" w:eastAsia="Times New Roman" w:hAnsi="Times New Roman" w:cs="Times New Roman"/>
          <w:bCs/>
          <w:i/>
          <w:sz w:val="24"/>
          <w:szCs w:val="24"/>
          <w:lang w:eastAsia="en-AU"/>
        </w:rPr>
        <w:t>(</w:t>
      </w:r>
      <w:r w:rsidR="00C2699D" w:rsidRPr="00983C0B">
        <w:rPr>
          <w:rFonts w:ascii="Times New Roman" w:eastAsia="Times New Roman" w:hAnsi="Times New Roman" w:cs="Times New Roman"/>
          <w:bCs/>
          <w:i/>
          <w:sz w:val="24"/>
          <w:szCs w:val="24"/>
          <w:lang w:eastAsia="en-AU"/>
        </w:rPr>
        <w:t>Sharing of Committee Information</w:t>
      </w:r>
      <w:r w:rsidRPr="00983C0B">
        <w:rPr>
          <w:rFonts w:ascii="Times New Roman" w:eastAsia="Times New Roman" w:hAnsi="Times New Roman" w:cs="Times New Roman"/>
          <w:bCs/>
          <w:i/>
          <w:sz w:val="24"/>
          <w:szCs w:val="24"/>
          <w:lang w:eastAsia="en-AU"/>
        </w:rPr>
        <w:t xml:space="preserve">) </w:t>
      </w:r>
      <w:r w:rsidR="00021F9A" w:rsidRPr="00983C0B">
        <w:rPr>
          <w:rFonts w:ascii="Times New Roman" w:eastAsia="Times New Roman" w:hAnsi="Times New Roman" w:cs="Times New Roman"/>
          <w:bCs/>
          <w:i/>
          <w:sz w:val="24"/>
          <w:szCs w:val="24"/>
          <w:lang w:eastAsia="en-AU"/>
        </w:rPr>
        <w:t>Specification</w:t>
      </w:r>
      <w:r w:rsidRPr="00983C0B">
        <w:rPr>
          <w:rFonts w:ascii="Times New Roman" w:eastAsia="Times New Roman" w:hAnsi="Times New Roman" w:cs="Times New Roman"/>
          <w:bCs/>
          <w:i/>
          <w:sz w:val="24"/>
          <w:szCs w:val="24"/>
          <w:lang w:eastAsia="en-AU"/>
        </w:rPr>
        <w:t xml:space="preserve"> 2017</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w:t>
      </w:r>
      <w:r w:rsidR="00983C0B">
        <w:rPr>
          <w:rFonts w:ascii="Times New Roman" w:eastAsia="Times New Roman" w:hAnsi="Times New Roman"/>
          <w:sz w:val="24"/>
          <w:szCs w:val="24"/>
          <w:lang w:eastAsia="en-AU"/>
        </w:rPr>
        <w:t xml:space="preserve"> object of the </w:t>
      </w:r>
      <w:r w:rsidRPr="00C2699D">
        <w:rPr>
          <w:rFonts w:ascii="Times New Roman" w:eastAsia="Times New Roman" w:hAnsi="Times New Roman"/>
          <w:i/>
          <w:iCs/>
          <w:sz w:val="24"/>
          <w:szCs w:val="24"/>
          <w:lang w:eastAsia="en-AU"/>
        </w:rPr>
        <w:t>Therapeutic Goods Act 1989</w:t>
      </w:r>
      <w:r w:rsidRPr="00C2699D">
        <w:rPr>
          <w:rFonts w:ascii="Times New Roman" w:eastAsia="Times New Roman" w:hAnsi="Times New Roman"/>
          <w:sz w:val="24"/>
          <w:szCs w:val="24"/>
          <w:lang w:eastAsia="en-AU"/>
        </w:rPr>
        <w:t xml:space="preserve"> (the Act) </w:t>
      </w:r>
      <w:r w:rsidR="00983C0B">
        <w:rPr>
          <w:rFonts w:ascii="Times New Roman" w:eastAsia="Times New Roman" w:hAnsi="Times New Roman"/>
          <w:sz w:val="24"/>
          <w:szCs w:val="24"/>
          <w:lang w:eastAsia="en-AU"/>
        </w:rPr>
        <w:t xml:space="preserve">is to </w:t>
      </w:r>
      <w:r w:rsidRPr="00C2699D">
        <w:rPr>
          <w:rFonts w:ascii="Times New Roman" w:eastAsia="Times New Roman" w:hAnsi="Times New Roman"/>
          <w:sz w:val="24"/>
          <w:szCs w:val="24"/>
          <w:lang w:eastAsia="en-AU"/>
        </w:rPr>
        <w:t>establish</w:t>
      </w:r>
      <w:r w:rsidR="00983C0B">
        <w:rPr>
          <w:rFonts w:ascii="Times New Roman" w:eastAsia="Times New Roman" w:hAnsi="Times New Roman"/>
          <w:sz w:val="24"/>
          <w:szCs w:val="24"/>
          <w:lang w:eastAsia="en-AU"/>
        </w:rPr>
        <w:t xml:space="preserve"> and </w:t>
      </w:r>
      <w:r w:rsidRPr="00C2699D">
        <w:rPr>
          <w:rFonts w:ascii="Times New Roman" w:eastAsia="Times New Roman" w:hAnsi="Times New Roman"/>
          <w:sz w:val="24"/>
          <w:szCs w:val="24"/>
          <w:lang w:eastAsia="en-AU"/>
        </w:rPr>
        <w:t>maint</w:t>
      </w:r>
      <w:r w:rsidR="00983C0B">
        <w:rPr>
          <w:rFonts w:ascii="Times New Roman" w:eastAsia="Times New Roman" w:hAnsi="Times New Roman"/>
          <w:sz w:val="24"/>
          <w:szCs w:val="24"/>
          <w:lang w:eastAsia="en-AU"/>
        </w:rPr>
        <w:t>ain</w:t>
      </w:r>
      <w:r w:rsidRPr="00C2699D">
        <w:rPr>
          <w:rFonts w:ascii="Times New Roman" w:eastAsia="Times New Roman" w:hAnsi="Times New Roman"/>
          <w:sz w:val="24"/>
          <w:szCs w:val="24"/>
          <w:lang w:eastAsia="en-AU"/>
        </w:rPr>
        <w:t xml:space="preserve"> a national system of controls for the quality, safety, efficacy</w:t>
      </w:r>
      <w:r w:rsidR="00D66A89">
        <w:rPr>
          <w:rFonts w:ascii="Times New Roman" w:eastAsia="Times New Roman" w:hAnsi="Times New Roman"/>
          <w:sz w:val="24"/>
          <w:szCs w:val="24"/>
          <w:lang w:eastAsia="en-AU"/>
        </w:rPr>
        <w:t>/performance</w:t>
      </w:r>
      <w:r w:rsidRPr="00C2699D">
        <w:rPr>
          <w:rFonts w:ascii="Times New Roman" w:eastAsia="Times New Roman" w:hAnsi="Times New Roman"/>
          <w:sz w:val="24"/>
          <w:szCs w:val="24"/>
          <w:lang w:eastAsia="en-AU"/>
        </w:rPr>
        <w:t xml:space="preserve"> and timely availability of therapeutic goods that are used in or exported from Australia.  The Therapeutic Goods Administration (the TGA), which is part of the Department of Health, is responsible for administering the Act.</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Section 61 of the Act lists a number of persons or organisations, such as the World Health Organisation and State and Territory authorities that have functions relating to therapeutic goods, to which the Secretary of the Department of Health can release specified kinds of therapeutic goods information.  Section 61 also allows the Minister for Health to make a legislative instrument setting out other circumstances in which the Secretary can release therapeutic goods information under that section.</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 Therapeutic Goods Information (Sharing of Committee Information) Specification 201</w:t>
      </w:r>
      <w:r w:rsidR="00D66A89">
        <w:rPr>
          <w:rFonts w:ascii="Times New Roman" w:eastAsia="Times New Roman" w:hAnsi="Times New Roman"/>
          <w:sz w:val="24"/>
          <w:szCs w:val="24"/>
          <w:lang w:eastAsia="en-AU"/>
        </w:rPr>
        <w:t>7</w:t>
      </w:r>
      <w:r w:rsidRPr="00C2699D">
        <w:rPr>
          <w:rFonts w:ascii="Times New Roman" w:eastAsia="Times New Roman" w:hAnsi="Times New Roman"/>
          <w:sz w:val="24"/>
          <w:szCs w:val="24"/>
          <w:lang w:eastAsia="en-AU"/>
        </w:rPr>
        <w:t xml:space="preserve"> (the Specification) is made by the Minister under subsection 61(5AB) of the Act and specifies kinds of therapeutic goods information that can be released, bodies and kinds of persons to whom that information can be released, and the purposes for which it can be released, by the Secretary under subsection 61(5AA) of the Act.</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 making of the Specification has the effect of permitting the Secretary to release therapeutic goods information of a kind mentioned in the Specification to the bodies and the kinds of persons mentioned in the Specification, for the purposes set out in the Specification.</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Therapeutic goods information in this context is defined in subsection 61(1) of the Act as, relevantly, information in relation to therapeutic goods that is held by the Department and which relates to the performance of the Department’s functions.</w:t>
      </w:r>
    </w:p>
    <w:p w:rsidR="00D66A89" w:rsidRDefault="00D66A89" w:rsidP="00021F9A">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Specification repeals the previous </w:t>
      </w:r>
      <w:r w:rsidRPr="0084067A">
        <w:rPr>
          <w:rFonts w:ascii="Times New Roman" w:eastAsia="Times New Roman" w:hAnsi="Times New Roman"/>
          <w:i/>
          <w:sz w:val="24"/>
          <w:szCs w:val="24"/>
          <w:lang w:eastAsia="en-AU"/>
        </w:rPr>
        <w:t>Therapeutic Goods Information (Sharing of Committee Information) Specification 2014</w:t>
      </w:r>
      <w:r>
        <w:rPr>
          <w:rFonts w:ascii="Times New Roman" w:eastAsia="Times New Roman" w:hAnsi="Times New Roman"/>
          <w:sz w:val="24"/>
          <w:szCs w:val="24"/>
          <w:lang w:eastAsia="en-AU"/>
        </w:rPr>
        <w:t>.</w:t>
      </w:r>
      <w:r w:rsidR="0084067A">
        <w:rPr>
          <w:rFonts w:ascii="Times New Roman" w:eastAsia="Times New Roman" w:hAnsi="Times New Roman"/>
          <w:sz w:val="24"/>
          <w:szCs w:val="24"/>
          <w:lang w:eastAsia="en-AU"/>
        </w:rPr>
        <w:t xml:space="preserve"> The </w:t>
      </w:r>
      <w:r w:rsidR="00B95DE3">
        <w:rPr>
          <w:rFonts w:ascii="Times New Roman" w:eastAsia="Times New Roman" w:hAnsi="Times New Roman"/>
          <w:sz w:val="24"/>
          <w:szCs w:val="24"/>
          <w:lang w:eastAsia="en-AU"/>
        </w:rPr>
        <w:t xml:space="preserve">purpose of the </w:t>
      </w:r>
      <w:r w:rsidR="0084067A">
        <w:rPr>
          <w:rFonts w:ascii="Times New Roman" w:eastAsia="Times New Roman" w:hAnsi="Times New Roman"/>
          <w:sz w:val="24"/>
          <w:szCs w:val="24"/>
          <w:lang w:eastAsia="en-AU"/>
        </w:rPr>
        <w:t xml:space="preserve">Specification </w:t>
      </w:r>
      <w:r w:rsidR="00B95DE3">
        <w:rPr>
          <w:rFonts w:ascii="Times New Roman" w:eastAsia="Times New Roman" w:hAnsi="Times New Roman"/>
          <w:sz w:val="24"/>
          <w:szCs w:val="24"/>
          <w:lang w:eastAsia="en-AU"/>
        </w:rPr>
        <w:t xml:space="preserve">is to </w:t>
      </w:r>
      <w:r w:rsidR="0084067A">
        <w:rPr>
          <w:rFonts w:ascii="Times New Roman" w:eastAsia="Times New Roman" w:hAnsi="Times New Roman"/>
          <w:sz w:val="24"/>
          <w:szCs w:val="24"/>
          <w:lang w:eastAsia="en-AU"/>
        </w:rPr>
        <w:t xml:space="preserve">reflect changes that have been made recently to the Committees established under the </w:t>
      </w:r>
      <w:r w:rsidR="0084067A" w:rsidRPr="0084067A">
        <w:rPr>
          <w:rFonts w:ascii="Times New Roman" w:eastAsia="Times New Roman" w:hAnsi="Times New Roman"/>
          <w:i/>
          <w:sz w:val="24"/>
          <w:szCs w:val="24"/>
          <w:lang w:eastAsia="en-AU"/>
        </w:rPr>
        <w:t>Therapeutic Goods Regulations 1990</w:t>
      </w:r>
      <w:r w:rsidR="0084067A">
        <w:rPr>
          <w:rFonts w:ascii="Times New Roman" w:eastAsia="Times New Roman" w:hAnsi="Times New Roman"/>
          <w:sz w:val="24"/>
          <w:szCs w:val="24"/>
          <w:lang w:eastAsia="en-AU"/>
        </w:rPr>
        <w:t xml:space="preserve"> (the Regulations)</w:t>
      </w:r>
      <w:r w:rsidR="00B95DE3">
        <w:rPr>
          <w:rFonts w:ascii="Times New Roman" w:eastAsia="Times New Roman" w:hAnsi="Times New Roman"/>
          <w:sz w:val="24"/>
          <w:szCs w:val="24"/>
          <w:lang w:eastAsia="en-AU"/>
        </w:rPr>
        <w:t xml:space="preserve"> to ensure appropriate sharing of Committee information </w:t>
      </w:r>
      <w:r w:rsidR="00474C25">
        <w:rPr>
          <w:rFonts w:ascii="Times New Roman" w:eastAsia="Times New Roman" w:hAnsi="Times New Roman"/>
          <w:sz w:val="24"/>
          <w:szCs w:val="24"/>
          <w:lang w:eastAsia="en-AU"/>
        </w:rPr>
        <w:t xml:space="preserve">may </w:t>
      </w:r>
      <w:r w:rsidR="00B95DE3">
        <w:rPr>
          <w:rFonts w:ascii="Times New Roman" w:eastAsia="Times New Roman" w:hAnsi="Times New Roman"/>
          <w:sz w:val="24"/>
          <w:szCs w:val="24"/>
          <w:lang w:eastAsia="en-AU"/>
        </w:rPr>
        <w:t>continue</w:t>
      </w:r>
      <w:r w:rsidR="008F43D2">
        <w:rPr>
          <w:rFonts w:ascii="Times New Roman" w:eastAsia="Times New Roman" w:hAnsi="Times New Roman"/>
          <w:sz w:val="24"/>
          <w:szCs w:val="24"/>
          <w:lang w:eastAsia="en-AU"/>
        </w:rPr>
        <w:t>, and to make certain other minor amendments to keep the Specification up- to- date</w:t>
      </w:r>
      <w:r w:rsidR="0084067A">
        <w:rPr>
          <w:rFonts w:ascii="Times New Roman" w:eastAsia="Times New Roman" w:hAnsi="Times New Roman"/>
          <w:sz w:val="24"/>
          <w:szCs w:val="24"/>
          <w:lang w:eastAsia="en-AU"/>
        </w:rPr>
        <w:t>.</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 Specification commenced on the day after it was registered on the Federal Register of Legislati</w:t>
      </w:r>
      <w:r w:rsidR="0084067A">
        <w:rPr>
          <w:rFonts w:ascii="Times New Roman" w:eastAsia="Times New Roman" w:hAnsi="Times New Roman"/>
          <w:sz w:val="24"/>
          <w:szCs w:val="24"/>
          <w:lang w:eastAsia="en-AU"/>
        </w:rPr>
        <w:t>on</w:t>
      </w:r>
      <w:r w:rsidRPr="00C2699D">
        <w:rPr>
          <w:rFonts w:ascii="Times New Roman" w:eastAsia="Times New Roman" w:hAnsi="Times New Roman"/>
          <w:sz w:val="24"/>
          <w:szCs w:val="24"/>
          <w:lang w:eastAsia="en-AU"/>
        </w:rPr>
        <w:t>.</w:t>
      </w:r>
    </w:p>
    <w:p w:rsidR="00021F9A" w:rsidRPr="00C2699D" w:rsidRDefault="00021F9A" w:rsidP="00021F9A">
      <w:pPr>
        <w:spacing w:after="120" w:line="240" w:lineRule="auto"/>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BACKGROUND</w:t>
      </w:r>
    </w:p>
    <w:p w:rsidR="0084067A" w:rsidRDefault="0084067A" w:rsidP="00021F9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In 2014 and 2015, an independent panel examined Australia’s medicines and medical devices regulatory framework- the Expert Review of Medicines and Medical Devices Regulation (the MMDR) and made a number of recommendations.</w:t>
      </w:r>
    </w:p>
    <w:p w:rsidR="0084067A" w:rsidRDefault="0084067A" w:rsidP="00021F9A">
      <w:pPr>
        <w:spacing w:after="0" w:line="240" w:lineRule="auto"/>
        <w:rPr>
          <w:rFonts w:ascii="Times New Roman" w:eastAsia="Times New Roman" w:hAnsi="Times New Roman"/>
          <w:sz w:val="24"/>
          <w:szCs w:val="24"/>
          <w:lang w:eastAsia="en-AU"/>
        </w:rPr>
      </w:pPr>
    </w:p>
    <w:p w:rsidR="00E26538" w:rsidRDefault="006638A6" w:rsidP="00021F9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Consistent with</w:t>
      </w:r>
      <w:r w:rsidR="0084067A">
        <w:rPr>
          <w:rFonts w:ascii="Times New Roman" w:eastAsia="Times New Roman" w:hAnsi="Times New Roman"/>
          <w:sz w:val="24"/>
          <w:szCs w:val="24"/>
          <w:lang w:eastAsia="en-AU"/>
        </w:rPr>
        <w:t xml:space="preserve"> the MMDR, the Government agreed to rationalise the number of statutory advisory committees </w:t>
      </w:r>
      <w:r w:rsidR="00E26538">
        <w:rPr>
          <w:rFonts w:ascii="Times New Roman" w:eastAsia="Times New Roman" w:hAnsi="Times New Roman"/>
          <w:sz w:val="24"/>
          <w:szCs w:val="24"/>
          <w:lang w:eastAsia="en-AU"/>
        </w:rPr>
        <w:t xml:space="preserve">from the </w:t>
      </w:r>
      <w:r w:rsidR="00546E13">
        <w:rPr>
          <w:rFonts w:ascii="Times New Roman" w:eastAsia="Times New Roman" w:hAnsi="Times New Roman"/>
          <w:sz w:val="24"/>
          <w:szCs w:val="24"/>
          <w:lang w:eastAsia="en-AU"/>
        </w:rPr>
        <w:t xml:space="preserve">nine committees </w:t>
      </w:r>
      <w:r w:rsidR="00E26538">
        <w:rPr>
          <w:rFonts w:ascii="Times New Roman" w:eastAsia="Times New Roman" w:hAnsi="Times New Roman"/>
          <w:sz w:val="24"/>
          <w:szCs w:val="24"/>
          <w:lang w:eastAsia="en-AU"/>
        </w:rPr>
        <w:t xml:space="preserve">previously </w:t>
      </w:r>
      <w:r w:rsidR="00546E13">
        <w:rPr>
          <w:rFonts w:ascii="Times New Roman" w:eastAsia="Times New Roman" w:hAnsi="Times New Roman"/>
          <w:sz w:val="24"/>
          <w:szCs w:val="24"/>
          <w:lang w:eastAsia="en-AU"/>
        </w:rPr>
        <w:t xml:space="preserve">established in </w:t>
      </w:r>
      <w:r w:rsidR="00E26538">
        <w:rPr>
          <w:rFonts w:ascii="Times New Roman" w:eastAsia="Times New Roman" w:hAnsi="Times New Roman"/>
          <w:sz w:val="24"/>
          <w:szCs w:val="24"/>
          <w:lang w:eastAsia="en-AU"/>
        </w:rPr>
        <w:t>Divisions 1-1EB of Part 6 of the Regulations</w:t>
      </w:r>
      <w:r>
        <w:rPr>
          <w:rFonts w:ascii="Times New Roman" w:eastAsia="Times New Roman" w:hAnsi="Times New Roman"/>
          <w:sz w:val="24"/>
          <w:szCs w:val="24"/>
          <w:lang w:eastAsia="en-AU"/>
        </w:rPr>
        <w:t>,</w:t>
      </w:r>
      <w:r w:rsidR="00E26538">
        <w:rPr>
          <w:rFonts w:ascii="Times New Roman" w:eastAsia="Times New Roman" w:hAnsi="Times New Roman"/>
          <w:sz w:val="24"/>
          <w:szCs w:val="24"/>
          <w:lang w:eastAsia="en-AU"/>
        </w:rPr>
        <w:t xml:space="preserve"> to a more streamlined structure of five advisory committees, from 1</w:t>
      </w:r>
      <w:r w:rsidR="002033AC">
        <w:rPr>
          <w:rFonts w:ascii="Times New Roman" w:eastAsia="Times New Roman" w:hAnsi="Times New Roman"/>
          <w:sz w:val="24"/>
          <w:szCs w:val="24"/>
          <w:lang w:eastAsia="en-AU"/>
        </w:rPr>
        <w:t> </w:t>
      </w:r>
      <w:r w:rsidR="00E26538">
        <w:rPr>
          <w:rFonts w:ascii="Times New Roman" w:eastAsia="Times New Roman" w:hAnsi="Times New Roman"/>
          <w:sz w:val="24"/>
          <w:szCs w:val="24"/>
          <w:lang w:eastAsia="en-AU"/>
        </w:rPr>
        <w:t>January 2017.</w:t>
      </w:r>
    </w:p>
    <w:p w:rsidR="00E26538" w:rsidRDefault="00E26538" w:rsidP="00021F9A">
      <w:pPr>
        <w:spacing w:after="0" w:line="240" w:lineRule="auto"/>
        <w:rPr>
          <w:rFonts w:ascii="Times New Roman" w:eastAsia="Times New Roman" w:hAnsi="Times New Roman"/>
          <w:sz w:val="24"/>
          <w:szCs w:val="24"/>
          <w:lang w:eastAsia="en-AU"/>
        </w:rPr>
      </w:pPr>
    </w:p>
    <w:p w:rsidR="00F55C96" w:rsidRDefault="00E26538" w:rsidP="00021F9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F55C96">
        <w:rPr>
          <w:rFonts w:ascii="Times New Roman" w:eastAsia="Times New Roman" w:hAnsi="Times New Roman"/>
          <w:sz w:val="24"/>
          <w:szCs w:val="24"/>
          <w:lang w:eastAsia="en-AU"/>
        </w:rPr>
        <w:t xml:space="preserve">previous </w:t>
      </w:r>
      <w:r>
        <w:rPr>
          <w:rFonts w:ascii="Times New Roman" w:eastAsia="Times New Roman" w:hAnsi="Times New Roman"/>
          <w:sz w:val="24"/>
          <w:szCs w:val="24"/>
          <w:lang w:eastAsia="en-AU"/>
        </w:rPr>
        <w:t>nine committees</w:t>
      </w:r>
      <w:r w:rsidR="00F55C96">
        <w:rPr>
          <w:rFonts w:ascii="Times New Roman" w:eastAsia="Times New Roman" w:hAnsi="Times New Roman"/>
          <w:sz w:val="24"/>
          <w:szCs w:val="24"/>
          <w:lang w:eastAsia="en-AU"/>
        </w:rPr>
        <w:t xml:space="preserve"> were t</w:t>
      </w:r>
      <w:r>
        <w:rPr>
          <w:rFonts w:ascii="Times New Roman" w:eastAsia="Times New Roman" w:hAnsi="Times New Roman"/>
          <w:sz w:val="24"/>
          <w:szCs w:val="24"/>
          <w:lang w:eastAsia="en-AU"/>
        </w:rPr>
        <w:t xml:space="preserve">he Therapeutic Goods Committee (TGC), the Advisory Committee on Prescription Medicines (ACPM), the Advisory Committee on </w:t>
      </w:r>
      <w:r w:rsidR="00F55C96">
        <w:rPr>
          <w:rFonts w:ascii="Times New Roman" w:eastAsia="Times New Roman" w:hAnsi="Times New Roman"/>
          <w:sz w:val="24"/>
          <w:szCs w:val="24"/>
          <w:lang w:eastAsia="en-AU"/>
        </w:rPr>
        <w:t xml:space="preserve">Non-prescription Medicines (ACNM), </w:t>
      </w:r>
      <w:r>
        <w:rPr>
          <w:rFonts w:ascii="Times New Roman" w:eastAsia="Times New Roman" w:hAnsi="Times New Roman"/>
          <w:sz w:val="24"/>
          <w:szCs w:val="24"/>
          <w:lang w:eastAsia="en-AU"/>
        </w:rPr>
        <w:t xml:space="preserve">the </w:t>
      </w:r>
      <w:r w:rsidR="00F55C96">
        <w:rPr>
          <w:rFonts w:ascii="Times New Roman" w:eastAsia="Times New Roman" w:hAnsi="Times New Roman"/>
          <w:sz w:val="24"/>
          <w:szCs w:val="24"/>
          <w:lang w:eastAsia="en-AU"/>
        </w:rPr>
        <w:t xml:space="preserve">Advisory Committee on the </w:t>
      </w:r>
      <w:r>
        <w:rPr>
          <w:rFonts w:ascii="Times New Roman" w:eastAsia="Times New Roman" w:hAnsi="Times New Roman"/>
          <w:sz w:val="24"/>
          <w:szCs w:val="24"/>
          <w:lang w:eastAsia="en-AU"/>
        </w:rPr>
        <w:t>Safety of Med</w:t>
      </w:r>
      <w:r w:rsidR="009D273C">
        <w:rPr>
          <w:rFonts w:ascii="Times New Roman" w:eastAsia="Times New Roman" w:hAnsi="Times New Roman"/>
          <w:sz w:val="24"/>
          <w:szCs w:val="24"/>
          <w:lang w:eastAsia="en-AU"/>
        </w:rPr>
        <w:t>i</w:t>
      </w:r>
      <w:r>
        <w:rPr>
          <w:rFonts w:ascii="Times New Roman" w:eastAsia="Times New Roman" w:hAnsi="Times New Roman"/>
          <w:sz w:val="24"/>
          <w:szCs w:val="24"/>
          <w:lang w:eastAsia="en-AU"/>
        </w:rPr>
        <w:t>cines (ACSOM), the Advisory Committee</w:t>
      </w:r>
      <w:r w:rsidR="009D273C">
        <w:rPr>
          <w:rFonts w:ascii="Times New Roman" w:eastAsia="Times New Roman" w:hAnsi="Times New Roman"/>
          <w:sz w:val="24"/>
          <w:szCs w:val="24"/>
          <w:lang w:eastAsia="en-AU"/>
        </w:rPr>
        <w:t xml:space="preserve"> on Medical Devices</w:t>
      </w:r>
      <w:r w:rsidR="00F55C96">
        <w:rPr>
          <w:rFonts w:ascii="Times New Roman" w:eastAsia="Times New Roman" w:hAnsi="Times New Roman"/>
          <w:sz w:val="24"/>
          <w:szCs w:val="24"/>
          <w:lang w:eastAsia="en-AU"/>
        </w:rPr>
        <w:t xml:space="preserve"> (ACMD), </w:t>
      </w:r>
      <w:r w:rsidR="008A1D19">
        <w:rPr>
          <w:rFonts w:ascii="Times New Roman" w:eastAsia="Times New Roman" w:hAnsi="Times New Roman"/>
          <w:sz w:val="24"/>
          <w:szCs w:val="24"/>
          <w:lang w:eastAsia="en-AU"/>
        </w:rPr>
        <w:t xml:space="preserve">the Advisory Committee on the Safety of Medical Devices (ACSMD), </w:t>
      </w:r>
      <w:r w:rsidR="00F55C96">
        <w:rPr>
          <w:rFonts w:ascii="Times New Roman" w:eastAsia="Times New Roman" w:hAnsi="Times New Roman"/>
          <w:sz w:val="24"/>
          <w:szCs w:val="24"/>
          <w:lang w:eastAsia="en-AU"/>
        </w:rPr>
        <w:t>the Advisory Committee on Complementary Medicines (ACCM), the Advisory Committee on Biologicals (ACB) and the Advisory Committee on the Safety of Vaccines</w:t>
      </w:r>
      <w:r w:rsidR="00474C25">
        <w:rPr>
          <w:rFonts w:ascii="Times New Roman" w:eastAsia="Times New Roman" w:hAnsi="Times New Roman"/>
          <w:sz w:val="24"/>
          <w:szCs w:val="24"/>
          <w:lang w:eastAsia="en-AU"/>
        </w:rPr>
        <w:t xml:space="preserve"> (ACS</w:t>
      </w:r>
      <w:r w:rsidR="00C97E2F">
        <w:rPr>
          <w:rFonts w:ascii="Times New Roman" w:eastAsia="Times New Roman" w:hAnsi="Times New Roman"/>
          <w:sz w:val="24"/>
          <w:szCs w:val="24"/>
          <w:lang w:eastAsia="en-AU"/>
        </w:rPr>
        <w:t>O</w:t>
      </w:r>
      <w:r w:rsidR="00474C25">
        <w:rPr>
          <w:rFonts w:ascii="Times New Roman" w:eastAsia="Times New Roman" w:hAnsi="Times New Roman"/>
          <w:sz w:val="24"/>
          <w:szCs w:val="24"/>
          <w:lang w:eastAsia="en-AU"/>
        </w:rPr>
        <w:t>V)</w:t>
      </w:r>
      <w:r w:rsidR="00F55C96">
        <w:rPr>
          <w:rFonts w:ascii="Times New Roman" w:eastAsia="Times New Roman" w:hAnsi="Times New Roman"/>
          <w:sz w:val="24"/>
          <w:szCs w:val="24"/>
          <w:lang w:eastAsia="en-AU"/>
        </w:rPr>
        <w:t xml:space="preserve">. </w:t>
      </w:r>
    </w:p>
    <w:p w:rsidR="00F55C96" w:rsidRDefault="00F55C96" w:rsidP="00021F9A">
      <w:pPr>
        <w:spacing w:after="0" w:line="240" w:lineRule="auto"/>
        <w:rPr>
          <w:rFonts w:ascii="Times New Roman" w:eastAsia="Times New Roman" w:hAnsi="Times New Roman"/>
          <w:sz w:val="24"/>
          <w:szCs w:val="24"/>
          <w:lang w:eastAsia="en-AU"/>
        </w:rPr>
      </w:pPr>
    </w:p>
    <w:p w:rsidR="00F55C96" w:rsidRDefault="00F55C96" w:rsidP="00021F9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 committees that constitute the new structure are the Advisory Committee on Medicines (ACM), the Advisory Committee on Medical Devices (ACMD), the Advisory Committee on Complementary Medicines (ACCM), the Advisory Committee on Biologicals (ACB) and the Advisory Committee on Vaccines (ACV).</w:t>
      </w:r>
    </w:p>
    <w:p w:rsidR="00F55C96" w:rsidRDefault="00F55C96" w:rsidP="00021F9A">
      <w:pPr>
        <w:spacing w:after="0" w:line="240" w:lineRule="auto"/>
        <w:rPr>
          <w:rFonts w:ascii="Times New Roman" w:eastAsia="Times New Roman" w:hAnsi="Times New Roman"/>
          <w:sz w:val="24"/>
          <w:szCs w:val="24"/>
          <w:lang w:eastAsia="en-AU"/>
        </w:rPr>
      </w:pPr>
    </w:p>
    <w:p w:rsidR="00630F04" w:rsidRDefault="00F55C96" w:rsidP="00021F9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ACM will </w:t>
      </w:r>
      <w:r w:rsidR="00630F04">
        <w:rPr>
          <w:rFonts w:ascii="Times New Roman" w:eastAsia="Times New Roman" w:hAnsi="Times New Roman"/>
          <w:sz w:val="24"/>
          <w:szCs w:val="24"/>
          <w:lang w:eastAsia="en-AU"/>
        </w:rPr>
        <w:t xml:space="preserve">now </w:t>
      </w:r>
      <w:r>
        <w:rPr>
          <w:rFonts w:ascii="Times New Roman" w:eastAsia="Times New Roman" w:hAnsi="Times New Roman"/>
          <w:sz w:val="24"/>
          <w:szCs w:val="24"/>
          <w:lang w:eastAsia="en-AU"/>
        </w:rPr>
        <w:t xml:space="preserve">cover the roles of the </w:t>
      </w:r>
      <w:r w:rsidR="00630F04">
        <w:rPr>
          <w:rFonts w:ascii="Times New Roman" w:eastAsia="Times New Roman" w:hAnsi="Times New Roman"/>
          <w:sz w:val="24"/>
          <w:szCs w:val="24"/>
          <w:lang w:eastAsia="en-AU"/>
        </w:rPr>
        <w:t xml:space="preserve">previous </w:t>
      </w:r>
      <w:r>
        <w:rPr>
          <w:rFonts w:ascii="Times New Roman" w:eastAsia="Times New Roman" w:hAnsi="Times New Roman"/>
          <w:sz w:val="24"/>
          <w:szCs w:val="24"/>
          <w:lang w:eastAsia="en-AU"/>
        </w:rPr>
        <w:t xml:space="preserve">ACPM, ACNM and ACSM, each of which </w:t>
      </w:r>
      <w:r w:rsidR="00630F04">
        <w:rPr>
          <w:rFonts w:ascii="Times New Roman" w:eastAsia="Times New Roman" w:hAnsi="Times New Roman"/>
          <w:sz w:val="24"/>
          <w:szCs w:val="24"/>
          <w:lang w:eastAsia="en-AU"/>
        </w:rPr>
        <w:t>ha</w:t>
      </w:r>
      <w:r w:rsidR="00DF01C0">
        <w:rPr>
          <w:rFonts w:ascii="Times New Roman" w:eastAsia="Times New Roman" w:hAnsi="Times New Roman"/>
          <w:sz w:val="24"/>
          <w:szCs w:val="24"/>
          <w:lang w:eastAsia="en-AU"/>
        </w:rPr>
        <w:t>s</w:t>
      </w:r>
      <w:r w:rsidR="00630F04">
        <w:rPr>
          <w:rFonts w:ascii="Times New Roman" w:eastAsia="Times New Roman" w:hAnsi="Times New Roman"/>
          <w:sz w:val="24"/>
          <w:szCs w:val="24"/>
          <w:lang w:eastAsia="en-AU"/>
        </w:rPr>
        <w:t xml:space="preserve"> been </w:t>
      </w:r>
      <w:r>
        <w:rPr>
          <w:rFonts w:ascii="Times New Roman" w:eastAsia="Times New Roman" w:hAnsi="Times New Roman"/>
          <w:sz w:val="24"/>
          <w:szCs w:val="24"/>
          <w:lang w:eastAsia="en-AU"/>
        </w:rPr>
        <w:t xml:space="preserve">replaced. The ACMD will continue (with some changes), and will cover the role of the </w:t>
      </w:r>
      <w:r w:rsidR="00630F04">
        <w:rPr>
          <w:rFonts w:ascii="Times New Roman" w:eastAsia="Times New Roman" w:hAnsi="Times New Roman"/>
          <w:sz w:val="24"/>
          <w:szCs w:val="24"/>
          <w:lang w:eastAsia="en-AU"/>
        </w:rPr>
        <w:t xml:space="preserve">previous </w:t>
      </w:r>
      <w:r>
        <w:rPr>
          <w:rFonts w:ascii="Times New Roman" w:eastAsia="Times New Roman" w:hAnsi="Times New Roman"/>
          <w:sz w:val="24"/>
          <w:szCs w:val="24"/>
          <w:lang w:eastAsia="en-AU"/>
        </w:rPr>
        <w:t xml:space="preserve">ACSMD, which </w:t>
      </w:r>
      <w:r w:rsidR="00630F04">
        <w:rPr>
          <w:rFonts w:ascii="Times New Roman" w:eastAsia="Times New Roman" w:hAnsi="Times New Roman"/>
          <w:sz w:val="24"/>
          <w:szCs w:val="24"/>
          <w:lang w:eastAsia="en-AU"/>
        </w:rPr>
        <w:t xml:space="preserve">has </w:t>
      </w:r>
      <w:r>
        <w:rPr>
          <w:rFonts w:ascii="Times New Roman" w:eastAsia="Times New Roman" w:hAnsi="Times New Roman"/>
          <w:sz w:val="24"/>
          <w:szCs w:val="24"/>
          <w:lang w:eastAsia="en-AU"/>
        </w:rPr>
        <w:t xml:space="preserve">also </w:t>
      </w:r>
      <w:r w:rsidR="00630F04">
        <w:rPr>
          <w:rFonts w:ascii="Times New Roman" w:eastAsia="Times New Roman" w:hAnsi="Times New Roman"/>
          <w:sz w:val="24"/>
          <w:szCs w:val="24"/>
          <w:lang w:eastAsia="en-AU"/>
        </w:rPr>
        <w:t xml:space="preserve">been </w:t>
      </w:r>
      <w:r>
        <w:rPr>
          <w:rFonts w:ascii="Times New Roman" w:eastAsia="Times New Roman" w:hAnsi="Times New Roman"/>
          <w:sz w:val="24"/>
          <w:szCs w:val="24"/>
          <w:lang w:eastAsia="en-AU"/>
        </w:rPr>
        <w:t>replaced.</w:t>
      </w:r>
      <w:r w:rsidR="00630F04">
        <w:rPr>
          <w:rFonts w:ascii="Times New Roman" w:eastAsia="Times New Roman" w:hAnsi="Times New Roman"/>
          <w:sz w:val="24"/>
          <w:szCs w:val="24"/>
          <w:lang w:eastAsia="en-AU"/>
        </w:rPr>
        <w:t xml:space="preserve"> The ACCM and the ACB will continue (with some changes) and the previous ACS</w:t>
      </w:r>
      <w:r w:rsidR="00C97E2F">
        <w:rPr>
          <w:rFonts w:ascii="Times New Roman" w:eastAsia="Times New Roman" w:hAnsi="Times New Roman"/>
          <w:sz w:val="24"/>
          <w:szCs w:val="24"/>
          <w:lang w:eastAsia="en-AU"/>
        </w:rPr>
        <w:t>O</w:t>
      </w:r>
      <w:r w:rsidR="00630F04">
        <w:rPr>
          <w:rFonts w:ascii="Times New Roman" w:eastAsia="Times New Roman" w:hAnsi="Times New Roman"/>
          <w:sz w:val="24"/>
          <w:szCs w:val="24"/>
          <w:lang w:eastAsia="en-AU"/>
        </w:rPr>
        <w:t>V has been replaced by a broader ACV.</w:t>
      </w:r>
    </w:p>
    <w:p w:rsidR="00630F04" w:rsidRDefault="00630F04" w:rsidP="00021F9A">
      <w:pPr>
        <w:spacing w:after="0" w:line="240" w:lineRule="auto"/>
        <w:rPr>
          <w:rFonts w:ascii="Times New Roman" w:eastAsia="Times New Roman" w:hAnsi="Times New Roman"/>
          <w:sz w:val="24"/>
          <w:szCs w:val="24"/>
          <w:lang w:eastAsia="en-AU"/>
        </w:rPr>
      </w:pPr>
    </w:p>
    <w:p w:rsidR="00630F04" w:rsidRDefault="00630F04" w:rsidP="00021F9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Therapeutic Goods Committee </w:t>
      </w:r>
      <w:r w:rsidR="00EC3E91">
        <w:rPr>
          <w:rFonts w:ascii="Times New Roman" w:eastAsia="Times New Roman" w:hAnsi="Times New Roman"/>
          <w:sz w:val="24"/>
          <w:szCs w:val="24"/>
          <w:lang w:eastAsia="en-AU"/>
        </w:rPr>
        <w:t xml:space="preserve">has also been abolished, but its core role of advising </w:t>
      </w:r>
      <w:r w:rsidR="00B95DE3">
        <w:rPr>
          <w:rFonts w:ascii="Times New Roman" w:eastAsia="Times New Roman" w:hAnsi="Times New Roman"/>
          <w:sz w:val="24"/>
          <w:szCs w:val="24"/>
          <w:lang w:eastAsia="en-AU"/>
        </w:rPr>
        <w:t>and making recommendations about standards for therapeutic goods (other than medical devices) is preserved across relevant new or continuing committees (the ACM, ACCM, ACB and ACV).</w:t>
      </w:r>
    </w:p>
    <w:p w:rsidR="000227B5" w:rsidRDefault="000227B5" w:rsidP="00021F9A">
      <w:pPr>
        <w:spacing w:after="0" w:line="240" w:lineRule="auto"/>
        <w:rPr>
          <w:rFonts w:ascii="Times New Roman" w:eastAsia="Times New Roman" w:hAnsi="Times New Roman"/>
          <w:sz w:val="24"/>
          <w:szCs w:val="24"/>
          <w:lang w:eastAsia="en-AU"/>
        </w:rPr>
      </w:pPr>
    </w:p>
    <w:p w:rsidR="00021F9A" w:rsidRPr="00C2699D" w:rsidRDefault="00FF7830" w:rsidP="00021F9A">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The</w:t>
      </w:r>
      <w:r w:rsidR="00021F9A" w:rsidRPr="00C2699D">
        <w:rPr>
          <w:rFonts w:ascii="Times New Roman" w:eastAsia="Times New Roman" w:hAnsi="Times New Roman"/>
          <w:sz w:val="24"/>
          <w:szCs w:val="24"/>
          <w:lang w:eastAsia="en-AU"/>
        </w:rPr>
        <w:t xml:space="preserve"> committees established under Part 6 of the Regulations</w:t>
      </w:r>
      <w:r w:rsidR="00474C25">
        <w:rPr>
          <w:rFonts w:ascii="Times New Roman" w:eastAsia="Times New Roman" w:hAnsi="Times New Roman"/>
          <w:sz w:val="24"/>
          <w:szCs w:val="24"/>
          <w:lang w:eastAsia="en-AU"/>
        </w:rPr>
        <w:t xml:space="preserve"> </w:t>
      </w:r>
      <w:r w:rsidR="00021F9A" w:rsidRPr="00C2699D">
        <w:rPr>
          <w:rFonts w:ascii="Times New Roman" w:eastAsia="Times New Roman" w:hAnsi="Times New Roman"/>
          <w:sz w:val="24"/>
          <w:szCs w:val="24"/>
          <w:lang w:eastAsia="en-AU"/>
        </w:rPr>
        <w:t>provide advice and make recommendations to the Minister or the Secretary on a range of matters relating to therapeutic goods.</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 Specification has the effect of permitting the Secretary to release to those bodies listed in it, and to their employees, members or agents, therapeutic goods information relating to the TGA advisory committees established under Divisions 1</w:t>
      </w:r>
      <w:r w:rsidR="00FF7830">
        <w:rPr>
          <w:rFonts w:ascii="Times New Roman" w:eastAsia="Times New Roman" w:hAnsi="Times New Roman"/>
          <w:sz w:val="24"/>
          <w:szCs w:val="24"/>
          <w:lang w:eastAsia="en-AU"/>
        </w:rPr>
        <w:t>A</w:t>
      </w:r>
      <w:r w:rsidRPr="00C2699D">
        <w:rPr>
          <w:rFonts w:ascii="Times New Roman" w:eastAsia="Times New Roman" w:hAnsi="Times New Roman"/>
          <w:sz w:val="24"/>
          <w:szCs w:val="24"/>
          <w:lang w:eastAsia="en-AU"/>
        </w:rPr>
        <w:t>-1EB of Part 6 of the Regulations.</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 kinds of information that will be able to be released by the Secretary regarding these committees include the advice and/or recommendations provided by an advisory committee, committee agenda papers and minutes of committee meetings and brief descriptions of any outcomes arising from such meetings.</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From time to time, the advice or recommendations provided by one of these committees is needed by another committee or body established to provide specialist advice to the Government on particular matters, in their consideration of matters before them.</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xml:space="preserve">For example, advice provided by the </w:t>
      </w:r>
      <w:r w:rsidR="00D16E57">
        <w:rPr>
          <w:rFonts w:ascii="Times New Roman" w:eastAsia="Times New Roman" w:hAnsi="Times New Roman"/>
          <w:sz w:val="24"/>
          <w:szCs w:val="24"/>
          <w:lang w:eastAsia="en-AU"/>
        </w:rPr>
        <w:t>(</w:t>
      </w:r>
      <w:r w:rsidR="00474C25">
        <w:rPr>
          <w:rFonts w:ascii="Times New Roman" w:eastAsia="Times New Roman" w:hAnsi="Times New Roman"/>
          <w:sz w:val="24"/>
          <w:szCs w:val="24"/>
          <w:lang w:eastAsia="en-AU"/>
        </w:rPr>
        <w:t>previous</w:t>
      </w:r>
      <w:r w:rsidR="00D16E57">
        <w:rPr>
          <w:rFonts w:ascii="Times New Roman" w:eastAsia="Times New Roman" w:hAnsi="Times New Roman"/>
          <w:sz w:val="24"/>
          <w:szCs w:val="24"/>
          <w:lang w:eastAsia="en-AU"/>
        </w:rPr>
        <w:t>)</w:t>
      </w:r>
      <w:r w:rsidR="00474C25">
        <w:rPr>
          <w:rFonts w:ascii="Times New Roman" w:eastAsia="Times New Roman" w:hAnsi="Times New Roman"/>
          <w:sz w:val="24"/>
          <w:szCs w:val="24"/>
          <w:lang w:eastAsia="en-AU"/>
        </w:rPr>
        <w:t xml:space="preserve"> </w:t>
      </w:r>
      <w:r w:rsidRPr="00C2699D">
        <w:rPr>
          <w:rFonts w:ascii="Times New Roman" w:eastAsia="Times New Roman" w:hAnsi="Times New Roman"/>
          <w:sz w:val="24"/>
          <w:szCs w:val="24"/>
          <w:lang w:eastAsia="en-AU"/>
        </w:rPr>
        <w:t>ACS</w:t>
      </w:r>
      <w:r w:rsidR="00C97E2F">
        <w:rPr>
          <w:rFonts w:ascii="Times New Roman" w:eastAsia="Times New Roman" w:hAnsi="Times New Roman"/>
          <w:sz w:val="24"/>
          <w:szCs w:val="24"/>
          <w:lang w:eastAsia="en-AU"/>
        </w:rPr>
        <w:t>O</w:t>
      </w:r>
      <w:r w:rsidRPr="00C2699D">
        <w:rPr>
          <w:rFonts w:ascii="Times New Roman" w:eastAsia="Times New Roman" w:hAnsi="Times New Roman"/>
          <w:sz w:val="24"/>
          <w:szCs w:val="24"/>
          <w:lang w:eastAsia="en-AU"/>
        </w:rPr>
        <w:t xml:space="preserve">V about the safety of a vaccine proposed to be included as part of the National Immunisation Program may be shared with the National Immunisation Committee (which is responsible for overseeing the development, </w:t>
      </w:r>
      <w:r w:rsidRPr="00C2699D">
        <w:rPr>
          <w:rFonts w:ascii="Times New Roman" w:eastAsia="Times New Roman" w:hAnsi="Times New Roman"/>
          <w:sz w:val="24"/>
          <w:szCs w:val="24"/>
          <w:lang w:eastAsia="en-AU"/>
        </w:rPr>
        <w:lastRenderedPageBreak/>
        <w:t>implementation and delivery of the National Immunisation Program), the Australian Technical Advisory Group on Immunisation and the National Centre for Immunisation Research and Surveillance (which undertakes research aimed at reducing the incidence of vaccine preventable diseases and improving vaccine uptake in adults and children).</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 bodies to whom the Secretary will be able to provide committee information are principally entities established to advise the Government on matters relating to human health including, for example, the Drug Utilisation Sub Committee of the Pharmaceutical Benefits Advisory Committee, which assesses estimates of the projected usage and financial cost of medicines in Australia.</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 purpose of releasing the information to other bodies and advisory committees is to facilitate the sharing of information in the interest of public health and safety.</w:t>
      </w:r>
    </w:p>
    <w:p w:rsidR="00021F9A"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The kinds of therapeutic goods information that the Secretary can decide to release, the bodies and kinds of persons to whom the Secretary can decide to release that information and the purposes for which the Secretary can decide to release that information, are set out in Schedule 1 to the Specification.</w:t>
      </w:r>
    </w:p>
    <w:p w:rsidR="00FF7830" w:rsidRDefault="00C53150" w:rsidP="00FF7830">
      <w:pPr>
        <w:spacing w:after="0"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There may be instances where it would be of benefit for an advisory committee to have regard to advice or recommendations made by an earlier committee, or agenda papers considered by earlier committees, </w:t>
      </w:r>
      <w:r w:rsidR="00DD1D7E">
        <w:rPr>
          <w:rFonts w:ascii="Times New Roman" w:eastAsia="Times New Roman" w:hAnsi="Times New Roman"/>
          <w:sz w:val="24"/>
          <w:szCs w:val="24"/>
          <w:lang w:eastAsia="en-AU"/>
        </w:rPr>
        <w:t>previously established under the Regulations</w:t>
      </w:r>
      <w:r>
        <w:rPr>
          <w:rFonts w:ascii="Times New Roman" w:eastAsia="Times New Roman" w:hAnsi="Times New Roman"/>
          <w:sz w:val="24"/>
          <w:szCs w:val="24"/>
          <w:lang w:eastAsia="en-AU"/>
        </w:rPr>
        <w:t xml:space="preserve">- for example, if a relatively rare kind of product is being considered that is not often seen, and an earlier committee previously discussed a similar product. As such, </w:t>
      </w:r>
      <w:r w:rsidR="00FF7830">
        <w:rPr>
          <w:rFonts w:ascii="Times New Roman" w:eastAsia="Times New Roman" w:hAnsi="Times New Roman"/>
          <w:sz w:val="24"/>
          <w:szCs w:val="24"/>
          <w:lang w:eastAsia="en-AU"/>
        </w:rPr>
        <w:t>the definition of Committee has been expanded in the Specification</w:t>
      </w:r>
      <w:r w:rsidR="001A0D46">
        <w:rPr>
          <w:rFonts w:ascii="Times New Roman" w:eastAsia="Times New Roman" w:hAnsi="Times New Roman"/>
          <w:sz w:val="24"/>
          <w:szCs w:val="24"/>
          <w:lang w:eastAsia="en-AU"/>
        </w:rPr>
        <w:t xml:space="preserve"> to accommodate that.</w:t>
      </w:r>
      <w:r w:rsidR="00FF7830">
        <w:rPr>
          <w:rFonts w:ascii="Times New Roman" w:eastAsia="Times New Roman" w:hAnsi="Times New Roman"/>
          <w:sz w:val="24"/>
          <w:szCs w:val="24"/>
          <w:lang w:eastAsia="en-AU"/>
        </w:rPr>
        <w:t xml:space="preserve">      </w:t>
      </w:r>
    </w:p>
    <w:p w:rsidR="001A0D46" w:rsidRDefault="001A0D46" w:rsidP="00021F9A">
      <w:pPr>
        <w:keepNext/>
        <w:spacing w:after="120" w:line="240" w:lineRule="auto"/>
        <w:ind w:right="-96"/>
        <w:rPr>
          <w:rFonts w:ascii="Times New Roman" w:eastAsia="Times New Roman" w:hAnsi="Times New Roman"/>
          <w:b/>
          <w:bCs/>
          <w:sz w:val="24"/>
          <w:szCs w:val="24"/>
          <w:lang w:eastAsia="en-AU"/>
        </w:rPr>
      </w:pPr>
    </w:p>
    <w:p w:rsidR="00021F9A" w:rsidRPr="00C2699D" w:rsidRDefault="00021F9A" w:rsidP="00021F9A">
      <w:pPr>
        <w:keepNext/>
        <w:spacing w:after="120" w:line="240" w:lineRule="auto"/>
        <w:ind w:right="-96"/>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CONSULTATION</w:t>
      </w:r>
    </w:p>
    <w:p w:rsidR="00021F9A" w:rsidRPr="00C2699D" w:rsidRDefault="00021F9A" w:rsidP="00021F9A">
      <w:pPr>
        <w:spacing w:after="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Consultation was not undertaken in relation to the Specification as the provision of committee information as set out in the instrument is considered to be of a minor and machinery nature and is not considered to substantially alter existing arrangements.</w:t>
      </w:r>
    </w:p>
    <w:p w:rsidR="00021F9A"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This is because the provision of the information concerned to the bodies listed in the Specification reflects an administrative practice that has occurred from time to time of providing such information to those bodies to strengthen collaboration between the TGA and its advisory committees and those other bodies.</w:t>
      </w:r>
    </w:p>
    <w:p w:rsidR="00FF7830" w:rsidRPr="00C2699D" w:rsidRDefault="00FF7830" w:rsidP="00021F9A">
      <w:pPr>
        <w:spacing w:before="100" w:beforeAutospacing="1" w:after="100" w:afterAutospacing="1" w:line="240" w:lineRule="auto"/>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However, consultation on the committee restructure was carried out during, and as part of, the Expert Review’s processes as part of MMDR in 2014-2015. </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color w:val="000000"/>
          <w:sz w:val="24"/>
          <w:szCs w:val="24"/>
          <w:lang w:eastAsia="en-AU"/>
        </w:rPr>
        <w:t xml:space="preserve">The Specification is a legislative instrument for the purposes of the </w:t>
      </w:r>
      <w:r w:rsidRPr="00C2699D">
        <w:rPr>
          <w:rFonts w:ascii="Times New Roman" w:eastAsia="Times New Roman" w:hAnsi="Times New Roman"/>
          <w:i/>
          <w:iCs/>
          <w:color w:val="000000"/>
          <w:sz w:val="24"/>
          <w:szCs w:val="24"/>
          <w:lang w:eastAsia="en-AU"/>
        </w:rPr>
        <w:t>Legislati</w:t>
      </w:r>
      <w:r w:rsidR="00FF7830">
        <w:rPr>
          <w:rFonts w:ascii="Times New Roman" w:eastAsia="Times New Roman" w:hAnsi="Times New Roman"/>
          <w:i/>
          <w:iCs/>
          <w:color w:val="000000"/>
          <w:sz w:val="24"/>
          <w:szCs w:val="24"/>
          <w:lang w:eastAsia="en-AU"/>
        </w:rPr>
        <w:t>on</w:t>
      </w:r>
      <w:r w:rsidRPr="00C2699D">
        <w:rPr>
          <w:rFonts w:ascii="Times New Roman" w:eastAsia="Times New Roman" w:hAnsi="Times New Roman"/>
          <w:i/>
          <w:iCs/>
          <w:color w:val="000000"/>
          <w:sz w:val="24"/>
          <w:szCs w:val="24"/>
          <w:lang w:eastAsia="en-AU"/>
        </w:rPr>
        <w:t xml:space="preserve"> Act 2003</w:t>
      </w:r>
      <w:r w:rsidRPr="00C2699D">
        <w:rPr>
          <w:rFonts w:ascii="Times New Roman" w:eastAsia="Times New Roman" w:hAnsi="Times New Roman"/>
          <w:color w:val="000000"/>
          <w:sz w:val="24"/>
          <w:szCs w:val="24"/>
          <w:lang w:eastAsia="en-AU"/>
        </w:rPr>
        <w:t>.</w:t>
      </w:r>
    </w:p>
    <w:p w:rsidR="00021F9A" w:rsidRPr="00C2699D" w:rsidRDefault="00021F9A" w:rsidP="00021F9A">
      <w:pPr>
        <w:spacing w:before="100" w:beforeAutospacing="1" w:after="100" w:afterAutospacing="1"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xml:space="preserve">In relation to compatibility with human rights, it is considered that the Specification is compatible with the human rights and freedoms recognised or declared in the international instruments listed in section 3 of the </w:t>
      </w:r>
      <w:r w:rsidRPr="00C2699D">
        <w:rPr>
          <w:rFonts w:ascii="Times New Roman" w:eastAsia="Times New Roman" w:hAnsi="Times New Roman"/>
          <w:i/>
          <w:iCs/>
          <w:sz w:val="24"/>
          <w:szCs w:val="24"/>
          <w:lang w:eastAsia="en-AU"/>
        </w:rPr>
        <w:t>Human Rights (Parliamentary Scrutiny) Act 2011</w:t>
      </w:r>
      <w:r w:rsidRPr="00C2699D">
        <w:rPr>
          <w:rFonts w:ascii="Times New Roman" w:eastAsia="Times New Roman" w:hAnsi="Times New Roman"/>
          <w:sz w:val="24"/>
          <w:szCs w:val="24"/>
          <w:lang w:eastAsia="en-AU"/>
        </w:rPr>
        <w:t>, and a Statement of Compatibility setting that out in further detail is set out below.</w:t>
      </w:r>
    </w:p>
    <w:p w:rsidR="00EF22E9" w:rsidRDefault="00EF22E9">
      <w:pPr>
        <w:rPr>
          <w:rFonts w:ascii="Times New Roman" w:eastAsia="Times New Roman" w:hAnsi="Times New Roman"/>
          <w:b/>
          <w:bCs/>
          <w:sz w:val="28"/>
          <w:szCs w:val="28"/>
          <w:lang w:eastAsia="en-AU"/>
        </w:rPr>
      </w:pPr>
      <w:r>
        <w:rPr>
          <w:rFonts w:ascii="Times New Roman" w:eastAsia="Times New Roman" w:hAnsi="Times New Roman"/>
          <w:b/>
          <w:bCs/>
          <w:sz w:val="28"/>
          <w:szCs w:val="28"/>
          <w:lang w:eastAsia="en-AU"/>
        </w:rPr>
        <w:br w:type="page"/>
      </w:r>
    </w:p>
    <w:p w:rsidR="00021F9A" w:rsidRPr="00F2035F" w:rsidRDefault="00021F9A" w:rsidP="00021F9A">
      <w:pPr>
        <w:spacing w:before="360" w:after="120" w:line="240" w:lineRule="auto"/>
        <w:rPr>
          <w:rFonts w:ascii="Times New Roman" w:eastAsia="Times New Roman" w:hAnsi="Times New Roman"/>
          <w:lang w:eastAsia="en-AU"/>
        </w:rPr>
      </w:pPr>
      <w:r w:rsidRPr="00F2035F">
        <w:rPr>
          <w:rFonts w:ascii="Times New Roman" w:eastAsia="Times New Roman" w:hAnsi="Times New Roman"/>
          <w:b/>
          <w:bCs/>
          <w:sz w:val="28"/>
          <w:szCs w:val="28"/>
          <w:lang w:eastAsia="en-AU"/>
        </w:rPr>
        <w:lastRenderedPageBreak/>
        <w:t>Statement of Compatibility with Human Rights</w:t>
      </w:r>
      <w:r>
        <w:rPr>
          <w:rFonts w:ascii="Times New Roman" w:eastAsia="Times New Roman" w:hAnsi="Times New Roman"/>
          <w:b/>
          <w:bCs/>
          <w:sz w:val="28"/>
          <w:szCs w:val="28"/>
          <w:lang w:eastAsia="en-AU"/>
        </w:rPr>
        <w:t xml:space="preserve"> for a legislative instrument that raises human rights issues</w:t>
      </w: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i/>
          <w:iCs/>
          <w:sz w:val="24"/>
          <w:szCs w:val="24"/>
          <w:lang w:eastAsia="en-AU"/>
        </w:rPr>
        <w:t>Prepared in accordance with Part 3 of the Human Rights (Parliamentary Scrutiny) Act 2011</w:t>
      </w: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w:t>
      </w: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Therapeutic Goods Information (Sharing of Committee Information) Specification 201</w:t>
      </w:r>
      <w:r w:rsidR="00FF7830">
        <w:rPr>
          <w:rFonts w:ascii="Times New Roman" w:eastAsia="Times New Roman" w:hAnsi="Times New Roman"/>
          <w:b/>
          <w:bCs/>
          <w:sz w:val="24"/>
          <w:szCs w:val="24"/>
          <w:lang w:eastAsia="en-AU"/>
        </w:rPr>
        <w:t>7</w:t>
      </w: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xml:space="preserve">This legislative instrument is compatible with the human rights and freedoms recognised or declared in the international instruments listed in section 3 of the </w:t>
      </w:r>
      <w:r w:rsidRPr="00C2699D">
        <w:rPr>
          <w:rFonts w:ascii="Times New Roman" w:eastAsia="Times New Roman" w:hAnsi="Times New Roman"/>
          <w:i/>
          <w:iCs/>
          <w:sz w:val="24"/>
          <w:szCs w:val="24"/>
          <w:lang w:eastAsia="en-AU"/>
        </w:rPr>
        <w:t>Human Rights (Parliamentary Scrutiny) Act 2011</w:t>
      </w:r>
      <w:r w:rsidRPr="00C2699D">
        <w:rPr>
          <w:rFonts w:ascii="Times New Roman" w:eastAsia="Times New Roman" w:hAnsi="Times New Roman"/>
          <w:sz w:val="24"/>
          <w:szCs w:val="24"/>
          <w:lang w:eastAsia="en-AU"/>
        </w:rPr>
        <w:t>.</w:t>
      </w: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w:t>
      </w:r>
    </w:p>
    <w:p w:rsidR="00021F9A" w:rsidRPr="00C2699D" w:rsidRDefault="00021F9A" w:rsidP="00021F9A">
      <w:pPr>
        <w:spacing w:before="120" w:after="120" w:line="240" w:lineRule="auto"/>
        <w:jc w:val="both"/>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Overview of the Legislative Instrument</w:t>
      </w:r>
    </w:p>
    <w:p w:rsidR="00021F9A" w:rsidRPr="00C2699D" w:rsidRDefault="00021F9A" w:rsidP="00021F9A">
      <w:pPr>
        <w:spacing w:after="0" w:line="240" w:lineRule="auto"/>
        <w:rPr>
          <w:rFonts w:ascii="Times New Roman" w:eastAsia="Times New Roman" w:hAnsi="Times New Roman"/>
          <w:sz w:val="24"/>
          <w:szCs w:val="24"/>
          <w:lang w:eastAsia="en-AU"/>
        </w:rPr>
      </w:pPr>
      <w:r w:rsidRPr="00C2699D">
        <w:rPr>
          <w:rFonts w:ascii="Times New Roman" w:eastAsia="Times New Roman" w:hAnsi="Times New Roman"/>
          <w:iCs/>
          <w:sz w:val="24"/>
          <w:szCs w:val="24"/>
          <w:lang w:eastAsia="en-AU"/>
        </w:rPr>
        <w:t xml:space="preserve">The </w:t>
      </w:r>
      <w:r w:rsidRPr="00C2699D">
        <w:rPr>
          <w:rFonts w:ascii="Times New Roman" w:eastAsia="Times New Roman" w:hAnsi="Times New Roman"/>
          <w:i/>
          <w:iCs/>
          <w:sz w:val="24"/>
          <w:szCs w:val="24"/>
          <w:lang w:eastAsia="en-AU"/>
        </w:rPr>
        <w:t>Therapeutic Goods Information (Sharing of Committee Information) Specification 201</w:t>
      </w:r>
      <w:r w:rsidR="00FF7830">
        <w:rPr>
          <w:rFonts w:ascii="Times New Roman" w:eastAsia="Times New Roman" w:hAnsi="Times New Roman"/>
          <w:i/>
          <w:iCs/>
          <w:sz w:val="24"/>
          <w:szCs w:val="24"/>
          <w:lang w:eastAsia="en-AU"/>
        </w:rPr>
        <w:t>7</w:t>
      </w:r>
      <w:r w:rsidRPr="00C2699D">
        <w:rPr>
          <w:rFonts w:ascii="Times New Roman" w:eastAsia="Times New Roman" w:hAnsi="Times New Roman"/>
          <w:i/>
          <w:iCs/>
          <w:sz w:val="24"/>
          <w:szCs w:val="24"/>
          <w:lang w:eastAsia="en-AU"/>
        </w:rPr>
        <w:t xml:space="preserve"> </w:t>
      </w:r>
      <w:r w:rsidRPr="00C2699D">
        <w:rPr>
          <w:rFonts w:ascii="Times New Roman" w:eastAsia="Times New Roman" w:hAnsi="Times New Roman"/>
          <w:iCs/>
          <w:sz w:val="24"/>
          <w:szCs w:val="24"/>
          <w:lang w:eastAsia="en-AU"/>
        </w:rPr>
        <w:t xml:space="preserve">(the Specification) is made by the Minister for Health under subsection 61(5AB) of </w:t>
      </w:r>
      <w:r w:rsidRPr="00C2699D">
        <w:rPr>
          <w:rFonts w:ascii="Times New Roman" w:eastAsia="Times New Roman" w:hAnsi="Times New Roman"/>
          <w:sz w:val="24"/>
          <w:szCs w:val="24"/>
          <w:lang w:eastAsia="en-AU"/>
        </w:rPr>
        <w:t xml:space="preserve">the </w:t>
      </w:r>
      <w:r w:rsidRPr="00C2699D">
        <w:rPr>
          <w:rFonts w:ascii="Times New Roman" w:eastAsia="Times New Roman" w:hAnsi="Times New Roman"/>
          <w:i/>
          <w:iCs/>
          <w:sz w:val="24"/>
          <w:szCs w:val="24"/>
          <w:lang w:eastAsia="en-AU"/>
        </w:rPr>
        <w:t xml:space="preserve">Therapeutic Goods Act 1989 </w:t>
      </w:r>
      <w:r w:rsidRPr="00C2699D">
        <w:rPr>
          <w:rFonts w:ascii="Times New Roman" w:eastAsia="Times New Roman" w:hAnsi="Times New Roman"/>
          <w:sz w:val="24"/>
          <w:szCs w:val="24"/>
          <w:lang w:eastAsia="en-AU"/>
        </w:rPr>
        <w:t>(the Act). The effect of making the Specification is that it will permit the Secretary of the Department of Health to release information that relates to the committees established under Divisions 1</w:t>
      </w:r>
      <w:r w:rsidR="00FF7830">
        <w:rPr>
          <w:rFonts w:ascii="Times New Roman" w:eastAsia="Times New Roman" w:hAnsi="Times New Roman"/>
          <w:sz w:val="24"/>
          <w:szCs w:val="24"/>
          <w:lang w:eastAsia="en-AU"/>
        </w:rPr>
        <w:t>A</w:t>
      </w:r>
      <w:r w:rsidRPr="00C2699D">
        <w:rPr>
          <w:rFonts w:ascii="Times New Roman" w:eastAsia="Times New Roman" w:hAnsi="Times New Roman"/>
          <w:sz w:val="24"/>
          <w:szCs w:val="24"/>
          <w:lang w:eastAsia="en-AU"/>
        </w:rPr>
        <w:t xml:space="preserve">-1EB of Part 6 of the </w:t>
      </w:r>
      <w:r w:rsidRPr="00C2699D">
        <w:rPr>
          <w:rFonts w:ascii="Times New Roman" w:eastAsia="Times New Roman" w:hAnsi="Times New Roman"/>
          <w:i/>
          <w:sz w:val="24"/>
          <w:szCs w:val="24"/>
          <w:lang w:eastAsia="en-AU"/>
        </w:rPr>
        <w:t>Therapeutic Goods Regulations 1990</w:t>
      </w:r>
      <w:r w:rsidRPr="00C2699D">
        <w:rPr>
          <w:rFonts w:ascii="Times New Roman" w:eastAsia="Times New Roman" w:hAnsi="Times New Roman"/>
          <w:sz w:val="24"/>
          <w:szCs w:val="24"/>
          <w:lang w:eastAsia="en-AU"/>
        </w:rPr>
        <w:t xml:space="preserve"> </w:t>
      </w:r>
      <w:r w:rsidR="00FF7830">
        <w:rPr>
          <w:rFonts w:ascii="Times New Roman" w:eastAsia="Times New Roman" w:hAnsi="Times New Roman"/>
          <w:sz w:val="24"/>
          <w:szCs w:val="24"/>
          <w:lang w:eastAsia="en-AU"/>
        </w:rPr>
        <w:t>(the Regulations)</w:t>
      </w:r>
      <w:r w:rsidR="00F37705">
        <w:rPr>
          <w:rFonts w:ascii="Times New Roman" w:eastAsia="Times New Roman" w:hAnsi="Times New Roman"/>
          <w:sz w:val="24"/>
          <w:szCs w:val="24"/>
          <w:lang w:eastAsia="en-AU"/>
        </w:rPr>
        <w:t>,</w:t>
      </w:r>
      <w:r w:rsidR="00FF7830">
        <w:rPr>
          <w:rFonts w:ascii="Times New Roman" w:eastAsia="Times New Roman" w:hAnsi="Times New Roman"/>
          <w:sz w:val="24"/>
          <w:szCs w:val="24"/>
          <w:lang w:eastAsia="en-AU"/>
        </w:rPr>
        <w:t xml:space="preserve"> or </w:t>
      </w:r>
      <w:r w:rsidR="00457F3F">
        <w:rPr>
          <w:rFonts w:ascii="Times New Roman" w:eastAsia="Times New Roman" w:hAnsi="Times New Roman"/>
          <w:sz w:val="24"/>
          <w:szCs w:val="24"/>
          <w:lang w:eastAsia="en-AU"/>
        </w:rPr>
        <w:t xml:space="preserve">any of the committees previously established </w:t>
      </w:r>
      <w:bookmarkStart w:id="0" w:name="_GoBack"/>
      <w:bookmarkEnd w:id="0"/>
      <w:r w:rsidR="00B62E4A">
        <w:rPr>
          <w:rFonts w:ascii="Times New Roman" w:eastAsia="Times New Roman" w:hAnsi="Times New Roman"/>
          <w:sz w:val="24"/>
          <w:szCs w:val="24"/>
          <w:lang w:eastAsia="en-AU"/>
        </w:rPr>
        <w:t>under the</w:t>
      </w:r>
      <w:r w:rsidR="00FF7830">
        <w:rPr>
          <w:rFonts w:ascii="Times New Roman" w:eastAsia="Times New Roman" w:hAnsi="Times New Roman"/>
          <w:sz w:val="24"/>
          <w:szCs w:val="24"/>
          <w:lang w:eastAsia="en-AU"/>
        </w:rPr>
        <w:t xml:space="preserve"> Regulations</w:t>
      </w:r>
      <w:r w:rsidR="00D16E57">
        <w:rPr>
          <w:rFonts w:ascii="Times New Roman" w:eastAsia="Times New Roman" w:hAnsi="Times New Roman"/>
          <w:sz w:val="24"/>
          <w:szCs w:val="24"/>
          <w:lang w:eastAsia="en-AU"/>
        </w:rPr>
        <w:t xml:space="preserve">, </w:t>
      </w:r>
      <w:r w:rsidRPr="00C2699D">
        <w:rPr>
          <w:rFonts w:ascii="Times New Roman" w:eastAsia="Times New Roman" w:hAnsi="Times New Roman"/>
          <w:sz w:val="24"/>
          <w:szCs w:val="24"/>
          <w:lang w:eastAsia="en-AU"/>
        </w:rPr>
        <w:t xml:space="preserve">to the bodies or kinds of persons specified in the instrument, in the interests of public health and safety. For example, the Specification will allow the Secretary to provide advice of the </w:t>
      </w:r>
      <w:r w:rsidR="00F37705">
        <w:rPr>
          <w:rFonts w:ascii="Times New Roman" w:eastAsia="Times New Roman" w:hAnsi="Times New Roman"/>
          <w:sz w:val="24"/>
          <w:szCs w:val="24"/>
          <w:lang w:eastAsia="en-AU"/>
        </w:rPr>
        <w:t xml:space="preserve">previous </w:t>
      </w:r>
      <w:r w:rsidRPr="00C2699D">
        <w:rPr>
          <w:rFonts w:ascii="Times New Roman" w:eastAsia="Times New Roman" w:hAnsi="Times New Roman"/>
          <w:sz w:val="24"/>
          <w:szCs w:val="24"/>
          <w:lang w:eastAsia="en-AU"/>
        </w:rPr>
        <w:t>Advisory Committee on the Safety of Vaccines to the National Immunisation Committee, or the National Centre for Immunisation Research and Surveillance.</w:t>
      </w:r>
    </w:p>
    <w:p w:rsidR="00021F9A" w:rsidRPr="00C2699D" w:rsidRDefault="00021F9A" w:rsidP="00021F9A">
      <w:pPr>
        <w:spacing w:after="0" w:line="240" w:lineRule="auto"/>
        <w:rPr>
          <w:rFonts w:ascii="Times New Roman" w:eastAsia="Times New Roman" w:hAnsi="Times New Roman"/>
          <w:sz w:val="24"/>
          <w:szCs w:val="24"/>
          <w:lang w:eastAsia="en-AU"/>
        </w:rPr>
      </w:pP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Human rights implications</w:t>
      </w:r>
    </w:p>
    <w:p w:rsidR="00021F9A" w:rsidRPr="00C2699D" w:rsidRDefault="00021F9A" w:rsidP="00021F9A">
      <w:pPr>
        <w:spacing w:after="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 xml:space="preserve">The information authorised to be released under the Specification will contain a small amount of personal information within the meaning of the </w:t>
      </w:r>
      <w:r w:rsidRPr="00C2699D">
        <w:rPr>
          <w:rFonts w:ascii="Times New Roman" w:eastAsia="Times New Roman" w:hAnsi="Times New Roman"/>
          <w:i/>
          <w:sz w:val="24"/>
          <w:szCs w:val="24"/>
          <w:lang w:eastAsia="en-AU"/>
        </w:rPr>
        <w:t>Privacy Act 1988</w:t>
      </w:r>
      <w:r w:rsidRPr="00C2699D">
        <w:rPr>
          <w:rFonts w:ascii="Times New Roman" w:eastAsia="Times New Roman" w:hAnsi="Times New Roman"/>
          <w:sz w:val="24"/>
          <w:szCs w:val="24"/>
          <w:lang w:eastAsia="en-AU"/>
        </w:rPr>
        <w:t xml:space="preserve"> – engaging the right to privacy in article 17 of the </w:t>
      </w:r>
      <w:r w:rsidRPr="00C2699D">
        <w:rPr>
          <w:rFonts w:ascii="Times New Roman" w:hAnsi="Times New Roman"/>
          <w:sz w:val="24"/>
          <w:szCs w:val="24"/>
        </w:rPr>
        <w:t>International Covenant on Civil and Political Rights (the ICCPR).</w:t>
      </w:r>
    </w:p>
    <w:p w:rsidR="00021F9A" w:rsidRPr="00C2699D" w:rsidRDefault="00021F9A" w:rsidP="00021F9A">
      <w:pPr>
        <w:spacing w:before="100" w:beforeAutospacing="1" w:after="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This will principally be in the form of:</w:t>
      </w:r>
    </w:p>
    <w:p w:rsidR="00021F9A" w:rsidRPr="00C2699D" w:rsidRDefault="00021F9A" w:rsidP="00021F9A">
      <w:pPr>
        <w:spacing w:after="0" w:line="240" w:lineRule="auto"/>
        <w:rPr>
          <w:rFonts w:ascii="Times New Roman" w:eastAsia="Times New Roman" w:hAnsi="Times New Roman"/>
          <w:sz w:val="24"/>
          <w:szCs w:val="24"/>
          <w:lang w:eastAsia="en-AU"/>
        </w:rPr>
      </w:pPr>
    </w:p>
    <w:p w:rsidR="00021F9A" w:rsidRPr="00C2699D" w:rsidRDefault="00021F9A" w:rsidP="00021F9A">
      <w:pPr>
        <w:pStyle w:val="ListParagraph"/>
        <w:numPr>
          <w:ilvl w:val="0"/>
          <w:numId w:val="5"/>
        </w:numPr>
        <w:spacing w:before="0" w:beforeAutospacing="0" w:after="0" w:afterAutospacing="0"/>
        <w:ind w:left="567" w:hanging="567"/>
      </w:pPr>
      <w:r w:rsidRPr="00021F9A">
        <w:t>the names</w:t>
      </w:r>
      <w:r w:rsidRPr="00C2699D">
        <w:t xml:space="preserve"> and, on occasion, contact details, of committee members and TGA staff as part of the agenda papers for committee meetings;</w:t>
      </w:r>
    </w:p>
    <w:p w:rsidR="00021F9A" w:rsidRPr="00C2699D" w:rsidRDefault="00021F9A" w:rsidP="00021F9A">
      <w:pPr>
        <w:pStyle w:val="ListParagraph"/>
        <w:numPr>
          <w:ilvl w:val="0"/>
          <w:numId w:val="5"/>
        </w:numPr>
        <w:spacing w:before="0" w:beforeAutospacing="0" w:after="0" w:afterAutospacing="0"/>
        <w:ind w:left="567" w:hanging="567"/>
      </w:pPr>
      <w:r w:rsidRPr="00C2699D">
        <w:t>the names of a small number of TGA staff members as contact points for further information as part of the meeting statements; and</w:t>
      </w:r>
    </w:p>
    <w:p w:rsidR="00021F9A" w:rsidRPr="00C2699D" w:rsidRDefault="00021F9A" w:rsidP="00021F9A">
      <w:pPr>
        <w:pStyle w:val="ListParagraph"/>
        <w:numPr>
          <w:ilvl w:val="0"/>
          <w:numId w:val="5"/>
        </w:numPr>
        <w:spacing w:before="0" w:beforeAutospacing="0" w:after="0" w:afterAutospacing="0"/>
        <w:ind w:left="567" w:hanging="567"/>
      </w:pPr>
      <w:proofErr w:type="gramStart"/>
      <w:r w:rsidRPr="00C2699D">
        <w:t>the</w:t>
      </w:r>
      <w:proofErr w:type="gramEnd"/>
      <w:r w:rsidRPr="00C2699D">
        <w:t xml:space="preserve"> names of attending committee members</w:t>
      </w:r>
      <w:r w:rsidR="002949FA">
        <w:t xml:space="preserve">, special advisors and other guest experts, </w:t>
      </w:r>
      <w:r w:rsidR="002949FA" w:rsidRPr="00C2699D">
        <w:t xml:space="preserve"> </w:t>
      </w:r>
      <w:r w:rsidRPr="00C2699D">
        <w:t>and the names and positions of attending TGA staff members as part of the minutes of those meetings.</w:t>
      </w:r>
    </w:p>
    <w:p w:rsidR="00021F9A" w:rsidRPr="00C2699D" w:rsidRDefault="00021F9A" w:rsidP="00021F9A">
      <w:pPr>
        <w:spacing w:before="100" w:beforeAutospacing="1" w:after="0" w:line="240" w:lineRule="auto"/>
        <w:rPr>
          <w:rFonts w:ascii="Times New Roman" w:hAnsi="Times New Roman"/>
          <w:sz w:val="24"/>
          <w:szCs w:val="24"/>
        </w:rPr>
      </w:pPr>
      <w:r w:rsidRPr="00C2699D">
        <w:rPr>
          <w:rFonts w:ascii="Times New Roman" w:eastAsia="Times New Roman" w:hAnsi="Times New Roman"/>
          <w:sz w:val="24"/>
          <w:szCs w:val="24"/>
          <w:lang w:eastAsia="en-AU"/>
        </w:rPr>
        <w:t>The release of this information is considered to be justified in relation to the engagement of article 17:</w:t>
      </w:r>
    </w:p>
    <w:p w:rsidR="00021F9A" w:rsidRPr="00C2699D" w:rsidRDefault="00021F9A" w:rsidP="00021F9A">
      <w:pPr>
        <w:pStyle w:val="ListParagraph"/>
        <w:numPr>
          <w:ilvl w:val="0"/>
          <w:numId w:val="4"/>
        </w:numPr>
        <w:spacing w:after="0"/>
        <w:ind w:left="567" w:hanging="567"/>
      </w:pPr>
      <w:r w:rsidRPr="00021F9A">
        <w:t xml:space="preserve">in relation to committee member </w:t>
      </w:r>
      <w:r w:rsidRPr="00C2699D">
        <w:t>information, the release will be either consistent with information about such committee members already present on the TGA’s website (with committee members’ consent), or its release will be subject to the specific consent of the relevant members; and</w:t>
      </w:r>
    </w:p>
    <w:p w:rsidR="00021F9A" w:rsidRPr="00C2699D" w:rsidRDefault="00021F9A" w:rsidP="00021F9A">
      <w:pPr>
        <w:pStyle w:val="ListParagraph"/>
        <w:numPr>
          <w:ilvl w:val="0"/>
          <w:numId w:val="4"/>
        </w:numPr>
        <w:spacing w:after="0"/>
        <w:ind w:left="567" w:hanging="567"/>
      </w:pPr>
      <w:r w:rsidRPr="00C2699D">
        <w:lastRenderedPageBreak/>
        <w:t>in relation to the staff member details, because this information is necessary to allow the bodies to whom the committee information is being provided to be able to contact the TGA for further information or discussions if necessary (e.g. to clarify a particular point of advice or a recommendation made by a committee).</w:t>
      </w:r>
    </w:p>
    <w:p w:rsidR="00021F9A" w:rsidRPr="00C2699D" w:rsidRDefault="00021F9A" w:rsidP="00021F9A">
      <w:pPr>
        <w:spacing w:before="120" w:after="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Both of the above points ultimately relate to supporting the protection of public health.</w:t>
      </w:r>
    </w:p>
    <w:p w:rsidR="00021F9A" w:rsidRPr="00C2699D" w:rsidRDefault="00021F9A" w:rsidP="00021F9A">
      <w:pPr>
        <w:spacing w:after="0" w:line="240" w:lineRule="auto"/>
        <w:rPr>
          <w:rFonts w:ascii="Times New Roman" w:eastAsia="Times New Roman" w:hAnsi="Times New Roman"/>
          <w:sz w:val="24"/>
          <w:szCs w:val="24"/>
          <w:lang w:eastAsia="en-AU"/>
        </w:rPr>
      </w:pPr>
    </w:p>
    <w:p w:rsidR="00021F9A" w:rsidRPr="00C2699D" w:rsidRDefault="00021F9A" w:rsidP="00021F9A">
      <w:pPr>
        <w:spacing w:before="120" w:after="120" w:line="240" w:lineRule="auto"/>
        <w:rPr>
          <w:rFonts w:ascii="Times New Roman" w:eastAsia="Times New Roman" w:hAnsi="Times New Roman"/>
          <w:sz w:val="24"/>
          <w:szCs w:val="24"/>
          <w:lang w:eastAsia="en-AU"/>
        </w:rPr>
      </w:pPr>
      <w:r w:rsidRPr="00C2699D">
        <w:rPr>
          <w:rFonts w:ascii="Times New Roman" w:eastAsia="Times New Roman" w:hAnsi="Times New Roman"/>
          <w:b/>
          <w:bCs/>
          <w:sz w:val="24"/>
          <w:szCs w:val="24"/>
          <w:lang w:eastAsia="en-AU"/>
        </w:rPr>
        <w:t>Conclusion</w:t>
      </w:r>
    </w:p>
    <w:p w:rsidR="00021F9A" w:rsidRPr="00C2699D" w:rsidRDefault="00021F9A" w:rsidP="00021F9A">
      <w:pPr>
        <w:spacing w:after="0" w:line="240" w:lineRule="auto"/>
        <w:rPr>
          <w:rFonts w:ascii="Times New Roman" w:eastAsia="Times New Roman" w:hAnsi="Times New Roman"/>
          <w:sz w:val="24"/>
          <w:szCs w:val="24"/>
          <w:lang w:eastAsia="en-AU"/>
        </w:rPr>
      </w:pPr>
      <w:r w:rsidRPr="00C2699D">
        <w:rPr>
          <w:rFonts w:ascii="Times New Roman" w:eastAsia="Times New Roman" w:hAnsi="Times New Roman"/>
          <w:sz w:val="24"/>
          <w:szCs w:val="24"/>
          <w:lang w:eastAsia="en-AU"/>
        </w:rPr>
        <w:t>This legislative instrument is compatible with human rights because, to the extent that it may limit human rights, those limitations are reasonable, necessary and proportionate.</w:t>
      </w:r>
    </w:p>
    <w:p w:rsidR="00021F9A" w:rsidRPr="00C2699D" w:rsidRDefault="00021F9A" w:rsidP="00021F9A">
      <w:pPr>
        <w:spacing w:after="0" w:line="240" w:lineRule="auto"/>
        <w:rPr>
          <w:rFonts w:ascii="Times New Roman" w:eastAsia="Times New Roman" w:hAnsi="Times New Roman"/>
          <w:sz w:val="24"/>
          <w:szCs w:val="24"/>
          <w:lang w:eastAsia="en-AU"/>
        </w:rPr>
      </w:pPr>
    </w:p>
    <w:p w:rsidR="00021F9A" w:rsidRPr="00C2699D" w:rsidRDefault="00A44F2F" w:rsidP="00021F9A">
      <w:pPr>
        <w:spacing w:before="120" w:after="0" w:line="240" w:lineRule="auto"/>
        <w:rPr>
          <w:rFonts w:ascii="Times New Roman" w:eastAsia="Times New Roman" w:hAnsi="Times New Roman"/>
          <w:sz w:val="24"/>
          <w:szCs w:val="24"/>
          <w:lang w:eastAsia="en-AU"/>
        </w:rPr>
      </w:pPr>
      <w:r>
        <w:rPr>
          <w:rFonts w:ascii="Times New Roman" w:eastAsia="Times New Roman" w:hAnsi="Times New Roman"/>
          <w:b/>
          <w:bCs/>
          <w:sz w:val="24"/>
          <w:szCs w:val="24"/>
          <w:lang w:eastAsia="en-AU"/>
        </w:rPr>
        <w:t>ROSS HAWKINS</w:t>
      </w:r>
      <w:r w:rsidR="00021F9A" w:rsidRPr="00C2699D">
        <w:rPr>
          <w:rFonts w:ascii="Times New Roman" w:eastAsia="Times New Roman" w:hAnsi="Times New Roman"/>
          <w:b/>
          <w:bCs/>
          <w:sz w:val="24"/>
          <w:szCs w:val="24"/>
          <w:lang w:eastAsia="en-AU"/>
        </w:rPr>
        <w:t>, delegate of the Minister for Health</w:t>
      </w:r>
    </w:p>
    <w:p w:rsidR="00021F9A" w:rsidRPr="00C2699D" w:rsidRDefault="00021F9A" w:rsidP="00021F9A">
      <w:pPr>
        <w:rPr>
          <w:sz w:val="24"/>
          <w:szCs w:val="24"/>
        </w:rPr>
      </w:pPr>
    </w:p>
    <w:p w:rsidR="00CF4F5B" w:rsidRPr="00CF4F5B" w:rsidRDefault="00CF4F5B" w:rsidP="00FA5111">
      <w:p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en-AU"/>
        </w:rPr>
      </w:pPr>
    </w:p>
    <w:p w:rsidR="00D4165E" w:rsidRDefault="00D4165E"/>
    <w:sectPr w:rsidR="00D4165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7EA" w:rsidRDefault="002337EA" w:rsidP="00A95CCB">
      <w:pPr>
        <w:spacing w:after="0" w:line="240" w:lineRule="auto"/>
      </w:pPr>
      <w:r>
        <w:separator/>
      </w:r>
    </w:p>
  </w:endnote>
  <w:endnote w:type="continuationSeparator" w:id="0">
    <w:p w:rsidR="002337EA" w:rsidRDefault="002337EA" w:rsidP="00A9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13" w:rsidRDefault="00D239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CB" w:rsidRPr="00C41C90" w:rsidRDefault="00C41C90" w:rsidP="00C41C90">
    <w:pPr>
      <w:pStyle w:val="Footer"/>
      <w:jc w:val="right"/>
      <w:rPr>
        <w:rFonts w:ascii="Times New Roman" w:hAnsi="Times New Roman" w:cs="Times New Roman"/>
      </w:rPr>
    </w:pPr>
    <w:r w:rsidRPr="00C41C90">
      <w:rPr>
        <w:rFonts w:ascii="Times New Roman" w:hAnsi="Times New Roman" w:cs="Times New Roman"/>
      </w:rPr>
      <w:fldChar w:fldCharType="begin"/>
    </w:r>
    <w:r w:rsidRPr="00C41C90">
      <w:rPr>
        <w:rFonts w:ascii="Times New Roman" w:hAnsi="Times New Roman" w:cs="Times New Roman"/>
      </w:rPr>
      <w:instrText xml:space="preserve"> PAGE   \* MERGEFORMAT </w:instrText>
    </w:r>
    <w:r w:rsidRPr="00C41C90">
      <w:rPr>
        <w:rFonts w:ascii="Times New Roman" w:hAnsi="Times New Roman" w:cs="Times New Roman"/>
      </w:rPr>
      <w:fldChar w:fldCharType="separate"/>
    </w:r>
    <w:r w:rsidR="00EC2B46">
      <w:rPr>
        <w:rFonts w:ascii="Times New Roman" w:hAnsi="Times New Roman" w:cs="Times New Roman"/>
        <w:noProof/>
      </w:rPr>
      <w:t>5</w:t>
    </w:r>
    <w:r w:rsidRPr="00C41C90">
      <w:rPr>
        <w:rFonts w:ascii="Times New Roman" w:hAnsi="Times New Roman" w:cs="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13" w:rsidRDefault="00D239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7EA" w:rsidRDefault="002337EA" w:rsidP="00A95CCB">
      <w:pPr>
        <w:spacing w:after="0" w:line="240" w:lineRule="auto"/>
      </w:pPr>
      <w:r>
        <w:separator/>
      </w:r>
    </w:p>
  </w:footnote>
  <w:footnote w:type="continuationSeparator" w:id="0">
    <w:p w:rsidR="002337EA" w:rsidRDefault="002337EA" w:rsidP="00A95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13" w:rsidRDefault="00D239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5D1" w:rsidRDefault="009D15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913" w:rsidRDefault="00D23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336"/>
    <w:multiLevelType w:val="hybridMultilevel"/>
    <w:tmpl w:val="AB28A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2A5685"/>
    <w:multiLevelType w:val="hybridMultilevel"/>
    <w:tmpl w:val="C9E01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E397FC3"/>
    <w:multiLevelType w:val="hybridMultilevel"/>
    <w:tmpl w:val="4A00407C"/>
    <w:lvl w:ilvl="0" w:tplc="0C090001">
      <w:start w:val="1"/>
      <w:numFmt w:val="bullet"/>
      <w:lvlText w:val=""/>
      <w:lvlJc w:val="left"/>
      <w:pPr>
        <w:ind w:left="720" w:hanging="360"/>
      </w:pPr>
      <w:rPr>
        <w:rFonts w:ascii="Symbol" w:hAnsi="Symbol" w:hint="default"/>
      </w:rPr>
    </w:lvl>
    <w:lvl w:ilvl="1" w:tplc="5DF88CDC">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8B5346C"/>
    <w:multiLevelType w:val="hybridMultilevel"/>
    <w:tmpl w:val="71C06652"/>
    <w:lvl w:ilvl="0" w:tplc="0C090001">
      <w:start w:val="1"/>
      <w:numFmt w:val="bullet"/>
      <w:lvlText w:val=""/>
      <w:lvlJc w:val="left"/>
      <w:pPr>
        <w:ind w:left="720" w:hanging="360"/>
      </w:pPr>
      <w:rPr>
        <w:rFonts w:ascii="Symbol" w:hAnsi="Symbol" w:hint="default"/>
      </w:rPr>
    </w:lvl>
    <w:lvl w:ilvl="1" w:tplc="A47486CA">
      <w:numFmt w:val="bullet"/>
      <w:lvlText w:val="·"/>
      <w:lvlJc w:val="left"/>
      <w:pPr>
        <w:ind w:left="1545" w:hanging="465"/>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A9766A9"/>
    <w:multiLevelType w:val="hybridMultilevel"/>
    <w:tmpl w:val="72F20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F5B"/>
    <w:rsid w:val="00001D1A"/>
    <w:rsid w:val="00013952"/>
    <w:rsid w:val="00021F9A"/>
    <w:rsid w:val="000227B5"/>
    <w:rsid w:val="0005577B"/>
    <w:rsid w:val="000614C7"/>
    <w:rsid w:val="00073DB6"/>
    <w:rsid w:val="0007783B"/>
    <w:rsid w:val="000B2CAD"/>
    <w:rsid w:val="00140AE9"/>
    <w:rsid w:val="00145AE1"/>
    <w:rsid w:val="00160539"/>
    <w:rsid w:val="00165872"/>
    <w:rsid w:val="001931B8"/>
    <w:rsid w:val="001A0D46"/>
    <w:rsid w:val="001B5DD6"/>
    <w:rsid w:val="002033AC"/>
    <w:rsid w:val="00227F8E"/>
    <w:rsid w:val="0023375F"/>
    <w:rsid w:val="002337EA"/>
    <w:rsid w:val="002479A6"/>
    <w:rsid w:val="00260B09"/>
    <w:rsid w:val="002949FA"/>
    <w:rsid w:val="002A3AE4"/>
    <w:rsid w:val="002A5E89"/>
    <w:rsid w:val="002D19D0"/>
    <w:rsid w:val="0030062C"/>
    <w:rsid w:val="0030230B"/>
    <w:rsid w:val="003365EA"/>
    <w:rsid w:val="003738B5"/>
    <w:rsid w:val="003A5B92"/>
    <w:rsid w:val="003F7580"/>
    <w:rsid w:val="004405B8"/>
    <w:rsid w:val="0045258A"/>
    <w:rsid w:val="00457F3F"/>
    <w:rsid w:val="00464745"/>
    <w:rsid w:val="00474C25"/>
    <w:rsid w:val="004764B6"/>
    <w:rsid w:val="004877E0"/>
    <w:rsid w:val="004A7577"/>
    <w:rsid w:val="004B7FAA"/>
    <w:rsid w:val="004D1353"/>
    <w:rsid w:val="004D2FFB"/>
    <w:rsid w:val="004D78AF"/>
    <w:rsid w:val="004D7C53"/>
    <w:rsid w:val="004F31DD"/>
    <w:rsid w:val="0051721A"/>
    <w:rsid w:val="00517F24"/>
    <w:rsid w:val="00534E18"/>
    <w:rsid w:val="00546E13"/>
    <w:rsid w:val="00561802"/>
    <w:rsid w:val="005E0AB4"/>
    <w:rsid w:val="006045D5"/>
    <w:rsid w:val="006138ED"/>
    <w:rsid w:val="00616508"/>
    <w:rsid w:val="00625998"/>
    <w:rsid w:val="00630F04"/>
    <w:rsid w:val="006421CA"/>
    <w:rsid w:val="00655186"/>
    <w:rsid w:val="006638A6"/>
    <w:rsid w:val="006E6986"/>
    <w:rsid w:val="00753681"/>
    <w:rsid w:val="007878F0"/>
    <w:rsid w:val="00802311"/>
    <w:rsid w:val="0084067A"/>
    <w:rsid w:val="008A1D19"/>
    <w:rsid w:val="008E748F"/>
    <w:rsid w:val="008F43D2"/>
    <w:rsid w:val="009174FA"/>
    <w:rsid w:val="00930DC8"/>
    <w:rsid w:val="009408D1"/>
    <w:rsid w:val="00947A9D"/>
    <w:rsid w:val="00983C0B"/>
    <w:rsid w:val="009D15D1"/>
    <w:rsid w:val="009D273C"/>
    <w:rsid w:val="00A2081A"/>
    <w:rsid w:val="00A44F2F"/>
    <w:rsid w:val="00A55EAE"/>
    <w:rsid w:val="00A719B4"/>
    <w:rsid w:val="00A81FE5"/>
    <w:rsid w:val="00A95CCB"/>
    <w:rsid w:val="00B00A28"/>
    <w:rsid w:val="00B62E4A"/>
    <w:rsid w:val="00B77E7F"/>
    <w:rsid w:val="00B83CB9"/>
    <w:rsid w:val="00B86AAB"/>
    <w:rsid w:val="00B95DE3"/>
    <w:rsid w:val="00BB43D6"/>
    <w:rsid w:val="00BB57A9"/>
    <w:rsid w:val="00BD329F"/>
    <w:rsid w:val="00BD5C67"/>
    <w:rsid w:val="00BF54C2"/>
    <w:rsid w:val="00C00599"/>
    <w:rsid w:val="00C2699D"/>
    <w:rsid w:val="00C362AD"/>
    <w:rsid w:val="00C37139"/>
    <w:rsid w:val="00C41C90"/>
    <w:rsid w:val="00C44AE6"/>
    <w:rsid w:val="00C53150"/>
    <w:rsid w:val="00C60C58"/>
    <w:rsid w:val="00C62E05"/>
    <w:rsid w:val="00C62FA7"/>
    <w:rsid w:val="00C717CF"/>
    <w:rsid w:val="00C962C4"/>
    <w:rsid w:val="00C97E2F"/>
    <w:rsid w:val="00CB3D97"/>
    <w:rsid w:val="00CC3CBC"/>
    <w:rsid w:val="00CF4F5B"/>
    <w:rsid w:val="00D16E57"/>
    <w:rsid w:val="00D23913"/>
    <w:rsid w:val="00D4165E"/>
    <w:rsid w:val="00D62826"/>
    <w:rsid w:val="00D634A4"/>
    <w:rsid w:val="00D66A89"/>
    <w:rsid w:val="00D84FA6"/>
    <w:rsid w:val="00DB1AC1"/>
    <w:rsid w:val="00DD1D7E"/>
    <w:rsid w:val="00DD7357"/>
    <w:rsid w:val="00DF01C0"/>
    <w:rsid w:val="00E02F15"/>
    <w:rsid w:val="00E05F8F"/>
    <w:rsid w:val="00E26538"/>
    <w:rsid w:val="00E35C59"/>
    <w:rsid w:val="00E36EFC"/>
    <w:rsid w:val="00E961F3"/>
    <w:rsid w:val="00E97D04"/>
    <w:rsid w:val="00EA2AED"/>
    <w:rsid w:val="00EB04DA"/>
    <w:rsid w:val="00EC28D3"/>
    <w:rsid w:val="00EC2B46"/>
    <w:rsid w:val="00EC3E91"/>
    <w:rsid w:val="00ED0224"/>
    <w:rsid w:val="00ED7861"/>
    <w:rsid w:val="00ED7DEE"/>
    <w:rsid w:val="00EE3F9D"/>
    <w:rsid w:val="00EF22E9"/>
    <w:rsid w:val="00EF30E8"/>
    <w:rsid w:val="00F100A9"/>
    <w:rsid w:val="00F37705"/>
    <w:rsid w:val="00F53DBB"/>
    <w:rsid w:val="00F55011"/>
    <w:rsid w:val="00F55C96"/>
    <w:rsid w:val="00F77FEC"/>
    <w:rsid w:val="00F8308B"/>
    <w:rsid w:val="00FA27CF"/>
    <w:rsid w:val="00FA463A"/>
    <w:rsid w:val="00FA5111"/>
    <w:rsid w:val="00FC6455"/>
    <w:rsid w:val="00FF7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semiHidden/>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semiHidden/>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F5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CF4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F5B"/>
    <w:rPr>
      <w:rFonts w:ascii="Tahoma" w:hAnsi="Tahoma" w:cs="Tahoma"/>
      <w:sz w:val="16"/>
      <w:szCs w:val="16"/>
    </w:rPr>
  </w:style>
  <w:style w:type="character" w:styleId="Hyperlink">
    <w:name w:val="Hyperlink"/>
    <w:uiPriority w:val="99"/>
    <w:rsid w:val="00CF4F5B"/>
    <w:rPr>
      <w:color w:val="0D6F8B"/>
      <w:u w:val="single"/>
    </w:rPr>
  </w:style>
  <w:style w:type="character" w:styleId="CommentReference">
    <w:name w:val="annotation reference"/>
    <w:basedOn w:val="DefaultParagraphFont"/>
    <w:uiPriority w:val="99"/>
    <w:semiHidden/>
    <w:unhideWhenUsed/>
    <w:rsid w:val="007878F0"/>
    <w:rPr>
      <w:sz w:val="16"/>
      <w:szCs w:val="16"/>
    </w:rPr>
  </w:style>
  <w:style w:type="paragraph" w:styleId="CommentText">
    <w:name w:val="annotation text"/>
    <w:basedOn w:val="Normal"/>
    <w:link w:val="CommentTextChar"/>
    <w:uiPriority w:val="99"/>
    <w:semiHidden/>
    <w:unhideWhenUsed/>
    <w:rsid w:val="007878F0"/>
    <w:pPr>
      <w:spacing w:line="240" w:lineRule="auto"/>
    </w:pPr>
    <w:rPr>
      <w:sz w:val="20"/>
      <w:szCs w:val="20"/>
    </w:rPr>
  </w:style>
  <w:style w:type="character" w:customStyle="1" w:styleId="CommentTextChar">
    <w:name w:val="Comment Text Char"/>
    <w:basedOn w:val="DefaultParagraphFont"/>
    <w:link w:val="CommentText"/>
    <w:uiPriority w:val="99"/>
    <w:semiHidden/>
    <w:rsid w:val="007878F0"/>
    <w:rPr>
      <w:sz w:val="20"/>
      <w:szCs w:val="20"/>
    </w:rPr>
  </w:style>
  <w:style w:type="paragraph" w:styleId="CommentSubject">
    <w:name w:val="annotation subject"/>
    <w:basedOn w:val="CommentText"/>
    <w:next w:val="CommentText"/>
    <w:link w:val="CommentSubjectChar"/>
    <w:uiPriority w:val="99"/>
    <w:semiHidden/>
    <w:unhideWhenUsed/>
    <w:rsid w:val="007878F0"/>
    <w:rPr>
      <w:b/>
      <w:bCs/>
    </w:rPr>
  </w:style>
  <w:style w:type="character" w:customStyle="1" w:styleId="CommentSubjectChar">
    <w:name w:val="Comment Subject Char"/>
    <w:basedOn w:val="CommentTextChar"/>
    <w:link w:val="CommentSubject"/>
    <w:uiPriority w:val="99"/>
    <w:semiHidden/>
    <w:rsid w:val="007878F0"/>
    <w:rPr>
      <w:b/>
      <w:bCs/>
      <w:sz w:val="20"/>
      <w:szCs w:val="20"/>
    </w:rPr>
  </w:style>
  <w:style w:type="paragraph" w:styleId="Revision">
    <w:name w:val="Revision"/>
    <w:hidden/>
    <w:uiPriority w:val="99"/>
    <w:semiHidden/>
    <w:rsid w:val="00ED7DEE"/>
    <w:pPr>
      <w:spacing w:after="0" w:line="240" w:lineRule="auto"/>
    </w:pPr>
  </w:style>
  <w:style w:type="paragraph" w:styleId="Header">
    <w:name w:val="header"/>
    <w:basedOn w:val="Normal"/>
    <w:link w:val="HeaderChar"/>
    <w:uiPriority w:val="99"/>
    <w:unhideWhenUsed/>
    <w:rsid w:val="00A95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CCB"/>
  </w:style>
  <w:style w:type="paragraph" w:styleId="Footer">
    <w:name w:val="footer"/>
    <w:basedOn w:val="Normal"/>
    <w:link w:val="FooterChar"/>
    <w:uiPriority w:val="99"/>
    <w:unhideWhenUsed/>
    <w:rsid w:val="00A95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5130">
      <w:bodyDiv w:val="1"/>
      <w:marLeft w:val="0"/>
      <w:marRight w:val="0"/>
      <w:marTop w:val="0"/>
      <w:marBottom w:val="0"/>
      <w:divBdr>
        <w:top w:val="none" w:sz="0" w:space="0" w:color="auto"/>
        <w:left w:val="none" w:sz="0" w:space="0" w:color="auto"/>
        <w:bottom w:val="none" w:sz="0" w:space="0" w:color="auto"/>
        <w:right w:val="none" w:sz="0" w:space="0" w:color="auto"/>
      </w:divBdr>
      <w:divsChild>
        <w:div w:id="398016618">
          <w:marLeft w:val="0"/>
          <w:marRight w:val="0"/>
          <w:marTop w:val="0"/>
          <w:marBottom w:val="0"/>
          <w:divBdr>
            <w:top w:val="none" w:sz="0" w:space="0" w:color="auto"/>
            <w:left w:val="none" w:sz="0" w:space="0" w:color="auto"/>
            <w:bottom w:val="none" w:sz="0" w:space="0" w:color="auto"/>
            <w:right w:val="none" w:sz="0" w:space="0" w:color="auto"/>
          </w:divBdr>
          <w:divsChild>
            <w:div w:id="157157093">
              <w:marLeft w:val="0"/>
              <w:marRight w:val="0"/>
              <w:marTop w:val="0"/>
              <w:marBottom w:val="0"/>
              <w:divBdr>
                <w:top w:val="none" w:sz="0" w:space="0" w:color="auto"/>
                <w:left w:val="none" w:sz="0" w:space="0" w:color="auto"/>
                <w:bottom w:val="none" w:sz="0" w:space="0" w:color="auto"/>
                <w:right w:val="none" w:sz="0" w:space="0" w:color="auto"/>
              </w:divBdr>
              <w:divsChild>
                <w:div w:id="645475578">
                  <w:marLeft w:val="0"/>
                  <w:marRight w:val="0"/>
                  <w:marTop w:val="0"/>
                  <w:marBottom w:val="0"/>
                  <w:divBdr>
                    <w:top w:val="none" w:sz="0" w:space="0" w:color="auto"/>
                    <w:left w:val="none" w:sz="0" w:space="0" w:color="auto"/>
                    <w:bottom w:val="none" w:sz="0" w:space="0" w:color="auto"/>
                    <w:right w:val="none" w:sz="0" w:space="0" w:color="auto"/>
                  </w:divBdr>
                  <w:divsChild>
                    <w:div w:id="2113012917">
                      <w:marLeft w:val="0"/>
                      <w:marRight w:val="0"/>
                      <w:marTop w:val="0"/>
                      <w:marBottom w:val="0"/>
                      <w:divBdr>
                        <w:top w:val="none" w:sz="0" w:space="0" w:color="auto"/>
                        <w:left w:val="none" w:sz="0" w:space="0" w:color="auto"/>
                        <w:bottom w:val="none" w:sz="0" w:space="0" w:color="auto"/>
                        <w:right w:val="none" w:sz="0" w:space="0" w:color="auto"/>
                      </w:divBdr>
                      <w:divsChild>
                        <w:div w:id="1683363024">
                          <w:marLeft w:val="0"/>
                          <w:marRight w:val="0"/>
                          <w:marTop w:val="0"/>
                          <w:marBottom w:val="0"/>
                          <w:divBdr>
                            <w:top w:val="none" w:sz="0" w:space="0" w:color="auto"/>
                            <w:left w:val="none" w:sz="0" w:space="0" w:color="auto"/>
                            <w:bottom w:val="none" w:sz="0" w:space="0" w:color="auto"/>
                            <w:right w:val="none" w:sz="0" w:space="0" w:color="auto"/>
                          </w:divBdr>
                          <w:divsChild>
                            <w:div w:id="864706643">
                              <w:marLeft w:val="0"/>
                              <w:marRight w:val="0"/>
                              <w:marTop w:val="0"/>
                              <w:marBottom w:val="0"/>
                              <w:divBdr>
                                <w:top w:val="none" w:sz="0" w:space="0" w:color="auto"/>
                                <w:left w:val="none" w:sz="0" w:space="0" w:color="auto"/>
                                <w:bottom w:val="none" w:sz="0" w:space="0" w:color="auto"/>
                                <w:right w:val="none" w:sz="0" w:space="0" w:color="auto"/>
                              </w:divBdr>
                              <w:divsChild>
                                <w:div w:id="1413239078">
                                  <w:marLeft w:val="0"/>
                                  <w:marRight w:val="0"/>
                                  <w:marTop w:val="0"/>
                                  <w:marBottom w:val="0"/>
                                  <w:divBdr>
                                    <w:top w:val="none" w:sz="0" w:space="0" w:color="auto"/>
                                    <w:left w:val="none" w:sz="0" w:space="0" w:color="auto"/>
                                    <w:bottom w:val="none" w:sz="0" w:space="0" w:color="auto"/>
                                    <w:right w:val="none" w:sz="0" w:space="0" w:color="auto"/>
                                  </w:divBdr>
                                  <w:divsChild>
                                    <w:div w:id="130101791">
                                      <w:marLeft w:val="0"/>
                                      <w:marRight w:val="0"/>
                                      <w:marTop w:val="0"/>
                                      <w:marBottom w:val="0"/>
                                      <w:divBdr>
                                        <w:top w:val="none" w:sz="0" w:space="0" w:color="auto"/>
                                        <w:left w:val="none" w:sz="0" w:space="0" w:color="auto"/>
                                        <w:bottom w:val="none" w:sz="0" w:space="0" w:color="auto"/>
                                        <w:right w:val="none" w:sz="0" w:space="0" w:color="auto"/>
                                      </w:divBdr>
                                      <w:divsChild>
                                        <w:div w:id="801073336">
                                          <w:marLeft w:val="0"/>
                                          <w:marRight w:val="0"/>
                                          <w:marTop w:val="0"/>
                                          <w:marBottom w:val="0"/>
                                          <w:divBdr>
                                            <w:top w:val="none" w:sz="0" w:space="0" w:color="auto"/>
                                            <w:left w:val="none" w:sz="0" w:space="0" w:color="auto"/>
                                            <w:bottom w:val="none" w:sz="0" w:space="0" w:color="auto"/>
                                            <w:right w:val="none" w:sz="0" w:space="0" w:color="auto"/>
                                          </w:divBdr>
                                          <w:divsChild>
                                            <w:div w:id="165679133">
                                              <w:marLeft w:val="0"/>
                                              <w:marRight w:val="0"/>
                                              <w:marTop w:val="0"/>
                                              <w:marBottom w:val="0"/>
                                              <w:divBdr>
                                                <w:top w:val="none" w:sz="0" w:space="0" w:color="auto"/>
                                                <w:left w:val="none" w:sz="0" w:space="0" w:color="auto"/>
                                                <w:bottom w:val="none" w:sz="0" w:space="0" w:color="auto"/>
                                                <w:right w:val="none" w:sz="0" w:space="0" w:color="auto"/>
                                              </w:divBdr>
                                              <w:divsChild>
                                                <w:div w:id="1919097111">
                                                  <w:marLeft w:val="0"/>
                                                  <w:marRight w:val="0"/>
                                                  <w:marTop w:val="0"/>
                                                  <w:marBottom w:val="0"/>
                                                  <w:divBdr>
                                                    <w:top w:val="none" w:sz="0" w:space="0" w:color="auto"/>
                                                    <w:left w:val="none" w:sz="0" w:space="0" w:color="auto"/>
                                                    <w:bottom w:val="none" w:sz="0" w:space="0" w:color="auto"/>
                                                    <w:right w:val="none" w:sz="0" w:space="0" w:color="auto"/>
                                                  </w:divBdr>
                                                  <w:divsChild>
                                                    <w:div w:id="1650206342">
                                                      <w:marLeft w:val="0"/>
                                                      <w:marRight w:val="0"/>
                                                      <w:marTop w:val="0"/>
                                                      <w:marBottom w:val="0"/>
                                                      <w:divBdr>
                                                        <w:top w:val="none" w:sz="0" w:space="0" w:color="auto"/>
                                                        <w:left w:val="none" w:sz="0" w:space="0" w:color="auto"/>
                                                        <w:bottom w:val="none" w:sz="0" w:space="0" w:color="auto"/>
                                                        <w:right w:val="none" w:sz="0" w:space="0" w:color="auto"/>
                                                      </w:divBdr>
                                                      <w:divsChild>
                                                        <w:div w:id="1162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3F66-3BCB-480F-8E40-A07796E46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1778</Words>
  <Characters>10139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Deeble, Susan</dc:creator>
  <cp:lastModifiedBy>CARTER, Bless</cp:lastModifiedBy>
  <cp:revision>2</cp:revision>
  <dcterms:created xsi:type="dcterms:W3CDTF">2017-12-04T05:42:00Z</dcterms:created>
  <dcterms:modified xsi:type="dcterms:W3CDTF">2017-12-04T05:42:00Z</dcterms:modified>
</cp:coreProperties>
</file>