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AFECB" w14:textId="77777777" w:rsidR="00AD1C8B" w:rsidRPr="000576EB" w:rsidRDefault="00AD1C8B" w:rsidP="00AD1C8B">
      <w:pPr>
        <w:rPr>
          <w:b/>
          <w:lang w:val="en-AU" w:eastAsia="en-GB" w:bidi="ar-SA"/>
        </w:rPr>
      </w:pPr>
      <w:bookmarkStart w:id="0" w:name="_GoBack"/>
      <w:bookmarkEnd w:id="0"/>
      <w:r w:rsidRPr="000576EB">
        <w:rPr>
          <w:b/>
          <w:lang w:val="en-AU" w:eastAsia="en-GB" w:bidi="ar-SA"/>
        </w:rPr>
        <w:t>1.</w:t>
      </w:r>
      <w:r w:rsidRPr="000576EB">
        <w:rPr>
          <w:b/>
          <w:lang w:val="en-AU" w:eastAsia="en-GB" w:bidi="ar-SA"/>
        </w:rPr>
        <w:tab/>
        <w:t>Authority</w:t>
      </w:r>
    </w:p>
    <w:p w14:paraId="0C3AFECC" w14:textId="77777777" w:rsidR="00AD1C8B" w:rsidRDefault="00AD1C8B" w:rsidP="00AD1C8B">
      <w:pPr>
        <w:rPr>
          <w:lang w:val="en-AU" w:eastAsia="en-GB" w:bidi="ar-SA"/>
        </w:rPr>
      </w:pPr>
    </w:p>
    <w:p w14:paraId="0C3AFECD" w14:textId="77777777" w:rsidR="00AD1C8B" w:rsidRPr="00D13E34" w:rsidRDefault="00AD1C8B" w:rsidP="00AD1C8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C3AFECE" w14:textId="77777777" w:rsidR="00AD1C8B" w:rsidRPr="00D13E34" w:rsidRDefault="00AD1C8B" w:rsidP="00AD1C8B">
      <w:pPr>
        <w:widowControl/>
        <w:autoSpaceDE w:val="0"/>
        <w:autoSpaceDN w:val="0"/>
        <w:adjustRightInd w:val="0"/>
        <w:rPr>
          <w:rFonts w:eastAsia="Calibri" w:cs="Arial"/>
          <w:bCs/>
          <w:szCs w:val="22"/>
          <w:lang w:val="en-AU" w:bidi="ar-SA"/>
        </w:rPr>
      </w:pPr>
    </w:p>
    <w:p w14:paraId="0C3AFECF" w14:textId="77777777" w:rsidR="00AD1C8B" w:rsidRPr="00D94C61" w:rsidRDefault="00AD1C8B" w:rsidP="00AD1C8B">
      <w:pPr>
        <w:widowControl/>
        <w:autoSpaceDE w:val="0"/>
        <w:autoSpaceDN w:val="0"/>
        <w:adjustRightInd w:val="0"/>
        <w:rPr>
          <w:rFonts w:eastAsia="Calibri" w:cs="Arial"/>
          <w:bCs/>
          <w:szCs w:val="22"/>
          <w:lang w:val="en-AU" w:bidi="ar-SA"/>
        </w:rPr>
      </w:pPr>
      <w:r w:rsidRPr="00D94C61">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variation of food regulatory measures. </w:t>
      </w:r>
    </w:p>
    <w:p w14:paraId="0C3AFED0" w14:textId="77777777" w:rsidR="00AD1C8B" w:rsidRPr="00D94C61" w:rsidRDefault="00AD1C8B" w:rsidP="00AD1C8B">
      <w:pPr>
        <w:widowControl/>
        <w:autoSpaceDE w:val="0"/>
        <w:autoSpaceDN w:val="0"/>
        <w:adjustRightInd w:val="0"/>
        <w:rPr>
          <w:rFonts w:eastAsia="Calibri" w:cs="Arial"/>
          <w:bCs/>
          <w:szCs w:val="22"/>
          <w:lang w:val="en-AU" w:bidi="ar-SA"/>
        </w:rPr>
      </w:pPr>
    </w:p>
    <w:p w14:paraId="0C3AFED1" w14:textId="77777777" w:rsidR="00AD1C8B" w:rsidRPr="00D94C61" w:rsidRDefault="00AD1C8B" w:rsidP="00AD1C8B">
      <w:pPr>
        <w:widowControl/>
        <w:autoSpaceDE w:val="0"/>
        <w:autoSpaceDN w:val="0"/>
        <w:adjustRightInd w:val="0"/>
        <w:rPr>
          <w:rFonts w:eastAsia="Calibri" w:cs="Arial"/>
          <w:bCs/>
          <w:szCs w:val="22"/>
          <w:lang w:val="en-AU" w:bidi="ar-SA"/>
        </w:rPr>
      </w:pPr>
      <w:r w:rsidRPr="00D94C61">
        <w:rPr>
          <w:rFonts w:eastAsia="Calibri" w:cs="Arial"/>
          <w:bCs/>
          <w:szCs w:val="22"/>
          <w:lang w:val="en-AU" w:bidi="ar-SA"/>
        </w:rPr>
        <w:t xml:space="preserve">The Authority prepared Proposal M1014 </w:t>
      </w:r>
      <w:r w:rsidRPr="00D94C61">
        <w:rPr>
          <w:szCs w:val="22"/>
        </w:rPr>
        <w:t>to consider varying certain maximum residue limits (MRLs) in the Code</w:t>
      </w:r>
      <w:r w:rsidRPr="00D94C61">
        <w:rPr>
          <w:rFonts w:eastAsia="Calibri" w:cs="Arial"/>
          <w:bCs/>
          <w:szCs w:val="22"/>
          <w:lang w:val="en-AU" w:bidi="ar-SA"/>
        </w:rPr>
        <w:t xml:space="preserve">. The Authority considered the Proposal in accordance with Division 2 of Part 3 and has approved a draft </w:t>
      </w:r>
      <w:r>
        <w:rPr>
          <w:rFonts w:eastAsia="Calibri" w:cs="Arial"/>
          <w:bCs/>
          <w:szCs w:val="22"/>
          <w:lang w:val="en-AU" w:bidi="ar-SA"/>
        </w:rPr>
        <w:t>variation</w:t>
      </w:r>
      <w:r w:rsidRPr="00D94C61">
        <w:rPr>
          <w:rFonts w:eastAsia="Calibri" w:cs="Arial"/>
          <w:bCs/>
          <w:szCs w:val="22"/>
          <w:lang w:val="en-AU" w:bidi="ar-SA"/>
        </w:rPr>
        <w:t xml:space="preserve">. </w:t>
      </w:r>
    </w:p>
    <w:p w14:paraId="0C3AFED2" w14:textId="77777777" w:rsidR="00AD1C8B" w:rsidRPr="00D13E34" w:rsidRDefault="00AD1C8B" w:rsidP="00AD1C8B">
      <w:pPr>
        <w:widowControl/>
        <w:autoSpaceDE w:val="0"/>
        <w:autoSpaceDN w:val="0"/>
        <w:adjustRightInd w:val="0"/>
        <w:rPr>
          <w:rFonts w:eastAsia="Calibri" w:cs="Arial"/>
          <w:bCs/>
          <w:szCs w:val="22"/>
          <w:lang w:val="en-AU" w:bidi="ar-SA"/>
        </w:rPr>
      </w:pPr>
    </w:p>
    <w:p w14:paraId="0C3AFED3" w14:textId="77777777" w:rsidR="00AD1C8B" w:rsidRPr="00D13E34" w:rsidRDefault="00AD1C8B" w:rsidP="00AD1C8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C3AFED4" w14:textId="77777777" w:rsidR="00AD1C8B" w:rsidRPr="00D13E34" w:rsidRDefault="00AD1C8B" w:rsidP="00AD1C8B">
      <w:pPr>
        <w:widowControl/>
        <w:autoSpaceDE w:val="0"/>
        <w:autoSpaceDN w:val="0"/>
        <w:adjustRightInd w:val="0"/>
        <w:rPr>
          <w:rFonts w:eastAsia="Calibri" w:cs="Arial"/>
          <w:bCs/>
          <w:szCs w:val="22"/>
          <w:lang w:val="en-AU" w:bidi="ar-SA"/>
        </w:rPr>
      </w:pPr>
    </w:p>
    <w:p w14:paraId="0C3AFED5" w14:textId="77777777" w:rsidR="00AD1C8B" w:rsidRPr="00D13E34" w:rsidRDefault="00AD1C8B" w:rsidP="00AD1C8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0C3AFED6" w14:textId="77777777" w:rsidR="00AD1C8B" w:rsidRDefault="00AD1C8B" w:rsidP="00AD1C8B">
      <w:pPr>
        <w:rPr>
          <w:lang w:val="en-AU" w:eastAsia="en-GB" w:bidi="ar-SA"/>
        </w:rPr>
      </w:pPr>
    </w:p>
    <w:p w14:paraId="0C3AFED7" w14:textId="77777777" w:rsidR="00AD1C8B" w:rsidRDefault="00AD1C8B" w:rsidP="00AD1C8B">
      <w:pPr>
        <w:rPr>
          <w:b/>
          <w:lang w:val="en-AU" w:eastAsia="en-GB" w:bidi="ar-SA"/>
        </w:rPr>
      </w:pPr>
      <w:r>
        <w:rPr>
          <w:b/>
          <w:lang w:val="en-AU" w:eastAsia="en-GB" w:bidi="ar-SA"/>
        </w:rPr>
        <w:t>2.</w:t>
      </w:r>
      <w:r>
        <w:rPr>
          <w:b/>
          <w:lang w:val="en-AU" w:eastAsia="en-GB" w:bidi="ar-SA"/>
        </w:rPr>
        <w:tab/>
        <w:t xml:space="preserve">Purpose </w:t>
      </w:r>
    </w:p>
    <w:p w14:paraId="0C3AFED8" w14:textId="77777777" w:rsidR="00AD1C8B" w:rsidRPr="001B2D2E" w:rsidRDefault="00AD1C8B" w:rsidP="00AD1C8B">
      <w:pPr>
        <w:rPr>
          <w:rFonts w:cs="Arial"/>
          <w:lang w:eastAsia="en-GB" w:bidi="ar-SA"/>
        </w:rPr>
      </w:pPr>
    </w:p>
    <w:p w14:paraId="0C3AFED9" w14:textId="77777777" w:rsidR="00AD1C8B" w:rsidRPr="001B2D2E" w:rsidRDefault="00AD1C8B" w:rsidP="00AD1C8B">
      <w:pPr>
        <w:rPr>
          <w:rFonts w:cs="Arial"/>
        </w:rPr>
      </w:pPr>
      <w:r>
        <w:rPr>
          <w:rFonts w:cs="Arial"/>
        </w:rPr>
        <w:t>The table to s</w:t>
      </w:r>
      <w:r w:rsidRPr="001B2D2E">
        <w:rPr>
          <w:rFonts w:cs="Arial"/>
        </w:rPr>
        <w:t xml:space="preserve">ection </w:t>
      </w:r>
      <w:r w:rsidRPr="001D1563">
        <w:t>S20—3</w:t>
      </w:r>
      <w:r>
        <w:t xml:space="preserve"> </w:t>
      </w:r>
      <w:r w:rsidRPr="001B2D2E">
        <w:rPr>
          <w:rFonts w:cs="Arial"/>
        </w:rPr>
        <w:t xml:space="preserve">lists the </w:t>
      </w:r>
      <w:r>
        <w:rPr>
          <w:rFonts w:cs="Arial"/>
        </w:rPr>
        <w:t>MRL</w:t>
      </w:r>
      <w:r w:rsidRPr="001B2D2E">
        <w:rPr>
          <w:rFonts w:cs="Arial"/>
        </w:rPr>
        <w:t xml:space="preserve">s for </w:t>
      </w:r>
      <w:r>
        <w:rPr>
          <w:rFonts w:cs="Arial"/>
        </w:rPr>
        <w:t>residues of agvet</w:t>
      </w:r>
      <w:r w:rsidRPr="001B2D2E">
        <w:rPr>
          <w:rFonts w:cs="Arial"/>
        </w:rPr>
        <w:t xml:space="preserve"> chemical</w:t>
      </w:r>
      <w:r>
        <w:rPr>
          <w:rFonts w:cs="Arial"/>
        </w:rPr>
        <w:t>s,</w:t>
      </w:r>
      <w:r w:rsidRPr="001B2D2E">
        <w:rPr>
          <w:rFonts w:cs="Arial"/>
        </w:rPr>
        <w:t xml:space="preserve"> which may occur in foods. If a</w:t>
      </w:r>
      <w:r>
        <w:rPr>
          <w:rFonts w:cs="Arial"/>
        </w:rPr>
        <w:t>n</w:t>
      </w:r>
      <w:r w:rsidRPr="001B2D2E">
        <w:rPr>
          <w:rFonts w:cs="Arial"/>
        </w:rPr>
        <w:t xml:space="preserve"> </w:t>
      </w:r>
      <w:r>
        <w:rPr>
          <w:rFonts w:cs="Arial"/>
        </w:rPr>
        <w:t>MRL</w:t>
      </w:r>
      <w:r w:rsidRPr="001B2D2E">
        <w:rPr>
          <w:rFonts w:cs="Arial"/>
        </w:rPr>
        <w:t xml:space="preserve"> is not listed for a particular </w:t>
      </w:r>
      <w:r>
        <w:rPr>
          <w:rFonts w:cs="Arial"/>
        </w:rPr>
        <w:t>agvet</w:t>
      </w:r>
      <w:r w:rsidRPr="001B2D2E">
        <w:rPr>
          <w:rFonts w:cs="Arial"/>
        </w:rPr>
        <w:t xml:space="preserve"> chemical/food combination, there must be no detectable residues of that chemical in that food. This general prohibition means that, in the absence of the relevant limit in the Code, food may not be sold where there are detectable residues.</w:t>
      </w:r>
    </w:p>
    <w:p w14:paraId="0C3AFEDA" w14:textId="77777777" w:rsidR="00AD1C8B" w:rsidRPr="001B2D2E" w:rsidRDefault="00AD1C8B" w:rsidP="00AD1C8B">
      <w:pPr>
        <w:rPr>
          <w:rFonts w:cs="Arial"/>
          <w:highlight w:val="yellow"/>
        </w:rPr>
      </w:pPr>
    </w:p>
    <w:p w14:paraId="0C3AFEDB" w14:textId="77777777" w:rsidR="00AD1C8B" w:rsidRPr="001B2D2E" w:rsidRDefault="00AD1C8B" w:rsidP="00AD1C8B">
      <w:pPr>
        <w:rPr>
          <w:rFonts w:cs="Arial"/>
        </w:rPr>
      </w:pPr>
      <w:r>
        <w:rPr>
          <w:rFonts w:cs="Arial"/>
        </w:rPr>
        <w:t>The purpose of this variation is</w:t>
      </w:r>
      <w:r w:rsidRPr="001B2D2E">
        <w:rPr>
          <w:rFonts w:cs="Arial"/>
        </w:rPr>
        <w:t xml:space="preserve"> to permit the sale of foods containing legitimate residues. </w:t>
      </w:r>
      <w:r>
        <w:rPr>
          <w:rFonts w:cs="Arial"/>
        </w:rPr>
        <w:t>The variation is made in response to</w:t>
      </w:r>
      <w:r w:rsidRPr="001B2D2E">
        <w:rPr>
          <w:rFonts w:cs="Arial"/>
        </w:rPr>
        <w:t xml:space="preserve"> changes in use patterns of </w:t>
      </w:r>
      <w:r>
        <w:rPr>
          <w:rFonts w:cs="Arial"/>
        </w:rPr>
        <w:t>agvet</w:t>
      </w:r>
      <w:r w:rsidRPr="001B2D2E">
        <w:rPr>
          <w:rFonts w:cs="Arial"/>
        </w:rPr>
        <w:t xml:space="preserve"> chemicals available to chemical product users. These changes include both the development of new products and crop uses, and the withdrawal of older products following review. </w:t>
      </w:r>
      <w:r>
        <w:rPr>
          <w:rFonts w:cs="Arial"/>
        </w:rPr>
        <w:t>The variation will also harmonise</w:t>
      </w:r>
      <w:r w:rsidRPr="001B2D2E">
        <w:rPr>
          <w:rFonts w:cs="Arial"/>
        </w:rPr>
        <w:t xml:space="preserve"> limits with international or trading partner standards. </w:t>
      </w:r>
      <w:r>
        <w:rPr>
          <w:rFonts w:cs="Arial"/>
        </w:rPr>
        <w:t>This is necessary as farmers in different countries</w:t>
      </w:r>
      <w:r w:rsidRPr="001B2D2E">
        <w:rPr>
          <w:rFonts w:cs="Arial"/>
        </w:rPr>
        <w:t xml:space="preserve"> face different pest and disease pressures, </w:t>
      </w:r>
      <w:r>
        <w:rPr>
          <w:rFonts w:cs="Arial"/>
        </w:rPr>
        <w:t>agvet</w:t>
      </w:r>
      <w:r w:rsidRPr="001B2D2E">
        <w:rPr>
          <w:rFonts w:cs="Arial"/>
        </w:rPr>
        <w:t xml:space="preserve"> chemical use patterns and legitimate residues in food associated with these uses may vary accordingly.</w:t>
      </w:r>
    </w:p>
    <w:p w14:paraId="0C3AFEDC" w14:textId="77777777" w:rsidR="00AD1C8B" w:rsidRPr="001B2D2E" w:rsidRDefault="00AD1C8B" w:rsidP="00AD1C8B">
      <w:pPr>
        <w:rPr>
          <w:rFonts w:cs="Arial"/>
        </w:rPr>
      </w:pPr>
    </w:p>
    <w:p w14:paraId="0C3AFEDD" w14:textId="77777777" w:rsidR="00AD1C8B" w:rsidRPr="001B2D2E" w:rsidRDefault="00AD1C8B" w:rsidP="00AD1C8B">
      <w:pPr>
        <w:rPr>
          <w:rFonts w:cs="Arial"/>
        </w:rPr>
      </w:pPr>
      <w:r w:rsidRPr="001B2D2E">
        <w:rPr>
          <w:rFonts w:cs="Arial"/>
        </w:rPr>
        <w:t xml:space="preserve">A </w:t>
      </w:r>
      <w:r>
        <w:rPr>
          <w:rFonts w:cs="Arial"/>
        </w:rPr>
        <w:t>dietary exposure assessment</w:t>
      </w:r>
      <w:r w:rsidRPr="001B2D2E">
        <w:rPr>
          <w:rFonts w:cs="Arial"/>
        </w:rPr>
        <w:t xml:space="preserve"> </w:t>
      </w:r>
      <w:r>
        <w:rPr>
          <w:rFonts w:cs="Arial"/>
        </w:rPr>
        <w:t>was</w:t>
      </w:r>
      <w:r w:rsidRPr="001B2D2E">
        <w:rPr>
          <w:rFonts w:cs="Arial"/>
        </w:rPr>
        <w:t xml:space="preserve"> conducted to ensure that proposed limits do not present any public health or safety concerns.</w:t>
      </w:r>
    </w:p>
    <w:p w14:paraId="0C3AFEDE" w14:textId="77777777" w:rsidR="00AD1C8B" w:rsidRDefault="00AD1C8B" w:rsidP="00AD1C8B">
      <w:pPr>
        <w:rPr>
          <w:lang w:val="en-AU" w:eastAsia="en-GB" w:bidi="ar-SA"/>
        </w:rPr>
      </w:pPr>
    </w:p>
    <w:p w14:paraId="0C3AFEDF" w14:textId="77777777" w:rsidR="00AD1C8B" w:rsidRPr="000576EB" w:rsidRDefault="00AD1C8B" w:rsidP="00AD1C8B">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C3AFEE0" w14:textId="77777777" w:rsidR="00AD1C8B" w:rsidRDefault="00AD1C8B" w:rsidP="00AD1C8B">
      <w:pPr>
        <w:rPr>
          <w:lang w:val="en-AU" w:eastAsia="en-GB" w:bidi="ar-SA"/>
        </w:rPr>
      </w:pPr>
    </w:p>
    <w:p w14:paraId="0C3AFEE1" w14:textId="77777777" w:rsidR="00AD1C8B" w:rsidRPr="00D13E34" w:rsidRDefault="00AD1C8B" w:rsidP="00AD1C8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C3AFEE2" w14:textId="77777777" w:rsidR="00AD1C8B" w:rsidRDefault="00AD1C8B" w:rsidP="00AD1C8B">
      <w:pPr>
        <w:rPr>
          <w:lang w:val="en-AU" w:eastAsia="en-GB" w:bidi="ar-SA"/>
        </w:rPr>
      </w:pPr>
    </w:p>
    <w:p w14:paraId="0C3AFEE3" w14:textId="77777777" w:rsidR="00AD1C8B" w:rsidRPr="000576EB" w:rsidRDefault="00AD1C8B" w:rsidP="00AD1C8B">
      <w:pPr>
        <w:rPr>
          <w:b/>
          <w:lang w:val="en-AU" w:eastAsia="en-GB" w:bidi="ar-SA"/>
        </w:rPr>
      </w:pPr>
      <w:r w:rsidRPr="000576EB">
        <w:rPr>
          <w:b/>
          <w:lang w:val="en-AU" w:eastAsia="en-GB" w:bidi="ar-SA"/>
        </w:rPr>
        <w:t>4.</w:t>
      </w:r>
      <w:r w:rsidRPr="000576EB">
        <w:rPr>
          <w:b/>
          <w:lang w:val="en-AU" w:eastAsia="en-GB" w:bidi="ar-SA"/>
        </w:rPr>
        <w:tab/>
        <w:t>Consultation</w:t>
      </w:r>
    </w:p>
    <w:p w14:paraId="0C3AFEE4" w14:textId="77777777" w:rsidR="00AD1C8B" w:rsidRDefault="00AD1C8B" w:rsidP="00AD1C8B">
      <w:pPr>
        <w:rPr>
          <w:lang w:val="en-AU" w:eastAsia="en-GB" w:bidi="ar-SA"/>
        </w:rPr>
      </w:pPr>
    </w:p>
    <w:p w14:paraId="0C3AFEE5" w14:textId="77777777" w:rsidR="00AD1C8B" w:rsidRPr="0013602C" w:rsidRDefault="00AD1C8B" w:rsidP="00AD1C8B">
      <w:pPr>
        <w:rPr>
          <w:lang w:val="en-AU"/>
        </w:rPr>
      </w:pPr>
      <w:r w:rsidRPr="0013602C">
        <w:rPr>
          <w:szCs w:val="22"/>
        </w:rPr>
        <w:t xml:space="preserve">In accordance with the procedure in Division 2 of Part 3 of the FSANZ Act, </w:t>
      </w:r>
      <w:r w:rsidRPr="0013602C">
        <w:rPr>
          <w:rFonts w:eastAsia="Calibri" w:cs="Arial"/>
          <w:bCs/>
          <w:szCs w:val="22"/>
          <w:lang w:val="en-AU" w:bidi="ar-SA"/>
        </w:rPr>
        <w:t>the Authority</w:t>
      </w:r>
      <w:r w:rsidRPr="0013602C">
        <w:rPr>
          <w:szCs w:val="22"/>
        </w:rPr>
        <w:t>’s consideration of Proposal M1014 included one round of public consultation following an assessment and the preparation of a draft variation and associated report. Submissions were called for on 27 June 2017 for a four-week consultation period</w:t>
      </w:r>
      <w:r>
        <w:rPr>
          <w:szCs w:val="22"/>
        </w:rPr>
        <w:t xml:space="preserve"> in Australia, and eight-week period internationally through the WTO Notification</w:t>
      </w:r>
      <w:r w:rsidRPr="0013602C">
        <w:rPr>
          <w:szCs w:val="22"/>
        </w:rPr>
        <w:t xml:space="preserve">. </w:t>
      </w:r>
    </w:p>
    <w:p w14:paraId="0C3AFEE6" w14:textId="77777777" w:rsidR="00AD1C8B" w:rsidRPr="0013602C" w:rsidRDefault="00AD1C8B" w:rsidP="00AD1C8B">
      <w:pPr>
        <w:widowControl/>
        <w:autoSpaceDE w:val="0"/>
        <w:autoSpaceDN w:val="0"/>
        <w:adjustRightInd w:val="0"/>
      </w:pPr>
    </w:p>
    <w:p w14:paraId="0C3AFEE7" w14:textId="77777777" w:rsidR="00AD1C8B" w:rsidRPr="0013602C" w:rsidRDefault="00AD1C8B" w:rsidP="00AD1C8B">
      <w:pPr>
        <w:widowControl/>
        <w:autoSpaceDE w:val="0"/>
        <w:autoSpaceDN w:val="0"/>
        <w:adjustRightInd w:val="0"/>
        <w:rPr>
          <w:rFonts w:cs="Arial"/>
          <w:szCs w:val="22"/>
        </w:rPr>
      </w:pPr>
      <w:r w:rsidRPr="0013602C">
        <w:rPr>
          <w:rFonts w:eastAsia="Calibri" w:cs="Arial"/>
          <w:bCs/>
          <w:szCs w:val="22"/>
          <w:lang w:val="en-AU" w:bidi="ar-SA"/>
        </w:rPr>
        <w:lastRenderedPageBreak/>
        <w:t xml:space="preserve">A Regulation Impact Statement was not required </w:t>
      </w:r>
      <w:r>
        <w:rPr>
          <w:rFonts w:eastAsia="Calibri" w:cs="Arial"/>
          <w:bCs/>
          <w:szCs w:val="22"/>
          <w:lang w:val="en-AU" w:bidi="ar-SA"/>
        </w:rPr>
        <w:t xml:space="preserve">by the </w:t>
      </w:r>
      <w:r>
        <w:t>Office of Best Practice Regulation (see ID 12065)</w:t>
      </w:r>
      <w:r>
        <w:rPr>
          <w:rFonts w:eastAsia="Calibri" w:cs="Arial"/>
          <w:bCs/>
          <w:szCs w:val="22"/>
          <w:lang w:val="en-AU" w:bidi="ar-SA"/>
        </w:rPr>
        <w:t xml:space="preserve"> </w:t>
      </w:r>
      <w:r w:rsidRPr="0013602C">
        <w:rPr>
          <w:rFonts w:eastAsia="Calibri" w:cs="Arial"/>
          <w:bCs/>
          <w:szCs w:val="22"/>
          <w:lang w:val="en-AU" w:bidi="ar-SA"/>
        </w:rPr>
        <w:t xml:space="preserve">because the proposed variations to the table to section S20—3 in Schedule 20 </w:t>
      </w:r>
      <w:r w:rsidRPr="0013602C">
        <w:t xml:space="preserve">are likely to have a minor impact on business and individuals. </w:t>
      </w:r>
    </w:p>
    <w:p w14:paraId="0C3AFEE8" w14:textId="77777777" w:rsidR="00AD1C8B" w:rsidRDefault="00AD1C8B" w:rsidP="00AD1C8B">
      <w:pPr>
        <w:rPr>
          <w:color w:val="FF0000"/>
          <w:lang w:val="en-AU" w:eastAsia="en-GB" w:bidi="ar-SA"/>
        </w:rPr>
      </w:pPr>
    </w:p>
    <w:p w14:paraId="0C3AFEE9" w14:textId="77777777" w:rsidR="00AD1C8B" w:rsidRDefault="00AD1C8B" w:rsidP="00AD1C8B">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C3AFEEA" w14:textId="77777777" w:rsidR="00AD1C8B" w:rsidRDefault="00AD1C8B" w:rsidP="00AD1C8B">
      <w:pPr>
        <w:rPr>
          <w:rFonts w:eastAsiaTheme="minorHAnsi"/>
          <w:lang w:val="en-AU" w:bidi="ar-SA"/>
        </w:rPr>
      </w:pPr>
    </w:p>
    <w:p w14:paraId="0C3AFEEB" w14:textId="77777777" w:rsidR="00AD1C8B" w:rsidRDefault="00AD1C8B" w:rsidP="00AD1C8B">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C3AFEEC" w14:textId="77777777" w:rsidR="00AD1C8B" w:rsidRDefault="00AD1C8B" w:rsidP="00AD1C8B">
      <w:pPr>
        <w:rPr>
          <w:rFonts w:eastAsiaTheme="minorHAnsi"/>
          <w:lang w:val="en-AU" w:bidi="ar-SA"/>
        </w:rPr>
      </w:pPr>
    </w:p>
    <w:p w14:paraId="0C3AFEED" w14:textId="77777777" w:rsidR="00AD1C8B" w:rsidRPr="00432A42" w:rsidRDefault="00AD1C8B" w:rsidP="00AD1C8B">
      <w:pPr>
        <w:rPr>
          <w:b/>
          <w:lang w:val="en-AU" w:eastAsia="en-GB" w:bidi="ar-SA"/>
        </w:rPr>
      </w:pPr>
      <w:r w:rsidRPr="00432A42">
        <w:rPr>
          <w:b/>
        </w:rPr>
        <w:t>6.</w:t>
      </w:r>
      <w:r w:rsidRPr="00432A42">
        <w:rPr>
          <w:b/>
        </w:rPr>
        <w:tab/>
      </w:r>
      <w:r>
        <w:rPr>
          <w:b/>
          <w:lang w:val="en-AU" w:eastAsia="en-GB" w:bidi="ar-SA"/>
        </w:rPr>
        <w:t>Variation</w:t>
      </w:r>
    </w:p>
    <w:p w14:paraId="0C3AFEEE" w14:textId="77777777" w:rsidR="00AD1C8B" w:rsidRPr="00432A42" w:rsidRDefault="00AD1C8B" w:rsidP="00AD1C8B">
      <w:pPr>
        <w:rPr>
          <w:b/>
        </w:rPr>
      </w:pPr>
    </w:p>
    <w:p w14:paraId="0C3AFEEF" w14:textId="77777777" w:rsidR="00AD1C8B" w:rsidRPr="001B2D2E" w:rsidRDefault="00AD1C8B" w:rsidP="00AD1C8B">
      <w:pPr>
        <w:rPr>
          <w:rFonts w:cs="Arial"/>
          <w:color w:val="000000" w:themeColor="text1"/>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1.1</w:t>
      </w:r>
      <w:r>
        <w:rPr>
          <w:rFonts w:cs="Arial"/>
          <w:color w:val="000000" w:themeColor="text1"/>
        </w:rPr>
        <w:t>]</w:t>
      </w:r>
      <w:r w:rsidRPr="001B2D2E">
        <w:rPr>
          <w:rFonts w:cs="Arial"/>
          <w:color w:val="000000" w:themeColor="text1"/>
        </w:rPr>
        <w:t xml:space="preserve"> omits </w:t>
      </w:r>
      <w:r>
        <w:rPr>
          <w:rFonts w:cs="Arial"/>
          <w:color w:val="000000" w:themeColor="text1"/>
        </w:rPr>
        <w:t xml:space="preserve">the </w:t>
      </w:r>
      <w:r w:rsidRPr="001B2D2E">
        <w:rPr>
          <w:rFonts w:cs="Arial"/>
          <w:color w:val="000000" w:themeColor="text1"/>
        </w:rPr>
        <w:t>chemical</w:t>
      </w:r>
      <w:r>
        <w:rPr>
          <w:rFonts w:cs="Arial"/>
          <w:color w:val="000000" w:themeColor="text1"/>
        </w:rPr>
        <w:t>s ‘</w:t>
      </w:r>
      <w:r w:rsidRPr="008C2917">
        <w:rPr>
          <w:rFonts w:cs="Arial"/>
          <w:color w:val="000000" w:themeColor="text1"/>
        </w:rPr>
        <w:t>Brodifacoum</w:t>
      </w:r>
      <w:r>
        <w:rPr>
          <w:rFonts w:cs="Arial"/>
          <w:color w:val="000000" w:themeColor="text1"/>
        </w:rPr>
        <w:t>’</w:t>
      </w:r>
      <w:r w:rsidRPr="008C2917">
        <w:rPr>
          <w:rFonts w:cs="Arial"/>
          <w:color w:val="000000" w:themeColor="text1"/>
        </w:rPr>
        <w:t xml:space="preserve">, </w:t>
      </w:r>
      <w:r>
        <w:rPr>
          <w:rFonts w:cs="Arial"/>
          <w:color w:val="000000" w:themeColor="text1"/>
        </w:rPr>
        <w:t>‘</w:t>
      </w:r>
      <w:r w:rsidRPr="008C2917">
        <w:rPr>
          <w:rFonts w:cs="Arial"/>
          <w:color w:val="000000" w:themeColor="text1"/>
        </w:rPr>
        <w:t>Dicloran</w:t>
      </w:r>
      <w:r>
        <w:rPr>
          <w:rFonts w:cs="Arial"/>
          <w:color w:val="000000" w:themeColor="text1"/>
        </w:rPr>
        <w:t>’</w:t>
      </w:r>
      <w:r w:rsidRPr="008C2917">
        <w:rPr>
          <w:rFonts w:cs="Arial"/>
          <w:color w:val="000000" w:themeColor="text1"/>
        </w:rPr>
        <w:t xml:space="preserve">, </w:t>
      </w:r>
      <w:r>
        <w:rPr>
          <w:rFonts w:cs="Arial"/>
          <w:color w:val="000000" w:themeColor="text1"/>
        </w:rPr>
        <w:t>‘</w:t>
      </w:r>
      <w:r w:rsidRPr="008C2917">
        <w:rPr>
          <w:rFonts w:cs="Arial"/>
          <w:color w:val="000000" w:themeColor="text1"/>
        </w:rPr>
        <w:t>Disulfoton</w:t>
      </w:r>
      <w:r>
        <w:rPr>
          <w:rFonts w:cs="Arial"/>
          <w:color w:val="000000" w:themeColor="text1"/>
        </w:rPr>
        <w:t>’</w:t>
      </w:r>
      <w:r w:rsidRPr="008C2917">
        <w:rPr>
          <w:rFonts w:cs="Arial"/>
          <w:color w:val="000000" w:themeColor="text1"/>
        </w:rPr>
        <w:t xml:space="preserve">, </w:t>
      </w:r>
      <w:r>
        <w:rPr>
          <w:rFonts w:cs="Arial"/>
          <w:color w:val="000000" w:themeColor="text1"/>
        </w:rPr>
        <w:t>‘</w:t>
      </w:r>
      <w:r w:rsidRPr="008C2917">
        <w:rPr>
          <w:rFonts w:cs="Arial"/>
          <w:color w:val="000000" w:themeColor="text1"/>
        </w:rPr>
        <w:t>Fenthion</w:t>
      </w:r>
      <w:r>
        <w:rPr>
          <w:rFonts w:cs="Arial"/>
          <w:color w:val="000000" w:themeColor="text1"/>
        </w:rPr>
        <w:t>’</w:t>
      </w:r>
      <w:r w:rsidRPr="008C2917">
        <w:rPr>
          <w:rFonts w:cs="Arial"/>
          <w:color w:val="000000" w:themeColor="text1"/>
        </w:rPr>
        <w:t xml:space="preserve"> and </w:t>
      </w:r>
      <w:r>
        <w:rPr>
          <w:rFonts w:cs="Arial"/>
          <w:color w:val="000000" w:themeColor="text1"/>
        </w:rPr>
        <w:t>‘</w:t>
      </w:r>
      <w:r w:rsidRPr="008C2917">
        <w:rPr>
          <w:rFonts w:cs="Arial"/>
          <w:color w:val="000000" w:themeColor="text1"/>
        </w:rPr>
        <w:t>Phenothrin</w:t>
      </w:r>
      <w:r>
        <w:rPr>
          <w:rFonts w:cs="Arial"/>
          <w:color w:val="000000" w:themeColor="text1"/>
        </w:rPr>
        <w:t>’ from the lists of permitted residues, and the commodities associated with each chemical</w:t>
      </w:r>
      <w:r w:rsidRPr="008C2917">
        <w:rPr>
          <w:rFonts w:cs="Arial"/>
          <w:color w:val="000000" w:themeColor="text1"/>
        </w:rPr>
        <w:t xml:space="preserve">. These chemicals are deleted as </w:t>
      </w:r>
      <w:r>
        <w:rPr>
          <w:rFonts w:cs="Arial"/>
          <w:color w:val="000000" w:themeColor="text1"/>
        </w:rPr>
        <w:t>the result</w:t>
      </w:r>
      <w:r w:rsidRPr="008C2917">
        <w:rPr>
          <w:rFonts w:cs="Arial"/>
          <w:color w:val="000000" w:themeColor="text1"/>
        </w:rPr>
        <w:t xml:space="preserve"> </w:t>
      </w:r>
      <w:r>
        <w:rPr>
          <w:rFonts w:cs="Arial"/>
          <w:color w:val="000000" w:themeColor="text1"/>
        </w:rPr>
        <w:t>of</w:t>
      </w:r>
      <w:r w:rsidRPr="008C2917">
        <w:rPr>
          <w:rFonts w:cs="Arial"/>
          <w:color w:val="000000" w:themeColor="text1"/>
        </w:rPr>
        <w:t xml:space="preserve"> chemical review</w:t>
      </w:r>
      <w:r>
        <w:rPr>
          <w:rFonts w:cs="Arial"/>
          <w:color w:val="000000" w:themeColor="text1"/>
        </w:rPr>
        <w:t>s undertaken</w:t>
      </w:r>
      <w:r w:rsidRPr="008C2917">
        <w:rPr>
          <w:rFonts w:cs="Arial"/>
          <w:color w:val="000000" w:themeColor="text1"/>
        </w:rPr>
        <w:t xml:space="preserve"> by APVMA.</w:t>
      </w:r>
      <w:r w:rsidRPr="001B2D2E">
        <w:rPr>
          <w:rFonts w:cs="Arial"/>
          <w:color w:val="000000" w:themeColor="text1"/>
        </w:rPr>
        <w:t xml:space="preserve"> </w:t>
      </w:r>
    </w:p>
    <w:p w14:paraId="0C3AFEF0" w14:textId="77777777" w:rsidR="00AD1C8B" w:rsidRPr="001B2D2E" w:rsidRDefault="00AD1C8B" w:rsidP="00AD1C8B">
      <w:pPr>
        <w:rPr>
          <w:rFonts w:cs="Arial"/>
          <w:color w:val="000000" w:themeColor="text1"/>
        </w:rPr>
      </w:pPr>
    </w:p>
    <w:p w14:paraId="0C3AFEF1" w14:textId="77777777" w:rsidR="00AD1C8B" w:rsidRPr="001B2D2E" w:rsidRDefault="00AD1C8B" w:rsidP="00AD1C8B">
      <w:pPr>
        <w:rPr>
          <w:rFonts w:cs="Arial"/>
          <w:color w:val="000000" w:themeColor="text1"/>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1.2</w:t>
      </w:r>
      <w:r>
        <w:rPr>
          <w:rFonts w:cs="Arial"/>
          <w:color w:val="000000" w:themeColor="text1"/>
        </w:rPr>
        <w:t>]</w:t>
      </w:r>
      <w:r w:rsidRPr="001B2D2E">
        <w:rPr>
          <w:rFonts w:cs="Arial"/>
          <w:color w:val="000000" w:themeColor="text1"/>
        </w:rPr>
        <w:t xml:space="preserve"> </w:t>
      </w:r>
      <w:r w:rsidRPr="008C2917">
        <w:rPr>
          <w:rFonts w:cs="Arial"/>
          <w:color w:val="000000" w:themeColor="text1"/>
        </w:rPr>
        <w:t>amends</w:t>
      </w:r>
      <w:r>
        <w:rPr>
          <w:rFonts w:cs="Arial"/>
          <w:color w:val="000000" w:themeColor="text1"/>
        </w:rPr>
        <w:t xml:space="preserve"> the name and definitions for ‘</w:t>
      </w:r>
      <w:r>
        <w:rPr>
          <w:rFonts w:cs="Arial"/>
        </w:rPr>
        <w:t xml:space="preserve">Thifensulfuron’ (inclusion of a </w:t>
      </w:r>
      <w:r w:rsidRPr="008C2917">
        <w:rPr>
          <w:rFonts w:cs="Arial"/>
        </w:rPr>
        <w:t>more precise chemical name)</w:t>
      </w:r>
      <w:r>
        <w:rPr>
          <w:rFonts w:cs="Arial"/>
        </w:rPr>
        <w:t>.</w:t>
      </w:r>
    </w:p>
    <w:p w14:paraId="0C3AFEF2" w14:textId="77777777" w:rsidR="00AD1C8B" w:rsidRDefault="00AD1C8B" w:rsidP="00AD1C8B">
      <w:pPr>
        <w:rPr>
          <w:rFonts w:cs="Arial"/>
          <w:color w:val="000000" w:themeColor="text1"/>
        </w:rPr>
      </w:pPr>
    </w:p>
    <w:p w14:paraId="0C3AFEF3" w14:textId="77777777" w:rsidR="00AD1C8B" w:rsidRDefault="00AD1C8B" w:rsidP="00AD1C8B">
      <w:pPr>
        <w:rPr>
          <w:rFonts w:cs="Arial"/>
        </w:rPr>
      </w:pPr>
      <w:r w:rsidRPr="001B2D2E">
        <w:rPr>
          <w:rFonts w:cs="Arial"/>
          <w:color w:val="000000" w:themeColor="text1"/>
        </w:rPr>
        <w:t xml:space="preserve">Item </w:t>
      </w:r>
      <w:r>
        <w:rPr>
          <w:rFonts w:cs="Arial"/>
          <w:color w:val="000000" w:themeColor="text1"/>
        </w:rPr>
        <w:t>[1.3]</w:t>
      </w:r>
      <w:r w:rsidRPr="001B2D2E">
        <w:rPr>
          <w:rFonts w:cs="Arial"/>
          <w:color w:val="000000" w:themeColor="text1"/>
        </w:rPr>
        <w:t xml:space="preserve"> </w:t>
      </w:r>
      <w:r w:rsidRPr="008C2917">
        <w:rPr>
          <w:rFonts w:cs="Arial"/>
          <w:color w:val="000000" w:themeColor="text1"/>
        </w:rPr>
        <w:t>amends</w:t>
      </w:r>
      <w:r>
        <w:rPr>
          <w:rFonts w:cs="Arial"/>
          <w:color w:val="000000" w:themeColor="text1"/>
        </w:rPr>
        <w:t xml:space="preserve"> the name and definitions for ‘</w:t>
      </w:r>
      <w:r>
        <w:rPr>
          <w:rFonts w:cs="Arial"/>
        </w:rPr>
        <w:t xml:space="preserve">Rimosulfuron’ </w:t>
      </w:r>
      <w:r w:rsidRPr="008C2917">
        <w:rPr>
          <w:rFonts w:cs="Arial"/>
        </w:rPr>
        <w:t>(correction of typo</w:t>
      </w:r>
      <w:r>
        <w:rPr>
          <w:rFonts w:cs="Arial"/>
        </w:rPr>
        <w:t xml:space="preserve">graphical </w:t>
      </w:r>
      <w:r w:rsidRPr="008C2917">
        <w:rPr>
          <w:rFonts w:cs="Arial"/>
        </w:rPr>
        <w:t>error</w:t>
      </w:r>
      <w:r>
        <w:rPr>
          <w:rFonts w:cs="Arial"/>
        </w:rPr>
        <w:t xml:space="preserve">) and </w:t>
      </w:r>
      <w:r>
        <w:rPr>
          <w:rFonts w:cs="Arial"/>
          <w:color w:val="000000" w:themeColor="text1"/>
        </w:rPr>
        <w:t>adds</w:t>
      </w:r>
      <w:r w:rsidRPr="001B2D2E">
        <w:rPr>
          <w:rFonts w:cs="Arial"/>
          <w:color w:val="000000" w:themeColor="text1"/>
        </w:rPr>
        <w:t xml:space="preserve"> </w:t>
      </w:r>
      <w:r>
        <w:rPr>
          <w:rFonts w:cs="Arial"/>
          <w:color w:val="000000" w:themeColor="text1"/>
        </w:rPr>
        <w:t>new foods (</w:t>
      </w:r>
      <w:r>
        <w:rPr>
          <w:rFonts w:cs="Arial"/>
        </w:rPr>
        <w:t>almonds and cherries</w:t>
      </w:r>
      <w:r>
        <w:rPr>
          <w:rFonts w:cs="Arial"/>
          <w:color w:val="000000" w:themeColor="text1"/>
        </w:rPr>
        <w:t xml:space="preserve">) and associated </w:t>
      </w:r>
      <w:r w:rsidRPr="001B2D2E">
        <w:rPr>
          <w:rFonts w:cs="Arial"/>
          <w:color w:val="000000" w:themeColor="text1"/>
        </w:rPr>
        <w:t>MRLs</w:t>
      </w:r>
      <w:r>
        <w:rPr>
          <w:rFonts w:cs="Arial"/>
          <w:color w:val="000000" w:themeColor="text1"/>
        </w:rPr>
        <w:t xml:space="preserve"> for </w:t>
      </w:r>
      <w:r>
        <w:rPr>
          <w:rFonts w:cs="Arial"/>
        </w:rPr>
        <w:t xml:space="preserve">that chemical. </w:t>
      </w:r>
    </w:p>
    <w:p w14:paraId="0C3AFEF4" w14:textId="77777777" w:rsidR="00AD1C8B" w:rsidRPr="001B2D2E" w:rsidRDefault="00AD1C8B" w:rsidP="00AD1C8B">
      <w:pPr>
        <w:rPr>
          <w:rFonts w:cs="Arial"/>
          <w:color w:val="000000" w:themeColor="text1"/>
        </w:rPr>
      </w:pPr>
    </w:p>
    <w:p w14:paraId="0C3AFEF5" w14:textId="77777777" w:rsidR="00AD1C8B" w:rsidRDefault="00AD1C8B" w:rsidP="00AD1C8B">
      <w:pPr>
        <w:rPr>
          <w:rFonts w:cs="Arial"/>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Pr>
          <w:rFonts w:cs="Arial"/>
          <w:color w:val="000000" w:themeColor="text1"/>
        </w:rPr>
        <w:t>4]</w:t>
      </w:r>
      <w:r w:rsidRPr="001B2D2E">
        <w:rPr>
          <w:rFonts w:cs="Arial"/>
          <w:color w:val="000000" w:themeColor="text1"/>
        </w:rPr>
        <w:t xml:space="preserve"> </w:t>
      </w:r>
      <w:r w:rsidRPr="001B2D2E">
        <w:rPr>
          <w:rFonts w:cs="Arial"/>
        </w:rPr>
        <w:t xml:space="preserve">inserts new entries for </w:t>
      </w:r>
      <w:r>
        <w:rPr>
          <w:rFonts w:cs="Arial"/>
        </w:rPr>
        <w:t xml:space="preserve">the following </w:t>
      </w:r>
      <w:r w:rsidRPr="001B2D2E">
        <w:rPr>
          <w:rFonts w:cs="Arial"/>
        </w:rPr>
        <w:t xml:space="preserve">chemicals </w:t>
      </w:r>
      <w:r>
        <w:rPr>
          <w:rFonts w:cs="Arial"/>
        </w:rPr>
        <w:t xml:space="preserve">that are not currently </w:t>
      </w:r>
      <w:r w:rsidRPr="001B2D2E">
        <w:rPr>
          <w:rFonts w:cs="Arial"/>
        </w:rPr>
        <w:t>listed</w:t>
      </w:r>
      <w:r>
        <w:rPr>
          <w:rFonts w:cs="Arial"/>
        </w:rPr>
        <w:t xml:space="preserve"> as permitted (including the foods and associated MRLs for each chemical):</w:t>
      </w:r>
    </w:p>
    <w:p w14:paraId="0C3AFEF6" w14:textId="77777777" w:rsidR="00AD1C8B" w:rsidRDefault="00AD1C8B" w:rsidP="00AD1C8B">
      <w:pPr>
        <w:pStyle w:val="ListParagraph"/>
        <w:numPr>
          <w:ilvl w:val="0"/>
          <w:numId w:val="14"/>
        </w:numPr>
      </w:pPr>
      <w:r w:rsidRPr="0003183B">
        <w:t>Aminocyclopyrachlor</w:t>
      </w:r>
      <w:r>
        <w:t>;</w:t>
      </w:r>
    </w:p>
    <w:p w14:paraId="0C3AFEF7" w14:textId="77777777" w:rsidR="00AD1C8B" w:rsidRDefault="00AD1C8B" w:rsidP="00AD1C8B">
      <w:pPr>
        <w:pStyle w:val="ListParagraph"/>
        <w:numPr>
          <w:ilvl w:val="0"/>
          <w:numId w:val="14"/>
        </w:numPr>
      </w:pPr>
      <w:r w:rsidRPr="0003183B">
        <w:t>Benzovindiflupyr</w:t>
      </w:r>
      <w:r>
        <w:t>;</w:t>
      </w:r>
    </w:p>
    <w:p w14:paraId="0C3AFEF8" w14:textId="77777777" w:rsidR="00AD1C8B" w:rsidRDefault="00AD1C8B" w:rsidP="00AD1C8B">
      <w:pPr>
        <w:pStyle w:val="ListParagraph"/>
        <w:numPr>
          <w:ilvl w:val="0"/>
          <w:numId w:val="14"/>
        </w:numPr>
      </w:pPr>
      <w:r w:rsidRPr="00985EB5">
        <w:t>Cyflumetofen</w:t>
      </w:r>
      <w:r>
        <w:t>;</w:t>
      </w:r>
    </w:p>
    <w:p w14:paraId="0C3AFEF9" w14:textId="77777777" w:rsidR="00AD1C8B" w:rsidRPr="007D2CFF" w:rsidRDefault="00AD1C8B" w:rsidP="00AD1C8B">
      <w:pPr>
        <w:pStyle w:val="ListParagraph"/>
        <w:numPr>
          <w:ilvl w:val="0"/>
          <w:numId w:val="14"/>
        </w:numPr>
        <w:rPr>
          <w:color w:val="000000" w:themeColor="text1"/>
        </w:rPr>
      </w:pPr>
      <w:r w:rsidRPr="007D2CFF">
        <w:rPr>
          <w:color w:val="000000" w:themeColor="text1"/>
        </w:rPr>
        <w:t>Etofenprox; and</w:t>
      </w:r>
    </w:p>
    <w:p w14:paraId="0C3AFEFA" w14:textId="77777777" w:rsidR="00AD1C8B" w:rsidRPr="00D3499F" w:rsidRDefault="00AD1C8B" w:rsidP="00AD1C8B">
      <w:pPr>
        <w:pStyle w:val="ListParagraph"/>
        <w:numPr>
          <w:ilvl w:val="0"/>
          <w:numId w:val="14"/>
        </w:numPr>
        <w:rPr>
          <w:rFonts w:cs="Arial"/>
        </w:rPr>
      </w:pPr>
      <w:r w:rsidRPr="007D2CFF">
        <w:rPr>
          <w:color w:val="000000" w:themeColor="text1"/>
        </w:rPr>
        <w:t>Fenpropimorph.</w:t>
      </w:r>
    </w:p>
    <w:p w14:paraId="0C3AFEFB" w14:textId="77777777" w:rsidR="00AD1C8B" w:rsidRPr="001B2D2E" w:rsidRDefault="00AD1C8B" w:rsidP="00AD1C8B">
      <w:pPr>
        <w:rPr>
          <w:rFonts w:cs="Arial"/>
        </w:rPr>
      </w:pPr>
    </w:p>
    <w:p w14:paraId="0C3AFEFC" w14:textId="77777777" w:rsidR="00AD1C8B" w:rsidRPr="001B2D2E" w:rsidRDefault="00AD1C8B" w:rsidP="00AD1C8B">
      <w:pPr>
        <w:rPr>
          <w:rFonts w:cs="Arial"/>
          <w:lang w:eastAsia="en-GB" w:bidi="ar-SA"/>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Pr>
          <w:rFonts w:cs="Arial"/>
          <w:color w:val="000000" w:themeColor="text1"/>
        </w:rPr>
        <w:t>5]</w:t>
      </w:r>
      <w:r w:rsidRPr="001B2D2E">
        <w:rPr>
          <w:rFonts w:cs="Arial"/>
          <w:color w:val="000000" w:themeColor="text1"/>
        </w:rPr>
        <w:t xml:space="preserve"> </w:t>
      </w:r>
      <w:r w:rsidRPr="001B2D2E">
        <w:rPr>
          <w:rFonts w:cs="Arial"/>
          <w:lang w:eastAsia="en-GB" w:bidi="ar-SA"/>
        </w:rPr>
        <w:t xml:space="preserve">omits </w:t>
      </w:r>
      <w:r>
        <w:rPr>
          <w:rFonts w:cs="Arial"/>
          <w:lang w:eastAsia="en-GB" w:bidi="ar-SA"/>
        </w:rPr>
        <w:t>specified</w:t>
      </w:r>
      <w:r w:rsidRPr="001B2D2E">
        <w:rPr>
          <w:rFonts w:cs="Arial"/>
          <w:lang w:eastAsia="en-GB" w:bidi="ar-SA"/>
        </w:rPr>
        <w:t xml:space="preserve"> foods and associated MRLs for </w:t>
      </w:r>
      <w:r>
        <w:rPr>
          <w:rFonts w:cs="Arial"/>
          <w:lang w:eastAsia="en-GB" w:bidi="ar-SA"/>
        </w:rPr>
        <w:t>various</w:t>
      </w:r>
      <w:r w:rsidRPr="001B2D2E">
        <w:rPr>
          <w:rFonts w:cs="Arial"/>
          <w:lang w:eastAsia="en-GB" w:bidi="ar-SA"/>
        </w:rPr>
        <w:t xml:space="preserve"> </w:t>
      </w:r>
      <w:r>
        <w:rPr>
          <w:rFonts w:cs="Arial"/>
          <w:lang w:eastAsia="en-GB" w:bidi="ar-SA"/>
        </w:rPr>
        <w:t xml:space="preserve">listed </w:t>
      </w:r>
      <w:r w:rsidRPr="001B2D2E">
        <w:rPr>
          <w:rFonts w:cs="Arial"/>
          <w:lang w:eastAsia="en-GB" w:bidi="ar-SA"/>
        </w:rPr>
        <w:t xml:space="preserve">chemicals. </w:t>
      </w:r>
    </w:p>
    <w:p w14:paraId="0C3AFEFD" w14:textId="77777777" w:rsidR="00AD1C8B" w:rsidRPr="001B2D2E" w:rsidRDefault="00AD1C8B" w:rsidP="00AD1C8B">
      <w:pPr>
        <w:rPr>
          <w:rFonts w:cs="Arial"/>
        </w:rPr>
      </w:pPr>
    </w:p>
    <w:p w14:paraId="0C3AFEFE" w14:textId="77777777" w:rsidR="00AD1C8B" w:rsidRPr="001B2D2E" w:rsidRDefault="00AD1C8B" w:rsidP="00AD1C8B">
      <w:pPr>
        <w:rPr>
          <w:rFonts w:cs="Arial"/>
          <w:color w:val="000000" w:themeColor="text1"/>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Pr>
          <w:rFonts w:cs="Arial"/>
          <w:color w:val="000000" w:themeColor="text1"/>
        </w:rPr>
        <w:t>6]</w:t>
      </w:r>
      <w:r w:rsidRPr="001B2D2E">
        <w:rPr>
          <w:rFonts w:cs="Arial"/>
          <w:color w:val="000000" w:themeColor="text1"/>
        </w:rPr>
        <w:t xml:space="preserve"> inserts </w:t>
      </w:r>
      <w:r>
        <w:rPr>
          <w:rFonts w:cs="Arial"/>
          <w:color w:val="000000" w:themeColor="text1"/>
        </w:rPr>
        <w:t>specified</w:t>
      </w:r>
      <w:r w:rsidRPr="001B2D2E">
        <w:rPr>
          <w:rFonts w:cs="Arial"/>
          <w:color w:val="000000" w:themeColor="text1"/>
        </w:rPr>
        <w:t xml:space="preserve"> foods and associated MRLs for </w:t>
      </w:r>
      <w:r>
        <w:rPr>
          <w:rFonts w:cs="Arial"/>
          <w:color w:val="000000" w:themeColor="text1"/>
        </w:rPr>
        <w:t>various listed</w:t>
      </w:r>
      <w:r w:rsidRPr="001B2D2E">
        <w:rPr>
          <w:rFonts w:cs="Arial"/>
          <w:color w:val="000000" w:themeColor="text1"/>
        </w:rPr>
        <w:t xml:space="preserve"> chemicals. </w:t>
      </w:r>
    </w:p>
    <w:p w14:paraId="0C3AFEFF" w14:textId="77777777" w:rsidR="00AD1C8B" w:rsidRPr="001B2D2E" w:rsidRDefault="00AD1C8B" w:rsidP="00AD1C8B">
      <w:pPr>
        <w:rPr>
          <w:rFonts w:cs="Arial"/>
          <w:lang w:eastAsia="en-GB" w:bidi="ar-SA"/>
        </w:rPr>
      </w:pPr>
    </w:p>
    <w:p w14:paraId="0C3AFF00" w14:textId="77777777" w:rsidR="00AD1C8B" w:rsidRDefault="00AD1C8B" w:rsidP="00AD1C8B">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Pr>
          <w:rFonts w:cs="Arial"/>
          <w:color w:val="000000" w:themeColor="text1"/>
        </w:rPr>
        <w:t>7]</w:t>
      </w:r>
      <w:r w:rsidRPr="001B2D2E">
        <w:rPr>
          <w:rFonts w:cs="Arial"/>
          <w:color w:val="000000" w:themeColor="text1"/>
        </w:rPr>
        <w:t xml:space="preserve"> </w:t>
      </w:r>
      <w:r>
        <w:rPr>
          <w:rFonts w:cs="Arial"/>
          <w:lang w:eastAsia="en-GB" w:bidi="ar-SA"/>
        </w:rPr>
        <w:t>replaces</w:t>
      </w:r>
      <w:r w:rsidRPr="001B2D2E">
        <w:rPr>
          <w:rFonts w:cs="Arial"/>
          <w:lang w:eastAsia="en-GB" w:bidi="ar-SA"/>
        </w:rPr>
        <w:t xml:space="preserve"> the MRL</w:t>
      </w:r>
      <w:r>
        <w:rPr>
          <w:rFonts w:cs="Arial"/>
          <w:lang w:eastAsia="en-GB" w:bidi="ar-SA"/>
        </w:rPr>
        <w:t>s</w:t>
      </w:r>
      <w:r w:rsidRPr="001B2D2E">
        <w:rPr>
          <w:rFonts w:cs="Arial"/>
          <w:lang w:eastAsia="en-GB" w:bidi="ar-SA"/>
        </w:rPr>
        <w:t xml:space="preserve"> </w:t>
      </w:r>
      <w:r>
        <w:rPr>
          <w:rFonts w:cs="Arial"/>
          <w:lang w:eastAsia="en-GB" w:bidi="ar-SA"/>
        </w:rPr>
        <w:t>of specified</w:t>
      </w:r>
      <w:r w:rsidRPr="001B2D2E">
        <w:rPr>
          <w:rFonts w:cs="Arial"/>
          <w:lang w:eastAsia="en-GB" w:bidi="ar-SA"/>
        </w:rPr>
        <w:t xml:space="preserve"> foods </w:t>
      </w:r>
      <w:r w:rsidRPr="001B2D2E">
        <w:rPr>
          <w:rFonts w:cs="Arial"/>
          <w:color w:val="000000" w:themeColor="text1"/>
        </w:rPr>
        <w:t xml:space="preserve">for </w:t>
      </w:r>
      <w:r>
        <w:rPr>
          <w:rFonts w:cs="Arial"/>
          <w:color w:val="000000" w:themeColor="text1"/>
        </w:rPr>
        <w:t>various listed</w:t>
      </w:r>
      <w:r w:rsidRPr="001B2D2E">
        <w:rPr>
          <w:rFonts w:cs="Arial"/>
          <w:color w:val="000000" w:themeColor="text1"/>
        </w:rPr>
        <w:t xml:space="preserve"> chemicals</w:t>
      </w:r>
      <w:r w:rsidRPr="001B2D2E">
        <w:rPr>
          <w:rFonts w:cs="Arial"/>
          <w:lang w:eastAsia="en-GB" w:bidi="ar-SA"/>
        </w:rPr>
        <w:t>.</w:t>
      </w:r>
      <w:r>
        <w:t xml:space="preserve"> </w:t>
      </w:r>
    </w:p>
    <w:p w14:paraId="0C3AFF01" w14:textId="77777777" w:rsidR="00AD1C8B" w:rsidRPr="00DE5528" w:rsidRDefault="00AD1C8B" w:rsidP="00AD1C8B"/>
    <w:p w14:paraId="0C3AFF02" w14:textId="77777777" w:rsidR="00AD1C8B" w:rsidRDefault="00AD1C8B" w:rsidP="00AD1C8B">
      <w:pPr>
        <w:widowControl/>
        <w:rPr>
          <w:rFonts w:cs="Arial"/>
        </w:rPr>
      </w:pPr>
    </w:p>
    <w:p w14:paraId="0C3AFF03" w14:textId="77777777" w:rsidR="00D5526B" w:rsidRPr="003A01FB" w:rsidRDefault="00D5526B" w:rsidP="003A01FB"/>
    <w:sectPr w:rsidR="00D5526B" w:rsidRPr="003A01FB" w:rsidSect="00AE0D48">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31D1F" w14:textId="77777777" w:rsidR="00617D29" w:rsidRDefault="00617D29" w:rsidP="00617D29">
      <w:r>
        <w:separator/>
      </w:r>
    </w:p>
  </w:endnote>
  <w:endnote w:type="continuationSeparator" w:id="0">
    <w:p w14:paraId="3565AD0D" w14:textId="77777777" w:rsidR="00617D29" w:rsidRDefault="00617D29" w:rsidP="0061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364BA" w14:textId="77777777" w:rsidR="00617D29" w:rsidRDefault="00617D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911863"/>
      <w:docPartObj>
        <w:docPartGallery w:val="Page Numbers (Bottom of Page)"/>
        <w:docPartUnique/>
      </w:docPartObj>
    </w:sdtPr>
    <w:sdtEndPr>
      <w:rPr>
        <w:noProof/>
        <w:sz w:val="18"/>
        <w:szCs w:val="18"/>
      </w:rPr>
    </w:sdtEndPr>
    <w:sdtContent>
      <w:p w14:paraId="38368CFA" w14:textId="5157973D" w:rsidR="00617D29" w:rsidRPr="00617D29" w:rsidRDefault="00617D29">
        <w:pPr>
          <w:pStyle w:val="Footer"/>
          <w:jc w:val="right"/>
          <w:rPr>
            <w:sz w:val="18"/>
            <w:szCs w:val="18"/>
          </w:rPr>
        </w:pPr>
        <w:r w:rsidRPr="00617D29">
          <w:rPr>
            <w:sz w:val="18"/>
            <w:szCs w:val="18"/>
          </w:rPr>
          <w:fldChar w:fldCharType="begin"/>
        </w:r>
        <w:r w:rsidRPr="00617D29">
          <w:rPr>
            <w:sz w:val="18"/>
            <w:szCs w:val="18"/>
          </w:rPr>
          <w:instrText xml:space="preserve"> PAGE   \* MERGEFORMAT </w:instrText>
        </w:r>
        <w:r w:rsidRPr="00617D29">
          <w:rPr>
            <w:sz w:val="18"/>
            <w:szCs w:val="18"/>
          </w:rPr>
          <w:fldChar w:fldCharType="separate"/>
        </w:r>
        <w:r w:rsidR="008F7002">
          <w:rPr>
            <w:noProof/>
            <w:sz w:val="18"/>
            <w:szCs w:val="18"/>
          </w:rPr>
          <w:t>1</w:t>
        </w:r>
        <w:r w:rsidRPr="00617D29">
          <w:rPr>
            <w:noProof/>
            <w:sz w:val="18"/>
            <w:szCs w:val="18"/>
          </w:rPr>
          <w:fldChar w:fldCharType="end"/>
        </w:r>
      </w:p>
    </w:sdtContent>
  </w:sdt>
  <w:p w14:paraId="138199A5" w14:textId="77777777" w:rsidR="00617D29" w:rsidRDefault="00617D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5D342" w14:textId="77777777" w:rsidR="00617D29" w:rsidRDefault="00617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7F19D" w14:textId="77777777" w:rsidR="00617D29" w:rsidRDefault="00617D29" w:rsidP="00617D29">
      <w:r>
        <w:separator/>
      </w:r>
    </w:p>
  </w:footnote>
  <w:footnote w:type="continuationSeparator" w:id="0">
    <w:p w14:paraId="75175BF5" w14:textId="77777777" w:rsidR="00617D29" w:rsidRDefault="00617D29" w:rsidP="00617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8F479" w14:textId="77777777" w:rsidR="00617D29" w:rsidRDefault="00617D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D892E" w14:textId="77777777" w:rsidR="00617D29" w:rsidRDefault="00617D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77277" w14:textId="77777777" w:rsidR="00617D29" w:rsidRDefault="00617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E2D4A"/>
    <w:multiLevelType w:val="hybridMultilevel"/>
    <w:tmpl w:val="4BD0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4"/>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C8B"/>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17D29"/>
    <w:rsid w:val="006B6900"/>
    <w:rsid w:val="006D473E"/>
    <w:rsid w:val="007201F8"/>
    <w:rsid w:val="00793DE6"/>
    <w:rsid w:val="007F6456"/>
    <w:rsid w:val="00830393"/>
    <w:rsid w:val="00833D5A"/>
    <w:rsid w:val="00860EE7"/>
    <w:rsid w:val="00877A81"/>
    <w:rsid w:val="008931F6"/>
    <w:rsid w:val="008E2339"/>
    <w:rsid w:val="008F7002"/>
    <w:rsid w:val="00935023"/>
    <w:rsid w:val="009806A5"/>
    <w:rsid w:val="009E265A"/>
    <w:rsid w:val="00A25B29"/>
    <w:rsid w:val="00A26F82"/>
    <w:rsid w:val="00A808E9"/>
    <w:rsid w:val="00AD1C8B"/>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2"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D1C8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2"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D1C8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_dlc_DocId xmlns="ff5de93e-c5e8-4efc-a1bd-21450292fcfe">X3VAMR3A5FUY-552-6586</_dlc_DocId>
    <_dlc_DocIdUrl xmlns="ff5de93e-c5e8-4efc-a1bd-21450292fcfe">
      <Url>http://teams/Sections/RAP/_layouts/15/DocIdRedir.aspx?ID=X3VAMR3A5FUY-552-6586</Url>
      <Description>X3VAMR3A5FUY-552-6586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BF163-AC14-44DC-BF92-79206AA342CF}">
  <ds:schemaRefs>
    <ds:schemaRef ds:uri="http://schemas.microsoft.com/sharepoint/events"/>
  </ds:schemaRefs>
</ds:datastoreItem>
</file>

<file path=customXml/itemProps2.xml><?xml version="1.0" encoding="utf-8"?>
<ds:datastoreItem xmlns:ds="http://schemas.openxmlformats.org/officeDocument/2006/customXml" ds:itemID="{2A940038-3673-4E49-8139-EFC8E5743A17}">
  <ds:schemaRefs>
    <ds:schemaRef ds:uri="http://schemas.microsoft.com/sharepoint/v3/contenttype/forms"/>
  </ds:schemaRefs>
</ds:datastoreItem>
</file>

<file path=customXml/itemProps3.xml><?xml version="1.0" encoding="utf-8"?>
<ds:datastoreItem xmlns:ds="http://schemas.openxmlformats.org/officeDocument/2006/customXml" ds:itemID="{6B523CC4-1F5C-4000-BE50-DBA95A6E14E6}">
  <ds:schemaRefs>
    <ds:schemaRef ds:uri="http://schemas.microsoft.com/office/2006/documentManagement/types"/>
    <ds:schemaRef ds:uri="ff5de93e-c5e8-4efc-a1bd-21450292fcfe"/>
    <ds:schemaRef ds:uri="http://www.w3.org/XML/1998/namespace"/>
    <ds:schemaRef ds:uri="http://schemas.openxmlformats.org/package/2006/metadata/core-properties"/>
    <ds:schemaRef ds:uri="http://purl.org/dc/terms/"/>
    <ds:schemaRef ds:uri="http://purl.org/dc/dcmitype/"/>
    <ds:schemaRef ds:uri="http://purl.org/dc/elements/1.1/"/>
    <ds:schemaRef ds:uri="ec50576e-4a27-4780-a1e1-e59563bc70b8"/>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5680C42-C98D-4EDC-9039-07DD475D0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E7616D-43AE-403B-B2B0-14D9B73DAB01}">
  <ds:schemaRefs>
    <ds:schemaRef ds:uri="Microsoft.SharePoint.Taxonomy.ContentTypeSync"/>
  </ds:schemaRefs>
</ds:datastoreItem>
</file>

<file path=customXml/itemProps6.xml><?xml version="1.0" encoding="utf-8"?>
<ds:datastoreItem xmlns:ds="http://schemas.openxmlformats.org/officeDocument/2006/customXml" ds:itemID="{40E70E8B-7453-4D2C-A6A5-2872BCC4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coughc</dc:creator>
  <cp:lastModifiedBy>omullm</cp:lastModifiedBy>
  <cp:revision>2</cp:revision>
  <dcterms:created xsi:type="dcterms:W3CDTF">2017-12-05T03:32:00Z</dcterms:created>
  <dcterms:modified xsi:type="dcterms:W3CDTF">2017-12-05T03:32:00Z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_dlc_DocIdItemGuid">
    <vt:lpwstr>01d27561-9f3c-4efd-8a5d-a2b72a23e0de</vt:lpwstr>
  </property>
  <property fmtid="{D5CDD505-2E9C-101B-9397-08002B2CF9AE}" pid="4" name="BCS_">
    <vt:lpwstr>846;#FOOD STANDARDS:Instruments|4a8ff5e5-1f0e-4751-ab44-bc0d33b46a80</vt:lpwstr>
  </property>
  <property fmtid="{D5CDD505-2E9C-101B-9397-08002B2CF9AE}" pid="5" name="DisposalClass">
    <vt:lpwstr/>
  </property>
</Properties>
</file>