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3F" w:rsidRPr="006A1F3F" w:rsidRDefault="006A1F3F" w:rsidP="006A1F3F">
      <w:pPr>
        <w:autoSpaceDE w:val="0"/>
        <w:autoSpaceDN w:val="0"/>
        <w:adjustRightInd w:val="0"/>
        <w:spacing w:after="0" w:line="240" w:lineRule="auto"/>
        <w:jc w:val="right"/>
        <w:rPr>
          <w:rFonts w:ascii="Times New Roman" w:eastAsia="Calibri" w:hAnsi="Times New Roman" w:cs="Times New Roman"/>
          <w:sz w:val="24"/>
          <w:szCs w:val="24"/>
          <w:lang w:eastAsia="en-AU"/>
        </w:rPr>
      </w:pPr>
    </w:p>
    <w:p w:rsidR="006A1F3F" w:rsidRPr="006A1F3F" w:rsidRDefault="006A1F3F" w:rsidP="006A1F3F">
      <w:pPr>
        <w:autoSpaceDE w:val="0"/>
        <w:autoSpaceDN w:val="0"/>
        <w:adjustRightInd w:val="0"/>
        <w:spacing w:after="0" w:line="240" w:lineRule="auto"/>
        <w:jc w:val="right"/>
        <w:rPr>
          <w:rFonts w:ascii="Helv" w:eastAsia="Calibri" w:hAnsi="Helv" w:cs="Helv"/>
          <w:b/>
          <w:iCs/>
          <w:color w:val="000000"/>
          <w:sz w:val="20"/>
          <w:lang w:eastAsia="en-AU"/>
        </w:rPr>
      </w:pPr>
    </w:p>
    <w:p w:rsidR="006A1F3F" w:rsidRPr="006A1F3F" w:rsidRDefault="006A1F3F" w:rsidP="006A1F3F">
      <w:pPr>
        <w:spacing w:after="0" w:line="240" w:lineRule="auto"/>
        <w:jc w:val="center"/>
        <w:outlineLvl w:val="0"/>
        <w:rPr>
          <w:rFonts w:ascii="Times New Roman" w:eastAsia="Calibri" w:hAnsi="Times New Roman" w:cs="Times New Roman"/>
          <w:b/>
          <w:sz w:val="24"/>
          <w:szCs w:val="24"/>
        </w:rPr>
      </w:pPr>
      <w:r w:rsidRPr="006A1F3F">
        <w:rPr>
          <w:rFonts w:ascii="Times New Roman" w:eastAsia="Calibri" w:hAnsi="Times New Roman" w:cs="Times New Roman"/>
          <w:b/>
          <w:sz w:val="24"/>
          <w:szCs w:val="24"/>
        </w:rPr>
        <w:t>MILITARY SUPERANNUATION AND BENEFITS ACT 1991</w:t>
      </w:r>
    </w:p>
    <w:p w:rsidR="006A1F3F" w:rsidRPr="006A1F3F" w:rsidRDefault="006A1F3F" w:rsidP="006A1F3F">
      <w:pPr>
        <w:spacing w:after="0" w:line="240" w:lineRule="auto"/>
        <w:jc w:val="center"/>
        <w:rPr>
          <w:rFonts w:ascii="Times New Roman" w:eastAsia="Calibri" w:hAnsi="Times New Roman" w:cs="Times New Roman"/>
          <w:b/>
          <w:sz w:val="24"/>
          <w:szCs w:val="24"/>
        </w:rPr>
      </w:pPr>
      <w:r w:rsidRPr="006A1F3F">
        <w:rPr>
          <w:rFonts w:ascii="Times New Roman" w:eastAsia="Calibri" w:hAnsi="Times New Roman" w:cs="Times New Roman"/>
          <w:b/>
          <w:sz w:val="24"/>
          <w:szCs w:val="24"/>
        </w:rPr>
        <w:t>MILITARY SUPERANNUATION AND BENEFITS (ELIGIBLE MEMBERS)</w:t>
      </w:r>
    </w:p>
    <w:p w:rsidR="006A1F3F" w:rsidRPr="006A1F3F" w:rsidRDefault="006A1F3F" w:rsidP="006A1F3F">
      <w:pPr>
        <w:spacing w:after="0" w:line="240" w:lineRule="auto"/>
        <w:jc w:val="center"/>
        <w:outlineLvl w:val="0"/>
        <w:rPr>
          <w:rFonts w:ascii="Times New Roman" w:eastAsia="Calibri" w:hAnsi="Times New Roman" w:cs="Times New Roman"/>
          <w:b/>
          <w:sz w:val="24"/>
          <w:szCs w:val="24"/>
        </w:rPr>
      </w:pPr>
      <w:r w:rsidRPr="006A1F3F">
        <w:rPr>
          <w:rFonts w:ascii="Times New Roman" w:eastAsia="Calibri" w:hAnsi="Times New Roman" w:cs="Times New Roman"/>
          <w:b/>
          <w:sz w:val="24"/>
          <w:szCs w:val="24"/>
        </w:rPr>
        <w:t>DECLARATION 2017</w:t>
      </w:r>
    </w:p>
    <w:p w:rsidR="006A1F3F" w:rsidRPr="006A1F3F" w:rsidRDefault="006A1F3F" w:rsidP="006A1F3F">
      <w:pPr>
        <w:spacing w:after="0" w:line="240" w:lineRule="auto"/>
        <w:jc w:val="center"/>
        <w:rPr>
          <w:rFonts w:ascii="Times New Roman" w:eastAsia="Calibri" w:hAnsi="Times New Roman" w:cs="Times New Roman"/>
          <w:b/>
          <w:sz w:val="24"/>
          <w:szCs w:val="24"/>
        </w:rPr>
      </w:pPr>
    </w:p>
    <w:p w:rsidR="006A1F3F" w:rsidRPr="006A1F3F" w:rsidRDefault="006A1F3F" w:rsidP="006A1F3F">
      <w:pPr>
        <w:spacing w:after="0" w:line="240" w:lineRule="auto"/>
        <w:jc w:val="center"/>
        <w:rPr>
          <w:rFonts w:ascii="Times New Roman" w:eastAsia="Calibri" w:hAnsi="Times New Roman" w:cs="Times New Roman"/>
          <w:b/>
          <w:i/>
          <w:sz w:val="24"/>
          <w:szCs w:val="24"/>
        </w:rPr>
      </w:pPr>
      <w:r w:rsidRPr="006A1F3F">
        <w:rPr>
          <w:rFonts w:ascii="Times New Roman" w:eastAsia="Calibri" w:hAnsi="Times New Roman" w:cs="Times New Roman"/>
          <w:b/>
          <w:sz w:val="24"/>
          <w:szCs w:val="24"/>
        </w:rPr>
        <w:t>EXPLANATORY STATEMENT</w:t>
      </w:r>
    </w:p>
    <w:p w:rsidR="006A1F3F" w:rsidRPr="006A1F3F" w:rsidRDefault="006A1F3F" w:rsidP="006A1F3F">
      <w:pPr>
        <w:spacing w:after="0" w:line="240" w:lineRule="auto"/>
        <w:rPr>
          <w:rFonts w:ascii="Times New Roman" w:eastAsia="Calibri"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szCs w:val="24"/>
        </w:rPr>
      </w:pPr>
      <w:r w:rsidRPr="006A1F3F">
        <w:rPr>
          <w:rFonts w:ascii="Times New Roman" w:eastAsia="Calibri" w:hAnsi="Times New Roman" w:cs="Times New Roman"/>
          <w:sz w:val="24"/>
          <w:szCs w:val="24"/>
        </w:rPr>
        <w:t xml:space="preserve">The </w:t>
      </w:r>
      <w:r w:rsidRPr="006A1F3F">
        <w:rPr>
          <w:rFonts w:ascii="Times New Roman" w:eastAsia="Calibri" w:hAnsi="Times New Roman" w:cs="Times New Roman"/>
          <w:i/>
          <w:sz w:val="24"/>
          <w:szCs w:val="24"/>
        </w:rPr>
        <w:t>Military Superannuation and Benefits Act 1991</w:t>
      </w:r>
      <w:r w:rsidRPr="006A1F3F">
        <w:rPr>
          <w:rFonts w:ascii="Times New Roman" w:eastAsia="Calibri" w:hAnsi="Times New Roman" w:cs="Times New Roman"/>
          <w:sz w:val="24"/>
          <w:szCs w:val="24"/>
        </w:rPr>
        <w:t xml:space="preserve"> (“the Act”) makes provision in Part 8 for the payment of a retention benefit to certain members of the Military Superannuation and Benefits Scheme (“the Scheme”) who have completed 15 years of continuous eligible service. The purpose of the benefit is to induce members to serve for another five years and so get to 20 years of service.</w:t>
      </w:r>
    </w:p>
    <w:p w:rsidR="006A1F3F" w:rsidRPr="006A1F3F" w:rsidRDefault="006A1F3F" w:rsidP="006A1F3F">
      <w:pPr>
        <w:spacing w:after="0" w:line="240" w:lineRule="auto"/>
        <w:rPr>
          <w:rFonts w:ascii="Times New Roman" w:eastAsia="Calibri" w:hAnsi="Times New Roman" w:cs="Times New Roman"/>
          <w:sz w:val="24"/>
          <w:szCs w:val="24"/>
        </w:rPr>
      </w:pPr>
    </w:p>
    <w:p w:rsidR="006A1F3F" w:rsidRPr="006A1F3F" w:rsidRDefault="006A1F3F" w:rsidP="006A1F3F">
      <w:pPr>
        <w:spacing w:after="0"/>
        <w:rPr>
          <w:rFonts w:ascii="Times New Roman" w:eastAsia="Calibri" w:hAnsi="Times New Roman" w:cs="Times New Roman"/>
          <w:sz w:val="24"/>
          <w:szCs w:val="24"/>
        </w:rPr>
      </w:pPr>
      <w:r w:rsidRPr="006A1F3F">
        <w:rPr>
          <w:rFonts w:ascii="Times New Roman" w:eastAsia="Calibri" w:hAnsi="Times New Roman" w:cs="Times New Roman"/>
          <w:sz w:val="24"/>
          <w:szCs w:val="24"/>
        </w:rPr>
        <w:t xml:space="preserve">Part 8 of the Act was repealed under Schedule 4 of the </w:t>
      </w:r>
      <w:r w:rsidRPr="006A1F3F">
        <w:rPr>
          <w:rFonts w:ascii="Times New Roman" w:eastAsia="Calibri" w:hAnsi="Times New Roman" w:cs="Times New Roman"/>
          <w:i/>
          <w:sz w:val="24"/>
          <w:szCs w:val="24"/>
        </w:rPr>
        <w:t>Defence Legislation Amendment Act (No. 1) 2005</w:t>
      </w:r>
      <w:r w:rsidRPr="006A1F3F">
        <w:rPr>
          <w:rFonts w:ascii="Times New Roman" w:eastAsia="Calibri" w:hAnsi="Times New Roman" w:cs="Times New Roman"/>
          <w:sz w:val="24"/>
          <w:szCs w:val="24"/>
        </w:rPr>
        <w:t xml:space="preserve">. However, due to a saving provision in item 4 of Schedule 4 of that Act, eligibility for the retention benefit is still applicable for eligible members of the Australian Defence Force who were members of the Scheme before 6 October 2005. </w:t>
      </w:r>
    </w:p>
    <w:p w:rsidR="006A1F3F" w:rsidRPr="006A1F3F" w:rsidRDefault="006A1F3F" w:rsidP="006A1F3F">
      <w:pPr>
        <w:spacing w:after="0"/>
        <w:rPr>
          <w:rFonts w:ascii="Times New Roman" w:eastAsia="Calibri"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rPr>
      </w:pPr>
      <w:r w:rsidRPr="006A1F3F">
        <w:rPr>
          <w:rFonts w:ascii="Times New Roman" w:eastAsia="Calibri" w:hAnsi="Times New Roman" w:cs="Times New Roman"/>
          <w:sz w:val="24"/>
        </w:rPr>
        <w:t xml:space="preserve">An “eligible member” is defined in subsection 30(1) of the Act to include: </w:t>
      </w:r>
    </w:p>
    <w:p w:rsidR="006A1F3F" w:rsidRPr="006A1F3F" w:rsidRDefault="006A1F3F" w:rsidP="006A1F3F">
      <w:pPr>
        <w:numPr>
          <w:ilvl w:val="0"/>
          <w:numId w:val="1"/>
        </w:numPr>
        <w:spacing w:after="0" w:line="240" w:lineRule="auto"/>
        <w:ind w:left="357" w:hanging="357"/>
        <w:rPr>
          <w:rFonts w:ascii="Times New Roman" w:eastAsia="Calibri" w:hAnsi="Times New Roman" w:cs="Times New Roman"/>
          <w:sz w:val="24"/>
        </w:rPr>
      </w:pPr>
      <w:r w:rsidRPr="006A1F3F">
        <w:rPr>
          <w:rFonts w:ascii="Times New Roman" w:eastAsia="Calibri" w:hAnsi="Times New Roman" w:cs="Times New Roman"/>
          <w:sz w:val="24"/>
        </w:rPr>
        <w:t xml:space="preserve">an officer who holds the rank not lower than Major or equivalent (or who was previously an enlisted member); </w:t>
      </w:r>
    </w:p>
    <w:p w:rsidR="006A1F3F" w:rsidRPr="006A1F3F" w:rsidRDefault="006A1F3F" w:rsidP="006A1F3F">
      <w:pPr>
        <w:numPr>
          <w:ilvl w:val="0"/>
          <w:numId w:val="1"/>
        </w:numPr>
        <w:spacing w:after="0" w:line="240" w:lineRule="auto"/>
        <w:ind w:left="357" w:hanging="357"/>
        <w:rPr>
          <w:rFonts w:ascii="Times New Roman" w:eastAsia="Calibri" w:hAnsi="Times New Roman" w:cs="Times New Roman"/>
          <w:sz w:val="24"/>
        </w:rPr>
      </w:pPr>
      <w:r w:rsidRPr="006A1F3F">
        <w:rPr>
          <w:rFonts w:ascii="Times New Roman" w:eastAsia="Calibri" w:hAnsi="Times New Roman" w:cs="Times New Roman"/>
          <w:sz w:val="24"/>
        </w:rPr>
        <w:t xml:space="preserve">an enlisted member who holds the rank of Sergeant or equivalent; or </w:t>
      </w:r>
    </w:p>
    <w:p w:rsidR="006A1F3F" w:rsidRPr="006A1F3F" w:rsidRDefault="006A1F3F" w:rsidP="006A1F3F">
      <w:pPr>
        <w:numPr>
          <w:ilvl w:val="0"/>
          <w:numId w:val="1"/>
        </w:numPr>
        <w:spacing w:after="0" w:line="240" w:lineRule="auto"/>
        <w:ind w:left="357" w:hanging="357"/>
        <w:rPr>
          <w:rFonts w:ascii="Times New Roman" w:eastAsia="Calibri" w:hAnsi="Times New Roman" w:cs="Times New Roman"/>
          <w:sz w:val="24"/>
        </w:rPr>
      </w:pPr>
      <w:proofErr w:type="gramStart"/>
      <w:r w:rsidRPr="006A1F3F">
        <w:rPr>
          <w:rFonts w:ascii="Times New Roman" w:eastAsia="Calibri" w:hAnsi="Times New Roman" w:cs="Times New Roman"/>
          <w:sz w:val="24"/>
        </w:rPr>
        <w:t>a</w:t>
      </w:r>
      <w:proofErr w:type="gramEnd"/>
      <w:r w:rsidRPr="006A1F3F">
        <w:rPr>
          <w:rFonts w:ascii="Times New Roman" w:eastAsia="Calibri" w:hAnsi="Times New Roman" w:cs="Times New Roman"/>
          <w:sz w:val="24"/>
        </w:rPr>
        <w:t xml:space="preserve"> member declared by the Minister to be an eligible member (paragraph (f) of the definition).</w:t>
      </w:r>
    </w:p>
    <w:p w:rsidR="006A1F3F" w:rsidRPr="006A1F3F" w:rsidRDefault="006A1F3F" w:rsidP="006A1F3F">
      <w:pPr>
        <w:spacing w:after="0" w:line="240" w:lineRule="auto"/>
        <w:rPr>
          <w:rFonts w:ascii="Times New Roman" w:eastAsia="Times New Roman"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szCs w:val="24"/>
        </w:rPr>
      </w:pPr>
      <w:r w:rsidRPr="006A1F3F">
        <w:rPr>
          <w:rFonts w:ascii="Times New Roman" w:eastAsia="Calibri" w:hAnsi="Times New Roman" w:cs="Times New Roman"/>
          <w:sz w:val="24"/>
          <w:szCs w:val="24"/>
        </w:rPr>
        <w:t>Members who do not satisfy the minimum rank requirement and are in employment categories, where the normal opportunities for promotion do not exist</w:t>
      </w:r>
      <w:r w:rsidR="00DE6A99">
        <w:rPr>
          <w:rFonts w:ascii="Times New Roman" w:eastAsia="Calibri" w:hAnsi="Times New Roman" w:cs="Times New Roman"/>
          <w:sz w:val="24"/>
          <w:szCs w:val="24"/>
        </w:rPr>
        <w:t xml:space="preserve"> due to structural impediments,</w:t>
      </w:r>
      <w:r w:rsidRPr="006A1F3F">
        <w:rPr>
          <w:rFonts w:ascii="Times New Roman" w:eastAsia="Calibri" w:hAnsi="Times New Roman" w:cs="Times New Roman"/>
          <w:sz w:val="24"/>
          <w:szCs w:val="24"/>
        </w:rPr>
        <w:t xml:space="preserve"> may be declared by the Minister to be eligible members for the purposes of the Act. These employment categories are referred to as “specified categories” for identifying members as eligible members for the purposes of the Act. The employment categories are listed in Ministerial Declarations such as the one to which this statement relates.</w:t>
      </w:r>
      <w:r w:rsidR="00DE6A99">
        <w:rPr>
          <w:rFonts w:ascii="Times New Roman" w:eastAsia="Calibri" w:hAnsi="Times New Roman" w:cs="Times New Roman"/>
          <w:sz w:val="24"/>
          <w:szCs w:val="24"/>
        </w:rPr>
        <w:t xml:space="preserve"> When a “specified category” is identified by the relevant Service as no longer presenting structural impediments to members reaching the minimum rank required, it is withdrawn from the specified category list.</w:t>
      </w:r>
    </w:p>
    <w:p w:rsidR="006A1F3F" w:rsidRPr="006A1F3F" w:rsidRDefault="006A1F3F" w:rsidP="006A1F3F">
      <w:pPr>
        <w:spacing w:after="0" w:line="240" w:lineRule="auto"/>
        <w:rPr>
          <w:rFonts w:ascii="Times New Roman" w:eastAsia="Calibri" w:hAnsi="Times New Roman" w:cs="Times New Roman"/>
          <w:sz w:val="24"/>
          <w:szCs w:val="24"/>
        </w:rPr>
      </w:pPr>
    </w:p>
    <w:p w:rsidR="006A1F3F" w:rsidRDefault="006A1F3F" w:rsidP="006A1F3F">
      <w:pPr>
        <w:spacing w:after="0" w:line="240" w:lineRule="auto"/>
        <w:rPr>
          <w:rFonts w:ascii="Times New Roman" w:eastAsia="Calibri" w:hAnsi="Times New Roman" w:cs="Times New Roman"/>
          <w:sz w:val="24"/>
          <w:szCs w:val="24"/>
        </w:rPr>
      </w:pPr>
      <w:r w:rsidRPr="006A1F3F">
        <w:rPr>
          <w:rFonts w:ascii="Times New Roman" w:eastAsia="Calibri" w:hAnsi="Times New Roman" w:cs="Times New Roman"/>
          <w:sz w:val="24"/>
          <w:szCs w:val="24"/>
        </w:rPr>
        <w:t xml:space="preserve">The purpose of this beneficial </w:t>
      </w:r>
      <w:r w:rsidR="00DE6A99">
        <w:rPr>
          <w:rFonts w:ascii="Times New Roman" w:eastAsia="Calibri" w:hAnsi="Times New Roman" w:cs="Times New Roman"/>
          <w:sz w:val="24"/>
          <w:szCs w:val="24"/>
        </w:rPr>
        <w:t>l</w:t>
      </w:r>
      <w:r w:rsidRPr="006A1F3F">
        <w:rPr>
          <w:rFonts w:ascii="Times New Roman" w:eastAsia="Calibri" w:hAnsi="Times New Roman" w:cs="Times New Roman"/>
          <w:sz w:val="24"/>
          <w:szCs w:val="24"/>
        </w:rPr>
        <w:t>egislative Declaration is to declare specified category status to two new employment categories</w:t>
      </w:r>
      <w:r w:rsidR="00514B28">
        <w:rPr>
          <w:rFonts w:ascii="Times New Roman" w:eastAsia="Calibri" w:hAnsi="Times New Roman" w:cs="Times New Roman"/>
          <w:sz w:val="24"/>
          <w:szCs w:val="24"/>
        </w:rPr>
        <w:t xml:space="preserve"> (Aeronautical Engineer and Weapons Electrical Aircraft Engineer-(items 1.29 and 1.30)</w:t>
      </w:r>
      <w:r w:rsidRPr="006A1F3F">
        <w:rPr>
          <w:rFonts w:ascii="Times New Roman" w:eastAsia="Calibri" w:hAnsi="Times New Roman" w:cs="Times New Roman"/>
          <w:sz w:val="24"/>
          <w:szCs w:val="24"/>
        </w:rPr>
        <w:t xml:space="preserve">, and rename six existing </w:t>
      </w:r>
      <w:r w:rsidR="00B46D4A">
        <w:rPr>
          <w:rFonts w:ascii="Times New Roman" w:eastAsia="Calibri" w:hAnsi="Times New Roman" w:cs="Times New Roman"/>
          <w:sz w:val="24"/>
          <w:szCs w:val="24"/>
        </w:rPr>
        <w:t xml:space="preserve">and continuing </w:t>
      </w:r>
      <w:r w:rsidRPr="006A1F3F">
        <w:rPr>
          <w:rFonts w:ascii="Times New Roman" w:eastAsia="Calibri" w:hAnsi="Times New Roman" w:cs="Times New Roman"/>
          <w:sz w:val="24"/>
          <w:szCs w:val="24"/>
        </w:rPr>
        <w:t>specified categories</w:t>
      </w:r>
      <w:r w:rsidR="00514B28">
        <w:rPr>
          <w:rFonts w:ascii="Times New Roman" w:eastAsia="Calibri" w:hAnsi="Times New Roman" w:cs="Times New Roman"/>
          <w:sz w:val="24"/>
          <w:szCs w:val="24"/>
        </w:rPr>
        <w:t xml:space="preserve"> (items</w:t>
      </w:r>
      <w:r w:rsidR="00B46D4A">
        <w:rPr>
          <w:rFonts w:ascii="Times New Roman" w:eastAsia="Calibri" w:hAnsi="Times New Roman" w:cs="Times New Roman"/>
          <w:sz w:val="24"/>
          <w:szCs w:val="24"/>
        </w:rPr>
        <w:t xml:space="preserve">3.18,3.19,3.20,3.23,3.24,3.5) into Ground Mechanical Engineering Mustering (item 3.28), Ground Support Equipment Mustering(item 3.29). </w:t>
      </w:r>
      <w:proofErr w:type="gramStart"/>
      <w:r w:rsidR="00B46D4A">
        <w:rPr>
          <w:rFonts w:ascii="Times New Roman" w:eastAsia="Calibri" w:hAnsi="Times New Roman" w:cs="Times New Roman"/>
          <w:sz w:val="24"/>
          <w:szCs w:val="24"/>
        </w:rPr>
        <w:t>Aircraft Structures Mustering (item 3.30) and Air</w:t>
      </w:r>
      <w:r w:rsidR="00E32396">
        <w:rPr>
          <w:rFonts w:ascii="Times New Roman" w:eastAsia="Calibri" w:hAnsi="Times New Roman" w:cs="Times New Roman"/>
          <w:sz w:val="24"/>
          <w:szCs w:val="24"/>
        </w:rPr>
        <w:t xml:space="preserve"> </w:t>
      </w:r>
      <w:r w:rsidR="00B46D4A">
        <w:rPr>
          <w:rFonts w:ascii="Times New Roman" w:eastAsia="Calibri" w:hAnsi="Times New Roman" w:cs="Times New Roman"/>
          <w:sz w:val="24"/>
          <w:szCs w:val="24"/>
        </w:rPr>
        <w:t>Force Imagery</w:t>
      </w:r>
      <w:r w:rsidR="00E32396">
        <w:rPr>
          <w:rFonts w:ascii="Times New Roman" w:eastAsia="Calibri" w:hAnsi="Times New Roman" w:cs="Times New Roman"/>
          <w:sz w:val="24"/>
          <w:szCs w:val="24"/>
        </w:rPr>
        <w:t xml:space="preserve"> Specialist</w:t>
      </w:r>
      <w:r w:rsidR="00B46D4A">
        <w:rPr>
          <w:rFonts w:ascii="Times New Roman" w:eastAsia="Calibri" w:hAnsi="Times New Roman" w:cs="Times New Roman"/>
          <w:sz w:val="24"/>
          <w:szCs w:val="24"/>
        </w:rPr>
        <w:t xml:space="preserve"> (3.31)</w:t>
      </w:r>
      <w:r w:rsidRPr="006A1F3F">
        <w:rPr>
          <w:rFonts w:ascii="Times New Roman" w:eastAsia="Calibri" w:hAnsi="Times New Roman" w:cs="Times New Roman"/>
          <w:sz w:val="24"/>
          <w:szCs w:val="24"/>
        </w:rPr>
        <w:t>.</w:t>
      </w:r>
      <w:proofErr w:type="gramEnd"/>
    </w:p>
    <w:p w:rsidR="00A92713" w:rsidRPr="006A1F3F" w:rsidRDefault="00A92713" w:rsidP="006A1F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addition there have been minor eligibility changes to category items 1.2</w:t>
      </w:r>
      <w:proofErr w:type="gramStart"/>
      <w:r>
        <w:rPr>
          <w:rFonts w:ascii="Times New Roman" w:eastAsia="Calibri" w:hAnsi="Times New Roman" w:cs="Times New Roman"/>
          <w:sz w:val="24"/>
          <w:szCs w:val="24"/>
        </w:rPr>
        <w:t>,1.24,1.25</w:t>
      </w:r>
      <w:proofErr w:type="gramEnd"/>
      <w:r>
        <w:rPr>
          <w:rFonts w:ascii="Times New Roman" w:eastAsia="Calibri" w:hAnsi="Times New Roman" w:cs="Times New Roman"/>
          <w:sz w:val="24"/>
          <w:szCs w:val="24"/>
        </w:rPr>
        <w:t xml:space="preserve"> and 1.27 to reflect the actual end date of 29 September 2015.</w:t>
      </w:r>
      <w:bookmarkStart w:id="0" w:name="_GoBack"/>
      <w:bookmarkEnd w:id="0"/>
    </w:p>
    <w:p w:rsidR="006A1F3F" w:rsidRPr="006A1F3F" w:rsidRDefault="006A1F3F" w:rsidP="006A1F3F">
      <w:pPr>
        <w:spacing w:after="0" w:line="240" w:lineRule="auto"/>
        <w:rPr>
          <w:rFonts w:ascii="Times New Roman" w:eastAsia="Calibri"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szCs w:val="24"/>
        </w:rPr>
      </w:pPr>
      <w:r w:rsidRPr="006A1F3F">
        <w:rPr>
          <w:rFonts w:ascii="Times New Roman" w:eastAsia="Calibri" w:hAnsi="Times New Roman" w:cs="Times New Roman"/>
          <w:sz w:val="24"/>
          <w:szCs w:val="24"/>
        </w:rPr>
        <w:t>Schedule 1 to this Declaration lists the employment categories and ranks that a member may hold in order to be part of the class to which this Declaration applies.</w:t>
      </w:r>
    </w:p>
    <w:p w:rsidR="006A1F3F" w:rsidRPr="006A1F3F" w:rsidRDefault="006A1F3F" w:rsidP="006A1F3F">
      <w:pPr>
        <w:spacing w:after="0" w:line="240" w:lineRule="auto"/>
        <w:rPr>
          <w:rFonts w:ascii="Times New Roman" w:eastAsia="Calibri" w:hAnsi="Times New Roman" w:cs="Times New Roman"/>
          <w:sz w:val="24"/>
          <w:szCs w:val="24"/>
        </w:rPr>
      </w:pPr>
    </w:p>
    <w:p w:rsidR="006A1F3F" w:rsidRDefault="006A1F3F" w:rsidP="006A1F3F">
      <w:pPr>
        <w:spacing w:after="0"/>
        <w:rPr>
          <w:rFonts w:ascii="Times New Roman" w:eastAsia="Calibri" w:hAnsi="Times New Roman" w:cs="Times New Roman"/>
          <w:sz w:val="24"/>
          <w:szCs w:val="24"/>
        </w:rPr>
      </w:pPr>
      <w:r w:rsidRPr="006A1F3F">
        <w:rPr>
          <w:rFonts w:ascii="Times New Roman" w:eastAsia="Calibri" w:hAnsi="Times New Roman" w:cs="Times New Roman"/>
          <w:sz w:val="24"/>
          <w:szCs w:val="24"/>
        </w:rPr>
        <w:t>Schedule 2 to this Declaration lists individual members to whom this Declaration applies.</w:t>
      </w:r>
    </w:p>
    <w:p w:rsidR="00261216" w:rsidRDefault="00261216" w:rsidP="006A1F3F">
      <w:pPr>
        <w:spacing w:after="0"/>
        <w:rPr>
          <w:rFonts w:ascii="Times New Roman" w:eastAsia="Calibri" w:hAnsi="Times New Roman" w:cs="Times New Roman"/>
          <w:sz w:val="24"/>
          <w:szCs w:val="24"/>
        </w:rPr>
      </w:pPr>
    </w:p>
    <w:p w:rsidR="00261216" w:rsidRPr="006A1F3F" w:rsidRDefault="00261216" w:rsidP="006A1F3F">
      <w:pPr>
        <w:spacing w:after="0"/>
        <w:rPr>
          <w:rFonts w:ascii="Times New Roman" w:eastAsia="Calibri" w:hAnsi="Times New Roman" w:cs="Times New Roman"/>
          <w:sz w:val="24"/>
          <w:szCs w:val="24"/>
        </w:rPr>
      </w:pPr>
      <w:r>
        <w:rPr>
          <w:rFonts w:ascii="Times New Roman" w:eastAsia="Calibri" w:hAnsi="Times New Roman" w:cs="Times New Roman"/>
          <w:sz w:val="24"/>
          <w:szCs w:val="24"/>
        </w:rPr>
        <w:t>Schedule 3 to this Declaration repeals the previous 2016 Declaration.</w:t>
      </w:r>
    </w:p>
    <w:p w:rsidR="006A1F3F" w:rsidRPr="006A1F3F" w:rsidRDefault="006A1F3F" w:rsidP="006A1F3F">
      <w:pPr>
        <w:spacing w:after="0"/>
        <w:rPr>
          <w:rFonts w:ascii="Times New Roman" w:eastAsia="Calibri" w:hAnsi="Times New Roman" w:cs="Times New Roman"/>
          <w:sz w:val="24"/>
          <w:szCs w:val="24"/>
        </w:rPr>
      </w:pPr>
    </w:p>
    <w:p w:rsidR="006A1F3F" w:rsidRPr="006A1F3F" w:rsidRDefault="006A1F3F" w:rsidP="006A1F3F">
      <w:pPr>
        <w:spacing w:after="0"/>
        <w:rPr>
          <w:rFonts w:ascii="Times New Roman" w:eastAsia="Calibri" w:hAnsi="Times New Roman" w:cs="Times New Roman"/>
          <w:sz w:val="24"/>
          <w:szCs w:val="24"/>
        </w:rPr>
      </w:pPr>
      <w:r w:rsidRPr="006A1F3F">
        <w:rPr>
          <w:rFonts w:ascii="Times New Roman" w:eastAsia="Calibri" w:hAnsi="Times New Roman" w:cs="Times New Roman"/>
          <w:sz w:val="24"/>
          <w:szCs w:val="24"/>
        </w:rPr>
        <w:lastRenderedPageBreak/>
        <w:t xml:space="preserve">The three Australian Defence Force Career Management Agencies (who nominate employment categories and individual members for listing in the Specified Category and Inter-Employment category Schedules), Defence Legal, </w:t>
      </w:r>
      <w:r w:rsidR="00261216">
        <w:rPr>
          <w:rFonts w:ascii="Times New Roman" w:eastAsia="Calibri" w:hAnsi="Times New Roman" w:cs="Times New Roman"/>
          <w:sz w:val="24"/>
          <w:szCs w:val="24"/>
        </w:rPr>
        <w:t xml:space="preserve">Department of </w:t>
      </w:r>
      <w:r w:rsidRPr="006A1F3F">
        <w:rPr>
          <w:rFonts w:ascii="Times New Roman" w:eastAsia="Calibri" w:hAnsi="Times New Roman" w:cs="Times New Roman"/>
          <w:sz w:val="24"/>
          <w:szCs w:val="24"/>
        </w:rPr>
        <w:t>Defence Chief Finance Officer and the Department of Finance have all been consulted during the development of this Declaration.</w:t>
      </w:r>
    </w:p>
    <w:p w:rsidR="006A1F3F" w:rsidRPr="006A1F3F" w:rsidRDefault="006A1F3F" w:rsidP="006A1F3F">
      <w:pPr>
        <w:spacing w:after="0" w:line="240" w:lineRule="auto"/>
        <w:rPr>
          <w:rFonts w:ascii="Times New Roman" w:eastAsia="Calibri"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szCs w:val="24"/>
        </w:rPr>
      </w:pPr>
      <w:r w:rsidRPr="006A1F3F">
        <w:rPr>
          <w:rFonts w:ascii="Times New Roman" w:eastAsia="Calibri" w:hAnsi="Times New Roman" w:cs="Times New Roman"/>
          <w:sz w:val="24"/>
          <w:szCs w:val="24"/>
        </w:rPr>
        <w:t xml:space="preserve">This is a legislative instrument for the purpose of the </w:t>
      </w:r>
      <w:r w:rsidRPr="006A1F3F">
        <w:rPr>
          <w:rFonts w:ascii="Times New Roman" w:eastAsia="Calibri" w:hAnsi="Times New Roman" w:cs="Times New Roman"/>
          <w:i/>
          <w:sz w:val="24"/>
          <w:szCs w:val="24"/>
        </w:rPr>
        <w:t>Legislation Act</w:t>
      </w:r>
      <w:r w:rsidRPr="006A1F3F">
        <w:rPr>
          <w:rFonts w:ascii="Times New Roman" w:eastAsia="Calibri" w:hAnsi="Times New Roman" w:cs="Times New Roman"/>
          <w:sz w:val="24"/>
          <w:szCs w:val="24"/>
        </w:rPr>
        <w:t xml:space="preserve"> and is not subject to disallowance in accordance with item 3 of the table in section 9 of the Legislation</w:t>
      </w:r>
      <w:r w:rsidRPr="006A1F3F">
        <w:rPr>
          <w:rFonts w:ascii="Times New Roman" w:eastAsia="Calibri" w:hAnsi="Times New Roman" w:cs="Times New Roman"/>
          <w:i/>
          <w:sz w:val="24"/>
          <w:szCs w:val="24"/>
        </w:rPr>
        <w:t xml:space="preserve"> </w:t>
      </w:r>
      <w:r w:rsidRPr="006A1F3F">
        <w:rPr>
          <w:rFonts w:ascii="Times New Roman" w:eastAsia="Calibri" w:hAnsi="Times New Roman" w:cs="Times New Roman"/>
          <w:sz w:val="24"/>
          <w:szCs w:val="24"/>
        </w:rPr>
        <w:t>(Exemptions and Other Matters) Regulation 2015.</w:t>
      </w:r>
    </w:p>
    <w:p w:rsidR="006A1F3F" w:rsidRPr="006A1F3F" w:rsidRDefault="006A1F3F" w:rsidP="006A1F3F">
      <w:pPr>
        <w:spacing w:after="0" w:line="240" w:lineRule="auto"/>
        <w:rPr>
          <w:rFonts w:ascii="Times New Roman" w:eastAsia="Calibri" w:hAnsi="Times New Roman" w:cs="Times New Roman"/>
          <w:sz w:val="24"/>
          <w:szCs w:val="24"/>
        </w:rPr>
      </w:pPr>
    </w:p>
    <w:p w:rsidR="006A1F3F" w:rsidRPr="006A1F3F" w:rsidRDefault="006A1F3F" w:rsidP="006A1F3F">
      <w:pPr>
        <w:spacing w:after="0" w:line="240" w:lineRule="auto"/>
        <w:rPr>
          <w:rFonts w:ascii="Times New Roman" w:eastAsia="Calibri" w:hAnsi="Times New Roman" w:cs="Times New Roman"/>
          <w:sz w:val="24"/>
        </w:rPr>
      </w:pPr>
      <w:r w:rsidRPr="006A1F3F">
        <w:rPr>
          <w:rFonts w:ascii="Times New Roman" w:eastAsia="Calibri" w:hAnsi="Times New Roman" w:cs="Times New Roman"/>
          <w:sz w:val="24"/>
        </w:rPr>
        <w:t>The impacts on business and individuals or the economy of the instrument are low and the Office of Best Practice Regulation advised that no further regulatory analysis was required.</w:t>
      </w:r>
    </w:p>
    <w:p w:rsidR="006A1F3F" w:rsidRPr="006A1F3F" w:rsidRDefault="006A1F3F" w:rsidP="006A1F3F">
      <w:pPr>
        <w:spacing w:after="0" w:line="240" w:lineRule="auto"/>
        <w:rPr>
          <w:rFonts w:ascii="Times New Roman" w:eastAsia="Calibri" w:hAnsi="Times New Roman" w:cs="Times New Roman"/>
          <w:sz w:val="24"/>
        </w:rPr>
      </w:pPr>
    </w:p>
    <w:p w:rsidR="006A1F3F" w:rsidRPr="006A1F3F" w:rsidRDefault="006A1F3F" w:rsidP="006A1F3F">
      <w:pPr>
        <w:spacing w:after="0" w:line="240" w:lineRule="auto"/>
        <w:rPr>
          <w:rFonts w:ascii="Times New Roman" w:eastAsia="Calibri" w:hAnsi="Times New Roman" w:cs="Times New Roman"/>
          <w:sz w:val="24"/>
        </w:rPr>
      </w:pPr>
      <w:r w:rsidRPr="006A1F3F">
        <w:rPr>
          <w:rFonts w:ascii="Times New Roman" w:eastAsia="Calibri" w:hAnsi="Times New Roman" w:cs="Times New Roman"/>
          <w:sz w:val="24"/>
        </w:rPr>
        <w:t>This Declaration</w:t>
      </w:r>
      <w:r w:rsidR="00DE6A99">
        <w:rPr>
          <w:rFonts w:ascii="Times New Roman" w:eastAsia="Calibri" w:hAnsi="Times New Roman" w:cs="Times New Roman"/>
          <w:sz w:val="24"/>
        </w:rPr>
        <w:t>, though not subject to disallowance,</w:t>
      </w:r>
      <w:r w:rsidRPr="006A1F3F">
        <w:rPr>
          <w:rFonts w:ascii="Times New Roman" w:eastAsia="Calibri" w:hAnsi="Times New Roman" w:cs="Times New Roman"/>
          <w:sz w:val="24"/>
        </w:rPr>
        <w:t xml:space="preserve"> is compatible with the human right and freedoms recognised or declared in the international instruments listed in section 3 of the </w:t>
      </w:r>
      <w:r w:rsidRPr="006A1F3F">
        <w:rPr>
          <w:rFonts w:ascii="Times New Roman" w:eastAsia="Calibri" w:hAnsi="Times New Roman" w:cs="Times New Roman"/>
          <w:i/>
          <w:sz w:val="24"/>
        </w:rPr>
        <w:t>Human Rights (Parliamentary Scrutiny) Act 2011</w:t>
      </w:r>
      <w:r w:rsidRPr="006A1F3F">
        <w:rPr>
          <w:rFonts w:ascii="Times New Roman" w:eastAsia="Calibri" w:hAnsi="Times New Roman" w:cs="Times New Roman"/>
          <w:sz w:val="24"/>
        </w:rPr>
        <w:t>. The Declaration does not engage any applicable rights or freedoms, other than to provide an additional financial benefit to the affected person that assists them to exercise their right to the enjoyment of just and favourable conditions of work (article 7 of the International Covenant of Economic, Social and Cultural Rights).</w:t>
      </w:r>
    </w:p>
    <w:p w:rsidR="006A1F3F" w:rsidRPr="006A1F3F" w:rsidRDefault="006A1F3F" w:rsidP="006A1F3F">
      <w:pPr>
        <w:spacing w:after="0" w:line="240" w:lineRule="auto"/>
        <w:rPr>
          <w:rFonts w:ascii="Times New Roman" w:eastAsia="Calibri" w:hAnsi="Times New Roman" w:cs="Times New Roman"/>
          <w:sz w:val="24"/>
        </w:rPr>
      </w:pPr>
    </w:p>
    <w:p w:rsidR="006A1F3F" w:rsidRPr="006A1F3F" w:rsidRDefault="006A1F3F" w:rsidP="006A1F3F">
      <w:pPr>
        <w:spacing w:after="0" w:line="240" w:lineRule="auto"/>
        <w:rPr>
          <w:rFonts w:ascii="Times New Roman" w:eastAsia="Calibri" w:hAnsi="Times New Roman" w:cs="Times New Roman"/>
          <w:sz w:val="24"/>
        </w:rPr>
      </w:pPr>
    </w:p>
    <w:p w:rsidR="006A1F3F" w:rsidRPr="006A1F3F" w:rsidRDefault="006A1F3F" w:rsidP="006A1F3F">
      <w:pPr>
        <w:tabs>
          <w:tab w:val="left" w:pos="714"/>
          <w:tab w:val="left" w:pos="1224"/>
          <w:tab w:val="left" w:pos="1734"/>
          <w:tab w:val="left" w:pos="2131"/>
          <w:tab w:val="left" w:pos="3604"/>
          <w:tab w:val="left" w:pos="4512"/>
          <w:tab w:val="left" w:pos="5192"/>
          <w:tab w:val="left" w:pos="5670"/>
          <w:tab w:val="left" w:pos="6496"/>
          <w:tab w:val="left" w:pos="6804"/>
        </w:tabs>
        <w:spacing w:after="0" w:line="240" w:lineRule="auto"/>
        <w:ind w:left="5670" w:hanging="5670"/>
        <w:rPr>
          <w:rFonts w:ascii="Times New Roman" w:eastAsia="Calibri" w:hAnsi="Times New Roman" w:cs="Times New Roman"/>
          <w:i/>
          <w:sz w:val="24"/>
        </w:rPr>
      </w:pPr>
      <w:r w:rsidRPr="006A1F3F">
        <w:rPr>
          <w:rFonts w:ascii="Times New Roman" w:eastAsia="Calibri" w:hAnsi="Times New Roman" w:cs="Times New Roman"/>
          <w:sz w:val="24"/>
        </w:rPr>
        <w:tab/>
      </w:r>
      <w:r w:rsidRPr="006A1F3F">
        <w:rPr>
          <w:rFonts w:ascii="Times New Roman" w:eastAsia="Calibri" w:hAnsi="Times New Roman" w:cs="Times New Roman"/>
          <w:sz w:val="24"/>
        </w:rPr>
        <w:tab/>
      </w:r>
      <w:r w:rsidRPr="006A1F3F">
        <w:rPr>
          <w:rFonts w:ascii="Times New Roman" w:eastAsia="Calibri" w:hAnsi="Times New Roman" w:cs="Times New Roman"/>
          <w:sz w:val="24"/>
        </w:rPr>
        <w:tab/>
      </w:r>
      <w:r w:rsidRPr="006A1F3F">
        <w:rPr>
          <w:rFonts w:ascii="Times New Roman" w:eastAsia="Calibri" w:hAnsi="Times New Roman" w:cs="Times New Roman"/>
          <w:sz w:val="24"/>
        </w:rPr>
        <w:tab/>
      </w:r>
      <w:r w:rsidRPr="006A1F3F">
        <w:rPr>
          <w:rFonts w:ascii="Times New Roman" w:eastAsia="Calibri" w:hAnsi="Times New Roman" w:cs="Times New Roman"/>
          <w:sz w:val="24"/>
        </w:rPr>
        <w:tab/>
      </w:r>
      <w:r w:rsidRPr="006A1F3F">
        <w:rPr>
          <w:rFonts w:ascii="Times New Roman" w:eastAsia="Calibri" w:hAnsi="Times New Roman" w:cs="Times New Roman"/>
          <w:sz w:val="24"/>
        </w:rPr>
        <w:tab/>
        <w:t>Authority:</w:t>
      </w:r>
      <w:r w:rsidRPr="006A1F3F">
        <w:rPr>
          <w:rFonts w:ascii="Times New Roman" w:eastAsia="Calibri" w:hAnsi="Times New Roman" w:cs="Times New Roman"/>
          <w:sz w:val="24"/>
        </w:rPr>
        <w:tab/>
        <w:t>Paragraph (f) of subsection 30(1) of the</w:t>
      </w:r>
      <w:r w:rsidRPr="006A1F3F">
        <w:rPr>
          <w:rFonts w:ascii="Times New Roman" w:eastAsia="Calibri" w:hAnsi="Times New Roman" w:cs="Times New Roman"/>
          <w:i/>
          <w:sz w:val="24"/>
        </w:rPr>
        <w:t xml:space="preserve"> Military Superannuation and Benefits Act 1991</w:t>
      </w:r>
      <w:r w:rsidRPr="006A1F3F">
        <w:rPr>
          <w:rFonts w:ascii="Times New Roman" w:eastAsia="Calibri" w:hAnsi="Times New Roman" w:cs="Times New Roman"/>
          <w:sz w:val="24"/>
        </w:rPr>
        <w:t>, as continued in force by item 4 of Schedule 4 to the Defence Legislation Amendment Act (No.1) 2005.</w:t>
      </w:r>
    </w:p>
    <w:p w:rsidR="006A1F3F" w:rsidRPr="006A1F3F" w:rsidRDefault="006A1F3F" w:rsidP="006A1F3F">
      <w:pPr>
        <w:rPr>
          <w:rFonts w:ascii="Times New Roman" w:eastAsia="Calibri" w:hAnsi="Times New Roman" w:cs="Times New Roman"/>
          <w:i/>
          <w:sz w:val="24"/>
        </w:rPr>
      </w:pPr>
    </w:p>
    <w:p w:rsidR="00D25EBD" w:rsidRDefault="00D25EBD"/>
    <w:sectPr w:rsidR="00D25EBD" w:rsidSect="00361CE9">
      <w:headerReference w:type="default" r:id="rId9"/>
      <w:headerReference w:type="first" r:id="rId10"/>
      <w:footerReference w:type="first" r:id="rId11"/>
      <w:pgSz w:w="11906" w:h="16838"/>
      <w:pgMar w:top="1134" w:right="128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EB" w:rsidRDefault="00AD72EB">
      <w:pPr>
        <w:spacing w:after="0" w:line="240" w:lineRule="auto"/>
      </w:pPr>
      <w:r>
        <w:separator/>
      </w:r>
    </w:p>
  </w:endnote>
  <w:endnote w:type="continuationSeparator" w:id="0">
    <w:p w:rsidR="00AD72EB" w:rsidRDefault="00AD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FB" w:rsidRPr="002F3F9E" w:rsidRDefault="006A1F3F" w:rsidP="007D1DFB">
    <w:pPr>
      <w:pStyle w:val="Header"/>
      <w:jc w:val="center"/>
      <w:rPr>
        <w:rFonts w:ascii="Times New Roman" w:hAnsi="Times New Roman"/>
        <w:sz w:val="24"/>
        <w:szCs w:val="24"/>
      </w:rPr>
    </w:pPr>
    <w:r>
      <w:rPr>
        <w:rFonts w:ascii="Times New Roman" w:hAnsi="Times New Roman"/>
        <w:sz w:val="24"/>
        <w:szCs w:val="24"/>
      </w:rPr>
      <w:t>INSERT CLASSIFICATION (DELETE IF NOT REQUIRED)</w:t>
    </w:r>
  </w:p>
  <w:p w:rsidR="007D1DFB" w:rsidRPr="007D1DFB" w:rsidRDefault="00E32396" w:rsidP="007D1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EB" w:rsidRDefault="00AD72EB">
      <w:pPr>
        <w:spacing w:after="0" w:line="240" w:lineRule="auto"/>
      </w:pPr>
      <w:r>
        <w:separator/>
      </w:r>
    </w:p>
  </w:footnote>
  <w:footnote w:type="continuationSeparator" w:id="0">
    <w:p w:rsidR="00AD72EB" w:rsidRDefault="00AD7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12" w:rsidRPr="00A91784" w:rsidRDefault="00E32396" w:rsidP="006B2BF5">
    <w:pPr>
      <w:pStyle w:val="Header"/>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FB" w:rsidRPr="002F3F9E" w:rsidRDefault="006A1F3F" w:rsidP="007D1DFB">
    <w:pPr>
      <w:pStyle w:val="Header"/>
      <w:jc w:val="center"/>
      <w:rPr>
        <w:rFonts w:ascii="Times New Roman" w:hAnsi="Times New Roman"/>
        <w:sz w:val="24"/>
        <w:szCs w:val="24"/>
      </w:rPr>
    </w:pPr>
    <w:r>
      <w:rPr>
        <w:rFonts w:ascii="Times New Roman" w:hAnsi="Times New Roman"/>
        <w:sz w:val="24"/>
        <w:szCs w:val="24"/>
      </w:rPr>
      <w:t>INSERT CLASSIFICATION (DELETE IF NOT REQUIRED)</w:t>
    </w:r>
  </w:p>
  <w:p w:rsidR="00DB28DD" w:rsidRPr="00DB28DD" w:rsidRDefault="00E32396" w:rsidP="00DB28D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AA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3F"/>
    <w:rsid w:val="00261216"/>
    <w:rsid w:val="004B7E2D"/>
    <w:rsid w:val="00514B28"/>
    <w:rsid w:val="00535B7D"/>
    <w:rsid w:val="005B12E2"/>
    <w:rsid w:val="006A1F3F"/>
    <w:rsid w:val="00A92713"/>
    <w:rsid w:val="00AD72EB"/>
    <w:rsid w:val="00B46D4A"/>
    <w:rsid w:val="00D25EBD"/>
    <w:rsid w:val="00DE6A99"/>
    <w:rsid w:val="00E32396"/>
    <w:rsid w:val="00F66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1"/>
    <w:semiHidden/>
    <w:rsid w:val="006A1F3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uiPriority w:val="99"/>
    <w:semiHidden/>
    <w:rsid w:val="006A1F3F"/>
  </w:style>
  <w:style w:type="character" w:customStyle="1" w:styleId="HeaderChar1">
    <w:name w:val="Header Char1"/>
    <w:aliases w:val="Header Char1 Char Char,Header Char Char1 Char Char,Header Char Char Char Char Char,Header Char1 Char Char Char Char Char,Header Char Char1 Char Char Char Char Char,Header Char Char Char Char Char Char1 Char Char"/>
    <w:basedOn w:val="DefaultParagraphFont"/>
    <w:link w:val="Header"/>
    <w:semiHidden/>
    <w:rsid w:val="006A1F3F"/>
    <w:rPr>
      <w:rFonts w:ascii="Calibri" w:eastAsia="Calibri" w:hAnsi="Calibri" w:cs="Times New Roman"/>
    </w:rPr>
  </w:style>
  <w:style w:type="paragraph" w:styleId="Footer">
    <w:name w:val="footer"/>
    <w:basedOn w:val="Normal"/>
    <w:link w:val="FooterChar"/>
    <w:rsid w:val="006A1F3F"/>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6A1F3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1"/>
    <w:semiHidden/>
    <w:rsid w:val="006A1F3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uiPriority w:val="99"/>
    <w:semiHidden/>
    <w:rsid w:val="006A1F3F"/>
  </w:style>
  <w:style w:type="character" w:customStyle="1" w:styleId="HeaderChar1">
    <w:name w:val="Header Char1"/>
    <w:aliases w:val="Header Char1 Char Char,Header Char Char1 Char Char,Header Char Char Char Char Char,Header Char1 Char Char Char Char Char,Header Char Char1 Char Char Char Char Char,Header Char Char Char Char Char Char1 Char Char"/>
    <w:basedOn w:val="DefaultParagraphFont"/>
    <w:link w:val="Header"/>
    <w:semiHidden/>
    <w:rsid w:val="006A1F3F"/>
    <w:rPr>
      <w:rFonts w:ascii="Calibri" w:eastAsia="Calibri" w:hAnsi="Calibri" w:cs="Times New Roman"/>
    </w:rPr>
  </w:style>
  <w:style w:type="paragraph" w:styleId="Footer">
    <w:name w:val="footer"/>
    <w:basedOn w:val="Normal"/>
    <w:link w:val="FooterChar"/>
    <w:rsid w:val="006A1F3F"/>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6A1F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5C7C-49DD-4578-9172-3C6B6372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Don WOFF</dc:creator>
  <cp:lastModifiedBy>Skinner, Richard MR</cp:lastModifiedBy>
  <cp:revision>2</cp:revision>
  <dcterms:created xsi:type="dcterms:W3CDTF">2017-10-04T03:56:00Z</dcterms:created>
  <dcterms:modified xsi:type="dcterms:W3CDTF">2017-10-04T03:56:00Z</dcterms:modified>
</cp:coreProperties>
</file>