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40D" w:rsidRPr="00AC4533" w:rsidRDefault="0012540D" w:rsidP="00520804">
      <w:pPr>
        <w:jc w:val="center"/>
        <w:rPr>
          <w:rFonts w:ascii="Arial" w:hAnsi="Arial" w:cs="Arial"/>
          <w:b/>
          <w:bCs/>
        </w:rPr>
      </w:pPr>
      <w:r w:rsidRPr="00AC4533">
        <w:rPr>
          <w:rFonts w:ascii="Arial" w:hAnsi="Arial" w:cs="Arial"/>
          <w:b/>
          <w:bCs/>
        </w:rPr>
        <w:t>EXPLANATORY STATEMENT</w:t>
      </w:r>
    </w:p>
    <w:p w:rsidR="0012540D" w:rsidRPr="00AC4533" w:rsidRDefault="00910988" w:rsidP="00910988">
      <w:pPr>
        <w:spacing w:before="240"/>
        <w:jc w:val="center"/>
        <w:rPr>
          <w:rFonts w:ascii="Arial" w:hAnsi="Arial" w:cs="Arial"/>
          <w:b/>
          <w:i/>
        </w:rPr>
      </w:pPr>
      <w:r w:rsidRPr="00AC4533">
        <w:rPr>
          <w:rFonts w:ascii="Arial" w:hAnsi="Arial" w:cs="Arial"/>
          <w:b/>
          <w:i/>
        </w:rPr>
        <w:t xml:space="preserve">A New Tax System </w:t>
      </w:r>
      <w:r w:rsidR="00391201" w:rsidRPr="00AC4533">
        <w:rPr>
          <w:rFonts w:ascii="Arial" w:hAnsi="Arial" w:cs="Arial"/>
          <w:b/>
          <w:i/>
        </w:rPr>
        <w:t xml:space="preserve">(Goods and Services Tax) </w:t>
      </w:r>
      <w:r w:rsidR="007C20E2" w:rsidRPr="00AC4533">
        <w:rPr>
          <w:rFonts w:ascii="Arial" w:hAnsi="Arial" w:cs="Arial"/>
          <w:b/>
          <w:i/>
        </w:rPr>
        <w:t>(</w:t>
      </w:r>
      <w:r w:rsidR="00391201" w:rsidRPr="00AC4533">
        <w:rPr>
          <w:rFonts w:ascii="Arial" w:hAnsi="Arial" w:cs="Arial"/>
          <w:b/>
          <w:i/>
        </w:rPr>
        <w:t>Tertiary</w:t>
      </w:r>
      <w:bookmarkStart w:id="0" w:name="_GoBack"/>
      <w:bookmarkEnd w:id="0"/>
      <w:r w:rsidR="00391201" w:rsidRPr="00AC4533">
        <w:rPr>
          <w:rFonts w:ascii="Arial" w:hAnsi="Arial" w:cs="Arial"/>
          <w:b/>
          <w:i/>
        </w:rPr>
        <w:t xml:space="preserve"> C</w:t>
      </w:r>
      <w:r w:rsidRPr="00AC4533">
        <w:rPr>
          <w:rFonts w:ascii="Arial" w:hAnsi="Arial" w:cs="Arial"/>
          <w:b/>
          <w:i/>
        </w:rPr>
        <w:t>ourse</w:t>
      </w:r>
      <w:r w:rsidR="00836AD1" w:rsidRPr="00AC4533">
        <w:rPr>
          <w:rFonts w:ascii="Arial" w:hAnsi="Arial" w:cs="Arial"/>
          <w:b/>
          <w:i/>
        </w:rPr>
        <w:t>s</w:t>
      </w:r>
      <w:r w:rsidR="007C20E2" w:rsidRPr="00AC4533">
        <w:rPr>
          <w:rFonts w:ascii="Arial" w:hAnsi="Arial" w:cs="Arial"/>
          <w:b/>
          <w:i/>
        </w:rPr>
        <w:t>)</w:t>
      </w:r>
      <w:r w:rsidRPr="00AC4533">
        <w:rPr>
          <w:rFonts w:ascii="Arial" w:hAnsi="Arial" w:cs="Arial"/>
          <w:b/>
          <w:i/>
        </w:rPr>
        <w:t xml:space="preserve"> Determination </w:t>
      </w:r>
      <w:r w:rsidR="00E077DB" w:rsidRPr="00AC4533">
        <w:rPr>
          <w:rFonts w:ascii="Arial" w:hAnsi="Arial" w:cs="Arial"/>
          <w:b/>
          <w:i/>
        </w:rPr>
        <w:t>2017</w:t>
      </w:r>
    </w:p>
    <w:p w:rsidR="0012540D" w:rsidRPr="00AC4533" w:rsidRDefault="00C7042F" w:rsidP="00520804">
      <w:pPr>
        <w:spacing w:before="240"/>
        <w:jc w:val="both"/>
        <w:rPr>
          <w:rFonts w:ascii="Arial" w:hAnsi="Arial" w:cs="Arial"/>
          <w:bCs/>
        </w:rPr>
      </w:pPr>
      <w:r w:rsidRPr="00AC4533">
        <w:rPr>
          <w:rFonts w:ascii="Arial" w:hAnsi="Arial" w:cs="Arial"/>
          <w:b/>
          <w:bCs/>
        </w:rPr>
        <w:t>Summary</w:t>
      </w:r>
    </w:p>
    <w:p w:rsidR="008F35EF" w:rsidRPr="00AC4533" w:rsidRDefault="00A7367B" w:rsidP="00520804">
      <w:pPr>
        <w:spacing w:before="240"/>
        <w:jc w:val="both"/>
        <w:rPr>
          <w:rFonts w:ascii="Arial" w:hAnsi="Arial" w:cs="Arial"/>
        </w:rPr>
      </w:pPr>
      <w:r w:rsidRPr="00AC4533">
        <w:rPr>
          <w:rFonts w:ascii="Arial" w:hAnsi="Arial" w:cs="Arial"/>
        </w:rPr>
        <w:t xml:space="preserve">The </w:t>
      </w:r>
      <w:r w:rsidRPr="00AC4533">
        <w:rPr>
          <w:rFonts w:ascii="Arial" w:hAnsi="Arial" w:cs="Arial"/>
          <w:i/>
        </w:rPr>
        <w:t>A New Tax System (Good</w:t>
      </w:r>
      <w:r w:rsidR="00391201" w:rsidRPr="00AC4533">
        <w:rPr>
          <w:rFonts w:ascii="Arial" w:hAnsi="Arial" w:cs="Arial"/>
          <w:i/>
        </w:rPr>
        <w:t>s and Services Tax)</w:t>
      </w:r>
      <w:r w:rsidR="00BB3450" w:rsidRPr="00AC4533">
        <w:rPr>
          <w:rFonts w:ascii="Arial" w:hAnsi="Arial" w:cs="Arial"/>
          <w:i/>
        </w:rPr>
        <w:t xml:space="preserve"> </w:t>
      </w:r>
      <w:r w:rsidR="00391201" w:rsidRPr="00AC4533">
        <w:rPr>
          <w:rFonts w:ascii="Arial" w:hAnsi="Arial" w:cs="Arial"/>
          <w:i/>
        </w:rPr>
        <w:t>(Tertiary C</w:t>
      </w:r>
      <w:r w:rsidRPr="00AC4533">
        <w:rPr>
          <w:rFonts w:ascii="Arial" w:hAnsi="Arial" w:cs="Arial"/>
          <w:i/>
        </w:rPr>
        <w:t>ourses)</w:t>
      </w:r>
      <w:r w:rsidR="00677E92" w:rsidRPr="00AC4533">
        <w:rPr>
          <w:rFonts w:ascii="Arial" w:hAnsi="Arial" w:cs="Arial"/>
          <w:i/>
        </w:rPr>
        <w:t xml:space="preserve"> </w:t>
      </w:r>
      <w:r w:rsidRPr="00AC4533">
        <w:rPr>
          <w:rFonts w:ascii="Arial" w:hAnsi="Arial" w:cs="Arial"/>
          <w:i/>
        </w:rPr>
        <w:t xml:space="preserve">Determination </w:t>
      </w:r>
      <w:r w:rsidR="00CE4F50" w:rsidRPr="00AC4533">
        <w:rPr>
          <w:rFonts w:ascii="Arial" w:hAnsi="Arial" w:cs="Arial"/>
          <w:i/>
        </w:rPr>
        <w:t>2017</w:t>
      </w:r>
      <w:r w:rsidR="00CE4F50" w:rsidRPr="00AC4533">
        <w:rPr>
          <w:rFonts w:ascii="Arial" w:hAnsi="Arial" w:cs="Arial"/>
        </w:rPr>
        <w:t xml:space="preserve"> </w:t>
      </w:r>
      <w:r w:rsidRPr="00AC4533">
        <w:rPr>
          <w:rFonts w:ascii="Arial" w:hAnsi="Arial" w:cs="Arial"/>
        </w:rPr>
        <w:t xml:space="preserve">(the </w:t>
      </w:r>
      <w:r w:rsidRPr="00AC4533">
        <w:rPr>
          <w:rFonts w:ascii="Arial" w:hAnsi="Arial" w:cs="Arial"/>
          <w:b/>
        </w:rPr>
        <w:t>Determination</w:t>
      </w:r>
      <w:r w:rsidRPr="00AC4533">
        <w:rPr>
          <w:rFonts w:ascii="Arial" w:hAnsi="Arial" w:cs="Arial"/>
        </w:rPr>
        <w:t>)</w:t>
      </w:r>
      <w:r w:rsidR="00836AD1" w:rsidRPr="00AC4533">
        <w:rPr>
          <w:rFonts w:ascii="Arial" w:hAnsi="Arial" w:cs="Arial"/>
        </w:rPr>
        <w:t xml:space="preserve"> is </w:t>
      </w:r>
      <w:r w:rsidRPr="00AC4533">
        <w:rPr>
          <w:rFonts w:ascii="Arial" w:hAnsi="Arial" w:cs="Arial"/>
        </w:rPr>
        <w:t xml:space="preserve">a legislative instrument </w:t>
      </w:r>
      <w:r w:rsidR="00836AD1" w:rsidRPr="00AC4533">
        <w:rPr>
          <w:rFonts w:ascii="Arial" w:hAnsi="Arial" w:cs="Arial"/>
        </w:rPr>
        <w:t xml:space="preserve">made under paragraph (b) of the definition of ‘tertiary course’ in section 195-1 of the </w:t>
      </w:r>
      <w:r w:rsidR="00836AD1" w:rsidRPr="00AC4533">
        <w:rPr>
          <w:rFonts w:ascii="Arial" w:hAnsi="Arial" w:cs="Arial"/>
          <w:i/>
        </w:rPr>
        <w:t xml:space="preserve">A </w:t>
      </w:r>
      <w:r w:rsidR="00C7042F" w:rsidRPr="00AC4533">
        <w:rPr>
          <w:rFonts w:ascii="Arial" w:hAnsi="Arial" w:cs="Arial"/>
          <w:i/>
        </w:rPr>
        <w:t>New Tax System (Goods and Services</w:t>
      </w:r>
      <w:r w:rsidR="00B54C98" w:rsidRPr="00AC4533">
        <w:rPr>
          <w:rFonts w:ascii="Arial" w:hAnsi="Arial" w:cs="Arial"/>
          <w:i/>
        </w:rPr>
        <w:t xml:space="preserve"> Tax</w:t>
      </w:r>
      <w:r w:rsidR="00C7042F" w:rsidRPr="00AC4533">
        <w:rPr>
          <w:rFonts w:ascii="Arial" w:hAnsi="Arial" w:cs="Arial"/>
          <w:i/>
        </w:rPr>
        <w:t xml:space="preserve">) Act 1999 </w:t>
      </w:r>
      <w:r w:rsidR="00C7042F" w:rsidRPr="00AC4533">
        <w:rPr>
          <w:rFonts w:ascii="Arial" w:hAnsi="Arial" w:cs="Arial"/>
        </w:rPr>
        <w:t>(</w:t>
      </w:r>
      <w:r w:rsidR="00DE0CD5" w:rsidRPr="00AC4533">
        <w:rPr>
          <w:rFonts w:ascii="Arial" w:hAnsi="Arial" w:cs="Arial"/>
        </w:rPr>
        <w:t xml:space="preserve">the </w:t>
      </w:r>
      <w:r w:rsidR="00A97EEA" w:rsidRPr="00AC4533">
        <w:rPr>
          <w:rFonts w:ascii="Arial" w:hAnsi="Arial" w:cs="Arial"/>
          <w:b/>
        </w:rPr>
        <w:t xml:space="preserve">GST </w:t>
      </w:r>
      <w:r w:rsidR="00C7042F" w:rsidRPr="00AC4533">
        <w:rPr>
          <w:rFonts w:ascii="Arial" w:hAnsi="Arial" w:cs="Arial"/>
          <w:b/>
        </w:rPr>
        <w:t>Act</w:t>
      </w:r>
      <w:r w:rsidR="00C7042F" w:rsidRPr="00AC4533">
        <w:rPr>
          <w:rFonts w:ascii="Arial" w:hAnsi="Arial" w:cs="Arial"/>
        </w:rPr>
        <w:t>)</w:t>
      </w:r>
      <w:r w:rsidRPr="00AC4533">
        <w:rPr>
          <w:rFonts w:ascii="Arial" w:hAnsi="Arial" w:cs="Arial"/>
        </w:rPr>
        <w:t>. That</w:t>
      </w:r>
      <w:r w:rsidR="00C7042F" w:rsidRPr="00AC4533">
        <w:rPr>
          <w:rFonts w:ascii="Arial" w:hAnsi="Arial" w:cs="Arial"/>
        </w:rPr>
        <w:t xml:space="preserve"> </w:t>
      </w:r>
      <w:r w:rsidRPr="00AC4533">
        <w:rPr>
          <w:rFonts w:ascii="Arial" w:hAnsi="Arial" w:cs="Arial"/>
        </w:rPr>
        <w:t xml:space="preserve">paragraph </w:t>
      </w:r>
      <w:r w:rsidR="00C7042F" w:rsidRPr="00AC4533">
        <w:rPr>
          <w:rFonts w:ascii="Arial" w:hAnsi="Arial" w:cs="Arial"/>
        </w:rPr>
        <w:t xml:space="preserve">allows the </w:t>
      </w:r>
      <w:r w:rsidR="006969AD" w:rsidRPr="00AC4533">
        <w:rPr>
          <w:rFonts w:ascii="Arial" w:hAnsi="Arial" w:cs="Arial"/>
        </w:rPr>
        <w:t xml:space="preserve">Student Assistance </w:t>
      </w:r>
      <w:r w:rsidR="00FC2725" w:rsidRPr="00AC4533">
        <w:rPr>
          <w:rFonts w:ascii="Arial" w:hAnsi="Arial" w:cs="Arial"/>
        </w:rPr>
        <w:t>Minister</w:t>
      </w:r>
      <w:r w:rsidR="00C7042F" w:rsidRPr="00AC4533">
        <w:rPr>
          <w:rFonts w:ascii="Arial" w:hAnsi="Arial" w:cs="Arial"/>
        </w:rPr>
        <w:t xml:space="preserve"> </w:t>
      </w:r>
      <w:r w:rsidR="003222AE" w:rsidRPr="00AC4533">
        <w:rPr>
          <w:rFonts w:ascii="Arial" w:hAnsi="Arial" w:cs="Arial"/>
        </w:rPr>
        <w:t xml:space="preserve">(being the Minister administering the </w:t>
      </w:r>
      <w:r w:rsidR="003222AE" w:rsidRPr="00AC4533">
        <w:rPr>
          <w:rFonts w:ascii="Arial" w:hAnsi="Arial" w:cs="Arial"/>
          <w:i/>
        </w:rPr>
        <w:t>Student Assistance Act 1973</w:t>
      </w:r>
      <w:r w:rsidR="00D85F62" w:rsidRPr="00AC4533">
        <w:rPr>
          <w:rFonts w:ascii="Arial" w:hAnsi="Arial" w:cs="Arial"/>
        </w:rPr>
        <w:t xml:space="preserve"> (</w:t>
      </w:r>
      <w:r w:rsidR="00DE0CD5" w:rsidRPr="00AC4533">
        <w:rPr>
          <w:rFonts w:ascii="Arial" w:hAnsi="Arial" w:cs="Arial"/>
        </w:rPr>
        <w:t xml:space="preserve">the </w:t>
      </w:r>
      <w:r w:rsidR="00D85F62" w:rsidRPr="00AC4533">
        <w:rPr>
          <w:rFonts w:ascii="Arial" w:hAnsi="Arial" w:cs="Arial"/>
          <w:b/>
        </w:rPr>
        <w:t>Student Assistance Act</w:t>
      </w:r>
      <w:r w:rsidR="00D85F62" w:rsidRPr="00AC4533">
        <w:rPr>
          <w:rFonts w:ascii="Arial" w:hAnsi="Arial" w:cs="Arial"/>
        </w:rPr>
        <w:t>)</w:t>
      </w:r>
      <w:r w:rsidR="007A0F02" w:rsidRPr="00AC4533">
        <w:rPr>
          <w:rFonts w:ascii="Arial" w:hAnsi="Arial" w:cs="Arial"/>
        </w:rPr>
        <w:t>)</w:t>
      </w:r>
      <w:r w:rsidR="003222AE" w:rsidRPr="00AC4533">
        <w:rPr>
          <w:rFonts w:ascii="Arial" w:hAnsi="Arial" w:cs="Arial"/>
        </w:rPr>
        <w:t xml:space="preserve"> </w:t>
      </w:r>
      <w:r w:rsidR="00C7042F" w:rsidRPr="00AC4533">
        <w:rPr>
          <w:rFonts w:ascii="Arial" w:hAnsi="Arial" w:cs="Arial"/>
        </w:rPr>
        <w:t xml:space="preserve">to determine that a course of study or instruction is a tertiary course for the purposes of the </w:t>
      </w:r>
      <w:r w:rsidR="00A97EEA" w:rsidRPr="00AC4533">
        <w:rPr>
          <w:rFonts w:ascii="Arial" w:hAnsi="Arial" w:cs="Arial"/>
        </w:rPr>
        <w:t xml:space="preserve">GST </w:t>
      </w:r>
      <w:r w:rsidR="008F35EF" w:rsidRPr="00AC4533">
        <w:rPr>
          <w:rFonts w:ascii="Arial" w:hAnsi="Arial" w:cs="Arial"/>
        </w:rPr>
        <w:t xml:space="preserve">Act. </w:t>
      </w:r>
    </w:p>
    <w:p w:rsidR="00F855B5" w:rsidRPr="00AC4533" w:rsidRDefault="00F855B5" w:rsidP="00520804">
      <w:pPr>
        <w:spacing w:before="240"/>
        <w:jc w:val="both"/>
        <w:rPr>
          <w:rFonts w:ascii="Arial" w:hAnsi="Arial" w:cs="Arial"/>
          <w:bCs/>
        </w:rPr>
      </w:pPr>
      <w:r w:rsidRPr="00AC4533">
        <w:rPr>
          <w:rFonts w:ascii="Arial" w:hAnsi="Arial" w:cs="Arial"/>
          <w:b/>
          <w:bCs/>
        </w:rPr>
        <w:t>Background</w:t>
      </w:r>
    </w:p>
    <w:p w:rsidR="00E55238" w:rsidRPr="00AC4533" w:rsidRDefault="00E55238" w:rsidP="00E55238">
      <w:pPr>
        <w:pStyle w:val="ListParagraph"/>
        <w:ind w:left="0"/>
        <w:jc w:val="both"/>
        <w:rPr>
          <w:sz w:val="22"/>
          <w:szCs w:val="22"/>
        </w:rPr>
      </w:pPr>
    </w:p>
    <w:p w:rsidR="00836AD1" w:rsidRPr="00AC4533" w:rsidRDefault="00836AD1" w:rsidP="00836AD1">
      <w:pPr>
        <w:jc w:val="both"/>
        <w:rPr>
          <w:rFonts w:ascii="Arial" w:hAnsi="Arial" w:cs="Arial"/>
          <w:szCs w:val="20"/>
        </w:rPr>
      </w:pPr>
      <w:r w:rsidRPr="00AC4533">
        <w:rPr>
          <w:rFonts w:ascii="Arial" w:hAnsi="Arial" w:cs="Arial"/>
          <w:szCs w:val="20"/>
        </w:rPr>
        <w:t>Section 38</w:t>
      </w:r>
      <w:r w:rsidR="00677E92" w:rsidRPr="00AC4533">
        <w:rPr>
          <w:rFonts w:ascii="Arial" w:hAnsi="Arial" w:cs="Arial"/>
          <w:szCs w:val="20"/>
        </w:rPr>
        <w:noBreakHyphen/>
      </w:r>
      <w:r w:rsidRPr="00AC4533">
        <w:rPr>
          <w:rFonts w:ascii="Arial" w:hAnsi="Arial" w:cs="Arial"/>
          <w:szCs w:val="20"/>
        </w:rPr>
        <w:t xml:space="preserve">85 of the GST Act provides that the supply of an education course and administrative services directly related to the supply of such a course (if they are supplied by the supplier of the course) are GST-free. An </w:t>
      </w:r>
      <w:r w:rsidR="00391201" w:rsidRPr="00AC4533">
        <w:rPr>
          <w:rFonts w:ascii="Arial" w:hAnsi="Arial" w:cs="Arial"/>
          <w:szCs w:val="20"/>
        </w:rPr>
        <w:t>‘</w:t>
      </w:r>
      <w:r w:rsidRPr="00AC4533">
        <w:rPr>
          <w:rFonts w:ascii="Arial" w:hAnsi="Arial" w:cs="Arial"/>
          <w:szCs w:val="20"/>
        </w:rPr>
        <w:t>education course</w:t>
      </w:r>
      <w:r w:rsidR="00391201" w:rsidRPr="00AC4533">
        <w:rPr>
          <w:rFonts w:ascii="Arial" w:hAnsi="Arial" w:cs="Arial"/>
          <w:szCs w:val="20"/>
        </w:rPr>
        <w:t>’</w:t>
      </w:r>
      <w:r w:rsidRPr="00AC4533">
        <w:rPr>
          <w:rFonts w:ascii="Arial" w:hAnsi="Arial" w:cs="Arial"/>
          <w:szCs w:val="20"/>
        </w:rPr>
        <w:t xml:space="preserve"> is defined in section 195-1 of the GST Act to include a </w:t>
      </w:r>
      <w:r w:rsidR="00391201" w:rsidRPr="00AC4533">
        <w:rPr>
          <w:rFonts w:ascii="Arial" w:hAnsi="Arial" w:cs="Arial"/>
          <w:szCs w:val="20"/>
        </w:rPr>
        <w:t>‘</w:t>
      </w:r>
      <w:r w:rsidRPr="00AC4533">
        <w:rPr>
          <w:rFonts w:ascii="Arial" w:hAnsi="Arial" w:cs="Arial"/>
          <w:szCs w:val="20"/>
        </w:rPr>
        <w:t>tertiary course</w:t>
      </w:r>
      <w:r w:rsidR="00391201" w:rsidRPr="00AC4533">
        <w:rPr>
          <w:rFonts w:ascii="Arial" w:hAnsi="Arial" w:cs="Arial"/>
          <w:szCs w:val="20"/>
        </w:rPr>
        <w:t>’</w:t>
      </w:r>
      <w:r w:rsidRPr="00AC4533">
        <w:rPr>
          <w:rFonts w:ascii="Arial" w:hAnsi="Arial" w:cs="Arial"/>
          <w:szCs w:val="20"/>
        </w:rPr>
        <w:t xml:space="preserve">, which is defined in that section </w:t>
      </w:r>
      <w:r w:rsidR="00677E92" w:rsidRPr="00AC4533">
        <w:rPr>
          <w:rFonts w:ascii="Arial" w:hAnsi="Arial" w:cs="Arial"/>
          <w:szCs w:val="20"/>
        </w:rPr>
        <w:t xml:space="preserve">to </w:t>
      </w:r>
      <w:r w:rsidR="00954849" w:rsidRPr="00AC4533">
        <w:rPr>
          <w:rFonts w:ascii="Arial" w:hAnsi="Arial" w:cs="Arial"/>
          <w:szCs w:val="20"/>
        </w:rPr>
        <w:t>mean</w:t>
      </w:r>
      <w:r w:rsidRPr="00AC4533">
        <w:rPr>
          <w:rFonts w:ascii="Arial" w:hAnsi="Arial" w:cs="Arial"/>
          <w:szCs w:val="20"/>
        </w:rPr>
        <w:t>:</w:t>
      </w:r>
    </w:p>
    <w:p w:rsidR="008B6964" w:rsidRPr="00AC4533" w:rsidRDefault="008B6964" w:rsidP="00836AD1">
      <w:pPr>
        <w:jc w:val="both"/>
        <w:rPr>
          <w:rFonts w:ascii="Arial" w:hAnsi="Arial" w:cs="Arial"/>
          <w:szCs w:val="20"/>
        </w:rPr>
      </w:pPr>
    </w:p>
    <w:p w:rsidR="00836AD1" w:rsidRPr="00AC4533" w:rsidRDefault="00E70587" w:rsidP="00AE6241">
      <w:pPr>
        <w:pStyle w:val="ListParagraph"/>
        <w:ind w:left="1440" w:hanging="720"/>
        <w:jc w:val="both"/>
        <w:rPr>
          <w:rFonts w:ascii="Arial" w:hAnsi="Arial" w:cs="Arial"/>
          <w:szCs w:val="20"/>
        </w:rPr>
      </w:pPr>
      <w:r w:rsidRPr="00AC4533">
        <w:rPr>
          <w:rFonts w:ascii="Arial" w:hAnsi="Arial" w:cs="Arial"/>
          <w:szCs w:val="20"/>
        </w:rPr>
        <w:t xml:space="preserve">(a) </w:t>
      </w:r>
      <w:r w:rsidRPr="00AC4533">
        <w:rPr>
          <w:rFonts w:ascii="Arial" w:hAnsi="Arial" w:cs="Arial"/>
          <w:szCs w:val="20"/>
        </w:rPr>
        <w:tab/>
      </w:r>
      <w:r w:rsidR="00836AD1" w:rsidRPr="00AC4533">
        <w:rPr>
          <w:rFonts w:ascii="Arial" w:hAnsi="Arial" w:cs="Arial"/>
          <w:szCs w:val="20"/>
        </w:rPr>
        <w:t xml:space="preserve">a course of study or instruction that is a </w:t>
      </w:r>
      <w:hyperlink r:id="rId13" w:anchor="tertiary_course" w:history="1">
        <w:r w:rsidR="00836AD1" w:rsidRPr="00AC4533">
          <w:rPr>
            <w:rFonts w:ascii="Arial" w:hAnsi="Arial" w:cs="Arial"/>
            <w:szCs w:val="20"/>
          </w:rPr>
          <w:t>tertiary course</w:t>
        </w:r>
      </w:hyperlink>
      <w:r w:rsidR="00836AD1" w:rsidRPr="00AC4533">
        <w:rPr>
          <w:rFonts w:ascii="Arial" w:hAnsi="Arial" w:cs="Arial"/>
          <w:szCs w:val="20"/>
        </w:rPr>
        <w:t xml:space="preserve"> determined by the</w:t>
      </w:r>
      <w:r w:rsidR="00E533F4" w:rsidRPr="00AC4533">
        <w:rPr>
          <w:rFonts w:ascii="Arial" w:hAnsi="Arial" w:cs="Arial"/>
          <w:szCs w:val="20"/>
        </w:rPr>
        <w:t xml:space="preserve"> *Student Assistance Minister</w:t>
      </w:r>
      <w:r w:rsidR="00836AD1" w:rsidRPr="00AC4533">
        <w:rPr>
          <w:rFonts w:ascii="Arial" w:hAnsi="Arial" w:cs="Arial"/>
          <w:szCs w:val="20"/>
        </w:rPr>
        <w:t xml:space="preserve"> under </w:t>
      </w:r>
      <w:hyperlink r:id="rId14" w:history="1">
        <w:r w:rsidR="00836AD1" w:rsidRPr="00AC4533">
          <w:rPr>
            <w:rFonts w:ascii="Arial" w:hAnsi="Arial" w:cs="Arial"/>
            <w:szCs w:val="20"/>
          </w:rPr>
          <w:t>subsection 5D(1)</w:t>
        </w:r>
      </w:hyperlink>
      <w:r w:rsidR="00836AD1" w:rsidRPr="00AC4533">
        <w:rPr>
          <w:rFonts w:ascii="Arial" w:hAnsi="Arial" w:cs="Arial"/>
          <w:szCs w:val="20"/>
        </w:rPr>
        <w:t xml:space="preserve"> of the </w:t>
      </w:r>
      <w:hyperlink r:id="rId15" w:history="1">
        <w:r w:rsidR="00836AD1" w:rsidRPr="00AC4533">
          <w:rPr>
            <w:rFonts w:ascii="Arial" w:hAnsi="Arial" w:cs="Arial"/>
            <w:i/>
            <w:szCs w:val="20"/>
          </w:rPr>
          <w:t>Student Assistance Act 1973</w:t>
        </w:r>
      </w:hyperlink>
      <w:r w:rsidR="00836AD1" w:rsidRPr="00AC4533">
        <w:rPr>
          <w:rFonts w:ascii="Arial" w:hAnsi="Arial" w:cs="Arial"/>
          <w:szCs w:val="20"/>
        </w:rPr>
        <w:t xml:space="preserve"> for the purposes of that Act; or</w:t>
      </w:r>
    </w:p>
    <w:p w:rsidR="00E70587" w:rsidRPr="00AC4533" w:rsidRDefault="00E70587" w:rsidP="00AE6241">
      <w:pPr>
        <w:pStyle w:val="ListParagraph"/>
        <w:ind w:left="1440" w:hanging="720"/>
        <w:jc w:val="both"/>
        <w:rPr>
          <w:rFonts w:ascii="Arial" w:hAnsi="Arial" w:cs="Arial"/>
          <w:szCs w:val="20"/>
        </w:rPr>
      </w:pPr>
      <w:r w:rsidRPr="00AC4533">
        <w:rPr>
          <w:rFonts w:ascii="Arial" w:hAnsi="Arial" w:cs="Arial"/>
          <w:szCs w:val="20"/>
        </w:rPr>
        <w:t xml:space="preserve">(aa)    a course of study or instruction accredited at Masters or Doctoral    </w:t>
      </w:r>
      <w:r w:rsidR="00DE0CD5" w:rsidRPr="00AC4533">
        <w:rPr>
          <w:rFonts w:ascii="Arial" w:hAnsi="Arial" w:cs="Arial"/>
          <w:szCs w:val="20"/>
        </w:rPr>
        <w:t>level and supplied by a *</w:t>
      </w:r>
      <w:r w:rsidRPr="00AC4533">
        <w:rPr>
          <w:rFonts w:ascii="Arial" w:hAnsi="Arial" w:cs="Arial"/>
          <w:szCs w:val="20"/>
        </w:rPr>
        <w:t>high</w:t>
      </w:r>
      <w:r w:rsidR="00DE0CD5" w:rsidRPr="00AC4533">
        <w:rPr>
          <w:rFonts w:ascii="Arial" w:hAnsi="Arial" w:cs="Arial"/>
          <w:szCs w:val="20"/>
        </w:rPr>
        <w:t>er education institution or a *</w:t>
      </w:r>
      <w:r w:rsidRPr="00AC4533">
        <w:rPr>
          <w:rFonts w:ascii="Arial" w:hAnsi="Arial" w:cs="Arial"/>
          <w:szCs w:val="20"/>
        </w:rPr>
        <w:t>non-government higher education institution; or</w:t>
      </w:r>
    </w:p>
    <w:p w:rsidR="00836AD1" w:rsidRPr="00AC4533" w:rsidRDefault="00836AD1" w:rsidP="00836AD1">
      <w:pPr>
        <w:pStyle w:val="ListParagraph"/>
        <w:ind w:left="1440" w:hanging="720"/>
        <w:jc w:val="both"/>
        <w:rPr>
          <w:rFonts w:ascii="Arial" w:hAnsi="Arial" w:cs="Arial"/>
          <w:szCs w:val="20"/>
        </w:rPr>
      </w:pPr>
      <w:r w:rsidRPr="00AC4533">
        <w:rPr>
          <w:rFonts w:ascii="Arial" w:hAnsi="Arial" w:cs="Arial"/>
          <w:szCs w:val="20"/>
        </w:rPr>
        <w:t xml:space="preserve">(b)  </w:t>
      </w:r>
      <w:r w:rsidRPr="00AC4533">
        <w:rPr>
          <w:rFonts w:ascii="Arial" w:hAnsi="Arial" w:cs="Arial"/>
          <w:szCs w:val="20"/>
        </w:rPr>
        <w:tab/>
        <w:t>any other course of study or instruction that the</w:t>
      </w:r>
      <w:r w:rsidR="00E533F4" w:rsidRPr="00AC4533">
        <w:rPr>
          <w:rFonts w:ascii="Arial" w:hAnsi="Arial" w:cs="Arial"/>
          <w:szCs w:val="20"/>
        </w:rPr>
        <w:t xml:space="preserve"> *Student Assistance Minister</w:t>
      </w:r>
      <w:r w:rsidR="00E533F4" w:rsidRPr="00AC4533" w:rsidDel="00E533F4">
        <w:rPr>
          <w:rFonts w:ascii="Arial" w:hAnsi="Arial" w:cs="Arial"/>
          <w:szCs w:val="20"/>
        </w:rPr>
        <w:t xml:space="preserve"> </w:t>
      </w:r>
      <w:r w:rsidRPr="00AC4533">
        <w:rPr>
          <w:rFonts w:ascii="Arial" w:hAnsi="Arial" w:cs="Arial"/>
          <w:szCs w:val="20"/>
        </w:rPr>
        <w:t xml:space="preserve"> has determined is a </w:t>
      </w:r>
      <w:hyperlink r:id="rId16" w:anchor="tertiary_course" w:history="1">
        <w:r w:rsidRPr="00AC4533">
          <w:rPr>
            <w:rFonts w:ascii="Arial" w:hAnsi="Arial" w:cs="Arial"/>
            <w:szCs w:val="20"/>
          </w:rPr>
          <w:t>tertiary course</w:t>
        </w:r>
      </w:hyperlink>
      <w:r w:rsidRPr="00AC4533">
        <w:rPr>
          <w:rFonts w:ascii="Arial" w:hAnsi="Arial" w:cs="Arial"/>
          <w:szCs w:val="20"/>
        </w:rPr>
        <w:t xml:space="preserve"> for the purposes of this Act. </w:t>
      </w:r>
    </w:p>
    <w:p w:rsidR="00A7367B" w:rsidRPr="00AC4533" w:rsidRDefault="00FC2725" w:rsidP="00B81605">
      <w:pPr>
        <w:spacing w:before="240"/>
        <w:jc w:val="both"/>
        <w:rPr>
          <w:rFonts w:ascii="Arial" w:hAnsi="Arial" w:cs="Arial"/>
          <w:i/>
        </w:rPr>
      </w:pPr>
      <w:r w:rsidRPr="00AC4533">
        <w:rPr>
          <w:rFonts w:ascii="Arial" w:hAnsi="Arial" w:cs="Arial"/>
        </w:rPr>
        <w:t>Under section 1</w:t>
      </w:r>
      <w:r w:rsidR="00836AD1" w:rsidRPr="00AC4533">
        <w:rPr>
          <w:rFonts w:ascii="Arial" w:hAnsi="Arial" w:cs="Arial"/>
        </w:rPr>
        <w:t>95-1</w:t>
      </w:r>
      <w:r w:rsidR="008F35EF" w:rsidRPr="00AC4533">
        <w:rPr>
          <w:rFonts w:ascii="Arial" w:hAnsi="Arial" w:cs="Arial"/>
        </w:rPr>
        <w:t xml:space="preserve"> of the GST Act</w:t>
      </w:r>
      <w:r w:rsidR="00836AD1" w:rsidRPr="00AC4533">
        <w:rPr>
          <w:rFonts w:ascii="Arial" w:hAnsi="Arial" w:cs="Arial"/>
        </w:rPr>
        <w:t>,</w:t>
      </w:r>
      <w:r w:rsidR="00E70587" w:rsidRPr="00AC4533">
        <w:rPr>
          <w:rFonts w:ascii="Arial" w:hAnsi="Arial" w:cs="Arial"/>
        </w:rPr>
        <w:t xml:space="preserve"> the</w:t>
      </w:r>
      <w:r w:rsidR="00836AD1" w:rsidRPr="00AC4533">
        <w:rPr>
          <w:rFonts w:ascii="Arial" w:hAnsi="Arial" w:cs="Arial"/>
        </w:rPr>
        <w:t xml:space="preserve"> </w:t>
      </w:r>
      <w:r w:rsidR="00867394" w:rsidRPr="00AC4533">
        <w:rPr>
          <w:rFonts w:ascii="Arial" w:hAnsi="Arial" w:cs="Arial"/>
        </w:rPr>
        <w:t>‘</w:t>
      </w:r>
      <w:r w:rsidR="00E70587" w:rsidRPr="00AC4533">
        <w:rPr>
          <w:rFonts w:ascii="Arial" w:hAnsi="Arial" w:cs="Arial"/>
        </w:rPr>
        <w:t xml:space="preserve">Student Assistance </w:t>
      </w:r>
      <w:r w:rsidR="00836AD1" w:rsidRPr="00AC4533">
        <w:rPr>
          <w:rFonts w:ascii="Arial" w:hAnsi="Arial" w:cs="Arial"/>
        </w:rPr>
        <w:t>Minister</w:t>
      </w:r>
      <w:r w:rsidR="00867394" w:rsidRPr="00AC4533">
        <w:rPr>
          <w:rFonts w:ascii="Arial" w:hAnsi="Arial" w:cs="Arial"/>
        </w:rPr>
        <w:t>’</w:t>
      </w:r>
      <w:r w:rsidR="00836AD1" w:rsidRPr="00AC4533">
        <w:rPr>
          <w:rFonts w:ascii="Arial" w:hAnsi="Arial" w:cs="Arial"/>
        </w:rPr>
        <w:t xml:space="preserve"> </w:t>
      </w:r>
      <w:r w:rsidR="00E70587" w:rsidRPr="00AC4533">
        <w:rPr>
          <w:rFonts w:ascii="Arial" w:hAnsi="Arial" w:cs="Arial"/>
        </w:rPr>
        <w:t xml:space="preserve">is </w:t>
      </w:r>
      <w:r w:rsidR="00ED710F" w:rsidRPr="00AC4533">
        <w:rPr>
          <w:rFonts w:ascii="Arial" w:hAnsi="Arial" w:cs="Arial"/>
        </w:rPr>
        <w:t xml:space="preserve">the </w:t>
      </w:r>
      <w:r w:rsidRPr="00AC4533">
        <w:rPr>
          <w:rFonts w:ascii="Arial" w:hAnsi="Arial" w:cs="Arial"/>
        </w:rPr>
        <w:t>Minister administering the Student Assistance Act</w:t>
      </w:r>
      <w:r w:rsidR="00A7367B" w:rsidRPr="00AC4533">
        <w:rPr>
          <w:rFonts w:ascii="Arial" w:hAnsi="Arial" w:cs="Arial"/>
        </w:rPr>
        <w:t>.</w:t>
      </w:r>
      <w:r w:rsidR="00B81605" w:rsidRPr="00AC4533">
        <w:rPr>
          <w:rFonts w:ascii="Arial" w:hAnsi="Arial" w:cs="Arial"/>
        </w:rPr>
        <w:t xml:space="preserve"> The Student Assistance Act is administered by the Minister for Social Services.</w:t>
      </w:r>
    </w:p>
    <w:p w:rsidR="00795083" w:rsidRPr="00AC4533" w:rsidRDefault="0019732A" w:rsidP="00D2479C">
      <w:pPr>
        <w:spacing w:before="240"/>
        <w:jc w:val="both"/>
        <w:rPr>
          <w:rFonts w:ascii="Arial" w:hAnsi="Arial" w:cs="Arial"/>
        </w:rPr>
      </w:pPr>
      <w:r w:rsidRPr="00AC4533">
        <w:rPr>
          <w:rFonts w:ascii="Arial" w:hAnsi="Arial" w:cs="Arial"/>
        </w:rPr>
        <w:t>For the purposes of par</w:t>
      </w:r>
      <w:r w:rsidR="00990134" w:rsidRPr="00AC4533">
        <w:rPr>
          <w:rFonts w:ascii="Arial" w:hAnsi="Arial" w:cs="Arial"/>
        </w:rPr>
        <w:t>a</w:t>
      </w:r>
      <w:r w:rsidRPr="00AC4533">
        <w:rPr>
          <w:rFonts w:ascii="Arial" w:hAnsi="Arial" w:cs="Arial"/>
        </w:rPr>
        <w:t>graph (a) of the definition of ‘tertiary course’ in section 195</w:t>
      </w:r>
      <w:r w:rsidRPr="00AC4533">
        <w:rPr>
          <w:rFonts w:ascii="Arial" w:hAnsi="Arial" w:cs="Arial"/>
        </w:rPr>
        <w:noBreakHyphen/>
        <w:t xml:space="preserve">1 of the GST Act, the Student Assistance Minister has made a determination under subsection 5D(1) of the Student Assistance Act. This is the </w:t>
      </w:r>
      <w:r w:rsidRPr="00AC4533">
        <w:rPr>
          <w:rFonts w:ascii="Arial" w:hAnsi="Arial" w:cs="Arial"/>
          <w:i/>
        </w:rPr>
        <w:t xml:space="preserve">Student Assistance (Education Institutions and Courses) Determination 2009 (No. 2) </w:t>
      </w:r>
      <w:r w:rsidRPr="00AC4533">
        <w:rPr>
          <w:rFonts w:ascii="Arial" w:hAnsi="Arial" w:cs="Arial"/>
        </w:rPr>
        <w:t>(</w:t>
      </w:r>
      <w:r w:rsidR="00DE0CD5" w:rsidRPr="00AC4533">
        <w:rPr>
          <w:rFonts w:ascii="Arial" w:hAnsi="Arial" w:cs="Arial"/>
        </w:rPr>
        <w:t xml:space="preserve">the </w:t>
      </w:r>
      <w:r w:rsidRPr="00AC4533">
        <w:rPr>
          <w:rFonts w:ascii="Arial" w:hAnsi="Arial" w:cs="Arial"/>
          <w:b/>
        </w:rPr>
        <w:t>Student Assistance Determination</w:t>
      </w:r>
      <w:r w:rsidRPr="00AC4533">
        <w:rPr>
          <w:rFonts w:ascii="Arial" w:hAnsi="Arial" w:cs="Arial"/>
        </w:rPr>
        <w:t xml:space="preserve">). </w:t>
      </w:r>
    </w:p>
    <w:p w:rsidR="00BC701B" w:rsidRPr="00AC4533" w:rsidRDefault="00163DEA" w:rsidP="00D2479C">
      <w:pPr>
        <w:spacing w:before="240"/>
        <w:jc w:val="both"/>
        <w:rPr>
          <w:rFonts w:ascii="Arial" w:hAnsi="Arial" w:cs="Arial"/>
        </w:rPr>
      </w:pPr>
      <w:r w:rsidRPr="00AC4533">
        <w:rPr>
          <w:rFonts w:ascii="Arial" w:hAnsi="Arial" w:cs="Arial"/>
        </w:rPr>
        <w:t>On 15 July 2014 the Minister for Social Services made a determination under paragraph (</w:t>
      </w:r>
      <w:r w:rsidR="0019732A" w:rsidRPr="00AC4533">
        <w:rPr>
          <w:rFonts w:ascii="Arial" w:hAnsi="Arial" w:cs="Arial"/>
        </w:rPr>
        <w:t>b</w:t>
      </w:r>
      <w:r w:rsidRPr="00AC4533">
        <w:rPr>
          <w:rFonts w:ascii="Arial" w:hAnsi="Arial" w:cs="Arial"/>
        </w:rPr>
        <w:t>) of the definition of ‘tertiary course’ in section 195</w:t>
      </w:r>
      <w:r w:rsidRPr="00AC4533">
        <w:rPr>
          <w:rFonts w:ascii="Arial" w:hAnsi="Arial" w:cs="Arial"/>
        </w:rPr>
        <w:noBreakHyphen/>
        <w:t xml:space="preserve">1 of the GST Act </w:t>
      </w:r>
      <w:r w:rsidR="00DE0CD5" w:rsidRPr="00AC4533">
        <w:rPr>
          <w:rFonts w:ascii="Arial" w:hAnsi="Arial" w:cs="Arial"/>
        </w:rPr>
        <w:t>to ensure that</w:t>
      </w:r>
      <w:r w:rsidRPr="00AC4533">
        <w:rPr>
          <w:rFonts w:ascii="Arial" w:hAnsi="Arial" w:cs="Arial"/>
        </w:rPr>
        <w:t xml:space="preserve"> </w:t>
      </w:r>
      <w:r w:rsidR="0019732A" w:rsidRPr="00AC4533">
        <w:rPr>
          <w:rFonts w:ascii="Arial" w:hAnsi="Arial" w:cs="Arial"/>
        </w:rPr>
        <w:t>courses listed in the Student Assistance Determination</w:t>
      </w:r>
      <w:r w:rsidR="0019732A" w:rsidRPr="00AC4533" w:rsidDel="00163DEA">
        <w:rPr>
          <w:rFonts w:ascii="Arial" w:hAnsi="Arial" w:cs="Arial"/>
        </w:rPr>
        <w:t xml:space="preserve"> </w:t>
      </w:r>
      <w:r w:rsidR="00DE0CD5" w:rsidRPr="00AC4533">
        <w:rPr>
          <w:rFonts w:ascii="Arial" w:hAnsi="Arial" w:cs="Arial"/>
        </w:rPr>
        <w:t xml:space="preserve">could still be tertiary courses for the purposes of the GST Act even though they are </w:t>
      </w:r>
      <w:r w:rsidR="00B03176" w:rsidRPr="00AC4533">
        <w:rPr>
          <w:rFonts w:ascii="Arial" w:hAnsi="Arial" w:cs="Arial"/>
        </w:rPr>
        <w:t>not</w:t>
      </w:r>
      <w:r w:rsidR="00DE0CD5" w:rsidRPr="00AC4533">
        <w:rPr>
          <w:rFonts w:ascii="Arial" w:hAnsi="Arial" w:cs="Arial"/>
        </w:rPr>
        <w:t xml:space="preserve"> offered on a </w:t>
      </w:r>
      <w:r w:rsidR="00B03176" w:rsidRPr="00AC4533">
        <w:rPr>
          <w:rFonts w:ascii="Arial" w:hAnsi="Arial" w:cs="Arial"/>
        </w:rPr>
        <w:t>full</w:t>
      </w:r>
      <w:r w:rsidR="00DE0CD5" w:rsidRPr="00AC4533">
        <w:rPr>
          <w:rFonts w:ascii="Arial" w:hAnsi="Arial" w:cs="Arial"/>
        </w:rPr>
        <w:t>-time basis</w:t>
      </w:r>
      <w:r w:rsidRPr="00AC4533">
        <w:rPr>
          <w:rFonts w:ascii="Arial" w:hAnsi="Arial" w:cs="Arial"/>
        </w:rPr>
        <w:t xml:space="preserve"> (the </w:t>
      </w:r>
      <w:r w:rsidRPr="00AC4533">
        <w:rPr>
          <w:rFonts w:ascii="Arial" w:hAnsi="Arial" w:cs="Arial"/>
          <w:b/>
        </w:rPr>
        <w:t>2014 Determination</w:t>
      </w:r>
      <w:r w:rsidRPr="00AC4533">
        <w:rPr>
          <w:rFonts w:ascii="Arial" w:hAnsi="Arial" w:cs="Arial"/>
        </w:rPr>
        <w:t>).</w:t>
      </w:r>
      <w:r w:rsidR="0019732A" w:rsidRPr="00AC4533">
        <w:rPr>
          <w:rFonts w:ascii="Arial" w:hAnsi="Arial" w:cs="Arial"/>
        </w:rPr>
        <w:t xml:space="preserve"> </w:t>
      </w:r>
      <w:r w:rsidRPr="00AC4533">
        <w:rPr>
          <w:rFonts w:ascii="Arial" w:hAnsi="Arial" w:cs="Arial"/>
        </w:rPr>
        <w:t xml:space="preserve">This Determination continues the GST-free status of </w:t>
      </w:r>
      <w:r w:rsidR="00DE0CD5" w:rsidRPr="00AC4533">
        <w:rPr>
          <w:rFonts w:ascii="Arial" w:hAnsi="Arial" w:cs="Arial"/>
        </w:rPr>
        <w:t xml:space="preserve">these </w:t>
      </w:r>
      <w:r w:rsidRPr="00AC4533">
        <w:rPr>
          <w:rFonts w:ascii="Arial" w:hAnsi="Arial" w:cs="Arial"/>
        </w:rPr>
        <w:t>courses.</w:t>
      </w:r>
      <w:r w:rsidR="003222AE" w:rsidRPr="00AC4533">
        <w:rPr>
          <w:rFonts w:ascii="Arial" w:hAnsi="Arial" w:cs="Arial"/>
        </w:rPr>
        <w:t xml:space="preserve"> </w:t>
      </w:r>
    </w:p>
    <w:p w:rsidR="000D5705" w:rsidRPr="00AC4533" w:rsidRDefault="00163DEA" w:rsidP="00ED710F">
      <w:pPr>
        <w:spacing w:before="240"/>
        <w:jc w:val="both"/>
        <w:rPr>
          <w:rFonts w:ascii="Arial" w:hAnsi="Arial" w:cs="Arial"/>
        </w:rPr>
      </w:pPr>
      <w:r w:rsidRPr="00AC4533">
        <w:rPr>
          <w:rFonts w:ascii="Arial" w:hAnsi="Arial" w:cs="Arial"/>
        </w:rPr>
        <w:lastRenderedPageBreak/>
        <w:t xml:space="preserve">This Determination also </w:t>
      </w:r>
      <w:r w:rsidR="000D5705" w:rsidRPr="00AC4533">
        <w:rPr>
          <w:rFonts w:ascii="Arial" w:hAnsi="Arial" w:cs="Arial"/>
        </w:rPr>
        <w:t xml:space="preserve">preserves the GST-free status of certain courses that will cease to be ‘tertiary courses’ </w:t>
      </w:r>
      <w:r w:rsidR="00DE0CD5" w:rsidRPr="00AC4533">
        <w:rPr>
          <w:rFonts w:ascii="Arial" w:hAnsi="Arial" w:cs="Arial"/>
        </w:rPr>
        <w:t>once</w:t>
      </w:r>
      <w:r w:rsidR="000D5705" w:rsidRPr="00AC4533">
        <w:rPr>
          <w:rFonts w:ascii="Arial" w:hAnsi="Arial" w:cs="Arial"/>
        </w:rPr>
        <w:t xml:space="preserve"> amendments to the</w:t>
      </w:r>
      <w:r w:rsidRPr="00AC4533">
        <w:rPr>
          <w:rFonts w:ascii="Arial" w:hAnsi="Arial" w:cs="Arial"/>
        </w:rPr>
        <w:t xml:space="preserve"> </w:t>
      </w:r>
      <w:r w:rsidR="00ED710F" w:rsidRPr="00AC4533">
        <w:rPr>
          <w:rFonts w:ascii="Arial" w:hAnsi="Arial" w:cs="Arial"/>
        </w:rPr>
        <w:t>Student Assistance Determination</w:t>
      </w:r>
      <w:r w:rsidR="000D5705" w:rsidRPr="00AC4533">
        <w:rPr>
          <w:rFonts w:ascii="Arial" w:hAnsi="Arial" w:cs="Arial"/>
        </w:rPr>
        <w:t xml:space="preserve"> commence on 1 January 2018</w:t>
      </w:r>
      <w:r w:rsidRPr="00AC4533">
        <w:rPr>
          <w:rFonts w:ascii="Arial" w:hAnsi="Arial" w:cs="Arial"/>
        </w:rPr>
        <w:t>.</w:t>
      </w:r>
      <w:r w:rsidR="00ED710F" w:rsidRPr="00AC4533">
        <w:rPr>
          <w:rFonts w:ascii="Arial" w:hAnsi="Arial" w:cs="Arial"/>
        </w:rPr>
        <w:t xml:space="preserve"> </w:t>
      </w:r>
    </w:p>
    <w:p w:rsidR="00ED710F" w:rsidRPr="00AC4533" w:rsidRDefault="00163DEA" w:rsidP="002F6695">
      <w:pPr>
        <w:spacing w:before="240"/>
        <w:jc w:val="both"/>
        <w:rPr>
          <w:rFonts w:ascii="Arial" w:hAnsi="Arial" w:cs="Arial"/>
        </w:rPr>
      </w:pPr>
      <w:r w:rsidRPr="00AC4533">
        <w:rPr>
          <w:rFonts w:ascii="Arial" w:hAnsi="Arial" w:cs="Arial"/>
        </w:rPr>
        <w:t>The Student Assistance Determination was</w:t>
      </w:r>
      <w:r w:rsidR="00ED710F" w:rsidRPr="00AC4533">
        <w:rPr>
          <w:rFonts w:ascii="Arial" w:hAnsi="Arial" w:cs="Arial"/>
        </w:rPr>
        <w:t xml:space="preserve"> amended by the </w:t>
      </w:r>
      <w:r w:rsidR="00ED710F" w:rsidRPr="00AC4533">
        <w:rPr>
          <w:rFonts w:ascii="Arial" w:hAnsi="Arial" w:cs="Arial"/>
          <w:i/>
        </w:rPr>
        <w:t>S</w:t>
      </w:r>
      <w:r w:rsidR="002F6695">
        <w:rPr>
          <w:rFonts w:ascii="Arial" w:hAnsi="Arial" w:cs="Arial"/>
          <w:i/>
        </w:rPr>
        <w:t xml:space="preserve">tudent </w:t>
      </w:r>
      <w:r w:rsidR="00ED710F" w:rsidRPr="00AC4533">
        <w:rPr>
          <w:rFonts w:ascii="Arial" w:hAnsi="Arial" w:cs="Arial"/>
          <w:i/>
        </w:rPr>
        <w:t>Assistance (Education Institutions and Courses) Amendment Determination 2017 (No. 3)</w:t>
      </w:r>
      <w:r w:rsidR="00ED710F" w:rsidRPr="00AC4533">
        <w:rPr>
          <w:rFonts w:ascii="Arial" w:hAnsi="Arial" w:cs="Arial"/>
        </w:rPr>
        <w:t xml:space="preserve"> (</w:t>
      </w:r>
      <w:r w:rsidR="0029424E" w:rsidRPr="00AC4533">
        <w:rPr>
          <w:rFonts w:ascii="Arial" w:hAnsi="Arial" w:cs="Arial"/>
        </w:rPr>
        <w:t xml:space="preserve">the </w:t>
      </w:r>
      <w:r w:rsidR="0029424E" w:rsidRPr="00AC4533">
        <w:rPr>
          <w:rFonts w:ascii="Arial" w:hAnsi="Arial" w:cs="Arial"/>
          <w:b/>
        </w:rPr>
        <w:t>Student Assistance Amendment Determination</w:t>
      </w:r>
      <w:r w:rsidR="00ED710F" w:rsidRPr="00AC4533">
        <w:rPr>
          <w:rFonts w:ascii="Arial" w:hAnsi="Arial" w:cs="Arial"/>
        </w:rPr>
        <w:t xml:space="preserve">) with the amendments due to commence on 1 </w:t>
      </w:r>
      <w:r w:rsidR="00EC6C38" w:rsidRPr="00AC4533">
        <w:rPr>
          <w:rFonts w:ascii="Arial" w:hAnsi="Arial" w:cs="Arial"/>
        </w:rPr>
        <w:t>January</w:t>
      </w:r>
      <w:r w:rsidR="00ED710F" w:rsidRPr="00AC4533">
        <w:rPr>
          <w:rFonts w:ascii="Arial" w:hAnsi="Arial" w:cs="Arial"/>
        </w:rPr>
        <w:t xml:space="preserve"> 2018. </w:t>
      </w:r>
    </w:p>
    <w:p w:rsidR="00A824DA" w:rsidRPr="00AC4533" w:rsidRDefault="00ED710F" w:rsidP="00ED710F">
      <w:pPr>
        <w:spacing w:before="240"/>
        <w:jc w:val="both"/>
        <w:rPr>
          <w:rFonts w:ascii="Arial" w:hAnsi="Arial" w:cs="Arial"/>
        </w:rPr>
      </w:pPr>
      <w:r w:rsidRPr="00AC4533">
        <w:rPr>
          <w:rFonts w:ascii="Arial" w:hAnsi="Arial" w:cs="Arial"/>
        </w:rPr>
        <w:t xml:space="preserve">The </w:t>
      </w:r>
      <w:r w:rsidR="0029424E" w:rsidRPr="00AC4533">
        <w:rPr>
          <w:rFonts w:ascii="Arial" w:hAnsi="Arial" w:cs="Arial"/>
        </w:rPr>
        <w:t>Student Assistance Amendment Determination</w:t>
      </w:r>
      <w:r w:rsidRPr="00AC4533">
        <w:rPr>
          <w:rFonts w:ascii="Arial" w:hAnsi="Arial" w:cs="Arial"/>
        </w:rPr>
        <w:t xml:space="preserve"> </w:t>
      </w:r>
      <w:r w:rsidR="00DE0CD5" w:rsidRPr="00AC4533">
        <w:rPr>
          <w:rFonts w:ascii="Arial" w:hAnsi="Arial" w:cs="Arial"/>
        </w:rPr>
        <w:t>will</w:t>
      </w:r>
      <w:r w:rsidRPr="00AC4533">
        <w:rPr>
          <w:rFonts w:ascii="Arial" w:hAnsi="Arial" w:cs="Arial"/>
        </w:rPr>
        <w:t xml:space="preserve"> </w:t>
      </w:r>
      <w:r w:rsidR="00A824DA" w:rsidRPr="00AC4533">
        <w:rPr>
          <w:rFonts w:ascii="Arial" w:hAnsi="Arial" w:cs="Arial"/>
        </w:rPr>
        <w:t>reduce</w:t>
      </w:r>
      <w:r w:rsidRPr="00AC4533">
        <w:rPr>
          <w:rFonts w:ascii="Arial" w:hAnsi="Arial" w:cs="Arial"/>
        </w:rPr>
        <w:t xml:space="preserve"> the </w:t>
      </w:r>
      <w:r w:rsidR="00A824DA" w:rsidRPr="00AC4533">
        <w:rPr>
          <w:rFonts w:ascii="Arial" w:hAnsi="Arial" w:cs="Arial"/>
        </w:rPr>
        <w:t>number</w:t>
      </w:r>
      <w:r w:rsidRPr="00AC4533">
        <w:rPr>
          <w:rFonts w:ascii="Arial" w:hAnsi="Arial" w:cs="Arial"/>
        </w:rPr>
        <w:t xml:space="preserve"> of vocational education and training (VET) courses and higher education courses that </w:t>
      </w:r>
      <w:r w:rsidR="00D40277" w:rsidRPr="00AC4533">
        <w:rPr>
          <w:rFonts w:ascii="Arial" w:hAnsi="Arial" w:cs="Arial"/>
        </w:rPr>
        <w:t xml:space="preserve">can </w:t>
      </w:r>
      <w:r w:rsidRPr="00AC4533">
        <w:rPr>
          <w:rFonts w:ascii="Arial" w:hAnsi="Arial" w:cs="Arial"/>
        </w:rPr>
        <w:t xml:space="preserve">qualify as </w:t>
      </w:r>
      <w:r w:rsidR="00A824DA" w:rsidRPr="00AC4533">
        <w:rPr>
          <w:rFonts w:ascii="Arial" w:hAnsi="Arial" w:cs="Arial"/>
        </w:rPr>
        <w:t xml:space="preserve">a </w:t>
      </w:r>
      <w:r w:rsidRPr="00AC4533">
        <w:rPr>
          <w:rFonts w:ascii="Arial" w:hAnsi="Arial" w:cs="Arial"/>
        </w:rPr>
        <w:t>‘</w:t>
      </w:r>
      <w:r w:rsidR="00A824DA" w:rsidRPr="00AC4533">
        <w:rPr>
          <w:rFonts w:ascii="Arial" w:hAnsi="Arial" w:cs="Arial"/>
        </w:rPr>
        <w:t>tertiary course</w:t>
      </w:r>
      <w:r w:rsidRPr="00AC4533">
        <w:rPr>
          <w:rFonts w:ascii="Arial" w:hAnsi="Arial" w:cs="Arial"/>
        </w:rPr>
        <w:t>’ under s</w:t>
      </w:r>
      <w:r w:rsidR="00872E13" w:rsidRPr="00AC4533">
        <w:rPr>
          <w:rFonts w:ascii="Arial" w:hAnsi="Arial" w:cs="Arial"/>
        </w:rPr>
        <w:t>ubs</w:t>
      </w:r>
      <w:r w:rsidRPr="00AC4533">
        <w:rPr>
          <w:rFonts w:ascii="Arial" w:hAnsi="Arial" w:cs="Arial"/>
        </w:rPr>
        <w:t>ection 5D</w:t>
      </w:r>
      <w:r w:rsidR="00872E13" w:rsidRPr="00AC4533">
        <w:rPr>
          <w:rFonts w:ascii="Arial" w:hAnsi="Arial" w:cs="Arial"/>
        </w:rPr>
        <w:t>(1)</w:t>
      </w:r>
      <w:r w:rsidRPr="00AC4533">
        <w:rPr>
          <w:rFonts w:ascii="Arial" w:hAnsi="Arial" w:cs="Arial"/>
        </w:rPr>
        <w:t xml:space="preserve"> of the Student Assistance Act. </w:t>
      </w:r>
    </w:p>
    <w:p w:rsidR="0029424E" w:rsidRPr="00AC4533" w:rsidRDefault="000D5705" w:rsidP="00ED710F">
      <w:pPr>
        <w:spacing w:before="240"/>
        <w:jc w:val="both"/>
        <w:rPr>
          <w:rFonts w:ascii="Arial" w:hAnsi="Arial" w:cs="Arial"/>
        </w:rPr>
      </w:pPr>
      <w:r w:rsidRPr="00AC4533">
        <w:rPr>
          <w:rFonts w:ascii="Arial" w:hAnsi="Arial" w:cs="Arial"/>
        </w:rPr>
        <w:t xml:space="preserve">The </w:t>
      </w:r>
      <w:r w:rsidR="0029424E" w:rsidRPr="00AC4533">
        <w:rPr>
          <w:rFonts w:ascii="Arial" w:hAnsi="Arial" w:cs="Arial"/>
        </w:rPr>
        <w:t>Student Assistance Amendment Determination</w:t>
      </w:r>
      <w:r w:rsidRPr="00AC4533">
        <w:rPr>
          <w:rFonts w:ascii="Arial" w:hAnsi="Arial" w:cs="Arial"/>
        </w:rPr>
        <w:t xml:space="preserve"> </w:t>
      </w:r>
      <w:r w:rsidR="00A824DA" w:rsidRPr="00AC4533">
        <w:rPr>
          <w:rFonts w:ascii="Arial" w:hAnsi="Arial" w:cs="Arial"/>
        </w:rPr>
        <w:t xml:space="preserve">provides that a VET course provided at </w:t>
      </w:r>
      <w:r w:rsidR="00527910" w:rsidRPr="00AC4533">
        <w:rPr>
          <w:rFonts w:ascii="Arial" w:hAnsi="Arial" w:cs="Arial"/>
        </w:rPr>
        <w:t xml:space="preserve">the level of </w:t>
      </w:r>
      <w:r w:rsidR="00A824DA" w:rsidRPr="00AC4533">
        <w:rPr>
          <w:rFonts w:ascii="Arial" w:hAnsi="Arial" w:cs="Arial"/>
        </w:rPr>
        <w:t>diploma</w:t>
      </w:r>
      <w:r w:rsidR="00527910" w:rsidRPr="00AC4533">
        <w:rPr>
          <w:rFonts w:ascii="Arial" w:hAnsi="Arial" w:cs="Arial"/>
        </w:rPr>
        <w:t>, advanced diploma, graduate certificate or graduate diploma</w:t>
      </w:r>
      <w:r w:rsidR="00A824DA" w:rsidRPr="00AC4533">
        <w:rPr>
          <w:rFonts w:ascii="Arial" w:hAnsi="Arial" w:cs="Arial"/>
        </w:rPr>
        <w:t xml:space="preserve"> can only be a ‘tertiary course’ under </w:t>
      </w:r>
      <w:r w:rsidR="00331AFA" w:rsidRPr="00AC4533">
        <w:rPr>
          <w:rFonts w:ascii="Arial" w:hAnsi="Arial" w:cs="Arial"/>
        </w:rPr>
        <w:t>sub</w:t>
      </w:r>
      <w:r w:rsidR="00A824DA" w:rsidRPr="00AC4533">
        <w:rPr>
          <w:rFonts w:ascii="Arial" w:hAnsi="Arial" w:cs="Arial"/>
        </w:rPr>
        <w:t>section 5D</w:t>
      </w:r>
      <w:r w:rsidR="00331AFA" w:rsidRPr="00AC4533">
        <w:rPr>
          <w:rFonts w:ascii="Arial" w:hAnsi="Arial" w:cs="Arial"/>
        </w:rPr>
        <w:t>(1)</w:t>
      </w:r>
      <w:r w:rsidR="00A824DA" w:rsidRPr="00AC4533">
        <w:rPr>
          <w:rFonts w:ascii="Arial" w:hAnsi="Arial" w:cs="Arial"/>
        </w:rPr>
        <w:t xml:space="preserve"> of the Student Assistance Act if it is an approved course</w:t>
      </w:r>
      <w:r w:rsidR="00ED710F" w:rsidRPr="00AC4533">
        <w:rPr>
          <w:rFonts w:ascii="Arial" w:hAnsi="Arial" w:cs="Arial"/>
        </w:rPr>
        <w:t xml:space="preserve"> </w:t>
      </w:r>
      <w:r w:rsidR="00A824DA" w:rsidRPr="00AC4533">
        <w:rPr>
          <w:rFonts w:ascii="Arial" w:hAnsi="Arial" w:cs="Arial"/>
        </w:rPr>
        <w:t>within the meaning of</w:t>
      </w:r>
      <w:r w:rsidR="00ED710F" w:rsidRPr="00AC4533">
        <w:rPr>
          <w:rFonts w:ascii="Arial" w:hAnsi="Arial" w:cs="Arial"/>
        </w:rPr>
        <w:t xml:space="preserve"> the </w:t>
      </w:r>
      <w:r w:rsidR="00ED710F" w:rsidRPr="00AC4533">
        <w:rPr>
          <w:rFonts w:ascii="Arial" w:hAnsi="Arial" w:cs="Arial"/>
          <w:i/>
        </w:rPr>
        <w:t>VET Student Loans Act 2016</w:t>
      </w:r>
      <w:r w:rsidR="00ED710F" w:rsidRPr="00AC4533">
        <w:rPr>
          <w:rFonts w:ascii="Arial" w:hAnsi="Arial" w:cs="Arial"/>
        </w:rPr>
        <w:t xml:space="preserve">. </w:t>
      </w:r>
    </w:p>
    <w:p w:rsidR="00ED710F" w:rsidRPr="00AC4533" w:rsidRDefault="00163DEA" w:rsidP="00ED710F">
      <w:pPr>
        <w:spacing w:before="240"/>
        <w:jc w:val="both"/>
        <w:rPr>
          <w:rFonts w:ascii="Arial" w:hAnsi="Arial" w:cs="Arial"/>
        </w:rPr>
      </w:pPr>
      <w:r w:rsidRPr="00AC4533">
        <w:rPr>
          <w:rFonts w:ascii="Arial" w:hAnsi="Arial" w:cs="Arial"/>
        </w:rPr>
        <w:t xml:space="preserve">The </w:t>
      </w:r>
      <w:r w:rsidR="0029424E" w:rsidRPr="00AC4533">
        <w:rPr>
          <w:rFonts w:ascii="Arial" w:hAnsi="Arial" w:cs="Arial"/>
        </w:rPr>
        <w:t>Student Assistance Amendment Determination</w:t>
      </w:r>
      <w:r w:rsidRPr="00AC4533">
        <w:rPr>
          <w:rFonts w:ascii="Arial" w:hAnsi="Arial" w:cs="Arial"/>
        </w:rPr>
        <w:t xml:space="preserve"> also provides that</w:t>
      </w:r>
      <w:r w:rsidR="0029424E" w:rsidRPr="00AC4533">
        <w:rPr>
          <w:rFonts w:ascii="Arial" w:hAnsi="Arial" w:cs="Arial"/>
        </w:rPr>
        <w:t xml:space="preserve"> </w:t>
      </w:r>
      <w:r w:rsidR="00812A11" w:rsidRPr="00AC4533">
        <w:rPr>
          <w:rFonts w:ascii="Arial" w:hAnsi="Arial" w:cs="Arial"/>
        </w:rPr>
        <w:t xml:space="preserve">an undergraduate </w:t>
      </w:r>
      <w:r w:rsidR="007C13B3" w:rsidRPr="00AC4533">
        <w:rPr>
          <w:rFonts w:ascii="Arial" w:hAnsi="Arial" w:cs="Arial"/>
        </w:rPr>
        <w:t xml:space="preserve">or </w:t>
      </w:r>
      <w:r w:rsidR="00812A11" w:rsidRPr="00AC4533">
        <w:rPr>
          <w:rFonts w:ascii="Arial" w:hAnsi="Arial" w:cs="Arial"/>
        </w:rPr>
        <w:t>postgraduate</w:t>
      </w:r>
      <w:r w:rsidRPr="00AC4533">
        <w:rPr>
          <w:rFonts w:ascii="Arial" w:hAnsi="Arial" w:cs="Arial"/>
        </w:rPr>
        <w:t xml:space="preserve"> higher</w:t>
      </w:r>
      <w:r w:rsidR="00ED710F" w:rsidRPr="00AC4533">
        <w:rPr>
          <w:rFonts w:ascii="Arial" w:hAnsi="Arial" w:cs="Arial"/>
        </w:rPr>
        <w:t xml:space="preserve"> education course</w:t>
      </w:r>
      <w:r w:rsidRPr="00AC4533">
        <w:rPr>
          <w:rFonts w:ascii="Arial" w:hAnsi="Arial" w:cs="Arial"/>
        </w:rPr>
        <w:t xml:space="preserve"> can only be </w:t>
      </w:r>
      <w:r w:rsidR="00812A11" w:rsidRPr="00AC4533">
        <w:rPr>
          <w:rFonts w:ascii="Arial" w:hAnsi="Arial" w:cs="Arial"/>
        </w:rPr>
        <w:t xml:space="preserve">a </w:t>
      </w:r>
      <w:r w:rsidRPr="00AC4533">
        <w:rPr>
          <w:rFonts w:ascii="Arial" w:hAnsi="Arial" w:cs="Arial"/>
        </w:rPr>
        <w:t xml:space="preserve">tertiary course under </w:t>
      </w:r>
      <w:r w:rsidR="007526AF" w:rsidRPr="00AC4533">
        <w:rPr>
          <w:rFonts w:ascii="Arial" w:hAnsi="Arial" w:cs="Arial"/>
        </w:rPr>
        <w:t>sub</w:t>
      </w:r>
      <w:r w:rsidRPr="00AC4533">
        <w:rPr>
          <w:rFonts w:ascii="Arial" w:hAnsi="Arial" w:cs="Arial"/>
        </w:rPr>
        <w:t>section 5D</w:t>
      </w:r>
      <w:r w:rsidR="007526AF" w:rsidRPr="00AC4533">
        <w:rPr>
          <w:rFonts w:ascii="Arial" w:hAnsi="Arial" w:cs="Arial"/>
        </w:rPr>
        <w:t>(1)</w:t>
      </w:r>
      <w:r w:rsidRPr="00AC4533">
        <w:rPr>
          <w:rFonts w:ascii="Arial" w:hAnsi="Arial" w:cs="Arial"/>
        </w:rPr>
        <w:t xml:space="preserve"> of the Student Assistance Act</w:t>
      </w:r>
      <w:r w:rsidR="00812A11" w:rsidRPr="00AC4533">
        <w:rPr>
          <w:rFonts w:ascii="Arial" w:hAnsi="Arial" w:cs="Arial"/>
        </w:rPr>
        <w:t xml:space="preserve"> </w:t>
      </w:r>
      <w:r w:rsidRPr="00AC4533">
        <w:rPr>
          <w:rFonts w:ascii="Arial" w:hAnsi="Arial" w:cs="Arial"/>
        </w:rPr>
        <w:t>if the course is</w:t>
      </w:r>
      <w:r w:rsidR="00ED710F" w:rsidRPr="00AC4533">
        <w:rPr>
          <w:rFonts w:ascii="Arial" w:hAnsi="Arial" w:cs="Arial"/>
        </w:rPr>
        <w:t xml:space="preserve"> </w:t>
      </w:r>
      <w:r w:rsidRPr="00AC4533">
        <w:rPr>
          <w:rFonts w:ascii="Arial" w:hAnsi="Arial" w:cs="Arial"/>
        </w:rPr>
        <w:t>provided</w:t>
      </w:r>
      <w:r w:rsidR="00ED710F" w:rsidRPr="00AC4533">
        <w:rPr>
          <w:rFonts w:ascii="Arial" w:hAnsi="Arial" w:cs="Arial"/>
        </w:rPr>
        <w:t xml:space="preserve"> by an approved</w:t>
      </w:r>
      <w:r w:rsidR="0029424E" w:rsidRPr="00AC4533">
        <w:rPr>
          <w:rFonts w:ascii="Arial" w:hAnsi="Arial" w:cs="Arial"/>
        </w:rPr>
        <w:t xml:space="preserve"> higher education provider within the meaning of the </w:t>
      </w:r>
      <w:r w:rsidR="0029424E" w:rsidRPr="00AC4533">
        <w:rPr>
          <w:rFonts w:ascii="Arial" w:hAnsi="Arial" w:cs="Arial"/>
          <w:i/>
        </w:rPr>
        <w:t>Higher Education Support Act 2003</w:t>
      </w:r>
      <w:r w:rsidR="00ED710F" w:rsidRPr="00AC4533">
        <w:rPr>
          <w:rFonts w:ascii="Arial" w:hAnsi="Arial" w:cs="Arial"/>
        </w:rPr>
        <w:t>.</w:t>
      </w:r>
    </w:p>
    <w:p w:rsidR="00ED710F" w:rsidRPr="00AC4533" w:rsidRDefault="00ED710F" w:rsidP="00ED710F">
      <w:pPr>
        <w:spacing w:before="240"/>
        <w:jc w:val="both"/>
        <w:rPr>
          <w:rFonts w:ascii="Arial" w:hAnsi="Arial" w:cs="Arial"/>
        </w:rPr>
      </w:pPr>
      <w:r w:rsidRPr="00AC4533">
        <w:rPr>
          <w:rFonts w:ascii="Arial" w:hAnsi="Arial" w:cs="Arial"/>
        </w:rPr>
        <w:t xml:space="preserve">This Determination will operate to ensure that a course that has ceased to be </w:t>
      </w:r>
      <w:r w:rsidR="00F83E81" w:rsidRPr="00AC4533">
        <w:rPr>
          <w:rFonts w:ascii="Arial" w:hAnsi="Arial" w:cs="Arial"/>
        </w:rPr>
        <w:t xml:space="preserve">a </w:t>
      </w:r>
      <w:r w:rsidRPr="00AC4533">
        <w:rPr>
          <w:rFonts w:ascii="Arial" w:hAnsi="Arial" w:cs="Arial"/>
        </w:rPr>
        <w:t>‘tertiary course’ under the Student Assistance Determination</w:t>
      </w:r>
      <w:r w:rsidR="00F83E81" w:rsidRPr="00AC4533">
        <w:rPr>
          <w:rFonts w:ascii="Arial" w:hAnsi="Arial" w:cs="Arial"/>
        </w:rPr>
        <w:t>,</w:t>
      </w:r>
      <w:r w:rsidRPr="00AC4533">
        <w:rPr>
          <w:rFonts w:ascii="Arial" w:hAnsi="Arial" w:cs="Arial"/>
        </w:rPr>
        <w:t xml:space="preserve"> as a result of the amendments made by the </w:t>
      </w:r>
      <w:r w:rsidR="00812A11" w:rsidRPr="00AC4533">
        <w:rPr>
          <w:rFonts w:ascii="Arial" w:hAnsi="Arial" w:cs="Arial"/>
        </w:rPr>
        <w:t>Student Assistance Amendment Determination</w:t>
      </w:r>
      <w:r w:rsidR="00F83E81" w:rsidRPr="00AC4533">
        <w:rPr>
          <w:rFonts w:ascii="Arial" w:hAnsi="Arial" w:cs="Arial"/>
        </w:rPr>
        <w:t>,</w:t>
      </w:r>
      <w:r w:rsidRPr="00AC4533">
        <w:rPr>
          <w:rFonts w:ascii="Arial" w:hAnsi="Arial" w:cs="Arial"/>
        </w:rPr>
        <w:t xml:space="preserve"> will not cease to be a tertiary course for the purposes of paragraph (b) of</w:t>
      </w:r>
      <w:r w:rsidR="00331AFA" w:rsidRPr="00AC4533">
        <w:rPr>
          <w:rFonts w:ascii="Arial" w:hAnsi="Arial" w:cs="Arial"/>
        </w:rPr>
        <w:t xml:space="preserve"> the definition of ‘tertiary course’ in</w:t>
      </w:r>
      <w:r w:rsidRPr="00AC4533">
        <w:rPr>
          <w:rFonts w:ascii="Arial" w:hAnsi="Arial" w:cs="Arial"/>
        </w:rPr>
        <w:t xml:space="preserve"> section 195-1 of the GST Act. This will ensure </w:t>
      </w:r>
      <w:r w:rsidR="00812A11" w:rsidRPr="00AC4533">
        <w:rPr>
          <w:rFonts w:ascii="Arial" w:hAnsi="Arial" w:cs="Arial"/>
        </w:rPr>
        <w:t xml:space="preserve">that </w:t>
      </w:r>
      <w:r w:rsidR="007466BC" w:rsidRPr="00AC4533">
        <w:rPr>
          <w:rFonts w:ascii="Arial" w:hAnsi="Arial" w:cs="Arial"/>
        </w:rPr>
        <w:t>the supply of these</w:t>
      </w:r>
      <w:r w:rsidRPr="00AC4533">
        <w:rPr>
          <w:rFonts w:ascii="Arial" w:hAnsi="Arial" w:cs="Arial"/>
        </w:rPr>
        <w:t xml:space="preserve"> courses</w:t>
      </w:r>
      <w:r w:rsidR="007466BC" w:rsidRPr="00AC4533">
        <w:rPr>
          <w:rFonts w:ascii="Arial" w:hAnsi="Arial" w:cs="Arial"/>
        </w:rPr>
        <w:t xml:space="preserve"> will</w:t>
      </w:r>
      <w:r w:rsidRPr="00AC4533">
        <w:rPr>
          <w:rFonts w:ascii="Arial" w:hAnsi="Arial" w:cs="Arial"/>
        </w:rPr>
        <w:t xml:space="preserve"> </w:t>
      </w:r>
      <w:r w:rsidR="00F83E81" w:rsidRPr="00AC4533">
        <w:rPr>
          <w:rFonts w:ascii="Arial" w:hAnsi="Arial" w:cs="Arial"/>
        </w:rPr>
        <w:t xml:space="preserve">continue to be </w:t>
      </w:r>
      <w:r w:rsidRPr="00AC4533">
        <w:rPr>
          <w:rFonts w:ascii="Arial" w:hAnsi="Arial" w:cs="Arial"/>
        </w:rPr>
        <w:t>GST-free.</w:t>
      </w:r>
    </w:p>
    <w:p w:rsidR="0012540D" w:rsidRPr="00AC4533" w:rsidRDefault="0012540D" w:rsidP="00520804">
      <w:pPr>
        <w:spacing w:before="240"/>
        <w:jc w:val="both"/>
        <w:rPr>
          <w:rFonts w:ascii="Arial" w:hAnsi="Arial" w:cs="Arial"/>
          <w:bCs/>
        </w:rPr>
      </w:pPr>
      <w:r w:rsidRPr="00AC4533">
        <w:rPr>
          <w:rFonts w:ascii="Arial" w:hAnsi="Arial" w:cs="Arial"/>
          <w:b/>
          <w:bCs/>
        </w:rPr>
        <w:t>Explanation of Provisions</w:t>
      </w:r>
    </w:p>
    <w:p w:rsidR="002479BC" w:rsidRPr="00AC4533" w:rsidRDefault="00ED31B8" w:rsidP="00520804">
      <w:pPr>
        <w:spacing w:before="240"/>
        <w:jc w:val="both"/>
        <w:rPr>
          <w:rFonts w:ascii="Arial" w:hAnsi="Arial" w:cs="Arial"/>
        </w:rPr>
      </w:pPr>
      <w:r w:rsidRPr="00AC4533">
        <w:rPr>
          <w:rFonts w:ascii="Arial" w:hAnsi="Arial" w:cs="Arial"/>
          <w:b/>
          <w:bCs/>
        </w:rPr>
        <w:t>Section 1</w:t>
      </w:r>
      <w:r w:rsidR="00F80FC0" w:rsidRPr="00AC4533">
        <w:rPr>
          <w:rFonts w:ascii="Arial" w:hAnsi="Arial" w:cs="Arial"/>
          <w:bCs/>
        </w:rPr>
        <w:t xml:space="preserve"> </w:t>
      </w:r>
      <w:r w:rsidR="00F80FC0" w:rsidRPr="00AC4533">
        <w:rPr>
          <w:rFonts w:ascii="Arial" w:hAnsi="Arial" w:cs="Arial"/>
        </w:rPr>
        <w:t>of the Determination state</w:t>
      </w:r>
      <w:r w:rsidR="003943F1" w:rsidRPr="00AC4533">
        <w:rPr>
          <w:rFonts w:ascii="Arial" w:hAnsi="Arial" w:cs="Arial"/>
        </w:rPr>
        <w:t xml:space="preserve">s the name of the Determination </w:t>
      </w:r>
      <w:r w:rsidR="004B1906" w:rsidRPr="00AC4533">
        <w:rPr>
          <w:rFonts w:ascii="Arial" w:hAnsi="Arial" w:cs="Arial"/>
        </w:rPr>
        <w:t xml:space="preserve">is </w:t>
      </w:r>
      <w:r w:rsidR="003943F1" w:rsidRPr="00AC4533">
        <w:rPr>
          <w:rFonts w:ascii="Arial" w:hAnsi="Arial" w:cs="Arial"/>
        </w:rPr>
        <w:t xml:space="preserve">the </w:t>
      </w:r>
      <w:r w:rsidR="003943F1" w:rsidRPr="00AC4533">
        <w:rPr>
          <w:rFonts w:ascii="Arial" w:hAnsi="Arial" w:cs="Arial"/>
          <w:i/>
        </w:rPr>
        <w:t xml:space="preserve">A New Tax System (Goods and Services Tax) </w:t>
      </w:r>
      <w:r w:rsidR="007C20E2" w:rsidRPr="00AC4533">
        <w:rPr>
          <w:rFonts w:ascii="Arial" w:hAnsi="Arial" w:cs="Arial"/>
          <w:i/>
        </w:rPr>
        <w:t>(</w:t>
      </w:r>
      <w:r w:rsidR="00FB187E" w:rsidRPr="00AC4533">
        <w:rPr>
          <w:rFonts w:ascii="Arial" w:hAnsi="Arial" w:cs="Arial"/>
          <w:i/>
        </w:rPr>
        <w:t>T</w:t>
      </w:r>
      <w:r w:rsidR="003943F1" w:rsidRPr="00AC4533">
        <w:rPr>
          <w:rFonts w:ascii="Arial" w:hAnsi="Arial" w:cs="Arial"/>
          <w:i/>
        </w:rPr>
        <w:t xml:space="preserve">ertiary </w:t>
      </w:r>
      <w:r w:rsidR="00FB187E" w:rsidRPr="00AC4533">
        <w:rPr>
          <w:rFonts w:ascii="Arial" w:hAnsi="Arial" w:cs="Arial"/>
          <w:i/>
        </w:rPr>
        <w:t>C</w:t>
      </w:r>
      <w:r w:rsidR="003943F1" w:rsidRPr="00AC4533">
        <w:rPr>
          <w:rFonts w:ascii="Arial" w:hAnsi="Arial" w:cs="Arial"/>
          <w:i/>
        </w:rPr>
        <w:t>ourses</w:t>
      </w:r>
      <w:r w:rsidR="007C20E2" w:rsidRPr="00AC4533">
        <w:rPr>
          <w:rFonts w:ascii="Arial" w:hAnsi="Arial" w:cs="Arial"/>
          <w:i/>
        </w:rPr>
        <w:t>)</w:t>
      </w:r>
      <w:r w:rsidR="003943F1" w:rsidRPr="00AC4533">
        <w:rPr>
          <w:rFonts w:ascii="Arial" w:hAnsi="Arial" w:cs="Arial"/>
          <w:i/>
        </w:rPr>
        <w:t xml:space="preserve"> Determination </w:t>
      </w:r>
      <w:r w:rsidR="00E077DB" w:rsidRPr="00AC4533">
        <w:rPr>
          <w:rFonts w:ascii="Arial" w:hAnsi="Arial" w:cs="Arial"/>
          <w:i/>
        </w:rPr>
        <w:t>2017</w:t>
      </w:r>
      <w:r w:rsidR="003943F1" w:rsidRPr="00AC4533">
        <w:rPr>
          <w:rFonts w:ascii="Arial" w:hAnsi="Arial" w:cs="Arial"/>
          <w:i/>
        </w:rPr>
        <w:t>.</w:t>
      </w:r>
    </w:p>
    <w:p w:rsidR="00D376F1" w:rsidRPr="00AC4533" w:rsidRDefault="004B2D29" w:rsidP="00520804">
      <w:pPr>
        <w:spacing w:before="240"/>
        <w:jc w:val="both"/>
        <w:rPr>
          <w:rFonts w:ascii="Arial" w:hAnsi="Arial" w:cs="Arial"/>
        </w:rPr>
      </w:pPr>
      <w:r w:rsidRPr="00AC4533">
        <w:rPr>
          <w:rFonts w:ascii="Arial" w:hAnsi="Arial" w:cs="Arial"/>
          <w:b/>
          <w:bCs/>
        </w:rPr>
        <w:t>Section 2</w:t>
      </w:r>
      <w:r w:rsidR="00F80FC0" w:rsidRPr="00AC4533">
        <w:rPr>
          <w:rFonts w:ascii="Arial" w:hAnsi="Arial" w:cs="Arial"/>
          <w:bCs/>
        </w:rPr>
        <w:t xml:space="preserve"> </w:t>
      </w:r>
      <w:r w:rsidR="00F80FC0" w:rsidRPr="00AC4533">
        <w:rPr>
          <w:rFonts w:ascii="Arial" w:hAnsi="Arial" w:cs="Arial"/>
        </w:rPr>
        <w:t xml:space="preserve">states that the Determination </w:t>
      </w:r>
      <w:r w:rsidR="00E75942" w:rsidRPr="00AC4533">
        <w:rPr>
          <w:rFonts w:ascii="Arial" w:hAnsi="Arial" w:cs="Arial"/>
        </w:rPr>
        <w:t>commences</w:t>
      </w:r>
      <w:r w:rsidR="00F80FC0" w:rsidRPr="00AC4533">
        <w:rPr>
          <w:rFonts w:ascii="Arial" w:hAnsi="Arial" w:cs="Arial"/>
        </w:rPr>
        <w:t xml:space="preserve"> </w:t>
      </w:r>
      <w:r w:rsidR="00D376F1" w:rsidRPr="00AC4533">
        <w:rPr>
          <w:rFonts w:ascii="Arial" w:hAnsi="Arial" w:cs="Arial"/>
        </w:rPr>
        <w:t xml:space="preserve">on </w:t>
      </w:r>
      <w:r w:rsidR="00E75942" w:rsidRPr="00AC4533">
        <w:rPr>
          <w:rFonts w:ascii="Arial" w:hAnsi="Arial" w:cs="Arial"/>
        </w:rPr>
        <w:t>1 January 2018</w:t>
      </w:r>
      <w:r w:rsidR="00D376F1" w:rsidRPr="00AC4533">
        <w:rPr>
          <w:rFonts w:ascii="Arial" w:hAnsi="Arial" w:cs="Arial"/>
        </w:rPr>
        <w:t xml:space="preserve">. </w:t>
      </w:r>
    </w:p>
    <w:p w:rsidR="008D6980" w:rsidRPr="00AC4533" w:rsidRDefault="008D6980" w:rsidP="001D18C9">
      <w:pPr>
        <w:spacing w:before="240"/>
        <w:jc w:val="both"/>
        <w:rPr>
          <w:rFonts w:ascii="Arial" w:hAnsi="Arial" w:cs="Arial"/>
          <w:bCs/>
        </w:rPr>
      </w:pPr>
      <w:r w:rsidRPr="00AC4533">
        <w:rPr>
          <w:rFonts w:ascii="Arial" w:hAnsi="Arial" w:cs="Arial"/>
          <w:b/>
          <w:bCs/>
        </w:rPr>
        <w:t xml:space="preserve">Section 3 </w:t>
      </w:r>
      <w:r w:rsidRPr="00AC4533">
        <w:rPr>
          <w:rFonts w:ascii="Arial" w:hAnsi="Arial" w:cs="Arial"/>
          <w:bCs/>
        </w:rPr>
        <w:t>provides that the Determination is made under paragraph (b) of the definition of</w:t>
      </w:r>
      <w:r w:rsidR="00EC6C38" w:rsidRPr="00AC4533">
        <w:rPr>
          <w:rFonts w:ascii="Arial" w:hAnsi="Arial" w:cs="Arial"/>
          <w:bCs/>
        </w:rPr>
        <w:t xml:space="preserve"> </w:t>
      </w:r>
      <w:r w:rsidR="00331AFA" w:rsidRPr="00AC4533">
        <w:rPr>
          <w:rFonts w:ascii="Arial" w:hAnsi="Arial" w:cs="Arial"/>
          <w:bCs/>
        </w:rPr>
        <w:t>‘</w:t>
      </w:r>
      <w:r w:rsidR="00EC6C38" w:rsidRPr="00AC4533">
        <w:rPr>
          <w:rFonts w:ascii="Arial" w:hAnsi="Arial" w:cs="Arial"/>
          <w:bCs/>
        </w:rPr>
        <w:t>tertiary course</w:t>
      </w:r>
      <w:r w:rsidR="00331AFA" w:rsidRPr="00AC4533">
        <w:rPr>
          <w:rFonts w:ascii="Arial" w:hAnsi="Arial" w:cs="Arial"/>
          <w:bCs/>
        </w:rPr>
        <w:t>’</w:t>
      </w:r>
      <w:r w:rsidR="00EC6C38" w:rsidRPr="00AC4533">
        <w:rPr>
          <w:rFonts w:ascii="Arial" w:hAnsi="Arial" w:cs="Arial"/>
          <w:bCs/>
        </w:rPr>
        <w:t xml:space="preserve"> in section 195-</w:t>
      </w:r>
      <w:r w:rsidRPr="00AC4533">
        <w:rPr>
          <w:rFonts w:ascii="Arial" w:hAnsi="Arial" w:cs="Arial"/>
          <w:bCs/>
        </w:rPr>
        <w:t xml:space="preserve">1 of the </w:t>
      </w:r>
      <w:r w:rsidRPr="00AC4533">
        <w:rPr>
          <w:rFonts w:ascii="Arial" w:hAnsi="Arial" w:cs="Arial"/>
          <w:bCs/>
          <w:i/>
        </w:rPr>
        <w:t>A New Tax System (Goods and Services Tax) Act 1999</w:t>
      </w:r>
      <w:r w:rsidRPr="00AC4533">
        <w:rPr>
          <w:rFonts w:ascii="Arial" w:hAnsi="Arial" w:cs="Arial"/>
          <w:bCs/>
        </w:rPr>
        <w:t>.</w:t>
      </w:r>
    </w:p>
    <w:p w:rsidR="00A536A8" w:rsidRPr="00AC4533" w:rsidRDefault="00A536A8" w:rsidP="001D18C9">
      <w:pPr>
        <w:spacing w:before="240"/>
        <w:jc w:val="both"/>
        <w:rPr>
          <w:rFonts w:ascii="Arial" w:hAnsi="Arial" w:cs="Arial"/>
          <w:bCs/>
        </w:rPr>
      </w:pPr>
      <w:r w:rsidRPr="00AC4533">
        <w:rPr>
          <w:rFonts w:ascii="Arial" w:hAnsi="Arial" w:cs="Arial"/>
          <w:b/>
          <w:bCs/>
        </w:rPr>
        <w:t>Section 4</w:t>
      </w:r>
      <w:r w:rsidRPr="00AC4533">
        <w:rPr>
          <w:rFonts w:ascii="Arial" w:hAnsi="Arial" w:cs="Arial"/>
          <w:bCs/>
        </w:rPr>
        <w:t xml:space="preserve"> provides that each instrument that is specified in a Schedule to the Determination is amended or repealed as set out in the applicable items in the Schedule concerned, and any other item in a Schedule to </w:t>
      </w:r>
      <w:r w:rsidR="00313526">
        <w:rPr>
          <w:rFonts w:ascii="Arial" w:hAnsi="Arial" w:cs="Arial"/>
          <w:bCs/>
        </w:rPr>
        <w:t>the</w:t>
      </w:r>
      <w:r w:rsidR="007F41AD" w:rsidRPr="00AC4533">
        <w:rPr>
          <w:rFonts w:ascii="Arial" w:hAnsi="Arial" w:cs="Arial"/>
          <w:bCs/>
        </w:rPr>
        <w:t xml:space="preserve"> Determination</w:t>
      </w:r>
      <w:r w:rsidRPr="00AC4533">
        <w:rPr>
          <w:rFonts w:ascii="Arial" w:hAnsi="Arial" w:cs="Arial"/>
          <w:bCs/>
        </w:rPr>
        <w:t xml:space="preserve"> has effect according to its terms. </w:t>
      </w:r>
    </w:p>
    <w:p w:rsidR="00A536A8" w:rsidRPr="00AC4533" w:rsidRDefault="00A536A8" w:rsidP="00A536A8">
      <w:pPr>
        <w:spacing w:before="240"/>
        <w:jc w:val="both"/>
        <w:rPr>
          <w:rFonts w:ascii="Arial" w:hAnsi="Arial" w:cs="Arial"/>
          <w:bCs/>
        </w:rPr>
      </w:pPr>
      <w:r w:rsidRPr="00AC4533">
        <w:rPr>
          <w:rFonts w:ascii="Arial" w:hAnsi="Arial" w:cs="Arial"/>
          <w:bCs/>
        </w:rPr>
        <w:lastRenderedPageBreak/>
        <w:t>Schedule 1</w:t>
      </w:r>
      <w:r w:rsidR="00C01AA8" w:rsidRPr="00AC4533">
        <w:rPr>
          <w:rFonts w:ascii="Arial" w:hAnsi="Arial" w:cs="Arial"/>
          <w:bCs/>
        </w:rPr>
        <w:t xml:space="preserve"> (discussed in more detail below)</w:t>
      </w:r>
      <w:r w:rsidRPr="00AC4533">
        <w:rPr>
          <w:rFonts w:ascii="Arial" w:hAnsi="Arial" w:cs="Arial"/>
          <w:bCs/>
        </w:rPr>
        <w:t xml:space="preserve"> is the only schedule to the Determination and this schedule repeals the 2014 Determination. </w:t>
      </w:r>
    </w:p>
    <w:p w:rsidR="009F5B53" w:rsidRPr="00AC4533" w:rsidRDefault="00A536A8" w:rsidP="001D18C9">
      <w:pPr>
        <w:spacing w:before="240"/>
        <w:jc w:val="both"/>
        <w:rPr>
          <w:rFonts w:ascii="Arial" w:hAnsi="Arial" w:cs="Arial"/>
          <w:bCs/>
        </w:rPr>
      </w:pPr>
      <w:r w:rsidRPr="00AC4533">
        <w:rPr>
          <w:rFonts w:ascii="Arial" w:hAnsi="Arial" w:cs="Arial"/>
          <w:bCs/>
        </w:rPr>
        <w:t xml:space="preserve">Subsection 33(3) of the </w:t>
      </w:r>
      <w:r w:rsidRPr="00AC4533">
        <w:rPr>
          <w:rFonts w:ascii="Arial" w:hAnsi="Arial" w:cs="Arial"/>
          <w:bCs/>
          <w:i/>
        </w:rPr>
        <w:t>Acts Interpretation Act 1901</w:t>
      </w:r>
      <w:r w:rsidRPr="00AC4533">
        <w:rPr>
          <w:rFonts w:ascii="Arial" w:hAnsi="Arial" w:cs="Arial"/>
          <w:bCs/>
        </w:rPr>
        <w:t xml:space="preserve"> relevantly provides that where an Act confers a power to make any instrument of a legislative character, the power shall be construed as including a power exercisable in the like manner and subject to the like conditions (if any) to repeal, rescind, revoke, amend or vary any such instrument.</w:t>
      </w:r>
    </w:p>
    <w:p w:rsidR="00B43A44" w:rsidRPr="00AC4533" w:rsidRDefault="00B43A44" w:rsidP="001D18C9">
      <w:pPr>
        <w:spacing w:before="240"/>
        <w:jc w:val="both"/>
      </w:pPr>
      <w:r w:rsidRPr="00AC4533">
        <w:rPr>
          <w:rFonts w:ascii="Arial" w:hAnsi="Arial" w:cs="Arial"/>
          <w:b/>
          <w:bCs/>
        </w:rPr>
        <w:t xml:space="preserve">Section </w:t>
      </w:r>
      <w:r w:rsidR="005B4A92" w:rsidRPr="00AC4533">
        <w:rPr>
          <w:rFonts w:ascii="Arial" w:hAnsi="Arial" w:cs="Arial"/>
          <w:b/>
          <w:bCs/>
        </w:rPr>
        <w:t>5</w:t>
      </w:r>
      <w:r w:rsidR="008D6980" w:rsidRPr="00AC4533">
        <w:t xml:space="preserve"> </w:t>
      </w:r>
      <w:r w:rsidRPr="00AC4533">
        <w:rPr>
          <w:rFonts w:ascii="Arial" w:hAnsi="Arial" w:cs="Arial"/>
        </w:rPr>
        <w:t>defines the terms used in the Determination.</w:t>
      </w:r>
      <w:r w:rsidRPr="00AC4533">
        <w:t xml:space="preserve"> </w:t>
      </w:r>
    </w:p>
    <w:p w:rsidR="001E15C0" w:rsidRDefault="009023B1" w:rsidP="001E15C0">
      <w:pPr>
        <w:spacing w:before="240"/>
        <w:jc w:val="both"/>
        <w:rPr>
          <w:rFonts w:ascii="Arial" w:hAnsi="Arial" w:cs="Arial"/>
          <w:bCs/>
        </w:rPr>
      </w:pPr>
      <w:r w:rsidRPr="00AC4533">
        <w:rPr>
          <w:rFonts w:ascii="Arial" w:hAnsi="Arial" w:cs="Arial"/>
          <w:bCs/>
        </w:rPr>
        <w:t>‘Accredited higher education course’ is defined as having the same meaning as in the Student Assistance Determination.</w:t>
      </w:r>
      <w:r w:rsidR="002F6695">
        <w:rPr>
          <w:rFonts w:ascii="Arial" w:hAnsi="Arial" w:cs="Arial"/>
          <w:bCs/>
        </w:rPr>
        <w:t xml:space="preserve"> The Student Assistance </w:t>
      </w:r>
      <w:r w:rsidR="004B1906" w:rsidRPr="00AC4533">
        <w:rPr>
          <w:rFonts w:ascii="Arial" w:hAnsi="Arial" w:cs="Arial"/>
          <w:bCs/>
        </w:rPr>
        <w:t>Determination defines</w:t>
      </w:r>
      <w:r w:rsidR="001E15C0" w:rsidRPr="00AC4533">
        <w:rPr>
          <w:rFonts w:ascii="Arial" w:hAnsi="Arial" w:cs="Arial"/>
          <w:bCs/>
        </w:rPr>
        <w:t xml:space="preserve"> accredited higher education course as a course that is:</w:t>
      </w:r>
    </w:p>
    <w:p w:rsidR="001E15C0" w:rsidRPr="002F6695" w:rsidRDefault="001E15C0" w:rsidP="002F6695">
      <w:pPr>
        <w:pStyle w:val="ListParagraph"/>
        <w:numPr>
          <w:ilvl w:val="0"/>
          <w:numId w:val="15"/>
        </w:numPr>
        <w:spacing w:before="240"/>
        <w:jc w:val="both"/>
        <w:rPr>
          <w:rFonts w:ascii="Arial" w:hAnsi="Arial" w:cs="Arial"/>
        </w:rPr>
      </w:pPr>
      <w:r w:rsidRPr="002F6695">
        <w:rPr>
          <w:rFonts w:ascii="Arial" w:hAnsi="Arial" w:cs="Arial"/>
        </w:rPr>
        <w:t xml:space="preserve">accredited as a higher education course by the TEQSA (the Tertiary Education Quality and Standards Agency) or taken to be a course accredited by TEQSA in relation to the provider for the purposes of the </w:t>
      </w:r>
      <w:r w:rsidRPr="002F6695">
        <w:rPr>
          <w:rFonts w:ascii="Arial" w:hAnsi="Arial" w:cs="Arial"/>
          <w:i/>
        </w:rPr>
        <w:t>Tertiary Education Quality and Standards Agency Act 2011</w:t>
      </w:r>
      <w:r w:rsidRPr="002F6695">
        <w:rPr>
          <w:rFonts w:ascii="Arial" w:hAnsi="Arial" w:cs="Arial"/>
        </w:rPr>
        <w:t>; or</w:t>
      </w:r>
    </w:p>
    <w:p w:rsidR="009023B1" w:rsidRPr="002F6695" w:rsidRDefault="001E15C0" w:rsidP="002F6695">
      <w:pPr>
        <w:pStyle w:val="ListParagraph"/>
        <w:numPr>
          <w:ilvl w:val="0"/>
          <w:numId w:val="15"/>
        </w:numPr>
        <w:spacing w:before="240"/>
        <w:jc w:val="both"/>
        <w:rPr>
          <w:rFonts w:ascii="Arial" w:hAnsi="Arial" w:cs="Arial"/>
          <w:bCs/>
        </w:rPr>
      </w:pPr>
      <w:r w:rsidRPr="002F6695">
        <w:rPr>
          <w:rFonts w:ascii="Arial" w:hAnsi="Arial" w:cs="Arial"/>
        </w:rPr>
        <w:t>if a higher education institution is authorised by a law of the Commonwealth to accredit its own higher education courses — a course conducted and accredited as a higher education course by that institution.</w:t>
      </w:r>
    </w:p>
    <w:p w:rsidR="009023B1" w:rsidRPr="00AC4533" w:rsidRDefault="009023B1" w:rsidP="009023B1">
      <w:pPr>
        <w:spacing w:before="240"/>
        <w:jc w:val="both"/>
        <w:rPr>
          <w:rFonts w:ascii="Arial" w:hAnsi="Arial" w:cs="Arial"/>
          <w:bCs/>
        </w:rPr>
      </w:pPr>
      <w:r w:rsidRPr="00AC4533">
        <w:rPr>
          <w:rFonts w:ascii="Arial" w:hAnsi="Arial" w:cs="Arial"/>
          <w:bCs/>
        </w:rPr>
        <w:t xml:space="preserve">‘Act’ is defined as the </w:t>
      </w:r>
      <w:r w:rsidRPr="00AC4533">
        <w:rPr>
          <w:rFonts w:ascii="Arial" w:hAnsi="Arial" w:cs="Arial"/>
          <w:bCs/>
          <w:i/>
        </w:rPr>
        <w:t>A New Tax System (Goods and Services Tax) Act 1999</w:t>
      </w:r>
      <w:r w:rsidRPr="00AC4533">
        <w:rPr>
          <w:rFonts w:ascii="Arial" w:hAnsi="Arial" w:cs="Arial"/>
          <w:bCs/>
        </w:rPr>
        <w:t>.</w:t>
      </w:r>
    </w:p>
    <w:p w:rsidR="009023B1" w:rsidRPr="00AC4533" w:rsidRDefault="009023B1" w:rsidP="009023B1">
      <w:pPr>
        <w:spacing w:before="240"/>
        <w:jc w:val="both"/>
        <w:rPr>
          <w:rFonts w:ascii="Arial" w:hAnsi="Arial" w:cs="Arial"/>
          <w:bCs/>
        </w:rPr>
      </w:pPr>
      <w:r w:rsidRPr="00AC4533">
        <w:rPr>
          <w:rFonts w:ascii="Arial" w:hAnsi="Arial" w:cs="Arial"/>
          <w:bCs/>
        </w:rPr>
        <w:t xml:space="preserve">‘Approved course’ is defined as having the same meaning as in the </w:t>
      </w:r>
      <w:r w:rsidRPr="00AC4533">
        <w:rPr>
          <w:rFonts w:ascii="Arial" w:hAnsi="Arial" w:cs="Arial"/>
          <w:bCs/>
          <w:i/>
        </w:rPr>
        <w:t>VET Student Loans Act 2016</w:t>
      </w:r>
      <w:r w:rsidR="004B1906" w:rsidRPr="00AC4533">
        <w:rPr>
          <w:rFonts w:ascii="Arial" w:hAnsi="Arial" w:cs="Arial"/>
          <w:bCs/>
        </w:rPr>
        <w:t xml:space="preserve"> (see </w:t>
      </w:r>
      <w:r w:rsidR="004E3479" w:rsidRPr="00AC4533">
        <w:rPr>
          <w:rFonts w:ascii="Arial" w:hAnsi="Arial" w:cs="Arial"/>
          <w:bCs/>
        </w:rPr>
        <w:t>section 13</w:t>
      </w:r>
      <w:r w:rsidR="004B1906" w:rsidRPr="00AC4533">
        <w:rPr>
          <w:rFonts w:ascii="Arial" w:hAnsi="Arial" w:cs="Arial"/>
          <w:bCs/>
        </w:rPr>
        <w:t xml:space="preserve"> of the </w:t>
      </w:r>
      <w:r w:rsidR="004B1906" w:rsidRPr="00AC4533">
        <w:rPr>
          <w:rFonts w:ascii="Arial" w:hAnsi="Arial" w:cs="Arial"/>
          <w:bCs/>
          <w:i/>
        </w:rPr>
        <w:t>VET Student Loans Act 2016</w:t>
      </w:r>
      <w:r w:rsidR="004B1906" w:rsidRPr="00AC4533">
        <w:rPr>
          <w:rFonts w:ascii="Arial" w:hAnsi="Arial" w:cs="Arial"/>
          <w:bCs/>
        </w:rPr>
        <w:t>).</w:t>
      </w:r>
    </w:p>
    <w:p w:rsidR="009023B1" w:rsidRPr="00AC4533" w:rsidRDefault="009023B1" w:rsidP="009023B1">
      <w:pPr>
        <w:spacing w:before="240"/>
        <w:jc w:val="both"/>
        <w:rPr>
          <w:rFonts w:ascii="Arial" w:hAnsi="Arial" w:cs="Arial"/>
          <w:bCs/>
        </w:rPr>
      </w:pPr>
      <w:r w:rsidRPr="00AC4533">
        <w:rPr>
          <w:rFonts w:ascii="Arial" w:hAnsi="Arial" w:cs="Arial"/>
          <w:bCs/>
        </w:rPr>
        <w:t>‘Combined course’ is defined as a course consisting of concurrent study, at 2 different institutions, in an accredited higher education course and a VET course.</w:t>
      </w:r>
    </w:p>
    <w:p w:rsidR="009023B1" w:rsidRPr="00AC4533" w:rsidRDefault="009023B1" w:rsidP="009023B1">
      <w:pPr>
        <w:spacing w:before="240"/>
        <w:jc w:val="both"/>
        <w:rPr>
          <w:rFonts w:ascii="Arial" w:hAnsi="Arial" w:cs="Arial"/>
          <w:bCs/>
        </w:rPr>
      </w:pPr>
      <w:r w:rsidRPr="00AC4533">
        <w:rPr>
          <w:rFonts w:ascii="Arial" w:hAnsi="Arial" w:cs="Arial"/>
          <w:bCs/>
        </w:rPr>
        <w:t>‘Higher education provider</w:t>
      </w:r>
      <w:r w:rsidR="00872E13" w:rsidRPr="00AC4533">
        <w:rPr>
          <w:rFonts w:ascii="Arial" w:hAnsi="Arial" w:cs="Arial"/>
          <w:bCs/>
        </w:rPr>
        <w:t>’</w:t>
      </w:r>
      <w:r w:rsidRPr="00AC4533">
        <w:rPr>
          <w:rFonts w:ascii="Arial" w:hAnsi="Arial" w:cs="Arial"/>
          <w:bCs/>
        </w:rPr>
        <w:t xml:space="preserve"> is defined as having the same meaning as in the </w:t>
      </w:r>
      <w:r w:rsidRPr="00AC4533">
        <w:rPr>
          <w:rFonts w:ascii="Arial" w:hAnsi="Arial" w:cs="Arial"/>
          <w:bCs/>
          <w:i/>
        </w:rPr>
        <w:t>Higher Education Support Act 2003</w:t>
      </w:r>
      <w:r w:rsidR="004B1906" w:rsidRPr="00AC4533">
        <w:rPr>
          <w:rFonts w:ascii="Arial" w:hAnsi="Arial" w:cs="Arial"/>
          <w:bCs/>
          <w:i/>
        </w:rPr>
        <w:t xml:space="preserve"> </w:t>
      </w:r>
      <w:r w:rsidR="004B1906" w:rsidRPr="00AC4533">
        <w:rPr>
          <w:rFonts w:ascii="Arial" w:hAnsi="Arial" w:cs="Arial"/>
          <w:bCs/>
        </w:rPr>
        <w:t xml:space="preserve">(see </w:t>
      </w:r>
      <w:r w:rsidR="004E3479" w:rsidRPr="00AC4533">
        <w:rPr>
          <w:rFonts w:ascii="Arial" w:hAnsi="Arial" w:cs="Arial"/>
          <w:bCs/>
        </w:rPr>
        <w:t>section 16-1</w:t>
      </w:r>
      <w:r w:rsidR="004B1906" w:rsidRPr="00AC4533">
        <w:rPr>
          <w:rFonts w:ascii="Arial" w:hAnsi="Arial" w:cs="Arial"/>
          <w:bCs/>
        </w:rPr>
        <w:t xml:space="preserve"> of the </w:t>
      </w:r>
      <w:r w:rsidR="004B1906" w:rsidRPr="00AC4533">
        <w:rPr>
          <w:rFonts w:ascii="Arial" w:hAnsi="Arial" w:cs="Arial"/>
          <w:bCs/>
          <w:i/>
        </w:rPr>
        <w:t>Higher Education Support Act 2003</w:t>
      </w:r>
      <w:r w:rsidR="004B1906" w:rsidRPr="00AC4533">
        <w:rPr>
          <w:rFonts w:ascii="Arial" w:hAnsi="Arial" w:cs="Arial"/>
          <w:bCs/>
        </w:rPr>
        <w:t>).</w:t>
      </w:r>
    </w:p>
    <w:p w:rsidR="009023B1" w:rsidRPr="00AC4533" w:rsidRDefault="005B4A92" w:rsidP="009023B1">
      <w:pPr>
        <w:spacing w:before="240"/>
        <w:jc w:val="both"/>
        <w:rPr>
          <w:rFonts w:ascii="Arial" w:hAnsi="Arial" w:cs="Arial"/>
          <w:bCs/>
        </w:rPr>
      </w:pPr>
      <w:r w:rsidRPr="00AC4533">
        <w:rPr>
          <w:rFonts w:ascii="Arial" w:hAnsi="Arial" w:cs="Arial"/>
          <w:bCs/>
        </w:rPr>
        <w:t>‘</w:t>
      </w:r>
      <w:r w:rsidR="009023B1" w:rsidRPr="00AC4533">
        <w:rPr>
          <w:rFonts w:ascii="Arial" w:hAnsi="Arial" w:cs="Arial"/>
          <w:bCs/>
        </w:rPr>
        <w:t>Open Learning</w:t>
      </w:r>
      <w:r w:rsidRPr="00AC4533">
        <w:rPr>
          <w:rFonts w:ascii="Arial" w:hAnsi="Arial" w:cs="Arial"/>
          <w:bCs/>
        </w:rPr>
        <w:t xml:space="preserve">’ is defined as having </w:t>
      </w:r>
      <w:r w:rsidR="009023B1" w:rsidRPr="00AC4533">
        <w:rPr>
          <w:rFonts w:ascii="Arial" w:hAnsi="Arial" w:cs="Arial"/>
          <w:bCs/>
        </w:rPr>
        <w:t>the same meaning as in the Student Assistance Determination.</w:t>
      </w:r>
      <w:r w:rsidR="004B1906" w:rsidRPr="00AC4533">
        <w:rPr>
          <w:rFonts w:ascii="Arial" w:hAnsi="Arial" w:cs="Arial"/>
          <w:bCs/>
        </w:rPr>
        <w:t xml:space="preserve"> The Student Assistance Determination defines </w:t>
      </w:r>
      <w:r w:rsidR="004405AE" w:rsidRPr="00AC4533">
        <w:rPr>
          <w:rFonts w:ascii="Arial" w:hAnsi="Arial" w:cs="Arial"/>
          <w:bCs/>
        </w:rPr>
        <w:t>Open Learning as a program of assessment based on study provided through Open Universities Australia Pty Ltd (ACN 053 431 888) trading as Open Universities Australia.</w:t>
      </w:r>
    </w:p>
    <w:p w:rsidR="009023B1" w:rsidRPr="00AC4533" w:rsidRDefault="005B4A92" w:rsidP="009023B1">
      <w:pPr>
        <w:spacing w:before="240"/>
        <w:jc w:val="both"/>
        <w:rPr>
          <w:rFonts w:ascii="Arial" w:hAnsi="Arial" w:cs="Arial"/>
          <w:bCs/>
        </w:rPr>
      </w:pPr>
      <w:r w:rsidRPr="00AC4533">
        <w:rPr>
          <w:rFonts w:ascii="Arial" w:hAnsi="Arial" w:cs="Arial"/>
          <w:bCs/>
        </w:rPr>
        <w:t>‘</w:t>
      </w:r>
      <w:r w:rsidR="009023B1" w:rsidRPr="00AC4533">
        <w:rPr>
          <w:rFonts w:ascii="Arial" w:hAnsi="Arial" w:cs="Arial"/>
          <w:bCs/>
        </w:rPr>
        <w:t>Student Assistance Determination</w:t>
      </w:r>
      <w:r w:rsidRPr="00AC4533">
        <w:rPr>
          <w:rFonts w:ascii="Arial" w:hAnsi="Arial" w:cs="Arial"/>
          <w:bCs/>
        </w:rPr>
        <w:t>’</w:t>
      </w:r>
      <w:r w:rsidR="009023B1" w:rsidRPr="00AC4533">
        <w:rPr>
          <w:rFonts w:ascii="Arial" w:hAnsi="Arial" w:cs="Arial"/>
          <w:bCs/>
        </w:rPr>
        <w:t xml:space="preserve"> </w:t>
      </w:r>
      <w:r w:rsidRPr="00AC4533">
        <w:rPr>
          <w:rFonts w:ascii="Arial" w:hAnsi="Arial" w:cs="Arial"/>
          <w:bCs/>
        </w:rPr>
        <w:t xml:space="preserve">is defined as </w:t>
      </w:r>
      <w:r w:rsidR="009023B1" w:rsidRPr="00AC4533">
        <w:rPr>
          <w:rFonts w:ascii="Arial" w:hAnsi="Arial" w:cs="Arial"/>
          <w:bCs/>
        </w:rPr>
        <w:t xml:space="preserve">the </w:t>
      </w:r>
      <w:r w:rsidR="009023B1" w:rsidRPr="00AC4533">
        <w:rPr>
          <w:rFonts w:ascii="Arial" w:hAnsi="Arial" w:cs="Arial"/>
          <w:bCs/>
          <w:i/>
        </w:rPr>
        <w:t>Student Assistance (Education Institutions and Courses) Determination 2009 (No. 2)</w:t>
      </w:r>
      <w:r w:rsidR="009023B1" w:rsidRPr="00AC4533">
        <w:rPr>
          <w:rFonts w:ascii="Arial" w:hAnsi="Arial" w:cs="Arial"/>
          <w:bCs/>
        </w:rPr>
        <w:t>.</w:t>
      </w:r>
    </w:p>
    <w:p w:rsidR="009023B1" w:rsidRPr="00AC4533" w:rsidRDefault="005B4A92" w:rsidP="009023B1">
      <w:pPr>
        <w:spacing w:before="240"/>
        <w:jc w:val="both"/>
        <w:rPr>
          <w:rFonts w:ascii="Arial" w:hAnsi="Arial" w:cs="Arial"/>
          <w:bCs/>
        </w:rPr>
      </w:pPr>
      <w:r w:rsidRPr="00AC4533">
        <w:rPr>
          <w:rFonts w:ascii="Arial" w:hAnsi="Arial" w:cs="Arial"/>
          <w:bCs/>
        </w:rPr>
        <w:t>‘</w:t>
      </w:r>
      <w:r w:rsidR="009023B1" w:rsidRPr="00AC4533">
        <w:rPr>
          <w:rFonts w:ascii="Arial" w:hAnsi="Arial" w:cs="Arial"/>
          <w:bCs/>
        </w:rPr>
        <w:t>Student Assistance Determination requirements</w:t>
      </w:r>
      <w:r w:rsidRPr="00AC4533">
        <w:rPr>
          <w:rFonts w:ascii="Arial" w:hAnsi="Arial" w:cs="Arial"/>
          <w:bCs/>
        </w:rPr>
        <w:t>’ is defined as</w:t>
      </w:r>
      <w:r w:rsidR="009023B1" w:rsidRPr="00AC4533">
        <w:rPr>
          <w:rFonts w:ascii="Arial" w:hAnsi="Arial" w:cs="Arial"/>
          <w:bCs/>
        </w:rPr>
        <w:t xml:space="preserve"> the requirements for a tertiary course under subsection 5D(1) of the </w:t>
      </w:r>
      <w:r w:rsidR="009023B1" w:rsidRPr="00AC4533">
        <w:rPr>
          <w:rFonts w:ascii="Arial" w:hAnsi="Arial" w:cs="Arial"/>
          <w:bCs/>
          <w:i/>
        </w:rPr>
        <w:t>Student Assistance Act 1973</w:t>
      </w:r>
      <w:r w:rsidR="009023B1" w:rsidRPr="00AC4533">
        <w:rPr>
          <w:rFonts w:ascii="Arial" w:hAnsi="Arial" w:cs="Arial"/>
          <w:bCs/>
        </w:rPr>
        <w:t>, as those requirements are specified in the Student Assistance Determination.</w:t>
      </w:r>
    </w:p>
    <w:p w:rsidR="004405AE" w:rsidRPr="00AC4533" w:rsidRDefault="005B4A92" w:rsidP="001D18C9">
      <w:pPr>
        <w:spacing w:before="240"/>
        <w:jc w:val="both"/>
        <w:rPr>
          <w:rFonts w:ascii="Arial" w:hAnsi="Arial" w:cs="Arial"/>
          <w:bCs/>
        </w:rPr>
      </w:pPr>
      <w:r w:rsidRPr="00AC4533">
        <w:rPr>
          <w:rFonts w:ascii="Arial" w:hAnsi="Arial" w:cs="Arial"/>
          <w:bCs/>
        </w:rPr>
        <w:lastRenderedPageBreak/>
        <w:t>‘</w:t>
      </w:r>
      <w:r w:rsidR="009023B1" w:rsidRPr="00AC4533">
        <w:rPr>
          <w:rFonts w:ascii="Arial" w:hAnsi="Arial" w:cs="Arial"/>
          <w:bCs/>
        </w:rPr>
        <w:t>VET course</w:t>
      </w:r>
      <w:r w:rsidRPr="00AC4533">
        <w:rPr>
          <w:rFonts w:ascii="Arial" w:hAnsi="Arial" w:cs="Arial"/>
          <w:bCs/>
        </w:rPr>
        <w:t>’</w:t>
      </w:r>
      <w:r w:rsidR="009023B1" w:rsidRPr="00AC4533">
        <w:rPr>
          <w:rFonts w:ascii="Arial" w:hAnsi="Arial" w:cs="Arial"/>
          <w:bCs/>
        </w:rPr>
        <w:t xml:space="preserve"> </w:t>
      </w:r>
      <w:r w:rsidRPr="00AC4533">
        <w:rPr>
          <w:rFonts w:ascii="Arial" w:hAnsi="Arial" w:cs="Arial"/>
          <w:bCs/>
        </w:rPr>
        <w:t>is defined as having</w:t>
      </w:r>
      <w:r w:rsidR="009023B1" w:rsidRPr="00AC4533">
        <w:rPr>
          <w:rFonts w:ascii="Arial" w:hAnsi="Arial" w:cs="Arial"/>
          <w:bCs/>
        </w:rPr>
        <w:t xml:space="preserve"> the same meaning as in the Student Assistance Determination.</w:t>
      </w:r>
      <w:r w:rsidR="004B1906" w:rsidRPr="00AC4533">
        <w:rPr>
          <w:rFonts w:ascii="Arial" w:hAnsi="Arial" w:cs="Arial"/>
          <w:bCs/>
        </w:rPr>
        <w:t xml:space="preserve"> The Student Assistance Determination defines </w:t>
      </w:r>
      <w:r w:rsidR="004405AE" w:rsidRPr="00AC4533">
        <w:rPr>
          <w:rFonts w:ascii="Arial" w:hAnsi="Arial" w:cs="Arial"/>
          <w:bCs/>
        </w:rPr>
        <w:t>VET course as:</w:t>
      </w:r>
    </w:p>
    <w:p w:rsidR="004405AE" w:rsidRDefault="004405AE" w:rsidP="002F6695">
      <w:pPr>
        <w:pStyle w:val="Default"/>
        <w:numPr>
          <w:ilvl w:val="0"/>
          <w:numId w:val="14"/>
        </w:numPr>
        <w:spacing w:before="60"/>
        <w:jc w:val="both"/>
        <w:rPr>
          <w:rFonts w:ascii="Arial" w:hAnsi="Arial" w:cs="Arial"/>
        </w:rPr>
      </w:pPr>
      <w:r w:rsidRPr="00AC4533">
        <w:rPr>
          <w:rFonts w:ascii="Arial" w:hAnsi="Arial" w:cs="Arial"/>
        </w:rPr>
        <w:t>the units of competency of a training package that is endorsed by the Ministerial Council which has responsibility for the VET Quality Framework;</w:t>
      </w:r>
    </w:p>
    <w:p w:rsidR="002F6695" w:rsidRDefault="004405AE" w:rsidP="002F6695">
      <w:pPr>
        <w:pStyle w:val="Default"/>
        <w:numPr>
          <w:ilvl w:val="0"/>
          <w:numId w:val="14"/>
        </w:numPr>
        <w:spacing w:before="60"/>
        <w:jc w:val="both"/>
        <w:rPr>
          <w:rFonts w:ascii="Arial" w:hAnsi="Arial" w:cs="Arial"/>
        </w:rPr>
      </w:pPr>
      <w:r w:rsidRPr="002F6695">
        <w:rPr>
          <w:rFonts w:ascii="Arial" w:hAnsi="Arial" w:cs="Arial"/>
        </w:rPr>
        <w:t>the modules of a VET accredited course; or</w:t>
      </w:r>
    </w:p>
    <w:p w:rsidR="004405AE" w:rsidRPr="002F6695" w:rsidRDefault="004405AE" w:rsidP="002F6695">
      <w:pPr>
        <w:pStyle w:val="Default"/>
        <w:numPr>
          <w:ilvl w:val="0"/>
          <w:numId w:val="14"/>
        </w:numPr>
        <w:spacing w:before="60"/>
        <w:jc w:val="both"/>
        <w:rPr>
          <w:rFonts w:ascii="Arial" w:hAnsi="Arial" w:cs="Arial"/>
        </w:rPr>
      </w:pPr>
      <w:r w:rsidRPr="002F6695">
        <w:rPr>
          <w:rFonts w:ascii="Arial" w:hAnsi="Arial" w:cs="Arial"/>
        </w:rPr>
        <w:t xml:space="preserve">the modules of a course accredited by the VET Regulator of a State which is a non-referring State within the meaning of section 7 of the </w:t>
      </w:r>
      <w:r w:rsidRPr="002F6695">
        <w:rPr>
          <w:rFonts w:ascii="Arial" w:hAnsi="Arial" w:cs="Arial"/>
          <w:i/>
        </w:rPr>
        <w:t>National Vocational Education and Training Regulator Act 2011</w:t>
      </w:r>
      <w:r w:rsidRPr="002F6695">
        <w:rPr>
          <w:rFonts w:ascii="Arial" w:hAnsi="Arial" w:cs="Arial"/>
        </w:rPr>
        <w:t xml:space="preserve">.  </w:t>
      </w:r>
    </w:p>
    <w:p w:rsidR="008A791E" w:rsidRPr="00AC4533" w:rsidRDefault="008A791E" w:rsidP="00B43A44">
      <w:pPr>
        <w:rPr>
          <w:rFonts w:ascii="Arial" w:hAnsi="Arial" w:cs="Arial"/>
        </w:rPr>
      </w:pPr>
    </w:p>
    <w:p w:rsidR="004405AE" w:rsidRPr="00AC4533" w:rsidRDefault="004405AE" w:rsidP="00B43A44">
      <w:pPr>
        <w:rPr>
          <w:rFonts w:ascii="Arial" w:hAnsi="Arial" w:cs="Arial"/>
        </w:rPr>
      </w:pPr>
      <w:r w:rsidRPr="00AC4533">
        <w:rPr>
          <w:rFonts w:ascii="Arial" w:hAnsi="Arial" w:cs="Arial"/>
        </w:rPr>
        <w:t xml:space="preserve">In the Student Assistance Determination ‘VET Quality Framework’ has the meaning that term is given in section 3 of the </w:t>
      </w:r>
      <w:r w:rsidRPr="00AC4533">
        <w:rPr>
          <w:rFonts w:ascii="Arial" w:hAnsi="Arial" w:cs="Arial"/>
          <w:i/>
        </w:rPr>
        <w:t>National Vocational Education and Training Regulator Act 2011</w:t>
      </w:r>
      <w:r w:rsidRPr="00AC4533">
        <w:rPr>
          <w:rFonts w:ascii="Arial" w:hAnsi="Arial" w:cs="Arial"/>
        </w:rPr>
        <w:t>.</w:t>
      </w:r>
    </w:p>
    <w:p w:rsidR="004405AE" w:rsidRPr="00AC4533" w:rsidRDefault="004405AE" w:rsidP="00B43A44">
      <w:pPr>
        <w:rPr>
          <w:rFonts w:ascii="Arial" w:hAnsi="Arial" w:cs="Arial"/>
        </w:rPr>
      </w:pPr>
    </w:p>
    <w:p w:rsidR="004405AE" w:rsidRPr="00AC4533" w:rsidRDefault="004405AE" w:rsidP="004405AE">
      <w:pPr>
        <w:rPr>
          <w:rFonts w:ascii="Arial" w:hAnsi="Arial" w:cs="Arial"/>
        </w:rPr>
      </w:pPr>
      <w:r w:rsidRPr="00AC4533">
        <w:rPr>
          <w:rFonts w:ascii="Arial" w:hAnsi="Arial" w:cs="Arial"/>
        </w:rPr>
        <w:t>In the Student Assistance Determination ‘VET accredited course’ means:</w:t>
      </w:r>
    </w:p>
    <w:p w:rsidR="004405AE" w:rsidRPr="00AC4533" w:rsidRDefault="004405AE" w:rsidP="00812E3E">
      <w:pPr>
        <w:pStyle w:val="Default"/>
        <w:spacing w:before="60"/>
        <w:ind w:left="720" w:hanging="720"/>
        <w:jc w:val="both"/>
        <w:rPr>
          <w:rFonts w:ascii="Arial" w:hAnsi="Arial" w:cs="Arial"/>
        </w:rPr>
      </w:pPr>
      <w:r w:rsidRPr="00AC4533">
        <w:rPr>
          <w:rFonts w:ascii="Arial" w:hAnsi="Arial" w:cs="Arial"/>
        </w:rPr>
        <w:t>(a)    a course accredited by a body under a delegation from the Australian Skills Quality Authority (ASQA); or</w:t>
      </w:r>
    </w:p>
    <w:p w:rsidR="004405AE" w:rsidRPr="00AC4533" w:rsidRDefault="004405AE" w:rsidP="00812E3E">
      <w:pPr>
        <w:pStyle w:val="Default"/>
        <w:spacing w:before="60"/>
        <w:ind w:left="720" w:hanging="720"/>
        <w:jc w:val="both"/>
        <w:rPr>
          <w:rFonts w:ascii="Arial" w:hAnsi="Arial" w:cs="Arial"/>
        </w:rPr>
      </w:pPr>
      <w:r w:rsidRPr="00AC4533">
        <w:rPr>
          <w:rFonts w:ascii="Arial" w:hAnsi="Arial" w:cs="Arial"/>
        </w:rPr>
        <w:t xml:space="preserve">(b)    </w:t>
      </w:r>
      <w:r w:rsidR="00812E3E" w:rsidRPr="00AC4533">
        <w:rPr>
          <w:rFonts w:ascii="Arial" w:hAnsi="Arial" w:cs="Arial"/>
        </w:rPr>
        <w:t xml:space="preserve">  </w:t>
      </w:r>
      <w:r w:rsidRPr="00AC4533">
        <w:rPr>
          <w:rFonts w:ascii="Arial" w:hAnsi="Arial" w:cs="Arial"/>
        </w:rPr>
        <w:t>a course accredited by ASQA.</w:t>
      </w:r>
    </w:p>
    <w:p w:rsidR="004405AE" w:rsidRPr="00AC4533" w:rsidRDefault="004405AE" w:rsidP="00B43A44">
      <w:pPr>
        <w:rPr>
          <w:rFonts w:ascii="Arial" w:hAnsi="Arial" w:cs="Arial"/>
        </w:rPr>
      </w:pPr>
    </w:p>
    <w:p w:rsidR="005E11E7" w:rsidRPr="00AC4533" w:rsidRDefault="00B43A44" w:rsidP="00990134">
      <w:pPr>
        <w:pStyle w:val="Default"/>
        <w:spacing w:before="60"/>
        <w:jc w:val="both"/>
        <w:rPr>
          <w:rFonts w:ascii="Arial" w:hAnsi="Arial" w:cs="Arial"/>
        </w:rPr>
      </w:pPr>
      <w:r w:rsidRPr="00AC4533">
        <w:rPr>
          <w:rFonts w:ascii="Arial" w:hAnsi="Arial" w:cs="Arial"/>
          <w:b/>
          <w:bCs/>
        </w:rPr>
        <w:t xml:space="preserve">Section </w:t>
      </w:r>
      <w:r w:rsidR="005B4A92" w:rsidRPr="00AC4533">
        <w:rPr>
          <w:rFonts w:ascii="Arial" w:hAnsi="Arial" w:cs="Arial"/>
          <w:b/>
          <w:bCs/>
        </w:rPr>
        <w:t>6</w:t>
      </w:r>
      <w:r w:rsidR="005B4A92" w:rsidRPr="00AC4533">
        <w:rPr>
          <w:rFonts w:ascii="Arial" w:hAnsi="Arial" w:cs="Arial"/>
        </w:rPr>
        <w:t xml:space="preserve"> </w:t>
      </w:r>
      <w:r w:rsidR="005E11E7" w:rsidRPr="00AC4533">
        <w:rPr>
          <w:rFonts w:ascii="Arial" w:hAnsi="Arial" w:cs="Arial"/>
        </w:rPr>
        <w:t xml:space="preserve">sets out a table containing the courses of study or instruction that are tertiary courses for the purposes of the GST Act </w:t>
      </w:r>
      <w:r w:rsidR="00EB22E3" w:rsidRPr="00AC4533">
        <w:rPr>
          <w:rFonts w:ascii="Arial" w:hAnsi="Arial" w:cs="Arial"/>
        </w:rPr>
        <w:t>even though</w:t>
      </w:r>
      <w:r w:rsidR="005E11E7" w:rsidRPr="00AC4533">
        <w:rPr>
          <w:rFonts w:ascii="Arial" w:hAnsi="Arial" w:cs="Arial"/>
        </w:rPr>
        <w:t xml:space="preserve"> they </w:t>
      </w:r>
      <w:r w:rsidR="009B2853" w:rsidRPr="00AC4533">
        <w:rPr>
          <w:rFonts w:ascii="Arial" w:hAnsi="Arial" w:cs="Arial"/>
        </w:rPr>
        <w:t xml:space="preserve">do not meet the Student Assistance Determination requirements and </w:t>
      </w:r>
      <w:r w:rsidR="005E11E7" w:rsidRPr="00AC4533">
        <w:rPr>
          <w:rFonts w:ascii="Arial" w:hAnsi="Arial" w:cs="Arial"/>
        </w:rPr>
        <w:t>are</w:t>
      </w:r>
      <w:r w:rsidR="009B2853" w:rsidRPr="00AC4533">
        <w:rPr>
          <w:rFonts w:ascii="Arial" w:hAnsi="Arial" w:cs="Arial"/>
        </w:rPr>
        <w:t xml:space="preserve"> therefore</w:t>
      </w:r>
      <w:r w:rsidR="005E11E7" w:rsidRPr="00AC4533">
        <w:rPr>
          <w:rFonts w:ascii="Arial" w:hAnsi="Arial" w:cs="Arial"/>
        </w:rPr>
        <w:t xml:space="preserve"> not ‘tertiary courses’ for the purposes of the Student Assistance </w:t>
      </w:r>
      <w:r w:rsidR="007F41AD" w:rsidRPr="00AC4533">
        <w:rPr>
          <w:rFonts w:ascii="Arial" w:hAnsi="Arial" w:cs="Arial"/>
        </w:rPr>
        <w:t>Act</w:t>
      </w:r>
      <w:r w:rsidR="005E11E7" w:rsidRPr="00AC4533">
        <w:rPr>
          <w:rFonts w:ascii="Arial" w:hAnsi="Arial" w:cs="Arial"/>
        </w:rPr>
        <w:t>.</w:t>
      </w:r>
    </w:p>
    <w:p w:rsidR="005E11E7" w:rsidRPr="00AC4533" w:rsidRDefault="005E11E7" w:rsidP="00990134">
      <w:pPr>
        <w:pStyle w:val="Default"/>
        <w:spacing w:before="60"/>
        <w:jc w:val="both"/>
        <w:rPr>
          <w:rFonts w:ascii="Arial" w:hAnsi="Arial" w:cs="Arial"/>
        </w:rPr>
      </w:pPr>
    </w:p>
    <w:p w:rsidR="005E11E7" w:rsidRPr="00AC4533" w:rsidRDefault="009B2853" w:rsidP="00990134">
      <w:pPr>
        <w:pStyle w:val="Default"/>
        <w:spacing w:before="60"/>
        <w:jc w:val="both"/>
        <w:rPr>
          <w:rFonts w:ascii="Arial" w:hAnsi="Arial" w:cs="Arial"/>
        </w:rPr>
      </w:pPr>
      <w:r w:rsidRPr="00AC4533">
        <w:rPr>
          <w:rFonts w:ascii="Arial" w:hAnsi="Arial" w:cs="Arial"/>
        </w:rPr>
        <w:t>In summary, t</w:t>
      </w:r>
      <w:r w:rsidR="005E11E7" w:rsidRPr="00AC4533">
        <w:rPr>
          <w:rFonts w:ascii="Arial" w:hAnsi="Arial" w:cs="Arial"/>
        </w:rPr>
        <w:t>his table is</w:t>
      </w:r>
      <w:r w:rsidRPr="00AC4533">
        <w:rPr>
          <w:rFonts w:ascii="Arial" w:hAnsi="Arial" w:cs="Arial"/>
        </w:rPr>
        <w:t xml:space="preserve"> intended</w:t>
      </w:r>
      <w:r w:rsidR="005E11E7" w:rsidRPr="00AC4533">
        <w:rPr>
          <w:rFonts w:ascii="Arial" w:hAnsi="Arial" w:cs="Arial"/>
        </w:rPr>
        <w:t xml:space="preserve"> to </w:t>
      </w:r>
      <w:r w:rsidR="00707E7A" w:rsidRPr="00AC4533">
        <w:rPr>
          <w:rFonts w:ascii="Arial" w:hAnsi="Arial" w:cs="Arial"/>
        </w:rPr>
        <w:t xml:space="preserve">ensure that the following </w:t>
      </w:r>
      <w:r w:rsidR="00881D4D" w:rsidRPr="00AC4533">
        <w:rPr>
          <w:rFonts w:ascii="Arial" w:hAnsi="Arial" w:cs="Arial"/>
        </w:rPr>
        <w:t xml:space="preserve">four kinds of </w:t>
      </w:r>
      <w:r w:rsidR="00707E7A" w:rsidRPr="00AC4533">
        <w:rPr>
          <w:rFonts w:ascii="Arial" w:hAnsi="Arial" w:cs="Arial"/>
        </w:rPr>
        <w:t>courses are still tertiary courses for the purposes of the GST Act</w:t>
      </w:r>
      <w:r w:rsidR="005E11E7" w:rsidRPr="00AC4533">
        <w:rPr>
          <w:rFonts w:ascii="Arial" w:hAnsi="Arial" w:cs="Arial"/>
        </w:rPr>
        <w:t>:</w:t>
      </w:r>
    </w:p>
    <w:p w:rsidR="00C51A80" w:rsidRPr="00AC4533" w:rsidRDefault="00C51A80" w:rsidP="00990134">
      <w:pPr>
        <w:pStyle w:val="Default"/>
        <w:spacing w:before="60"/>
        <w:jc w:val="both"/>
        <w:rPr>
          <w:rFonts w:ascii="Arial" w:hAnsi="Arial" w:cs="Arial"/>
        </w:rPr>
      </w:pPr>
    </w:p>
    <w:p w:rsidR="005E11E7" w:rsidRPr="00AC4533" w:rsidRDefault="005E11E7" w:rsidP="001D18C9">
      <w:pPr>
        <w:pStyle w:val="Default"/>
        <w:numPr>
          <w:ilvl w:val="0"/>
          <w:numId w:val="13"/>
        </w:numPr>
        <w:spacing w:before="60"/>
        <w:jc w:val="both"/>
        <w:rPr>
          <w:rFonts w:ascii="Arial" w:hAnsi="Arial" w:cs="Arial"/>
        </w:rPr>
      </w:pPr>
      <w:r w:rsidRPr="00AC4533">
        <w:rPr>
          <w:rFonts w:ascii="Arial" w:hAnsi="Arial" w:cs="Arial"/>
        </w:rPr>
        <w:t>a course that is not offered on a full-time basis, and therefore does not meet the Student Assistance Determination requirements for a tertiary course;</w:t>
      </w:r>
    </w:p>
    <w:p w:rsidR="005E11E7" w:rsidRPr="00AC4533" w:rsidRDefault="005E11E7" w:rsidP="001D18C9">
      <w:pPr>
        <w:pStyle w:val="Default"/>
        <w:numPr>
          <w:ilvl w:val="0"/>
          <w:numId w:val="13"/>
        </w:numPr>
        <w:spacing w:before="60"/>
        <w:jc w:val="both"/>
        <w:rPr>
          <w:rFonts w:ascii="Arial" w:hAnsi="Arial" w:cs="Arial"/>
        </w:rPr>
      </w:pPr>
      <w:r w:rsidRPr="00AC4533">
        <w:rPr>
          <w:rFonts w:ascii="Arial" w:hAnsi="Arial" w:cs="Arial"/>
        </w:rPr>
        <w:t>a VET course</w:t>
      </w:r>
      <w:r w:rsidR="009B2853" w:rsidRPr="00AC4533">
        <w:rPr>
          <w:rFonts w:ascii="Arial" w:hAnsi="Arial" w:cs="Arial"/>
        </w:rPr>
        <w:t xml:space="preserve"> (including an Open Learning course at the level of a VET course)</w:t>
      </w:r>
      <w:r w:rsidRPr="00AC4533">
        <w:rPr>
          <w:rFonts w:ascii="Arial" w:hAnsi="Arial" w:cs="Arial"/>
        </w:rPr>
        <w:t xml:space="preserve"> that does not meet the Student Assistance Determination requirements because it is not </w:t>
      </w:r>
      <w:r w:rsidR="007F41AD" w:rsidRPr="00AC4533">
        <w:rPr>
          <w:rFonts w:ascii="Arial" w:hAnsi="Arial" w:cs="Arial"/>
        </w:rPr>
        <w:t xml:space="preserve">an </w:t>
      </w:r>
      <w:r w:rsidRPr="00AC4533">
        <w:rPr>
          <w:rFonts w:ascii="Arial" w:hAnsi="Arial" w:cs="Arial"/>
        </w:rPr>
        <w:t xml:space="preserve">approved course under the </w:t>
      </w:r>
      <w:r w:rsidRPr="00AC4533">
        <w:rPr>
          <w:rFonts w:ascii="Arial" w:hAnsi="Arial" w:cs="Arial"/>
          <w:i/>
        </w:rPr>
        <w:t>VET Student Loans Act 2016</w:t>
      </w:r>
      <w:r w:rsidRPr="00AC4533">
        <w:rPr>
          <w:rFonts w:ascii="Arial" w:hAnsi="Arial" w:cs="Arial"/>
        </w:rPr>
        <w:t>;</w:t>
      </w:r>
    </w:p>
    <w:p w:rsidR="005E11E7" w:rsidRPr="00AC4533" w:rsidRDefault="005E11E7" w:rsidP="00707E7A">
      <w:pPr>
        <w:pStyle w:val="Default"/>
        <w:numPr>
          <w:ilvl w:val="0"/>
          <w:numId w:val="13"/>
        </w:numPr>
        <w:spacing w:before="60"/>
        <w:jc w:val="both"/>
        <w:rPr>
          <w:rFonts w:ascii="Arial" w:hAnsi="Arial" w:cs="Arial"/>
        </w:rPr>
      </w:pPr>
      <w:r w:rsidRPr="00AC4533">
        <w:rPr>
          <w:rFonts w:ascii="Arial" w:hAnsi="Arial" w:cs="Arial"/>
        </w:rPr>
        <w:t>an undergraduate or postgraduate accredited higher education course</w:t>
      </w:r>
      <w:r w:rsidR="009B2853" w:rsidRPr="00AC4533">
        <w:rPr>
          <w:rFonts w:ascii="Arial" w:hAnsi="Arial" w:cs="Arial"/>
        </w:rPr>
        <w:t xml:space="preserve"> (including an Open Learning course) </w:t>
      </w:r>
      <w:r w:rsidRPr="00AC4533">
        <w:rPr>
          <w:rFonts w:ascii="Arial" w:hAnsi="Arial" w:cs="Arial"/>
        </w:rPr>
        <w:t xml:space="preserve"> that does not meet the Student Assistance Determination requirements because it </w:t>
      </w:r>
      <w:r w:rsidR="00707E7A" w:rsidRPr="00AC4533">
        <w:rPr>
          <w:rFonts w:ascii="Arial" w:hAnsi="Arial" w:cs="Arial"/>
        </w:rPr>
        <w:t>is not provided by a higher education provider</w:t>
      </w:r>
      <w:r w:rsidRPr="00AC4533">
        <w:rPr>
          <w:rFonts w:ascii="Arial" w:hAnsi="Arial" w:cs="Arial"/>
        </w:rPr>
        <w:t xml:space="preserve"> under the </w:t>
      </w:r>
      <w:r w:rsidRPr="00AC4533">
        <w:rPr>
          <w:rFonts w:ascii="Arial" w:hAnsi="Arial" w:cs="Arial"/>
          <w:i/>
        </w:rPr>
        <w:t>Higher Education Support Act 2003</w:t>
      </w:r>
      <w:r w:rsidRPr="00AC4533">
        <w:rPr>
          <w:rFonts w:ascii="Arial" w:hAnsi="Arial" w:cs="Arial"/>
        </w:rPr>
        <w:t>;</w:t>
      </w:r>
    </w:p>
    <w:p w:rsidR="009B2853" w:rsidRPr="00AC4533" w:rsidRDefault="009B2853" w:rsidP="001D18C9">
      <w:pPr>
        <w:pStyle w:val="Default"/>
        <w:numPr>
          <w:ilvl w:val="0"/>
          <w:numId w:val="13"/>
        </w:numPr>
        <w:spacing w:before="60"/>
        <w:jc w:val="both"/>
        <w:rPr>
          <w:rFonts w:ascii="Arial" w:hAnsi="Arial" w:cs="Arial"/>
        </w:rPr>
      </w:pPr>
      <w:r w:rsidRPr="00AC4533">
        <w:rPr>
          <w:rFonts w:ascii="Arial" w:hAnsi="Arial" w:cs="Arial"/>
        </w:rPr>
        <w:t>a combined course consisting of concurrent study, at 2 different institutions, in an accredited higher education course and a VET course that does not meet the Student Assistance Determination requirements because:</w:t>
      </w:r>
    </w:p>
    <w:p w:rsidR="009B2853" w:rsidRPr="00AC4533" w:rsidRDefault="009B2853" w:rsidP="009B2853">
      <w:pPr>
        <w:pStyle w:val="Default"/>
        <w:numPr>
          <w:ilvl w:val="1"/>
          <w:numId w:val="13"/>
        </w:numPr>
        <w:spacing w:before="60"/>
        <w:jc w:val="both"/>
        <w:rPr>
          <w:rFonts w:ascii="Arial" w:hAnsi="Arial" w:cs="Arial"/>
        </w:rPr>
      </w:pPr>
      <w:r w:rsidRPr="00AC4533">
        <w:rPr>
          <w:rFonts w:ascii="Arial" w:hAnsi="Arial" w:cs="Arial"/>
        </w:rPr>
        <w:t>to the extent that the course consists of study in a VET course—the VET course is not an approved course;</w:t>
      </w:r>
    </w:p>
    <w:p w:rsidR="005E11E7" w:rsidRPr="00AC4533" w:rsidRDefault="009B2853" w:rsidP="001D18C9">
      <w:pPr>
        <w:pStyle w:val="Default"/>
        <w:numPr>
          <w:ilvl w:val="1"/>
          <w:numId w:val="13"/>
        </w:numPr>
        <w:spacing w:before="60"/>
        <w:jc w:val="both"/>
        <w:rPr>
          <w:rFonts w:ascii="Arial" w:hAnsi="Arial" w:cs="Arial"/>
        </w:rPr>
      </w:pPr>
      <w:r w:rsidRPr="00AC4533">
        <w:rPr>
          <w:rFonts w:ascii="Arial" w:hAnsi="Arial" w:cs="Arial"/>
        </w:rPr>
        <w:lastRenderedPageBreak/>
        <w:t>to the extent that the course consists of an accredited higher education course—the accredited higher education course is not provided by a higher education provider.</w:t>
      </w:r>
    </w:p>
    <w:p w:rsidR="00293A16" w:rsidRPr="00AC4533" w:rsidRDefault="00293A16" w:rsidP="00B43A44">
      <w:pPr>
        <w:pStyle w:val="Default"/>
        <w:spacing w:before="60"/>
        <w:jc w:val="both"/>
        <w:rPr>
          <w:rFonts w:ascii="Arial" w:hAnsi="Arial" w:cs="Arial"/>
        </w:rPr>
      </w:pPr>
    </w:p>
    <w:p w:rsidR="00A536A8" w:rsidRPr="00AC4533" w:rsidRDefault="00A536A8" w:rsidP="00B43A44">
      <w:pPr>
        <w:pStyle w:val="Default"/>
        <w:spacing w:before="60"/>
        <w:jc w:val="both"/>
        <w:rPr>
          <w:rFonts w:ascii="Arial" w:hAnsi="Arial" w:cs="Arial"/>
        </w:rPr>
      </w:pPr>
      <w:r w:rsidRPr="00AC4533">
        <w:rPr>
          <w:rFonts w:ascii="Arial" w:hAnsi="Arial" w:cs="Arial"/>
          <w:b/>
        </w:rPr>
        <w:t>Schedule 1</w:t>
      </w:r>
      <w:r w:rsidRPr="00AC4533">
        <w:rPr>
          <w:rFonts w:ascii="Arial" w:hAnsi="Arial" w:cs="Arial"/>
        </w:rPr>
        <w:t xml:space="preserve"> to the Determination repeals the 2014 Determination. The Determination will continue the GST-free status of courses not provided on a full-time basis. As this was the </w:t>
      </w:r>
      <w:r w:rsidR="009B2853" w:rsidRPr="00AC4533">
        <w:rPr>
          <w:rFonts w:ascii="Arial" w:hAnsi="Arial" w:cs="Arial"/>
        </w:rPr>
        <w:t>only</w:t>
      </w:r>
      <w:r w:rsidRPr="00AC4533">
        <w:rPr>
          <w:rFonts w:ascii="Arial" w:hAnsi="Arial" w:cs="Arial"/>
        </w:rPr>
        <w:t xml:space="preserve"> effect of the 2014 Determination</w:t>
      </w:r>
      <w:r w:rsidR="009B2853" w:rsidRPr="00AC4533">
        <w:rPr>
          <w:rFonts w:ascii="Arial" w:hAnsi="Arial" w:cs="Arial"/>
        </w:rPr>
        <w:t>,</w:t>
      </w:r>
      <w:r w:rsidRPr="00AC4533">
        <w:rPr>
          <w:rFonts w:ascii="Arial" w:hAnsi="Arial" w:cs="Arial"/>
        </w:rPr>
        <w:t xml:space="preserve"> it was considered appropriate to repeal this instrument</w:t>
      </w:r>
      <w:r w:rsidR="009B2853" w:rsidRPr="00AC4533">
        <w:rPr>
          <w:rFonts w:ascii="Arial" w:hAnsi="Arial" w:cs="Arial"/>
        </w:rPr>
        <w:t xml:space="preserve"> as the Determination provides sufficient coverage for part-time courses</w:t>
      </w:r>
      <w:r w:rsidRPr="00AC4533">
        <w:rPr>
          <w:rFonts w:ascii="Arial" w:hAnsi="Arial" w:cs="Arial"/>
        </w:rPr>
        <w:t>.</w:t>
      </w:r>
    </w:p>
    <w:p w:rsidR="00A536A8" w:rsidRPr="00AC4533" w:rsidRDefault="00A536A8" w:rsidP="00B43A44">
      <w:pPr>
        <w:pStyle w:val="Default"/>
        <w:spacing w:before="60"/>
        <w:jc w:val="both"/>
        <w:rPr>
          <w:rFonts w:ascii="Arial" w:hAnsi="Arial" w:cs="Arial"/>
        </w:rPr>
      </w:pPr>
    </w:p>
    <w:p w:rsidR="00655714" w:rsidRPr="00AC4533" w:rsidRDefault="00655714" w:rsidP="007631B3">
      <w:pPr>
        <w:pStyle w:val="Default"/>
        <w:keepNext/>
        <w:tabs>
          <w:tab w:val="left" w:pos="3660"/>
        </w:tabs>
        <w:spacing w:before="60"/>
        <w:jc w:val="both"/>
        <w:rPr>
          <w:rFonts w:ascii="Arial" w:hAnsi="Arial" w:cs="Arial"/>
          <w:bCs/>
          <w:color w:val="auto"/>
        </w:rPr>
      </w:pPr>
      <w:r w:rsidRPr="00AC4533">
        <w:rPr>
          <w:rFonts w:ascii="Arial" w:hAnsi="Arial" w:cs="Arial"/>
          <w:b/>
        </w:rPr>
        <w:t>Consultation</w:t>
      </w:r>
    </w:p>
    <w:p w:rsidR="00655714" w:rsidRPr="00AC4533" w:rsidRDefault="00655714" w:rsidP="007631B3">
      <w:pPr>
        <w:keepNext/>
        <w:spacing w:before="240"/>
        <w:jc w:val="both"/>
        <w:rPr>
          <w:rFonts w:ascii="Arial" w:hAnsi="Arial" w:cs="Arial"/>
        </w:rPr>
      </w:pPr>
      <w:r w:rsidRPr="00AC4533">
        <w:rPr>
          <w:rFonts w:ascii="Arial" w:hAnsi="Arial" w:cs="Arial"/>
        </w:rPr>
        <w:t xml:space="preserve">The </w:t>
      </w:r>
      <w:r w:rsidR="00331AFA" w:rsidRPr="00AC4533">
        <w:rPr>
          <w:rFonts w:ascii="Arial" w:hAnsi="Arial" w:cs="Arial"/>
        </w:rPr>
        <w:t>Australian Taxation Office (</w:t>
      </w:r>
      <w:r w:rsidR="00DC60BC" w:rsidRPr="00AC4533">
        <w:rPr>
          <w:rFonts w:ascii="Arial" w:hAnsi="Arial" w:cs="Arial"/>
        </w:rPr>
        <w:t>ATO</w:t>
      </w:r>
      <w:r w:rsidR="00331AFA" w:rsidRPr="00AC4533">
        <w:rPr>
          <w:rFonts w:ascii="Arial" w:hAnsi="Arial" w:cs="Arial"/>
        </w:rPr>
        <w:t>)</w:t>
      </w:r>
      <w:r w:rsidR="00FB51F5" w:rsidRPr="00AC4533">
        <w:rPr>
          <w:rFonts w:ascii="Arial" w:hAnsi="Arial" w:cs="Arial"/>
        </w:rPr>
        <w:t xml:space="preserve"> and</w:t>
      </w:r>
      <w:r w:rsidR="008F2B4F" w:rsidRPr="00AC4533">
        <w:rPr>
          <w:rFonts w:ascii="Arial" w:hAnsi="Arial" w:cs="Arial"/>
        </w:rPr>
        <w:t xml:space="preserve"> the </w:t>
      </w:r>
      <w:r w:rsidRPr="00AC4533">
        <w:rPr>
          <w:rFonts w:ascii="Arial" w:hAnsi="Arial" w:cs="Arial"/>
        </w:rPr>
        <w:t>Treasury</w:t>
      </w:r>
      <w:r w:rsidR="00FB51F5" w:rsidRPr="00AC4533">
        <w:rPr>
          <w:rFonts w:ascii="Arial" w:hAnsi="Arial" w:cs="Arial"/>
        </w:rPr>
        <w:t xml:space="preserve"> </w:t>
      </w:r>
      <w:r w:rsidR="00017197" w:rsidRPr="00AC4533">
        <w:rPr>
          <w:rFonts w:ascii="Arial" w:hAnsi="Arial" w:cs="Arial"/>
        </w:rPr>
        <w:t>were consulted</w:t>
      </w:r>
      <w:r w:rsidR="008F2B4F" w:rsidRPr="00AC4533">
        <w:rPr>
          <w:rFonts w:ascii="Arial" w:hAnsi="Arial" w:cs="Arial"/>
        </w:rPr>
        <w:t xml:space="preserve"> </w:t>
      </w:r>
      <w:r w:rsidRPr="00AC4533">
        <w:rPr>
          <w:rFonts w:ascii="Arial" w:hAnsi="Arial" w:cs="Arial"/>
        </w:rPr>
        <w:t xml:space="preserve">in relation to </w:t>
      </w:r>
      <w:r w:rsidR="00470058" w:rsidRPr="00AC4533">
        <w:rPr>
          <w:rFonts w:ascii="Arial" w:hAnsi="Arial" w:cs="Arial"/>
        </w:rPr>
        <w:t>the</w:t>
      </w:r>
      <w:r w:rsidRPr="00AC4533">
        <w:rPr>
          <w:rFonts w:ascii="Arial" w:hAnsi="Arial" w:cs="Arial"/>
        </w:rPr>
        <w:t xml:space="preserve"> Determination. </w:t>
      </w:r>
    </w:p>
    <w:p w:rsidR="00441568" w:rsidRPr="00AC4533" w:rsidRDefault="00A871F5" w:rsidP="00655714">
      <w:pPr>
        <w:spacing w:before="240"/>
        <w:jc w:val="both"/>
        <w:rPr>
          <w:rFonts w:ascii="Arial" w:hAnsi="Arial" w:cs="Arial"/>
        </w:rPr>
      </w:pPr>
      <w:r w:rsidRPr="00AC4533">
        <w:rPr>
          <w:rFonts w:ascii="Arial" w:hAnsi="Arial" w:cs="Arial"/>
        </w:rPr>
        <w:t xml:space="preserve">Public consultation was not </w:t>
      </w:r>
      <w:r w:rsidR="00DC60BC" w:rsidRPr="00AC4533">
        <w:rPr>
          <w:rFonts w:ascii="Arial" w:hAnsi="Arial" w:cs="Arial"/>
        </w:rPr>
        <w:t xml:space="preserve">necessary for </w:t>
      </w:r>
      <w:r w:rsidR="00441568" w:rsidRPr="00AC4533">
        <w:rPr>
          <w:rFonts w:ascii="Arial" w:hAnsi="Arial" w:cs="Arial"/>
        </w:rPr>
        <w:t xml:space="preserve">this Determination because </w:t>
      </w:r>
      <w:r w:rsidR="00DC60BC" w:rsidRPr="00AC4533">
        <w:rPr>
          <w:rFonts w:ascii="Arial" w:hAnsi="Arial" w:cs="Arial"/>
        </w:rPr>
        <w:t>the instrument is of a minor or machinery nature</w:t>
      </w:r>
      <w:r w:rsidR="00737865" w:rsidRPr="00AC4533">
        <w:rPr>
          <w:rFonts w:ascii="Arial" w:hAnsi="Arial" w:cs="Arial"/>
        </w:rPr>
        <w:t>,</w:t>
      </w:r>
      <w:r w:rsidR="00DC60BC" w:rsidRPr="00AC4533">
        <w:rPr>
          <w:rFonts w:ascii="Arial" w:hAnsi="Arial" w:cs="Arial"/>
        </w:rPr>
        <w:t xml:space="preserve"> </w:t>
      </w:r>
      <w:r w:rsidR="00441568" w:rsidRPr="00AC4533">
        <w:rPr>
          <w:rFonts w:ascii="Arial" w:hAnsi="Arial" w:cs="Arial"/>
        </w:rPr>
        <w:t xml:space="preserve">confirms existing </w:t>
      </w:r>
      <w:r w:rsidR="00DC60BC" w:rsidRPr="00AC4533">
        <w:rPr>
          <w:rFonts w:ascii="Arial" w:hAnsi="Arial" w:cs="Arial"/>
        </w:rPr>
        <w:t xml:space="preserve">ATO </w:t>
      </w:r>
      <w:r w:rsidR="00441568" w:rsidRPr="00AC4533">
        <w:rPr>
          <w:rFonts w:ascii="Arial" w:hAnsi="Arial" w:cs="Arial"/>
        </w:rPr>
        <w:t>practice</w:t>
      </w:r>
      <w:r w:rsidR="00DC60BC" w:rsidRPr="00AC4533">
        <w:rPr>
          <w:rFonts w:ascii="Arial" w:hAnsi="Arial" w:cs="Arial"/>
        </w:rPr>
        <w:t xml:space="preserve"> and is not expected to have a practical impact on taxpayers</w:t>
      </w:r>
      <w:r w:rsidR="00441568" w:rsidRPr="00AC4533">
        <w:rPr>
          <w:rFonts w:ascii="Arial" w:hAnsi="Arial" w:cs="Arial"/>
        </w:rPr>
        <w:t xml:space="preserve">. </w:t>
      </w:r>
    </w:p>
    <w:p w:rsidR="00655714" w:rsidRPr="00AC4533" w:rsidRDefault="00655714" w:rsidP="00655714">
      <w:pPr>
        <w:keepNext/>
        <w:spacing w:before="240"/>
        <w:jc w:val="both"/>
        <w:rPr>
          <w:rFonts w:ascii="Arial" w:hAnsi="Arial" w:cs="Arial"/>
          <w:lang w:eastAsia="en-AU"/>
        </w:rPr>
      </w:pPr>
      <w:r w:rsidRPr="00AC4533">
        <w:rPr>
          <w:rFonts w:ascii="Arial" w:hAnsi="Arial" w:cs="Arial"/>
          <w:b/>
          <w:lang w:eastAsia="en-AU"/>
        </w:rPr>
        <w:t>Regulatory Impact Analysis</w:t>
      </w:r>
    </w:p>
    <w:p w:rsidR="00655714" w:rsidRPr="00AC4533" w:rsidRDefault="00B24079" w:rsidP="00655714">
      <w:pPr>
        <w:spacing w:before="240"/>
        <w:jc w:val="both"/>
        <w:rPr>
          <w:rFonts w:ascii="Arial" w:hAnsi="Arial" w:cs="Arial"/>
          <w:lang w:eastAsia="en-AU"/>
        </w:rPr>
      </w:pPr>
      <w:r w:rsidRPr="00AC4533">
        <w:rPr>
          <w:rFonts w:ascii="Arial" w:hAnsi="Arial" w:cs="Arial"/>
          <w:lang w:eastAsia="en-AU"/>
        </w:rPr>
        <w:t>The Determination is not regulatory in nature and will have no regulatory impact on individuals, business, activity or competition.</w:t>
      </w:r>
    </w:p>
    <w:p w:rsidR="00C97485" w:rsidRPr="00AC4533" w:rsidRDefault="00C97485" w:rsidP="00520804">
      <w:pPr>
        <w:keepNext/>
        <w:jc w:val="both"/>
        <w:outlineLvl w:val="2"/>
        <w:rPr>
          <w:rFonts w:ascii="Arial" w:hAnsi="Arial"/>
          <w:b/>
          <w:bCs/>
        </w:rPr>
        <w:sectPr w:rsidR="00C97485" w:rsidRPr="00AC4533">
          <w:headerReference w:type="default" r:id="rId17"/>
          <w:footerReference w:type="default" r:id="rId18"/>
          <w:pgSz w:w="11906" w:h="16838"/>
          <w:pgMar w:top="1440" w:right="1800" w:bottom="1440" w:left="1800" w:header="708" w:footer="708" w:gutter="0"/>
          <w:cols w:space="708"/>
          <w:docGrid w:linePitch="360"/>
        </w:sectPr>
      </w:pPr>
    </w:p>
    <w:p w:rsidR="00B24079" w:rsidRPr="00AC4533" w:rsidRDefault="00B24079" w:rsidP="00B24079">
      <w:pPr>
        <w:spacing w:after="120"/>
        <w:jc w:val="center"/>
        <w:rPr>
          <w:rFonts w:ascii="Arial" w:hAnsi="Arial" w:cs="Arial"/>
          <w:b/>
          <w:lang w:eastAsia="en-AU"/>
        </w:rPr>
      </w:pPr>
      <w:r w:rsidRPr="00AC4533">
        <w:rPr>
          <w:rFonts w:ascii="Arial" w:hAnsi="Arial" w:cs="Arial"/>
          <w:b/>
          <w:lang w:eastAsia="en-AU"/>
        </w:rPr>
        <w:lastRenderedPageBreak/>
        <w:t>Statement of Compatibility with Human Rights</w:t>
      </w:r>
    </w:p>
    <w:p w:rsidR="00B24079" w:rsidRPr="00AC4533" w:rsidRDefault="00B24079" w:rsidP="00B24079">
      <w:pPr>
        <w:spacing w:before="120" w:after="120"/>
        <w:jc w:val="center"/>
        <w:rPr>
          <w:rFonts w:ascii="Arial" w:hAnsi="Arial" w:cs="Arial"/>
          <w:i/>
          <w:lang w:eastAsia="en-AU"/>
        </w:rPr>
      </w:pPr>
      <w:r w:rsidRPr="00AC4533">
        <w:rPr>
          <w:rFonts w:ascii="Arial" w:hAnsi="Arial" w:cs="Arial"/>
          <w:i/>
          <w:lang w:eastAsia="en-AU"/>
        </w:rPr>
        <w:t>Prepared in accordance with Part 3 of the Human Rights (Parliamentary Scrutiny) Act 2011</w:t>
      </w:r>
    </w:p>
    <w:p w:rsidR="00B24079" w:rsidRPr="00AC4533" w:rsidRDefault="00B24079" w:rsidP="00B24079">
      <w:pPr>
        <w:spacing w:before="120" w:after="120"/>
        <w:jc w:val="center"/>
        <w:rPr>
          <w:rFonts w:ascii="Arial" w:hAnsi="Arial" w:cs="Arial"/>
          <w:i/>
          <w:lang w:eastAsia="en-AU"/>
        </w:rPr>
      </w:pPr>
      <w:r w:rsidRPr="00AC4533">
        <w:rPr>
          <w:rFonts w:ascii="Arial" w:hAnsi="Arial" w:cs="Arial"/>
          <w:i/>
          <w:lang w:eastAsia="en-AU"/>
        </w:rPr>
        <w:t>A New Tax System (Goods and Services Tax) (Tertiary Courses) Determination 2017</w:t>
      </w:r>
    </w:p>
    <w:p w:rsidR="00B24079" w:rsidRPr="007D4FF1" w:rsidRDefault="00B24079" w:rsidP="007D4FF1">
      <w:pPr>
        <w:spacing w:before="120" w:after="120"/>
        <w:jc w:val="both"/>
        <w:rPr>
          <w:rFonts w:ascii="Arial" w:hAnsi="Arial" w:cs="Arial"/>
          <w:i/>
          <w:lang w:eastAsia="en-AU"/>
        </w:rPr>
      </w:pPr>
      <w:r w:rsidRPr="00AC4533">
        <w:rPr>
          <w:rFonts w:ascii="Arial" w:hAnsi="Arial" w:cs="Arial"/>
          <w:lang w:eastAsia="en-AU"/>
        </w:rPr>
        <w:t xml:space="preserve">The </w:t>
      </w:r>
      <w:r w:rsidRPr="00AC4533">
        <w:rPr>
          <w:rFonts w:ascii="Arial" w:hAnsi="Arial" w:cs="Arial"/>
          <w:i/>
          <w:lang w:eastAsia="en-AU"/>
        </w:rPr>
        <w:t>A New Tax System (Goods and Services Tax) (Tertiary Courses) Determination 2017</w:t>
      </w:r>
      <w:r w:rsidRPr="00AC4533" w:rsidDel="006716D5">
        <w:rPr>
          <w:rFonts w:ascii="Arial" w:hAnsi="Arial" w:cs="Arial"/>
          <w:i/>
          <w:lang w:eastAsia="en-AU"/>
        </w:rPr>
        <w:t xml:space="preserve"> </w:t>
      </w:r>
      <w:r w:rsidRPr="00AC4533">
        <w:rPr>
          <w:rFonts w:ascii="Arial" w:hAnsi="Arial" w:cs="Arial"/>
          <w:lang w:eastAsia="en-AU"/>
        </w:rPr>
        <w:t>(the Determination)</w:t>
      </w:r>
      <w:r w:rsidRPr="00AC4533">
        <w:rPr>
          <w:rFonts w:ascii="Arial" w:hAnsi="Arial" w:cs="Arial"/>
          <w:i/>
          <w:lang w:eastAsia="en-AU"/>
        </w:rPr>
        <w:t xml:space="preserve"> </w:t>
      </w:r>
      <w:r w:rsidRPr="00AC4533">
        <w:rPr>
          <w:rFonts w:ascii="Arial" w:hAnsi="Arial" w:cs="Arial"/>
          <w:lang w:eastAsia="en-AU"/>
        </w:rPr>
        <w:t xml:space="preserve">is compatible with the human rights and freedoms recognised or declared in the international instruments listed in section 3 of the </w:t>
      </w:r>
      <w:r w:rsidRPr="00AC4533">
        <w:rPr>
          <w:rFonts w:ascii="Arial" w:hAnsi="Arial" w:cs="Arial"/>
          <w:i/>
          <w:lang w:eastAsia="en-AU"/>
        </w:rPr>
        <w:t>Human Rights (Parliamentary Scrutiny) Act 2011</w:t>
      </w:r>
      <w:r w:rsidRPr="00AC4533">
        <w:rPr>
          <w:rFonts w:ascii="Arial" w:hAnsi="Arial" w:cs="Arial"/>
          <w:lang w:eastAsia="en-AU"/>
        </w:rPr>
        <w:t>.</w:t>
      </w:r>
    </w:p>
    <w:p w:rsidR="00B24079" w:rsidRPr="00AC4533" w:rsidRDefault="00B24079" w:rsidP="00B24079">
      <w:pPr>
        <w:spacing w:before="120" w:after="120"/>
        <w:jc w:val="both"/>
        <w:rPr>
          <w:rFonts w:ascii="Arial" w:hAnsi="Arial" w:cs="Arial"/>
          <w:b/>
          <w:lang w:eastAsia="en-AU"/>
        </w:rPr>
      </w:pPr>
      <w:r w:rsidRPr="00AC4533">
        <w:rPr>
          <w:rFonts w:ascii="Arial" w:hAnsi="Arial" w:cs="Arial"/>
          <w:b/>
          <w:lang w:eastAsia="en-AU"/>
        </w:rPr>
        <w:t>Overview of the Legislative Instrument</w:t>
      </w:r>
    </w:p>
    <w:p w:rsidR="00B24079" w:rsidRPr="00AC4533" w:rsidRDefault="00B24079" w:rsidP="00B24079">
      <w:pPr>
        <w:spacing w:before="240"/>
        <w:jc w:val="both"/>
        <w:rPr>
          <w:rFonts w:ascii="Arial" w:hAnsi="Arial" w:cs="Arial"/>
        </w:rPr>
      </w:pPr>
      <w:r w:rsidRPr="00AC4533">
        <w:rPr>
          <w:rFonts w:ascii="Arial" w:hAnsi="Arial" w:cs="Arial"/>
          <w:lang w:eastAsia="en-AU"/>
        </w:rPr>
        <w:t>The Determination is made under paragraph</w:t>
      </w:r>
      <w:r w:rsidRPr="00AC4533">
        <w:rPr>
          <w:rFonts w:ascii="Arial" w:hAnsi="Arial" w:cs="Arial"/>
        </w:rPr>
        <w:t xml:space="preserve"> (b) of the definition of </w:t>
      </w:r>
      <w:r w:rsidR="00875676" w:rsidRPr="00AC4533">
        <w:rPr>
          <w:rFonts w:ascii="Arial" w:hAnsi="Arial" w:cs="Arial"/>
        </w:rPr>
        <w:t>‘</w:t>
      </w:r>
      <w:r w:rsidRPr="00AC4533">
        <w:rPr>
          <w:rFonts w:ascii="Arial" w:hAnsi="Arial" w:cs="Arial"/>
        </w:rPr>
        <w:t>ter</w:t>
      </w:r>
      <w:r w:rsidR="00875676" w:rsidRPr="00AC4533">
        <w:rPr>
          <w:rFonts w:ascii="Arial" w:hAnsi="Arial" w:cs="Arial"/>
        </w:rPr>
        <w:t>t</w:t>
      </w:r>
      <w:r w:rsidRPr="00AC4533">
        <w:rPr>
          <w:rFonts w:ascii="Arial" w:hAnsi="Arial" w:cs="Arial"/>
        </w:rPr>
        <w:t>iary course</w:t>
      </w:r>
      <w:r w:rsidR="00875676" w:rsidRPr="00AC4533">
        <w:rPr>
          <w:rFonts w:ascii="Arial" w:hAnsi="Arial" w:cs="Arial"/>
        </w:rPr>
        <w:t>’</w:t>
      </w:r>
      <w:r w:rsidRPr="00AC4533">
        <w:rPr>
          <w:rFonts w:ascii="Arial" w:hAnsi="Arial" w:cs="Arial"/>
        </w:rPr>
        <w:t xml:space="preserve"> in </w:t>
      </w:r>
      <w:r w:rsidR="00875676" w:rsidRPr="00AC4533">
        <w:rPr>
          <w:rFonts w:ascii="Arial" w:hAnsi="Arial" w:cs="Arial"/>
        </w:rPr>
        <w:t xml:space="preserve">section 195-1 of </w:t>
      </w:r>
      <w:r w:rsidRPr="00AC4533">
        <w:rPr>
          <w:rFonts w:ascii="Arial" w:hAnsi="Arial" w:cs="Arial"/>
        </w:rPr>
        <w:t xml:space="preserve">the </w:t>
      </w:r>
      <w:r w:rsidRPr="00AC4533">
        <w:rPr>
          <w:rFonts w:ascii="Arial" w:hAnsi="Arial" w:cs="Arial"/>
          <w:i/>
        </w:rPr>
        <w:t>A New Tax System (Goods and Services Tax)</w:t>
      </w:r>
      <w:r w:rsidRPr="00AC4533">
        <w:rPr>
          <w:rFonts w:ascii="Arial" w:hAnsi="Arial" w:cs="Arial"/>
        </w:rPr>
        <w:t xml:space="preserve"> </w:t>
      </w:r>
      <w:r w:rsidRPr="00AC4533">
        <w:rPr>
          <w:rFonts w:ascii="Arial" w:hAnsi="Arial" w:cs="Arial"/>
          <w:i/>
        </w:rPr>
        <w:t>Act 1999</w:t>
      </w:r>
      <w:r w:rsidRPr="00AC4533">
        <w:rPr>
          <w:rFonts w:ascii="Arial" w:hAnsi="Arial" w:cs="Arial"/>
        </w:rPr>
        <w:t xml:space="preserve"> (the </w:t>
      </w:r>
      <w:r w:rsidR="00875676" w:rsidRPr="00AC4533">
        <w:rPr>
          <w:rFonts w:ascii="Arial" w:hAnsi="Arial" w:cs="Arial"/>
        </w:rPr>
        <w:t xml:space="preserve">GST </w:t>
      </w:r>
      <w:r w:rsidRPr="00AC4533">
        <w:rPr>
          <w:rFonts w:ascii="Arial" w:hAnsi="Arial" w:cs="Arial"/>
        </w:rPr>
        <w:t>Act).</w:t>
      </w:r>
    </w:p>
    <w:p w:rsidR="00B24079" w:rsidRPr="00AC4533" w:rsidRDefault="00B24079" w:rsidP="00B24079">
      <w:pPr>
        <w:jc w:val="center"/>
        <w:rPr>
          <w:rFonts w:ascii="Arial" w:hAnsi="Arial" w:cs="Arial"/>
          <w:b/>
        </w:rPr>
      </w:pPr>
    </w:p>
    <w:p w:rsidR="00B24079" w:rsidRPr="00AC4533" w:rsidRDefault="00B24079" w:rsidP="00B24079">
      <w:pPr>
        <w:rPr>
          <w:rFonts w:ascii="Arial" w:hAnsi="Arial" w:cs="Arial"/>
          <w:lang w:eastAsia="en-AU"/>
        </w:rPr>
      </w:pPr>
      <w:r w:rsidRPr="00AC4533">
        <w:rPr>
          <w:rFonts w:ascii="Arial" w:hAnsi="Arial" w:cs="Arial"/>
          <w:lang w:eastAsia="en-AU"/>
        </w:rPr>
        <w:t xml:space="preserve">Once a determination has been made that a course is a tertiary course, the course will be an ‘education course’ for the purposes of the definition of education course in section 195-1 of the </w:t>
      </w:r>
      <w:r w:rsidR="00875676" w:rsidRPr="00AC4533">
        <w:rPr>
          <w:rFonts w:ascii="Arial" w:hAnsi="Arial" w:cs="Arial"/>
          <w:lang w:eastAsia="en-AU"/>
        </w:rPr>
        <w:t xml:space="preserve">GST </w:t>
      </w:r>
      <w:r w:rsidRPr="00AC4533">
        <w:rPr>
          <w:rFonts w:ascii="Arial" w:hAnsi="Arial" w:cs="Arial"/>
          <w:lang w:eastAsia="en-AU"/>
        </w:rPr>
        <w:t xml:space="preserve">Act. </w:t>
      </w:r>
    </w:p>
    <w:p w:rsidR="00B24079" w:rsidRPr="00AC4533" w:rsidRDefault="00B24079" w:rsidP="00B24079">
      <w:pPr>
        <w:rPr>
          <w:rFonts w:ascii="Arial" w:hAnsi="Arial" w:cs="Arial"/>
          <w:lang w:eastAsia="en-AU"/>
        </w:rPr>
      </w:pPr>
    </w:p>
    <w:p w:rsidR="00B24079" w:rsidRPr="00AC4533" w:rsidRDefault="00B24079" w:rsidP="00B24079">
      <w:pPr>
        <w:rPr>
          <w:rFonts w:ascii="Arial" w:hAnsi="Arial" w:cs="Arial"/>
          <w:lang w:eastAsia="en-AU"/>
        </w:rPr>
      </w:pPr>
      <w:r w:rsidRPr="00AC4533">
        <w:rPr>
          <w:rFonts w:ascii="Arial" w:hAnsi="Arial" w:cs="Arial"/>
          <w:lang w:eastAsia="en-AU"/>
        </w:rPr>
        <w:t xml:space="preserve">Under section 38-85 of the </w:t>
      </w:r>
      <w:r w:rsidR="00875676" w:rsidRPr="00AC4533">
        <w:rPr>
          <w:rFonts w:ascii="Arial" w:hAnsi="Arial" w:cs="Arial"/>
          <w:lang w:eastAsia="en-AU"/>
        </w:rPr>
        <w:t xml:space="preserve">GST </w:t>
      </w:r>
      <w:r w:rsidRPr="00AC4533">
        <w:rPr>
          <w:rFonts w:ascii="Arial" w:hAnsi="Arial" w:cs="Arial"/>
          <w:lang w:eastAsia="en-AU"/>
        </w:rPr>
        <w:t xml:space="preserve">Act, the supply of an education course is </w:t>
      </w:r>
      <w:r w:rsidRPr="00AC4533">
        <w:rPr>
          <w:rFonts w:ascii="Arial" w:hAnsi="Arial" w:cs="Arial"/>
          <w:lang w:eastAsia="en-AU"/>
        </w:rPr>
        <w:br/>
        <w:t>GST-free.</w:t>
      </w:r>
    </w:p>
    <w:p w:rsidR="00B24079" w:rsidRPr="00AC4533" w:rsidRDefault="00B24079" w:rsidP="00B24079">
      <w:pPr>
        <w:rPr>
          <w:rFonts w:ascii="Arial" w:hAnsi="Arial" w:cs="Arial"/>
          <w:lang w:eastAsia="en-AU"/>
        </w:rPr>
      </w:pPr>
    </w:p>
    <w:p w:rsidR="00B24079" w:rsidRPr="00AC4533" w:rsidRDefault="00B24079" w:rsidP="00B24079">
      <w:pPr>
        <w:rPr>
          <w:rFonts w:ascii="Arial" w:hAnsi="Arial" w:cs="Arial"/>
          <w:lang w:eastAsia="en-AU"/>
        </w:rPr>
      </w:pPr>
      <w:r w:rsidRPr="00AC4533">
        <w:rPr>
          <w:rFonts w:ascii="Arial" w:hAnsi="Arial" w:cs="Arial"/>
          <w:lang w:eastAsia="en-AU"/>
        </w:rPr>
        <w:t xml:space="preserve">The purpose of this Determination is to determine that tertiary courses provided in accordance with this Determination are courses of study or instruction that are tertiary courses for the purposes of the Act. </w:t>
      </w:r>
    </w:p>
    <w:p w:rsidR="00B24079" w:rsidRPr="00AC4533" w:rsidRDefault="00B24079" w:rsidP="00B24079">
      <w:pPr>
        <w:spacing w:before="240"/>
        <w:jc w:val="both"/>
        <w:rPr>
          <w:rFonts w:ascii="Arial" w:hAnsi="Arial" w:cs="Arial"/>
        </w:rPr>
      </w:pPr>
      <w:r w:rsidRPr="00AC4533">
        <w:rPr>
          <w:rFonts w:ascii="Arial" w:hAnsi="Arial" w:cs="Arial"/>
        </w:rPr>
        <w:t xml:space="preserve">This Determination preserves the GST-free status of certain courses that will cease to be ‘tertiary courses’ once amendments to the </w:t>
      </w:r>
      <w:r w:rsidRPr="00AC4533">
        <w:rPr>
          <w:rFonts w:ascii="Arial" w:hAnsi="Arial" w:cs="Arial"/>
          <w:i/>
        </w:rPr>
        <w:t>Student Assistance (Education Institutions and Courses) Determination 2009 (No.2)</w:t>
      </w:r>
      <w:r w:rsidRPr="00AC4533">
        <w:rPr>
          <w:rFonts w:ascii="Arial" w:hAnsi="Arial" w:cs="Arial"/>
        </w:rPr>
        <w:t xml:space="preserve"> </w:t>
      </w:r>
      <w:r w:rsidR="00AC4533" w:rsidRPr="00AC4533">
        <w:rPr>
          <w:rFonts w:ascii="Arial" w:hAnsi="Arial" w:cs="Arial"/>
        </w:rPr>
        <w:t xml:space="preserve">(the </w:t>
      </w:r>
      <w:r w:rsidR="00AC4533" w:rsidRPr="00AC4533">
        <w:rPr>
          <w:rFonts w:ascii="Arial" w:hAnsi="Arial" w:cs="Arial"/>
          <w:b/>
        </w:rPr>
        <w:t>Student Assistance Determination</w:t>
      </w:r>
      <w:r w:rsidR="00AC4533" w:rsidRPr="00AC4533">
        <w:rPr>
          <w:rFonts w:ascii="Arial" w:hAnsi="Arial" w:cs="Arial"/>
        </w:rPr>
        <w:t>)</w:t>
      </w:r>
      <w:r w:rsidR="00AC4533">
        <w:rPr>
          <w:rFonts w:ascii="Arial" w:hAnsi="Arial" w:cs="Arial"/>
        </w:rPr>
        <w:t xml:space="preserve"> </w:t>
      </w:r>
      <w:r w:rsidRPr="00AC4533">
        <w:rPr>
          <w:rFonts w:ascii="Arial" w:hAnsi="Arial" w:cs="Arial"/>
        </w:rPr>
        <w:t xml:space="preserve">commence on 1 January 2018. </w:t>
      </w:r>
    </w:p>
    <w:p w:rsidR="00B24079" w:rsidRPr="00AC4533" w:rsidRDefault="00B24079" w:rsidP="00B24079">
      <w:pPr>
        <w:spacing w:before="240"/>
        <w:jc w:val="both"/>
        <w:rPr>
          <w:rFonts w:ascii="Arial" w:hAnsi="Arial" w:cs="Arial"/>
        </w:rPr>
      </w:pPr>
      <w:r w:rsidRPr="00AC4533">
        <w:rPr>
          <w:rFonts w:ascii="Arial" w:hAnsi="Arial" w:cs="Arial"/>
          <w:i/>
        </w:rPr>
        <w:t>The Student Assistance (Education Institutions and Courses) Amendment Determination 2017 (No.3)</w:t>
      </w:r>
      <w:r w:rsidRPr="00AC4533">
        <w:rPr>
          <w:rFonts w:ascii="Arial" w:hAnsi="Arial" w:cs="Arial"/>
        </w:rPr>
        <w:t xml:space="preserve"> (the </w:t>
      </w:r>
      <w:r w:rsidRPr="00AC4533">
        <w:rPr>
          <w:rFonts w:ascii="Arial" w:hAnsi="Arial" w:cs="Arial"/>
          <w:b/>
        </w:rPr>
        <w:t>Student Assistance Amendment Determination</w:t>
      </w:r>
      <w:r w:rsidRPr="00AC4533">
        <w:rPr>
          <w:rFonts w:ascii="Arial" w:hAnsi="Arial" w:cs="Arial"/>
        </w:rPr>
        <w:t>) will reduce the number of vocational education and training (VET) courses and higher education courses that can qualify as a ‘tertiary course’ under s</w:t>
      </w:r>
      <w:r w:rsidR="00875676" w:rsidRPr="00AC4533">
        <w:rPr>
          <w:rFonts w:ascii="Arial" w:hAnsi="Arial" w:cs="Arial"/>
        </w:rPr>
        <w:t>ubs</w:t>
      </w:r>
      <w:r w:rsidRPr="00AC4533">
        <w:rPr>
          <w:rFonts w:ascii="Arial" w:hAnsi="Arial" w:cs="Arial"/>
        </w:rPr>
        <w:t>ection 5D</w:t>
      </w:r>
      <w:r w:rsidR="00875676" w:rsidRPr="00AC4533">
        <w:rPr>
          <w:rFonts w:ascii="Arial" w:hAnsi="Arial" w:cs="Arial"/>
        </w:rPr>
        <w:t>(1)</w:t>
      </w:r>
      <w:r w:rsidRPr="00AC4533">
        <w:rPr>
          <w:rFonts w:ascii="Arial" w:hAnsi="Arial" w:cs="Arial"/>
        </w:rPr>
        <w:t xml:space="preserve"> of the </w:t>
      </w:r>
      <w:r w:rsidRPr="00AC4533">
        <w:rPr>
          <w:rFonts w:ascii="Arial" w:hAnsi="Arial" w:cs="Arial"/>
          <w:i/>
        </w:rPr>
        <w:t xml:space="preserve">Student Assistance Act 1973 </w:t>
      </w:r>
      <w:r w:rsidRPr="00AC4533">
        <w:rPr>
          <w:rFonts w:ascii="Arial" w:hAnsi="Arial" w:cs="Arial"/>
        </w:rPr>
        <w:t>(</w:t>
      </w:r>
      <w:r w:rsidR="00AC4533">
        <w:rPr>
          <w:rFonts w:ascii="Arial" w:hAnsi="Arial" w:cs="Arial"/>
        </w:rPr>
        <w:t xml:space="preserve">the </w:t>
      </w:r>
      <w:r w:rsidRPr="00AC4533">
        <w:rPr>
          <w:rFonts w:ascii="Arial" w:hAnsi="Arial" w:cs="Arial"/>
          <w:b/>
        </w:rPr>
        <w:t>Student Assistance Act</w:t>
      </w:r>
      <w:r w:rsidRPr="00AC4533">
        <w:rPr>
          <w:rFonts w:ascii="Arial" w:hAnsi="Arial" w:cs="Arial"/>
        </w:rPr>
        <w:t xml:space="preserve">). </w:t>
      </w:r>
    </w:p>
    <w:p w:rsidR="00B24079" w:rsidRPr="00AC4533" w:rsidRDefault="00B24079" w:rsidP="00B24079">
      <w:pPr>
        <w:spacing w:before="240"/>
        <w:jc w:val="both"/>
        <w:rPr>
          <w:rFonts w:ascii="Arial" w:hAnsi="Arial" w:cs="Arial"/>
        </w:rPr>
      </w:pPr>
      <w:r w:rsidRPr="00AC4533">
        <w:rPr>
          <w:rFonts w:ascii="Arial" w:hAnsi="Arial" w:cs="Arial"/>
        </w:rPr>
        <w:t>The Student Assistance Amendment Determination provides that a VET course provided at diploma level or above can only be a ‘tertiary course’ under s</w:t>
      </w:r>
      <w:r w:rsidR="00875676" w:rsidRPr="00AC4533">
        <w:rPr>
          <w:rFonts w:ascii="Arial" w:hAnsi="Arial" w:cs="Arial"/>
        </w:rPr>
        <w:t>ubs</w:t>
      </w:r>
      <w:r w:rsidRPr="00AC4533">
        <w:rPr>
          <w:rFonts w:ascii="Arial" w:hAnsi="Arial" w:cs="Arial"/>
        </w:rPr>
        <w:t>ection 5D</w:t>
      </w:r>
      <w:r w:rsidR="00875676" w:rsidRPr="00AC4533">
        <w:rPr>
          <w:rFonts w:ascii="Arial" w:hAnsi="Arial" w:cs="Arial"/>
        </w:rPr>
        <w:t>(1)</w:t>
      </w:r>
      <w:r w:rsidRPr="00AC4533">
        <w:rPr>
          <w:rFonts w:ascii="Arial" w:hAnsi="Arial" w:cs="Arial"/>
        </w:rPr>
        <w:t xml:space="preserve"> of the Student Assistance Act if it is an approved course within the meaning of the </w:t>
      </w:r>
      <w:r w:rsidRPr="00AC4533">
        <w:rPr>
          <w:rFonts w:ascii="Arial" w:hAnsi="Arial" w:cs="Arial"/>
          <w:i/>
        </w:rPr>
        <w:t>VET Student Loans Act 2016</w:t>
      </w:r>
      <w:r w:rsidRPr="00AC4533">
        <w:rPr>
          <w:rFonts w:ascii="Arial" w:hAnsi="Arial" w:cs="Arial"/>
        </w:rPr>
        <w:t xml:space="preserve">. </w:t>
      </w:r>
    </w:p>
    <w:p w:rsidR="00B24079" w:rsidRPr="00AC4533" w:rsidRDefault="00B24079" w:rsidP="00B24079">
      <w:pPr>
        <w:spacing w:before="240"/>
        <w:jc w:val="both"/>
        <w:rPr>
          <w:rFonts w:ascii="Arial" w:hAnsi="Arial" w:cs="Arial"/>
        </w:rPr>
      </w:pPr>
      <w:r w:rsidRPr="00AC4533">
        <w:rPr>
          <w:rFonts w:ascii="Arial" w:hAnsi="Arial" w:cs="Arial"/>
        </w:rPr>
        <w:t>The Student Assistance Amendment Determination also provides that an undergraduate and postgraduate higher education course can only be a tertiary course under s</w:t>
      </w:r>
      <w:r w:rsidR="00875676" w:rsidRPr="00AC4533">
        <w:rPr>
          <w:rFonts w:ascii="Arial" w:hAnsi="Arial" w:cs="Arial"/>
        </w:rPr>
        <w:t>ubs</w:t>
      </w:r>
      <w:r w:rsidRPr="00AC4533">
        <w:rPr>
          <w:rFonts w:ascii="Arial" w:hAnsi="Arial" w:cs="Arial"/>
        </w:rPr>
        <w:t>ection 5D</w:t>
      </w:r>
      <w:r w:rsidR="00875676" w:rsidRPr="00AC4533">
        <w:rPr>
          <w:rFonts w:ascii="Arial" w:hAnsi="Arial" w:cs="Arial"/>
        </w:rPr>
        <w:t>(1)</w:t>
      </w:r>
      <w:r w:rsidRPr="00AC4533">
        <w:rPr>
          <w:rFonts w:ascii="Arial" w:hAnsi="Arial" w:cs="Arial"/>
        </w:rPr>
        <w:t xml:space="preserve"> of the Student Assistance Act if the course is provided by an approved higher education provider within the meaning of the </w:t>
      </w:r>
      <w:r w:rsidRPr="00AC4533">
        <w:rPr>
          <w:rFonts w:ascii="Arial" w:hAnsi="Arial" w:cs="Arial"/>
          <w:i/>
        </w:rPr>
        <w:t>Higher Education Support Act 2003</w:t>
      </w:r>
      <w:r w:rsidRPr="00AC4533">
        <w:rPr>
          <w:rFonts w:ascii="Arial" w:hAnsi="Arial" w:cs="Arial"/>
        </w:rPr>
        <w:t>.</w:t>
      </w:r>
    </w:p>
    <w:p w:rsidR="00B24079" w:rsidRPr="00954849" w:rsidRDefault="00B24079" w:rsidP="00B24079">
      <w:pPr>
        <w:spacing w:before="240"/>
        <w:jc w:val="both"/>
        <w:rPr>
          <w:rFonts w:ascii="Arial" w:hAnsi="Arial" w:cs="Arial"/>
        </w:rPr>
      </w:pPr>
      <w:r w:rsidRPr="00AC4533">
        <w:rPr>
          <w:rFonts w:ascii="Arial" w:hAnsi="Arial" w:cs="Arial"/>
        </w:rPr>
        <w:lastRenderedPageBreak/>
        <w:t xml:space="preserve">This Determination will operate to ensure that a course that has ceased to be a ‘tertiary course’ under the Student Assistance Determination, as a result of the amendments made by the Student Assistance Amendment Determination, will not cease to be a tertiary course for the purposes of paragraph (b) of </w:t>
      </w:r>
      <w:r w:rsidR="00875676" w:rsidRPr="00AC4533">
        <w:rPr>
          <w:rFonts w:ascii="Arial" w:hAnsi="Arial" w:cs="Arial"/>
        </w:rPr>
        <w:t xml:space="preserve">the definition of ‘tertiary course’ in </w:t>
      </w:r>
      <w:r w:rsidRPr="00AC4533">
        <w:rPr>
          <w:rFonts w:ascii="Arial" w:hAnsi="Arial" w:cs="Arial"/>
        </w:rPr>
        <w:t>section 195-1 of the GST Act. This will ensure that the supply of these courses will continue to be GST-free.</w:t>
      </w:r>
    </w:p>
    <w:p w:rsidR="00B24079" w:rsidRDefault="00B24079" w:rsidP="00B24079">
      <w:pPr>
        <w:rPr>
          <w:rFonts w:ascii="Arial" w:hAnsi="Arial" w:cs="Arial"/>
          <w:lang w:eastAsia="en-AU"/>
        </w:rPr>
      </w:pPr>
    </w:p>
    <w:p w:rsidR="00B24079" w:rsidRDefault="00B24079" w:rsidP="00B24079">
      <w:pPr>
        <w:rPr>
          <w:rFonts w:ascii="Arial" w:hAnsi="Arial" w:cs="Arial"/>
          <w:lang w:eastAsia="en-AU"/>
        </w:rPr>
      </w:pPr>
      <w:r>
        <w:rPr>
          <w:rFonts w:ascii="Arial" w:hAnsi="Arial" w:cs="Arial"/>
          <w:lang w:eastAsia="en-AU"/>
        </w:rPr>
        <w:t>This Determination will also continue the GST-free status of tertiary courses that are not offered on a full-time basis.</w:t>
      </w:r>
    </w:p>
    <w:p w:rsidR="00B24079" w:rsidRDefault="00B24079" w:rsidP="00B24079">
      <w:pPr>
        <w:rPr>
          <w:rFonts w:ascii="Arial" w:hAnsi="Arial" w:cs="Arial"/>
          <w:lang w:eastAsia="en-AU"/>
        </w:rPr>
      </w:pPr>
    </w:p>
    <w:p w:rsidR="00B24079" w:rsidRPr="00321F65" w:rsidRDefault="00B24079" w:rsidP="00B24079">
      <w:pPr>
        <w:jc w:val="both"/>
        <w:rPr>
          <w:rFonts w:ascii="Arial" w:hAnsi="Arial" w:cs="Arial"/>
          <w:b/>
          <w:lang w:eastAsia="en-AU"/>
        </w:rPr>
      </w:pPr>
      <w:r w:rsidRPr="00321F65">
        <w:rPr>
          <w:rFonts w:ascii="Arial" w:hAnsi="Arial" w:cs="Arial"/>
          <w:b/>
          <w:lang w:eastAsia="en-AU"/>
        </w:rPr>
        <w:t>Human rights implications</w:t>
      </w:r>
    </w:p>
    <w:p w:rsidR="00B24079" w:rsidRPr="00321F65" w:rsidRDefault="00B24079" w:rsidP="00B24079">
      <w:pPr>
        <w:spacing w:before="240"/>
        <w:jc w:val="both"/>
        <w:rPr>
          <w:rFonts w:ascii="Arial" w:hAnsi="Arial" w:cs="Arial"/>
          <w:lang w:eastAsia="en-AU"/>
        </w:rPr>
      </w:pPr>
      <w:r w:rsidRPr="00321F65">
        <w:rPr>
          <w:rFonts w:ascii="Arial" w:hAnsi="Arial" w:cs="Arial"/>
          <w:lang w:eastAsia="en-AU"/>
        </w:rPr>
        <w:t>The Determination engages the following human rights:</w:t>
      </w:r>
    </w:p>
    <w:p w:rsidR="00B24079" w:rsidRPr="00321F65" w:rsidRDefault="00B24079" w:rsidP="00B24079">
      <w:pPr>
        <w:keepNext/>
        <w:spacing w:before="240"/>
        <w:jc w:val="both"/>
        <w:rPr>
          <w:rFonts w:ascii="Arial" w:hAnsi="Arial" w:cs="Arial"/>
          <w:i/>
          <w:lang w:eastAsia="en-AU"/>
        </w:rPr>
      </w:pPr>
      <w:r w:rsidRPr="00321F65">
        <w:rPr>
          <w:rFonts w:ascii="Arial" w:hAnsi="Arial" w:cs="Arial"/>
          <w:i/>
          <w:lang w:eastAsia="en-AU"/>
        </w:rPr>
        <w:t>Right to Education</w:t>
      </w:r>
    </w:p>
    <w:p w:rsidR="00B24079" w:rsidRPr="00321F65" w:rsidRDefault="00B24079" w:rsidP="00B24079">
      <w:pPr>
        <w:spacing w:before="240"/>
        <w:jc w:val="both"/>
        <w:rPr>
          <w:rFonts w:ascii="Arial" w:hAnsi="Arial" w:cs="Arial"/>
          <w:lang w:eastAsia="en-AU"/>
        </w:rPr>
      </w:pPr>
      <w:r w:rsidRPr="00321F65">
        <w:rPr>
          <w:rFonts w:ascii="Arial" w:hAnsi="Arial" w:cs="Arial"/>
          <w:lang w:eastAsia="en-AU"/>
        </w:rPr>
        <w:t>The Determination engages the right to education contained in Article 13 of the International Covenant on Economic, Soc</w:t>
      </w:r>
      <w:r w:rsidR="00313526">
        <w:rPr>
          <w:rFonts w:ascii="Arial" w:hAnsi="Arial" w:cs="Arial"/>
          <w:lang w:eastAsia="en-AU"/>
        </w:rPr>
        <w:t>ial and Cultural Rights</w:t>
      </w:r>
      <w:r w:rsidRPr="00321F65">
        <w:rPr>
          <w:rFonts w:ascii="Arial" w:hAnsi="Arial" w:cs="Arial"/>
          <w:lang w:eastAsia="en-AU"/>
        </w:rPr>
        <w:t>.</w:t>
      </w:r>
    </w:p>
    <w:p w:rsidR="00B24079" w:rsidRPr="00321F65" w:rsidRDefault="00B24079" w:rsidP="00B24079">
      <w:pPr>
        <w:spacing w:before="240" w:after="240"/>
        <w:jc w:val="both"/>
        <w:rPr>
          <w:rFonts w:ascii="Arial" w:hAnsi="Arial" w:cs="Arial"/>
          <w:lang w:eastAsia="en-AU"/>
        </w:rPr>
      </w:pPr>
      <w:r w:rsidRPr="00321F65">
        <w:rPr>
          <w:rFonts w:ascii="Arial" w:hAnsi="Arial" w:cs="Arial"/>
          <w:lang w:eastAsia="en-AU"/>
        </w:rPr>
        <w:t>By determining that</w:t>
      </w:r>
      <w:r>
        <w:rPr>
          <w:rFonts w:ascii="Arial" w:hAnsi="Arial" w:cs="Arial"/>
          <w:lang w:eastAsia="en-AU"/>
        </w:rPr>
        <w:t xml:space="preserve"> tertiary</w:t>
      </w:r>
      <w:r w:rsidRPr="00321F65">
        <w:rPr>
          <w:rFonts w:ascii="Arial" w:hAnsi="Arial" w:cs="Arial"/>
          <w:lang w:eastAsia="en-AU"/>
        </w:rPr>
        <w:t xml:space="preserve"> courses are GST-free, the Determination may enable students to access education and therefore will be compatible with human rights.</w:t>
      </w:r>
    </w:p>
    <w:p w:rsidR="00B24079" w:rsidRPr="00321F65" w:rsidRDefault="00B24079" w:rsidP="00B24079">
      <w:pPr>
        <w:spacing w:before="120" w:after="120"/>
        <w:jc w:val="both"/>
        <w:rPr>
          <w:rFonts w:ascii="Arial" w:hAnsi="Arial" w:cs="Arial"/>
          <w:b/>
          <w:lang w:eastAsia="en-AU"/>
        </w:rPr>
      </w:pPr>
      <w:r w:rsidRPr="00321F65">
        <w:rPr>
          <w:rFonts w:ascii="Arial" w:hAnsi="Arial" w:cs="Arial"/>
          <w:b/>
          <w:lang w:eastAsia="en-AU"/>
        </w:rPr>
        <w:t xml:space="preserve">Conclusion </w:t>
      </w:r>
    </w:p>
    <w:p w:rsidR="00B24079" w:rsidRDefault="00B24079" w:rsidP="00B24079">
      <w:pPr>
        <w:spacing w:before="120" w:after="120"/>
        <w:jc w:val="both"/>
        <w:rPr>
          <w:rFonts w:ascii="Arial" w:hAnsi="Arial" w:cs="Arial"/>
          <w:lang w:eastAsia="en-AU"/>
        </w:rPr>
      </w:pPr>
      <w:r w:rsidRPr="00321F65">
        <w:rPr>
          <w:rFonts w:ascii="Arial" w:hAnsi="Arial" w:cs="Arial"/>
          <w:lang w:eastAsia="en-AU"/>
        </w:rPr>
        <w:t>The Determination is compatible with human rights as it enables students to access education.</w:t>
      </w:r>
    </w:p>
    <w:p w:rsidR="00B24079" w:rsidRPr="00321F65" w:rsidRDefault="00B24079" w:rsidP="00B24079">
      <w:pPr>
        <w:spacing w:before="120" w:after="120"/>
        <w:jc w:val="both"/>
        <w:rPr>
          <w:rFonts w:ascii="Arial" w:hAnsi="Arial" w:cs="Arial"/>
          <w:lang w:eastAsia="en-AU"/>
        </w:rPr>
      </w:pPr>
    </w:p>
    <w:p w:rsidR="00B24079" w:rsidRPr="00321F65" w:rsidRDefault="00B24079" w:rsidP="00B24079">
      <w:pPr>
        <w:spacing w:before="120" w:after="120"/>
        <w:jc w:val="center"/>
        <w:rPr>
          <w:rFonts w:ascii="Arial" w:hAnsi="Arial" w:cs="Arial"/>
        </w:rPr>
      </w:pPr>
      <w:r w:rsidRPr="00321F65">
        <w:rPr>
          <w:rFonts w:ascii="Arial" w:hAnsi="Arial" w:cs="Arial"/>
          <w:b/>
          <w:lang w:eastAsia="en-AU"/>
        </w:rPr>
        <w:t>Minister for Social Services, the Hon Christian Porter MP</w:t>
      </w:r>
    </w:p>
    <w:p w:rsidR="00B24079" w:rsidRPr="00585C98" w:rsidRDefault="00B24079" w:rsidP="00B24079">
      <w:pPr>
        <w:rPr>
          <w:rFonts w:ascii="Arial" w:hAnsi="Arial" w:cs="Arial"/>
          <w:lang w:eastAsia="en-AU"/>
        </w:rPr>
      </w:pPr>
    </w:p>
    <w:p w:rsidR="00C435CE" w:rsidRPr="00A92DDD" w:rsidRDefault="00C435CE" w:rsidP="00520804">
      <w:pPr>
        <w:jc w:val="both"/>
        <w:rPr>
          <w:rFonts w:ascii="Arial" w:hAnsi="Arial"/>
        </w:rPr>
      </w:pPr>
    </w:p>
    <w:p w:rsidR="00C435CE" w:rsidRPr="003D5A2C" w:rsidRDefault="00C435CE" w:rsidP="00E20C07">
      <w:pPr>
        <w:jc w:val="center"/>
        <w:rPr>
          <w:rFonts w:ascii="Arial" w:hAnsi="Arial" w:cs="Arial"/>
          <w:b/>
        </w:rPr>
      </w:pPr>
    </w:p>
    <w:p w:rsidR="005C167C" w:rsidRPr="00585C98" w:rsidRDefault="005C167C">
      <w:pPr>
        <w:rPr>
          <w:rFonts w:ascii="Arial" w:hAnsi="Arial" w:cs="Arial"/>
          <w:lang w:eastAsia="en-AU"/>
        </w:rPr>
      </w:pPr>
    </w:p>
    <w:sectPr w:rsidR="005C167C" w:rsidRPr="00585C98" w:rsidSect="00B54C98">
      <w:footerReference w:type="default" r:id="rId1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42" w:rsidRDefault="00B67642">
      <w:r>
        <w:separator/>
      </w:r>
    </w:p>
  </w:endnote>
  <w:endnote w:type="continuationSeparator" w:id="0">
    <w:p w:rsidR="00B67642" w:rsidRDefault="00B67642">
      <w:r>
        <w:continuationSeparator/>
      </w:r>
    </w:p>
  </w:endnote>
  <w:endnote w:type="continuationNotice" w:id="1">
    <w:p w:rsidR="00B67642" w:rsidRDefault="00B67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633"/>
      <w:gridCol w:w="7010"/>
      <w:gridCol w:w="663"/>
    </w:tblGrid>
    <w:tr w:rsidR="009A080E" w:rsidRPr="000B3261" w:rsidTr="00B812EE">
      <w:tc>
        <w:tcPr>
          <w:tcW w:w="648" w:type="dxa"/>
        </w:tcPr>
        <w:p w:rsidR="009A080E" w:rsidRPr="00B812EE" w:rsidRDefault="009A080E" w:rsidP="00B812EE">
          <w:pPr>
            <w:pStyle w:val="Header"/>
            <w:tabs>
              <w:tab w:val="left" w:pos="7920"/>
            </w:tabs>
            <w:rPr>
              <w:rFonts w:ascii="Arial" w:hAnsi="Arial" w:cs="Arial"/>
              <w:sz w:val="20"/>
            </w:rPr>
          </w:pPr>
        </w:p>
        <w:p w:rsidR="009A080E" w:rsidRPr="00B812EE" w:rsidRDefault="009A080E" w:rsidP="00B812EE">
          <w:pPr>
            <w:pStyle w:val="Header"/>
            <w:tabs>
              <w:tab w:val="left" w:pos="7920"/>
            </w:tabs>
            <w:rPr>
              <w:rFonts w:ascii="Arial" w:hAnsi="Arial" w:cs="Arial"/>
              <w:sz w:val="20"/>
            </w:rPr>
          </w:pPr>
        </w:p>
      </w:tc>
      <w:tc>
        <w:tcPr>
          <w:tcW w:w="7200" w:type="dxa"/>
        </w:tcPr>
        <w:p w:rsidR="009A080E" w:rsidRPr="001D18C9" w:rsidRDefault="009A080E" w:rsidP="00B812EE">
          <w:pPr>
            <w:pStyle w:val="Header"/>
            <w:tabs>
              <w:tab w:val="left" w:pos="7920"/>
            </w:tabs>
            <w:rPr>
              <w:rFonts w:ascii="Arial" w:hAnsi="Arial" w:cs="Arial"/>
              <w:iCs/>
              <w:sz w:val="20"/>
              <w:highlight w:val="yellow"/>
            </w:rPr>
          </w:pPr>
        </w:p>
        <w:p w:rsidR="009A080E" w:rsidRPr="001D18C9" w:rsidRDefault="00C97485" w:rsidP="008B1183">
          <w:pPr>
            <w:pStyle w:val="Header"/>
            <w:tabs>
              <w:tab w:val="left" w:pos="7920"/>
            </w:tabs>
            <w:jc w:val="center"/>
            <w:rPr>
              <w:rFonts w:ascii="Arial" w:hAnsi="Arial" w:cs="Arial"/>
              <w:sz w:val="20"/>
              <w:highlight w:val="yellow"/>
            </w:rPr>
          </w:pPr>
          <w:r w:rsidRPr="005E11E7">
            <w:rPr>
              <w:rFonts w:ascii="Arial" w:hAnsi="Arial" w:cs="Arial"/>
              <w:iCs/>
              <w:sz w:val="20"/>
            </w:rPr>
            <w:t>Explanatory Statement</w:t>
          </w:r>
          <w:r w:rsidR="009A080E" w:rsidRPr="005E11E7">
            <w:rPr>
              <w:rFonts w:ascii="Arial" w:hAnsi="Arial" w:cs="Arial"/>
              <w:iCs/>
              <w:sz w:val="20"/>
            </w:rPr>
            <w:t xml:space="preserve"> </w:t>
          </w:r>
          <w:r w:rsidR="000F3762" w:rsidRPr="005E11E7">
            <w:rPr>
              <w:rFonts w:ascii="Arial" w:hAnsi="Arial" w:cs="Arial"/>
              <w:iCs/>
              <w:sz w:val="20"/>
            </w:rPr>
            <w:t>–</w:t>
          </w:r>
          <w:r w:rsidR="009A080E" w:rsidRPr="005E11E7">
            <w:rPr>
              <w:rFonts w:ascii="Arial" w:hAnsi="Arial" w:cs="Arial"/>
              <w:iCs/>
              <w:sz w:val="20"/>
            </w:rPr>
            <w:t xml:space="preserve"> </w:t>
          </w:r>
          <w:r w:rsidR="000F3762" w:rsidRPr="005E11E7">
            <w:rPr>
              <w:rFonts w:ascii="Arial" w:hAnsi="Arial" w:cs="Arial"/>
              <w:i/>
              <w:iCs/>
              <w:sz w:val="20"/>
            </w:rPr>
            <w:t xml:space="preserve">A New Tax System (Goods and Services Tax) </w:t>
          </w:r>
          <w:r w:rsidR="008A791E" w:rsidRPr="005E11E7">
            <w:rPr>
              <w:rFonts w:ascii="Arial" w:hAnsi="Arial" w:cs="Arial"/>
              <w:i/>
              <w:iCs/>
              <w:sz w:val="20"/>
            </w:rPr>
            <w:t>(</w:t>
          </w:r>
          <w:r w:rsidR="00B54C98" w:rsidRPr="005E11E7">
            <w:rPr>
              <w:rFonts w:ascii="Arial" w:hAnsi="Arial" w:cs="Arial"/>
              <w:i/>
              <w:iCs/>
              <w:sz w:val="20"/>
            </w:rPr>
            <w:t>Tertiary C</w:t>
          </w:r>
          <w:r w:rsidR="000F3762" w:rsidRPr="005E11E7">
            <w:rPr>
              <w:rFonts w:ascii="Arial" w:hAnsi="Arial" w:cs="Arial"/>
              <w:i/>
              <w:iCs/>
              <w:sz w:val="20"/>
            </w:rPr>
            <w:t>ourses</w:t>
          </w:r>
          <w:r w:rsidR="008A791E" w:rsidRPr="005E11E7">
            <w:rPr>
              <w:rFonts w:ascii="Arial" w:hAnsi="Arial" w:cs="Arial"/>
              <w:i/>
              <w:iCs/>
              <w:sz w:val="20"/>
            </w:rPr>
            <w:t>)</w:t>
          </w:r>
          <w:r w:rsidR="00BB3450" w:rsidRPr="005E11E7">
            <w:rPr>
              <w:rFonts w:ascii="Arial" w:hAnsi="Arial" w:cs="Arial"/>
              <w:i/>
              <w:iCs/>
              <w:sz w:val="20"/>
            </w:rPr>
            <w:t xml:space="preserve"> </w:t>
          </w:r>
          <w:r w:rsidR="000F3762" w:rsidRPr="005E11E7">
            <w:rPr>
              <w:rFonts w:ascii="Arial" w:hAnsi="Arial" w:cs="Arial"/>
              <w:i/>
              <w:iCs/>
              <w:sz w:val="20"/>
            </w:rPr>
            <w:t xml:space="preserve">Determination </w:t>
          </w:r>
          <w:r w:rsidR="008B1183" w:rsidRPr="005E11E7">
            <w:rPr>
              <w:rFonts w:ascii="Arial" w:hAnsi="Arial" w:cs="Arial"/>
              <w:i/>
              <w:iCs/>
              <w:sz w:val="20"/>
            </w:rPr>
            <w:t>2017</w:t>
          </w:r>
        </w:p>
      </w:tc>
      <w:tc>
        <w:tcPr>
          <w:tcW w:w="674" w:type="dxa"/>
        </w:tcPr>
        <w:p w:rsidR="009A080E" w:rsidRPr="001D18C9" w:rsidRDefault="009A080E" w:rsidP="00B812EE">
          <w:pPr>
            <w:pStyle w:val="Header"/>
            <w:tabs>
              <w:tab w:val="left" w:pos="7920"/>
            </w:tabs>
            <w:rPr>
              <w:rStyle w:val="PageNumber"/>
              <w:rFonts w:ascii="Arial" w:hAnsi="Arial" w:cs="Arial"/>
              <w:sz w:val="20"/>
              <w:szCs w:val="20"/>
              <w:highlight w:val="yellow"/>
            </w:rPr>
          </w:pPr>
        </w:p>
        <w:p w:rsidR="009A080E" w:rsidRPr="001D18C9" w:rsidRDefault="009A080E" w:rsidP="00B812EE">
          <w:pPr>
            <w:pStyle w:val="Header"/>
            <w:tabs>
              <w:tab w:val="left" w:pos="7920"/>
            </w:tabs>
            <w:jc w:val="center"/>
            <w:rPr>
              <w:rFonts w:ascii="Arial" w:hAnsi="Arial" w:cs="Arial"/>
              <w:sz w:val="20"/>
              <w:szCs w:val="20"/>
              <w:highlight w:val="yellow"/>
            </w:rPr>
          </w:pPr>
          <w:r w:rsidRPr="009B2853">
            <w:rPr>
              <w:rStyle w:val="PageNumber"/>
              <w:rFonts w:ascii="Arial" w:hAnsi="Arial" w:cs="Arial"/>
              <w:sz w:val="20"/>
              <w:szCs w:val="20"/>
            </w:rPr>
            <w:fldChar w:fldCharType="begin"/>
          </w:r>
          <w:r w:rsidRPr="009B2853">
            <w:rPr>
              <w:rStyle w:val="PageNumber"/>
              <w:rFonts w:ascii="Arial" w:hAnsi="Arial" w:cs="Arial"/>
              <w:sz w:val="20"/>
              <w:szCs w:val="20"/>
            </w:rPr>
            <w:instrText xml:space="preserve"> PAGE </w:instrText>
          </w:r>
          <w:r w:rsidRPr="009B2853">
            <w:rPr>
              <w:rStyle w:val="PageNumber"/>
              <w:rFonts w:ascii="Arial" w:hAnsi="Arial" w:cs="Arial"/>
              <w:sz w:val="20"/>
              <w:szCs w:val="20"/>
            </w:rPr>
            <w:fldChar w:fldCharType="separate"/>
          </w:r>
          <w:r w:rsidR="00733B4A">
            <w:rPr>
              <w:rStyle w:val="PageNumber"/>
              <w:rFonts w:ascii="Arial" w:hAnsi="Arial" w:cs="Arial"/>
              <w:noProof/>
              <w:sz w:val="20"/>
              <w:szCs w:val="20"/>
            </w:rPr>
            <w:t>2</w:t>
          </w:r>
          <w:r w:rsidRPr="009B2853">
            <w:rPr>
              <w:rStyle w:val="PageNumber"/>
              <w:rFonts w:ascii="Arial" w:hAnsi="Arial" w:cs="Arial"/>
              <w:sz w:val="20"/>
              <w:szCs w:val="20"/>
            </w:rPr>
            <w:fldChar w:fldCharType="end"/>
          </w:r>
        </w:p>
      </w:tc>
    </w:tr>
  </w:tbl>
  <w:p w:rsidR="009A080E" w:rsidRPr="00BC4A7B" w:rsidRDefault="009A080E" w:rsidP="00BC4A7B">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633"/>
      <w:gridCol w:w="7010"/>
      <w:gridCol w:w="663"/>
    </w:tblGrid>
    <w:tr w:rsidR="00C97485" w:rsidRPr="00B812EE" w:rsidTr="00B812EE">
      <w:tc>
        <w:tcPr>
          <w:tcW w:w="648" w:type="dxa"/>
        </w:tcPr>
        <w:p w:rsidR="00C97485" w:rsidRPr="00B812EE" w:rsidRDefault="00C97485" w:rsidP="00B812EE">
          <w:pPr>
            <w:pStyle w:val="Header"/>
            <w:tabs>
              <w:tab w:val="left" w:pos="7920"/>
            </w:tabs>
            <w:rPr>
              <w:rFonts w:ascii="Arial" w:hAnsi="Arial" w:cs="Arial"/>
              <w:sz w:val="20"/>
            </w:rPr>
          </w:pPr>
        </w:p>
        <w:p w:rsidR="00C97485" w:rsidRPr="00B812EE" w:rsidRDefault="00C97485" w:rsidP="00B812EE">
          <w:pPr>
            <w:pStyle w:val="Header"/>
            <w:tabs>
              <w:tab w:val="left" w:pos="7920"/>
            </w:tabs>
            <w:rPr>
              <w:rFonts w:ascii="Arial" w:hAnsi="Arial" w:cs="Arial"/>
              <w:sz w:val="20"/>
            </w:rPr>
          </w:pPr>
        </w:p>
      </w:tc>
      <w:tc>
        <w:tcPr>
          <w:tcW w:w="7200" w:type="dxa"/>
        </w:tcPr>
        <w:p w:rsidR="00C97485" w:rsidRPr="00B812EE" w:rsidRDefault="00C97485" w:rsidP="00B812EE">
          <w:pPr>
            <w:pStyle w:val="Header"/>
            <w:tabs>
              <w:tab w:val="left" w:pos="7920"/>
            </w:tabs>
            <w:rPr>
              <w:rFonts w:ascii="Arial" w:hAnsi="Arial" w:cs="Arial"/>
              <w:iCs/>
              <w:sz w:val="20"/>
            </w:rPr>
          </w:pPr>
        </w:p>
        <w:p w:rsidR="00C97485" w:rsidRPr="00B812EE" w:rsidRDefault="00C97485" w:rsidP="001D692C">
          <w:pPr>
            <w:pStyle w:val="Header"/>
            <w:tabs>
              <w:tab w:val="left" w:pos="7920"/>
            </w:tabs>
            <w:jc w:val="center"/>
            <w:rPr>
              <w:rFonts w:ascii="Arial" w:hAnsi="Arial" w:cs="Arial"/>
              <w:sz w:val="20"/>
            </w:rPr>
          </w:pPr>
          <w:r w:rsidRPr="00585295">
            <w:rPr>
              <w:rFonts w:ascii="Arial" w:hAnsi="Arial" w:cs="Arial"/>
              <w:iCs/>
              <w:sz w:val="20"/>
            </w:rPr>
            <w:t xml:space="preserve">Statement of Compatibility with Human Rights – </w:t>
          </w:r>
          <w:r w:rsidRPr="00585295">
            <w:rPr>
              <w:rFonts w:ascii="Arial" w:hAnsi="Arial" w:cs="Arial"/>
              <w:i/>
              <w:iCs/>
              <w:sz w:val="20"/>
            </w:rPr>
            <w:t>A New Tax System (Good</w:t>
          </w:r>
          <w:r w:rsidR="00B54C98" w:rsidRPr="00585295">
            <w:rPr>
              <w:rFonts w:ascii="Arial" w:hAnsi="Arial" w:cs="Arial"/>
              <w:i/>
              <w:iCs/>
              <w:sz w:val="20"/>
            </w:rPr>
            <w:t xml:space="preserve">s and Services Tax) </w:t>
          </w:r>
          <w:r w:rsidR="00293A16" w:rsidRPr="00585295">
            <w:rPr>
              <w:rFonts w:ascii="Arial" w:hAnsi="Arial" w:cs="Arial"/>
              <w:i/>
              <w:iCs/>
              <w:sz w:val="20"/>
            </w:rPr>
            <w:t>(</w:t>
          </w:r>
          <w:r w:rsidR="00B54C98" w:rsidRPr="00585295">
            <w:rPr>
              <w:rFonts w:ascii="Arial" w:hAnsi="Arial" w:cs="Arial"/>
              <w:i/>
              <w:iCs/>
              <w:sz w:val="20"/>
            </w:rPr>
            <w:t>Tertiary C</w:t>
          </w:r>
          <w:r w:rsidRPr="00585295">
            <w:rPr>
              <w:rFonts w:ascii="Arial" w:hAnsi="Arial" w:cs="Arial"/>
              <w:i/>
              <w:iCs/>
              <w:sz w:val="20"/>
            </w:rPr>
            <w:t>ourses</w:t>
          </w:r>
          <w:r w:rsidR="00293A16" w:rsidRPr="00585295">
            <w:rPr>
              <w:rFonts w:ascii="Arial" w:hAnsi="Arial" w:cs="Arial"/>
              <w:i/>
              <w:iCs/>
              <w:sz w:val="20"/>
            </w:rPr>
            <w:t>)</w:t>
          </w:r>
          <w:r w:rsidR="000227F3" w:rsidRPr="00585295">
            <w:rPr>
              <w:rFonts w:ascii="Arial" w:hAnsi="Arial" w:cs="Arial"/>
              <w:i/>
              <w:iCs/>
              <w:sz w:val="20"/>
            </w:rPr>
            <w:t xml:space="preserve"> </w:t>
          </w:r>
          <w:r w:rsidRPr="00585295">
            <w:rPr>
              <w:rFonts w:ascii="Arial" w:hAnsi="Arial" w:cs="Arial"/>
              <w:i/>
              <w:iCs/>
              <w:sz w:val="20"/>
            </w:rPr>
            <w:t xml:space="preserve">Determination </w:t>
          </w:r>
          <w:r w:rsidR="001D692C" w:rsidRPr="00585295">
            <w:rPr>
              <w:rFonts w:ascii="Arial" w:hAnsi="Arial" w:cs="Arial"/>
              <w:i/>
              <w:iCs/>
              <w:sz w:val="20"/>
            </w:rPr>
            <w:t>2017</w:t>
          </w:r>
        </w:p>
      </w:tc>
      <w:tc>
        <w:tcPr>
          <w:tcW w:w="674" w:type="dxa"/>
        </w:tcPr>
        <w:p w:rsidR="00C97485" w:rsidRPr="00B812EE" w:rsidRDefault="00C97485" w:rsidP="00B812EE">
          <w:pPr>
            <w:pStyle w:val="Header"/>
            <w:tabs>
              <w:tab w:val="left" w:pos="7920"/>
            </w:tabs>
            <w:rPr>
              <w:rStyle w:val="PageNumber"/>
              <w:rFonts w:ascii="Arial" w:hAnsi="Arial" w:cs="Arial"/>
              <w:sz w:val="20"/>
              <w:szCs w:val="20"/>
            </w:rPr>
          </w:pPr>
        </w:p>
        <w:p w:rsidR="00C97485" w:rsidRPr="00B812EE" w:rsidRDefault="00C97485" w:rsidP="00B812EE">
          <w:pPr>
            <w:pStyle w:val="Header"/>
            <w:tabs>
              <w:tab w:val="left" w:pos="7920"/>
            </w:tabs>
            <w:jc w:val="center"/>
            <w:rPr>
              <w:rFonts w:ascii="Arial" w:hAnsi="Arial" w:cs="Arial"/>
              <w:sz w:val="20"/>
              <w:szCs w:val="20"/>
            </w:rPr>
          </w:pPr>
          <w:r w:rsidRPr="00B812EE">
            <w:rPr>
              <w:rStyle w:val="PageNumber"/>
              <w:rFonts w:ascii="Arial" w:hAnsi="Arial" w:cs="Arial"/>
              <w:sz w:val="20"/>
              <w:szCs w:val="20"/>
            </w:rPr>
            <w:fldChar w:fldCharType="begin"/>
          </w:r>
          <w:r w:rsidRPr="00B812EE">
            <w:rPr>
              <w:rStyle w:val="PageNumber"/>
              <w:rFonts w:ascii="Arial" w:hAnsi="Arial" w:cs="Arial"/>
              <w:sz w:val="20"/>
              <w:szCs w:val="20"/>
            </w:rPr>
            <w:instrText xml:space="preserve"> PAGE </w:instrText>
          </w:r>
          <w:r w:rsidRPr="00B812EE">
            <w:rPr>
              <w:rStyle w:val="PageNumber"/>
              <w:rFonts w:ascii="Arial" w:hAnsi="Arial" w:cs="Arial"/>
              <w:sz w:val="20"/>
              <w:szCs w:val="20"/>
            </w:rPr>
            <w:fldChar w:fldCharType="separate"/>
          </w:r>
          <w:r w:rsidR="00733B4A">
            <w:rPr>
              <w:rStyle w:val="PageNumber"/>
              <w:rFonts w:ascii="Arial" w:hAnsi="Arial" w:cs="Arial"/>
              <w:noProof/>
              <w:sz w:val="20"/>
              <w:szCs w:val="20"/>
            </w:rPr>
            <w:t>2</w:t>
          </w:r>
          <w:r w:rsidRPr="00B812EE">
            <w:rPr>
              <w:rStyle w:val="PageNumber"/>
              <w:rFonts w:ascii="Arial" w:hAnsi="Arial" w:cs="Arial"/>
              <w:sz w:val="20"/>
              <w:szCs w:val="20"/>
            </w:rPr>
            <w:fldChar w:fldCharType="end"/>
          </w:r>
        </w:p>
      </w:tc>
    </w:tr>
  </w:tbl>
  <w:p w:rsidR="00C97485" w:rsidRPr="00BC4A7B" w:rsidRDefault="00C97485" w:rsidP="00BC4A7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42" w:rsidRDefault="00B67642">
      <w:r>
        <w:separator/>
      </w:r>
    </w:p>
  </w:footnote>
  <w:footnote w:type="continuationSeparator" w:id="0">
    <w:p w:rsidR="00B67642" w:rsidRDefault="00B67642">
      <w:r>
        <w:continuationSeparator/>
      </w:r>
    </w:p>
  </w:footnote>
  <w:footnote w:type="continuationNotice" w:id="1">
    <w:p w:rsidR="00B67642" w:rsidRDefault="00B676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A2C" w:rsidRPr="000B3B32" w:rsidRDefault="003D5A2C" w:rsidP="000B3B32">
    <w:pPr>
      <w:pStyle w:val="Header"/>
      <w:ind w:left="720"/>
      <w:jc w:val="center"/>
      <w:rPr>
        <w:color w:val="FF0000"/>
        <w:sz w:val="3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A94"/>
    <w:multiLevelType w:val="hybridMultilevel"/>
    <w:tmpl w:val="41BA04C6"/>
    <w:lvl w:ilvl="0" w:tplc="0C090015">
      <w:start w:val="1"/>
      <w:numFmt w:val="upperLetter"/>
      <w:lvlText w:val="%1."/>
      <w:lvlJc w:val="left"/>
      <w:pPr>
        <w:tabs>
          <w:tab w:val="num" w:pos="780"/>
        </w:tabs>
        <w:ind w:left="780" w:hanging="360"/>
      </w:pPr>
      <w:rPr>
        <w:rFont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F3C655F"/>
    <w:multiLevelType w:val="hybridMultilevel"/>
    <w:tmpl w:val="A8BCA3A0"/>
    <w:lvl w:ilvl="0" w:tplc="2D14C40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9E19D7"/>
    <w:multiLevelType w:val="hybridMultilevel"/>
    <w:tmpl w:val="5ABA2624"/>
    <w:lvl w:ilvl="0" w:tplc="FC0051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FB058F"/>
    <w:multiLevelType w:val="hybridMultilevel"/>
    <w:tmpl w:val="3D2C1862"/>
    <w:lvl w:ilvl="0" w:tplc="65061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137ED7"/>
    <w:multiLevelType w:val="hybridMultilevel"/>
    <w:tmpl w:val="0220D3D0"/>
    <w:lvl w:ilvl="0" w:tplc="5F1C4562">
      <w:start w:val="1"/>
      <w:numFmt w:val="decimal"/>
      <w:lvlText w:val="%1."/>
      <w:lvlJc w:val="left"/>
      <w:pPr>
        <w:ind w:left="720" w:hanging="360"/>
      </w:pPr>
      <w:rPr>
        <w:rFonts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1D2663B"/>
    <w:multiLevelType w:val="hybridMultilevel"/>
    <w:tmpl w:val="E61C7FCA"/>
    <w:lvl w:ilvl="0" w:tplc="9B9E6504">
      <w:start w:val="1"/>
      <w:numFmt w:val="lowerLetter"/>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243C01"/>
    <w:multiLevelType w:val="hybridMultilevel"/>
    <w:tmpl w:val="4900EE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F20A3"/>
    <w:multiLevelType w:val="hybridMultilevel"/>
    <w:tmpl w:val="1646BFC0"/>
    <w:lvl w:ilvl="0" w:tplc="6FBA9776">
      <w:start w:val="1"/>
      <w:numFmt w:val="lowerLetter"/>
      <w:lvlText w:val="(%1)"/>
      <w:lvlJc w:val="left"/>
      <w:pPr>
        <w:ind w:left="1350" w:hanging="57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8" w15:restartNumberingAfterBreak="0">
    <w:nsid w:val="5208525B"/>
    <w:multiLevelType w:val="hybridMultilevel"/>
    <w:tmpl w:val="41A01C90"/>
    <w:lvl w:ilvl="0" w:tplc="8E887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4433B3"/>
    <w:multiLevelType w:val="hybridMultilevel"/>
    <w:tmpl w:val="1C425E70"/>
    <w:lvl w:ilvl="0" w:tplc="BFD6238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B26F8B"/>
    <w:multiLevelType w:val="hybridMultilevel"/>
    <w:tmpl w:val="F4FABD4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CFC58CD"/>
    <w:multiLevelType w:val="hybridMultilevel"/>
    <w:tmpl w:val="C3563318"/>
    <w:lvl w:ilvl="0" w:tplc="191EE67C">
      <w:start w:val="27"/>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40B0924"/>
    <w:multiLevelType w:val="hybridMultilevel"/>
    <w:tmpl w:val="95ECF876"/>
    <w:lvl w:ilvl="0" w:tplc="B704917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9DA63FD"/>
    <w:multiLevelType w:val="hybridMultilevel"/>
    <w:tmpl w:val="6A1A0152"/>
    <w:lvl w:ilvl="0" w:tplc="F1AE4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DFC74A3"/>
    <w:multiLevelType w:val="hybridMultilevel"/>
    <w:tmpl w:val="A9269F50"/>
    <w:lvl w:ilvl="0" w:tplc="AFACC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4"/>
  </w:num>
  <w:num w:numId="5">
    <w:abstractNumId w:val="8"/>
  </w:num>
  <w:num w:numId="6">
    <w:abstractNumId w:val="7"/>
  </w:num>
  <w:num w:numId="7">
    <w:abstractNumId w:val="4"/>
  </w:num>
  <w:num w:numId="8">
    <w:abstractNumId w:val="3"/>
  </w:num>
  <w:num w:numId="9">
    <w:abstractNumId w:val="13"/>
  </w:num>
  <w:num w:numId="10">
    <w:abstractNumId w:val="11"/>
  </w:num>
  <w:num w:numId="11">
    <w:abstractNumId w:val="9"/>
  </w:num>
  <w:num w:numId="12">
    <w:abstractNumId w:val="2"/>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0D"/>
    <w:rsid w:val="000031C9"/>
    <w:rsid w:val="00017197"/>
    <w:rsid w:val="000227F3"/>
    <w:rsid w:val="00025776"/>
    <w:rsid w:val="00031C13"/>
    <w:rsid w:val="00040E59"/>
    <w:rsid w:val="0004266F"/>
    <w:rsid w:val="00047399"/>
    <w:rsid w:val="000475E2"/>
    <w:rsid w:val="00056E9B"/>
    <w:rsid w:val="00060D38"/>
    <w:rsid w:val="00074647"/>
    <w:rsid w:val="00075CAB"/>
    <w:rsid w:val="00092042"/>
    <w:rsid w:val="00093754"/>
    <w:rsid w:val="00093CEB"/>
    <w:rsid w:val="000A48EC"/>
    <w:rsid w:val="000B1C43"/>
    <w:rsid w:val="000B3261"/>
    <w:rsid w:val="000B3B32"/>
    <w:rsid w:val="000C47E0"/>
    <w:rsid w:val="000C7AF3"/>
    <w:rsid w:val="000D527A"/>
    <w:rsid w:val="000D5705"/>
    <w:rsid w:val="000E10C1"/>
    <w:rsid w:val="000E2764"/>
    <w:rsid w:val="000E34CA"/>
    <w:rsid w:val="000F26CB"/>
    <w:rsid w:val="000F3762"/>
    <w:rsid w:val="000F5F54"/>
    <w:rsid w:val="000F67F6"/>
    <w:rsid w:val="000F6C4E"/>
    <w:rsid w:val="00100EE5"/>
    <w:rsid w:val="0011088E"/>
    <w:rsid w:val="0012540D"/>
    <w:rsid w:val="00130A99"/>
    <w:rsid w:val="00132231"/>
    <w:rsid w:val="001418D6"/>
    <w:rsid w:val="0014585B"/>
    <w:rsid w:val="00145FE0"/>
    <w:rsid w:val="00157CE4"/>
    <w:rsid w:val="00160BD1"/>
    <w:rsid w:val="00163DEA"/>
    <w:rsid w:val="0016559C"/>
    <w:rsid w:val="00166C8D"/>
    <w:rsid w:val="0016719A"/>
    <w:rsid w:val="00171CE9"/>
    <w:rsid w:val="001823EB"/>
    <w:rsid w:val="00182610"/>
    <w:rsid w:val="00183E6F"/>
    <w:rsid w:val="00185DF2"/>
    <w:rsid w:val="00191C9F"/>
    <w:rsid w:val="00192BB1"/>
    <w:rsid w:val="00194D8D"/>
    <w:rsid w:val="0019732A"/>
    <w:rsid w:val="00197332"/>
    <w:rsid w:val="00197404"/>
    <w:rsid w:val="00197E58"/>
    <w:rsid w:val="001B307F"/>
    <w:rsid w:val="001B33F7"/>
    <w:rsid w:val="001B63B1"/>
    <w:rsid w:val="001B7756"/>
    <w:rsid w:val="001C32DA"/>
    <w:rsid w:val="001C373C"/>
    <w:rsid w:val="001D18C9"/>
    <w:rsid w:val="001D692C"/>
    <w:rsid w:val="001E0AE9"/>
    <w:rsid w:val="001E15C0"/>
    <w:rsid w:val="001E5296"/>
    <w:rsid w:val="001F2707"/>
    <w:rsid w:val="001F2F9E"/>
    <w:rsid w:val="00206E6A"/>
    <w:rsid w:val="00212E49"/>
    <w:rsid w:val="00216011"/>
    <w:rsid w:val="00216739"/>
    <w:rsid w:val="00222D0C"/>
    <w:rsid w:val="0023324D"/>
    <w:rsid w:val="00233960"/>
    <w:rsid w:val="00233F63"/>
    <w:rsid w:val="00234224"/>
    <w:rsid w:val="002373B5"/>
    <w:rsid w:val="002413A8"/>
    <w:rsid w:val="002479BC"/>
    <w:rsid w:val="002546F1"/>
    <w:rsid w:val="002550EF"/>
    <w:rsid w:val="0026075B"/>
    <w:rsid w:val="00261572"/>
    <w:rsid w:val="002639A6"/>
    <w:rsid w:val="00265113"/>
    <w:rsid w:val="00265B5D"/>
    <w:rsid w:val="00273E1C"/>
    <w:rsid w:val="002759C7"/>
    <w:rsid w:val="00283132"/>
    <w:rsid w:val="0028501C"/>
    <w:rsid w:val="00287712"/>
    <w:rsid w:val="002900B4"/>
    <w:rsid w:val="002905B8"/>
    <w:rsid w:val="00293A16"/>
    <w:rsid w:val="00293FB7"/>
    <w:rsid w:val="0029424E"/>
    <w:rsid w:val="002A7030"/>
    <w:rsid w:val="002B3795"/>
    <w:rsid w:val="002B5200"/>
    <w:rsid w:val="002C0639"/>
    <w:rsid w:val="002C2FB4"/>
    <w:rsid w:val="002C7EC3"/>
    <w:rsid w:val="002D2521"/>
    <w:rsid w:val="002D37B5"/>
    <w:rsid w:val="002D6973"/>
    <w:rsid w:val="002E0AF6"/>
    <w:rsid w:val="002E385F"/>
    <w:rsid w:val="002E5E0F"/>
    <w:rsid w:val="002F040D"/>
    <w:rsid w:val="002F34D0"/>
    <w:rsid w:val="002F6695"/>
    <w:rsid w:val="0030486D"/>
    <w:rsid w:val="00304961"/>
    <w:rsid w:val="003067D9"/>
    <w:rsid w:val="0030758A"/>
    <w:rsid w:val="00313526"/>
    <w:rsid w:val="0031439F"/>
    <w:rsid w:val="003203BF"/>
    <w:rsid w:val="003222AE"/>
    <w:rsid w:val="00331AFA"/>
    <w:rsid w:val="0033580E"/>
    <w:rsid w:val="00337209"/>
    <w:rsid w:val="0034070A"/>
    <w:rsid w:val="00344534"/>
    <w:rsid w:val="00350AEC"/>
    <w:rsid w:val="00355098"/>
    <w:rsid w:val="0036035D"/>
    <w:rsid w:val="00360EE5"/>
    <w:rsid w:val="0038447D"/>
    <w:rsid w:val="003900B7"/>
    <w:rsid w:val="00391201"/>
    <w:rsid w:val="003943F1"/>
    <w:rsid w:val="00395033"/>
    <w:rsid w:val="003A29E4"/>
    <w:rsid w:val="003B19CB"/>
    <w:rsid w:val="003B4583"/>
    <w:rsid w:val="003B4977"/>
    <w:rsid w:val="003C3DF1"/>
    <w:rsid w:val="003C713C"/>
    <w:rsid w:val="003D5A2C"/>
    <w:rsid w:val="003E06AA"/>
    <w:rsid w:val="003E6491"/>
    <w:rsid w:val="003E7E8E"/>
    <w:rsid w:val="003F162C"/>
    <w:rsid w:val="003F3289"/>
    <w:rsid w:val="003F4256"/>
    <w:rsid w:val="003F6A5B"/>
    <w:rsid w:val="004124B8"/>
    <w:rsid w:val="004201AD"/>
    <w:rsid w:val="00421449"/>
    <w:rsid w:val="00421FDF"/>
    <w:rsid w:val="0042314E"/>
    <w:rsid w:val="004235D5"/>
    <w:rsid w:val="004245FA"/>
    <w:rsid w:val="0042595A"/>
    <w:rsid w:val="00426AAF"/>
    <w:rsid w:val="00431396"/>
    <w:rsid w:val="004405AE"/>
    <w:rsid w:val="00441568"/>
    <w:rsid w:val="00443044"/>
    <w:rsid w:val="0044548C"/>
    <w:rsid w:val="0046262A"/>
    <w:rsid w:val="00464303"/>
    <w:rsid w:val="00465269"/>
    <w:rsid w:val="0046566A"/>
    <w:rsid w:val="00465BF0"/>
    <w:rsid w:val="00470058"/>
    <w:rsid w:val="00481886"/>
    <w:rsid w:val="004844E5"/>
    <w:rsid w:val="00487B26"/>
    <w:rsid w:val="004917DB"/>
    <w:rsid w:val="0049202D"/>
    <w:rsid w:val="00493539"/>
    <w:rsid w:val="0049584C"/>
    <w:rsid w:val="00497ABD"/>
    <w:rsid w:val="004A1391"/>
    <w:rsid w:val="004A3344"/>
    <w:rsid w:val="004A5C9C"/>
    <w:rsid w:val="004B1906"/>
    <w:rsid w:val="004B2D29"/>
    <w:rsid w:val="004B6007"/>
    <w:rsid w:val="004C1BC3"/>
    <w:rsid w:val="004C381E"/>
    <w:rsid w:val="004C5A4F"/>
    <w:rsid w:val="004D247F"/>
    <w:rsid w:val="004D2B2B"/>
    <w:rsid w:val="004D2B2C"/>
    <w:rsid w:val="004D7B98"/>
    <w:rsid w:val="004E0469"/>
    <w:rsid w:val="004E3479"/>
    <w:rsid w:val="004E5659"/>
    <w:rsid w:val="004E5FC1"/>
    <w:rsid w:val="004E6B2F"/>
    <w:rsid w:val="004F3ABB"/>
    <w:rsid w:val="004F7321"/>
    <w:rsid w:val="005011EF"/>
    <w:rsid w:val="00510EDE"/>
    <w:rsid w:val="005137EB"/>
    <w:rsid w:val="00514AC3"/>
    <w:rsid w:val="00520804"/>
    <w:rsid w:val="0052347E"/>
    <w:rsid w:val="005250A6"/>
    <w:rsid w:val="00527910"/>
    <w:rsid w:val="00533D99"/>
    <w:rsid w:val="0054121B"/>
    <w:rsid w:val="0054274A"/>
    <w:rsid w:val="00544701"/>
    <w:rsid w:val="005453B8"/>
    <w:rsid w:val="005460D5"/>
    <w:rsid w:val="00551FE5"/>
    <w:rsid w:val="00553BF3"/>
    <w:rsid w:val="00561FAB"/>
    <w:rsid w:val="00571B4A"/>
    <w:rsid w:val="00572DA6"/>
    <w:rsid w:val="005806D2"/>
    <w:rsid w:val="00583299"/>
    <w:rsid w:val="00584C1D"/>
    <w:rsid w:val="00585295"/>
    <w:rsid w:val="00585C98"/>
    <w:rsid w:val="0058639E"/>
    <w:rsid w:val="005A262A"/>
    <w:rsid w:val="005A454F"/>
    <w:rsid w:val="005A6351"/>
    <w:rsid w:val="005B1CA6"/>
    <w:rsid w:val="005B4A92"/>
    <w:rsid w:val="005B6E75"/>
    <w:rsid w:val="005C167C"/>
    <w:rsid w:val="005C4AD3"/>
    <w:rsid w:val="005C6991"/>
    <w:rsid w:val="005D10D5"/>
    <w:rsid w:val="005D4AE7"/>
    <w:rsid w:val="005D6782"/>
    <w:rsid w:val="005E11E7"/>
    <w:rsid w:val="005E4971"/>
    <w:rsid w:val="005E5220"/>
    <w:rsid w:val="005E5464"/>
    <w:rsid w:val="005F1A31"/>
    <w:rsid w:val="005F4A94"/>
    <w:rsid w:val="005F583E"/>
    <w:rsid w:val="006067DF"/>
    <w:rsid w:val="00606F33"/>
    <w:rsid w:val="00607910"/>
    <w:rsid w:val="00612C66"/>
    <w:rsid w:val="006232C6"/>
    <w:rsid w:val="006244E2"/>
    <w:rsid w:val="006245D2"/>
    <w:rsid w:val="006272F9"/>
    <w:rsid w:val="006336FF"/>
    <w:rsid w:val="00634005"/>
    <w:rsid w:val="00635557"/>
    <w:rsid w:val="006360B9"/>
    <w:rsid w:val="006370A1"/>
    <w:rsid w:val="00641531"/>
    <w:rsid w:val="0064359E"/>
    <w:rsid w:val="00645181"/>
    <w:rsid w:val="00654D37"/>
    <w:rsid w:val="00655714"/>
    <w:rsid w:val="00657B54"/>
    <w:rsid w:val="00661BB3"/>
    <w:rsid w:val="006727C6"/>
    <w:rsid w:val="00673B58"/>
    <w:rsid w:val="0067593D"/>
    <w:rsid w:val="00677E92"/>
    <w:rsid w:val="006817AC"/>
    <w:rsid w:val="00684346"/>
    <w:rsid w:val="00684B33"/>
    <w:rsid w:val="00686C94"/>
    <w:rsid w:val="00686D92"/>
    <w:rsid w:val="006871C9"/>
    <w:rsid w:val="00690C5C"/>
    <w:rsid w:val="006931EB"/>
    <w:rsid w:val="006969AD"/>
    <w:rsid w:val="006A1823"/>
    <w:rsid w:val="006B1EFD"/>
    <w:rsid w:val="006B708D"/>
    <w:rsid w:val="006D38F6"/>
    <w:rsid w:val="006E407C"/>
    <w:rsid w:val="006E4A52"/>
    <w:rsid w:val="006E4BD8"/>
    <w:rsid w:val="006F2F1A"/>
    <w:rsid w:val="006F5773"/>
    <w:rsid w:val="006F5DDF"/>
    <w:rsid w:val="006F6249"/>
    <w:rsid w:val="006F66A6"/>
    <w:rsid w:val="006F7470"/>
    <w:rsid w:val="0070190E"/>
    <w:rsid w:val="00703B30"/>
    <w:rsid w:val="00707E7A"/>
    <w:rsid w:val="007113C2"/>
    <w:rsid w:val="00712531"/>
    <w:rsid w:val="00714352"/>
    <w:rsid w:val="00726455"/>
    <w:rsid w:val="00733B4A"/>
    <w:rsid w:val="00737865"/>
    <w:rsid w:val="007435EF"/>
    <w:rsid w:val="007466BC"/>
    <w:rsid w:val="00747C93"/>
    <w:rsid w:val="007526AF"/>
    <w:rsid w:val="00760278"/>
    <w:rsid w:val="007631B3"/>
    <w:rsid w:val="00764F9C"/>
    <w:rsid w:val="00767222"/>
    <w:rsid w:val="00787D78"/>
    <w:rsid w:val="00787E11"/>
    <w:rsid w:val="0079356C"/>
    <w:rsid w:val="00795083"/>
    <w:rsid w:val="007A0F02"/>
    <w:rsid w:val="007A22A4"/>
    <w:rsid w:val="007B2E0C"/>
    <w:rsid w:val="007B6288"/>
    <w:rsid w:val="007C13B3"/>
    <w:rsid w:val="007C20E2"/>
    <w:rsid w:val="007D0474"/>
    <w:rsid w:val="007D0BD3"/>
    <w:rsid w:val="007D4FF1"/>
    <w:rsid w:val="007E514D"/>
    <w:rsid w:val="007E7164"/>
    <w:rsid w:val="007E71EE"/>
    <w:rsid w:val="007F41AD"/>
    <w:rsid w:val="00801867"/>
    <w:rsid w:val="0080301F"/>
    <w:rsid w:val="0080742E"/>
    <w:rsid w:val="00812096"/>
    <w:rsid w:val="00812A11"/>
    <w:rsid w:val="00812E3E"/>
    <w:rsid w:val="008224C9"/>
    <w:rsid w:val="00823E97"/>
    <w:rsid w:val="00827958"/>
    <w:rsid w:val="00836AD1"/>
    <w:rsid w:val="00837EE4"/>
    <w:rsid w:val="0086144C"/>
    <w:rsid w:val="00867394"/>
    <w:rsid w:val="00870638"/>
    <w:rsid w:val="00872C7F"/>
    <w:rsid w:val="00872E13"/>
    <w:rsid w:val="00872E1C"/>
    <w:rsid w:val="00875676"/>
    <w:rsid w:val="0087767E"/>
    <w:rsid w:val="00880857"/>
    <w:rsid w:val="00881D4D"/>
    <w:rsid w:val="00882799"/>
    <w:rsid w:val="00884900"/>
    <w:rsid w:val="00885221"/>
    <w:rsid w:val="00886F9B"/>
    <w:rsid w:val="008930E0"/>
    <w:rsid w:val="00894B0A"/>
    <w:rsid w:val="00895BF0"/>
    <w:rsid w:val="008A791E"/>
    <w:rsid w:val="008B1183"/>
    <w:rsid w:val="008B3409"/>
    <w:rsid w:val="008B6964"/>
    <w:rsid w:val="008C0D8B"/>
    <w:rsid w:val="008C1E85"/>
    <w:rsid w:val="008C2766"/>
    <w:rsid w:val="008C7AC4"/>
    <w:rsid w:val="008D2E34"/>
    <w:rsid w:val="008D3184"/>
    <w:rsid w:val="008D3471"/>
    <w:rsid w:val="008D4665"/>
    <w:rsid w:val="008D6980"/>
    <w:rsid w:val="008D72DF"/>
    <w:rsid w:val="008D7B3B"/>
    <w:rsid w:val="008F2B4F"/>
    <w:rsid w:val="008F2F2B"/>
    <w:rsid w:val="008F35EF"/>
    <w:rsid w:val="008F4D9C"/>
    <w:rsid w:val="009023B1"/>
    <w:rsid w:val="0090299A"/>
    <w:rsid w:val="00902E34"/>
    <w:rsid w:val="00903B40"/>
    <w:rsid w:val="00906D8E"/>
    <w:rsid w:val="00910988"/>
    <w:rsid w:val="00910EBC"/>
    <w:rsid w:val="00915218"/>
    <w:rsid w:val="0092209F"/>
    <w:rsid w:val="009308F6"/>
    <w:rsid w:val="00933B2D"/>
    <w:rsid w:val="00935101"/>
    <w:rsid w:val="00937E3A"/>
    <w:rsid w:val="00941F93"/>
    <w:rsid w:val="0094644A"/>
    <w:rsid w:val="00950296"/>
    <w:rsid w:val="00954849"/>
    <w:rsid w:val="00967512"/>
    <w:rsid w:val="00975CD4"/>
    <w:rsid w:val="00976223"/>
    <w:rsid w:val="00990134"/>
    <w:rsid w:val="009A080E"/>
    <w:rsid w:val="009A09E8"/>
    <w:rsid w:val="009A0AA3"/>
    <w:rsid w:val="009A4AC6"/>
    <w:rsid w:val="009A5DF4"/>
    <w:rsid w:val="009B0137"/>
    <w:rsid w:val="009B2853"/>
    <w:rsid w:val="009B3DFE"/>
    <w:rsid w:val="009B4C31"/>
    <w:rsid w:val="009B5B55"/>
    <w:rsid w:val="009D2C88"/>
    <w:rsid w:val="009D4E14"/>
    <w:rsid w:val="009D54D8"/>
    <w:rsid w:val="009D58CD"/>
    <w:rsid w:val="009D5985"/>
    <w:rsid w:val="009D6AA4"/>
    <w:rsid w:val="009D6CF5"/>
    <w:rsid w:val="009E207C"/>
    <w:rsid w:val="009E46EE"/>
    <w:rsid w:val="009F22FE"/>
    <w:rsid w:val="009F527B"/>
    <w:rsid w:val="009F5511"/>
    <w:rsid w:val="009F5B53"/>
    <w:rsid w:val="009F6668"/>
    <w:rsid w:val="009F7687"/>
    <w:rsid w:val="00A023D4"/>
    <w:rsid w:val="00A03937"/>
    <w:rsid w:val="00A04B86"/>
    <w:rsid w:val="00A111F4"/>
    <w:rsid w:val="00A11C60"/>
    <w:rsid w:val="00A13F02"/>
    <w:rsid w:val="00A45006"/>
    <w:rsid w:val="00A511F5"/>
    <w:rsid w:val="00A536A8"/>
    <w:rsid w:val="00A5753D"/>
    <w:rsid w:val="00A600F2"/>
    <w:rsid w:val="00A63DE9"/>
    <w:rsid w:val="00A65F74"/>
    <w:rsid w:val="00A7065D"/>
    <w:rsid w:val="00A7367B"/>
    <w:rsid w:val="00A740FD"/>
    <w:rsid w:val="00A745C1"/>
    <w:rsid w:val="00A75F31"/>
    <w:rsid w:val="00A770C1"/>
    <w:rsid w:val="00A777FE"/>
    <w:rsid w:val="00A81F81"/>
    <w:rsid w:val="00A824DA"/>
    <w:rsid w:val="00A8521E"/>
    <w:rsid w:val="00A86856"/>
    <w:rsid w:val="00A871F5"/>
    <w:rsid w:val="00A92C54"/>
    <w:rsid w:val="00A97EEA"/>
    <w:rsid w:val="00AA1818"/>
    <w:rsid w:val="00AB2DD3"/>
    <w:rsid w:val="00AB6868"/>
    <w:rsid w:val="00AC4533"/>
    <w:rsid w:val="00AC609B"/>
    <w:rsid w:val="00AD6C87"/>
    <w:rsid w:val="00AE14A8"/>
    <w:rsid w:val="00AE6241"/>
    <w:rsid w:val="00AF4C22"/>
    <w:rsid w:val="00AF7E3E"/>
    <w:rsid w:val="00B03176"/>
    <w:rsid w:val="00B05884"/>
    <w:rsid w:val="00B05A34"/>
    <w:rsid w:val="00B1280F"/>
    <w:rsid w:val="00B20290"/>
    <w:rsid w:val="00B228C2"/>
    <w:rsid w:val="00B24079"/>
    <w:rsid w:val="00B24132"/>
    <w:rsid w:val="00B265B6"/>
    <w:rsid w:val="00B36830"/>
    <w:rsid w:val="00B4130B"/>
    <w:rsid w:val="00B42D51"/>
    <w:rsid w:val="00B43A44"/>
    <w:rsid w:val="00B51AFF"/>
    <w:rsid w:val="00B54C98"/>
    <w:rsid w:val="00B55662"/>
    <w:rsid w:val="00B62CAE"/>
    <w:rsid w:val="00B67642"/>
    <w:rsid w:val="00B7169F"/>
    <w:rsid w:val="00B74347"/>
    <w:rsid w:val="00B812EE"/>
    <w:rsid w:val="00B81605"/>
    <w:rsid w:val="00B81616"/>
    <w:rsid w:val="00B903DE"/>
    <w:rsid w:val="00B92F0A"/>
    <w:rsid w:val="00B93FE5"/>
    <w:rsid w:val="00BB0528"/>
    <w:rsid w:val="00BB2BE1"/>
    <w:rsid w:val="00BB3450"/>
    <w:rsid w:val="00BB3AE3"/>
    <w:rsid w:val="00BB3FF7"/>
    <w:rsid w:val="00BB5737"/>
    <w:rsid w:val="00BB5EFC"/>
    <w:rsid w:val="00BC060A"/>
    <w:rsid w:val="00BC1FAD"/>
    <w:rsid w:val="00BC4A7B"/>
    <w:rsid w:val="00BC701B"/>
    <w:rsid w:val="00BD6B0B"/>
    <w:rsid w:val="00BE2F26"/>
    <w:rsid w:val="00BE36FF"/>
    <w:rsid w:val="00BE460E"/>
    <w:rsid w:val="00BE6640"/>
    <w:rsid w:val="00BF2B15"/>
    <w:rsid w:val="00BF3BF0"/>
    <w:rsid w:val="00BF4F1F"/>
    <w:rsid w:val="00BF5B9D"/>
    <w:rsid w:val="00C00B22"/>
    <w:rsid w:val="00C00CE0"/>
    <w:rsid w:val="00C01AA8"/>
    <w:rsid w:val="00C07E60"/>
    <w:rsid w:val="00C2041E"/>
    <w:rsid w:val="00C20FFB"/>
    <w:rsid w:val="00C26215"/>
    <w:rsid w:val="00C30698"/>
    <w:rsid w:val="00C3140A"/>
    <w:rsid w:val="00C32931"/>
    <w:rsid w:val="00C32C87"/>
    <w:rsid w:val="00C435CE"/>
    <w:rsid w:val="00C51A80"/>
    <w:rsid w:val="00C5726E"/>
    <w:rsid w:val="00C57470"/>
    <w:rsid w:val="00C603AC"/>
    <w:rsid w:val="00C64726"/>
    <w:rsid w:val="00C7042F"/>
    <w:rsid w:val="00C728B3"/>
    <w:rsid w:val="00C7630F"/>
    <w:rsid w:val="00C77CDC"/>
    <w:rsid w:val="00C87C3A"/>
    <w:rsid w:val="00C910C2"/>
    <w:rsid w:val="00C92EA8"/>
    <w:rsid w:val="00C93683"/>
    <w:rsid w:val="00C9374A"/>
    <w:rsid w:val="00C949B8"/>
    <w:rsid w:val="00C97485"/>
    <w:rsid w:val="00C976D6"/>
    <w:rsid w:val="00CA28EA"/>
    <w:rsid w:val="00CC1168"/>
    <w:rsid w:val="00CD6CB0"/>
    <w:rsid w:val="00CE2803"/>
    <w:rsid w:val="00CE3CCE"/>
    <w:rsid w:val="00CE42BD"/>
    <w:rsid w:val="00CE4F50"/>
    <w:rsid w:val="00CF3D33"/>
    <w:rsid w:val="00CF6D2F"/>
    <w:rsid w:val="00D00954"/>
    <w:rsid w:val="00D115B1"/>
    <w:rsid w:val="00D150E3"/>
    <w:rsid w:val="00D223A6"/>
    <w:rsid w:val="00D2479C"/>
    <w:rsid w:val="00D25AD6"/>
    <w:rsid w:val="00D310B7"/>
    <w:rsid w:val="00D35A3F"/>
    <w:rsid w:val="00D376F1"/>
    <w:rsid w:val="00D40277"/>
    <w:rsid w:val="00D4045D"/>
    <w:rsid w:val="00D42589"/>
    <w:rsid w:val="00D43CD7"/>
    <w:rsid w:val="00D571FF"/>
    <w:rsid w:val="00D6305C"/>
    <w:rsid w:val="00D64346"/>
    <w:rsid w:val="00D67C49"/>
    <w:rsid w:val="00D709C8"/>
    <w:rsid w:val="00D775B7"/>
    <w:rsid w:val="00D81B3D"/>
    <w:rsid w:val="00D84149"/>
    <w:rsid w:val="00D84935"/>
    <w:rsid w:val="00D857DE"/>
    <w:rsid w:val="00D85F62"/>
    <w:rsid w:val="00DA2260"/>
    <w:rsid w:val="00DB324B"/>
    <w:rsid w:val="00DB6549"/>
    <w:rsid w:val="00DC0E02"/>
    <w:rsid w:val="00DC142E"/>
    <w:rsid w:val="00DC60BC"/>
    <w:rsid w:val="00DD0997"/>
    <w:rsid w:val="00DD2780"/>
    <w:rsid w:val="00DD28E5"/>
    <w:rsid w:val="00DD4B2E"/>
    <w:rsid w:val="00DD62D1"/>
    <w:rsid w:val="00DD6910"/>
    <w:rsid w:val="00DD744D"/>
    <w:rsid w:val="00DE0CD5"/>
    <w:rsid w:val="00DE1880"/>
    <w:rsid w:val="00DE1B3B"/>
    <w:rsid w:val="00DE6992"/>
    <w:rsid w:val="00DE718C"/>
    <w:rsid w:val="00DF4D0B"/>
    <w:rsid w:val="00DF5229"/>
    <w:rsid w:val="00E01FBA"/>
    <w:rsid w:val="00E02C23"/>
    <w:rsid w:val="00E03779"/>
    <w:rsid w:val="00E03A85"/>
    <w:rsid w:val="00E04363"/>
    <w:rsid w:val="00E06EA4"/>
    <w:rsid w:val="00E0779A"/>
    <w:rsid w:val="00E077DB"/>
    <w:rsid w:val="00E07E6C"/>
    <w:rsid w:val="00E11666"/>
    <w:rsid w:val="00E139EF"/>
    <w:rsid w:val="00E20C07"/>
    <w:rsid w:val="00E31069"/>
    <w:rsid w:val="00E311F6"/>
    <w:rsid w:val="00E331C3"/>
    <w:rsid w:val="00E332EB"/>
    <w:rsid w:val="00E33AB5"/>
    <w:rsid w:val="00E35AC2"/>
    <w:rsid w:val="00E37329"/>
    <w:rsid w:val="00E37CE2"/>
    <w:rsid w:val="00E4164B"/>
    <w:rsid w:val="00E4575D"/>
    <w:rsid w:val="00E51DDA"/>
    <w:rsid w:val="00E533F4"/>
    <w:rsid w:val="00E54A26"/>
    <w:rsid w:val="00E55238"/>
    <w:rsid w:val="00E56BE9"/>
    <w:rsid w:val="00E60450"/>
    <w:rsid w:val="00E62E70"/>
    <w:rsid w:val="00E64D69"/>
    <w:rsid w:val="00E66E17"/>
    <w:rsid w:val="00E67FBB"/>
    <w:rsid w:val="00E70587"/>
    <w:rsid w:val="00E75942"/>
    <w:rsid w:val="00E818F2"/>
    <w:rsid w:val="00E87D39"/>
    <w:rsid w:val="00E90557"/>
    <w:rsid w:val="00E92FC9"/>
    <w:rsid w:val="00EA0E86"/>
    <w:rsid w:val="00EA4490"/>
    <w:rsid w:val="00EB22E3"/>
    <w:rsid w:val="00EB3AF2"/>
    <w:rsid w:val="00EB6A6D"/>
    <w:rsid w:val="00EC0BB0"/>
    <w:rsid w:val="00EC57DC"/>
    <w:rsid w:val="00EC59A4"/>
    <w:rsid w:val="00EC5C46"/>
    <w:rsid w:val="00EC6C38"/>
    <w:rsid w:val="00ED245B"/>
    <w:rsid w:val="00ED31B8"/>
    <w:rsid w:val="00ED51A5"/>
    <w:rsid w:val="00ED710F"/>
    <w:rsid w:val="00EF13F0"/>
    <w:rsid w:val="00EF22CC"/>
    <w:rsid w:val="00EF338A"/>
    <w:rsid w:val="00EF501D"/>
    <w:rsid w:val="00F02B1A"/>
    <w:rsid w:val="00F06BC1"/>
    <w:rsid w:val="00F213E8"/>
    <w:rsid w:val="00F22E61"/>
    <w:rsid w:val="00F25613"/>
    <w:rsid w:val="00F34FEB"/>
    <w:rsid w:val="00F35D3D"/>
    <w:rsid w:val="00F367AD"/>
    <w:rsid w:val="00F36FDB"/>
    <w:rsid w:val="00F4048C"/>
    <w:rsid w:val="00F411EB"/>
    <w:rsid w:val="00F4371B"/>
    <w:rsid w:val="00F46103"/>
    <w:rsid w:val="00F50746"/>
    <w:rsid w:val="00F55F32"/>
    <w:rsid w:val="00F60036"/>
    <w:rsid w:val="00F66428"/>
    <w:rsid w:val="00F67296"/>
    <w:rsid w:val="00F67658"/>
    <w:rsid w:val="00F77255"/>
    <w:rsid w:val="00F80FC0"/>
    <w:rsid w:val="00F83E81"/>
    <w:rsid w:val="00F84735"/>
    <w:rsid w:val="00F855B5"/>
    <w:rsid w:val="00F85744"/>
    <w:rsid w:val="00F86D59"/>
    <w:rsid w:val="00F87CB9"/>
    <w:rsid w:val="00F93D1C"/>
    <w:rsid w:val="00FA1347"/>
    <w:rsid w:val="00FA2A12"/>
    <w:rsid w:val="00FA459A"/>
    <w:rsid w:val="00FB08F7"/>
    <w:rsid w:val="00FB187E"/>
    <w:rsid w:val="00FB33CA"/>
    <w:rsid w:val="00FB51F5"/>
    <w:rsid w:val="00FB5A10"/>
    <w:rsid w:val="00FC2725"/>
    <w:rsid w:val="00FC2DD4"/>
    <w:rsid w:val="00FD159A"/>
    <w:rsid w:val="00FD63F5"/>
    <w:rsid w:val="00FD79FD"/>
    <w:rsid w:val="00FE4131"/>
    <w:rsid w:val="00FE64D1"/>
    <w:rsid w:val="00FF0B05"/>
    <w:rsid w:val="00FF364A"/>
    <w:rsid w:val="00FF7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FD9103-6A96-4A45-A6FD-405B07A7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144C"/>
    <w:pPr>
      <w:tabs>
        <w:tab w:val="center" w:pos="4153"/>
        <w:tab w:val="right" w:pos="8306"/>
      </w:tabs>
    </w:pPr>
  </w:style>
  <w:style w:type="paragraph" w:styleId="Footer">
    <w:name w:val="footer"/>
    <w:basedOn w:val="Normal"/>
    <w:rsid w:val="0086144C"/>
    <w:pPr>
      <w:tabs>
        <w:tab w:val="center" w:pos="4153"/>
        <w:tab w:val="right" w:pos="8306"/>
      </w:tabs>
    </w:pPr>
  </w:style>
  <w:style w:type="paragraph" w:customStyle="1" w:styleId="CharCharChar">
    <w:name w:val="Char Char Char"/>
    <w:basedOn w:val="Normal"/>
    <w:rsid w:val="00F06BC1"/>
    <w:pPr>
      <w:spacing w:after="160" w:line="240" w:lineRule="exact"/>
    </w:pPr>
    <w:rPr>
      <w:rFonts w:ascii="Verdana" w:hAnsi="Verdana"/>
      <w:sz w:val="20"/>
      <w:lang w:val="en-US"/>
    </w:rPr>
  </w:style>
  <w:style w:type="paragraph" w:styleId="BalloonText">
    <w:name w:val="Balloon Text"/>
    <w:basedOn w:val="Normal"/>
    <w:semiHidden/>
    <w:rsid w:val="00551FE5"/>
    <w:rPr>
      <w:rFonts w:ascii="Tahoma" w:hAnsi="Tahoma" w:cs="Tahoma"/>
      <w:sz w:val="16"/>
      <w:szCs w:val="16"/>
    </w:rPr>
  </w:style>
  <w:style w:type="table" w:styleId="TableGrid">
    <w:name w:val="Table Grid"/>
    <w:basedOn w:val="TableNormal"/>
    <w:rsid w:val="00BC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C4A7B"/>
  </w:style>
  <w:style w:type="paragraph" w:customStyle="1" w:styleId="Default">
    <w:name w:val="Default"/>
    <w:uiPriority w:val="99"/>
    <w:rsid w:val="005F583E"/>
    <w:pPr>
      <w:autoSpaceDE w:val="0"/>
      <w:autoSpaceDN w:val="0"/>
      <w:adjustRightInd w:val="0"/>
    </w:pPr>
    <w:rPr>
      <w:color w:val="000000"/>
      <w:sz w:val="24"/>
      <w:szCs w:val="24"/>
    </w:rPr>
  </w:style>
  <w:style w:type="character" w:styleId="CommentReference">
    <w:name w:val="annotation reference"/>
    <w:rsid w:val="008C7AC4"/>
    <w:rPr>
      <w:sz w:val="16"/>
      <w:szCs w:val="16"/>
    </w:rPr>
  </w:style>
  <w:style w:type="paragraph" w:styleId="CommentText">
    <w:name w:val="annotation text"/>
    <w:basedOn w:val="Normal"/>
    <w:link w:val="CommentTextChar"/>
    <w:rsid w:val="008C7AC4"/>
    <w:rPr>
      <w:sz w:val="20"/>
      <w:szCs w:val="20"/>
    </w:rPr>
  </w:style>
  <w:style w:type="character" w:customStyle="1" w:styleId="CommentTextChar">
    <w:name w:val="Comment Text Char"/>
    <w:link w:val="CommentText"/>
    <w:rsid w:val="008C7AC4"/>
    <w:rPr>
      <w:lang w:eastAsia="en-US"/>
    </w:rPr>
  </w:style>
  <w:style w:type="paragraph" w:styleId="CommentSubject">
    <w:name w:val="annotation subject"/>
    <w:basedOn w:val="CommentText"/>
    <w:next w:val="CommentText"/>
    <w:link w:val="CommentSubjectChar"/>
    <w:rsid w:val="008C7AC4"/>
    <w:rPr>
      <w:b/>
      <w:bCs/>
    </w:rPr>
  </w:style>
  <w:style w:type="character" w:customStyle="1" w:styleId="CommentSubjectChar">
    <w:name w:val="Comment Subject Char"/>
    <w:link w:val="CommentSubject"/>
    <w:rsid w:val="008C7AC4"/>
    <w:rPr>
      <w:b/>
      <w:bCs/>
      <w:lang w:eastAsia="en-US"/>
    </w:rPr>
  </w:style>
  <w:style w:type="character" w:styleId="Hyperlink">
    <w:name w:val="Hyperlink"/>
    <w:uiPriority w:val="99"/>
    <w:unhideWhenUsed/>
    <w:rsid w:val="00B24132"/>
    <w:rPr>
      <w:color w:val="0000FF"/>
      <w:u w:val="single"/>
    </w:rPr>
  </w:style>
  <w:style w:type="paragraph" w:customStyle="1" w:styleId="paragraph">
    <w:name w:val="paragraph"/>
    <w:basedOn w:val="Normal"/>
    <w:rsid w:val="00E55238"/>
    <w:pPr>
      <w:spacing w:before="100" w:beforeAutospacing="1" w:after="100" w:afterAutospacing="1"/>
    </w:pPr>
    <w:rPr>
      <w:lang w:eastAsia="en-AU"/>
    </w:rPr>
  </w:style>
  <w:style w:type="paragraph" w:styleId="ListParagraph">
    <w:name w:val="List Paragraph"/>
    <w:basedOn w:val="Normal"/>
    <w:uiPriority w:val="34"/>
    <w:qFormat/>
    <w:rsid w:val="00E55238"/>
    <w:pPr>
      <w:ind w:left="720"/>
      <w:contextualSpacing/>
    </w:pPr>
    <w:rPr>
      <w:lang w:eastAsia="en-AU"/>
    </w:rPr>
  </w:style>
  <w:style w:type="paragraph" w:customStyle="1" w:styleId="R1">
    <w:name w:val="R1"/>
    <w:aliases w:val="1. or 1.(1)"/>
    <w:basedOn w:val="Normal"/>
    <w:next w:val="Normal"/>
    <w:rsid w:val="00075CAB"/>
    <w:pPr>
      <w:keepLines/>
      <w:tabs>
        <w:tab w:val="right" w:pos="794"/>
      </w:tabs>
      <w:spacing w:before="120" w:line="260" w:lineRule="exact"/>
      <w:ind w:left="964" w:hanging="964"/>
      <w:jc w:val="both"/>
    </w:pPr>
    <w:rPr>
      <w:rFonts w:ascii="Arial" w:hAnsi="Arial"/>
      <w:sz w:val="22"/>
      <w:szCs w:val="20"/>
    </w:rPr>
  </w:style>
  <w:style w:type="paragraph" w:customStyle="1" w:styleId="CharCharChar0">
    <w:name w:val="Char Char Char"/>
    <w:basedOn w:val="Normal"/>
    <w:rsid w:val="000E34CA"/>
    <w:pPr>
      <w:spacing w:after="160" w:line="240" w:lineRule="exact"/>
    </w:pPr>
    <w:rPr>
      <w:rFonts w:ascii="Verdana" w:hAnsi="Verdana"/>
      <w:sz w:val="20"/>
      <w:lang w:val="en-US"/>
    </w:rPr>
  </w:style>
  <w:style w:type="paragraph" w:styleId="Revision">
    <w:name w:val="Revision"/>
    <w:hidden/>
    <w:uiPriority w:val="99"/>
    <w:semiHidden/>
    <w:rsid w:val="009901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02203">
      <w:bodyDiv w:val="1"/>
      <w:marLeft w:val="0"/>
      <w:marRight w:val="0"/>
      <w:marTop w:val="0"/>
      <w:marBottom w:val="0"/>
      <w:divBdr>
        <w:top w:val="none" w:sz="0" w:space="0" w:color="auto"/>
        <w:left w:val="none" w:sz="0" w:space="0" w:color="auto"/>
        <w:bottom w:val="none" w:sz="0" w:space="0" w:color="auto"/>
        <w:right w:val="none" w:sz="0" w:space="0" w:color="auto"/>
      </w:divBdr>
    </w:div>
    <w:div w:id="850605663">
      <w:bodyDiv w:val="1"/>
      <w:marLeft w:val="0"/>
      <w:marRight w:val="0"/>
      <w:marTop w:val="0"/>
      <w:marBottom w:val="0"/>
      <w:divBdr>
        <w:top w:val="none" w:sz="0" w:space="0" w:color="auto"/>
        <w:left w:val="none" w:sz="0" w:space="0" w:color="auto"/>
        <w:bottom w:val="none" w:sz="0" w:space="0" w:color="auto"/>
        <w:right w:val="none" w:sz="0" w:space="0" w:color="auto"/>
      </w:divBdr>
    </w:div>
    <w:div w:id="1043823716">
      <w:bodyDiv w:val="1"/>
      <w:marLeft w:val="0"/>
      <w:marRight w:val="0"/>
      <w:marTop w:val="0"/>
      <w:marBottom w:val="0"/>
      <w:divBdr>
        <w:top w:val="none" w:sz="0" w:space="0" w:color="auto"/>
        <w:left w:val="none" w:sz="0" w:space="0" w:color="auto"/>
        <w:bottom w:val="none" w:sz="0" w:space="0" w:color="auto"/>
        <w:right w:val="none" w:sz="0" w:space="0" w:color="auto"/>
      </w:divBdr>
      <w:divsChild>
        <w:div w:id="382367444">
          <w:marLeft w:val="0"/>
          <w:marRight w:val="0"/>
          <w:marTop w:val="0"/>
          <w:marBottom w:val="0"/>
          <w:divBdr>
            <w:top w:val="none" w:sz="0" w:space="0" w:color="auto"/>
            <w:left w:val="none" w:sz="0" w:space="0" w:color="auto"/>
            <w:bottom w:val="none" w:sz="0" w:space="0" w:color="auto"/>
            <w:right w:val="none" w:sz="0" w:space="0" w:color="auto"/>
          </w:divBdr>
          <w:divsChild>
            <w:div w:id="1560243091">
              <w:marLeft w:val="0"/>
              <w:marRight w:val="0"/>
              <w:marTop w:val="0"/>
              <w:marBottom w:val="0"/>
              <w:divBdr>
                <w:top w:val="none" w:sz="0" w:space="0" w:color="auto"/>
                <w:left w:val="none" w:sz="0" w:space="0" w:color="auto"/>
                <w:bottom w:val="none" w:sz="0" w:space="0" w:color="auto"/>
                <w:right w:val="none" w:sz="0" w:space="0" w:color="auto"/>
              </w:divBdr>
              <w:divsChild>
                <w:div w:id="764958682">
                  <w:marLeft w:val="0"/>
                  <w:marRight w:val="0"/>
                  <w:marTop w:val="0"/>
                  <w:marBottom w:val="0"/>
                  <w:divBdr>
                    <w:top w:val="none" w:sz="0" w:space="0" w:color="auto"/>
                    <w:left w:val="none" w:sz="0" w:space="0" w:color="auto"/>
                    <w:bottom w:val="none" w:sz="0" w:space="0" w:color="auto"/>
                    <w:right w:val="none" w:sz="0" w:space="0" w:color="auto"/>
                  </w:divBdr>
                  <w:divsChild>
                    <w:div w:id="260798160">
                      <w:marLeft w:val="0"/>
                      <w:marRight w:val="0"/>
                      <w:marTop w:val="0"/>
                      <w:marBottom w:val="0"/>
                      <w:divBdr>
                        <w:top w:val="none" w:sz="0" w:space="0" w:color="auto"/>
                        <w:left w:val="none" w:sz="0" w:space="0" w:color="auto"/>
                        <w:bottom w:val="none" w:sz="0" w:space="0" w:color="auto"/>
                        <w:right w:val="none" w:sz="0" w:space="0" w:color="auto"/>
                      </w:divBdr>
                      <w:divsChild>
                        <w:div w:id="179006338">
                          <w:marLeft w:val="0"/>
                          <w:marRight w:val="0"/>
                          <w:marTop w:val="0"/>
                          <w:marBottom w:val="0"/>
                          <w:divBdr>
                            <w:top w:val="none" w:sz="0" w:space="0" w:color="auto"/>
                            <w:left w:val="none" w:sz="0" w:space="0" w:color="auto"/>
                            <w:bottom w:val="none" w:sz="0" w:space="0" w:color="auto"/>
                            <w:right w:val="none" w:sz="0" w:space="0" w:color="auto"/>
                          </w:divBdr>
                          <w:divsChild>
                            <w:div w:id="994601561">
                              <w:marLeft w:val="0"/>
                              <w:marRight w:val="0"/>
                              <w:marTop w:val="0"/>
                              <w:marBottom w:val="0"/>
                              <w:divBdr>
                                <w:top w:val="none" w:sz="0" w:space="0" w:color="auto"/>
                                <w:left w:val="none" w:sz="0" w:space="0" w:color="auto"/>
                                <w:bottom w:val="none" w:sz="0" w:space="0" w:color="auto"/>
                                <w:right w:val="none" w:sz="0" w:space="0" w:color="auto"/>
                              </w:divBdr>
                              <w:divsChild>
                                <w:div w:id="488667776">
                                  <w:marLeft w:val="0"/>
                                  <w:marRight w:val="0"/>
                                  <w:marTop w:val="0"/>
                                  <w:marBottom w:val="0"/>
                                  <w:divBdr>
                                    <w:top w:val="none" w:sz="0" w:space="0" w:color="auto"/>
                                    <w:left w:val="none" w:sz="0" w:space="0" w:color="auto"/>
                                    <w:bottom w:val="none" w:sz="0" w:space="0" w:color="auto"/>
                                    <w:right w:val="none" w:sz="0" w:space="0" w:color="auto"/>
                                  </w:divBdr>
                                  <w:divsChild>
                                    <w:div w:id="135028310">
                                      <w:marLeft w:val="0"/>
                                      <w:marRight w:val="0"/>
                                      <w:marTop w:val="0"/>
                                      <w:marBottom w:val="0"/>
                                      <w:divBdr>
                                        <w:top w:val="none" w:sz="0" w:space="0" w:color="auto"/>
                                        <w:left w:val="none" w:sz="0" w:space="0" w:color="auto"/>
                                        <w:bottom w:val="none" w:sz="0" w:space="0" w:color="auto"/>
                                        <w:right w:val="none" w:sz="0" w:space="0" w:color="auto"/>
                                      </w:divBdr>
                                      <w:divsChild>
                                        <w:div w:id="747727533">
                                          <w:marLeft w:val="0"/>
                                          <w:marRight w:val="0"/>
                                          <w:marTop w:val="0"/>
                                          <w:marBottom w:val="0"/>
                                          <w:divBdr>
                                            <w:top w:val="none" w:sz="0" w:space="0" w:color="auto"/>
                                            <w:left w:val="none" w:sz="0" w:space="0" w:color="auto"/>
                                            <w:bottom w:val="none" w:sz="0" w:space="0" w:color="auto"/>
                                            <w:right w:val="none" w:sz="0" w:space="0" w:color="auto"/>
                                          </w:divBdr>
                                          <w:divsChild>
                                            <w:div w:id="1983194726">
                                              <w:marLeft w:val="0"/>
                                              <w:marRight w:val="0"/>
                                              <w:marTop w:val="0"/>
                                              <w:marBottom w:val="0"/>
                                              <w:divBdr>
                                                <w:top w:val="none" w:sz="0" w:space="0" w:color="auto"/>
                                                <w:left w:val="none" w:sz="0" w:space="0" w:color="auto"/>
                                                <w:bottom w:val="none" w:sz="0" w:space="0" w:color="auto"/>
                                                <w:right w:val="none" w:sz="0" w:space="0" w:color="auto"/>
                                              </w:divBdr>
                                              <w:divsChild>
                                                <w:div w:id="1321231637">
                                                  <w:marLeft w:val="0"/>
                                                  <w:marRight w:val="0"/>
                                                  <w:marTop w:val="0"/>
                                                  <w:marBottom w:val="0"/>
                                                  <w:divBdr>
                                                    <w:top w:val="none" w:sz="0" w:space="0" w:color="auto"/>
                                                    <w:left w:val="none" w:sz="0" w:space="0" w:color="auto"/>
                                                    <w:bottom w:val="none" w:sz="0" w:space="0" w:color="auto"/>
                                                    <w:right w:val="none" w:sz="0" w:space="0" w:color="auto"/>
                                                  </w:divBdr>
                                                  <w:divsChild>
                                                    <w:div w:id="1749420074">
                                                      <w:marLeft w:val="0"/>
                                                      <w:marRight w:val="0"/>
                                                      <w:marTop w:val="0"/>
                                                      <w:marBottom w:val="0"/>
                                                      <w:divBdr>
                                                        <w:top w:val="none" w:sz="0" w:space="0" w:color="auto"/>
                                                        <w:left w:val="none" w:sz="0" w:space="0" w:color="auto"/>
                                                        <w:bottom w:val="none" w:sz="0" w:space="0" w:color="auto"/>
                                                        <w:right w:val="none" w:sz="0" w:space="0" w:color="auto"/>
                                                      </w:divBdr>
                                                      <w:divsChild>
                                                        <w:div w:id="4867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190862">
      <w:bodyDiv w:val="1"/>
      <w:marLeft w:val="0"/>
      <w:marRight w:val="0"/>
      <w:marTop w:val="0"/>
      <w:marBottom w:val="0"/>
      <w:divBdr>
        <w:top w:val="none" w:sz="0" w:space="0" w:color="auto"/>
        <w:left w:val="none" w:sz="0" w:space="0" w:color="auto"/>
        <w:bottom w:val="none" w:sz="0" w:space="0" w:color="auto"/>
        <w:right w:val="none" w:sz="0" w:space="0" w:color="auto"/>
      </w:divBdr>
    </w:div>
    <w:div w:id="1443112643">
      <w:bodyDiv w:val="1"/>
      <w:marLeft w:val="0"/>
      <w:marRight w:val="0"/>
      <w:marTop w:val="0"/>
      <w:marBottom w:val="0"/>
      <w:divBdr>
        <w:top w:val="none" w:sz="0" w:space="0" w:color="auto"/>
        <w:left w:val="none" w:sz="0" w:space="0" w:color="auto"/>
        <w:bottom w:val="none" w:sz="0" w:space="0" w:color="auto"/>
        <w:right w:val="none" w:sz="0" w:space="0" w:color="auto"/>
      </w:divBdr>
      <w:divsChild>
        <w:div w:id="341014295">
          <w:marLeft w:val="0"/>
          <w:marRight w:val="0"/>
          <w:marTop w:val="0"/>
          <w:marBottom w:val="0"/>
          <w:divBdr>
            <w:top w:val="none" w:sz="0" w:space="0" w:color="auto"/>
            <w:left w:val="none" w:sz="0" w:space="0" w:color="auto"/>
            <w:bottom w:val="none" w:sz="0" w:space="0" w:color="auto"/>
            <w:right w:val="none" w:sz="0" w:space="0" w:color="auto"/>
          </w:divBdr>
          <w:divsChild>
            <w:div w:id="1134786919">
              <w:marLeft w:val="0"/>
              <w:marRight w:val="0"/>
              <w:marTop w:val="0"/>
              <w:marBottom w:val="0"/>
              <w:divBdr>
                <w:top w:val="none" w:sz="0" w:space="0" w:color="auto"/>
                <w:left w:val="none" w:sz="0" w:space="0" w:color="auto"/>
                <w:bottom w:val="none" w:sz="0" w:space="0" w:color="auto"/>
                <w:right w:val="none" w:sz="0" w:space="0" w:color="auto"/>
              </w:divBdr>
              <w:divsChild>
                <w:div w:id="627784483">
                  <w:marLeft w:val="0"/>
                  <w:marRight w:val="0"/>
                  <w:marTop w:val="0"/>
                  <w:marBottom w:val="0"/>
                  <w:divBdr>
                    <w:top w:val="none" w:sz="0" w:space="0" w:color="auto"/>
                    <w:left w:val="none" w:sz="0" w:space="0" w:color="auto"/>
                    <w:bottom w:val="none" w:sz="0" w:space="0" w:color="auto"/>
                    <w:right w:val="none" w:sz="0" w:space="0" w:color="auto"/>
                  </w:divBdr>
                  <w:divsChild>
                    <w:div w:id="1048918791">
                      <w:marLeft w:val="0"/>
                      <w:marRight w:val="0"/>
                      <w:marTop w:val="0"/>
                      <w:marBottom w:val="0"/>
                      <w:divBdr>
                        <w:top w:val="none" w:sz="0" w:space="0" w:color="auto"/>
                        <w:left w:val="none" w:sz="0" w:space="0" w:color="auto"/>
                        <w:bottom w:val="none" w:sz="0" w:space="0" w:color="auto"/>
                        <w:right w:val="none" w:sz="0" w:space="0" w:color="auto"/>
                      </w:divBdr>
                      <w:divsChild>
                        <w:div w:id="816073805">
                          <w:marLeft w:val="0"/>
                          <w:marRight w:val="0"/>
                          <w:marTop w:val="0"/>
                          <w:marBottom w:val="0"/>
                          <w:divBdr>
                            <w:top w:val="none" w:sz="0" w:space="0" w:color="auto"/>
                            <w:left w:val="none" w:sz="0" w:space="0" w:color="auto"/>
                            <w:bottom w:val="none" w:sz="0" w:space="0" w:color="auto"/>
                            <w:right w:val="none" w:sz="0" w:space="0" w:color="auto"/>
                          </w:divBdr>
                          <w:divsChild>
                            <w:div w:id="27226438">
                              <w:marLeft w:val="0"/>
                              <w:marRight w:val="0"/>
                              <w:marTop w:val="0"/>
                              <w:marBottom w:val="0"/>
                              <w:divBdr>
                                <w:top w:val="none" w:sz="0" w:space="0" w:color="auto"/>
                                <w:left w:val="none" w:sz="0" w:space="0" w:color="auto"/>
                                <w:bottom w:val="none" w:sz="0" w:space="0" w:color="auto"/>
                                <w:right w:val="none" w:sz="0" w:space="0" w:color="auto"/>
                              </w:divBdr>
                              <w:divsChild>
                                <w:div w:id="874465188">
                                  <w:marLeft w:val="0"/>
                                  <w:marRight w:val="0"/>
                                  <w:marTop w:val="0"/>
                                  <w:marBottom w:val="0"/>
                                  <w:divBdr>
                                    <w:top w:val="none" w:sz="0" w:space="0" w:color="auto"/>
                                    <w:left w:val="none" w:sz="0" w:space="0" w:color="auto"/>
                                    <w:bottom w:val="none" w:sz="0" w:space="0" w:color="auto"/>
                                    <w:right w:val="none" w:sz="0" w:space="0" w:color="auto"/>
                                  </w:divBdr>
                                  <w:divsChild>
                                    <w:div w:id="1913462814">
                                      <w:marLeft w:val="0"/>
                                      <w:marRight w:val="0"/>
                                      <w:marTop w:val="0"/>
                                      <w:marBottom w:val="0"/>
                                      <w:divBdr>
                                        <w:top w:val="none" w:sz="0" w:space="0" w:color="auto"/>
                                        <w:left w:val="none" w:sz="0" w:space="0" w:color="auto"/>
                                        <w:bottom w:val="none" w:sz="0" w:space="0" w:color="auto"/>
                                        <w:right w:val="none" w:sz="0" w:space="0" w:color="auto"/>
                                      </w:divBdr>
                                      <w:divsChild>
                                        <w:div w:id="1522814187">
                                          <w:marLeft w:val="0"/>
                                          <w:marRight w:val="0"/>
                                          <w:marTop w:val="0"/>
                                          <w:marBottom w:val="0"/>
                                          <w:divBdr>
                                            <w:top w:val="none" w:sz="0" w:space="0" w:color="auto"/>
                                            <w:left w:val="none" w:sz="0" w:space="0" w:color="auto"/>
                                            <w:bottom w:val="none" w:sz="0" w:space="0" w:color="auto"/>
                                            <w:right w:val="none" w:sz="0" w:space="0" w:color="auto"/>
                                          </w:divBdr>
                                          <w:divsChild>
                                            <w:div w:id="2060201346">
                                              <w:marLeft w:val="0"/>
                                              <w:marRight w:val="0"/>
                                              <w:marTop w:val="0"/>
                                              <w:marBottom w:val="0"/>
                                              <w:divBdr>
                                                <w:top w:val="none" w:sz="0" w:space="0" w:color="auto"/>
                                                <w:left w:val="none" w:sz="0" w:space="0" w:color="auto"/>
                                                <w:bottom w:val="none" w:sz="0" w:space="0" w:color="auto"/>
                                                <w:right w:val="none" w:sz="0" w:space="0" w:color="auto"/>
                                              </w:divBdr>
                                              <w:divsChild>
                                                <w:div w:id="1099255303">
                                                  <w:marLeft w:val="0"/>
                                                  <w:marRight w:val="0"/>
                                                  <w:marTop w:val="0"/>
                                                  <w:marBottom w:val="0"/>
                                                  <w:divBdr>
                                                    <w:top w:val="none" w:sz="0" w:space="0" w:color="auto"/>
                                                    <w:left w:val="none" w:sz="0" w:space="0" w:color="auto"/>
                                                    <w:bottom w:val="none" w:sz="0" w:space="0" w:color="auto"/>
                                                    <w:right w:val="none" w:sz="0" w:space="0" w:color="auto"/>
                                                  </w:divBdr>
                                                  <w:divsChild>
                                                    <w:div w:id="1399549568">
                                                      <w:marLeft w:val="0"/>
                                                      <w:marRight w:val="0"/>
                                                      <w:marTop w:val="0"/>
                                                      <w:marBottom w:val="0"/>
                                                      <w:divBdr>
                                                        <w:top w:val="none" w:sz="0" w:space="0" w:color="auto"/>
                                                        <w:left w:val="none" w:sz="0" w:space="0" w:color="auto"/>
                                                        <w:bottom w:val="none" w:sz="0" w:space="0" w:color="auto"/>
                                                        <w:right w:val="none" w:sz="0" w:space="0" w:color="auto"/>
                                                      </w:divBdr>
                                                      <w:divsChild>
                                                        <w:div w:id="9990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067735">
      <w:bodyDiv w:val="1"/>
      <w:marLeft w:val="0"/>
      <w:marRight w:val="0"/>
      <w:marTop w:val="0"/>
      <w:marBottom w:val="0"/>
      <w:divBdr>
        <w:top w:val="none" w:sz="0" w:space="0" w:color="auto"/>
        <w:left w:val="none" w:sz="0" w:space="0" w:color="auto"/>
        <w:bottom w:val="none" w:sz="0" w:space="0" w:color="auto"/>
        <w:right w:val="none" w:sz="0" w:space="0" w:color="auto"/>
      </w:divBdr>
      <w:divsChild>
        <w:div w:id="802503840">
          <w:marLeft w:val="0"/>
          <w:marRight w:val="0"/>
          <w:marTop w:val="0"/>
          <w:marBottom w:val="0"/>
          <w:divBdr>
            <w:top w:val="none" w:sz="0" w:space="0" w:color="auto"/>
            <w:left w:val="none" w:sz="0" w:space="0" w:color="auto"/>
            <w:bottom w:val="none" w:sz="0" w:space="0" w:color="auto"/>
            <w:right w:val="none" w:sz="0" w:space="0" w:color="auto"/>
          </w:divBdr>
          <w:divsChild>
            <w:div w:id="1639334754">
              <w:marLeft w:val="0"/>
              <w:marRight w:val="0"/>
              <w:marTop w:val="0"/>
              <w:marBottom w:val="0"/>
              <w:divBdr>
                <w:top w:val="none" w:sz="0" w:space="0" w:color="auto"/>
                <w:left w:val="none" w:sz="0" w:space="0" w:color="auto"/>
                <w:bottom w:val="none" w:sz="0" w:space="0" w:color="auto"/>
                <w:right w:val="none" w:sz="0" w:space="0" w:color="auto"/>
              </w:divBdr>
              <w:divsChild>
                <w:div w:id="1875148351">
                  <w:marLeft w:val="0"/>
                  <w:marRight w:val="0"/>
                  <w:marTop w:val="0"/>
                  <w:marBottom w:val="0"/>
                  <w:divBdr>
                    <w:top w:val="none" w:sz="0" w:space="0" w:color="auto"/>
                    <w:left w:val="none" w:sz="0" w:space="0" w:color="auto"/>
                    <w:bottom w:val="none" w:sz="0" w:space="0" w:color="auto"/>
                    <w:right w:val="none" w:sz="0" w:space="0" w:color="auto"/>
                  </w:divBdr>
                  <w:divsChild>
                    <w:div w:id="59259370">
                      <w:marLeft w:val="0"/>
                      <w:marRight w:val="0"/>
                      <w:marTop w:val="0"/>
                      <w:marBottom w:val="0"/>
                      <w:divBdr>
                        <w:top w:val="none" w:sz="0" w:space="0" w:color="auto"/>
                        <w:left w:val="none" w:sz="0" w:space="0" w:color="auto"/>
                        <w:bottom w:val="none" w:sz="0" w:space="0" w:color="auto"/>
                        <w:right w:val="none" w:sz="0" w:space="0" w:color="auto"/>
                      </w:divBdr>
                      <w:divsChild>
                        <w:div w:id="215817158">
                          <w:marLeft w:val="0"/>
                          <w:marRight w:val="0"/>
                          <w:marTop w:val="0"/>
                          <w:marBottom w:val="0"/>
                          <w:divBdr>
                            <w:top w:val="none" w:sz="0" w:space="0" w:color="auto"/>
                            <w:left w:val="none" w:sz="0" w:space="0" w:color="auto"/>
                            <w:bottom w:val="none" w:sz="0" w:space="0" w:color="auto"/>
                            <w:right w:val="none" w:sz="0" w:space="0" w:color="auto"/>
                          </w:divBdr>
                          <w:divsChild>
                            <w:div w:id="96953915">
                              <w:marLeft w:val="0"/>
                              <w:marRight w:val="0"/>
                              <w:marTop w:val="0"/>
                              <w:marBottom w:val="0"/>
                              <w:divBdr>
                                <w:top w:val="none" w:sz="0" w:space="0" w:color="auto"/>
                                <w:left w:val="none" w:sz="0" w:space="0" w:color="auto"/>
                                <w:bottom w:val="none" w:sz="0" w:space="0" w:color="auto"/>
                                <w:right w:val="none" w:sz="0" w:space="0" w:color="auto"/>
                              </w:divBdr>
                              <w:divsChild>
                                <w:div w:id="158817210">
                                  <w:marLeft w:val="0"/>
                                  <w:marRight w:val="0"/>
                                  <w:marTop w:val="0"/>
                                  <w:marBottom w:val="0"/>
                                  <w:divBdr>
                                    <w:top w:val="none" w:sz="0" w:space="0" w:color="auto"/>
                                    <w:left w:val="none" w:sz="0" w:space="0" w:color="auto"/>
                                    <w:bottom w:val="none" w:sz="0" w:space="0" w:color="auto"/>
                                    <w:right w:val="none" w:sz="0" w:space="0" w:color="auto"/>
                                  </w:divBdr>
                                  <w:divsChild>
                                    <w:div w:id="1248347281">
                                      <w:marLeft w:val="0"/>
                                      <w:marRight w:val="0"/>
                                      <w:marTop w:val="0"/>
                                      <w:marBottom w:val="0"/>
                                      <w:divBdr>
                                        <w:top w:val="none" w:sz="0" w:space="0" w:color="auto"/>
                                        <w:left w:val="none" w:sz="0" w:space="0" w:color="auto"/>
                                        <w:bottom w:val="none" w:sz="0" w:space="0" w:color="auto"/>
                                        <w:right w:val="none" w:sz="0" w:space="0" w:color="auto"/>
                                      </w:divBdr>
                                      <w:divsChild>
                                        <w:div w:id="1224367489">
                                          <w:marLeft w:val="0"/>
                                          <w:marRight w:val="0"/>
                                          <w:marTop w:val="0"/>
                                          <w:marBottom w:val="0"/>
                                          <w:divBdr>
                                            <w:top w:val="none" w:sz="0" w:space="0" w:color="auto"/>
                                            <w:left w:val="none" w:sz="0" w:space="0" w:color="auto"/>
                                            <w:bottom w:val="none" w:sz="0" w:space="0" w:color="auto"/>
                                            <w:right w:val="none" w:sz="0" w:space="0" w:color="auto"/>
                                          </w:divBdr>
                                          <w:divsChild>
                                            <w:div w:id="1253851873">
                                              <w:marLeft w:val="0"/>
                                              <w:marRight w:val="0"/>
                                              <w:marTop w:val="0"/>
                                              <w:marBottom w:val="0"/>
                                              <w:divBdr>
                                                <w:top w:val="none" w:sz="0" w:space="0" w:color="auto"/>
                                                <w:left w:val="none" w:sz="0" w:space="0" w:color="auto"/>
                                                <w:bottom w:val="none" w:sz="0" w:space="0" w:color="auto"/>
                                                <w:right w:val="none" w:sz="0" w:space="0" w:color="auto"/>
                                              </w:divBdr>
                                              <w:divsChild>
                                                <w:div w:id="1391877068">
                                                  <w:marLeft w:val="0"/>
                                                  <w:marRight w:val="0"/>
                                                  <w:marTop w:val="0"/>
                                                  <w:marBottom w:val="0"/>
                                                  <w:divBdr>
                                                    <w:top w:val="none" w:sz="0" w:space="0" w:color="auto"/>
                                                    <w:left w:val="none" w:sz="0" w:space="0" w:color="auto"/>
                                                    <w:bottom w:val="none" w:sz="0" w:space="0" w:color="auto"/>
                                                    <w:right w:val="none" w:sz="0" w:space="0" w:color="auto"/>
                                                  </w:divBdr>
                                                  <w:divsChild>
                                                    <w:div w:id="1379665229">
                                                      <w:marLeft w:val="0"/>
                                                      <w:marRight w:val="0"/>
                                                      <w:marTop w:val="0"/>
                                                      <w:marBottom w:val="0"/>
                                                      <w:divBdr>
                                                        <w:top w:val="none" w:sz="0" w:space="0" w:color="auto"/>
                                                        <w:left w:val="none" w:sz="0" w:space="0" w:color="auto"/>
                                                        <w:bottom w:val="none" w:sz="0" w:space="0" w:color="auto"/>
                                                        <w:right w:val="none" w:sz="0" w:space="0" w:color="auto"/>
                                                      </w:divBdr>
                                                      <w:divsChild>
                                                        <w:div w:id="496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107716">
      <w:bodyDiv w:val="1"/>
      <w:marLeft w:val="0"/>
      <w:marRight w:val="0"/>
      <w:marTop w:val="0"/>
      <w:marBottom w:val="0"/>
      <w:divBdr>
        <w:top w:val="none" w:sz="0" w:space="0" w:color="auto"/>
        <w:left w:val="none" w:sz="0" w:space="0" w:color="auto"/>
        <w:bottom w:val="none" w:sz="0" w:space="0" w:color="auto"/>
        <w:right w:val="none" w:sz="0" w:space="0" w:color="auto"/>
      </w:divBdr>
      <w:divsChild>
        <w:div w:id="121701255">
          <w:marLeft w:val="0"/>
          <w:marRight w:val="0"/>
          <w:marTop w:val="0"/>
          <w:marBottom w:val="0"/>
          <w:divBdr>
            <w:top w:val="none" w:sz="0" w:space="0" w:color="auto"/>
            <w:left w:val="none" w:sz="0" w:space="0" w:color="auto"/>
            <w:bottom w:val="none" w:sz="0" w:space="0" w:color="auto"/>
            <w:right w:val="none" w:sz="0" w:space="0" w:color="auto"/>
          </w:divBdr>
          <w:divsChild>
            <w:div w:id="1488017805">
              <w:marLeft w:val="0"/>
              <w:marRight w:val="0"/>
              <w:marTop w:val="0"/>
              <w:marBottom w:val="0"/>
              <w:divBdr>
                <w:top w:val="none" w:sz="0" w:space="0" w:color="auto"/>
                <w:left w:val="none" w:sz="0" w:space="0" w:color="auto"/>
                <w:bottom w:val="none" w:sz="0" w:space="0" w:color="auto"/>
                <w:right w:val="none" w:sz="0" w:space="0" w:color="auto"/>
              </w:divBdr>
              <w:divsChild>
                <w:div w:id="1057557043">
                  <w:marLeft w:val="0"/>
                  <w:marRight w:val="0"/>
                  <w:marTop w:val="0"/>
                  <w:marBottom w:val="0"/>
                  <w:divBdr>
                    <w:top w:val="none" w:sz="0" w:space="0" w:color="auto"/>
                    <w:left w:val="none" w:sz="0" w:space="0" w:color="auto"/>
                    <w:bottom w:val="none" w:sz="0" w:space="0" w:color="auto"/>
                    <w:right w:val="none" w:sz="0" w:space="0" w:color="auto"/>
                  </w:divBdr>
                  <w:divsChild>
                    <w:div w:id="360208815">
                      <w:marLeft w:val="0"/>
                      <w:marRight w:val="0"/>
                      <w:marTop w:val="0"/>
                      <w:marBottom w:val="0"/>
                      <w:divBdr>
                        <w:top w:val="none" w:sz="0" w:space="0" w:color="auto"/>
                        <w:left w:val="none" w:sz="0" w:space="0" w:color="auto"/>
                        <w:bottom w:val="none" w:sz="0" w:space="0" w:color="auto"/>
                        <w:right w:val="none" w:sz="0" w:space="0" w:color="auto"/>
                      </w:divBdr>
                      <w:divsChild>
                        <w:div w:id="1569805418">
                          <w:marLeft w:val="0"/>
                          <w:marRight w:val="0"/>
                          <w:marTop w:val="0"/>
                          <w:marBottom w:val="0"/>
                          <w:divBdr>
                            <w:top w:val="none" w:sz="0" w:space="0" w:color="auto"/>
                            <w:left w:val="none" w:sz="0" w:space="0" w:color="auto"/>
                            <w:bottom w:val="none" w:sz="0" w:space="0" w:color="auto"/>
                            <w:right w:val="none" w:sz="0" w:space="0" w:color="auto"/>
                          </w:divBdr>
                          <w:divsChild>
                            <w:div w:id="65228441">
                              <w:marLeft w:val="0"/>
                              <w:marRight w:val="0"/>
                              <w:marTop w:val="0"/>
                              <w:marBottom w:val="0"/>
                              <w:divBdr>
                                <w:top w:val="none" w:sz="0" w:space="0" w:color="auto"/>
                                <w:left w:val="none" w:sz="0" w:space="0" w:color="auto"/>
                                <w:bottom w:val="none" w:sz="0" w:space="0" w:color="auto"/>
                                <w:right w:val="none" w:sz="0" w:space="0" w:color="auto"/>
                              </w:divBdr>
                              <w:divsChild>
                                <w:div w:id="1684042907">
                                  <w:marLeft w:val="0"/>
                                  <w:marRight w:val="0"/>
                                  <w:marTop w:val="0"/>
                                  <w:marBottom w:val="0"/>
                                  <w:divBdr>
                                    <w:top w:val="none" w:sz="0" w:space="0" w:color="auto"/>
                                    <w:left w:val="none" w:sz="0" w:space="0" w:color="auto"/>
                                    <w:bottom w:val="none" w:sz="0" w:space="0" w:color="auto"/>
                                    <w:right w:val="none" w:sz="0" w:space="0" w:color="auto"/>
                                  </w:divBdr>
                                  <w:divsChild>
                                    <w:div w:id="1841046453">
                                      <w:marLeft w:val="0"/>
                                      <w:marRight w:val="0"/>
                                      <w:marTop w:val="0"/>
                                      <w:marBottom w:val="0"/>
                                      <w:divBdr>
                                        <w:top w:val="none" w:sz="0" w:space="0" w:color="auto"/>
                                        <w:left w:val="none" w:sz="0" w:space="0" w:color="auto"/>
                                        <w:bottom w:val="none" w:sz="0" w:space="0" w:color="auto"/>
                                        <w:right w:val="none" w:sz="0" w:space="0" w:color="auto"/>
                                      </w:divBdr>
                                      <w:divsChild>
                                        <w:div w:id="1669401383">
                                          <w:marLeft w:val="0"/>
                                          <w:marRight w:val="0"/>
                                          <w:marTop w:val="0"/>
                                          <w:marBottom w:val="0"/>
                                          <w:divBdr>
                                            <w:top w:val="none" w:sz="0" w:space="0" w:color="auto"/>
                                            <w:left w:val="none" w:sz="0" w:space="0" w:color="auto"/>
                                            <w:bottom w:val="none" w:sz="0" w:space="0" w:color="auto"/>
                                            <w:right w:val="none" w:sz="0" w:space="0" w:color="auto"/>
                                          </w:divBdr>
                                          <w:divsChild>
                                            <w:div w:id="1114397128">
                                              <w:marLeft w:val="0"/>
                                              <w:marRight w:val="0"/>
                                              <w:marTop w:val="0"/>
                                              <w:marBottom w:val="0"/>
                                              <w:divBdr>
                                                <w:top w:val="none" w:sz="0" w:space="0" w:color="auto"/>
                                                <w:left w:val="none" w:sz="0" w:space="0" w:color="auto"/>
                                                <w:bottom w:val="none" w:sz="0" w:space="0" w:color="auto"/>
                                                <w:right w:val="none" w:sz="0" w:space="0" w:color="auto"/>
                                              </w:divBdr>
                                              <w:divsChild>
                                                <w:div w:id="423915900">
                                                  <w:marLeft w:val="0"/>
                                                  <w:marRight w:val="0"/>
                                                  <w:marTop w:val="0"/>
                                                  <w:marBottom w:val="0"/>
                                                  <w:divBdr>
                                                    <w:top w:val="none" w:sz="0" w:space="0" w:color="auto"/>
                                                    <w:left w:val="none" w:sz="0" w:space="0" w:color="auto"/>
                                                    <w:bottom w:val="none" w:sz="0" w:space="0" w:color="auto"/>
                                                    <w:right w:val="none" w:sz="0" w:space="0" w:color="auto"/>
                                                  </w:divBdr>
                                                  <w:divsChild>
                                                    <w:div w:id="932780621">
                                                      <w:marLeft w:val="0"/>
                                                      <w:marRight w:val="0"/>
                                                      <w:marTop w:val="0"/>
                                                      <w:marBottom w:val="0"/>
                                                      <w:divBdr>
                                                        <w:top w:val="none" w:sz="0" w:space="0" w:color="auto"/>
                                                        <w:left w:val="none" w:sz="0" w:space="0" w:color="auto"/>
                                                        <w:bottom w:val="none" w:sz="0" w:space="0" w:color="auto"/>
                                                        <w:right w:val="none" w:sz="0" w:space="0" w:color="auto"/>
                                                      </w:divBdr>
                                                      <w:divsChild>
                                                        <w:div w:id="422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7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stlii.edu.au/au/legis/cth/consol_act/antsasta1999402/s195.1.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stlii.edu.au/au/legis/cth/consol_act/antsasta1999402/s195.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ustlii.edu.au/au/legis/cth/consol_act/saa1973217/"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lii.edu.au/au/legis/cth/consol_act/saa1973217/s5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B5BA-E7C6-4C46-A49E-9E2F6DCEB470}">
  <ds:schemaRefs>
    <ds:schemaRef ds:uri="http://purl.org/dc/dcmitype/"/>
    <ds:schemaRef ds:uri="00C44BDD-5CF9-409F-96B6-60347E0FF25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A28F95-9838-4B1E-AF69-F0A7B74E0967}">
  <ds:schemaRefs>
    <ds:schemaRef ds:uri="http://schemas.microsoft.com/office/2006/metadata/longProperties"/>
  </ds:schemaRefs>
</ds:datastoreItem>
</file>

<file path=customXml/itemProps3.xml><?xml version="1.0" encoding="utf-8"?>
<ds:datastoreItem xmlns:ds="http://schemas.openxmlformats.org/officeDocument/2006/customXml" ds:itemID="{4EE2DF3B-9F5B-4B63-BDEC-90367390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0F770-3561-43D2-ACE0-873B6810253C}">
  <ds:schemaRefs>
    <ds:schemaRef ds:uri="http://schemas.microsoft.com/sharepoint/v3/contenttype/forms"/>
  </ds:schemaRefs>
</ds:datastoreItem>
</file>

<file path=customXml/itemProps5.xml><?xml version="1.0" encoding="utf-8"?>
<ds:datastoreItem xmlns:ds="http://schemas.openxmlformats.org/officeDocument/2006/customXml" ds:itemID="{A66A8666-4AC5-40B0-B1C8-6E024961E74A}">
  <ds:schemaRefs>
    <ds:schemaRef ds:uri="http://schemas.openxmlformats.org/officeDocument/2006/bibliography"/>
  </ds:schemaRefs>
</ds:datastoreItem>
</file>

<file path=customXml/itemProps6.xml><?xml version="1.0" encoding="utf-8"?>
<ds:datastoreItem xmlns:ds="http://schemas.openxmlformats.org/officeDocument/2006/customXml" ds:itemID="{0E3F3CC6-287C-445C-8051-77787275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12686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Families, Community Services and Indigenous Affairs</Company>
  <LinksUpToDate>false</LinksUpToDate>
  <CharactersWithSpaces>14934</CharactersWithSpaces>
  <SharedDoc>false</SharedDoc>
  <HLinks>
    <vt:vector size="36" baseType="variant">
      <vt:variant>
        <vt:i4>5832725</vt:i4>
      </vt:variant>
      <vt:variant>
        <vt:i4>15</vt:i4>
      </vt:variant>
      <vt:variant>
        <vt:i4>0</vt:i4>
      </vt:variant>
      <vt:variant>
        <vt:i4>5</vt:i4>
      </vt:variant>
      <vt:variant>
        <vt:lpwstr>http://www.austlii.edu.au/au/legis/cth/consol_act/antsasta1999402/s195.1.html</vt:lpwstr>
      </vt:variant>
      <vt:variant>
        <vt:lpwstr>tertiary_course</vt:lpwstr>
      </vt:variant>
      <vt:variant>
        <vt:i4>7340073</vt:i4>
      </vt:variant>
      <vt:variant>
        <vt:i4>12</vt:i4>
      </vt:variant>
      <vt:variant>
        <vt:i4>0</vt:i4>
      </vt:variant>
      <vt:variant>
        <vt:i4>5</vt:i4>
      </vt:variant>
      <vt:variant>
        <vt:lpwstr>http://www.austlii.edu.au/au/legis/cth/consol_act/antsasta1999402/s195.1.html</vt:lpwstr>
      </vt:variant>
      <vt:variant>
        <vt:lpwstr>education_minister</vt:lpwstr>
      </vt:variant>
      <vt:variant>
        <vt:i4>7798867</vt:i4>
      </vt:variant>
      <vt:variant>
        <vt:i4>9</vt:i4>
      </vt:variant>
      <vt:variant>
        <vt:i4>0</vt:i4>
      </vt:variant>
      <vt:variant>
        <vt:i4>5</vt:i4>
      </vt:variant>
      <vt:variant>
        <vt:lpwstr>http://www.austlii.edu.au/au/legis/cth/consol_act/saa1973217/</vt:lpwstr>
      </vt:variant>
      <vt:variant>
        <vt:lpwstr/>
      </vt:variant>
      <vt:variant>
        <vt:i4>6619155</vt:i4>
      </vt:variant>
      <vt:variant>
        <vt:i4>6</vt:i4>
      </vt:variant>
      <vt:variant>
        <vt:i4>0</vt:i4>
      </vt:variant>
      <vt:variant>
        <vt:i4>5</vt:i4>
      </vt:variant>
      <vt:variant>
        <vt:lpwstr>http://www.austlii.edu.au/au/legis/cth/consol_act/saa1973217/s5d.html</vt:lpwstr>
      </vt:variant>
      <vt:variant>
        <vt:lpwstr/>
      </vt:variant>
      <vt:variant>
        <vt:i4>7340073</vt:i4>
      </vt:variant>
      <vt:variant>
        <vt:i4>3</vt:i4>
      </vt:variant>
      <vt:variant>
        <vt:i4>0</vt:i4>
      </vt:variant>
      <vt:variant>
        <vt:i4>5</vt:i4>
      </vt:variant>
      <vt:variant>
        <vt:lpwstr>http://www.austlii.edu.au/au/legis/cth/consol_act/antsasta1999402/s195.1.html</vt:lpwstr>
      </vt:variant>
      <vt:variant>
        <vt:lpwstr>education_minister</vt:lpwstr>
      </vt:variant>
      <vt:variant>
        <vt:i4>5832725</vt:i4>
      </vt:variant>
      <vt:variant>
        <vt:i4>0</vt:i4>
      </vt:variant>
      <vt:variant>
        <vt:i4>0</vt:i4>
      </vt:variant>
      <vt:variant>
        <vt:i4>5</vt:i4>
      </vt:variant>
      <vt:variant>
        <vt:lpwstr>http://www.austlii.edu.au/au/legis/cth/consol_act/antsasta1999402/s195.1.html</vt:lpwstr>
      </vt:variant>
      <vt:variant>
        <vt:lpwstr>tertiary_course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leeben</dc:creator>
  <cp:lastModifiedBy>MCNAMARA, Silvia</cp:lastModifiedBy>
  <cp:revision>2</cp:revision>
  <cp:lastPrinted>2017-11-01T00:10:00Z</cp:lastPrinted>
  <dcterms:created xsi:type="dcterms:W3CDTF">2017-12-07T06:10:00Z</dcterms:created>
  <dcterms:modified xsi:type="dcterms:W3CDTF">2017-12-07T06:10:00Z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y fmtid="{D5CDD505-2E9C-101B-9397-08002B2CF9AE}" pid="3" name="DdocsSearchTerms">
    <vt:lpwstr/>
  </property>
  <property fmtid="{D5CDD505-2E9C-101B-9397-08002B2CF9AE}" pid="4" name="_dlc_ExpireDate">
    <vt:lpwstr>2015-12-14T15:59:48Z</vt:lpwstr>
  </property>
  <property fmtid="{D5CDD505-2E9C-101B-9397-08002B2CF9AE}" pid="5" name="_NewReviewCycle">
    <vt:lpwstr/>
  </property>
  <property fmtid="{D5CDD505-2E9C-101B-9397-08002B2CF9AE}" pid="6" name="_dlc_DocId">
    <vt:lpwstr>2013RG-26-697</vt:lpwstr>
  </property>
  <property fmtid="{D5CDD505-2E9C-101B-9397-08002B2CF9AE}" pid="7" name="_dlc_DocIdItemGuid">
    <vt:lpwstr>2ea43240-a942-4ab4-af59-98a8431050b1</vt:lpwstr>
  </property>
  <property fmtid="{D5CDD505-2E9C-101B-9397-08002B2CF9AE}" pid="8" name="_dlc_DocIdUrl">
    <vt:lpwstr>http://tweb/sites/rg/ldp/_layouts/DocIdRedir.aspx?ID=2013RG-26-697, 2013RG-26-697</vt:lpwstr>
  </property>
</Properties>
</file>