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07BCC" w14:textId="77777777" w:rsidR="001A03EC" w:rsidRPr="00826634" w:rsidRDefault="001A03EC" w:rsidP="001A03EC">
      <w:pPr>
        <w:pStyle w:val="Heading1"/>
        <w:spacing w:before="0"/>
        <w:jc w:val="center"/>
        <w:rPr>
          <w:rFonts w:ascii="Times New Roman" w:hAnsi="Times New Roman" w:cs="Times New Roman"/>
          <w:sz w:val="24"/>
          <w:szCs w:val="24"/>
          <w:u w:val="single"/>
        </w:rPr>
      </w:pPr>
      <w:bookmarkStart w:id="0" w:name="_GoBack"/>
      <w:bookmarkEnd w:id="0"/>
      <w:r w:rsidRPr="00826634">
        <w:rPr>
          <w:rFonts w:ascii="Times New Roman" w:hAnsi="Times New Roman" w:cs="Times New Roman"/>
          <w:sz w:val="24"/>
          <w:szCs w:val="24"/>
          <w:u w:val="single"/>
        </w:rPr>
        <w:t>EXPLANATORY STATEMENT</w:t>
      </w:r>
    </w:p>
    <w:p w14:paraId="4299F20A" w14:textId="77777777" w:rsidR="001A03EC" w:rsidRPr="00826634" w:rsidRDefault="001A03EC" w:rsidP="001A03EC">
      <w:pPr>
        <w:jc w:val="center"/>
        <w:rPr>
          <w:b/>
        </w:rPr>
      </w:pPr>
    </w:p>
    <w:p w14:paraId="26E73490" w14:textId="77777777" w:rsidR="001A03EC" w:rsidRPr="00826634" w:rsidRDefault="001A03EC" w:rsidP="001A03EC">
      <w:pPr>
        <w:jc w:val="center"/>
        <w:rPr>
          <w:b/>
        </w:rPr>
      </w:pPr>
      <w:r w:rsidRPr="00826634">
        <w:rPr>
          <w:b/>
        </w:rPr>
        <w:t>Issued by the Authority of the Minister for Finance</w:t>
      </w:r>
    </w:p>
    <w:p w14:paraId="0ED8445E" w14:textId="77777777" w:rsidR="001A03EC" w:rsidRPr="00826634" w:rsidRDefault="001A03EC" w:rsidP="001A03EC">
      <w:pPr>
        <w:jc w:val="center"/>
        <w:rPr>
          <w:b/>
        </w:rPr>
      </w:pPr>
    </w:p>
    <w:p w14:paraId="19C38BA3" w14:textId="77777777" w:rsidR="001A03EC" w:rsidRDefault="001A03EC" w:rsidP="001A03EC">
      <w:pPr>
        <w:jc w:val="center"/>
        <w:rPr>
          <w:i/>
        </w:rPr>
      </w:pPr>
      <w:r w:rsidRPr="00826634">
        <w:rPr>
          <w:i/>
        </w:rPr>
        <w:t xml:space="preserve">Public Governance, Performance and Accountability Act 2013 </w:t>
      </w:r>
    </w:p>
    <w:p w14:paraId="7DD0BC9C" w14:textId="77777777" w:rsidR="001A03EC" w:rsidRDefault="001A03EC" w:rsidP="001A03EC">
      <w:pPr>
        <w:jc w:val="center"/>
        <w:rPr>
          <w:i/>
        </w:rPr>
      </w:pPr>
    </w:p>
    <w:p w14:paraId="4BE0A90D" w14:textId="77777777" w:rsidR="001A03EC" w:rsidRPr="005211FB" w:rsidRDefault="001A03EC" w:rsidP="001A03EC">
      <w:pPr>
        <w:pStyle w:val="ShortT"/>
        <w:jc w:val="center"/>
        <w:rPr>
          <w:i/>
        </w:rPr>
      </w:pPr>
      <w:r w:rsidRPr="00826634">
        <w:rPr>
          <w:rFonts w:eastAsiaTheme="minorEastAsia"/>
          <w:b w:val="0"/>
          <w:i/>
          <w:sz w:val="24"/>
          <w:szCs w:val="24"/>
          <w:lang w:eastAsia="en-US" w:bidi="en-US"/>
        </w:rPr>
        <w:t xml:space="preserve">Public Governance, </w:t>
      </w:r>
      <w:r>
        <w:rPr>
          <w:rFonts w:eastAsiaTheme="minorEastAsia"/>
          <w:b w:val="0"/>
          <w:i/>
          <w:sz w:val="24"/>
          <w:szCs w:val="24"/>
          <w:lang w:eastAsia="en-US" w:bidi="en-US"/>
        </w:rPr>
        <w:t>Performance and Accountability</w:t>
      </w:r>
      <w:r w:rsidRPr="00826634">
        <w:rPr>
          <w:rFonts w:eastAsiaTheme="minorEastAsia"/>
          <w:b w:val="0"/>
          <w:i/>
          <w:sz w:val="24"/>
          <w:szCs w:val="24"/>
          <w:lang w:eastAsia="en-US" w:bidi="en-US"/>
        </w:rPr>
        <w:t xml:space="preserve"> Rule 201</w:t>
      </w:r>
      <w:r w:rsidR="0099086B">
        <w:rPr>
          <w:rFonts w:eastAsiaTheme="minorEastAsia"/>
          <w:b w:val="0"/>
          <w:i/>
          <w:sz w:val="24"/>
          <w:szCs w:val="24"/>
          <w:lang w:eastAsia="en-US" w:bidi="en-US"/>
        </w:rPr>
        <w:t>4</w:t>
      </w:r>
    </w:p>
    <w:p w14:paraId="04C245A5" w14:textId="77777777" w:rsidR="001A03EC" w:rsidRPr="00826634" w:rsidRDefault="001A03EC" w:rsidP="001A03EC">
      <w:pPr>
        <w:rPr>
          <w:i/>
        </w:rPr>
      </w:pPr>
    </w:p>
    <w:p w14:paraId="2BF69054" w14:textId="77777777" w:rsidR="001A03EC" w:rsidRPr="00826634" w:rsidRDefault="001A03EC" w:rsidP="001A03EC">
      <w:pPr>
        <w:pStyle w:val="ShortT"/>
        <w:jc w:val="center"/>
        <w:rPr>
          <w:rFonts w:eastAsiaTheme="minorEastAsia"/>
          <w:b w:val="0"/>
          <w:i/>
          <w:sz w:val="24"/>
          <w:szCs w:val="24"/>
          <w:lang w:eastAsia="en-US" w:bidi="en-US"/>
        </w:rPr>
      </w:pPr>
      <w:r w:rsidRPr="00F03D99">
        <w:rPr>
          <w:rFonts w:eastAsiaTheme="minorEastAsia"/>
          <w:b w:val="0"/>
          <w:i/>
          <w:sz w:val="24"/>
          <w:szCs w:val="24"/>
          <w:lang w:eastAsia="en-US" w:bidi="en-US"/>
        </w:rPr>
        <w:t>Public Governance, Perfo</w:t>
      </w:r>
      <w:r w:rsidR="00450BBD" w:rsidRPr="00F03D99">
        <w:rPr>
          <w:rFonts w:eastAsiaTheme="minorEastAsia"/>
          <w:b w:val="0"/>
          <w:i/>
          <w:sz w:val="24"/>
          <w:szCs w:val="24"/>
          <w:lang w:eastAsia="en-US" w:bidi="en-US"/>
        </w:rPr>
        <w:t>rmance and Accountability</w:t>
      </w:r>
      <w:r w:rsidRPr="00F03D99">
        <w:rPr>
          <w:rFonts w:eastAsiaTheme="minorEastAsia"/>
          <w:b w:val="0"/>
          <w:i/>
          <w:sz w:val="24"/>
          <w:szCs w:val="24"/>
          <w:lang w:eastAsia="en-US" w:bidi="en-US"/>
        </w:rPr>
        <w:t xml:space="preserve"> Amendment</w:t>
      </w:r>
      <w:r w:rsidR="00450BBD" w:rsidRPr="00F03D99">
        <w:rPr>
          <w:rFonts w:eastAsiaTheme="minorEastAsia"/>
          <w:b w:val="0"/>
          <w:i/>
          <w:sz w:val="24"/>
          <w:szCs w:val="24"/>
          <w:lang w:eastAsia="en-US" w:bidi="en-US"/>
        </w:rPr>
        <w:t xml:space="preserve"> (Procurement by Corporate Commonwealth Entities)</w:t>
      </w:r>
      <w:r w:rsidRPr="00F03D99">
        <w:rPr>
          <w:rFonts w:eastAsiaTheme="minorEastAsia"/>
          <w:b w:val="0"/>
          <w:i/>
          <w:sz w:val="24"/>
          <w:szCs w:val="24"/>
          <w:lang w:eastAsia="en-US" w:bidi="en-US"/>
        </w:rPr>
        <w:t xml:space="preserve"> Rule</w:t>
      </w:r>
      <w:bookmarkStart w:id="1" w:name="BK_S1P1L5C15"/>
      <w:bookmarkEnd w:id="1"/>
      <w:r w:rsidRPr="00F03D99">
        <w:rPr>
          <w:rFonts w:eastAsiaTheme="minorEastAsia"/>
          <w:b w:val="0"/>
          <w:i/>
          <w:sz w:val="24"/>
          <w:szCs w:val="24"/>
          <w:lang w:eastAsia="en-US" w:bidi="en-US"/>
        </w:rPr>
        <w:t>s 2017</w:t>
      </w:r>
    </w:p>
    <w:p w14:paraId="2D0BA1A3" w14:textId="77777777" w:rsidR="00BD799E" w:rsidRDefault="00BD799E"/>
    <w:p w14:paraId="3244A9C1" w14:textId="77777777" w:rsidR="001A03EC" w:rsidRDefault="006A58E3">
      <w:r>
        <w:t xml:space="preserve">Section 105B of the </w:t>
      </w:r>
      <w:r>
        <w:rPr>
          <w:i/>
        </w:rPr>
        <w:t>Public Governance, Performance and Accountability Act 2013</w:t>
      </w:r>
      <w:r>
        <w:t xml:space="preserve"> (PGPA</w:t>
      </w:r>
      <w:r w:rsidR="00895797">
        <w:t> </w:t>
      </w:r>
      <w:r>
        <w:t>Act) provides the Finance Minister with the authority to, by written instrument, make provisions about procurement by Commonwealth entities and companies.</w:t>
      </w:r>
    </w:p>
    <w:p w14:paraId="0F312C28" w14:textId="77777777" w:rsidR="006A58E3" w:rsidRDefault="006A58E3"/>
    <w:p w14:paraId="6C77A23E" w14:textId="0BC0AD78" w:rsidR="006A58E3" w:rsidRDefault="006A58E3">
      <w:r>
        <w:t>Section 105B(1)(b) of the PGPA Act allows the Finance Minist</w:t>
      </w:r>
      <w:r w:rsidR="005B300A">
        <w:t>er to, by written instrument,</w:t>
      </w:r>
      <w:r>
        <w:t xml:space="preserve"> make provisions about procurement for corporate Commonwealth entities who are prescribed in the rules. Corporate Commonwealth entities that the Finance Minister has designated as body corporates that are subject to the Commonwealth Procurement Rules </w:t>
      </w:r>
      <w:proofErr w:type="gramStart"/>
      <w:r>
        <w:t xml:space="preserve">are </w:t>
      </w:r>
      <w:r w:rsidR="00895797">
        <w:t>listed</w:t>
      </w:r>
      <w:proofErr w:type="gramEnd"/>
      <w:r>
        <w:t xml:space="preserve"> in section</w:t>
      </w:r>
      <w:r w:rsidR="00895797">
        <w:t> </w:t>
      </w:r>
      <w:r>
        <w:t xml:space="preserve">30 of the </w:t>
      </w:r>
      <w:r>
        <w:rPr>
          <w:i/>
        </w:rPr>
        <w:t>Public Governance, Performance and Accountability Rule 2014</w:t>
      </w:r>
      <w:r>
        <w:t xml:space="preserve"> (PGPA</w:t>
      </w:r>
      <w:r w:rsidR="00895797">
        <w:t> </w:t>
      </w:r>
      <w:r>
        <w:t>Rule).</w:t>
      </w:r>
    </w:p>
    <w:p w14:paraId="449808B4" w14:textId="77777777" w:rsidR="006A58E3" w:rsidRDefault="006A58E3"/>
    <w:p w14:paraId="1792B5B0" w14:textId="7BD901B5" w:rsidR="006A58E3" w:rsidRDefault="006A58E3">
      <w:r>
        <w:t xml:space="preserve">The </w:t>
      </w:r>
      <w:r w:rsidRPr="00F03D99">
        <w:rPr>
          <w:i/>
        </w:rPr>
        <w:t>Public Governance,</w:t>
      </w:r>
      <w:r w:rsidR="00450BBD" w:rsidRPr="00F03D99">
        <w:rPr>
          <w:i/>
        </w:rPr>
        <w:t xml:space="preserve"> Performance and Accountability</w:t>
      </w:r>
      <w:r w:rsidRPr="00F03D99">
        <w:rPr>
          <w:i/>
        </w:rPr>
        <w:t xml:space="preserve"> Amendment</w:t>
      </w:r>
      <w:r w:rsidR="00450BBD" w:rsidRPr="00F03D99">
        <w:rPr>
          <w:i/>
        </w:rPr>
        <w:t xml:space="preserve"> (Procurement by Corporate Commonwealth Entities)</w:t>
      </w:r>
      <w:r w:rsidRPr="00F03D99">
        <w:rPr>
          <w:i/>
        </w:rPr>
        <w:t xml:space="preserve"> Rules 2017</w:t>
      </w:r>
      <w:r>
        <w:rPr>
          <w:i/>
        </w:rPr>
        <w:t xml:space="preserve"> </w:t>
      </w:r>
      <w:r w:rsidR="007F33BF">
        <w:t>(the Amendment Rules) amends section</w:t>
      </w:r>
      <w:r w:rsidR="00895797">
        <w:t> </w:t>
      </w:r>
      <w:r w:rsidR="007F33BF">
        <w:t>30 of the PGPA Rule to add two corporate Commonwealth entities as entities prescribed to adhere to the</w:t>
      </w:r>
      <w:r w:rsidR="00412B6A">
        <w:t xml:space="preserve"> Commonwealth Procurement Rules. The entities are</w:t>
      </w:r>
      <w:r w:rsidR="007F33BF">
        <w:t xml:space="preserve"> the National Portrait Gallery of Australia, and the Australian Digital Health Agency.</w:t>
      </w:r>
    </w:p>
    <w:p w14:paraId="7250E1AC" w14:textId="77777777" w:rsidR="007F33BF" w:rsidRDefault="007F33BF"/>
    <w:p w14:paraId="23EE814B" w14:textId="77777777" w:rsidR="007F33BF" w:rsidRDefault="007F33BF">
      <w:r>
        <w:t xml:space="preserve">Details of the Amendment Rules are set out at </w:t>
      </w:r>
      <w:r>
        <w:rPr>
          <w:u w:val="single"/>
        </w:rPr>
        <w:t>Attachment A</w:t>
      </w:r>
      <w:r>
        <w:t xml:space="preserve">. A Statement of Compatibility with Human Rights is at </w:t>
      </w:r>
      <w:r>
        <w:rPr>
          <w:u w:val="single"/>
        </w:rPr>
        <w:t>Attachment B</w:t>
      </w:r>
      <w:r>
        <w:t>.</w:t>
      </w:r>
    </w:p>
    <w:p w14:paraId="0FE2CCD3" w14:textId="77777777" w:rsidR="007F33BF" w:rsidRDefault="007F33BF"/>
    <w:p w14:paraId="0AD8856F" w14:textId="77777777" w:rsidR="007F33BF" w:rsidRDefault="007F33BF">
      <w:r>
        <w:t xml:space="preserve">The Amendment Rules are a legislative instrument for the purposes of the </w:t>
      </w:r>
      <w:r>
        <w:rPr>
          <w:i/>
        </w:rPr>
        <w:t>Legislation Act 2003</w:t>
      </w:r>
      <w:r>
        <w:t>.</w:t>
      </w:r>
    </w:p>
    <w:p w14:paraId="2F83B171" w14:textId="77777777" w:rsidR="007F33BF" w:rsidRDefault="007F33BF"/>
    <w:p w14:paraId="6A3B05C7" w14:textId="77777777" w:rsidR="007F33BF" w:rsidRPr="007F33BF" w:rsidRDefault="007F33BF">
      <w:r>
        <w:t>The Amendment Rules will come into effect on 1 January 2018.</w:t>
      </w:r>
    </w:p>
    <w:p w14:paraId="7559994D" w14:textId="77777777" w:rsidR="001A03EC" w:rsidRDefault="001A03EC"/>
    <w:p w14:paraId="095B2267" w14:textId="77777777" w:rsidR="001A03EC" w:rsidRDefault="001A03EC" w:rsidP="001A03EC">
      <w:r w:rsidRPr="00826634">
        <w:rPr>
          <w:b/>
        </w:rPr>
        <w:t>Consultation</w:t>
      </w:r>
    </w:p>
    <w:p w14:paraId="08436D9D" w14:textId="77777777" w:rsidR="001A03EC" w:rsidRDefault="001A03EC"/>
    <w:p w14:paraId="1DD0C940" w14:textId="77777777" w:rsidR="006A58E3" w:rsidRDefault="006A58E3">
      <w:r>
        <w:t>The Amendment Rules has been prepared in consultation with the relevant areas within the Department of Finance</w:t>
      </w:r>
      <w:r w:rsidR="00C451D1">
        <w:t xml:space="preserve">, the </w:t>
      </w:r>
      <w:r w:rsidR="00C451D1" w:rsidRPr="007A64EA">
        <w:t>Trade and Investment Law Branch</w:t>
      </w:r>
      <w:r w:rsidR="00C451D1">
        <w:t xml:space="preserve">, </w:t>
      </w:r>
      <w:r w:rsidR="00C451D1" w:rsidRPr="007A64EA">
        <w:t>Department of Foreign Affairs and Trade</w:t>
      </w:r>
      <w:r w:rsidR="00C451D1">
        <w:t xml:space="preserve">, </w:t>
      </w:r>
      <w:r w:rsidR="00C451D1" w:rsidRPr="00F03D99">
        <w:t>National Portrait Gallery of Australia and the Australian Digital Health Agency</w:t>
      </w:r>
      <w:r>
        <w:t>.</w:t>
      </w:r>
    </w:p>
    <w:p w14:paraId="6DC54BFA" w14:textId="77777777" w:rsidR="001A03EC" w:rsidRDefault="001A03EC"/>
    <w:p w14:paraId="4500AAB5" w14:textId="77777777" w:rsidR="00C451D1" w:rsidRDefault="00C451D1">
      <w:pPr>
        <w:spacing w:after="160" w:line="259" w:lineRule="auto"/>
      </w:pPr>
      <w:r>
        <w:br w:type="page"/>
      </w:r>
    </w:p>
    <w:p w14:paraId="45A1C961" w14:textId="77777777" w:rsidR="001A03EC" w:rsidRPr="00826634" w:rsidRDefault="001A03EC" w:rsidP="001A03EC">
      <w:pPr>
        <w:autoSpaceDE w:val="0"/>
        <w:autoSpaceDN w:val="0"/>
        <w:adjustRightInd w:val="0"/>
        <w:jc w:val="right"/>
        <w:rPr>
          <w:rFonts w:eastAsiaTheme="minorHAnsi"/>
          <w:b/>
          <w:bCs/>
          <w:u w:val="single"/>
          <w:lang w:bidi="ar-SA"/>
        </w:rPr>
      </w:pPr>
      <w:r w:rsidRPr="00826634">
        <w:rPr>
          <w:rFonts w:eastAsiaTheme="minorHAnsi"/>
          <w:b/>
          <w:bCs/>
          <w:u w:val="single"/>
          <w:lang w:bidi="ar-SA"/>
        </w:rPr>
        <w:lastRenderedPageBreak/>
        <w:t>Attachment A</w:t>
      </w:r>
    </w:p>
    <w:p w14:paraId="6AB77018" w14:textId="77777777" w:rsidR="001A03EC" w:rsidRPr="00826634" w:rsidRDefault="001A03EC" w:rsidP="001A03EC">
      <w:pPr>
        <w:autoSpaceDE w:val="0"/>
        <w:autoSpaceDN w:val="0"/>
        <w:adjustRightInd w:val="0"/>
        <w:jc w:val="right"/>
        <w:rPr>
          <w:rFonts w:eastAsiaTheme="minorHAnsi"/>
          <w:b/>
          <w:bCs/>
          <w:lang w:bidi="ar-SA"/>
        </w:rPr>
      </w:pPr>
    </w:p>
    <w:p w14:paraId="1A542B1A" w14:textId="77777777" w:rsidR="001A03EC" w:rsidRDefault="001A03EC" w:rsidP="001A03EC">
      <w:pPr>
        <w:pStyle w:val="ShortT"/>
        <w:spacing w:after="240"/>
        <w:rPr>
          <w:rFonts w:eastAsiaTheme="minorEastAsia"/>
          <w:b w:val="0"/>
          <w:sz w:val="24"/>
          <w:szCs w:val="24"/>
          <w:lang w:eastAsia="en-US" w:bidi="en-US"/>
        </w:rPr>
      </w:pPr>
      <w:r w:rsidRPr="00826634">
        <w:rPr>
          <w:sz w:val="24"/>
          <w:szCs w:val="24"/>
          <w:u w:val="single"/>
        </w:rPr>
        <w:t>Details of the</w:t>
      </w:r>
      <w:r w:rsidRPr="00826634">
        <w:rPr>
          <w:i/>
          <w:sz w:val="24"/>
          <w:szCs w:val="24"/>
          <w:u w:val="single"/>
        </w:rPr>
        <w:t xml:space="preserve"> </w:t>
      </w:r>
      <w:r w:rsidRPr="00361C2E">
        <w:rPr>
          <w:rFonts w:eastAsiaTheme="minorEastAsia"/>
          <w:i/>
          <w:sz w:val="24"/>
          <w:szCs w:val="24"/>
          <w:u w:val="single"/>
          <w:lang w:eastAsia="en-US" w:bidi="en-US"/>
        </w:rPr>
        <w:t xml:space="preserve">Public Governance, </w:t>
      </w:r>
      <w:r w:rsidR="00450BBD">
        <w:rPr>
          <w:rFonts w:eastAsiaTheme="minorEastAsia"/>
          <w:i/>
          <w:sz w:val="24"/>
          <w:szCs w:val="24"/>
          <w:u w:val="single"/>
          <w:lang w:eastAsia="en-US" w:bidi="en-US"/>
        </w:rPr>
        <w:t>Performance and Accountability</w:t>
      </w:r>
      <w:r w:rsidRPr="00361C2E">
        <w:rPr>
          <w:rFonts w:eastAsiaTheme="minorEastAsia"/>
          <w:i/>
          <w:sz w:val="24"/>
          <w:szCs w:val="24"/>
          <w:u w:val="single"/>
          <w:lang w:eastAsia="en-US" w:bidi="en-US"/>
        </w:rPr>
        <w:t xml:space="preserve"> Amendment (</w:t>
      </w:r>
      <w:r w:rsidR="00450BBD">
        <w:rPr>
          <w:rFonts w:eastAsiaTheme="minorEastAsia"/>
          <w:i/>
          <w:sz w:val="24"/>
          <w:szCs w:val="24"/>
          <w:u w:val="single"/>
          <w:lang w:eastAsia="en-US" w:bidi="en-US"/>
        </w:rPr>
        <w:t>Procurement by Corporate Commonwealth Entities</w:t>
      </w:r>
      <w:r w:rsidRPr="00361C2E">
        <w:rPr>
          <w:rFonts w:eastAsiaTheme="minorEastAsia"/>
          <w:i/>
          <w:sz w:val="24"/>
          <w:szCs w:val="24"/>
          <w:u w:val="single"/>
          <w:lang w:eastAsia="en-US" w:bidi="en-US"/>
        </w:rPr>
        <w:t>) Rules 2017</w:t>
      </w:r>
    </w:p>
    <w:p w14:paraId="2A064AE1" w14:textId="77777777" w:rsidR="001A03EC" w:rsidRDefault="001A03EC" w:rsidP="001A03EC">
      <w:pPr>
        <w:keepNext/>
        <w:autoSpaceDE w:val="0"/>
        <w:autoSpaceDN w:val="0"/>
        <w:adjustRightInd w:val="0"/>
        <w:spacing w:after="120"/>
        <w:rPr>
          <w:b/>
        </w:rPr>
      </w:pPr>
      <w:r w:rsidRPr="00826634">
        <w:rPr>
          <w:b/>
        </w:rPr>
        <w:t>Section 1</w:t>
      </w:r>
      <w:r w:rsidRPr="002A5574">
        <w:rPr>
          <w:b/>
        </w:rPr>
        <w:t>—</w:t>
      </w:r>
      <w:r w:rsidRPr="00826634">
        <w:rPr>
          <w:b/>
        </w:rPr>
        <w:t xml:space="preserve">Name </w:t>
      </w:r>
    </w:p>
    <w:p w14:paraId="4E7369B0" w14:textId="77777777" w:rsidR="001A03EC" w:rsidRPr="007B57A6" w:rsidRDefault="001A03EC" w:rsidP="001A03EC">
      <w:pPr>
        <w:autoSpaceDE w:val="0"/>
        <w:autoSpaceDN w:val="0"/>
        <w:adjustRightInd w:val="0"/>
        <w:rPr>
          <w:i/>
        </w:rPr>
      </w:pPr>
      <w:r>
        <w:t xml:space="preserve">This section provides that the title of the Rules is the </w:t>
      </w:r>
      <w:r w:rsidRPr="00F03D99">
        <w:rPr>
          <w:i/>
        </w:rPr>
        <w:t>Public Governance, Perfo</w:t>
      </w:r>
      <w:r w:rsidR="00450BBD" w:rsidRPr="00F03D99">
        <w:rPr>
          <w:i/>
        </w:rPr>
        <w:t>rmance and Accountability</w:t>
      </w:r>
      <w:r w:rsidRPr="00F03D99">
        <w:rPr>
          <w:i/>
        </w:rPr>
        <w:t xml:space="preserve"> Amendment</w:t>
      </w:r>
      <w:r w:rsidR="00450BBD" w:rsidRPr="00F03D99">
        <w:rPr>
          <w:i/>
        </w:rPr>
        <w:t xml:space="preserve"> (Procurement by Corporate Commonwealth Entities)</w:t>
      </w:r>
      <w:r w:rsidRPr="00F03D99">
        <w:rPr>
          <w:i/>
        </w:rPr>
        <w:t xml:space="preserve"> Rules 2017</w:t>
      </w:r>
      <w:r>
        <w:rPr>
          <w:i/>
        </w:rPr>
        <w:t xml:space="preserve"> </w:t>
      </w:r>
      <w:r>
        <w:t>(the Amendment Rules)</w:t>
      </w:r>
      <w:r>
        <w:rPr>
          <w:i/>
        </w:rPr>
        <w:t>.</w:t>
      </w:r>
    </w:p>
    <w:p w14:paraId="3CAA5782" w14:textId="77777777" w:rsidR="001A03EC" w:rsidRDefault="001A03EC" w:rsidP="001A03EC">
      <w:pPr>
        <w:autoSpaceDE w:val="0"/>
        <w:autoSpaceDN w:val="0"/>
        <w:adjustRightInd w:val="0"/>
      </w:pPr>
    </w:p>
    <w:p w14:paraId="6DEBF682" w14:textId="77777777" w:rsidR="001A03EC" w:rsidRDefault="001A03EC" w:rsidP="001A03EC">
      <w:pPr>
        <w:keepNext/>
        <w:autoSpaceDE w:val="0"/>
        <w:autoSpaceDN w:val="0"/>
        <w:adjustRightInd w:val="0"/>
        <w:spacing w:after="120"/>
        <w:rPr>
          <w:b/>
        </w:rPr>
      </w:pPr>
      <w:r>
        <w:rPr>
          <w:b/>
        </w:rPr>
        <w:t>Section 2</w:t>
      </w:r>
      <w:r w:rsidRPr="002A5574">
        <w:rPr>
          <w:b/>
        </w:rPr>
        <w:t>—</w:t>
      </w:r>
      <w:r>
        <w:rPr>
          <w:b/>
        </w:rPr>
        <w:t xml:space="preserve">Commencement </w:t>
      </w:r>
    </w:p>
    <w:p w14:paraId="105CC2BB" w14:textId="77777777" w:rsidR="001A03EC" w:rsidRPr="002A5574" w:rsidRDefault="001A03EC" w:rsidP="001A03EC">
      <w:pPr>
        <w:autoSpaceDE w:val="0"/>
        <w:autoSpaceDN w:val="0"/>
        <w:adjustRightInd w:val="0"/>
        <w:rPr>
          <w:b/>
        </w:rPr>
      </w:pPr>
      <w:r>
        <w:t xml:space="preserve">This section provides that the </w:t>
      </w:r>
      <w:r w:rsidRPr="002A5574">
        <w:t xml:space="preserve">Amendment Rules will commence on </w:t>
      </w:r>
      <w:r>
        <w:t>1 January 2018</w:t>
      </w:r>
      <w:r w:rsidR="00450BBD">
        <w:t>.</w:t>
      </w:r>
    </w:p>
    <w:p w14:paraId="51A729D1" w14:textId="77777777" w:rsidR="001A03EC" w:rsidRPr="002A5574" w:rsidRDefault="001A03EC" w:rsidP="001A03EC">
      <w:pPr>
        <w:autoSpaceDE w:val="0"/>
        <w:autoSpaceDN w:val="0"/>
        <w:adjustRightInd w:val="0"/>
      </w:pPr>
    </w:p>
    <w:p w14:paraId="14FC255F" w14:textId="77777777" w:rsidR="001A03EC" w:rsidRPr="00C174AE" w:rsidRDefault="001A03EC" w:rsidP="001A03EC">
      <w:pPr>
        <w:keepNext/>
        <w:autoSpaceDE w:val="0"/>
        <w:autoSpaceDN w:val="0"/>
        <w:adjustRightInd w:val="0"/>
        <w:spacing w:after="120"/>
        <w:rPr>
          <w:b/>
        </w:rPr>
      </w:pPr>
      <w:r w:rsidRPr="002A5574">
        <w:rPr>
          <w:b/>
        </w:rPr>
        <w:t>Section 3—Authority</w:t>
      </w:r>
    </w:p>
    <w:p w14:paraId="28327D50" w14:textId="77777777" w:rsidR="001A03EC" w:rsidRPr="002A5574" w:rsidRDefault="001A03EC" w:rsidP="001A03EC">
      <w:pPr>
        <w:autoSpaceDE w:val="0"/>
        <w:autoSpaceDN w:val="0"/>
        <w:adjustRightInd w:val="0"/>
        <w:rPr>
          <w:b/>
        </w:rPr>
      </w:pPr>
      <w:r w:rsidRPr="002A5574">
        <w:t xml:space="preserve">This section provides that the Amendment Rules </w:t>
      </w:r>
      <w:proofErr w:type="gramStart"/>
      <w:r w:rsidRPr="002A5574">
        <w:t>are</w:t>
      </w:r>
      <w:proofErr w:type="gramEnd"/>
      <w:r w:rsidRPr="002A5574">
        <w:t xml:space="preserve"> made under the </w:t>
      </w:r>
      <w:r w:rsidRPr="002A5574">
        <w:rPr>
          <w:i/>
          <w:iCs/>
        </w:rPr>
        <w:t>Public Governance, Performance and Accountability Act 2013</w:t>
      </w:r>
      <w:r w:rsidRPr="002A5574">
        <w:t xml:space="preserve"> (PGPA Act).</w:t>
      </w:r>
    </w:p>
    <w:p w14:paraId="33FE2AB3" w14:textId="77777777" w:rsidR="001A03EC" w:rsidRPr="002A5574" w:rsidRDefault="001A03EC" w:rsidP="001A03EC">
      <w:pPr>
        <w:autoSpaceDE w:val="0"/>
        <w:autoSpaceDN w:val="0"/>
        <w:adjustRightInd w:val="0"/>
      </w:pPr>
    </w:p>
    <w:p w14:paraId="38B8D731" w14:textId="77777777" w:rsidR="001A03EC" w:rsidRPr="002A5574" w:rsidRDefault="001A03EC" w:rsidP="001A03EC">
      <w:pPr>
        <w:keepNext/>
        <w:autoSpaceDE w:val="0"/>
        <w:autoSpaceDN w:val="0"/>
        <w:adjustRightInd w:val="0"/>
        <w:spacing w:after="120"/>
        <w:rPr>
          <w:b/>
        </w:rPr>
      </w:pPr>
      <w:r w:rsidRPr="002A5574">
        <w:rPr>
          <w:b/>
        </w:rPr>
        <w:t>Section 4—Schedules</w:t>
      </w:r>
    </w:p>
    <w:p w14:paraId="26243530" w14:textId="77777777" w:rsidR="001A03EC" w:rsidRPr="002A5574" w:rsidRDefault="001A03EC" w:rsidP="001A03EC">
      <w:pPr>
        <w:autoSpaceDE w:val="0"/>
        <w:autoSpaceDN w:val="0"/>
        <w:adjustRightInd w:val="0"/>
        <w:rPr>
          <w:b/>
        </w:rPr>
      </w:pPr>
      <w:r w:rsidRPr="002A5574">
        <w:t xml:space="preserve">This section provides that each instrument that </w:t>
      </w:r>
      <w:proofErr w:type="gramStart"/>
      <w:r w:rsidRPr="002A5574">
        <w:t>is specified</w:t>
      </w:r>
      <w:proofErr w:type="gramEnd"/>
      <w:r w:rsidRPr="002A5574">
        <w:t xml:space="preserve"> in a Schedule to the Amendment Rules is amended or repealed as set out in the applicable items in the Schedule concerned, and any other item in a Schedule to this instrument has effect according to its terms.</w:t>
      </w:r>
      <w:r w:rsidRPr="00C174AE">
        <w:rPr>
          <w:b/>
        </w:rPr>
        <w:t xml:space="preserve"> </w:t>
      </w:r>
    </w:p>
    <w:p w14:paraId="561949BA" w14:textId="77777777" w:rsidR="001A03EC" w:rsidRPr="002A5574" w:rsidRDefault="001A03EC" w:rsidP="001A03EC">
      <w:pPr>
        <w:autoSpaceDE w:val="0"/>
        <w:autoSpaceDN w:val="0"/>
        <w:adjustRightInd w:val="0"/>
      </w:pPr>
    </w:p>
    <w:p w14:paraId="232E55DD" w14:textId="77777777" w:rsidR="001A03EC" w:rsidRPr="002A5574" w:rsidRDefault="001A03EC" w:rsidP="001A03EC">
      <w:pPr>
        <w:keepNext/>
        <w:autoSpaceDE w:val="0"/>
        <w:autoSpaceDN w:val="0"/>
        <w:adjustRightInd w:val="0"/>
        <w:spacing w:after="120"/>
        <w:rPr>
          <w:b/>
        </w:rPr>
      </w:pPr>
      <w:r w:rsidRPr="002A5574">
        <w:rPr>
          <w:b/>
        </w:rPr>
        <w:t>Schedule 1—Amendments</w:t>
      </w:r>
    </w:p>
    <w:p w14:paraId="43A0CB56" w14:textId="77777777" w:rsidR="001A03EC" w:rsidRPr="002216D5" w:rsidRDefault="001A03EC" w:rsidP="001A03EC">
      <w:pPr>
        <w:keepNext/>
        <w:autoSpaceDE w:val="0"/>
        <w:autoSpaceDN w:val="0"/>
        <w:adjustRightInd w:val="0"/>
        <w:spacing w:after="120"/>
        <w:rPr>
          <w:b/>
          <w:i/>
        </w:rPr>
      </w:pPr>
      <w:bookmarkStart w:id="2" w:name="_Toc405559622"/>
      <w:r w:rsidRPr="002216D5">
        <w:rPr>
          <w:b/>
          <w:i/>
        </w:rPr>
        <w:t xml:space="preserve">Public Governance, Performance and Accountability </w:t>
      </w:r>
      <w:bookmarkEnd w:id="2"/>
      <w:r w:rsidR="004D2F31" w:rsidRPr="002216D5">
        <w:rPr>
          <w:b/>
          <w:i/>
        </w:rPr>
        <w:t>Rule 2014</w:t>
      </w:r>
    </w:p>
    <w:p w14:paraId="0AA58A19" w14:textId="77777777" w:rsidR="001A03EC" w:rsidRPr="002216D5" w:rsidRDefault="001A03EC" w:rsidP="001A03EC">
      <w:pPr>
        <w:keepNext/>
        <w:autoSpaceDE w:val="0"/>
        <w:autoSpaceDN w:val="0"/>
        <w:adjustRightInd w:val="0"/>
        <w:spacing w:after="120"/>
        <w:rPr>
          <w:b/>
        </w:rPr>
      </w:pPr>
      <w:r w:rsidRPr="002216D5">
        <w:rPr>
          <w:b/>
        </w:rPr>
        <w:t xml:space="preserve">Item </w:t>
      </w:r>
      <w:proofErr w:type="gramStart"/>
      <w:r w:rsidRPr="002216D5">
        <w:rPr>
          <w:b/>
        </w:rPr>
        <w:t>1—</w:t>
      </w:r>
      <w:proofErr w:type="gramEnd"/>
      <w:r w:rsidRPr="002216D5">
        <w:rPr>
          <w:b/>
        </w:rPr>
        <w:t xml:space="preserve">Section </w:t>
      </w:r>
      <w:r w:rsidR="00672B25" w:rsidRPr="002216D5">
        <w:rPr>
          <w:b/>
        </w:rPr>
        <w:t>30</w:t>
      </w:r>
    </w:p>
    <w:p w14:paraId="0BAF8B1F" w14:textId="180A18F5" w:rsidR="00450BBD" w:rsidRDefault="001A03EC" w:rsidP="001A03EC">
      <w:pPr>
        <w:tabs>
          <w:tab w:val="left" w:pos="426"/>
        </w:tabs>
        <w:spacing w:after="120" w:line="240" w:lineRule="atLeast"/>
      </w:pPr>
      <w:r w:rsidRPr="002216D5">
        <w:t>This item prescribes</w:t>
      </w:r>
      <w:r w:rsidR="00450BBD">
        <w:t xml:space="preserve"> the Australian Digital Health Agency in section 30 of the PGPA Rule. The list in section 30 of the PGPA Rule prescribes </w:t>
      </w:r>
      <w:r w:rsidR="00D64760">
        <w:t xml:space="preserve">the corporate Commonwealth entities that are subject </w:t>
      </w:r>
      <w:r w:rsidR="00450BBD">
        <w:t xml:space="preserve">to the Commonwealth Procurement Rules, or any instrument created by the Finance Minister concerning procurement that affects </w:t>
      </w:r>
      <w:r w:rsidR="00D64760">
        <w:t xml:space="preserve">those </w:t>
      </w:r>
      <w:r w:rsidR="00450BBD">
        <w:t>corporate Commonwealth entities.</w:t>
      </w:r>
    </w:p>
    <w:p w14:paraId="6878D3EA" w14:textId="77777777" w:rsidR="00450BBD" w:rsidRPr="00450BBD" w:rsidRDefault="001A03EC" w:rsidP="001A03EC">
      <w:pPr>
        <w:tabs>
          <w:tab w:val="left" w:pos="426"/>
        </w:tabs>
        <w:spacing w:after="120" w:line="240" w:lineRule="atLeast"/>
      </w:pPr>
      <w:r w:rsidRPr="002216D5">
        <w:t xml:space="preserve"> </w:t>
      </w:r>
      <w:r w:rsidR="00450BBD">
        <w:rPr>
          <w:b/>
        </w:rPr>
        <w:t>Item 2 – Section 30</w:t>
      </w:r>
    </w:p>
    <w:p w14:paraId="7E66A5ED" w14:textId="0D236FA5" w:rsidR="00450BBD" w:rsidRDefault="00450BBD" w:rsidP="00450BBD">
      <w:pPr>
        <w:tabs>
          <w:tab w:val="left" w:pos="426"/>
        </w:tabs>
        <w:spacing w:after="120" w:line="240" w:lineRule="atLeast"/>
      </w:pPr>
      <w:r w:rsidRPr="002216D5">
        <w:t>This item prescribes</w:t>
      </w:r>
      <w:r>
        <w:t xml:space="preserve"> the National Portrait Gallery of Australia in section 30 of the </w:t>
      </w:r>
      <w:r w:rsidR="00D64760">
        <w:t>PGPA </w:t>
      </w:r>
      <w:r w:rsidR="00412B6A">
        <w:t xml:space="preserve">Rule. The list </w:t>
      </w:r>
      <w:r>
        <w:t xml:space="preserve">in section 30 of the PGPA Rule prescribes </w:t>
      </w:r>
      <w:r w:rsidR="00D64760">
        <w:t xml:space="preserve">the corporate Commonwealth entities that are subject </w:t>
      </w:r>
      <w:r>
        <w:t>to the Commonwealth Procurement Rules, or any instrument created by the Finance Minister concerning procurement that affects corporate Commonwealth entities.</w:t>
      </w:r>
    </w:p>
    <w:p w14:paraId="42F860D8" w14:textId="77777777" w:rsidR="001A03EC" w:rsidRDefault="001A03EC"/>
    <w:p w14:paraId="3AC06FA7" w14:textId="77777777" w:rsidR="00D64760" w:rsidRDefault="00D64760">
      <w:pPr>
        <w:spacing w:after="160" w:line="259" w:lineRule="auto"/>
        <w:rPr>
          <w:rFonts w:eastAsiaTheme="minorHAnsi"/>
          <w:b/>
          <w:bCs/>
          <w:u w:val="single"/>
          <w:lang w:bidi="ar-SA"/>
        </w:rPr>
      </w:pPr>
      <w:r>
        <w:rPr>
          <w:rFonts w:eastAsiaTheme="minorHAnsi"/>
          <w:b/>
          <w:bCs/>
          <w:u w:val="single"/>
          <w:lang w:bidi="ar-SA"/>
        </w:rPr>
        <w:br w:type="page"/>
      </w:r>
    </w:p>
    <w:p w14:paraId="651E8CA1" w14:textId="550BA4DC" w:rsidR="001A03EC" w:rsidRDefault="001A03EC" w:rsidP="001A03EC">
      <w:pPr>
        <w:autoSpaceDE w:val="0"/>
        <w:autoSpaceDN w:val="0"/>
        <w:adjustRightInd w:val="0"/>
        <w:jc w:val="right"/>
        <w:rPr>
          <w:rFonts w:eastAsiaTheme="minorHAnsi"/>
          <w:b/>
          <w:bCs/>
          <w:u w:val="single"/>
          <w:lang w:bidi="ar-SA"/>
        </w:rPr>
      </w:pPr>
      <w:r w:rsidRPr="00826634">
        <w:rPr>
          <w:rFonts w:eastAsiaTheme="minorHAnsi"/>
          <w:b/>
          <w:bCs/>
          <w:u w:val="single"/>
          <w:lang w:bidi="ar-SA"/>
        </w:rPr>
        <w:lastRenderedPageBreak/>
        <w:t>Attachment B</w:t>
      </w:r>
    </w:p>
    <w:p w14:paraId="6005E4DD" w14:textId="77777777" w:rsidR="001A03EC" w:rsidRPr="00826634" w:rsidRDefault="001A03EC" w:rsidP="001A03EC">
      <w:pPr>
        <w:autoSpaceDE w:val="0"/>
        <w:autoSpaceDN w:val="0"/>
        <w:adjustRightInd w:val="0"/>
        <w:jc w:val="right"/>
        <w:rPr>
          <w:rFonts w:eastAsiaTheme="minorHAnsi"/>
          <w:b/>
          <w:bCs/>
          <w:u w:val="single"/>
          <w:lang w:bidi="ar-SA"/>
        </w:rPr>
      </w:pPr>
    </w:p>
    <w:p w14:paraId="5D29CD19" w14:textId="77777777" w:rsidR="001A03EC" w:rsidRDefault="001A03EC" w:rsidP="001A03EC">
      <w:pPr>
        <w:autoSpaceDE w:val="0"/>
        <w:autoSpaceDN w:val="0"/>
        <w:adjustRightInd w:val="0"/>
        <w:jc w:val="center"/>
        <w:rPr>
          <w:rFonts w:eastAsiaTheme="minorHAnsi"/>
          <w:b/>
          <w:bCs/>
          <w:lang w:bidi="ar-SA"/>
        </w:rPr>
      </w:pPr>
      <w:r w:rsidRPr="00826634">
        <w:rPr>
          <w:rFonts w:eastAsiaTheme="minorHAnsi"/>
          <w:b/>
          <w:bCs/>
          <w:lang w:bidi="ar-SA"/>
        </w:rPr>
        <w:t>Statement of Compatibility with Human Rights</w:t>
      </w:r>
    </w:p>
    <w:p w14:paraId="27AE179E" w14:textId="77777777" w:rsidR="001A03EC" w:rsidRPr="00826634" w:rsidRDefault="001A03EC" w:rsidP="001A03EC">
      <w:pPr>
        <w:autoSpaceDE w:val="0"/>
        <w:autoSpaceDN w:val="0"/>
        <w:adjustRightInd w:val="0"/>
        <w:jc w:val="center"/>
        <w:rPr>
          <w:rFonts w:eastAsiaTheme="minorHAnsi"/>
          <w:b/>
          <w:bCs/>
          <w:lang w:bidi="ar-SA"/>
        </w:rPr>
      </w:pPr>
    </w:p>
    <w:p w14:paraId="5CCCD293" w14:textId="77777777" w:rsidR="001A03EC" w:rsidRPr="00826634" w:rsidRDefault="001A03EC" w:rsidP="001A03EC">
      <w:pPr>
        <w:autoSpaceDE w:val="0"/>
        <w:autoSpaceDN w:val="0"/>
        <w:adjustRightInd w:val="0"/>
        <w:rPr>
          <w:rFonts w:eastAsiaTheme="minorHAnsi"/>
          <w:iCs/>
          <w:lang w:bidi="ar-SA"/>
        </w:rPr>
      </w:pPr>
      <w:r w:rsidRPr="00826634">
        <w:rPr>
          <w:rFonts w:eastAsiaTheme="minorHAnsi"/>
          <w:lang w:bidi="ar-SA"/>
        </w:rPr>
        <w:t xml:space="preserve">Prepared in accordance with Part 3 of the </w:t>
      </w:r>
      <w:r w:rsidRPr="00826634">
        <w:rPr>
          <w:rFonts w:eastAsiaTheme="minorHAnsi"/>
          <w:i/>
          <w:iCs/>
          <w:lang w:bidi="ar-SA"/>
        </w:rPr>
        <w:t>Human Rights (Parliamentary Scrutiny) Act 2011</w:t>
      </w:r>
    </w:p>
    <w:p w14:paraId="38B74ADD" w14:textId="77777777" w:rsidR="001A03EC" w:rsidRPr="00826634" w:rsidRDefault="001A03EC" w:rsidP="001A03EC">
      <w:pPr>
        <w:autoSpaceDE w:val="0"/>
        <w:autoSpaceDN w:val="0"/>
        <w:adjustRightInd w:val="0"/>
        <w:rPr>
          <w:rFonts w:eastAsiaTheme="minorHAnsi"/>
          <w:iCs/>
          <w:lang w:bidi="ar-SA"/>
        </w:rPr>
      </w:pPr>
    </w:p>
    <w:p w14:paraId="6ABFC49E" w14:textId="77777777" w:rsidR="001A03EC" w:rsidRPr="00826634" w:rsidRDefault="001A03EC" w:rsidP="001A03EC">
      <w:pPr>
        <w:autoSpaceDE w:val="0"/>
        <w:autoSpaceDN w:val="0"/>
        <w:adjustRightInd w:val="0"/>
        <w:rPr>
          <w:rFonts w:eastAsiaTheme="minorHAnsi"/>
          <w:lang w:bidi="ar-SA"/>
        </w:rPr>
      </w:pPr>
      <w:r w:rsidRPr="00F03D99">
        <w:rPr>
          <w:rFonts w:eastAsiaTheme="minorHAnsi"/>
          <w:lang w:bidi="ar-SA"/>
        </w:rPr>
        <w:t xml:space="preserve">The </w:t>
      </w:r>
      <w:r w:rsidRPr="00F03D99">
        <w:rPr>
          <w:i/>
        </w:rPr>
        <w:t xml:space="preserve">Public Governance, </w:t>
      </w:r>
      <w:r w:rsidR="00450BBD" w:rsidRPr="00F03D99">
        <w:rPr>
          <w:i/>
        </w:rPr>
        <w:t>Performance and Accountability</w:t>
      </w:r>
      <w:r w:rsidRPr="00F03D99">
        <w:rPr>
          <w:i/>
        </w:rPr>
        <w:t xml:space="preserve"> </w:t>
      </w:r>
      <w:r w:rsidR="004D2F31" w:rsidRPr="00F03D99">
        <w:rPr>
          <w:i/>
        </w:rPr>
        <w:t>Amendment</w:t>
      </w:r>
      <w:r w:rsidR="00450BBD" w:rsidRPr="00F03D99">
        <w:rPr>
          <w:i/>
        </w:rPr>
        <w:t xml:space="preserve"> (Procurement by Corporate Commonwealth Entities)</w:t>
      </w:r>
      <w:r w:rsidRPr="00F03D99">
        <w:rPr>
          <w:i/>
        </w:rPr>
        <w:t xml:space="preserve"> Rules 2017</w:t>
      </w:r>
      <w:r w:rsidRPr="00F03D99">
        <w:t xml:space="preserve"> (the Amendment Rules) </w:t>
      </w:r>
      <w:r w:rsidRPr="00F03D99">
        <w:rPr>
          <w:rFonts w:eastAsiaTheme="minorHAnsi"/>
          <w:lang w:bidi="ar-SA"/>
        </w:rPr>
        <w:t>are compatible with the human rights and freedoms recognised or declared</w:t>
      </w:r>
      <w:r w:rsidRPr="00826634">
        <w:rPr>
          <w:rFonts w:eastAsiaTheme="minorHAnsi"/>
          <w:lang w:bidi="ar-SA"/>
        </w:rPr>
        <w:t xml:space="preserve"> in the international instruments listed in section</w:t>
      </w:r>
      <w:r>
        <w:rPr>
          <w:rFonts w:eastAsiaTheme="minorHAnsi"/>
          <w:lang w:bidi="ar-SA"/>
        </w:rPr>
        <w:t> </w:t>
      </w:r>
      <w:r w:rsidRPr="00826634">
        <w:rPr>
          <w:rFonts w:eastAsiaTheme="minorHAnsi"/>
          <w:lang w:bidi="ar-SA"/>
        </w:rPr>
        <w:t xml:space="preserve">3 of the </w:t>
      </w:r>
      <w:r w:rsidRPr="00826634">
        <w:rPr>
          <w:rFonts w:eastAsiaTheme="minorHAnsi"/>
          <w:i/>
          <w:iCs/>
          <w:lang w:bidi="ar-SA"/>
        </w:rPr>
        <w:t>Human Rights (Parliamentary Scrutiny) Act 2011.</w:t>
      </w:r>
    </w:p>
    <w:p w14:paraId="59E6D469" w14:textId="77777777" w:rsidR="001A03EC" w:rsidRPr="00826634" w:rsidRDefault="001A03EC" w:rsidP="001A03EC">
      <w:pPr>
        <w:autoSpaceDE w:val="0"/>
        <w:autoSpaceDN w:val="0"/>
        <w:adjustRightInd w:val="0"/>
        <w:rPr>
          <w:rFonts w:eastAsiaTheme="minorHAnsi"/>
          <w:i/>
          <w:iCs/>
          <w:lang w:bidi="ar-SA"/>
        </w:rPr>
      </w:pPr>
    </w:p>
    <w:p w14:paraId="076FB962" w14:textId="77777777" w:rsidR="001A03EC" w:rsidRPr="0012615B" w:rsidRDefault="001A03EC" w:rsidP="001A03EC">
      <w:pPr>
        <w:keepNext/>
        <w:autoSpaceDE w:val="0"/>
        <w:autoSpaceDN w:val="0"/>
        <w:adjustRightInd w:val="0"/>
        <w:spacing w:after="120"/>
        <w:rPr>
          <w:b/>
        </w:rPr>
      </w:pPr>
      <w:r w:rsidRPr="0012615B">
        <w:rPr>
          <w:b/>
        </w:rPr>
        <w:t>Overview of the legislative instrument</w:t>
      </w:r>
    </w:p>
    <w:p w14:paraId="64279407" w14:textId="77777777" w:rsidR="001A03EC" w:rsidRPr="00826634" w:rsidRDefault="001A03EC" w:rsidP="001A03EC">
      <w:r w:rsidRPr="00826634">
        <w:t xml:space="preserve">The </w:t>
      </w:r>
      <w:r w:rsidRPr="00826634">
        <w:rPr>
          <w:i/>
        </w:rPr>
        <w:t>Public Governance, Performance and Accountability Act 2013</w:t>
      </w:r>
      <w:r w:rsidRPr="00826634">
        <w:t xml:space="preserve"> (PGPA Act) establishes a framework for regulating resource management by the Commonwealth and relevant entities. Section</w:t>
      </w:r>
      <w:r>
        <w:t> </w:t>
      </w:r>
      <w:r w:rsidRPr="00826634">
        <w:t>101 of the PGPA Act provides that the Finance Minister may make rules by legislative instrument to prescribe matters giving effect to the Act.</w:t>
      </w:r>
    </w:p>
    <w:p w14:paraId="5D66CFEB" w14:textId="77777777" w:rsidR="001A03EC" w:rsidRPr="00826634" w:rsidRDefault="001A03EC" w:rsidP="001A03EC"/>
    <w:p w14:paraId="4C43627B" w14:textId="08052E80" w:rsidR="001A03EC" w:rsidRPr="00826634" w:rsidRDefault="001A03EC" w:rsidP="001A03EC">
      <w:r w:rsidRPr="00826634">
        <w:t xml:space="preserve">The </w:t>
      </w:r>
      <w:r>
        <w:t xml:space="preserve">Amendment Rules amend the </w:t>
      </w:r>
      <w:r w:rsidRPr="00826634">
        <w:rPr>
          <w:i/>
        </w:rPr>
        <w:t xml:space="preserve">Public Governance, </w:t>
      </w:r>
      <w:r w:rsidR="004D2F31">
        <w:rPr>
          <w:i/>
        </w:rPr>
        <w:t>Performance and Accountability</w:t>
      </w:r>
      <w:r w:rsidRPr="00826634">
        <w:rPr>
          <w:i/>
        </w:rPr>
        <w:t xml:space="preserve"> Rule 20</w:t>
      </w:r>
      <w:r w:rsidR="004D2F31">
        <w:rPr>
          <w:i/>
        </w:rPr>
        <w:t>14</w:t>
      </w:r>
      <w:r w:rsidRPr="00826634">
        <w:t xml:space="preserve"> </w:t>
      </w:r>
      <w:r>
        <w:t>to</w:t>
      </w:r>
      <w:r w:rsidRPr="00826634">
        <w:t xml:space="preserve"> </w:t>
      </w:r>
      <w:r w:rsidR="004D2F31">
        <w:t xml:space="preserve">list two corporate Commonwealth entities: the National Portrait Gallery of Australia, and the Australian Digital Health Agency to prescribe them as corporate Commonwealth entities that must </w:t>
      </w:r>
      <w:r w:rsidR="00D64760">
        <w:t xml:space="preserve">comply with </w:t>
      </w:r>
      <w:r w:rsidR="004D2F31">
        <w:t>the Commonwealth Procurement Rules</w:t>
      </w:r>
      <w:r>
        <w:t xml:space="preserve">. </w:t>
      </w:r>
      <w:r w:rsidRPr="00826634">
        <w:t xml:space="preserve"> </w:t>
      </w:r>
    </w:p>
    <w:p w14:paraId="5025E90A" w14:textId="77777777" w:rsidR="001A03EC" w:rsidRPr="00826634" w:rsidRDefault="001A03EC" w:rsidP="001A03EC"/>
    <w:p w14:paraId="596A1519" w14:textId="77777777" w:rsidR="001A03EC" w:rsidRPr="00826634" w:rsidRDefault="001A03EC" w:rsidP="001A03EC">
      <w:pPr>
        <w:keepNext/>
        <w:autoSpaceDE w:val="0"/>
        <w:autoSpaceDN w:val="0"/>
        <w:adjustRightInd w:val="0"/>
        <w:spacing w:after="120"/>
        <w:rPr>
          <w:b/>
        </w:rPr>
      </w:pPr>
      <w:r w:rsidRPr="00826634">
        <w:rPr>
          <w:b/>
        </w:rPr>
        <w:t>Human rights implications</w:t>
      </w:r>
    </w:p>
    <w:p w14:paraId="55B85292" w14:textId="1282490F" w:rsidR="001A03EC" w:rsidRPr="00826634" w:rsidRDefault="001A03EC" w:rsidP="001A03EC">
      <w:r w:rsidRPr="00826634">
        <w:t xml:space="preserve">The </w:t>
      </w:r>
      <w:r>
        <w:t xml:space="preserve">Amendment Rules </w:t>
      </w:r>
      <w:r w:rsidR="008946F1">
        <w:t>do</w:t>
      </w:r>
      <w:r w:rsidRPr="00826634">
        <w:t xml:space="preserve"> not impinge on any applicable rights or freedoms.</w:t>
      </w:r>
    </w:p>
    <w:p w14:paraId="1B4499DC" w14:textId="77777777" w:rsidR="001A03EC" w:rsidRPr="00826634" w:rsidRDefault="001A03EC" w:rsidP="001A03EC">
      <w:pPr>
        <w:rPr>
          <w:b/>
        </w:rPr>
      </w:pPr>
    </w:p>
    <w:p w14:paraId="31CF5933" w14:textId="77777777" w:rsidR="001A03EC" w:rsidRPr="00826634" w:rsidRDefault="001A03EC" w:rsidP="001A03EC">
      <w:pPr>
        <w:keepNext/>
        <w:autoSpaceDE w:val="0"/>
        <w:autoSpaceDN w:val="0"/>
        <w:adjustRightInd w:val="0"/>
        <w:spacing w:after="120"/>
        <w:rPr>
          <w:b/>
        </w:rPr>
      </w:pPr>
      <w:r w:rsidRPr="00826634">
        <w:rPr>
          <w:b/>
        </w:rPr>
        <w:t>Conclusion</w:t>
      </w:r>
    </w:p>
    <w:p w14:paraId="7A9DCFEB" w14:textId="0E4EAB46" w:rsidR="001A03EC" w:rsidRPr="00826634" w:rsidRDefault="001A03EC" w:rsidP="001A03EC">
      <w:r w:rsidRPr="00826634">
        <w:t xml:space="preserve">The </w:t>
      </w:r>
      <w:r>
        <w:t xml:space="preserve">Amendment Rules </w:t>
      </w:r>
      <w:r w:rsidR="00D64760">
        <w:t>are</w:t>
      </w:r>
      <w:r w:rsidRPr="00826634">
        <w:t xml:space="preserve"> compatible with human </w:t>
      </w:r>
      <w:proofErr w:type="gramStart"/>
      <w:r w:rsidRPr="00826634">
        <w:t>rights</w:t>
      </w:r>
      <w:proofErr w:type="gramEnd"/>
      <w:r w:rsidRPr="00826634">
        <w:t xml:space="preserve"> as </w:t>
      </w:r>
      <w:r w:rsidR="00D64760">
        <w:t>the rules</w:t>
      </w:r>
      <w:r w:rsidRPr="00826634">
        <w:t xml:space="preserve"> do not raise any human rights issues.</w:t>
      </w:r>
    </w:p>
    <w:p w14:paraId="133E54C6" w14:textId="77777777" w:rsidR="001A03EC" w:rsidRDefault="001A03EC"/>
    <w:sectPr w:rsidR="001A03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EC"/>
    <w:rsid w:val="001A03EC"/>
    <w:rsid w:val="002216D5"/>
    <w:rsid w:val="00376831"/>
    <w:rsid w:val="00412B6A"/>
    <w:rsid w:val="00450BBD"/>
    <w:rsid w:val="004D2F31"/>
    <w:rsid w:val="005B300A"/>
    <w:rsid w:val="00672B25"/>
    <w:rsid w:val="006A58E3"/>
    <w:rsid w:val="007F33BF"/>
    <w:rsid w:val="008946F1"/>
    <w:rsid w:val="00895797"/>
    <w:rsid w:val="0099086B"/>
    <w:rsid w:val="00A9714F"/>
    <w:rsid w:val="00AB1248"/>
    <w:rsid w:val="00BD799E"/>
    <w:rsid w:val="00C451D1"/>
    <w:rsid w:val="00D64760"/>
    <w:rsid w:val="00E507DF"/>
    <w:rsid w:val="00F02509"/>
    <w:rsid w:val="00F03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07BE"/>
  <w15:chartTrackingRefBased/>
  <w15:docId w15:val="{DA7E0B15-150A-4234-A604-21131FBA2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3EC"/>
    <w:pPr>
      <w:spacing w:after="0" w:line="240" w:lineRule="auto"/>
    </w:pPr>
    <w:rPr>
      <w:rFonts w:ascii="Times New Roman" w:eastAsiaTheme="minorEastAsia" w:hAnsi="Times New Roman" w:cs="Times New Roman"/>
      <w:sz w:val="24"/>
      <w:szCs w:val="24"/>
      <w:lang w:bidi="en-US"/>
    </w:rPr>
  </w:style>
  <w:style w:type="paragraph" w:styleId="Heading1">
    <w:name w:val="heading 1"/>
    <w:basedOn w:val="Normal"/>
    <w:next w:val="Normal"/>
    <w:link w:val="Heading1Char"/>
    <w:uiPriority w:val="9"/>
    <w:qFormat/>
    <w:rsid w:val="001A03EC"/>
    <w:pPr>
      <w:spacing w:before="480"/>
      <w:contextualSpacing/>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3EC"/>
    <w:rPr>
      <w:rFonts w:asciiTheme="majorHAnsi" w:eastAsiaTheme="majorEastAsia" w:hAnsiTheme="majorHAnsi" w:cstheme="majorBidi"/>
      <w:b/>
      <w:bCs/>
      <w:sz w:val="28"/>
      <w:szCs w:val="28"/>
      <w:lang w:bidi="en-US"/>
    </w:rPr>
  </w:style>
  <w:style w:type="paragraph" w:customStyle="1" w:styleId="ShortT">
    <w:name w:val="ShortT"/>
    <w:basedOn w:val="Normal"/>
    <w:next w:val="Normal"/>
    <w:qFormat/>
    <w:rsid w:val="001A03EC"/>
    <w:rPr>
      <w:rFonts w:eastAsia="Times New Roman"/>
      <w:b/>
      <w:sz w:val="40"/>
      <w:szCs w:val="20"/>
      <w:lang w:eastAsia="en-AU" w:bidi="ar-SA"/>
    </w:rPr>
  </w:style>
  <w:style w:type="paragraph" w:styleId="BalloonText">
    <w:name w:val="Balloon Text"/>
    <w:basedOn w:val="Normal"/>
    <w:link w:val="BalloonTextChar"/>
    <w:uiPriority w:val="99"/>
    <w:semiHidden/>
    <w:unhideWhenUsed/>
    <w:rsid w:val="00C451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1D1"/>
    <w:rPr>
      <w:rFonts w:ascii="Segoe UI" w:eastAsiaTheme="minorEastAsia" w:hAnsi="Segoe UI" w:cs="Segoe UI"/>
      <w:sz w:val="18"/>
      <w:szCs w:val="18"/>
      <w:lang w:bidi="en-US"/>
    </w:rPr>
  </w:style>
  <w:style w:type="character" w:styleId="CommentReference">
    <w:name w:val="annotation reference"/>
    <w:basedOn w:val="DefaultParagraphFont"/>
    <w:uiPriority w:val="99"/>
    <w:semiHidden/>
    <w:unhideWhenUsed/>
    <w:rsid w:val="00C451D1"/>
    <w:rPr>
      <w:sz w:val="16"/>
      <w:szCs w:val="16"/>
    </w:rPr>
  </w:style>
  <w:style w:type="paragraph" w:styleId="CommentText">
    <w:name w:val="annotation text"/>
    <w:basedOn w:val="Normal"/>
    <w:link w:val="CommentTextChar"/>
    <w:uiPriority w:val="99"/>
    <w:semiHidden/>
    <w:unhideWhenUsed/>
    <w:rsid w:val="00C451D1"/>
    <w:rPr>
      <w:sz w:val="20"/>
      <w:szCs w:val="20"/>
    </w:rPr>
  </w:style>
  <w:style w:type="character" w:customStyle="1" w:styleId="CommentTextChar">
    <w:name w:val="Comment Text Char"/>
    <w:basedOn w:val="DefaultParagraphFont"/>
    <w:link w:val="CommentText"/>
    <w:uiPriority w:val="99"/>
    <w:semiHidden/>
    <w:rsid w:val="00C451D1"/>
    <w:rPr>
      <w:rFonts w:ascii="Times New Roman" w:eastAsiaTheme="minorEastAsia"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C451D1"/>
    <w:rPr>
      <w:b/>
      <w:bCs/>
    </w:rPr>
  </w:style>
  <w:style w:type="character" w:customStyle="1" w:styleId="CommentSubjectChar">
    <w:name w:val="Comment Subject Char"/>
    <w:basedOn w:val="CommentTextChar"/>
    <w:link w:val="CommentSubject"/>
    <w:uiPriority w:val="99"/>
    <w:semiHidden/>
    <w:rsid w:val="00C451D1"/>
    <w:rPr>
      <w:rFonts w:ascii="Times New Roman" w:eastAsiaTheme="minorEastAsia" w:hAnsi="Times New Roman"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COOG-1907-7392</_dlc_DocId>
    <_dlc_DocIdUrl xmlns="9eaec612-449c-4f02-bff7-1edcfe83088c">
      <Url>http://coog/Legal Service/_layouts/DocIdRedir.aspx?ID=COOG-1907-7392</Url>
      <Description>COOG-1907-7392</Description>
    </_dlc_DocIdUrl>
  </documentManagement>
</p:properties>
</file>

<file path=customXml/itemProps1.xml><?xml version="1.0" encoding="utf-8"?>
<ds:datastoreItem xmlns:ds="http://schemas.openxmlformats.org/officeDocument/2006/customXml" ds:itemID="{F73A6ADA-E764-449F-BA88-36407E82DC18}"/>
</file>

<file path=customXml/itemProps2.xml><?xml version="1.0" encoding="utf-8"?>
<ds:datastoreItem xmlns:ds="http://schemas.openxmlformats.org/officeDocument/2006/customXml" ds:itemID="{614AE74F-8A3A-47FB-9EE7-FAF13AF81E6E}"/>
</file>

<file path=customXml/itemProps3.xml><?xml version="1.0" encoding="utf-8"?>
<ds:datastoreItem xmlns:ds="http://schemas.openxmlformats.org/officeDocument/2006/customXml" ds:itemID="{AD2341F5-5711-485D-A697-ABE82B831A52}"/>
</file>

<file path=customXml/itemProps4.xml><?xml version="1.0" encoding="utf-8"?>
<ds:datastoreItem xmlns:ds="http://schemas.openxmlformats.org/officeDocument/2006/customXml" ds:itemID="{CE8F5DA8-BC9E-478D-9FBB-D18CFE0998FA}"/>
</file>

<file path=docProps/app.xml><?xml version="1.0" encoding="utf-8"?>
<Properties xmlns="http://schemas.openxmlformats.org/officeDocument/2006/extended-properties" xmlns:vt="http://schemas.openxmlformats.org/officeDocument/2006/docPropsVTypes">
  <Template>BD19FE42</Template>
  <TotalTime>0</TotalTime>
  <Pages>3</Pages>
  <Words>766</Words>
  <Characters>4370</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Tieu, Alexander</dc:creator>
  <cp:keywords/>
  <dc:description/>
  <cp:lastModifiedBy>Morgan, Katrina</cp:lastModifiedBy>
  <cp:revision>2</cp:revision>
  <dcterms:created xsi:type="dcterms:W3CDTF">2017-12-14T01:01:00Z</dcterms:created>
  <dcterms:modified xsi:type="dcterms:W3CDTF">2017-12-14T01:01:00Z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7016b814-0c00-4bb4-8b20-0248e6809bb5</vt:lpwstr>
  </property>
</Properties>
</file>