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11084" w:rsidRDefault="00DA186E" w:rsidP="00B05CF4">
      <w:pPr>
        <w:rPr>
          <w:sz w:val="28"/>
        </w:rPr>
      </w:pPr>
      <w:r w:rsidRPr="00C11084">
        <w:rPr>
          <w:noProof/>
          <w:lang w:eastAsia="en-AU"/>
        </w:rPr>
        <w:drawing>
          <wp:inline distT="0" distB="0" distL="0" distR="0" wp14:anchorId="0BE6136B" wp14:editId="1483B9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11084" w:rsidRDefault="00715914" w:rsidP="00715914">
      <w:pPr>
        <w:rPr>
          <w:sz w:val="19"/>
        </w:rPr>
      </w:pPr>
    </w:p>
    <w:p w:rsidR="00715914" w:rsidRPr="00C11084" w:rsidRDefault="005A6570" w:rsidP="00715914">
      <w:pPr>
        <w:pStyle w:val="ShortT"/>
      </w:pPr>
      <w:r w:rsidRPr="00C11084">
        <w:t xml:space="preserve">Parliamentary Business Resources (Consequential and Transitional Provisions) </w:t>
      </w:r>
      <w:r w:rsidR="007F2ED5" w:rsidRPr="00C11084">
        <w:t>Regulations</w:t>
      </w:r>
      <w:r w:rsidR="00C11084" w:rsidRPr="00C11084">
        <w:t> </w:t>
      </w:r>
      <w:r w:rsidRPr="00C11084">
        <w:t>2017</w:t>
      </w:r>
    </w:p>
    <w:p w:rsidR="00CD29BF" w:rsidRPr="00C11084" w:rsidRDefault="00CD29BF" w:rsidP="007517B8">
      <w:pPr>
        <w:pStyle w:val="SignCoverPageStart"/>
        <w:spacing w:before="240"/>
        <w:rPr>
          <w:szCs w:val="22"/>
        </w:rPr>
      </w:pPr>
      <w:r w:rsidRPr="00C11084">
        <w:rPr>
          <w:szCs w:val="22"/>
        </w:rPr>
        <w:t xml:space="preserve">I, General the Honourable Sir Peter Cosgrove AK MC (Ret’d), </w:t>
      </w:r>
      <w:r w:rsidR="00C11084" w:rsidRPr="00C11084">
        <w:rPr>
          <w:szCs w:val="22"/>
        </w:rPr>
        <w:t>Governor</w:t>
      </w:r>
      <w:r w:rsidR="00C11084">
        <w:rPr>
          <w:szCs w:val="22"/>
        </w:rPr>
        <w:noBreakHyphen/>
      </w:r>
      <w:r w:rsidR="00C11084" w:rsidRPr="00C11084">
        <w:rPr>
          <w:szCs w:val="22"/>
        </w:rPr>
        <w:t>General</w:t>
      </w:r>
      <w:r w:rsidRPr="00C11084">
        <w:rPr>
          <w:szCs w:val="22"/>
        </w:rPr>
        <w:t xml:space="preserve"> of the Commonwealth of Australia, acting with the advice of the Federal Executive Council, make the following regulations.</w:t>
      </w:r>
    </w:p>
    <w:p w:rsidR="00CD29BF" w:rsidRPr="00C11084" w:rsidRDefault="00CD29B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11084">
        <w:rPr>
          <w:szCs w:val="22"/>
        </w:rPr>
        <w:t xml:space="preserve">Dated </w:t>
      </w:r>
      <w:r w:rsidRPr="00C11084">
        <w:rPr>
          <w:szCs w:val="22"/>
        </w:rPr>
        <w:fldChar w:fldCharType="begin"/>
      </w:r>
      <w:r w:rsidRPr="00C11084">
        <w:rPr>
          <w:szCs w:val="22"/>
        </w:rPr>
        <w:instrText xml:space="preserve"> DOCPROPERTY  DateMade </w:instrText>
      </w:r>
      <w:r w:rsidRPr="00C11084">
        <w:rPr>
          <w:szCs w:val="22"/>
        </w:rPr>
        <w:fldChar w:fldCharType="separate"/>
      </w:r>
      <w:r w:rsidR="0009746D">
        <w:rPr>
          <w:szCs w:val="22"/>
        </w:rPr>
        <w:t>14 December 2017</w:t>
      </w:r>
      <w:r w:rsidRPr="00C11084">
        <w:rPr>
          <w:szCs w:val="22"/>
        </w:rPr>
        <w:fldChar w:fldCharType="end"/>
      </w:r>
    </w:p>
    <w:p w:rsidR="00CD29BF" w:rsidRPr="00C11084" w:rsidRDefault="00CD29B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11084">
        <w:rPr>
          <w:szCs w:val="22"/>
        </w:rPr>
        <w:t>Peter Cosgrove</w:t>
      </w:r>
    </w:p>
    <w:p w:rsidR="00CD29BF" w:rsidRPr="00C11084" w:rsidRDefault="00C1108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11084">
        <w:rPr>
          <w:szCs w:val="22"/>
        </w:rPr>
        <w:t>Governor</w:t>
      </w:r>
      <w:r>
        <w:rPr>
          <w:szCs w:val="22"/>
        </w:rPr>
        <w:noBreakHyphen/>
      </w:r>
      <w:r w:rsidRPr="00C11084">
        <w:rPr>
          <w:szCs w:val="22"/>
        </w:rPr>
        <w:t>General</w:t>
      </w:r>
    </w:p>
    <w:p w:rsidR="00CD29BF" w:rsidRPr="00C11084" w:rsidRDefault="00CD29B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11084">
        <w:rPr>
          <w:szCs w:val="22"/>
        </w:rPr>
        <w:t>By His Excellency’s Command</w:t>
      </w:r>
    </w:p>
    <w:p w:rsidR="00CD29BF" w:rsidRPr="00C11084" w:rsidRDefault="00CD29B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11084">
        <w:rPr>
          <w:szCs w:val="22"/>
        </w:rPr>
        <w:t>Mathias Cormann</w:t>
      </w:r>
    </w:p>
    <w:p w:rsidR="00295187" w:rsidRPr="00C11084" w:rsidRDefault="00295187" w:rsidP="00295187">
      <w:pPr>
        <w:pStyle w:val="SignCoverPageEnd"/>
        <w:rPr>
          <w:szCs w:val="22"/>
        </w:rPr>
      </w:pPr>
      <w:r w:rsidRPr="00C11084">
        <w:rPr>
          <w:szCs w:val="22"/>
        </w:rPr>
        <w:t>Minister for Finance</w:t>
      </w:r>
    </w:p>
    <w:p w:rsidR="00CD29BF" w:rsidRPr="00C11084" w:rsidRDefault="00CD29BF" w:rsidP="007517B8"/>
    <w:p w:rsidR="00CD29BF" w:rsidRPr="00C11084" w:rsidRDefault="00CD29BF" w:rsidP="007517B8"/>
    <w:p w:rsidR="00CD29BF" w:rsidRPr="00C11084" w:rsidRDefault="00CD29BF" w:rsidP="007517B8"/>
    <w:p w:rsidR="00CD29BF" w:rsidRPr="00C11084" w:rsidRDefault="00CD29BF" w:rsidP="00CD29BF"/>
    <w:p w:rsidR="00715914" w:rsidRPr="00C11084" w:rsidRDefault="00715914" w:rsidP="00715914">
      <w:pPr>
        <w:pStyle w:val="Header"/>
        <w:tabs>
          <w:tab w:val="clear" w:pos="4150"/>
          <w:tab w:val="clear" w:pos="8307"/>
        </w:tabs>
      </w:pPr>
      <w:r w:rsidRPr="00C11084">
        <w:rPr>
          <w:rStyle w:val="CharChapNo"/>
        </w:rPr>
        <w:t xml:space="preserve"> </w:t>
      </w:r>
      <w:r w:rsidRPr="00C11084">
        <w:rPr>
          <w:rStyle w:val="CharChapText"/>
        </w:rPr>
        <w:t xml:space="preserve"> </w:t>
      </w:r>
    </w:p>
    <w:p w:rsidR="00715914" w:rsidRPr="00C11084" w:rsidRDefault="00715914" w:rsidP="00715914">
      <w:pPr>
        <w:pStyle w:val="Header"/>
        <w:tabs>
          <w:tab w:val="clear" w:pos="4150"/>
          <w:tab w:val="clear" w:pos="8307"/>
        </w:tabs>
      </w:pPr>
      <w:r w:rsidRPr="00C11084">
        <w:rPr>
          <w:rStyle w:val="CharPartNo"/>
        </w:rPr>
        <w:t xml:space="preserve"> </w:t>
      </w:r>
      <w:r w:rsidRPr="00C11084">
        <w:rPr>
          <w:rStyle w:val="CharPartText"/>
        </w:rPr>
        <w:t xml:space="preserve"> </w:t>
      </w:r>
    </w:p>
    <w:p w:rsidR="00715914" w:rsidRPr="00C11084" w:rsidRDefault="00715914" w:rsidP="00715914">
      <w:pPr>
        <w:pStyle w:val="Header"/>
        <w:tabs>
          <w:tab w:val="clear" w:pos="4150"/>
          <w:tab w:val="clear" w:pos="8307"/>
        </w:tabs>
      </w:pPr>
      <w:r w:rsidRPr="00C11084">
        <w:rPr>
          <w:rStyle w:val="CharDivNo"/>
        </w:rPr>
        <w:t xml:space="preserve"> </w:t>
      </w:r>
      <w:r w:rsidRPr="00C11084">
        <w:rPr>
          <w:rStyle w:val="CharDivText"/>
        </w:rPr>
        <w:t xml:space="preserve"> </w:t>
      </w:r>
    </w:p>
    <w:p w:rsidR="00715914" w:rsidRPr="00C11084" w:rsidRDefault="00715914" w:rsidP="00715914">
      <w:pPr>
        <w:sectPr w:rsidR="00715914" w:rsidRPr="00C11084" w:rsidSect="009A4A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11084" w:rsidRDefault="00715914" w:rsidP="00701454">
      <w:pPr>
        <w:rPr>
          <w:sz w:val="36"/>
        </w:rPr>
      </w:pPr>
      <w:r w:rsidRPr="00C11084">
        <w:rPr>
          <w:sz w:val="36"/>
        </w:rPr>
        <w:lastRenderedPageBreak/>
        <w:t>Contents</w:t>
      </w:r>
    </w:p>
    <w:p w:rsidR="007D3B3F" w:rsidRPr="00C11084" w:rsidRDefault="007D3B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1084">
        <w:fldChar w:fldCharType="begin"/>
      </w:r>
      <w:r w:rsidRPr="00C11084">
        <w:instrText xml:space="preserve"> TOC \o "1-9" </w:instrText>
      </w:r>
      <w:r w:rsidRPr="00C11084">
        <w:fldChar w:fldCharType="separate"/>
      </w:r>
      <w:r w:rsidRPr="00C11084">
        <w:rPr>
          <w:noProof/>
        </w:rPr>
        <w:t>Part</w:t>
      </w:r>
      <w:r w:rsidR="00C11084" w:rsidRPr="00C11084">
        <w:rPr>
          <w:noProof/>
        </w:rPr>
        <w:t> </w:t>
      </w:r>
      <w:r w:rsidRPr="00C11084">
        <w:rPr>
          <w:noProof/>
        </w:rPr>
        <w:t>1—Preliminary</w:t>
      </w:r>
      <w:r w:rsidRPr="00C11084">
        <w:rPr>
          <w:b w:val="0"/>
          <w:noProof/>
          <w:sz w:val="18"/>
        </w:rPr>
        <w:tab/>
      </w:r>
      <w:r w:rsidRPr="00C11084">
        <w:rPr>
          <w:b w:val="0"/>
          <w:noProof/>
          <w:sz w:val="18"/>
        </w:rPr>
        <w:fldChar w:fldCharType="begin"/>
      </w:r>
      <w:r w:rsidRPr="00C11084">
        <w:rPr>
          <w:b w:val="0"/>
          <w:noProof/>
          <w:sz w:val="18"/>
        </w:rPr>
        <w:instrText xml:space="preserve"> PAGEREF _Toc500237661 \h </w:instrText>
      </w:r>
      <w:r w:rsidRPr="00C11084">
        <w:rPr>
          <w:b w:val="0"/>
          <w:noProof/>
          <w:sz w:val="18"/>
        </w:rPr>
      </w:r>
      <w:r w:rsidRPr="00C11084">
        <w:rPr>
          <w:b w:val="0"/>
          <w:noProof/>
          <w:sz w:val="18"/>
        </w:rPr>
        <w:fldChar w:fldCharType="separate"/>
      </w:r>
      <w:r w:rsidR="0009746D">
        <w:rPr>
          <w:b w:val="0"/>
          <w:noProof/>
          <w:sz w:val="18"/>
        </w:rPr>
        <w:t>1</w:t>
      </w:r>
      <w:r w:rsidRPr="00C11084">
        <w:rPr>
          <w:b w:val="0"/>
          <w:noProof/>
          <w:sz w:val="18"/>
        </w:rPr>
        <w:fldChar w:fldCharType="end"/>
      </w:r>
    </w:p>
    <w:p w:rsidR="007D3B3F" w:rsidRPr="00C11084" w:rsidRDefault="007D3B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084">
        <w:rPr>
          <w:noProof/>
        </w:rPr>
        <w:t>1</w:t>
      </w:r>
      <w:r w:rsidRPr="00C11084">
        <w:rPr>
          <w:noProof/>
        </w:rPr>
        <w:tab/>
        <w:t>Name</w:t>
      </w:r>
      <w:r w:rsidRPr="00C11084">
        <w:rPr>
          <w:noProof/>
        </w:rPr>
        <w:tab/>
      </w:r>
      <w:r w:rsidRPr="00C11084">
        <w:rPr>
          <w:noProof/>
        </w:rPr>
        <w:fldChar w:fldCharType="begin"/>
      </w:r>
      <w:r w:rsidRPr="00C11084">
        <w:rPr>
          <w:noProof/>
        </w:rPr>
        <w:instrText xml:space="preserve"> PAGEREF _Toc500237662 \h </w:instrText>
      </w:r>
      <w:r w:rsidRPr="00C11084">
        <w:rPr>
          <w:noProof/>
        </w:rPr>
      </w:r>
      <w:r w:rsidRPr="00C11084">
        <w:rPr>
          <w:noProof/>
        </w:rPr>
        <w:fldChar w:fldCharType="separate"/>
      </w:r>
      <w:r w:rsidR="0009746D">
        <w:rPr>
          <w:noProof/>
        </w:rPr>
        <w:t>1</w:t>
      </w:r>
      <w:r w:rsidRPr="00C11084">
        <w:rPr>
          <w:noProof/>
        </w:rPr>
        <w:fldChar w:fldCharType="end"/>
      </w:r>
    </w:p>
    <w:p w:rsidR="007D3B3F" w:rsidRPr="00C11084" w:rsidRDefault="007D3B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084">
        <w:rPr>
          <w:noProof/>
        </w:rPr>
        <w:t>2</w:t>
      </w:r>
      <w:r w:rsidRPr="00C11084">
        <w:rPr>
          <w:noProof/>
        </w:rPr>
        <w:tab/>
        <w:t>Commencement</w:t>
      </w:r>
      <w:r w:rsidRPr="00C11084">
        <w:rPr>
          <w:noProof/>
        </w:rPr>
        <w:tab/>
      </w:r>
      <w:r w:rsidRPr="00C11084">
        <w:rPr>
          <w:noProof/>
        </w:rPr>
        <w:fldChar w:fldCharType="begin"/>
      </w:r>
      <w:r w:rsidRPr="00C11084">
        <w:rPr>
          <w:noProof/>
        </w:rPr>
        <w:instrText xml:space="preserve"> PAGEREF _Toc500237663 \h </w:instrText>
      </w:r>
      <w:r w:rsidRPr="00C11084">
        <w:rPr>
          <w:noProof/>
        </w:rPr>
      </w:r>
      <w:r w:rsidRPr="00C11084">
        <w:rPr>
          <w:noProof/>
        </w:rPr>
        <w:fldChar w:fldCharType="separate"/>
      </w:r>
      <w:r w:rsidR="0009746D">
        <w:rPr>
          <w:noProof/>
        </w:rPr>
        <w:t>1</w:t>
      </w:r>
      <w:r w:rsidRPr="00C11084">
        <w:rPr>
          <w:noProof/>
        </w:rPr>
        <w:fldChar w:fldCharType="end"/>
      </w:r>
    </w:p>
    <w:p w:rsidR="007D3B3F" w:rsidRPr="00C11084" w:rsidRDefault="007D3B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084">
        <w:rPr>
          <w:noProof/>
        </w:rPr>
        <w:t>3</w:t>
      </w:r>
      <w:r w:rsidRPr="00C11084">
        <w:rPr>
          <w:noProof/>
        </w:rPr>
        <w:tab/>
        <w:t>Authority</w:t>
      </w:r>
      <w:r w:rsidRPr="00C11084">
        <w:rPr>
          <w:noProof/>
        </w:rPr>
        <w:tab/>
      </w:r>
      <w:r w:rsidRPr="00C11084">
        <w:rPr>
          <w:noProof/>
        </w:rPr>
        <w:fldChar w:fldCharType="begin"/>
      </w:r>
      <w:r w:rsidRPr="00C11084">
        <w:rPr>
          <w:noProof/>
        </w:rPr>
        <w:instrText xml:space="preserve"> PAGEREF _Toc500237664 \h </w:instrText>
      </w:r>
      <w:r w:rsidRPr="00C11084">
        <w:rPr>
          <w:noProof/>
        </w:rPr>
      </w:r>
      <w:r w:rsidRPr="00C11084">
        <w:rPr>
          <w:noProof/>
        </w:rPr>
        <w:fldChar w:fldCharType="separate"/>
      </w:r>
      <w:r w:rsidR="0009746D">
        <w:rPr>
          <w:noProof/>
        </w:rPr>
        <w:t>1</w:t>
      </w:r>
      <w:r w:rsidRPr="00C11084">
        <w:rPr>
          <w:noProof/>
        </w:rPr>
        <w:fldChar w:fldCharType="end"/>
      </w:r>
    </w:p>
    <w:p w:rsidR="007D3B3F" w:rsidRPr="00C11084" w:rsidRDefault="007D3B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084">
        <w:rPr>
          <w:noProof/>
        </w:rPr>
        <w:t>4</w:t>
      </w:r>
      <w:r w:rsidRPr="00C11084">
        <w:rPr>
          <w:noProof/>
        </w:rPr>
        <w:tab/>
        <w:t>Definitions</w:t>
      </w:r>
      <w:r w:rsidRPr="00C11084">
        <w:rPr>
          <w:noProof/>
        </w:rPr>
        <w:tab/>
      </w:r>
      <w:r w:rsidRPr="00C11084">
        <w:rPr>
          <w:noProof/>
        </w:rPr>
        <w:fldChar w:fldCharType="begin"/>
      </w:r>
      <w:r w:rsidRPr="00C11084">
        <w:rPr>
          <w:noProof/>
        </w:rPr>
        <w:instrText xml:space="preserve"> PAGEREF _Toc500237665 \h </w:instrText>
      </w:r>
      <w:r w:rsidRPr="00C11084">
        <w:rPr>
          <w:noProof/>
        </w:rPr>
      </w:r>
      <w:r w:rsidRPr="00C11084">
        <w:rPr>
          <w:noProof/>
        </w:rPr>
        <w:fldChar w:fldCharType="separate"/>
      </w:r>
      <w:r w:rsidR="0009746D">
        <w:rPr>
          <w:noProof/>
        </w:rPr>
        <w:t>1</w:t>
      </w:r>
      <w:r w:rsidRPr="00C11084">
        <w:rPr>
          <w:noProof/>
        </w:rPr>
        <w:fldChar w:fldCharType="end"/>
      </w:r>
    </w:p>
    <w:p w:rsidR="007D3B3F" w:rsidRPr="00C11084" w:rsidRDefault="007D3B3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11084">
        <w:rPr>
          <w:noProof/>
        </w:rPr>
        <w:t>Part</w:t>
      </w:r>
      <w:r w:rsidR="00C11084" w:rsidRPr="00C11084">
        <w:rPr>
          <w:noProof/>
        </w:rPr>
        <w:t> </w:t>
      </w:r>
      <w:r w:rsidRPr="00C11084">
        <w:rPr>
          <w:noProof/>
        </w:rPr>
        <w:t>2—Modification of Schedule</w:t>
      </w:r>
      <w:r w:rsidR="00C11084" w:rsidRPr="00C11084">
        <w:rPr>
          <w:noProof/>
        </w:rPr>
        <w:t> </w:t>
      </w:r>
      <w:r w:rsidRPr="00C11084">
        <w:rPr>
          <w:noProof/>
        </w:rPr>
        <w:t>3 to the Act</w:t>
      </w:r>
      <w:r w:rsidRPr="00C11084">
        <w:rPr>
          <w:b w:val="0"/>
          <w:noProof/>
          <w:sz w:val="18"/>
        </w:rPr>
        <w:tab/>
      </w:r>
      <w:r w:rsidRPr="00C11084">
        <w:rPr>
          <w:b w:val="0"/>
          <w:noProof/>
          <w:sz w:val="18"/>
        </w:rPr>
        <w:fldChar w:fldCharType="begin"/>
      </w:r>
      <w:r w:rsidRPr="00C11084">
        <w:rPr>
          <w:b w:val="0"/>
          <w:noProof/>
          <w:sz w:val="18"/>
        </w:rPr>
        <w:instrText xml:space="preserve"> PAGEREF _Toc500237666 \h </w:instrText>
      </w:r>
      <w:r w:rsidRPr="00C11084">
        <w:rPr>
          <w:b w:val="0"/>
          <w:noProof/>
          <w:sz w:val="18"/>
        </w:rPr>
      </w:r>
      <w:r w:rsidRPr="00C11084">
        <w:rPr>
          <w:b w:val="0"/>
          <w:noProof/>
          <w:sz w:val="18"/>
        </w:rPr>
        <w:fldChar w:fldCharType="separate"/>
      </w:r>
      <w:r w:rsidR="0009746D">
        <w:rPr>
          <w:b w:val="0"/>
          <w:noProof/>
          <w:sz w:val="18"/>
        </w:rPr>
        <w:t>2</w:t>
      </w:r>
      <w:r w:rsidRPr="00C11084">
        <w:rPr>
          <w:b w:val="0"/>
          <w:noProof/>
          <w:sz w:val="18"/>
        </w:rPr>
        <w:fldChar w:fldCharType="end"/>
      </w:r>
    </w:p>
    <w:p w:rsidR="007D3B3F" w:rsidRPr="00C11084" w:rsidRDefault="007D3B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084">
        <w:rPr>
          <w:noProof/>
        </w:rPr>
        <w:t>5</w:t>
      </w:r>
      <w:r w:rsidRPr="00C11084">
        <w:rPr>
          <w:noProof/>
        </w:rPr>
        <w:tab/>
        <w:t>Modification of rule about approvals being in force</w:t>
      </w:r>
      <w:r w:rsidRPr="00C11084">
        <w:rPr>
          <w:noProof/>
        </w:rPr>
        <w:tab/>
      </w:r>
      <w:r w:rsidRPr="00C11084">
        <w:rPr>
          <w:noProof/>
        </w:rPr>
        <w:fldChar w:fldCharType="begin"/>
      </w:r>
      <w:r w:rsidRPr="00C11084">
        <w:rPr>
          <w:noProof/>
        </w:rPr>
        <w:instrText xml:space="preserve"> PAGEREF _Toc500237667 \h </w:instrText>
      </w:r>
      <w:r w:rsidRPr="00C11084">
        <w:rPr>
          <w:noProof/>
        </w:rPr>
      </w:r>
      <w:r w:rsidRPr="00C11084">
        <w:rPr>
          <w:noProof/>
        </w:rPr>
        <w:fldChar w:fldCharType="separate"/>
      </w:r>
      <w:r w:rsidR="0009746D">
        <w:rPr>
          <w:noProof/>
        </w:rPr>
        <w:t>2</w:t>
      </w:r>
      <w:r w:rsidRPr="00C11084">
        <w:rPr>
          <w:noProof/>
        </w:rPr>
        <w:fldChar w:fldCharType="end"/>
      </w:r>
    </w:p>
    <w:p w:rsidR="007D3B3F" w:rsidRPr="00C11084" w:rsidRDefault="007D3B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084">
        <w:rPr>
          <w:noProof/>
        </w:rPr>
        <w:t>6</w:t>
      </w:r>
      <w:r w:rsidRPr="00C11084">
        <w:rPr>
          <w:noProof/>
        </w:rPr>
        <w:tab/>
        <w:t>New items for Schedule</w:t>
      </w:r>
      <w:r w:rsidR="00C11084" w:rsidRPr="00C11084">
        <w:rPr>
          <w:noProof/>
        </w:rPr>
        <w:t> </w:t>
      </w:r>
      <w:r w:rsidRPr="00C11084">
        <w:rPr>
          <w:noProof/>
        </w:rPr>
        <w:t>3</w:t>
      </w:r>
      <w:r w:rsidRPr="00C11084">
        <w:rPr>
          <w:noProof/>
        </w:rPr>
        <w:tab/>
      </w:r>
      <w:r w:rsidRPr="00C11084">
        <w:rPr>
          <w:noProof/>
        </w:rPr>
        <w:fldChar w:fldCharType="begin"/>
      </w:r>
      <w:r w:rsidRPr="00C11084">
        <w:rPr>
          <w:noProof/>
        </w:rPr>
        <w:instrText xml:space="preserve"> PAGEREF _Toc500237668 \h </w:instrText>
      </w:r>
      <w:r w:rsidRPr="00C11084">
        <w:rPr>
          <w:noProof/>
        </w:rPr>
      </w:r>
      <w:r w:rsidRPr="00C11084">
        <w:rPr>
          <w:noProof/>
        </w:rPr>
        <w:fldChar w:fldCharType="separate"/>
      </w:r>
      <w:r w:rsidR="0009746D">
        <w:rPr>
          <w:noProof/>
        </w:rPr>
        <w:t>2</w:t>
      </w:r>
      <w:r w:rsidRPr="00C11084">
        <w:rPr>
          <w:noProof/>
        </w:rPr>
        <w:fldChar w:fldCharType="end"/>
      </w:r>
    </w:p>
    <w:p w:rsidR="00670EA1" w:rsidRPr="00C11084" w:rsidRDefault="007D3B3F" w:rsidP="00715914">
      <w:r w:rsidRPr="00C11084">
        <w:fldChar w:fldCharType="end"/>
      </w:r>
    </w:p>
    <w:p w:rsidR="00670EA1" w:rsidRPr="00C11084" w:rsidRDefault="00670EA1" w:rsidP="00715914">
      <w:pPr>
        <w:sectPr w:rsidR="00670EA1" w:rsidRPr="00C11084" w:rsidSect="009A4A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11084" w:rsidRDefault="00715914" w:rsidP="00715914">
      <w:pPr>
        <w:pStyle w:val="ActHead2"/>
      </w:pPr>
      <w:bookmarkStart w:id="0" w:name="_Toc500237661"/>
      <w:r w:rsidRPr="00C11084">
        <w:rPr>
          <w:rStyle w:val="CharPartNo"/>
        </w:rPr>
        <w:lastRenderedPageBreak/>
        <w:t>Part</w:t>
      </w:r>
      <w:r w:rsidR="00C11084" w:rsidRPr="00C11084">
        <w:rPr>
          <w:rStyle w:val="CharPartNo"/>
        </w:rPr>
        <w:t> </w:t>
      </w:r>
      <w:r w:rsidRPr="00C11084">
        <w:rPr>
          <w:rStyle w:val="CharPartNo"/>
        </w:rPr>
        <w:t>1</w:t>
      </w:r>
      <w:r w:rsidRPr="00C11084">
        <w:t>—</w:t>
      </w:r>
      <w:r w:rsidRPr="00C11084">
        <w:rPr>
          <w:rStyle w:val="CharPartText"/>
        </w:rPr>
        <w:t>Preliminary</w:t>
      </w:r>
      <w:bookmarkEnd w:id="0"/>
    </w:p>
    <w:p w:rsidR="00715914" w:rsidRPr="00C11084" w:rsidRDefault="00715914" w:rsidP="00715914">
      <w:pPr>
        <w:pStyle w:val="Header"/>
      </w:pPr>
      <w:r w:rsidRPr="00C11084">
        <w:rPr>
          <w:rStyle w:val="CharDivNo"/>
        </w:rPr>
        <w:t xml:space="preserve"> </w:t>
      </w:r>
      <w:r w:rsidRPr="00C11084">
        <w:rPr>
          <w:rStyle w:val="CharDivText"/>
        </w:rPr>
        <w:t xml:space="preserve"> </w:t>
      </w:r>
    </w:p>
    <w:p w:rsidR="00715914" w:rsidRPr="00C11084" w:rsidRDefault="00715914" w:rsidP="00715914">
      <w:pPr>
        <w:pStyle w:val="ActHead5"/>
      </w:pPr>
      <w:bookmarkStart w:id="1" w:name="_Toc500237662"/>
      <w:r w:rsidRPr="00C11084">
        <w:rPr>
          <w:rStyle w:val="CharSectno"/>
        </w:rPr>
        <w:t>1</w:t>
      </w:r>
      <w:r w:rsidRPr="00C11084">
        <w:t xml:space="preserve">  </w:t>
      </w:r>
      <w:r w:rsidR="00CE493D" w:rsidRPr="00C11084">
        <w:t>Name</w:t>
      </w:r>
      <w:bookmarkEnd w:id="1"/>
    </w:p>
    <w:p w:rsidR="00715914" w:rsidRPr="00C11084" w:rsidRDefault="00715914" w:rsidP="00715914">
      <w:pPr>
        <w:pStyle w:val="subsection"/>
      </w:pPr>
      <w:r w:rsidRPr="00C11084">
        <w:tab/>
      </w:r>
      <w:r w:rsidRPr="00C11084">
        <w:tab/>
      </w:r>
      <w:r w:rsidR="005A6570" w:rsidRPr="00C11084">
        <w:t>This instrument is</w:t>
      </w:r>
      <w:r w:rsidR="00CE493D" w:rsidRPr="00C11084">
        <w:t xml:space="preserve"> the </w:t>
      </w:r>
      <w:bookmarkStart w:id="2" w:name="_GoBack"/>
      <w:r w:rsidR="00BC76AC" w:rsidRPr="00C11084">
        <w:rPr>
          <w:i/>
        </w:rPr>
        <w:fldChar w:fldCharType="begin"/>
      </w:r>
      <w:r w:rsidR="00BC76AC" w:rsidRPr="00C11084">
        <w:rPr>
          <w:i/>
        </w:rPr>
        <w:instrText xml:space="preserve"> STYLEREF  ShortT </w:instrText>
      </w:r>
      <w:r w:rsidR="00BC76AC" w:rsidRPr="00C11084">
        <w:rPr>
          <w:i/>
        </w:rPr>
        <w:fldChar w:fldCharType="separate"/>
      </w:r>
      <w:r w:rsidR="0009746D">
        <w:rPr>
          <w:i/>
          <w:noProof/>
        </w:rPr>
        <w:t>Parliamentary Business Resources (Consequential and Transitional Provisions) Regulations 2017</w:t>
      </w:r>
      <w:r w:rsidR="00BC76AC" w:rsidRPr="00C11084">
        <w:rPr>
          <w:i/>
        </w:rPr>
        <w:fldChar w:fldCharType="end"/>
      </w:r>
      <w:r w:rsidRPr="00C11084">
        <w:t>.</w:t>
      </w:r>
      <w:bookmarkEnd w:id="2"/>
    </w:p>
    <w:p w:rsidR="00715914" w:rsidRPr="00C11084" w:rsidRDefault="00715914" w:rsidP="00715914">
      <w:pPr>
        <w:pStyle w:val="ActHead5"/>
      </w:pPr>
      <w:bookmarkStart w:id="3" w:name="_Toc500237663"/>
      <w:r w:rsidRPr="00C11084">
        <w:rPr>
          <w:rStyle w:val="CharSectno"/>
        </w:rPr>
        <w:t>2</w:t>
      </w:r>
      <w:r w:rsidRPr="00C11084">
        <w:t xml:space="preserve">  Commencement</w:t>
      </w:r>
      <w:bookmarkEnd w:id="3"/>
    </w:p>
    <w:p w:rsidR="00BA0C87" w:rsidRPr="00C11084" w:rsidRDefault="00BA0C87" w:rsidP="00593449">
      <w:pPr>
        <w:pStyle w:val="subsection"/>
      </w:pPr>
      <w:r w:rsidRPr="00C11084">
        <w:tab/>
        <w:t>(1)</w:t>
      </w:r>
      <w:r w:rsidRPr="00C11084">
        <w:tab/>
        <w:t xml:space="preserve">Each provision of </w:t>
      </w:r>
      <w:r w:rsidR="005A6570" w:rsidRPr="00C11084">
        <w:t>this instrument</w:t>
      </w:r>
      <w:r w:rsidRPr="00C11084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C11084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C11084" w:rsidTr="005A65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Commencement information</w:t>
            </w:r>
          </w:p>
        </w:tc>
      </w:tr>
      <w:tr w:rsidR="00BA0C87" w:rsidRPr="00C11084" w:rsidTr="005A65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Column 3</w:t>
            </w:r>
          </w:p>
        </w:tc>
      </w:tr>
      <w:tr w:rsidR="00BA0C87" w:rsidRPr="00C11084" w:rsidTr="005A65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11084" w:rsidRDefault="00BA0C87" w:rsidP="00612709">
            <w:pPr>
              <w:pStyle w:val="TableHeading"/>
            </w:pPr>
            <w:r w:rsidRPr="00C11084">
              <w:t>Date/Details</w:t>
            </w:r>
          </w:p>
        </w:tc>
      </w:tr>
      <w:tr w:rsidR="00BA0C87" w:rsidRPr="00C11084" w:rsidTr="005A65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11084" w:rsidRDefault="00BA0C87" w:rsidP="005A6570">
            <w:pPr>
              <w:pStyle w:val="Tabletext"/>
            </w:pPr>
            <w:r w:rsidRPr="00C11084">
              <w:t xml:space="preserve">1.  </w:t>
            </w:r>
            <w:r w:rsidR="005A6570" w:rsidRPr="00C1108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11084" w:rsidRDefault="00482F24" w:rsidP="00482F24">
            <w:pPr>
              <w:pStyle w:val="Tabletext"/>
            </w:pPr>
            <w:r w:rsidRPr="00C11084">
              <w:t>Immediately after the commencement of Schedule</w:t>
            </w:r>
            <w:r w:rsidR="00C11084" w:rsidRPr="00C11084">
              <w:t> </w:t>
            </w:r>
            <w:r w:rsidRPr="00C11084">
              <w:t xml:space="preserve">3 to the </w:t>
            </w:r>
            <w:r w:rsidRPr="00C11084">
              <w:rPr>
                <w:i/>
              </w:rPr>
              <w:t>Parliamentary Business Resources (Consequential and Transitional Provisions) Act 2017</w:t>
            </w:r>
            <w:r w:rsidRPr="00C1108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C11084" w:rsidRDefault="00132957">
            <w:pPr>
              <w:pStyle w:val="Tabletext"/>
            </w:pPr>
            <w:r>
              <w:t>1 January 2018</w:t>
            </w:r>
          </w:p>
        </w:tc>
      </w:tr>
    </w:tbl>
    <w:p w:rsidR="00BA0C87" w:rsidRPr="00C11084" w:rsidRDefault="00BA0C87" w:rsidP="00D21F74">
      <w:pPr>
        <w:pStyle w:val="notetext"/>
      </w:pPr>
      <w:r w:rsidRPr="00C11084">
        <w:rPr>
          <w:snapToGrid w:val="0"/>
          <w:lang w:eastAsia="en-US"/>
        </w:rPr>
        <w:t>Note:</w:t>
      </w:r>
      <w:r w:rsidRPr="00C11084">
        <w:rPr>
          <w:snapToGrid w:val="0"/>
          <w:lang w:eastAsia="en-US"/>
        </w:rPr>
        <w:tab/>
        <w:t xml:space="preserve">This table relates only to the provisions of </w:t>
      </w:r>
      <w:r w:rsidR="005A6570" w:rsidRPr="00C11084">
        <w:rPr>
          <w:snapToGrid w:val="0"/>
          <w:lang w:eastAsia="en-US"/>
        </w:rPr>
        <w:t>this instrument</w:t>
      </w:r>
      <w:r w:rsidRPr="00C11084">
        <w:t xml:space="preserve"> </w:t>
      </w:r>
      <w:r w:rsidRPr="00C11084">
        <w:rPr>
          <w:snapToGrid w:val="0"/>
          <w:lang w:eastAsia="en-US"/>
        </w:rPr>
        <w:t xml:space="preserve">as originally made. It will not be amended to deal with any later amendments of </w:t>
      </w:r>
      <w:r w:rsidR="005A6570" w:rsidRPr="00C11084">
        <w:rPr>
          <w:snapToGrid w:val="0"/>
          <w:lang w:eastAsia="en-US"/>
        </w:rPr>
        <w:t>this instrument</w:t>
      </w:r>
      <w:r w:rsidRPr="00C11084">
        <w:rPr>
          <w:snapToGrid w:val="0"/>
          <w:lang w:eastAsia="en-US"/>
        </w:rPr>
        <w:t>.</w:t>
      </w:r>
    </w:p>
    <w:p w:rsidR="00BA0C87" w:rsidRPr="00C11084" w:rsidRDefault="00BA0C87" w:rsidP="00D455E3">
      <w:pPr>
        <w:pStyle w:val="subsection"/>
      </w:pPr>
      <w:r w:rsidRPr="00C11084">
        <w:tab/>
        <w:t>(2)</w:t>
      </w:r>
      <w:r w:rsidRPr="00C11084">
        <w:tab/>
        <w:t xml:space="preserve">Any information in column 3 of the table is not part of </w:t>
      </w:r>
      <w:r w:rsidR="005A6570" w:rsidRPr="00C11084">
        <w:t>this instrument</w:t>
      </w:r>
      <w:r w:rsidRPr="00C11084">
        <w:t xml:space="preserve">. Information may be inserted in this column, or information in it may be edited, in any published version of </w:t>
      </w:r>
      <w:r w:rsidR="005A6570" w:rsidRPr="00C11084">
        <w:t>this instrument</w:t>
      </w:r>
      <w:r w:rsidRPr="00C11084">
        <w:t>.</w:t>
      </w:r>
    </w:p>
    <w:p w:rsidR="007500C8" w:rsidRPr="00C11084" w:rsidRDefault="007500C8" w:rsidP="007500C8">
      <w:pPr>
        <w:pStyle w:val="ActHead5"/>
      </w:pPr>
      <w:bookmarkStart w:id="4" w:name="_Toc500237664"/>
      <w:r w:rsidRPr="00C11084">
        <w:rPr>
          <w:rStyle w:val="CharSectno"/>
        </w:rPr>
        <w:t>3</w:t>
      </w:r>
      <w:r w:rsidRPr="00C11084">
        <w:t xml:space="preserve">  Authority</w:t>
      </w:r>
      <w:bookmarkEnd w:id="4"/>
    </w:p>
    <w:p w:rsidR="00157B8B" w:rsidRPr="00C11084" w:rsidRDefault="007500C8" w:rsidP="007E667A">
      <w:pPr>
        <w:pStyle w:val="subsection"/>
      </w:pPr>
      <w:r w:rsidRPr="00C11084">
        <w:tab/>
      </w:r>
      <w:r w:rsidRPr="00C11084">
        <w:tab/>
      </w:r>
      <w:r w:rsidR="005A6570" w:rsidRPr="00C11084">
        <w:t>This instrument is</w:t>
      </w:r>
      <w:r w:rsidRPr="00C11084">
        <w:t xml:space="preserve"> made under</w:t>
      </w:r>
      <w:r w:rsidR="00A81D05" w:rsidRPr="00C11084">
        <w:t xml:space="preserve"> item</w:t>
      </w:r>
      <w:r w:rsidR="00C11084" w:rsidRPr="00C11084">
        <w:t> </w:t>
      </w:r>
      <w:r w:rsidR="00A81D05" w:rsidRPr="00C11084">
        <w:t>11 of Schedule</w:t>
      </w:r>
      <w:r w:rsidR="00C11084" w:rsidRPr="00C11084">
        <w:t> </w:t>
      </w:r>
      <w:r w:rsidR="00A81D05" w:rsidRPr="00C11084">
        <w:t xml:space="preserve">3 to the </w:t>
      </w:r>
      <w:r w:rsidR="00745DB1" w:rsidRPr="00C11084">
        <w:rPr>
          <w:i/>
        </w:rPr>
        <w:t>Parliamentary Business Resources (Consequential and Transitional Provisions) Act 2017</w:t>
      </w:r>
      <w:r w:rsidR="00F4350D" w:rsidRPr="00C11084">
        <w:t>.</w:t>
      </w:r>
    </w:p>
    <w:p w:rsidR="00A81D05" w:rsidRPr="00C11084" w:rsidRDefault="00A81D05" w:rsidP="00A81D05">
      <w:pPr>
        <w:pStyle w:val="ActHead5"/>
      </w:pPr>
      <w:bookmarkStart w:id="5" w:name="_Toc500237665"/>
      <w:r w:rsidRPr="00C11084">
        <w:rPr>
          <w:rStyle w:val="CharSectno"/>
        </w:rPr>
        <w:t>4</w:t>
      </w:r>
      <w:r w:rsidRPr="00C11084">
        <w:t xml:space="preserve">  Definitions</w:t>
      </w:r>
      <w:bookmarkEnd w:id="5"/>
    </w:p>
    <w:p w:rsidR="005748A9" w:rsidRPr="00C11084" w:rsidRDefault="005748A9" w:rsidP="005748A9">
      <w:pPr>
        <w:pStyle w:val="subsection"/>
      </w:pPr>
      <w:r w:rsidRPr="00C11084">
        <w:tab/>
      </w:r>
      <w:r w:rsidRPr="00C11084">
        <w:tab/>
        <w:t>In this instrument:</w:t>
      </w:r>
    </w:p>
    <w:p w:rsidR="005748A9" w:rsidRPr="00C11084" w:rsidRDefault="00A81D05" w:rsidP="00A81D05">
      <w:pPr>
        <w:pStyle w:val="Definition"/>
      </w:pPr>
      <w:r w:rsidRPr="00C11084">
        <w:rPr>
          <w:b/>
          <w:i/>
        </w:rPr>
        <w:t>Act</w:t>
      </w:r>
      <w:r w:rsidRPr="00C11084">
        <w:t xml:space="preserve"> means the </w:t>
      </w:r>
      <w:r w:rsidRPr="00C11084">
        <w:rPr>
          <w:i/>
        </w:rPr>
        <w:t>Parliamentary Business Resources (Consequential and Transitional Provisions) Act 2017</w:t>
      </w:r>
      <w:r w:rsidRPr="00C11084">
        <w:t>.</w:t>
      </w:r>
    </w:p>
    <w:p w:rsidR="00896836" w:rsidRPr="00C11084" w:rsidRDefault="00896836" w:rsidP="00896836">
      <w:pPr>
        <w:pStyle w:val="ActHead2"/>
        <w:pageBreakBefore/>
      </w:pPr>
      <w:bookmarkStart w:id="6" w:name="_Toc500237666"/>
      <w:r w:rsidRPr="00C11084">
        <w:rPr>
          <w:rStyle w:val="CharPartNo"/>
        </w:rPr>
        <w:t>Part</w:t>
      </w:r>
      <w:r w:rsidR="00C11084" w:rsidRPr="00C11084">
        <w:rPr>
          <w:rStyle w:val="CharPartNo"/>
        </w:rPr>
        <w:t> </w:t>
      </w:r>
      <w:r w:rsidRPr="00C11084">
        <w:rPr>
          <w:rStyle w:val="CharPartNo"/>
        </w:rPr>
        <w:t>2</w:t>
      </w:r>
      <w:r w:rsidRPr="00C11084">
        <w:t>—</w:t>
      </w:r>
      <w:r w:rsidRPr="00C11084">
        <w:rPr>
          <w:rStyle w:val="CharPartText"/>
        </w:rPr>
        <w:t>Modification of Schedule</w:t>
      </w:r>
      <w:r w:rsidR="00C11084" w:rsidRPr="00C11084">
        <w:rPr>
          <w:rStyle w:val="CharPartText"/>
        </w:rPr>
        <w:t> </w:t>
      </w:r>
      <w:r w:rsidRPr="00C11084">
        <w:rPr>
          <w:rStyle w:val="CharPartText"/>
        </w:rPr>
        <w:t>3 to the Act</w:t>
      </w:r>
      <w:bookmarkEnd w:id="6"/>
    </w:p>
    <w:p w:rsidR="00896836" w:rsidRPr="00C11084" w:rsidRDefault="00896836" w:rsidP="00896836">
      <w:pPr>
        <w:pStyle w:val="Header"/>
      </w:pPr>
      <w:r w:rsidRPr="00C11084">
        <w:rPr>
          <w:rStyle w:val="CharDivNo"/>
        </w:rPr>
        <w:t xml:space="preserve"> </w:t>
      </w:r>
      <w:r w:rsidRPr="00C11084">
        <w:rPr>
          <w:rStyle w:val="CharDivText"/>
        </w:rPr>
        <w:t xml:space="preserve"> </w:t>
      </w:r>
    </w:p>
    <w:p w:rsidR="00BC745B" w:rsidRPr="00C11084" w:rsidRDefault="00A81D05" w:rsidP="00A81D05">
      <w:pPr>
        <w:pStyle w:val="ActHead5"/>
      </w:pPr>
      <w:bookmarkStart w:id="7" w:name="_Toc500237667"/>
      <w:r w:rsidRPr="00C11084">
        <w:rPr>
          <w:rStyle w:val="CharSectno"/>
        </w:rPr>
        <w:t>5</w:t>
      </w:r>
      <w:r w:rsidRPr="00C11084">
        <w:t xml:space="preserve">  </w:t>
      </w:r>
      <w:r w:rsidR="00BC745B" w:rsidRPr="00C11084">
        <w:t>Modification of rule about approvals being in force</w:t>
      </w:r>
      <w:bookmarkEnd w:id="7"/>
    </w:p>
    <w:p w:rsidR="00BC745B" w:rsidRPr="00C11084" w:rsidRDefault="00BC745B" w:rsidP="00BC745B">
      <w:pPr>
        <w:pStyle w:val="subsection"/>
      </w:pPr>
      <w:r w:rsidRPr="00C11084">
        <w:tab/>
        <w:t>(1)</w:t>
      </w:r>
      <w:r w:rsidRPr="00C11084">
        <w:tab/>
        <w:t>This item is made for the purposes of subitem</w:t>
      </w:r>
      <w:r w:rsidR="00C11084" w:rsidRPr="00C11084">
        <w:t> </w:t>
      </w:r>
      <w:r w:rsidRPr="00C11084">
        <w:t>11(2) of Schedule</w:t>
      </w:r>
      <w:r w:rsidR="00C11084" w:rsidRPr="00C11084">
        <w:t> </w:t>
      </w:r>
      <w:r w:rsidRPr="00C11084">
        <w:t>3 to the Act.</w:t>
      </w:r>
    </w:p>
    <w:p w:rsidR="00BC745B" w:rsidRPr="00C11084" w:rsidRDefault="00BC745B" w:rsidP="00BC745B">
      <w:pPr>
        <w:pStyle w:val="subsection"/>
      </w:pPr>
      <w:r w:rsidRPr="00C11084">
        <w:tab/>
        <w:t>(2)</w:t>
      </w:r>
      <w:r w:rsidRPr="00C11084">
        <w:tab/>
        <w:t>During the first 12 months after the commencement of that subitem</w:t>
      </w:r>
      <w:r w:rsidR="004C7C52" w:rsidRPr="00C11084">
        <w:t>,</w:t>
      </w:r>
      <w:r w:rsidRPr="00C11084">
        <w:t xml:space="preserve"> item</w:t>
      </w:r>
      <w:r w:rsidR="00C11084" w:rsidRPr="00C11084">
        <w:t> </w:t>
      </w:r>
      <w:r w:rsidRPr="00C11084">
        <w:t>5 of Schedule</w:t>
      </w:r>
      <w:r w:rsidR="00C11084" w:rsidRPr="00C11084">
        <w:t> </w:t>
      </w:r>
      <w:r w:rsidRPr="00C11084">
        <w:t>3 to the Act has effect as if it read as follows:</w:t>
      </w:r>
    </w:p>
    <w:p w:rsidR="00BC745B" w:rsidRPr="00C11084" w:rsidRDefault="00BC745B" w:rsidP="00BC745B">
      <w:pPr>
        <w:pStyle w:val="ItemHead"/>
      </w:pPr>
      <w:r w:rsidRPr="00C11084">
        <w:t xml:space="preserve">5  </w:t>
      </w:r>
      <w:r w:rsidR="00902C9C" w:rsidRPr="00C11084">
        <w:t>Approvals in force</w:t>
      </w:r>
    </w:p>
    <w:p w:rsidR="00902C9C" w:rsidRPr="00C11084" w:rsidRDefault="00902C9C" w:rsidP="00902C9C">
      <w:pPr>
        <w:pStyle w:val="Item"/>
      </w:pPr>
      <w:r w:rsidRPr="00C11084">
        <w:t>If:</w:t>
      </w:r>
    </w:p>
    <w:p w:rsidR="00902C9C" w:rsidRPr="00C11084" w:rsidRDefault="00902C9C" w:rsidP="00902C9C">
      <w:pPr>
        <w:pStyle w:val="paragraph"/>
      </w:pPr>
      <w:r w:rsidRPr="00C11084">
        <w:tab/>
        <w:t>(a)</w:t>
      </w:r>
      <w:r w:rsidRPr="00C11084">
        <w:tab/>
        <w:t xml:space="preserve">immediately before the commencement of this item, an approval </w:t>
      </w:r>
      <w:r w:rsidR="00A320D3" w:rsidRPr="00C11084">
        <w:t xml:space="preserve">(the </w:t>
      </w:r>
      <w:r w:rsidR="00A320D3" w:rsidRPr="00C11084">
        <w:rPr>
          <w:b/>
          <w:i/>
        </w:rPr>
        <w:t>initial approval</w:t>
      </w:r>
      <w:r w:rsidR="00A320D3" w:rsidRPr="00C11084">
        <w:t xml:space="preserve">) </w:t>
      </w:r>
      <w:r w:rsidRPr="00C11084">
        <w:t xml:space="preserve">is in force under the </w:t>
      </w:r>
      <w:r w:rsidRPr="00C11084">
        <w:rPr>
          <w:i/>
        </w:rPr>
        <w:t>Parliamentary Allowances Act 1952</w:t>
      </w:r>
      <w:r w:rsidRPr="00C11084">
        <w:t xml:space="preserve"> or the </w:t>
      </w:r>
      <w:r w:rsidRPr="00C11084">
        <w:rPr>
          <w:i/>
        </w:rPr>
        <w:t>Parliamentary Entitlements Act 1990</w:t>
      </w:r>
      <w:r w:rsidRPr="00C11084">
        <w:t xml:space="preserve"> in relation to an allowance or benefit for a member or former member; and</w:t>
      </w:r>
    </w:p>
    <w:p w:rsidR="00A320D3" w:rsidRPr="00C11084" w:rsidRDefault="00902C9C" w:rsidP="00902C9C">
      <w:pPr>
        <w:pStyle w:val="paragraph"/>
      </w:pPr>
      <w:r w:rsidRPr="00C11084">
        <w:tab/>
        <w:t>(b)</w:t>
      </w:r>
      <w:r w:rsidRPr="00C11084">
        <w:tab/>
        <w:t>public resources, or resources under Part</w:t>
      </w:r>
      <w:r w:rsidR="00C11084" w:rsidRPr="00C11084">
        <w:t> </w:t>
      </w:r>
      <w:r w:rsidRPr="00C11084">
        <w:t>5</w:t>
      </w:r>
      <w:r w:rsidR="00A320D3" w:rsidRPr="00C11084">
        <w:t xml:space="preserve"> of the PBR</w:t>
      </w:r>
      <w:r w:rsidRPr="00C11084">
        <w:t xml:space="preserve"> Act, </w:t>
      </w:r>
      <w:r w:rsidR="00804077" w:rsidRPr="00C11084">
        <w:t>corresponding</w:t>
      </w:r>
      <w:r w:rsidR="00A320D3" w:rsidRPr="00C11084">
        <w:t xml:space="preserve"> to the allowance or benefit would</w:t>
      </w:r>
      <w:r w:rsidR="003A535D" w:rsidRPr="00C11084">
        <w:t xml:space="preserve"> be </w:t>
      </w:r>
      <w:r w:rsidR="007C7409" w:rsidRPr="00C11084">
        <w:t xml:space="preserve">able, or required, to be </w:t>
      </w:r>
      <w:r w:rsidR="003A535D" w:rsidRPr="00C11084">
        <w:t>provided under the PBR Act for the member or former member</w:t>
      </w:r>
      <w:r w:rsidR="00A320D3" w:rsidRPr="00C11084">
        <w:t xml:space="preserve"> if </w:t>
      </w:r>
      <w:r w:rsidR="003A535D" w:rsidRPr="00C11084">
        <w:t xml:space="preserve">an approval (the </w:t>
      </w:r>
      <w:r w:rsidR="003A535D" w:rsidRPr="00C11084">
        <w:rPr>
          <w:b/>
          <w:i/>
        </w:rPr>
        <w:t>PBR approval</w:t>
      </w:r>
      <w:r w:rsidR="003A535D" w:rsidRPr="00C11084">
        <w:t>) were given for the purposes of that Act</w:t>
      </w:r>
      <w:r w:rsidR="00A320D3" w:rsidRPr="00C11084">
        <w:t>;</w:t>
      </w:r>
    </w:p>
    <w:p w:rsidR="003A535D" w:rsidRPr="00C11084" w:rsidRDefault="00902C9C" w:rsidP="00902C9C">
      <w:pPr>
        <w:pStyle w:val="Item"/>
      </w:pPr>
      <w:r w:rsidRPr="00C11084">
        <w:t>the</w:t>
      </w:r>
      <w:r w:rsidR="00A320D3" w:rsidRPr="00C11084">
        <w:t>n, the initial</w:t>
      </w:r>
      <w:r w:rsidRPr="00C11084">
        <w:t xml:space="preserve"> approval has effect </w:t>
      </w:r>
      <w:r w:rsidR="003A535D" w:rsidRPr="00C11084">
        <w:t>as if it were the PBR approval.</w:t>
      </w:r>
    </w:p>
    <w:p w:rsidR="00896836" w:rsidRPr="00C11084" w:rsidRDefault="00BC745B" w:rsidP="00A81D05">
      <w:pPr>
        <w:pStyle w:val="ActHead5"/>
      </w:pPr>
      <w:bookmarkStart w:id="8" w:name="_Toc500237668"/>
      <w:r w:rsidRPr="00C11084">
        <w:rPr>
          <w:rStyle w:val="CharSectno"/>
        </w:rPr>
        <w:t>6</w:t>
      </w:r>
      <w:r w:rsidRPr="00C11084">
        <w:t xml:space="preserve">  New items for Schedule</w:t>
      </w:r>
      <w:r w:rsidR="00C11084" w:rsidRPr="00C11084">
        <w:t> </w:t>
      </w:r>
      <w:r w:rsidRPr="00C11084">
        <w:t>3</w:t>
      </w:r>
      <w:bookmarkEnd w:id="8"/>
    </w:p>
    <w:p w:rsidR="00896836" w:rsidRPr="00C11084" w:rsidRDefault="00896836" w:rsidP="00896836">
      <w:pPr>
        <w:pStyle w:val="subsection"/>
      </w:pPr>
      <w:r w:rsidRPr="00C11084">
        <w:tab/>
      </w:r>
      <w:r w:rsidRPr="00C11084">
        <w:tab/>
        <w:t>For the purposes of subitem</w:t>
      </w:r>
      <w:r w:rsidR="00C11084" w:rsidRPr="00C11084">
        <w:t> </w:t>
      </w:r>
      <w:r w:rsidRPr="00C11084">
        <w:t>11(2) of Schedule</w:t>
      </w:r>
      <w:r w:rsidR="00C11084" w:rsidRPr="00C11084">
        <w:t> </w:t>
      </w:r>
      <w:r w:rsidRPr="00C11084">
        <w:t xml:space="preserve">3 to the Act, </w:t>
      </w:r>
      <w:r w:rsidR="00945568" w:rsidRPr="00C11084">
        <w:t>during the first 12 months after the commencement of t</w:t>
      </w:r>
      <w:r w:rsidR="00591847" w:rsidRPr="00C11084">
        <w:t>hat subitem</w:t>
      </w:r>
      <w:r w:rsidR="004C7C52" w:rsidRPr="00C11084">
        <w:t>,</w:t>
      </w:r>
      <w:r w:rsidR="00945568" w:rsidRPr="00C11084">
        <w:t xml:space="preserve"> </w:t>
      </w:r>
      <w:r w:rsidRPr="00C11084">
        <w:t>Schedule</w:t>
      </w:r>
      <w:r w:rsidR="00C11084" w:rsidRPr="00C11084">
        <w:t> </w:t>
      </w:r>
      <w:r w:rsidRPr="00C11084">
        <w:t xml:space="preserve">3 </w:t>
      </w:r>
      <w:r w:rsidR="00BC745B" w:rsidRPr="00C11084">
        <w:t>to</w:t>
      </w:r>
      <w:r w:rsidRPr="00C11084">
        <w:t xml:space="preserve"> the Act has effect as if the following items were inserted after item</w:t>
      </w:r>
      <w:r w:rsidR="00C11084" w:rsidRPr="00C11084">
        <w:t> </w:t>
      </w:r>
      <w:r w:rsidR="001865CD" w:rsidRPr="00C11084">
        <w:t>6 of that</w:t>
      </w:r>
      <w:r w:rsidR="00BC745B" w:rsidRPr="00C11084">
        <w:t xml:space="preserve"> Schedule:</w:t>
      </w:r>
    </w:p>
    <w:p w:rsidR="00896836" w:rsidRPr="00C11084" w:rsidRDefault="00896836" w:rsidP="00896836">
      <w:pPr>
        <w:pStyle w:val="ItemHead"/>
      </w:pPr>
      <w:r w:rsidRPr="00C11084">
        <w:t>6A  Matters to which items</w:t>
      </w:r>
      <w:r w:rsidR="00C11084" w:rsidRPr="00C11084">
        <w:t> </w:t>
      </w:r>
      <w:r w:rsidRPr="00C11084">
        <w:t>5 and 6 do not apply</w:t>
      </w:r>
    </w:p>
    <w:p w:rsidR="00896836" w:rsidRPr="00C11084" w:rsidRDefault="005748A9" w:rsidP="00896836">
      <w:pPr>
        <w:pStyle w:val="Item"/>
      </w:pPr>
      <w:r w:rsidRPr="00C11084">
        <w:t>I</w:t>
      </w:r>
      <w:r w:rsidR="00896836" w:rsidRPr="00C11084">
        <w:t>tems</w:t>
      </w:r>
      <w:r w:rsidR="00C11084" w:rsidRPr="00C11084">
        <w:t> </w:t>
      </w:r>
      <w:r w:rsidR="00896836" w:rsidRPr="00C11084">
        <w:t xml:space="preserve">5 and 6 </w:t>
      </w:r>
      <w:r w:rsidRPr="00C11084">
        <w:t>do</w:t>
      </w:r>
      <w:r w:rsidR="00896836" w:rsidRPr="00C11084">
        <w:t xml:space="preserve"> not apply in relation to the following:</w:t>
      </w:r>
    </w:p>
    <w:p w:rsidR="004D73F1" w:rsidRPr="00C11084" w:rsidRDefault="00896836" w:rsidP="004D73F1">
      <w:pPr>
        <w:pStyle w:val="paragraph"/>
      </w:pPr>
      <w:r w:rsidRPr="00C11084">
        <w:tab/>
        <w:t>(a)</w:t>
      </w:r>
      <w:r w:rsidRPr="00C11084">
        <w:tab/>
        <w:t>a private plated vehicle, or an allowance in lieu of a private plated vehicle, determined under Part</w:t>
      </w:r>
      <w:r w:rsidR="00C11084" w:rsidRPr="00C11084">
        <w:t> </w:t>
      </w:r>
      <w:r w:rsidRPr="00C11084">
        <w:t xml:space="preserve">6 of the </w:t>
      </w:r>
      <w:r w:rsidR="004D73F1" w:rsidRPr="00C11084">
        <w:rPr>
          <w:i/>
        </w:rPr>
        <w:t>Remuneration Tribunal Determination</w:t>
      </w:r>
      <w:r w:rsidR="00C11084" w:rsidRPr="00C11084">
        <w:rPr>
          <w:i/>
        </w:rPr>
        <w:t> </w:t>
      </w:r>
      <w:r w:rsidR="004D73F1" w:rsidRPr="00C11084">
        <w:rPr>
          <w:i/>
        </w:rPr>
        <w:t>2017/13</w:t>
      </w:r>
      <w:r w:rsidR="00595A03" w:rsidRPr="00C11084">
        <w:rPr>
          <w:i/>
        </w:rPr>
        <w:t>: Members of Parliament—</w:t>
      </w:r>
      <w:r w:rsidR="004D73F1" w:rsidRPr="00C11084">
        <w:rPr>
          <w:i/>
        </w:rPr>
        <w:t>Entitlements</w:t>
      </w:r>
      <w:r w:rsidR="004D73F1" w:rsidRPr="00C11084">
        <w:t>;</w:t>
      </w:r>
    </w:p>
    <w:p w:rsidR="004D73F1" w:rsidRPr="00C11084" w:rsidRDefault="00896836" w:rsidP="00896836">
      <w:pPr>
        <w:pStyle w:val="paragraph"/>
        <w:rPr>
          <w:rFonts w:ascii="Helvetica Neue" w:hAnsi="Helvetica Neue"/>
        </w:rPr>
      </w:pPr>
      <w:r w:rsidRPr="00C11084">
        <w:tab/>
        <w:t>(b)</w:t>
      </w:r>
      <w:r w:rsidRPr="00C11084">
        <w:tab/>
        <w:t>travel at government expense determined under Part</w:t>
      </w:r>
      <w:r w:rsidR="00C11084" w:rsidRPr="00C11084">
        <w:t> </w:t>
      </w:r>
      <w:r w:rsidRPr="00C11084">
        <w:t xml:space="preserve">9 of the </w:t>
      </w:r>
      <w:r w:rsidR="004D73F1" w:rsidRPr="00C11084">
        <w:rPr>
          <w:rFonts w:ascii="Helvetica Neue" w:hAnsi="Helvetica Neue"/>
          <w:i/>
        </w:rPr>
        <w:t>Remuneration Tribunal Determination</w:t>
      </w:r>
      <w:r w:rsidR="00C11084" w:rsidRPr="00C11084">
        <w:rPr>
          <w:rFonts w:ascii="Helvetica Neue" w:hAnsi="Helvetica Neue" w:hint="eastAsia"/>
          <w:i/>
        </w:rPr>
        <w:t> </w:t>
      </w:r>
      <w:r w:rsidR="004D73F1" w:rsidRPr="00C11084">
        <w:rPr>
          <w:rFonts w:ascii="Helvetica Neue" w:hAnsi="Helvetica Neue"/>
          <w:i/>
        </w:rPr>
        <w:t>2017/13</w:t>
      </w:r>
      <w:r w:rsidR="00595A03" w:rsidRPr="00C11084">
        <w:rPr>
          <w:rFonts w:ascii="Helvetica Neue" w:hAnsi="Helvetica Neue"/>
          <w:i/>
        </w:rPr>
        <w:t>: Members of Parliament—</w:t>
      </w:r>
      <w:r w:rsidR="004D73F1" w:rsidRPr="00C11084">
        <w:rPr>
          <w:rFonts w:ascii="Helvetica Neue" w:hAnsi="Helvetica Neue"/>
          <w:i/>
        </w:rPr>
        <w:t>Entitlements</w:t>
      </w:r>
      <w:r w:rsidR="004D73F1" w:rsidRPr="00C11084">
        <w:rPr>
          <w:rFonts w:ascii="Helvetica Neue" w:hAnsi="Helvetica Neue"/>
        </w:rPr>
        <w:t>;</w:t>
      </w:r>
    </w:p>
    <w:p w:rsidR="00896836" w:rsidRPr="00C11084" w:rsidRDefault="00896836" w:rsidP="005748A9">
      <w:pPr>
        <w:pStyle w:val="paragraph"/>
      </w:pPr>
      <w:r w:rsidRPr="00C11084">
        <w:tab/>
        <w:t>(c)</w:t>
      </w:r>
      <w:r w:rsidRPr="00C11084">
        <w:tab/>
      </w:r>
      <w:r w:rsidR="005748A9" w:rsidRPr="00C11084">
        <w:t>offices and resources covered by item</w:t>
      </w:r>
      <w:r w:rsidR="00C11084" w:rsidRPr="00C11084">
        <w:t> </w:t>
      </w:r>
      <w:r w:rsidR="005748A9" w:rsidRPr="00C11084">
        <w:t>6B.</w:t>
      </w:r>
    </w:p>
    <w:p w:rsidR="005748A9" w:rsidRPr="00C11084" w:rsidRDefault="005748A9" w:rsidP="005748A9">
      <w:pPr>
        <w:pStyle w:val="ItemHead"/>
      </w:pPr>
      <w:r w:rsidRPr="00C11084">
        <w:t>6B  Offices and resources</w:t>
      </w:r>
      <w:r w:rsidR="004F09BB" w:rsidRPr="00C11084">
        <w:t xml:space="preserve"> for offices</w:t>
      </w:r>
    </w:p>
    <w:p w:rsidR="00E5618A" w:rsidRPr="00C11084" w:rsidRDefault="00E40617" w:rsidP="00E40617">
      <w:pPr>
        <w:pStyle w:val="Subitem"/>
      </w:pPr>
      <w:r w:rsidRPr="00C11084">
        <w:t>(1)</w:t>
      </w:r>
      <w:r w:rsidRPr="00C11084">
        <w:tab/>
      </w:r>
      <w:r w:rsidR="00E5618A" w:rsidRPr="00C11084">
        <w:t>This item applies if:</w:t>
      </w:r>
    </w:p>
    <w:p w:rsidR="005C48B0" w:rsidRPr="00C11084" w:rsidRDefault="00E5618A" w:rsidP="00E5618A">
      <w:pPr>
        <w:pStyle w:val="paragraph"/>
      </w:pPr>
      <w:r w:rsidRPr="00C11084">
        <w:tab/>
        <w:t>(a)</w:t>
      </w:r>
      <w:r w:rsidRPr="00C11084">
        <w:tab/>
      </w:r>
      <w:r w:rsidR="005C48B0" w:rsidRPr="00C11084">
        <w:t xml:space="preserve">under the </w:t>
      </w:r>
      <w:r w:rsidR="005C48B0" w:rsidRPr="00C11084">
        <w:rPr>
          <w:i/>
        </w:rPr>
        <w:t xml:space="preserve">Parliamentary Entitlements Act 1990 </w:t>
      </w:r>
      <w:r w:rsidR="005748A9" w:rsidRPr="00C11084">
        <w:t>immediately before the commencement of the PB</w:t>
      </w:r>
      <w:r w:rsidR="006C2C21" w:rsidRPr="00C11084">
        <w:t>R Act:</w:t>
      </w:r>
    </w:p>
    <w:p w:rsidR="005C48B0" w:rsidRPr="00C11084" w:rsidRDefault="00E5618A" w:rsidP="00E5618A">
      <w:pPr>
        <w:pStyle w:val="paragraphsub"/>
      </w:pPr>
      <w:r w:rsidRPr="00C11084">
        <w:tab/>
        <w:t>(i</w:t>
      </w:r>
      <w:r w:rsidR="005C48B0" w:rsidRPr="00C11084">
        <w:t>)</w:t>
      </w:r>
      <w:r w:rsidR="005C48B0" w:rsidRPr="00C11084">
        <w:tab/>
      </w:r>
      <w:r w:rsidR="00701454" w:rsidRPr="00C11084">
        <w:t>a member wa</w:t>
      </w:r>
      <w:r w:rsidR="005748A9" w:rsidRPr="00C11084">
        <w:t>s provided</w:t>
      </w:r>
      <w:r w:rsidR="004F09BB" w:rsidRPr="00C11084">
        <w:t xml:space="preserve"> </w:t>
      </w:r>
      <w:r w:rsidR="00E40617" w:rsidRPr="00C11084">
        <w:t>with an office or resources</w:t>
      </w:r>
      <w:r w:rsidR="005C48B0" w:rsidRPr="00C11084">
        <w:t>; or</w:t>
      </w:r>
    </w:p>
    <w:p w:rsidR="005C48B0" w:rsidRPr="00C11084" w:rsidRDefault="005C48B0" w:rsidP="00E5618A">
      <w:pPr>
        <w:pStyle w:val="paragraphsub"/>
      </w:pPr>
      <w:r w:rsidRPr="00C11084">
        <w:tab/>
      </w:r>
      <w:r w:rsidR="00E5618A" w:rsidRPr="00C11084">
        <w:t>(ii</w:t>
      </w:r>
      <w:r w:rsidRPr="00C11084">
        <w:t>)</w:t>
      </w:r>
      <w:r w:rsidRPr="00C11084">
        <w:tab/>
        <w:t xml:space="preserve">an approval was in </w:t>
      </w:r>
      <w:r w:rsidR="00254734" w:rsidRPr="00C11084">
        <w:t>force</w:t>
      </w:r>
      <w:r w:rsidRPr="00C11084">
        <w:t xml:space="preserve"> for a member to be provided with an office or resources;</w:t>
      </w:r>
      <w:r w:rsidR="00E5618A" w:rsidRPr="00C11084">
        <w:t xml:space="preserve"> and</w:t>
      </w:r>
    </w:p>
    <w:p w:rsidR="005748A9" w:rsidRPr="00C11084" w:rsidRDefault="00E5618A" w:rsidP="00E5618A">
      <w:pPr>
        <w:pStyle w:val="paragraph"/>
      </w:pPr>
      <w:r w:rsidRPr="00C11084">
        <w:tab/>
        <w:t>(b)</w:t>
      </w:r>
      <w:r w:rsidRPr="00C11084">
        <w:tab/>
      </w:r>
      <w:r w:rsidR="005C48B0" w:rsidRPr="00C11084">
        <w:t>the office or resources</w:t>
      </w:r>
      <w:r w:rsidR="00E40617" w:rsidRPr="00C11084">
        <w:t xml:space="preserve"> could be provided for the member under subsection</w:t>
      </w:r>
      <w:r w:rsidR="00C11084" w:rsidRPr="00C11084">
        <w:t> </w:t>
      </w:r>
      <w:r w:rsidR="00E40617" w:rsidRPr="00C11084">
        <w:t xml:space="preserve">33(1) of the </w:t>
      </w:r>
      <w:r w:rsidR="00B66B46" w:rsidRPr="00C11084">
        <w:t xml:space="preserve">PBR </w:t>
      </w:r>
      <w:r w:rsidR="00E40617" w:rsidRPr="00C11084">
        <w:t>Act because of section</w:t>
      </w:r>
      <w:r w:rsidR="00C11084" w:rsidRPr="00C11084">
        <w:t> </w:t>
      </w:r>
      <w:r w:rsidR="00E40617" w:rsidRPr="00C11084">
        <w:t xml:space="preserve">72, 73 or 74 of </w:t>
      </w:r>
      <w:r w:rsidR="00BD16B2" w:rsidRPr="00C11084">
        <w:t xml:space="preserve">the </w:t>
      </w:r>
      <w:r w:rsidR="00E40617" w:rsidRPr="00C11084">
        <w:rPr>
          <w:i/>
        </w:rPr>
        <w:t>Parliamentary Business Resources Regulations</w:t>
      </w:r>
      <w:r w:rsidR="00C11084" w:rsidRPr="00C11084">
        <w:rPr>
          <w:i/>
        </w:rPr>
        <w:t> </w:t>
      </w:r>
      <w:r w:rsidR="00E40617" w:rsidRPr="00C11084">
        <w:rPr>
          <w:i/>
        </w:rPr>
        <w:t>2017</w:t>
      </w:r>
      <w:r w:rsidR="00E40617" w:rsidRPr="00C11084">
        <w:t xml:space="preserve"> (the</w:t>
      </w:r>
      <w:r w:rsidR="00E40617" w:rsidRPr="00C11084">
        <w:rPr>
          <w:b/>
          <w:i/>
        </w:rPr>
        <w:t xml:space="preserve"> regulations</w:t>
      </w:r>
      <w:r w:rsidR="00E40617" w:rsidRPr="00C11084">
        <w:t>).</w:t>
      </w:r>
    </w:p>
    <w:p w:rsidR="00E40617" w:rsidRPr="00C11084" w:rsidRDefault="00E40617" w:rsidP="00E40617">
      <w:pPr>
        <w:pStyle w:val="Subitem"/>
      </w:pPr>
      <w:r w:rsidRPr="00C11084">
        <w:t>(2)</w:t>
      </w:r>
      <w:r w:rsidRPr="00C11084">
        <w:tab/>
        <w:t>On and from that commencement</w:t>
      </w:r>
      <w:r w:rsidR="00591847" w:rsidRPr="00C11084">
        <w:t xml:space="preserve">, the office or resources </w:t>
      </w:r>
      <w:r w:rsidRPr="00C11084">
        <w:t>are taken to be provided under a determination made under subsection</w:t>
      </w:r>
      <w:r w:rsidR="00C11084" w:rsidRPr="00C11084">
        <w:t> </w:t>
      </w:r>
      <w:r w:rsidRPr="00C11084">
        <w:t xml:space="preserve">33(1) of the </w:t>
      </w:r>
      <w:r w:rsidR="00E5618A" w:rsidRPr="00C11084">
        <w:t xml:space="preserve">PBR </w:t>
      </w:r>
      <w:r w:rsidRPr="00C11084">
        <w:t>Act.</w:t>
      </w:r>
    </w:p>
    <w:p w:rsidR="00CF4BCE" w:rsidRPr="00C11084" w:rsidRDefault="00E40617" w:rsidP="00E40617">
      <w:pPr>
        <w:pStyle w:val="Subitem"/>
      </w:pPr>
      <w:r w:rsidRPr="00C11084">
        <w:t>(3)</w:t>
      </w:r>
      <w:r w:rsidRPr="00C11084">
        <w:tab/>
      </w:r>
      <w:r w:rsidR="00C11084" w:rsidRPr="00C11084">
        <w:t>Subitem (</w:t>
      </w:r>
      <w:r w:rsidRPr="00C11084">
        <w:t xml:space="preserve">2) has effect </w:t>
      </w:r>
      <w:r w:rsidR="00D90A25" w:rsidRPr="00C11084">
        <w:t xml:space="preserve">in relation to the office or resources </w:t>
      </w:r>
      <w:r w:rsidRPr="00C11084">
        <w:t>until the Minister makes a</w:t>
      </w:r>
      <w:r w:rsidR="00B66B46" w:rsidRPr="00C11084">
        <w:t xml:space="preserve"> </w:t>
      </w:r>
      <w:r w:rsidRPr="00C11084">
        <w:t>determination</w:t>
      </w:r>
      <w:r w:rsidR="00CF4BCE" w:rsidRPr="00C11084">
        <w:t>:</w:t>
      </w:r>
    </w:p>
    <w:p w:rsidR="00CF4BCE" w:rsidRPr="00C11084" w:rsidRDefault="00CF4BCE" w:rsidP="00CF4BCE">
      <w:pPr>
        <w:pStyle w:val="paragraph"/>
      </w:pPr>
      <w:r w:rsidRPr="00C11084">
        <w:tab/>
        <w:t>(a)</w:t>
      </w:r>
      <w:r w:rsidRPr="00C11084">
        <w:tab/>
      </w:r>
      <w:r w:rsidR="00701454" w:rsidRPr="00C11084">
        <w:t>under subsection</w:t>
      </w:r>
      <w:r w:rsidR="00C11084" w:rsidRPr="00C11084">
        <w:t> </w:t>
      </w:r>
      <w:r w:rsidR="00701454" w:rsidRPr="00C11084">
        <w:t xml:space="preserve">33(1) of the </w:t>
      </w:r>
      <w:r w:rsidR="00E5618A" w:rsidRPr="00C11084">
        <w:t xml:space="preserve">PBR </w:t>
      </w:r>
      <w:r w:rsidR="00701454" w:rsidRPr="00C11084">
        <w:t>Act and the section of the regulations concerned</w:t>
      </w:r>
      <w:r w:rsidRPr="00C11084">
        <w:t>; and</w:t>
      </w:r>
    </w:p>
    <w:p w:rsidR="00B66B46" w:rsidRPr="00C11084" w:rsidRDefault="00CF4BCE" w:rsidP="00CF4BCE">
      <w:pPr>
        <w:pStyle w:val="paragraph"/>
      </w:pPr>
      <w:r w:rsidRPr="00C11084">
        <w:tab/>
        <w:t>(b)</w:t>
      </w:r>
      <w:r w:rsidRPr="00C11084">
        <w:tab/>
      </w:r>
      <w:r w:rsidR="00701454" w:rsidRPr="00C11084">
        <w:t>that applies in relation to the member</w:t>
      </w:r>
      <w:r w:rsidR="00BB1176" w:rsidRPr="00C11084">
        <w:t xml:space="preserve"> and the kind of office or resources concerned.</w:t>
      </w:r>
    </w:p>
    <w:p w:rsidR="005F1E89" w:rsidRPr="00C11084" w:rsidRDefault="005F1E89" w:rsidP="005F1E89">
      <w:pPr>
        <w:pStyle w:val="ItemHead"/>
      </w:pPr>
      <w:r w:rsidRPr="00C11084">
        <w:t xml:space="preserve">6C  Limits for </w:t>
      </w:r>
      <w:r w:rsidR="006C2C21" w:rsidRPr="00C11084">
        <w:t>20</w:t>
      </w:r>
      <w:r w:rsidRPr="00C11084">
        <w:t>17</w:t>
      </w:r>
      <w:r w:rsidR="00C11084">
        <w:noBreakHyphen/>
      </w:r>
      <w:r w:rsidRPr="00C11084">
        <w:t>18 financial year</w:t>
      </w:r>
    </w:p>
    <w:p w:rsidR="005F1E89" w:rsidRPr="00C11084" w:rsidRDefault="005F1E89" w:rsidP="005F1E89">
      <w:pPr>
        <w:pStyle w:val="Subitem"/>
      </w:pPr>
      <w:r w:rsidRPr="00C11084">
        <w:t>(1)</w:t>
      </w:r>
      <w:r w:rsidRPr="00C11084">
        <w:tab/>
        <w:t>This item applies if:</w:t>
      </w:r>
    </w:p>
    <w:p w:rsidR="0096388E" w:rsidRPr="00C11084" w:rsidRDefault="00AB1D08" w:rsidP="0096388E">
      <w:pPr>
        <w:pStyle w:val="paragraph"/>
      </w:pPr>
      <w:r w:rsidRPr="00C11084">
        <w:tab/>
        <w:t>(a</w:t>
      </w:r>
      <w:r w:rsidR="0096388E" w:rsidRPr="00C11084">
        <w:t>)</w:t>
      </w:r>
      <w:r w:rsidR="0096388E" w:rsidRPr="00C11084">
        <w:tab/>
        <w:t xml:space="preserve">immediately before the commencement of the PBR Act, a </w:t>
      </w:r>
      <w:r w:rsidR="00D504E4" w:rsidRPr="00C11084">
        <w:t xml:space="preserve">benefit or allowance </w:t>
      </w:r>
      <w:r w:rsidR="0096388E" w:rsidRPr="00C11084">
        <w:t xml:space="preserve">provided under the </w:t>
      </w:r>
      <w:r w:rsidR="0096388E" w:rsidRPr="00C11084">
        <w:rPr>
          <w:i/>
        </w:rPr>
        <w:t>Parliamentary Entitlements Act 1990</w:t>
      </w:r>
      <w:r w:rsidR="0096388E" w:rsidRPr="00C11084">
        <w:t xml:space="preserve"> was provided subject to a limit for the financial year beginning on 1</w:t>
      </w:r>
      <w:r w:rsidR="00C11084" w:rsidRPr="00C11084">
        <w:t> </w:t>
      </w:r>
      <w:r w:rsidR="0096388E" w:rsidRPr="00C11084">
        <w:t xml:space="preserve">July 2017 (the </w:t>
      </w:r>
      <w:r w:rsidR="0096388E" w:rsidRPr="00C11084">
        <w:rPr>
          <w:b/>
          <w:i/>
        </w:rPr>
        <w:t>current financial year</w:t>
      </w:r>
      <w:r w:rsidR="0096388E" w:rsidRPr="00C11084">
        <w:t>); and</w:t>
      </w:r>
    </w:p>
    <w:p w:rsidR="005F1E89" w:rsidRPr="00C11084" w:rsidRDefault="00AB1D08" w:rsidP="005F1E89">
      <w:pPr>
        <w:pStyle w:val="paragraph"/>
      </w:pPr>
      <w:r w:rsidRPr="00C11084">
        <w:tab/>
        <w:t>(b</w:t>
      </w:r>
      <w:r w:rsidR="0096388E" w:rsidRPr="00C11084">
        <w:t>)</w:t>
      </w:r>
      <w:r w:rsidR="0096388E" w:rsidRPr="00C11084">
        <w:tab/>
        <w:t>a</w:t>
      </w:r>
      <w:r w:rsidR="0043221D" w:rsidRPr="00C11084">
        <w:t xml:space="preserve"> </w:t>
      </w:r>
      <w:r w:rsidR="0096388E" w:rsidRPr="00C11084">
        <w:t xml:space="preserve">public resource </w:t>
      </w:r>
      <w:r w:rsidR="00E6260C" w:rsidRPr="00C11084">
        <w:t xml:space="preserve">provided </w:t>
      </w:r>
      <w:r w:rsidR="005F1E89" w:rsidRPr="00C11084">
        <w:t xml:space="preserve">under the </w:t>
      </w:r>
      <w:r w:rsidR="005F1E89" w:rsidRPr="00C11084">
        <w:rPr>
          <w:i/>
        </w:rPr>
        <w:t>Parliamentary Business Resources Regulations</w:t>
      </w:r>
      <w:r w:rsidR="00C11084" w:rsidRPr="00C11084">
        <w:rPr>
          <w:i/>
        </w:rPr>
        <w:t> </w:t>
      </w:r>
      <w:r w:rsidR="005F1E89" w:rsidRPr="00C11084">
        <w:rPr>
          <w:i/>
        </w:rPr>
        <w:t>2017</w:t>
      </w:r>
      <w:r w:rsidR="005F1E89" w:rsidRPr="00C11084">
        <w:t xml:space="preserve"> </w:t>
      </w:r>
      <w:r w:rsidR="00E6260C" w:rsidRPr="00C11084">
        <w:t xml:space="preserve">is provided </w:t>
      </w:r>
      <w:r w:rsidR="005F1E89" w:rsidRPr="00C11084">
        <w:t>subjec</w:t>
      </w:r>
      <w:r w:rsidR="00BB1176" w:rsidRPr="00C11084">
        <w:t xml:space="preserve">t to a </w:t>
      </w:r>
      <w:r w:rsidR="00141014" w:rsidRPr="00C11084">
        <w:t xml:space="preserve">corresponding </w:t>
      </w:r>
      <w:r w:rsidR="00BB1176" w:rsidRPr="00C11084">
        <w:t>limit</w:t>
      </w:r>
      <w:r w:rsidR="0096388E" w:rsidRPr="00C11084">
        <w:t xml:space="preserve"> for a financial year.</w:t>
      </w:r>
    </w:p>
    <w:p w:rsidR="00D504E4" w:rsidRPr="00C11084" w:rsidRDefault="00CD0044" w:rsidP="00CD0044">
      <w:pPr>
        <w:pStyle w:val="Subitem"/>
      </w:pPr>
      <w:r w:rsidRPr="00C11084">
        <w:t>(2)</w:t>
      </w:r>
      <w:r w:rsidRPr="00C11084">
        <w:tab/>
      </w:r>
      <w:r w:rsidR="00E6260C" w:rsidRPr="00C11084">
        <w:t>T</w:t>
      </w:r>
      <w:r w:rsidR="00E2184A" w:rsidRPr="00C11084">
        <w:t xml:space="preserve">he limit under </w:t>
      </w:r>
      <w:r w:rsidR="00E6260C" w:rsidRPr="00C11084">
        <w:t xml:space="preserve">the </w:t>
      </w:r>
      <w:r w:rsidR="00E6260C" w:rsidRPr="00C11084">
        <w:rPr>
          <w:i/>
        </w:rPr>
        <w:t>Parliamentary Entitlements Act 1990</w:t>
      </w:r>
      <w:r w:rsidR="00E6260C" w:rsidRPr="00C11084">
        <w:t xml:space="preserve"> (including any instrument</w:t>
      </w:r>
      <w:r w:rsidR="00952F44" w:rsidRPr="00C11084">
        <w:t>s</w:t>
      </w:r>
      <w:r w:rsidR="00E6260C" w:rsidRPr="00C11084">
        <w:t xml:space="preserve"> </w:t>
      </w:r>
      <w:r w:rsidR="00952F44" w:rsidRPr="00C11084">
        <w:t xml:space="preserve">made </w:t>
      </w:r>
      <w:r w:rsidR="00E6260C" w:rsidRPr="00C11084">
        <w:t>under that Act) applies as a total limit for</w:t>
      </w:r>
      <w:r w:rsidR="00D504E4" w:rsidRPr="00C11084">
        <w:t xml:space="preserve"> such benefits or allowances, and public resources</w:t>
      </w:r>
      <w:r w:rsidR="00141014" w:rsidRPr="00C11084">
        <w:t xml:space="preserve"> covered by the corresponding limit</w:t>
      </w:r>
      <w:r w:rsidR="00D504E4" w:rsidRPr="00C11084">
        <w:t xml:space="preserve">, provided under </w:t>
      </w:r>
      <w:r w:rsidR="00DB1570" w:rsidRPr="00C11084">
        <w:t>that Act and those regulations</w:t>
      </w:r>
      <w:r w:rsidR="00D504E4" w:rsidRPr="00C11084">
        <w:t xml:space="preserve"> for the current financial year.</w:t>
      </w:r>
    </w:p>
    <w:p w:rsidR="00952F44" w:rsidRPr="00C11084" w:rsidRDefault="00952F44" w:rsidP="00CD0044">
      <w:pPr>
        <w:pStyle w:val="Subitem"/>
      </w:pPr>
      <w:r w:rsidRPr="00C11084">
        <w:t>(3)</w:t>
      </w:r>
      <w:r w:rsidRPr="00C11084">
        <w:tab/>
      </w:r>
      <w:r w:rsidR="00C11084" w:rsidRPr="00C11084">
        <w:t>Subitem (</w:t>
      </w:r>
      <w:r w:rsidRPr="00C11084">
        <w:t>2) has effect despite any limit set out under the PBR Act (including any instruments made under that Act).</w:t>
      </w:r>
    </w:p>
    <w:p w:rsidR="00BB1176" w:rsidRPr="00C11084" w:rsidRDefault="00BB1176" w:rsidP="00CD0044">
      <w:pPr>
        <w:pStyle w:val="Subitem"/>
      </w:pPr>
      <w:r w:rsidRPr="00C11084">
        <w:t>(4)</w:t>
      </w:r>
      <w:r w:rsidRPr="00C11084">
        <w:tab/>
        <w:t xml:space="preserve">In this item, </w:t>
      </w:r>
      <w:r w:rsidRPr="00C11084">
        <w:rPr>
          <w:b/>
          <w:i/>
        </w:rPr>
        <w:t>limit</w:t>
      </w:r>
      <w:r w:rsidRPr="00C11084">
        <w:t>:</w:t>
      </w:r>
    </w:p>
    <w:p w:rsidR="00BB1176" w:rsidRPr="00C11084" w:rsidRDefault="00BB1176" w:rsidP="00BB1176">
      <w:pPr>
        <w:pStyle w:val="paragraph"/>
      </w:pPr>
      <w:r w:rsidRPr="00C11084">
        <w:tab/>
        <w:t>(a)</w:t>
      </w:r>
      <w:r w:rsidRPr="00C11084">
        <w:tab/>
        <w:t xml:space="preserve">means a limit </w:t>
      </w:r>
      <w:r w:rsidR="009D78D2" w:rsidRPr="00C11084">
        <w:t>as to</w:t>
      </w:r>
      <w:r w:rsidRPr="00C11084">
        <w:t xml:space="preserve"> </w:t>
      </w:r>
      <w:r w:rsidR="00E5618A" w:rsidRPr="00C11084">
        <w:t xml:space="preserve">quantity </w:t>
      </w:r>
      <w:r w:rsidRPr="00C11084">
        <w:t xml:space="preserve">or </w:t>
      </w:r>
      <w:r w:rsidR="00A72409" w:rsidRPr="00C11084">
        <w:t>value</w:t>
      </w:r>
      <w:r w:rsidRPr="00C11084">
        <w:t>; and</w:t>
      </w:r>
    </w:p>
    <w:p w:rsidR="00E5618A" w:rsidRPr="00C11084" w:rsidRDefault="00BB1176" w:rsidP="00BB1176">
      <w:pPr>
        <w:pStyle w:val="paragraph"/>
      </w:pPr>
      <w:r w:rsidRPr="00C11084">
        <w:tab/>
        <w:t>(b)</w:t>
      </w:r>
      <w:r w:rsidRPr="00C11084">
        <w:tab/>
        <w:t>does not include a</w:t>
      </w:r>
      <w:r w:rsidR="007C7409" w:rsidRPr="00C11084">
        <w:t>ny other kind of</w:t>
      </w:r>
      <w:r w:rsidRPr="00C11084">
        <w:t xml:space="preserve"> condition</w:t>
      </w:r>
      <w:r w:rsidR="007C7409" w:rsidRPr="00C11084">
        <w:t xml:space="preserve"> on eligibility</w:t>
      </w:r>
      <w:r w:rsidR="00E5618A" w:rsidRPr="00C11084">
        <w:t>,</w:t>
      </w:r>
      <w:r w:rsidR="00570F8B" w:rsidRPr="00C11084">
        <w:t xml:space="preserve"> such as</w:t>
      </w:r>
      <w:r w:rsidR="00E5618A" w:rsidRPr="00C11084">
        <w:t xml:space="preserve"> a requirement:</w:t>
      </w:r>
    </w:p>
    <w:p w:rsidR="00BB1176" w:rsidRPr="00C11084" w:rsidRDefault="00E5618A" w:rsidP="00E5618A">
      <w:pPr>
        <w:pStyle w:val="paragraphsub"/>
      </w:pPr>
      <w:r w:rsidRPr="00C11084">
        <w:tab/>
        <w:t>(i)</w:t>
      </w:r>
      <w:r w:rsidRPr="00C11084">
        <w:tab/>
      </w:r>
      <w:r w:rsidR="00570F8B" w:rsidRPr="00C11084">
        <w:t>for approval</w:t>
      </w:r>
      <w:r w:rsidRPr="00C11084">
        <w:t xml:space="preserve"> to incur expense</w:t>
      </w:r>
      <w:r w:rsidR="00A72409" w:rsidRPr="00C11084">
        <w:t>s</w:t>
      </w:r>
      <w:r w:rsidRPr="00C11084">
        <w:t>; or</w:t>
      </w:r>
    </w:p>
    <w:p w:rsidR="00E5618A" w:rsidRPr="00C11084" w:rsidRDefault="00E5618A" w:rsidP="00E5618A">
      <w:pPr>
        <w:pStyle w:val="paragraphsub"/>
      </w:pPr>
      <w:r w:rsidRPr="00C11084">
        <w:tab/>
        <w:t>(ii)</w:t>
      </w:r>
      <w:r w:rsidRPr="00C11084">
        <w:tab/>
        <w:t>to travel at no higher than a particular class of tr</w:t>
      </w:r>
      <w:r w:rsidR="007C7409" w:rsidRPr="00C11084">
        <w:t>avel; or</w:t>
      </w:r>
    </w:p>
    <w:p w:rsidR="007C7409" w:rsidRPr="00C11084" w:rsidRDefault="007C7409" w:rsidP="00E5618A">
      <w:pPr>
        <w:pStyle w:val="paragraphsub"/>
      </w:pPr>
      <w:r w:rsidRPr="00C11084">
        <w:tab/>
        <w:t>(iii)</w:t>
      </w:r>
      <w:r w:rsidRPr="00C11084">
        <w:tab/>
        <w:t>that another form of transport is not available.</w:t>
      </w:r>
    </w:p>
    <w:p w:rsidR="00DF6CB2" w:rsidRPr="00C11084" w:rsidRDefault="00DF6CB2" w:rsidP="00DF6CB2">
      <w:pPr>
        <w:pStyle w:val="ItemHead"/>
      </w:pPr>
      <w:r w:rsidRPr="00C11084">
        <w:t>6D  International travel equipment allowance</w:t>
      </w:r>
    </w:p>
    <w:p w:rsidR="00BD7D7F" w:rsidRPr="00C11084" w:rsidRDefault="00DF6CB2" w:rsidP="00DF6CB2">
      <w:pPr>
        <w:pStyle w:val="Subitem"/>
      </w:pPr>
      <w:r w:rsidRPr="00C11084">
        <w:t>(1)</w:t>
      </w:r>
      <w:r w:rsidRPr="00C11084">
        <w:tab/>
        <w:t>This item applies</w:t>
      </w:r>
      <w:r w:rsidR="00563C48" w:rsidRPr="00C11084">
        <w:t xml:space="preserve"> for the purposes of determining whether an international travel equipment allowance has been paid to a person during a period of 3 consecutive financial years that includes </w:t>
      </w:r>
      <w:r w:rsidR="00BD7D7F" w:rsidRPr="00C11084">
        <w:t>the financial year beginning on 1</w:t>
      </w:r>
      <w:r w:rsidR="00C11084" w:rsidRPr="00C11084">
        <w:t> </w:t>
      </w:r>
      <w:r w:rsidR="00BD7D7F" w:rsidRPr="00C11084">
        <w:t>July 2017.</w:t>
      </w:r>
    </w:p>
    <w:p w:rsidR="00563C48" w:rsidRPr="00C11084" w:rsidRDefault="00563C48" w:rsidP="00DF6CB2">
      <w:pPr>
        <w:pStyle w:val="Subitem"/>
      </w:pPr>
      <w:r w:rsidRPr="00C11084">
        <w:t>(2)</w:t>
      </w:r>
      <w:r w:rsidRPr="00C11084">
        <w:tab/>
        <w:t xml:space="preserve">Any </w:t>
      </w:r>
      <w:r w:rsidR="00804077" w:rsidRPr="00C11084">
        <w:t>corresponding</w:t>
      </w:r>
      <w:r w:rsidRPr="00C11084">
        <w:t xml:space="preserve"> allowance paid to the person by the Commonwealth during the period has effect, for the purposes of subsection</w:t>
      </w:r>
      <w:r w:rsidR="00C11084" w:rsidRPr="00C11084">
        <w:t> </w:t>
      </w:r>
      <w:r w:rsidRPr="00C11084">
        <w:t xml:space="preserve">60(2) of the </w:t>
      </w:r>
      <w:r w:rsidRPr="00C11084">
        <w:rPr>
          <w:i/>
        </w:rPr>
        <w:t>Parliamentary Business Resources Regulations</w:t>
      </w:r>
      <w:r w:rsidR="00C11084" w:rsidRPr="00C11084">
        <w:rPr>
          <w:i/>
        </w:rPr>
        <w:t> </w:t>
      </w:r>
      <w:r w:rsidRPr="00C11084">
        <w:rPr>
          <w:i/>
        </w:rPr>
        <w:t>2017</w:t>
      </w:r>
      <w:r w:rsidRPr="00C11084">
        <w:t xml:space="preserve">, as if it were an </w:t>
      </w:r>
      <w:r w:rsidR="00BD7D7F" w:rsidRPr="00C11084">
        <w:t>international travel equipment allowance paid under that subsection.</w:t>
      </w:r>
    </w:p>
    <w:p w:rsidR="00BD7D7F" w:rsidRPr="00C11084" w:rsidRDefault="00BD7D7F" w:rsidP="00BD7D7F">
      <w:pPr>
        <w:pStyle w:val="ItemHead"/>
      </w:pPr>
      <w:r w:rsidRPr="00C11084">
        <w:t>6E  Photographic services</w:t>
      </w:r>
    </w:p>
    <w:p w:rsidR="00856430" w:rsidRPr="00C11084" w:rsidRDefault="00856430" w:rsidP="00856430">
      <w:pPr>
        <w:pStyle w:val="Subitem"/>
      </w:pPr>
      <w:r w:rsidRPr="00C11084">
        <w:t>(1)</w:t>
      </w:r>
      <w:r w:rsidRPr="00C11084">
        <w:tab/>
        <w:t>This item applies in relation to sessions and costs of photographic services at Parliament House undertaken or incurred during the period beginning on 1</w:t>
      </w:r>
      <w:r w:rsidR="00C11084" w:rsidRPr="00C11084">
        <w:t> </w:t>
      </w:r>
      <w:r w:rsidRPr="00C11084">
        <w:t>July 2017 and ending when the PBR Act commences.</w:t>
      </w:r>
    </w:p>
    <w:p w:rsidR="00856430" w:rsidRPr="00C11084" w:rsidRDefault="00856430" w:rsidP="00856430">
      <w:pPr>
        <w:pStyle w:val="Subitem"/>
      </w:pPr>
      <w:r w:rsidRPr="00C11084">
        <w:t>(2)</w:t>
      </w:r>
      <w:r w:rsidRPr="00C11084">
        <w:tab/>
        <w:t>The sessions and costs are to be taken into account for the purposes of the limits set out in section</w:t>
      </w:r>
      <w:r w:rsidR="00C11084" w:rsidRPr="00C11084">
        <w:t> </w:t>
      </w:r>
      <w:r w:rsidRPr="00C11084">
        <w:t xml:space="preserve">69 of the </w:t>
      </w:r>
      <w:r w:rsidRPr="00C11084">
        <w:rPr>
          <w:i/>
        </w:rPr>
        <w:t>Parliamentary Business Resources Regulations</w:t>
      </w:r>
      <w:r w:rsidR="00C11084" w:rsidRPr="00C11084">
        <w:rPr>
          <w:i/>
        </w:rPr>
        <w:t> </w:t>
      </w:r>
      <w:r w:rsidRPr="00C11084">
        <w:rPr>
          <w:i/>
        </w:rPr>
        <w:t>2017</w:t>
      </w:r>
      <w:r w:rsidRPr="00C11084">
        <w:t xml:space="preserve"> in relation to the financial year beginning on 1</w:t>
      </w:r>
      <w:r w:rsidR="00C11084" w:rsidRPr="00C11084">
        <w:t> </w:t>
      </w:r>
      <w:r w:rsidRPr="00C11084">
        <w:t>July 2017.</w:t>
      </w:r>
    </w:p>
    <w:p w:rsidR="003667D5" w:rsidRPr="00C11084" w:rsidRDefault="003667D5" w:rsidP="003667D5">
      <w:pPr>
        <w:pStyle w:val="ItemHead"/>
      </w:pPr>
      <w:r w:rsidRPr="00C11084">
        <w:t xml:space="preserve">6F  </w:t>
      </w:r>
      <w:r w:rsidR="009323EC" w:rsidRPr="00C11084">
        <w:t>Ministerial salaries</w:t>
      </w:r>
    </w:p>
    <w:p w:rsidR="00856430" w:rsidRPr="00C11084" w:rsidRDefault="00856430" w:rsidP="00856430">
      <w:pPr>
        <w:pStyle w:val="Subitem"/>
      </w:pPr>
      <w:r w:rsidRPr="00C11084">
        <w:t>(1)</w:t>
      </w:r>
      <w:r w:rsidRPr="00C11084">
        <w:tab/>
        <w:t>This item applies in relation to amounts paid by the Commonwealth as Ministerial salaries during the period beginning on 1</w:t>
      </w:r>
      <w:r w:rsidR="00C11084" w:rsidRPr="00C11084">
        <w:t> </w:t>
      </w:r>
      <w:r w:rsidRPr="00C11084">
        <w:t>July 2017 and ending when the PBR Act commences.</w:t>
      </w:r>
    </w:p>
    <w:p w:rsidR="00856430" w:rsidRPr="00C11084" w:rsidRDefault="00856430" w:rsidP="00856430">
      <w:pPr>
        <w:pStyle w:val="Subitem"/>
      </w:pPr>
      <w:r w:rsidRPr="00C11084">
        <w:t>(2)</w:t>
      </w:r>
      <w:r w:rsidRPr="00C11084">
        <w:tab/>
        <w:t>The amounts are to be taken into account for the purposes of the limit set out in subsection</w:t>
      </w:r>
      <w:r w:rsidR="00C11084" w:rsidRPr="00C11084">
        <w:t> </w:t>
      </w:r>
      <w:r w:rsidRPr="00C11084">
        <w:t xml:space="preserve">96(2) of the </w:t>
      </w:r>
      <w:r w:rsidRPr="00C11084">
        <w:rPr>
          <w:i/>
        </w:rPr>
        <w:t>Parliamentary Business Resources Regulations</w:t>
      </w:r>
      <w:r w:rsidR="00C11084" w:rsidRPr="00C11084">
        <w:rPr>
          <w:i/>
        </w:rPr>
        <w:t> </w:t>
      </w:r>
      <w:r w:rsidRPr="00C11084">
        <w:rPr>
          <w:i/>
        </w:rPr>
        <w:t>2017</w:t>
      </w:r>
      <w:r w:rsidRPr="00C11084">
        <w:t xml:space="preserve"> in relation to the financial year beginning on 1</w:t>
      </w:r>
      <w:r w:rsidR="00C11084" w:rsidRPr="00C11084">
        <w:t> </w:t>
      </w:r>
      <w:r w:rsidRPr="00C11084">
        <w:t>July 2017.</w:t>
      </w:r>
    </w:p>
    <w:sectPr w:rsidR="00856430" w:rsidRPr="00C11084" w:rsidSect="009A4A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70" w:rsidRDefault="005A6570" w:rsidP="00715914">
      <w:pPr>
        <w:spacing w:line="240" w:lineRule="auto"/>
      </w:pPr>
      <w:r>
        <w:separator/>
      </w:r>
    </w:p>
  </w:endnote>
  <w:endnote w:type="continuationSeparator" w:id="0">
    <w:p w:rsidR="005A6570" w:rsidRDefault="005A657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46" w:rsidRPr="009A4A46" w:rsidRDefault="009A4A46" w:rsidP="009A4A46">
    <w:pPr>
      <w:pStyle w:val="Footer"/>
      <w:rPr>
        <w:i/>
        <w:sz w:val="18"/>
      </w:rPr>
    </w:pPr>
    <w:r w:rsidRPr="009A4A46">
      <w:rPr>
        <w:i/>
        <w:sz w:val="18"/>
      </w:rPr>
      <w:t>OPC63110 -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A4A46" w:rsidRDefault="009A4A46" w:rsidP="009A4A46">
    <w:pPr>
      <w:pStyle w:val="Footer"/>
      <w:rPr>
        <w:i/>
        <w:sz w:val="18"/>
      </w:rPr>
    </w:pPr>
    <w:r w:rsidRPr="009A4A46">
      <w:rPr>
        <w:i/>
        <w:sz w:val="18"/>
      </w:rPr>
      <w:t>OPC63110 -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A4A46" w:rsidRDefault="009A4A46" w:rsidP="009A4A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4A46">
      <w:rPr>
        <w:i/>
        <w:sz w:val="18"/>
      </w:rPr>
      <w:t>OPC63110 -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F36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063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46D">
            <w:rPr>
              <w:i/>
              <w:sz w:val="18"/>
            </w:rPr>
            <w:t>Parliamentary Business Resources (Consequential and Transitional Provisions)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A4A46" w:rsidRDefault="009A4A46" w:rsidP="009A4A46">
    <w:pPr>
      <w:rPr>
        <w:rFonts w:cs="Times New Roman"/>
        <w:i/>
        <w:sz w:val="18"/>
      </w:rPr>
    </w:pPr>
    <w:r w:rsidRPr="009A4A46">
      <w:rPr>
        <w:rFonts w:cs="Times New Roman"/>
        <w:i/>
        <w:sz w:val="18"/>
      </w:rPr>
      <w:t>OPC63110 -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46D">
            <w:rPr>
              <w:i/>
              <w:sz w:val="18"/>
            </w:rPr>
            <w:t>Parliamentary Business Resources (Consequential and Transitional Provisions)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29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A4A46" w:rsidRDefault="009A4A46" w:rsidP="009A4A46">
    <w:pPr>
      <w:rPr>
        <w:rFonts w:cs="Times New Roman"/>
        <w:i/>
        <w:sz w:val="18"/>
      </w:rPr>
    </w:pPr>
    <w:r w:rsidRPr="009A4A46">
      <w:rPr>
        <w:rFonts w:cs="Times New Roman"/>
        <w:i/>
        <w:sz w:val="18"/>
      </w:rPr>
      <w:t>OPC63110 -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F36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295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46D">
            <w:rPr>
              <w:i/>
              <w:sz w:val="18"/>
            </w:rPr>
            <w:t>Parliamentary Business Resources (Consequential and Transitional Provisions)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A4A46" w:rsidRDefault="009A4A46" w:rsidP="009A4A46">
    <w:pPr>
      <w:rPr>
        <w:rFonts w:cs="Times New Roman"/>
        <w:i/>
        <w:sz w:val="18"/>
      </w:rPr>
    </w:pPr>
    <w:r w:rsidRPr="009A4A46">
      <w:rPr>
        <w:rFonts w:cs="Times New Roman"/>
        <w:i/>
        <w:sz w:val="18"/>
      </w:rPr>
      <w:t>OPC63110 -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46D">
            <w:rPr>
              <w:i/>
              <w:sz w:val="18"/>
            </w:rPr>
            <w:t>Parliamentary Business Resources (Consequential and Transitional Provisions)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29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A4A46" w:rsidRDefault="009A4A46" w:rsidP="009A4A46">
    <w:pPr>
      <w:rPr>
        <w:rFonts w:cs="Times New Roman"/>
        <w:i/>
        <w:sz w:val="18"/>
      </w:rPr>
    </w:pPr>
    <w:r w:rsidRPr="009A4A46">
      <w:rPr>
        <w:rFonts w:cs="Times New Roman"/>
        <w:i/>
        <w:sz w:val="18"/>
      </w:rPr>
      <w:t>OPC63110 -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746D">
            <w:rPr>
              <w:i/>
              <w:sz w:val="18"/>
            </w:rPr>
            <w:t>Parliamentary Business Resources (Consequential and Transitional Provisions)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06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A4A46" w:rsidRDefault="009A4A46" w:rsidP="009A4A46">
    <w:pPr>
      <w:rPr>
        <w:rFonts w:cs="Times New Roman"/>
        <w:i/>
        <w:sz w:val="18"/>
      </w:rPr>
    </w:pPr>
    <w:r w:rsidRPr="009A4A46">
      <w:rPr>
        <w:rFonts w:cs="Times New Roman"/>
        <w:i/>
        <w:sz w:val="18"/>
      </w:rPr>
      <w:t>OPC63110 -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70" w:rsidRDefault="005A6570" w:rsidP="00715914">
      <w:pPr>
        <w:spacing w:line="240" w:lineRule="auto"/>
      </w:pPr>
      <w:r>
        <w:separator/>
      </w:r>
    </w:p>
  </w:footnote>
  <w:footnote w:type="continuationSeparator" w:id="0">
    <w:p w:rsidR="005A6570" w:rsidRDefault="005A657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3295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32957">
      <w:rPr>
        <w:noProof/>
        <w:sz w:val="20"/>
      </w:rPr>
      <w:t>Modification of Schedule 3 to the Act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9746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32957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132957">
      <w:rPr>
        <w:sz w:val="20"/>
      </w:rPr>
      <w:fldChar w:fldCharType="separate"/>
    </w:r>
    <w:r w:rsidR="00132957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132957">
      <w:rPr>
        <w:b/>
        <w:sz w:val="20"/>
      </w:rPr>
      <w:fldChar w:fldCharType="separate"/>
    </w:r>
    <w:r w:rsidR="0013295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9746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3295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70"/>
    <w:rsid w:val="00004470"/>
    <w:rsid w:val="000136AF"/>
    <w:rsid w:val="00020CD2"/>
    <w:rsid w:val="000437C1"/>
    <w:rsid w:val="0005365D"/>
    <w:rsid w:val="000614BF"/>
    <w:rsid w:val="0009746D"/>
    <w:rsid w:val="000B58FA"/>
    <w:rsid w:val="000C1EA5"/>
    <w:rsid w:val="000D05EF"/>
    <w:rsid w:val="000D26E2"/>
    <w:rsid w:val="000E2261"/>
    <w:rsid w:val="000F21C1"/>
    <w:rsid w:val="0010745C"/>
    <w:rsid w:val="00132957"/>
    <w:rsid w:val="00132CEB"/>
    <w:rsid w:val="00141014"/>
    <w:rsid w:val="00142B62"/>
    <w:rsid w:val="0014539C"/>
    <w:rsid w:val="00157B8B"/>
    <w:rsid w:val="00166C2F"/>
    <w:rsid w:val="0017258D"/>
    <w:rsid w:val="001809D7"/>
    <w:rsid w:val="001865CD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1F7C75"/>
    <w:rsid w:val="00206C4D"/>
    <w:rsid w:val="0021053C"/>
    <w:rsid w:val="00215AF1"/>
    <w:rsid w:val="00226562"/>
    <w:rsid w:val="002321E8"/>
    <w:rsid w:val="00236EEC"/>
    <w:rsid w:val="0024010F"/>
    <w:rsid w:val="002406C2"/>
    <w:rsid w:val="00240749"/>
    <w:rsid w:val="00243018"/>
    <w:rsid w:val="00254734"/>
    <w:rsid w:val="002564A4"/>
    <w:rsid w:val="0026736C"/>
    <w:rsid w:val="00281308"/>
    <w:rsid w:val="00284719"/>
    <w:rsid w:val="00295187"/>
    <w:rsid w:val="00297ECB"/>
    <w:rsid w:val="002A7BCF"/>
    <w:rsid w:val="002D043A"/>
    <w:rsid w:val="002D6224"/>
    <w:rsid w:val="002E3F4B"/>
    <w:rsid w:val="003042BC"/>
    <w:rsid w:val="00304F8B"/>
    <w:rsid w:val="00307913"/>
    <w:rsid w:val="003354D2"/>
    <w:rsid w:val="00335BC6"/>
    <w:rsid w:val="003415D3"/>
    <w:rsid w:val="00344701"/>
    <w:rsid w:val="00352B0F"/>
    <w:rsid w:val="00356690"/>
    <w:rsid w:val="00360459"/>
    <w:rsid w:val="003667D5"/>
    <w:rsid w:val="003729F9"/>
    <w:rsid w:val="00376832"/>
    <w:rsid w:val="003A535D"/>
    <w:rsid w:val="003C6231"/>
    <w:rsid w:val="003D0BFE"/>
    <w:rsid w:val="003D5700"/>
    <w:rsid w:val="003E341B"/>
    <w:rsid w:val="003E6022"/>
    <w:rsid w:val="004116CD"/>
    <w:rsid w:val="004144EC"/>
    <w:rsid w:val="00414F1E"/>
    <w:rsid w:val="00415D2C"/>
    <w:rsid w:val="00417EB9"/>
    <w:rsid w:val="00424CA9"/>
    <w:rsid w:val="00431E9B"/>
    <w:rsid w:val="0043221D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2F24"/>
    <w:rsid w:val="00496F97"/>
    <w:rsid w:val="004C6AE8"/>
    <w:rsid w:val="004C7C52"/>
    <w:rsid w:val="004D73F1"/>
    <w:rsid w:val="004E063A"/>
    <w:rsid w:val="004E7BEC"/>
    <w:rsid w:val="004F09BB"/>
    <w:rsid w:val="00505D3D"/>
    <w:rsid w:val="00506AF6"/>
    <w:rsid w:val="0051063C"/>
    <w:rsid w:val="00516B8D"/>
    <w:rsid w:val="00537FBC"/>
    <w:rsid w:val="00554954"/>
    <w:rsid w:val="005574D1"/>
    <w:rsid w:val="00563C48"/>
    <w:rsid w:val="00570F8B"/>
    <w:rsid w:val="005748A9"/>
    <w:rsid w:val="00584811"/>
    <w:rsid w:val="00585784"/>
    <w:rsid w:val="00591847"/>
    <w:rsid w:val="00593AA6"/>
    <w:rsid w:val="00594161"/>
    <w:rsid w:val="00594749"/>
    <w:rsid w:val="00595A03"/>
    <w:rsid w:val="005A6570"/>
    <w:rsid w:val="005B4067"/>
    <w:rsid w:val="005C3F41"/>
    <w:rsid w:val="005C48B0"/>
    <w:rsid w:val="005D0C39"/>
    <w:rsid w:val="005D24DA"/>
    <w:rsid w:val="005D2D09"/>
    <w:rsid w:val="005E79F3"/>
    <w:rsid w:val="005F1E89"/>
    <w:rsid w:val="00600219"/>
    <w:rsid w:val="00603DC4"/>
    <w:rsid w:val="00620076"/>
    <w:rsid w:val="00670EA1"/>
    <w:rsid w:val="00677CC2"/>
    <w:rsid w:val="006905DE"/>
    <w:rsid w:val="0069207B"/>
    <w:rsid w:val="006A4DE9"/>
    <w:rsid w:val="006B5789"/>
    <w:rsid w:val="006C2C21"/>
    <w:rsid w:val="006C30C5"/>
    <w:rsid w:val="006C7F8C"/>
    <w:rsid w:val="006E6246"/>
    <w:rsid w:val="006F318F"/>
    <w:rsid w:val="006F4226"/>
    <w:rsid w:val="0070017E"/>
    <w:rsid w:val="00700B2C"/>
    <w:rsid w:val="00701454"/>
    <w:rsid w:val="007050A2"/>
    <w:rsid w:val="00713084"/>
    <w:rsid w:val="00714F20"/>
    <w:rsid w:val="0071590F"/>
    <w:rsid w:val="00715914"/>
    <w:rsid w:val="00731E00"/>
    <w:rsid w:val="007440B7"/>
    <w:rsid w:val="00744F78"/>
    <w:rsid w:val="00745DB1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6921"/>
    <w:rsid w:val="007C2253"/>
    <w:rsid w:val="007C7409"/>
    <w:rsid w:val="007D3B3F"/>
    <w:rsid w:val="007D5A63"/>
    <w:rsid w:val="007D7B81"/>
    <w:rsid w:val="007E163D"/>
    <w:rsid w:val="007E667A"/>
    <w:rsid w:val="007E6BB4"/>
    <w:rsid w:val="007F28C9"/>
    <w:rsid w:val="007F2ED5"/>
    <w:rsid w:val="007F3666"/>
    <w:rsid w:val="00802B67"/>
    <w:rsid w:val="00803587"/>
    <w:rsid w:val="00804077"/>
    <w:rsid w:val="00804A72"/>
    <w:rsid w:val="008117E9"/>
    <w:rsid w:val="00824498"/>
    <w:rsid w:val="00856430"/>
    <w:rsid w:val="00856A31"/>
    <w:rsid w:val="00864B24"/>
    <w:rsid w:val="00867B37"/>
    <w:rsid w:val="008754D0"/>
    <w:rsid w:val="008855C9"/>
    <w:rsid w:val="00886456"/>
    <w:rsid w:val="00896836"/>
    <w:rsid w:val="008A46E1"/>
    <w:rsid w:val="008A4F43"/>
    <w:rsid w:val="008B0381"/>
    <w:rsid w:val="008B2706"/>
    <w:rsid w:val="008D0EE0"/>
    <w:rsid w:val="008E6067"/>
    <w:rsid w:val="008F54E7"/>
    <w:rsid w:val="00901486"/>
    <w:rsid w:val="00902C9C"/>
    <w:rsid w:val="00903422"/>
    <w:rsid w:val="00915DF9"/>
    <w:rsid w:val="00923C8F"/>
    <w:rsid w:val="009254C3"/>
    <w:rsid w:val="00932377"/>
    <w:rsid w:val="009323EC"/>
    <w:rsid w:val="00945568"/>
    <w:rsid w:val="00947D5A"/>
    <w:rsid w:val="00952F44"/>
    <w:rsid w:val="009532A5"/>
    <w:rsid w:val="0096388E"/>
    <w:rsid w:val="009807F5"/>
    <w:rsid w:val="00982242"/>
    <w:rsid w:val="009868E9"/>
    <w:rsid w:val="009A4A46"/>
    <w:rsid w:val="009D78D2"/>
    <w:rsid w:val="009E5CFC"/>
    <w:rsid w:val="00A079CB"/>
    <w:rsid w:val="00A12128"/>
    <w:rsid w:val="00A15763"/>
    <w:rsid w:val="00A22C98"/>
    <w:rsid w:val="00A231E2"/>
    <w:rsid w:val="00A320D3"/>
    <w:rsid w:val="00A64912"/>
    <w:rsid w:val="00A70A74"/>
    <w:rsid w:val="00A72409"/>
    <w:rsid w:val="00A81D05"/>
    <w:rsid w:val="00A95E28"/>
    <w:rsid w:val="00A968C5"/>
    <w:rsid w:val="00AB1D08"/>
    <w:rsid w:val="00AD5641"/>
    <w:rsid w:val="00AD7889"/>
    <w:rsid w:val="00AF021B"/>
    <w:rsid w:val="00AF06CF"/>
    <w:rsid w:val="00B02334"/>
    <w:rsid w:val="00B05CF4"/>
    <w:rsid w:val="00B07CDB"/>
    <w:rsid w:val="00B16A31"/>
    <w:rsid w:val="00B17DFD"/>
    <w:rsid w:val="00B308FE"/>
    <w:rsid w:val="00B33709"/>
    <w:rsid w:val="00B33B3C"/>
    <w:rsid w:val="00B50ADC"/>
    <w:rsid w:val="00B51A02"/>
    <w:rsid w:val="00B566B1"/>
    <w:rsid w:val="00B61F47"/>
    <w:rsid w:val="00B63834"/>
    <w:rsid w:val="00B65F8A"/>
    <w:rsid w:val="00B66B46"/>
    <w:rsid w:val="00B72734"/>
    <w:rsid w:val="00B80199"/>
    <w:rsid w:val="00B83204"/>
    <w:rsid w:val="00BA0C87"/>
    <w:rsid w:val="00BA220B"/>
    <w:rsid w:val="00BA3A57"/>
    <w:rsid w:val="00BA691F"/>
    <w:rsid w:val="00BB1176"/>
    <w:rsid w:val="00BB4E1A"/>
    <w:rsid w:val="00BC015E"/>
    <w:rsid w:val="00BC745B"/>
    <w:rsid w:val="00BC76AC"/>
    <w:rsid w:val="00BD0ECB"/>
    <w:rsid w:val="00BD16B2"/>
    <w:rsid w:val="00BD7D7F"/>
    <w:rsid w:val="00BE2155"/>
    <w:rsid w:val="00BE2213"/>
    <w:rsid w:val="00BE719A"/>
    <w:rsid w:val="00BE720A"/>
    <w:rsid w:val="00BF0D73"/>
    <w:rsid w:val="00BF2465"/>
    <w:rsid w:val="00C11084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0044"/>
    <w:rsid w:val="00CD29BF"/>
    <w:rsid w:val="00CE051D"/>
    <w:rsid w:val="00CE1335"/>
    <w:rsid w:val="00CE3DBF"/>
    <w:rsid w:val="00CE493D"/>
    <w:rsid w:val="00CF07FA"/>
    <w:rsid w:val="00CF0BB2"/>
    <w:rsid w:val="00CF3EE8"/>
    <w:rsid w:val="00CF4BCE"/>
    <w:rsid w:val="00D050E6"/>
    <w:rsid w:val="00D13441"/>
    <w:rsid w:val="00D150E7"/>
    <w:rsid w:val="00D32F65"/>
    <w:rsid w:val="00D504E4"/>
    <w:rsid w:val="00D52DC2"/>
    <w:rsid w:val="00D53BCC"/>
    <w:rsid w:val="00D70DFB"/>
    <w:rsid w:val="00D766DF"/>
    <w:rsid w:val="00D855E5"/>
    <w:rsid w:val="00D87A5D"/>
    <w:rsid w:val="00D90A25"/>
    <w:rsid w:val="00DA186E"/>
    <w:rsid w:val="00DA4116"/>
    <w:rsid w:val="00DB1570"/>
    <w:rsid w:val="00DB22C3"/>
    <w:rsid w:val="00DB251C"/>
    <w:rsid w:val="00DB4630"/>
    <w:rsid w:val="00DC4F88"/>
    <w:rsid w:val="00DF6CB2"/>
    <w:rsid w:val="00E05704"/>
    <w:rsid w:val="00E11E44"/>
    <w:rsid w:val="00E2184A"/>
    <w:rsid w:val="00E3270E"/>
    <w:rsid w:val="00E338EF"/>
    <w:rsid w:val="00E40617"/>
    <w:rsid w:val="00E544BB"/>
    <w:rsid w:val="00E5618A"/>
    <w:rsid w:val="00E6260C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619F"/>
    <w:rsid w:val="00EF2E3A"/>
    <w:rsid w:val="00F072A7"/>
    <w:rsid w:val="00F078DC"/>
    <w:rsid w:val="00F32BA8"/>
    <w:rsid w:val="00F349F1"/>
    <w:rsid w:val="00F4350D"/>
    <w:rsid w:val="00F567F7"/>
    <w:rsid w:val="00F61FA6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63E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10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0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0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0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1084"/>
  </w:style>
  <w:style w:type="paragraph" w:customStyle="1" w:styleId="OPCParaBase">
    <w:name w:val="OPCParaBase"/>
    <w:qFormat/>
    <w:rsid w:val="00C110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10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10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10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10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10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10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10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10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10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10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1084"/>
  </w:style>
  <w:style w:type="paragraph" w:customStyle="1" w:styleId="Blocks">
    <w:name w:val="Blocks"/>
    <w:aliases w:val="bb"/>
    <w:basedOn w:val="OPCParaBase"/>
    <w:qFormat/>
    <w:rsid w:val="00C110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10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1084"/>
    <w:rPr>
      <w:i/>
    </w:rPr>
  </w:style>
  <w:style w:type="paragraph" w:customStyle="1" w:styleId="BoxList">
    <w:name w:val="BoxList"/>
    <w:aliases w:val="bl"/>
    <w:basedOn w:val="BoxText"/>
    <w:qFormat/>
    <w:rsid w:val="00C110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10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10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108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1084"/>
  </w:style>
  <w:style w:type="character" w:customStyle="1" w:styleId="CharAmPartText">
    <w:name w:val="CharAmPartText"/>
    <w:basedOn w:val="OPCCharBase"/>
    <w:uiPriority w:val="1"/>
    <w:qFormat/>
    <w:rsid w:val="00C11084"/>
  </w:style>
  <w:style w:type="character" w:customStyle="1" w:styleId="CharAmSchNo">
    <w:name w:val="CharAmSchNo"/>
    <w:basedOn w:val="OPCCharBase"/>
    <w:uiPriority w:val="1"/>
    <w:qFormat/>
    <w:rsid w:val="00C11084"/>
  </w:style>
  <w:style w:type="character" w:customStyle="1" w:styleId="CharAmSchText">
    <w:name w:val="CharAmSchText"/>
    <w:basedOn w:val="OPCCharBase"/>
    <w:uiPriority w:val="1"/>
    <w:qFormat/>
    <w:rsid w:val="00C11084"/>
  </w:style>
  <w:style w:type="character" w:customStyle="1" w:styleId="CharBoldItalic">
    <w:name w:val="CharBoldItalic"/>
    <w:basedOn w:val="OPCCharBase"/>
    <w:uiPriority w:val="1"/>
    <w:qFormat/>
    <w:rsid w:val="00C11084"/>
    <w:rPr>
      <w:b/>
      <w:i/>
    </w:rPr>
  </w:style>
  <w:style w:type="character" w:customStyle="1" w:styleId="CharChapNo">
    <w:name w:val="CharChapNo"/>
    <w:basedOn w:val="OPCCharBase"/>
    <w:qFormat/>
    <w:rsid w:val="00C11084"/>
  </w:style>
  <w:style w:type="character" w:customStyle="1" w:styleId="CharChapText">
    <w:name w:val="CharChapText"/>
    <w:basedOn w:val="OPCCharBase"/>
    <w:qFormat/>
    <w:rsid w:val="00C11084"/>
  </w:style>
  <w:style w:type="character" w:customStyle="1" w:styleId="CharDivNo">
    <w:name w:val="CharDivNo"/>
    <w:basedOn w:val="OPCCharBase"/>
    <w:qFormat/>
    <w:rsid w:val="00C11084"/>
  </w:style>
  <w:style w:type="character" w:customStyle="1" w:styleId="CharDivText">
    <w:name w:val="CharDivText"/>
    <w:basedOn w:val="OPCCharBase"/>
    <w:qFormat/>
    <w:rsid w:val="00C11084"/>
  </w:style>
  <w:style w:type="character" w:customStyle="1" w:styleId="CharItalic">
    <w:name w:val="CharItalic"/>
    <w:basedOn w:val="OPCCharBase"/>
    <w:uiPriority w:val="1"/>
    <w:qFormat/>
    <w:rsid w:val="00C11084"/>
    <w:rPr>
      <w:i/>
    </w:rPr>
  </w:style>
  <w:style w:type="character" w:customStyle="1" w:styleId="CharPartNo">
    <w:name w:val="CharPartNo"/>
    <w:basedOn w:val="OPCCharBase"/>
    <w:qFormat/>
    <w:rsid w:val="00C11084"/>
  </w:style>
  <w:style w:type="character" w:customStyle="1" w:styleId="CharPartText">
    <w:name w:val="CharPartText"/>
    <w:basedOn w:val="OPCCharBase"/>
    <w:qFormat/>
    <w:rsid w:val="00C11084"/>
  </w:style>
  <w:style w:type="character" w:customStyle="1" w:styleId="CharSectno">
    <w:name w:val="CharSectno"/>
    <w:basedOn w:val="OPCCharBase"/>
    <w:qFormat/>
    <w:rsid w:val="00C11084"/>
  </w:style>
  <w:style w:type="character" w:customStyle="1" w:styleId="CharSubdNo">
    <w:name w:val="CharSubdNo"/>
    <w:basedOn w:val="OPCCharBase"/>
    <w:uiPriority w:val="1"/>
    <w:qFormat/>
    <w:rsid w:val="00C11084"/>
  </w:style>
  <w:style w:type="character" w:customStyle="1" w:styleId="CharSubdText">
    <w:name w:val="CharSubdText"/>
    <w:basedOn w:val="OPCCharBase"/>
    <w:uiPriority w:val="1"/>
    <w:qFormat/>
    <w:rsid w:val="00C11084"/>
  </w:style>
  <w:style w:type="paragraph" w:customStyle="1" w:styleId="CTA--">
    <w:name w:val="CTA --"/>
    <w:basedOn w:val="OPCParaBase"/>
    <w:next w:val="Normal"/>
    <w:rsid w:val="00C110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10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10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10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10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10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10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10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10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10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10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10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10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10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10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108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10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10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10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10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10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10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10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10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10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10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10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10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10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10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10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10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10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10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10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10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10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10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10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10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10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10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10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10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10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10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10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10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10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10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10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10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10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10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10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10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110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10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10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10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10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10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10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10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10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10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1084"/>
    <w:rPr>
      <w:sz w:val="16"/>
    </w:rPr>
  </w:style>
  <w:style w:type="table" w:customStyle="1" w:styleId="CFlag">
    <w:name w:val="CFlag"/>
    <w:basedOn w:val="TableNormal"/>
    <w:uiPriority w:val="99"/>
    <w:rsid w:val="00C110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1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108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10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10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10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108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108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108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108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10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10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108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10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10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10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10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10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10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10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10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10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1084"/>
  </w:style>
  <w:style w:type="character" w:customStyle="1" w:styleId="CharSubPartNoCASA">
    <w:name w:val="CharSubPartNo(CASA)"/>
    <w:basedOn w:val="OPCCharBase"/>
    <w:uiPriority w:val="1"/>
    <w:rsid w:val="00C11084"/>
  </w:style>
  <w:style w:type="paragraph" w:customStyle="1" w:styleId="ENoteTTIndentHeadingSub">
    <w:name w:val="ENoteTTIndentHeadingSub"/>
    <w:aliases w:val="enTTHis"/>
    <w:basedOn w:val="OPCParaBase"/>
    <w:rsid w:val="00C110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10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10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10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10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1084"/>
    <w:rPr>
      <w:sz w:val="22"/>
    </w:rPr>
  </w:style>
  <w:style w:type="paragraph" w:customStyle="1" w:styleId="SOTextNote">
    <w:name w:val="SO TextNote"/>
    <w:aliases w:val="sont"/>
    <w:basedOn w:val="SOText"/>
    <w:qFormat/>
    <w:rsid w:val="00C110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10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1084"/>
    <w:rPr>
      <w:sz w:val="22"/>
    </w:rPr>
  </w:style>
  <w:style w:type="paragraph" w:customStyle="1" w:styleId="FileName">
    <w:name w:val="FileName"/>
    <w:basedOn w:val="Normal"/>
    <w:rsid w:val="00C11084"/>
  </w:style>
  <w:style w:type="paragraph" w:customStyle="1" w:styleId="TableHeading">
    <w:name w:val="TableHeading"/>
    <w:aliases w:val="th"/>
    <w:basedOn w:val="OPCParaBase"/>
    <w:next w:val="Tabletext"/>
    <w:rsid w:val="00C110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10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10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10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10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10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10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10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10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10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10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108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108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0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0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0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0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0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08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10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0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0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0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0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0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1084"/>
  </w:style>
  <w:style w:type="paragraph" w:customStyle="1" w:styleId="OPCParaBase">
    <w:name w:val="OPCParaBase"/>
    <w:qFormat/>
    <w:rsid w:val="00C110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10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10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10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10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10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10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10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10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10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10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1084"/>
  </w:style>
  <w:style w:type="paragraph" w:customStyle="1" w:styleId="Blocks">
    <w:name w:val="Blocks"/>
    <w:aliases w:val="bb"/>
    <w:basedOn w:val="OPCParaBase"/>
    <w:qFormat/>
    <w:rsid w:val="00C110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10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1084"/>
    <w:rPr>
      <w:i/>
    </w:rPr>
  </w:style>
  <w:style w:type="paragraph" w:customStyle="1" w:styleId="BoxList">
    <w:name w:val="BoxList"/>
    <w:aliases w:val="bl"/>
    <w:basedOn w:val="BoxText"/>
    <w:qFormat/>
    <w:rsid w:val="00C110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10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10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108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1084"/>
  </w:style>
  <w:style w:type="character" w:customStyle="1" w:styleId="CharAmPartText">
    <w:name w:val="CharAmPartText"/>
    <w:basedOn w:val="OPCCharBase"/>
    <w:uiPriority w:val="1"/>
    <w:qFormat/>
    <w:rsid w:val="00C11084"/>
  </w:style>
  <w:style w:type="character" w:customStyle="1" w:styleId="CharAmSchNo">
    <w:name w:val="CharAmSchNo"/>
    <w:basedOn w:val="OPCCharBase"/>
    <w:uiPriority w:val="1"/>
    <w:qFormat/>
    <w:rsid w:val="00C11084"/>
  </w:style>
  <w:style w:type="character" w:customStyle="1" w:styleId="CharAmSchText">
    <w:name w:val="CharAmSchText"/>
    <w:basedOn w:val="OPCCharBase"/>
    <w:uiPriority w:val="1"/>
    <w:qFormat/>
    <w:rsid w:val="00C11084"/>
  </w:style>
  <w:style w:type="character" w:customStyle="1" w:styleId="CharBoldItalic">
    <w:name w:val="CharBoldItalic"/>
    <w:basedOn w:val="OPCCharBase"/>
    <w:uiPriority w:val="1"/>
    <w:qFormat/>
    <w:rsid w:val="00C11084"/>
    <w:rPr>
      <w:b/>
      <w:i/>
    </w:rPr>
  </w:style>
  <w:style w:type="character" w:customStyle="1" w:styleId="CharChapNo">
    <w:name w:val="CharChapNo"/>
    <w:basedOn w:val="OPCCharBase"/>
    <w:qFormat/>
    <w:rsid w:val="00C11084"/>
  </w:style>
  <w:style w:type="character" w:customStyle="1" w:styleId="CharChapText">
    <w:name w:val="CharChapText"/>
    <w:basedOn w:val="OPCCharBase"/>
    <w:qFormat/>
    <w:rsid w:val="00C11084"/>
  </w:style>
  <w:style w:type="character" w:customStyle="1" w:styleId="CharDivNo">
    <w:name w:val="CharDivNo"/>
    <w:basedOn w:val="OPCCharBase"/>
    <w:qFormat/>
    <w:rsid w:val="00C11084"/>
  </w:style>
  <w:style w:type="character" w:customStyle="1" w:styleId="CharDivText">
    <w:name w:val="CharDivText"/>
    <w:basedOn w:val="OPCCharBase"/>
    <w:qFormat/>
    <w:rsid w:val="00C11084"/>
  </w:style>
  <w:style w:type="character" w:customStyle="1" w:styleId="CharItalic">
    <w:name w:val="CharItalic"/>
    <w:basedOn w:val="OPCCharBase"/>
    <w:uiPriority w:val="1"/>
    <w:qFormat/>
    <w:rsid w:val="00C11084"/>
    <w:rPr>
      <w:i/>
    </w:rPr>
  </w:style>
  <w:style w:type="character" w:customStyle="1" w:styleId="CharPartNo">
    <w:name w:val="CharPartNo"/>
    <w:basedOn w:val="OPCCharBase"/>
    <w:qFormat/>
    <w:rsid w:val="00C11084"/>
  </w:style>
  <w:style w:type="character" w:customStyle="1" w:styleId="CharPartText">
    <w:name w:val="CharPartText"/>
    <w:basedOn w:val="OPCCharBase"/>
    <w:qFormat/>
    <w:rsid w:val="00C11084"/>
  </w:style>
  <w:style w:type="character" w:customStyle="1" w:styleId="CharSectno">
    <w:name w:val="CharSectno"/>
    <w:basedOn w:val="OPCCharBase"/>
    <w:qFormat/>
    <w:rsid w:val="00C11084"/>
  </w:style>
  <w:style w:type="character" w:customStyle="1" w:styleId="CharSubdNo">
    <w:name w:val="CharSubdNo"/>
    <w:basedOn w:val="OPCCharBase"/>
    <w:uiPriority w:val="1"/>
    <w:qFormat/>
    <w:rsid w:val="00C11084"/>
  </w:style>
  <w:style w:type="character" w:customStyle="1" w:styleId="CharSubdText">
    <w:name w:val="CharSubdText"/>
    <w:basedOn w:val="OPCCharBase"/>
    <w:uiPriority w:val="1"/>
    <w:qFormat/>
    <w:rsid w:val="00C11084"/>
  </w:style>
  <w:style w:type="paragraph" w:customStyle="1" w:styleId="CTA--">
    <w:name w:val="CTA --"/>
    <w:basedOn w:val="OPCParaBase"/>
    <w:next w:val="Normal"/>
    <w:rsid w:val="00C110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10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10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10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10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10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10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10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10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10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10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10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10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10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110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108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10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10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10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10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10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10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10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10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10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10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10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10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10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10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10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10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10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10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10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10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10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10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10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10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10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10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10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10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10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10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10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10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10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10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10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10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10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10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10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10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110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10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1108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10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10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10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10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10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10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10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10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1084"/>
    <w:rPr>
      <w:sz w:val="16"/>
    </w:rPr>
  </w:style>
  <w:style w:type="table" w:customStyle="1" w:styleId="CFlag">
    <w:name w:val="CFlag"/>
    <w:basedOn w:val="TableNormal"/>
    <w:uiPriority w:val="99"/>
    <w:rsid w:val="00C110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1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108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10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10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10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108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108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108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108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10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10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108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10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10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10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10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10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10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10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10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10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1084"/>
  </w:style>
  <w:style w:type="character" w:customStyle="1" w:styleId="CharSubPartNoCASA">
    <w:name w:val="CharSubPartNo(CASA)"/>
    <w:basedOn w:val="OPCCharBase"/>
    <w:uiPriority w:val="1"/>
    <w:rsid w:val="00C11084"/>
  </w:style>
  <w:style w:type="paragraph" w:customStyle="1" w:styleId="ENoteTTIndentHeadingSub">
    <w:name w:val="ENoteTTIndentHeadingSub"/>
    <w:aliases w:val="enTTHis"/>
    <w:basedOn w:val="OPCParaBase"/>
    <w:rsid w:val="00C110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10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10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10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10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1084"/>
    <w:rPr>
      <w:sz w:val="22"/>
    </w:rPr>
  </w:style>
  <w:style w:type="paragraph" w:customStyle="1" w:styleId="SOTextNote">
    <w:name w:val="SO TextNote"/>
    <w:aliases w:val="sont"/>
    <w:basedOn w:val="SOText"/>
    <w:qFormat/>
    <w:rsid w:val="00C110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10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1084"/>
    <w:rPr>
      <w:sz w:val="22"/>
    </w:rPr>
  </w:style>
  <w:style w:type="paragraph" w:customStyle="1" w:styleId="FileName">
    <w:name w:val="FileName"/>
    <w:basedOn w:val="Normal"/>
    <w:rsid w:val="00C11084"/>
  </w:style>
  <w:style w:type="paragraph" w:customStyle="1" w:styleId="TableHeading">
    <w:name w:val="TableHeading"/>
    <w:aliases w:val="th"/>
    <w:basedOn w:val="OPCParaBase"/>
    <w:next w:val="Tabletext"/>
    <w:rsid w:val="00C110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10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10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10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10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10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10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10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10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10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10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10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108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108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0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0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0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0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0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08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F0F2-3190-43B9-A00D-BC624646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1141</Words>
  <Characters>6504</Characters>
  <Application>Microsoft Office Word</Application>
  <DocSecurity>4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2017-12-18T03:57:00Z</dcterms:created>
  <dcterms:modified xsi:type="dcterms:W3CDTF">2017-12-18T03:57:00Z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Parliamentary Business Resources (Consequential and Transitional Provisions)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OPC63110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14 December 2017</vt:lpwstr>
  </property>
</Properties>
</file>