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7B" w:rsidRPr="006C2E1D" w:rsidRDefault="001B4A7B" w:rsidP="001B4A7B">
      <w:pPr>
        <w:jc w:val="center"/>
        <w:rPr>
          <w:rFonts w:asciiTheme="minorHAnsi" w:hAnsiTheme="minorHAnsi" w:cstheme="minorHAnsi"/>
          <w:b/>
          <w:lang w:val="en-GB"/>
        </w:rPr>
      </w:pPr>
      <w:bookmarkStart w:id="0" w:name="_GoBack"/>
      <w:bookmarkEnd w:id="0"/>
      <w:r w:rsidRPr="006C2E1D">
        <w:rPr>
          <w:rFonts w:asciiTheme="minorHAnsi" w:hAnsiTheme="minorHAnsi" w:cstheme="minorHAnsi"/>
          <w:b/>
          <w:lang w:val="en-GB"/>
        </w:rPr>
        <w:t>EXPLANATORY STATEMENT</w:t>
      </w:r>
    </w:p>
    <w:p w:rsidR="001B4A7B" w:rsidRPr="006C2E1D" w:rsidRDefault="001B4A7B" w:rsidP="001B4A7B">
      <w:pPr>
        <w:jc w:val="center"/>
        <w:rPr>
          <w:rFonts w:asciiTheme="minorHAnsi" w:hAnsiTheme="minorHAnsi" w:cstheme="minorHAnsi"/>
          <w:i/>
          <w:lang w:val="en-GB"/>
        </w:rPr>
      </w:pPr>
      <w:r w:rsidRPr="006C2E1D">
        <w:rPr>
          <w:rFonts w:asciiTheme="minorHAnsi" w:hAnsiTheme="minorHAnsi" w:cstheme="minorHAnsi"/>
          <w:i/>
          <w:lang w:val="en-GB"/>
        </w:rPr>
        <w:t>Consumer Goods (</w:t>
      </w:r>
      <w:r w:rsidR="00A71F5F" w:rsidRPr="006C2E1D">
        <w:rPr>
          <w:rFonts w:asciiTheme="minorHAnsi" w:hAnsiTheme="minorHAnsi" w:cstheme="minorHAnsi"/>
          <w:i/>
          <w:lang w:val="en-GB"/>
        </w:rPr>
        <w:t>Basketball Rings and Backboards</w:t>
      </w:r>
      <w:r w:rsidRPr="006C2E1D">
        <w:rPr>
          <w:rFonts w:asciiTheme="minorHAnsi" w:hAnsiTheme="minorHAnsi" w:cstheme="minorHAnsi"/>
          <w:i/>
          <w:lang w:val="en-GB"/>
        </w:rPr>
        <w:t>) Safety Standard 201</w:t>
      </w:r>
      <w:r w:rsidR="007A502D" w:rsidRPr="006C2E1D">
        <w:rPr>
          <w:rFonts w:asciiTheme="minorHAnsi" w:hAnsiTheme="minorHAnsi" w:cstheme="minorHAnsi"/>
          <w:i/>
          <w:lang w:val="en-GB"/>
        </w:rPr>
        <w:t>7</w:t>
      </w:r>
    </w:p>
    <w:p w:rsidR="001B4A7B" w:rsidRPr="006C2E1D" w:rsidRDefault="001B4A7B" w:rsidP="001B4A7B">
      <w:pPr>
        <w:rPr>
          <w:rFonts w:cs="Arial"/>
          <w:b/>
          <w:lang w:val="en-GB"/>
        </w:rPr>
      </w:pPr>
      <w:r w:rsidRPr="006C2E1D">
        <w:rPr>
          <w:rFonts w:cs="Arial"/>
          <w:b/>
          <w:lang w:val="en-GB"/>
        </w:rPr>
        <w:t>Overview</w:t>
      </w:r>
    </w:p>
    <w:p w:rsidR="00D87C84" w:rsidRDefault="00644E3A" w:rsidP="001B4A7B">
      <w:pPr>
        <w:rPr>
          <w:rFonts w:cs="Arial"/>
          <w:lang w:val="en-GB"/>
        </w:rPr>
      </w:pPr>
      <w:r w:rsidRPr="006C2E1D">
        <w:rPr>
          <w:rFonts w:cs="Arial"/>
          <w:lang w:val="en-GB"/>
        </w:rPr>
        <w:t>The Commonwealth Minister for Small Bus</w:t>
      </w:r>
      <w:r w:rsidR="00E35D4C">
        <w:rPr>
          <w:rFonts w:cs="Arial"/>
          <w:lang w:val="en-GB"/>
        </w:rPr>
        <w:t>iness (the Minister) has made a</w:t>
      </w:r>
      <w:r w:rsidR="00E03E13">
        <w:rPr>
          <w:rFonts w:cs="Arial"/>
          <w:lang w:val="en-GB"/>
        </w:rPr>
        <w:t xml:space="preserve"> </w:t>
      </w:r>
      <w:r w:rsidRPr="006C2E1D">
        <w:rPr>
          <w:rFonts w:cs="Arial"/>
          <w:lang w:val="en-GB"/>
        </w:rPr>
        <w:t xml:space="preserve">safety standard for basketball rings and backboards pursuant to section 104 of the Australian Consumer Law (ACL), which is Schedule 2 of the </w:t>
      </w:r>
      <w:r w:rsidRPr="006C2E1D">
        <w:rPr>
          <w:rFonts w:cs="Arial"/>
          <w:i/>
          <w:lang w:val="en-GB"/>
        </w:rPr>
        <w:t>Competition and Consumer Act 2010 (Cth)</w:t>
      </w:r>
      <w:r w:rsidRPr="006C2E1D">
        <w:rPr>
          <w:rFonts w:cs="Arial"/>
          <w:lang w:val="en-GB"/>
        </w:rPr>
        <w:t>.</w:t>
      </w:r>
    </w:p>
    <w:p w:rsidR="0091775F" w:rsidRPr="006C2E1D" w:rsidRDefault="00E35D4C" w:rsidP="001B4A7B">
      <w:pPr>
        <w:rPr>
          <w:rFonts w:cs="Arial"/>
          <w:lang w:val="en-GB"/>
        </w:rPr>
      </w:pPr>
      <w:r>
        <w:rPr>
          <w:rFonts w:cs="Arial"/>
          <w:lang w:val="en-GB"/>
        </w:rPr>
        <w:t>The</w:t>
      </w:r>
      <w:r w:rsidR="00E03E13">
        <w:rPr>
          <w:rFonts w:cs="Arial"/>
          <w:lang w:val="en-GB"/>
        </w:rPr>
        <w:t xml:space="preserve"> </w:t>
      </w:r>
      <w:r w:rsidR="0091775F" w:rsidRPr="000F7A89">
        <w:rPr>
          <w:rFonts w:cs="Arial"/>
          <w:lang w:val="en-GB"/>
        </w:rPr>
        <w:t xml:space="preserve">safety </w:t>
      </w:r>
      <w:r w:rsidR="001B4A7B" w:rsidRPr="000F7A89">
        <w:rPr>
          <w:rFonts w:cs="Arial"/>
          <w:lang w:val="en-GB"/>
        </w:rPr>
        <w:t xml:space="preserve">standard </w:t>
      </w:r>
      <w:r w:rsidR="0091775F" w:rsidRPr="000F7A89">
        <w:rPr>
          <w:rFonts w:cs="Arial"/>
          <w:lang w:val="en-GB"/>
        </w:rPr>
        <w:t xml:space="preserve">comes into effect on the day after it is registered on the Federal Register of Legislation. Suppliers </w:t>
      </w:r>
      <w:r w:rsidR="005215FD">
        <w:rPr>
          <w:rFonts w:cs="Arial"/>
          <w:lang w:val="en-GB"/>
        </w:rPr>
        <w:t>may</w:t>
      </w:r>
      <w:r w:rsidR="0091775F" w:rsidRPr="000F7A89">
        <w:rPr>
          <w:rFonts w:cs="Arial"/>
          <w:lang w:val="en-GB"/>
        </w:rPr>
        <w:t xml:space="preserve"> supply basketball rings and backboards</w:t>
      </w:r>
      <w:r w:rsidR="001F4C58">
        <w:rPr>
          <w:rFonts w:cs="Arial"/>
          <w:lang w:val="en-GB"/>
        </w:rPr>
        <w:t xml:space="preserve"> that</w:t>
      </w:r>
      <w:r>
        <w:rPr>
          <w:rFonts w:cs="Arial"/>
          <w:lang w:val="en-GB"/>
        </w:rPr>
        <w:t xml:space="preserve"> meet either the previous</w:t>
      </w:r>
      <w:r w:rsidR="00E03E13">
        <w:rPr>
          <w:rFonts w:cs="Arial"/>
          <w:lang w:val="en-GB"/>
        </w:rPr>
        <w:t xml:space="preserve"> </w:t>
      </w:r>
      <w:r>
        <w:rPr>
          <w:rFonts w:cs="Arial"/>
          <w:lang w:val="en-GB"/>
        </w:rPr>
        <w:t>safety standard or the new</w:t>
      </w:r>
      <w:r w:rsidR="00E03E13">
        <w:rPr>
          <w:rFonts w:cs="Arial"/>
          <w:lang w:val="en-GB"/>
        </w:rPr>
        <w:t xml:space="preserve"> </w:t>
      </w:r>
      <w:r w:rsidR="0091775F" w:rsidRPr="000F7A89">
        <w:rPr>
          <w:rFonts w:cs="Arial"/>
          <w:lang w:val="en-GB"/>
        </w:rPr>
        <w:t xml:space="preserve">safety standard </w:t>
      </w:r>
      <w:r w:rsidR="002000FC">
        <w:rPr>
          <w:rFonts w:cs="Arial"/>
          <w:lang w:val="en-GB"/>
        </w:rPr>
        <w:t>until</w:t>
      </w:r>
      <w:r w:rsidR="009B190F">
        <w:rPr>
          <w:rFonts w:cs="Arial"/>
          <w:lang w:val="en-GB"/>
        </w:rPr>
        <w:t xml:space="preserve"> </w:t>
      </w:r>
      <w:r w:rsidR="00271FF3">
        <w:rPr>
          <w:rFonts w:cs="Arial"/>
          <w:lang w:val="en-GB"/>
        </w:rPr>
        <w:t xml:space="preserve">the </w:t>
      </w:r>
      <w:r w:rsidR="009B190F">
        <w:rPr>
          <w:rFonts w:cs="Arial"/>
          <w:lang w:val="en-GB"/>
        </w:rPr>
        <w:t>transition</w:t>
      </w:r>
      <w:r>
        <w:rPr>
          <w:rFonts w:cs="Arial"/>
          <w:lang w:val="en-GB"/>
        </w:rPr>
        <w:t>al</w:t>
      </w:r>
      <w:r w:rsidR="009B190F">
        <w:rPr>
          <w:rFonts w:cs="Arial"/>
          <w:lang w:val="en-GB"/>
        </w:rPr>
        <w:t xml:space="preserve"> period expires</w:t>
      </w:r>
      <w:r w:rsidR="0091775F" w:rsidRPr="00B9628B">
        <w:rPr>
          <w:rFonts w:cs="Arial"/>
          <w:lang w:val="en-GB"/>
        </w:rPr>
        <w:t>.</w:t>
      </w:r>
      <w:r w:rsidR="0091775F" w:rsidRPr="006C2E1D">
        <w:rPr>
          <w:rFonts w:cs="Arial"/>
          <w:lang w:val="en-GB"/>
        </w:rPr>
        <w:t xml:space="preserve"> After </w:t>
      </w:r>
      <w:r w:rsidR="002000FC">
        <w:rPr>
          <w:rFonts w:cs="Arial"/>
          <w:lang w:val="en-GB"/>
        </w:rPr>
        <w:t>the</w:t>
      </w:r>
      <w:r w:rsidR="009B190F">
        <w:rPr>
          <w:rFonts w:cs="Arial"/>
          <w:lang w:val="en-GB"/>
        </w:rPr>
        <w:t xml:space="preserve"> transition</w:t>
      </w:r>
      <w:r>
        <w:rPr>
          <w:rFonts w:cs="Arial"/>
          <w:lang w:val="en-GB"/>
        </w:rPr>
        <w:t>al</w:t>
      </w:r>
      <w:r w:rsidR="009B190F">
        <w:rPr>
          <w:rFonts w:cs="Arial"/>
          <w:lang w:val="en-GB"/>
        </w:rPr>
        <w:t xml:space="preserve"> period, </w:t>
      </w:r>
      <w:r>
        <w:rPr>
          <w:rFonts w:cs="Arial"/>
          <w:lang w:val="en-GB"/>
        </w:rPr>
        <w:t>suppliers must</w:t>
      </w:r>
      <w:r w:rsidR="0091775F" w:rsidRPr="006C2E1D">
        <w:rPr>
          <w:rFonts w:cs="Arial"/>
          <w:lang w:val="en-GB"/>
        </w:rPr>
        <w:t xml:space="preserve"> ensure they comply with the new</w:t>
      </w:r>
      <w:r w:rsidR="00E03E13">
        <w:rPr>
          <w:rFonts w:cs="Arial"/>
          <w:lang w:val="en-GB"/>
        </w:rPr>
        <w:t xml:space="preserve"> </w:t>
      </w:r>
      <w:r w:rsidR="00EB672C">
        <w:rPr>
          <w:rFonts w:cs="Arial"/>
          <w:lang w:val="en-GB"/>
        </w:rPr>
        <w:t xml:space="preserve">safety </w:t>
      </w:r>
      <w:r w:rsidR="007C0F00">
        <w:rPr>
          <w:rFonts w:cs="Arial"/>
          <w:lang w:val="en-GB"/>
        </w:rPr>
        <w:t>standard.</w:t>
      </w:r>
    </w:p>
    <w:p w:rsidR="001F66A4" w:rsidRDefault="001B4A7B" w:rsidP="00884D6C">
      <w:pPr>
        <w:rPr>
          <w:rFonts w:eastAsia="Arial" w:cs="Arial"/>
        </w:rPr>
      </w:pPr>
      <w:r w:rsidRPr="006C2E1D">
        <w:rPr>
          <w:rFonts w:eastAsia="Arial" w:cs="Arial"/>
        </w:rPr>
        <w:t xml:space="preserve">The </w:t>
      </w:r>
      <w:r w:rsidR="00E35D4C">
        <w:rPr>
          <w:rFonts w:eastAsia="Arial" w:cs="Arial"/>
        </w:rPr>
        <w:t>purpose of the</w:t>
      </w:r>
      <w:r w:rsidR="00E03E13">
        <w:rPr>
          <w:rFonts w:cs="Arial"/>
          <w:lang w:val="en-GB"/>
        </w:rPr>
        <w:t xml:space="preserve"> </w:t>
      </w:r>
      <w:r w:rsidR="001F4C58">
        <w:rPr>
          <w:rFonts w:eastAsia="Arial" w:cs="Arial"/>
        </w:rPr>
        <w:t xml:space="preserve">safety </w:t>
      </w:r>
      <w:r w:rsidR="0091775F" w:rsidRPr="006C2E1D">
        <w:rPr>
          <w:rFonts w:eastAsia="Arial" w:cs="Arial"/>
        </w:rPr>
        <w:t>standard is to</w:t>
      </w:r>
      <w:r w:rsidRPr="006C2E1D">
        <w:rPr>
          <w:rFonts w:eastAsia="Arial" w:cs="Arial"/>
        </w:rPr>
        <w:t xml:space="preserve"> reduce the risk of </w:t>
      </w:r>
      <w:r w:rsidR="00D51722">
        <w:rPr>
          <w:rFonts w:eastAsia="Arial" w:cs="Arial"/>
        </w:rPr>
        <w:t>death and serious injury</w:t>
      </w:r>
      <w:r w:rsidR="00A71F5F" w:rsidRPr="006C2E1D">
        <w:rPr>
          <w:rFonts w:eastAsia="Arial" w:cs="Arial"/>
        </w:rPr>
        <w:t xml:space="preserve"> </w:t>
      </w:r>
      <w:r w:rsidR="00127FD6" w:rsidRPr="006C2E1D">
        <w:rPr>
          <w:rFonts w:eastAsia="Arial" w:cs="Arial"/>
        </w:rPr>
        <w:t>resulting from</w:t>
      </w:r>
      <w:r w:rsidR="00A71F5F" w:rsidRPr="006C2E1D">
        <w:rPr>
          <w:rFonts w:eastAsia="Arial" w:cs="Arial"/>
        </w:rPr>
        <w:t xml:space="preserve"> </w:t>
      </w:r>
      <w:r w:rsidR="001F66A4">
        <w:rPr>
          <w:rFonts w:eastAsia="Arial" w:cs="Arial"/>
        </w:rPr>
        <w:t xml:space="preserve">the </w:t>
      </w:r>
      <w:r w:rsidR="00347964" w:rsidRPr="006C2E1D">
        <w:rPr>
          <w:rFonts w:eastAsia="Arial" w:cs="Arial"/>
        </w:rPr>
        <w:t>improper installation</w:t>
      </w:r>
      <w:r w:rsidR="00496256">
        <w:rPr>
          <w:rFonts w:eastAsia="Arial" w:cs="Arial"/>
        </w:rPr>
        <w:t xml:space="preserve"> </w:t>
      </w:r>
      <w:r w:rsidR="001F66A4">
        <w:rPr>
          <w:rFonts w:eastAsia="Arial" w:cs="Arial"/>
        </w:rPr>
        <w:t>and use of basketball rings and backboards.</w:t>
      </w:r>
    </w:p>
    <w:p w:rsidR="001B4A7B" w:rsidRPr="006C2E1D" w:rsidRDefault="00B9628B" w:rsidP="00884D6C">
      <w:pPr>
        <w:rPr>
          <w:rFonts w:eastAsia="Arial" w:cs="Arial"/>
        </w:rPr>
      </w:pPr>
      <w:r w:rsidRPr="006C2E1D">
        <w:rPr>
          <w:rFonts w:eastAsia="Arial" w:cs="Arial"/>
        </w:rPr>
        <w:t>The</w:t>
      </w:r>
      <w:r>
        <w:rPr>
          <w:rFonts w:eastAsia="Arial" w:cs="Arial"/>
        </w:rPr>
        <w:t xml:space="preserve"> previous</w:t>
      </w:r>
      <w:r w:rsidR="00E03E13">
        <w:rPr>
          <w:rFonts w:cs="Arial"/>
          <w:lang w:val="en-GB"/>
        </w:rPr>
        <w:t xml:space="preserve"> safety </w:t>
      </w:r>
      <w:r w:rsidR="001B4A7B" w:rsidRPr="006C2E1D">
        <w:rPr>
          <w:rFonts w:eastAsia="Arial" w:cs="Arial"/>
        </w:rPr>
        <w:t>standard was introduced in</w:t>
      </w:r>
      <w:r w:rsidR="00D73912" w:rsidRPr="006C2E1D">
        <w:rPr>
          <w:rFonts w:eastAsia="Arial" w:cs="Arial"/>
        </w:rPr>
        <w:t xml:space="preserve"> 2005 </w:t>
      </w:r>
      <w:r w:rsidR="00127FD6" w:rsidRPr="006C2E1D">
        <w:rPr>
          <w:rFonts w:eastAsia="Arial" w:cs="Arial"/>
        </w:rPr>
        <w:t>following</w:t>
      </w:r>
      <w:r w:rsidR="00D73912" w:rsidRPr="006C2E1D">
        <w:rPr>
          <w:rFonts w:eastAsia="Arial" w:cs="Arial"/>
        </w:rPr>
        <w:t xml:space="preserve"> three deaths in 1996, 1998 and 2002</w:t>
      </w:r>
      <w:r w:rsidR="00A0549C">
        <w:rPr>
          <w:rFonts w:eastAsia="Arial" w:cs="Arial"/>
        </w:rPr>
        <w:t xml:space="preserve"> as a result of improper installation on a structure which collapsed when the user performed a ‘slam dunk’</w:t>
      </w:r>
      <w:r w:rsidR="00D73912" w:rsidRPr="006C2E1D">
        <w:rPr>
          <w:rFonts w:eastAsia="Arial" w:cs="Arial"/>
        </w:rPr>
        <w:t>. Since 2005, there has been one reported death associated with a basketb</w:t>
      </w:r>
      <w:r w:rsidR="000D292A">
        <w:rPr>
          <w:rFonts w:eastAsia="Arial" w:cs="Arial"/>
        </w:rPr>
        <w:t>all ring and backboard in 2012</w:t>
      </w:r>
      <w:r w:rsidR="00A0549C">
        <w:rPr>
          <w:rFonts w:eastAsia="Arial" w:cs="Arial"/>
        </w:rPr>
        <w:t xml:space="preserve"> which was due to improper installation of a basketball ring and backboard on a garage which similarly collapsed when the user performed a ‘slam dunk’</w:t>
      </w:r>
      <w:r w:rsidR="000D292A">
        <w:rPr>
          <w:rFonts w:eastAsia="Arial" w:cs="Arial"/>
        </w:rPr>
        <w:t>.</w:t>
      </w:r>
    </w:p>
    <w:p w:rsidR="00F5752F" w:rsidRPr="006C2E1D" w:rsidRDefault="00F5752F" w:rsidP="00F5752F">
      <w:pPr>
        <w:rPr>
          <w:rFonts w:cs="Arial"/>
          <w:b/>
          <w:lang w:val="en-GB"/>
        </w:rPr>
      </w:pPr>
      <w:r w:rsidRPr="006C2E1D">
        <w:rPr>
          <w:rFonts w:cs="Arial"/>
          <w:b/>
          <w:lang w:val="en-GB"/>
        </w:rPr>
        <w:t>Repealed Standard</w:t>
      </w:r>
    </w:p>
    <w:p w:rsidR="002B60C9" w:rsidRDefault="002B60C9" w:rsidP="001B4A7B">
      <w:pPr>
        <w:rPr>
          <w:rFonts w:cs="Arial"/>
          <w:lang w:val="en-GB"/>
        </w:rPr>
      </w:pPr>
      <w:r w:rsidRPr="006C2E1D">
        <w:rPr>
          <w:rFonts w:cs="Arial"/>
          <w:lang w:val="en-GB"/>
        </w:rPr>
        <w:t xml:space="preserve">The </w:t>
      </w:r>
      <w:r w:rsidR="00E35D4C">
        <w:rPr>
          <w:rFonts w:cs="Arial"/>
          <w:lang w:val="en-GB"/>
        </w:rPr>
        <w:t>previous</w:t>
      </w:r>
      <w:r w:rsidR="00E03E13">
        <w:rPr>
          <w:rFonts w:cs="Arial"/>
          <w:lang w:val="en-GB"/>
        </w:rPr>
        <w:t xml:space="preserve"> </w:t>
      </w:r>
      <w:r w:rsidR="00A624C1">
        <w:rPr>
          <w:rFonts w:cs="Arial"/>
          <w:lang w:val="en-GB"/>
        </w:rPr>
        <w:t xml:space="preserve">safety </w:t>
      </w:r>
      <w:r w:rsidRPr="006C2E1D">
        <w:rPr>
          <w:rFonts w:cs="Arial"/>
          <w:lang w:val="en-GB"/>
        </w:rPr>
        <w:t xml:space="preserve">standard </w:t>
      </w:r>
      <w:r w:rsidR="00F5752F" w:rsidRPr="006C2E1D">
        <w:rPr>
          <w:rFonts w:cs="Arial"/>
          <w:lang w:val="en-GB"/>
        </w:rPr>
        <w:t>for basketball rings and backboards</w:t>
      </w:r>
      <w:r w:rsidRPr="006C2E1D">
        <w:rPr>
          <w:rFonts w:cs="Arial"/>
          <w:lang w:val="en-GB"/>
        </w:rPr>
        <w:t xml:space="preserve"> was </w:t>
      </w:r>
      <w:r w:rsidR="00196801" w:rsidRPr="006C2E1D">
        <w:rPr>
          <w:rFonts w:cs="Arial"/>
          <w:lang w:val="en-GB"/>
        </w:rPr>
        <w:t xml:space="preserve">the </w:t>
      </w:r>
      <w:r w:rsidR="00196801" w:rsidRPr="00B9628B">
        <w:rPr>
          <w:rFonts w:cs="Arial"/>
          <w:i/>
          <w:lang w:val="en-GB"/>
        </w:rPr>
        <w:t xml:space="preserve">Trade Practices (Consumer Product Safety Standard) (Basketball Rings and Backboards) </w:t>
      </w:r>
      <w:r w:rsidR="002345C4" w:rsidRPr="00B9628B">
        <w:rPr>
          <w:rFonts w:cs="Arial"/>
          <w:i/>
          <w:lang w:val="en-GB"/>
        </w:rPr>
        <w:t xml:space="preserve">Regulations </w:t>
      </w:r>
      <w:r w:rsidR="00196801" w:rsidRPr="00B9628B">
        <w:rPr>
          <w:rFonts w:cs="Arial"/>
          <w:i/>
          <w:lang w:val="en-GB"/>
        </w:rPr>
        <w:t>2005</w:t>
      </w:r>
      <w:r w:rsidR="001611F5">
        <w:rPr>
          <w:rFonts w:cs="Arial"/>
          <w:lang w:val="en-GB"/>
        </w:rPr>
        <w:t>.</w:t>
      </w:r>
    </w:p>
    <w:p w:rsidR="00EE6BA8" w:rsidRPr="006C2E1D" w:rsidRDefault="00EE6BA8" w:rsidP="001B4A7B">
      <w:pPr>
        <w:rPr>
          <w:rFonts w:cs="Arial"/>
          <w:lang w:val="en-GB"/>
        </w:rPr>
      </w:pPr>
      <w:r w:rsidRPr="00EE6BA8">
        <w:rPr>
          <w:rFonts w:cs="Arial"/>
          <w:lang w:val="en-GB"/>
        </w:rPr>
        <w:t xml:space="preserve">Under subsection 33(3) of the </w:t>
      </w:r>
      <w:r w:rsidRPr="00EE6BA8">
        <w:rPr>
          <w:rFonts w:cs="Arial"/>
          <w:i/>
          <w:lang w:val="en-GB"/>
        </w:rPr>
        <w:t>Acts Interpretation Act 1901</w:t>
      </w:r>
      <w:r>
        <w:rPr>
          <w:rFonts w:cs="Arial"/>
          <w:lang w:val="en-GB"/>
        </w:rPr>
        <w:t xml:space="preserve">, where an Act </w:t>
      </w:r>
      <w:r w:rsidRPr="00EE6BA8">
        <w:rPr>
          <w:rFonts w:cs="Arial"/>
          <w:lang w:val="en-GB"/>
        </w:rPr>
        <w:t>confers a power to make, grant or issue any instrument of a legislative or</w:t>
      </w:r>
      <w:r>
        <w:rPr>
          <w:rFonts w:cs="Arial"/>
          <w:lang w:val="en-GB"/>
        </w:rPr>
        <w:t xml:space="preserve"> </w:t>
      </w:r>
      <w:r w:rsidRPr="00EE6BA8">
        <w:rPr>
          <w:rFonts w:cs="Arial"/>
          <w:lang w:val="en-GB"/>
        </w:rPr>
        <w:t>administrative character (including rules, regulations or by-laws),</w:t>
      </w:r>
      <w:r>
        <w:rPr>
          <w:rFonts w:cs="Arial"/>
          <w:lang w:val="en-GB"/>
        </w:rPr>
        <w:t xml:space="preserve"> </w:t>
      </w:r>
      <w:r w:rsidRPr="00EE6BA8">
        <w:rPr>
          <w:rFonts w:cs="Arial"/>
          <w:lang w:val="en-GB"/>
        </w:rPr>
        <w:t>the power shall be construed as including a power exercisable in the like</w:t>
      </w:r>
      <w:r>
        <w:rPr>
          <w:rFonts w:cs="Arial"/>
          <w:lang w:val="en-GB"/>
        </w:rPr>
        <w:t xml:space="preserve"> </w:t>
      </w:r>
      <w:r w:rsidRPr="00EE6BA8">
        <w:rPr>
          <w:rFonts w:cs="Arial"/>
          <w:lang w:val="en-GB"/>
        </w:rPr>
        <w:t>manner and subject to the like conditions (if any) to repeal, rescind,</w:t>
      </w:r>
      <w:r>
        <w:rPr>
          <w:rFonts w:cs="Arial"/>
          <w:lang w:val="en-GB"/>
        </w:rPr>
        <w:t xml:space="preserve"> </w:t>
      </w:r>
      <w:r w:rsidRPr="00EE6BA8">
        <w:rPr>
          <w:rFonts w:cs="Arial"/>
          <w:lang w:val="en-GB"/>
        </w:rPr>
        <w:t>revoke, amend, or vary any such instrument.</w:t>
      </w:r>
    </w:p>
    <w:p w:rsidR="001B4A7B" w:rsidRPr="00A97127" w:rsidRDefault="001B4A7B" w:rsidP="001B4A7B">
      <w:pPr>
        <w:rPr>
          <w:rFonts w:cs="Arial"/>
          <w:b/>
          <w:lang w:val="en-GB"/>
        </w:rPr>
      </w:pPr>
      <w:r w:rsidRPr="00A97127">
        <w:rPr>
          <w:rFonts w:cs="Arial"/>
          <w:b/>
          <w:lang w:val="en-GB"/>
        </w:rPr>
        <w:t xml:space="preserve">Requirements </w:t>
      </w:r>
      <w:r w:rsidR="007A502D" w:rsidRPr="00A97127">
        <w:rPr>
          <w:rFonts w:cs="Arial"/>
          <w:b/>
          <w:lang w:val="en-GB"/>
        </w:rPr>
        <w:t xml:space="preserve">of </w:t>
      </w:r>
      <w:r w:rsidR="00E35D4C">
        <w:rPr>
          <w:rFonts w:cs="Arial"/>
          <w:b/>
          <w:lang w:val="en-GB"/>
        </w:rPr>
        <w:t>the</w:t>
      </w:r>
      <w:r w:rsidR="00E03E13">
        <w:rPr>
          <w:rFonts w:cs="Arial"/>
          <w:b/>
          <w:lang w:val="en-GB"/>
        </w:rPr>
        <w:t xml:space="preserve"> </w:t>
      </w:r>
      <w:r w:rsidRPr="00A97127">
        <w:rPr>
          <w:rFonts w:cs="Arial"/>
          <w:b/>
          <w:lang w:val="en-GB"/>
        </w:rPr>
        <w:t>safety standard</w:t>
      </w:r>
    </w:p>
    <w:p w:rsidR="00A43BD8" w:rsidRDefault="00E35D4C" w:rsidP="00A43BD8">
      <w:pPr>
        <w:rPr>
          <w:rFonts w:cs="Arial"/>
          <w:lang w:val="en-GB"/>
        </w:rPr>
      </w:pPr>
      <w:r>
        <w:rPr>
          <w:rFonts w:cs="Arial"/>
          <w:lang w:val="en-GB"/>
        </w:rPr>
        <w:t>The</w:t>
      </w:r>
      <w:r w:rsidR="00E03E13">
        <w:rPr>
          <w:rFonts w:cs="Arial"/>
          <w:lang w:val="en-GB"/>
        </w:rPr>
        <w:t xml:space="preserve"> </w:t>
      </w:r>
      <w:r w:rsidR="00A43BD8" w:rsidRPr="00364973">
        <w:rPr>
          <w:rFonts w:cs="Arial"/>
          <w:lang w:val="en-GB"/>
        </w:rPr>
        <w:t xml:space="preserve">safety standard </w:t>
      </w:r>
      <w:r w:rsidR="00A43BD8">
        <w:rPr>
          <w:rFonts w:cs="Arial"/>
          <w:lang w:val="en-GB"/>
        </w:rPr>
        <w:t>has been amended to</w:t>
      </w:r>
      <w:r w:rsidR="00DB1C5C">
        <w:rPr>
          <w:rFonts w:cs="Arial"/>
          <w:lang w:val="en-GB"/>
        </w:rPr>
        <w:t xml:space="preserve"> include an Application provision. This provision</w:t>
      </w:r>
      <w:r w:rsidR="00A43BD8">
        <w:rPr>
          <w:rFonts w:cs="Arial"/>
          <w:lang w:val="en-GB"/>
        </w:rPr>
        <w:t xml:space="preserve"> provide</w:t>
      </w:r>
      <w:r w:rsidR="00DB1C5C">
        <w:rPr>
          <w:rFonts w:cs="Arial"/>
          <w:lang w:val="en-GB"/>
        </w:rPr>
        <w:t>s</w:t>
      </w:r>
      <w:r w:rsidR="00A43BD8">
        <w:rPr>
          <w:rFonts w:cs="Arial"/>
          <w:lang w:val="en-GB"/>
        </w:rPr>
        <w:t xml:space="preserve"> guidance about the type of basketball rings and backboards </w:t>
      </w:r>
      <w:r w:rsidR="00077D8C">
        <w:rPr>
          <w:rFonts w:cs="Arial"/>
          <w:lang w:val="en-GB"/>
        </w:rPr>
        <w:t xml:space="preserve">captured by </w:t>
      </w:r>
      <w:r>
        <w:rPr>
          <w:rFonts w:cs="Arial"/>
          <w:lang w:val="en-GB"/>
        </w:rPr>
        <w:t>the</w:t>
      </w:r>
      <w:r w:rsidR="00E03E13">
        <w:rPr>
          <w:rFonts w:cs="Arial"/>
          <w:lang w:val="en-GB"/>
        </w:rPr>
        <w:t xml:space="preserve"> </w:t>
      </w:r>
      <w:r w:rsidR="00DB1C5C">
        <w:rPr>
          <w:rFonts w:cs="Arial"/>
          <w:lang w:val="en-GB"/>
        </w:rPr>
        <w:t>safety standard</w:t>
      </w:r>
      <w:r w:rsidR="00077D8C">
        <w:rPr>
          <w:rFonts w:cs="Arial"/>
          <w:lang w:val="en-GB"/>
        </w:rPr>
        <w:t>.</w:t>
      </w:r>
      <w:r w:rsidR="005E0862">
        <w:rPr>
          <w:rFonts w:cs="Arial"/>
          <w:lang w:val="en-GB"/>
        </w:rPr>
        <w:t xml:space="preserve"> Section 6</w:t>
      </w:r>
      <w:r w:rsidR="00A43BD8">
        <w:rPr>
          <w:rFonts w:cs="Arial"/>
          <w:lang w:val="en-GB"/>
        </w:rPr>
        <w:t xml:space="preserve"> Application provides the following;</w:t>
      </w:r>
    </w:p>
    <w:p w:rsidR="005F3F46" w:rsidRDefault="00A43BD8" w:rsidP="005F3F46">
      <w:pPr>
        <w:pStyle w:val="ListParagraph"/>
        <w:numPr>
          <w:ilvl w:val="0"/>
          <w:numId w:val="40"/>
        </w:numPr>
        <w:ind w:left="709" w:hanging="425"/>
        <w:rPr>
          <w:rFonts w:cs="Arial"/>
          <w:lang w:val="en-GB"/>
        </w:rPr>
      </w:pPr>
      <w:r w:rsidRPr="001F66A4">
        <w:rPr>
          <w:rFonts w:cs="Arial"/>
          <w:lang w:val="en-GB"/>
        </w:rPr>
        <w:t>This instrument applies to basketball rings and backboards</w:t>
      </w:r>
      <w:r w:rsidR="005F3F46">
        <w:rPr>
          <w:rFonts w:cs="Arial"/>
          <w:lang w:val="en-GB"/>
        </w:rPr>
        <w:t xml:space="preserve">, including portable basketball </w:t>
      </w:r>
      <w:r w:rsidR="002000FC">
        <w:rPr>
          <w:rFonts w:cs="Arial"/>
          <w:lang w:val="en-GB"/>
        </w:rPr>
        <w:t>systems, which</w:t>
      </w:r>
      <w:r w:rsidR="005F3F46">
        <w:rPr>
          <w:rFonts w:cs="Arial"/>
          <w:lang w:val="en-GB"/>
        </w:rPr>
        <w:t xml:space="preserve"> are of a kind likely to be used for domestic use.</w:t>
      </w:r>
    </w:p>
    <w:p w:rsidR="00A43BD8" w:rsidRDefault="005F3F46" w:rsidP="005F3F46">
      <w:pPr>
        <w:pStyle w:val="ListParagraph"/>
        <w:numPr>
          <w:ilvl w:val="0"/>
          <w:numId w:val="40"/>
        </w:numPr>
        <w:ind w:left="709" w:hanging="425"/>
        <w:rPr>
          <w:rFonts w:cs="Arial"/>
          <w:lang w:val="en-GB"/>
        </w:rPr>
      </w:pPr>
      <w:r>
        <w:rPr>
          <w:rFonts w:cs="Arial"/>
          <w:lang w:val="en-GB"/>
        </w:rPr>
        <w:t>However, this instrument does not apply to toy basketball rings or backboards for toy basketball rings.</w:t>
      </w:r>
    </w:p>
    <w:p w:rsidR="001F66A4" w:rsidRDefault="005F3F46" w:rsidP="001F66A4">
      <w:pPr>
        <w:rPr>
          <w:rFonts w:cs="Arial"/>
          <w:lang w:val="en-GB"/>
        </w:rPr>
      </w:pPr>
      <w:r>
        <w:rPr>
          <w:rFonts w:cs="Arial"/>
          <w:lang w:val="en-GB"/>
        </w:rPr>
        <w:t xml:space="preserve">The safety standard </w:t>
      </w:r>
      <w:r w:rsidR="00DB73CB">
        <w:rPr>
          <w:rFonts w:cs="Arial"/>
          <w:lang w:val="en-GB"/>
        </w:rPr>
        <w:t xml:space="preserve">has </w:t>
      </w:r>
      <w:r>
        <w:rPr>
          <w:rFonts w:cs="Arial"/>
          <w:lang w:val="en-GB"/>
        </w:rPr>
        <w:t xml:space="preserve">also </w:t>
      </w:r>
      <w:r w:rsidR="00DB73CB">
        <w:rPr>
          <w:rFonts w:cs="Arial"/>
          <w:lang w:val="en-GB"/>
        </w:rPr>
        <w:t xml:space="preserve">been amended to include the </w:t>
      </w:r>
      <w:r>
        <w:rPr>
          <w:rFonts w:cs="Arial"/>
          <w:lang w:val="en-GB"/>
        </w:rPr>
        <w:t>following definitions under section 5;</w:t>
      </w:r>
    </w:p>
    <w:p w:rsidR="005F3F46" w:rsidRDefault="005F3F46" w:rsidP="005F3F46">
      <w:pPr>
        <w:ind w:left="340"/>
        <w:rPr>
          <w:rFonts w:cs="Arial"/>
          <w:lang w:val="en-GB"/>
        </w:rPr>
      </w:pPr>
      <w:r w:rsidRPr="005F3F46">
        <w:rPr>
          <w:rFonts w:cs="Arial"/>
          <w:b/>
          <w:i/>
          <w:lang w:val="en-GB"/>
        </w:rPr>
        <w:t>Portable basketball system</w:t>
      </w:r>
      <w:r>
        <w:rPr>
          <w:rFonts w:cs="Arial"/>
          <w:lang w:val="en-GB"/>
        </w:rPr>
        <w:t xml:space="preserve"> means a basketball ring, a backboard and a portable structure, that includes a pole and a base, for supporting the basketball ring and backboard.</w:t>
      </w:r>
    </w:p>
    <w:p w:rsidR="005F3F46" w:rsidRDefault="005F3F46" w:rsidP="005F3F46">
      <w:pPr>
        <w:ind w:left="340"/>
        <w:rPr>
          <w:rFonts w:cs="Arial"/>
          <w:lang w:val="en-GB"/>
        </w:rPr>
      </w:pPr>
      <w:r w:rsidRPr="005F3F46">
        <w:rPr>
          <w:rFonts w:cs="Arial"/>
          <w:b/>
          <w:i/>
          <w:lang w:val="en-GB"/>
        </w:rPr>
        <w:t>Toy basketball ring</w:t>
      </w:r>
      <w:r>
        <w:rPr>
          <w:rFonts w:cs="Arial"/>
          <w:lang w:val="en-GB"/>
        </w:rPr>
        <w:t xml:space="preserve"> means a miniature basketball ring (with or without a backboard) that is not designed to be permanently fixed to a fixture.</w:t>
      </w:r>
    </w:p>
    <w:p w:rsidR="00DB73CB" w:rsidRPr="00DB73CB" w:rsidRDefault="00DB73CB" w:rsidP="005F3F46">
      <w:pPr>
        <w:ind w:left="340"/>
        <w:rPr>
          <w:rFonts w:cs="Arial"/>
          <w:lang w:val="en-GB"/>
        </w:rPr>
      </w:pPr>
      <w:r w:rsidRPr="00DB73CB">
        <w:rPr>
          <w:rFonts w:cs="Arial"/>
          <w:b/>
          <w:i/>
          <w:lang w:val="en-GB"/>
        </w:rPr>
        <w:lastRenderedPageBreak/>
        <w:t>Transitional period</w:t>
      </w:r>
      <w:r w:rsidRPr="00DB73CB">
        <w:rPr>
          <w:rFonts w:cs="Arial"/>
          <w:lang w:val="en-GB"/>
        </w:rPr>
        <w:t xml:space="preserve"> means the period of 12 months beginning on the day this instrument commences.</w:t>
      </w:r>
    </w:p>
    <w:p w:rsidR="00DB73CB" w:rsidRDefault="00DB73CB" w:rsidP="00DB73CB">
      <w:pPr>
        <w:rPr>
          <w:rFonts w:cs="Arial"/>
          <w:lang w:val="en-GB"/>
        </w:rPr>
      </w:pPr>
      <w:r>
        <w:rPr>
          <w:rFonts w:cs="Arial"/>
          <w:lang w:val="en-GB"/>
        </w:rPr>
        <w:t>The</w:t>
      </w:r>
      <w:r w:rsidR="00A65AB0">
        <w:rPr>
          <w:rFonts w:cs="Arial"/>
          <w:lang w:val="en-GB"/>
        </w:rPr>
        <w:t xml:space="preserve"> new </w:t>
      </w:r>
      <w:r>
        <w:rPr>
          <w:rFonts w:cs="Arial"/>
          <w:lang w:val="en-GB"/>
        </w:rPr>
        <w:t xml:space="preserve">provisions </w:t>
      </w:r>
      <w:r w:rsidR="00A65AB0">
        <w:rPr>
          <w:rFonts w:cs="Arial"/>
          <w:lang w:val="en-GB"/>
        </w:rPr>
        <w:t xml:space="preserve">are intended to </w:t>
      </w:r>
      <w:r>
        <w:rPr>
          <w:rFonts w:cs="Arial"/>
          <w:lang w:val="en-GB"/>
        </w:rPr>
        <w:t>clarify that;</w:t>
      </w:r>
    </w:p>
    <w:p w:rsidR="00DB73CB" w:rsidRDefault="001F7803" w:rsidP="004B5E9C">
      <w:pPr>
        <w:pStyle w:val="ListParagraph"/>
        <w:numPr>
          <w:ilvl w:val="0"/>
          <w:numId w:val="42"/>
        </w:numPr>
        <w:ind w:left="851" w:hanging="425"/>
        <w:rPr>
          <w:rFonts w:cs="Arial"/>
          <w:lang w:val="en-GB"/>
        </w:rPr>
      </w:pPr>
      <w:r>
        <w:rPr>
          <w:rFonts w:cs="Arial"/>
          <w:lang w:val="en-GB"/>
        </w:rPr>
        <w:t>B</w:t>
      </w:r>
      <w:r w:rsidR="00A65AB0">
        <w:rPr>
          <w:rFonts w:cs="Arial"/>
          <w:lang w:val="en-GB"/>
        </w:rPr>
        <w:t xml:space="preserve">asketball rings, backboards and </w:t>
      </w:r>
      <w:r w:rsidR="00DB73CB" w:rsidRPr="00DB73CB">
        <w:rPr>
          <w:rFonts w:cs="Arial"/>
          <w:lang w:val="en-GB"/>
        </w:rPr>
        <w:t>portable basketball systems are required to comply with the safety standard</w:t>
      </w:r>
      <w:r>
        <w:rPr>
          <w:rFonts w:cs="Arial"/>
          <w:lang w:val="en-GB"/>
        </w:rPr>
        <w:t>.</w:t>
      </w:r>
    </w:p>
    <w:p w:rsidR="00712CD7" w:rsidRPr="00DB73CB" w:rsidRDefault="001F7803" w:rsidP="004B5E9C">
      <w:pPr>
        <w:pStyle w:val="ListParagraph"/>
        <w:numPr>
          <w:ilvl w:val="0"/>
          <w:numId w:val="42"/>
        </w:numPr>
        <w:ind w:left="851" w:hanging="425"/>
        <w:rPr>
          <w:rFonts w:cs="Arial"/>
          <w:lang w:val="en-GB"/>
        </w:rPr>
      </w:pPr>
      <w:r>
        <w:rPr>
          <w:rFonts w:cs="Arial"/>
          <w:lang w:val="en-GB"/>
        </w:rPr>
        <w:t>T</w:t>
      </w:r>
      <w:r w:rsidR="00DB73CB" w:rsidRPr="00DB73CB">
        <w:rPr>
          <w:rFonts w:cs="Arial"/>
          <w:lang w:val="en-GB"/>
        </w:rPr>
        <w:t>oy basketball rings are ex</w:t>
      </w:r>
      <w:r w:rsidR="00DB73CB">
        <w:rPr>
          <w:rFonts w:cs="Arial"/>
          <w:lang w:val="en-GB"/>
        </w:rPr>
        <w:t xml:space="preserve">cluded from the safety standard, such as those </w:t>
      </w:r>
      <w:r w:rsidR="00DB73CB" w:rsidRPr="00DB73CB">
        <w:rPr>
          <w:rFonts w:cs="Arial"/>
          <w:lang w:val="en-GB"/>
        </w:rPr>
        <w:t>clearly intended for in</w:t>
      </w:r>
      <w:r w:rsidR="00A65AB0">
        <w:rPr>
          <w:rFonts w:cs="Arial"/>
          <w:lang w:val="en-GB"/>
        </w:rPr>
        <w:t>-home</w:t>
      </w:r>
      <w:r w:rsidR="00DB73CB" w:rsidRPr="00DB73CB">
        <w:rPr>
          <w:rFonts w:cs="Arial"/>
          <w:lang w:val="en-GB"/>
        </w:rPr>
        <w:t xml:space="preserve"> use and intended to be used with a miniature soft ball.</w:t>
      </w:r>
      <w:r w:rsidR="00DB73CB">
        <w:rPr>
          <w:rFonts w:cs="Arial"/>
          <w:lang w:val="en-GB"/>
        </w:rPr>
        <w:t xml:space="preserve"> </w:t>
      </w:r>
      <w:r w:rsidR="00DB73CB" w:rsidRPr="00DB73CB">
        <w:rPr>
          <w:rFonts w:cs="Arial"/>
          <w:lang w:val="en-GB"/>
        </w:rPr>
        <w:t xml:space="preserve">Examples include </w:t>
      </w:r>
      <w:r w:rsidR="00DB73CB">
        <w:rPr>
          <w:rFonts w:cs="Arial"/>
          <w:lang w:val="en-GB"/>
        </w:rPr>
        <w:t>but are not limited to t</w:t>
      </w:r>
      <w:r w:rsidR="00A43BD8" w:rsidRPr="00DB73CB">
        <w:rPr>
          <w:rFonts w:cs="Arial"/>
          <w:lang w:val="en-GB"/>
        </w:rPr>
        <w:t xml:space="preserve">oy basketball rings designed to be hung over internal doors or attached to internal doors by way of suction </w:t>
      </w:r>
      <w:r w:rsidR="00EF6C00">
        <w:rPr>
          <w:rFonts w:cs="Arial"/>
          <w:lang w:val="en-GB"/>
        </w:rPr>
        <w:t>cups or similar temporary means</w:t>
      </w:r>
      <w:r w:rsidR="008E3229">
        <w:rPr>
          <w:rFonts w:cs="Arial"/>
          <w:lang w:val="en-GB"/>
        </w:rPr>
        <w:t>,</w:t>
      </w:r>
      <w:r w:rsidR="00EF6C00">
        <w:rPr>
          <w:rFonts w:cs="Arial"/>
          <w:lang w:val="en-GB"/>
        </w:rPr>
        <w:t xml:space="preserve"> and miniature por</w:t>
      </w:r>
      <w:r w:rsidR="002000FC">
        <w:rPr>
          <w:rFonts w:cs="Arial"/>
          <w:lang w:val="en-GB"/>
        </w:rPr>
        <w:t>table basketball systems</w:t>
      </w:r>
      <w:r w:rsidR="00EF6C00">
        <w:rPr>
          <w:rFonts w:cs="Arial"/>
          <w:lang w:val="en-GB"/>
        </w:rPr>
        <w:t xml:space="preserve"> intended for use by toddlers.</w:t>
      </w:r>
    </w:p>
    <w:p w:rsidR="00F27C19" w:rsidRDefault="00E35D4C" w:rsidP="006A5E88">
      <w:pPr>
        <w:pStyle w:val="Definition"/>
        <w:ind w:left="0"/>
        <w:rPr>
          <w:rFonts w:asciiTheme="minorHAnsi" w:hAnsiTheme="minorHAnsi" w:cstheme="minorHAnsi"/>
          <w:lang w:val="en-GB"/>
        </w:rPr>
      </w:pPr>
      <w:r>
        <w:rPr>
          <w:rFonts w:ascii="Arial" w:eastAsiaTheme="minorHAnsi" w:hAnsi="Arial" w:cs="Arial"/>
          <w:szCs w:val="22"/>
          <w:lang w:val="en-GB" w:eastAsia="en-US"/>
        </w:rPr>
        <w:t>The</w:t>
      </w:r>
      <w:r w:rsidR="00E03E13" w:rsidRPr="00B85610">
        <w:rPr>
          <w:rFonts w:ascii="Arial" w:eastAsiaTheme="minorHAnsi" w:hAnsi="Arial" w:cs="Arial"/>
          <w:szCs w:val="22"/>
          <w:lang w:val="en-GB" w:eastAsia="en-US"/>
        </w:rPr>
        <w:t xml:space="preserve"> </w:t>
      </w:r>
      <w:r w:rsidR="001B4A7B" w:rsidRPr="00B85610">
        <w:rPr>
          <w:rFonts w:ascii="Arial" w:eastAsiaTheme="minorHAnsi" w:hAnsi="Arial" w:cs="Arial"/>
          <w:szCs w:val="22"/>
          <w:lang w:val="en-GB" w:eastAsia="en-US"/>
        </w:rPr>
        <w:t>safety</w:t>
      </w:r>
      <w:r w:rsidR="001B4A7B" w:rsidRPr="00AF2ABE">
        <w:rPr>
          <w:rFonts w:asciiTheme="minorHAnsi" w:hAnsiTheme="minorHAnsi" w:cstheme="minorHAnsi"/>
          <w:lang w:val="en-GB"/>
        </w:rPr>
        <w:t xml:space="preserve"> standard </w:t>
      </w:r>
      <w:r w:rsidR="00D0637E" w:rsidRPr="00AF2ABE">
        <w:rPr>
          <w:rFonts w:asciiTheme="minorHAnsi" w:hAnsiTheme="minorHAnsi" w:cstheme="minorHAnsi"/>
          <w:lang w:val="en-GB"/>
        </w:rPr>
        <w:t xml:space="preserve">continues to </w:t>
      </w:r>
      <w:r w:rsidR="001B4A7B" w:rsidRPr="00AF2ABE">
        <w:rPr>
          <w:rFonts w:asciiTheme="minorHAnsi" w:hAnsiTheme="minorHAnsi" w:cstheme="minorHAnsi"/>
          <w:lang w:val="en-GB"/>
        </w:rPr>
        <w:t>require</w:t>
      </w:r>
      <w:r w:rsidR="007A502D" w:rsidRPr="00AF2ABE">
        <w:rPr>
          <w:rFonts w:asciiTheme="minorHAnsi" w:hAnsiTheme="minorHAnsi" w:cstheme="minorHAnsi"/>
          <w:lang w:val="en-GB"/>
        </w:rPr>
        <w:t xml:space="preserve"> </w:t>
      </w:r>
      <w:r w:rsidR="00CC3175" w:rsidRPr="00AF2ABE">
        <w:rPr>
          <w:rFonts w:asciiTheme="minorHAnsi" w:hAnsiTheme="minorHAnsi" w:cstheme="minorHAnsi"/>
          <w:lang w:val="en-GB"/>
        </w:rPr>
        <w:t>basketball ring</w:t>
      </w:r>
      <w:r w:rsidR="0077733B" w:rsidRPr="00AF2ABE">
        <w:rPr>
          <w:rFonts w:asciiTheme="minorHAnsi" w:hAnsiTheme="minorHAnsi" w:cstheme="minorHAnsi"/>
          <w:lang w:val="en-GB"/>
        </w:rPr>
        <w:t>s</w:t>
      </w:r>
      <w:r w:rsidR="00CC3175" w:rsidRPr="00AF2ABE">
        <w:rPr>
          <w:rFonts w:asciiTheme="minorHAnsi" w:hAnsiTheme="minorHAnsi" w:cstheme="minorHAnsi"/>
          <w:lang w:val="en-GB"/>
        </w:rPr>
        <w:t xml:space="preserve"> </w:t>
      </w:r>
      <w:r w:rsidR="0077733B" w:rsidRPr="00AF2ABE">
        <w:rPr>
          <w:rFonts w:asciiTheme="minorHAnsi" w:hAnsiTheme="minorHAnsi" w:cstheme="minorHAnsi"/>
          <w:lang w:val="en-GB"/>
        </w:rPr>
        <w:t xml:space="preserve">and </w:t>
      </w:r>
      <w:r w:rsidR="00CC3175" w:rsidRPr="00AF2ABE">
        <w:rPr>
          <w:rFonts w:asciiTheme="minorHAnsi" w:hAnsiTheme="minorHAnsi" w:cstheme="minorHAnsi"/>
          <w:lang w:val="en-GB"/>
        </w:rPr>
        <w:t>backboard</w:t>
      </w:r>
      <w:r w:rsidR="0077733B" w:rsidRPr="00AF2ABE">
        <w:rPr>
          <w:rFonts w:asciiTheme="minorHAnsi" w:hAnsiTheme="minorHAnsi" w:cstheme="minorHAnsi"/>
          <w:lang w:val="en-GB"/>
        </w:rPr>
        <w:t>s</w:t>
      </w:r>
      <w:r w:rsidR="00E36DC2" w:rsidRPr="00AF2ABE">
        <w:rPr>
          <w:rFonts w:asciiTheme="minorHAnsi" w:hAnsiTheme="minorHAnsi" w:cstheme="minorHAnsi"/>
          <w:lang w:val="en-GB"/>
        </w:rPr>
        <w:t xml:space="preserve"> to</w:t>
      </w:r>
      <w:r w:rsidR="00CC3175" w:rsidRPr="00AF2ABE">
        <w:rPr>
          <w:rFonts w:asciiTheme="minorHAnsi" w:hAnsiTheme="minorHAnsi" w:cstheme="minorHAnsi"/>
          <w:lang w:val="en-GB"/>
        </w:rPr>
        <w:t xml:space="preserve"> </w:t>
      </w:r>
      <w:r w:rsidR="00D0637E" w:rsidRPr="00AF2ABE">
        <w:rPr>
          <w:rFonts w:asciiTheme="minorHAnsi" w:hAnsiTheme="minorHAnsi" w:cstheme="minorHAnsi"/>
          <w:lang w:val="en-GB"/>
        </w:rPr>
        <w:t xml:space="preserve">have </w:t>
      </w:r>
      <w:r w:rsidR="00AF2ABE" w:rsidRPr="00AF2ABE">
        <w:rPr>
          <w:rFonts w:asciiTheme="minorHAnsi" w:hAnsiTheme="minorHAnsi" w:cstheme="minorHAnsi"/>
          <w:lang w:val="en-GB"/>
        </w:rPr>
        <w:t>a</w:t>
      </w:r>
      <w:r w:rsidR="00D0637E" w:rsidRPr="00AF2ABE">
        <w:rPr>
          <w:rFonts w:asciiTheme="minorHAnsi" w:hAnsiTheme="minorHAnsi" w:cstheme="minorHAnsi"/>
          <w:lang w:val="en-GB"/>
        </w:rPr>
        <w:t xml:space="preserve"> warning label</w:t>
      </w:r>
      <w:r w:rsidR="00F47826">
        <w:rPr>
          <w:rFonts w:asciiTheme="minorHAnsi" w:hAnsiTheme="minorHAnsi" w:cstheme="minorHAnsi"/>
          <w:lang w:val="en-GB"/>
        </w:rPr>
        <w:t xml:space="preserve">. </w:t>
      </w:r>
      <w:r w:rsidR="00F27C19">
        <w:rPr>
          <w:rFonts w:asciiTheme="minorHAnsi" w:hAnsiTheme="minorHAnsi" w:cstheme="minorHAnsi"/>
          <w:lang w:val="en-GB"/>
        </w:rPr>
        <w:t>The warning label states that improper installation or swinging on the ring may</w:t>
      </w:r>
      <w:r w:rsidR="000D292A">
        <w:rPr>
          <w:rFonts w:asciiTheme="minorHAnsi" w:hAnsiTheme="minorHAnsi" w:cstheme="minorHAnsi"/>
          <w:lang w:val="en-GB"/>
        </w:rPr>
        <w:t xml:space="preserve"> cause serious injury or death.</w:t>
      </w:r>
    </w:p>
    <w:p w:rsidR="00AF2ABE" w:rsidRDefault="00F27C19" w:rsidP="006A5E88">
      <w:pPr>
        <w:pStyle w:val="Definition"/>
        <w:ind w:left="0"/>
        <w:rPr>
          <w:rFonts w:asciiTheme="minorHAnsi" w:hAnsiTheme="minorHAnsi" w:cstheme="minorHAnsi"/>
          <w:lang w:val="en-GB"/>
        </w:rPr>
      </w:pPr>
      <w:r>
        <w:rPr>
          <w:rFonts w:asciiTheme="minorHAnsi" w:hAnsiTheme="minorHAnsi" w:cstheme="minorHAnsi"/>
          <w:lang w:val="en-GB"/>
        </w:rPr>
        <w:t>To strengthen</w:t>
      </w:r>
      <w:r w:rsidR="00E35D4C">
        <w:rPr>
          <w:rFonts w:asciiTheme="minorHAnsi" w:hAnsiTheme="minorHAnsi" w:cstheme="minorHAnsi"/>
          <w:lang w:val="en-GB"/>
        </w:rPr>
        <w:t xml:space="preserve"> consumer safety the new</w:t>
      </w:r>
      <w:r w:rsidR="00E03E13" w:rsidRPr="00E03E13">
        <w:rPr>
          <w:rFonts w:asciiTheme="minorHAnsi" w:hAnsiTheme="minorHAnsi" w:cstheme="minorHAnsi"/>
          <w:lang w:val="en-GB"/>
        </w:rPr>
        <w:t xml:space="preserve"> </w:t>
      </w:r>
      <w:r w:rsidR="00F47826">
        <w:rPr>
          <w:rFonts w:asciiTheme="minorHAnsi" w:hAnsiTheme="minorHAnsi" w:cstheme="minorHAnsi"/>
          <w:lang w:val="en-GB"/>
        </w:rPr>
        <w:t>safety standard requires suppliers to include</w:t>
      </w:r>
      <w:r w:rsidR="00AF2ABE" w:rsidRPr="00AF2ABE">
        <w:rPr>
          <w:rFonts w:asciiTheme="minorHAnsi" w:hAnsiTheme="minorHAnsi" w:cstheme="minorHAnsi"/>
          <w:lang w:val="en-GB"/>
        </w:rPr>
        <w:t xml:space="preserve"> safe installation instructions</w:t>
      </w:r>
      <w:r w:rsidR="00CB0CE8">
        <w:rPr>
          <w:rFonts w:asciiTheme="minorHAnsi" w:hAnsiTheme="minorHAnsi" w:cstheme="minorHAnsi"/>
          <w:lang w:val="en-GB"/>
        </w:rPr>
        <w:t xml:space="preserve"> where the product is designed to be fixed to a structure</w:t>
      </w:r>
      <w:r w:rsidR="00AF2ABE" w:rsidRPr="00AF2ABE">
        <w:rPr>
          <w:rFonts w:asciiTheme="minorHAnsi" w:hAnsiTheme="minorHAnsi" w:cstheme="minorHAnsi"/>
          <w:lang w:val="en-GB"/>
        </w:rPr>
        <w:t>. The safe installation instructions must;</w:t>
      </w:r>
    </w:p>
    <w:p w:rsidR="00AF2ABE" w:rsidRPr="004B5E9C" w:rsidRDefault="00AF2ABE" w:rsidP="004B5E9C">
      <w:pPr>
        <w:pStyle w:val="ListParagraph"/>
        <w:numPr>
          <w:ilvl w:val="0"/>
          <w:numId w:val="45"/>
        </w:numPr>
        <w:ind w:left="851" w:hanging="425"/>
        <w:rPr>
          <w:rFonts w:cs="Arial"/>
          <w:lang w:val="en-GB"/>
        </w:rPr>
      </w:pPr>
      <w:r w:rsidRPr="00FC33DD">
        <w:rPr>
          <w:rFonts w:cs="Arial"/>
          <w:lang w:val="en-GB"/>
        </w:rPr>
        <w:t xml:space="preserve">give details of the supporting structure to which the ring or </w:t>
      </w:r>
      <w:r w:rsidR="00FC33DD" w:rsidRPr="00FC33DD">
        <w:rPr>
          <w:rFonts w:cs="Arial"/>
          <w:lang w:val="en-GB"/>
        </w:rPr>
        <w:t>backboard is to be fixed</w:t>
      </w:r>
    </w:p>
    <w:p w:rsidR="00AF2ABE" w:rsidRPr="00FC33DD" w:rsidRDefault="00AF2ABE" w:rsidP="004B5E9C">
      <w:pPr>
        <w:pStyle w:val="ListParagraph"/>
        <w:numPr>
          <w:ilvl w:val="0"/>
          <w:numId w:val="45"/>
        </w:numPr>
        <w:ind w:left="851" w:hanging="425"/>
        <w:rPr>
          <w:rFonts w:cs="Arial"/>
          <w:lang w:val="en-GB"/>
        </w:rPr>
      </w:pPr>
      <w:r w:rsidRPr="00FC33DD">
        <w:rPr>
          <w:rFonts w:cs="Arial"/>
          <w:lang w:val="en-GB"/>
        </w:rPr>
        <w:t xml:space="preserve">give details of the hardware to be used to fix the ring or backboard </w:t>
      </w:r>
      <w:r w:rsidR="00FC33DD" w:rsidRPr="00FC33DD">
        <w:rPr>
          <w:rFonts w:cs="Arial"/>
          <w:lang w:val="en-GB"/>
        </w:rPr>
        <w:t>to the supporting structure</w:t>
      </w:r>
    </w:p>
    <w:p w:rsidR="00AF2ABE" w:rsidRPr="00FC33DD" w:rsidRDefault="00AF2ABE" w:rsidP="004B5E9C">
      <w:pPr>
        <w:pStyle w:val="ListParagraph"/>
        <w:numPr>
          <w:ilvl w:val="0"/>
          <w:numId w:val="45"/>
        </w:numPr>
        <w:ind w:left="851" w:hanging="425"/>
        <w:rPr>
          <w:rFonts w:cs="Arial"/>
          <w:lang w:val="en-GB"/>
        </w:rPr>
      </w:pPr>
      <w:r w:rsidRPr="00FC33DD">
        <w:rPr>
          <w:rFonts w:cs="Arial"/>
          <w:lang w:val="en-GB"/>
        </w:rPr>
        <w:t>strongly warn against fixing the rin</w:t>
      </w:r>
      <w:r w:rsidR="00FC33DD" w:rsidRPr="00FC33DD">
        <w:rPr>
          <w:rFonts w:cs="Arial"/>
          <w:lang w:val="en-GB"/>
        </w:rPr>
        <w:t>g or backboard to brickwork</w:t>
      </w:r>
    </w:p>
    <w:p w:rsidR="00AF2ABE" w:rsidRPr="00FC33DD" w:rsidRDefault="00AF2ABE" w:rsidP="004B5E9C">
      <w:pPr>
        <w:pStyle w:val="ListParagraph"/>
        <w:numPr>
          <w:ilvl w:val="0"/>
          <w:numId w:val="45"/>
        </w:numPr>
        <w:ind w:left="851" w:hanging="425"/>
        <w:rPr>
          <w:rFonts w:cs="Arial"/>
          <w:lang w:val="en-GB"/>
        </w:rPr>
      </w:pPr>
      <w:proofErr w:type="gramStart"/>
      <w:r w:rsidRPr="00FC33DD">
        <w:rPr>
          <w:rFonts w:cs="Arial"/>
          <w:lang w:val="en-GB"/>
        </w:rPr>
        <w:t>include</w:t>
      </w:r>
      <w:proofErr w:type="gramEnd"/>
      <w:r w:rsidRPr="00FC33DD">
        <w:rPr>
          <w:rFonts w:cs="Arial"/>
          <w:lang w:val="en-GB"/>
        </w:rPr>
        <w:t xml:space="preserve"> advice to consult a structural engineer if there is any doubt about the safety or stability of the installation.</w:t>
      </w:r>
    </w:p>
    <w:p w:rsidR="00DE399E" w:rsidRPr="00DE399E" w:rsidRDefault="00DE399E" w:rsidP="00DE399E">
      <w:pPr>
        <w:rPr>
          <w:rFonts w:cs="Arial"/>
          <w:lang w:val="en-GB"/>
        </w:rPr>
      </w:pPr>
      <w:r>
        <w:rPr>
          <w:rFonts w:asciiTheme="minorHAnsi" w:hAnsiTheme="minorHAnsi" w:cstheme="minorHAnsi"/>
        </w:rPr>
        <w:t>Safe installation instructions provide guidance to persons installing a ring and</w:t>
      </w:r>
      <w:r w:rsidR="002000FC">
        <w:rPr>
          <w:rFonts w:asciiTheme="minorHAnsi" w:hAnsiTheme="minorHAnsi" w:cstheme="minorHAnsi"/>
        </w:rPr>
        <w:t>/or</w:t>
      </w:r>
      <w:r>
        <w:rPr>
          <w:rFonts w:asciiTheme="minorHAnsi" w:hAnsiTheme="minorHAnsi" w:cstheme="minorHAnsi"/>
        </w:rPr>
        <w:t xml:space="preserve"> backboard to do so in a manner that limits the likelihood of improper installation leading to serious injury or death. The instructions are intended </w:t>
      </w:r>
      <w:r w:rsidR="002000FC">
        <w:rPr>
          <w:rFonts w:asciiTheme="minorHAnsi" w:hAnsiTheme="minorHAnsi" w:cstheme="minorHAnsi"/>
        </w:rPr>
        <w:t>to provide businesses</w:t>
      </w:r>
      <w:r>
        <w:rPr>
          <w:rFonts w:asciiTheme="minorHAnsi" w:hAnsiTheme="minorHAnsi" w:cstheme="minorHAnsi"/>
        </w:rPr>
        <w:t xml:space="preserve"> scope to draft instructions commensurate with the intended use of the product.</w:t>
      </w:r>
    </w:p>
    <w:p w:rsidR="007A502D" w:rsidRPr="006C2E1D" w:rsidRDefault="007A502D" w:rsidP="007A502D">
      <w:pPr>
        <w:rPr>
          <w:rFonts w:cs="Arial"/>
          <w:b/>
          <w:lang w:val="en-GB"/>
        </w:rPr>
      </w:pPr>
      <w:r w:rsidRPr="006C2E1D">
        <w:rPr>
          <w:rFonts w:cs="Arial"/>
          <w:b/>
          <w:lang w:val="en-GB"/>
        </w:rPr>
        <w:t>Transitional arrangements</w:t>
      </w:r>
    </w:p>
    <w:p w:rsidR="00DE399E" w:rsidRDefault="00EE6BA8" w:rsidP="007A502D">
      <w:pPr>
        <w:rPr>
          <w:rFonts w:cs="Arial"/>
          <w:lang w:val="en-GB"/>
        </w:rPr>
      </w:pPr>
      <w:r>
        <w:rPr>
          <w:rFonts w:cs="Arial"/>
          <w:lang w:val="en-GB"/>
        </w:rPr>
        <w:t>The instrument provides a transitional period of 12 months beginning on the day th</w:t>
      </w:r>
      <w:r w:rsidR="00DB73CB">
        <w:rPr>
          <w:rFonts w:cs="Arial"/>
          <w:lang w:val="en-GB"/>
        </w:rPr>
        <w:t>e</w:t>
      </w:r>
      <w:r>
        <w:rPr>
          <w:rFonts w:cs="Arial"/>
          <w:lang w:val="en-GB"/>
        </w:rPr>
        <w:t xml:space="preserve"> instrument commences. During the</w:t>
      </w:r>
      <w:r w:rsidR="009B190F">
        <w:rPr>
          <w:rFonts w:cs="Arial"/>
          <w:lang w:val="en-GB"/>
        </w:rPr>
        <w:t xml:space="preserve"> transition</w:t>
      </w:r>
      <w:r>
        <w:rPr>
          <w:rFonts w:cs="Arial"/>
          <w:lang w:val="en-GB"/>
        </w:rPr>
        <w:t>al period</w:t>
      </w:r>
      <w:r w:rsidR="009B190F">
        <w:rPr>
          <w:rFonts w:cs="Arial"/>
          <w:lang w:val="en-GB"/>
        </w:rPr>
        <w:t>,</w:t>
      </w:r>
      <w:r w:rsidR="004F46B1" w:rsidRPr="004F46B1">
        <w:rPr>
          <w:rFonts w:cs="Arial"/>
          <w:lang w:val="en-GB"/>
        </w:rPr>
        <w:t xml:space="preserve"> </w:t>
      </w:r>
      <w:r w:rsidR="00162F93" w:rsidRPr="004F46B1">
        <w:rPr>
          <w:rFonts w:cs="Arial"/>
          <w:lang w:val="en-GB"/>
        </w:rPr>
        <w:t>suppliers</w:t>
      </w:r>
      <w:r w:rsidR="00162F93">
        <w:rPr>
          <w:rFonts w:cs="Arial"/>
          <w:lang w:val="en-GB"/>
        </w:rPr>
        <w:t xml:space="preserve"> </w:t>
      </w:r>
      <w:r w:rsidR="00DE399E">
        <w:rPr>
          <w:rFonts w:cs="Arial"/>
          <w:lang w:val="en-GB"/>
        </w:rPr>
        <w:t>must meet the requirements of either</w:t>
      </w:r>
      <w:r w:rsidR="00E35D4C">
        <w:rPr>
          <w:rFonts w:cs="Arial"/>
          <w:lang w:val="en-GB"/>
        </w:rPr>
        <w:t xml:space="preserve"> the</w:t>
      </w:r>
      <w:r w:rsidR="00DE399E">
        <w:rPr>
          <w:rFonts w:cs="Arial"/>
          <w:lang w:val="en-GB"/>
        </w:rPr>
        <w:t>:</w:t>
      </w:r>
    </w:p>
    <w:p w:rsidR="007A502D" w:rsidRPr="00DE399E" w:rsidRDefault="002345C4" w:rsidP="00DE399E">
      <w:pPr>
        <w:pStyle w:val="ListParagraph"/>
        <w:numPr>
          <w:ilvl w:val="0"/>
          <w:numId w:val="38"/>
        </w:numPr>
        <w:rPr>
          <w:rFonts w:cs="Arial"/>
          <w:bCs/>
          <w:lang w:val="en-GB"/>
        </w:rPr>
      </w:pPr>
      <w:r w:rsidRPr="00DE399E">
        <w:rPr>
          <w:rFonts w:cs="Arial"/>
          <w:i/>
          <w:lang w:val="en-GB"/>
        </w:rPr>
        <w:t>Trade Practices (Consumer Product Safety Standard) (Basketball Rings and Backboards) Regulations 2005</w:t>
      </w:r>
      <w:r w:rsidRPr="00DE399E">
        <w:rPr>
          <w:rFonts w:cs="Arial"/>
          <w:lang w:val="en-GB"/>
        </w:rPr>
        <w:t xml:space="preserve"> </w:t>
      </w:r>
      <w:r w:rsidR="007A502D" w:rsidRPr="00DE399E">
        <w:rPr>
          <w:rFonts w:cs="Arial"/>
          <w:lang w:val="en-GB"/>
        </w:rPr>
        <w:t xml:space="preserve">made pursuant to 65C of the </w:t>
      </w:r>
      <w:r w:rsidR="007A502D" w:rsidRPr="00DE399E">
        <w:rPr>
          <w:rFonts w:cs="Arial"/>
          <w:i/>
          <w:lang w:val="en-GB"/>
        </w:rPr>
        <w:t xml:space="preserve">Trade Practices Act 1974 </w:t>
      </w:r>
      <w:r w:rsidR="007C0F00" w:rsidRPr="00DE399E">
        <w:rPr>
          <w:rFonts w:cs="Arial"/>
          <w:lang w:val="en-GB"/>
        </w:rPr>
        <w:t>(TPA).</w:t>
      </w:r>
    </w:p>
    <w:p w:rsidR="00DE399E" w:rsidRPr="00DE399E" w:rsidRDefault="00DE399E" w:rsidP="00DE399E">
      <w:pPr>
        <w:pStyle w:val="ListParagraph"/>
        <w:numPr>
          <w:ilvl w:val="0"/>
          <w:numId w:val="0"/>
        </w:numPr>
        <w:ind w:left="360"/>
        <w:rPr>
          <w:rFonts w:cs="Arial"/>
          <w:bCs/>
          <w:lang w:val="en-GB"/>
        </w:rPr>
      </w:pPr>
      <w:r>
        <w:rPr>
          <w:rFonts w:cs="Arial"/>
          <w:lang w:val="en-GB"/>
        </w:rPr>
        <w:t>or</w:t>
      </w:r>
    </w:p>
    <w:p w:rsidR="00DE399E" w:rsidRDefault="00DE399E" w:rsidP="00DE399E">
      <w:pPr>
        <w:pStyle w:val="ListParagraph"/>
        <w:numPr>
          <w:ilvl w:val="0"/>
          <w:numId w:val="38"/>
        </w:numPr>
        <w:rPr>
          <w:rFonts w:cs="Arial"/>
          <w:lang w:val="en-GB"/>
        </w:rPr>
      </w:pPr>
      <w:r w:rsidRPr="00E35D4C">
        <w:rPr>
          <w:rFonts w:cs="Arial"/>
          <w:i/>
          <w:lang w:val="en-GB"/>
        </w:rPr>
        <w:t>Consumer Goods (Basketball Rings and Backboards) Safety Standard 2017</w:t>
      </w:r>
      <w:r>
        <w:rPr>
          <w:rFonts w:cs="Arial"/>
          <w:lang w:val="en-GB"/>
        </w:rPr>
        <w:t>.</w:t>
      </w:r>
    </w:p>
    <w:p w:rsidR="00DE399E" w:rsidRPr="00E35D4C" w:rsidRDefault="00EE6BA8" w:rsidP="00DE399E">
      <w:pPr>
        <w:rPr>
          <w:rFonts w:cs="Arial"/>
          <w:i/>
          <w:lang w:val="en-GB"/>
        </w:rPr>
      </w:pPr>
      <w:r>
        <w:rPr>
          <w:rFonts w:cs="Arial"/>
          <w:lang w:val="en-GB"/>
        </w:rPr>
        <w:t>After the</w:t>
      </w:r>
      <w:r w:rsidR="009B190F">
        <w:rPr>
          <w:rFonts w:cs="Arial"/>
          <w:lang w:val="en-GB"/>
        </w:rPr>
        <w:t xml:space="preserve"> transition</w:t>
      </w:r>
      <w:r>
        <w:rPr>
          <w:rFonts w:cs="Arial"/>
          <w:lang w:val="en-GB"/>
        </w:rPr>
        <w:t>al</w:t>
      </w:r>
      <w:r w:rsidR="009B190F">
        <w:rPr>
          <w:rFonts w:cs="Arial"/>
          <w:lang w:val="en-GB"/>
        </w:rPr>
        <w:t xml:space="preserve"> period,</w:t>
      </w:r>
      <w:r w:rsidR="00DE399E" w:rsidRPr="004F46B1">
        <w:rPr>
          <w:rFonts w:cs="Arial"/>
          <w:lang w:val="en-GB"/>
        </w:rPr>
        <w:t xml:space="preserve"> suppliers</w:t>
      </w:r>
      <w:r w:rsidR="00DE399E" w:rsidRPr="00DE399E">
        <w:rPr>
          <w:rFonts w:cs="Arial"/>
          <w:lang w:val="en-GB"/>
        </w:rPr>
        <w:t xml:space="preserve"> must meet the requirements of</w:t>
      </w:r>
      <w:r w:rsidR="00E35D4C">
        <w:rPr>
          <w:rFonts w:cs="Arial"/>
          <w:lang w:val="en-GB"/>
        </w:rPr>
        <w:t xml:space="preserve"> the</w:t>
      </w:r>
      <w:r w:rsidR="00DE399E" w:rsidRPr="00DE399E">
        <w:rPr>
          <w:rFonts w:cs="Arial"/>
          <w:lang w:val="en-GB"/>
        </w:rPr>
        <w:t xml:space="preserve"> </w:t>
      </w:r>
      <w:r w:rsidR="00DE399E" w:rsidRPr="00E35D4C">
        <w:rPr>
          <w:rFonts w:cs="Arial"/>
          <w:i/>
          <w:lang w:val="en-GB"/>
        </w:rPr>
        <w:t>Consumer Goods (Basketball Rings and Backboards) Safety Standard 2017</w:t>
      </w:r>
      <w:r w:rsidR="00DE399E" w:rsidRPr="00E35D4C">
        <w:rPr>
          <w:rFonts w:cs="Arial"/>
          <w:lang w:val="en-GB"/>
        </w:rPr>
        <w:t>.</w:t>
      </w:r>
    </w:p>
    <w:p w:rsidR="001B4A7B" w:rsidRPr="006C2E1D" w:rsidRDefault="001B4A7B" w:rsidP="001B4A7B">
      <w:pPr>
        <w:rPr>
          <w:rFonts w:cs="Arial"/>
          <w:lang w:val="en-GB"/>
        </w:rPr>
      </w:pPr>
      <w:r w:rsidRPr="006C2E1D">
        <w:rPr>
          <w:rFonts w:cs="Arial"/>
          <w:b/>
          <w:lang w:val="en-GB"/>
        </w:rPr>
        <w:t>Consultation</w:t>
      </w:r>
    </w:p>
    <w:p w:rsidR="00DE399E" w:rsidRPr="00DE399E" w:rsidRDefault="00DE399E" w:rsidP="00DE399E">
      <w:pPr>
        <w:rPr>
          <w:rFonts w:cs="Arial"/>
          <w:lang w:val="en-GB"/>
        </w:rPr>
      </w:pPr>
      <w:r w:rsidRPr="00DE399E">
        <w:rPr>
          <w:rFonts w:cs="Arial"/>
          <w:lang w:val="en-GB"/>
        </w:rPr>
        <w:t>The ACCC published a consul</w:t>
      </w:r>
      <w:r w:rsidR="00A97127">
        <w:rPr>
          <w:rFonts w:cs="Arial"/>
          <w:lang w:val="en-GB"/>
        </w:rPr>
        <w:t xml:space="preserve">tation paper in </w:t>
      </w:r>
      <w:r w:rsidR="00046BA1">
        <w:rPr>
          <w:rFonts w:cs="Arial"/>
          <w:lang w:val="en-GB"/>
        </w:rPr>
        <w:t>October</w:t>
      </w:r>
      <w:r w:rsidR="00A97127">
        <w:rPr>
          <w:rFonts w:cs="Arial"/>
          <w:lang w:val="en-GB"/>
        </w:rPr>
        <w:t xml:space="preserve"> 2016 </w:t>
      </w:r>
      <w:r w:rsidRPr="00DE399E">
        <w:rPr>
          <w:rFonts w:cs="Arial"/>
          <w:lang w:val="en-GB"/>
        </w:rPr>
        <w:t>detailing four options:</w:t>
      </w:r>
    </w:p>
    <w:p w:rsidR="00DE399E" w:rsidRPr="00DE399E" w:rsidRDefault="00E35D4C" w:rsidP="00DE399E">
      <w:pPr>
        <w:rPr>
          <w:rFonts w:cs="Arial"/>
          <w:lang w:val="en-GB"/>
        </w:rPr>
      </w:pPr>
      <w:r>
        <w:rPr>
          <w:rFonts w:cs="Arial"/>
          <w:lang w:val="en-GB"/>
        </w:rPr>
        <w:t>Option 1 - Keep the current</w:t>
      </w:r>
      <w:r w:rsidR="00B85610">
        <w:rPr>
          <w:rFonts w:cs="Arial"/>
          <w:lang w:val="en-GB"/>
        </w:rPr>
        <w:t xml:space="preserve"> </w:t>
      </w:r>
      <w:r w:rsidR="00DE399E" w:rsidRPr="00DE399E">
        <w:rPr>
          <w:rFonts w:cs="Arial"/>
          <w:lang w:val="en-GB"/>
        </w:rPr>
        <w:t>safety standard (status quo)</w:t>
      </w:r>
    </w:p>
    <w:p w:rsidR="00DE399E" w:rsidRPr="00DE399E" w:rsidRDefault="00DE399E" w:rsidP="00DE399E">
      <w:pPr>
        <w:rPr>
          <w:rFonts w:cs="Arial"/>
          <w:lang w:val="en-GB"/>
        </w:rPr>
      </w:pPr>
      <w:r w:rsidRPr="00DE399E">
        <w:rPr>
          <w:rFonts w:cs="Arial"/>
          <w:lang w:val="en-GB"/>
        </w:rPr>
        <w:t>Option 2 - Exclude portable basketball systems</w:t>
      </w:r>
    </w:p>
    <w:p w:rsidR="00DE399E" w:rsidRPr="00DE399E" w:rsidRDefault="00DE399E" w:rsidP="00DE399E">
      <w:pPr>
        <w:rPr>
          <w:rFonts w:cs="Arial"/>
          <w:lang w:val="en-GB"/>
        </w:rPr>
      </w:pPr>
      <w:r w:rsidRPr="00DE399E">
        <w:rPr>
          <w:rFonts w:cs="Arial"/>
          <w:lang w:val="en-GB"/>
        </w:rPr>
        <w:t>Option 3 - Require safe installation instructions</w:t>
      </w:r>
    </w:p>
    <w:p w:rsidR="00DE399E" w:rsidRPr="00DE399E" w:rsidRDefault="00E35D4C" w:rsidP="00DE399E">
      <w:pPr>
        <w:rPr>
          <w:rFonts w:cs="Arial"/>
          <w:lang w:val="en-GB"/>
        </w:rPr>
      </w:pPr>
      <w:r>
        <w:rPr>
          <w:rFonts w:cs="Arial"/>
          <w:lang w:val="en-GB"/>
        </w:rPr>
        <w:lastRenderedPageBreak/>
        <w:t>Option 4 - Revoke the current</w:t>
      </w:r>
      <w:r w:rsidR="00B85610">
        <w:rPr>
          <w:rFonts w:cs="Arial"/>
          <w:lang w:val="en-GB"/>
        </w:rPr>
        <w:t xml:space="preserve"> </w:t>
      </w:r>
      <w:r w:rsidR="00DE399E" w:rsidRPr="00DE399E">
        <w:rPr>
          <w:rFonts w:cs="Arial"/>
          <w:lang w:val="en-GB"/>
        </w:rPr>
        <w:t>safety standard.</w:t>
      </w:r>
    </w:p>
    <w:p w:rsidR="00DE399E" w:rsidRPr="00DE399E" w:rsidRDefault="00DE399E" w:rsidP="00DE399E">
      <w:pPr>
        <w:rPr>
          <w:rFonts w:cs="Arial"/>
          <w:lang w:val="en-GB"/>
        </w:rPr>
      </w:pPr>
      <w:r w:rsidRPr="00DE399E">
        <w:rPr>
          <w:rFonts w:cs="Arial"/>
          <w:lang w:val="en-GB"/>
        </w:rPr>
        <w:t>Twelve submissions were received from retailers, consumer groups and retail associations. Of these seven supported exclusion of portable basketball systems and seven supported inclusion of safe installation instructions.</w:t>
      </w:r>
    </w:p>
    <w:p w:rsidR="00DE399E" w:rsidRPr="00DE399E" w:rsidRDefault="00DE399E" w:rsidP="00DE399E">
      <w:pPr>
        <w:rPr>
          <w:rFonts w:cs="Arial"/>
          <w:lang w:val="en-GB"/>
        </w:rPr>
      </w:pPr>
      <w:r w:rsidRPr="00DE399E">
        <w:rPr>
          <w:rFonts w:cs="Arial"/>
          <w:lang w:val="en-GB"/>
        </w:rPr>
        <w:t>Where commenting</w:t>
      </w:r>
      <w:r>
        <w:rPr>
          <w:rFonts w:cs="Arial"/>
          <w:lang w:val="en-GB"/>
        </w:rPr>
        <w:t>,</w:t>
      </w:r>
      <w:r w:rsidRPr="00DE399E">
        <w:rPr>
          <w:rFonts w:cs="Arial"/>
          <w:lang w:val="en-GB"/>
        </w:rPr>
        <w:t xml:space="preserve"> respondents stated that compliance costs would be </w:t>
      </w:r>
      <w:r w:rsidR="00940842">
        <w:rPr>
          <w:rFonts w:cs="Arial"/>
          <w:lang w:val="en-GB"/>
        </w:rPr>
        <w:t>minimal</w:t>
      </w:r>
      <w:r w:rsidRPr="00DE399E">
        <w:rPr>
          <w:rFonts w:cs="Arial"/>
          <w:lang w:val="en-GB"/>
        </w:rPr>
        <w:t>.</w:t>
      </w:r>
    </w:p>
    <w:p w:rsidR="00DE399E" w:rsidRPr="00DE399E" w:rsidRDefault="00DE399E" w:rsidP="00DE399E">
      <w:pPr>
        <w:rPr>
          <w:rFonts w:cs="Arial"/>
          <w:lang w:val="en-GB"/>
        </w:rPr>
      </w:pPr>
      <w:r w:rsidRPr="00DE399E">
        <w:rPr>
          <w:rFonts w:cs="Arial"/>
          <w:lang w:val="en-GB"/>
        </w:rPr>
        <w:t>Respondents that did not support the inclusion of safe installation instructions were concerned that the array of possible installation options would lead to compliance challenges or that as many suppliers already do so the proposal was redundant.</w:t>
      </w:r>
    </w:p>
    <w:p w:rsidR="00DE399E" w:rsidRPr="00DE399E" w:rsidRDefault="00DE399E" w:rsidP="00DE399E">
      <w:pPr>
        <w:rPr>
          <w:rFonts w:cs="Arial"/>
          <w:lang w:val="en-GB"/>
        </w:rPr>
      </w:pPr>
      <w:r w:rsidRPr="00DE399E">
        <w:rPr>
          <w:rFonts w:cs="Arial"/>
          <w:lang w:val="en-GB"/>
        </w:rPr>
        <w:t>The respondents that did not support the exclusion of portable basketball systems raised concerns about possible injury caused by their use. Submissions also noted that some suppliers already provide warning labels as a form of liability protection.</w:t>
      </w:r>
    </w:p>
    <w:p w:rsidR="00DE399E" w:rsidRDefault="00DE399E" w:rsidP="00DE399E">
      <w:pPr>
        <w:rPr>
          <w:rFonts w:cs="Arial"/>
          <w:lang w:val="en-GB"/>
        </w:rPr>
      </w:pPr>
      <w:r>
        <w:rPr>
          <w:rFonts w:cs="Arial"/>
          <w:lang w:val="en-GB"/>
        </w:rPr>
        <w:t>T</w:t>
      </w:r>
      <w:r w:rsidRPr="00DE399E">
        <w:rPr>
          <w:rFonts w:cs="Arial"/>
          <w:lang w:val="en-GB"/>
        </w:rPr>
        <w:t>he proposed 12 month transition</w:t>
      </w:r>
      <w:r w:rsidR="00E35D4C">
        <w:rPr>
          <w:rFonts w:cs="Arial"/>
          <w:lang w:val="en-GB"/>
        </w:rPr>
        <w:t>al</w:t>
      </w:r>
      <w:r w:rsidRPr="00DE399E">
        <w:rPr>
          <w:rFonts w:cs="Arial"/>
          <w:lang w:val="en-GB"/>
        </w:rPr>
        <w:t xml:space="preserve"> period was supported by respondents.</w:t>
      </w:r>
    </w:p>
    <w:p w:rsidR="001B4A7B" w:rsidRPr="006C2E1D" w:rsidRDefault="001B4A7B" w:rsidP="00DE399E">
      <w:pPr>
        <w:rPr>
          <w:rFonts w:cs="Arial"/>
          <w:b/>
        </w:rPr>
      </w:pPr>
      <w:r w:rsidRPr="006C2E1D">
        <w:rPr>
          <w:rFonts w:cs="Arial"/>
          <w:b/>
        </w:rPr>
        <w:t>Disallowance</w:t>
      </w:r>
    </w:p>
    <w:p w:rsidR="00EE6BA8" w:rsidRPr="00EE6BA8" w:rsidRDefault="00EE6BA8" w:rsidP="000B6B1F">
      <w:pPr>
        <w:rPr>
          <w:rFonts w:cs="Arial"/>
          <w:i/>
        </w:rPr>
      </w:pPr>
      <w:r w:rsidRPr="00EE6BA8">
        <w:rPr>
          <w:rFonts w:cs="Arial"/>
        </w:rPr>
        <w:t xml:space="preserve">This legislative instrument is not subject to disallowance due to section 44 of the </w:t>
      </w:r>
      <w:r w:rsidR="00E35D4C">
        <w:rPr>
          <w:rFonts w:cs="Arial"/>
          <w:i/>
        </w:rPr>
        <w:t>Legislation</w:t>
      </w:r>
      <w:r w:rsidR="004322D3">
        <w:rPr>
          <w:rFonts w:cs="Arial"/>
          <w:i/>
        </w:rPr>
        <w:t xml:space="preserve"> </w:t>
      </w:r>
      <w:r w:rsidRPr="00EE6BA8">
        <w:rPr>
          <w:rFonts w:cs="Arial"/>
          <w:i/>
        </w:rPr>
        <w:t>Act 2003.</w:t>
      </w:r>
    </w:p>
    <w:p w:rsidR="001B4A7B" w:rsidRPr="006C2E1D" w:rsidRDefault="00137C77" w:rsidP="000B6B1F">
      <w:pPr>
        <w:rPr>
          <w:rFonts w:cs="Arial"/>
          <w:b/>
          <w:lang w:val="en-GB"/>
        </w:rPr>
      </w:pPr>
      <w:r>
        <w:rPr>
          <w:rFonts w:cs="Arial"/>
          <w:b/>
          <w:lang w:val="en-GB"/>
        </w:rPr>
        <w:t>Commencement</w:t>
      </w:r>
    </w:p>
    <w:p w:rsidR="001B4A7B" w:rsidRPr="006C2E1D" w:rsidRDefault="001B4A7B" w:rsidP="000B6B1F">
      <w:pPr>
        <w:rPr>
          <w:rFonts w:cs="Arial"/>
          <w:lang w:val="en-GB"/>
        </w:rPr>
      </w:pPr>
      <w:r w:rsidRPr="000B6B1F">
        <w:rPr>
          <w:rFonts w:cs="Arial"/>
        </w:rPr>
        <w:t>This</w:t>
      </w:r>
      <w:r w:rsidRPr="006C2E1D">
        <w:rPr>
          <w:rFonts w:cs="Arial"/>
          <w:lang w:val="en-GB"/>
        </w:rPr>
        <w:t xml:space="preserve"> legislative instrument commences on the day after it is registered on the Federal Register of Legislation.</w:t>
      </w:r>
    </w:p>
    <w:p w:rsidR="001B4A7B" w:rsidRPr="006C2E1D" w:rsidRDefault="001B4A7B" w:rsidP="001B4A7B">
      <w:pPr>
        <w:rPr>
          <w:rFonts w:cs="Arial"/>
          <w:b/>
        </w:rPr>
      </w:pPr>
      <w:r w:rsidRPr="006C2E1D">
        <w:rPr>
          <w:rFonts w:cs="Arial"/>
          <w:b/>
        </w:rPr>
        <w:t>Sunsetting</w:t>
      </w:r>
    </w:p>
    <w:p w:rsidR="00756763" w:rsidRDefault="00756763" w:rsidP="00756763">
      <w:pPr>
        <w:rPr>
          <w:rFonts w:cs="Arial"/>
          <w:i/>
        </w:rPr>
      </w:pPr>
      <w:r>
        <w:rPr>
          <w:rFonts w:cs="Arial"/>
        </w:rPr>
        <w:t>The</w:t>
      </w:r>
      <w:r w:rsidRPr="006C2E1D">
        <w:rPr>
          <w:rFonts w:cs="Arial"/>
        </w:rPr>
        <w:t xml:space="preserve"> legislative instrument is exempt from sunsetting. Schedule 12 of the </w:t>
      </w:r>
      <w:r w:rsidRPr="006C2E1D">
        <w:rPr>
          <w:rFonts w:cs="Arial"/>
          <w:i/>
        </w:rPr>
        <w:t xml:space="preserve">Legislation (Exemptions and Other Matters) Regulation 2015 </w:t>
      </w:r>
      <w:r w:rsidRPr="006C2E1D">
        <w:rPr>
          <w:rFonts w:cs="Arial"/>
        </w:rPr>
        <w:t xml:space="preserve">(No. 158, 2015) lists as exempt, instruments made under section 104 or 105 (safety standards) of Schedule 2 (the Australian Consumer Law) to the </w:t>
      </w:r>
      <w:r w:rsidRPr="006C2E1D">
        <w:rPr>
          <w:rFonts w:cs="Arial"/>
          <w:i/>
        </w:rPr>
        <w:t>Com</w:t>
      </w:r>
      <w:r>
        <w:rPr>
          <w:rFonts w:cs="Arial"/>
          <w:i/>
        </w:rPr>
        <w:t>petition and Consumer Act 2010.</w:t>
      </w:r>
    </w:p>
    <w:p w:rsidR="007E1F40" w:rsidRDefault="00E841F5" w:rsidP="001B4A7B">
      <w:pPr>
        <w:rPr>
          <w:rFonts w:cs="Arial"/>
          <w:b/>
        </w:rPr>
      </w:pPr>
      <w:r>
        <w:rPr>
          <w:rFonts w:cs="Arial"/>
          <w:b/>
        </w:rPr>
        <w:t>Regulation impact a</w:t>
      </w:r>
      <w:r w:rsidR="007E1F40">
        <w:rPr>
          <w:rFonts w:cs="Arial"/>
          <w:b/>
        </w:rPr>
        <w:t>ssessment</w:t>
      </w:r>
    </w:p>
    <w:p w:rsidR="007E1F40" w:rsidRPr="007E1F40" w:rsidRDefault="007E1F40" w:rsidP="001B4A7B">
      <w:pPr>
        <w:rPr>
          <w:rFonts w:cs="Arial"/>
        </w:rPr>
      </w:pPr>
      <w:r>
        <w:rPr>
          <w:rFonts w:cs="Arial"/>
        </w:rPr>
        <w:t xml:space="preserve">The </w:t>
      </w:r>
      <w:r w:rsidRPr="007E1F40">
        <w:rPr>
          <w:rFonts w:cs="Arial"/>
        </w:rPr>
        <w:t>O</w:t>
      </w:r>
      <w:r>
        <w:rPr>
          <w:rFonts w:cs="Arial"/>
        </w:rPr>
        <w:t xml:space="preserve">ffice of </w:t>
      </w:r>
      <w:r w:rsidRPr="007E1F40">
        <w:rPr>
          <w:rFonts w:cs="Arial"/>
        </w:rPr>
        <w:t>B</w:t>
      </w:r>
      <w:r>
        <w:rPr>
          <w:rFonts w:cs="Arial"/>
        </w:rPr>
        <w:t xml:space="preserve">est </w:t>
      </w:r>
      <w:r w:rsidRPr="007E1F40">
        <w:rPr>
          <w:rFonts w:cs="Arial"/>
        </w:rPr>
        <w:t>P</w:t>
      </w:r>
      <w:r>
        <w:rPr>
          <w:rFonts w:cs="Arial"/>
        </w:rPr>
        <w:t xml:space="preserve">ractice </w:t>
      </w:r>
      <w:r w:rsidRPr="007E1F40">
        <w:rPr>
          <w:rFonts w:cs="Arial"/>
        </w:rPr>
        <w:t>R</w:t>
      </w:r>
      <w:r>
        <w:rPr>
          <w:rFonts w:cs="Arial"/>
        </w:rPr>
        <w:t>egulation</w:t>
      </w:r>
      <w:r w:rsidRPr="007E1F40">
        <w:rPr>
          <w:rFonts w:cs="Arial"/>
        </w:rPr>
        <w:t xml:space="preserve"> advised a Regulat</w:t>
      </w:r>
      <w:r>
        <w:rPr>
          <w:rFonts w:cs="Arial"/>
        </w:rPr>
        <w:t>ion Impact Statement was</w:t>
      </w:r>
      <w:r w:rsidRPr="007E1F40">
        <w:rPr>
          <w:rFonts w:cs="Arial"/>
        </w:rPr>
        <w:t xml:space="preserve"> not required.</w:t>
      </w:r>
    </w:p>
    <w:sectPr w:rsidR="007E1F40" w:rsidRPr="007E1F40" w:rsidSect="00B9628B">
      <w:footerReference w:type="first" r:id="rId10"/>
      <w:pgSz w:w="11906" w:h="16838"/>
      <w:pgMar w:top="1134" w:right="1558"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7B" w:rsidRDefault="001B4A7B" w:rsidP="004B4412">
      <w:pPr>
        <w:spacing w:before="0"/>
      </w:pPr>
      <w:r>
        <w:separator/>
      </w:r>
    </w:p>
  </w:endnote>
  <w:endnote w:type="continuationSeparator" w:id="0">
    <w:p w:rsidR="001B4A7B" w:rsidRDefault="001B4A7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84594"/>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7B" w:rsidRDefault="001B4A7B" w:rsidP="004B4412">
      <w:pPr>
        <w:spacing w:before="0"/>
      </w:pPr>
      <w:r>
        <w:separator/>
      </w:r>
    </w:p>
  </w:footnote>
  <w:footnote w:type="continuationSeparator" w:id="0">
    <w:p w:rsidR="001B4A7B" w:rsidRDefault="001B4A7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50E2225"/>
    <w:multiLevelType w:val="hybridMultilevel"/>
    <w:tmpl w:val="18327C32"/>
    <w:lvl w:ilvl="0" w:tplc="52C23242">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nsid w:val="07770BE4"/>
    <w:multiLevelType w:val="hybridMultilevel"/>
    <w:tmpl w:val="BAF24E34"/>
    <w:lvl w:ilvl="0" w:tplc="BD5AD6DE">
      <w:start w:val="1"/>
      <w:numFmt w:val="lowerLetter"/>
      <w:lvlText w:val="(%1)"/>
      <w:lvlJc w:val="left"/>
      <w:pPr>
        <w:ind w:left="1146" w:hanging="360"/>
      </w:pPr>
      <w:rPr>
        <w:rFonts w:ascii="Arial" w:hAnsi="Arial" w:cs="Arial"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EF16959"/>
    <w:multiLevelType w:val="hybridMultilevel"/>
    <w:tmpl w:val="2892E406"/>
    <w:lvl w:ilvl="0" w:tplc="2F065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BC551AF"/>
    <w:multiLevelType w:val="hybridMultilevel"/>
    <w:tmpl w:val="3776342C"/>
    <w:lvl w:ilvl="0" w:tplc="070A6AD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D886ECD"/>
    <w:multiLevelType w:val="hybridMultilevel"/>
    <w:tmpl w:val="64D6E5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24F3C27"/>
    <w:multiLevelType w:val="hybridMultilevel"/>
    <w:tmpl w:val="E8A49570"/>
    <w:lvl w:ilvl="0" w:tplc="52C23242">
      <w:start w:val="1"/>
      <w:numFmt w:val="decimal"/>
      <w:lvlText w:val="(%1)"/>
      <w:lvlJc w:val="left"/>
      <w:pPr>
        <w:ind w:left="10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B534B1"/>
    <w:multiLevelType w:val="hybridMultilevel"/>
    <w:tmpl w:val="A6300AE6"/>
    <w:lvl w:ilvl="0" w:tplc="647AF29C">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443204"/>
    <w:multiLevelType w:val="hybridMultilevel"/>
    <w:tmpl w:val="79007700"/>
    <w:lvl w:ilvl="0" w:tplc="AAF88CF2">
      <w:start w:val="1"/>
      <w:numFmt w:val="lowerLetter"/>
      <w:lvlText w:val="%1."/>
      <w:lvlJc w:val="left"/>
      <w:pPr>
        <w:ind w:left="748" w:hanging="360"/>
      </w:pPr>
      <w:rPr>
        <w:rFonts w:ascii="Times New Roman" w:eastAsia="Times New Roman" w:hAnsi="Times New Roman" w:cs="Times New Roman"/>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4">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nsid w:val="3D9E29CC"/>
    <w:multiLevelType w:val="hybridMultilevel"/>
    <w:tmpl w:val="72CA4E36"/>
    <w:lvl w:ilvl="0" w:tplc="52C232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EC82683"/>
    <w:multiLevelType w:val="hybridMultilevel"/>
    <w:tmpl w:val="F9A24746"/>
    <w:lvl w:ilvl="0" w:tplc="44E0C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D0F5012"/>
    <w:multiLevelType w:val="hybridMultilevel"/>
    <w:tmpl w:val="034608EA"/>
    <w:lvl w:ilvl="0" w:tplc="A440B1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695A625E"/>
    <w:multiLevelType w:val="hybridMultilevel"/>
    <w:tmpl w:val="B9DA9160"/>
    <w:lvl w:ilvl="0" w:tplc="BD5AD6DE">
      <w:start w:val="1"/>
      <w:numFmt w:val="lowerLetter"/>
      <w:lvlText w:val="(%1)"/>
      <w:lvlJc w:val="left"/>
      <w:pPr>
        <w:ind w:left="786" w:hanging="360"/>
      </w:pPr>
      <w:rPr>
        <w:rFonts w:ascii="Arial" w:hAnsi="Arial" w:cs="Aria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nsid w:val="76B26F55"/>
    <w:multiLevelType w:val="hybridMultilevel"/>
    <w:tmpl w:val="E8662742"/>
    <w:lvl w:ilvl="0" w:tplc="6FBA9522">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73D3946"/>
    <w:multiLevelType w:val="hybridMultilevel"/>
    <w:tmpl w:val="2EC21FA2"/>
    <w:lvl w:ilvl="0" w:tplc="24BA34F6">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FC4BB8"/>
    <w:multiLevelType w:val="hybridMultilevel"/>
    <w:tmpl w:val="9A903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40"/>
  </w:num>
  <w:num w:numId="3">
    <w:abstractNumId w:val="7"/>
  </w:num>
  <w:num w:numId="4">
    <w:abstractNumId w:val="6"/>
  </w:num>
  <w:num w:numId="5">
    <w:abstractNumId w:val="5"/>
  </w:num>
  <w:num w:numId="6">
    <w:abstractNumId w:val="4"/>
  </w:num>
  <w:num w:numId="7">
    <w:abstractNumId w:val="1"/>
  </w:num>
  <w:num w:numId="8">
    <w:abstractNumId w:val="0"/>
  </w:num>
  <w:num w:numId="9">
    <w:abstractNumId w:val="32"/>
  </w:num>
  <w:num w:numId="10">
    <w:abstractNumId w:val="22"/>
  </w:num>
  <w:num w:numId="11">
    <w:abstractNumId w:val="11"/>
  </w:num>
  <w:num w:numId="12">
    <w:abstractNumId w:val="15"/>
  </w:num>
  <w:num w:numId="13">
    <w:abstractNumId w:val="21"/>
  </w:num>
  <w:num w:numId="14">
    <w:abstractNumId w:val="2"/>
  </w:num>
  <w:num w:numId="15">
    <w:abstractNumId w:val="34"/>
  </w:num>
  <w:num w:numId="16">
    <w:abstractNumId w:val="39"/>
  </w:num>
  <w:num w:numId="17">
    <w:abstractNumId w:val="36"/>
  </w:num>
  <w:num w:numId="18">
    <w:abstractNumId w:val="28"/>
  </w:num>
  <w:num w:numId="19">
    <w:abstractNumId w:val="20"/>
  </w:num>
  <w:num w:numId="20">
    <w:abstractNumId w:val="24"/>
  </w:num>
  <w:num w:numId="21">
    <w:abstractNumId w:val="35"/>
  </w:num>
  <w:num w:numId="22">
    <w:abstractNumId w:val="30"/>
  </w:num>
  <w:num w:numId="23">
    <w:abstractNumId w:val="8"/>
  </w:num>
  <w:num w:numId="24">
    <w:abstractNumId w:val="3"/>
  </w:num>
  <w:num w:numId="25">
    <w:abstractNumId w:val="26"/>
  </w:num>
  <w:num w:numId="26">
    <w:abstractNumId w:val="14"/>
  </w:num>
  <w:num w:numId="27">
    <w:abstractNumId w:val="31"/>
  </w:num>
  <w:num w:numId="28">
    <w:abstractNumId w:val="19"/>
  </w:num>
  <w:num w:numId="29">
    <w:abstractNumId w:val="29"/>
  </w:num>
  <w:num w:numId="30">
    <w:abstractNumId w:val="38"/>
  </w:num>
  <w:num w:numId="31">
    <w:abstractNumId w:val="11"/>
  </w:num>
  <w:num w:numId="32">
    <w:abstractNumId w:val="27"/>
  </w:num>
  <w:num w:numId="33">
    <w:abstractNumId w:val="23"/>
  </w:num>
  <w:num w:numId="34">
    <w:abstractNumId w:val="16"/>
  </w:num>
  <w:num w:numId="35">
    <w:abstractNumId w:val="12"/>
  </w:num>
  <w:num w:numId="36">
    <w:abstractNumId w:val="17"/>
  </w:num>
  <w:num w:numId="37">
    <w:abstractNumId w:val="40"/>
  </w:num>
  <w:num w:numId="38">
    <w:abstractNumId w:val="41"/>
  </w:num>
  <w:num w:numId="39">
    <w:abstractNumId w:val="37"/>
  </w:num>
  <w:num w:numId="40">
    <w:abstractNumId w:val="18"/>
  </w:num>
  <w:num w:numId="41">
    <w:abstractNumId w:val="25"/>
  </w:num>
  <w:num w:numId="42">
    <w:abstractNumId w:val="9"/>
  </w:num>
  <w:num w:numId="43">
    <w:abstractNumId w:val="33"/>
  </w:num>
  <w:num w:numId="44">
    <w:abstractNumId w:val="11"/>
  </w:num>
  <w:num w:numId="45">
    <w:abstractNumId w:val="10"/>
  </w:num>
  <w:num w:numId="4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1B4A7B"/>
    <w:rsid w:val="0000343B"/>
    <w:rsid w:val="0002115F"/>
    <w:rsid w:val="00021202"/>
    <w:rsid w:val="000225C4"/>
    <w:rsid w:val="0003578C"/>
    <w:rsid w:val="00044BE7"/>
    <w:rsid w:val="00045B25"/>
    <w:rsid w:val="00046BA1"/>
    <w:rsid w:val="00061003"/>
    <w:rsid w:val="00063247"/>
    <w:rsid w:val="00070F9F"/>
    <w:rsid w:val="0007137B"/>
    <w:rsid w:val="00077D8C"/>
    <w:rsid w:val="00085663"/>
    <w:rsid w:val="00085EBF"/>
    <w:rsid w:val="000A02AD"/>
    <w:rsid w:val="000B6B1F"/>
    <w:rsid w:val="000D122C"/>
    <w:rsid w:val="000D292A"/>
    <w:rsid w:val="000E1819"/>
    <w:rsid w:val="000E230E"/>
    <w:rsid w:val="000E3CA1"/>
    <w:rsid w:val="000E6C72"/>
    <w:rsid w:val="000F119E"/>
    <w:rsid w:val="000F2368"/>
    <w:rsid w:val="000F7A89"/>
    <w:rsid w:val="00116EB2"/>
    <w:rsid w:val="00124609"/>
    <w:rsid w:val="00127FD6"/>
    <w:rsid w:val="00137C77"/>
    <w:rsid w:val="001426C5"/>
    <w:rsid w:val="001573E4"/>
    <w:rsid w:val="00160756"/>
    <w:rsid w:val="001611F5"/>
    <w:rsid w:val="00162F93"/>
    <w:rsid w:val="0017181A"/>
    <w:rsid w:val="0017232E"/>
    <w:rsid w:val="00174102"/>
    <w:rsid w:val="00176BBC"/>
    <w:rsid w:val="00180157"/>
    <w:rsid w:val="00181223"/>
    <w:rsid w:val="00186F77"/>
    <w:rsid w:val="001926A4"/>
    <w:rsid w:val="00196801"/>
    <w:rsid w:val="001A3A19"/>
    <w:rsid w:val="001B246B"/>
    <w:rsid w:val="001B45A0"/>
    <w:rsid w:val="001B4A7B"/>
    <w:rsid w:val="001C18EE"/>
    <w:rsid w:val="001D055E"/>
    <w:rsid w:val="001D7724"/>
    <w:rsid w:val="001F492E"/>
    <w:rsid w:val="001F4C58"/>
    <w:rsid w:val="001F66A4"/>
    <w:rsid w:val="001F6DA3"/>
    <w:rsid w:val="001F7803"/>
    <w:rsid w:val="002000FC"/>
    <w:rsid w:val="00212737"/>
    <w:rsid w:val="002128E0"/>
    <w:rsid w:val="00224DB9"/>
    <w:rsid w:val="002345C4"/>
    <w:rsid w:val="00241D74"/>
    <w:rsid w:val="00243079"/>
    <w:rsid w:val="00247C27"/>
    <w:rsid w:val="00251745"/>
    <w:rsid w:val="00263AC0"/>
    <w:rsid w:val="0026772D"/>
    <w:rsid w:val="00271FF3"/>
    <w:rsid w:val="00286874"/>
    <w:rsid w:val="002923D2"/>
    <w:rsid w:val="00296B65"/>
    <w:rsid w:val="002A7DEF"/>
    <w:rsid w:val="002B14FE"/>
    <w:rsid w:val="002B17A9"/>
    <w:rsid w:val="002B60C9"/>
    <w:rsid w:val="002F7986"/>
    <w:rsid w:val="00303C4A"/>
    <w:rsid w:val="00307F6D"/>
    <w:rsid w:val="003177A2"/>
    <w:rsid w:val="00320408"/>
    <w:rsid w:val="00321028"/>
    <w:rsid w:val="003271B5"/>
    <w:rsid w:val="003301BA"/>
    <w:rsid w:val="00330CA0"/>
    <w:rsid w:val="00331264"/>
    <w:rsid w:val="00334C8D"/>
    <w:rsid w:val="00340655"/>
    <w:rsid w:val="003459E6"/>
    <w:rsid w:val="00347964"/>
    <w:rsid w:val="003518B3"/>
    <w:rsid w:val="003636FA"/>
    <w:rsid w:val="00364973"/>
    <w:rsid w:val="00371641"/>
    <w:rsid w:val="003813FC"/>
    <w:rsid w:val="003846F1"/>
    <w:rsid w:val="003A673F"/>
    <w:rsid w:val="003B21A7"/>
    <w:rsid w:val="003B5A70"/>
    <w:rsid w:val="003D1D75"/>
    <w:rsid w:val="003D1ED0"/>
    <w:rsid w:val="003F008A"/>
    <w:rsid w:val="003F115E"/>
    <w:rsid w:val="003F3DCD"/>
    <w:rsid w:val="004219B3"/>
    <w:rsid w:val="004322D3"/>
    <w:rsid w:val="0044351B"/>
    <w:rsid w:val="00475DDE"/>
    <w:rsid w:val="00480B4B"/>
    <w:rsid w:val="00483832"/>
    <w:rsid w:val="00483E0E"/>
    <w:rsid w:val="00485DC4"/>
    <w:rsid w:val="00496256"/>
    <w:rsid w:val="004B4412"/>
    <w:rsid w:val="004B5E9C"/>
    <w:rsid w:val="004B6617"/>
    <w:rsid w:val="004C348C"/>
    <w:rsid w:val="004D506D"/>
    <w:rsid w:val="004D55BA"/>
    <w:rsid w:val="004F46B1"/>
    <w:rsid w:val="005038DB"/>
    <w:rsid w:val="005061E7"/>
    <w:rsid w:val="005215FD"/>
    <w:rsid w:val="0052379B"/>
    <w:rsid w:val="00530128"/>
    <w:rsid w:val="00532467"/>
    <w:rsid w:val="00547BA2"/>
    <w:rsid w:val="00547CCF"/>
    <w:rsid w:val="00564A4D"/>
    <w:rsid w:val="00567DB7"/>
    <w:rsid w:val="00571B35"/>
    <w:rsid w:val="00571C9F"/>
    <w:rsid w:val="00577A09"/>
    <w:rsid w:val="00580B78"/>
    <w:rsid w:val="00584D8F"/>
    <w:rsid w:val="00596D42"/>
    <w:rsid w:val="005A404D"/>
    <w:rsid w:val="005B1E3C"/>
    <w:rsid w:val="005C24AC"/>
    <w:rsid w:val="005C26CC"/>
    <w:rsid w:val="005E0862"/>
    <w:rsid w:val="005E6C0E"/>
    <w:rsid w:val="005F3F46"/>
    <w:rsid w:val="00600EC0"/>
    <w:rsid w:val="0060463D"/>
    <w:rsid w:val="00612ADC"/>
    <w:rsid w:val="00615C6B"/>
    <w:rsid w:val="00632D6D"/>
    <w:rsid w:val="00634102"/>
    <w:rsid w:val="00642C3E"/>
    <w:rsid w:val="00644E3A"/>
    <w:rsid w:val="00646025"/>
    <w:rsid w:val="00663DAD"/>
    <w:rsid w:val="00676679"/>
    <w:rsid w:val="006808CA"/>
    <w:rsid w:val="00691616"/>
    <w:rsid w:val="006A5E88"/>
    <w:rsid w:val="006B361C"/>
    <w:rsid w:val="006B4CF9"/>
    <w:rsid w:val="006B7AC8"/>
    <w:rsid w:val="006C2E1D"/>
    <w:rsid w:val="006D40F3"/>
    <w:rsid w:val="006D550F"/>
    <w:rsid w:val="006D6B40"/>
    <w:rsid w:val="006D75F6"/>
    <w:rsid w:val="006D77F3"/>
    <w:rsid w:val="00701CAB"/>
    <w:rsid w:val="00707563"/>
    <w:rsid w:val="00712CD7"/>
    <w:rsid w:val="0072348C"/>
    <w:rsid w:val="0072426B"/>
    <w:rsid w:val="00724A37"/>
    <w:rsid w:val="007303C3"/>
    <w:rsid w:val="00743223"/>
    <w:rsid w:val="00746E01"/>
    <w:rsid w:val="00756763"/>
    <w:rsid w:val="00763E5D"/>
    <w:rsid w:val="00767740"/>
    <w:rsid w:val="0077733B"/>
    <w:rsid w:val="00777EE6"/>
    <w:rsid w:val="00782EEA"/>
    <w:rsid w:val="007870AA"/>
    <w:rsid w:val="007873F7"/>
    <w:rsid w:val="007A1F6B"/>
    <w:rsid w:val="007A502D"/>
    <w:rsid w:val="007A7BE6"/>
    <w:rsid w:val="007B2C72"/>
    <w:rsid w:val="007B6CB9"/>
    <w:rsid w:val="007C0F00"/>
    <w:rsid w:val="007C1C53"/>
    <w:rsid w:val="007E1F40"/>
    <w:rsid w:val="007E26A9"/>
    <w:rsid w:val="007E4904"/>
    <w:rsid w:val="007E4CB5"/>
    <w:rsid w:val="007F066B"/>
    <w:rsid w:val="008033C4"/>
    <w:rsid w:val="00806C88"/>
    <w:rsid w:val="0081034E"/>
    <w:rsid w:val="008344F6"/>
    <w:rsid w:val="0083510F"/>
    <w:rsid w:val="0084628F"/>
    <w:rsid w:val="00851209"/>
    <w:rsid w:val="0088007E"/>
    <w:rsid w:val="008837AC"/>
    <w:rsid w:val="00884D6C"/>
    <w:rsid w:val="008945B4"/>
    <w:rsid w:val="008A587D"/>
    <w:rsid w:val="008B08E6"/>
    <w:rsid w:val="008B4EEA"/>
    <w:rsid w:val="008C5486"/>
    <w:rsid w:val="008D2431"/>
    <w:rsid w:val="008E3229"/>
    <w:rsid w:val="008E7031"/>
    <w:rsid w:val="0091775F"/>
    <w:rsid w:val="00917B02"/>
    <w:rsid w:val="00922C95"/>
    <w:rsid w:val="009233EE"/>
    <w:rsid w:val="00940842"/>
    <w:rsid w:val="009661DE"/>
    <w:rsid w:val="009856B7"/>
    <w:rsid w:val="0098602B"/>
    <w:rsid w:val="00991B3B"/>
    <w:rsid w:val="009962BA"/>
    <w:rsid w:val="009B190F"/>
    <w:rsid w:val="009B3890"/>
    <w:rsid w:val="009B74B0"/>
    <w:rsid w:val="009D4414"/>
    <w:rsid w:val="009D6B46"/>
    <w:rsid w:val="009E304C"/>
    <w:rsid w:val="009E6D2B"/>
    <w:rsid w:val="009F4940"/>
    <w:rsid w:val="00A02726"/>
    <w:rsid w:val="00A0549C"/>
    <w:rsid w:val="00A1665B"/>
    <w:rsid w:val="00A31A03"/>
    <w:rsid w:val="00A43BD8"/>
    <w:rsid w:val="00A4478A"/>
    <w:rsid w:val="00A44852"/>
    <w:rsid w:val="00A57D04"/>
    <w:rsid w:val="00A60A26"/>
    <w:rsid w:val="00A61598"/>
    <w:rsid w:val="00A624C1"/>
    <w:rsid w:val="00A64B37"/>
    <w:rsid w:val="00A65AB0"/>
    <w:rsid w:val="00A71F5F"/>
    <w:rsid w:val="00A84F46"/>
    <w:rsid w:val="00A86D26"/>
    <w:rsid w:val="00A871F4"/>
    <w:rsid w:val="00A97127"/>
    <w:rsid w:val="00AC1B2C"/>
    <w:rsid w:val="00AC3264"/>
    <w:rsid w:val="00AC51F5"/>
    <w:rsid w:val="00AC6F01"/>
    <w:rsid w:val="00AD35F5"/>
    <w:rsid w:val="00AE0FE2"/>
    <w:rsid w:val="00AE1694"/>
    <w:rsid w:val="00AE1BF1"/>
    <w:rsid w:val="00AE4373"/>
    <w:rsid w:val="00AF0DD2"/>
    <w:rsid w:val="00AF2ABE"/>
    <w:rsid w:val="00B10314"/>
    <w:rsid w:val="00B13048"/>
    <w:rsid w:val="00B15998"/>
    <w:rsid w:val="00B1716D"/>
    <w:rsid w:val="00B17A1D"/>
    <w:rsid w:val="00B207A0"/>
    <w:rsid w:val="00B50BAE"/>
    <w:rsid w:val="00B56E03"/>
    <w:rsid w:val="00B60F5D"/>
    <w:rsid w:val="00B61E83"/>
    <w:rsid w:val="00B67E91"/>
    <w:rsid w:val="00B8080B"/>
    <w:rsid w:val="00B85610"/>
    <w:rsid w:val="00B87C39"/>
    <w:rsid w:val="00B9628B"/>
    <w:rsid w:val="00B96B5F"/>
    <w:rsid w:val="00B96CB2"/>
    <w:rsid w:val="00BA4665"/>
    <w:rsid w:val="00BB2FB2"/>
    <w:rsid w:val="00BB3304"/>
    <w:rsid w:val="00BD3446"/>
    <w:rsid w:val="00BD7474"/>
    <w:rsid w:val="00BE1F1B"/>
    <w:rsid w:val="00BE47B5"/>
    <w:rsid w:val="00BE4C99"/>
    <w:rsid w:val="00C058AB"/>
    <w:rsid w:val="00C06739"/>
    <w:rsid w:val="00C12FCF"/>
    <w:rsid w:val="00C50BD2"/>
    <w:rsid w:val="00C538A9"/>
    <w:rsid w:val="00C53B5A"/>
    <w:rsid w:val="00C54F5A"/>
    <w:rsid w:val="00C64DB3"/>
    <w:rsid w:val="00C64FC8"/>
    <w:rsid w:val="00C755AD"/>
    <w:rsid w:val="00C86679"/>
    <w:rsid w:val="00C86785"/>
    <w:rsid w:val="00CB0CE8"/>
    <w:rsid w:val="00CB666B"/>
    <w:rsid w:val="00CC3175"/>
    <w:rsid w:val="00CD13B4"/>
    <w:rsid w:val="00CD3F48"/>
    <w:rsid w:val="00CF0530"/>
    <w:rsid w:val="00CF799E"/>
    <w:rsid w:val="00D01CF0"/>
    <w:rsid w:val="00D0442A"/>
    <w:rsid w:val="00D0637E"/>
    <w:rsid w:val="00D203E1"/>
    <w:rsid w:val="00D241D2"/>
    <w:rsid w:val="00D308CC"/>
    <w:rsid w:val="00D51722"/>
    <w:rsid w:val="00D544B8"/>
    <w:rsid w:val="00D61388"/>
    <w:rsid w:val="00D61A54"/>
    <w:rsid w:val="00D62CFD"/>
    <w:rsid w:val="00D64DEA"/>
    <w:rsid w:val="00D73912"/>
    <w:rsid w:val="00D80893"/>
    <w:rsid w:val="00D87C84"/>
    <w:rsid w:val="00D92CF1"/>
    <w:rsid w:val="00D92D38"/>
    <w:rsid w:val="00D950F5"/>
    <w:rsid w:val="00DB0F93"/>
    <w:rsid w:val="00DB1C5C"/>
    <w:rsid w:val="00DB73CB"/>
    <w:rsid w:val="00DC26CA"/>
    <w:rsid w:val="00DC542F"/>
    <w:rsid w:val="00DC7981"/>
    <w:rsid w:val="00DE399E"/>
    <w:rsid w:val="00DE4EFA"/>
    <w:rsid w:val="00DE5520"/>
    <w:rsid w:val="00E03E13"/>
    <w:rsid w:val="00E04818"/>
    <w:rsid w:val="00E06442"/>
    <w:rsid w:val="00E06E74"/>
    <w:rsid w:val="00E1358F"/>
    <w:rsid w:val="00E23993"/>
    <w:rsid w:val="00E25B8C"/>
    <w:rsid w:val="00E35D4C"/>
    <w:rsid w:val="00E36DC2"/>
    <w:rsid w:val="00E426EE"/>
    <w:rsid w:val="00E4674F"/>
    <w:rsid w:val="00E53F2F"/>
    <w:rsid w:val="00E6426C"/>
    <w:rsid w:val="00E65C85"/>
    <w:rsid w:val="00E66199"/>
    <w:rsid w:val="00E755EC"/>
    <w:rsid w:val="00E7624D"/>
    <w:rsid w:val="00E841F5"/>
    <w:rsid w:val="00E87244"/>
    <w:rsid w:val="00E87D83"/>
    <w:rsid w:val="00EA3D42"/>
    <w:rsid w:val="00EA6B1B"/>
    <w:rsid w:val="00EB672C"/>
    <w:rsid w:val="00EC754B"/>
    <w:rsid w:val="00ED46F2"/>
    <w:rsid w:val="00EE28F3"/>
    <w:rsid w:val="00EE51CE"/>
    <w:rsid w:val="00EE620E"/>
    <w:rsid w:val="00EE6BA8"/>
    <w:rsid w:val="00EF5110"/>
    <w:rsid w:val="00EF6C00"/>
    <w:rsid w:val="00F15882"/>
    <w:rsid w:val="00F20BD3"/>
    <w:rsid w:val="00F27C19"/>
    <w:rsid w:val="00F32C0D"/>
    <w:rsid w:val="00F373A5"/>
    <w:rsid w:val="00F461D6"/>
    <w:rsid w:val="00F47559"/>
    <w:rsid w:val="00F47826"/>
    <w:rsid w:val="00F5752F"/>
    <w:rsid w:val="00F60BE4"/>
    <w:rsid w:val="00F61B84"/>
    <w:rsid w:val="00F6487C"/>
    <w:rsid w:val="00F64C7B"/>
    <w:rsid w:val="00F676DD"/>
    <w:rsid w:val="00F75A26"/>
    <w:rsid w:val="00F76FA1"/>
    <w:rsid w:val="00F778EE"/>
    <w:rsid w:val="00F83FAD"/>
    <w:rsid w:val="00F904CD"/>
    <w:rsid w:val="00F91DC6"/>
    <w:rsid w:val="00F952A0"/>
    <w:rsid w:val="00FA3C7F"/>
    <w:rsid w:val="00FA42AD"/>
    <w:rsid w:val="00FB52D7"/>
    <w:rsid w:val="00FB74E2"/>
    <w:rsid w:val="00FC33DD"/>
    <w:rsid w:val="00FD5614"/>
    <w:rsid w:val="00FE0BE1"/>
    <w:rsid w:val="00FE1DE9"/>
    <w:rsid w:val="00FE39C2"/>
    <w:rsid w:val="00FE40BE"/>
    <w:rsid w:val="00FE4436"/>
    <w:rsid w:val="00FE64AE"/>
    <w:rsid w:val="00FF4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 w:type="paragraph" w:customStyle="1" w:styleId="ActHead5">
    <w:name w:val="ActHead 5"/>
    <w:aliases w:val="s"/>
    <w:basedOn w:val="Normal"/>
    <w:next w:val="subsection"/>
    <w:qFormat/>
    <w:rsid w:val="00AF2ABE"/>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F2ABE"/>
  </w:style>
  <w:style w:type="paragraph" w:customStyle="1" w:styleId="subsection">
    <w:name w:val="subsection"/>
    <w:aliases w:val="ss"/>
    <w:basedOn w:val="Normal"/>
    <w:link w:val="subsectionChar"/>
    <w:rsid w:val="00AF2ABE"/>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F2ABE"/>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F2ABE"/>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 w:type="paragraph" w:customStyle="1" w:styleId="ActHead5">
    <w:name w:val="ActHead 5"/>
    <w:aliases w:val="s"/>
    <w:basedOn w:val="Normal"/>
    <w:next w:val="subsection"/>
    <w:qFormat/>
    <w:rsid w:val="00AF2ABE"/>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F2ABE"/>
  </w:style>
  <w:style w:type="paragraph" w:customStyle="1" w:styleId="subsection">
    <w:name w:val="subsection"/>
    <w:aliases w:val="ss"/>
    <w:basedOn w:val="Normal"/>
    <w:link w:val="subsectionChar"/>
    <w:rsid w:val="00AF2ABE"/>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F2ABE"/>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F2AB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18900">
      <w:bodyDiv w:val="1"/>
      <w:marLeft w:val="0"/>
      <w:marRight w:val="0"/>
      <w:marTop w:val="0"/>
      <w:marBottom w:val="0"/>
      <w:divBdr>
        <w:top w:val="none" w:sz="0" w:space="0" w:color="auto"/>
        <w:left w:val="none" w:sz="0" w:space="0" w:color="auto"/>
        <w:bottom w:val="none" w:sz="0" w:space="0" w:color="auto"/>
        <w:right w:val="none" w:sz="0" w:space="0" w:color="auto"/>
      </w:divBdr>
    </w:div>
    <w:div w:id="99005948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C2AB41-49A3-4D70-9AE7-0E13FC57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B3F3E456</Template>
  <TotalTime>1</TotalTime>
  <Pages>3</Pages>
  <Words>1066</Words>
  <Characters>6077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Charlotte Marshall</dc:creator>
  <cp:lastModifiedBy>Owen, Todd</cp:lastModifiedBy>
  <cp:revision>2</cp:revision>
  <cp:lastPrinted>2017-12-15T02:34:00Z</cp:lastPrinted>
  <dcterms:created xsi:type="dcterms:W3CDTF">2017-12-15T02:35:00Z</dcterms:created>
  <dcterms:modified xsi:type="dcterms:W3CDTF">2017-12-15T02:35:00Z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8823654</vt:lpwstr>
  </property>
  <property fmtid="{D5CDD505-2E9C-101B-9397-08002B2CF9AE}" pid="3" name="currfile">
    <vt:lpwstr>\\cdchnas-evs02\home$\gprob\cps - sp - basketball rings and backboards - explanatory statement - attachment 2 (D2017-00001066).docx</vt:lpwstr>
  </property>
</Properties>
</file>