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3290D4" w14:textId="2451087F" w:rsidR="002436BD" w:rsidRPr="002C6D26" w:rsidRDefault="002436BD" w:rsidP="00D85E77">
      <w:pPr>
        <w:pStyle w:val="Heading"/>
        <w:spacing w:after="240"/>
        <w:jc w:val="center"/>
        <w:rPr>
          <w:rFonts w:ascii="Times New Roman" w:hAnsi="Times New Roman"/>
          <w:sz w:val="24"/>
          <w:szCs w:val="24"/>
        </w:rPr>
      </w:pPr>
      <w:bookmarkStart w:id="0" w:name="_GoBack"/>
      <w:bookmarkEnd w:id="0"/>
      <w:r w:rsidRPr="00D8647B">
        <w:rPr>
          <w:rFonts w:ascii="Times New Roman" w:hAnsi="Times New Roman"/>
          <w:sz w:val="24"/>
          <w:szCs w:val="24"/>
        </w:rPr>
        <w:t xml:space="preserve">Banking </w:t>
      </w:r>
      <w:r w:rsidR="00534D62" w:rsidRPr="00D8647B">
        <w:rPr>
          <w:rFonts w:ascii="Times New Roman" w:hAnsi="Times New Roman"/>
          <w:sz w:val="24"/>
          <w:szCs w:val="24"/>
        </w:rPr>
        <w:t>exemption</w:t>
      </w:r>
      <w:r w:rsidRPr="00D8647B">
        <w:rPr>
          <w:rFonts w:ascii="Times New Roman" w:hAnsi="Times New Roman"/>
          <w:sz w:val="24"/>
          <w:szCs w:val="24"/>
        </w:rPr>
        <w:t xml:space="preserve"> No. </w:t>
      </w:r>
      <w:r w:rsidR="0007368A">
        <w:rPr>
          <w:rFonts w:ascii="Times New Roman" w:hAnsi="Times New Roman"/>
          <w:sz w:val="24"/>
          <w:szCs w:val="24"/>
        </w:rPr>
        <w:t>1</w:t>
      </w:r>
      <w:r w:rsidR="00A15690" w:rsidRPr="00D8647B">
        <w:rPr>
          <w:rFonts w:ascii="Times New Roman" w:hAnsi="Times New Roman"/>
          <w:sz w:val="24"/>
          <w:szCs w:val="24"/>
        </w:rPr>
        <w:t xml:space="preserve"> </w:t>
      </w:r>
      <w:r w:rsidRPr="00D8647B">
        <w:rPr>
          <w:rFonts w:ascii="Times New Roman" w:hAnsi="Times New Roman"/>
          <w:sz w:val="24"/>
          <w:szCs w:val="24"/>
        </w:rPr>
        <w:t>of 20</w:t>
      </w:r>
      <w:r w:rsidR="00534D62" w:rsidRPr="00D8647B">
        <w:rPr>
          <w:rFonts w:ascii="Times New Roman" w:hAnsi="Times New Roman"/>
          <w:sz w:val="24"/>
          <w:szCs w:val="24"/>
        </w:rPr>
        <w:t>1</w:t>
      </w:r>
      <w:r w:rsidR="00F043F2">
        <w:rPr>
          <w:rFonts w:ascii="Times New Roman" w:hAnsi="Times New Roman"/>
          <w:sz w:val="24"/>
          <w:szCs w:val="24"/>
        </w:rPr>
        <w:t>7</w:t>
      </w:r>
    </w:p>
    <w:p w14:paraId="7AEAE137" w14:textId="77777777" w:rsidR="002436BD" w:rsidRPr="002C6D26" w:rsidRDefault="002436BD" w:rsidP="00D85E77">
      <w:pPr>
        <w:pStyle w:val="Heading"/>
        <w:tabs>
          <w:tab w:val="left" w:pos="360"/>
        </w:tabs>
        <w:spacing w:after="240"/>
        <w:jc w:val="center"/>
        <w:rPr>
          <w:rFonts w:ascii="Times New Roman" w:hAnsi="Times New Roman"/>
          <w:sz w:val="24"/>
          <w:szCs w:val="24"/>
          <w:u w:val="single"/>
        </w:rPr>
      </w:pPr>
      <w:bookmarkStart w:id="1" w:name="bkInstrumentSubTitle"/>
      <w:bookmarkEnd w:id="1"/>
      <w:r w:rsidRPr="002C6D26">
        <w:rPr>
          <w:rFonts w:ascii="Times New Roman" w:hAnsi="Times New Roman"/>
          <w:sz w:val="24"/>
          <w:szCs w:val="24"/>
          <w:u w:val="single"/>
        </w:rPr>
        <w:t>EXPLANATORY STATEMENT</w:t>
      </w:r>
    </w:p>
    <w:p w14:paraId="1FCEF0C5" w14:textId="77777777" w:rsidR="002436BD" w:rsidRPr="002C6D26" w:rsidRDefault="002436BD" w:rsidP="00D85E77">
      <w:pPr>
        <w:pStyle w:val="Heading"/>
        <w:spacing w:after="240"/>
        <w:jc w:val="center"/>
        <w:rPr>
          <w:rFonts w:ascii="Times New Roman" w:hAnsi="Times New Roman"/>
          <w:sz w:val="24"/>
          <w:szCs w:val="24"/>
        </w:rPr>
      </w:pPr>
      <w:r w:rsidRPr="002C6D26">
        <w:rPr>
          <w:rFonts w:ascii="Times New Roman" w:hAnsi="Times New Roman"/>
          <w:sz w:val="24"/>
          <w:szCs w:val="24"/>
        </w:rPr>
        <w:t>Prepared by the Australian Prudential Regulation Authority (APRA)</w:t>
      </w:r>
    </w:p>
    <w:p w14:paraId="60F77DB8" w14:textId="77777777" w:rsidR="002436BD" w:rsidRPr="002C6D26" w:rsidRDefault="002436BD" w:rsidP="00D85E77">
      <w:pPr>
        <w:pStyle w:val="Heading"/>
        <w:tabs>
          <w:tab w:val="left" w:pos="360"/>
        </w:tabs>
        <w:spacing w:after="240"/>
        <w:jc w:val="center"/>
        <w:rPr>
          <w:rFonts w:ascii="Times New Roman" w:hAnsi="Times New Roman"/>
          <w:b w:val="0"/>
          <w:sz w:val="24"/>
          <w:szCs w:val="24"/>
        </w:rPr>
      </w:pPr>
      <w:r w:rsidRPr="002C6D26">
        <w:rPr>
          <w:rFonts w:ascii="Times New Roman" w:hAnsi="Times New Roman"/>
          <w:b w:val="0"/>
          <w:i/>
          <w:sz w:val="24"/>
          <w:szCs w:val="24"/>
        </w:rPr>
        <w:t>Banking Act 1959</w:t>
      </w:r>
      <w:r w:rsidRPr="002C6D26">
        <w:rPr>
          <w:rFonts w:ascii="Times New Roman" w:hAnsi="Times New Roman"/>
          <w:b w:val="0"/>
          <w:sz w:val="24"/>
          <w:szCs w:val="24"/>
        </w:rPr>
        <w:t xml:space="preserve">, </w:t>
      </w:r>
      <w:r w:rsidRPr="002C6D26">
        <w:rPr>
          <w:rFonts w:ascii="Times New Roman" w:hAnsi="Times New Roman"/>
          <w:b w:val="0"/>
          <w:color w:val="000000"/>
          <w:sz w:val="24"/>
          <w:szCs w:val="24"/>
        </w:rPr>
        <w:t>section 11</w:t>
      </w:r>
    </w:p>
    <w:p w14:paraId="1AC24F56" w14:textId="5000E297" w:rsidR="00E30177" w:rsidRPr="00BC7834" w:rsidRDefault="004A71F3" w:rsidP="000C481C">
      <w:pPr>
        <w:pStyle w:val="Heading"/>
        <w:spacing w:after="240"/>
        <w:rPr>
          <w:rFonts w:ascii="Times New Roman" w:hAnsi="Times New Roman"/>
          <w:b w:val="0"/>
          <w:color w:val="000000"/>
          <w:sz w:val="24"/>
          <w:szCs w:val="24"/>
        </w:rPr>
      </w:pPr>
      <w:bookmarkStart w:id="2" w:name="bkAct"/>
      <w:bookmarkStart w:id="3" w:name="bkExplanatory"/>
      <w:bookmarkEnd w:id="2"/>
      <w:bookmarkEnd w:id="3"/>
      <w:r w:rsidRPr="00BC7834">
        <w:rPr>
          <w:rFonts w:ascii="Times New Roman" w:hAnsi="Times New Roman"/>
          <w:b w:val="0"/>
          <w:sz w:val="24"/>
          <w:szCs w:val="24"/>
        </w:rPr>
        <w:t xml:space="preserve">Under subsection 11(1) of the </w:t>
      </w:r>
      <w:r w:rsidRPr="00BC7834">
        <w:rPr>
          <w:rFonts w:ascii="Times New Roman" w:hAnsi="Times New Roman"/>
          <w:b w:val="0"/>
          <w:i/>
          <w:color w:val="000000"/>
          <w:sz w:val="24"/>
          <w:szCs w:val="24"/>
        </w:rPr>
        <w:t xml:space="preserve">Banking Act 1959 </w:t>
      </w:r>
      <w:r w:rsidRPr="00BC7834">
        <w:rPr>
          <w:rFonts w:ascii="Times New Roman" w:hAnsi="Times New Roman"/>
          <w:b w:val="0"/>
          <w:color w:val="000000"/>
          <w:sz w:val="24"/>
          <w:szCs w:val="24"/>
        </w:rPr>
        <w:t>(</w:t>
      </w:r>
      <w:r w:rsidR="0007368A">
        <w:rPr>
          <w:rFonts w:ascii="Times New Roman" w:hAnsi="Times New Roman"/>
          <w:b w:val="0"/>
          <w:color w:val="000000"/>
          <w:sz w:val="24"/>
          <w:szCs w:val="24"/>
        </w:rPr>
        <w:t xml:space="preserve">the </w:t>
      </w:r>
      <w:r w:rsidRPr="00F62242">
        <w:rPr>
          <w:rFonts w:ascii="Times New Roman" w:hAnsi="Times New Roman"/>
          <w:b w:val="0"/>
          <w:color w:val="000000"/>
          <w:sz w:val="24"/>
          <w:szCs w:val="24"/>
        </w:rPr>
        <w:t>Act</w:t>
      </w:r>
      <w:r w:rsidRPr="00BC7834">
        <w:rPr>
          <w:rFonts w:ascii="Times New Roman" w:hAnsi="Times New Roman"/>
          <w:b w:val="0"/>
          <w:color w:val="000000"/>
          <w:sz w:val="24"/>
          <w:szCs w:val="24"/>
        </w:rPr>
        <w:t xml:space="preserve">), APRA </w:t>
      </w:r>
      <w:r w:rsidRPr="00145A8A">
        <w:rPr>
          <w:rFonts w:ascii="Times New Roman" w:hAnsi="Times New Roman"/>
          <w:b w:val="0"/>
          <w:sz w:val="24"/>
          <w:szCs w:val="24"/>
        </w:rPr>
        <w:t>may, in writing, determine that any or all of the provisions of the Act referred to in paragraphs 11(1)(a) to (e) do not apply to a person while the determination is in force</w:t>
      </w:r>
      <w:r w:rsidRPr="00BC7834">
        <w:rPr>
          <w:rFonts w:ascii="Times New Roman" w:hAnsi="Times New Roman"/>
          <w:b w:val="0"/>
          <w:color w:val="000000"/>
          <w:sz w:val="24"/>
          <w:szCs w:val="24"/>
        </w:rPr>
        <w:t xml:space="preserve">. </w:t>
      </w:r>
    </w:p>
    <w:p w14:paraId="2B6A58C8" w14:textId="50B9DE6C" w:rsidR="00EE699B" w:rsidRDefault="004D6C51" w:rsidP="000C481C">
      <w:pPr>
        <w:pStyle w:val="Heading"/>
        <w:spacing w:after="240"/>
        <w:rPr>
          <w:rFonts w:ascii="Times New Roman" w:hAnsi="Times New Roman"/>
          <w:b w:val="0"/>
          <w:sz w:val="24"/>
          <w:szCs w:val="24"/>
        </w:rPr>
      </w:pPr>
      <w:r>
        <w:rPr>
          <w:rFonts w:ascii="Times New Roman" w:hAnsi="Times New Roman"/>
          <w:b w:val="0"/>
          <w:sz w:val="24"/>
          <w:szCs w:val="24"/>
        </w:rPr>
        <w:t xml:space="preserve">On </w:t>
      </w:r>
      <w:r w:rsidR="00737A9F">
        <w:rPr>
          <w:rFonts w:ascii="Times New Roman" w:hAnsi="Times New Roman"/>
          <w:b w:val="0"/>
          <w:sz w:val="24"/>
          <w:szCs w:val="24"/>
        </w:rPr>
        <w:t>14</w:t>
      </w:r>
      <w:r w:rsidR="00512216">
        <w:rPr>
          <w:rFonts w:ascii="Times New Roman" w:hAnsi="Times New Roman"/>
          <w:b w:val="0"/>
          <w:sz w:val="24"/>
          <w:szCs w:val="24"/>
        </w:rPr>
        <w:t xml:space="preserve"> December 2017</w:t>
      </w:r>
      <w:r>
        <w:rPr>
          <w:rFonts w:ascii="Times New Roman" w:hAnsi="Times New Roman"/>
          <w:b w:val="0"/>
          <w:sz w:val="24"/>
          <w:szCs w:val="24"/>
        </w:rPr>
        <w:t xml:space="preserve">, APRA made </w:t>
      </w:r>
      <w:r w:rsidR="004A71F3" w:rsidRPr="00F62242">
        <w:rPr>
          <w:rFonts w:ascii="Times New Roman" w:hAnsi="Times New Roman"/>
          <w:b w:val="0"/>
          <w:sz w:val="24"/>
          <w:szCs w:val="24"/>
        </w:rPr>
        <w:t>Banking exemption No.</w:t>
      </w:r>
      <w:r w:rsidR="00C74055" w:rsidRPr="00F62242">
        <w:rPr>
          <w:rFonts w:ascii="Times New Roman" w:hAnsi="Times New Roman"/>
          <w:b w:val="0"/>
          <w:sz w:val="24"/>
          <w:szCs w:val="24"/>
        </w:rPr>
        <w:t xml:space="preserve"> </w:t>
      </w:r>
      <w:r w:rsidR="0007368A">
        <w:rPr>
          <w:rFonts w:ascii="Times New Roman" w:hAnsi="Times New Roman"/>
          <w:b w:val="0"/>
          <w:sz w:val="24"/>
          <w:szCs w:val="24"/>
        </w:rPr>
        <w:t>1</w:t>
      </w:r>
      <w:r w:rsidR="00A15690" w:rsidRPr="00F62242">
        <w:rPr>
          <w:rFonts w:ascii="Times New Roman" w:hAnsi="Times New Roman"/>
          <w:b w:val="0"/>
          <w:sz w:val="24"/>
          <w:szCs w:val="24"/>
        </w:rPr>
        <w:t xml:space="preserve"> </w:t>
      </w:r>
      <w:r w:rsidR="004A71F3" w:rsidRPr="00F62242">
        <w:rPr>
          <w:rFonts w:ascii="Times New Roman" w:hAnsi="Times New Roman"/>
          <w:b w:val="0"/>
          <w:sz w:val="24"/>
          <w:szCs w:val="24"/>
        </w:rPr>
        <w:t xml:space="preserve">of </w:t>
      </w:r>
      <w:r w:rsidR="00512216" w:rsidRPr="00F62242">
        <w:rPr>
          <w:rFonts w:ascii="Times New Roman" w:hAnsi="Times New Roman"/>
          <w:b w:val="0"/>
          <w:sz w:val="24"/>
          <w:szCs w:val="24"/>
        </w:rPr>
        <w:t>201</w:t>
      </w:r>
      <w:r w:rsidR="00512216">
        <w:rPr>
          <w:rFonts w:ascii="Times New Roman" w:hAnsi="Times New Roman"/>
          <w:b w:val="0"/>
          <w:sz w:val="24"/>
          <w:szCs w:val="24"/>
        </w:rPr>
        <w:t>7</w:t>
      </w:r>
      <w:r w:rsidR="00512216" w:rsidRPr="001B7DF3">
        <w:rPr>
          <w:rFonts w:ascii="Times New Roman" w:hAnsi="Times New Roman"/>
          <w:b w:val="0"/>
          <w:sz w:val="24"/>
          <w:szCs w:val="24"/>
        </w:rPr>
        <w:t xml:space="preserve"> </w:t>
      </w:r>
      <w:r w:rsidR="004A71F3" w:rsidRPr="001B7DF3">
        <w:rPr>
          <w:rFonts w:ascii="Times New Roman" w:hAnsi="Times New Roman"/>
          <w:b w:val="0"/>
          <w:sz w:val="24"/>
          <w:szCs w:val="24"/>
        </w:rPr>
        <w:t>(</w:t>
      </w:r>
      <w:r w:rsidR="00F07288">
        <w:rPr>
          <w:rFonts w:ascii="Times New Roman" w:hAnsi="Times New Roman"/>
          <w:b w:val="0"/>
          <w:sz w:val="24"/>
          <w:szCs w:val="24"/>
        </w:rPr>
        <w:t>the instrument</w:t>
      </w:r>
      <w:r w:rsidR="004A71F3" w:rsidRPr="001B7DF3">
        <w:rPr>
          <w:rFonts w:ascii="Times New Roman" w:hAnsi="Times New Roman"/>
          <w:b w:val="0"/>
          <w:sz w:val="24"/>
          <w:szCs w:val="24"/>
        </w:rPr>
        <w:t>)</w:t>
      </w:r>
      <w:r w:rsidR="00B32FB5">
        <w:rPr>
          <w:rFonts w:ascii="Times New Roman" w:hAnsi="Times New Roman"/>
          <w:b w:val="0"/>
          <w:sz w:val="24"/>
          <w:szCs w:val="24"/>
        </w:rPr>
        <w:t xml:space="preserve">, which replaces </w:t>
      </w:r>
      <w:r w:rsidR="00B32FB5" w:rsidRPr="00B32FB5">
        <w:rPr>
          <w:rFonts w:ascii="Times New Roman" w:hAnsi="Times New Roman"/>
          <w:b w:val="0"/>
          <w:sz w:val="24"/>
          <w:szCs w:val="24"/>
        </w:rPr>
        <w:t xml:space="preserve">Banking exemption No. </w:t>
      </w:r>
      <w:r w:rsidR="00512216">
        <w:rPr>
          <w:rFonts w:ascii="Times New Roman" w:hAnsi="Times New Roman"/>
          <w:b w:val="0"/>
          <w:sz w:val="24"/>
          <w:szCs w:val="24"/>
        </w:rPr>
        <w:t>1</w:t>
      </w:r>
      <w:r w:rsidR="00512216" w:rsidRPr="00B32FB5">
        <w:rPr>
          <w:rFonts w:ascii="Times New Roman" w:hAnsi="Times New Roman"/>
          <w:b w:val="0"/>
          <w:sz w:val="24"/>
          <w:szCs w:val="24"/>
        </w:rPr>
        <w:t xml:space="preserve"> </w:t>
      </w:r>
      <w:r w:rsidR="00B32FB5" w:rsidRPr="00B32FB5">
        <w:rPr>
          <w:rFonts w:ascii="Times New Roman" w:hAnsi="Times New Roman"/>
          <w:b w:val="0"/>
          <w:sz w:val="24"/>
          <w:szCs w:val="24"/>
        </w:rPr>
        <w:t xml:space="preserve">of </w:t>
      </w:r>
      <w:r w:rsidR="00512216" w:rsidRPr="00B32FB5">
        <w:rPr>
          <w:rFonts w:ascii="Times New Roman" w:hAnsi="Times New Roman"/>
          <w:b w:val="0"/>
          <w:sz w:val="24"/>
          <w:szCs w:val="24"/>
        </w:rPr>
        <w:t>201</w:t>
      </w:r>
      <w:r w:rsidR="00512216">
        <w:rPr>
          <w:rFonts w:ascii="Times New Roman" w:hAnsi="Times New Roman"/>
          <w:b w:val="0"/>
          <w:sz w:val="24"/>
          <w:szCs w:val="24"/>
        </w:rPr>
        <w:t>6</w:t>
      </w:r>
      <w:r w:rsidR="00512216" w:rsidRPr="00B32FB5">
        <w:rPr>
          <w:rFonts w:ascii="Times New Roman" w:hAnsi="Times New Roman"/>
          <w:b w:val="0"/>
          <w:sz w:val="24"/>
          <w:szCs w:val="24"/>
        </w:rPr>
        <w:t xml:space="preserve"> </w:t>
      </w:r>
      <w:r w:rsidR="00B32FB5" w:rsidRPr="00B32FB5">
        <w:rPr>
          <w:rFonts w:ascii="Times New Roman" w:hAnsi="Times New Roman"/>
          <w:b w:val="0"/>
          <w:sz w:val="24"/>
          <w:szCs w:val="24"/>
        </w:rPr>
        <w:t>(2016 Exemption)</w:t>
      </w:r>
      <w:r w:rsidR="00B32FB5">
        <w:rPr>
          <w:rFonts w:ascii="Times New Roman" w:hAnsi="Times New Roman"/>
          <w:b w:val="0"/>
          <w:sz w:val="24"/>
          <w:szCs w:val="24"/>
        </w:rPr>
        <w:t xml:space="preserve">. </w:t>
      </w:r>
    </w:p>
    <w:p w14:paraId="12466A5E" w14:textId="561EF19B" w:rsidR="00F07288" w:rsidRPr="00BC7834" w:rsidRDefault="00F07288" w:rsidP="000C481C">
      <w:pPr>
        <w:pStyle w:val="Heading"/>
        <w:spacing w:after="240"/>
        <w:rPr>
          <w:rFonts w:ascii="Times New Roman" w:hAnsi="Times New Roman"/>
          <w:b w:val="0"/>
          <w:sz w:val="24"/>
          <w:szCs w:val="24"/>
        </w:rPr>
      </w:pPr>
      <w:r>
        <w:rPr>
          <w:rFonts w:ascii="Times New Roman" w:hAnsi="Times New Roman"/>
          <w:b w:val="0"/>
          <w:sz w:val="24"/>
          <w:szCs w:val="24"/>
        </w:rPr>
        <w:t xml:space="preserve">The </w:t>
      </w:r>
      <w:r w:rsidR="00BD2FF6">
        <w:rPr>
          <w:rFonts w:ascii="Times New Roman" w:hAnsi="Times New Roman"/>
          <w:b w:val="0"/>
          <w:sz w:val="24"/>
          <w:szCs w:val="24"/>
        </w:rPr>
        <w:t xml:space="preserve">instrument </w:t>
      </w:r>
      <w:r>
        <w:rPr>
          <w:rFonts w:ascii="Times New Roman" w:hAnsi="Times New Roman"/>
          <w:b w:val="0"/>
          <w:sz w:val="24"/>
          <w:szCs w:val="24"/>
        </w:rPr>
        <w:t xml:space="preserve">commences on 1 January </w:t>
      </w:r>
      <w:r w:rsidR="00512216">
        <w:rPr>
          <w:rFonts w:ascii="Times New Roman" w:hAnsi="Times New Roman"/>
          <w:b w:val="0"/>
          <w:sz w:val="24"/>
          <w:szCs w:val="24"/>
        </w:rPr>
        <w:t>2018</w:t>
      </w:r>
      <w:r>
        <w:rPr>
          <w:rFonts w:ascii="Times New Roman" w:hAnsi="Times New Roman"/>
          <w:b w:val="0"/>
          <w:sz w:val="24"/>
          <w:szCs w:val="24"/>
        </w:rPr>
        <w:t>.</w:t>
      </w:r>
    </w:p>
    <w:p w14:paraId="5D0C9F15" w14:textId="77777777" w:rsidR="002436BD" w:rsidRDefault="002436BD" w:rsidP="000C481C">
      <w:pPr>
        <w:pStyle w:val="Heading"/>
        <w:keepNext/>
        <w:numPr>
          <w:ilvl w:val="0"/>
          <w:numId w:val="2"/>
        </w:numPr>
        <w:spacing w:after="240"/>
        <w:ind w:left="0" w:firstLine="0"/>
        <w:outlineLvl w:val="0"/>
        <w:rPr>
          <w:rFonts w:ascii="Times New Roman" w:hAnsi="Times New Roman"/>
          <w:sz w:val="24"/>
          <w:szCs w:val="24"/>
        </w:rPr>
      </w:pPr>
      <w:r w:rsidRPr="002C6D26">
        <w:rPr>
          <w:rFonts w:ascii="Times New Roman" w:hAnsi="Times New Roman"/>
          <w:sz w:val="24"/>
          <w:szCs w:val="24"/>
        </w:rPr>
        <w:t>Background</w:t>
      </w:r>
    </w:p>
    <w:p w14:paraId="1F6E0984" w14:textId="5B6FCB5E" w:rsidR="000C481C" w:rsidRDefault="00E30177" w:rsidP="000C481C">
      <w:pPr>
        <w:pStyle w:val="Heading"/>
        <w:spacing w:after="240"/>
        <w:rPr>
          <w:rFonts w:ascii="Times New Roman" w:hAnsi="Times New Roman"/>
          <w:b w:val="0"/>
          <w:sz w:val="24"/>
          <w:szCs w:val="24"/>
        </w:rPr>
      </w:pPr>
      <w:bookmarkStart w:id="4" w:name="bkBackground"/>
      <w:bookmarkEnd w:id="4"/>
      <w:r w:rsidRPr="00B000B9">
        <w:rPr>
          <w:rFonts w:ascii="Times New Roman" w:hAnsi="Times New Roman"/>
          <w:b w:val="0"/>
          <w:sz w:val="24"/>
          <w:szCs w:val="24"/>
        </w:rPr>
        <w:t>Under section 7 of the Act, it is an offence for a person who is not a body corporate to carry on banking business in Australia</w:t>
      </w:r>
      <w:r w:rsidR="00285378">
        <w:rPr>
          <w:rFonts w:ascii="Times New Roman" w:hAnsi="Times New Roman"/>
          <w:b w:val="0"/>
          <w:sz w:val="24"/>
          <w:szCs w:val="24"/>
        </w:rPr>
        <w:t>,</w:t>
      </w:r>
      <w:r w:rsidRPr="00B000B9">
        <w:rPr>
          <w:rFonts w:ascii="Times New Roman" w:hAnsi="Times New Roman"/>
          <w:b w:val="0"/>
          <w:sz w:val="24"/>
          <w:szCs w:val="24"/>
        </w:rPr>
        <w:t xml:space="preserve"> except where there is a determination in force under section 11 of the Act that section 7 does not apply to the person. Under section 8 of the Act, it is an offence for a body corporate to carry on banking business in Australia if the body corporate is not an authorised deposit-taking institution or the Reserve Bank, except where there is a determination in force under section 11 of the Act that section 8 does not apply to the body corporate.  </w:t>
      </w:r>
    </w:p>
    <w:p w14:paraId="79B6C70A" w14:textId="7BD6DE20" w:rsidR="00B513E7" w:rsidRDefault="00F07288" w:rsidP="000C481C">
      <w:pPr>
        <w:pStyle w:val="Heading"/>
        <w:spacing w:after="240"/>
        <w:rPr>
          <w:rFonts w:ascii="Times New Roman" w:hAnsi="Times New Roman"/>
          <w:b w:val="0"/>
          <w:sz w:val="24"/>
          <w:szCs w:val="24"/>
        </w:rPr>
      </w:pPr>
      <w:r>
        <w:rPr>
          <w:rFonts w:ascii="Times New Roman" w:hAnsi="Times New Roman"/>
          <w:b w:val="0"/>
          <w:sz w:val="24"/>
          <w:szCs w:val="24"/>
        </w:rPr>
        <w:t xml:space="preserve">The </w:t>
      </w:r>
      <w:r w:rsidR="004D6C51" w:rsidRPr="004D6C51">
        <w:rPr>
          <w:rFonts w:ascii="Times New Roman" w:hAnsi="Times New Roman"/>
          <w:b w:val="0"/>
          <w:sz w:val="24"/>
          <w:szCs w:val="24"/>
        </w:rPr>
        <w:t>2016 Exemption</w:t>
      </w:r>
      <w:r w:rsidR="001A049A">
        <w:rPr>
          <w:rFonts w:ascii="Times New Roman" w:hAnsi="Times New Roman"/>
          <w:b w:val="0"/>
          <w:sz w:val="24"/>
          <w:szCs w:val="24"/>
        </w:rPr>
        <w:t xml:space="preserve"> </w:t>
      </w:r>
      <w:r w:rsidR="00E30177">
        <w:rPr>
          <w:rFonts w:ascii="Times New Roman" w:hAnsi="Times New Roman"/>
          <w:b w:val="0"/>
          <w:sz w:val="24"/>
          <w:szCs w:val="24"/>
        </w:rPr>
        <w:t>determined</w:t>
      </w:r>
      <w:r w:rsidR="00C74055">
        <w:rPr>
          <w:rFonts w:ascii="Times New Roman" w:hAnsi="Times New Roman"/>
          <w:b w:val="0"/>
          <w:sz w:val="24"/>
          <w:szCs w:val="24"/>
        </w:rPr>
        <w:t xml:space="preserve"> </w:t>
      </w:r>
      <w:r w:rsidR="00E30177">
        <w:rPr>
          <w:rFonts w:ascii="Times New Roman" w:hAnsi="Times New Roman"/>
          <w:b w:val="0"/>
          <w:sz w:val="24"/>
          <w:szCs w:val="24"/>
        </w:rPr>
        <w:t xml:space="preserve">that the </w:t>
      </w:r>
      <w:r w:rsidR="0048032A">
        <w:rPr>
          <w:rFonts w:ascii="Times New Roman" w:hAnsi="Times New Roman"/>
          <w:b w:val="0"/>
          <w:sz w:val="24"/>
          <w:szCs w:val="24"/>
        </w:rPr>
        <w:t xml:space="preserve">persons administering the </w:t>
      </w:r>
      <w:r w:rsidR="001479DA" w:rsidRPr="00F62242">
        <w:rPr>
          <w:rFonts w:ascii="Times New Roman" w:hAnsi="Times New Roman"/>
          <w:b w:val="0"/>
          <w:sz w:val="24"/>
          <w:szCs w:val="24"/>
        </w:rPr>
        <w:t>RCDFs</w:t>
      </w:r>
      <w:r w:rsidR="00E30177">
        <w:rPr>
          <w:rFonts w:ascii="Times New Roman" w:hAnsi="Times New Roman"/>
          <w:b w:val="0"/>
          <w:sz w:val="24"/>
          <w:szCs w:val="24"/>
        </w:rPr>
        <w:t xml:space="preserve"> listed in Schedule 1 of that determination are exempt from the prohibitions in section</w:t>
      </w:r>
      <w:r w:rsidR="00736BEC">
        <w:rPr>
          <w:rFonts w:ascii="Times New Roman" w:hAnsi="Times New Roman"/>
          <w:b w:val="0"/>
          <w:sz w:val="24"/>
          <w:szCs w:val="24"/>
        </w:rPr>
        <w:t>s</w:t>
      </w:r>
      <w:r w:rsidR="00E30177">
        <w:rPr>
          <w:rFonts w:ascii="Times New Roman" w:hAnsi="Times New Roman"/>
          <w:b w:val="0"/>
          <w:sz w:val="24"/>
          <w:szCs w:val="24"/>
        </w:rPr>
        <w:t xml:space="preserve"> 7 and 8 of the Act</w:t>
      </w:r>
      <w:r w:rsidR="00736BEC">
        <w:rPr>
          <w:rFonts w:ascii="Times New Roman" w:hAnsi="Times New Roman"/>
          <w:b w:val="0"/>
          <w:sz w:val="24"/>
          <w:szCs w:val="24"/>
        </w:rPr>
        <w:t xml:space="preserve"> from</w:t>
      </w:r>
      <w:r w:rsidR="00E30177">
        <w:rPr>
          <w:rFonts w:ascii="Times New Roman" w:hAnsi="Times New Roman"/>
          <w:b w:val="0"/>
          <w:sz w:val="24"/>
          <w:szCs w:val="24"/>
        </w:rPr>
        <w:t>, provided that th</w:t>
      </w:r>
      <w:r w:rsidR="00736BEC">
        <w:rPr>
          <w:rFonts w:ascii="Times New Roman" w:hAnsi="Times New Roman"/>
          <w:b w:val="0"/>
          <w:sz w:val="24"/>
          <w:szCs w:val="24"/>
        </w:rPr>
        <w:t>e</w:t>
      </w:r>
      <w:r w:rsidR="002928F2">
        <w:rPr>
          <w:rFonts w:ascii="Times New Roman" w:hAnsi="Times New Roman"/>
          <w:b w:val="0"/>
          <w:sz w:val="24"/>
          <w:szCs w:val="24"/>
        </w:rPr>
        <w:t>y</w:t>
      </w:r>
      <w:r w:rsidR="00E30177">
        <w:rPr>
          <w:rFonts w:ascii="Times New Roman" w:hAnsi="Times New Roman"/>
          <w:b w:val="0"/>
          <w:sz w:val="24"/>
          <w:szCs w:val="24"/>
        </w:rPr>
        <w:t xml:space="preserve"> comply with the conditions specified in Schedule 2 of that determination.</w:t>
      </w:r>
    </w:p>
    <w:p w14:paraId="009E9B97" w14:textId="360B181D" w:rsidR="00E30177" w:rsidRDefault="00E30177" w:rsidP="000C481C">
      <w:pPr>
        <w:pStyle w:val="Heading"/>
        <w:tabs>
          <w:tab w:val="left" w:pos="3005"/>
        </w:tabs>
        <w:spacing w:after="240"/>
        <w:rPr>
          <w:rFonts w:ascii="Times New Roman" w:hAnsi="Times New Roman"/>
          <w:b w:val="0"/>
          <w:sz w:val="24"/>
          <w:szCs w:val="24"/>
        </w:rPr>
      </w:pPr>
      <w:r>
        <w:rPr>
          <w:rFonts w:ascii="Times New Roman" w:hAnsi="Times New Roman"/>
          <w:b w:val="0"/>
          <w:sz w:val="24"/>
          <w:szCs w:val="24"/>
        </w:rPr>
        <w:t>R</w:t>
      </w:r>
      <w:r w:rsidR="002F3E7B">
        <w:rPr>
          <w:rFonts w:ascii="Times New Roman" w:hAnsi="Times New Roman"/>
          <w:b w:val="0"/>
          <w:sz w:val="24"/>
          <w:szCs w:val="24"/>
        </w:rPr>
        <w:t>CDFs</w:t>
      </w:r>
      <w:r>
        <w:rPr>
          <w:rFonts w:ascii="Times New Roman" w:hAnsi="Times New Roman"/>
          <w:b w:val="0"/>
          <w:sz w:val="24"/>
          <w:szCs w:val="24"/>
        </w:rPr>
        <w:t xml:space="preserve"> are funds that have been set up to borrow and use money for religious and charitable purposes. While the business of such entities has traditionally fallen within the definition of ‘banking business’ under the Act, such entities have historically been exempt from the need to be authorised under the Act</w:t>
      </w:r>
      <w:r w:rsidR="00FE0873">
        <w:rPr>
          <w:rFonts w:ascii="Times New Roman" w:hAnsi="Times New Roman"/>
          <w:b w:val="0"/>
          <w:sz w:val="24"/>
          <w:szCs w:val="24"/>
        </w:rPr>
        <w:t xml:space="preserve"> through a series of exemptions under subsection 11(1) of the Act, the most recent of which was the 2016 Exemption</w:t>
      </w:r>
      <w:r>
        <w:rPr>
          <w:rFonts w:ascii="Times New Roman" w:hAnsi="Times New Roman"/>
          <w:b w:val="0"/>
          <w:sz w:val="24"/>
          <w:szCs w:val="24"/>
        </w:rPr>
        <w:t xml:space="preserve">. The </w:t>
      </w:r>
      <w:r w:rsidR="00D2147F">
        <w:rPr>
          <w:rFonts w:ascii="Times New Roman" w:hAnsi="Times New Roman"/>
          <w:b w:val="0"/>
          <w:sz w:val="24"/>
          <w:szCs w:val="24"/>
        </w:rPr>
        <w:t>2016 Exemption</w:t>
      </w:r>
      <w:r>
        <w:rPr>
          <w:rFonts w:ascii="Times New Roman" w:hAnsi="Times New Roman"/>
          <w:b w:val="0"/>
          <w:sz w:val="24"/>
          <w:szCs w:val="24"/>
        </w:rPr>
        <w:t xml:space="preserve"> allow</w:t>
      </w:r>
      <w:r w:rsidR="00D2147F">
        <w:rPr>
          <w:rFonts w:ascii="Times New Roman" w:hAnsi="Times New Roman"/>
          <w:b w:val="0"/>
          <w:sz w:val="24"/>
          <w:szCs w:val="24"/>
        </w:rPr>
        <w:t>s</w:t>
      </w:r>
      <w:r>
        <w:rPr>
          <w:rFonts w:ascii="Times New Roman" w:hAnsi="Times New Roman"/>
          <w:b w:val="0"/>
          <w:sz w:val="24"/>
          <w:szCs w:val="24"/>
        </w:rPr>
        <w:t xml:space="preserve"> </w:t>
      </w:r>
      <w:r w:rsidR="002F3E7B">
        <w:rPr>
          <w:rFonts w:ascii="Times New Roman" w:hAnsi="Times New Roman"/>
          <w:b w:val="0"/>
          <w:sz w:val="24"/>
          <w:szCs w:val="24"/>
        </w:rPr>
        <w:t xml:space="preserve">RCDFs </w:t>
      </w:r>
      <w:r>
        <w:rPr>
          <w:rFonts w:ascii="Times New Roman" w:hAnsi="Times New Roman"/>
          <w:b w:val="0"/>
          <w:sz w:val="24"/>
          <w:szCs w:val="24"/>
        </w:rPr>
        <w:t xml:space="preserve">to </w:t>
      </w:r>
      <w:r w:rsidR="00E01AE6">
        <w:rPr>
          <w:rFonts w:ascii="Times New Roman" w:hAnsi="Times New Roman"/>
          <w:b w:val="0"/>
          <w:sz w:val="24"/>
          <w:szCs w:val="24"/>
        </w:rPr>
        <w:t xml:space="preserve">continue to </w:t>
      </w:r>
      <w:r>
        <w:rPr>
          <w:rFonts w:ascii="Times New Roman" w:hAnsi="Times New Roman"/>
          <w:b w:val="0"/>
          <w:sz w:val="24"/>
          <w:szCs w:val="24"/>
        </w:rPr>
        <w:t>operate</w:t>
      </w:r>
      <w:r w:rsidR="009C0E40">
        <w:rPr>
          <w:rFonts w:ascii="Times New Roman" w:hAnsi="Times New Roman"/>
          <w:b w:val="0"/>
          <w:sz w:val="24"/>
          <w:szCs w:val="24"/>
        </w:rPr>
        <w:t>,</w:t>
      </w:r>
      <w:r w:rsidR="00264685">
        <w:rPr>
          <w:rFonts w:ascii="Times New Roman" w:hAnsi="Times New Roman"/>
          <w:b w:val="0"/>
          <w:sz w:val="24"/>
          <w:szCs w:val="24"/>
        </w:rPr>
        <w:t xml:space="preserve"> subject to</w:t>
      </w:r>
      <w:r w:rsidR="009C0E40">
        <w:rPr>
          <w:rFonts w:ascii="Times New Roman" w:hAnsi="Times New Roman"/>
          <w:b w:val="0"/>
          <w:sz w:val="24"/>
          <w:szCs w:val="24"/>
        </w:rPr>
        <w:t xml:space="preserve"> </w:t>
      </w:r>
      <w:r w:rsidR="00FE0873">
        <w:rPr>
          <w:rFonts w:ascii="Times New Roman" w:hAnsi="Times New Roman"/>
          <w:b w:val="0"/>
          <w:sz w:val="24"/>
          <w:szCs w:val="24"/>
        </w:rPr>
        <w:t>revised</w:t>
      </w:r>
      <w:r w:rsidR="009C0E40">
        <w:rPr>
          <w:rFonts w:ascii="Times New Roman" w:hAnsi="Times New Roman"/>
          <w:b w:val="0"/>
          <w:sz w:val="24"/>
          <w:szCs w:val="24"/>
        </w:rPr>
        <w:t xml:space="preserve"> </w:t>
      </w:r>
      <w:r w:rsidR="00E01AE6">
        <w:rPr>
          <w:rFonts w:ascii="Times New Roman" w:hAnsi="Times New Roman"/>
          <w:b w:val="0"/>
          <w:sz w:val="24"/>
          <w:szCs w:val="24"/>
        </w:rPr>
        <w:t xml:space="preserve">conditions that seek to reduce the likelihood that an investor in an RCDF </w:t>
      </w:r>
      <w:r w:rsidR="00385BE7">
        <w:rPr>
          <w:rFonts w:ascii="Times New Roman" w:hAnsi="Times New Roman"/>
          <w:b w:val="0"/>
          <w:sz w:val="24"/>
          <w:szCs w:val="24"/>
        </w:rPr>
        <w:t>might confuse such an investment with a deposit</w:t>
      </w:r>
      <w:r>
        <w:rPr>
          <w:rFonts w:ascii="Times New Roman" w:hAnsi="Times New Roman"/>
          <w:b w:val="0"/>
          <w:sz w:val="24"/>
          <w:szCs w:val="24"/>
        </w:rPr>
        <w:t xml:space="preserve">. </w:t>
      </w:r>
      <w:r w:rsidR="00385BE7">
        <w:rPr>
          <w:rFonts w:ascii="Times New Roman" w:hAnsi="Times New Roman"/>
          <w:b w:val="0"/>
          <w:sz w:val="24"/>
          <w:szCs w:val="24"/>
        </w:rPr>
        <w:t>These conditions include:</w:t>
      </w:r>
    </w:p>
    <w:p w14:paraId="5FC3A461" w14:textId="77777777" w:rsidR="00385BE7" w:rsidRPr="005A1664" w:rsidRDefault="00385BE7" w:rsidP="00264685">
      <w:pPr>
        <w:pStyle w:val="Heading"/>
        <w:numPr>
          <w:ilvl w:val="0"/>
          <w:numId w:val="7"/>
        </w:numPr>
        <w:spacing w:after="240"/>
        <w:ind w:left="425" w:hanging="425"/>
        <w:outlineLvl w:val="0"/>
        <w:rPr>
          <w:rFonts w:ascii="Times New Roman" w:hAnsi="Times New Roman"/>
          <w:sz w:val="24"/>
          <w:szCs w:val="24"/>
        </w:rPr>
      </w:pPr>
      <w:r>
        <w:rPr>
          <w:rFonts w:ascii="Times New Roman" w:hAnsi="Times New Roman"/>
          <w:b w:val="0"/>
          <w:sz w:val="24"/>
          <w:szCs w:val="24"/>
        </w:rPr>
        <w:lastRenderedPageBreak/>
        <w:t>retail products offered to retail investors to have a minimum term or call period of 31 days;</w:t>
      </w:r>
    </w:p>
    <w:p w14:paraId="6F8603BD" w14:textId="77777777" w:rsidR="005A1664" w:rsidRPr="00385BE7" w:rsidRDefault="005A1664" w:rsidP="00264685">
      <w:pPr>
        <w:pStyle w:val="Heading"/>
        <w:numPr>
          <w:ilvl w:val="0"/>
          <w:numId w:val="7"/>
        </w:numPr>
        <w:spacing w:after="240"/>
        <w:ind w:left="425" w:hanging="425"/>
        <w:outlineLvl w:val="0"/>
        <w:rPr>
          <w:rFonts w:ascii="Times New Roman" w:hAnsi="Times New Roman"/>
          <w:sz w:val="24"/>
          <w:szCs w:val="24"/>
        </w:rPr>
      </w:pPr>
      <w:r>
        <w:rPr>
          <w:rFonts w:ascii="Times New Roman" w:hAnsi="Times New Roman"/>
          <w:b w:val="0"/>
          <w:sz w:val="24"/>
          <w:szCs w:val="24"/>
        </w:rPr>
        <w:t>RCDFs will be allowed to release funds early where exceptional circumstances exist that warrant the early release;</w:t>
      </w:r>
    </w:p>
    <w:p w14:paraId="034A618D" w14:textId="77777777" w:rsidR="00385BE7" w:rsidRPr="005A1664" w:rsidRDefault="00385BE7" w:rsidP="00264685">
      <w:pPr>
        <w:pStyle w:val="Heading"/>
        <w:numPr>
          <w:ilvl w:val="0"/>
          <w:numId w:val="7"/>
        </w:numPr>
        <w:spacing w:after="240"/>
        <w:ind w:left="425" w:hanging="425"/>
        <w:outlineLvl w:val="0"/>
        <w:rPr>
          <w:rFonts w:ascii="Times New Roman" w:hAnsi="Times New Roman"/>
          <w:sz w:val="24"/>
          <w:szCs w:val="24"/>
        </w:rPr>
      </w:pPr>
      <w:r>
        <w:rPr>
          <w:rFonts w:ascii="Times New Roman" w:hAnsi="Times New Roman"/>
          <w:b w:val="0"/>
          <w:sz w:val="24"/>
          <w:szCs w:val="24"/>
        </w:rPr>
        <w:t>certain transaction</w:t>
      </w:r>
      <w:r w:rsidR="00F62242">
        <w:rPr>
          <w:rFonts w:ascii="Times New Roman" w:hAnsi="Times New Roman"/>
          <w:b w:val="0"/>
          <w:sz w:val="24"/>
          <w:szCs w:val="24"/>
        </w:rPr>
        <w:t>al</w:t>
      </w:r>
      <w:r>
        <w:rPr>
          <w:rFonts w:ascii="Times New Roman" w:hAnsi="Times New Roman"/>
          <w:b w:val="0"/>
          <w:sz w:val="24"/>
          <w:szCs w:val="24"/>
        </w:rPr>
        <w:t xml:space="preserve"> banking facilities such as Electronic Funds Transfer at Point of Sale (EFTPOS)</w:t>
      </w:r>
      <w:r w:rsidR="005A1664">
        <w:rPr>
          <w:rFonts w:ascii="Times New Roman" w:hAnsi="Times New Roman"/>
          <w:b w:val="0"/>
          <w:sz w:val="24"/>
          <w:szCs w:val="24"/>
        </w:rPr>
        <w:t>,</w:t>
      </w:r>
      <w:r>
        <w:rPr>
          <w:rFonts w:ascii="Times New Roman" w:hAnsi="Times New Roman"/>
          <w:b w:val="0"/>
          <w:sz w:val="24"/>
          <w:szCs w:val="24"/>
        </w:rPr>
        <w:t xml:space="preserve"> BPAY facilities</w:t>
      </w:r>
      <w:r w:rsidR="005A1664">
        <w:rPr>
          <w:rFonts w:ascii="Times New Roman" w:hAnsi="Times New Roman"/>
          <w:b w:val="0"/>
          <w:sz w:val="24"/>
          <w:szCs w:val="24"/>
        </w:rPr>
        <w:t xml:space="preserve"> and Automatic Teller Machine (ATM) facilities</w:t>
      </w:r>
      <w:r>
        <w:rPr>
          <w:rFonts w:ascii="Times New Roman" w:hAnsi="Times New Roman"/>
          <w:b w:val="0"/>
          <w:sz w:val="24"/>
          <w:szCs w:val="24"/>
        </w:rPr>
        <w:t xml:space="preserve"> must not be offered to retail investors</w:t>
      </w:r>
      <w:r w:rsidR="005A1664">
        <w:rPr>
          <w:rFonts w:ascii="Times New Roman" w:hAnsi="Times New Roman"/>
          <w:b w:val="0"/>
          <w:sz w:val="24"/>
          <w:szCs w:val="24"/>
        </w:rPr>
        <w:t>; and</w:t>
      </w:r>
    </w:p>
    <w:p w14:paraId="578D0350" w14:textId="77777777" w:rsidR="005A1664" w:rsidRPr="002C2599" w:rsidRDefault="005A1664" w:rsidP="00264685">
      <w:pPr>
        <w:pStyle w:val="Heading"/>
        <w:numPr>
          <w:ilvl w:val="0"/>
          <w:numId w:val="7"/>
        </w:numPr>
        <w:spacing w:after="240"/>
        <w:ind w:left="425" w:hanging="425"/>
        <w:outlineLvl w:val="0"/>
        <w:rPr>
          <w:rFonts w:ascii="Times New Roman" w:hAnsi="Times New Roman"/>
          <w:sz w:val="24"/>
          <w:szCs w:val="24"/>
        </w:rPr>
      </w:pPr>
      <w:r>
        <w:rPr>
          <w:rFonts w:ascii="Times New Roman" w:hAnsi="Times New Roman"/>
          <w:b w:val="0"/>
          <w:sz w:val="24"/>
          <w:szCs w:val="24"/>
        </w:rPr>
        <w:t>restrictions on use of certain words and expressions including ‘at-call’ and ‘deposit’.</w:t>
      </w:r>
    </w:p>
    <w:p w14:paraId="6CA72300" w14:textId="5955E5C0" w:rsidR="00D2147F" w:rsidRPr="002C2599" w:rsidRDefault="00D2147F" w:rsidP="002C2599">
      <w:pPr>
        <w:pStyle w:val="Heading"/>
        <w:spacing w:after="240"/>
        <w:outlineLvl w:val="0"/>
        <w:rPr>
          <w:rFonts w:ascii="Times New Roman" w:hAnsi="Times New Roman"/>
          <w:b w:val="0"/>
          <w:sz w:val="24"/>
          <w:szCs w:val="24"/>
        </w:rPr>
      </w:pPr>
      <w:r w:rsidRPr="002C2599">
        <w:rPr>
          <w:rFonts w:ascii="Times New Roman" w:hAnsi="Times New Roman"/>
          <w:b w:val="0"/>
          <w:sz w:val="24"/>
          <w:szCs w:val="24"/>
        </w:rPr>
        <w:t xml:space="preserve">The 2016 </w:t>
      </w:r>
      <w:r>
        <w:rPr>
          <w:rFonts w:ascii="Times New Roman" w:hAnsi="Times New Roman"/>
          <w:b w:val="0"/>
          <w:sz w:val="24"/>
          <w:szCs w:val="24"/>
        </w:rPr>
        <w:t>Exemption imposed</w:t>
      </w:r>
      <w:r w:rsidR="00FE0873">
        <w:rPr>
          <w:rFonts w:ascii="Times New Roman" w:hAnsi="Times New Roman"/>
          <w:b w:val="0"/>
          <w:sz w:val="24"/>
          <w:szCs w:val="24"/>
        </w:rPr>
        <w:t xml:space="preserve"> the revised conditions on any new business of RCDFs from 1 January 2017</w:t>
      </w:r>
      <w:r w:rsidR="00C2700C">
        <w:rPr>
          <w:rFonts w:ascii="Times New Roman" w:hAnsi="Times New Roman"/>
          <w:b w:val="0"/>
          <w:sz w:val="24"/>
          <w:szCs w:val="24"/>
        </w:rPr>
        <w:t>, and on all business of RCDFs from 1 January 2018.</w:t>
      </w:r>
    </w:p>
    <w:p w14:paraId="57C4EA88" w14:textId="77777777" w:rsidR="002436BD" w:rsidRDefault="002436BD" w:rsidP="00E30177">
      <w:pPr>
        <w:pStyle w:val="Heading"/>
        <w:keepNext/>
        <w:numPr>
          <w:ilvl w:val="0"/>
          <w:numId w:val="2"/>
        </w:numPr>
        <w:spacing w:after="240"/>
        <w:outlineLvl w:val="0"/>
        <w:rPr>
          <w:rFonts w:ascii="Times New Roman" w:hAnsi="Times New Roman"/>
          <w:sz w:val="24"/>
          <w:szCs w:val="24"/>
        </w:rPr>
      </w:pPr>
      <w:r w:rsidRPr="002C6D26">
        <w:rPr>
          <w:rFonts w:ascii="Times New Roman" w:hAnsi="Times New Roman"/>
          <w:sz w:val="24"/>
          <w:szCs w:val="24"/>
        </w:rPr>
        <w:t xml:space="preserve">Purpose </w:t>
      </w:r>
      <w:r w:rsidR="00DF524E">
        <w:rPr>
          <w:rFonts w:ascii="Times New Roman" w:hAnsi="Times New Roman"/>
          <w:sz w:val="24"/>
          <w:szCs w:val="24"/>
        </w:rPr>
        <w:t xml:space="preserve">and operation </w:t>
      </w:r>
      <w:r w:rsidRPr="002C6D26">
        <w:rPr>
          <w:rFonts w:ascii="Times New Roman" w:hAnsi="Times New Roman"/>
          <w:sz w:val="24"/>
          <w:szCs w:val="24"/>
        </w:rPr>
        <w:t>of the instrument</w:t>
      </w:r>
    </w:p>
    <w:p w14:paraId="20C784B4" w14:textId="04293748" w:rsidR="003A5F27" w:rsidRPr="002C2599" w:rsidRDefault="00E30177" w:rsidP="00E30177">
      <w:pPr>
        <w:pStyle w:val="Heading"/>
        <w:spacing w:after="240"/>
        <w:rPr>
          <w:rFonts w:ascii="Times New Roman" w:hAnsi="Times New Roman"/>
          <w:b w:val="0"/>
          <w:sz w:val="24"/>
          <w:szCs w:val="24"/>
        </w:rPr>
      </w:pPr>
      <w:bookmarkStart w:id="5" w:name="bkPurpose"/>
      <w:bookmarkEnd w:id="5"/>
      <w:r>
        <w:rPr>
          <w:rFonts w:ascii="Times New Roman" w:hAnsi="Times New Roman"/>
          <w:b w:val="0"/>
          <w:sz w:val="24"/>
          <w:szCs w:val="24"/>
        </w:rPr>
        <w:t xml:space="preserve">The purpose of the </w:t>
      </w:r>
      <w:r w:rsidR="00393AE4">
        <w:rPr>
          <w:rFonts w:ascii="Times New Roman" w:hAnsi="Times New Roman"/>
          <w:b w:val="0"/>
          <w:sz w:val="24"/>
          <w:szCs w:val="24"/>
        </w:rPr>
        <w:t>instrument</w:t>
      </w:r>
      <w:r>
        <w:rPr>
          <w:rFonts w:ascii="Times New Roman" w:hAnsi="Times New Roman"/>
          <w:b w:val="0"/>
          <w:sz w:val="24"/>
          <w:szCs w:val="24"/>
        </w:rPr>
        <w:t xml:space="preserve"> is to </w:t>
      </w:r>
      <w:r w:rsidR="00F70B8B">
        <w:rPr>
          <w:rFonts w:ascii="Times New Roman" w:hAnsi="Times New Roman"/>
          <w:b w:val="0"/>
          <w:sz w:val="24"/>
          <w:szCs w:val="24"/>
        </w:rPr>
        <w:t>continue the exemptions under</w:t>
      </w:r>
      <w:r w:rsidR="00F70B8B" w:rsidRPr="00F70B8B">
        <w:rPr>
          <w:rFonts w:ascii="Times New Roman" w:hAnsi="Times New Roman"/>
          <w:sz w:val="24"/>
          <w:szCs w:val="24"/>
        </w:rPr>
        <w:t xml:space="preserve"> </w:t>
      </w:r>
      <w:r w:rsidR="00F70B8B" w:rsidRPr="00F70B8B">
        <w:rPr>
          <w:rFonts w:ascii="Times New Roman" w:hAnsi="Times New Roman"/>
          <w:b w:val="0"/>
          <w:sz w:val="24"/>
          <w:szCs w:val="24"/>
        </w:rPr>
        <w:t>subsection 11(1) of the Act</w:t>
      </w:r>
      <w:r w:rsidR="00F70B8B">
        <w:rPr>
          <w:rFonts w:ascii="Times New Roman" w:hAnsi="Times New Roman"/>
          <w:b w:val="0"/>
          <w:sz w:val="24"/>
          <w:szCs w:val="24"/>
        </w:rPr>
        <w:t xml:space="preserve"> while </w:t>
      </w:r>
      <w:r w:rsidR="00C2700C">
        <w:rPr>
          <w:rFonts w:ascii="Times New Roman" w:hAnsi="Times New Roman"/>
          <w:b w:val="0"/>
          <w:sz w:val="24"/>
          <w:szCs w:val="24"/>
        </w:rPr>
        <w:t>includ</w:t>
      </w:r>
      <w:r w:rsidR="00F70B8B">
        <w:rPr>
          <w:rFonts w:ascii="Times New Roman" w:hAnsi="Times New Roman"/>
          <w:b w:val="0"/>
          <w:sz w:val="24"/>
          <w:szCs w:val="24"/>
        </w:rPr>
        <w:t>ing</w:t>
      </w:r>
      <w:r w:rsidR="00C2700C">
        <w:rPr>
          <w:rFonts w:ascii="Times New Roman" w:hAnsi="Times New Roman"/>
          <w:b w:val="0"/>
          <w:sz w:val="24"/>
          <w:szCs w:val="24"/>
        </w:rPr>
        <w:t xml:space="preserve"> two additional RCDFs in the list of RCDFs </w:t>
      </w:r>
      <w:r w:rsidR="00A62E1D">
        <w:rPr>
          <w:rFonts w:ascii="Times New Roman" w:hAnsi="Times New Roman"/>
          <w:b w:val="0"/>
          <w:sz w:val="24"/>
          <w:szCs w:val="24"/>
        </w:rPr>
        <w:t>that are subject to exemption</w:t>
      </w:r>
      <w:r>
        <w:rPr>
          <w:rFonts w:ascii="Times New Roman" w:hAnsi="Times New Roman"/>
          <w:b w:val="0"/>
          <w:sz w:val="24"/>
          <w:szCs w:val="24"/>
        </w:rPr>
        <w:t>.</w:t>
      </w:r>
      <w:r w:rsidR="00264685" w:rsidRPr="00264685">
        <w:rPr>
          <w:rFonts w:ascii="Times New Roman" w:hAnsi="Times New Roman"/>
          <w:sz w:val="24"/>
          <w:szCs w:val="24"/>
        </w:rPr>
        <w:t xml:space="preserve"> </w:t>
      </w:r>
      <w:r w:rsidR="00A62E1D" w:rsidRPr="002C2599">
        <w:rPr>
          <w:rFonts w:ascii="Times New Roman" w:hAnsi="Times New Roman"/>
          <w:b w:val="0"/>
          <w:sz w:val="24"/>
          <w:szCs w:val="24"/>
        </w:rPr>
        <w:t xml:space="preserve">These new RCDFs have been created by the controlling entities of </w:t>
      </w:r>
      <w:r w:rsidR="005447E9">
        <w:rPr>
          <w:rFonts w:ascii="Times New Roman" w:hAnsi="Times New Roman"/>
          <w:b w:val="0"/>
          <w:sz w:val="24"/>
          <w:szCs w:val="24"/>
        </w:rPr>
        <w:t xml:space="preserve">two </w:t>
      </w:r>
      <w:r w:rsidR="00A62E1D" w:rsidRPr="002C2599">
        <w:rPr>
          <w:rFonts w:ascii="Times New Roman" w:hAnsi="Times New Roman"/>
          <w:b w:val="0"/>
          <w:sz w:val="24"/>
          <w:szCs w:val="24"/>
        </w:rPr>
        <w:t>RCDFs</w:t>
      </w:r>
      <w:r w:rsidR="00A62E1D">
        <w:rPr>
          <w:rFonts w:ascii="Times New Roman" w:hAnsi="Times New Roman"/>
          <w:b w:val="0"/>
          <w:sz w:val="24"/>
          <w:szCs w:val="24"/>
        </w:rPr>
        <w:t xml:space="preserve"> that are currently operating under</w:t>
      </w:r>
      <w:r w:rsidR="005447E9">
        <w:rPr>
          <w:rFonts w:ascii="Times New Roman" w:hAnsi="Times New Roman"/>
          <w:b w:val="0"/>
          <w:sz w:val="24"/>
          <w:szCs w:val="24"/>
        </w:rPr>
        <w:t xml:space="preserve"> the 2016 Exemption and which wish to keep separate “retail” business (conducted with persons that are not a</w:t>
      </w:r>
      <w:r w:rsidR="00A631ED">
        <w:rPr>
          <w:rFonts w:ascii="Times New Roman" w:hAnsi="Times New Roman"/>
          <w:b w:val="0"/>
          <w:sz w:val="24"/>
          <w:szCs w:val="24"/>
        </w:rPr>
        <w:t>ffil</w:t>
      </w:r>
      <w:r w:rsidR="005447E9">
        <w:rPr>
          <w:rFonts w:ascii="Times New Roman" w:hAnsi="Times New Roman"/>
          <w:b w:val="0"/>
          <w:sz w:val="24"/>
          <w:szCs w:val="24"/>
        </w:rPr>
        <w:t xml:space="preserve">iates of the RCDF) in response to changes to the rules regarding Australian Financial Service Licences that will take effect on 1 January 2018. </w:t>
      </w:r>
    </w:p>
    <w:p w14:paraId="3866456A" w14:textId="2A43EFC0" w:rsidR="00E154A3" w:rsidRDefault="00264685" w:rsidP="00E30177">
      <w:pPr>
        <w:pStyle w:val="Heading"/>
        <w:spacing w:after="240"/>
        <w:rPr>
          <w:rFonts w:ascii="Times New Roman" w:hAnsi="Times New Roman"/>
          <w:b w:val="0"/>
          <w:sz w:val="24"/>
          <w:szCs w:val="24"/>
        </w:rPr>
      </w:pPr>
      <w:r w:rsidRPr="00264685">
        <w:rPr>
          <w:rFonts w:ascii="Times New Roman" w:hAnsi="Times New Roman"/>
          <w:b w:val="0"/>
          <w:sz w:val="24"/>
          <w:szCs w:val="24"/>
        </w:rPr>
        <w:t>Minor</w:t>
      </w:r>
      <w:r>
        <w:rPr>
          <w:rFonts w:ascii="Times New Roman" w:hAnsi="Times New Roman"/>
          <w:b w:val="0"/>
          <w:sz w:val="24"/>
          <w:szCs w:val="24"/>
        </w:rPr>
        <w:t xml:space="preserve"> amendments have </w:t>
      </w:r>
      <w:r w:rsidR="00A264A9">
        <w:rPr>
          <w:rFonts w:ascii="Times New Roman" w:hAnsi="Times New Roman"/>
          <w:b w:val="0"/>
          <w:sz w:val="24"/>
          <w:szCs w:val="24"/>
        </w:rPr>
        <w:t xml:space="preserve">also </w:t>
      </w:r>
      <w:r>
        <w:rPr>
          <w:rFonts w:ascii="Times New Roman" w:hAnsi="Times New Roman"/>
          <w:b w:val="0"/>
          <w:sz w:val="24"/>
          <w:szCs w:val="24"/>
        </w:rPr>
        <w:t xml:space="preserve">been made </w:t>
      </w:r>
      <w:r w:rsidR="00F70B8B">
        <w:rPr>
          <w:rFonts w:ascii="Times New Roman" w:hAnsi="Times New Roman"/>
          <w:b w:val="0"/>
          <w:sz w:val="24"/>
          <w:szCs w:val="24"/>
        </w:rPr>
        <w:t>relative to the 2016 Exemption</w:t>
      </w:r>
      <w:r w:rsidR="003A5F27">
        <w:rPr>
          <w:rFonts w:ascii="Times New Roman" w:hAnsi="Times New Roman"/>
          <w:b w:val="0"/>
          <w:sz w:val="24"/>
          <w:szCs w:val="24"/>
        </w:rPr>
        <w:t xml:space="preserve"> to:</w:t>
      </w:r>
    </w:p>
    <w:p w14:paraId="4001F8BF" w14:textId="4518B518" w:rsidR="003A5F27" w:rsidRDefault="003A5F27" w:rsidP="003A5F27">
      <w:pPr>
        <w:pStyle w:val="Heading"/>
        <w:numPr>
          <w:ilvl w:val="1"/>
          <w:numId w:val="33"/>
        </w:numPr>
        <w:spacing w:after="240"/>
        <w:ind w:left="425" w:hanging="425"/>
        <w:rPr>
          <w:rFonts w:ascii="Times New Roman" w:hAnsi="Times New Roman"/>
          <w:b w:val="0"/>
          <w:sz w:val="24"/>
          <w:szCs w:val="24"/>
        </w:rPr>
      </w:pPr>
      <w:r>
        <w:rPr>
          <w:rFonts w:ascii="Times New Roman" w:hAnsi="Times New Roman"/>
          <w:b w:val="0"/>
          <w:sz w:val="24"/>
          <w:szCs w:val="24"/>
        </w:rPr>
        <w:t xml:space="preserve">include the words ‘in relation to the activities of the funds’ in paragraphs 1 and 2 of Schedule 1 in order to make it clear that the scope of the controlling entity’s exemption is limited to the activities of the fund listed in Schedule 1; </w:t>
      </w:r>
    </w:p>
    <w:p w14:paraId="1D5BEC0B" w14:textId="7D2D90AA" w:rsidR="00C75BCA" w:rsidRDefault="003A5F27" w:rsidP="003A5F27">
      <w:pPr>
        <w:pStyle w:val="Heading"/>
        <w:numPr>
          <w:ilvl w:val="1"/>
          <w:numId w:val="33"/>
        </w:numPr>
        <w:spacing w:after="240"/>
        <w:ind w:left="425" w:hanging="425"/>
        <w:rPr>
          <w:rFonts w:ascii="Times New Roman" w:hAnsi="Times New Roman"/>
          <w:b w:val="0"/>
          <w:sz w:val="24"/>
          <w:szCs w:val="24"/>
        </w:rPr>
      </w:pPr>
      <w:r>
        <w:rPr>
          <w:rFonts w:ascii="Times New Roman" w:hAnsi="Times New Roman"/>
          <w:b w:val="0"/>
          <w:sz w:val="24"/>
          <w:szCs w:val="24"/>
        </w:rPr>
        <w:t xml:space="preserve">remove certain transitional provisions </w:t>
      </w:r>
      <w:r w:rsidR="00A264A9">
        <w:rPr>
          <w:rFonts w:ascii="Times New Roman" w:hAnsi="Times New Roman"/>
          <w:b w:val="0"/>
          <w:sz w:val="24"/>
          <w:szCs w:val="24"/>
        </w:rPr>
        <w:t xml:space="preserve">that </w:t>
      </w:r>
      <w:r w:rsidR="00B62445">
        <w:rPr>
          <w:rFonts w:ascii="Times New Roman" w:hAnsi="Times New Roman"/>
          <w:b w:val="0"/>
          <w:sz w:val="24"/>
          <w:szCs w:val="24"/>
        </w:rPr>
        <w:t>a</w:t>
      </w:r>
      <w:r w:rsidR="00A264A9">
        <w:rPr>
          <w:rFonts w:ascii="Times New Roman" w:hAnsi="Times New Roman"/>
          <w:b w:val="0"/>
          <w:sz w:val="24"/>
          <w:szCs w:val="24"/>
        </w:rPr>
        <w:t>re present in</w:t>
      </w:r>
      <w:r>
        <w:rPr>
          <w:rFonts w:ascii="Times New Roman" w:hAnsi="Times New Roman"/>
          <w:b w:val="0"/>
          <w:sz w:val="24"/>
          <w:szCs w:val="24"/>
        </w:rPr>
        <w:t xml:space="preserve"> Schedule 2</w:t>
      </w:r>
      <w:r w:rsidR="00B62445">
        <w:rPr>
          <w:rFonts w:ascii="Times New Roman" w:hAnsi="Times New Roman"/>
          <w:b w:val="0"/>
          <w:sz w:val="24"/>
          <w:szCs w:val="24"/>
        </w:rPr>
        <w:t xml:space="preserve"> to the 2016 Exemption</w:t>
      </w:r>
      <w:r>
        <w:rPr>
          <w:rFonts w:ascii="Times New Roman" w:hAnsi="Times New Roman"/>
          <w:b w:val="0"/>
          <w:sz w:val="24"/>
          <w:szCs w:val="24"/>
        </w:rPr>
        <w:t xml:space="preserve">, as they </w:t>
      </w:r>
      <w:r w:rsidR="00FE545B">
        <w:rPr>
          <w:rFonts w:ascii="Times New Roman" w:hAnsi="Times New Roman"/>
          <w:b w:val="0"/>
          <w:sz w:val="24"/>
          <w:szCs w:val="24"/>
        </w:rPr>
        <w:t>will</w:t>
      </w:r>
      <w:r>
        <w:rPr>
          <w:rFonts w:ascii="Times New Roman" w:hAnsi="Times New Roman"/>
          <w:b w:val="0"/>
          <w:sz w:val="24"/>
          <w:szCs w:val="24"/>
        </w:rPr>
        <w:t xml:space="preserve"> no longer </w:t>
      </w:r>
      <w:r w:rsidR="00FE545B">
        <w:rPr>
          <w:rFonts w:ascii="Times New Roman" w:hAnsi="Times New Roman"/>
          <w:b w:val="0"/>
          <w:sz w:val="24"/>
          <w:szCs w:val="24"/>
        </w:rPr>
        <w:t>be required when this instrument commences on 1 January 2018</w:t>
      </w:r>
      <w:r w:rsidR="00C75BCA">
        <w:rPr>
          <w:rFonts w:ascii="Times New Roman" w:hAnsi="Times New Roman"/>
          <w:b w:val="0"/>
          <w:sz w:val="24"/>
          <w:szCs w:val="24"/>
        </w:rPr>
        <w:t>;</w:t>
      </w:r>
      <w:r w:rsidR="002F489E">
        <w:rPr>
          <w:rFonts w:ascii="Times New Roman" w:hAnsi="Times New Roman"/>
          <w:b w:val="0"/>
          <w:sz w:val="24"/>
          <w:szCs w:val="24"/>
        </w:rPr>
        <w:t xml:space="preserve"> and</w:t>
      </w:r>
    </w:p>
    <w:p w14:paraId="06B04FB5" w14:textId="0AC76DA7" w:rsidR="003A5F27" w:rsidRPr="003A5F27" w:rsidRDefault="00C75BCA" w:rsidP="003A5F27">
      <w:pPr>
        <w:pStyle w:val="Heading"/>
        <w:numPr>
          <w:ilvl w:val="1"/>
          <w:numId w:val="33"/>
        </w:numPr>
        <w:spacing w:after="240"/>
        <w:ind w:left="425" w:hanging="425"/>
        <w:rPr>
          <w:rFonts w:ascii="Times New Roman" w:hAnsi="Times New Roman"/>
          <w:b w:val="0"/>
          <w:sz w:val="24"/>
          <w:szCs w:val="24"/>
        </w:rPr>
      </w:pPr>
      <w:r>
        <w:rPr>
          <w:rFonts w:ascii="Times New Roman" w:hAnsi="Times New Roman"/>
          <w:b w:val="0"/>
          <w:sz w:val="24"/>
          <w:szCs w:val="24"/>
        </w:rPr>
        <w:t>revoke B</w:t>
      </w:r>
      <w:r w:rsidRPr="00C75BCA">
        <w:rPr>
          <w:rFonts w:ascii="Times New Roman" w:hAnsi="Times New Roman"/>
          <w:b w:val="0"/>
          <w:sz w:val="24"/>
          <w:szCs w:val="24"/>
          <w:lang w:val="en-US"/>
        </w:rPr>
        <w:t>anking exemption No. 4 of 2014 made on 1 December 2014</w:t>
      </w:r>
      <w:r>
        <w:rPr>
          <w:rFonts w:ascii="Times New Roman" w:hAnsi="Times New Roman"/>
          <w:b w:val="0"/>
          <w:sz w:val="24"/>
          <w:szCs w:val="24"/>
          <w:lang w:val="en-US"/>
        </w:rPr>
        <w:t xml:space="preserve"> and</w:t>
      </w:r>
      <w:r w:rsidRPr="00C75BCA">
        <w:rPr>
          <w:rFonts w:ascii="Times New Roman" w:hAnsi="Times New Roman"/>
          <w:b w:val="0"/>
          <w:sz w:val="24"/>
          <w:szCs w:val="24"/>
          <w:lang w:val="en-US"/>
        </w:rPr>
        <w:t xml:space="preserve"> Banking exemption No. 2 of 2015 made on 12 November 2015</w:t>
      </w:r>
      <w:r w:rsidR="003A5F27">
        <w:rPr>
          <w:rFonts w:ascii="Times New Roman" w:hAnsi="Times New Roman"/>
          <w:b w:val="0"/>
          <w:sz w:val="24"/>
          <w:szCs w:val="24"/>
        </w:rPr>
        <w:t xml:space="preserve">. </w:t>
      </w:r>
      <w:r>
        <w:rPr>
          <w:rFonts w:ascii="Times New Roman" w:hAnsi="Times New Roman"/>
          <w:b w:val="0"/>
          <w:sz w:val="24"/>
          <w:szCs w:val="24"/>
        </w:rPr>
        <w:t>These two instruments had limitations as to the time in which they were to operate, which has now passed. As the instruments are redundant, they have been revoked.</w:t>
      </w:r>
    </w:p>
    <w:p w14:paraId="4681BD76" w14:textId="77777777" w:rsidR="002436BD" w:rsidRDefault="002436BD" w:rsidP="00D85E77">
      <w:pPr>
        <w:pStyle w:val="Heading"/>
        <w:numPr>
          <w:ilvl w:val="0"/>
          <w:numId w:val="2"/>
        </w:numPr>
        <w:spacing w:after="240"/>
        <w:rPr>
          <w:rFonts w:ascii="Times New Roman" w:hAnsi="Times New Roman"/>
          <w:sz w:val="24"/>
          <w:szCs w:val="24"/>
        </w:rPr>
      </w:pPr>
      <w:bookmarkStart w:id="6" w:name="bkoperation"/>
      <w:bookmarkStart w:id="7" w:name="bkConsultationNo"/>
      <w:bookmarkEnd w:id="6"/>
      <w:bookmarkEnd w:id="7"/>
      <w:r w:rsidRPr="002C6D26">
        <w:rPr>
          <w:rFonts w:ascii="Times New Roman" w:hAnsi="Times New Roman"/>
          <w:sz w:val="24"/>
          <w:szCs w:val="24"/>
        </w:rPr>
        <w:lastRenderedPageBreak/>
        <w:t>Consultation</w:t>
      </w:r>
    </w:p>
    <w:p w14:paraId="7A4E3C6B" w14:textId="313AA0C7" w:rsidR="003E32EC" w:rsidRPr="00D8647B" w:rsidRDefault="00B62445" w:rsidP="000C481C">
      <w:pPr>
        <w:spacing w:after="240"/>
        <w:jc w:val="both"/>
        <w:rPr>
          <w:b/>
        </w:rPr>
      </w:pPr>
      <w:r>
        <w:rPr>
          <w:rFonts w:ascii="Times New Roman" w:hAnsi="Times New Roman"/>
          <w:sz w:val="24"/>
          <w:szCs w:val="24"/>
        </w:rPr>
        <w:t xml:space="preserve">APRA consulted directly with each of the controlling entities of the RCDFs that are being added to the list of RCDFs. </w:t>
      </w:r>
      <w:r w:rsidR="000C481C">
        <w:rPr>
          <w:rFonts w:ascii="Times New Roman" w:hAnsi="Times New Roman"/>
          <w:sz w:val="24"/>
          <w:szCs w:val="24"/>
        </w:rPr>
        <w:t xml:space="preserve">APRA </w:t>
      </w:r>
      <w:r w:rsidR="00420509">
        <w:rPr>
          <w:rFonts w:ascii="Times New Roman" w:hAnsi="Times New Roman"/>
          <w:sz w:val="24"/>
          <w:szCs w:val="24"/>
        </w:rPr>
        <w:t>did not consult</w:t>
      </w:r>
      <w:r w:rsidR="000C481C">
        <w:rPr>
          <w:rFonts w:ascii="Times New Roman" w:hAnsi="Times New Roman"/>
          <w:sz w:val="24"/>
          <w:szCs w:val="24"/>
        </w:rPr>
        <w:t xml:space="preserve"> </w:t>
      </w:r>
      <w:r>
        <w:rPr>
          <w:rFonts w:ascii="Times New Roman" w:hAnsi="Times New Roman"/>
          <w:sz w:val="24"/>
          <w:szCs w:val="24"/>
        </w:rPr>
        <w:t xml:space="preserve">in relation to the </w:t>
      </w:r>
      <w:r w:rsidR="00F70B8B">
        <w:rPr>
          <w:rFonts w:ascii="Times New Roman" w:hAnsi="Times New Roman"/>
          <w:sz w:val="24"/>
          <w:szCs w:val="24"/>
        </w:rPr>
        <w:t>minor amendments</w:t>
      </w:r>
      <w:r w:rsidR="000C481C">
        <w:rPr>
          <w:rFonts w:ascii="Times New Roman" w:hAnsi="Times New Roman"/>
          <w:sz w:val="24"/>
          <w:szCs w:val="24"/>
        </w:rPr>
        <w:t xml:space="preserve"> as the changes are minor and machinery. </w:t>
      </w:r>
    </w:p>
    <w:p w14:paraId="504C5B6D" w14:textId="77777777" w:rsidR="002436BD" w:rsidRDefault="00DF524E" w:rsidP="00D85E77">
      <w:pPr>
        <w:pStyle w:val="Heading"/>
        <w:tabs>
          <w:tab w:val="left" w:pos="360"/>
        </w:tabs>
        <w:spacing w:after="240"/>
        <w:rPr>
          <w:rFonts w:ascii="Times New Roman" w:hAnsi="Times New Roman"/>
          <w:sz w:val="24"/>
          <w:szCs w:val="24"/>
        </w:rPr>
      </w:pPr>
      <w:bookmarkStart w:id="8" w:name="bkConsultation"/>
      <w:bookmarkStart w:id="9" w:name="bkRISNO"/>
      <w:bookmarkStart w:id="10" w:name="bkRIS"/>
      <w:bookmarkEnd w:id="8"/>
      <w:bookmarkEnd w:id="9"/>
      <w:r>
        <w:rPr>
          <w:rFonts w:ascii="Times New Roman" w:hAnsi="Times New Roman"/>
          <w:sz w:val="24"/>
          <w:szCs w:val="24"/>
        </w:rPr>
        <w:t>4</w:t>
      </w:r>
      <w:r w:rsidR="002436BD" w:rsidRPr="002C6D26">
        <w:rPr>
          <w:rFonts w:ascii="Times New Roman" w:hAnsi="Times New Roman"/>
          <w:sz w:val="24"/>
          <w:szCs w:val="24"/>
        </w:rPr>
        <w:t xml:space="preserve">. </w:t>
      </w:r>
      <w:r w:rsidR="002436BD" w:rsidRPr="002C6D26">
        <w:rPr>
          <w:rFonts w:ascii="Times New Roman" w:hAnsi="Times New Roman"/>
          <w:sz w:val="24"/>
          <w:szCs w:val="24"/>
        </w:rPr>
        <w:tab/>
        <w:t>R</w:t>
      </w:r>
      <w:r w:rsidR="002436BD">
        <w:rPr>
          <w:rFonts w:ascii="Times New Roman" w:hAnsi="Times New Roman"/>
          <w:sz w:val="24"/>
          <w:szCs w:val="24"/>
        </w:rPr>
        <w:t xml:space="preserve">egulation </w:t>
      </w:r>
      <w:r w:rsidR="002436BD" w:rsidRPr="002C6D26">
        <w:rPr>
          <w:rFonts w:ascii="Times New Roman" w:hAnsi="Times New Roman"/>
          <w:sz w:val="24"/>
          <w:szCs w:val="24"/>
        </w:rPr>
        <w:t>I</w:t>
      </w:r>
      <w:r w:rsidR="002436BD">
        <w:rPr>
          <w:rFonts w:ascii="Times New Roman" w:hAnsi="Times New Roman"/>
          <w:sz w:val="24"/>
          <w:szCs w:val="24"/>
        </w:rPr>
        <w:t xml:space="preserve">mpact </w:t>
      </w:r>
      <w:r w:rsidR="002436BD" w:rsidRPr="002C6D26">
        <w:rPr>
          <w:rFonts w:ascii="Times New Roman" w:hAnsi="Times New Roman"/>
          <w:sz w:val="24"/>
          <w:szCs w:val="24"/>
        </w:rPr>
        <w:t>S</w:t>
      </w:r>
      <w:r w:rsidR="002436BD">
        <w:rPr>
          <w:rFonts w:ascii="Times New Roman" w:hAnsi="Times New Roman"/>
          <w:sz w:val="24"/>
          <w:szCs w:val="24"/>
        </w:rPr>
        <w:t>tatement</w:t>
      </w:r>
    </w:p>
    <w:bookmarkEnd w:id="10"/>
    <w:p w14:paraId="1C5C4901" w14:textId="067E7513" w:rsidR="00D3484E" w:rsidRDefault="00D3484E" w:rsidP="00D85E77">
      <w:pPr>
        <w:pStyle w:val="Heading"/>
        <w:spacing w:after="240"/>
        <w:rPr>
          <w:rFonts w:ascii="Times New Roman" w:hAnsi="Times New Roman"/>
          <w:b w:val="0"/>
          <w:sz w:val="24"/>
          <w:szCs w:val="24"/>
        </w:rPr>
      </w:pPr>
      <w:r w:rsidRPr="00D3484E">
        <w:rPr>
          <w:rFonts w:ascii="Times New Roman" w:hAnsi="Times New Roman"/>
          <w:b w:val="0"/>
          <w:sz w:val="24"/>
          <w:szCs w:val="24"/>
        </w:rPr>
        <w:t xml:space="preserve">The Office of Best Practice Regulation </w:t>
      </w:r>
      <w:r>
        <w:rPr>
          <w:rFonts w:ascii="Times New Roman" w:hAnsi="Times New Roman"/>
          <w:b w:val="0"/>
          <w:sz w:val="24"/>
          <w:szCs w:val="24"/>
        </w:rPr>
        <w:t>h</w:t>
      </w:r>
      <w:r w:rsidRPr="00D3484E">
        <w:rPr>
          <w:rFonts w:ascii="Times New Roman" w:hAnsi="Times New Roman"/>
          <w:b w:val="0"/>
          <w:sz w:val="24"/>
          <w:szCs w:val="24"/>
        </w:rPr>
        <w:t xml:space="preserve">as advised that a Regulation Impact Statement </w:t>
      </w:r>
      <w:r>
        <w:rPr>
          <w:rFonts w:ascii="Times New Roman" w:hAnsi="Times New Roman"/>
          <w:b w:val="0"/>
          <w:sz w:val="24"/>
          <w:szCs w:val="24"/>
        </w:rPr>
        <w:t xml:space="preserve">is </w:t>
      </w:r>
      <w:r w:rsidR="000C481C">
        <w:rPr>
          <w:rFonts w:ascii="Times New Roman" w:hAnsi="Times New Roman"/>
          <w:b w:val="0"/>
          <w:sz w:val="24"/>
          <w:szCs w:val="24"/>
        </w:rPr>
        <w:t xml:space="preserve">not </w:t>
      </w:r>
      <w:r>
        <w:rPr>
          <w:rFonts w:ascii="Times New Roman" w:hAnsi="Times New Roman"/>
          <w:b w:val="0"/>
          <w:sz w:val="24"/>
          <w:szCs w:val="24"/>
        </w:rPr>
        <w:t>required for this legislative instrument</w:t>
      </w:r>
      <w:r w:rsidRPr="00D3484E">
        <w:rPr>
          <w:rFonts w:ascii="Times New Roman" w:hAnsi="Times New Roman"/>
          <w:b w:val="0"/>
          <w:sz w:val="24"/>
          <w:szCs w:val="24"/>
        </w:rPr>
        <w:t>.</w:t>
      </w:r>
    </w:p>
    <w:p w14:paraId="1B696E20" w14:textId="77777777" w:rsidR="002436BD" w:rsidRPr="00B3165F" w:rsidRDefault="00DF524E" w:rsidP="00D85E77">
      <w:pPr>
        <w:pStyle w:val="Heading"/>
        <w:tabs>
          <w:tab w:val="left" w:pos="360"/>
        </w:tabs>
        <w:spacing w:after="240"/>
        <w:rPr>
          <w:rFonts w:ascii="Times New Roman" w:hAnsi="Times New Roman"/>
          <w:sz w:val="24"/>
          <w:szCs w:val="24"/>
        </w:rPr>
      </w:pPr>
      <w:r>
        <w:rPr>
          <w:rFonts w:ascii="Times New Roman" w:hAnsi="Times New Roman"/>
          <w:sz w:val="24"/>
          <w:szCs w:val="24"/>
        </w:rPr>
        <w:t>5</w:t>
      </w:r>
      <w:r w:rsidR="002436BD" w:rsidRPr="00B3165F">
        <w:rPr>
          <w:rFonts w:ascii="Times New Roman" w:hAnsi="Times New Roman"/>
          <w:sz w:val="24"/>
          <w:szCs w:val="24"/>
        </w:rPr>
        <w:t>.</w:t>
      </w:r>
      <w:r w:rsidR="002436BD" w:rsidRPr="00B3165F">
        <w:rPr>
          <w:rFonts w:ascii="Times New Roman" w:hAnsi="Times New Roman"/>
          <w:sz w:val="24"/>
          <w:szCs w:val="24"/>
        </w:rPr>
        <w:tab/>
        <w:t xml:space="preserve">Statement of compatibility prepared in accordance with Part 3 of the </w:t>
      </w:r>
      <w:r w:rsidR="002436BD" w:rsidRPr="0051446B">
        <w:rPr>
          <w:rFonts w:ascii="Times New Roman" w:hAnsi="Times New Roman"/>
          <w:i/>
          <w:sz w:val="24"/>
          <w:szCs w:val="24"/>
        </w:rPr>
        <w:t>Human Rights (Parliamentary Scrutiny) Act 2011</w:t>
      </w:r>
    </w:p>
    <w:p w14:paraId="36B29565" w14:textId="77777777" w:rsidR="00FB7E76" w:rsidRDefault="0030506B" w:rsidP="00D85E77">
      <w:pPr>
        <w:pStyle w:val="Heading"/>
        <w:spacing w:after="240"/>
        <w:rPr>
          <w:rFonts w:ascii="Times New Roman" w:hAnsi="Times New Roman"/>
          <w:b w:val="0"/>
          <w:sz w:val="24"/>
          <w:szCs w:val="24"/>
        </w:rPr>
        <w:sectPr w:rsidR="00FB7E76" w:rsidSect="003D5032">
          <w:footerReference w:type="default" r:id="rId13"/>
          <w:pgSz w:w="11906" w:h="16838" w:code="9"/>
          <w:pgMar w:top="1440" w:right="1800" w:bottom="1440" w:left="1800" w:header="709" w:footer="709" w:gutter="0"/>
          <w:cols w:space="708"/>
          <w:docGrid w:linePitch="360"/>
        </w:sectPr>
      </w:pPr>
      <w:r w:rsidRPr="0030506B">
        <w:rPr>
          <w:rFonts w:ascii="Times New Roman" w:hAnsi="Times New Roman"/>
          <w:b w:val="0"/>
          <w:sz w:val="24"/>
          <w:szCs w:val="24"/>
        </w:rPr>
        <w:t xml:space="preserve">A Statement of compatibility prepared in accordance with Part 3 of the </w:t>
      </w:r>
      <w:r w:rsidRPr="0030506B">
        <w:rPr>
          <w:rFonts w:ascii="Times New Roman" w:hAnsi="Times New Roman"/>
          <w:b w:val="0"/>
          <w:i/>
          <w:sz w:val="24"/>
          <w:szCs w:val="24"/>
        </w:rPr>
        <w:t>Human Rights (Parliamentary Scrutiny) Act 2011</w:t>
      </w:r>
      <w:r w:rsidRPr="0030506B">
        <w:rPr>
          <w:rFonts w:ascii="Times New Roman" w:hAnsi="Times New Roman"/>
          <w:b w:val="0"/>
          <w:sz w:val="24"/>
          <w:szCs w:val="24"/>
        </w:rPr>
        <w:t xml:space="preserve"> is provided at Attachment A to this Explanatory Statement.</w:t>
      </w:r>
    </w:p>
    <w:p w14:paraId="7C1A2060" w14:textId="77777777" w:rsidR="00FB7E76" w:rsidRPr="00D8647B" w:rsidRDefault="006E53C0">
      <w:pPr>
        <w:rPr>
          <w:rFonts w:ascii="Times New Roman" w:hAnsi="Times New Roman"/>
          <w:b/>
          <w:sz w:val="24"/>
          <w:szCs w:val="24"/>
        </w:rPr>
      </w:pPr>
      <w:r w:rsidRPr="00D8647B">
        <w:rPr>
          <w:rFonts w:ascii="Times New Roman" w:hAnsi="Times New Roman"/>
          <w:b/>
          <w:sz w:val="24"/>
          <w:szCs w:val="24"/>
        </w:rPr>
        <w:lastRenderedPageBreak/>
        <w:t xml:space="preserve">Attachment A </w:t>
      </w:r>
    </w:p>
    <w:p w14:paraId="1158F72B" w14:textId="77777777" w:rsidR="006E53C0" w:rsidRDefault="006E53C0" w:rsidP="00FB7E76">
      <w:pPr>
        <w:autoSpaceDE w:val="0"/>
        <w:autoSpaceDN w:val="0"/>
        <w:adjustRightInd w:val="0"/>
        <w:jc w:val="center"/>
        <w:rPr>
          <w:rFonts w:ascii="Times New Roman" w:hAnsi="Times New Roman"/>
          <w:b/>
          <w:sz w:val="24"/>
        </w:rPr>
      </w:pPr>
    </w:p>
    <w:p w14:paraId="1D0EDC81" w14:textId="77777777" w:rsidR="006E53C0" w:rsidRDefault="006E53C0" w:rsidP="00FB7E76">
      <w:pPr>
        <w:autoSpaceDE w:val="0"/>
        <w:autoSpaceDN w:val="0"/>
        <w:adjustRightInd w:val="0"/>
        <w:jc w:val="center"/>
        <w:rPr>
          <w:rFonts w:ascii="Times New Roman" w:hAnsi="Times New Roman"/>
          <w:b/>
          <w:sz w:val="24"/>
        </w:rPr>
      </w:pPr>
    </w:p>
    <w:p w14:paraId="5E2DF6F6" w14:textId="77777777" w:rsidR="00FB7E76" w:rsidRPr="00DA192B" w:rsidRDefault="00FB7E76" w:rsidP="00FB7E76">
      <w:pPr>
        <w:autoSpaceDE w:val="0"/>
        <w:autoSpaceDN w:val="0"/>
        <w:adjustRightInd w:val="0"/>
        <w:jc w:val="center"/>
        <w:rPr>
          <w:rFonts w:ascii="Times New Roman" w:hAnsi="Times New Roman"/>
          <w:b/>
          <w:sz w:val="24"/>
        </w:rPr>
      </w:pPr>
      <w:r w:rsidRPr="00DA192B">
        <w:rPr>
          <w:rFonts w:ascii="Times New Roman" w:hAnsi="Times New Roman"/>
          <w:b/>
          <w:sz w:val="24"/>
        </w:rPr>
        <w:t>Statement of Compatibility with Human Rights</w:t>
      </w:r>
    </w:p>
    <w:p w14:paraId="24681AC1" w14:textId="77777777" w:rsidR="00FB7E76" w:rsidRPr="00DA192B" w:rsidRDefault="00FB7E76" w:rsidP="00FB7E76">
      <w:pPr>
        <w:autoSpaceDE w:val="0"/>
        <w:autoSpaceDN w:val="0"/>
        <w:adjustRightInd w:val="0"/>
        <w:jc w:val="center"/>
        <w:rPr>
          <w:rFonts w:ascii="Times New Roman" w:hAnsi="Times New Roman"/>
          <w:b/>
          <w:sz w:val="24"/>
        </w:rPr>
      </w:pPr>
    </w:p>
    <w:p w14:paraId="7F1AF065" w14:textId="7B444CD1" w:rsidR="00FB7E76" w:rsidRPr="000C481C" w:rsidRDefault="00FB7E76" w:rsidP="00D74607">
      <w:pPr>
        <w:autoSpaceDE w:val="0"/>
        <w:autoSpaceDN w:val="0"/>
        <w:adjustRightInd w:val="0"/>
        <w:spacing w:after="240"/>
        <w:jc w:val="both"/>
        <w:rPr>
          <w:rFonts w:ascii="Times New Roman" w:hAnsi="Times New Roman"/>
          <w:i/>
          <w:sz w:val="24"/>
        </w:rPr>
      </w:pPr>
      <w:r w:rsidRPr="00DA192B">
        <w:rPr>
          <w:rFonts w:ascii="Times New Roman" w:hAnsi="Times New Roman"/>
          <w:i/>
          <w:sz w:val="24"/>
        </w:rPr>
        <w:t>Prepared in accordance with Part 3 of the Human Rights (Parliamentary Scrutiny) Act 2011</w:t>
      </w:r>
    </w:p>
    <w:p w14:paraId="47853CA4" w14:textId="58BCCE3A" w:rsidR="00FB7E76" w:rsidRPr="00DA192B" w:rsidRDefault="00FB7E76" w:rsidP="000C481C">
      <w:pPr>
        <w:pStyle w:val="Title"/>
        <w:spacing w:after="240"/>
      </w:pPr>
      <w:r w:rsidRPr="0074713C">
        <w:t xml:space="preserve">Banking exemption No. </w:t>
      </w:r>
      <w:r w:rsidR="001B7DF3">
        <w:t>1</w:t>
      </w:r>
      <w:r w:rsidR="009978B5" w:rsidRPr="0074713C">
        <w:t xml:space="preserve"> </w:t>
      </w:r>
      <w:r w:rsidRPr="0074713C">
        <w:t xml:space="preserve">of </w:t>
      </w:r>
      <w:r w:rsidR="00DE48E2" w:rsidRPr="0074713C">
        <w:t>201</w:t>
      </w:r>
      <w:r w:rsidR="00DE48E2">
        <w:t>7</w:t>
      </w:r>
    </w:p>
    <w:p w14:paraId="4DE599E3" w14:textId="77777777" w:rsidR="00FB7E76" w:rsidRPr="00DA192B" w:rsidRDefault="00FB7E76" w:rsidP="000C481C">
      <w:pPr>
        <w:pStyle w:val="BodyText"/>
        <w:jc w:val="both"/>
        <w:rPr>
          <w:i/>
          <w:szCs w:val="24"/>
        </w:rPr>
      </w:pPr>
      <w:r w:rsidRPr="00DA192B">
        <w:rPr>
          <w:szCs w:val="24"/>
        </w:rPr>
        <w:t xml:space="preserve">This Legislative Instrument is compatible with the human rights and freedoms recognised or declared in the international instruments listed in section 3 of the </w:t>
      </w:r>
      <w:r w:rsidRPr="00DA192B">
        <w:rPr>
          <w:i/>
          <w:szCs w:val="24"/>
        </w:rPr>
        <w:t>Human Rights (Parliamentary Scrutiny) Act 2011.</w:t>
      </w:r>
    </w:p>
    <w:p w14:paraId="45A5E278" w14:textId="77777777" w:rsidR="00FB7E76" w:rsidRDefault="00FB7E76" w:rsidP="000C481C">
      <w:pPr>
        <w:pStyle w:val="BodyText"/>
        <w:jc w:val="both"/>
        <w:rPr>
          <w:b/>
          <w:szCs w:val="24"/>
        </w:rPr>
      </w:pPr>
      <w:r w:rsidRPr="00740541">
        <w:rPr>
          <w:b/>
          <w:szCs w:val="24"/>
        </w:rPr>
        <w:t>Overview of the Legislative Instrument</w:t>
      </w:r>
    </w:p>
    <w:p w14:paraId="4DE4C88C" w14:textId="77777777" w:rsidR="00FB7E76" w:rsidRDefault="00FB7E76" w:rsidP="000C481C">
      <w:pPr>
        <w:pStyle w:val="BodyText"/>
        <w:jc w:val="both"/>
        <w:rPr>
          <w:szCs w:val="24"/>
        </w:rPr>
      </w:pPr>
      <w:r w:rsidRPr="005D47AA">
        <w:rPr>
          <w:szCs w:val="24"/>
        </w:rPr>
        <w:t xml:space="preserve">Under section 7 of the </w:t>
      </w:r>
      <w:r>
        <w:rPr>
          <w:i/>
          <w:szCs w:val="24"/>
        </w:rPr>
        <w:t xml:space="preserve">Banking Act 1959 </w:t>
      </w:r>
      <w:r w:rsidRPr="00444292">
        <w:rPr>
          <w:szCs w:val="24"/>
        </w:rPr>
        <w:t>(</w:t>
      </w:r>
      <w:r w:rsidRPr="005D47AA">
        <w:rPr>
          <w:szCs w:val="24"/>
        </w:rPr>
        <w:t>Banking Act</w:t>
      </w:r>
      <w:r>
        <w:rPr>
          <w:szCs w:val="24"/>
        </w:rPr>
        <w:t>)</w:t>
      </w:r>
      <w:r w:rsidRPr="005D47AA">
        <w:rPr>
          <w:szCs w:val="24"/>
        </w:rPr>
        <w:t xml:space="preserve">, it is an offence for a person who is not a body corporate to carry on banking business in Australia except where there is a determination in force that section 7 does not apply to the person. Under section 8 of the Banking Act, it is an offence for a body corporate to carry on banking business in Australia if the body corporate is not an authorised deposit-taking institution or the Reserve Bank, except where there is a determination in force that section 8 does not apply to the body corporate.  </w:t>
      </w:r>
    </w:p>
    <w:p w14:paraId="5CEE8756" w14:textId="5E4077FC" w:rsidR="00FB7E76" w:rsidRDefault="00FB7E76" w:rsidP="000C481C">
      <w:pPr>
        <w:pStyle w:val="BodyText"/>
        <w:jc w:val="both"/>
      </w:pPr>
      <w:r>
        <w:t>This Legislative Instrument determines that sections 7 and 8 of the Banking Act do not apply to Religious Charitable Development Funds, subject to conditions relating to the facilities offered in connection with the financial products, and any advertising or marketing in connection with the financial products. Religious Charitable Development Funds are funds formed for religious and charitable purposes and operated on a not-for-profit basis.</w:t>
      </w:r>
    </w:p>
    <w:p w14:paraId="45CADE56" w14:textId="77777777" w:rsidR="00FB7E76" w:rsidRDefault="00FB7E76" w:rsidP="000C481C">
      <w:pPr>
        <w:pStyle w:val="BodyText"/>
        <w:jc w:val="both"/>
        <w:rPr>
          <w:b/>
        </w:rPr>
      </w:pPr>
      <w:r>
        <w:rPr>
          <w:b/>
        </w:rPr>
        <w:t>Human rights implications</w:t>
      </w:r>
    </w:p>
    <w:p w14:paraId="12C058E5" w14:textId="6A47F47B" w:rsidR="00FB7E76" w:rsidRDefault="00FB7E76" w:rsidP="000C481C">
      <w:pPr>
        <w:pStyle w:val="BodyText"/>
        <w:jc w:val="both"/>
      </w:pPr>
      <w:r>
        <w:t xml:space="preserve">APRA has assessed this Legislative Instrument and is of the view that it does not engage any of the applicable rights or freedoms recognised or declared in the international instruments listed in section 3 of the </w:t>
      </w:r>
      <w:r w:rsidRPr="00792245">
        <w:rPr>
          <w:i/>
        </w:rPr>
        <w:t>Human Rights (Parliamentary Scrutiny) Act 2011</w:t>
      </w:r>
      <w:r>
        <w:t xml:space="preserve">. Accordingly, in APRA’s assessment, the instrument is compatible with human rights. </w:t>
      </w:r>
    </w:p>
    <w:p w14:paraId="781EFFE3" w14:textId="77777777" w:rsidR="00FB7E76" w:rsidRDefault="00FB7E76" w:rsidP="000C481C">
      <w:pPr>
        <w:pStyle w:val="BodyText"/>
        <w:jc w:val="both"/>
        <w:rPr>
          <w:b/>
        </w:rPr>
      </w:pPr>
      <w:r>
        <w:rPr>
          <w:b/>
        </w:rPr>
        <w:t>Conclusion</w:t>
      </w:r>
    </w:p>
    <w:p w14:paraId="584B983B" w14:textId="77777777" w:rsidR="00FB7E76" w:rsidRPr="00740541" w:rsidRDefault="00FB7E76" w:rsidP="000C481C">
      <w:pPr>
        <w:pStyle w:val="BodyText"/>
        <w:jc w:val="both"/>
        <w:rPr>
          <w:szCs w:val="24"/>
        </w:rPr>
      </w:pPr>
      <w:r>
        <w:lastRenderedPageBreak/>
        <w:t>This Legislative Instrument is compatible with human rights as it does not raise any human rights issues.</w:t>
      </w:r>
    </w:p>
    <w:p w14:paraId="2233D661" w14:textId="77777777" w:rsidR="00F62242" w:rsidRPr="00FA5345" w:rsidRDefault="00F62242" w:rsidP="00D85E77">
      <w:pPr>
        <w:spacing w:after="240"/>
        <w:jc w:val="both"/>
      </w:pPr>
    </w:p>
    <w:sectPr w:rsidR="00F62242" w:rsidRPr="00FA5345" w:rsidSect="003D5032">
      <w:headerReference w:type="default" r:id="rId14"/>
      <w:pgSz w:w="11906" w:h="16838" w:code="9"/>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2C691F" w14:textId="77777777" w:rsidR="00C2561A" w:rsidRDefault="00C2561A" w:rsidP="00D85E77">
      <w:r>
        <w:separator/>
      </w:r>
    </w:p>
  </w:endnote>
  <w:endnote w:type="continuationSeparator" w:id="0">
    <w:p w14:paraId="6875366C" w14:textId="77777777" w:rsidR="00C2561A" w:rsidRDefault="00C2561A" w:rsidP="00D85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0082579"/>
      <w:docPartObj>
        <w:docPartGallery w:val="Page Numbers (Top of Page)"/>
        <w:docPartUnique/>
      </w:docPartObj>
    </w:sdtPr>
    <w:sdtEndPr>
      <w:rPr>
        <w:rFonts w:ascii="Times New Roman" w:hAnsi="Times New Roman"/>
        <w:sz w:val="24"/>
        <w:szCs w:val="24"/>
      </w:rPr>
    </w:sdtEndPr>
    <w:sdtContent>
      <w:p w14:paraId="389F1196" w14:textId="77777777" w:rsidR="00D85E77" w:rsidRPr="00D85E77" w:rsidRDefault="00D85E77" w:rsidP="00D85E77">
        <w:pPr>
          <w:pStyle w:val="Footer"/>
          <w:jc w:val="center"/>
          <w:rPr>
            <w:rFonts w:ascii="Times New Roman" w:hAnsi="Times New Roman"/>
            <w:sz w:val="24"/>
            <w:szCs w:val="24"/>
          </w:rPr>
        </w:pPr>
        <w:r w:rsidRPr="00D85E77">
          <w:rPr>
            <w:rFonts w:ascii="Times New Roman" w:hAnsi="Times New Roman"/>
            <w:bCs/>
            <w:sz w:val="24"/>
            <w:szCs w:val="24"/>
          </w:rPr>
          <w:fldChar w:fldCharType="begin"/>
        </w:r>
        <w:r w:rsidRPr="00D85E77">
          <w:rPr>
            <w:rFonts w:ascii="Times New Roman" w:hAnsi="Times New Roman"/>
            <w:bCs/>
            <w:sz w:val="24"/>
            <w:szCs w:val="24"/>
          </w:rPr>
          <w:instrText xml:space="preserve"> PAGE </w:instrText>
        </w:r>
        <w:r w:rsidRPr="00D85E77">
          <w:rPr>
            <w:rFonts w:ascii="Times New Roman" w:hAnsi="Times New Roman"/>
            <w:bCs/>
            <w:sz w:val="24"/>
            <w:szCs w:val="24"/>
          </w:rPr>
          <w:fldChar w:fldCharType="separate"/>
        </w:r>
        <w:r w:rsidR="00C202A1">
          <w:rPr>
            <w:rFonts w:ascii="Times New Roman" w:hAnsi="Times New Roman"/>
            <w:bCs/>
            <w:noProof/>
            <w:sz w:val="24"/>
            <w:szCs w:val="24"/>
          </w:rPr>
          <w:t>1</w:t>
        </w:r>
        <w:r w:rsidRPr="00D85E77">
          <w:rPr>
            <w:rFonts w:ascii="Times New Roman" w:hAnsi="Times New Roman"/>
            <w:bCs/>
            <w:sz w:val="24"/>
            <w:szCs w:val="24"/>
          </w:rPr>
          <w:fldChar w:fldCharType="end"/>
        </w:r>
      </w:p>
    </w:sdtContent>
  </w:sdt>
  <w:p w14:paraId="49726B27" w14:textId="77777777" w:rsidR="00D85E77" w:rsidRDefault="00D85E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CF3373" w14:textId="77777777" w:rsidR="00C2561A" w:rsidRDefault="00C2561A" w:rsidP="00D85E77">
      <w:r>
        <w:separator/>
      </w:r>
    </w:p>
  </w:footnote>
  <w:footnote w:type="continuationSeparator" w:id="0">
    <w:p w14:paraId="77BECEEE" w14:textId="77777777" w:rsidR="00C2561A" w:rsidRDefault="00C2561A" w:rsidP="00D85E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46BB2" w14:textId="77777777" w:rsidR="00FB7E76" w:rsidRDefault="00FB7E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5692F6"/>
    <w:lvl w:ilvl="0">
      <w:start w:val="1"/>
      <w:numFmt w:val="lowerLetter"/>
      <w:pStyle w:val="ListNumber5"/>
      <w:lvlText w:val="%1."/>
      <w:lvlJc w:val="left"/>
      <w:pPr>
        <w:ind w:left="1492" w:hanging="360"/>
      </w:pPr>
    </w:lvl>
  </w:abstractNum>
  <w:abstractNum w:abstractNumId="1" w15:restartNumberingAfterBreak="0">
    <w:nsid w:val="FFFFFF7D"/>
    <w:multiLevelType w:val="singleLevel"/>
    <w:tmpl w:val="E4901F6C"/>
    <w:lvl w:ilvl="0">
      <w:start w:val="1"/>
      <w:numFmt w:val="lowerRoman"/>
      <w:pStyle w:val="ListNumber4"/>
      <w:lvlText w:val="%1."/>
      <w:lvlJc w:val="right"/>
      <w:pPr>
        <w:ind w:left="1209" w:hanging="360"/>
      </w:pPr>
    </w:lvl>
  </w:abstractNum>
  <w:abstractNum w:abstractNumId="2" w15:restartNumberingAfterBreak="0">
    <w:nsid w:val="FFFFFF7E"/>
    <w:multiLevelType w:val="singleLevel"/>
    <w:tmpl w:val="335CDAA6"/>
    <w:lvl w:ilvl="0">
      <w:start w:val="1"/>
      <w:numFmt w:val="decimal"/>
      <w:pStyle w:val="ListNumber3"/>
      <w:lvlText w:val="%1.1.1"/>
      <w:lvlJc w:val="left"/>
      <w:pPr>
        <w:ind w:left="926" w:hanging="360"/>
      </w:pPr>
      <w:rPr>
        <w:rFonts w:ascii="Trebuchet MS" w:hAnsi="Trebuchet MS" w:hint="default"/>
      </w:rPr>
    </w:lvl>
  </w:abstractNum>
  <w:abstractNum w:abstractNumId="3" w15:restartNumberingAfterBreak="0">
    <w:nsid w:val="FFFFFF7F"/>
    <w:multiLevelType w:val="singleLevel"/>
    <w:tmpl w:val="297E4934"/>
    <w:lvl w:ilvl="0">
      <w:start w:val="1"/>
      <w:numFmt w:val="decimal"/>
      <w:pStyle w:val="ListNumber2"/>
      <w:lvlText w:val="%1.1"/>
      <w:lvlJc w:val="left"/>
      <w:pPr>
        <w:ind w:left="643" w:hanging="360"/>
      </w:pPr>
      <w:rPr>
        <w:rFonts w:ascii="Trebuchet MS" w:hAnsi="Trebuchet MS" w:hint="default"/>
      </w:rPr>
    </w:lvl>
  </w:abstractNum>
  <w:abstractNum w:abstractNumId="4" w15:restartNumberingAfterBreak="0">
    <w:nsid w:val="FFFFFF88"/>
    <w:multiLevelType w:val="multilevel"/>
    <w:tmpl w:val="1AB4E9FC"/>
    <w:lvl w:ilvl="0">
      <w:start w:val="1"/>
      <w:numFmt w:val="decimal"/>
      <w:pStyle w:val="ListNumber"/>
      <w:lvlText w:val="%1."/>
      <w:lvlJc w:val="left"/>
      <w:pPr>
        <w:tabs>
          <w:tab w:val="num" w:pos="360"/>
        </w:tabs>
        <w:ind w:left="360" w:hanging="360"/>
      </w:pPr>
    </w:lvl>
    <w:lvl w:ilvl="1">
      <w:start w:val="1"/>
      <w:numFmt w:val="decimal"/>
      <w:isLgl/>
      <w:lvlText w:val="%1.%2"/>
      <w:lvlJc w:val="left"/>
      <w:pPr>
        <w:ind w:left="643" w:hanging="36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781" w:hanging="1800"/>
      </w:pPr>
      <w:rPr>
        <w:rFonts w:hint="default"/>
      </w:rPr>
    </w:lvl>
    <w:lvl w:ilvl="8">
      <w:start w:val="1"/>
      <w:numFmt w:val="decimal"/>
      <w:isLgl/>
      <w:lvlText w:val="%1.%2.%3.%4.%5.%6.%7.%8.%9"/>
      <w:lvlJc w:val="left"/>
      <w:pPr>
        <w:ind w:left="4064" w:hanging="1800"/>
      </w:pPr>
      <w:rPr>
        <w:rFonts w:hint="default"/>
      </w:rPr>
    </w:lvl>
  </w:abstractNum>
  <w:abstractNum w:abstractNumId="5" w15:restartNumberingAfterBreak="0">
    <w:nsid w:val="04FD135B"/>
    <w:multiLevelType w:val="hybridMultilevel"/>
    <w:tmpl w:val="8F2AB7DE"/>
    <w:lvl w:ilvl="0" w:tplc="0C09000F">
      <w:start w:val="1"/>
      <w:numFmt w:val="decimal"/>
      <w:lvlText w:val="%1."/>
      <w:lvlJc w:val="left"/>
      <w:pPr>
        <w:ind w:left="720" w:hanging="363"/>
      </w:pPr>
      <w:rPr>
        <w:rFonts w:hint="default"/>
      </w:rPr>
    </w:lvl>
    <w:lvl w:ilvl="1" w:tplc="0C090003" w:tentative="1">
      <w:start w:val="1"/>
      <w:numFmt w:val="bullet"/>
      <w:lvlText w:val="o"/>
      <w:lvlJc w:val="left"/>
      <w:pPr>
        <w:ind w:left="1446" w:hanging="360"/>
      </w:pPr>
      <w:rPr>
        <w:rFonts w:ascii="Courier New" w:hAnsi="Courier New" w:cs="Courier New" w:hint="default"/>
      </w:rPr>
    </w:lvl>
    <w:lvl w:ilvl="2" w:tplc="0C090005" w:tentative="1">
      <w:start w:val="1"/>
      <w:numFmt w:val="bullet"/>
      <w:lvlText w:val=""/>
      <w:lvlJc w:val="left"/>
      <w:pPr>
        <w:ind w:left="2166" w:hanging="360"/>
      </w:pPr>
      <w:rPr>
        <w:rFonts w:ascii="Wingdings" w:hAnsi="Wingdings" w:hint="default"/>
      </w:rPr>
    </w:lvl>
    <w:lvl w:ilvl="3" w:tplc="0C090001" w:tentative="1">
      <w:start w:val="1"/>
      <w:numFmt w:val="bullet"/>
      <w:lvlText w:val=""/>
      <w:lvlJc w:val="left"/>
      <w:pPr>
        <w:ind w:left="2886" w:hanging="360"/>
      </w:pPr>
      <w:rPr>
        <w:rFonts w:ascii="Symbol" w:hAnsi="Symbol" w:hint="default"/>
      </w:rPr>
    </w:lvl>
    <w:lvl w:ilvl="4" w:tplc="0C090003" w:tentative="1">
      <w:start w:val="1"/>
      <w:numFmt w:val="bullet"/>
      <w:lvlText w:val="o"/>
      <w:lvlJc w:val="left"/>
      <w:pPr>
        <w:ind w:left="3606" w:hanging="360"/>
      </w:pPr>
      <w:rPr>
        <w:rFonts w:ascii="Courier New" w:hAnsi="Courier New" w:cs="Courier New" w:hint="default"/>
      </w:rPr>
    </w:lvl>
    <w:lvl w:ilvl="5" w:tplc="0C090005" w:tentative="1">
      <w:start w:val="1"/>
      <w:numFmt w:val="bullet"/>
      <w:lvlText w:val=""/>
      <w:lvlJc w:val="left"/>
      <w:pPr>
        <w:ind w:left="4326" w:hanging="360"/>
      </w:pPr>
      <w:rPr>
        <w:rFonts w:ascii="Wingdings" w:hAnsi="Wingdings" w:hint="default"/>
      </w:rPr>
    </w:lvl>
    <w:lvl w:ilvl="6" w:tplc="0C090001" w:tentative="1">
      <w:start w:val="1"/>
      <w:numFmt w:val="bullet"/>
      <w:lvlText w:val=""/>
      <w:lvlJc w:val="left"/>
      <w:pPr>
        <w:ind w:left="5046" w:hanging="360"/>
      </w:pPr>
      <w:rPr>
        <w:rFonts w:ascii="Symbol" w:hAnsi="Symbol" w:hint="default"/>
      </w:rPr>
    </w:lvl>
    <w:lvl w:ilvl="7" w:tplc="0C090003" w:tentative="1">
      <w:start w:val="1"/>
      <w:numFmt w:val="bullet"/>
      <w:lvlText w:val="o"/>
      <w:lvlJc w:val="left"/>
      <w:pPr>
        <w:ind w:left="5766" w:hanging="360"/>
      </w:pPr>
      <w:rPr>
        <w:rFonts w:ascii="Courier New" w:hAnsi="Courier New" w:cs="Courier New" w:hint="default"/>
      </w:rPr>
    </w:lvl>
    <w:lvl w:ilvl="8" w:tplc="0C090005" w:tentative="1">
      <w:start w:val="1"/>
      <w:numFmt w:val="bullet"/>
      <w:lvlText w:val=""/>
      <w:lvlJc w:val="left"/>
      <w:pPr>
        <w:ind w:left="6486" w:hanging="360"/>
      </w:pPr>
      <w:rPr>
        <w:rFonts w:ascii="Wingdings" w:hAnsi="Wingdings" w:hint="default"/>
      </w:rPr>
    </w:lvl>
  </w:abstractNum>
  <w:abstractNum w:abstractNumId="6" w15:restartNumberingAfterBreak="0">
    <w:nsid w:val="060A5C49"/>
    <w:multiLevelType w:val="hybridMultilevel"/>
    <w:tmpl w:val="3722923C"/>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09DF72DF"/>
    <w:multiLevelType w:val="hybridMultilevel"/>
    <w:tmpl w:val="AA4A7D72"/>
    <w:lvl w:ilvl="0" w:tplc="D8A2533C">
      <w:start w:val="1"/>
      <w:numFmt w:val="decimal"/>
      <w:lvlText w:val="%1."/>
      <w:lvlJc w:val="left"/>
      <w:pPr>
        <w:ind w:left="360" w:hanging="360"/>
      </w:pPr>
      <w:rPr>
        <w:i w:val="0"/>
        <w:sz w:val="24"/>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0E4D4A5F"/>
    <w:multiLevelType w:val="hybridMultilevel"/>
    <w:tmpl w:val="DE4CBD9E"/>
    <w:lvl w:ilvl="0" w:tplc="0C090001">
      <w:start w:val="1"/>
      <w:numFmt w:val="bullet"/>
      <w:lvlText w:val=""/>
      <w:lvlJc w:val="left"/>
      <w:pPr>
        <w:ind w:left="726" w:hanging="360"/>
      </w:pPr>
      <w:rPr>
        <w:rFonts w:ascii="Symbol" w:hAnsi="Symbol" w:hint="default"/>
      </w:rPr>
    </w:lvl>
    <w:lvl w:ilvl="1" w:tplc="0C090003" w:tentative="1">
      <w:start w:val="1"/>
      <w:numFmt w:val="bullet"/>
      <w:lvlText w:val="o"/>
      <w:lvlJc w:val="left"/>
      <w:pPr>
        <w:ind w:left="1446" w:hanging="360"/>
      </w:pPr>
      <w:rPr>
        <w:rFonts w:ascii="Courier New" w:hAnsi="Courier New" w:cs="Courier New" w:hint="default"/>
      </w:rPr>
    </w:lvl>
    <w:lvl w:ilvl="2" w:tplc="0C090005" w:tentative="1">
      <w:start w:val="1"/>
      <w:numFmt w:val="bullet"/>
      <w:lvlText w:val=""/>
      <w:lvlJc w:val="left"/>
      <w:pPr>
        <w:ind w:left="2166" w:hanging="360"/>
      </w:pPr>
      <w:rPr>
        <w:rFonts w:ascii="Wingdings" w:hAnsi="Wingdings" w:hint="default"/>
      </w:rPr>
    </w:lvl>
    <w:lvl w:ilvl="3" w:tplc="0C090001" w:tentative="1">
      <w:start w:val="1"/>
      <w:numFmt w:val="bullet"/>
      <w:lvlText w:val=""/>
      <w:lvlJc w:val="left"/>
      <w:pPr>
        <w:ind w:left="2886" w:hanging="360"/>
      </w:pPr>
      <w:rPr>
        <w:rFonts w:ascii="Symbol" w:hAnsi="Symbol" w:hint="default"/>
      </w:rPr>
    </w:lvl>
    <w:lvl w:ilvl="4" w:tplc="0C090003" w:tentative="1">
      <w:start w:val="1"/>
      <w:numFmt w:val="bullet"/>
      <w:lvlText w:val="o"/>
      <w:lvlJc w:val="left"/>
      <w:pPr>
        <w:ind w:left="3606" w:hanging="360"/>
      </w:pPr>
      <w:rPr>
        <w:rFonts w:ascii="Courier New" w:hAnsi="Courier New" w:cs="Courier New" w:hint="default"/>
      </w:rPr>
    </w:lvl>
    <w:lvl w:ilvl="5" w:tplc="0C090005" w:tentative="1">
      <w:start w:val="1"/>
      <w:numFmt w:val="bullet"/>
      <w:lvlText w:val=""/>
      <w:lvlJc w:val="left"/>
      <w:pPr>
        <w:ind w:left="4326" w:hanging="360"/>
      </w:pPr>
      <w:rPr>
        <w:rFonts w:ascii="Wingdings" w:hAnsi="Wingdings" w:hint="default"/>
      </w:rPr>
    </w:lvl>
    <w:lvl w:ilvl="6" w:tplc="0C090001" w:tentative="1">
      <w:start w:val="1"/>
      <w:numFmt w:val="bullet"/>
      <w:lvlText w:val=""/>
      <w:lvlJc w:val="left"/>
      <w:pPr>
        <w:ind w:left="5046" w:hanging="360"/>
      </w:pPr>
      <w:rPr>
        <w:rFonts w:ascii="Symbol" w:hAnsi="Symbol" w:hint="default"/>
      </w:rPr>
    </w:lvl>
    <w:lvl w:ilvl="7" w:tplc="0C090003" w:tentative="1">
      <w:start w:val="1"/>
      <w:numFmt w:val="bullet"/>
      <w:lvlText w:val="o"/>
      <w:lvlJc w:val="left"/>
      <w:pPr>
        <w:ind w:left="5766" w:hanging="360"/>
      </w:pPr>
      <w:rPr>
        <w:rFonts w:ascii="Courier New" w:hAnsi="Courier New" w:cs="Courier New" w:hint="default"/>
      </w:rPr>
    </w:lvl>
    <w:lvl w:ilvl="8" w:tplc="0C090005" w:tentative="1">
      <w:start w:val="1"/>
      <w:numFmt w:val="bullet"/>
      <w:lvlText w:val=""/>
      <w:lvlJc w:val="left"/>
      <w:pPr>
        <w:ind w:left="6486" w:hanging="360"/>
      </w:pPr>
      <w:rPr>
        <w:rFonts w:ascii="Wingdings" w:hAnsi="Wingdings" w:hint="default"/>
      </w:rPr>
    </w:lvl>
  </w:abstractNum>
  <w:abstractNum w:abstractNumId="9" w15:restartNumberingAfterBreak="0">
    <w:nsid w:val="14884F91"/>
    <w:multiLevelType w:val="hybridMultilevel"/>
    <w:tmpl w:val="34C85B04"/>
    <w:lvl w:ilvl="0" w:tplc="1C265A36">
      <w:start w:val="1"/>
      <w:numFmt w:val="lowerRoman"/>
      <w:lvlText w:val="(%1)"/>
      <w:lvlJc w:val="left"/>
      <w:pPr>
        <w:ind w:left="2214" w:hanging="720"/>
      </w:pPr>
      <w:rPr>
        <w:rFonts w:hint="default"/>
        <w:b w:val="0"/>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0" w15:restartNumberingAfterBreak="0">
    <w:nsid w:val="14A81249"/>
    <w:multiLevelType w:val="hybridMultilevel"/>
    <w:tmpl w:val="DE449322"/>
    <w:lvl w:ilvl="0" w:tplc="0C09000F">
      <w:start w:val="1"/>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199C3232"/>
    <w:multiLevelType w:val="hybridMultilevel"/>
    <w:tmpl w:val="B784E8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B302E4"/>
    <w:multiLevelType w:val="hybridMultilevel"/>
    <w:tmpl w:val="AAF041E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1E1409B1"/>
    <w:multiLevelType w:val="multilevel"/>
    <w:tmpl w:val="0C09001F"/>
    <w:numStyleLink w:val="111111"/>
  </w:abstractNum>
  <w:abstractNum w:abstractNumId="14" w15:restartNumberingAfterBreak="0">
    <w:nsid w:val="255444F2"/>
    <w:multiLevelType w:val="multilevel"/>
    <w:tmpl w:val="0C09001F"/>
    <w:styleLink w:val="111111"/>
    <w:lvl w:ilvl="0">
      <w:start w:val="1"/>
      <w:numFmt w:val="decimal"/>
      <w:pStyle w:val="NumberedLis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60F57F3"/>
    <w:multiLevelType w:val="hybridMultilevel"/>
    <w:tmpl w:val="B6B84ED8"/>
    <w:lvl w:ilvl="0" w:tplc="0C090001">
      <w:start w:val="1"/>
      <w:numFmt w:val="bullet"/>
      <w:lvlText w:val=""/>
      <w:lvlJc w:val="left"/>
      <w:pPr>
        <w:ind w:left="-2136"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C6B35A8"/>
    <w:multiLevelType w:val="hybridMultilevel"/>
    <w:tmpl w:val="35E024FA"/>
    <w:lvl w:ilvl="0" w:tplc="0C090001">
      <w:start w:val="1"/>
      <w:numFmt w:val="bullet"/>
      <w:lvlText w:val=""/>
      <w:lvlJc w:val="left"/>
      <w:pPr>
        <w:ind w:left="-2136"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3F2167"/>
    <w:multiLevelType w:val="hybridMultilevel"/>
    <w:tmpl w:val="57282F24"/>
    <w:lvl w:ilvl="0" w:tplc="702CB01A">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B5C79D3"/>
    <w:multiLevelType w:val="hybridMultilevel"/>
    <w:tmpl w:val="40A6ACFA"/>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9" w15:restartNumberingAfterBreak="0">
    <w:nsid w:val="3D0538B1"/>
    <w:multiLevelType w:val="hybridMultilevel"/>
    <w:tmpl w:val="1554B670"/>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419C2FA9"/>
    <w:multiLevelType w:val="hybridMultilevel"/>
    <w:tmpl w:val="1FAA16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21F640B"/>
    <w:multiLevelType w:val="hybridMultilevel"/>
    <w:tmpl w:val="9990CC86"/>
    <w:lvl w:ilvl="0" w:tplc="0C090001">
      <w:numFmt w:val="bullet"/>
      <w:lvlText w:val=""/>
      <w:lvlJc w:val="left"/>
      <w:pPr>
        <w:ind w:left="720" w:hanging="360"/>
      </w:pPr>
      <w:rPr>
        <w:rFonts w:ascii="Symbol" w:eastAsia="Times New Roman" w:hAnsi="Symbol" w:cs="Times New Roman"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6FE4B7F"/>
    <w:multiLevelType w:val="multilevel"/>
    <w:tmpl w:val="9890385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872064E"/>
    <w:multiLevelType w:val="hybridMultilevel"/>
    <w:tmpl w:val="3F16C26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49754064"/>
    <w:multiLevelType w:val="hybridMultilevel"/>
    <w:tmpl w:val="F7563A82"/>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5" w15:restartNumberingAfterBreak="0">
    <w:nsid w:val="53C44575"/>
    <w:multiLevelType w:val="hybridMultilevel"/>
    <w:tmpl w:val="6A2200F8"/>
    <w:lvl w:ilvl="0" w:tplc="F1F253D4">
      <w:start w:val="1"/>
      <w:numFmt w:val="decimal"/>
      <w:lvlText w:val="(%1)"/>
      <w:lvlJc w:val="left"/>
      <w:pPr>
        <w:tabs>
          <w:tab w:val="num" w:pos="567"/>
        </w:tabs>
        <w:ind w:left="567" w:hanging="567"/>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5B2603BB"/>
    <w:multiLevelType w:val="hybridMultilevel"/>
    <w:tmpl w:val="77FC88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1DA3D61"/>
    <w:multiLevelType w:val="hybridMultilevel"/>
    <w:tmpl w:val="F208E238"/>
    <w:lvl w:ilvl="0" w:tplc="8C88B6BC">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2536699"/>
    <w:multiLevelType w:val="hybridMultilevel"/>
    <w:tmpl w:val="6FC8C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78115DD"/>
    <w:multiLevelType w:val="hybridMultilevel"/>
    <w:tmpl w:val="C7E2B08A"/>
    <w:lvl w:ilvl="0" w:tplc="0C090001">
      <w:start w:val="1"/>
      <w:numFmt w:val="bullet"/>
      <w:lvlText w:val=""/>
      <w:lvlJc w:val="left"/>
      <w:pPr>
        <w:ind w:left="-2136" w:hanging="360"/>
      </w:pPr>
      <w:rPr>
        <w:rFonts w:ascii="Symbol" w:hAnsi="Symbol" w:hint="default"/>
      </w:rPr>
    </w:lvl>
    <w:lvl w:ilvl="1" w:tplc="0C090003" w:tentative="1">
      <w:start w:val="1"/>
      <w:numFmt w:val="bullet"/>
      <w:lvlText w:val="o"/>
      <w:lvlJc w:val="left"/>
      <w:pPr>
        <w:ind w:left="-1416" w:hanging="360"/>
      </w:pPr>
      <w:rPr>
        <w:rFonts w:ascii="Courier New" w:hAnsi="Courier New" w:cs="Courier New" w:hint="default"/>
      </w:rPr>
    </w:lvl>
    <w:lvl w:ilvl="2" w:tplc="0C090005" w:tentative="1">
      <w:start w:val="1"/>
      <w:numFmt w:val="bullet"/>
      <w:lvlText w:val=""/>
      <w:lvlJc w:val="left"/>
      <w:pPr>
        <w:ind w:left="-696" w:hanging="360"/>
      </w:pPr>
      <w:rPr>
        <w:rFonts w:ascii="Wingdings" w:hAnsi="Wingdings" w:hint="default"/>
      </w:rPr>
    </w:lvl>
    <w:lvl w:ilvl="3" w:tplc="0C090001" w:tentative="1">
      <w:start w:val="1"/>
      <w:numFmt w:val="bullet"/>
      <w:lvlText w:val=""/>
      <w:lvlJc w:val="left"/>
      <w:pPr>
        <w:ind w:left="24" w:hanging="360"/>
      </w:pPr>
      <w:rPr>
        <w:rFonts w:ascii="Symbol" w:hAnsi="Symbol" w:hint="default"/>
      </w:rPr>
    </w:lvl>
    <w:lvl w:ilvl="4" w:tplc="0C090003" w:tentative="1">
      <w:start w:val="1"/>
      <w:numFmt w:val="bullet"/>
      <w:lvlText w:val="o"/>
      <w:lvlJc w:val="left"/>
      <w:pPr>
        <w:ind w:left="744" w:hanging="360"/>
      </w:pPr>
      <w:rPr>
        <w:rFonts w:ascii="Courier New" w:hAnsi="Courier New" w:cs="Courier New" w:hint="default"/>
      </w:rPr>
    </w:lvl>
    <w:lvl w:ilvl="5" w:tplc="0C090005" w:tentative="1">
      <w:start w:val="1"/>
      <w:numFmt w:val="bullet"/>
      <w:lvlText w:val=""/>
      <w:lvlJc w:val="left"/>
      <w:pPr>
        <w:ind w:left="1464" w:hanging="360"/>
      </w:pPr>
      <w:rPr>
        <w:rFonts w:ascii="Wingdings" w:hAnsi="Wingdings" w:hint="default"/>
      </w:rPr>
    </w:lvl>
    <w:lvl w:ilvl="6" w:tplc="0C090001" w:tentative="1">
      <w:start w:val="1"/>
      <w:numFmt w:val="bullet"/>
      <w:lvlText w:val=""/>
      <w:lvlJc w:val="left"/>
      <w:pPr>
        <w:ind w:left="2184" w:hanging="360"/>
      </w:pPr>
      <w:rPr>
        <w:rFonts w:ascii="Symbol" w:hAnsi="Symbol" w:hint="default"/>
      </w:rPr>
    </w:lvl>
    <w:lvl w:ilvl="7" w:tplc="0C090003" w:tentative="1">
      <w:start w:val="1"/>
      <w:numFmt w:val="bullet"/>
      <w:lvlText w:val="o"/>
      <w:lvlJc w:val="left"/>
      <w:pPr>
        <w:ind w:left="2904" w:hanging="360"/>
      </w:pPr>
      <w:rPr>
        <w:rFonts w:ascii="Courier New" w:hAnsi="Courier New" w:cs="Courier New" w:hint="default"/>
      </w:rPr>
    </w:lvl>
    <w:lvl w:ilvl="8" w:tplc="0C090005" w:tentative="1">
      <w:start w:val="1"/>
      <w:numFmt w:val="bullet"/>
      <w:lvlText w:val=""/>
      <w:lvlJc w:val="left"/>
      <w:pPr>
        <w:ind w:left="3624" w:hanging="360"/>
      </w:pPr>
      <w:rPr>
        <w:rFonts w:ascii="Wingdings" w:hAnsi="Wingdings" w:hint="default"/>
      </w:rPr>
    </w:lvl>
  </w:abstractNum>
  <w:abstractNum w:abstractNumId="30" w15:restartNumberingAfterBreak="0">
    <w:nsid w:val="6B684C81"/>
    <w:multiLevelType w:val="hybridMultilevel"/>
    <w:tmpl w:val="727681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0776594"/>
    <w:multiLevelType w:val="multilevel"/>
    <w:tmpl w:val="961E74C2"/>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15:restartNumberingAfterBreak="0">
    <w:nsid w:val="713A158C"/>
    <w:multiLevelType w:val="hybridMultilevel"/>
    <w:tmpl w:val="B8CAD08E"/>
    <w:lvl w:ilvl="0" w:tplc="22DC9886">
      <w:start w:val="1"/>
      <w:numFmt w:val="lowerLetter"/>
      <w:lvlText w:val="(%1)"/>
      <w:lvlJc w:val="left"/>
      <w:pPr>
        <w:ind w:left="1440" w:hanging="360"/>
      </w:pPr>
      <w:rPr>
        <w:rFonts w:hint="default"/>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21"/>
  </w:num>
  <w:num w:numId="2">
    <w:abstractNumId w:val="10"/>
  </w:num>
  <w:num w:numId="3">
    <w:abstractNumId w:val="27"/>
  </w:num>
  <w:num w:numId="4">
    <w:abstractNumId w:val="6"/>
  </w:num>
  <w:num w:numId="5">
    <w:abstractNumId w:val="25"/>
  </w:num>
  <w:num w:numId="6">
    <w:abstractNumId w:val="22"/>
  </w:num>
  <w:num w:numId="7">
    <w:abstractNumId w:val="29"/>
  </w:num>
  <w:num w:numId="8">
    <w:abstractNumId w:val="31"/>
  </w:num>
  <w:num w:numId="9">
    <w:abstractNumId w:val="4"/>
  </w:num>
  <w:num w:numId="10">
    <w:abstractNumId w:val="3"/>
  </w:num>
  <w:num w:numId="11">
    <w:abstractNumId w:val="2"/>
  </w:num>
  <w:num w:numId="12">
    <w:abstractNumId w:val="1"/>
  </w:num>
  <w:num w:numId="13">
    <w:abstractNumId w:val="0"/>
  </w:num>
  <w:num w:numId="14">
    <w:abstractNumId w:val="14"/>
  </w:num>
  <w:num w:numId="15">
    <w:abstractNumId w:val="13"/>
  </w:num>
  <w:num w:numId="16">
    <w:abstractNumId w:val="17"/>
  </w:num>
  <w:num w:numId="17">
    <w:abstractNumId w:val="26"/>
  </w:num>
  <w:num w:numId="18">
    <w:abstractNumId w:val="30"/>
  </w:num>
  <w:num w:numId="19">
    <w:abstractNumId w:val="28"/>
  </w:num>
  <w:num w:numId="20">
    <w:abstractNumId w:val="11"/>
  </w:num>
  <w:num w:numId="21">
    <w:abstractNumId w:val="7"/>
  </w:num>
  <w:num w:numId="22">
    <w:abstractNumId w:val="32"/>
  </w:num>
  <w:num w:numId="23">
    <w:abstractNumId w:val="9"/>
  </w:num>
  <w:num w:numId="24">
    <w:abstractNumId w:val="23"/>
  </w:num>
  <w:num w:numId="25">
    <w:abstractNumId w:val="8"/>
  </w:num>
  <w:num w:numId="26">
    <w:abstractNumId w:val="5"/>
  </w:num>
  <w:num w:numId="27">
    <w:abstractNumId w:val="19"/>
  </w:num>
  <w:num w:numId="28">
    <w:abstractNumId w:val="20"/>
  </w:num>
  <w:num w:numId="29">
    <w:abstractNumId w:val="24"/>
  </w:num>
  <w:num w:numId="30">
    <w:abstractNumId w:val="18"/>
  </w:num>
  <w:num w:numId="31">
    <w:abstractNumId w:val="12"/>
  </w:num>
  <w:num w:numId="32">
    <w:abstractNumId w:val="16"/>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drawingGridHorizontalSpacing w:val="11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4DB"/>
    <w:rsid w:val="000401FC"/>
    <w:rsid w:val="00040477"/>
    <w:rsid w:val="00054D61"/>
    <w:rsid w:val="0007368A"/>
    <w:rsid w:val="000B60B3"/>
    <w:rsid w:val="000C481C"/>
    <w:rsid w:val="000D0B8A"/>
    <w:rsid w:val="000E369C"/>
    <w:rsid w:val="001019F0"/>
    <w:rsid w:val="001479DA"/>
    <w:rsid w:val="00182FA1"/>
    <w:rsid w:val="001A049A"/>
    <w:rsid w:val="001A3A09"/>
    <w:rsid w:val="001B7DF3"/>
    <w:rsid w:val="001F56A8"/>
    <w:rsid w:val="0023235D"/>
    <w:rsid w:val="002436BD"/>
    <w:rsid w:val="00246723"/>
    <w:rsid w:val="00255725"/>
    <w:rsid w:val="00262FA2"/>
    <w:rsid w:val="00264685"/>
    <w:rsid w:val="00285378"/>
    <w:rsid w:val="00290572"/>
    <w:rsid w:val="002928F2"/>
    <w:rsid w:val="00296D7F"/>
    <w:rsid w:val="002A73BD"/>
    <w:rsid w:val="002A7C2E"/>
    <w:rsid w:val="002C2599"/>
    <w:rsid w:val="002E36A6"/>
    <w:rsid w:val="002F3E7B"/>
    <w:rsid w:val="002F489E"/>
    <w:rsid w:val="0030506B"/>
    <w:rsid w:val="00310CF8"/>
    <w:rsid w:val="00354CB8"/>
    <w:rsid w:val="00385BE7"/>
    <w:rsid w:val="003866AD"/>
    <w:rsid w:val="00393AE4"/>
    <w:rsid w:val="003A52A5"/>
    <w:rsid w:val="003A5A42"/>
    <w:rsid w:val="003A5F27"/>
    <w:rsid w:val="003B6228"/>
    <w:rsid w:val="003D5032"/>
    <w:rsid w:val="003E32EC"/>
    <w:rsid w:val="003F708C"/>
    <w:rsid w:val="0040175E"/>
    <w:rsid w:val="00420509"/>
    <w:rsid w:val="00422164"/>
    <w:rsid w:val="00427EDB"/>
    <w:rsid w:val="00443A02"/>
    <w:rsid w:val="00444768"/>
    <w:rsid w:val="0048032A"/>
    <w:rsid w:val="004A71F3"/>
    <w:rsid w:val="004B43DC"/>
    <w:rsid w:val="004C3D07"/>
    <w:rsid w:val="004D6C51"/>
    <w:rsid w:val="004E2008"/>
    <w:rsid w:val="004E582B"/>
    <w:rsid w:val="005018B5"/>
    <w:rsid w:val="00512216"/>
    <w:rsid w:val="0051446B"/>
    <w:rsid w:val="00534D62"/>
    <w:rsid w:val="005447E9"/>
    <w:rsid w:val="00550C06"/>
    <w:rsid w:val="0056141D"/>
    <w:rsid w:val="0056618B"/>
    <w:rsid w:val="00585FD8"/>
    <w:rsid w:val="00591EE9"/>
    <w:rsid w:val="005A1664"/>
    <w:rsid w:val="005C0C92"/>
    <w:rsid w:val="005C1C77"/>
    <w:rsid w:val="005D7B8A"/>
    <w:rsid w:val="005E3279"/>
    <w:rsid w:val="005E5910"/>
    <w:rsid w:val="00603C8E"/>
    <w:rsid w:val="00622480"/>
    <w:rsid w:val="00625E59"/>
    <w:rsid w:val="00647D58"/>
    <w:rsid w:val="00657678"/>
    <w:rsid w:val="00682865"/>
    <w:rsid w:val="00684F73"/>
    <w:rsid w:val="00696D1F"/>
    <w:rsid w:val="006B093F"/>
    <w:rsid w:val="006E53C0"/>
    <w:rsid w:val="006F2911"/>
    <w:rsid w:val="007031F4"/>
    <w:rsid w:val="007049CF"/>
    <w:rsid w:val="00705B37"/>
    <w:rsid w:val="00712E1A"/>
    <w:rsid w:val="00715043"/>
    <w:rsid w:val="007368AD"/>
    <w:rsid w:val="00736BEC"/>
    <w:rsid w:val="00737A9F"/>
    <w:rsid w:val="007428D4"/>
    <w:rsid w:val="00744567"/>
    <w:rsid w:val="0074713C"/>
    <w:rsid w:val="00747AFF"/>
    <w:rsid w:val="00761B22"/>
    <w:rsid w:val="00785CDC"/>
    <w:rsid w:val="007B67C8"/>
    <w:rsid w:val="007C2298"/>
    <w:rsid w:val="007C35B8"/>
    <w:rsid w:val="007D3D8C"/>
    <w:rsid w:val="007E472C"/>
    <w:rsid w:val="007E4B2A"/>
    <w:rsid w:val="007E5811"/>
    <w:rsid w:val="00806D48"/>
    <w:rsid w:val="00830F66"/>
    <w:rsid w:val="008358A3"/>
    <w:rsid w:val="00837932"/>
    <w:rsid w:val="0084099A"/>
    <w:rsid w:val="00845F2B"/>
    <w:rsid w:val="00871DB5"/>
    <w:rsid w:val="0088797F"/>
    <w:rsid w:val="008E27BC"/>
    <w:rsid w:val="00901171"/>
    <w:rsid w:val="0090138A"/>
    <w:rsid w:val="009268DC"/>
    <w:rsid w:val="00932EFA"/>
    <w:rsid w:val="00946579"/>
    <w:rsid w:val="00946F0C"/>
    <w:rsid w:val="00947BBB"/>
    <w:rsid w:val="00967D16"/>
    <w:rsid w:val="009978B5"/>
    <w:rsid w:val="009B1760"/>
    <w:rsid w:val="009C0E40"/>
    <w:rsid w:val="009C5368"/>
    <w:rsid w:val="00A003BF"/>
    <w:rsid w:val="00A15690"/>
    <w:rsid w:val="00A2436E"/>
    <w:rsid w:val="00A264A9"/>
    <w:rsid w:val="00A279AF"/>
    <w:rsid w:val="00A4133B"/>
    <w:rsid w:val="00A45DBE"/>
    <w:rsid w:val="00A5799A"/>
    <w:rsid w:val="00A62E1D"/>
    <w:rsid w:val="00A631ED"/>
    <w:rsid w:val="00A63A2B"/>
    <w:rsid w:val="00A67B82"/>
    <w:rsid w:val="00A73420"/>
    <w:rsid w:val="00A740CB"/>
    <w:rsid w:val="00A9095D"/>
    <w:rsid w:val="00AA3E4A"/>
    <w:rsid w:val="00AA71F5"/>
    <w:rsid w:val="00AC2517"/>
    <w:rsid w:val="00AC5657"/>
    <w:rsid w:val="00AC7A56"/>
    <w:rsid w:val="00B04B20"/>
    <w:rsid w:val="00B134DB"/>
    <w:rsid w:val="00B32FB5"/>
    <w:rsid w:val="00B513E7"/>
    <w:rsid w:val="00B62445"/>
    <w:rsid w:val="00B64B2E"/>
    <w:rsid w:val="00B77C5E"/>
    <w:rsid w:val="00B8063F"/>
    <w:rsid w:val="00B85B6E"/>
    <w:rsid w:val="00BB1678"/>
    <w:rsid w:val="00BD2FF6"/>
    <w:rsid w:val="00BE36B6"/>
    <w:rsid w:val="00BF2953"/>
    <w:rsid w:val="00C1413F"/>
    <w:rsid w:val="00C14599"/>
    <w:rsid w:val="00C202A1"/>
    <w:rsid w:val="00C2561A"/>
    <w:rsid w:val="00C2700C"/>
    <w:rsid w:val="00C302FA"/>
    <w:rsid w:val="00C30D90"/>
    <w:rsid w:val="00C4092D"/>
    <w:rsid w:val="00C41DCE"/>
    <w:rsid w:val="00C47FFE"/>
    <w:rsid w:val="00C74055"/>
    <w:rsid w:val="00C75BCA"/>
    <w:rsid w:val="00C948AA"/>
    <w:rsid w:val="00CA6CB3"/>
    <w:rsid w:val="00CB384A"/>
    <w:rsid w:val="00CD1947"/>
    <w:rsid w:val="00CE3EF2"/>
    <w:rsid w:val="00CF3CFD"/>
    <w:rsid w:val="00D02029"/>
    <w:rsid w:val="00D119F5"/>
    <w:rsid w:val="00D15413"/>
    <w:rsid w:val="00D2147F"/>
    <w:rsid w:val="00D30D38"/>
    <w:rsid w:val="00D3484E"/>
    <w:rsid w:val="00D53B59"/>
    <w:rsid w:val="00D64906"/>
    <w:rsid w:val="00D74607"/>
    <w:rsid w:val="00D83531"/>
    <w:rsid w:val="00D85E77"/>
    <w:rsid w:val="00D8647B"/>
    <w:rsid w:val="00D87E36"/>
    <w:rsid w:val="00D96230"/>
    <w:rsid w:val="00DD1AB6"/>
    <w:rsid w:val="00DD5D2A"/>
    <w:rsid w:val="00DE48E2"/>
    <w:rsid w:val="00DF524E"/>
    <w:rsid w:val="00DF555B"/>
    <w:rsid w:val="00E01AE6"/>
    <w:rsid w:val="00E15497"/>
    <w:rsid w:val="00E154A3"/>
    <w:rsid w:val="00E16789"/>
    <w:rsid w:val="00E201A8"/>
    <w:rsid w:val="00E24150"/>
    <w:rsid w:val="00E30177"/>
    <w:rsid w:val="00E52DFE"/>
    <w:rsid w:val="00E61B19"/>
    <w:rsid w:val="00E67990"/>
    <w:rsid w:val="00E90C89"/>
    <w:rsid w:val="00EB42B9"/>
    <w:rsid w:val="00EC5653"/>
    <w:rsid w:val="00ED47D9"/>
    <w:rsid w:val="00EE203E"/>
    <w:rsid w:val="00EE699B"/>
    <w:rsid w:val="00F043F2"/>
    <w:rsid w:val="00F07288"/>
    <w:rsid w:val="00F23FEB"/>
    <w:rsid w:val="00F350B8"/>
    <w:rsid w:val="00F436BC"/>
    <w:rsid w:val="00F4794F"/>
    <w:rsid w:val="00F62242"/>
    <w:rsid w:val="00F70B8B"/>
    <w:rsid w:val="00F7706D"/>
    <w:rsid w:val="00F948FF"/>
    <w:rsid w:val="00FA5345"/>
    <w:rsid w:val="00FB7E76"/>
    <w:rsid w:val="00FC5BC0"/>
    <w:rsid w:val="00FE0873"/>
    <w:rsid w:val="00FE48A3"/>
    <w:rsid w:val="00FE54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7F9D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6BD"/>
    <w:rPr>
      <w:rFonts w:ascii="Trebuchet MS" w:eastAsia="Times New Roman" w:hAnsi="Trebuchet MS"/>
      <w:sz w:val="22"/>
    </w:rPr>
  </w:style>
  <w:style w:type="paragraph" w:styleId="Heading1">
    <w:name w:val="heading 1"/>
    <w:basedOn w:val="Normal"/>
    <w:next w:val="Normal"/>
    <w:link w:val="Heading1Char"/>
    <w:uiPriority w:val="9"/>
    <w:qFormat/>
    <w:rsid w:val="009C5368"/>
    <w:pPr>
      <w:keepNext/>
      <w:keepLines/>
      <w:outlineLvl w:val="0"/>
    </w:pPr>
    <w:rPr>
      <w:b/>
      <w:bCs/>
      <w:color w:val="000000"/>
      <w:sz w:val="26"/>
      <w:szCs w:val="26"/>
    </w:rPr>
  </w:style>
  <w:style w:type="paragraph" w:styleId="Heading2">
    <w:name w:val="heading 2"/>
    <w:basedOn w:val="Normal"/>
    <w:next w:val="Normal"/>
    <w:link w:val="Heading2Char"/>
    <w:uiPriority w:val="9"/>
    <w:unhideWhenUsed/>
    <w:qFormat/>
    <w:rsid w:val="009C5368"/>
    <w:pPr>
      <w:keepNext/>
      <w:keepLines/>
      <w:outlineLvl w:val="1"/>
    </w:pPr>
    <w:rPr>
      <w:b/>
      <w:bCs/>
      <w:color w:val="000000"/>
    </w:rPr>
  </w:style>
  <w:style w:type="paragraph" w:styleId="Heading3">
    <w:name w:val="heading 3"/>
    <w:basedOn w:val="Normal"/>
    <w:next w:val="Normal"/>
    <w:link w:val="Heading3Char"/>
    <w:uiPriority w:val="9"/>
    <w:unhideWhenUsed/>
    <w:qFormat/>
    <w:rsid w:val="00F7706D"/>
    <w:pPr>
      <w:keepNext/>
      <w:keepLines/>
      <w:outlineLvl w:val="2"/>
    </w:pPr>
    <w:rPr>
      <w:bCs/>
      <w:i/>
      <w:color w:val="000000"/>
    </w:rPr>
  </w:style>
  <w:style w:type="paragraph" w:styleId="Heading4">
    <w:name w:val="heading 4"/>
    <w:aliases w:val="General Heading"/>
    <w:basedOn w:val="Normal"/>
    <w:next w:val="Normal"/>
    <w:link w:val="Heading4Char"/>
    <w:uiPriority w:val="9"/>
    <w:unhideWhenUsed/>
    <w:qFormat/>
    <w:rsid w:val="005E5910"/>
    <w:pPr>
      <w:outlineLvl w:val="3"/>
    </w:pPr>
    <w:rPr>
      <w:color w:val="0C2577"/>
      <w:sz w:val="60"/>
    </w:rPr>
  </w:style>
  <w:style w:type="paragraph" w:styleId="Heading5">
    <w:name w:val="heading 5"/>
    <w:aliases w:val="Chapter Heading"/>
    <w:basedOn w:val="Normal"/>
    <w:next w:val="Normal"/>
    <w:link w:val="Heading5Char"/>
    <w:uiPriority w:val="9"/>
    <w:unhideWhenUsed/>
    <w:qFormat/>
    <w:rsid w:val="005E5910"/>
    <w:pPr>
      <w:outlineLvl w:val="4"/>
    </w:pPr>
    <w:rPr>
      <w:b/>
      <w:sz w:val="32"/>
    </w:rPr>
  </w:style>
  <w:style w:type="paragraph" w:styleId="Heading6">
    <w:name w:val="heading 6"/>
    <w:aliases w:val="Cover Page Heading"/>
    <w:basedOn w:val="Normal"/>
    <w:next w:val="Normal"/>
    <w:link w:val="Heading6Char"/>
    <w:uiPriority w:val="9"/>
    <w:unhideWhenUsed/>
    <w:qFormat/>
    <w:rsid w:val="00F7706D"/>
    <w:pPr>
      <w:keepNext/>
      <w:keepLines/>
      <w:spacing w:before="200"/>
      <w:outlineLvl w:val="5"/>
    </w:pPr>
    <w:rPr>
      <w:iCs/>
      <w:color w:val="0C2577"/>
      <w:sz w:val="90"/>
    </w:rPr>
  </w:style>
  <w:style w:type="paragraph" w:styleId="Heading7">
    <w:name w:val="heading 7"/>
    <w:basedOn w:val="Heading6"/>
    <w:next w:val="Normal"/>
    <w:link w:val="Heading7Char"/>
    <w:uiPriority w:val="9"/>
    <w:semiHidden/>
    <w:unhideWhenUsed/>
    <w:rsid w:val="00255725"/>
    <w:pPr>
      <w:spacing w:after="120" w:line="288" w:lineRule="auto"/>
      <w:outlineLvl w:val="6"/>
    </w:pPr>
    <w:rPr>
      <w:rFonts w:eastAsiaTheme="majorEastAsia" w:cstheme="majorBidi"/>
      <w:b/>
      <w:color w:val="404040"/>
      <w:sz w:val="22"/>
      <w:szCs w:val="22"/>
    </w:rPr>
  </w:style>
  <w:style w:type="paragraph" w:styleId="Heading8">
    <w:name w:val="heading 8"/>
    <w:basedOn w:val="Normal"/>
    <w:next w:val="Normal"/>
    <w:link w:val="Heading8Char"/>
    <w:uiPriority w:val="9"/>
    <w:semiHidden/>
    <w:unhideWhenUsed/>
    <w:qFormat/>
    <w:rsid w:val="00255725"/>
    <w:pPr>
      <w:keepNext/>
      <w:keepLines/>
      <w:spacing w:before="200" w:line="288" w:lineRule="auto"/>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255725"/>
    <w:pPr>
      <w:keepNext/>
      <w:keepLines/>
      <w:spacing w:before="200" w:line="288" w:lineRule="auto"/>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7706D"/>
    <w:rPr>
      <w:rFonts w:ascii="Trebuchet MS" w:eastAsia="Times New Roman" w:hAnsi="Trebuchet MS" w:cs="Times New Roman"/>
      <w:b/>
      <w:bCs/>
      <w:color w:val="000000"/>
      <w:sz w:val="26"/>
      <w:szCs w:val="26"/>
    </w:rPr>
  </w:style>
  <w:style w:type="character" w:customStyle="1" w:styleId="Heading2Char">
    <w:name w:val="Heading 2 Char"/>
    <w:link w:val="Heading2"/>
    <w:uiPriority w:val="9"/>
    <w:rsid w:val="00F7706D"/>
    <w:rPr>
      <w:rFonts w:ascii="Trebuchet MS" w:eastAsia="Times New Roman" w:hAnsi="Trebuchet MS" w:cs="Times New Roman"/>
      <w:b/>
      <w:bCs/>
      <w:color w:val="000000"/>
    </w:rPr>
  </w:style>
  <w:style w:type="character" w:styleId="PlaceholderText">
    <w:name w:val="Placeholder Tex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cs="Tahoma"/>
      <w:sz w:val="16"/>
      <w:szCs w:val="16"/>
    </w:rPr>
  </w:style>
  <w:style w:type="character" w:customStyle="1" w:styleId="BalloonTextChar">
    <w:name w:val="Balloon Text Char"/>
    <w:link w:val="BalloonText"/>
    <w:uiPriority w:val="99"/>
    <w:semiHidden/>
    <w:rsid w:val="00B04B20"/>
    <w:rPr>
      <w:rFonts w:ascii="Tahoma" w:hAnsi="Tahoma" w:cs="Tahoma"/>
      <w:sz w:val="16"/>
      <w:szCs w:val="16"/>
    </w:rPr>
  </w:style>
  <w:style w:type="character" w:customStyle="1" w:styleId="Heading3Char">
    <w:name w:val="Heading 3 Char"/>
    <w:link w:val="Heading3"/>
    <w:uiPriority w:val="9"/>
    <w:rsid w:val="00F7706D"/>
    <w:rPr>
      <w:rFonts w:ascii="Trebuchet MS" w:eastAsia="Times New Roman" w:hAnsi="Trebuchet MS" w:cs="Times New Roman"/>
      <w:bCs/>
      <w:i/>
      <w:color w:val="000000"/>
    </w:rPr>
  </w:style>
  <w:style w:type="character" w:customStyle="1" w:styleId="Heading4Char">
    <w:name w:val="Heading 4 Char"/>
    <w:aliases w:val="General Heading Char"/>
    <w:link w:val="Heading4"/>
    <w:uiPriority w:val="9"/>
    <w:rsid w:val="00F7706D"/>
    <w:rPr>
      <w:rFonts w:ascii="Trebuchet MS" w:hAnsi="Trebuchet MS"/>
      <w:color w:val="0C2577"/>
      <w:sz w:val="60"/>
    </w:rPr>
  </w:style>
  <w:style w:type="character" w:customStyle="1" w:styleId="Heading5Char">
    <w:name w:val="Heading 5 Char"/>
    <w:aliases w:val="Chapter Heading Char"/>
    <w:link w:val="Heading5"/>
    <w:uiPriority w:val="9"/>
    <w:rsid w:val="00F7706D"/>
    <w:rPr>
      <w:rFonts w:ascii="Trebuchet MS" w:hAnsi="Trebuchet MS"/>
      <w:b/>
      <w:sz w:val="32"/>
    </w:rPr>
  </w:style>
  <w:style w:type="character" w:customStyle="1" w:styleId="Heading6Char">
    <w:name w:val="Heading 6 Char"/>
    <w:aliases w:val="Cover Page Heading Char"/>
    <w:link w:val="Heading6"/>
    <w:uiPriority w:val="9"/>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7031F4"/>
    <w:rPr>
      <w:sz w:val="20"/>
    </w:rPr>
  </w:style>
  <w:style w:type="paragraph" w:customStyle="1" w:styleId="Heading">
    <w:name w:val="Heading"/>
    <w:basedOn w:val="Normal"/>
    <w:rsid w:val="002436BD"/>
    <w:pPr>
      <w:jc w:val="both"/>
    </w:pPr>
    <w:rPr>
      <w:b/>
      <w:sz w:val="26"/>
      <w:szCs w:val="22"/>
    </w:rPr>
  </w:style>
  <w:style w:type="character" w:styleId="Hyperlink">
    <w:name w:val="Hyperlink"/>
    <w:uiPriority w:val="99"/>
    <w:unhideWhenUsed/>
    <w:rsid w:val="002436BD"/>
    <w:rPr>
      <w:color w:val="0000FF"/>
      <w:u w:val="single"/>
    </w:rPr>
  </w:style>
  <w:style w:type="paragraph" w:styleId="ListParagraph">
    <w:name w:val="List Paragraph"/>
    <w:basedOn w:val="Normal"/>
    <w:uiPriority w:val="34"/>
    <w:qFormat/>
    <w:rsid w:val="002436BD"/>
    <w:pPr>
      <w:ind w:left="720"/>
    </w:pPr>
  </w:style>
  <w:style w:type="character" w:styleId="CommentReference">
    <w:name w:val="annotation reference"/>
    <w:uiPriority w:val="99"/>
    <w:semiHidden/>
    <w:unhideWhenUsed/>
    <w:rsid w:val="002436BD"/>
    <w:rPr>
      <w:sz w:val="16"/>
      <w:szCs w:val="16"/>
    </w:rPr>
  </w:style>
  <w:style w:type="paragraph" w:styleId="CommentText">
    <w:name w:val="annotation text"/>
    <w:basedOn w:val="Normal"/>
    <w:link w:val="CommentTextChar"/>
    <w:uiPriority w:val="99"/>
    <w:unhideWhenUsed/>
    <w:rsid w:val="002436BD"/>
    <w:rPr>
      <w:sz w:val="20"/>
    </w:rPr>
  </w:style>
  <w:style w:type="character" w:customStyle="1" w:styleId="CommentTextChar">
    <w:name w:val="Comment Text Char"/>
    <w:link w:val="CommentText"/>
    <w:uiPriority w:val="99"/>
    <w:rsid w:val="002436BD"/>
    <w:rPr>
      <w:rFonts w:ascii="Trebuchet MS" w:eastAsia="Times New Roman" w:hAnsi="Trebuchet MS"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64B2E"/>
    <w:rPr>
      <w:b/>
      <w:bCs/>
    </w:rPr>
  </w:style>
  <w:style w:type="character" w:customStyle="1" w:styleId="CommentSubjectChar">
    <w:name w:val="Comment Subject Char"/>
    <w:link w:val="CommentSubject"/>
    <w:uiPriority w:val="99"/>
    <w:semiHidden/>
    <w:rsid w:val="00B64B2E"/>
    <w:rPr>
      <w:rFonts w:ascii="Trebuchet MS" w:eastAsia="Times New Roman" w:hAnsi="Trebuchet MS" w:cs="Times New Roman"/>
      <w:b/>
      <w:bCs/>
      <w:sz w:val="20"/>
      <w:szCs w:val="20"/>
      <w:lang w:eastAsia="en-AU"/>
    </w:rPr>
  </w:style>
  <w:style w:type="paragraph" w:styleId="Header">
    <w:name w:val="header"/>
    <w:basedOn w:val="Normal"/>
    <w:link w:val="HeaderChar"/>
    <w:unhideWhenUsed/>
    <w:rsid w:val="00D85E77"/>
    <w:pPr>
      <w:tabs>
        <w:tab w:val="center" w:pos="4513"/>
        <w:tab w:val="right" w:pos="9026"/>
      </w:tabs>
    </w:pPr>
  </w:style>
  <w:style w:type="character" w:customStyle="1" w:styleId="HeaderChar">
    <w:name w:val="Header Char"/>
    <w:basedOn w:val="DefaultParagraphFont"/>
    <w:link w:val="Header"/>
    <w:rsid w:val="00D85E77"/>
    <w:rPr>
      <w:rFonts w:ascii="Trebuchet MS" w:eastAsia="Times New Roman" w:hAnsi="Trebuchet MS"/>
      <w:sz w:val="22"/>
    </w:rPr>
  </w:style>
  <w:style w:type="paragraph" w:styleId="Footer">
    <w:name w:val="footer"/>
    <w:basedOn w:val="Normal"/>
    <w:link w:val="FooterChar"/>
    <w:uiPriority w:val="99"/>
    <w:unhideWhenUsed/>
    <w:rsid w:val="00D85E77"/>
    <w:pPr>
      <w:tabs>
        <w:tab w:val="center" w:pos="4513"/>
        <w:tab w:val="right" w:pos="9026"/>
      </w:tabs>
    </w:pPr>
  </w:style>
  <w:style w:type="character" w:customStyle="1" w:styleId="FooterChar">
    <w:name w:val="Footer Char"/>
    <w:basedOn w:val="DefaultParagraphFont"/>
    <w:link w:val="Footer"/>
    <w:uiPriority w:val="99"/>
    <w:rsid w:val="00D85E77"/>
    <w:rPr>
      <w:rFonts w:ascii="Trebuchet MS" w:eastAsia="Times New Roman" w:hAnsi="Trebuchet MS"/>
      <w:sz w:val="22"/>
    </w:rPr>
  </w:style>
  <w:style w:type="paragraph" w:styleId="BodyText">
    <w:name w:val="Body Text"/>
    <w:basedOn w:val="Normal"/>
    <w:link w:val="BodyTextChar"/>
    <w:uiPriority w:val="99"/>
    <w:rsid w:val="00FB7E76"/>
    <w:pPr>
      <w:spacing w:after="240"/>
    </w:pPr>
    <w:rPr>
      <w:rFonts w:ascii="Times New Roman" w:hAnsi="Times New Roman"/>
      <w:sz w:val="24"/>
    </w:rPr>
  </w:style>
  <w:style w:type="character" w:customStyle="1" w:styleId="BodyTextChar">
    <w:name w:val="Body Text Char"/>
    <w:basedOn w:val="DefaultParagraphFont"/>
    <w:link w:val="BodyText"/>
    <w:uiPriority w:val="99"/>
    <w:rsid w:val="00FB7E76"/>
    <w:rPr>
      <w:rFonts w:ascii="Times New Roman" w:eastAsia="Times New Roman" w:hAnsi="Times New Roman"/>
      <w:sz w:val="24"/>
    </w:rPr>
  </w:style>
  <w:style w:type="paragraph" w:styleId="Title">
    <w:name w:val="Title"/>
    <w:basedOn w:val="Normal"/>
    <w:link w:val="TitleChar"/>
    <w:uiPriority w:val="10"/>
    <w:qFormat/>
    <w:rsid w:val="00FB7E76"/>
    <w:pPr>
      <w:jc w:val="center"/>
    </w:pPr>
    <w:rPr>
      <w:rFonts w:ascii="Times New Roman" w:hAnsi="Times New Roman"/>
      <w:b/>
      <w:sz w:val="24"/>
      <w:lang w:val="en-US"/>
    </w:rPr>
  </w:style>
  <w:style w:type="character" w:customStyle="1" w:styleId="TitleChar">
    <w:name w:val="Title Char"/>
    <w:basedOn w:val="DefaultParagraphFont"/>
    <w:link w:val="Title"/>
    <w:uiPriority w:val="10"/>
    <w:rsid w:val="00FB7E76"/>
    <w:rPr>
      <w:rFonts w:ascii="Times New Roman" w:eastAsia="Times New Roman" w:hAnsi="Times New Roman"/>
      <w:b/>
      <w:sz w:val="24"/>
      <w:lang w:val="en-US"/>
    </w:rPr>
  </w:style>
  <w:style w:type="paragraph" w:styleId="Revision">
    <w:name w:val="Revision"/>
    <w:hidden/>
    <w:uiPriority w:val="99"/>
    <w:semiHidden/>
    <w:rsid w:val="00296D7F"/>
    <w:rPr>
      <w:rFonts w:ascii="Trebuchet MS" w:eastAsia="Times New Roman" w:hAnsi="Trebuchet MS"/>
      <w:sz w:val="22"/>
    </w:rPr>
  </w:style>
  <w:style w:type="character" w:customStyle="1" w:styleId="Heading7Char">
    <w:name w:val="Heading 7 Char"/>
    <w:basedOn w:val="DefaultParagraphFont"/>
    <w:link w:val="Heading7"/>
    <w:uiPriority w:val="9"/>
    <w:semiHidden/>
    <w:rsid w:val="00255725"/>
    <w:rPr>
      <w:rFonts w:ascii="Trebuchet MS" w:eastAsiaTheme="majorEastAsia" w:hAnsi="Trebuchet MS" w:cstheme="majorBidi"/>
      <w:b/>
      <w:iCs/>
      <w:color w:val="404040"/>
      <w:sz w:val="22"/>
      <w:szCs w:val="22"/>
    </w:rPr>
  </w:style>
  <w:style w:type="character" w:customStyle="1" w:styleId="Heading8Char">
    <w:name w:val="Heading 8 Char"/>
    <w:basedOn w:val="DefaultParagraphFont"/>
    <w:link w:val="Heading8"/>
    <w:uiPriority w:val="9"/>
    <w:semiHidden/>
    <w:rsid w:val="0025572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255725"/>
    <w:rPr>
      <w:rFonts w:asciiTheme="majorHAnsi" w:eastAsiaTheme="majorEastAsia" w:hAnsiTheme="majorHAnsi" w:cstheme="majorBidi"/>
      <w:i/>
      <w:iCs/>
      <w:color w:val="404040" w:themeColor="text1" w:themeTint="BF"/>
    </w:rPr>
  </w:style>
  <w:style w:type="paragraph" w:styleId="NoSpacing">
    <w:name w:val="No Spacing"/>
    <w:uiPriority w:val="1"/>
    <w:qFormat/>
    <w:rsid w:val="00255725"/>
    <w:pPr>
      <w:spacing w:after="120"/>
    </w:pPr>
    <w:rPr>
      <w:rFonts w:ascii="Trebuchet MS" w:eastAsiaTheme="minorHAnsi" w:hAnsi="Trebuchet MS"/>
      <w:sz w:val="22"/>
      <w:szCs w:val="22"/>
    </w:rPr>
  </w:style>
  <w:style w:type="paragraph" w:customStyle="1" w:styleId="Bullet">
    <w:name w:val="Bullet"/>
    <w:basedOn w:val="Normal"/>
    <w:link w:val="BulletChar"/>
    <w:rsid w:val="00255725"/>
    <w:pPr>
      <w:numPr>
        <w:numId w:val="8"/>
      </w:numPr>
      <w:tabs>
        <w:tab w:val="left" w:pos="1935"/>
      </w:tabs>
      <w:spacing w:before="120" w:after="120"/>
    </w:pPr>
    <w:rPr>
      <w:rFonts w:eastAsiaTheme="minorHAnsi"/>
      <w:sz w:val="24"/>
      <w:szCs w:val="22"/>
    </w:rPr>
  </w:style>
  <w:style w:type="character" w:customStyle="1" w:styleId="BulletChar">
    <w:name w:val="Bullet Char"/>
    <w:link w:val="Bullet"/>
    <w:rsid w:val="00255725"/>
    <w:rPr>
      <w:rFonts w:ascii="Trebuchet MS" w:eastAsiaTheme="minorHAnsi" w:hAnsi="Trebuchet MS"/>
      <w:sz w:val="24"/>
      <w:szCs w:val="22"/>
    </w:rPr>
  </w:style>
  <w:style w:type="paragraph" w:customStyle="1" w:styleId="Nonchapterheading">
    <w:name w:val="Non chapter heading"/>
    <w:basedOn w:val="Heading5"/>
    <w:link w:val="NonchapterheadingChar"/>
    <w:rsid w:val="00255725"/>
    <w:pPr>
      <w:keepNext/>
      <w:keepLines/>
      <w:spacing w:before="120" w:after="120" w:line="288" w:lineRule="auto"/>
      <w:ind w:left="360" w:hanging="360"/>
      <w:contextualSpacing/>
    </w:pPr>
    <w:rPr>
      <w:sz w:val="24"/>
      <w:szCs w:val="22"/>
    </w:rPr>
  </w:style>
  <w:style w:type="character" w:customStyle="1" w:styleId="NonchapterheadingChar">
    <w:name w:val="Non chapter heading Char"/>
    <w:basedOn w:val="Heading5Char"/>
    <w:link w:val="Nonchapterheading"/>
    <w:rsid w:val="00255725"/>
    <w:rPr>
      <w:rFonts w:ascii="Trebuchet MS" w:eastAsia="Times New Roman" w:hAnsi="Trebuchet MS"/>
      <w:b/>
      <w:sz w:val="24"/>
      <w:szCs w:val="22"/>
    </w:rPr>
  </w:style>
  <w:style w:type="paragraph" w:customStyle="1" w:styleId="Non-numberedchapterheading">
    <w:name w:val="Non-numbered chapter heading"/>
    <w:basedOn w:val="Heading5"/>
    <w:link w:val="Non-numberedchapterheadingChar"/>
    <w:rsid w:val="00255725"/>
    <w:pPr>
      <w:keepNext/>
      <w:keepLines/>
      <w:spacing w:before="120" w:after="120" w:line="288" w:lineRule="auto"/>
      <w:ind w:left="360" w:hanging="360"/>
      <w:contextualSpacing/>
    </w:pPr>
    <w:rPr>
      <w:sz w:val="24"/>
      <w:szCs w:val="22"/>
    </w:rPr>
  </w:style>
  <w:style w:type="character" w:customStyle="1" w:styleId="Non-numberedchapterheadingChar">
    <w:name w:val="Non-numbered chapter heading Char"/>
    <w:basedOn w:val="Heading5Char"/>
    <w:link w:val="Non-numberedchapterheading"/>
    <w:rsid w:val="00255725"/>
    <w:rPr>
      <w:rFonts w:ascii="Trebuchet MS" w:eastAsia="Times New Roman" w:hAnsi="Trebuchet MS"/>
      <w:b/>
      <w:sz w:val="24"/>
      <w:szCs w:val="22"/>
    </w:rPr>
  </w:style>
  <w:style w:type="paragraph" w:styleId="TOC1">
    <w:name w:val="toc 1"/>
    <w:basedOn w:val="Normal"/>
    <w:next w:val="Normal"/>
    <w:autoRedefine/>
    <w:uiPriority w:val="39"/>
    <w:unhideWhenUsed/>
    <w:rsid w:val="00255725"/>
    <w:pPr>
      <w:tabs>
        <w:tab w:val="right" w:leader="dot" w:pos="9016"/>
      </w:tabs>
      <w:spacing w:after="120" w:line="288" w:lineRule="auto"/>
    </w:pPr>
    <w:rPr>
      <w:rFonts w:eastAsiaTheme="minorHAnsi"/>
      <w:b/>
      <w:noProof/>
      <w:szCs w:val="22"/>
    </w:rPr>
  </w:style>
  <w:style w:type="paragraph" w:styleId="TOC2">
    <w:name w:val="toc 2"/>
    <w:basedOn w:val="Normal"/>
    <w:next w:val="Normal"/>
    <w:autoRedefine/>
    <w:uiPriority w:val="39"/>
    <w:unhideWhenUsed/>
    <w:rsid w:val="00255725"/>
    <w:pPr>
      <w:spacing w:after="120" w:line="288" w:lineRule="auto"/>
      <w:ind w:left="220"/>
    </w:pPr>
    <w:rPr>
      <w:rFonts w:eastAsiaTheme="minorHAnsi"/>
      <w:b/>
      <w:szCs w:val="22"/>
    </w:rPr>
  </w:style>
  <w:style w:type="paragraph" w:styleId="TOC3">
    <w:name w:val="toc 3"/>
    <w:basedOn w:val="Normal"/>
    <w:next w:val="Normal"/>
    <w:autoRedefine/>
    <w:uiPriority w:val="39"/>
    <w:unhideWhenUsed/>
    <w:rsid w:val="00255725"/>
    <w:pPr>
      <w:spacing w:after="120" w:line="288" w:lineRule="auto"/>
      <w:ind w:left="440"/>
    </w:pPr>
    <w:rPr>
      <w:rFonts w:eastAsiaTheme="minorHAnsi"/>
      <w:szCs w:val="22"/>
    </w:rPr>
  </w:style>
  <w:style w:type="paragraph" w:styleId="TOC4">
    <w:name w:val="toc 4"/>
    <w:basedOn w:val="Normal"/>
    <w:next w:val="Normal"/>
    <w:autoRedefine/>
    <w:uiPriority w:val="39"/>
    <w:unhideWhenUsed/>
    <w:rsid w:val="00255725"/>
    <w:pPr>
      <w:spacing w:after="120" w:line="288" w:lineRule="auto"/>
      <w:ind w:left="660"/>
    </w:pPr>
    <w:rPr>
      <w:rFonts w:eastAsiaTheme="minorHAnsi"/>
      <w:szCs w:val="22"/>
    </w:rPr>
  </w:style>
  <w:style w:type="paragraph" w:styleId="FootnoteText">
    <w:name w:val="footnote text"/>
    <w:basedOn w:val="Normal"/>
    <w:link w:val="FootnoteTextChar"/>
    <w:unhideWhenUsed/>
    <w:rsid w:val="00255725"/>
    <w:pPr>
      <w:spacing w:after="120"/>
    </w:pPr>
    <w:rPr>
      <w:rFonts w:eastAsiaTheme="minorHAnsi"/>
      <w:sz w:val="18"/>
      <w:szCs w:val="22"/>
    </w:rPr>
  </w:style>
  <w:style w:type="character" w:customStyle="1" w:styleId="FootnoteTextChar">
    <w:name w:val="Footnote Text Char"/>
    <w:basedOn w:val="DefaultParagraphFont"/>
    <w:link w:val="FootnoteText"/>
    <w:rsid w:val="00255725"/>
    <w:rPr>
      <w:rFonts w:ascii="Trebuchet MS" w:eastAsiaTheme="minorHAnsi" w:hAnsi="Trebuchet MS"/>
      <w:sz w:val="18"/>
      <w:szCs w:val="22"/>
    </w:rPr>
  </w:style>
  <w:style w:type="character" w:styleId="FootnoteReference">
    <w:name w:val="footnote reference"/>
    <w:unhideWhenUsed/>
    <w:rsid w:val="00255725"/>
    <w:rPr>
      <w:rFonts w:ascii="Trebuchet MS" w:hAnsi="Trebuchet MS"/>
      <w:i w:val="0"/>
      <w:color w:val="595959" w:themeColor="text1" w:themeTint="A6"/>
      <w:sz w:val="18"/>
      <w:vertAlign w:val="superscript"/>
    </w:rPr>
  </w:style>
  <w:style w:type="paragraph" w:styleId="Subtitle">
    <w:name w:val="Subtitle"/>
    <w:basedOn w:val="Normal"/>
    <w:next w:val="Normal"/>
    <w:link w:val="SubtitleChar"/>
    <w:uiPriority w:val="11"/>
    <w:qFormat/>
    <w:rsid w:val="00255725"/>
    <w:pPr>
      <w:numPr>
        <w:ilvl w:val="1"/>
      </w:numPr>
      <w:spacing w:after="120" w:line="288" w:lineRule="auto"/>
    </w:pPr>
    <w:rPr>
      <w:rFonts w:eastAsiaTheme="majorEastAsia" w:cstheme="majorBidi"/>
      <w:i/>
      <w:iCs/>
      <w:spacing w:val="15"/>
      <w:szCs w:val="24"/>
    </w:rPr>
  </w:style>
  <w:style w:type="character" w:customStyle="1" w:styleId="SubtitleChar">
    <w:name w:val="Subtitle Char"/>
    <w:basedOn w:val="DefaultParagraphFont"/>
    <w:link w:val="Subtitle"/>
    <w:uiPriority w:val="11"/>
    <w:rsid w:val="00255725"/>
    <w:rPr>
      <w:rFonts w:ascii="Trebuchet MS" w:eastAsiaTheme="majorEastAsia" w:hAnsi="Trebuchet MS" w:cstheme="majorBidi"/>
      <w:i/>
      <w:iCs/>
      <w:spacing w:val="15"/>
      <w:sz w:val="22"/>
      <w:szCs w:val="24"/>
    </w:rPr>
  </w:style>
  <w:style w:type="character" w:styleId="Strong">
    <w:name w:val="Strong"/>
    <w:uiPriority w:val="22"/>
    <w:qFormat/>
    <w:rsid w:val="00255725"/>
    <w:rPr>
      <w:rFonts w:ascii="Trebuchet MS" w:hAnsi="Trebuchet MS"/>
      <w:b/>
      <w:bCs/>
      <w:sz w:val="22"/>
    </w:rPr>
  </w:style>
  <w:style w:type="character" w:styleId="Emphasis">
    <w:name w:val="Emphasis"/>
    <w:uiPriority w:val="20"/>
    <w:qFormat/>
    <w:rsid w:val="00255725"/>
    <w:rPr>
      <w:rFonts w:ascii="Trebuchet MS" w:hAnsi="Trebuchet MS"/>
      <w:i/>
      <w:iCs/>
      <w:sz w:val="22"/>
    </w:rPr>
  </w:style>
  <w:style w:type="table" w:styleId="TableGrid">
    <w:name w:val="Table Grid"/>
    <w:basedOn w:val="TableNormal"/>
    <w:uiPriority w:val="59"/>
    <w:rsid w:val="00255725"/>
    <w:pPr>
      <w:spacing w:after="120"/>
    </w:pPr>
    <w:rPr>
      <w:rFonts w:ascii="Trebuchet MS" w:eastAsia="Times New Roman" w:hAnsi="Trebuchet MS"/>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ListNumber3"/>
    <w:link w:val="NumberedListChar"/>
    <w:rsid w:val="00255725"/>
    <w:pPr>
      <w:numPr>
        <w:numId w:val="15"/>
      </w:numPr>
    </w:pPr>
  </w:style>
  <w:style w:type="paragraph" w:styleId="Quote">
    <w:name w:val="Quote"/>
    <w:basedOn w:val="Normal"/>
    <w:next w:val="Normal"/>
    <w:link w:val="QuoteChar"/>
    <w:uiPriority w:val="29"/>
    <w:qFormat/>
    <w:rsid w:val="00255725"/>
    <w:pPr>
      <w:spacing w:after="120" w:line="288" w:lineRule="auto"/>
    </w:pPr>
    <w:rPr>
      <w:rFonts w:eastAsiaTheme="minorHAnsi"/>
      <w:i/>
      <w:iCs/>
      <w:color w:val="000000"/>
      <w:szCs w:val="22"/>
    </w:rPr>
  </w:style>
  <w:style w:type="character" w:customStyle="1" w:styleId="QuoteChar">
    <w:name w:val="Quote Char"/>
    <w:basedOn w:val="DefaultParagraphFont"/>
    <w:link w:val="Quote"/>
    <w:uiPriority w:val="29"/>
    <w:rsid w:val="00255725"/>
    <w:rPr>
      <w:rFonts w:ascii="Trebuchet MS" w:eastAsiaTheme="minorHAnsi" w:hAnsi="Trebuchet MS"/>
      <w:i/>
      <w:iCs/>
      <w:color w:val="000000"/>
      <w:sz w:val="22"/>
      <w:szCs w:val="22"/>
    </w:rPr>
  </w:style>
  <w:style w:type="paragraph" w:styleId="TOAHeading">
    <w:name w:val="toa heading"/>
    <w:basedOn w:val="Normal"/>
    <w:next w:val="Normal"/>
    <w:uiPriority w:val="99"/>
    <w:semiHidden/>
    <w:unhideWhenUsed/>
    <w:rsid w:val="00255725"/>
    <w:pPr>
      <w:spacing w:before="120" w:after="120" w:line="288" w:lineRule="auto"/>
    </w:pPr>
    <w:rPr>
      <w:rFonts w:eastAsiaTheme="majorEastAsia" w:cstheme="majorBidi"/>
      <w:b/>
      <w:bCs/>
      <w:sz w:val="28"/>
      <w:szCs w:val="24"/>
    </w:rPr>
  </w:style>
  <w:style w:type="character" w:styleId="IntenseEmphasis">
    <w:name w:val="Intense Emphasis"/>
    <w:uiPriority w:val="21"/>
    <w:qFormat/>
    <w:rsid w:val="00255725"/>
    <w:rPr>
      <w:rFonts w:ascii="Trebuchet MS" w:hAnsi="Trebuchet MS"/>
      <w:b/>
      <w:bCs/>
      <w:i/>
      <w:iCs/>
      <w:color w:val="000000" w:themeColor="text1"/>
      <w:sz w:val="22"/>
    </w:rPr>
  </w:style>
  <w:style w:type="paragraph" w:styleId="ListBullet">
    <w:name w:val="List Bullet"/>
    <w:basedOn w:val="List"/>
    <w:uiPriority w:val="99"/>
    <w:unhideWhenUsed/>
    <w:qFormat/>
    <w:rsid w:val="00255725"/>
    <w:pPr>
      <w:numPr>
        <w:numId w:val="16"/>
      </w:numPr>
      <w:contextualSpacing w:val="0"/>
    </w:pPr>
  </w:style>
  <w:style w:type="paragraph" w:styleId="ListNumber2">
    <w:name w:val="List Number 2"/>
    <w:basedOn w:val="Normal"/>
    <w:uiPriority w:val="99"/>
    <w:unhideWhenUsed/>
    <w:rsid w:val="00255725"/>
    <w:pPr>
      <w:numPr>
        <w:numId w:val="10"/>
      </w:numPr>
      <w:spacing w:after="120" w:line="288" w:lineRule="auto"/>
      <w:contextualSpacing/>
    </w:pPr>
    <w:rPr>
      <w:rFonts w:eastAsiaTheme="minorHAnsi"/>
      <w:szCs w:val="22"/>
    </w:rPr>
  </w:style>
  <w:style w:type="paragraph" w:styleId="ListNumber3">
    <w:name w:val="List Number 3"/>
    <w:basedOn w:val="Normal"/>
    <w:link w:val="ListNumber3Char"/>
    <w:uiPriority w:val="99"/>
    <w:unhideWhenUsed/>
    <w:rsid w:val="00255725"/>
    <w:pPr>
      <w:numPr>
        <w:numId w:val="11"/>
      </w:numPr>
      <w:spacing w:after="120" w:line="288" w:lineRule="auto"/>
      <w:contextualSpacing/>
    </w:pPr>
    <w:rPr>
      <w:rFonts w:eastAsiaTheme="minorHAnsi"/>
      <w:szCs w:val="22"/>
    </w:rPr>
  </w:style>
  <w:style w:type="paragraph" w:styleId="ListNumber4">
    <w:name w:val="List Number 4"/>
    <w:basedOn w:val="Normal"/>
    <w:uiPriority w:val="99"/>
    <w:semiHidden/>
    <w:unhideWhenUsed/>
    <w:rsid w:val="00255725"/>
    <w:pPr>
      <w:numPr>
        <w:numId w:val="12"/>
      </w:numPr>
      <w:spacing w:after="120" w:line="288" w:lineRule="auto"/>
      <w:contextualSpacing/>
    </w:pPr>
    <w:rPr>
      <w:rFonts w:eastAsiaTheme="minorHAnsi"/>
      <w:szCs w:val="22"/>
    </w:rPr>
  </w:style>
  <w:style w:type="paragraph" w:styleId="ListNumber5">
    <w:name w:val="List Number 5"/>
    <w:basedOn w:val="Normal"/>
    <w:uiPriority w:val="99"/>
    <w:semiHidden/>
    <w:unhideWhenUsed/>
    <w:rsid w:val="00255725"/>
    <w:pPr>
      <w:numPr>
        <w:numId w:val="13"/>
      </w:numPr>
      <w:spacing w:after="120" w:line="288" w:lineRule="auto"/>
      <w:contextualSpacing/>
    </w:pPr>
    <w:rPr>
      <w:rFonts w:eastAsiaTheme="minorHAnsi"/>
      <w:szCs w:val="22"/>
    </w:rPr>
  </w:style>
  <w:style w:type="paragraph" w:styleId="ListNumber">
    <w:name w:val="List Number"/>
    <w:basedOn w:val="Normal"/>
    <w:uiPriority w:val="99"/>
    <w:unhideWhenUsed/>
    <w:rsid w:val="00255725"/>
    <w:pPr>
      <w:numPr>
        <w:numId w:val="9"/>
      </w:numPr>
      <w:spacing w:after="120" w:line="288" w:lineRule="auto"/>
      <w:contextualSpacing/>
    </w:pPr>
    <w:rPr>
      <w:rFonts w:eastAsiaTheme="minorHAnsi"/>
      <w:szCs w:val="22"/>
    </w:rPr>
  </w:style>
  <w:style w:type="paragraph" w:styleId="List">
    <w:name w:val="List"/>
    <w:basedOn w:val="Normal"/>
    <w:uiPriority w:val="99"/>
    <w:unhideWhenUsed/>
    <w:rsid w:val="00255725"/>
    <w:pPr>
      <w:spacing w:after="120" w:line="288" w:lineRule="auto"/>
      <w:ind w:left="283" w:hanging="283"/>
      <w:contextualSpacing/>
    </w:pPr>
    <w:rPr>
      <w:rFonts w:eastAsiaTheme="minorHAnsi"/>
      <w:szCs w:val="22"/>
    </w:rPr>
  </w:style>
  <w:style w:type="paragraph" w:styleId="List2">
    <w:name w:val="List 2"/>
    <w:basedOn w:val="Normal"/>
    <w:uiPriority w:val="99"/>
    <w:unhideWhenUsed/>
    <w:rsid w:val="00255725"/>
    <w:pPr>
      <w:spacing w:after="120" w:line="288" w:lineRule="auto"/>
      <w:ind w:left="566" w:hanging="283"/>
      <w:contextualSpacing/>
    </w:pPr>
    <w:rPr>
      <w:rFonts w:eastAsiaTheme="minorHAnsi"/>
      <w:szCs w:val="22"/>
    </w:rPr>
  </w:style>
  <w:style w:type="paragraph" w:styleId="List3">
    <w:name w:val="List 3"/>
    <w:basedOn w:val="Normal"/>
    <w:uiPriority w:val="99"/>
    <w:unhideWhenUsed/>
    <w:rsid w:val="00255725"/>
    <w:pPr>
      <w:spacing w:after="120" w:line="288" w:lineRule="auto"/>
      <w:ind w:left="849" w:hanging="283"/>
      <w:contextualSpacing/>
    </w:pPr>
    <w:rPr>
      <w:rFonts w:eastAsiaTheme="minorHAnsi"/>
      <w:szCs w:val="22"/>
    </w:rPr>
  </w:style>
  <w:style w:type="paragraph" w:styleId="List4">
    <w:name w:val="List 4"/>
    <w:basedOn w:val="Normal"/>
    <w:uiPriority w:val="99"/>
    <w:unhideWhenUsed/>
    <w:rsid w:val="00255725"/>
    <w:pPr>
      <w:spacing w:after="120" w:line="288" w:lineRule="auto"/>
      <w:ind w:left="1132" w:hanging="283"/>
      <w:contextualSpacing/>
    </w:pPr>
    <w:rPr>
      <w:rFonts w:eastAsiaTheme="minorHAnsi"/>
      <w:szCs w:val="22"/>
    </w:rPr>
  </w:style>
  <w:style w:type="numbering" w:styleId="111111">
    <w:name w:val="Outline List 2"/>
    <w:basedOn w:val="NoList"/>
    <w:uiPriority w:val="99"/>
    <w:semiHidden/>
    <w:unhideWhenUsed/>
    <w:rsid w:val="00255725"/>
    <w:pPr>
      <w:numPr>
        <w:numId w:val="14"/>
      </w:numPr>
    </w:pPr>
  </w:style>
  <w:style w:type="character" w:customStyle="1" w:styleId="ListNumber3Char">
    <w:name w:val="List Number 3 Char"/>
    <w:basedOn w:val="DefaultParagraphFont"/>
    <w:link w:val="ListNumber3"/>
    <w:uiPriority w:val="99"/>
    <w:rsid w:val="00255725"/>
    <w:rPr>
      <w:rFonts w:ascii="Trebuchet MS" w:eastAsiaTheme="minorHAnsi" w:hAnsi="Trebuchet MS"/>
      <w:sz w:val="22"/>
      <w:szCs w:val="22"/>
    </w:rPr>
  </w:style>
  <w:style w:type="character" w:customStyle="1" w:styleId="NumberedListChar">
    <w:name w:val="Numbered List Char"/>
    <w:basedOn w:val="ListNumber3Char"/>
    <w:link w:val="NumberedList"/>
    <w:rsid w:val="00255725"/>
    <w:rPr>
      <w:rFonts w:ascii="Trebuchet MS" w:eastAsiaTheme="minorHAnsi" w:hAnsi="Trebuchet MS"/>
      <w:sz w:val="22"/>
      <w:szCs w:val="22"/>
    </w:rPr>
  </w:style>
  <w:style w:type="paragraph" w:styleId="TOCHeading">
    <w:name w:val="TOC Heading"/>
    <w:basedOn w:val="Heading1"/>
    <w:next w:val="Normal"/>
    <w:uiPriority w:val="39"/>
    <w:unhideWhenUsed/>
    <w:qFormat/>
    <w:rsid w:val="00255725"/>
    <w:pPr>
      <w:spacing w:before="480" w:line="360" w:lineRule="auto"/>
      <w:contextualSpacing/>
      <w:outlineLvl w:val="9"/>
    </w:pPr>
    <w:rPr>
      <w:rFonts w:asciiTheme="majorHAnsi" w:eastAsiaTheme="majorEastAsia" w:hAnsiTheme="majorHAnsi" w:cstheme="majorBidi"/>
      <w:color w:val="auto"/>
      <w:sz w:val="36"/>
      <w:szCs w:val="28"/>
    </w:rPr>
  </w:style>
  <w:style w:type="paragraph" w:customStyle="1" w:styleId="TableColumnHeading">
    <w:name w:val="Table Column Heading"/>
    <w:basedOn w:val="Normal"/>
    <w:rsid w:val="00255725"/>
    <w:pPr>
      <w:widowControl w:val="0"/>
      <w:spacing w:before="120" w:after="120"/>
    </w:pPr>
    <w:rPr>
      <w:rFonts w:eastAsia="Times" w:cstheme="majorBidi"/>
      <w:b/>
      <w:iCs/>
      <w:color w:val="000000" w:themeColor="text1"/>
    </w:rPr>
  </w:style>
  <w:style w:type="paragraph" w:customStyle="1" w:styleId="TableColumnSub-Heading">
    <w:name w:val="Table Column Sub-Heading"/>
    <w:basedOn w:val="Normal"/>
    <w:rsid w:val="00255725"/>
    <w:pPr>
      <w:keepNext/>
      <w:widowControl w:val="0"/>
      <w:spacing w:before="60" w:after="60"/>
    </w:pPr>
    <w:rPr>
      <w:rFonts w:eastAsiaTheme="minorHAnsi" w:cstheme="minorBidi"/>
      <w:b/>
      <w:sz w:val="20"/>
      <w:szCs w:val="22"/>
    </w:rPr>
  </w:style>
  <w:style w:type="paragraph" w:customStyle="1" w:styleId="TableRowHeading">
    <w:name w:val="Table Row Heading"/>
    <w:basedOn w:val="Normal"/>
    <w:rsid w:val="00255725"/>
    <w:pPr>
      <w:keepNext/>
      <w:widowControl w:val="0"/>
      <w:spacing w:before="120" w:after="120"/>
    </w:pPr>
    <w:rPr>
      <w:rFonts w:eastAsiaTheme="minorHAnsi"/>
      <w:b/>
      <w:i/>
      <w:sz w:val="20"/>
      <w:szCs w:val="22"/>
    </w:rPr>
  </w:style>
  <w:style w:type="table" w:customStyle="1" w:styleId="APRAWorkingPaperTable">
    <w:name w:val="APRA Working Paper Table"/>
    <w:basedOn w:val="TableNormal"/>
    <w:uiPriority w:val="99"/>
    <w:rsid w:val="00255725"/>
    <w:rPr>
      <w:rFonts w:ascii="Trebuchet MS" w:eastAsiaTheme="minorHAnsi" w:hAnsi="Trebuchet MS"/>
      <w:szCs w:val="22"/>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0" w:firstLineChars="0" w:firstLine="0"/>
        <w:jc w:val="left"/>
        <w:outlineLvl w:val="3"/>
      </w:pPr>
      <w:rPr>
        <w:rFonts w:ascii="Trebuchet MS" w:hAnsi="Trebuchet MS"/>
        <w:b w:val="0"/>
        <w:i w:val="0"/>
        <w:sz w:val="22"/>
      </w:rPr>
      <w:tblPr/>
      <w:tcPr>
        <w:shd w:val="clear" w:color="auto" w:fill="FBD4B4" w:themeFill="accent6" w:themeFillTint="66"/>
        <w:vAlign w:val="center"/>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character" w:styleId="FollowedHyperlink">
    <w:name w:val="FollowedHyperlink"/>
    <w:basedOn w:val="DefaultParagraphFont"/>
    <w:uiPriority w:val="99"/>
    <w:semiHidden/>
    <w:unhideWhenUsed/>
    <w:rsid w:val="00255725"/>
    <w:rPr>
      <w:color w:val="800080" w:themeColor="followedHyperlink"/>
      <w:u w:val="single"/>
    </w:rPr>
  </w:style>
  <w:style w:type="character" w:styleId="SubtleEmphasis">
    <w:name w:val="Subtle Emphasis"/>
    <w:basedOn w:val="DefaultParagraphFont"/>
    <w:uiPriority w:val="19"/>
    <w:qFormat/>
    <w:rsid w:val="00255725"/>
    <w:rPr>
      <w:i/>
      <w:iCs/>
      <w:color w:val="808080" w:themeColor="text1" w:themeTint="7F"/>
    </w:rPr>
  </w:style>
  <w:style w:type="paragraph" w:customStyle="1" w:styleId="Default">
    <w:name w:val="Default"/>
    <w:rsid w:val="00255725"/>
    <w:pPr>
      <w:autoSpaceDE w:val="0"/>
      <w:autoSpaceDN w:val="0"/>
      <w:adjustRightInd w:val="0"/>
    </w:pPr>
    <w:rPr>
      <w:rFonts w:ascii="Times New Roman" w:eastAsia="Times New Roman" w:hAnsi="Times New Roman"/>
      <w:color w:val="000000"/>
      <w:sz w:val="24"/>
      <w:szCs w:val="24"/>
    </w:rPr>
  </w:style>
  <w:style w:type="paragraph" w:customStyle="1" w:styleId="Paragraphtext">
    <w:name w:val="Paragraph text"/>
    <w:basedOn w:val="Default"/>
    <w:qFormat/>
    <w:rsid w:val="00255725"/>
    <w:pPr>
      <w:widowControl w:val="0"/>
      <w:spacing w:before="240" w:after="200" w:line="360" w:lineRule="auto"/>
      <w:jc w:val="both"/>
    </w:pPr>
    <w:rPr>
      <w:rFonts w:eastAsiaTheme="minorHAnsi"/>
      <w:lang w:eastAsia="en-US"/>
    </w:rPr>
  </w:style>
  <w:style w:type="paragraph" w:customStyle="1" w:styleId="Dotpoints">
    <w:name w:val="Dot points"/>
    <w:basedOn w:val="Default"/>
    <w:qFormat/>
    <w:rsid w:val="00255725"/>
    <w:pPr>
      <w:spacing w:before="240" w:after="200" w:line="360" w:lineRule="auto"/>
      <w:jc w:val="both"/>
    </w:pPr>
    <w:rPr>
      <w:rFonts w:eastAsiaTheme="minorHAnsi"/>
      <w:lang w:eastAsia="en-US"/>
    </w:rPr>
  </w:style>
  <w:style w:type="table" w:customStyle="1" w:styleId="TableGrid1">
    <w:name w:val="Table Grid1"/>
    <w:basedOn w:val="TableNormal"/>
    <w:next w:val="TableGrid"/>
    <w:uiPriority w:val="59"/>
    <w:rsid w:val="00255725"/>
    <w:pPr>
      <w:spacing w:after="120"/>
    </w:pPr>
    <w:rPr>
      <w:rFonts w:ascii="Trebuchet MS" w:eastAsia="Times New Roman" w:hAnsi="Trebuchet M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ra-rtestyle-paragraphs1">
    <w:name w:val="apra-rtestyle-paragraphs1"/>
    <w:basedOn w:val="DefaultParagraphFont"/>
    <w:rsid w:val="00255725"/>
    <w:rPr>
      <w:rFonts w:ascii="Verdana" w:hAnsi="Verdana" w:hint="default"/>
      <w:b w:val="0"/>
      <w:bCs w:val="0"/>
      <w:color w:val="333333"/>
      <w:sz w:val="24"/>
      <w:szCs w:val="24"/>
    </w:rPr>
  </w:style>
  <w:style w:type="paragraph" w:customStyle="1" w:styleId="TableText">
    <w:name w:val="TableText"/>
    <w:basedOn w:val="Normal"/>
    <w:uiPriority w:val="99"/>
    <w:rsid w:val="00255725"/>
    <w:pPr>
      <w:spacing w:before="120" w:after="120"/>
    </w:pPr>
    <w:rPr>
      <w:rFonts w:ascii="Arial" w:eastAsiaTheme="minorHAnsi" w:hAnsi="Arial" w:cs="Arial"/>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8aef97a4-ded2-4e4a-9fbc-e666dae3ecd2" ContentTypeId="0x0101008CA7A4F8331B45C7B0D3158B4994D0CA02" PreviousValue="false"/>
</file>

<file path=customXml/item2.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41" ma:contentTypeDescription="Create a new document." ma:contentTypeScope="" ma:versionID="593a7336944447a431342e13939a075b">
  <xsd:schema xmlns:xsd="http://www.w3.org/2001/XMLSchema" xmlns:xs="http://www.w3.org/2001/XMLSchema" xmlns:p="http://schemas.microsoft.com/office/2006/metadata/properties" xmlns:ns1="814d62cb-2db6-4c25-ab62-b9075facbc11" targetNamespace="http://schemas.microsoft.com/office/2006/metadata/properties" ma:root="true" ma:fieldsID="f09e4a90de645c7ef264041fb58de94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DLM: For Official Use Only" ma:hidden="true" ma:internalName="APRASecurityClassification" ma:readOnly="false">
      <xsd:simpleType>
        <xsd:restriction base="dms:Choice">
          <xsd:enumeration value="UNCLASSIFIED"/>
          <xsd:enumeration value="DLM: For Official Use Only"/>
          <xsd:enumeration value="DLM: Sensitive"/>
          <xsd:enumeration value="DLM: Sensitive: Legal"/>
          <xsd:enumeration value="DLM: Sensitive: Personal"/>
          <xsd:enumeration value="PROTECTED"/>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Explanatory statement</TermName>
          <TermId xmlns="http://schemas.microsoft.com/office/infopath/2007/PartnerControls">b22f2e2f-3f73-411b-9a7c-34264d26fa25</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UNCLASSIFIED</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2017-12-13T13:00:00+00:00</APRADat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24</Value>
      <Value>83</Value>
      <Value>234</Value>
      <Value>134</Value>
      <Value>10</Value>
      <Value>26</Value>
      <Value>109</Value>
      <Value>158</Value>
      <Value>4</Value>
      <Value>19</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Explanatory Statement (ES) for Banking exemption No 1 of 2017</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PAD300</TermName>
          <TermId xmlns="http://schemas.microsoft.com/office/infopath/2007/PartnerControls">98bbdbe4-d019-48eb-87c4-aa31a7f2f98f</TermId>
        </TermInfo>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Info xmlns="http://schemas.microsoft.com/office/infopath/2007/PartnerControls">
          <TermName xmlns="http://schemas.microsoft.com/office/infopath/2007/PartnerControls">Legal - Corporate and Resolution</TermName>
          <TermId xmlns="http://schemas.microsoft.com/office/infopath/2007/PartnerControls">696624b1-19f4-47b2-a07b-57868a922a96</TermId>
        </TermInfo>
      </Terms>
    </p10c80fc2da942ae8f2ea9b33b6ea0ba>
    <i08e72d8ce2b4ffa9361f9f4e0a63abc xmlns="814d62cb-2db6-4c25-ab62-b9075facbc11">
      <Terms xmlns="http://schemas.microsoft.com/office/infopath/2007/PartnerControl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5JENXJJSCC7A-445999044-4571</_dlc_DocId>
    <_dlc_DocIdUrl xmlns="814d62cb-2db6-4c25-ab62-b9075facbc11">
      <Url>https://im/teams/LEGAL/_layouts/15/DocIdRedir.aspx?ID=5JENXJJSCC7A-445999044-4571</Url>
      <Description>5JENXJJSCC7A-445999044-4571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4B439-5FFD-4A37-9D26-3418F02F0A21}">
  <ds:schemaRefs>
    <ds:schemaRef ds:uri="Microsoft.SharePoint.Taxonomy.ContentTypeSync"/>
  </ds:schemaRefs>
</ds:datastoreItem>
</file>

<file path=customXml/itemProps2.xml><?xml version="1.0" encoding="utf-8"?>
<ds:datastoreItem xmlns:ds="http://schemas.openxmlformats.org/officeDocument/2006/customXml" ds:itemID="{9B817FAB-9542-4955-858F-4302480C22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E31285-BE66-4F53-97E9-CA6707BD4EAD}">
  <ds:schemaRefs>
    <ds:schemaRef ds:uri="http://purl.org/dc/elements/1.1/"/>
    <ds:schemaRef ds:uri="http://purl.org/dc/terms/"/>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814d62cb-2db6-4c25-ab62-b9075facbc11"/>
    <ds:schemaRef ds:uri="http://www.w3.org/XML/1998/namespace"/>
  </ds:schemaRefs>
</ds:datastoreItem>
</file>

<file path=customXml/itemProps4.xml><?xml version="1.0" encoding="utf-8"?>
<ds:datastoreItem xmlns:ds="http://schemas.openxmlformats.org/officeDocument/2006/customXml" ds:itemID="{BEF08EF6-04F6-4CB2-A577-68F1582D1F0B}">
  <ds:schemaRefs>
    <ds:schemaRef ds:uri="http://schemas.microsoft.com/sharepoint/v3/contenttype/forms"/>
  </ds:schemaRefs>
</ds:datastoreItem>
</file>

<file path=customXml/itemProps5.xml><?xml version="1.0" encoding="utf-8"?>
<ds:datastoreItem xmlns:ds="http://schemas.openxmlformats.org/officeDocument/2006/customXml" ds:itemID="{8F03F019-A173-40D8-82F2-CCCC5D860C71}">
  <ds:schemaRefs>
    <ds:schemaRef ds:uri="http://schemas.microsoft.com/sharepoint/events"/>
  </ds:schemaRefs>
</ds:datastoreItem>
</file>

<file path=customXml/itemProps6.xml><?xml version="1.0" encoding="utf-8"?>
<ds:datastoreItem xmlns:ds="http://schemas.openxmlformats.org/officeDocument/2006/customXml" ds:itemID="{AAC1D315-A9EE-40B1-BD90-09D0C7964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1108</Words>
  <Characters>5630</Characters>
  <Application>Microsoft Office Word</Application>
  <DocSecurity>0</DocSecurity>
  <Lines>106</Lines>
  <Paragraphs>47</Paragraphs>
  <ScaleCrop>false</ScaleCrop>
  <HeadingPairs>
    <vt:vector size="2" baseType="variant">
      <vt:variant>
        <vt:lpstr>Title</vt:lpstr>
      </vt:variant>
      <vt:variant>
        <vt:i4>1</vt:i4>
      </vt:variant>
    </vt:vector>
  </HeadingPairs>
  <TitlesOfParts>
    <vt:vector size="1" baseType="lpstr">
      <vt:lpstr>RCDF Banking exemption order - ES</vt:lpstr>
    </vt:vector>
  </TitlesOfParts>
  <LinksUpToDate>false</LinksUpToDate>
  <CharactersWithSpaces>6691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 Banking exemption No 1 of 2017</dc:title>
  <dc:creator/>
  <cp:keywords>[SEC=UNCLASSIFIED]</cp:keywords>
  <cp:lastModifiedBy/>
  <cp:revision>1</cp:revision>
  <dcterms:created xsi:type="dcterms:W3CDTF">2017-12-19T00:25:00Z</dcterms:created>
  <dcterms:modified xsi:type="dcterms:W3CDTF">2017-12-19T00:25:00Z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Originator_Hash_SHA1">
    <vt:lpwstr>C3AD57350F36D8E1BD75F8F67CB06D435C9C43CA</vt:lpwstr>
  </property>
  <property fmtid="{D5CDD505-2E9C-101B-9397-08002B2CF9AE}" pid="3" name="PM_SecurityClassification">
    <vt:lpwstr>UNCLASSIFIED</vt:lpwstr>
  </property>
  <property fmtid="{D5CDD505-2E9C-101B-9397-08002B2CF9AE}" pid="4" name="PM_DisplayValueSecClassificationWithQualifier">
    <vt:lpwstr>UNCLASSIFIED</vt:lpwstr>
  </property>
  <property fmtid="{D5CDD505-2E9C-101B-9397-08002B2CF9AE}" pid="5" name="PM_Qualifier">
    <vt:lpwstr/>
  </property>
  <property fmtid="{D5CDD505-2E9C-101B-9397-08002B2CF9AE}" pid="6" name="PM_Hash_SHA1">
    <vt:lpwstr>2594D163EECD3D8DE38095E6F3022E446A0ADCFB</vt:lpwstr>
  </property>
  <property fmtid="{D5CDD505-2E9C-101B-9397-08002B2CF9AE}" pid="7" name="PM_InsertionValue">
    <vt:lpwstr>UNCLASSIFIED</vt:lpwstr>
  </property>
  <property fmtid="{D5CDD505-2E9C-101B-9397-08002B2CF9AE}" pid="8" name="PM_Hash_Salt">
    <vt:lpwstr>4148BBD81A076D18C970581AE193E08C</vt:lpwstr>
  </property>
  <property fmtid="{D5CDD505-2E9C-101B-9397-08002B2CF9AE}" pid="9" name="PM_Hash_Version">
    <vt:lpwstr>2016.1</vt:lpwstr>
  </property>
  <property fmtid="{D5CDD505-2E9C-101B-9397-08002B2CF9AE}" pid="10" name="PM_Hash_Salt_Prev">
    <vt:lpwstr>942F9CCB7D700840F60D411424EC3E55</vt:lpwstr>
  </property>
  <property fmtid="{D5CDD505-2E9C-101B-9397-08002B2CF9AE}" pid="11" name="PM_Caveats_Count">
    <vt:lpwstr>0</vt:lpwstr>
  </property>
  <property fmtid="{D5CDD505-2E9C-101B-9397-08002B2CF9AE}" pid="12" name="PM_SecurityClassification_Prev">
    <vt:lpwstr>UNCLASSIFIED</vt:lpwstr>
  </property>
  <property fmtid="{D5CDD505-2E9C-101B-9397-08002B2CF9AE}" pid="13" name="PM_Qualifier_Prev">
    <vt:lpwstr/>
  </property>
  <property fmtid="{D5CDD505-2E9C-101B-9397-08002B2CF9AE}" pid="14" name="PM_ProtectiveMarkingImage_Header">
    <vt:lpwstr>C:\Program Files (x86)\Common Files\janusNET Shared\janusSEAL\Images\DocumentSlashBlue.png</vt:lpwstr>
  </property>
  <property fmtid="{D5CDD505-2E9C-101B-9397-08002B2CF9AE}" pid="15" name="PM_ProtectiveMarkingValue_Header">
    <vt:lpwstr>UNCLASSIFIED</vt:lpwstr>
  </property>
  <property fmtid="{D5CDD505-2E9C-101B-9397-08002B2CF9AE}" pid="16" name="PM_ProtectiveMarkingValue_Footer">
    <vt:lpwstr>UNCLASSIFIED</vt:lpwstr>
  </property>
  <property fmtid="{D5CDD505-2E9C-101B-9397-08002B2CF9AE}" pid="17" name="PM_ProtectiveMarkingImage_Footer">
    <vt:lpwstr>C:\Program Files (x86)\Common Files\janusNET Shared\janusSEAL\Images\DocumentSlashBlue.png</vt:lpwstr>
  </property>
  <property fmtid="{D5CDD505-2E9C-101B-9397-08002B2CF9AE}" pid="18" name="PM_Namespace">
    <vt:lpwstr>gov.au</vt:lpwstr>
  </property>
  <property fmtid="{D5CDD505-2E9C-101B-9397-08002B2CF9AE}" pid="19" name="PM_Version">
    <vt:lpwstr>2012.3</vt:lpwstr>
  </property>
  <property fmtid="{D5CDD505-2E9C-101B-9397-08002B2CF9AE}" pid="20" name="PM_Originating_FileId">
    <vt:lpwstr>59C61E2FC4034E99A66C60572E8693A4</vt:lpwstr>
  </property>
  <property fmtid="{D5CDD505-2E9C-101B-9397-08002B2CF9AE}" pid="21" name="PM_OriginationTimeStamp">
    <vt:lpwstr>2017-12-19T00:25:34Z</vt:lpwstr>
  </property>
  <property fmtid="{D5CDD505-2E9C-101B-9397-08002B2CF9AE}" pid="22" name="ContentTypeId">
    <vt:lpwstr>0x0101008CA7A4F8331B45C7B0D3158B4994D0CA0200577EC0F5A1FBFC498F9A8436B963F8A6</vt:lpwstr>
  </property>
  <property fmtid="{D5CDD505-2E9C-101B-9397-08002B2CF9AE}" pid="23" name="APRAPeriod">
    <vt:lpwstr/>
  </property>
  <property fmtid="{D5CDD505-2E9C-101B-9397-08002B2CF9AE}" pid="24" name="APRACostCentre">
    <vt:lpwstr>158;#PAD300|98bbdbe4-d019-48eb-87c4-aa31a7f2f98f;#24;#Legal - ADI|652d8d2a-ab45-47b4-ac6e-fe6ac9299b39;#26;#Legal - Insurance: General|8229dc1a-d7f2-47b2-844a-b026fed0c13d;#83;#Legal - Insurance: Life|56f18b50-6605-4f3f-97e3-cad1cb5394e0;#134;#Legal - Superannuation|cce3181d-fd23-4eee-94d3-c66abc2350cf;#4;#Legal - Corporate and Resolution|696624b1-19f4-47b2-a07b-57868a922a96</vt:lpwstr>
  </property>
  <property fmtid="{D5CDD505-2E9C-101B-9397-08002B2CF9AE}" pid="25" name="APRALegislation">
    <vt:lpwstr/>
  </property>
  <property fmtid="{D5CDD505-2E9C-101B-9397-08002B2CF9AE}" pid="26" name="APRAYear">
    <vt:lpwstr/>
  </property>
  <property fmtid="{D5CDD505-2E9C-101B-9397-08002B2CF9AE}" pid="27" name="APRAIndustry">
    <vt:lpwstr/>
  </property>
  <property fmtid="{D5CDD505-2E9C-101B-9397-08002B2CF9AE}" pid="28" name="APRAPRSG">
    <vt:lpwstr/>
  </property>
  <property fmtid="{D5CDD505-2E9C-101B-9397-08002B2CF9AE}" pid="29" name="_dlc_DocIdItemGuid">
    <vt:lpwstr>d2051c06-43b8-40c7-9bdd-b29a66aa3afa</vt:lpwstr>
  </property>
  <property fmtid="{D5CDD505-2E9C-101B-9397-08002B2CF9AE}" pid="30" name="IsLocked">
    <vt:lpwstr>False</vt:lpwstr>
  </property>
  <property fmtid="{D5CDD505-2E9C-101B-9397-08002B2CF9AE}" pid="31" name="IT system type">
    <vt:lpwstr/>
  </property>
  <property fmtid="{D5CDD505-2E9C-101B-9397-08002B2CF9AE}" pid="32" name="APRACategory">
    <vt:lpwstr/>
  </property>
  <property fmtid="{D5CDD505-2E9C-101B-9397-08002B2CF9AE}" pid="33" name="APRADocumentType">
    <vt:lpwstr>234;#Explanatory statement|b22f2e2f-3f73-411b-9a7c-34264d26fa25</vt:lpwstr>
  </property>
  <property fmtid="{D5CDD505-2E9C-101B-9397-08002B2CF9AE}" pid="34" name="APRAStatus">
    <vt:lpwstr>19;#Final|84d6b2d0-8498-4d62-bf46-bab38babbe9e</vt:lpwstr>
  </property>
  <property fmtid="{D5CDD505-2E9C-101B-9397-08002B2CF9AE}" pid="35" name="APRAActivity">
    <vt:lpwstr>10;#Registration|390476ce-d76d-4e8d-905f-28e32d2df127;#109;#Statutory instrument|fe68928c-5a9c-4caf-bc8c-6c18cedcb17f</vt:lpwstr>
  </property>
  <property fmtid="{D5CDD505-2E9C-101B-9397-08002B2CF9AE}" pid="36" name="APRAEntityAdviceSupport">
    <vt:lpwstr/>
  </property>
  <property fmtid="{D5CDD505-2E9C-101B-9397-08002B2CF9AE}" pid="37" name="APRAExternalOrganisation">
    <vt:lpwstr/>
  </property>
  <property fmtid="{D5CDD505-2E9C-101B-9397-08002B2CF9AE}" pid="38" name="APRAIRTR">
    <vt:lpwstr/>
  </property>
  <property fmtid="{D5CDD505-2E9C-101B-9397-08002B2CF9AE}" pid="39" name="RecordPoint_WorkflowType">
    <vt:lpwstr>ActiveSubmitStub</vt:lpwstr>
  </property>
  <property fmtid="{D5CDD505-2E9C-101B-9397-08002B2CF9AE}" pid="40" name="RecordPoint_ActiveItemWebId">
    <vt:lpwstr>{75a71c27-8d66-4282-ae60-1bfc22a83be1}</vt:lpwstr>
  </property>
  <property fmtid="{D5CDD505-2E9C-101B-9397-08002B2CF9AE}" pid="41" name="RecordPoint_ActiveItemSiteId">
    <vt:lpwstr>{88691c01-5bbb-4215-adc0-66cb7065b0af}</vt:lpwstr>
  </property>
  <property fmtid="{D5CDD505-2E9C-101B-9397-08002B2CF9AE}" pid="42" name="RecordPoint_ActiveItemListId">
    <vt:lpwstr>{0e59e171-09d8-4401-800a-327154450cb3}</vt:lpwstr>
  </property>
  <property fmtid="{D5CDD505-2E9C-101B-9397-08002B2CF9AE}" pid="43" name="RecordPoint_ActiveItemUniqueId">
    <vt:lpwstr>{d2051c06-43b8-40c7-9bdd-b29a66aa3afa}</vt:lpwstr>
  </property>
  <property fmtid="{D5CDD505-2E9C-101B-9397-08002B2CF9AE}" pid="44" name="RecordPoint_SubmissionCompleted">
    <vt:lpwstr/>
  </property>
  <property fmtid="{D5CDD505-2E9C-101B-9397-08002B2CF9AE}" pid="45" name="RecordPoint_RecordNumberSubmitted">
    <vt:lpwstr/>
  </property>
  <property fmtid="{D5CDD505-2E9C-101B-9397-08002B2CF9AE}" pid="46" name="RecordPoint_SubmissionDate">
    <vt:lpwstr/>
  </property>
  <property fmtid="{D5CDD505-2E9C-101B-9397-08002B2CF9AE}" pid="47" name="RecordPoint_ActiveItemMoved">
    <vt:lpwstr/>
  </property>
  <property fmtid="{D5CDD505-2E9C-101B-9397-08002B2CF9AE}" pid="48" name="RecordPoint_RecordFormat">
    <vt:lpwstr/>
  </property>
</Properties>
</file>