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76E48" w14:textId="27219CEA" w:rsid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GoBack"/>
      <w:bookmarkEnd w:id="0"/>
      <w:r w:rsidRPr="001F2A16">
        <w:rPr>
          <w:rFonts w:ascii="Arial" w:hAnsi="Arial" w:cs="Arial"/>
          <w:sz w:val="34"/>
          <w:szCs w:val="34"/>
        </w:rPr>
        <w:t>Explanatory Statement</w:t>
      </w:r>
    </w:p>
    <w:p w14:paraId="0FA4B535" w14:textId="77777777" w:rsidR="00CC4878" w:rsidRDefault="00CC4878"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647C3A8F" w14:textId="77777777" w:rsidR="00BA7370" w:rsidRPr="00EF0759" w:rsidRDefault="00BA7370" w:rsidP="00BA7370">
      <w:pPr>
        <w:pBdr>
          <w:top w:val="double" w:sz="4" w:space="1" w:color="auto"/>
          <w:bottom w:val="double" w:sz="4" w:space="1" w:color="auto"/>
        </w:pBdr>
        <w:jc w:val="center"/>
        <w:rPr>
          <w:rFonts w:ascii="Arial" w:hAnsi="Arial" w:cs="Arial"/>
          <w:sz w:val="32"/>
          <w:szCs w:val="32"/>
        </w:rPr>
      </w:pPr>
      <w:r w:rsidRPr="00EF0759">
        <w:rPr>
          <w:rFonts w:ascii="Arial" w:hAnsi="Arial" w:cs="Arial"/>
          <w:sz w:val="34"/>
          <w:szCs w:val="34"/>
        </w:rPr>
        <w:t xml:space="preserve">Taxation Administration (Remedial </w:t>
      </w:r>
      <w:r w:rsidRPr="005376AC">
        <w:rPr>
          <w:rFonts w:ascii="Arial" w:hAnsi="Arial" w:cs="Arial"/>
          <w:sz w:val="34"/>
          <w:szCs w:val="34"/>
        </w:rPr>
        <w:t>power</w:t>
      </w:r>
      <w:r w:rsidRPr="00EF0759">
        <w:rPr>
          <w:rFonts w:ascii="Arial" w:hAnsi="Arial" w:cs="Arial"/>
          <w:sz w:val="34"/>
          <w:szCs w:val="34"/>
        </w:rPr>
        <w:t xml:space="preserve"> –</w:t>
      </w:r>
      <w:r>
        <w:rPr>
          <w:rFonts w:ascii="Arial" w:hAnsi="Arial" w:cs="Arial"/>
          <w:sz w:val="34"/>
          <w:szCs w:val="34"/>
        </w:rPr>
        <w:t xml:space="preserve"> S</w:t>
      </w:r>
      <w:r w:rsidRPr="005376AC">
        <w:rPr>
          <w:rFonts w:ascii="Arial" w:hAnsi="Arial" w:cs="Arial"/>
          <w:sz w:val="34"/>
          <w:szCs w:val="34"/>
        </w:rPr>
        <w:t xml:space="preserve">mall </w:t>
      </w:r>
      <w:r>
        <w:rPr>
          <w:rFonts w:ascii="Arial" w:hAnsi="Arial" w:cs="Arial"/>
          <w:sz w:val="34"/>
          <w:szCs w:val="34"/>
        </w:rPr>
        <w:t>B</w:t>
      </w:r>
      <w:r w:rsidRPr="005376AC">
        <w:rPr>
          <w:rFonts w:ascii="Arial" w:hAnsi="Arial" w:cs="Arial"/>
          <w:sz w:val="34"/>
          <w:szCs w:val="34"/>
        </w:rPr>
        <w:t xml:space="preserve">usiness </w:t>
      </w:r>
      <w:r>
        <w:rPr>
          <w:rFonts w:ascii="Arial" w:hAnsi="Arial" w:cs="Arial"/>
          <w:sz w:val="34"/>
          <w:szCs w:val="34"/>
        </w:rPr>
        <w:t>R</w:t>
      </w:r>
      <w:r w:rsidRPr="005376AC">
        <w:rPr>
          <w:rFonts w:ascii="Arial" w:hAnsi="Arial" w:cs="Arial"/>
          <w:sz w:val="34"/>
          <w:szCs w:val="34"/>
        </w:rPr>
        <w:t xml:space="preserve">estructure </w:t>
      </w:r>
      <w:r>
        <w:rPr>
          <w:rFonts w:ascii="Arial" w:hAnsi="Arial" w:cs="Arial"/>
          <w:sz w:val="34"/>
          <w:szCs w:val="34"/>
        </w:rPr>
        <w:t>R</w:t>
      </w:r>
      <w:r w:rsidRPr="005376AC">
        <w:rPr>
          <w:rFonts w:ascii="Arial" w:hAnsi="Arial" w:cs="Arial"/>
          <w:sz w:val="34"/>
          <w:szCs w:val="34"/>
        </w:rPr>
        <w:t>oll</w:t>
      </w:r>
      <w:r>
        <w:rPr>
          <w:rFonts w:ascii="Arial" w:hAnsi="Arial" w:cs="Arial"/>
          <w:sz w:val="34"/>
          <w:szCs w:val="34"/>
        </w:rPr>
        <w:t>-</w:t>
      </w:r>
      <w:r w:rsidRPr="005376AC">
        <w:rPr>
          <w:rFonts w:ascii="Arial" w:hAnsi="Arial" w:cs="Arial"/>
          <w:sz w:val="34"/>
          <w:szCs w:val="34"/>
        </w:rPr>
        <w:t>over</w:t>
      </w:r>
      <w:r w:rsidRPr="00EF0759">
        <w:rPr>
          <w:rFonts w:ascii="Arial" w:hAnsi="Arial" w:cs="Arial"/>
          <w:sz w:val="34"/>
          <w:szCs w:val="34"/>
        </w:rPr>
        <w:t>) Determination 2017</w:t>
      </w:r>
    </w:p>
    <w:p w14:paraId="41C76E4B" w14:textId="77777777" w:rsidR="0099555F" w:rsidRDefault="0099555F" w:rsidP="0099555F">
      <w:pPr>
        <w:pStyle w:val="Header"/>
        <w:tabs>
          <w:tab w:val="clear" w:pos="4153"/>
          <w:tab w:val="clear" w:pos="8306"/>
        </w:tabs>
        <w:jc w:val="center"/>
        <w:rPr>
          <w:rFonts w:ascii="Arial" w:hAnsi="Arial" w:cs="Arial"/>
          <w:szCs w:val="24"/>
        </w:rPr>
      </w:pPr>
    </w:p>
    <w:p w14:paraId="41C76E4C" w14:textId="77777777" w:rsidR="001F2A16" w:rsidRPr="001F2A16" w:rsidRDefault="001F2A16" w:rsidP="0099555F">
      <w:pPr>
        <w:pStyle w:val="Header"/>
        <w:tabs>
          <w:tab w:val="clear" w:pos="4153"/>
          <w:tab w:val="clear" w:pos="8306"/>
        </w:tabs>
        <w:jc w:val="center"/>
        <w:rPr>
          <w:rFonts w:ascii="Arial" w:hAnsi="Arial" w:cs="Arial"/>
          <w:szCs w:val="24"/>
        </w:rPr>
      </w:pPr>
    </w:p>
    <w:p w14:paraId="3F8EBA60" w14:textId="77777777" w:rsidR="00BA7370" w:rsidRPr="003D29C3" w:rsidRDefault="00BA7370" w:rsidP="00BA7370">
      <w:pPr>
        <w:pStyle w:val="Heading2"/>
        <w:rPr>
          <w:rFonts w:cs="Arial"/>
          <w:b w:val="0"/>
          <w:szCs w:val="22"/>
        </w:rPr>
      </w:pPr>
      <w:r w:rsidRPr="003D29C3">
        <w:rPr>
          <w:rFonts w:cs="Arial"/>
          <w:szCs w:val="22"/>
        </w:rPr>
        <w:t>General outline of determination</w:t>
      </w:r>
    </w:p>
    <w:p w14:paraId="6190CCD7"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This </w:t>
      </w:r>
      <w:r>
        <w:rPr>
          <w:rFonts w:ascii="Arial" w:hAnsi="Arial" w:cs="Arial"/>
          <w:sz w:val="22"/>
          <w:szCs w:val="22"/>
        </w:rPr>
        <w:t>determination</w:t>
      </w:r>
      <w:r w:rsidRPr="00EF0759">
        <w:rPr>
          <w:rFonts w:ascii="Arial" w:hAnsi="Arial" w:cs="Arial"/>
          <w:sz w:val="22"/>
          <w:szCs w:val="22"/>
        </w:rPr>
        <w:t xml:space="preserve"> is made under section 370-5 of Schedule 1 to the </w:t>
      </w:r>
      <w:r w:rsidRPr="00EF0759">
        <w:rPr>
          <w:rFonts w:ascii="Arial" w:hAnsi="Arial" w:cs="Arial"/>
          <w:i/>
          <w:sz w:val="22"/>
          <w:szCs w:val="22"/>
        </w:rPr>
        <w:t>Taxation Administration Act 1953</w:t>
      </w:r>
      <w:r w:rsidRPr="00EF0759">
        <w:rPr>
          <w:rFonts w:ascii="Arial" w:hAnsi="Arial" w:cs="Arial"/>
          <w:sz w:val="22"/>
          <w:szCs w:val="22"/>
        </w:rPr>
        <w:t xml:space="preserve"> (TAA). All references to legislative provisions in this Explanatory Statement are references to </w:t>
      </w:r>
      <w:r>
        <w:rPr>
          <w:rFonts w:ascii="Arial" w:hAnsi="Arial" w:cs="Arial"/>
          <w:sz w:val="22"/>
          <w:szCs w:val="22"/>
        </w:rPr>
        <w:t xml:space="preserve">the </w:t>
      </w:r>
      <w:r w:rsidRPr="00DF6051">
        <w:rPr>
          <w:rFonts w:ascii="Arial" w:hAnsi="Arial" w:cs="Arial"/>
          <w:i/>
          <w:sz w:val="22"/>
          <w:szCs w:val="22"/>
        </w:rPr>
        <w:t>Income Tax Assessment Act 1997</w:t>
      </w:r>
      <w:r w:rsidRPr="00EF0759">
        <w:rPr>
          <w:rFonts w:ascii="Arial" w:hAnsi="Arial" w:cs="Arial"/>
          <w:sz w:val="22"/>
          <w:szCs w:val="22"/>
        </w:rPr>
        <w:t>, unless otherwise stated.</w:t>
      </w:r>
    </w:p>
    <w:p w14:paraId="0B0F3764"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This  determination modifies the operation of: </w:t>
      </w:r>
    </w:p>
    <w:p w14:paraId="61CC9E4A" w14:textId="77777777" w:rsidR="00BA7370" w:rsidRPr="00EF0759" w:rsidRDefault="00BA7370" w:rsidP="00BA7370">
      <w:pPr>
        <w:numPr>
          <w:ilvl w:val="1"/>
          <w:numId w:val="16"/>
        </w:numPr>
        <w:spacing w:after="120"/>
        <w:rPr>
          <w:rFonts w:ascii="Arial" w:hAnsi="Arial" w:cs="Arial"/>
          <w:sz w:val="22"/>
          <w:szCs w:val="22"/>
        </w:rPr>
      </w:pPr>
      <w:r w:rsidRPr="00EF0759">
        <w:rPr>
          <w:rFonts w:ascii="Arial" w:hAnsi="Arial" w:cs="Arial"/>
          <w:sz w:val="22"/>
          <w:szCs w:val="22"/>
        </w:rPr>
        <w:t>section 40-340</w:t>
      </w:r>
      <w:r w:rsidRPr="00630470">
        <w:rPr>
          <w:rFonts w:ascii="Arial" w:hAnsi="Arial" w:cs="Arial"/>
          <w:sz w:val="22"/>
          <w:szCs w:val="22"/>
        </w:rPr>
        <w:t>;</w:t>
      </w:r>
      <w:r w:rsidRPr="00EF0759">
        <w:rPr>
          <w:rFonts w:ascii="Arial" w:hAnsi="Arial" w:cs="Arial"/>
          <w:sz w:val="22"/>
          <w:szCs w:val="22"/>
        </w:rPr>
        <w:t xml:space="preserve"> and</w:t>
      </w:r>
    </w:p>
    <w:p w14:paraId="01E1681C" w14:textId="77777777" w:rsidR="00BA7370" w:rsidRPr="00EF0759" w:rsidRDefault="00BA7370" w:rsidP="00BA7370">
      <w:pPr>
        <w:numPr>
          <w:ilvl w:val="1"/>
          <w:numId w:val="16"/>
        </w:numPr>
        <w:tabs>
          <w:tab w:val="left" w:pos="4962"/>
        </w:tabs>
        <w:spacing w:after="120"/>
        <w:rPr>
          <w:rFonts w:ascii="Arial" w:hAnsi="Arial" w:cs="Arial"/>
          <w:sz w:val="22"/>
          <w:szCs w:val="22"/>
        </w:rPr>
      </w:pPr>
      <w:r w:rsidRPr="00EF0759">
        <w:rPr>
          <w:rFonts w:ascii="Arial" w:hAnsi="Arial" w:cs="Arial"/>
          <w:sz w:val="22"/>
          <w:szCs w:val="22"/>
        </w:rPr>
        <w:t xml:space="preserve">any other provisions of a taxation law the operation of which is affected by the operation of that section (as modified by this </w:t>
      </w:r>
      <w:r>
        <w:rPr>
          <w:rFonts w:ascii="Arial" w:hAnsi="Arial" w:cs="Arial"/>
          <w:sz w:val="22"/>
          <w:szCs w:val="22"/>
        </w:rPr>
        <w:t>determination</w:t>
      </w:r>
      <w:r w:rsidRPr="00EF0759">
        <w:rPr>
          <w:rFonts w:ascii="Arial" w:hAnsi="Arial" w:cs="Arial"/>
          <w:sz w:val="22"/>
          <w:szCs w:val="22"/>
        </w:rPr>
        <w:t xml:space="preserve">) in relation to an asset covered by item 8 of the table in subsection 40-340(1) </w:t>
      </w:r>
    </w:p>
    <w:p w14:paraId="3F63AAE0" w14:textId="77777777" w:rsidR="00BA7370" w:rsidRPr="00EF0759" w:rsidRDefault="00BA7370" w:rsidP="00BA7370">
      <w:pPr>
        <w:spacing w:after="120"/>
        <w:ind w:left="720"/>
        <w:rPr>
          <w:rFonts w:ascii="Arial" w:hAnsi="Arial" w:cs="Arial"/>
          <w:sz w:val="22"/>
          <w:szCs w:val="22"/>
        </w:rPr>
      </w:pPr>
      <w:r w:rsidRPr="00EF0759">
        <w:rPr>
          <w:rFonts w:ascii="Arial" w:hAnsi="Arial" w:cs="Arial"/>
          <w:sz w:val="22"/>
          <w:szCs w:val="22"/>
        </w:rPr>
        <w:t xml:space="preserve">to ensure that no direct income tax consequences will arise from the transfer of depreciating assets undertaken as part of a transaction that otherwise qualifies for small business restructure roll-over relief under subdivision 328-G. </w:t>
      </w:r>
    </w:p>
    <w:p w14:paraId="6D9F2FC3"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This </w:t>
      </w:r>
      <w:r>
        <w:rPr>
          <w:rFonts w:ascii="Arial" w:hAnsi="Arial" w:cs="Arial"/>
          <w:sz w:val="22"/>
          <w:szCs w:val="22"/>
        </w:rPr>
        <w:t>determination</w:t>
      </w:r>
      <w:r w:rsidRPr="00EF0759">
        <w:rPr>
          <w:rFonts w:ascii="Arial" w:hAnsi="Arial" w:cs="Arial"/>
          <w:sz w:val="22"/>
          <w:szCs w:val="22"/>
        </w:rPr>
        <w:t xml:space="preserve"> is a legislative instrument for the purposes of the</w:t>
      </w:r>
      <w:r>
        <w:rPr>
          <w:rFonts w:ascii="Arial" w:hAnsi="Arial" w:cs="Arial"/>
          <w:sz w:val="22"/>
          <w:szCs w:val="22"/>
        </w:rPr>
        <w:t> </w:t>
      </w:r>
      <w:r w:rsidRPr="00EF0759">
        <w:rPr>
          <w:rFonts w:ascii="Arial" w:hAnsi="Arial" w:cs="Arial"/>
          <w:i/>
          <w:sz w:val="22"/>
          <w:szCs w:val="22"/>
        </w:rPr>
        <w:t>Legislation Act 2003</w:t>
      </w:r>
      <w:r w:rsidRPr="00EF0759">
        <w:rPr>
          <w:rFonts w:ascii="Arial" w:hAnsi="Arial" w:cs="Arial"/>
          <w:sz w:val="22"/>
          <w:szCs w:val="22"/>
        </w:rPr>
        <w:t>.</w:t>
      </w:r>
    </w:p>
    <w:p w14:paraId="0EF83B43" w14:textId="77777777" w:rsidR="00BA7370" w:rsidRPr="00EF0759" w:rsidRDefault="00BA7370" w:rsidP="00BA7370">
      <w:pPr>
        <w:spacing w:after="120"/>
        <w:rPr>
          <w:rFonts w:ascii="Arial" w:hAnsi="Arial" w:cs="Arial"/>
          <w:sz w:val="22"/>
          <w:szCs w:val="22"/>
        </w:rPr>
      </w:pPr>
    </w:p>
    <w:p w14:paraId="640630B6" w14:textId="77777777" w:rsidR="00BA7370" w:rsidRPr="003D29C3" w:rsidRDefault="00BA7370" w:rsidP="00BA7370">
      <w:pPr>
        <w:pStyle w:val="Heading2"/>
        <w:rPr>
          <w:rFonts w:cs="Arial"/>
          <w:b w:val="0"/>
          <w:szCs w:val="22"/>
        </w:rPr>
      </w:pPr>
      <w:r w:rsidRPr="003D29C3">
        <w:rPr>
          <w:rFonts w:cs="Arial"/>
          <w:szCs w:val="22"/>
        </w:rPr>
        <w:t>Date of effect</w:t>
      </w:r>
    </w:p>
    <w:p w14:paraId="5C8798DF"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This </w:t>
      </w:r>
      <w:r>
        <w:rPr>
          <w:rFonts w:ascii="Arial" w:hAnsi="Arial" w:cs="Arial"/>
          <w:sz w:val="22"/>
          <w:szCs w:val="22"/>
        </w:rPr>
        <w:t>determination</w:t>
      </w:r>
      <w:r w:rsidRPr="00EF0759">
        <w:rPr>
          <w:rFonts w:ascii="Arial" w:hAnsi="Arial" w:cs="Arial"/>
          <w:sz w:val="22"/>
          <w:szCs w:val="22"/>
        </w:rPr>
        <w:t xml:space="preserve"> commences on the first day the determination is no longer liable to be disallowed, or to be taken to have been disallowed, under section 42 of the </w:t>
      </w:r>
      <w:r w:rsidRPr="00EF0759">
        <w:rPr>
          <w:rFonts w:ascii="Arial" w:hAnsi="Arial" w:cs="Arial"/>
          <w:i/>
          <w:sz w:val="22"/>
          <w:szCs w:val="22"/>
        </w:rPr>
        <w:t>Legislation Act 2003</w:t>
      </w:r>
      <w:r w:rsidRPr="00EF0759">
        <w:rPr>
          <w:rFonts w:ascii="Arial" w:hAnsi="Arial" w:cs="Arial"/>
          <w:sz w:val="22"/>
          <w:szCs w:val="22"/>
        </w:rPr>
        <w:t>.</w:t>
      </w:r>
    </w:p>
    <w:p w14:paraId="59008C49" w14:textId="77777777" w:rsidR="00BA7370" w:rsidRPr="00EF0759" w:rsidRDefault="00BA7370" w:rsidP="00BA7370">
      <w:pPr>
        <w:spacing w:after="120"/>
        <w:rPr>
          <w:rFonts w:ascii="Arial" w:hAnsi="Arial" w:cs="Arial"/>
          <w:sz w:val="22"/>
          <w:szCs w:val="22"/>
        </w:rPr>
      </w:pPr>
    </w:p>
    <w:p w14:paraId="0512AE3B" w14:textId="77777777" w:rsidR="00BA7370" w:rsidRPr="003D29C3" w:rsidRDefault="00BA7370" w:rsidP="00BA7370">
      <w:pPr>
        <w:pStyle w:val="Heading2"/>
        <w:rPr>
          <w:rFonts w:cs="Arial"/>
          <w:b w:val="0"/>
          <w:szCs w:val="22"/>
        </w:rPr>
      </w:pPr>
      <w:r w:rsidRPr="003D29C3">
        <w:rPr>
          <w:rFonts w:cs="Arial"/>
          <w:szCs w:val="22"/>
        </w:rPr>
        <w:t>What is the effect of this determination?</w:t>
      </w:r>
    </w:p>
    <w:p w14:paraId="38B2BB84"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The modification made by this </w:t>
      </w:r>
      <w:r>
        <w:rPr>
          <w:rFonts w:ascii="Arial" w:hAnsi="Arial" w:cs="Arial"/>
          <w:sz w:val="22"/>
          <w:szCs w:val="22"/>
        </w:rPr>
        <w:t>determination</w:t>
      </w:r>
      <w:r w:rsidRPr="00EF0759">
        <w:rPr>
          <w:rFonts w:ascii="Arial" w:hAnsi="Arial" w:cs="Arial"/>
          <w:sz w:val="22"/>
          <w:szCs w:val="22"/>
        </w:rPr>
        <w:t xml:space="preserve"> applies where an entity transfers a depreciating asset or assets in the course of carrying out a </w:t>
      </w:r>
      <w:r>
        <w:rPr>
          <w:rFonts w:ascii="Arial" w:hAnsi="Arial" w:cs="Arial"/>
          <w:sz w:val="22"/>
          <w:szCs w:val="22"/>
        </w:rPr>
        <w:t xml:space="preserve">genuine </w:t>
      </w:r>
      <w:r w:rsidRPr="00EF0759">
        <w:rPr>
          <w:rFonts w:ascii="Arial" w:hAnsi="Arial" w:cs="Arial"/>
          <w:sz w:val="22"/>
          <w:szCs w:val="22"/>
        </w:rPr>
        <w:t>restructure of a small business</w:t>
      </w:r>
      <w:r>
        <w:rPr>
          <w:rFonts w:ascii="Arial" w:hAnsi="Arial" w:cs="Arial"/>
          <w:sz w:val="22"/>
          <w:szCs w:val="22"/>
        </w:rPr>
        <w:t xml:space="preserve"> as provided by subdivision 328-G</w:t>
      </w:r>
      <w:r w:rsidRPr="00EF0759">
        <w:rPr>
          <w:rFonts w:ascii="Arial" w:hAnsi="Arial" w:cs="Arial"/>
          <w:sz w:val="22"/>
          <w:szCs w:val="22"/>
        </w:rPr>
        <w:t xml:space="preserve">. </w:t>
      </w:r>
    </w:p>
    <w:p w14:paraId="3BD085A1" w14:textId="77777777" w:rsidR="00BA7370" w:rsidRPr="00A4093C" w:rsidRDefault="00BA7370" w:rsidP="00BA7370">
      <w:pPr>
        <w:numPr>
          <w:ilvl w:val="0"/>
          <w:numId w:val="16"/>
        </w:numPr>
        <w:tabs>
          <w:tab w:val="clear" w:pos="720"/>
        </w:tabs>
        <w:spacing w:after="120"/>
        <w:ind w:left="709" w:hanging="709"/>
        <w:rPr>
          <w:rFonts w:ascii="Arial" w:hAnsi="Arial" w:cs="Arial"/>
          <w:sz w:val="22"/>
          <w:szCs w:val="22"/>
        </w:rPr>
      </w:pPr>
      <w:r w:rsidRPr="008E296B">
        <w:rPr>
          <w:rFonts w:ascii="Arial" w:hAnsi="Arial" w:cs="Arial"/>
          <w:sz w:val="22"/>
          <w:szCs w:val="22"/>
        </w:rPr>
        <w:t xml:space="preserve">The effect of this instrument is to ensure that, where the restructure otherwise satisfies the conditions for roll-over under subdivision 328-G, the transfer of depreciating assets will have no ‘direct income tax consequences’. This will align the treatment of depreciating assets with the treatment of CGT assets, trading stock and revenue assets. </w:t>
      </w:r>
    </w:p>
    <w:p w14:paraId="49A340B0"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This modification will most commonly apply where the restructure involves the transfers of depreciating assets by </w:t>
      </w:r>
      <w:r>
        <w:rPr>
          <w:rFonts w:ascii="Arial" w:hAnsi="Arial" w:cs="Arial"/>
          <w:sz w:val="22"/>
          <w:szCs w:val="22"/>
        </w:rPr>
        <w:t xml:space="preserve">the trustees of </w:t>
      </w:r>
      <w:r w:rsidRPr="00EF0759">
        <w:rPr>
          <w:rFonts w:ascii="Arial" w:hAnsi="Arial" w:cs="Arial"/>
          <w:sz w:val="22"/>
          <w:szCs w:val="22"/>
        </w:rPr>
        <w:t xml:space="preserve">trusts to beneficiaries, by companies to shareholders, and other associated persons. In the absence of the modification, such transfers could give rise to assessable income in the hands of the transferee. </w:t>
      </w:r>
    </w:p>
    <w:p w14:paraId="16F5798E"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lastRenderedPageBreak/>
        <w:t xml:space="preserve">The modification made by this </w:t>
      </w:r>
      <w:r>
        <w:rPr>
          <w:rFonts w:ascii="Arial" w:hAnsi="Arial" w:cs="Arial"/>
          <w:sz w:val="22"/>
          <w:szCs w:val="22"/>
        </w:rPr>
        <w:t>determination</w:t>
      </w:r>
      <w:r w:rsidRPr="00EF0759">
        <w:rPr>
          <w:rFonts w:ascii="Arial" w:hAnsi="Arial" w:cs="Arial"/>
          <w:sz w:val="22"/>
          <w:szCs w:val="22"/>
        </w:rPr>
        <w:t xml:space="preserve"> does not apply </w:t>
      </w:r>
      <w:r>
        <w:rPr>
          <w:rFonts w:ascii="Arial" w:hAnsi="Arial" w:cs="Arial"/>
          <w:sz w:val="22"/>
          <w:szCs w:val="22"/>
        </w:rPr>
        <w:t xml:space="preserve">to an entity </w:t>
      </w:r>
      <w:r w:rsidRPr="00EF0759">
        <w:rPr>
          <w:rFonts w:ascii="Arial" w:hAnsi="Arial" w:cs="Arial"/>
          <w:sz w:val="22"/>
          <w:szCs w:val="22"/>
        </w:rPr>
        <w:t xml:space="preserve">if the modification would produce a less favourable result for </w:t>
      </w:r>
      <w:r>
        <w:rPr>
          <w:rFonts w:ascii="Arial" w:hAnsi="Arial" w:cs="Arial"/>
          <w:sz w:val="22"/>
          <w:szCs w:val="22"/>
        </w:rPr>
        <w:t>the</w:t>
      </w:r>
      <w:r w:rsidRPr="00EF0759">
        <w:rPr>
          <w:rFonts w:ascii="Arial" w:hAnsi="Arial" w:cs="Arial"/>
          <w:sz w:val="22"/>
          <w:szCs w:val="22"/>
        </w:rPr>
        <w:t xml:space="preserve"> entity (subsection 370</w:t>
      </w:r>
      <w:r>
        <w:rPr>
          <w:rFonts w:ascii="Arial" w:hAnsi="Arial" w:cs="Arial"/>
          <w:sz w:val="22"/>
          <w:szCs w:val="22"/>
        </w:rPr>
        <w:noBreakHyphen/>
      </w:r>
      <w:proofErr w:type="gramStart"/>
      <w:r w:rsidRPr="00EF0759">
        <w:rPr>
          <w:rFonts w:ascii="Arial" w:hAnsi="Arial" w:cs="Arial"/>
          <w:sz w:val="22"/>
          <w:szCs w:val="22"/>
        </w:rPr>
        <w:t>5(</w:t>
      </w:r>
      <w:proofErr w:type="gramEnd"/>
      <w:r w:rsidRPr="00EF0759">
        <w:rPr>
          <w:rFonts w:ascii="Arial" w:hAnsi="Arial" w:cs="Arial"/>
          <w:sz w:val="22"/>
          <w:szCs w:val="22"/>
        </w:rPr>
        <w:t>4</w:t>
      </w:r>
      <w:r w:rsidRPr="00630470">
        <w:rPr>
          <w:rFonts w:ascii="Arial" w:hAnsi="Arial" w:cs="Arial"/>
          <w:sz w:val="22"/>
          <w:szCs w:val="22"/>
        </w:rPr>
        <w:t>)</w:t>
      </w:r>
      <w:r>
        <w:rPr>
          <w:rFonts w:ascii="Arial" w:hAnsi="Arial" w:cs="Arial"/>
          <w:sz w:val="22"/>
          <w:szCs w:val="22"/>
        </w:rPr>
        <w:t xml:space="preserve"> of Schedule 1 to the TAA</w:t>
      </w:r>
      <w:r w:rsidRPr="00630470">
        <w:rPr>
          <w:rFonts w:ascii="Arial" w:hAnsi="Arial" w:cs="Arial"/>
          <w:sz w:val="22"/>
          <w:szCs w:val="22"/>
        </w:rPr>
        <w:t>).</w:t>
      </w:r>
    </w:p>
    <w:p w14:paraId="6244F95A" w14:textId="77777777" w:rsidR="00BA7370" w:rsidRPr="00EF0759" w:rsidRDefault="00BA7370" w:rsidP="00BA7370">
      <w:pPr>
        <w:spacing w:after="120"/>
        <w:rPr>
          <w:rFonts w:ascii="Arial" w:hAnsi="Arial" w:cs="Arial"/>
          <w:sz w:val="22"/>
          <w:szCs w:val="22"/>
        </w:rPr>
      </w:pPr>
    </w:p>
    <w:p w14:paraId="0B1ED774" w14:textId="77777777" w:rsidR="00BA7370" w:rsidRPr="003D29C3" w:rsidRDefault="00BA7370" w:rsidP="00BA7370">
      <w:pPr>
        <w:pStyle w:val="Heading2"/>
        <w:rPr>
          <w:rFonts w:cs="Arial"/>
          <w:b w:val="0"/>
          <w:szCs w:val="22"/>
        </w:rPr>
      </w:pPr>
      <w:r w:rsidRPr="003D29C3">
        <w:rPr>
          <w:rFonts w:cs="Arial"/>
          <w:szCs w:val="22"/>
        </w:rPr>
        <w:t>Background</w:t>
      </w:r>
    </w:p>
    <w:p w14:paraId="393C23E1"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The small business restructure roll-over (SBRR) was enacted with effect from 1 July 2016 to give small businesses flexibility by enabling them to change their legal structure without immediate income taxation consequences. It applies to transfers </w:t>
      </w:r>
      <w:r>
        <w:rPr>
          <w:rFonts w:ascii="Arial" w:hAnsi="Arial" w:cs="Arial"/>
          <w:sz w:val="22"/>
          <w:szCs w:val="22"/>
        </w:rPr>
        <w:t>of</w:t>
      </w:r>
      <w:r w:rsidRPr="00EF0759">
        <w:rPr>
          <w:rFonts w:ascii="Arial" w:hAnsi="Arial" w:cs="Arial"/>
          <w:sz w:val="22"/>
          <w:szCs w:val="22"/>
        </w:rPr>
        <w:t xml:space="preserve"> CGT assets</w:t>
      </w:r>
      <w:r>
        <w:rPr>
          <w:rFonts w:ascii="Arial" w:hAnsi="Arial" w:cs="Arial"/>
          <w:sz w:val="22"/>
          <w:szCs w:val="22"/>
        </w:rPr>
        <w:t>,</w:t>
      </w:r>
      <w:r w:rsidRPr="00EF0759">
        <w:rPr>
          <w:rFonts w:ascii="Arial" w:hAnsi="Arial" w:cs="Arial"/>
          <w:sz w:val="22"/>
          <w:szCs w:val="22"/>
        </w:rPr>
        <w:t xml:space="preserve"> trading stock, revenue assets and depreciating assets that occur in the course of a ‘genuine restructure of an ongoing business’. </w:t>
      </w:r>
    </w:p>
    <w:p w14:paraId="5339450E" w14:textId="77777777" w:rsidR="00BA7370" w:rsidRPr="00EF0759" w:rsidRDefault="00BA7370" w:rsidP="00BA7370">
      <w:pPr>
        <w:numPr>
          <w:ilvl w:val="0"/>
          <w:numId w:val="16"/>
        </w:numPr>
        <w:tabs>
          <w:tab w:val="clear" w:pos="720"/>
          <w:tab w:val="num" w:pos="1984"/>
        </w:tabs>
        <w:spacing w:after="120"/>
        <w:ind w:left="709" w:hanging="709"/>
        <w:rPr>
          <w:rFonts w:ascii="Arial" w:hAnsi="Arial" w:cs="Arial"/>
          <w:sz w:val="22"/>
          <w:szCs w:val="22"/>
        </w:rPr>
      </w:pPr>
      <w:r w:rsidRPr="00EF0759">
        <w:rPr>
          <w:rFonts w:ascii="Arial" w:hAnsi="Arial" w:cs="Arial"/>
          <w:sz w:val="22"/>
          <w:szCs w:val="22"/>
        </w:rPr>
        <w:t xml:space="preserve">The SBRR is intended to be </w:t>
      </w:r>
      <w:r>
        <w:rPr>
          <w:rFonts w:ascii="Arial" w:hAnsi="Arial" w:cs="Arial"/>
          <w:sz w:val="22"/>
          <w:szCs w:val="22"/>
        </w:rPr>
        <w:t>broadly</w:t>
      </w:r>
      <w:r w:rsidRPr="00630470">
        <w:rPr>
          <w:rFonts w:ascii="Arial" w:hAnsi="Arial" w:cs="Arial"/>
          <w:sz w:val="22"/>
          <w:szCs w:val="22"/>
        </w:rPr>
        <w:t xml:space="preserve"> </w:t>
      </w:r>
      <w:r w:rsidRPr="00EF0759">
        <w:rPr>
          <w:rFonts w:ascii="Arial" w:hAnsi="Arial" w:cs="Arial"/>
          <w:sz w:val="22"/>
          <w:szCs w:val="22"/>
        </w:rPr>
        <w:t xml:space="preserve">tax-neutral, in the sense that no </w:t>
      </w:r>
      <w:r>
        <w:rPr>
          <w:rFonts w:ascii="Arial" w:hAnsi="Arial" w:cs="Arial"/>
          <w:sz w:val="22"/>
          <w:szCs w:val="22"/>
        </w:rPr>
        <w:t xml:space="preserve">direct </w:t>
      </w:r>
      <w:r w:rsidRPr="00EF0759">
        <w:rPr>
          <w:rFonts w:ascii="Arial" w:hAnsi="Arial" w:cs="Arial"/>
          <w:sz w:val="22"/>
          <w:szCs w:val="22"/>
        </w:rPr>
        <w:t>income tax consequences</w:t>
      </w:r>
      <w:r w:rsidRPr="00630470">
        <w:rPr>
          <w:rFonts w:ascii="Arial" w:hAnsi="Arial" w:cs="Arial"/>
          <w:sz w:val="22"/>
          <w:szCs w:val="22"/>
        </w:rPr>
        <w:t xml:space="preserve"> </w:t>
      </w:r>
      <w:r>
        <w:rPr>
          <w:rFonts w:ascii="Arial" w:hAnsi="Arial" w:cs="Arial"/>
          <w:sz w:val="22"/>
          <w:szCs w:val="22"/>
        </w:rPr>
        <w:t>are intended to</w:t>
      </w:r>
      <w:r w:rsidRPr="00EF0759">
        <w:rPr>
          <w:rFonts w:ascii="Arial" w:hAnsi="Arial" w:cs="Arial"/>
          <w:sz w:val="22"/>
          <w:szCs w:val="22"/>
        </w:rPr>
        <w:t xml:space="preserve"> arise from the transfer of qualifying assets. </w:t>
      </w:r>
    </w:p>
    <w:p w14:paraId="571B0D84" w14:textId="77777777" w:rsidR="00BA7370" w:rsidRPr="00EF0759" w:rsidRDefault="00BA7370" w:rsidP="00BA7370">
      <w:pPr>
        <w:numPr>
          <w:ilvl w:val="0"/>
          <w:numId w:val="16"/>
        </w:numPr>
        <w:tabs>
          <w:tab w:val="clear" w:pos="720"/>
          <w:tab w:val="num" w:pos="1984"/>
        </w:tabs>
        <w:spacing w:after="120"/>
        <w:ind w:left="709" w:hanging="709"/>
        <w:rPr>
          <w:rFonts w:ascii="Arial" w:hAnsi="Arial" w:cs="Arial"/>
          <w:sz w:val="22"/>
          <w:szCs w:val="22"/>
        </w:rPr>
      </w:pPr>
      <w:r w:rsidRPr="00EF0759">
        <w:rPr>
          <w:rFonts w:ascii="Arial" w:hAnsi="Arial" w:cs="Arial"/>
          <w:sz w:val="22"/>
          <w:szCs w:val="22"/>
        </w:rPr>
        <w:t xml:space="preserve">Generally, the roll-over applies to transfers that do not result in a </w:t>
      </w:r>
      <w:r>
        <w:rPr>
          <w:rFonts w:ascii="Arial" w:hAnsi="Arial" w:cs="Arial"/>
          <w:sz w:val="22"/>
          <w:szCs w:val="22"/>
        </w:rPr>
        <w:t>material</w:t>
      </w:r>
      <w:r w:rsidRPr="00630470">
        <w:rPr>
          <w:rFonts w:ascii="Arial" w:hAnsi="Arial" w:cs="Arial"/>
          <w:sz w:val="22"/>
          <w:szCs w:val="22"/>
        </w:rPr>
        <w:t xml:space="preserve"> </w:t>
      </w:r>
      <w:r w:rsidRPr="00EF0759">
        <w:rPr>
          <w:rFonts w:ascii="Arial" w:hAnsi="Arial" w:cs="Arial"/>
          <w:sz w:val="22"/>
          <w:szCs w:val="22"/>
        </w:rPr>
        <w:t>change in the ultimate economic ownership of the assets.</w:t>
      </w:r>
    </w:p>
    <w:p w14:paraId="43E25C37" w14:textId="77777777" w:rsidR="00BA7370" w:rsidRPr="00EF0759" w:rsidRDefault="00BA7370" w:rsidP="00BA7370">
      <w:pPr>
        <w:spacing w:after="120"/>
        <w:rPr>
          <w:rFonts w:ascii="Arial" w:hAnsi="Arial" w:cs="Arial"/>
          <w:sz w:val="22"/>
          <w:szCs w:val="22"/>
        </w:rPr>
      </w:pPr>
    </w:p>
    <w:p w14:paraId="5DF88CF6" w14:textId="77777777" w:rsidR="00BA7370" w:rsidRPr="003D29C3" w:rsidRDefault="00BA7370" w:rsidP="00BA7370">
      <w:pPr>
        <w:pStyle w:val="Heading2"/>
        <w:rPr>
          <w:rFonts w:cs="Arial"/>
          <w:b w:val="0"/>
          <w:szCs w:val="22"/>
        </w:rPr>
      </w:pPr>
      <w:r w:rsidRPr="003D29C3">
        <w:rPr>
          <w:rFonts w:cs="Arial"/>
          <w:szCs w:val="22"/>
        </w:rPr>
        <w:t>Explanation</w:t>
      </w:r>
    </w:p>
    <w:p w14:paraId="2344912F" w14:textId="77777777" w:rsidR="00BA7370" w:rsidRDefault="00BA7370" w:rsidP="00BA7370">
      <w:pPr>
        <w:numPr>
          <w:ilvl w:val="0"/>
          <w:numId w:val="16"/>
        </w:numPr>
        <w:tabs>
          <w:tab w:val="clear" w:pos="720"/>
        </w:tabs>
        <w:spacing w:after="120"/>
        <w:ind w:left="709" w:hanging="709"/>
        <w:rPr>
          <w:rFonts w:ascii="Arial" w:hAnsi="Arial" w:cs="Arial"/>
          <w:sz w:val="22"/>
          <w:szCs w:val="22"/>
        </w:rPr>
      </w:pPr>
      <w:r w:rsidRPr="00E5428A">
        <w:rPr>
          <w:rFonts w:ascii="Arial" w:hAnsi="Arial" w:cs="Arial"/>
          <w:sz w:val="22"/>
          <w:szCs w:val="22"/>
        </w:rPr>
        <w:t xml:space="preserve">Under the SBRR, the statutory mechanism for delivering the roll-over differs depending on the type of assets being transferred. CGT assets, trading stock and revenue assets are subject </w:t>
      </w:r>
      <w:r>
        <w:rPr>
          <w:rFonts w:ascii="Arial" w:hAnsi="Arial" w:cs="Arial"/>
          <w:sz w:val="22"/>
          <w:szCs w:val="22"/>
        </w:rPr>
        <w:t xml:space="preserve">to </w:t>
      </w:r>
      <w:r w:rsidRPr="00E5428A">
        <w:rPr>
          <w:rFonts w:ascii="Arial" w:hAnsi="Arial" w:cs="Arial"/>
          <w:sz w:val="22"/>
          <w:szCs w:val="22"/>
        </w:rPr>
        <w:t>a general rule in section 328-450 that, except as provided in Subdivision 328-G, ‘the transfer of an asset has no direct consequences under the income tax law’. However, the relief for the tax consequences for the transfer of depreciating assets</w:t>
      </w:r>
      <w:r>
        <w:rPr>
          <w:rFonts w:ascii="Arial" w:hAnsi="Arial" w:cs="Arial"/>
          <w:sz w:val="22"/>
          <w:szCs w:val="22"/>
        </w:rPr>
        <w:t>, as provided under section 40-340,</w:t>
      </w:r>
      <w:r w:rsidRPr="00E5428A">
        <w:rPr>
          <w:rFonts w:ascii="Arial" w:hAnsi="Arial" w:cs="Arial"/>
          <w:sz w:val="22"/>
          <w:szCs w:val="22"/>
        </w:rPr>
        <w:t xml:space="preserve"> is more limited. </w:t>
      </w:r>
    </w:p>
    <w:p w14:paraId="18828D6C"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As enacted, the roll-over in section 40-340 is in relation to the ‘balancing adjustment’ consequences that would otherwise arise from the transfer of depreciating assets. That is, it enables the parties to the transfer to postpone the assessable income or tax deduction that would otherwise </w:t>
      </w:r>
      <w:r>
        <w:rPr>
          <w:rFonts w:ascii="Arial" w:hAnsi="Arial" w:cs="Arial"/>
          <w:sz w:val="22"/>
          <w:szCs w:val="22"/>
        </w:rPr>
        <w:t xml:space="preserve">arise </w:t>
      </w:r>
      <w:r w:rsidRPr="00EF0759">
        <w:rPr>
          <w:rFonts w:ascii="Arial" w:hAnsi="Arial" w:cs="Arial"/>
          <w:sz w:val="22"/>
          <w:szCs w:val="22"/>
        </w:rPr>
        <w:t xml:space="preserve">from </w:t>
      </w:r>
      <w:r>
        <w:rPr>
          <w:rFonts w:ascii="Arial" w:hAnsi="Arial" w:cs="Arial"/>
          <w:sz w:val="22"/>
          <w:szCs w:val="22"/>
        </w:rPr>
        <w:t xml:space="preserve">the </w:t>
      </w:r>
      <w:r w:rsidRPr="00EF0759">
        <w:rPr>
          <w:rFonts w:ascii="Arial" w:hAnsi="Arial" w:cs="Arial"/>
          <w:sz w:val="22"/>
          <w:szCs w:val="22"/>
        </w:rPr>
        <w:t>transferring</w:t>
      </w:r>
      <w:r>
        <w:rPr>
          <w:rFonts w:ascii="Arial" w:hAnsi="Arial" w:cs="Arial"/>
          <w:sz w:val="22"/>
          <w:szCs w:val="22"/>
        </w:rPr>
        <w:t xml:space="preserve"> of</w:t>
      </w:r>
      <w:r w:rsidRPr="00EF0759">
        <w:rPr>
          <w:rFonts w:ascii="Arial" w:hAnsi="Arial" w:cs="Arial"/>
          <w:sz w:val="22"/>
          <w:szCs w:val="22"/>
        </w:rPr>
        <w:t xml:space="preserve"> the asset for an amount above or below its ‘adjustable value’ for tax purposes. It also provides a mechanism for the transferee to continue to depreciate the asset. </w:t>
      </w:r>
    </w:p>
    <w:p w14:paraId="63781770"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The transfer of depreciating assets in the context of</w:t>
      </w:r>
      <w:r>
        <w:rPr>
          <w:rFonts w:ascii="Arial" w:hAnsi="Arial" w:cs="Arial"/>
          <w:sz w:val="22"/>
          <w:szCs w:val="22"/>
        </w:rPr>
        <w:t xml:space="preserve"> a</w:t>
      </w:r>
      <w:r w:rsidRPr="00EF0759">
        <w:rPr>
          <w:rFonts w:ascii="Arial" w:hAnsi="Arial" w:cs="Arial"/>
          <w:sz w:val="22"/>
          <w:szCs w:val="22"/>
        </w:rPr>
        <w:t xml:space="preserve"> business restructure can have other direct income tax consequences, in addition to the balancing adjustment consequences addressed in Division 40. For example, where the transferring entity is a company, the transfer may give rise to a dividend (or deemed dividend) in the hands of the recipient. </w:t>
      </w:r>
    </w:p>
    <w:p w14:paraId="11280E2A"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The Commissioner considers that the </w:t>
      </w:r>
      <w:r>
        <w:rPr>
          <w:rFonts w:ascii="Arial" w:hAnsi="Arial" w:cs="Arial"/>
          <w:sz w:val="22"/>
          <w:szCs w:val="22"/>
        </w:rPr>
        <w:t>intended purpose or object</w:t>
      </w:r>
      <w:r w:rsidRPr="00EF0759">
        <w:rPr>
          <w:rFonts w:ascii="Arial" w:hAnsi="Arial" w:cs="Arial"/>
          <w:sz w:val="22"/>
          <w:szCs w:val="22"/>
        </w:rPr>
        <w:t xml:space="preserve"> of the SB</w:t>
      </w:r>
      <w:r>
        <w:rPr>
          <w:rFonts w:ascii="Arial" w:hAnsi="Arial" w:cs="Arial"/>
          <w:sz w:val="22"/>
          <w:szCs w:val="22"/>
        </w:rPr>
        <w:t>R</w:t>
      </w:r>
      <w:r w:rsidRPr="00EF0759">
        <w:rPr>
          <w:rFonts w:ascii="Arial" w:hAnsi="Arial" w:cs="Arial"/>
          <w:sz w:val="22"/>
          <w:szCs w:val="22"/>
        </w:rPr>
        <w:t>R extends to providing relief from all ‘direct tax consequences’ of the transfer of depreciating assets.</w:t>
      </w:r>
      <w:r>
        <w:rPr>
          <w:rFonts w:ascii="Arial" w:hAnsi="Arial" w:cs="Arial"/>
          <w:sz w:val="22"/>
          <w:szCs w:val="22"/>
        </w:rPr>
        <w:t xml:space="preserve"> </w:t>
      </w:r>
      <w:r w:rsidRPr="00EF0759">
        <w:rPr>
          <w:rFonts w:ascii="Arial" w:hAnsi="Arial" w:cs="Arial"/>
          <w:sz w:val="22"/>
          <w:szCs w:val="22"/>
        </w:rPr>
        <w:t xml:space="preserve">Through this </w:t>
      </w:r>
      <w:r>
        <w:rPr>
          <w:rFonts w:ascii="Arial" w:hAnsi="Arial" w:cs="Arial"/>
          <w:sz w:val="22"/>
          <w:szCs w:val="22"/>
        </w:rPr>
        <w:t>determination</w:t>
      </w:r>
      <w:r w:rsidRPr="00EF0759">
        <w:rPr>
          <w:rFonts w:ascii="Arial" w:hAnsi="Arial" w:cs="Arial"/>
          <w:sz w:val="22"/>
          <w:szCs w:val="22"/>
        </w:rPr>
        <w:t>, the operation of item 8 of the table in subsection 40-340(1) is extended</w:t>
      </w:r>
      <w:r>
        <w:rPr>
          <w:rFonts w:ascii="Arial" w:hAnsi="Arial" w:cs="Arial"/>
          <w:sz w:val="22"/>
          <w:szCs w:val="22"/>
        </w:rPr>
        <w:t>.</w:t>
      </w:r>
      <w:r w:rsidRPr="00EF0759">
        <w:rPr>
          <w:rFonts w:ascii="Arial" w:hAnsi="Arial" w:cs="Arial"/>
          <w:sz w:val="22"/>
          <w:szCs w:val="22"/>
        </w:rPr>
        <w:t xml:space="preserve"> </w:t>
      </w:r>
      <w:r>
        <w:rPr>
          <w:rFonts w:ascii="Arial" w:hAnsi="Arial" w:cs="Arial"/>
          <w:sz w:val="22"/>
          <w:szCs w:val="22"/>
        </w:rPr>
        <w:t xml:space="preserve">The extension will ensure </w:t>
      </w:r>
      <w:r w:rsidRPr="00630470">
        <w:rPr>
          <w:rFonts w:ascii="Arial" w:hAnsi="Arial" w:cs="Arial"/>
          <w:sz w:val="22"/>
          <w:szCs w:val="22"/>
        </w:rPr>
        <w:t>that no direct income taxation consequences will arise from the transfer of depreciating assets</w:t>
      </w:r>
      <w:r>
        <w:rPr>
          <w:rFonts w:ascii="Arial" w:hAnsi="Arial" w:cs="Arial"/>
          <w:sz w:val="22"/>
          <w:szCs w:val="22"/>
        </w:rPr>
        <w:t xml:space="preserve"> other than those arising under Division 40</w:t>
      </w:r>
      <w:r w:rsidRPr="00630470">
        <w:rPr>
          <w:rFonts w:ascii="Arial" w:hAnsi="Arial" w:cs="Arial"/>
          <w:sz w:val="22"/>
          <w:szCs w:val="22"/>
        </w:rPr>
        <w:t>.</w:t>
      </w:r>
      <w:r>
        <w:rPr>
          <w:rFonts w:ascii="Arial" w:hAnsi="Arial" w:cs="Arial"/>
          <w:sz w:val="22"/>
          <w:szCs w:val="22"/>
        </w:rPr>
        <w:t xml:space="preserve"> </w:t>
      </w:r>
      <w:r w:rsidRPr="00172A20">
        <w:rPr>
          <w:rFonts w:ascii="Arial" w:hAnsi="Arial" w:cs="Arial"/>
          <w:sz w:val="22"/>
          <w:szCs w:val="22"/>
        </w:rPr>
        <w:t>The modification does not change the depreciation tax cost setting process in Division 40.</w:t>
      </w:r>
      <w:r w:rsidRPr="002A5EF8">
        <w:rPr>
          <w:rFonts w:ascii="Arial" w:hAnsi="Arial" w:cs="Arial"/>
          <w:sz w:val="22"/>
          <w:szCs w:val="22"/>
        </w:rPr>
        <w:t xml:space="preserve">  </w:t>
      </w:r>
    </w:p>
    <w:p w14:paraId="48B41901"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This modification is consistent with the </w:t>
      </w:r>
      <w:r>
        <w:rPr>
          <w:rFonts w:ascii="Arial" w:hAnsi="Arial" w:cs="Arial"/>
          <w:sz w:val="22"/>
          <w:szCs w:val="22"/>
        </w:rPr>
        <w:t>intended purpose</w:t>
      </w:r>
      <w:r w:rsidRPr="00630470">
        <w:rPr>
          <w:rFonts w:ascii="Arial" w:hAnsi="Arial" w:cs="Arial"/>
          <w:sz w:val="22"/>
          <w:szCs w:val="22"/>
        </w:rPr>
        <w:t xml:space="preserve"> </w:t>
      </w:r>
      <w:r>
        <w:rPr>
          <w:rFonts w:ascii="Arial" w:hAnsi="Arial" w:cs="Arial"/>
          <w:sz w:val="22"/>
          <w:szCs w:val="22"/>
        </w:rPr>
        <w:t>or object</w:t>
      </w:r>
      <w:r w:rsidRPr="00EF0759">
        <w:rPr>
          <w:rFonts w:ascii="Arial" w:hAnsi="Arial" w:cs="Arial"/>
          <w:sz w:val="22"/>
          <w:szCs w:val="22"/>
        </w:rPr>
        <w:t xml:space="preserve"> of subdivision 328</w:t>
      </w:r>
      <w:r>
        <w:rPr>
          <w:rFonts w:ascii="Arial" w:hAnsi="Arial" w:cs="Arial"/>
          <w:sz w:val="22"/>
          <w:szCs w:val="22"/>
        </w:rPr>
        <w:noBreakHyphen/>
      </w:r>
      <w:r w:rsidRPr="00EF0759">
        <w:rPr>
          <w:rFonts w:ascii="Arial" w:hAnsi="Arial" w:cs="Arial"/>
          <w:sz w:val="22"/>
          <w:szCs w:val="22"/>
        </w:rPr>
        <w:t xml:space="preserve">G and is reasonable to provide certainty and flexibility to the owners of small businesses who wish to change the legal structure of the business without adverse tax consequences. </w:t>
      </w:r>
    </w:p>
    <w:p w14:paraId="40301A99"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lastRenderedPageBreak/>
        <w:t xml:space="preserve">The example below illustrates how the current law applies in the absence of the </w:t>
      </w:r>
      <w:r>
        <w:rPr>
          <w:rFonts w:ascii="Arial" w:hAnsi="Arial" w:cs="Arial"/>
          <w:sz w:val="22"/>
          <w:szCs w:val="22"/>
        </w:rPr>
        <w:t>determination</w:t>
      </w:r>
      <w:r w:rsidRPr="00EF0759">
        <w:rPr>
          <w:rFonts w:ascii="Arial" w:hAnsi="Arial" w:cs="Arial"/>
          <w:sz w:val="22"/>
          <w:szCs w:val="22"/>
        </w:rPr>
        <w:t>.</w:t>
      </w:r>
    </w:p>
    <w:p w14:paraId="10793441" w14:textId="77777777" w:rsidR="00BA7370" w:rsidRPr="00EF0759" w:rsidRDefault="00BA7370" w:rsidP="00BA7370">
      <w:pPr>
        <w:spacing w:after="120"/>
        <w:ind w:left="709"/>
        <w:rPr>
          <w:rFonts w:ascii="Arial" w:hAnsi="Arial" w:cs="Arial"/>
          <w:sz w:val="22"/>
          <w:szCs w:val="22"/>
          <w:u w:val="single"/>
        </w:rPr>
      </w:pPr>
    </w:p>
    <w:p w14:paraId="14D65ED5" w14:textId="77777777" w:rsidR="00BA7370" w:rsidRPr="00EF0759" w:rsidRDefault="00BA7370" w:rsidP="00BA7370">
      <w:pPr>
        <w:spacing w:after="120"/>
        <w:rPr>
          <w:rFonts w:ascii="Arial" w:hAnsi="Arial" w:cs="Arial"/>
          <w:sz w:val="22"/>
          <w:szCs w:val="22"/>
          <w:u w:val="single"/>
        </w:rPr>
      </w:pPr>
      <w:r w:rsidRPr="00EF0759">
        <w:rPr>
          <w:rFonts w:ascii="Arial" w:hAnsi="Arial" w:cs="Arial"/>
          <w:sz w:val="22"/>
          <w:szCs w:val="22"/>
          <w:u w:val="single"/>
        </w:rPr>
        <w:t xml:space="preserve">Example: Assessable income includes the value of the depreciable plant following the transfer </w:t>
      </w:r>
    </w:p>
    <w:p w14:paraId="7F00D436"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Fiona owns all of the shares in Orange Country Pty Ltd which is a small business entity. Fiona decides to restructure her business to operate as a sole trader. She causes the company to transfer all of its assets including an item of depreciable plant for no consideration.</w:t>
      </w:r>
    </w:p>
    <w:p w14:paraId="5DDA1CB8"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Under the capital allowance provisions, Orange Country Pty Ltd is taken to receive market value consideration for the transfer of plant. The company is entitled to choose roll-over and defer the tax consequences from the balancing adjustment event.</w:t>
      </w:r>
    </w:p>
    <w:p w14:paraId="138C977D"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If the depreciable plant is paid out of profits derived by Orange Country Pty Ltd, Fiona’s assessable income will include the market value of the plant, pursuant to section 44 of </w:t>
      </w:r>
      <w:r>
        <w:rPr>
          <w:rFonts w:ascii="Arial" w:hAnsi="Arial" w:cs="Arial"/>
          <w:sz w:val="22"/>
          <w:szCs w:val="22"/>
        </w:rPr>
        <w:t xml:space="preserve">the </w:t>
      </w:r>
      <w:r w:rsidRPr="00EF0759">
        <w:rPr>
          <w:rFonts w:ascii="Arial" w:hAnsi="Arial" w:cs="Arial"/>
          <w:i/>
          <w:sz w:val="22"/>
          <w:szCs w:val="22"/>
        </w:rPr>
        <w:t>Income Tax Assessment Act 1936 (ITAA 1936)</w:t>
      </w:r>
      <w:r w:rsidRPr="00EF0759">
        <w:rPr>
          <w:rFonts w:ascii="Arial" w:hAnsi="Arial" w:cs="Arial"/>
          <w:sz w:val="22"/>
          <w:szCs w:val="22"/>
        </w:rPr>
        <w:t>. Alternatively, the amount would be an assessable deemed dividend pursuant to section 109C of ITAA 1936</w:t>
      </w:r>
      <w:r w:rsidRPr="00EF0759">
        <w:rPr>
          <w:rFonts w:ascii="Arial" w:hAnsi="Arial" w:cs="Arial"/>
          <w:i/>
          <w:sz w:val="22"/>
          <w:szCs w:val="22"/>
        </w:rPr>
        <w:t>.</w:t>
      </w:r>
    </w:p>
    <w:p w14:paraId="139C4551" w14:textId="77777777" w:rsidR="00BA7370" w:rsidRPr="0074606D" w:rsidRDefault="00BA7370" w:rsidP="00BA7370">
      <w:pPr>
        <w:spacing w:after="120"/>
        <w:ind w:left="709"/>
      </w:pPr>
    </w:p>
    <w:p w14:paraId="6D1C0306" w14:textId="77777777" w:rsidR="00BA7370" w:rsidRPr="003D29C3" w:rsidRDefault="00BA7370" w:rsidP="00BA7370">
      <w:pPr>
        <w:pStyle w:val="Heading2"/>
        <w:rPr>
          <w:rFonts w:cs="Arial"/>
          <w:b w:val="0"/>
          <w:szCs w:val="22"/>
        </w:rPr>
      </w:pPr>
      <w:r w:rsidRPr="003D29C3">
        <w:rPr>
          <w:rFonts w:cs="Arial"/>
          <w:szCs w:val="22"/>
        </w:rPr>
        <w:t>Modification is not inconsistent with intended purpose or object of the provision</w:t>
      </w:r>
    </w:p>
    <w:p w14:paraId="66ACEBC6" w14:textId="77777777" w:rsidR="00BA7370" w:rsidRPr="00EF0759" w:rsidRDefault="00BA7370" w:rsidP="00BA7370">
      <w:pPr>
        <w:spacing w:after="120"/>
        <w:rPr>
          <w:rFonts w:ascii="Arial" w:hAnsi="Arial" w:cs="Arial"/>
          <w:sz w:val="22"/>
          <w:szCs w:val="22"/>
        </w:rPr>
      </w:pPr>
    </w:p>
    <w:p w14:paraId="12DDE8AB"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The Commissioner considers the modification is not inconsistent with the </w:t>
      </w:r>
      <w:r>
        <w:rPr>
          <w:rFonts w:ascii="Arial" w:hAnsi="Arial" w:cs="Arial"/>
          <w:sz w:val="22"/>
          <w:szCs w:val="22"/>
        </w:rPr>
        <w:t xml:space="preserve">intended purpose or </w:t>
      </w:r>
      <w:r w:rsidRPr="00EF0759">
        <w:rPr>
          <w:rFonts w:ascii="Arial" w:hAnsi="Arial" w:cs="Arial"/>
          <w:sz w:val="22"/>
          <w:szCs w:val="22"/>
        </w:rPr>
        <w:t xml:space="preserve">object of the </w:t>
      </w:r>
      <w:r w:rsidRPr="00630470">
        <w:rPr>
          <w:rFonts w:ascii="Arial" w:hAnsi="Arial" w:cs="Arial"/>
          <w:sz w:val="22"/>
          <w:szCs w:val="22"/>
        </w:rPr>
        <w:t>provision</w:t>
      </w:r>
      <w:r>
        <w:rPr>
          <w:rFonts w:ascii="Arial" w:hAnsi="Arial" w:cs="Arial"/>
          <w:sz w:val="22"/>
          <w:szCs w:val="22"/>
        </w:rPr>
        <w:t>, being item 8 of the table in subsection 40-340(1)</w:t>
      </w:r>
      <w:r w:rsidRPr="00630470">
        <w:rPr>
          <w:rFonts w:ascii="Arial" w:hAnsi="Arial" w:cs="Arial"/>
          <w:sz w:val="22"/>
          <w:szCs w:val="22"/>
        </w:rPr>
        <w:t>.</w:t>
      </w:r>
      <w:r w:rsidRPr="00EF0759">
        <w:rPr>
          <w:rFonts w:ascii="Arial" w:hAnsi="Arial" w:cs="Arial"/>
          <w:sz w:val="22"/>
          <w:szCs w:val="22"/>
        </w:rPr>
        <w:t xml:space="preserve"> In ascertaining the intended </w:t>
      </w:r>
      <w:r>
        <w:rPr>
          <w:rFonts w:ascii="Arial" w:hAnsi="Arial" w:cs="Arial"/>
          <w:sz w:val="22"/>
          <w:szCs w:val="22"/>
        </w:rPr>
        <w:t xml:space="preserve">purpose or </w:t>
      </w:r>
      <w:r w:rsidRPr="00EF0759">
        <w:rPr>
          <w:rFonts w:ascii="Arial" w:hAnsi="Arial" w:cs="Arial"/>
          <w:sz w:val="22"/>
          <w:szCs w:val="22"/>
        </w:rPr>
        <w:t xml:space="preserve">object of the provision, consideration was given to the explanatory memorandum relating to the bill containing the provision. </w:t>
      </w:r>
    </w:p>
    <w:p w14:paraId="6633A483"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The explanatory memorandum states that the </w:t>
      </w:r>
      <w:r w:rsidRPr="00F55E4C">
        <w:rPr>
          <w:rFonts w:ascii="Arial" w:hAnsi="Arial"/>
          <w:i/>
          <w:sz w:val="22"/>
        </w:rPr>
        <w:t>Income Tax Assessment Act 1997</w:t>
      </w:r>
      <w:r w:rsidRPr="00EF0759">
        <w:rPr>
          <w:rFonts w:ascii="Arial" w:hAnsi="Arial" w:cs="Arial"/>
          <w:sz w:val="22"/>
          <w:szCs w:val="22"/>
        </w:rPr>
        <w:t xml:space="preserve"> was amended to enable small businesses to defer the recognition of gains or losses that may arise from the transfer of capital gains tax assets, trading stock, revenue assets</w:t>
      </w:r>
      <w:r>
        <w:rPr>
          <w:rFonts w:ascii="Arial" w:hAnsi="Arial" w:cs="Arial"/>
          <w:sz w:val="22"/>
          <w:szCs w:val="22"/>
        </w:rPr>
        <w:t>,</w:t>
      </w:r>
      <w:r w:rsidRPr="00EF0759">
        <w:rPr>
          <w:rFonts w:ascii="Arial" w:hAnsi="Arial" w:cs="Arial"/>
          <w:sz w:val="22"/>
          <w:szCs w:val="22"/>
        </w:rPr>
        <w:t xml:space="preserve"> and depreciating assets as part of a</w:t>
      </w:r>
      <w:r w:rsidRPr="00630470">
        <w:rPr>
          <w:rFonts w:ascii="Arial" w:hAnsi="Arial" w:cs="Arial"/>
          <w:sz w:val="22"/>
          <w:szCs w:val="22"/>
        </w:rPr>
        <w:t xml:space="preserve"> </w:t>
      </w:r>
      <w:r>
        <w:rPr>
          <w:rFonts w:ascii="Arial" w:hAnsi="Arial" w:cs="Arial"/>
          <w:sz w:val="22"/>
          <w:szCs w:val="22"/>
        </w:rPr>
        <w:t>genuine</w:t>
      </w:r>
      <w:r w:rsidRPr="00EF0759">
        <w:rPr>
          <w:rFonts w:ascii="Arial" w:hAnsi="Arial" w:cs="Arial"/>
          <w:sz w:val="22"/>
          <w:szCs w:val="22"/>
        </w:rPr>
        <w:t xml:space="preserve"> restructure of their business.</w:t>
      </w:r>
      <w:r w:rsidRPr="00F55E4C">
        <w:rPr>
          <w:rStyle w:val="FootnoteReference"/>
        </w:rPr>
        <w:footnoteReference w:id="1"/>
      </w:r>
      <w:r w:rsidRPr="00EF0759">
        <w:rPr>
          <w:rFonts w:ascii="Arial" w:hAnsi="Arial" w:cs="Arial"/>
          <w:sz w:val="22"/>
          <w:szCs w:val="22"/>
        </w:rPr>
        <w:t xml:space="preserve"> </w:t>
      </w:r>
    </w:p>
    <w:p w14:paraId="663B1EDD"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This will be achieved ‘with a new roll-over for gains and losses arising from the transfer of CGT assets, trading stock, revenue assets and depreciating assets as part of a restructure of a small business’, thereby providing ‘small businesses with the flexibility to change their legal structure without realising an income tax liability on the transfer of those assets’.</w:t>
      </w:r>
      <w:r w:rsidRPr="00F55E4C">
        <w:rPr>
          <w:rStyle w:val="FootnoteReference"/>
        </w:rPr>
        <w:footnoteReference w:id="2"/>
      </w:r>
      <w:r w:rsidRPr="00EF0759">
        <w:rPr>
          <w:rFonts w:ascii="Arial" w:hAnsi="Arial" w:cs="Arial"/>
          <w:sz w:val="22"/>
          <w:szCs w:val="22"/>
        </w:rPr>
        <w:t xml:space="preserve"> </w:t>
      </w:r>
    </w:p>
    <w:p w14:paraId="051BE5FF"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The explanatory memorandum is explicit in stating that the relief is intended to apply to </w:t>
      </w:r>
      <w:r w:rsidRPr="00630470">
        <w:rPr>
          <w:rFonts w:ascii="Arial" w:hAnsi="Arial" w:cs="Arial"/>
          <w:sz w:val="22"/>
          <w:szCs w:val="22"/>
        </w:rPr>
        <w:t>transfer</w:t>
      </w:r>
      <w:r>
        <w:rPr>
          <w:rFonts w:ascii="Arial" w:hAnsi="Arial" w:cs="Arial"/>
          <w:sz w:val="22"/>
          <w:szCs w:val="22"/>
        </w:rPr>
        <w:t>s</w:t>
      </w:r>
      <w:r w:rsidRPr="00EF0759">
        <w:rPr>
          <w:rFonts w:ascii="Arial" w:hAnsi="Arial" w:cs="Arial"/>
          <w:sz w:val="22"/>
          <w:szCs w:val="22"/>
        </w:rPr>
        <w:t xml:space="preserve"> of trading stock, revenue assets, and depreciating assets.</w:t>
      </w:r>
      <w:r w:rsidRPr="00F55E4C">
        <w:rPr>
          <w:rStyle w:val="FootnoteReference"/>
        </w:rPr>
        <w:footnoteReference w:id="3"/>
      </w:r>
    </w:p>
    <w:p w14:paraId="1A5315B8"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The Commissioner considers that it will be inconsistent with the intended </w:t>
      </w:r>
      <w:r>
        <w:rPr>
          <w:rFonts w:ascii="Arial" w:hAnsi="Arial" w:cs="Arial"/>
          <w:sz w:val="22"/>
          <w:szCs w:val="22"/>
        </w:rPr>
        <w:t xml:space="preserve">purpose or </w:t>
      </w:r>
      <w:r w:rsidRPr="00EF0759">
        <w:rPr>
          <w:rFonts w:ascii="Arial" w:hAnsi="Arial" w:cs="Arial"/>
          <w:sz w:val="22"/>
          <w:szCs w:val="22"/>
        </w:rPr>
        <w:t xml:space="preserve">object of the provision to treat depreciating assets as a special category. That is, it will be inconsistent with the intended </w:t>
      </w:r>
      <w:r>
        <w:rPr>
          <w:rFonts w:ascii="Arial" w:hAnsi="Arial" w:cs="Arial"/>
          <w:sz w:val="22"/>
          <w:szCs w:val="22"/>
        </w:rPr>
        <w:t xml:space="preserve">purpose or </w:t>
      </w:r>
      <w:r w:rsidRPr="00EF0759">
        <w:rPr>
          <w:rFonts w:ascii="Arial" w:hAnsi="Arial" w:cs="Arial"/>
          <w:sz w:val="22"/>
          <w:szCs w:val="22"/>
        </w:rPr>
        <w:t xml:space="preserve">object to provide more limited relief to depreciating assets than other asset types. The </w:t>
      </w:r>
      <w:r w:rsidRPr="00EF0759">
        <w:rPr>
          <w:rFonts w:ascii="Arial" w:hAnsi="Arial" w:cs="Arial"/>
          <w:sz w:val="22"/>
          <w:szCs w:val="22"/>
        </w:rPr>
        <w:lastRenderedPageBreak/>
        <w:t xml:space="preserve">modification will remove an impediment to achieving tax neutrality for small business owners who undertake qualifying restructures.   </w:t>
      </w:r>
    </w:p>
    <w:p w14:paraId="00750286" w14:textId="77777777" w:rsidR="00BA7370" w:rsidRPr="003D29C3" w:rsidRDefault="00BA7370" w:rsidP="00BA7370">
      <w:pPr>
        <w:pStyle w:val="Heading2"/>
        <w:rPr>
          <w:rFonts w:cs="Arial"/>
          <w:b w:val="0"/>
          <w:szCs w:val="22"/>
        </w:rPr>
      </w:pPr>
      <w:r w:rsidRPr="0074606D">
        <w:br/>
      </w:r>
      <w:r w:rsidRPr="003D29C3">
        <w:rPr>
          <w:rFonts w:cs="Arial"/>
          <w:szCs w:val="22"/>
        </w:rPr>
        <w:t>Modification is reasonable</w:t>
      </w:r>
    </w:p>
    <w:p w14:paraId="23EE7785"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The Commissioner considers the modification to be reasonable, having regard to the intended purpose or object of subdivision 328-G and to whether the cost of complying with the provision is disproportionate to achieving that intended purpose or object.</w:t>
      </w:r>
    </w:p>
    <w:p w14:paraId="0E6BDC92"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Under the law </w:t>
      </w:r>
      <w:proofErr w:type="spellStart"/>
      <w:r w:rsidRPr="00EF0759">
        <w:rPr>
          <w:rFonts w:ascii="Arial" w:hAnsi="Arial" w:cs="Arial"/>
          <w:sz w:val="22"/>
          <w:szCs w:val="22"/>
        </w:rPr>
        <w:t>as</w:t>
      </w:r>
      <w:proofErr w:type="spellEnd"/>
      <w:r w:rsidRPr="00EF0759">
        <w:rPr>
          <w:rFonts w:ascii="Arial" w:hAnsi="Arial" w:cs="Arial"/>
          <w:sz w:val="22"/>
          <w:szCs w:val="22"/>
        </w:rPr>
        <w:t xml:space="preserve"> enacted, a business owner proposing a business restructure involving depreciating assets may be exposed to unintended adverse tax consequences. To avoid that outcome, the business owner has the choice of either excluding depreciating assets from the overall restructure or ensuring that depreciating assets are transferred at their market value. </w:t>
      </w:r>
    </w:p>
    <w:p w14:paraId="5AF9954E"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Each of those alternatives limits the utility of the roll-over, increases the cost of undertaking the restructure (for example, by necessitating that market valuations be obtained) and can lead to additional ongoing compliance costs. The modification will increase the utility of the roll-over and will relieve affected businesses from unnecessary compliance costs. </w:t>
      </w:r>
    </w:p>
    <w:p w14:paraId="33E1C5BD" w14:textId="77777777" w:rsidR="00BA7370" w:rsidRPr="00EF0759" w:rsidRDefault="00BA7370" w:rsidP="00BA7370">
      <w:pPr>
        <w:spacing w:after="120"/>
        <w:rPr>
          <w:rFonts w:ascii="Arial" w:hAnsi="Arial" w:cs="Arial"/>
          <w:sz w:val="22"/>
          <w:szCs w:val="22"/>
        </w:rPr>
      </w:pPr>
    </w:p>
    <w:p w14:paraId="776BB135" w14:textId="77777777" w:rsidR="00BA7370" w:rsidRPr="003D29C3" w:rsidRDefault="00BA7370" w:rsidP="00BA7370">
      <w:pPr>
        <w:pStyle w:val="Heading2"/>
        <w:rPr>
          <w:rFonts w:cs="Arial"/>
          <w:b w:val="0"/>
          <w:szCs w:val="22"/>
        </w:rPr>
      </w:pPr>
      <w:r w:rsidRPr="003D29C3">
        <w:rPr>
          <w:rFonts w:cs="Arial"/>
          <w:szCs w:val="22"/>
        </w:rPr>
        <w:t>Intended purpose or object of provision</w:t>
      </w:r>
    </w:p>
    <w:p w14:paraId="797A3E61" w14:textId="77777777" w:rsidR="00BA7370" w:rsidRPr="00EF0759" w:rsidRDefault="00BA7370" w:rsidP="00BA7370">
      <w:pPr>
        <w:numPr>
          <w:ilvl w:val="0"/>
          <w:numId w:val="16"/>
        </w:numPr>
        <w:tabs>
          <w:tab w:val="clear" w:pos="720"/>
        </w:tabs>
        <w:spacing w:after="120"/>
        <w:ind w:left="709" w:hanging="709"/>
        <w:rPr>
          <w:rFonts w:ascii="Arial" w:hAnsi="Arial" w:cs="Arial"/>
          <w:sz w:val="22"/>
          <w:szCs w:val="22"/>
        </w:rPr>
      </w:pPr>
      <w:r w:rsidRPr="00EF0759">
        <w:rPr>
          <w:rFonts w:ascii="Arial" w:hAnsi="Arial" w:cs="Arial"/>
          <w:sz w:val="22"/>
          <w:szCs w:val="22"/>
        </w:rPr>
        <w:t xml:space="preserve">The intended purpose or object </w:t>
      </w:r>
      <w:r>
        <w:rPr>
          <w:rFonts w:ascii="Arial" w:hAnsi="Arial" w:cs="Arial"/>
          <w:sz w:val="22"/>
          <w:szCs w:val="22"/>
        </w:rPr>
        <w:t>of</w:t>
      </w:r>
      <w:r w:rsidRPr="00630470">
        <w:rPr>
          <w:rFonts w:ascii="Arial" w:hAnsi="Arial" w:cs="Arial"/>
          <w:sz w:val="22"/>
          <w:szCs w:val="22"/>
        </w:rPr>
        <w:t xml:space="preserve"> </w:t>
      </w:r>
      <w:r w:rsidRPr="00EF0759">
        <w:rPr>
          <w:rFonts w:ascii="Arial" w:hAnsi="Arial" w:cs="Arial"/>
          <w:sz w:val="22"/>
          <w:szCs w:val="22"/>
        </w:rPr>
        <w:t xml:space="preserve">subdivision 328-G is discussed earlier in this explanation (see paragraphs </w:t>
      </w:r>
      <w:r w:rsidRPr="005376AC">
        <w:rPr>
          <w:rFonts w:ascii="Arial" w:hAnsi="Arial" w:cs="Arial"/>
          <w:sz w:val="22"/>
          <w:szCs w:val="22"/>
        </w:rPr>
        <w:t>2</w:t>
      </w:r>
      <w:r>
        <w:rPr>
          <w:rFonts w:ascii="Arial" w:hAnsi="Arial" w:cs="Arial"/>
          <w:sz w:val="22"/>
          <w:szCs w:val="22"/>
        </w:rPr>
        <w:t>1</w:t>
      </w:r>
      <w:r w:rsidRPr="00EF0759">
        <w:rPr>
          <w:rFonts w:ascii="Arial" w:hAnsi="Arial" w:cs="Arial"/>
          <w:sz w:val="22"/>
          <w:szCs w:val="22"/>
        </w:rPr>
        <w:t xml:space="preserve"> to </w:t>
      </w:r>
      <w:r w:rsidRPr="005376AC">
        <w:rPr>
          <w:rFonts w:ascii="Arial" w:hAnsi="Arial" w:cs="Arial"/>
          <w:sz w:val="22"/>
          <w:szCs w:val="22"/>
        </w:rPr>
        <w:t>2</w:t>
      </w:r>
      <w:r>
        <w:rPr>
          <w:rFonts w:ascii="Arial" w:hAnsi="Arial" w:cs="Arial"/>
          <w:sz w:val="22"/>
          <w:szCs w:val="22"/>
        </w:rPr>
        <w:t>5</w:t>
      </w:r>
      <w:r w:rsidRPr="00EF0759">
        <w:rPr>
          <w:rFonts w:ascii="Arial" w:hAnsi="Arial" w:cs="Arial"/>
          <w:sz w:val="22"/>
          <w:szCs w:val="22"/>
        </w:rPr>
        <w:t>).</w:t>
      </w:r>
    </w:p>
    <w:p w14:paraId="61B8004E" w14:textId="77777777" w:rsidR="00BA7370" w:rsidRPr="00EF0759" w:rsidRDefault="00BA7370" w:rsidP="00BA7370">
      <w:pPr>
        <w:spacing w:after="120"/>
        <w:rPr>
          <w:rFonts w:ascii="Arial" w:hAnsi="Arial" w:cs="Arial"/>
          <w:sz w:val="22"/>
          <w:szCs w:val="22"/>
        </w:rPr>
      </w:pPr>
    </w:p>
    <w:p w14:paraId="6AF08DEB" w14:textId="77777777" w:rsidR="00BA7370" w:rsidRPr="003D29C3" w:rsidRDefault="00BA7370" w:rsidP="00BA7370">
      <w:pPr>
        <w:pStyle w:val="Heading2"/>
        <w:rPr>
          <w:rFonts w:cs="Arial"/>
          <w:b w:val="0"/>
          <w:szCs w:val="22"/>
        </w:rPr>
      </w:pPr>
      <w:r w:rsidRPr="003D29C3">
        <w:rPr>
          <w:rFonts w:cs="Arial"/>
          <w:szCs w:val="22"/>
        </w:rPr>
        <w:t>Compliance cost</w:t>
      </w:r>
    </w:p>
    <w:p w14:paraId="29816B8E" w14:textId="77777777" w:rsidR="00BA7370" w:rsidRPr="00A4093C" w:rsidRDefault="00BA7370" w:rsidP="00BA7370">
      <w:pPr>
        <w:numPr>
          <w:ilvl w:val="0"/>
          <w:numId w:val="16"/>
        </w:numPr>
        <w:tabs>
          <w:tab w:val="clear" w:pos="720"/>
        </w:tabs>
        <w:spacing w:after="120"/>
        <w:ind w:left="709" w:hanging="709"/>
        <w:rPr>
          <w:rFonts w:ascii="Arial" w:hAnsi="Arial" w:cs="Arial"/>
          <w:sz w:val="22"/>
          <w:szCs w:val="22"/>
        </w:rPr>
      </w:pPr>
      <w:bookmarkStart w:id="1" w:name="CentreContent"/>
      <w:r w:rsidRPr="008E296B">
        <w:rPr>
          <w:rFonts w:ascii="Arial" w:hAnsi="Arial" w:cs="Arial"/>
          <w:sz w:val="22"/>
          <w:szCs w:val="22"/>
        </w:rPr>
        <w:t>The proposed exercise of the CRP will result in no or minimal impact for both implementation and</w:t>
      </w:r>
      <w:r>
        <w:rPr>
          <w:rFonts w:ascii="Arial" w:hAnsi="Arial" w:cs="Arial"/>
          <w:sz w:val="22"/>
          <w:szCs w:val="22"/>
        </w:rPr>
        <w:t xml:space="preserve"> </w:t>
      </w:r>
      <w:r w:rsidRPr="008E296B">
        <w:rPr>
          <w:rFonts w:ascii="Arial" w:hAnsi="Arial" w:cs="Arial"/>
          <w:sz w:val="22"/>
          <w:szCs w:val="22"/>
        </w:rPr>
        <w:t>ongoing compliance costs. The legislative instrument is minor or machinery in nat</w:t>
      </w:r>
      <w:r w:rsidRPr="00A4093C">
        <w:rPr>
          <w:rFonts w:ascii="Arial" w:hAnsi="Arial" w:cs="Arial"/>
          <w:sz w:val="22"/>
          <w:szCs w:val="22"/>
        </w:rPr>
        <w:t>ure.</w:t>
      </w:r>
    </w:p>
    <w:bookmarkEnd w:id="1"/>
    <w:p w14:paraId="6507F1BD" w14:textId="77777777" w:rsidR="00BA7370" w:rsidRPr="00EF0759" w:rsidRDefault="00BA7370" w:rsidP="00BA7370">
      <w:pPr>
        <w:spacing w:after="120"/>
        <w:rPr>
          <w:rFonts w:ascii="Arial" w:hAnsi="Arial" w:cs="Arial"/>
          <w:sz w:val="22"/>
          <w:szCs w:val="22"/>
        </w:rPr>
      </w:pPr>
    </w:p>
    <w:p w14:paraId="7CD1C09D" w14:textId="77777777" w:rsidR="00BA7370" w:rsidRPr="003D29C3" w:rsidRDefault="00BA7370" w:rsidP="00BA7370">
      <w:pPr>
        <w:pStyle w:val="Heading2"/>
        <w:rPr>
          <w:rFonts w:cs="Arial"/>
          <w:b w:val="0"/>
          <w:szCs w:val="22"/>
        </w:rPr>
      </w:pPr>
      <w:r w:rsidRPr="003D29C3">
        <w:rPr>
          <w:rFonts w:cs="Arial"/>
          <w:szCs w:val="22"/>
        </w:rPr>
        <w:t>Budgetary impact</w:t>
      </w:r>
    </w:p>
    <w:p w14:paraId="15D748E4" w14:textId="77777777" w:rsidR="00BA7370" w:rsidRPr="00EB017B" w:rsidRDefault="00BA7370" w:rsidP="00BA7370">
      <w:pPr>
        <w:numPr>
          <w:ilvl w:val="0"/>
          <w:numId w:val="16"/>
        </w:numPr>
        <w:tabs>
          <w:tab w:val="clear" w:pos="720"/>
        </w:tabs>
        <w:spacing w:after="120"/>
        <w:ind w:left="709" w:hanging="709"/>
        <w:rPr>
          <w:rFonts w:ascii="Arial" w:hAnsi="Arial" w:cs="Arial"/>
          <w:sz w:val="22"/>
          <w:szCs w:val="22"/>
        </w:rPr>
      </w:pPr>
      <w:r w:rsidRPr="00EB017B">
        <w:rPr>
          <w:rFonts w:ascii="Arial" w:hAnsi="Arial" w:cs="Arial"/>
          <w:sz w:val="22"/>
          <w:szCs w:val="22"/>
        </w:rPr>
        <w:t xml:space="preserve">The Commissioner has received advice from the Department of the Treasury that the proposed exercise of the CRP would simply align the operation of the SBRR with policy intent and the revenue impact is expected to be </w:t>
      </w:r>
      <w:r>
        <w:rPr>
          <w:rFonts w:ascii="Arial" w:hAnsi="Arial" w:cs="Arial"/>
          <w:sz w:val="22"/>
          <w:szCs w:val="22"/>
        </w:rPr>
        <w:t>negligible</w:t>
      </w:r>
      <w:r w:rsidRPr="00EB017B">
        <w:rPr>
          <w:rFonts w:ascii="Arial" w:hAnsi="Arial" w:cs="Arial"/>
          <w:sz w:val="22"/>
          <w:szCs w:val="22"/>
        </w:rPr>
        <w:t xml:space="preserve">. </w:t>
      </w:r>
    </w:p>
    <w:p w14:paraId="7F13FE0F" w14:textId="77777777" w:rsidR="00BA7370" w:rsidRPr="00F55E4C" w:rsidRDefault="00BA7370" w:rsidP="00BA7370">
      <w:pPr>
        <w:spacing w:after="120"/>
        <w:rPr>
          <w:rFonts w:ascii="Arial" w:hAnsi="Arial"/>
          <w:i/>
        </w:rPr>
      </w:pPr>
    </w:p>
    <w:p w14:paraId="3D067E3C" w14:textId="77777777" w:rsidR="00BA7370" w:rsidRPr="003D29C3" w:rsidRDefault="00BA7370" w:rsidP="00BA7370">
      <w:pPr>
        <w:pStyle w:val="Heading2"/>
        <w:pageBreakBefore/>
        <w:rPr>
          <w:rFonts w:cs="Arial"/>
          <w:b w:val="0"/>
          <w:szCs w:val="22"/>
        </w:rPr>
      </w:pPr>
      <w:r w:rsidRPr="003D29C3">
        <w:rPr>
          <w:rFonts w:cs="Arial"/>
          <w:szCs w:val="22"/>
        </w:rPr>
        <w:lastRenderedPageBreak/>
        <w:t>Consultation</w:t>
      </w:r>
    </w:p>
    <w:p w14:paraId="3D259625" w14:textId="77777777" w:rsidR="00BA7370" w:rsidRPr="00EF0759" w:rsidRDefault="00BA7370" w:rsidP="00BA7370">
      <w:pPr>
        <w:numPr>
          <w:ilvl w:val="0"/>
          <w:numId w:val="16"/>
        </w:numPr>
        <w:tabs>
          <w:tab w:val="clear" w:pos="720"/>
        </w:tabs>
        <w:spacing w:after="120"/>
        <w:ind w:left="709" w:hanging="709"/>
        <w:rPr>
          <w:rFonts w:ascii="Arial" w:eastAsiaTheme="minorHAnsi" w:hAnsi="Arial" w:cs="Arial"/>
          <w:sz w:val="22"/>
          <w:szCs w:val="22"/>
        </w:rPr>
      </w:pPr>
      <w:r w:rsidRPr="00EF0759">
        <w:rPr>
          <w:rFonts w:ascii="Arial" w:hAnsi="Arial" w:cs="Arial"/>
          <w:sz w:val="22"/>
          <w:szCs w:val="22"/>
        </w:rPr>
        <w:t xml:space="preserve">Subsection 17(1) of the </w:t>
      </w:r>
      <w:r w:rsidRPr="00EF0759">
        <w:rPr>
          <w:rFonts w:ascii="Arial" w:hAnsi="Arial" w:cs="Arial"/>
          <w:i/>
          <w:iCs/>
          <w:sz w:val="22"/>
          <w:szCs w:val="22"/>
        </w:rPr>
        <w:t>Legislation Act 2003</w:t>
      </w:r>
      <w:r w:rsidRPr="00EF0759">
        <w:rPr>
          <w:rFonts w:ascii="Arial" w:hAnsi="Arial" w:cs="Arial"/>
          <w:sz w:val="22"/>
          <w:szCs w:val="22"/>
        </w:rPr>
        <w:t xml:space="preserve"> requires, before the making of a determination, that the rule-maker is satisfied that appropriate and reasonably practicable consultation has been undertaken.</w:t>
      </w:r>
    </w:p>
    <w:p w14:paraId="65FDD4D1" w14:textId="77777777" w:rsidR="00BA7370" w:rsidRPr="00A4093C" w:rsidRDefault="00BA7370" w:rsidP="00BA7370">
      <w:pPr>
        <w:numPr>
          <w:ilvl w:val="0"/>
          <w:numId w:val="16"/>
        </w:numPr>
        <w:tabs>
          <w:tab w:val="clear" w:pos="720"/>
        </w:tabs>
        <w:spacing w:after="120"/>
        <w:ind w:left="709" w:hanging="709"/>
        <w:rPr>
          <w:rFonts w:ascii="Arial" w:hAnsi="Arial" w:cs="Arial"/>
          <w:sz w:val="22"/>
          <w:szCs w:val="22"/>
        </w:rPr>
      </w:pPr>
      <w:r w:rsidRPr="00A4093C">
        <w:rPr>
          <w:rFonts w:ascii="Arial" w:hAnsi="Arial" w:cs="Arial"/>
          <w:sz w:val="22"/>
          <w:szCs w:val="22"/>
        </w:rPr>
        <w:t>Broad consultation has been undertaken. The draft determination and draft explanatory statement were published on the ATO Legal database http://www.ato.gov.au seeking feedback and comments for a period of four weeks.  Notice of the draft determination was also published on http://www.ato.gov.au and subscription alerts issued. Tax professionals and tax associations regularly review both the Legal database and http://www.ato.gov.au and further promulgate advice of new drafts issued in their internal news bulletins. The major legal publishers also publish news of the drafts in their key tax alerting services – such as the Weekly Tax Bulletin (published by Thomson Reuters Australia) and Tax Tracker and Tax Week (published by CCH Australia). Additionally, draft determinations and draft explanatory statements were published on the ATO Consultation Hub.</w:t>
      </w:r>
    </w:p>
    <w:p w14:paraId="55DA4BC9" w14:textId="77777777" w:rsidR="00BA7370" w:rsidRDefault="00BA7370" w:rsidP="00BA7370">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 xml:space="preserve">Public consultation resulted in one submission from a tax practitioner, who supported the use of the CRP to resolve this issue. At the suggestion of the stakeholder, minor amendments have been made to this Explanatory Statement to better explain the scope of the determination. </w:t>
      </w:r>
    </w:p>
    <w:p w14:paraId="329A5382" w14:textId="77777777" w:rsidR="00BA7370" w:rsidRPr="00A4093C" w:rsidRDefault="00BA7370" w:rsidP="00BA7370">
      <w:pPr>
        <w:numPr>
          <w:ilvl w:val="0"/>
          <w:numId w:val="16"/>
        </w:numPr>
        <w:tabs>
          <w:tab w:val="clear" w:pos="720"/>
        </w:tabs>
        <w:spacing w:after="120"/>
        <w:ind w:left="709" w:hanging="709"/>
        <w:rPr>
          <w:rFonts w:ascii="Arial" w:hAnsi="Arial" w:cs="Arial"/>
          <w:sz w:val="22"/>
          <w:szCs w:val="22"/>
        </w:rPr>
      </w:pPr>
      <w:r w:rsidRPr="00A4093C">
        <w:rPr>
          <w:rFonts w:ascii="Arial" w:hAnsi="Arial" w:cs="Arial"/>
          <w:sz w:val="22"/>
          <w:szCs w:val="22"/>
        </w:rPr>
        <w:t xml:space="preserve">In addition, targeted consultation </w:t>
      </w:r>
      <w:r>
        <w:rPr>
          <w:rFonts w:ascii="Arial" w:hAnsi="Arial" w:cs="Arial"/>
          <w:sz w:val="22"/>
          <w:szCs w:val="22"/>
        </w:rPr>
        <w:t xml:space="preserve">was </w:t>
      </w:r>
      <w:r w:rsidRPr="00A4093C">
        <w:rPr>
          <w:rFonts w:ascii="Arial" w:hAnsi="Arial" w:cs="Arial"/>
          <w:sz w:val="22"/>
          <w:szCs w:val="22"/>
        </w:rPr>
        <w:t>undertaken with the CRP Panel, a body comprised of private sector specialists, Tre</w:t>
      </w:r>
      <w:r>
        <w:rPr>
          <w:rFonts w:ascii="Arial" w:hAnsi="Arial" w:cs="Arial"/>
          <w:sz w:val="22"/>
          <w:szCs w:val="22"/>
        </w:rPr>
        <w:t xml:space="preserve">asury and ATO representatives. </w:t>
      </w:r>
      <w:r w:rsidRPr="00A4093C">
        <w:rPr>
          <w:rFonts w:ascii="Arial" w:hAnsi="Arial" w:cs="Arial"/>
          <w:sz w:val="22"/>
          <w:szCs w:val="22"/>
        </w:rPr>
        <w:t>This Panel provided feedback on the</w:t>
      </w:r>
      <w:r>
        <w:rPr>
          <w:rFonts w:ascii="Arial" w:hAnsi="Arial" w:cs="Arial"/>
          <w:sz w:val="22"/>
          <w:szCs w:val="22"/>
        </w:rPr>
        <w:t xml:space="preserve"> draft</w:t>
      </w:r>
      <w:r w:rsidRPr="00A4093C">
        <w:rPr>
          <w:rFonts w:ascii="Arial" w:hAnsi="Arial" w:cs="Arial"/>
          <w:sz w:val="22"/>
          <w:szCs w:val="22"/>
        </w:rPr>
        <w:t xml:space="preserve"> legislative instrument an</w:t>
      </w:r>
      <w:r>
        <w:rPr>
          <w:rFonts w:ascii="Arial" w:hAnsi="Arial" w:cs="Arial"/>
          <w:sz w:val="22"/>
          <w:szCs w:val="22"/>
        </w:rPr>
        <w:t xml:space="preserve">d explanatory statement. </w:t>
      </w:r>
    </w:p>
    <w:p w14:paraId="658274DF" w14:textId="77777777" w:rsidR="00BA7370" w:rsidRDefault="00BA7370" w:rsidP="00BA7370">
      <w:pPr>
        <w:numPr>
          <w:ilvl w:val="0"/>
          <w:numId w:val="16"/>
        </w:numPr>
        <w:tabs>
          <w:tab w:val="clear" w:pos="720"/>
        </w:tabs>
        <w:spacing w:after="120"/>
        <w:ind w:left="709" w:hanging="709"/>
        <w:rPr>
          <w:rFonts w:ascii="Arial" w:hAnsi="Arial" w:cs="Arial"/>
          <w:sz w:val="22"/>
          <w:szCs w:val="22"/>
        </w:rPr>
      </w:pPr>
      <w:r w:rsidRPr="00A4093C">
        <w:rPr>
          <w:rFonts w:ascii="Arial" w:hAnsi="Arial" w:cs="Arial"/>
          <w:sz w:val="22"/>
          <w:szCs w:val="22"/>
        </w:rPr>
        <w:t>The Board of Taxation was also consulted on the use of the CRP to resolve this issue, the draft legislative instrum</w:t>
      </w:r>
      <w:r>
        <w:rPr>
          <w:rFonts w:ascii="Arial" w:hAnsi="Arial" w:cs="Arial"/>
          <w:sz w:val="22"/>
          <w:szCs w:val="22"/>
        </w:rPr>
        <w:t xml:space="preserve">ent and explanatory statement. </w:t>
      </w:r>
      <w:r w:rsidRPr="00A4093C">
        <w:rPr>
          <w:rFonts w:ascii="Arial" w:hAnsi="Arial" w:cs="Arial"/>
          <w:sz w:val="22"/>
          <w:szCs w:val="22"/>
        </w:rPr>
        <w:t>The Board supported the CRP use</w:t>
      </w:r>
      <w:r>
        <w:rPr>
          <w:rFonts w:ascii="Arial" w:hAnsi="Arial" w:cs="Arial"/>
          <w:sz w:val="22"/>
          <w:szCs w:val="22"/>
        </w:rPr>
        <w:t>.</w:t>
      </w:r>
      <w:r w:rsidRPr="00A4093C">
        <w:rPr>
          <w:rFonts w:ascii="Arial" w:hAnsi="Arial" w:cs="Arial"/>
          <w:sz w:val="22"/>
          <w:szCs w:val="22"/>
        </w:rPr>
        <w:t xml:space="preserve"> </w:t>
      </w:r>
    </w:p>
    <w:p w14:paraId="58CA7643" w14:textId="77777777" w:rsidR="00BA7370" w:rsidRPr="00F55E4C" w:rsidRDefault="00BA7370" w:rsidP="00BA7370">
      <w:pPr>
        <w:spacing w:after="120"/>
        <w:rPr>
          <w:rFonts w:ascii="Arial" w:hAnsi="Arial" w:cs="Arial"/>
          <w:sz w:val="22"/>
          <w:szCs w:val="22"/>
        </w:rPr>
      </w:pPr>
    </w:p>
    <w:p w14:paraId="6A27CDB7" w14:textId="77777777" w:rsidR="00BA7370" w:rsidRPr="00F55E4C" w:rsidRDefault="00BA7370" w:rsidP="00BA7370">
      <w:pPr>
        <w:spacing w:after="120"/>
        <w:rPr>
          <w:rFonts w:ascii="Arial" w:hAnsi="Arial"/>
          <w:b/>
          <w:i/>
        </w:rPr>
      </w:pPr>
      <w:r w:rsidRPr="00F55E4C">
        <w:rPr>
          <w:rFonts w:ascii="Arial" w:hAnsi="Arial"/>
          <w:b/>
          <w:i/>
        </w:rPr>
        <w:t>Legislative references:</w:t>
      </w:r>
    </w:p>
    <w:p w14:paraId="140BDC78" w14:textId="77777777" w:rsidR="00BA7370" w:rsidRDefault="00BA7370" w:rsidP="00BA7370">
      <w:pPr>
        <w:rPr>
          <w:rFonts w:ascii="Arial" w:hAnsi="Arial"/>
          <w:i/>
        </w:rPr>
      </w:pPr>
    </w:p>
    <w:p w14:paraId="2615AC28" w14:textId="77777777" w:rsidR="00BA7370" w:rsidRDefault="00BA7370" w:rsidP="00BA7370">
      <w:pPr>
        <w:rPr>
          <w:rFonts w:ascii="Arial" w:hAnsi="Arial"/>
          <w:i/>
        </w:rPr>
      </w:pPr>
      <w:r>
        <w:rPr>
          <w:rFonts w:ascii="Arial" w:hAnsi="Arial"/>
          <w:i/>
        </w:rPr>
        <w:t>Human Rights (Parliamentary Scrutiny) Act 2011</w:t>
      </w:r>
    </w:p>
    <w:p w14:paraId="287A35BA" w14:textId="77777777" w:rsidR="00BA7370" w:rsidRPr="00F55E4C" w:rsidRDefault="00BA7370" w:rsidP="00BA7370">
      <w:pPr>
        <w:rPr>
          <w:rFonts w:ascii="Arial" w:hAnsi="Arial"/>
          <w:i/>
        </w:rPr>
      </w:pPr>
      <w:r w:rsidRPr="00F55E4C">
        <w:rPr>
          <w:rFonts w:ascii="Arial" w:hAnsi="Arial"/>
          <w:i/>
        </w:rPr>
        <w:t>Income Tax Assessment Act 1936</w:t>
      </w:r>
    </w:p>
    <w:p w14:paraId="736BE713" w14:textId="77777777" w:rsidR="00BA7370" w:rsidRPr="00F55E4C" w:rsidRDefault="00BA7370" w:rsidP="00BA7370">
      <w:pPr>
        <w:rPr>
          <w:rFonts w:ascii="Arial" w:hAnsi="Arial"/>
          <w:i/>
        </w:rPr>
      </w:pPr>
      <w:r w:rsidRPr="00F55E4C">
        <w:rPr>
          <w:rFonts w:ascii="Arial" w:hAnsi="Arial"/>
          <w:i/>
        </w:rPr>
        <w:t>Income Tax Assessment Act 1997</w:t>
      </w:r>
    </w:p>
    <w:p w14:paraId="0D8CC130" w14:textId="77777777" w:rsidR="00BA7370" w:rsidRPr="00F55E4C" w:rsidRDefault="00BA7370" w:rsidP="00BA7370">
      <w:pPr>
        <w:rPr>
          <w:rFonts w:ascii="Arial" w:hAnsi="Arial"/>
          <w:i/>
        </w:rPr>
      </w:pPr>
      <w:r w:rsidRPr="00F55E4C">
        <w:rPr>
          <w:rFonts w:ascii="Arial" w:hAnsi="Arial"/>
          <w:i/>
        </w:rPr>
        <w:t>Legislation Act 2003</w:t>
      </w:r>
    </w:p>
    <w:p w14:paraId="6BDBF686" w14:textId="77777777" w:rsidR="00BA7370" w:rsidRPr="00F55E4C" w:rsidRDefault="00BA7370" w:rsidP="00BA7370">
      <w:pPr>
        <w:rPr>
          <w:rFonts w:ascii="Arial" w:hAnsi="Arial"/>
          <w:i/>
        </w:rPr>
      </w:pPr>
      <w:r w:rsidRPr="00F55E4C">
        <w:rPr>
          <w:rFonts w:ascii="Arial" w:hAnsi="Arial"/>
          <w:i/>
        </w:rPr>
        <w:t>Taxation Administration Act 1953</w:t>
      </w:r>
    </w:p>
    <w:p w14:paraId="708D5356" w14:textId="77777777" w:rsidR="00BA7370" w:rsidRPr="00F55E4C" w:rsidRDefault="00BA7370" w:rsidP="00BA7370">
      <w:pPr>
        <w:rPr>
          <w:rFonts w:ascii="Arial" w:hAnsi="Arial"/>
          <w:i/>
        </w:rPr>
      </w:pPr>
      <w:r w:rsidRPr="00F55E4C">
        <w:rPr>
          <w:rFonts w:ascii="Arial" w:hAnsi="Arial"/>
          <w:i/>
        </w:rPr>
        <w:t>Tax and Superannuation Laws Amendment (2016 Measures No. 2) Act 2016</w:t>
      </w:r>
    </w:p>
    <w:p w14:paraId="78C2F037" w14:textId="77777777" w:rsidR="00BA7370" w:rsidRPr="00F55E4C" w:rsidRDefault="00BA7370" w:rsidP="00BA7370">
      <w:pPr>
        <w:rPr>
          <w:rFonts w:ascii="Arial" w:hAnsi="Arial"/>
          <w:i/>
        </w:rPr>
      </w:pPr>
      <w:r w:rsidRPr="00F55E4C">
        <w:rPr>
          <w:rFonts w:ascii="Arial" w:hAnsi="Arial"/>
          <w:i/>
        </w:rPr>
        <w:t>Tax Laws Amendment (Small Business Restructure Roll</w:t>
      </w:r>
      <w:r w:rsidRPr="00F55E4C">
        <w:rPr>
          <w:rFonts w:ascii="Arial" w:hAnsi="Arial"/>
          <w:i/>
        </w:rPr>
        <w:noBreakHyphen/>
        <w:t>over) Act 2016</w:t>
      </w:r>
    </w:p>
    <w:p w14:paraId="6986766C" w14:textId="77777777" w:rsidR="00BA7370" w:rsidRPr="00F55E4C" w:rsidRDefault="00BA7370" w:rsidP="00BA7370">
      <w:pPr>
        <w:rPr>
          <w:rFonts w:ascii="Arial" w:hAnsi="Arial" w:cs="Arial"/>
          <w:i/>
        </w:rPr>
      </w:pPr>
    </w:p>
    <w:p w14:paraId="667A0498" w14:textId="77777777" w:rsidR="00BA7370" w:rsidRPr="00F55E4C" w:rsidRDefault="00BA7370" w:rsidP="00BA7370">
      <w:pPr>
        <w:spacing w:after="120"/>
        <w:rPr>
          <w:rFonts w:ascii="Arial" w:hAnsi="Arial"/>
          <w:sz w:val="22"/>
        </w:rPr>
      </w:pPr>
    </w:p>
    <w:p w14:paraId="720F229E" w14:textId="77777777" w:rsidR="00BA7370" w:rsidRPr="00B06CCF" w:rsidRDefault="00BA7370" w:rsidP="00BA7370"/>
    <w:p w14:paraId="49AFFAB6" w14:textId="77777777" w:rsidR="00BA7370" w:rsidRPr="00A4093C" w:rsidRDefault="00BA7370" w:rsidP="00BA7370">
      <w:pPr>
        <w:spacing w:after="120"/>
        <w:rPr>
          <w:rFonts w:ascii="Arial" w:hAnsi="Arial" w:cs="Arial"/>
          <w:sz w:val="22"/>
          <w:szCs w:val="22"/>
        </w:rPr>
      </w:pPr>
    </w:p>
    <w:p w14:paraId="7F3206EF" w14:textId="77777777" w:rsidR="00BA7370" w:rsidRPr="004C3435" w:rsidRDefault="00BA7370" w:rsidP="00BA7370">
      <w:pPr>
        <w:keepNext/>
        <w:pageBreakBefore/>
        <w:spacing w:after="120"/>
        <w:jc w:val="center"/>
        <w:outlineLvl w:val="1"/>
        <w:rPr>
          <w:rFonts w:ascii="Arial" w:hAnsi="Arial"/>
          <w:b/>
          <w:sz w:val="22"/>
          <w:szCs w:val="22"/>
        </w:rPr>
      </w:pPr>
      <w:r w:rsidRPr="000C46B9">
        <w:rPr>
          <w:rFonts w:ascii="Arial" w:hAnsi="Arial"/>
          <w:b/>
          <w:sz w:val="22"/>
          <w:szCs w:val="22"/>
        </w:rPr>
        <w:lastRenderedPageBreak/>
        <w:t>Statement of compatibility with Human Rights</w:t>
      </w:r>
    </w:p>
    <w:p w14:paraId="3D40F177" w14:textId="77777777" w:rsidR="00BA7370" w:rsidRPr="00F55E4C" w:rsidRDefault="00BA7370" w:rsidP="00BA7370">
      <w:pPr>
        <w:spacing w:after="120"/>
        <w:rPr>
          <w:rFonts w:ascii="Arial" w:hAnsi="Arial" w:cs="Arial"/>
          <w:sz w:val="22"/>
          <w:szCs w:val="22"/>
        </w:rPr>
      </w:pPr>
    </w:p>
    <w:p w14:paraId="7F7C389F" w14:textId="77777777" w:rsidR="00BA7370" w:rsidRPr="00F55E4C" w:rsidRDefault="00BA7370" w:rsidP="00BA7370">
      <w:pPr>
        <w:spacing w:before="120" w:after="120"/>
        <w:rPr>
          <w:rFonts w:ascii="Arial" w:hAnsi="Arial" w:cs="Arial"/>
          <w:sz w:val="22"/>
          <w:szCs w:val="22"/>
        </w:rPr>
      </w:pPr>
      <w:r w:rsidRPr="00F55E4C">
        <w:rPr>
          <w:rFonts w:ascii="Arial" w:hAnsi="Arial" w:cs="Arial"/>
          <w:sz w:val="22"/>
          <w:szCs w:val="22"/>
        </w:rPr>
        <w:t xml:space="preserve">This Legislative Instrument is prepared in accordance with Part 3 of the </w:t>
      </w:r>
      <w:r w:rsidRPr="00F55E4C">
        <w:rPr>
          <w:rFonts w:ascii="Arial" w:hAnsi="Arial" w:cs="Arial"/>
          <w:i/>
          <w:sz w:val="22"/>
          <w:szCs w:val="22"/>
        </w:rPr>
        <w:t>Human Rights (Parliamentary Scrutiny) Act 2011</w:t>
      </w:r>
      <w:r w:rsidRPr="00F55E4C">
        <w:rPr>
          <w:rFonts w:ascii="Arial" w:hAnsi="Arial" w:cs="Arial"/>
          <w:sz w:val="22"/>
          <w:szCs w:val="22"/>
        </w:rPr>
        <w:t>.</w:t>
      </w:r>
    </w:p>
    <w:p w14:paraId="5B951629" w14:textId="77777777" w:rsidR="00BA7370" w:rsidRPr="00F55E4C" w:rsidRDefault="00BA7370" w:rsidP="00BA7370">
      <w:pPr>
        <w:keepNext/>
        <w:spacing w:before="120" w:after="120"/>
        <w:jc w:val="center"/>
        <w:outlineLvl w:val="1"/>
        <w:rPr>
          <w:rFonts w:ascii="Arial" w:hAnsi="Arial"/>
          <w:b/>
          <w:sz w:val="22"/>
        </w:rPr>
      </w:pPr>
      <w:r w:rsidRPr="00F55E4C">
        <w:rPr>
          <w:rFonts w:ascii="Arial" w:hAnsi="Arial"/>
          <w:b/>
          <w:sz w:val="22"/>
        </w:rPr>
        <w:t>Taxation Administration (Remedial power –</w:t>
      </w:r>
      <w:r w:rsidRPr="00F55E4C">
        <w:rPr>
          <w:rFonts w:ascii="Arial" w:hAnsi="Arial"/>
          <w:b/>
          <w:sz w:val="22"/>
          <w:szCs w:val="22"/>
        </w:rPr>
        <w:t>Small Business Restructure Roll</w:t>
      </w:r>
      <w:r>
        <w:rPr>
          <w:rFonts w:ascii="Arial" w:hAnsi="Arial"/>
          <w:b/>
          <w:sz w:val="22"/>
          <w:szCs w:val="22"/>
        </w:rPr>
        <w:noBreakHyphen/>
      </w:r>
      <w:r w:rsidRPr="00F55E4C">
        <w:rPr>
          <w:rFonts w:ascii="Arial" w:hAnsi="Arial"/>
          <w:b/>
          <w:sz w:val="22"/>
        </w:rPr>
        <w:t>over) Determination 2017</w:t>
      </w:r>
    </w:p>
    <w:p w14:paraId="017FFA0A" w14:textId="77777777" w:rsidR="00BA7370" w:rsidRPr="00F55E4C" w:rsidRDefault="00BA7370" w:rsidP="00BA7370">
      <w:pPr>
        <w:keepNext/>
        <w:spacing w:after="120"/>
        <w:jc w:val="center"/>
        <w:outlineLvl w:val="1"/>
        <w:rPr>
          <w:rFonts w:ascii="Arial" w:hAnsi="Arial"/>
          <w:b/>
          <w:sz w:val="22"/>
        </w:rPr>
      </w:pPr>
    </w:p>
    <w:p w14:paraId="25A80EA0" w14:textId="77777777" w:rsidR="00BA7370" w:rsidRPr="00F55E4C" w:rsidRDefault="00BA7370" w:rsidP="00BA7370">
      <w:pPr>
        <w:spacing w:before="120" w:after="120"/>
        <w:rPr>
          <w:rFonts w:ascii="Arial" w:hAnsi="Arial" w:cs="Arial"/>
          <w:color w:val="000000"/>
          <w:sz w:val="22"/>
          <w:szCs w:val="22"/>
        </w:rPr>
      </w:pPr>
      <w:r w:rsidRPr="00F55E4C">
        <w:rPr>
          <w:rFonts w:ascii="Arial" w:hAnsi="Arial" w:cs="Arial"/>
          <w:color w:val="000000"/>
          <w:sz w:val="22"/>
          <w:szCs w:val="22"/>
        </w:rPr>
        <w:t xml:space="preserve">This </w:t>
      </w:r>
      <w:r w:rsidRPr="00F55E4C">
        <w:rPr>
          <w:rFonts w:ascii="Arial" w:hAnsi="Arial" w:cs="Arial"/>
          <w:sz w:val="22"/>
          <w:szCs w:val="22"/>
        </w:rPr>
        <w:t>Legislative</w:t>
      </w:r>
      <w:r w:rsidRPr="00F55E4C">
        <w:rPr>
          <w:rFonts w:ascii="Arial" w:hAnsi="Arial" w:cs="Arial"/>
          <w:color w:val="000000"/>
          <w:sz w:val="22"/>
          <w:szCs w:val="22"/>
        </w:rPr>
        <w:t xml:space="preserve"> Instrument is compatible with the human rights and freedoms recognised or declared in the international instruments listed in section 3 of the </w:t>
      </w:r>
      <w:r w:rsidRPr="00F55E4C">
        <w:rPr>
          <w:rFonts w:ascii="Arial" w:hAnsi="Arial" w:cs="Arial"/>
          <w:i/>
          <w:color w:val="000000"/>
          <w:sz w:val="22"/>
          <w:szCs w:val="22"/>
        </w:rPr>
        <w:t>Human Rights (Parliamentary Scrutiny) Act 2011</w:t>
      </w:r>
      <w:r w:rsidRPr="00F55E4C">
        <w:rPr>
          <w:rFonts w:ascii="Arial" w:hAnsi="Arial" w:cs="Arial"/>
          <w:color w:val="000000"/>
          <w:sz w:val="22"/>
          <w:szCs w:val="22"/>
        </w:rPr>
        <w:t>.</w:t>
      </w:r>
    </w:p>
    <w:p w14:paraId="3B45E46C" w14:textId="77777777" w:rsidR="00BA7370" w:rsidRPr="00F55E4C" w:rsidRDefault="00BA7370" w:rsidP="00BA7370">
      <w:pPr>
        <w:spacing w:before="120" w:after="120"/>
        <w:rPr>
          <w:rFonts w:ascii="Arial" w:hAnsi="Arial" w:cs="Arial"/>
          <w:sz w:val="22"/>
          <w:szCs w:val="22"/>
        </w:rPr>
      </w:pPr>
    </w:p>
    <w:p w14:paraId="0358CF7A" w14:textId="77777777" w:rsidR="00BA7370" w:rsidRPr="00F55E4C" w:rsidRDefault="00BA7370" w:rsidP="00BA7370">
      <w:pPr>
        <w:keepNext/>
        <w:spacing w:before="120" w:after="120"/>
        <w:outlineLvl w:val="1"/>
        <w:rPr>
          <w:rFonts w:ascii="Arial" w:hAnsi="Arial"/>
          <w:b/>
          <w:sz w:val="22"/>
        </w:rPr>
      </w:pPr>
      <w:r w:rsidRPr="00F55E4C">
        <w:rPr>
          <w:rFonts w:ascii="Arial" w:hAnsi="Arial"/>
          <w:b/>
          <w:sz w:val="22"/>
        </w:rPr>
        <w:t>Overview of</w:t>
      </w:r>
      <w:r w:rsidRPr="00F55E4C">
        <w:rPr>
          <w:rFonts w:ascii="Arial" w:hAnsi="Arial"/>
          <w:b/>
          <w:sz w:val="22"/>
          <w:szCs w:val="22"/>
        </w:rPr>
        <w:t xml:space="preserve"> the Legislative Instrument</w:t>
      </w:r>
    </w:p>
    <w:p w14:paraId="011C3B17" w14:textId="77777777" w:rsidR="00BA7370" w:rsidRPr="00F55E4C" w:rsidRDefault="00BA7370" w:rsidP="00BA7370">
      <w:pPr>
        <w:keepNext/>
        <w:keepLines/>
        <w:rPr>
          <w:rFonts w:ascii="Arial" w:hAnsi="Arial" w:cs="Arial"/>
          <w:sz w:val="22"/>
          <w:szCs w:val="22"/>
        </w:rPr>
      </w:pPr>
      <w:r w:rsidRPr="00F55E4C">
        <w:rPr>
          <w:rFonts w:ascii="Arial" w:hAnsi="Arial" w:cs="Arial"/>
          <w:sz w:val="22"/>
          <w:szCs w:val="22"/>
        </w:rPr>
        <w:t xml:space="preserve">This Legislative Instrument is made under section 370-5 of Schedule 1 to the </w:t>
      </w:r>
      <w:r w:rsidRPr="00F55E4C">
        <w:rPr>
          <w:rFonts w:ascii="Arial" w:hAnsi="Arial" w:cs="Arial"/>
          <w:i/>
          <w:sz w:val="22"/>
          <w:szCs w:val="22"/>
        </w:rPr>
        <w:t xml:space="preserve">Taxation Administration Act 1953. </w:t>
      </w:r>
      <w:r w:rsidRPr="00F55E4C">
        <w:rPr>
          <w:rFonts w:ascii="Arial" w:hAnsi="Arial" w:cs="Arial"/>
          <w:sz w:val="22"/>
          <w:szCs w:val="22"/>
        </w:rPr>
        <w:t>It modifies the operation of:</w:t>
      </w:r>
    </w:p>
    <w:p w14:paraId="33138493" w14:textId="77777777" w:rsidR="00BA7370" w:rsidRPr="00F55E4C" w:rsidRDefault="00BA7370" w:rsidP="00BA7370">
      <w:pPr>
        <w:keepNext/>
        <w:keepLines/>
        <w:ind w:left="720"/>
        <w:rPr>
          <w:rFonts w:ascii="Arial" w:hAnsi="Arial" w:cs="Arial"/>
          <w:sz w:val="22"/>
          <w:szCs w:val="22"/>
        </w:rPr>
      </w:pPr>
      <w:r w:rsidRPr="00F55E4C">
        <w:rPr>
          <w:rFonts w:ascii="Arial" w:hAnsi="Arial" w:cs="Arial"/>
          <w:sz w:val="22"/>
          <w:szCs w:val="22"/>
        </w:rPr>
        <w:t xml:space="preserve">(a) </w:t>
      </w:r>
      <w:proofErr w:type="gramStart"/>
      <w:r w:rsidRPr="00F55E4C">
        <w:rPr>
          <w:rFonts w:ascii="Arial" w:hAnsi="Arial" w:cs="Arial"/>
          <w:sz w:val="22"/>
          <w:szCs w:val="22"/>
        </w:rPr>
        <w:t>section</w:t>
      </w:r>
      <w:proofErr w:type="gramEnd"/>
      <w:r w:rsidRPr="00F55E4C">
        <w:rPr>
          <w:rFonts w:ascii="Arial" w:hAnsi="Arial" w:cs="Arial"/>
          <w:sz w:val="22"/>
          <w:szCs w:val="22"/>
        </w:rPr>
        <w:t xml:space="preserve"> 40-340 of the </w:t>
      </w:r>
      <w:r w:rsidRPr="00F55E4C">
        <w:rPr>
          <w:rFonts w:ascii="Arial" w:hAnsi="Arial"/>
          <w:i/>
          <w:sz w:val="22"/>
        </w:rPr>
        <w:t>Income Tax Assessment Act 1997</w:t>
      </w:r>
      <w:r w:rsidRPr="00F55E4C">
        <w:rPr>
          <w:rFonts w:ascii="Arial" w:hAnsi="Arial" w:cs="Arial"/>
          <w:sz w:val="22"/>
          <w:szCs w:val="22"/>
        </w:rPr>
        <w:t>; and</w:t>
      </w:r>
    </w:p>
    <w:p w14:paraId="0ED1BD1E" w14:textId="77777777" w:rsidR="00BA7370" w:rsidRPr="00F55E4C" w:rsidRDefault="00BA7370" w:rsidP="00BA7370">
      <w:pPr>
        <w:keepNext/>
        <w:keepLines/>
        <w:ind w:left="720"/>
        <w:rPr>
          <w:rFonts w:ascii="Arial" w:hAnsi="Arial" w:cs="Arial"/>
          <w:sz w:val="22"/>
          <w:szCs w:val="22"/>
        </w:rPr>
      </w:pPr>
      <w:r w:rsidRPr="00F55E4C">
        <w:rPr>
          <w:rFonts w:ascii="Arial" w:hAnsi="Arial" w:cs="Arial"/>
          <w:sz w:val="22"/>
          <w:szCs w:val="22"/>
        </w:rPr>
        <w:t xml:space="preserve">(b) </w:t>
      </w:r>
      <w:proofErr w:type="gramStart"/>
      <w:r w:rsidRPr="00F55E4C">
        <w:rPr>
          <w:rFonts w:ascii="Arial" w:hAnsi="Arial" w:cs="Arial"/>
          <w:sz w:val="22"/>
          <w:szCs w:val="22"/>
        </w:rPr>
        <w:t>any</w:t>
      </w:r>
      <w:proofErr w:type="gramEnd"/>
      <w:r w:rsidRPr="00F55E4C">
        <w:rPr>
          <w:rFonts w:ascii="Arial" w:hAnsi="Arial" w:cs="Arial"/>
          <w:sz w:val="22"/>
          <w:szCs w:val="22"/>
        </w:rPr>
        <w:t xml:space="preserve"> other provision of a taxation law the operation of which is affected by the operation of that section (as modified by this instrument) in relation to an asset covered by item 8 of the table in subsection 40-340(1) of that Act;</w:t>
      </w:r>
    </w:p>
    <w:p w14:paraId="1F50F258" w14:textId="77777777" w:rsidR="00BA7370" w:rsidRPr="00F55E4C" w:rsidRDefault="00BA7370" w:rsidP="00BA7370">
      <w:pPr>
        <w:keepNext/>
        <w:keepLines/>
        <w:spacing w:before="120" w:after="120"/>
        <w:rPr>
          <w:rFonts w:ascii="Arial" w:hAnsi="Arial" w:cs="Arial"/>
          <w:sz w:val="22"/>
          <w:szCs w:val="22"/>
        </w:rPr>
      </w:pPr>
      <w:proofErr w:type="gramStart"/>
      <w:r w:rsidRPr="00F55E4C">
        <w:rPr>
          <w:rFonts w:ascii="Arial" w:hAnsi="Arial" w:cs="Arial"/>
          <w:sz w:val="22"/>
          <w:szCs w:val="22"/>
        </w:rPr>
        <w:t>to</w:t>
      </w:r>
      <w:proofErr w:type="gramEnd"/>
      <w:r w:rsidRPr="00F55E4C">
        <w:rPr>
          <w:rFonts w:ascii="Arial" w:hAnsi="Arial" w:cs="Arial"/>
          <w:sz w:val="22"/>
          <w:szCs w:val="22"/>
        </w:rPr>
        <w:t xml:space="preserve"> ensure that the object of the </w:t>
      </w:r>
      <w:r w:rsidRPr="00F55E4C">
        <w:rPr>
          <w:rFonts w:ascii="Arial" w:hAnsi="Arial" w:cs="Arial"/>
          <w:i/>
          <w:sz w:val="22"/>
          <w:szCs w:val="22"/>
        </w:rPr>
        <w:t>Tax Laws Amendment (Small Business Restructure Roll</w:t>
      </w:r>
      <w:r w:rsidRPr="00F55E4C">
        <w:rPr>
          <w:rFonts w:ascii="MS Gothic" w:eastAsia="MS Gothic" w:hAnsi="MS Gothic" w:cs="MS Gothic" w:hint="eastAsia"/>
          <w:i/>
          <w:sz w:val="22"/>
          <w:szCs w:val="22"/>
        </w:rPr>
        <w:t>‑</w:t>
      </w:r>
      <w:r w:rsidRPr="00F55E4C">
        <w:rPr>
          <w:rFonts w:ascii="Arial" w:hAnsi="Arial" w:cs="Arial"/>
          <w:i/>
          <w:sz w:val="22"/>
          <w:szCs w:val="22"/>
        </w:rPr>
        <w:t>over) Act 2016</w:t>
      </w:r>
      <w:r w:rsidRPr="00F55E4C">
        <w:rPr>
          <w:rFonts w:ascii="Arial" w:hAnsi="Arial" w:cs="Arial"/>
          <w:sz w:val="22"/>
          <w:szCs w:val="22"/>
        </w:rPr>
        <w:t xml:space="preserve"> can be better achieved. That is, to enable small businesses to transfer CGT assets, trading stock, depreciating assets, and revenue assets, as part of a ‘genuine restructure of an ongoing business’ without ‘direct income tax consequences’.</w:t>
      </w:r>
    </w:p>
    <w:p w14:paraId="7F6DCBE8" w14:textId="77777777" w:rsidR="00BA7370" w:rsidRPr="00F55E4C" w:rsidRDefault="00BA7370" w:rsidP="00BA7370">
      <w:pPr>
        <w:spacing w:before="120" w:after="120"/>
        <w:rPr>
          <w:rFonts w:ascii="Arial" w:hAnsi="Arial" w:cs="Arial"/>
          <w:sz w:val="22"/>
          <w:szCs w:val="22"/>
        </w:rPr>
      </w:pPr>
    </w:p>
    <w:p w14:paraId="323472BD" w14:textId="77777777" w:rsidR="00BA7370" w:rsidRPr="00F55E4C" w:rsidRDefault="00BA7370" w:rsidP="00BA7370">
      <w:pPr>
        <w:keepNext/>
        <w:spacing w:before="120" w:after="120"/>
        <w:outlineLvl w:val="1"/>
        <w:rPr>
          <w:rFonts w:ascii="Arial" w:hAnsi="Arial"/>
          <w:b/>
          <w:sz w:val="22"/>
        </w:rPr>
      </w:pPr>
      <w:r w:rsidRPr="00F55E4C">
        <w:rPr>
          <w:rFonts w:ascii="Arial" w:hAnsi="Arial"/>
          <w:b/>
          <w:sz w:val="22"/>
        </w:rPr>
        <w:t>Human rights implications</w:t>
      </w:r>
    </w:p>
    <w:p w14:paraId="21228AAA" w14:textId="77777777" w:rsidR="00BA7370" w:rsidRPr="00F55E4C" w:rsidRDefault="00BA7370" w:rsidP="00BA7370">
      <w:pPr>
        <w:keepNext/>
        <w:keepLines/>
        <w:spacing w:before="120" w:after="120"/>
        <w:rPr>
          <w:rFonts w:ascii="Arial" w:hAnsi="Arial" w:cs="Arial"/>
          <w:sz w:val="22"/>
          <w:szCs w:val="22"/>
        </w:rPr>
      </w:pPr>
      <w:r w:rsidRPr="00F55E4C">
        <w:rPr>
          <w:rFonts w:ascii="Arial" w:hAnsi="Arial" w:cs="Arial"/>
          <w:sz w:val="22"/>
          <w:szCs w:val="22"/>
        </w:rPr>
        <w:t xml:space="preserve">This Legislative Instrument does not engage any of the applicable rights or freedoms.  </w:t>
      </w:r>
    </w:p>
    <w:p w14:paraId="452E529B" w14:textId="77777777" w:rsidR="00BA7370" w:rsidRPr="00F55E4C" w:rsidRDefault="00BA7370" w:rsidP="00BA7370">
      <w:pPr>
        <w:keepNext/>
        <w:spacing w:before="120" w:after="120"/>
        <w:outlineLvl w:val="1"/>
        <w:rPr>
          <w:rFonts w:ascii="Arial" w:hAnsi="Arial"/>
          <w:b/>
          <w:sz w:val="22"/>
        </w:rPr>
      </w:pPr>
      <w:r w:rsidRPr="00F55E4C">
        <w:rPr>
          <w:rFonts w:ascii="Arial" w:hAnsi="Arial"/>
          <w:b/>
          <w:sz w:val="22"/>
        </w:rPr>
        <w:t>Conclusion</w:t>
      </w:r>
    </w:p>
    <w:p w14:paraId="1D23DCA7" w14:textId="77777777" w:rsidR="00BA7370" w:rsidRPr="00F55E4C" w:rsidRDefault="00BA7370" w:rsidP="00BA7370">
      <w:pPr>
        <w:spacing w:after="120"/>
        <w:rPr>
          <w:rFonts w:ascii="Arial" w:hAnsi="Arial" w:cs="Arial"/>
          <w:sz w:val="22"/>
          <w:szCs w:val="22"/>
        </w:rPr>
      </w:pPr>
      <w:r w:rsidRPr="00F55E4C">
        <w:rPr>
          <w:rFonts w:ascii="Arial" w:hAnsi="Arial" w:cs="Arial"/>
          <w:sz w:val="22"/>
          <w:szCs w:val="22"/>
        </w:rPr>
        <w:t>This Legislative Instrument is compatible with human rights as it does not raise any human rights issues.</w:t>
      </w:r>
    </w:p>
    <w:p w14:paraId="03D4AC11" w14:textId="77777777" w:rsidR="00BA7370" w:rsidRPr="00B06CCF" w:rsidRDefault="00BA7370" w:rsidP="00BA7370">
      <w:pPr>
        <w:spacing w:after="120"/>
      </w:pPr>
    </w:p>
    <w:p w14:paraId="41C76EB6" w14:textId="059DFEC4" w:rsidR="00486653" w:rsidRPr="00A0594C" w:rsidRDefault="00486653" w:rsidP="00BA7370">
      <w:pPr>
        <w:pStyle w:val="Heading2"/>
        <w:rPr>
          <w:rFonts w:cs="Arial"/>
          <w:szCs w:val="22"/>
        </w:rPr>
      </w:pPr>
    </w:p>
    <w:sectPr w:rsidR="00486653" w:rsidRPr="00A0594C" w:rsidSect="00146ED8">
      <w:headerReference w:type="even" r:id="rId15"/>
      <w:headerReference w:type="default" r:id="rId16"/>
      <w:headerReference w:type="first" r:id="rId17"/>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8CCE2" w14:textId="77777777" w:rsidR="00260C1B" w:rsidRDefault="00260C1B">
      <w:r>
        <w:separator/>
      </w:r>
    </w:p>
  </w:endnote>
  <w:endnote w:type="continuationSeparator" w:id="0">
    <w:p w14:paraId="375AE1EB" w14:textId="77777777" w:rsidR="00260C1B" w:rsidRDefault="0026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17680" w14:textId="77777777" w:rsidR="00260C1B" w:rsidRDefault="00260C1B">
      <w:r>
        <w:separator/>
      </w:r>
    </w:p>
  </w:footnote>
  <w:footnote w:type="continuationSeparator" w:id="0">
    <w:p w14:paraId="0AFC810C" w14:textId="77777777" w:rsidR="00260C1B" w:rsidRDefault="00260C1B">
      <w:r>
        <w:continuationSeparator/>
      </w:r>
    </w:p>
  </w:footnote>
  <w:footnote w:id="1">
    <w:p w14:paraId="10D9C0E6" w14:textId="77777777" w:rsidR="00BA7370" w:rsidRPr="00BB24F2" w:rsidRDefault="00BA7370" w:rsidP="00BA7370">
      <w:pPr>
        <w:pStyle w:val="FootnoteText"/>
        <w:rPr>
          <w:rFonts w:ascii="Arial" w:hAnsi="Arial" w:cs="Arial"/>
        </w:rPr>
      </w:pPr>
      <w:r>
        <w:rPr>
          <w:rStyle w:val="FootnoteReference"/>
        </w:rPr>
        <w:footnoteRef/>
      </w:r>
      <w:r>
        <w:t xml:space="preserve"> </w:t>
      </w:r>
      <w:proofErr w:type="gramStart"/>
      <w:r w:rsidRPr="00BB24F2">
        <w:rPr>
          <w:rFonts w:ascii="Arial" w:hAnsi="Arial" w:cs="Arial"/>
        </w:rPr>
        <w:t>Explanatory Memorandum, Tax Laws Amendment (Small Business Restructure Roll-over) Bill 2016, pages 1, 7.</w:t>
      </w:r>
      <w:proofErr w:type="gramEnd"/>
    </w:p>
  </w:footnote>
  <w:footnote w:id="2">
    <w:p w14:paraId="0CC9FE4A" w14:textId="77777777" w:rsidR="00BA7370" w:rsidRDefault="00BA7370" w:rsidP="00BA7370">
      <w:pPr>
        <w:pStyle w:val="FootnoteText"/>
      </w:pPr>
      <w:r w:rsidRPr="00F55E4C">
        <w:rPr>
          <w:rStyle w:val="FootnoteReference"/>
          <w:rFonts w:ascii="Arial" w:hAnsi="Arial"/>
        </w:rPr>
        <w:footnoteRef/>
      </w:r>
      <w:r w:rsidRPr="003A1D5D">
        <w:rPr>
          <w:rFonts w:ascii="Arial" w:hAnsi="Arial" w:cs="Arial"/>
        </w:rPr>
        <w:t xml:space="preserve"> </w:t>
      </w:r>
      <w:r>
        <w:rPr>
          <w:rFonts w:ascii="Arial" w:hAnsi="Arial" w:cs="Arial"/>
        </w:rPr>
        <w:t>Ibid, page 6</w:t>
      </w:r>
      <w:r w:rsidRPr="003A1D5D">
        <w:rPr>
          <w:rFonts w:ascii="Arial" w:hAnsi="Arial" w:cs="Arial"/>
        </w:rPr>
        <w:t>.</w:t>
      </w:r>
    </w:p>
  </w:footnote>
  <w:footnote w:id="3">
    <w:p w14:paraId="3C2D2258" w14:textId="77777777" w:rsidR="00BA7370" w:rsidRPr="00BB24F2" w:rsidRDefault="00BA7370" w:rsidP="00BA7370">
      <w:pPr>
        <w:pStyle w:val="FootnoteText"/>
        <w:rPr>
          <w:rFonts w:ascii="Arial" w:hAnsi="Arial" w:cs="Arial"/>
        </w:rPr>
      </w:pPr>
      <w:r>
        <w:rPr>
          <w:rStyle w:val="FootnoteReference"/>
        </w:rPr>
        <w:footnoteRef/>
      </w:r>
      <w:r>
        <w:t xml:space="preserve"> </w:t>
      </w:r>
      <w:proofErr w:type="gramStart"/>
      <w:r w:rsidRPr="00BB24F2">
        <w:rPr>
          <w:rFonts w:ascii="Arial" w:hAnsi="Arial" w:cs="Arial"/>
        </w:rPr>
        <w:t>Ibid, para 1.10.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6EC4"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48705B2A" w14:textId="77777777" w:rsidR="003D3E76" w:rsidRDefault="00587C50">
    <w:pPr>
      <w:pStyle w:val="Header"/>
      <w:rPr>
        <w:rFonts w:ascii="Arial" w:hAnsi="Arial" w:cs="Arial"/>
        <w:b/>
        <w:sz w:val="52"/>
      </w:rPr>
    </w:pPr>
    <w:r w:rsidRPr="0067541C">
      <w:rPr>
        <w:rFonts w:ascii="Arial" w:hAnsi="Arial" w:cs="Arial"/>
        <w:b/>
        <w:sz w:val="52"/>
      </w:rPr>
      <w:t>TD</w:t>
    </w:r>
  </w:p>
  <w:p w14:paraId="41C76EC6" w14:textId="194351CA"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540511">
      <w:rPr>
        <w:rFonts w:ascii="Arial" w:hAnsi="Arial" w:cs="Arial"/>
        <w:noProof/>
        <w:snapToGrid w:val="0"/>
        <w:sz w:val="20"/>
        <w:lang w:eastAsia="en-US"/>
      </w:rPr>
      <w:t>11</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6EC7"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6EC8" w14:textId="5AF3D746"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41C76EC9" w14:textId="02F4A00C"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32"/>
        <w:szCs w:val="32"/>
      </w:rPr>
      <w:t xml:space="preserve">  </w:t>
    </w:r>
    <w:r w:rsidRPr="00146ED8">
      <w:rPr>
        <w:rFonts w:ascii="Arial" w:hAnsi="Arial" w:cs="Arial"/>
        <w:b/>
        <w:sz w:val="28"/>
        <w:szCs w:val="28"/>
      </w:rPr>
      <w:t xml:space="preserve">Instrument ID: </w:t>
    </w:r>
    <w:r w:rsidR="00B27A2D">
      <w:rPr>
        <w:rFonts w:ascii="Arial" w:hAnsi="Arial" w:cs="Arial"/>
        <w:b/>
        <w:sz w:val="28"/>
        <w:szCs w:val="28"/>
      </w:rPr>
      <w:t>2017</w:t>
    </w:r>
    <w:r w:rsidR="001C5408" w:rsidRPr="00146ED8">
      <w:rPr>
        <w:rFonts w:ascii="Arial" w:hAnsi="Arial" w:cs="Arial"/>
        <w:b/>
        <w:sz w:val="28"/>
        <w:szCs w:val="28"/>
      </w:rPr>
      <w:t>/</w:t>
    </w:r>
    <w:r w:rsidR="00B27A2D">
      <w:rPr>
        <w:rFonts w:ascii="Arial" w:hAnsi="Arial" w:cs="Arial"/>
        <w:b/>
        <w:sz w:val="28"/>
        <w:szCs w:val="28"/>
      </w:rPr>
      <w:t>PAL</w:t>
    </w:r>
    <w:r w:rsidR="00146435">
      <w:rPr>
        <w:rFonts w:ascii="Arial" w:hAnsi="Arial" w:cs="Arial"/>
        <w:b/>
        <w:sz w:val="28"/>
        <w:szCs w:val="28"/>
      </w:rPr>
      <w:t>/</w:t>
    </w:r>
    <w:r w:rsidR="007A5BB5">
      <w:rPr>
        <w:rFonts w:ascii="Arial" w:hAnsi="Arial" w:cs="Arial"/>
        <w:b/>
        <w:sz w:val="28"/>
        <w:szCs w:val="28"/>
      </w:rPr>
      <w:t>0074</w:t>
    </w:r>
  </w:p>
  <w:p w14:paraId="41C76ECA"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41C76ECC" wp14:editId="41C76EC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41C76ECB"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6">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7">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1AEF680D"/>
    <w:multiLevelType w:val="hybridMultilevel"/>
    <w:tmpl w:val="000048EA"/>
    <w:lvl w:ilvl="0" w:tplc="210C198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4">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8">
    <w:nsid w:val="2D2107E0"/>
    <w:multiLevelType w:val="hybridMultilevel"/>
    <w:tmpl w:val="B3927DB0"/>
    <w:lvl w:ilvl="0" w:tplc="04104052">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7F443F0"/>
    <w:multiLevelType w:val="hybridMultilevel"/>
    <w:tmpl w:val="479EF1C0"/>
    <w:lvl w:ilvl="0" w:tplc="FFA87EC4">
      <w:start w:val="1"/>
      <w:numFmt w:val="decimal"/>
      <w:lvlText w:val="%1."/>
      <w:lvlJc w:val="left"/>
      <w:pPr>
        <w:tabs>
          <w:tab w:val="num" w:pos="720"/>
        </w:tabs>
        <w:ind w:left="720" w:hanging="360"/>
      </w:pPr>
      <w:rPr>
        <w:rFonts w:ascii="Arial" w:hAnsi="Arial" w:cs="Arial" w:hint="default"/>
        <w:i w:val="0"/>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FCC3903"/>
    <w:multiLevelType w:val="hybridMultilevel"/>
    <w:tmpl w:val="479EF1C0"/>
    <w:lvl w:ilvl="0" w:tplc="FFA87EC4">
      <w:start w:val="1"/>
      <w:numFmt w:val="decimal"/>
      <w:lvlText w:val="%1."/>
      <w:lvlJc w:val="left"/>
      <w:pPr>
        <w:tabs>
          <w:tab w:val="num" w:pos="720"/>
        </w:tabs>
        <w:ind w:left="720" w:hanging="360"/>
      </w:pPr>
      <w:rPr>
        <w:rFonts w:ascii="Arial" w:hAnsi="Arial" w:cs="Arial" w:hint="default"/>
        <w:i w:val="0"/>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6">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96622A4"/>
    <w:multiLevelType w:val="hybridMultilevel"/>
    <w:tmpl w:val="D976046C"/>
    <w:lvl w:ilvl="0" w:tplc="04104052">
      <w:start w:val="1"/>
      <w:numFmt w:val="decimal"/>
      <w:lvlText w:val="%1."/>
      <w:lvlJc w:val="left"/>
      <w:pPr>
        <w:tabs>
          <w:tab w:val="num" w:pos="720"/>
        </w:tabs>
        <w:ind w:left="720" w:hanging="360"/>
      </w:pPr>
      <w:rPr>
        <w:rFonts w:hint="default"/>
        <w:sz w:val="22"/>
        <w:szCs w:val="22"/>
      </w:rPr>
    </w:lvl>
    <w:lvl w:ilvl="1" w:tplc="0C090017">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nsid w:val="57BA48E3"/>
    <w:multiLevelType w:val="hybridMultilevel"/>
    <w:tmpl w:val="C4A46C7A"/>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2">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68B10F18"/>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ECE1DDB"/>
    <w:multiLevelType w:val="hybridMultilevel"/>
    <w:tmpl w:val="5C5EEDF6"/>
    <w:lvl w:ilvl="0" w:tplc="9EA8420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F3850A8"/>
    <w:multiLevelType w:val="hybridMultilevel"/>
    <w:tmpl w:val="1BD63B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4"/>
  </w:num>
  <w:num w:numId="3">
    <w:abstractNumId w:val="24"/>
  </w:num>
  <w:num w:numId="4">
    <w:abstractNumId w:val="40"/>
  </w:num>
  <w:num w:numId="5">
    <w:abstractNumId w:val="4"/>
  </w:num>
  <w:num w:numId="6">
    <w:abstractNumId w:val="12"/>
  </w:num>
  <w:num w:numId="7">
    <w:abstractNumId w:val="34"/>
  </w:num>
  <w:num w:numId="8">
    <w:abstractNumId w:val="33"/>
  </w:num>
  <w:num w:numId="9">
    <w:abstractNumId w:val="26"/>
  </w:num>
  <w:num w:numId="10">
    <w:abstractNumId w:val="21"/>
  </w:num>
  <w:num w:numId="11">
    <w:abstractNumId w:val="42"/>
  </w:num>
  <w:num w:numId="12">
    <w:abstractNumId w:val="35"/>
  </w:num>
  <w:num w:numId="13">
    <w:abstractNumId w:val="39"/>
  </w:num>
  <w:num w:numId="14">
    <w:abstractNumId w:val="38"/>
  </w:num>
  <w:num w:numId="15">
    <w:abstractNumId w:val="20"/>
  </w:num>
  <w:num w:numId="16">
    <w:abstractNumId w:val="23"/>
  </w:num>
  <w:num w:numId="17">
    <w:abstractNumId w:val="10"/>
  </w:num>
  <w:num w:numId="18">
    <w:abstractNumId w:val="15"/>
  </w:num>
  <w:num w:numId="19">
    <w:abstractNumId w:val="2"/>
  </w:num>
  <w:num w:numId="20">
    <w:abstractNumId w:val="1"/>
  </w:num>
  <w:num w:numId="21">
    <w:abstractNumId w:val="11"/>
  </w:num>
  <w:num w:numId="22">
    <w:abstractNumId w:val="31"/>
  </w:num>
  <w:num w:numId="23">
    <w:abstractNumId w:val="8"/>
  </w:num>
  <w:num w:numId="24">
    <w:abstractNumId w:val="19"/>
  </w:num>
  <w:num w:numId="25">
    <w:abstractNumId w:val="29"/>
  </w:num>
  <w:num w:numId="26">
    <w:abstractNumId w:val="28"/>
  </w:num>
  <w:num w:numId="27">
    <w:abstractNumId w:val="7"/>
  </w:num>
  <w:num w:numId="28">
    <w:abstractNumId w:val="32"/>
  </w:num>
  <w:num w:numId="29">
    <w:abstractNumId w:val="17"/>
  </w:num>
  <w:num w:numId="30">
    <w:abstractNumId w:val="13"/>
  </w:num>
  <w:num w:numId="31">
    <w:abstractNumId w:val="5"/>
  </w:num>
  <w:num w:numId="32">
    <w:abstractNumId w:val="0"/>
  </w:num>
  <w:num w:numId="33">
    <w:abstractNumId w:val="6"/>
  </w:num>
  <w:num w:numId="34">
    <w:abstractNumId w:val="25"/>
  </w:num>
  <w:num w:numId="35">
    <w:abstractNumId w:val="36"/>
  </w:num>
  <w:num w:numId="36">
    <w:abstractNumId w:val="16"/>
  </w:num>
  <w:num w:numId="37">
    <w:abstractNumId w:val="37"/>
  </w:num>
  <w:num w:numId="38">
    <w:abstractNumId w:val="9"/>
  </w:num>
  <w:num w:numId="39">
    <w:abstractNumId w:val="18"/>
  </w:num>
  <w:num w:numId="40">
    <w:abstractNumId w:val="41"/>
  </w:num>
  <w:num w:numId="41">
    <w:abstractNumId w:val="22"/>
  </w:num>
  <w:num w:numId="42">
    <w:abstractNumId w:val="30"/>
  </w:num>
  <w:num w:numId="43">
    <w:abstractNumId w:val="27"/>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2A9B"/>
    <w:rsid w:val="0002568B"/>
    <w:rsid w:val="000345B2"/>
    <w:rsid w:val="00043FA7"/>
    <w:rsid w:val="00045346"/>
    <w:rsid w:val="000552E8"/>
    <w:rsid w:val="00056585"/>
    <w:rsid w:val="0005674F"/>
    <w:rsid w:val="00065C6E"/>
    <w:rsid w:val="00073F1B"/>
    <w:rsid w:val="00075B58"/>
    <w:rsid w:val="000A5B1F"/>
    <w:rsid w:val="000B11DD"/>
    <w:rsid w:val="000B44E0"/>
    <w:rsid w:val="000C390A"/>
    <w:rsid w:val="000C77DD"/>
    <w:rsid w:val="000D1931"/>
    <w:rsid w:val="000E295B"/>
    <w:rsid w:val="000E45A0"/>
    <w:rsid w:val="000F2007"/>
    <w:rsid w:val="00107460"/>
    <w:rsid w:val="00112415"/>
    <w:rsid w:val="0013678D"/>
    <w:rsid w:val="00140A34"/>
    <w:rsid w:val="00146435"/>
    <w:rsid w:val="00146ED8"/>
    <w:rsid w:val="00167202"/>
    <w:rsid w:val="00170B08"/>
    <w:rsid w:val="00174D3E"/>
    <w:rsid w:val="00180835"/>
    <w:rsid w:val="001828A4"/>
    <w:rsid w:val="001A3BE2"/>
    <w:rsid w:val="001A6EA1"/>
    <w:rsid w:val="001C35E7"/>
    <w:rsid w:val="001C4578"/>
    <w:rsid w:val="001C5408"/>
    <w:rsid w:val="001D63E4"/>
    <w:rsid w:val="001D773B"/>
    <w:rsid w:val="001F28A6"/>
    <w:rsid w:val="001F2A16"/>
    <w:rsid w:val="001F45A7"/>
    <w:rsid w:val="001F67E7"/>
    <w:rsid w:val="001F6921"/>
    <w:rsid w:val="001F7C3E"/>
    <w:rsid w:val="002014EF"/>
    <w:rsid w:val="00201969"/>
    <w:rsid w:val="00211206"/>
    <w:rsid w:val="00213FA5"/>
    <w:rsid w:val="0023733A"/>
    <w:rsid w:val="0024044F"/>
    <w:rsid w:val="00245D00"/>
    <w:rsid w:val="00257F2D"/>
    <w:rsid w:val="00260C1B"/>
    <w:rsid w:val="00262F9F"/>
    <w:rsid w:val="00266D2D"/>
    <w:rsid w:val="0027331F"/>
    <w:rsid w:val="00285546"/>
    <w:rsid w:val="00285E76"/>
    <w:rsid w:val="002949C3"/>
    <w:rsid w:val="002A10A4"/>
    <w:rsid w:val="002A2127"/>
    <w:rsid w:val="002A26FE"/>
    <w:rsid w:val="002B1423"/>
    <w:rsid w:val="002C36E3"/>
    <w:rsid w:val="002C743C"/>
    <w:rsid w:val="002D5A4D"/>
    <w:rsid w:val="002D70CF"/>
    <w:rsid w:val="002E228A"/>
    <w:rsid w:val="002F1257"/>
    <w:rsid w:val="00301C8F"/>
    <w:rsid w:val="00310C61"/>
    <w:rsid w:val="003171B3"/>
    <w:rsid w:val="003227B2"/>
    <w:rsid w:val="0032559D"/>
    <w:rsid w:val="00344575"/>
    <w:rsid w:val="0035113C"/>
    <w:rsid w:val="00354525"/>
    <w:rsid w:val="003755C4"/>
    <w:rsid w:val="00380CC4"/>
    <w:rsid w:val="003B1CFE"/>
    <w:rsid w:val="003C0686"/>
    <w:rsid w:val="003D08CF"/>
    <w:rsid w:val="003D094B"/>
    <w:rsid w:val="003D0CBA"/>
    <w:rsid w:val="003D0F6A"/>
    <w:rsid w:val="003D3E76"/>
    <w:rsid w:val="003D4BA8"/>
    <w:rsid w:val="003E5269"/>
    <w:rsid w:val="003F24AF"/>
    <w:rsid w:val="003F63C6"/>
    <w:rsid w:val="00403ADA"/>
    <w:rsid w:val="00405394"/>
    <w:rsid w:val="004066E4"/>
    <w:rsid w:val="0040680B"/>
    <w:rsid w:val="00407361"/>
    <w:rsid w:val="00417C55"/>
    <w:rsid w:val="00424A7B"/>
    <w:rsid w:val="004447C1"/>
    <w:rsid w:val="0046211F"/>
    <w:rsid w:val="0046787B"/>
    <w:rsid w:val="00486653"/>
    <w:rsid w:val="004A02F9"/>
    <w:rsid w:val="004A5FDA"/>
    <w:rsid w:val="004C489F"/>
    <w:rsid w:val="004D098C"/>
    <w:rsid w:val="004D24A9"/>
    <w:rsid w:val="004D565F"/>
    <w:rsid w:val="004E5357"/>
    <w:rsid w:val="004E7555"/>
    <w:rsid w:val="004F1948"/>
    <w:rsid w:val="004F4A07"/>
    <w:rsid w:val="004F5EB1"/>
    <w:rsid w:val="004F6887"/>
    <w:rsid w:val="005030AD"/>
    <w:rsid w:val="0051249C"/>
    <w:rsid w:val="005176E7"/>
    <w:rsid w:val="00520330"/>
    <w:rsid w:val="00524B6B"/>
    <w:rsid w:val="00540511"/>
    <w:rsid w:val="005413EE"/>
    <w:rsid w:val="00587443"/>
    <w:rsid w:val="00587C50"/>
    <w:rsid w:val="0059095F"/>
    <w:rsid w:val="005917F3"/>
    <w:rsid w:val="005B0ACD"/>
    <w:rsid w:val="005B50A2"/>
    <w:rsid w:val="005C3408"/>
    <w:rsid w:val="005C5A62"/>
    <w:rsid w:val="005C79D0"/>
    <w:rsid w:val="005D611B"/>
    <w:rsid w:val="005F1ACE"/>
    <w:rsid w:val="005F256D"/>
    <w:rsid w:val="0060183A"/>
    <w:rsid w:val="00603110"/>
    <w:rsid w:val="00607E87"/>
    <w:rsid w:val="00611C8E"/>
    <w:rsid w:val="0061359E"/>
    <w:rsid w:val="00631F30"/>
    <w:rsid w:val="00642420"/>
    <w:rsid w:val="00646158"/>
    <w:rsid w:val="00654C88"/>
    <w:rsid w:val="0066622C"/>
    <w:rsid w:val="00666487"/>
    <w:rsid w:val="00673B37"/>
    <w:rsid w:val="006945EA"/>
    <w:rsid w:val="006A00B6"/>
    <w:rsid w:val="006B2CE2"/>
    <w:rsid w:val="006B5470"/>
    <w:rsid w:val="006D0138"/>
    <w:rsid w:val="006D6F52"/>
    <w:rsid w:val="006E6545"/>
    <w:rsid w:val="00701718"/>
    <w:rsid w:val="00710359"/>
    <w:rsid w:val="00712FFF"/>
    <w:rsid w:val="00722DBF"/>
    <w:rsid w:val="00735157"/>
    <w:rsid w:val="007519FE"/>
    <w:rsid w:val="00775490"/>
    <w:rsid w:val="00787C33"/>
    <w:rsid w:val="00790AA2"/>
    <w:rsid w:val="00794883"/>
    <w:rsid w:val="00795D0C"/>
    <w:rsid w:val="00797BB1"/>
    <w:rsid w:val="007A2739"/>
    <w:rsid w:val="007A55BA"/>
    <w:rsid w:val="007A5BB5"/>
    <w:rsid w:val="007C1FBD"/>
    <w:rsid w:val="007E22F5"/>
    <w:rsid w:val="007F25F3"/>
    <w:rsid w:val="007F4901"/>
    <w:rsid w:val="00803098"/>
    <w:rsid w:val="00836B02"/>
    <w:rsid w:val="008467D4"/>
    <w:rsid w:val="00850FB0"/>
    <w:rsid w:val="0085238E"/>
    <w:rsid w:val="008540EA"/>
    <w:rsid w:val="00866A00"/>
    <w:rsid w:val="008702A6"/>
    <w:rsid w:val="008757CE"/>
    <w:rsid w:val="00881F3C"/>
    <w:rsid w:val="0088392C"/>
    <w:rsid w:val="00885B51"/>
    <w:rsid w:val="00897C0E"/>
    <w:rsid w:val="00897E31"/>
    <w:rsid w:val="008A046F"/>
    <w:rsid w:val="008A405A"/>
    <w:rsid w:val="008A6A6A"/>
    <w:rsid w:val="008B650A"/>
    <w:rsid w:val="008B787C"/>
    <w:rsid w:val="008C3898"/>
    <w:rsid w:val="008C66CC"/>
    <w:rsid w:val="008F483C"/>
    <w:rsid w:val="00912D61"/>
    <w:rsid w:val="00923876"/>
    <w:rsid w:val="00924866"/>
    <w:rsid w:val="009322D7"/>
    <w:rsid w:val="00932BDE"/>
    <w:rsid w:val="00935655"/>
    <w:rsid w:val="00950C4C"/>
    <w:rsid w:val="00967725"/>
    <w:rsid w:val="009902F8"/>
    <w:rsid w:val="00993BB8"/>
    <w:rsid w:val="0099555F"/>
    <w:rsid w:val="009A22A1"/>
    <w:rsid w:val="009A53E6"/>
    <w:rsid w:val="009B31EC"/>
    <w:rsid w:val="009B3A1B"/>
    <w:rsid w:val="009B6332"/>
    <w:rsid w:val="009C0912"/>
    <w:rsid w:val="009C2D22"/>
    <w:rsid w:val="009D6694"/>
    <w:rsid w:val="009E01C7"/>
    <w:rsid w:val="009F0300"/>
    <w:rsid w:val="00A01FDC"/>
    <w:rsid w:val="00A0594C"/>
    <w:rsid w:val="00A12698"/>
    <w:rsid w:val="00A167A8"/>
    <w:rsid w:val="00A21F0A"/>
    <w:rsid w:val="00A21F0E"/>
    <w:rsid w:val="00A23E81"/>
    <w:rsid w:val="00A26011"/>
    <w:rsid w:val="00A3220A"/>
    <w:rsid w:val="00A40C66"/>
    <w:rsid w:val="00A506C2"/>
    <w:rsid w:val="00A62886"/>
    <w:rsid w:val="00A74C38"/>
    <w:rsid w:val="00A77D24"/>
    <w:rsid w:val="00A8493D"/>
    <w:rsid w:val="00A8572F"/>
    <w:rsid w:val="00A93E07"/>
    <w:rsid w:val="00A979CF"/>
    <w:rsid w:val="00AA4DF8"/>
    <w:rsid w:val="00AB1F5A"/>
    <w:rsid w:val="00AB780C"/>
    <w:rsid w:val="00AD5ADE"/>
    <w:rsid w:val="00AE7138"/>
    <w:rsid w:val="00AF4CAF"/>
    <w:rsid w:val="00B117BA"/>
    <w:rsid w:val="00B20D87"/>
    <w:rsid w:val="00B27A2D"/>
    <w:rsid w:val="00B359A2"/>
    <w:rsid w:val="00B5622F"/>
    <w:rsid w:val="00B578AC"/>
    <w:rsid w:val="00B6433F"/>
    <w:rsid w:val="00B64CF5"/>
    <w:rsid w:val="00B76C9B"/>
    <w:rsid w:val="00B805CC"/>
    <w:rsid w:val="00B823A1"/>
    <w:rsid w:val="00B8428B"/>
    <w:rsid w:val="00B87A27"/>
    <w:rsid w:val="00BA41F5"/>
    <w:rsid w:val="00BA7370"/>
    <w:rsid w:val="00BB2373"/>
    <w:rsid w:val="00BB3C9C"/>
    <w:rsid w:val="00BC475D"/>
    <w:rsid w:val="00BF4822"/>
    <w:rsid w:val="00C01D22"/>
    <w:rsid w:val="00C104B6"/>
    <w:rsid w:val="00C10F02"/>
    <w:rsid w:val="00C114F4"/>
    <w:rsid w:val="00C11D03"/>
    <w:rsid w:val="00C31967"/>
    <w:rsid w:val="00C371DE"/>
    <w:rsid w:val="00C409AE"/>
    <w:rsid w:val="00C42D50"/>
    <w:rsid w:val="00C54DF8"/>
    <w:rsid w:val="00C60B49"/>
    <w:rsid w:val="00C674A1"/>
    <w:rsid w:val="00C7440A"/>
    <w:rsid w:val="00C8021F"/>
    <w:rsid w:val="00C865ED"/>
    <w:rsid w:val="00C8775A"/>
    <w:rsid w:val="00C93977"/>
    <w:rsid w:val="00CA0877"/>
    <w:rsid w:val="00CA6B59"/>
    <w:rsid w:val="00CB3B6C"/>
    <w:rsid w:val="00CC0774"/>
    <w:rsid w:val="00CC1833"/>
    <w:rsid w:val="00CC189F"/>
    <w:rsid w:val="00CC3368"/>
    <w:rsid w:val="00CC4878"/>
    <w:rsid w:val="00CF19C4"/>
    <w:rsid w:val="00D02478"/>
    <w:rsid w:val="00D13C04"/>
    <w:rsid w:val="00D20A78"/>
    <w:rsid w:val="00D278BA"/>
    <w:rsid w:val="00D40454"/>
    <w:rsid w:val="00D4059C"/>
    <w:rsid w:val="00D4346A"/>
    <w:rsid w:val="00D53944"/>
    <w:rsid w:val="00D53D8F"/>
    <w:rsid w:val="00D61C76"/>
    <w:rsid w:val="00D634A1"/>
    <w:rsid w:val="00D64A0A"/>
    <w:rsid w:val="00D77015"/>
    <w:rsid w:val="00D82D52"/>
    <w:rsid w:val="00D92B48"/>
    <w:rsid w:val="00D96DCD"/>
    <w:rsid w:val="00DA3924"/>
    <w:rsid w:val="00DA6BCB"/>
    <w:rsid w:val="00DB1693"/>
    <w:rsid w:val="00DD5B07"/>
    <w:rsid w:val="00DE6821"/>
    <w:rsid w:val="00DF2022"/>
    <w:rsid w:val="00DF34BE"/>
    <w:rsid w:val="00DF5D59"/>
    <w:rsid w:val="00E176EF"/>
    <w:rsid w:val="00E239E4"/>
    <w:rsid w:val="00E36A38"/>
    <w:rsid w:val="00E53399"/>
    <w:rsid w:val="00E77995"/>
    <w:rsid w:val="00E80118"/>
    <w:rsid w:val="00E87099"/>
    <w:rsid w:val="00EA28E6"/>
    <w:rsid w:val="00EF78C4"/>
    <w:rsid w:val="00F04CD7"/>
    <w:rsid w:val="00F0567D"/>
    <w:rsid w:val="00F23E15"/>
    <w:rsid w:val="00F244A2"/>
    <w:rsid w:val="00F3414B"/>
    <w:rsid w:val="00F35064"/>
    <w:rsid w:val="00F374D8"/>
    <w:rsid w:val="00F515A3"/>
    <w:rsid w:val="00F5684D"/>
    <w:rsid w:val="00F57AB6"/>
    <w:rsid w:val="00F57ACB"/>
    <w:rsid w:val="00F6480F"/>
    <w:rsid w:val="00F7032D"/>
    <w:rsid w:val="00F86713"/>
    <w:rsid w:val="00F932E0"/>
    <w:rsid w:val="00FB178E"/>
    <w:rsid w:val="00FB5CF8"/>
    <w:rsid w:val="00FB7701"/>
    <w:rsid w:val="00FC40F0"/>
    <w:rsid w:val="00FC6D3B"/>
    <w:rsid w:val="00FD0129"/>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C7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qFormat/>
    <w:rsid w:val="00F35064"/>
    <w:rPr>
      <w:sz w:val="20"/>
    </w:rPr>
  </w:style>
  <w:style w:type="character" w:styleId="FootnoteReference">
    <w:name w:val="footnote reference"/>
    <w:basedOn w:val="DefaultParagraphFont"/>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styleId="NoSpacing">
    <w:name w:val="No Spacing"/>
    <w:uiPriority w:val="1"/>
    <w:qFormat/>
    <w:rsid w:val="00CC4878"/>
    <w:rPr>
      <w:sz w:val="24"/>
      <w:szCs w:val="24"/>
    </w:rPr>
  </w:style>
  <w:style w:type="character" w:customStyle="1" w:styleId="FootnoteTextChar">
    <w:name w:val="Footnote Text Char"/>
    <w:basedOn w:val="DefaultParagraphFont"/>
    <w:link w:val="FootnoteText"/>
    <w:rsid w:val="00BA7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qFormat/>
    <w:rsid w:val="00F35064"/>
    <w:rPr>
      <w:sz w:val="20"/>
    </w:rPr>
  </w:style>
  <w:style w:type="character" w:styleId="FootnoteReference">
    <w:name w:val="footnote reference"/>
    <w:basedOn w:val="DefaultParagraphFont"/>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styleId="NoSpacing">
    <w:name w:val="No Spacing"/>
    <w:uiPriority w:val="1"/>
    <w:qFormat/>
    <w:rsid w:val="00CC4878"/>
    <w:rPr>
      <w:sz w:val="24"/>
      <w:szCs w:val="24"/>
    </w:rPr>
  </w:style>
  <w:style w:type="character" w:customStyle="1" w:styleId="FootnoteTextChar">
    <w:name w:val="Footnote Text Char"/>
    <w:basedOn w:val="DefaultParagraphFont"/>
    <w:link w:val="FootnoteText"/>
    <w:rsid w:val="00BA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201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2CD597C1-B965-4E1A-A465-326C0C3A3173}">
  <ds:schemaRefs>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http://schemas.microsoft.com/sharepoint/v3"/>
    <ds:schemaRef ds:uri="http://purl.org/dc/elements/1.1/"/>
    <ds:schemaRef ds:uri="5e039acd-daf0-4ba3-b421-e9b9ae1a3620"/>
    <ds:schemaRef ds:uri="http://schemas.microsoft.com/office/2006/documentManagement/types"/>
    <ds:schemaRef ds:uri="c65f9449-2a65-4a94-823f-6ddb40b10aaa"/>
  </ds:schemaRefs>
</ds:datastoreItem>
</file>

<file path=customXml/itemProps4.xml><?xml version="1.0" encoding="utf-8"?>
<ds:datastoreItem xmlns:ds="http://schemas.openxmlformats.org/officeDocument/2006/customXml" ds:itemID="{9092B523-521B-4F01-8DAB-0EC284B7888D}">
  <ds:schemaRefs>
    <ds:schemaRef ds:uri="office.server.policy"/>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6.xml><?xml version="1.0" encoding="utf-8"?>
<ds:datastoreItem xmlns:ds="http://schemas.openxmlformats.org/officeDocument/2006/customXml" ds:itemID="{4DD16DA5-6BB4-4B8D-8383-5FD26C18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703D4B-FD32-43D2-82AF-92421BE4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13235</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Bounds, Alexander</cp:lastModifiedBy>
  <cp:revision>2</cp:revision>
  <cp:lastPrinted>2017-07-31T04:17:00Z</cp:lastPrinted>
  <dcterms:created xsi:type="dcterms:W3CDTF">2017-12-04T04:48:00Z</dcterms:created>
  <dcterms:modified xsi:type="dcterms:W3CDTF">2017-12-04T04:48:00Z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