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7BB90" w14:textId="4ED2B8B5" w:rsidR="002E568B" w:rsidRPr="00BA306B" w:rsidRDefault="00E83E66" w:rsidP="003856A4">
      <w:pPr>
        <w:pStyle w:val="Title"/>
        <w:rPr>
          <w:szCs w:val="24"/>
        </w:rPr>
      </w:pPr>
      <w:bookmarkStart w:id="0" w:name="_GoBack"/>
      <w:bookmarkEnd w:id="0"/>
      <w:r>
        <w:rPr>
          <w:szCs w:val="24"/>
        </w:rPr>
        <w:t xml:space="preserve">EXPLANATORY </w:t>
      </w:r>
      <w:r w:rsidR="00773210">
        <w:rPr>
          <w:szCs w:val="24"/>
        </w:rPr>
        <w:t>STATEMENT</w:t>
      </w:r>
    </w:p>
    <w:p w14:paraId="16738289" w14:textId="77777777" w:rsidR="002E568B" w:rsidRPr="00BA306B" w:rsidRDefault="002E568B" w:rsidP="003856A4">
      <w:pPr>
        <w:rPr>
          <w:b/>
          <w:szCs w:val="24"/>
        </w:rPr>
      </w:pPr>
    </w:p>
    <w:p w14:paraId="52E2BC97" w14:textId="77777777" w:rsidR="00361D17" w:rsidRDefault="00361D17" w:rsidP="00150FAE">
      <w:pPr>
        <w:rPr>
          <w:szCs w:val="24"/>
        </w:rPr>
      </w:pPr>
    </w:p>
    <w:p w14:paraId="5F69C113" w14:textId="085CBE4C" w:rsidR="003E33C4" w:rsidRDefault="007B086B" w:rsidP="00A3369D">
      <w:pPr>
        <w:jc w:val="center"/>
        <w:rPr>
          <w:i/>
          <w:szCs w:val="24"/>
        </w:rPr>
      </w:pPr>
      <w:r w:rsidRPr="00BA306B">
        <w:rPr>
          <w:i/>
          <w:szCs w:val="24"/>
        </w:rPr>
        <w:t>Therapeutic Goods Act 1989</w:t>
      </w:r>
    </w:p>
    <w:p w14:paraId="7720D608" w14:textId="77777777" w:rsidR="00B85A19" w:rsidRDefault="00B85A19" w:rsidP="00B85A19">
      <w:pPr>
        <w:ind w:firstLine="1134"/>
        <w:rPr>
          <w:i/>
          <w:szCs w:val="24"/>
        </w:rPr>
      </w:pPr>
      <w:r>
        <w:rPr>
          <w:i/>
          <w:szCs w:val="24"/>
        </w:rPr>
        <w:t xml:space="preserve">      </w:t>
      </w:r>
    </w:p>
    <w:p w14:paraId="41BFF2D5" w14:textId="77777777" w:rsidR="002E568B" w:rsidRDefault="002E568B" w:rsidP="00A3369D">
      <w:pPr>
        <w:ind w:left="1134"/>
        <w:jc w:val="center"/>
        <w:rPr>
          <w:i/>
          <w:szCs w:val="24"/>
        </w:rPr>
      </w:pPr>
      <w:r w:rsidRPr="00BA306B">
        <w:rPr>
          <w:i/>
          <w:szCs w:val="24"/>
        </w:rPr>
        <w:t xml:space="preserve">Therapeutic Goods </w:t>
      </w:r>
      <w:r w:rsidR="008A2357">
        <w:rPr>
          <w:i/>
          <w:szCs w:val="24"/>
        </w:rPr>
        <w:t xml:space="preserve">(Medical Devices) </w:t>
      </w:r>
      <w:r w:rsidR="00342BB7">
        <w:rPr>
          <w:i/>
          <w:szCs w:val="24"/>
        </w:rPr>
        <w:t xml:space="preserve">Amendment </w:t>
      </w:r>
      <w:r w:rsidRPr="00BA306B">
        <w:rPr>
          <w:i/>
          <w:szCs w:val="24"/>
        </w:rPr>
        <w:t>(</w:t>
      </w:r>
      <w:r w:rsidR="008A2357">
        <w:rPr>
          <w:i/>
          <w:szCs w:val="24"/>
        </w:rPr>
        <w:t>Implantable Medical Devices</w:t>
      </w:r>
      <w:r w:rsidRPr="00BA306B">
        <w:rPr>
          <w:i/>
          <w:szCs w:val="24"/>
        </w:rPr>
        <w:t>) Regulation</w:t>
      </w:r>
      <w:r w:rsidR="00C52937">
        <w:rPr>
          <w:i/>
          <w:szCs w:val="24"/>
        </w:rPr>
        <w:t>s</w:t>
      </w:r>
      <w:r w:rsidRPr="00BA306B">
        <w:rPr>
          <w:i/>
          <w:szCs w:val="24"/>
        </w:rPr>
        <w:t xml:space="preserve"> </w:t>
      </w:r>
      <w:r>
        <w:rPr>
          <w:i/>
          <w:szCs w:val="24"/>
        </w:rPr>
        <w:t>201</w:t>
      </w:r>
      <w:r w:rsidR="00C52937">
        <w:rPr>
          <w:i/>
          <w:szCs w:val="24"/>
        </w:rPr>
        <w:t>7</w:t>
      </w:r>
    </w:p>
    <w:p w14:paraId="7BD3AE04" w14:textId="77777777" w:rsidR="002E568B" w:rsidRPr="00704057" w:rsidRDefault="002E568B" w:rsidP="003856A4">
      <w:pPr>
        <w:rPr>
          <w:szCs w:val="24"/>
          <w:highlight w:val="yellow"/>
        </w:rPr>
      </w:pPr>
    </w:p>
    <w:p w14:paraId="02C7CB17" w14:textId="77777777" w:rsidR="00ED3AE4" w:rsidRDefault="00ED3AE4" w:rsidP="00ED3AE4">
      <w:pPr>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4362E5">
        <w:rPr>
          <w:szCs w:val="24"/>
        </w:rPr>
        <w:t>/performance</w:t>
      </w:r>
      <w:r>
        <w:rPr>
          <w:szCs w:val="24"/>
        </w:rPr>
        <w:t xml:space="preserve"> and timely availability of therapeutic goods that are used in Australia or exported from Australia. The Therapeutic Goods Administration (the TGA), which is part of the Department of Health, is responsible for administering the Act.</w:t>
      </w:r>
    </w:p>
    <w:p w14:paraId="45C6D9BE" w14:textId="77777777" w:rsidR="00ED3AE4" w:rsidRDefault="00ED3AE4" w:rsidP="00ED3AE4">
      <w:pPr>
        <w:rPr>
          <w:szCs w:val="24"/>
        </w:rPr>
      </w:pPr>
    </w:p>
    <w:p w14:paraId="789C2431" w14:textId="77777777" w:rsidR="00ED3AE4" w:rsidRDefault="00ED3AE4" w:rsidP="00ED3AE4">
      <w:pPr>
        <w:rPr>
          <w:szCs w:val="24"/>
        </w:rPr>
      </w:pPr>
      <w:r>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14:paraId="1925584D" w14:textId="77777777" w:rsidR="00C866CE" w:rsidRDefault="00C866CE" w:rsidP="00ED3AE4">
      <w:pPr>
        <w:rPr>
          <w:szCs w:val="24"/>
        </w:rPr>
      </w:pPr>
    </w:p>
    <w:p w14:paraId="48B9360C" w14:textId="787F2948" w:rsidR="000F48B1" w:rsidRDefault="003B15E8" w:rsidP="00DB6F99">
      <w:pPr>
        <w:rPr>
          <w:szCs w:val="24"/>
        </w:rPr>
      </w:pPr>
      <w:r>
        <w:rPr>
          <w:szCs w:val="24"/>
        </w:rPr>
        <w:t>The Expert Panel Review of Medicines and Medical Device Regulation (the Review)</w:t>
      </w:r>
      <w:r w:rsidR="00452FD5">
        <w:rPr>
          <w:szCs w:val="24"/>
        </w:rPr>
        <w:t xml:space="preserve">, conducted in </w:t>
      </w:r>
      <w:r w:rsidR="00386A3E">
        <w:rPr>
          <w:szCs w:val="24"/>
        </w:rPr>
        <w:t>2014-2015</w:t>
      </w:r>
      <w:r w:rsidR="00452FD5">
        <w:rPr>
          <w:szCs w:val="24"/>
        </w:rPr>
        <w:t xml:space="preserve">, </w:t>
      </w:r>
      <w:r>
        <w:rPr>
          <w:szCs w:val="24"/>
        </w:rPr>
        <w:t xml:space="preserve"> identified opportunities for reform to improve the regulation of therapeutic goods in Australia, while maintaining the safety and quality of therapeutic goods available in Australia.</w:t>
      </w:r>
      <w:r w:rsidR="003C2F6C">
        <w:rPr>
          <w:szCs w:val="24"/>
        </w:rPr>
        <w:t xml:space="preserve"> </w:t>
      </w:r>
      <w:r w:rsidR="000F48B1">
        <w:rPr>
          <w:szCs w:val="24"/>
        </w:rPr>
        <w:t xml:space="preserve">The Australian Government </w:t>
      </w:r>
      <w:r w:rsidR="00AC04BF">
        <w:rPr>
          <w:szCs w:val="24"/>
        </w:rPr>
        <w:t>accepted</w:t>
      </w:r>
      <w:r w:rsidR="00897771">
        <w:rPr>
          <w:szCs w:val="24"/>
        </w:rPr>
        <w:t xml:space="preserve"> 56 of the 58 </w:t>
      </w:r>
      <w:r w:rsidR="00F843F5">
        <w:rPr>
          <w:szCs w:val="24"/>
        </w:rPr>
        <w:t>R</w:t>
      </w:r>
      <w:r w:rsidR="00897771">
        <w:rPr>
          <w:szCs w:val="24"/>
        </w:rPr>
        <w:t xml:space="preserve">ecommendations </w:t>
      </w:r>
      <w:r w:rsidR="000F48B1">
        <w:rPr>
          <w:szCs w:val="24"/>
        </w:rPr>
        <w:t xml:space="preserve">made by the </w:t>
      </w:r>
      <w:r w:rsidR="00AC04BF">
        <w:rPr>
          <w:szCs w:val="24"/>
        </w:rPr>
        <w:t>Expert Panel</w:t>
      </w:r>
      <w:r w:rsidR="000F48B1">
        <w:rPr>
          <w:szCs w:val="24"/>
        </w:rPr>
        <w:t>. One of the</w:t>
      </w:r>
      <w:r w:rsidR="00AC04BF">
        <w:rPr>
          <w:szCs w:val="24"/>
        </w:rPr>
        <w:t>se</w:t>
      </w:r>
      <w:r w:rsidR="000F48B1">
        <w:rPr>
          <w:szCs w:val="24"/>
        </w:rPr>
        <w:t xml:space="preserve"> </w:t>
      </w:r>
      <w:r w:rsidR="00F843F5">
        <w:rPr>
          <w:szCs w:val="24"/>
        </w:rPr>
        <w:t>R</w:t>
      </w:r>
      <w:r w:rsidR="000F48B1">
        <w:rPr>
          <w:szCs w:val="24"/>
        </w:rPr>
        <w:t xml:space="preserve">ecommendations was that the regulation of medical devices in Australia should, wherever possible, be aligned with the European Union </w:t>
      </w:r>
      <w:r w:rsidR="00C4748E">
        <w:rPr>
          <w:szCs w:val="24"/>
        </w:rPr>
        <w:t xml:space="preserve">(EU) </w:t>
      </w:r>
      <w:r w:rsidR="000F48B1">
        <w:rPr>
          <w:szCs w:val="24"/>
        </w:rPr>
        <w:t>framework, including in respect of the classification of medical devices and in terms of the essential principles requirements</w:t>
      </w:r>
      <w:r w:rsidR="003C2F6C">
        <w:rPr>
          <w:szCs w:val="24"/>
        </w:rPr>
        <w:t xml:space="preserve"> (</w:t>
      </w:r>
      <w:r w:rsidR="00F843F5">
        <w:rPr>
          <w:szCs w:val="24"/>
        </w:rPr>
        <w:t>R</w:t>
      </w:r>
      <w:r w:rsidR="003C2F6C">
        <w:rPr>
          <w:szCs w:val="24"/>
        </w:rPr>
        <w:t>ecommendation 20</w:t>
      </w:r>
      <w:r w:rsidR="0020505B">
        <w:rPr>
          <w:szCs w:val="24"/>
        </w:rPr>
        <w:t>)</w:t>
      </w:r>
      <w:r w:rsidR="000F48B1">
        <w:rPr>
          <w:szCs w:val="24"/>
        </w:rPr>
        <w:t>.</w:t>
      </w:r>
      <w:r w:rsidR="00644256">
        <w:rPr>
          <w:szCs w:val="24"/>
        </w:rPr>
        <w:t xml:space="preserve"> The essential principles establish mandatory requirements or standards for medical devices, and provide minimum benchmarks relating to </w:t>
      </w:r>
      <w:r w:rsidR="00AC04BF">
        <w:rPr>
          <w:szCs w:val="24"/>
        </w:rPr>
        <w:t xml:space="preserve">device </w:t>
      </w:r>
      <w:r w:rsidR="00644256">
        <w:rPr>
          <w:szCs w:val="24"/>
        </w:rPr>
        <w:t xml:space="preserve">safety and performance. </w:t>
      </w:r>
      <w:r w:rsidR="000F48B1">
        <w:rPr>
          <w:szCs w:val="24"/>
        </w:rPr>
        <w:t xml:space="preserve">     </w:t>
      </w:r>
    </w:p>
    <w:p w14:paraId="045B4D6B" w14:textId="77777777" w:rsidR="000F48B1" w:rsidRDefault="000F48B1" w:rsidP="00DB6F99">
      <w:pPr>
        <w:rPr>
          <w:szCs w:val="24"/>
        </w:rPr>
      </w:pPr>
    </w:p>
    <w:p w14:paraId="3DB5BA4B" w14:textId="50910F54" w:rsidR="00C001FC" w:rsidRPr="00C001FC" w:rsidRDefault="00DB6F99" w:rsidP="00DB6F99">
      <w:pPr>
        <w:rPr>
          <w:szCs w:val="24"/>
        </w:rPr>
      </w:pPr>
      <w:r w:rsidRPr="003856A4">
        <w:rPr>
          <w:szCs w:val="24"/>
        </w:rPr>
        <w:t xml:space="preserve">The purpose of the </w:t>
      </w:r>
      <w:r w:rsidR="009D3683" w:rsidRPr="00A35534">
        <w:rPr>
          <w:i/>
          <w:szCs w:val="24"/>
        </w:rPr>
        <w:t xml:space="preserve">Therapeutic Goods </w:t>
      </w:r>
      <w:r w:rsidR="008A2357">
        <w:rPr>
          <w:i/>
          <w:szCs w:val="24"/>
        </w:rPr>
        <w:t>(Medical Devices)</w:t>
      </w:r>
      <w:r w:rsidR="009D3683" w:rsidRPr="00A35534">
        <w:rPr>
          <w:i/>
          <w:szCs w:val="24"/>
        </w:rPr>
        <w:t xml:space="preserve"> Amendment (</w:t>
      </w:r>
      <w:r w:rsidR="008A2357">
        <w:rPr>
          <w:i/>
          <w:szCs w:val="24"/>
        </w:rPr>
        <w:t>Implantable Medical Devices)</w:t>
      </w:r>
      <w:r w:rsidR="009D3683" w:rsidRPr="00A35534">
        <w:rPr>
          <w:i/>
          <w:szCs w:val="24"/>
        </w:rPr>
        <w:t xml:space="preserve"> Regulations 2017</w:t>
      </w:r>
      <w:r w:rsidR="009D3683">
        <w:rPr>
          <w:szCs w:val="24"/>
        </w:rPr>
        <w:t xml:space="preserve"> (the </w:t>
      </w:r>
      <w:r w:rsidR="00361D17">
        <w:rPr>
          <w:szCs w:val="24"/>
        </w:rPr>
        <w:t>R</w:t>
      </w:r>
      <w:r w:rsidR="00EF6410" w:rsidRPr="00EF6410">
        <w:rPr>
          <w:szCs w:val="24"/>
        </w:rPr>
        <w:t>egulation</w:t>
      </w:r>
      <w:r w:rsidR="009D3683">
        <w:rPr>
          <w:szCs w:val="24"/>
        </w:rPr>
        <w:t>s)</w:t>
      </w:r>
      <w:r w:rsidRPr="003856A4">
        <w:rPr>
          <w:szCs w:val="24"/>
        </w:rPr>
        <w:t xml:space="preserve"> </w:t>
      </w:r>
      <w:r w:rsidR="00BC6125">
        <w:rPr>
          <w:szCs w:val="24"/>
        </w:rPr>
        <w:t>is</w:t>
      </w:r>
      <w:r w:rsidRPr="003856A4">
        <w:rPr>
          <w:szCs w:val="24"/>
        </w:rPr>
        <w:t xml:space="preserve"> to amend</w:t>
      </w:r>
      <w:r>
        <w:rPr>
          <w:szCs w:val="24"/>
        </w:rPr>
        <w:t xml:space="preserve"> the</w:t>
      </w:r>
      <w:r w:rsidR="00EF6410">
        <w:rPr>
          <w:szCs w:val="24"/>
        </w:rPr>
        <w:t xml:space="preserve"> </w:t>
      </w:r>
      <w:r w:rsidR="002E0B8C" w:rsidRPr="00A35534">
        <w:rPr>
          <w:i/>
          <w:szCs w:val="24"/>
        </w:rPr>
        <w:t>Th</w:t>
      </w:r>
      <w:r w:rsidR="00C866CE" w:rsidRPr="00A35534">
        <w:rPr>
          <w:i/>
          <w:szCs w:val="24"/>
        </w:rPr>
        <w:t>erapeutic Goods (Medical Devices) Regulations 2002</w:t>
      </w:r>
      <w:r w:rsidR="002E0B8C" w:rsidRPr="00A35534">
        <w:rPr>
          <w:i/>
          <w:szCs w:val="24"/>
        </w:rPr>
        <w:t xml:space="preserve"> </w:t>
      </w:r>
      <w:r w:rsidR="002E0B8C">
        <w:rPr>
          <w:szCs w:val="24"/>
        </w:rPr>
        <w:t>(</w:t>
      </w:r>
      <w:r w:rsidR="00783E35">
        <w:rPr>
          <w:szCs w:val="24"/>
        </w:rPr>
        <w:t xml:space="preserve">the </w:t>
      </w:r>
      <w:r w:rsidR="00296CDD">
        <w:rPr>
          <w:szCs w:val="24"/>
        </w:rPr>
        <w:t>MD</w:t>
      </w:r>
      <w:r w:rsidR="00EF6410">
        <w:rPr>
          <w:szCs w:val="24"/>
        </w:rPr>
        <w:t xml:space="preserve"> Regulations</w:t>
      </w:r>
      <w:r w:rsidR="002E0B8C">
        <w:rPr>
          <w:szCs w:val="24"/>
        </w:rPr>
        <w:t>)</w:t>
      </w:r>
      <w:r w:rsidR="00BA167E">
        <w:rPr>
          <w:szCs w:val="24"/>
        </w:rPr>
        <w:t xml:space="preserve"> </w:t>
      </w:r>
      <w:r w:rsidRPr="003856A4">
        <w:rPr>
          <w:szCs w:val="24"/>
        </w:rPr>
        <w:t xml:space="preserve">to </w:t>
      </w:r>
      <w:r w:rsidR="00AC04BF">
        <w:rPr>
          <w:szCs w:val="24"/>
        </w:rPr>
        <w:t xml:space="preserve">more closely </w:t>
      </w:r>
      <w:r w:rsidR="00EB06DE">
        <w:rPr>
          <w:szCs w:val="24"/>
        </w:rPr>
        <w:t xml:space="preserve">align two aspects of the regulatory framework for medical devices in Australia with that in the </w:t>
      </w:r>
      <w:r w:rsidR="00C4748E">
        <w:rPr>
          <w:szCs w:val="24"/>
        </w:rPr>
        <w:t>EU</w:t>
      </w:r>
      <w:r w:rsidR="00EB06DE">
        <w:rPr>
          <w:szCs w:val="24"/>
        </w:rPr>
        <w:t xml:space="preserve">: the </w:t>
      </w:r>
      <w:r w:rsidR="00AC04BF">
        <w:rPr>
          <w:szCs w:val="24"/>
        </w:rPr>
        <w:t xml:space="preserve"> </w:t>
      </w:r>
      <w:r w:rsidR="00EB06DE">
        <w:rPr>
          <w:szCs w:val="24"/>
        </w:rPr>
        <w:t xml:space="preserve">classification of </w:t>
      </w:r>
      <w:r w:rsidR="00AC04BF">
        <w:rPr>
          <w:szCs w:val="24"/>
        </w:rPr>
        <w:t xml:space="preserve">medical devices that are </w:t>
      </w:r>
      <w:r w:rsidR="00EB06DE">
        <w:rPr>
          <w:szCs w:val="24"/>
        </w:rPr>
        <w:t>surgical mesh</w:t>
      </w:r>
      <w:r w:rsidR="00AC04BF">
        <w:rPr>
          <w:szCs w:val="24"/>
        </w:rPr>
        <w:t>es (including, in particular, urogyn</w:t>
      </w:r>
      <w:r w:rsidR="005C564E">
        <w:rPr>
          <w:szCs w:val="24"/>
        </w:rPr>
        <w:t>aecological meshes)</w:t>
      </w:r>
      <w:r w:rsidR="00EB06DE">
        <w:rPr>
          <w:szCs w:val="24"/>
        </w:rPr>
        <w:t xml:space="preserve">, and requirements relating to the provision of information </w:t>
      </w:r>
      <w:r w:rsidR="00B93866">
        <w:rPr>
          <w:szCs w:val="24"/>
        </w:rPr>
        <w:t xml:space="preserve">to assist patients </w:t>
      </w:r>
      <w:r w:rsidR="005C564E">
        <w:rPr>
          <w:szCs w:val="24"/>
        </w:rPr>
        <w:t>(in the form of leaflets and patient cards) with</w:t>
      </w:r>
      <w:r w:rsidR="00EB06DE">
        <w:rPr>
          <w:szCs w:val="24"/>
        </w:rPr>
        <w:t xml:space="preserve"> </w:t>
      </w:r>
      <w:r w:rsidR="00B93866">
        <w:rPr>
          <w:szCs w:val="24"/>
        </w:rPr>
        <w:t xml:space="preserve">certain </w:t>
      </w:r>
      <w:r w:rsidR="00EB06DE">
        <w:rPr>
          <w:szCs w:val="24"/>
        </w:rPr>
        <w:t>implantable medical devices</w:t>
      </w:r>
      <w:r w:rsidR="00C001FC">
        <w:rPr>
          <w:szCs w:val="24"/>
        </w:rPr>
        <w:t>.</w:t>
      </w:r>
    </w:p>
    <w:p w14:paraId="7FB8A077" w14:textId="77777777" w:rsidR="00E82DF5" w:rsidRDefault="00E82DF5" w:rsidP="003856A4">
      <w:pPr>
        <w:rPr>
          <w:szCs w:val="24"/>
        </w:rPr>
      </w:pPr>
    </w:p>
    <w:p w14:paraId="68F0F189" w14:textId="2F5489F0" w:rsidR="00C4748E" w:rsidRDefault="00022604" w:rsidP="00022604">
      <w:pPr>
        <w:spacing w:after="240"/>
      </w:pPr>
      <w:r>
        <w:t xml:space="preserve">The </w:t>
      </w:r>
      <w:r w:rsidR="0089620D">
        <w:t>Regulations</w:t>
      </w:r>
      <w:r w:rsidR="00C4748E">
        <w:t xml:space="preserve"> do so by </w:t>
      </w:r>
      <w:r>
        <w:t>up-classify</w:t>
      </w:r>
      <w:r w:rsidR="00C4748E">
        <w:t>ing</w:t>
      </w:r>
      <w:r>
        <w:t xml:space="preserve"> surgical meshes from Class IIb medi</w:t>
      </w:r>
      <w:r w:rsidR="00C4748E">
        <w:t>cal devices to Class III and requiring</w:t>
      </w:r>
      <w:r>
        <w:t xml:space="preserve"> </w:t>
      </w:r>
      <w:r w:rsidR="00433A96">
        <w:t xml:space="preserve">manufacturers of </w:t>
      </w:r>
      <w:r>
        <w:t>implantable</w:t>
      </w:r>
      <w:r w:rsidR="000C648C">
        <w:t>,</w:t>
      </w:r>
      <w:r>
        <w:t xml:space="preserve"> and active implantable</w:t>
      </w:r>
      <w:r w:rsidR="000C648C">
        <w:t>,</w:t>
      </w:r>
      <w:r>
        <w:t xml:space="preserve"> medical devices </w:t>
      </w:r>
      <w:r w:rsidR="00C4748E">
        <w:t>(ot</w:t>
      </w:r>
      <w:r w:rsidR="008A47EE">
        <w:t>her than a number of specified kinds of devices like screws and most</w:t>
      </w:r>
      <w:r w:rsidR="00C4748E">
        <w:t xml:space="preserve"> dental </w:t>
      </w:r>
      <w:r w:rsidR="008A47EE">
        <w:t xml:space="preserve">implants such as </w:t>
      </w:r>
      <w:r w:rsidR="00C4748E">
        <w:t>fillings</w:t>
      </w:r>
      <w:r w:rsidR="008A47EE">
        <w:t xml:space="preserve">, tooth crowns and </w:t>
      </w:r>
      <w:r w:rsidR="00C4748E">
        <w:t xml:space="preserve">braces) </w:t>
      </w:r>
      <w:r>
        <w:t>to include patient information</w:t>
      </w:r>
      <w:r w:rsidR="000C648C">
        <w:t xml:space="preserve"> leaflets and cards</w:t>
      </w:r>
      <w:r>
        <w:t xml:space="preserve"> with their products</w:t>
      </w:r>
      <w:r w:rsidR="00986A29">
        <w:t>.</w:t>
      </w:r>
      <w:r w:rsidR="000C648C">
        <w:t xml:space="preserve"> </w:t>
      </w:r>
      <w:r w:rsidR="00986A29">
        <w:t xml:space="preserve">This </w:t>
      </w:r>
      <w:r w:rsidR="00AA5A8D">
        <w:t>commenc</w:t>
      </w:r>
      <w:r w:rsidR="00986A29">
        <w:t>e</w:t>
      </w:r>
      <w:r w:rsidR="00BC6125">
        <w:t>s</w:t>
      </w:r>
      <w:r w:rsidR="00AA5A8D">
        <w:t xml:space="preserve"> from</w:t>
      </w:r>
      <w:r w:rsidR="00433A96">
        <w:t xml:space="preserve"> 1 December 2018 </w:t>
      </w:r>
      <w:r w:rsidR="00986A29">
        <w:t xml:space="preserve">and </w:t>
      </w:r>
      <w:r w:rsidR="00BC6125">
        <w:t xml:space="preserve">will </w:t>
      </w:r>
      <w:r w:rsidR="00986A29">
        <w:t>be fully implemented by</w:t>
      </w:r>
      <w:r w:rsidR="00433A96">
        <w:t xml:space="preserve"> 1 December 2021</w:t>
      </w:r>
      <w:r w:rsidR="00986A29">
        <w:t>. The timing of implementation is</w:t>
      </w:r>
      <w:r w:rsidR="00433A96">
        <w:t xml:space="preserve"> depend</w:t>
      </w:r>
      <w:r w:rsidR="00986A29">
        <w:t>ent</w:t>
      </w:r>
      <w:r w:rsidR="00433A96">
        <w:t xml:space="preserve"> on whether such devices</w:t>
      </w:r>
      <w:r w:rsidR="0089620D">
        <w:t xml:space="preserve"> are new (</w:t>
      </w:r>
      <w:r w:rsidR="004176EA">
        <w:t>i.e.</w:t>
      </w:r>
      <w:r w:rsidR="0089620D">
        <w:t xml:space="preserve"> where they </w:t>
      </w:r>
      <w:r w:rsidR="00AA5A8D">
        <w:t xml:space="preserve">are the subject of an application for marketing approval made before </w:t>
      </w:r>
      <w:r w:rsidR="0089620D">
        <w:t>1 December 2018)</w:t>
      </w:r>
      <w:r w:rsidR="00433A96">
        <w:t xml:space="preserve"> and </w:t>
      </w:r>
      <w:r w:rsidR="0089620D">
        <w:t xml:space="preserve">on </w:t>
      </w:r>
      <w:r w:rsidR="00433A96">
        <w:t xml:space="preserve">whether such </w:t>
      </w:r>
      <w:r w:rsidR="00C4748E">
        <w:t xml:space="preserve">implantable </w:t>
      </w:r>
      <w:r w:rsidR="00433A96">
        <w:t>devices are urogynaecological meshes or not</w:t>
      </w:r>
      <w:r>
        <w:t xml:space="preserve">. </w:t>
      </w:r>
    </w:p>
    <w:p w14:paraId="02BE9196" w14:textId="4EE62B7E" w:rsidR="00986A29" w:rsidRDefault="00C4748E" w:rsidP="00022604">
      <w:pPr>
        <w:spacing w:after="240"/>
      </w:pPr>
      <w:r>
        <w:t>Th</w:t>
      </w:r>
      <w:r w:rsidR="00986A29">
        <w:t xml:space="preserve">ese changes </w:t>
      </w:r>
      <w:r>
        <w:t>better address safety concerns relating to these products, particular</w:t>
      </w:r>
      <w:r w:rsidR="00986A29">
        <w:t>ly</w:t>
      </w:r>
      <w:r>
        <w:t xml:space="preserve"> concerns raised by some patients that they were not aware of the details of medical devices that they were implanted with</w:t>
      </w:r>
      <w:r w:rsidR="00986A29">
        <w:t>,</w:t>
      </w:r>
      <w:r>
        <w:t xml:space="preserve"> and had not given informed consent for their surgery</w:t>
      </w:r>
      <w:r w:rsidR="00986A29">
        <w:t xml:space="preserve">. </w:t>
      </w:r>
      <w:r w:rsidR="001401CD">
        <w:t xml:space="preserve">They </w:t>
      </w:r>
      <w:r w:rsidR="00986A29">
        <w:t>also</w:t>
      </w:r>
      <w:r>
        <w:t xml:space="preserve"> </w:t>
      </w:r>
      <w:r w:rsidR="007F2A8E">
        <w:t>bring the regulatory framework for these products closer to th</w:t>
      </w:r>
      <w:r w:rsidR="00650890">
        <w:t>at of the approach of the EU</w:t>
      </w:r>
      <w:r w:rsidR="00986A29">
        <w:t xml:space="preserve">, which </w:t>
      </w:r>
      <w:r w:rsidR="007F2A8E">
        <w:lastRenderedPageBreak/>
        <w:t>introduced a revised regulatory framework for medic</w:t>
      </w:r>
      <w:r w:rsidR="006C0AEA">
        <w:t>al devices on 25 May 2017 including</w:t>
      </w:r>
      <w:r w:rsidR="007F2A8E">
        <w:t xml:space="preserve"> the up-classification of surgical meshes and the introduction of mandatory requirements to provide patient cards and information to patients fitted with any implantable device.</w:t>
      </w:r>
      <w:r w:rsidR="007D19B8">
        <w:t xml:space="preserve"> </w:t>
      </w:r>
    </w:p>
    <w:p w14:paraId="63E3DE43" w14:textId="14713BAF" w:rsidR="007F2A8E" w:rsidRDefault="003C2F6C" w:rsidP="00022604">
      <w:pPr>
        <w:spacing w:after="240"/>
      </w:pPr>
      <w:r>
        <w:t>S</w:t>
      </w:r>
      <w:r w:rsidR="007F2A8E">
        <w:t xml:space="preserve">ome differences between the Australian and European frameworks </w:t>
      </w:r>
      <w:r>
        <w:t xml:space="preserve">will be present </w:t>
      </w:r>
      <w:r w:rsidR="006C0AEA">
        <w:t xml:space="preserve">for a time </w:t>
      </w:r>
      <w:r w:rsidR="007F2A8E">
        <w:t xml:space="preserve">in respect of these devices, principally in terms of the </w:t>
      </w:r>
      <w:r w:rsidR="006C0AEA">
        <w:t>period</w:t>
      </w:r>
      <w:r w:rsidR="007F2A8E">
        <w:t xml:space="preserve"> for manufacturers and sponsors of existing meshes and other implants to transition to the new requirements.  In Europe, </w:t>
      </w:r>
      <w:r w:rsidR="006C0AEA">
        <w:t>the transition period will commence in May 2020 and conclude in 2024, while in Australia the Regulations commence on 1 December 2018 and the transition w</w:t>
      </w:r>
      <w:r w:rsidR="0017285B">
        <w:t xml:space="preserve">ill </w:t>
      </w:r>
      <w:r w:rsidR="006C0AEA">
        <w:t>conclude on 30 November 2021.</w:t>
      </w:r>
      <w:r w:rsidR="007F2A8E">
        <w:t xml:space="preserve"> </w:t>
      </w:r>
    </w:p>
    <w:p w14:paraId="5EC37AE1" w14:textId="53AFCF93" w:rsidR="002E568B" w:rsidRPr="003856A4" w:rsidRDefault="002E568B" w:rsidP="000E0F76">
      <w:pPr>
        <w:spacing w:after="240"/>
        <w:rPr>
          <w:szCs w:val="24"/>
        </w:rPr>
      </w:pPr>
      <w:r w:rsidRPr="003856A4">
        <w:rPr>
          <w:szCs w:val="24"/>
        </w:rPr>
        <w:t xml:space="preserve">Details of the </w:t>
      </w:r>
      <w:r w:rsidR="00DD7261">
        <w:rPr>
          <w:szCs w:val="24"/>
        </w:rPr>
        <w:t>R</w:t>
      </w:r>
      <w:r w:rsidRPr="003856A4">
        <w:rPr>
          <w:szCs w:val="24"/>
        </w:rPr>
        <w:t>egulation</w:t>
      </w:r>
      <w:r w:rsidR="008A0160">
        <w:rPr>
          <w:szCs w:val="24"/>
        </w:rPr>
        <w:t>s</w:t>
      </w:r>
      <w:r w:rsidRPr="003856A4">
        <w:rPr>
          <w:szCs w:val="24"/>
        </w:rPr>
        <w:t xml:space="preserve"> are set out in the </w:t>
      </w:r>
      <w:r w:rsidRPr="003856A4">
        <w:rPr>
          <w:szCs w:val="24"/>
          <w:u w:val="single"/>
        </w:rPr>
        <w:t>Attachment</w:t>
      </w:r>
      <w:r w:rsidRPr="003856A4">
        <w:rPr>
          <w:szCs w:val="24"/>
        </w:rPr>
        <w:t>.</w:t>
      </w:r>
    </w:p>
    <w:p w14:paraId="0C4DF749" w14:textId="1ABB28C6" w:rsidR="002E568B" w:rsidRPr="003856A4" w:rsidRDefault="00F54025" w:rsidP="003856A4">
      <w:pPr>
        <w:rPr>
          <w:szCs w:val="24"/>
        </w:rPr>
      </w:pPr>
      <w:r>
        <w:rPr>
          <w:szCs w:val="24"/>
        </w:rPr>
        <w:t>T</w:t>
      </w:r>
      <w:r w:rsidR="002E568B" w:rsidRPr="003856A4">
        <w:rPr>
          <w:szCs w:val="24"/>
        </w:rPr>
        <w:t xml:space="preserve">he Act </w:t>
      </w:r>
      <w:r w:rsidR="00EF1F76">
        <w:rPr>
          <w:szCs w:val="24"/>
        </w:rPr>
        <w:t>specif</w:t>
      </w:r>
      <w:r w:rsidR="003A3940">
        <w:rPr>
          <w:szCs w:val="24"/>
        </w:rPr>
        <w:t>ies no</w:t>
      </w:r>
      <w:r w:rsidR="00EF1F76">
        <w:rPr>
          <w:szCs w:val="24"/>
        </w:rPr>
        <w:t xml:space="preserve"> </w:t>
      </w:r>
      <w:r w:rsidR="002E568B" w:rsidRPr="003856A4">
        <w:rPr>
          <w:szCs w:val="24"/>
        </w:rPr>
        <w:t xml:space="preserve">conditions that need to be </w:t>
      </w:r>
      <w:r w:rsidR="003A3940">
        <w:rPr>
          <w:szCs w:val="24"/>
        </w:rPr>
        <w:t xml:space="preserve">satisfied </w:t>
      </w:r>
      <w:r w:rsidR="002E568B" w:rsidRPr="003856A4">
        <w:rPr>
          <w:szCs w:val="24"/>
        </w:rPr>
        <w:t>before the power</w:t>
      </w:r>
      <w:r>
        <w:rPr>
          <w:szCs w:val="24"/>
        </w:rPr>
        <w:t xml:space="preserve"> </w:t>
      </w:r>
      <w:r w:rsidR="002E568B" w:rsidRPr="003856A4">
        <w:rPr>
          <w:szCs w:val="24"/>
        </w:rPr>
        <w:t xml:space="preserve">to make </w:t>
      </w:r>
      <w:r w:rsidR="00BA167E">
        <w:rPr>
          <w:szCs w:val="24"/>
        </w:rPr>
        <w:t xml:space="preserve">the </w:t>
      </w:r>
      <w:r w:rsidR="00DD7261">
        <w:rPr>
          <w:szCs w:val="24"/>
        </w:rPr>
        <w:t>R</w:t>
      </w:r>
      <w:r w:rsidR="002E568B" w:rsidRPr="003856A4">
        <w:rPr>
          <w:szCs w:val="24"/>
        </w:rPr>
        <w:t>egulation</w:t>
      </w:r>
      <w:r w:rsidR="003A3940">
        <w:rPr>
          <w:szCs w:val="24"/>
        </w:rPr>
        <w:t>s</w:t>
      </w:r>
      <w:r w:rsidR="002E568B" w:rsidRPr="003856A4">
        <w:rPr>
          <w:szCs w:val="24"/>
        </w:rPr>
        <w:t xml:space="preserve"> may be exercised.</w:t>
      </w:r>
    </w:p>
    <w:p w14:paraId="2614746D" w14:textId="77777777" w:rsidR="002E568B" w:rsidRPr="003856A4" w:rsidRDefault="002E568B" w:rsidP="003856A4">
      <w:pPr>
        <w:rPr>
          <w:szCs w:val="24"/>
        </w:rPr>
      </w:pPr>
    </w:p>
    <w:p w14:paraId="79C34951" w14:textId="48488D98" w:rsidR="002E568B" w:rsidRPr="003856A4" w:rsidRDefault="002E568B" w:rsidP="003856A4">
      <w:pPr>
        <w:rPr>
          <w:szCs w:val="24"/>
        </w:rPr>
      </w:pPr>
      <w:r w:rsidRPr="003856A4">
        <w:rPr>
          <w:szCs w:val="24"/>
        </w:rPr>
        <w:t xml:space="preserve">The </w:t>
      </w:r>
      <w:r w:rsidR="00DD7261">
        <w:rPr>
          <w:szCs w:val="24"/>
        </w:rPr>
        <w:t>R</w:t>
      </w:r>
      <w:r w:rsidRPr="003856A4">
        <w:rPr>
          <w:szCs w:val="24"/>
        </w:rPr>
        <w:t>egulation</w:t>
      </w:r>
      <w:r w:rsidR="003926E7">
        <w:rPr>
          <w:szCs w:val="24"/>
        </w:rPr>
        <w:t>s</w:t>
      </w:r>
      <w:r w:rsidRPr="003856A4">
        <w:rPr>
          <w:szCs w:val="24"/>
        </w:rPr>
        <w:t xml:space="preserve"> </w:t>
      </w:r>
      <w:r w:rsidR="00BC6125">
        <w:rPr>
          <w:szCs w:val="24"/>
        </w:rPr>
        <w:t>are</w:t>
      </w:r>
      <w:r w:rsidRPr="003856A4">
        <w:rPr>
          <w:szCs w:val="24"/>
        </w:rPr>
        <w:t xml:space="preserve"> a legislative instrument for the purposes of the </w:t>
      </w:r>
      <w:r w:rsidR="008242E1" w:rsidRPr="00C403D4">
        <w:rPr>
          <w:i/>
          <w:szCs w:val="24"/>
        </w:rPr>
        <w:t>Legislation</w:t>
      </w:r>
      <w:r w:rsidR="008242E1">
        <w:rPr>
          <w:szCs w:val="24"/>
        </w:rPr>
        <w:t xml:space="preserve"> </w:t>
      </w:r>
      <w:r w:rsidRPr="003856A4">
        <w:rPr>
          <w:i/>
          <w:szCs w:val="24"/>
        </w:rPr>
        <w:t>Act 2003</w:t>
      </w:r>
      <w:r w:rsidRPr="003856A4">
        <w:rPr>
          <w:szCs w:val="24"/>
        </w:rPr>
        <w:t>.</w:t>
      </w:r>
    </w:p>
    <w:p w14:paraId="53E0B2D1" w14:textId="77777777" w:rsidR="002E568B" w:rsidRPr="003856A4" w:rsidRDefault="002E568B" w:rsidP="003856A4">
      <w:pPr>
        <w:rPr>
          <w:szCs w:val="24"/>
        </w:rPr>
      </w:pPr>
    </w:p>
    <w:p w14:paraId="1841F14A" w14:textId="7D02D6C4" w:rsidR="002E568B" w:rsidRPr="003856A4" w:rsidRDefault="002E568B" w:rsidP="00A3369D">
      <w:pPr>
        <w:spacing w:after="120"/>
        <w:rPr>
          <w:szCs w:val="24"/>
        </w:rPr>
      </w:pPr>
      <w:r w:rsidRPr="003856A4">
        <w:rPr>
          <w:szCs w:val="24"/>
        </w:rPr>
        <w:t xml:space="preserve">The </w:t>
      </w:r>
      <w:r w:rsidR="00DD7261">
        <w:rPr>
          <w:szCs w:val="24"/>
        </w:rPr>
        <w:t>R</w:t>
      </w:r>
      <w:r w:rsidRPr="003856A4">
        <w:rPr>
          <w:szCs w:val="24"/>
        </w:rPr>
        <w:t>egulation</w:t>
      </w:r>
      <w:r w:rsidR="003926E7">
        <w:rPr>
          <w:szCs w:val="24"/>
        </w:rPr>
        <w:t>s</w:t>
      </w:r>
      <w:r w:rsidRPr="003856A4">
        <w:rPr>
          <w:szCs w:val="24"/>
        </w:rPr>
        <w:t xml:space="preserve"> commence on </w:t>
      </w:r>
      <w:r w:rsidR="00DB30A2">
        <w:rPr>
          <w:szCs w:val="24"/>
        </w:rPr>
        <w:t xml:space="preserve">1 December </w:t>
      </w:r>
      <w:r w:rsidRPr="003856A4">
        <w:rPr>
          <w:szCs w:val="24"/>
        </w:rPr>
        <w:t>201</w:t>
      </w:r>
      <w:r w:rsidR="00991D23">
        <w:rPr>
          <w:szCs w:val="24"/>
        </w:rPr>
        <w:t>8</w:t>
      </w:r>
      <w:r w:rsidRPr="003856A4">
        <w:rPr>
          <w:szCs w:val="24"/>
        </w:rPr>
        <w:t>.</w:t>
      </w:r>
    </w:p>
    <w:p w14:paraId="54A7278E" w14:textId="77777777" w:rsidR="00BC6125" w:rsidRPr="008050FF" w:rsidRDefault="00BC6125" w:rsidP="00BC6125">
      <w:pPr>
        <w:spacing w:before="120"/>
        <w:rPr>
          <w:b/>
          <w:szCs w:val="24"/>
        </w:rPr>
      </w:pPr>
      <w:r w:rsidRPr="008050FF">
        <w:rPr>
          <w:b/>
          <w:szCs w:val="24"/>
        </w:rPr>
        <w:t>Consultation</w:t>
      </w:r>
    </w:p>
    <w:p w14:paraId="2BA544B5" w14:textId="77777777" w:rsidR="00BC6125" w:rsidRDefault="00BC6125" w:rsidP="00BC6125">
      <w:pPr>
        <w:spacing w:before="120"/>
        <w:rPr>
          <w:szCs w:val="24"/>
        </w:rPr>
      </w:pPr>
      <w:r>
        <w:rPr>
          <w:szCs w:val="24"/>
        </w:rPr>
        <w:t xml:space="preserve">In response to Recommendation 20 of the Review, public opinion was sought between July 2017 and September 2017 on options to harmonise Australia’s approach with the EU across a three year transition period. Key stakeholders were alerted to the consultation via the TGA’s website and by email. Twenty-two submissions were received, with broad acceptance for </w:t>
      </w:r>
      <w:r>
        <w:t>alignment with the EU. The main aspect where there was not agreement related to the speed of the implementation of these measures, with i</w:t>
      </w:r>
      <w:r>
        <w:rPr>
          <w:szCs w:val="24"/>
        </w:rPr>
        <w:t xml:space="preserve">ndustry support for the longer, EU, transition timeframe (2020-2024), and consumer groups’ concerned that a three year transition period may be too long. </w:t>
      </w:r>
    </w:p>
    <w:p w14:paraId="34D2545D" w14:textId="43F02AE4" w:rsidR="002E568B" w:rsidRPr="003856A4" w:rsidRDefault="00BC6125" w:rsidP="00A3369D">
      <w:pPr>
        <w:spacing w:before="120"/>
        <w:rPr>
          <w:szCs w:val="24"/>
        </w:rPr>
      </w:pPr>
      <w:r>
        <w:rPr>
          <w:szCs w:val="24"/>
        </w:rPr>
        <w:t>The Regulations attempt to balance both concerns, by requiring urogynaecological meshes to transition more quickly to the new requirements as these products have been associated with particular safety concerns (expressed during the recent Inquiry of the Senate Community Affairs Reference Committee into the ‘Number of women in Australia who have had transvaginal mesh implants and related matters’), while providing additional time  for industry to prepare  by commencing the Regulations in December 2018 and providing transitional arrangements.</w:t>
      </w:r>
    </w:p>
    <w:p w14:paraId="03FB3B45" w14:textId="77777777" w:rsidR="002E568B" w:rsidRPr="003856A4" w:rsidRDefault="002E568B" w:rsidP="003856A4">
      <w:pPr>
        <w:rPr>
          <w:szCs w:val="24"/>
        </w:rPr>
      </w:pPr>
    </w:p>
    <w:p w14:paraId="581D847B" w14:textId="77777777" w:rsidR="00BA167E" w:rsidRDefault="002E568B" w:rsidP="003856A4">
      <w:pPr>
        <w:ind w:left="5670" w:hanging="1134"/>
        <w:rPr>
          <w:i/>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BA167E" w:rsidRPr="00BA167E">
        <w:rPr>
          <w:i/>
          <w:szCs w:val="24"/>
        </w:rPr>
        <w:t>Therapeutic Goods Act 1989</w:t>
      </w:r>
    </w:p>
    <w:p w14:paraId="7F704848" w14:textId="77777777" w:rsidR="009749EE" w:rsidRDefault="009749EE" w:rsidP="003856A4">
      <w:pPr>
        <w:ind w:left="5670" w:hanging="1134"/>
        <w:rPr>
          <w:szCs w:val="24"/>
        </w:rPr>
      </w:pPr>
    </w:p>
    <w:p w14:paraId="1191FE0D" w14:textId="77777777" w:rsidR="009749EE" w:rsidRDefault="009749EE" w:rsidP="003856A4">
      <w:pPr>
        <w:ind w:left="5670" w:hanging="1134"/>
        <w:rPr>
          <w:szCs w:val="24"/>
        </w:rPr>
        <w:sectPr w:rsidR="009749EE" w:rsidSect="004176EA">
          <w:headerReference w:type="default" r:id="rId9"/>
          <w:footerReference w:type="default" r:id="rId10"/>
          <w:headerReference w:type="first" r:id="rId11"/>
          <w:footerReference w:type="first" r:id="rId12"/>
          <w:pgSz w:w="11906" w:h="16838" w:code="9"/>
          <w:pgMar w:top="1304" w:right="1440" w:bottom="1304" w:left="1440" w:header="709" w:footer="709" w:gutter="0"/>
          <w:cols w:space="708"/>
          <w:titlePg/>
          <w:docGrid w:linePitch="360"/>
        </w:sectPr>
      </w:pPr>
    </w:p>
    <w:p w14:paraId="55EB1362" w14:textId="77777777" w:rsidR="00241AAC" w:rsidRDefault="00241AAC">
      <w:pPr>
        <w:rPr>
          <w:b/>
          <w:szCs w:val="24"/>
          <w:u w:val="single"/>
        </w:rPr>
      </w:pPr>
      <w:r>
        <w:rPr>
          <w:b/>
          <w:szCs w:val="24"/>
          <w:u w:val="single"/>
        </w:rPr>
        <w:lastRenderedPageBreak/>
        <w:br w:type="page"/>
      </w:r>
    </w:p>
    <w:p w14:paraId="28CBF0FF" w14:textId="457FE117" w:rsidR="002E568B" w:rsidRPr="00AC42A1" w:rsidRDefault="002E568B" w:rsidP="00E93A0F">
      <w:pPr>
        <w:ind w:left="6237" w:firstLine="3"/>
        <w:jc w:val="right"/>
        <w:rPr>
          <w:b/>
          <w:szCs w:val="24"/>
          <w:u w:val="single"/>
        </w:rPr>
      </w:pPr>
      <w:r w:rsidRPr="00AC42A1">
        <w:rPr>
          <w:b/>
          <w:szCs w:val="24"/>
          <w:u w:val="single"/>
        </w:rPr>
        <w:lastRenderedPageBreak/>
        <w:t>ATTACHMENT</w:t>
      </w:r>
    </w:p>
    <w:p w14:paraId="32E929EC" w14:textId="77777777" w:rsidR="002E568B" w:rsidRPr="00684780" w:rsidRDefault="002E568B" w:rsidP="003856A4">
      <w:pPr>
        <w:ind w:firstLine="3"/>
        <w:rPr>
          <w:b/>
          <w:szCs w:val="24"/>
        </w:rPr>
      </w:pPr>
    </w:p>
    <w:p w14:paraId="35FA20EC" w14:textId="713DCD1C" w:rsidR="002E568B" w:rsidRPr="00613321" w:rsidRDefault="002E568B" w:rsidP="003856A4">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sidR="008E7C92">
        <w:rPr>
          <w:b/>
          <w:i/>
          <w:szCs w:val="24"/>
          <w:u w:val="single"/>
        </w:rPr>
        <w:t xml:space="preserve">(Medical Devices) </w:t>
      </w:r>
      <w:r w:rsidR="00FB6199">
        <w:rPr>
          <w:b/>
          <w:i/>
          <w:szCs w:val="24"/>
          <w:u w:val="single"/>
        </w:rPr>
        <w:t xml:space="preserve">Amendment </w:t>
      </w:r>
      <w:r w:rsidRPr="00613321">
        <w:rPr>
          <w:b/>
          <w:i/>
          <w:szCs w:val="24"/>
          <w:u w:val="single"/>
        </w:rPr>
        <w:t>(</w:t>
      </w:r>
      <w:r w:rsidR="008E7C92">
        <w:rPr>
          <w:b/>
          <w:i/>
          <w:szCs w:val="24"/>
          <w:u w:val="single"/>
        </w:rPr>
        <w:t>Implantable Medical Devices</w:t>
      </w:r>
      <w:r w:rsidR="00BA167E" w:rsidRPr="00613321">
        <w:rPr>
          <w:b/>
          <w:i/>
          <w:szCs w:val="24"/>
          <w:u w:val="single"/>
        </w:rPr>
        <w:t>) Regulation</w:t>
      </w:r>
      <w:r w:rsidR="00D136DF">
        <w:rPr>
          <w:b/>
          <w:i/>
          <w:szCs w:val="24"/>
          <w:u w:val="single"/>
        </w:rPr>
        <w:t>s</w:t>
      </w:r>
      <w:r w:rsidR="00BA167E" w:rsidRPr="00613321">
        <w:rPr>
          <w:b/>
          <w:i/>
          <w:szCs w:val="24"/>
          <w:u w:val="single"/>
        </w:rPr>
        <w:t xml:space="preserve"> </w:t>
      </w:r>
      <w:r w:rsidR="003D7DA5">
        <w:rPr>
          <w:b/>
          <w:i/>
          <w:szCs w:val="24"/>
          <w:u w:val="single"/>
        </w:rPr>
        <w:t>201</w:t>
      </w:r>
      <w:r w:rsidR="00D136DF">
        <w:rPr>
          <w:b/>
          <w:i/>
          <w:szCs w:val="24"/>
          <w:u w:val="single"/>
        </w:rPr>
        <w:t>7</w:t>
      </w:r>
      <w:r w:rsidR="00BA167E" w:rsidRPr="00613321">
        <w:rPr>
          <w:b/>
          <w:i/>
          <w:szCs w:val="24"/>
          <w:u w:val="single"/>
        </w:rPr>
        <w:t xml:space="preserve"> </w:t>
      </w:r>
    </w:p>
    <w:p w14:paraId="57CDBD92" w14:textId="77777777" w:rsidR="002E568B" w:rsidRPr="00684780" w:rsidRDefault="002E568B" w:rsidP="003856A4">
      <w:pPr>
        <w:ind w:firstLine="3"/>
        <w:rPr>
          <w:b/>
          <w:szCs w:val="24"/>
          <w:highlight w:val="yellow"/>
        </w:rPr>
      </w:pPr>
    </w:p>
    <w:p w14:paraId="0AEE80F4" w14:textId="77777777" w:rsidR="002E568B" w:rsidRPr="00684780" w:rsidRDefault="002E568B" w:rsidP="003856A4">
      <w:pPr>
        <w:ind w:firstLine="3"/>
        <w:rPr>
          <w:szCs w:val="24"/>
        </w:rPr>
      </w:pPr>
      <w:r>
        <w:rPr>
          <w:szCs w:val="24"/>
          <w:u w:val="single"/>
        </w:rPr>
        <w:t>Sec</w:t>
      </w:r>
      <w:r w:rsidRPr="00684780">
        <w:rPr>
          <w:szCs w:val="24"/>
          <w:u w:val="single"/>
        </w:rPr>
        <w:t>tion 1 – Name</w:t>
      </w:r>
    </w:p>
    <w:p w14:paraId="7AD5CE3A" w14:textId="6AF2AD78" w:rsidR="002E568B" w:rsidRPr="00684780" w:rsidRDefault="002E568B" w:rsidP="003856A4">
      <w:pPr>
        <w:ind w:firstLine="3"/>
        <w:rPr>
          <w:szCs w:val="24"/>
        </w:rPr>
      </w:pPr>
      <w:r w:rsidRPr="00684780">
        <w:rPr>
          <w:szCs w:val="24"/>
        </w:rPr>
        <w:t xml:space="preserve">This </w:t>
      </w:r>
      <w:r w:rsidR="00BA167E">
        <w:rPr>
          <w:szCs w:val="24"/>
        </w:rPr>
        <w:t>section</w:t>
      </w:r>
      <w:r w:rsidRPr="00684780">
        <w:rPr>
          <w:szCs w:val="24"/>
        </w:rPr>
        <w:t xml:space="preserve"> provide</w:t>
      </w:r>
      <w:r w:rsidR="00BC6125">
        <w:rPr>
          <w:szCs w:val="24"/>
        </w:rPr>
        <w:t>s</w:t>
      </w:r>
      <w:r w:rsidRPr="00684780">
        <w:rPr>
          <w:szCs w:val="24"/>
        </w:rPr>
        <w:t xml:space="preserve"> for the </w:t>
      </w:r>
      <w:r w:rsidR="00DD7261">
        <w:rPr>
          <w:szCs w:val="24"/>
        </w:rPr>
        <w:t>R</w:t>
      </w:r>
      <w:r w:rsidRPr="00684780">
        <w:rPr>
          <w:szCs w:val="24"/>
        </w:rPr>
        <w:t>egulation</w:t>
      </w:r>
      <w:r w:rsidR="000E2383">
        <w:rPr>
          <w:szCs w:val="24"/>
        </w:rPr>
        <w:t>s</w:t>
      </w:r>
      <w:r w:rsidRPr="00684780">
        <w:rPr>
          <w:szCs w:val="24"/>
        </w:rPr>
        <w:t xml:space="preserve"> to be referred to as the </w:t>
      </w:r>
      <w:r w:rsidRPr="00684780">
        <w:rPr>
          <w:i/>
          <w:szCs w:val="24"/>
        </w:rPr>
        <w:t>Therapeutic Goods</w:t>
      </w:r>
      <w:r w:rsidR="00BA167E">
        <w:rPr>
          <w:i/>
          <w:szCs w:val="24"/>
        </w:rPr>
        <w:t xml:space="preserve"> </w:t>
      </w:r>
      <w:r w:rsidR="008E7C92">
        <w:rPr>
          <w:i/>
          <w:szCs w:val="24"/>
        </w:rPr>
        <w:t xml:space="preserve">(Medical Devices) </w:t>
      </w:r>
      <w:r w:rsidR="009D740E">
        <w:rPr>
          <w:i/>
          <w:szCs w:val="24"/>
        </w:rPr>
        <w:t xml:space="preserve">Amendment </w:t>
      </w:r>
      <w:r w:rsidRPr="00684780">
        <w:rPr>
          <w:i/>
          <w:szCs w:val="24"/>
        </w:rPr>
        <w:t>(</w:t>
      </w:r>
      <w:r w:rsidR="008E7C92">
        <w:rPr>
          <w:i/>
          <w:szCs w:val="24"/>
        </w:rPr>
        <w:t>Implantable Medical Devices)</w:t>
      </w:r>
      <w:r w:rsidRPr="00684780">
        <w:rPr>
          <w:i/>
          <w:szCs w:val="24"/>
        </w:rPr>
        <w:t xml:space="preserve"> Regulation</w:t>
      </w:r>
      <w:r w:rsidR="000E2383">
        <w:rPr>
          <w:i/>
          <w:szCs w:val="24"/>
        </w:rPr>
        <w:t>s</w:t>
      </w:r>
      <w:r w:rsidRPr="00684780">
        <w:rPr>
          <w:i/>
          <w:szCs w:val="24"/>
        </w:rPr>
        <w:t xml:space="preserve"> 201</w:t>
      </w:r>
      <w:r w:rsidR="000E2383">
        <w:rPr>
          <w:i/>
          <w:szCs w:val="24"/>
        </w:rPr>
        <w:t>7</w:t>
      </w:r>
      <w:r w:rsidRPr="00684780">
        <w:rPr>
          <w:i/>
          <w:szCs w:val="24"/>
        </w:rPr>
        <w:t>.</w:t>
      </w:r>
    </w:p>
    <w:p w14:paraId="7755931C" w14:textId="77777777" w:rsidR="002E568B" w:rsidRPr="00154185" w:rsidRDefault="002E568B" w:rsidP="003856A4">
      <w:pPr>
        <w:ind w:firstLine="3"/>
        <w:rPr>
          <w:szCs w:val="24"/>
        </w:rPr>
      </w:pPr>
    </w:p>
    <w:p w14:paraId="28F985BF" w14:textId="77777777"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14:paraId="078CAB82" w14:textId="7AF5CFFF" w:rsidR="002E568B" w:rsidRPr="00684780" w:rsidRDefault="002E568B" w:rsidP="003856A4">
      <w:pPr>
        <w:ind w:firstLine="3"/>
        <w:rPr>
          <w:szCs w:val="24"/>
        </w:rPr>
      </w:pPr>
      <w:r w:rsidRPr="00684780">
        <w:rPr>
          <w:szCs w:val="24"/>
        </w:rPr>
        <w:t xml:space="preserve">This </w:t>
      </w:r>
      <w:r>
        <w:rPr>
          <w:szCs w:val="24"/>
        </w:rPr>
        <w:t>sec</w:t>
      </w:r>
      <w:r w:rsidRPr="00684780">
        <w:rPr>
          <w:szCs w:val="24"/>
        </w:rPr>
        <w:t>tion provide</w:t>
      </w:r>
      <w:r w:rsidR="00BC6125">
        <w:rPr>
          <w:szCs w:val="24"/>
        </w:rPr>
        <w:t>s</w:t>
      </w:r>
      <w:r w:rsidRPr="00684780">
        <w:rPr>
          <w:szCs w:val="24"/>
        </w:rPr>
        <w:t xml:space="preserve"> for the </w:t>
      </w:r>
      <w:r w:rsidR="00DD7261">
        <w:rPr>
          <w:szCs w:val="24"/>
        </w:rPr>
        <w:t>R</w:t>
      </w:r>
      <w:r w:rsidRPr="00684780">
        <w:rPr>
          <w:szCs w:val="24"/>
        </w:rPr>
        <w:t>egulation</w:t>
      </w:r>
      <w:r w:rsidR="00897378">
        <w:rPr>
          <w:szCs w:val="24"/>
        </w:rPr>
        <w:t>s</w:t>
      </w:r>
      <w:r w:rsidRPr="00684780">
        <w:rPr>
          <w:szCs w:val="24"/>
        </w:rPr>
        <w:t xml:space="preserve"> to commence on </w:t>
      </w:r>
      <w:r w:rsidR="00C2509F">
        <w:rPr>
          <w:szCs w:val="24"/>
        </w:rPr>
        <w:t>1 December 2018</w:t>
      </w:r>
      <w:r w:rsidRPr="00684780">
        <w:rPr>
          <w:szCs w:val="24"/>
        </w:rPr>
        <w:t>.</w:t>
      </w:r>
    </w:p>
    <w:p w14:paraId="3A9C59C4" w14:textId="77777777" w:rsidR="002E568B" w:rsidRPr="00154185" w:rsidRDefault="002E568B" w:rsidP="003856A4">
      <w:pPr>
        <w:ind w:firstLine="3"/>
        <w:rPr>
          <w:szCs w:val="24"/>
        </w:rPr>
      </w:pPr>
    </w:p>
    <w:p w14:paraId="1B2C8F3E" w14:textId="77777777"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14:paraId="17800B9A" w14:textId="43397022" w:rsidR="00900C44" w:rsidRPr="00900C44" w:rsidRDefault="00C326E4" w:rsidP="003856A4">
      <w:pPr>
        <w:ind w:firstLine="3"/>
        <w:rPr>
          <w:szCs w:val="24"/>
        </w:rPr>
      </w:pPr>
      <w:r>
        <w:rPr>
          <w:szCs w:val="24"/>
        </w:rPr>
        <w:t>This section provide</w:t>
      </w:r>
      <w:r w:rsidR="00BC6125">
        <w:rPr>
          <w:szCs w:val="24"/>
        </w:rPr>
        <w:t>s</w:t>
      </w:r>
      <w:r>
        <w:rPr>
          <w:szCs w:val="24"/>
        </w:rPr>
        <w:t xml:space="preserve"> that the </w:t>
      </w:r>
      <w:r w:rsidR="00DD7261">
        <w:rPr>
          <w:szCs w:val="24"/>
        </w:rPr>
        <w:t>R</w:t>
      </w:r>
      <w:r>
        <w:rPr>
          <w:szCs w:val="24"/>
        </w:rPr>
        <w:t>egulation</w:t>
      </w:r>
      <w:r w:rsidR="00897378">
        <w:rPr>
          <w:szCs w:val="24"/>
        </w:rPr>
        <w:t>s</w:t>
      </w:r>
      <w:r>
        <w:rPr>
          <w:szCs w:val="24"/>
        </w:rPr>
        <w:t xml:space="preserve"> </w:t>
      </w:r>
      <w:r w:rsidR="00897378">
        <w:rPr>
          <w:szCs w:val="24"/>
        </w:rPr>
        <w:t>are</w:t>
      </w:r>
      <w:r>
        <w:rPr>
          <w:szCs w:val="24"/>
        </w:rPr>
        <w:t xml:space="preserve"> made</w:t>
      </w:r>
      <w:r w:rsidR="00574D01">
        <w:rPr>
          <w:szCs w:val="24"/>
        </w:rPr>
        <w:t xml:space="preserve"> under the </w:t>
      </w:r>
      <w:r w:rsidRPr="00C326E4">
        <w:rPr>
          <w:i/>
          <w:szCs w:val="24"/>
        </w:rPr>
        <w:t>Therapeutic Goods Act 1989</w:t>
      </w:r>
      <w:r w:rsidR="00A251B0">
        <w:rPr>
          <w:i/>
          <w:szCs w:val="24"/>
        </w:rPr>
        <w:t xml:space="preserve"> </w:t>
      </w:r>
      <w:r w:rsidR="00AF6297">
        <w:rPr>
          <w:szCs w:val="24"/>
        </w:rPr>
        <w:t xml:space="preserve">(the </w:t>
      </w:r>
      <w:r w:rsidR="0042269B" w:rsidRPr="0042269B">
        <w:rPr>
          <w:szCs w:val="24"/>
        </w:rPr>
        <w:t>Act)</w:t>
      </w:r>
      <w:r>
        <w:rPr>
          <w:szCs w:val="24"/>
        </w:rPr>
        <w:t>.</w:t>
      </w:r>
    </w:p>
    <w:p w14:paraId="2649D0C3" w14:textId="77777777" w:rsidR="00900C44" w:rsidRDefault="00900C44" w:rsidP="003856A4">
      <w:pPr>
        <w:ind w:firstLine="3"/>
        <w:rPr>
          <w:szCs w:val="24"/>
          <w:u w:val="single"/>
        </w:rPr>
      </w:pPr>
    </w:p>
    <w:p w14:paraId="78DA9D0E" w14:textId="77777777" w:rsidR="00922B98" w:rsidRDefault="00922B98" w:rsidP="003856A4">
      <w:pPr>
        <w:pStyle w:val="Heading1"/>
        <w:rPr>
          <w:b w:val="0"/>
          <w:szCs w:val="24"/>
          <w:u w:val="single"/>
        </w:rPr>
      </w:pPr>
      <w:r>
        <w:rPr>
          <w:b w:val="0"/>
          <w:szCs w:val="24"/>
          <w:u w:val="single"/>
        </w:rPr>
        <w:t>Section 4 – Schedule</w:t>
      </w:r>
      <w:r w:rsidR="00897378">
        <w:rPr>
          <w:b w:val="0"/>
          <w:szCs w:val="24"/>
          <w:u w:val="single"/>
        </w:rPr>
        <w:t>s</w:t>
      </w:r>
    </w:p>
    <w:p w14:paraId="75C82894" w14:textId="77777777" w:rsidR="00941170" w:rsidRDefault="0056578D" w:rsidP="003856A4">
      <w:pPr>
        <w:pStyle w:val="Heading1"/>
        <w:rPr>
          <w:b w:val="0"/>
          <w:szCs w:val="24"/>
        </w:rPr>
      </w:pPr>
      <w:r>
        <w:rPr>
          <w:b w:val="0"/>
          <w:szCs w:val="24"/>
        </w:rPr>
        <w:t xml:space="preserve">Each instrument that is specified in a </w:t>
      </w:r>
      <w:r w:rsidR="00897378">
        <w:rPr>
          <w:b w:val="0"/>
          <w:szCs w:val="24"/>
        </w:rPr>
        <w:t>S</w:t>
      </w:r>
      <w:r>
        <w:rPr>
          <w:b w:val="0"/>
          <w:szCs w:val="24"/>
        </w:rPr>
        <w:t>chedule to this instrument is amended or repeal</w:t>
      </w:r>
      <w:r w:rsidR="007D7FA8">
        <w:rPr>
          <w:b w:val="0"/>
          <w:szCs w:val="24"/>
        </w:rPr>
        <w:t>ed</w:t>
      </w:r>
      <w:r>
        <w:rPr>
          <w:b w:val="0"/>
          <w:szCs w:val="24"/>
        </w:rPr>
        <w:t xml:space="preserve"> as set out in the applicable items in the Schedule concerned, and any other item in a Schedule </w:t>
      </w:r>
      <w:r w:rsidR="002D3B4F">
        <w:rPr>
          <w:b w:val="0"/>
          <w:szCs w:val="24"/>
        </w:rPr>
        <w:t>to the Regulation</w:t>
      </w:r>
      <w:r w:rsidR="00897378">
        <w:rPr>
          <w:b w:val="0"/>
          <w:szCs w:val="24"/>
        </w:rPr>
        <w:t>s</w:t>
      </w:r>
      <w:r w:rsidR="002D3B4F">
        <w:rPr>
          <w:b w:val="0"/>
          <w:szCs w:val="24"/>
        </w:rPr>
        <w:t xml:space="preserve"> has effect according to its terms</w:t>
      </w:r>
      <w:r>
        <w:rPr>
          <w:b w:val="0"/>
          <w:szCs w:val="24"/>
        </w:rPr>
        <w:t>.</w:t>
      </w:r>
    </w:p>
    <w:p w14:paraId="1AC9B7C5" w14:textId="77777777" w:rsidR="000B380F" w:rsidRDefault="000B380F" w:rsidP="000B380F"/>
    <w:p w14:paraId="479BB9BD" w14:textId="77777777" w:rsidR="000B380F" w:rsidRPr="00D30DEE" w:rsidRDefault="00D30DEE" w:rsidP="000B380F">
      <w:pPr>
        <w:rPr>
          <w:u w:val="single"/>
        </w:rPr>
      </w:pPr>
      <w:r w:rsidRPr="00D30DEE">
        <w:rPr>
          <w:u w:val="single"/>
        </w:rPr>
        <w:t>Schedule 1 –</w:t>
      </w:r>
      <w:r>
        <w:rPr>
          <w:u w:val="single"/>
        </w:rPr>
        <w:t xml:space="preserve"> Amendments</w:t>
      </w:r>
    </w:p>
    <w:p w14:paraId="3C3151D7" w14:textId="77777777" w:rsidR="00FE13A9" w:rsidRPr="00084325" w:rsidRDefault="00FE13A9" w:rsidP="00084325"/>
    <w:p w14:paraId="4B1D7833" w14:textId="77777777" w:rsidR="00B777FB" w:rsidRDefault="00B777FB" w:rsidP="00084325">
      <w:pPr>
        <w:rPr>
          <w:b/>
        </w:rPr>
      </w:pPr>
      <w:r w:rsidRPr="00B10E05">
        <w:rPr>
          <w:b/>
        </w:rPr>
        <w:t>Part</w:t>
      </w:r>
      <w:r>
        <w:rPr>
          <w:b/>
        </w:rPr>
        <w:t xml:space="preserve"> 1- Surgical </w:t>
      </w:r>
      <w:r w:rsidR="00B10E05">
        <w:rPr>
          <w:b/>
        </w:rPr>
        <w:t>mesh</w:t>
      </w:r>
    </w:p>
    <w:p w14:paraId="4499273A" w14:textId="77777777" w:rsidR="00B10E05" w:rsidRPr="00B10E05" w:rsidRDefault="00B10E05" w:rsidP="00084325">
      <w:pPr>
        <w:rPr>
          <w:b/>
        </w:rPr>
      </w:pPr>
    </w:p>
    <w:p w14:paraId="4282A8B9" w14:textId="77777777" w:rsidR="00AD72DB" w:rsidRDefault="00AD72DB" w:rsidP="00084325">
      <w:pPr>
        <w:rPr>
          <w:b/>
          <w:i/>
        </w:rPr>
      </w:pPr>
      <w:r w:rsidRPr="00AD72DB">
        <w:rPr>
          <w:b/>
          <w:i/>
        </w:rPr>
        <w:t xml:space="preserve">Therapeutic Goods </w:t>
      </w:r>
      <w:r w:rsidR="00BD45D5">
        <w:rPr>
          <w:b/>
          <w:i/>
        </w:rPr>
        <w:t>(Medical Devices) Regulations 2002</w:t>
      </w:r>
    </w:p>
    <w:p w14:paraId="298F9414" w14:textId="77777777" w:rsidR="008E7C92" w:rsidRDefault="008E7C92" w:rsidP="00084325">
      <w:pPr>
        <w:rPr>
          <w:b/>
          <w:i/>
        </w:rPr>
      </w:pPr>
    </w:p>
    <w:p w14:paraId="04309910" w14:textId="77777777" w:rsidR="00B10E05" w:rsidRDefault="00B10E05" w:rsidP="00B10E05">
      <w:pPr>
        <w:rPr>
          <w:b/>
        </w:rPr>
      </w:pPr>
      <w:r w:rsidRPr="008925BE">
        <w:rPr>
          <w:b/>
        </w:rPr>
        <w:t>Item 1–</w:t>
      </w:r>
      <w:r>
        <w:rPr>
          <w:b/>
        </w:rPr>
        <w:t xml:space="preserve"> Subclause 3.4(4A) of Schedule 2</w:t>
      </w:r>
    </w:p>
    <w:p w14:paraId="576CAD77" w14:textId="77777777" w:rsidR="001B5263" w:rsidRPr="00B10E05" w:rsidRDefault="000375A8" w:rsidP="00084325">
      <w:r>
        <w:t>Section 41DB of the Act enables regulations to be made specifying classifications for medical devices, and related matters. Under subregulation 3.2(1) of the MD Regulations, a medical device other than an in vitro diagnostic medical device (IVD) has the classification applying under the classification rules set out in Schedule 2 to the MD Regulations.</w:t>
      </w:r>
      <w:r w:rsidR="00572B86">
        <w:t xml:space="preserve"> </w:t>
      </w:r>
      <w:r w:rsidR="001B5263">
        <w:t xml:space="preserve">Subclause 3.4 of </w:t>
      </w:r>
      <w:r>
        <w:t xml:space="preserve">Schedule 2 to </w:t>
      </w:r>
      <w:r w:rsidR="001B5263">
        <w:t xml:space="preserve">the MD Regulations applies to surgically invasive medical devices intended for long-term use and to implantable medical devices.  Subject to subclauses </w:t>
      </w:r>
      <w:r>
        <w:t>3.4</w:t>
      </w:r>
      <w:r w:rsidR="001B5263">
        <w:t xml:space="preserve">(3), (4) and (4A), such devices are </w:t>
      </w:r>
      <w:r>
        <w:t xml:space="preserve">currently </w:t>
      </w:r>
      <w:r w:rsidR="001B5263">
        <w:t>classified as Class IIb.</w:t>
      </w:r>
    </w:p>
    <w:p w14:paraId="7F477FF9" w14:textId="77777777" w:rsidR="008E7C92" w:rsidRPr="000375A8" w:rsidRDefault="008E7C92" w:rsidP="00084325"/>
    <w:p w14:paraId="75057A2D" w14:textId="0D8FA3FE" w:rsidR="001B5263" w:rsidRDefault="000375A8" w:rsidP="001B5263">
      <w:r>
        <w:t>Item 1 repeal</w:t>
      </w:r>
      <w:r w:rsidR="00BC6125">
        <w:t>s</w:t>
      </w:r>
      <w:r>
        <w:t xml:space="preserve"> current</w:t>
      </w:r>
      <w:r w:rsidR="001B5263">
        <w:t xml:space="preserve"> subclause 3.4(4A) of Schedule 2 and substi</w:t>
      </w:r>
      <w:r w:rsidR="00F277E9">
        <w:t xml:space="preserve">tute a new subclause 3.4(4A), with the effect of reclassifying </w:t>
      </w:r>
      <w:r w:rsidR="001B5263">
        <w:t>surgical mesh</w:t>
      </w:r>
      <w:r w:rsidR="00F277E9">
        <w:t>es from Class IIb to</w:t>
      </w:r>
      <w:r w:rsidR="001B5263">
        <w:t xml:space="preserve"> Class III</w:t>
      </w:r>
      <w:r w:rsidR="00F277E9">
        <w:t xml:space="preserve"> devices from 1 December 2018 (noting that item 5 below sets out transitional arrangements for kinds of devices that are included in the </w:t>
      </w:r>
      <w:r w:rsidR="00373454">
        <w:t xml:space="preserve">Australian </w:t>
      </w:r>
      <w:r w:rsidR="00F277E9">
        <w:t>Register</w:t>
      </w:r>
      <w:r w:rsidR="00373454">
        <w:t xml:space="preserve"> of Therapeutic Goods (the Register)</w:t>
      </w:r>
      <w:r w:rsidR="00F277E9">
        <w:t xml:space="preserve"> because of an application for marketing approval made before that date).</w:t>
      </w:r>
      <w:r w:rsidR="001B5263">
        <w:t xml:space="preserve"> </w:t>
      </w:r>
    </w:p>
    <w:p w14:paraId="6E2D00F6" w14:textId="77777777" w:rsidR="00022604" w:rsidRDefault="00022604" w:rsidP="001B5263"/>
    <w:p w14:paraId="4F8ADDDE" w14:textId="77777777" w:rsidR="008E2ABC" w:rsidRDefault="008E2ABC" w:rsidP="001B5263">
      <w:r>
        <w:t>Surgical mesh was first developed for the repair of abdominal hernia</w:t>
      </w:r>
      <w:r w:rsidR="0045553E">
        <w:t>s</w:t>
      </w:r>
      <w:r>
        <w:t xml:space="preserve"> (a weakening in the abdominal wall). Gynaecologists later used surgical mesh devices to treat other conditions in an effort to reduce failure rates associated with traditional surgical approaches. As these procedures became more common, the TGA received increased reports of complications from mesh surgery. </w:t>
      </w:r>
      <w:r w:rsidR="00906F04">
        <w:t>TGA has closely monitored the available clinical information relating to these products, and has identified a need to up-classify surgical mesh medical devices from the current Class IIb (medium risk) classification, to the Class III (high risk) classification. In addition, o</w:t>
      </w:r>
      <w:r>
        <w:t>n 15 February 2017, the Senate Community Affairs Reference Committee</w:t>
      </w:r>
      <w:r w:rsidR="0045553E">
        <w:t xml:space="preserve"> </w:t>
      </w:r>
      <w:r w:rsidR="0045553E">
        <w:lastRenderedPageBreak/>
        <w:t xml:space="preserve">commenced an Inquiry into the number of women in Australia who have had transvaginal mesh implants, and related matters, which </w:t>
      </w:r>
      <w:r>
        <w:t xml:space="preserve">is </w:t>
      </w:r>
      <w:r w:rsidR="0045553E">
        <w:t xml:space="preserve">expected </w:t>
      </w:r>
      <w:r>
        <w:t>to report on 30 November 2017.</w:t>
      </w:r>
    </w:p>
    <w:p w14:paraId="1D6E7B45" w14:textId="77777777" w:rsidR="008E2ABC" w:rsidRDefault="008E2ABC" w:rsidP="001B5263"/>
    <w:p w14:paraId="327BD5F1" w14:textId="0C08B2BE" w:rsidR="007A04A9" w:rsidRDefault="00906F04" w:rsidP="001B5263">
      <w:r>
        <w:t xml:space="preserve">The reclassification of surgical mesh is intended to better align the regulation of such products with Europe, </w:t>
      </w:r>
      <w:r w:rsidR="007041BC">
        <w:t xml:space="preserve">where these products have also been up-classified, </w:t>
      </w:r>
      <w:r>
        <w:t>and to increase pre-market scrutiny for all surgical meshes to ensure that surgical meshes used for urogynaecological purposes, and those used for other purposes such as hernia repairs, are fit for purpose and meet requirements that are consistent with European union regulations.</w:t>
      </w:r>
      <w:r w:rsidR="00572B86">
        <w:t xml:space="preserve"> </w:t>
      </w:r>
      <w:r w:rsidR="008E2ABC">
        <w:t>The up-classif</w:t>
      </w:r>
      <w:r w:rsidR="00BC6125">
        <w:t>ication of</w:t>
      </w:r>
      <w:r w:rsidR="008E2ABC">
        <w:t xml:space="preserve"> mesh is not restricted to ur</w:t>
      </w:r>
      <w:r w:rsidR="00572B86">
        <w:t xml:space="preserve">ogynaecological meshes, but </w:t>
      </w:r>
      <w:r w:rsidR="008E2ABC">
        <w:t>cover</w:t>
      </w:r>
      <w:r w:rsidR="00BC6125">
        <w:t>s</w:t>
      </w:r>
      <w:r w:rsidR="008E2ABC">
        <w:t xml:space="preserve"> all surgical meshes</w:t>
      </w:r>
      <w:r w:rsidR="00FD3C98">
        <w:t xml:space="preserve"> (including permanent absorbable or non-absorbable synthetic mesh, biological and composite mesh- examples include abdominal hernia surgical mesh, and stress urinary incontinence surgical mesh)</w:t>
      </w:r>
      <w:r w:rsidR="008E2ABC">
        <w:t xml:space="preserve">. </w:t>
      </w:r>
    </w:p>
    <w:p w14:paraId="53CB4A27" w14:textId="77777777" w:rsidR="008E7C92" w:rsidRPr="00572B86" w:rsidRDefault="008E7C92" w:rsidP="00084325"/>
    <w:p w14:paraId="38E89E93" w14:textId="77777777" w:rsidR="00153D03" w:rsidRDefault="00153D03" w:rsidP="00153D03">
      <w:pPr>
        <w:rPr>
          <w:b/>
        </w:rPr>
      </w:pPr>
      <w:r w:rsidRPr="00B10E05">
        <w:rPr>
          <w:b/>
        </w:rPr>
        <w:t>Part</w:t>
      </w:r>
      <w:r>
        <w:rPr>
          <w:b/>
        </w:rPr>
        <w:t xml:space="preserve"> 2- Patient information</w:t>
      </w:r>
    </w:p>
    <w:p w14:paraId="4F18302A" w14:textId="77777777" w:rsidR="00153D03" w:rsidRPr="00B10E05" w:rsidRDefault="00153D03" w:rsidP="00153D03">
      <w:pPr>
        <w:rPr>
          <w:b/>
        </w:rPr>
      </w:pPr>
    </w:p>
    <w:p w14:paraId="6DFC8F06" w14:textId="77777777" w:rsidR="00153D03" w:rsidRDefault="00153D03" w:rsidP="00153D03">
      <w:pPr>
        <w:rPr>
          <w:b/>
          <w:i/>
        </w:rPr>
      </w:pPr>
      <w:r w:rsidRPr="00AD72DB">
        <w:rPr>
          <w:b/>
          <w:i/>
        </w:rPr>
        <w:t xml:space="preserve">Therapeutic Goods </w:t>
      </w:r>
      <w:r>
        <w:rPr>
          <w:b/>
          <w:i/>
        </w:rPr>
        <w:t>(Medical Devices) Regulations 2002</w:t>
      </w:r>
    </w:p>
    <w:p w14:paraId="0D07DC3C" w14:textId="77777777" w:rsidR="008E7C92" w:rsidRDefault="008E7C92" w:rsidP="00084325">
      <w:pPr>
        <w:rPr>
          <w:b/>
          <w:i/>
        </w:rPr>
      </w:pPr>
    </w:p>
    <w:p w14:paraId="01989170" w14:textId="77777777" w:rsidR="00545922" w:rsidRDefault="00144798" w:rsidP="00084325">
      <w:pPr>
        <w:rPr>
          <w:b/>
        </w:rPr>
      </w:pPr>
      <w:r>
        <w:rPr>
          <w:b/>
        </w:rPr>
        <w:t xml:space="preserve">Item </w:t>
      </w:r>
      <w:r w:rsidR="00AD6698">
        <w:rPr>
          <w:b/>
        </w:rPr>
        <w:t xml:space="preserve">2 </w:t>
      </w:r>
      <w:r>
        <w:rPr>
          <w:b/>
        </w:rPr>
        <w:t xml:space="preserve">- </w:t>
      </w:r>
      <w:r w:rsidR="00545922">
        <w:rPr>
          <w:b/>
        </w:rPr>
        <w:t>A</w:t>
      </w:r>
      <w:r w:rsidR="004B2519">
        <w:rPr>
          <w:b/>
        </w:rPr>
        <w:t>fter clause 13.4 of Schedule 1</w:t>
      </w:r>
      <w:r w:rsidR="00AD6698">
        <w:rPr>
          <w:b/>
        </w:rPr>
        <w:t xml:space="preserve"> </w:t>
      </w:r>
    </w:p>
    <w:p w14:paraId="55102C89" w14:textId="40F7A864" w:rsidR="00195749" w:rsidRDefault="0073096B" w:rsidP="005821ED">
      <w:r w:rsidRPr="0073096B">
        <w:t xml:space="preserve">Item </w:t>
      </w:r>
      <w:r w:rsidR="00827785">
        <w:t>2</w:t>
      </w:r>
      <w:r w:rsidRPr="0073096B">
        <w:t xml:space="preserve"> </w:t>
      </w:r>
      <w:r w:rsidR="00195749">
        <w:t>introduce</w:t>
      </w:r>
      <w:r w:rsidR="00BC6125">
        <w:t>s</w:t>
      </w:r>
      <w:r w:rsidR="00195749">
        <w:t xml:space="preserve"> a new </w:t>
      </w:r>
      <w:r w:rsidR="00194CCA">
        <w:t xml:space="preserve">clause </w:t>
      </w:r>
      <w:r w:rsidR="00195749">
        <w:t>13A</w:t>
      </w:r>
      <w:r w:rsidR="00897771">
        <w:t xml:space="preserve"> </w:t>
      </w:r>
      <w:r w:rsidR="00195749">
        <w:t>- Patient implant cards a</w:t>
      </w:r>
      <w:r w:rsidR="00897771">
        <w:t xml:space="preserve">nd patient information leaflets – to the essential principles in Schedule 1 to the MD Regulations. </w:t>
      </w:r>
      <w:r w:rsidR="00195749">
        <w:t xml:space="preserve">Within new clause 13A, there </w:t>
      </w:r>
      <w:r w:rsidR="00BC6125">
        <w:t>are</w:t>
      </w:r>
      <w:r w:rsidR="00195749">
        <w:t xml:space="preserve"> new clauses 13A.1 to 13A.</w:t>
      </w:r>
      <w:r w:rsidR="00144798">
        <w:t>4</w:t>
      </w:r>
      <w:r w:rsidR="00195749">
        <w:t>.</w:t>
      </w:r>
    </w:p>
    <w:p w14:paraId="68895C1C" w14:textId="77777777" w:rsidR="00195749" w:rsidRDefault="00195749" w:rsidP="005821ED"/>
    <w:p w14:paraId="789F8964" w14:textId="77777777" w:rsidR="00827785" w:rsidRPr="00827785" w:rsidRDefault="00827785" w:rsidP="005821ED">
      <w:pPr>
        <w:rPr>
          <w:b/>
        </w:rPr>
      </w:pPr>
      <w:r w:rsidRPr="00827785">
        <w:rPr>
          <w:b/>
        </w:rPr>
        <w:t>Scope of patient implant card and patient information leaflet requirements – 13A.1</w:t>
      </w:r>
    </w:p>
    <w:p w14:paraId="1B66BEC3" w14:textId="4469AC15" w:rsidR="00194CCA" w:rsidRDefault="00195749" w:rsidP="005821ED">
      <w:r>
        <w:t>New clause 13A.1 provide</w:t>
      </w:r>
      <w:r w:rsidR="00BC6125">
        <w:t>s</w:t>
      </w:r>
      <w:r>
        <w:t xml:space="preserve"> for the scope of </w:t>
      </w:r>
      <w:r w:rsidR="00C33F0D">
        <w:t xml:space="preserve">the </w:t>
      </w:r>
      <w:r w:rsidR="00194CCA">
        <w:t xml:space="preserve">application of </w:t>
      </w:r>
      <w:r w:rsidR="00C33F0D">
        <w:t xml:space="preserve">new </w:t>
      </w:r>
      <w:r>
        <w:t xml:space="preserve">clauses </w:t>
      </w:r>
      <w:r w:rsidR="00194CCA">
        <w:t>13A.2 to 13A.</w:t>
      </w:r>
      <w:r w:rsidR="00144798">
        <w:t>4</w:t>
      </w:r>
      <w:r w:rsidR="00EE410F">
        <w:t xml:space="preserve">, </w:t>
      </w:r>
      <w:r w:rsidR="00194CCA">
        <w:t>namely that they apply to a medical device that is:</w:t>
      </w:r>
    </w:p>
    <w:p w14:paraId="4FB0F503" w14:textId="77777777" w:rsidR="00194CCA" w:rsidRDefault="00194CCA" w:rsidP="00194CCA">
      <w:pPr>
        <w:pStyle w:val="ListParagraph"/>
        <w:numPr>
          <w:ilvl w:val="0"/>
          <w:numId w:val="8"/>
        </w:numPr>
      </w:pPr>
      <w:r>
        <w:t>an implantable medical device or an active implantable medical device; and</w:t>
      </w:r>
    </w:p>
    <w:p w14:paraId="52B45A71" w14:textId="77777777" w:rsidR="00194CCA" w:rsidRDefault="00194CCA" w:rsidP="006C0DBC">
      <w:pPr>
        <w:pStyle w:val="ListParagraph"/>
        <w:numPr>
          <w:ilvl w:val="0"/>
          <w:numId w:val="8"/>
        </w:numPr>
      </w:pPr>
      <w:r>
        <w:t>no</w:t>
      </w:r>
      <w:r w:rsidR="006C0DBC">
        <w:t xml:space="preserve">t a </w:t>
      </w:r>
      <w:r>
        <w:t>suture, staple, dental filling, dental brace</w:t>
      </w:r>
      <w:r w:rsidR="006C0DBC">
        <w:t xml:space="preserve">, </w:t>
      </w:r>
      <w:r>
        <w:t>tooth crown</w:t>
      </w:r>
      <w:r w:rsidR="006C0DBC">
        <w:t>, screw, wedge, plate,</w:t>
      </w:r>
    </w:p>
    <w:p w14:paraId="6BFE7F88" w14:textId="77777777" w:rsidR="00195749" w:rsidRDefault="00194CCA" w:rsidP="002A34A9">
      <w:pPr>
        <w:ind w:firstLine="720"/>
      </w:pPr>
      <w:r>
        <w:t xml:space="preserve">wire, pin, </w:t>
      </w:r>
      <w:r w:rsidR="006C0DBC">
        <w:t xml:space="preserve">clip </w:t>
      </w:r>
      <w:r>
        <w:t>or connector</w:t>
      </w:r>
      <w:r w:rsidR="006C0DBC">
        <w:t>.</w:t>
      </w:r>
      <w:r w:rsidR="00BB5A4D">
        <w:t xml:space="preserve">  </w:t>
      </w:r>
      <w:r>
        <w:t xml:space="preserve"> </w:t>
      </w:r>
    </w:p>
    <w:p w14:paraId="1D6F867C" w14:textId="77777777" w:rsidR="00195749" w:rsidRDefault="00195749" w:rsidP="005821ED"/>
    <w:p w14:paraId="5A87031C" w14:textId="77777777" w:rsidR="00EE410F" w:rsidRPr="00C33F0D" w:rsidRDefault="00EE410F" w:rsidP="00EE410F">
      <w:pPr>
        <w:rPr>
          <w:b/>
        </w:rPr>
      </w:pPr>
      <w:r w:rsidRPr="00C33F0D">
        <w:rPr>
          <w:b/>
        </w:rPr>
        <w:t>Patient implant cards</w:t>
      </w:r>
      <w:r>
        <w:rPr>
          <w:b/>
        </w:rPr>
        <w:t xml:space="preserve"> – 13A.2 and </w:t>
      </w:r>
      <w:r w:rsidR="0003743D">
        <w:rPr>
          <w:b/>
        </w:rPr>
        <w:t>13A.4</w:t>
      </w:r>
    </w:p>
    <w:p w14:paraId="088F2EA1" w14:textId="24FB7720" w:rsidR="00BB7F42" w:rsidRDefault="00BB7F42" w:rsidP="005821ED">
      <w:r>
        <w:t xml:space="preserve">New </w:t>
      </w:r>
      <w:r w:rsidR="0003743D">
        <w:t>sub</w:t>
      </w:r>
      <w:r>
        <w:t>clause 13A.2</w:t>
      </w:r>
      <w:r w:rsidR="0003743D">
        <w:t>(1)</w:t>
      </w:r>
      <w:r>
        <w:t xml:space="preserve"> require</w:t>
      </w:r>
      <w:r w:rsidR="00BC6125">
        <w:t>s</w:t>
      </w:r>
      <w:r>
        <w:t xml:space="preserve"> that, for a medical device covered by new clause 13A.1, a patient implant card that complies with </w:t>
      </w:r>
      <w:r w:rsidR="00C33F0D">
        <w:t>new subclause 13A.2(2)</w:t>
      </w:r>
      <w:r w:rsidR="0003743D">
        <w:t>,</w:t>
      </w:r>
      <w:r w:rsidR="00C33F0D">
        <w:t xml:space="preserve"> and new clause 13A.4</w:t>
      </w:r>
      <w:r w:rsidR="0003743D">
        <w:t>,</w:t>
      </w:r>
      <w:r>
        <w:t xml:space="preserve"> must be provided with the device.</w:t>
      </w:r>
    </w:p>
    <w:p w14:paraId="77FC87B7" w14:textId="77777777" w:rsidR="00C33F0D" w:rsidRDefault="00C33F0D" w:rsidP="005821ED"/>
    <w:p w14:paraId="2DEF5E49" w14:textId="5E15C3C4" w:rsidR="00BB7F42" w:rsidRDefault="00C33F0D" w:rsidP="005821ED">
      <w:r>
        <w:t xml:space="preserve">Under </w:t>
      </w:r>
      <w:r w:rsidR="003D2BCA">
        <w:t xml:space="preserve">new subclause 13A.2(2), </w:t>
      </w:r>
      <w:r>
        <w:t xml:space="preserve">the patient card </w:t>
      </w:r>
      <w:r w:rsidR="003D2BCA">
        <w:t>must include</w:t>
      </w:r>
      <w:r>
        <w:t xml:space="preserve"> the name and model of the device, either the batch code, lot number or serial number of the device, the device’s unique device identifier (if any) (item </w:t>
      </w:r>
      <w:r w:rsidR="00827785">
        <w:t>3</w:t>
      </w:r>
      <w:r>
        <w:t xml:space="preserve"> below introduce a definition for this term) and the manufacturer’s name, address and website.</w:t>
      </w:r>
      <w:r w:rsidR="003D2BCA">
        <w:t xml:space="preserve"> </w:t>
      </w:r>
      <w:r w:rsidR="007D19B8">
        <w:t xml:space="preserve">Under new clause 13A.4, </w:t>
      </w:r>
      <w:r w:rsidR="003D2BCA">
        <w:t>this</w:t>
      </w:r>
      <w:r w:rsidR="007D19B8">
        <w:t xml:space="preserve"> information must be in English (and may also be in any other language) and any num</w:t>
      </w:r>
      <w:r w:rsidR="00EE410F">
        <w:t>ber, letter or symbol must be legible and at least one millimetre high.</w:t>
      </w:r>
    </w:p>
    <w:p w14:paraId="5300D216" w14:textId="77777777" w:rsidR="0003743D" w:rsidRDefault="0003743D" w:rsidP="005821ED"/>
    <w:p w14:paraId="61887F57" w14:textId="77777777" w:rsidR="0003743D" w:rsidRDefault="0003743D" w:rsidP="005821ED">
      <w:r>
        <w:t>The introduction of patient implant cards is principally designed to ensure that patients are aware of the details of the device that they have been implanted with and that health practitioners can also identify particular devices, and to better enable the traceability of the device and patient in order to more quickly and effectively alert patients and health practitioners to safety issues such as precautions or recalls.</w:t>
      </w:r>
    </w:p>
    <w:p w14:paraId="4C8A1548" w14:textId="77777777" w:rsidR="00195749" w:rsidRDefault="00195749" w:rsidP="005821ED"/>
    <w:p w14:paraId="685F3B7A" w14:textId="77777777" w:rsidR="00C33F0D" w:rsidRPr="00EE410F" w:rsidRDefault="00EE410F" w:rsidP="005821ED">
      <w:pPr>
        <w:rPr>
          <w:b/>
        </w:rPr>
      </w:pPr>
      <w:r w:rsidRPr="00EE410F">
        <w:rPr>
          <w:b/>
        </w:rPr>
        <w:t>Patient information leaflets</w:t>
      </w:r>
      <w:r w:rsidR="00827785">
        <w:rPr>
          <w:b/>
        </w:rPr>
        <w:t xml:space="preserve"> – 13A.3</w:t>
      </w:r>
    </w:p>
    <w:p w14:paraId="2879ACBC" w14:textId="04041870" w:rsidR="00195749" w:rsidRDefault="00BB5A4D" w:rsidP="005821ED">
      <w:r>
        <w:t xml:space="preserve">New </w:t>
      </w:r>
      <w:r w:rsidR="00314387">
        <w:t>sub</w:t>
      </w:r>
      <w:r>
        <w:t xml:space="preserve">clause </w:t>
      </w:r>
      <w:r w:rsidR="0015504D">
        <w:t>13A.3</w:t>
      </w:r>
      <w:r w:rsidR="00314387">
        <w:t>(1)</w:t>
      </w:r>
      <w:r w:rsidR="0015504D">
        <w:t xml:space="preserve"> </w:t>
      </w:r>
      <w:r w:rsidR="005F5A5D">
        <w:t>require</w:t>
      </w:r>
      <w:r w:rsidR="00BC6125">
        <w:t>s</w:t>
      </w:r>
      <w:r w:rsidR="005F5A5D">
        <w:t xml:space="preserve"> that, for a medical device covered by new clause 13A.1, a patient information leaflet that complies with new subclauses 13A.3(2) – (4), and with new clause 13A.4, must be provided with the device</w:t>
      </w:r>
      <w:r w:rsidR="00F90DCE">
        <w:t>.</w:t>
      </w:r>
    </w:p>
    <w:p w14:paraId="5EE473F9" w14:textId="77777777" w:rsidR="005F5A5D" w:rsidRDefault="005F5A5D" w:rsidP="005821ED"/>
    <w:p w14:paraId="7D4202D3" w14:textId="77777777" w:rsidR="0071789B" w:rsidRDefault="005F5A5D" w:rsidP="005821ED">
      <w:r>
        <w:t>Under new subclause 13A.3(2), the leaflet must include information identifyi</w:t>
      </w:r>
      <w:r w:rsidR="00314387">
        <w:t>ng the device or kind of device and its intended purpose</w:t>
      </w:r>
      <w:r>
        <w:t xml:space="preserve"> and </w:t>
      </w:r>
      <w:r w:rsidR="00314387">
        <w:t xml:space="preserve">include </w:t>
      </w:r>
      <w:r>
        <w:t xml:space="preserve">any other information the manufacturer considers would be useful for patients, and </w:t>
      </w:r>
      <w:r w:rsidR="003D2BCA">
        <w:t xml:space="preserve">must </w:t>
      </w:r>
      <w:r>
        <w:t>explain how to use the device safely.</w:t>
      </w:r>
      <w:r w:rsidR="003D2BCA">
        <w:t xml:space="preserve"> </w:t>
      </w:r>
      <w:r w:rsidR="00314387">
        <w:t>In addition, under new subclause 13A.3(3), t</w:t>
      </w:r>
      <w:r w:rsidR="00F90DCE">
        <w:t xml:space="preserve">he leaflet must include </w:t>
      </w:r>
      <w:r w:rsidR="00314387">
        <w:t xml:space="preserve">the </w:t>
      </w:r>
      <w:r w:rsidR="00F90DCE">
        <w:t xml:space="preserve">information </w:t>
      </w:r>
      <w:r w:rsidR="00314387">
        <w:t xml:space="preserve">in the table under that provision such as, for example, the kinds of patients for whom the device is intended to be used, warnings about risks that could arise from the interaction of the device with other equipment (e.g. a magnetic resonance imaging machine) and the </w:t>
      </w:r>
      <w:r w:rsidR="00232AED">
        <w:t xml:space="preserve">nature and frequency of recommended regular or preventative examination, monitoring or maintenance. </w:t>
      </w:r>
    </w:p>
    <w:p w14:paraId="68736404" w14:textId="77777777" w:rsidR="00314387" w:rsidRDefault="00314387" w:rsidP="005821ED"/>
    <w:p w14:paraId="2DD0E7F6" w14:textId="2C2A392F" w:rsidR="003D2BCA" w:rsidRDefault="003D2BCA" w:rsidP="003D2BCA">
      <w:r>
        <w:t>T</w:t>
      </w:r>
      <w:r w:rsidR="00DC6A3E">
        <w:t xml:space="preserve">he </w:t>
      </w:r>
      <w:r w:rsidR="00232AED">
        <w:t xml:space="preserve">leaflet must be written so as to be readily understood by patients </w:t>
      </w:r>
      <w:r>
        <w:t xml:space="preserve">(subclause 13A.3(4)) and, as with </w:t>
      </w:r>
      <w:r w:rsidR="00232AED">
        <w:t>patient cards, n</w:t>
      </w:r>
      <w:r w:rsidR="00F90DCE">
        <w:t xml:space="preserve">ew clause 13A.4 </w:t>
      </w:r>
      <w:r>
        <w:t>require</w:t>
      </w:r>
      <w:r w:rsidR="00D035D7">
        <w:t>s</w:t>
      </w:r>
      <w:r>
        <w:t xml:space="preserve"> </w:t>
      </w:r>
      <w:r w:rsidR="00DC6A3E">
        <w:t xml:space="preserve">that </w:t>
      </w:r>
      <w:r>
        <w:t xml:space="preserve">the information </w:t>
      </w:r>
      <w:r w:rsidR="00DC6A3E">
        <w:t xml:space="preserve">in the leaflet </w:t>
      </w:r>
      <w:r>
        <w:t>be in English (as well as in any other language) and</w:t>
      </w:r>
      <w:r w:rsidRPr="003D2BCA">
        <w:t xml:space="preserve"> </w:t>
      </w:r>
      <w:r w:rsidR="00DC6A3E">
        <w:t xml:space="preserve">that </w:t>
      </w:r>
      <w:r>
        <w:t xml:space="preserve">any number, letter or symbol </w:t>
      </w:r>
      <w:r w:rsidR="00DC6A3E">
        <w:t xml:space="preserve">be </w:t>
      </w:r>
      <w:r>
        <w:t>legible and at least one millimetre high.</w:t>
      </w:r>
    </w:p>
    <w:p w14:paraId="425FA188" w14:textId="77777777" w:rsidR="003D2BCA" w:rsidRDefault="003D2BCA" w:rsidP="005821ED"/>
    <w:p w14:paraId="69C4BE16" w14:textId="6AE09843" w:rsidR="00EA369F" w:rsidRDefault="004E70FB" w:rsidP="005821ED">
      <w:r>
        <w:t xml:space="preserve">The introduction of patient information leaflets is principally designed to </w:t>
      </w:r>
      <w:r w:rsidR="008117B3">
        <w:t xml:space="preserve">complement the new requirement for patient implant cards by providing a source of additional and more detailed information about an implantable device. These leaflets </w:t>
      </w:r>
      <w:r w:rsidR="00D035D7">
        <w:t xml:space="preserve">will </w:t>
      </w:r>
      <w:r w:rsidR="008117B3">
        <w:t xml:space="preserve">be patient-targeted documents with information relating to the device’s approved use, intended patient population, potential adverse effects and relevant precautions for users. Such leaflets are modelled on consumer medicines information documents which have served as an up to date source of information about medicines for many decades. </w:t>
      </w:r>
      <w:r w:rsidR="00EA369F">
        <w:t xml:space="preserve">  </w:t>
      </w:r>
    </w:p>
    <w:p w14:paraId="3BBD5079" w14:textId="77777777" w:rsidR="007F58F9" w:rsidRDefault="007F58F9" w:rsidP="005821ED"/>
    <w:p w14:paraId="68C4FCCF" w14:textId="77777777" w:rsidR="005F5B0A" w:rsidRPr="00874B45" w:rsidRDefault="00874B45" w:rsidP="005821ED">
      <w:pPr>
        <w:rPr>
          <w:b/>
        </w:rPr>
      </w:pPr>
      <w:r w:rsidRPr="00874B45">
        <w:rPr>
          <w:b/>
        </w:rPr>
        <w:t xml:space="preserve">Item </w:t>
      </w:r>
      <w:r w:rsidR="00AD6698">
        <w:rPr>
          <w:b/>
        </w:rPr>
        <w:t>3</w:t>
      </w:r>
      <w:r w:rsidRPr="00874B45">
        <w:rPr>
          <w:b/>
        </w:rPr>
        <w:t xml:space="preserve"> – </w:t>
      </w:r>
      <w:r w:rsidR="004B2519">
        <w:rPr>
          <w:b/>
        </w:rPr>
        <w:t>Dictionary</w:t>
      </w:r>
    </w:p>
    <w:p w14:paraId="68237CA5" w14:textId="7F580E01" w:rsidR="000F0914" w:rsidRDefault="001308C1" w:rsidP="001308C1">
      <w:r>
        <w:t xml:space="preserve">Item </w:t>
      </w:r>
      <w:r w:rsidR="00827785">
        <w:t>3</w:t>
      </w:r>
      <w:r>
        <w:t xml:space="preserve"> </w:t>
      </w:r>
      <w:r w:rsidR="000F0914">
        <w:t>amend</w:t>
      </w:r>
      <w:r w:rsidR="00BC6125">
        <w:t>s</w:t>
      </w:r>
      <w:r w:rsidR="000F0914">
        <w:t xml:space="preserve"> the </w:t>
      </w:r>
      <w:r w:rsidR="00F05399">
        <w:t xml:space="preserve">Dictionary in the MD Regulations to provide for </w:t>
      </w:r>
      <w:r w:rsidR="00417B27">
        <w:t>the following</w:t>
      </w:r>
      <w:r w:rsidR="002217B4">
        <w:t xml:space="preserve"> </w:t>
      </w:r>
      <w:r w:rsidR="00F05399">
        <w:t xml:space="preserve">new definitions relevant to the proposed </w:t>
      </w:r>
      <w:r w:rsidR="00417B27">
        <w:t>patient information amendments:</w:t>
      </w:r>
    </w:p>
    <w:p w14:paraId="3471B1EA" w14:textId="77777777" w:rsidR="000E3365" w:rsidRDefault="000E3365" w:rsidP="00417B27">
      <w:pPr>
        <w:pStyle w:val="ListParagraph"/>
        <w:numPr>
          <w:ilvl w:val="0"/>
          <w:numId w:val="12"/>
        </w:numPr>
        <w:spacing w:before="120"/>
        <w:ind w:left="567" w:hanging="567"/>
      </w:pPr>
      <w:r w:rsidRPr="007C7276">
        <w:rPr>
          <w:b/>
        </w:rPr>
        <w:t>device lifetime</w:t>
      </w:r>
      <w:r>
        <w:t xml:space="preserve"> – this is one of the fields of information required to be set out in a patient information leaflet under new subclause 13A.3(3), and relates to the period indicated by the manufacturer during which the device can be safely used and in which the characteristics and performance of the device will not be affected by its age;</w:t>
      </w:r>
    </w:p>
    <w:p w14:paraId="08C32E09" w14:textId="701E28B5" w:rsidR="000E3365" w:rsidRDefault="000E3365" w:rsidP="00417B27">
      <w:pPr>
        <w:pStyle w:val="ListParagraph"/>
        <w:numPr>
          <w:ilvl w:val="0"/>
          <w:numId w:val="12"/>
        </w:numPr>
        <w:spacing w:before="120"/>
        <w:ind w:left="567" w:hanging="567"/>
      </w:pPr>
      <w:r w:rsidRPr="007C7276">
        <w:rPr>
          <w:b/>
        </w:rPr>
        <w:t>patient implant card</w:t>
      </w:r>
      <w:r>
        <w:t xml:space="preserve"> </w:t>
      </w:r>
      <w:r w:rsidR="007C7276">
        <w:t xml:space="preserve">and </w:t>
      </w:r>
      <w:r w:rsidRPr="007C7276">
        <w:rPr>
          <w:b/>
        </w:rPr>
        <w:t>patient information leaflet</w:t>
      </w:r>
      <w:r>
        <w:t>, which have the meanings given by clauses 13A.2 and 13A.3, respectively;</w:t>
      </w:r>
    </w:p>
    <w:p w14:paraId="42C9C272" w14:textId="500C9A9E" w:rsidR="00417B27" w:rsidRDefault="000E3365" w:rsidP="00417B27">
      <w:pPr>
        <w:pStyle w:val="ListParagraph"/>
        <w:numPr>
          <w:ilvl w:val="0"/>
          <w:numId w:val="12"/>
        </w:numPr>
        <w:spacing w:before="120"/>
        <w:ind w:left="567" w:hanging="567"/>
      </w:pPr>
      <w:r w:rsidRPr="007C7276">
        <w:rPr>
          <w:b/>
        </w:rPr>
        <w:t>residual risk</w:t>
      </w:r>
      <w:r>
        <w:t>, which relates to another of the fields of information required to be set out in a patient information leaflet, and w</w:t>
      </w:r>
      <w:r w:rsidR="00D035D7">
        <w:t xml:space="preserve">ill </w:t>
      </w:r>
      <w:r>
        <w:t>mean the risk remaining in relation to a medical device after a manufacturer has taken the steps set out in current subclause 2(2) of Schedule 1 to the MD Regulations (these include identifying hazards and associated risks arising from the use of the device for its intended purpose and any foreseeable misuse of the device, and eliminating or reducing these risks as far as possible through a policy of safe design and construction); and</w:t>
      </w:r>
    </w:p>
    <w:p w14:paraId="51356B93" w14:textId="77777777" w:rsidR="000E3365" w:rsidRDefault="000E3365" w:rsidP="00417B27">
      <w:pPr>
        <w:pStyle w:val="ListParagraph"/>
        <w:numPr>
          <w:ilvl w:val="0"/>
          <w:numId w:val="12"/>
        </w:numPr>
        <w:spacing w:before="120"/>
        <w:ind w:left="567" w:hanging="567"/>
      </w:pPr>
      <w:r w:rsidRPr="007C7276">
        <w:rPr>
          <w:b/>
        </w:rPr>
        <w:t>unique device identifier</w:t>
      </w:r>
      <w:r>
        <w:t xml:space="preserve"> – this is required to be included in a patient card, and means the unique device identifier (if any) assigned to the device by the manufacturer in accordance with the EU Regulation 2017/745 of the European Parliament and of the Council of 5 April 2017, as in force on 1 December 2018</w:t>
      </w:r>
      <w:r w:rsidR="002E6EC5">
        <w:t xml:space="preserve"> (a copy of this regulation is available, for free and in English, on the website for access to EU law, </w:t>
      </w:r>
      <w:hyperlink r:id="rId13" w:history="1">
        <w:r w:rsidR="002E6EC5" w:rsidRPr="00240DF8">
          <w:rPr>
            <w:rStyle w:val="Hyperlink"/>
          </w:rPr>
          <w:t>www.eur-lex.europa.eu</w:t>
        </w:r>
      </w:hyperlink>
      <w:r w:rsidR="002E6EC5">
        <w:t>)</w:t>
      </w:r>
      <w:r>
        <w:t xml:space="preserve">. </w:t>
      </w:r>
    </w:p>
    <w:p w14:paraId="096CD048" w14:textId="77777777" w:rsidR="001308C1" w:rsidRDefault="001308C1" w:rsidP="005821ED"/>
    <w:p w14:paraId="6AF4E6AC" w14:textId="77777777" w:rsidR="00F843F5" w:rsidRDefault="00F843F5">
      <w:pPr>
        <w:rPr>
          <w:b/>
        </w:rPr>
      </w:pPr>
      <w:r>
        <w:rPr>
          <w:b/>
        </w:rPr>
        <w:br w:type="page"/>
      </w:r>
    </w:p>
    <w:p w14:paraId="2E7F0085" w14:textId="36F83423" w:rsidR="004B2519" w:rsidRDefault="004B2519" w:rsidP="004B2519">
      <w:pPr>
        <w:rPr>
          <w:b/>
        </w:rPr>
      </w:pPr>
      <w:r w:rsidRPr="00B10E05">
        <w:rPr>
          <w:b/>
        </w:rPr>
        <w:lastRenderedPageBreak/>
        <w:t>Part</w:t>
      </w:r>
      <w:r>
        <w:rPr>
          <w:b/>
        </w:rPr>
        <w:t xml:space="preserve"> 3- Application and transitional provisions</w:t>
      </w:r>
    </w:p>
    <w:p w14:paraId="5943C827" w14:textId="77777777" w:rsidR="004B2519" w:rsidRPr="00B10E05" w:rsidRDefault="004B2519" w:rsidP="004B2519">
      <w:pPr>
        <w:rPr>
          <w:b/>
        </w:rPr>
      </w:pPr>
    </w:p>
    <w:p w14:paraId="18627835" w14:textId="77777777" w:rsidR="004B2519" w:rsidRDefault="004B2519" w:rsidP="004B2519">
      <w:pPr>
        <w:rPr>
          <w:b/>
          <w:i/>
        </w:rPr>
      </w:pPr>
      <w:r w:rsidRPr="00AD72DB">
        <w:rPr>
          <w:b/>
          <w:i/>
        </w:rPr>
        <w:t xml:space="preserve">Therapeutic Goods </w:t>
      </w:r>
      <w:r>
        <w:rPr>
          <w:b/>
          <w:i/>
        </w:rPr>
        <w:t>(Medical Devices) Regulations 2002</w:t>
      </w:r>
    </w:p>
    <w:p w14:paraId="14AA3C48" w14:textId="77777777" w:rsidR="004B2519" w:rsidRDefault="004B2519" w:rsidP="005821ED">
      <w:pPr>
        <w:rPr>
          <w:b/>
        </w:rPr>
      </w:pPr>
    </w:p>
    <w:p w14:paraId="61D76461" w14:textId="77777777" w:rsidR="00CD5BF4" w:rsidRDefault="00210FD5" w:rsidP="002F6C95">
      <w:pPr>
        <w:rPr>
          <w:b/>
        </w:rPr>
      </w:pPr>
      <w:r w:rsidRPr="00210FD5">
        <w:rPr>
          <w:b/>
        </w:rPr>
        <w:t xml:space="preserve">Item </w:t>
      </w:r>
      <w:r w:rsidR="00AD6698">
        <w:rPr>
          <w:b/>
        </w:rPr>
        <w:t>4</w:t>
      </w:r>
      <w:r w:rsidRPr="00210FD5">
        <w:rPr>
          <w:b/>
        </w:rPr>
        <w:t xml:space="preserve"> – </w:t>
      </w:r>
      <w:r w:rsidR="00CD5BF4">
        <w:rPr>
          <w:b/>
        </w:rPr>
        <w:t>In the appropriate position in Part 11</w:t>
      </w:r>
    </w:p>
    <w:p w14:paraId="1F32CF5B" w14:textId="0E948AC6" w:rsidR="00FB1CFE" w:rsidRDefault="002F6C95" w:rsidP="002F6C95">
      <w:r>
        <w:t xml:space="preserve">Item </w:t>
      </w:r>
      <w:r w:rsidR="00827785">
        <w:t>4</w:t>
      </w:r>
      <w:r>
        <w:t xml:space="preserve"> </w:t>
      </w:r>
      <w:r w:rsidR="005345CF">
        <w:t>add</w:t>
      </w:r>
      <w:r w:rsidR="00BC6125">
        <w:t>s</w:t>
      </w:r>
      <w:r w:rsidR="005345CF">
        <w:t xml:space="preserve"> a new Division 11.5 to the MD Regulations to provide for transitional arrangements relating to the proposed amendments.</w:t>
      </w:r>
      <w:r w:rsidR="00503A74">
        <w:t xml:space="preserve"> </w:t>
      </w:r>
    </w:p>
    <w:p w14:paraId="7B49A208" w14:textId="77777777" w:rsidR="002E6EC5" w:rsidRDefault="002E6EC5" w:rsidP="002F6C95"/>
    <w:p w14:paraId="52DA1427" w14:textId="77777777" w:rsidR="001F75BA" w:rsidRPr="00540B0E" w:rsidRDefault="008D253A" w:rsidP="002F6C95">
      <w:pPr>
        <w:rPr>
          <w:b/>
        </w:rPr>
      </w:pPr>
      <w:r>
        <w:rPr>
          <w:b/>
        </w:rPr>
        <w:t>N</w:t>
      </w:r>
      <w:r w:rsidR="00FB1CFE" w:rsidRPr="00540B0E">
        <w:rPr>
          <w:b/>
        </w:rPr>
        <w:t>ew regulation 11.28</w:t>
      </w:r>
      <w:r w:rsidR="001F75BA" w:rsidRPr="00540B0E">
        <w:rPr>
          <w:b/>
        </w:rPr>
        <w:t>- Definitions</w:t>
      </w:r>
    </w:p>
    <w:p w14:paraId="1343F0C4" w14:textId="739C8C91" w:rsidR="00FB1CFE" w:rsidRDefault="006D1D9F" w:rsidP="002F6C95">
      <w:r>
        <w:t>New r</w:t>
      </w:r>
      <w:r w:rsidR="00067888">
        <w:t xml:space="preserve">egulation 11.28 </w:t>
      </w:r>
      <w:r w:rsidR="00FB1CFE">
        <w:t>set</w:t>
      </w:r>
      <w:r w:rsidR="00BC6125">
        <w:t>s</w:t>
      </w:r>
      <w:r w:rsidR="00FB1CFE">
        <w:t xml:space="preserve"> out definitions for </w:t>
      </w:r>
      <w:r w:rsidR="00212784">
        <w:t>four</w:t>
      </w:r>
      <w:r w:rsidR="00FB1CFE">
        <w:t xml:space="preserve"> terms</w:t>
      </w:r>
      <w:r w:rsidR="00067888" w:rsidRPr="002E6EC5">
        <w:t xml:space="preserve">: </w:t>
      </w:r>
      <w:r w:rsidR="00FB1CFE" w:rsidRPr="002E6EC5">
        <w:t xml:space="preserve">‘amending regulations’, </w:t>
      </w:r>
      <w:r w:rsidR="00D770DF" w:rsidRPr="002E6EC5">
        <w:t xml:space="preserve">‘finally determined’, </w:t>
      </w:r>
      <w:r w:rsidR="00FB1CFE" w:rsidRPr="002E6EC5">
        <w:t>‘inclusion day’ and ‘pre-commencement entry’</w:t>
      </w:r>
      <w:r w:rsidR="00FB1CFE">
        <w:t xml:space="preserve">, </w:t>
      </w:r>
      <w:r w:rsidR="00067888">
        <w:t xml:space="preserve">which are </w:t>
      </w:r>
      <w:r w:rsidR="00FB1CFE">
        <w:t>relevant to the proposed transitional arrangements</w:t>
      </w:r>
      <w:r w:rsidR="00067888">
        <w:t xml:space="preserve"> in new Division 11.5</w:t>
      </w:r>
      <w:r w:rsidR="00FB1CFE">
        <w:t>.</w:t>
      </w:r>
    </w:p>
    <w:p w14:paraId="30784574" w14:textId="77777777" w:rsidR="00D24587" w:rsidRDefault="00D24587" w:rsidP="002F6C95"/>
    <w:p w14:paraId="110D3A1A" w14:textId="660E9079" w:rsidR="00D24587" w:rsidRDefault="00D0445F" w:rsidP="002F6C95">
      <w:r>
        <w:t xml:space="preserve">In particular, </w:t>
      </w:r>
      <w:r w:rsidRPr="007C7276">
        <w:rPr>
          <w:b/>
        </w:rPr>
        <w:t>inclusion day</w:t>
      </w:r>
      <w:r>
        <w:t>, for an entry of a kind of medical device in the Register,</w:t>
      </w:r>
      <w:r w:rsidR="00BC6125">
        <w:t xml:space="preserve"> is</w:t>
      </w:r>
      <w:r>
        <w:t xml:space="preserve"> defined as the day on which the inclusion of that kind of device in the Register commences, and a</w:t>
      </w:r>
      <w:r w:rsidR="00D24587">
        <w:t xml:space="preserve">n entry of a kind of device in the </w:t>
      </w:r>
      <w:r w:rsidR="00770748">
        <w:t>Register</w:t>
      </w:r>
      <w:r w:rsidR="00D24587">
        <w:t xml:space="preserve"> </w:t>
      </w:r>
      <w:r w:rsidR="00BC6125">
        <w:t>is</w:t>
      </w:r>
      <w:r>
        <w:t xml:space="preserve"> defined as</w:t>
      </w:r>
      <w:r w:rsidR="00770748">
        <w:t xml:space="preserve"> a </w:t>
      </w:r>
      <w:r w:rsidR="00770748" w:rsidRPr="007C7276">
        <w:rPr>
          <w:b/>
        </w:rPr>
        <w:t>pre-commencement entry</w:t>
      </w:r>
      <w:r>
        <w:t xml:space="preserve"> if that kind of </w:t>
      </w:r>
      <w:r w:rsidR="00770748">
        <w:t>device is included in the Register because of an applicati</w:t>
      </w:r>
      <w:r w:rsidR="002E6EC5">
        <w:t xml:space="preserve">on made before 1 December 2018, </w:t>
      </w:r>
      <w:r w:rsidR="00770748">
        <w:t>whether the inclusion day for the entry occurred befo</w:t>
      </w:r>
      <w:r w:rsidR="002E6EC5">
        <w:t>re, on or after 1 December 2018</w:t>
      </w:r>
      <w:r w:rsidR="00770748">
        <w:t>.</w:t>
      </w:r>
      <w:r w:rsidR="00AD6698">
        <w:t xml:space="preserve"> This regulation also define</w:t>
      </w:r>
      <w:r w:rsidR="00BC6125">
        <w:t>s</w:t>
      </w:r>
      <w:r w:rsidR="00AD6698">
        <w:t xml:space="preserve"> </w:t>
      </w:r>
      <w:r w:rsidR="00AD6698" w:rsidRPr="00AD6698">
        <w:rPr>
          <w:b/>
        </w:rPr>
        <w:t>unique product identifier</w:t>
      </w:r>
      <w:r w:rsidR="00AD6698">
        <w:t xml:space="preserve"> as the unique means of identification given to a device by its manufacturer to identify the device and any variants.</w:t>
      </w:r>
    </w:p>
    <w:p w14:paraId="437AAB72" w14:textId="77777777" w:rsidR="002E6EC5" w:rsidRDefault="002E6EC5" w:rsidP="002F6C95"/>
    <w:p w14:paraId="54101080" w14:textId="77777777" w:rsidR="001F75BA" w:rsidRDefault="008D253A" w:rsidP="002F6C95">
      <w:r>
        <w:rPr>
          <w:b/>
        </w:rPr>
        <w:t>N</w:t>
      </w:r>
      <w:r w:rsidR="001F75BA" w:rsidRPr="00540B0E">
        <w:rPr>
          <w:b/>
        </w:rPr>
        <w:t>ew regulation 11.29- Surgical mesh-application of amendments</w:t>
      </w:r>
    </w:p>
    <w:p w14:paraId="0755E169" w14:textId="57C9638C" w:rsidR="008D253A" w:rsidRDefault="008D253A" w:rsidP="002F6C95">
      <w:r>
        <w:t>Under new regulation 11.29, the amendments in Part 1 of this Schedule in relation to the up-classification of surgical meshes apply:</w:t>
      </w:r>
    </w:p>
    <w:p w14:paraId="04B523A2" w14:textId="77777777" w:rsidR="008D253A" w:rsidRDefault="007C7276" w:rsidP="008D253A">
      <w:pPr>
        <w:pStyle w:val="ListParagraph"/>
        <w:numPr>
          <w:ilvl w:val="0"/>
          <w:numId w:val="13"/>
        </w:numPr>
        <w:spacing w:before="120"/>
        <w:ind w:left="567" w:hanging="567"/>
      </w:pPr>
      <w:r>
        <w:t>on and after 1 December 2018, for a kind of device for which an application for inclusion in the Registe</w:t>
      </w:r>
      <w:r w:rsidR="00FB60CB">
        <w:t>r is made on or after that date;</w:t>
      </w:r>
    </w:p>
    <w:p w14:paraId="3424B0F4" w14:textId="77777777" w:rsidR="007C7276" w:rsidRDefault="007C7276" w:rsidP="008D253A">
      <w:pPr>
        <w:pStyle w:val="ListParagraph"/>
        <w:numPr>
          <w:ilvl w:val="0"/>
          <w:numId w:val="13"/>
        </w:numPr>
        <w:spacing w:before="120"/>
        <w:ind w:left="567" w:hanging="567"/>
      </w:pPr>
      <w:r>
        <w:t>on and after 1 December 2020, for a pre-commencement entry that is a uro-gynaecological mesh; and</w:t>
      </w:r>
    </w:p>
    <w:p w14:paraId="7EA555D5" w14:textId="77777777" w:rsidR="007C7276" w:rsidRDefault="007C7276" w:rsidP="008D253A">
      <w:pPr>
        <w:pStyle w:val="ListParagraph"/>
        <w:numPr>
          <w:ilvl w:val="0"/>
          <w:numId w:val="13"/>
        </w:numPr>
        <w:spacing w:before="120"/>
        <w:ind w:left="567" w:hanging="567"/>
      </w:pPr>
      <w:r>
        <w:t xml:space="preserve">on and after 1 December 2021, for a pre-commencement entry that is a surgical mesh other than a uro-gynaecological mesh. </w:t>
      </w:r>
    </w:p>
    <w:p w14:paraId="27DABA60" w14:textId="77777777" w:rsidR="008D253A" w:rsidRDefault="008D253A" w:rsidP="002F6C95"/>
    <w:p w14:paraId="0D2CC13B" w14:textId="63FCD9C8" w:rsidR="008D253A" w:rsidRDefault="00112FAB" w:rsidP="002F6C95">
      <w:r>
        <w:t>For sponsors of pre-commencement entries of surgical mesh in the Register, the up-classification of their product from the date mentioned above mean</w:t>
      </w:r>
      <w:r w:rsidR="00BC6125">
        <w:t>s</w:t>
      </w:r>
      <w:r>
        <w:t xml:space="preserve"> that, from that date, their existing Class IIb entry in the Register will be incorrectly classified and, as such, may be cancelled under paragraph 41GN(1)(f) of the Act (this provides a power for the Secretary of the Department of Health to cancel a kind of device from the Register if satisfied that any certification made by the device sponsor when applying to include their device in the Register (e.g. that their device is correctly classified) is, </w:t>
      </w:r>
      <w:r w:rsidRPr="00112FAB">
        <w:rPr>
          <w:i/>
        </w:rPr>
        <w:t>or is no longer</w:t>
      </w:r>
      <w:r>
        <w:t xml:space="preserve">, correct). </w:t>
      </w:r>
    </w:p>
    <w:p w14:paraId="08FDAB6F" w14:textId="77777777" w:rsidR="00F03529" w:rsidRDefault="00F03529" w:rsidP="002F6C95"/>
    <w:p w14:paraId="06A6813E" w14:textId="763BCB62" w:rsidR="00F03529" w:rsidRDefault="00C92891" w:rsidP="002F6C95">
      <w:r>
        <w:t>However, n</w:t>
      </w:r>
      <w:r w:rsidR="00F03529">
        <w:t>ew subregulations 11.29(3) and (4) w</w:t>
      </w:r>
      <w:r w:rsidR="00BC6125">
        <w:t xml:space="preserve">ill </w:t>
      </w:r>
      <w:r w:rsidR="00F03529">
        <w:t xml:space="preserve">have the effect that if a sponsor of a pre-commencement entry applies before 1 December 2020 or 1 December 2021 (depending on whether their device is a uro-gynaecological mesh or not) for their product to be included in the Register as a Class III device, </w:t>
      </w:r>
      <w:r>
        <w:t xml:space="preserve">and has given the Secretary the notice required under new regulation 11.30 (see below), </w:t>
      </w:r>
      <w:r w:rsidR="00F03529">
        <w:t>their Class IIb entry will not be cancelled until their Class III application is finally determined or they withdraw that application or it lapses under section 41FK of the Act.</w:t>
      </w:r>
    </w:p>
    <w:p w14:paraId="3CB8D8AD" w14:textId="77777777" w:rsidR="00165B7C" w:rsidRDefault="00165B7C" w:rsidP="002F6C95"/>
    <w:p w14:paraId="1A5D44AF" w14:textId="6EF666DC" w:rsidR="00165B7C" w:rsidRDefault="00165B7C" w:rsidP="002F6C95">
      <w:r>
        <w:lastRenderedPageBreak/>
        <w:t>Under new subregulation 11.29(5), such an application w</w:t>
      </w:r>
      <w:r w:rsidR="00BC6125">
        <w:t>ill</w:t>
      </w:r>
      <w:r>
        <w:t xml:space="preserve"> be finally determined at the first point at which a decision has been made on whether or not to grant the application and there is no longer any possibility of a change in the outcome of that decision.</w:t>
      </w:r>
    </w:p>
    <w:p w14:paraId="0720AD44" w14:textId="77777777" w:rsidR="00F03529" w:rsidRDefault="00F03529" w:rsidP="002F6C95"/>
    <w:p w14:paraId="0BA3CC51" w14:textId="77777777" w:rsidR="001F75BA" w:rsidRPr="00540B0E" w:rsidRDefault="008D253A" w:rsidP="002F6C95">
      <w:pPr>
        <w:rPr>
          <w:b/>
        </w:rPr>
      </w:pPr>
      <w:r>
        <w:rPr>
          <w:b/>
        </w:rPr>
        <w:t>N</w:t>
      </w:r>
      <w:r w:rsidR="001F75BA" w:rsidRPr="00540B0E">
        <w:rPr>
          <w:b/>
        </w:rPr>
        <w:t>ew regulation 11.30- Surgical mesh- Secretary must be notified of unique product identifiers of devices supplied under pre-commencement entries</w:t>
      </w:r>
    </w:p>
    <w:p w14:paraId="25E20543" w14:textId="21D613CE" w:rsidR="006D1D9F" w:rsidRDefault="006D1D9F" w:rsidP="002F6C95">
      <w:r>
        <w:t xml:space="preserve">New regulation 11.30 </w:t>
      </w:r>
      <w:r w:rsidR="00BC6125">
        <w:t>introduces,</w:t>
      </w:r>
      <w:r w:rsidR="00D20D48">
        <w:t xml:space="preserve"> for the purposes of</w:t>
      </w:r>
      <w:r>
        <w:t xml:space="preserve"> subsection 41FN(5A) of the Act, a statutory condition that w</w:t>
      </w:r>
      <w:r w:rsidR="00D035D7">
        <w:t>ill</w:t>
      </w:r>
      <w:r>
        <w:t xml:space="preserve"> apply</w:t>
      </w:r>
      <w:r w:rsidRPr="00144798">
        <w:t xml:space="preserve"> </w:t>
      </w:r>
      <w:r>
        <w:t xml:space="preserve">to the inclusion in the Register of a pre-commencement surgical mesh. </w:t>
      </w:r>
    </w:p>
    <w:p w14:paraId="6AF099E7" w14:textId="77777777" w:rsidR="006D1D9F" w:rsidRDefault="006D1D9F" w:rsidP="002F6C95"/>
    <w:p w14:paraId="2B4D2676" w14:textId="2CC28EF8" w:rsidR="008A675A" w:rsidRDefault="006D1D9F" w:rsidP="002F6C95">
      <w:r>
        <w:t>This condition require</w:t>
      </w:r>
      <w:r w:rsidR="00BC6125">
        <w:t>s</w:t>
      </w:r>
      <w:r>
        <w:t xml:space="preserve"> sponsors of such kinds of device to give the Secretary a notice, before the later of 1 May 2019 </w:t>
      </w:r>
      <w:r w:rsidR="008A675A">
        <w:t xml:space="preserve">(i.e. 6 months after the proposed Regulations commence) </w:t>
      </w:r>
      <w:r>
        <w:t>and the day 2 months after the product’s inclusion day, listing</w:t>
      </w:r>
      <w:r w:rsidR="008A675A">
        <w:t>:</w:t>
      </w:r>
    </w:p>
    <w:p w14:paraId="49C933F0" w14:textId="77777777" w:rsidR="008A675A" w:rsidRDefault="006D1D9F" w:rsidP="008A675A">
      <w:pPr>
        <w:pStyle w:val="ListParagraph"/>
        <w:numPr>
          <w:ilvl w:val="0"/>
          <w:numId w:val="14"/>
        </w:numPr>
        <w:spacing w:before="120"/>
        <w:ind w:left="567" w:hanging="567"/>
      </w:pPr>
      <w:r>
        <w:t>the unique device number assigned to that kind of device by the Secretary under section 41FL of the Act</w:t>
      </w:r>
      <w:r w:rsidR="008A675A">
        <w:t>;</w:t>
      </w:r>
      <w:r>
        <w:t xml:space="preserve"> and </w:t>
      </w:r>
    </w:p>
    <w:p w14:paraId="46DA6B6F" w14:textId="77777777" w:rsidR="006D1D9F" w:rsidRDefault="006D1D9F" w:rsidP="008A675A">
      <w:pPr>
        <w:pStyle w:val="ListParagraph"/>
        <w:numPr>
          <w:ilvl w:val="0"/>
          <w:numId w:val="14"/>
        </w:numPr>
        <w:spacing w:before="120"/>
        <w:ind w:left="567" w:hanging="567"/>
      </w:pPr>
      <w:r>
        <w:t>the unique product identifier for each device of that kind that the s</w:t>
      </w:r>
      <w:r w:rsidR="008A675A">
        <w:t xml:space="preserve">ponsor supplies in Australia – this identifier (referred to in regulation 1.6 of the MD Regulations) is given to a device by its manufacturer to identify certain devices and any variants. </w:t>
      </w:r>
    </w:p>
    <w:p w14:paraId="445854B8" w14:textId="77777777" w:rsidR="006D1D9F" w:rsidRDefault="006D1D9F" w:rsidP="002F6C95"/>
    <w:p w14:paraId="0BB6F70E" w14:textId="77777777" w:rsidR="001F75BA" w:rsidRPr="00540B0E" w:rsidRDefault="008D253A" w:rsidP="002F6C95">
      <w:pPr>
        <w:rPr>
          <w:b/>
        </w:rPr>
      </w:pPr>
      <w:r>
        <w:rPr>
          <w:b/>
        </w:rPr>
        <w:t>N</w:t>
      </w:r>
      <w:r w:rsidR="001F75BA" w:rsidRPr="00540B0E">
        <w:rPr>
          <w:b/>
        </w:rPr>
        <w:t>ew regulation 11.31- Patient information- application of amendments</w:t>
      </w:r>
    </w:p>
    <w:p w14:paraId="05309042" w14:textId="3EF37E5C" w:rsidR="00B061EC" w:rsidRDefault="00B061EC" w:rsidP="00B061EC">
      <w:r>
        <w:t>Under new re</w:t>
      </w:r>
      <w:r w:rsidR="00A92C09">
        <w:t>gulation 11.31</w:t>
      </w:r>
      <w:r w:rsidR="00FB60CB">
        <w:t>, the amendments in Part 2</w:t>
      </w:r>
      <w:r>
        <w:t xml:space="preserve"> of this Schedule in relation to the provision of </w:t>
      </w:r>
      <w:r w:rsidR="00FB60CB">
        <w:t xml:space="preserve">both </w:t>
      </w:r>
      <w:r>
        <w:t>patient implant cards and patient information leaflets apply</w:t>
      </w:r>
      <w:r w:rsidR="00FB60CB">
        <w:t xml:space="preserve"> to a kind of device that is a uro-gynaecological mesh</w:t>
      </w:r>
      <w:r>
        <w:t>:</w:t>
      </w:r>
    </w:p>
    <w:p w14:paraId="331AE1FC" w14:textId="77777777" w:rsidR="00FB60CB" w:rsidRDefault="00B061EC" w:rsidP="00FB60CB">
      <w:pPr>
        <w:pStyle w:val="ListParagraph"/>
        <w:numPr>
          <w:ilvl w:val="0"/>
          <w:numId w:val="13"/>
        </w:numPr>
        <w:spacing w:before="120"/>
        <w:ind w:left="567" w:hanging="567"/>
      </w:pPr>
      <w:r>
        <w:t xml:space="preserve">on and after 1 December </w:t>
      </w:r>
      <w:r w:rsidR="00FB60CB">
        <w:t xml:space="preserve">2018, for </w:t>
      </w:r>
      <w:r w:rsidR="00C53124">
        <w:t xml:space="preserve">a kind of device for </w:t>
      </w:r>
      <w:r w:rsidR="00FB60CB">
        <w:t>which an application for inclusion in the Register is made on or after that date; and</w:t>
      </w:r>
    </w:p>
    <w:p w14:paraId="295C4841" w14:textId="77777777" w:rsidR="00FB60CB" w:rsidRDefault="00FB60CB" w:rsidP="00FB60CB">
      <w:pPr>
        <w:pStyle w:val="ListParagraph"/>
        <w:numPr>
          <w:ilvl w:val="0"/>
          <w:numId w:val="15"/>
        </w:numPr>
        <w:spacing w:before="120"/>
        <w:ind w:left="567" w:hanging="567"/>
      </w:pPr>
      <w:r>
        <w:t>on and after 1 December 2019, for a pre-commencement entry.</w:t>
      </w:r>
    </w:p>
    <w:p w14:paraId="544CB8EF" w14:textId="77777777" w:rsidR="00B061EC" w:rsidRDefault="00B061EC" w:rsidP="00B061EC"/>
    <w:p w14:paraId="1E5F8211" w14:textId="1E436717" w:rsidR="00B061EC" w:rsidRDefault="00C53124" w:rsidP="00B061EC">
      <w:r>
        <w:t>For a kind of device other than a uro-gynaecological mesh,</w:t>
      </w:r>
      <w:r w:rsidR="00FB60CB">
        <w:t xml:space="preserve"> the amendments in Part 2 of this Schedule </w:t>
      </w:r>
      <w:r>
        <w:t>apply:</w:t>
      </w:r>
    </w:p>
    <w:p w14:paraId="510D8677" w14:textId="77777777" w:rsidR="00C53124" w:rsidRDefault="00C53124" w:rsidP="00C53124">
      <w:pPr>
        <w:pStyle w:val="ListParagraph"/>
        <w:numPr>
          <w:ilvl w:val="0"/>
          <w:numId w:val="15"/>
        </w:numPr>
        <w:ind w:left="567" w:hanging="567"/>
      </w:pPr>
      <w:r>
        <w:t>in relation to patient information leaflets – on and after 1 December 2018, for a kind of device for which an application for inclusion in the Register is made on or after that date, and on and from 1 December 2021 for a pre-commencement entry; and</w:t>
      </w:r>
    </w:p>
    <w:p w14:paraId="0EEC573A" w14:textId="77777777" w:rsidR="00C53124" w:rsidRDefault="00C53124" w:rsidP="00C53124">
      <w:pPr>
        <w:pStyle w:val="ListParagraph"/>
        <w:numPr>
          <w:ilvl w:val="0"/>
          <w:numId w:val="15"/>
        </w:numPr>
        <w:ind w:left="567" w:hanging="567"/>
      </w:pPr>
      <w:r>
        <w:t>in relation to patient implant cards – on and after 1 December 2020, for a kind of device for which an application for inclusion in the Register is made on or after that date, and on and from 1 December 2021 for a pre-commencement entry.</w:t>
      </w:r>
    </w:p>
    <w:p w14:paraId="1BDB174D" w14:textId="77777777" w:rsidR="00B061EC" w:rsidRDefault="00B061EC" w:rsidP="00B061EC"/>
    <w:p w14:paraId="3F19A689" w14:textId="77777777" w:rsidR="00C53124" w:rsidRDefault="00C53124" w:rsidP="00B061EC">
      <w:r>
        <w:t>The above arrangements are intended</w:t>
      </w:r>
      <w:r w:rsidR="00D20D48">
        <w:t>,</w:t>
      </w:r>
      <w:r>
        <w:t xml:space="preserve"> </w:t>
      </w:r>
      <w:r w:rsidR="00D20D48">
        <w:t xml:space="preserve">in particular, </w:t>
      </w:r>
      <w:r>
        <w:t xml:space="preserve">to transition implantable medical devices that are uro-gynaecological meshes to the new </w:t>
      </w:r>
      <w:r w:rsidR="008A47EE">
        <w:t>requirements first</w:t>
      </w:r>
      <w:r w:rsidR="00D20D48">
        <w:t>,</w:t>
      </w:r>
      <w:r w:rsidR="008A47EE">
        <w:t xml:space="preserve"> given the safety concerns relating to such products</w:t>
      </w:r>
      <w:r w:rsidR="00D20D48">
        <w:t>.</w:t>
      </w:r>
    </w:p>
    <w:p w14:paraId="5616AD23" w14:textId="71FDA70E" w:rsidR="00BC6125" w:rsidRDefault="00BC6125">
      <w:r>
        <w:br w:type="page"/>
      </w:r>
    </w:p>
    <w:p w14:paraId="2AFEAD83" w14:textId="075343F3" w:rsidR="00306886" w:rsidRPr="00A3369D" w:rsidRDefault="00BC6125" w:rsidP="00A3369D">
      <w:pPr>
        <w:jc w:val="center"/>
        <w:rPr>
          <w:b/>
        </w:rPr>
      </w:pPr>
      <w:r w:rsidRPr="00A3369D">
        <w:rPr>
          <w:b/>
        </w:rPr>
        <w:lastRenderedPageBreak/>
        <w:t>Statement of Compatibility with Human Rights</w:t>
      </w:r>
    </w:p>
    <w:p w14:paraId="20626E16" w14:textId="77777777" w:rsidR="00BC6125" w:rsidRDefault="00BC6125" w:rsidP="00A3369D">
      <w:pPr>
        <w:jc w:val="center"/>
      </w:pPr>
    </w:p>
    <w:p w14:paraId="7B260D4B" w14:textId="7DD8E523" w:rsidR="00BC6125" w:rsidRDefault="00BC6125">
      <w:r>
        <w:t xml:space="preserve">Prepared in accordance with Part 3 of the </w:t>
      </w:r>
      <w:r w:rsidRPr="00A3369D">
        <w:rPr>
          <w:i/>
        </w:rPr>
        <w:t>Human Rights (Parliamentary Scrutiny) Act 2011</w:t>
      </w:r>
      <w:r>
        <w:t>.</w:t>
      </w:r>
    </w:p>
    <w:p w14:paraId="149594A7" w14:textId="77777777" w:rsidR="007428AC" w:rsidRDefault="007428AC"/>
    <w:p w14:paraId="49748470" w14:textId="671CDF07" w:rsidR="007428AC" w:rsidRDefault="007428AC">
      <w:r>
        <w:t xml:space="preserve">The </w:t>
      </w:r>
      <w:r w:rsidRPr="00A3369D">
        <w:rPr>
          <w:i/>
        </w:rPr>
        <w:t>Therapeutic Goods (Medical Devices) Amendment (Implantable Medical Devices) Regulations 2017</w:t>
      </w:r>
      <w:r>
        <w:t xml:space="preserve"> (the Regulations) are made under subsection 63(1) of the </w:t>
      </w:r>
      <w:r w:rsidRPr="00A3369D">
        <w:rPr>
          <w:i/>
        </w:rPr>
        <w:t>Therapeutic Goods Act 1989</w:t>
      </w:r>
      <w:r>
        <w:t xml:space="preserve"> (the Act) and amend the </w:t>
      </w:r>
      <w:r w:rsidRPr="00A3369D">
        <w:rPr>
          <w:i/>
        </w:rPr>
        <w:t>Therapeutic Goods (Medical Devices) Regulations 2002</w:t>
      </w:r>
      <w:r>
        <w:t>.  The Regulations take effect on 1 December 2018.</w:t>
      </w:r>
    </w:p>
    <w:p w14:paraId="4F07CDB8" w14:textId="77777777" w:rsidR="008B66B8" w:rsidRDefault="008B66B8"/>
    <w:p w14:paraId="3A0CAB1F" w14:textId="6E7F191C" w:rsidR="008B66B8" w:rsidRPr="00C001FC" w:rsidRDefault="008B66B8" w:rsidP="008B66B8">
      <w:pPr>
        <w:rPr>
          <w:szCs w:val="24"/>
        </w:rPr>
      </w:pPr>
      <w:r w:rsidRPr="003856A4">
        <w:rPr>
          <w:szCs w:val="24"/>
        </w:rPr>
        <w:t xml:space="preserve">The purpose of the </w:t>
      </w:r>
      <w:r>
        <w:rPr>
          <w:szCs w:val="24"/>
        </w:rPr>
        <w:t>R</w:t>
      </w:r>
      <w:r w:rsidRPr="00EF6410">
        <w:rPr>
          <w:szCs w:val="24"/>
        </w:rPr>
        <w:t>egulation</w:t>
      </w:r>
      <w:r>
        <w:rPr>
          <w:szCs w:val="24"/>
        </w:rPr>
        <w:t>s</w:t>
      </w:r>
      <w:r w:rsidRPr="003856A4">
        <w:rPr>
          <w:szCs w:val="24"/>
        </w:rPr>
        <w:t xml:space="preserve"> </w:t>
      </w:r>
      <w:r>
        <w:rPr>
          <w:szCs w:val="24"/>
        </w:rPr>
        <w:t>is</w:t>
      </w:r>
      <w:r w:rsidRPr="003856A4">
        <w:rPr>
          <w:szCs w:val="24"/>
        </w:rPr>
        <w:t xml:space="preserve"> to amend</w:t>
      </w:r>
      <w:r>
        <w:rPr>
          <w:szCs w:val="24"/>
        </w:rPr>
        <w:t xml:space="preserve"> the </w:t>
      </w:r>
      <w:r w:rsidRPr="00A35534">
        <w:rPr>
          <w:i/>
          <w:szCs w:val="24"/>
        </w:rPr>
        <w:t xml:space="preserve">Therapeutic Goods (Medical Devices) Regulations 2002 </w:t>
      </w:r>
      <w:r w:rsidRPr="003856A4">
        <w:rPr>
          <w:szCs w:val="24"/>
        </w:rPr>
        <w:t xml:space="preserve">to </w:t>
      </w:r>
      <w:r>
        <w:rPr>
          <w:szCs w:val="24"/>
        </w:rPr>
        <w:t>more closely align two aspects of the regulatory framework for medical devices in Australia with that in the EU: the classification of medical devices that are surgical meshes (including, in particular, urogynaecological meshes), and requirements relating to the provision of information to assist patients (in the form of leaflets and patient cards) with certain implantable medical devices.</w:t>
      </w:r>
    </w:p>
    <w:p w14:paraId="130D84EE" w14:textId="77777777" w:rsidR="008B66B8" w:rsidRDefault="008B66B8" w:rsidP="008B66B8">
      <w:pPr>
        <w:rPr>
          <w:szCs w:val="24"/>
        </w:rPr>
      </w:pPr>
    </w:p>
    <w:p w14:paraId="08B14893" w14:textId="033E7439" w:rsidR="008B66B8" w:rsidRDefault="008B66B8" w:rsidP="008B66B8">
      <w:pPr>
        <w:spacing w:after="240"/>
      </w:pPr>
      <w:r>
        <w:t xml:space="preserve">The Regulations do so by up-classifying surgical meshes from Class IIb medical devices to Class III and requiring manufacturers of implantable, and active implantable, medical devices (other than a number of specified kinds of devices like screws and most dental implants such as fillings, tooth crowns and braces) to include patient information leaflets and cards with their products. This commences from 1 December 2018 and will be fully implemented by 1 December 2021. The timing of implementation is dependent on whether such devices are new (i.e. where they are the subject of an application for marketing approval made before 1 December 2018) and on whether such implantable devices are urogynaecological meshes or not. </w:t>
      </w:r>
    </w:p>
    <w:p w14:paraId="1439E607" w14:textId="3A9949D7" w:rsidR="008B66B8" w:rsidRDefault="008B66B8" w:rsidP="008B66B8">
      <w:pPr>
        <w:spacing w:after="240"/>
      </w:pPr>
      <w:r>
        <w:t>These changes better address safety concerns relating to these products, particularly concerns raised by some patients that they were not aware of the details of medical devices that they were implanted with, and had not given informed consent for their surgery</w:t>
      </w:r>
      <w:r w:rsidR="009203A0">
        <w:t>. They</w:t>
      </w:r>
      <w:r>
        <w:t xml:space="preserve"> also bring the regulatory framework for these products closer to that of the approach of the EU, which introduced a revised regulatory framework for medical devices on 25 May 2017 including the up-classification of surgical meshes and the introduction of mandatory requirements to provide patient cards and information to patients fitted with any implantable device. </w:t>
      </w:r>
    </w:p>
    <w:p w14:paraId="0C3A5DFB" w14:textId="096CAD09" w:rsidR="008B66B8" w:rsidRDefault="008B66B8" w:rsidP="008B66B8">
      <w:pPr>
        <w:spacing w:after="240"/>
      </w:pPr>
      <w:r>
        <w:t>Some differences between the Australian and European frameworks will be present for a time in respect of these devices, principally in terms of the period for manufacturers and sponsors of existing meshes and other implants to transition to the new requirements.  In Europe, the transition period will commence in May 2020 and conclude in 2024, while in Australia</w:t>
      </w:r>
      <w:r w:rsidR="00460F74">
        <w:t xml:space="preserve"> the Regulations </w:t>
      </w:r>
      <w:r>
        <w:t>commence on 1 Decembe</w:t>
      </w:r>
      <w:r w:rsidR="00460F74">
        <w:t xml:space="preserve">r 2018 and the transition will </w:t>
      </w:r>
      <w:r>
        <w:t xml:space="preserve">conclude on 30 November 2021. </w:t>
      </w:r>
    </w:p>
    <w:p w14:paraId="796BDD10" w14:textId="37ABBDFE" w:rsidR="008B66B8" w:rsidRPr="0004496A" w:rsidRDefault="0004496A">
      <w:pPr>
        <w:rPr>
          <w:b/>
        </w:rPr>
      </w:pPr>
      <w:r w:rsidRPr="0004496A">
        <w:rPr>
          <w:b/>
        </w:rPr>
        <w:t>Human rights implications</w:t>
      </w:r>
    </w:p>
    <w:p w14:paraId="2936D590" w14:textId="5EFF41F1" w:rsidR="0004496A" w:rsidRDefault="0004496A">
      <w:r>
        <w:t>As the Amendment Regulations do not introduce any changes to the MD Regulations other than to implement the changes outlined above, they do not appear to engage any of the applicable rights or freedoms.</w:t>
      </w:r>
    </w:p>
    <w:p w14:paraId="0FC64489" w14:textId="77777777" w:rsidR="0004496A" w:rsidRDefault="0004496A"/>
    <w:p w14:paraId="66707709" w14:textId="4D9D0FAF" w:rsidR="0004496A" w:rsidRPr="0004496A" w:rsidRDefault="0004496A">
      <w:pPr>
        <w:rPr>
          <w:b/>
        </w:rPr>
      </w:pPr>
      <w:r w:rsidRPr="0004496A">
        <w:rPr>
          <w:b/>
        </w:rPr>
        <w:t>Conclusion</w:t>
      </w:r>
    </w:p>
    <w:p w14:paraId="0393868A" w14:textId="1D6F8538" w:rsidR="0004496A" w:rsidRDefault="0004496A">
      <w:r>
        <w:t>This legislative instrument is compatible with human rights as it does not raise any human rights issues.</w:t>
      </w:r>
    </w:p>
    <w:p w14:paraId="5A56643F" w14:textId="77777777" w:rsidR="0004496A" w:rsidRDefault="0004496A"/>
    <w:p w14:paraId="3F50B9DA" w14:textId="43F90EA2" w:rsidR="0004496A" w:rsidRPr="0004496A" w:rsidRDefault="0004496A" w:rsidP="0004496A">
      <w:pPr>
        <w:jc w:val="center"/>
        <w:rPr>
          <w:b/>
        </w:rPr>
      </w:pPr>
      <w:r w:rsidRPr="0004496A">
        <w:rPr>
          <w:b/>
        </w:rPr>
        <w:t>Greg Hunt, Minister for Health</w:t>
      </w:r>
    </w:p>
    <w:sectPr w:rsidR="0004496A" w:rsidRPr="0004496A" w:rsidSect="004176EA">
      <w:headerReference w:type="default" r:id="rId14"/>
      <w:headerReference w:type="first" r:id="rId15"/>
      <w:type w:val="continuous"/>
      <w:pgSz w:w="11906" w:h="16838"/>
      <w:pgMar w:top="1304" w:right="1440" w:bottom="1304" w:left="144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DC81D9" w15:done="0"/>
  <w15:commentEx w15:paraId="026E1922" w15:done="0"/>
  <w15:commentEx w15:paraId="54C6E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6765" w14:textId="77777777" w:rsidR="00C847D8" w:rsidRDefault="00C847D8" w:rsidP="00A2299B">
      <w:r>
        <w:separator/>
      </w:r>
    </w:p>
  </w:endnote>
  <w:endnote w:type="continuationSeparator" w:id="0">
    <w:p w14:paraId="0D3BF623" w14:textId="77777777" w:rsidR="00C847D8" w:rsidRDefault="00C847D8"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1232"/>
      <w:docPartObj>
        <w:docPartGallery w:val="Page Numbers (Bottom of Page)"/>
        <w:docPartUnique/>
      </w:docPartObj>
    </w:sdtPr>
    <w:sdtEndPr>
      <w:rPr>
        <w:noProof/>
      </w:rPr>
    </w:sdtEndPr>
    <w:sdtContent>
      <w:p w14:paraId="6DFEC915" w14:textId="0062D34B" w:rsidR="00082ADE" w:rsidRDefault="00082ADE">
        <w:pPr>
          <w:pStyle w:val="Footer"/>
          <w:jc w:val="center"/>
        </w:pPr>
        <w:r>
          <w:fldChar w:fldCharType="begin"/>
        </w:r>
        <w:r>
          <w:instrText xml:space="preserve"> PAGE   \* MERGEFORMAT </w:instrText>
        </w:r>
        <w:r>
          <w:fldChar w:fldCharType="separate"/>
        </w:r>
        <w:r w:rsidR="00871E17">
          <w:rPr>
            <w:noProof/>
          </w:rPr>
          <w:t>8</w:t>
        </w:r>
        <w:r>
          <w:rPr>
            <w:noProof/>
          </w:rPr>
          <w:fldChar w:fldCharType="end"/>
        </w:r>
      </w:p>
    </w:sdtContent>
  </w:sdt>
  <w:p w14:paraId="7379FFDD" w14:textId="77777777" w:rsidR="00986A29" w:rsidRDefault="00986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20C7" w14:textId="74C6D537" w:rsidR="00986A29" w:rsidRDefault="00986A29">
    <w:pPr>
      <w:pStyle w:val="Footer"/>
      <w:jc w:val="center"/>
      <w:rPr>
        <w:noProof/>
      </w:rPr>
    </w:pPr>
  </w:p>
  <w:p w14:paraId="49B3458A" w14:textId="77777777" w:rsidR="00986A29" w:rsidRDefault="00986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A6F7D" w14:textId="77777777" w:rsidR="00C847D8" w:rsidRDefault="00C847D8" w:rsidP="00A2299B">
      <w:r>
        <w:separator/>
      </w:r>
    </w:p>
  </w:footnote>
  <w:footnote w:type="continuationSeparator" w:id="0">
    <w:p w14:paraId="2A73C38C" w14:textId="77777777" w:rsidR="00C847D8" w:rsidRDefault="00C847D8"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93B8B" w14:textId="45E4224D" w:rsidR="00741C0D" w:rsidRDefault="00741C0D">
    <w:pPr>
      <w:pStyle w:val="Header"/>
      <w:jc w:val="center"/>
    </w:pPr>
  </w:p>
  <w:p w14:paraId="763E1218" w14:textId="77777777" w:rsidR="00971254" w:rsidRDefault="00971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6D179" w14:textId="77777777" w:rsidR="00741C0D" w:rsidRDefault="00741C0D">
    <w:pPr>
      <w:pStyle w:val="Header"/>
      <w:jc w:val="center"/>
    </w:pPr>
  </w:p>
  <w:p w14:paraId="33CEE221" w14:textId="77777777" w:rsidR="00741C0D" w:rsidRDefault="00741C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A0731" w14:textId="06D4E0A0" w:rsidR="00741C0D" w:rsidRDefault="00741C0D">
    <w:pPr>
      <w:pStyle w:val="Header"/>
      <w:jc w:val="center"/>
    </w:pPr>
  </w:p>
  <w:p w14:paraId="0FF2B680" w14:textId="77777777" w:rsidR="009749EE" w:rsidRDefault="009749EE" w:rsidP="002B62A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D29B" w14:textId="4CE7EBA7" w:rsidR="00741C0D" w:rsidRDefault="00741C0D">
    <w:pPr>
      <w:pStyle w:val="Header"/>
      <w:jc w:val="center"/>
    </w:pPr>
  </w:p>
  <w:p w14:paraId="66055A40" w14:textId="77777777" w:rsidR="00741C0D" w:rsidRDefault="00741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1D7"/>
    <w:multiLevelType w:val="hybridMultilevel"/>
    <w:tmpl w:val="8FFC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891505"/>
    <w:multiLevelType w:val="hybridMultilevel"/>
    <w:tmpl w:val="4970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F4374C"/>
    <w:multiLevelType w:val="hybridMultilevel"/>
    <w:tmpl w:val="2876B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D866E4"/>
    <w:multiLevelType w:val="hybridMultilevel"/>
    <w:tmpl w:val="EED64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8934A6B"/>
    <w:multiLevelType w:val="multilevel"/>
    <w:tmpl w:val="B282D30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5">
    <w:nsid w:val="2A0A060D"/>
    <w:multiLevelType w:val="hybridMultilevel"/>
    <w:tmpl w:val="A0D0E30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nsid w:val="2D0F50A4"/>
    <w:multiLevelType w:val="hybridMultilevel"/>
    <w:tmpl w:val="58F88B58"/>
    <w:lvl w:ilvl="0" w:tplc="F0A8F332">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121735E"/>
    <w:multiLevelType w:val="hybridMultilevel"/>
    <w:tmpl w:val="50AA0A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8177717"/>
    <w:multiLevelType w:val="hybridMultilevel"/>
    <w:tmpl w:val="0248DF0A"/>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0">
    <w:nsid w:val="3FCD60C1"/>
    <w:multiLevelType w:val="hybridMultilevel"/>
    <w:tmpl w:val="7BA83E9E"/>
    <w:lvl w:ilvl="0" w:tplc="ABFED1AE">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2">
    <w:nsid w:val="65456429"/>
    <w:multiLevelType w:val="multilevel"/>
    <w:tmpl w:val="6FA81F12"/>
    <w:lvl w:ilvl="0">
      <w:start w:val="1"/>
      <w:numFmt w:val="decimal"/>
      <w:pStyle w:val="ListNumber"/>
      <w:lvlText w:val="%1."/>
      <w:lvlJc w:val="left"/>
      <w:pPr>
        <w:ind w:left="369" w:hanging="369"/>
      </w:pPr>
      <w:rPr>
        <w:rFonts w:ascii="Times New Roman" w:hAnsi="Times New Roman" w:cs="Times New Roman" w:hint="default"/>
        <w:b w:val="0"/>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3">
    <w:nsid w:val="673F2EC5"/>
    <w:multiLevelType w:val="hybridMultilevel"/>
    <w:tmpl w:val="E254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4A79E8"/>
    <w:multiLevelType w:val="hybridMultilevel"/>
    <w:tmpl w:val="D64478FC"/>
    <w:lvl w:ilvl="0" w:tplc="15AA6F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9"/>
  </w:num>
  <w:num w:numId="5">
    <w:abstractNumId w:val="1"/>
  </w:num>
  <w:num w:numId="6">
    <w:abstractNumId w:val="5"/>
  </w:num>
  <w:num w:numId="7">
    <w:abstractNumId w:val="3"/>
  </w:num>
  <w:num w:numId="8">
    <w:abstractNumId w:val="14"/>
  </w:num>
  <w:num w:numId="9">
    <w:abstractNumId w:val="10"/>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7"/>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son, Rowena">
    <w15:presenceInfo w15:providerId="AD" w15:userId="S-1-5-21-672394970-180755160-2318422700-4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43AB"/>
    <w:rsid w:val="00006EED"/>
    <w:rsid w:val="00022604"/>
    <w:rsid w:val="00030D81"/>
    <w:rsid w:val="00033601"/>
    <w:rsid w:val="0003743D"/>
    <w:rsid w:val="000375A8"/>
    <w:rsid w:val="0004282E"/>
    <w:rsid w:val="0004496A"/>
    <w:rsid w:val="00044AA2"/>
    <w:rsid w:val="00045889"/>
    <w:rsid w:val="00054095"/>
    <w:rsid w:val="00060820"/>
    <w:rsid w:val="000627DF"/>
    <w:rsid w:val="000651D7"/>
    <w:rsid w:val="00065A16"/>
    <w:rsid w:val="000668D6"/>
    <w:rsid w:val="00067888"/>
    <w:rsid w:val="0007315A"/>
    <w:rsid w:val="000734F6"/>
    <w:rsid w:val="0007636B"/>
    <w:rsid w:val="00082ADE"/>
    <w:rsid w:val="00084325"/>
    <w:rsid w:val="00093A6A"/>
    <w:rsid w:val="000A5198"/>
    <w:rsid w:val="000A79DA"/>
    <w:rsid w:val="000B1535"/>
    <w:rsid w:val="000B380F"/>
    <w:rsid w:val="000C648C"/>
    <w:rsid w:val="000C6B8D"/>
    <w:rsid w:val="000D3951"/>
    <w:rsid w:val="000D5A0E"/>
    <w:rsid w:val="000D5BFD"/>
    <w:rsid w:val="000E0F76"/>
    <w:rsid w:val="000E2383"/>
    <w:rsid w:val="000E3365"/>
    <w:rsid w:val="000E4581"/>
    <w:rsid w:val="000E47E3"/>
    <w:rsid w:val="000E58AE"/>
    <w:rsid w:val="000F0914"/>
    <w:rsid w:val="000F0CBA"/>
    <w:rsid w:val="000F48B1"/>
    <w:rsid w:val="00101DDA"/>
    <w:rsid w:val="00103C23"/>
    <w:rsid w:val="00112FAB"/>
    <w:rsid w:val="00114E14"/>
    <w:rsid w:val="001163EC"/>
    <w:rsid w:val="00125BBB"/>
    <w:rsid w:val="001308C1"/>
    <w:rsid w:val="00133168"/>
    <w:rsid w:val="00135704"/>
    <w:rsid w:val="001360A1"/>
    <w:rsid w:val="001401CD"/>
    <w:rsid w:val="00142640"/>
    <w:rsid w:val="00144798"/>
    <w:rsid w:val="00145C12"/>
    <w:rsid w:val="00150326"/>
    <w:rsid w:val="00150FAE"/>
    <w:rsid w:val="00153D03"/>
    <w:rsid w:val="00154185"/>
    <w:rsid w:val="0015504D"/>
    <w:rsid w:val="001553AD"/>
    <w:rsid w:val="00156491"/>
    <w:rsid w:val="00157BD5"/>
    <w:rsid w:val="00162321"/>
    <w:rsid w:val="00163597"/>
    <w:rsid w:val="00164764"/>
    <w:rsid w:val="00165B7C"/>
    <w:rsid w:val="001662D3"/>
    <w:rsid w:val="001705A4"/>
    <w:rsid w:val="001712C4"/>
    <w:rsid w:val="0017285B"/>
    <w:rsid w:val="001766E6"/>
    <w:rsid w:val="001840EB"/>
    <w:rsid w:val="00185569"/>
    <w:rsid w:val="0019024C"/>
    <w:rsid w:val="0019151E"/>
    <w:rsid w:val="0019454D"/>
    <w:rsid w:val="00194CCA"/>
    <w:rsid w:val="00195749"/>
    <w:rsid w:val="00196CD4"/>
    <w:rsid w:val="00197CC0"/>
    <w:rsid w:val="001A0375"/>
    <w:rsid w:val="001A7DFC"/>
    <w:rsid w:val="001B38E8"/>
    <w:rsid w:val="001B5263"/>
    <w:rsid w:val="001B7201"/>
    <w:rsid w:val="001B7BB2"/>
    <w:rsid w:val="001D2E82"/>
    <w:rsid w:val="001D711C"/>
    <w:rsid w:val="001E543B"/>
    <w:rsid w:val="001F2584"/>
    <w:rsid w:val="001F3D9E"/>
    <w:rsid w:val="001F75BA"/>
    <w:rsid w:val="002000B9"/>
    <w:rsid w:val="002019C8"/>
    <w:rsid w:val="00202085"/>
    <w:rsid w:val="0020505B"/>
    <w:rsid w:val="00210FD5"/>
    <w:rsid w:val="00212784"/>
    <w:rsid w:val="002204B5"/>
    <w:rsid w:val="00221202"/>
    <w:rsid w:val="002217B4"/>
    <w:rsid w:val="00231CCB"/>
    <w:rsid w:val="00232AED"/>
    <w:rsid w:val="00235126"/>
    <w:rsid w:val="00237EEE"/>
    <w:rsid w:val="00240224"/>
    <w:rsid w:val="0024081E"/>
    <w:rsid w:val="00241672"/>
    <w:rsid w:val="00241AAC"/>
    <w:rsid w:val="00241C49"/>
    <w:rsid w:val="002433D6"/>
    <w:rsid w:val="0024495C"/>
    <w:rsid w:val="00247FA8"/>
    <w:rsid w:val="00270C51"/>
    <w:rsid w:val="002747DD"/>
    <w:rsid w:val="002810EE"/>
    <w:rsid w:val="00283A2F"/>
    <w:rsid w:val="00285925"/>
    <w:rsid w:val="00287B9E"/>
    <w:rsid w:val="00295A1D"/>
    <w:rsid w:val="00296B5A"/>
    <w:rsid w:val="00296CDD"/>
    <w:rsid w:val="002A34A9"/>
    <w:rsid w:val="002A351A"/>
    <w:rsid w:val="002A6082"/>
    <w:rsid w:val="002B3F88"/>
    <w:rsid w:val="002B62A1"/>
    <w:rsid w:val="002C1A9B"/>
    <w:rsid w:val="002C41B2"/>
    <w:rsid w:val="002C4298"/>
    <w:rsid w:val="002C5C61"/>
    <w:rsid w:val="002D3B4F"/>
    <w:rsid w:val="002D58AD"/>
    <w:rsid w:val="002D5938"/>
    <w:rsid w:val="002E0B8C"/>
    <w:rsid w:val="002E1796"/>
    <w:rsid w:val="002E568B"/>
    <w:rsid w:val="002E6EC5"/>
    <w:rsid w:val="002E71AD"/>
    <w:rsid w:val="002F302B"/>
    <w:rsid w:val="002F30C6"/>
    <w:rsid w:val="002F3E9E"/>
    <w:rsid w:val="002F413F"/>
    <w:rsid w:val="002F4AF9"/>
    <w:rsid w:val="002F6C95"/>
    <w:rsid w:val="003065BD"/>
    <w:rsid w:val="00306886"/>
    <w:rsid w:val="00307D4D"/>
    <w:rsid w:val="00311F0C"/>
    <w:rsid w:val="00314387"/>
    <w:rsid w:val="0032168C"/>
    <w:rsid w:val="003224C1"/>
    <w:rsid w:val="00322D3A"/>
    <w:rsid w:val="00323171"/>
    <w:rsid w:val="003261E6"/>
    <w:rsid w:val="0033124F"/>
    <w:rsid w:val="00333FAC"/>
    <w:rsid w:val="0033580D"/>
    <w:rsid w:val="00335E3F"/>
    <w:rsid w:val="00337CDA"/>
    <w:rsid w:val="00340FFF"/>
    <w:rsid w:val="003411ED"/>
    <w:rsid w:val="00342BB7"/>
    <w:rsid w:val="00345837"/>
    <w:rsid w:val="00353820"/>
    <w:rsid w:val="00361D17"/>
    <w:rsid w:val="0036468F"/>
    <w:rsid w:val="00373454"/>
    <w:rsid w:val="00376B26"/>
    <w:rsid w:val="00380326"/>
    <w:rsid w:val="003856A4"/>
    <w:rsid w:val="003856BB"/>
    <w:rsid w:val="00386A3E"/>
    <w:rsid w:val="00391347"/>
    <w:rsid w:val="0039169F"/>
    <w:rsid w:val="003926E7"/>
    <w:rsid w:val="00392793"/>
    <w:rsid w:val="00392C09"/>
    <w:rsid w:val="003A26DD"/>
    <w:rsid w:val="003A30FF"/>
    <w:rsid w:val="003A3940"/>
    <w:rsid w:val="003A4BB8"/>
    <w:rsid w:val="003A5221"/>
    <w:rsid w:val="003A5C6B"/>
    <w:rsid w:val="003B15E8"/>
    <w:rsid w:val="003C1295"/>
    <w:rsid w:val="003C2F6C"/>
    <w:rsid w:val="003C6693"/>
    <w:rsid w:val="003C7D04"/>
    <w:rsid w:val="003D04BD"/>
    <w:rsid w:val="003D2BCA"/>
    <w:rsid w:val="003D3F2F"/>
    <w:rsid w:val="003D7937"/>
    <w:rsid w:val="003D7DA5"/>
    <w:rsid w:val="003E33C4"/>
    <w:rsid w:val="003F3E8B"/>
    <w:rsid w:val="003F7635"/>
    <w:rsid w:val="003F7719"/>
    <w:rsid w:val="003F7EB4"/>
    <w:rsid w:val="003F7F23"/>
    <w:rsid w:val="00406972"/>
    <w:rsid w:val="00415793"/>
    <w:rsid w:val="004176EA"/>
    <w:rsid w:val="00417B27"/>
    <w:rsid w:val="0042269B"/>
    <w:rsid w:val="00423C62"/>
    <w:rsid w:val="00424F4E"/>
    <w:rsid w:val="004260B7"/>
    <w:rsid w:val="00426DAD"/>
    <w:rsid w:val="00433A96"/>
    <w:rsid w:val="004342D3"/>
    <w:rsid w:val="00434538"/>
    <w:rsid w:val="004362E5"/>
    <w:rsid w:val="00441AC1"/>
    <w:rsid w:val="0044252B"/>
    <w:rsid w:val="00445F2F"/>
    <w:rsid w:val="00452FD5"/>
    <w:rsid w:val="0045553E"/>
    <w:rsid w:val="0046065D"/>
    <w:rsid w:val="00460F74"/>
    <w:rsid w:val="00462276"/>
    <w:rsid w:val="004635BF"/>
    <w:rsid w:val="004668C7"/>
    <w:rsid w:val="00470A7B"/>
    <w:rsid w:val="004713ED"/>
    <w:rsid w:val="00471CBC"/>
    <w:rsid w:val="004728EB"/>
    <w:rsid w:val="00476D3E"/>
    <w:rsid w:val="004906E3"/>
    <w:rsid w:val="004947F7"/>
    <w:rsid w:val="00495AC6"/>
    <w:rsid w:val="004A23D3"/>
    <w:rsid w:val="004B2519"/>
    <w:rsid w:val="004B59B2"/>
    <w:rsid w:val="004B78AC"/>
    <w:rsid w:val="004B7BAA"/>
    <w:rsid w:val="004C0AE4"/>
    <w:rsid w:val="004C3909"/>
    <w:rsid w:val="004C4DD5"/>
    <w:rsid w:val="004C6528"/>
    <w:rsid w:val="004D0980"/>
    <w:rsid w:val="004D2F15"/>
    <w:rsid w:val="004E2513"/>
    <w:rsid w:val="004E52D3"/>
    <w:rsid w:val="004E6FDA"/>
    <w:rsid w:val="004E70FB"/>
    <w:rsid w:val="004F0A1E"/>
    <w:rsid w:val="00500DF1"/>
    <w:rsid w:val="00500F1D"/>
    <w:rsid w:val="00503A74"/>
    <w:rsid w:val="00503FF2"/>
    <w:rsid w:val="00506C06"/>
    <w:rsid w:val="00507967"/>
    <w:rsid w:val="00510478"/>
    <w:rsid w:val="00517846"/>
    <w:rsid w:val="00517D47"/>
    <w:rsid w:val="005216EF"/>
    <w:rsid w:val="005329D6"/>
    <w:rsid w:val="00532D35"/>
    <w:rsid w:val="005345CF"/>
    <w:rsid w:val="00536C41"/>
    <w:rsid w:val="00540B0E"/>
    <w:rsid w:val="00542F8E"/>
    <w:rsid w:val="00545922"/>
    <w:rsid w:val="00552DA4"/>
    <w:rsid w:val="0056578D"/>
    <w:rsid w:val="00565990"/>
    <w:rsid w:val="00567BDF"/>
    <w:rsid w:val="005708A2"/>
    <w:rsid w:val="00572B86"/>
    <w:rsid w:val="00573ED8"/>
    <w:rsid w:val="00574D01"/>
    <w:rsid w:val="00575874"/>
    <w:rsid w:val="00575D61"/>
    <w:rsid w:val="0057603E"/>
    <w:rsid w:val="00577CA2"/>
    <w:rsid w:val="005821ED"/>
    <w:rsid w:val="00583D1D"/>
    <w:rsid w:val="005909B8"/>
    <w:rsid w:val="00595FCE"/>
    <w:rsid w:val="005A1275"/>
    <w:rsid w:val="005A3F7C"/>
    <w:rsid w:val="005C1FA3"/>
    <w:rsid w:val="005C2832"/>
    <w:rsid w:val="005C564E"/>
    <w:rsid w:val="005D15ED"/>
    <w:rsid w:val="005D1A24"/>
    <w:rsid w:val="005D2C90"/>
    <w:rsid w:val="005E34D7"/>
    <w:rsid w:val="005E3FB9"/>
    <w:rsid w:val="005F1ED2"/>
    <w:rsid w:val="005F3B1E"/>
    <w:rsid w:val="005F43C2"/>
    <w:rsid w:val="005F5A5D"/>
    <w:rsid w:val="005F5B0A"/>
    <w:rsid w:val="00600CB8"/>
    <w:rsid w:val="0061287D"/>
    <w:rsid w:val="00613321"/>
    <w:rsid w:val="00614693"/>
    <w:rsid w:val="00620747"/>
    <w:rsid w:val="00623B27"/>
    <w:rsid w:val="006311D3"/>
    <w:rsid w:val="00631D1B"/>
    <w:rsid w:val="00634DF1"/>
    <w:rsid w:val="00641252"/>
    <w:rsid w:val="00642A57"/>
    <w:rsid w:val="00644256"/>
    <w:rsid w:val="00644A99"/>
    <w:rsid w:val="00650890"/>
    <w:rsid w:val="00656DAE"/>
    <w:rsid w:val="006617D2"/>
    <w:rsid w:val="00661DE9"/>
    <w:rsid w:val="00671C55"/>
    <w:rsid w:val="0067242A"/>
    <w:rsid w:val="0067501E"/>
    <w:rsid w:val="00675505"/>
    <w:rsid w:val="00680A97"/>
    <w:rsid w:val="00684780"/>
    <w:rsid w:val="0068604B"/>
    <w:rsid w:val="006879DE"/>
    <w:rsid w:val="0069385C"/>
    <w:rsid w:val="006A2C75"/>
    <w:rsid w:val="006A3017"/>
    <w:rsid w:val="006A4FB4"/>
    <w:rsid w:val="006A57AE"/>
    <w:rsid w:val="006A7534"/>
    <w:rsid w:val="006B07BF"/>
    <w:rsid w:val="006C0AEA"/>
    <w:rsid w:val="006C0DBC"/>
    <w:rsid w:val="006C4F61"/>
    <w:rsid w:val="006C6B54"/>
    <w:rsid w:val="006D1D9F"/>
    <w:rsid w:val="006D2575"/>
    <w:rsid w:val="006D3511"/>
    <w:rsid w:val="006D75A9"/>
    <w:rsid w:val="006E0AA8"/>
    <w:rsid w:val="006E4C3D"/>
    <w:rsid w:val="006E7A6C"/>
    <w:rsid w:val="006E7C0A"/>
    <w:rsid w:val="006F575B"/>
    <w:rsid w:val="007024A0"/>
    <w:rsid w:val="00703AE1"/>
    <w:rsid w:val="00704057"/>
    <w:rsid w:val="007040A8"/>
    <w:rsid w:val="007041BC"/>
    <w:rsid w:val="00704A6B"/>
    <w:rsid w:val="00706136"/>
    <w:rsid w:val="00706674"/>
    <w:rsid w:val="007140A6"/>
    <w:rsid w:val="007150F0"/>
    <w:rsid w:val="0071789B"/>
    <w:rsid w:val="0072242C"/>
    <w:rsid w:val="00724A6C"/>
    <w:rsid w:val="00724FBC"/>
    <w:rsid w:val="00730734"/>
    <w:rsid w:val="0073096B"/>
    <w:rsid w:val="00741C0D"/>
    <w:rsid w:val="007428AC"/>
    <w:rsid w:val="00743A70"/>
    <w:rsid w:val="00747579"/>
    <w:rsid w:val="00747ABD"/>
    <w:rsid w:val="00750852"/>
    <w:rsid w:val="007548E6"/>
    <w:rsid w:val="007608BF"/>
    <w:rsid w:val="00770748"/>
    <w:rsid w:val="00771BDB"/>
    <w:rsid w:val="0077263E"/>
    <w:rsid w:val="00773210"/>
    <w:rsid w:val="00783E35"/>
    <w:rsid w:val="00795062"/>
    <w:rsid w:val="007A04A9"/>
    <w:rsid w:val="007A2D51"/>
    <w:rsid w:val="007B086B"/>
    <w:rsid w:val="007B1534"/>
    <w:rsid w:val="007B30C5"/>
    <w:rsid w:val="007B3D12"/>
    <w:rsid w:val="007B6541"/>
    <w:rsid w:val="007C08F3"/>
    <w:rsid w:val="007C0E54"/>
    <w:rsid w:val="007C210C"/>
    <w:rsid w:val="007C39C3"/>
    <w:rsid w:val="007C7276"/>
    <w:rsid w:val="007D19B8"/>
    <w:rsid w:val="007D37FB"/>
    <w:rsid w:val="007D7FA8"/>
    <w:rsid w:val="007F2A8E"/>
    <w:rsid w:val="007F51A0"/>
    <w:rsid w:val="007F58F9"/>
    <w:rsid w:val="00800C44"/>
    <w:rsid w:val="0080264E"/>
    <w:rsid w:val="00803A0C"/>
    <w:rsid w:val="00805B46"/>
    <w:rsid w:val="00810717"/>
    <w:rsid w:val="00810E6E"/>
    <w:rsid w:val="008117B3"/>
    <w:rsid w:val="00816685"/>
    <w:rsid w:val="008210CC"/>
    <w:rsid w:val="008242E1"/>
    <w:rsid w:val="00827785"/>
    <w:rsid w:val="00831EF9"/>
    <w:rsid w:val="008341F8"/>
    <w:rsid w:val="00841914"/>
    <w:rsid w:val="00847DE9"/>
    <w:rsid w:val="00850F73"/>
    <w:rsid w:val="00851471"/>
    <w:rsid w:val="00852AF3"/>
    <w:rsid w:val="008601D5"/>
    <w:rsid w:val="00862240"/>
    <w:rsid w:val="00862B69"/>
    <w:rsid w:val="008632AB"/>
    <w:rsid w:val="008644DA"/>
    <w:rsid w:val="00871E17"/>
    <w:rsid w:val="00874B45"/>
    <w:rsid w:val="0088627C"/>
    <w:rsid w:val="0089115C"/>
    <w:rsid w:val="00891888"/>
    <w:rsid w:val="0089192E"/>
    <w:rsid w:val="008925BE"/>
    <w:rsid w:val="0089620D"/>
    <w:rsid w:val="00897378"/>
    <w:rsid w:val="00897771"/>
    <w:rsid w:val="00897D10"/>
    <w:rsid w:val="008A0160"/>
    <w:rsid w:val="008A0AD6"/>
    <w:rsid w:val="008A0FDA"/>
    <w:rsid w:val="008A2357"/>
    <w:rsid w:val="008A3758"/>
    <w:rsid w:val="008A47EE"/>
    <w:rsid w:val="008A4B48"/>
    <w:rsid w:val="008A675A"/>
    <w:rsid w:val="008B66B8"/>
    <w:rsid w:val="008C19CA"/>
    <w:rsid w:val="008C7CA2"/>
    <w:rsid w:val="008D253A"/>
    <w:rsid w:val="008E2ABC"/>
    <w:rsid w:val="008E30B6"/>
    <w:rsid w:val="008E7167"/>
    <w:rsid w:val="008E7C92"/>
    <w:rsid w:val="008F2D4C"/>
    <w:rsid w:val="008F7DC5"/>
    <w:rsid w:val="00900C44"/>
    <w:rsid w:val="00901A68"/>
    <w:rsid w:val="009054F7"/>
    <w:rsid w:val="00906F04"/>
    <w:rsid w:val="00913794"/>
    <w:rsid w:val="0091473C"/>
    <w:rsid w:val="009161C8"/>
    <w:rsid w:val="00917A83"/>
    <w:rsid w:val="009203A0"/>
    <w:rsid w:val="00920D23"/>
    <w:rsid w:val="00922B98"/>
    <w:rsid w:val="00930A0E"/>
    <w:rsid w:val="0093638A"/>
    <w:rsid w:val="00941170"/>
    <w:rsid w:val="00945A69"/>
    <w:rsid w:val="00951650"/>
    <w:rsid w:val="00952BBA"/>
    <w:rsid w:val="00955B3E"/>
    <w:rsid w:val="009614C5"/>
    <w:rsid w:val="00961F07"/>
    <w:rsid w:val="0096236A"/>
    <w:rsid w:val="00971254"/>
    <w:rsid w:val="009749EE"/>
    <w:rsid w:val="0097503A"/>
    <w:rsid w:val="00976362"/>
    <w:rsid w:val="009824C7"/>
    <w:rsid w:val="0098452E"/>
    <w:rsid w:val="00985B38"/>
    <w:rsid w:val="00986A29"/>
    <w:rsid w:val="00991D23"/>
    <w:rsid w:val="00993EBD"/>
    <w:rsid w:val="009943A3"/>
    <w:rsid w:val="00996541"/>
    <w:rsid w:val="009A5BF5"/>
    <w:rsid w:val="009C010D"/>
    <w:rsid w:val="009C63C9"/>
    <w:rsid w:val="009C737D"/>
    <w:rsid w:val="009D293A"/>
    <w:rsid w:val="009D3074"/>
    <w:rsid w:val="009D3683"/>
    <w:rsid w:val="009D3F55"/>
    <w:rsid w:val="009D740E"/>
    <w:rsid w:val="009E25E2"/>
    <w:rsid w:val="009E4F75"/>
    <w:rsid w:val="009F0F57"/>
    <w:rsid w:val="009F18D0"/>
    <w:rsid w:val="00A06B97"/>
    <w:rsid w:val="00A10F32"/>
    <w:rsid w:val="00A12278"/>
    <w:rsid w:val="00A14162"/>
    <w:rsid w:val="00A148E9"/>
    <w:rsid w:val="00A2299B"/>
    <w:rsid w:val="00A22CDC"/>
    <w:rsid w:val="00A251B0"/>
    <w:rsid w:val="00A3369D"/>
    <w:rsid w:val="00A354CA"/>
    <w:rsid w:val="00A35534"/>
    <w:rsid w:val="00A651FE"/>
    <w:rsid w:val="00A733DA"/>
    <w:rsid w:val="00A75822"/>
    <w:rsid w:val="00A75C52"/>
    <w:rsid w:val="00A76F5A"/>
    <w:rsid w:val="00A85600"/>
    <w:rsid w:val="00A8653F"/>
    <w:rsid w:val="00A91AE5"/>
    <w:rsid w:val="00A92C09"/>
    <w:rsid w:val="00A934C5"/>
    <w:rsid w:val="00A97678"/>
    <w:rsid w:val="00AA3401"/>
    <w:rsid w:val="00AA5A8D"/>
    <w:rsid w:val="00AB3BCD"/>
    <w:rsid w:val="00AB45F3"/>
    <w:rsid w:val="00AC04BF"/>
    <w:rsid w:val="00AC11C8"/>
    <w:rsid w:val="00AC25C7"/>
    <w:rsid w:val="00AC42A1"/>
    <w:rsid w:val="00AD14E2"/>
    <w:rsid w:val="00AD28FF"/>
    <w:rsid w:val="00AD390C"/>
    <w:rsid w:val="00AD4F3B"/>
    <w:rsid w:val="00AD6698"/>
    <w:rsid w:val="00AD7222"/>
    <w:rsid w:val="00AD72DB"/>
    <w:rsid w:val="00AE3DDE"/>
    <w:rsid w:val="00AE5795"/>
    <w:rsid w:val="00AF14FF"/>
    <w:rsid w:val="00AF4EC8"/>
    <w:rsid w:val="00AF5833"/>
    <w:rsid w:val="00AF6297"/>
    <w:rsid w:val="00AF6BDD"/>
    <w:rsid w:val="00AF779A"/>
    <w:rsid w:val="00B0187C"/>
    <w:rsid w:val="00B0417C"/>
    <w:rsid w:val="00B055B7"/>
    <w:rsid w:val="00B061EC"/>
    <w:rsid w:val="00B10E05"/>
    <w:rsid w:val="00B1200F"/>
    <w:rsid w:val="00B149D9"/>
    <w:rsid w:val="00B15BAC"/>
    <w:rsid w:val="00B163A7"/>
    <w:rsid w:val="00B16874"/>
    <w:rsid w:val="00B23772"/>
    <w:rsid w:val="00B3063B"/>
    <w:rsid w:val="00B37084"/>
    <w:rsid w:val="00B40A5A"/>
    <w:rsid w:val="00B42634"/>
    <w:rsid w:val="00B43D28"/>
    <w:rsid w:val="00B446E4"/>
    <w:rsid w:val="00B46646"/>
    <w:rsid w:val="00B50B81"/>
    <w:rsid w:val="00B57807"/>
    <w:rsid w:val="00B61553"/>
    <w:rsid w:val="00B653F2"/>
    <w:rsid w:val="00B70663"/>
    <w:rsid w:val="00B71487"/>
    <w:rsid w:val="00B777FB"/>
    <w:rsid w:val="00B77AB9"/>
    <w:rsid w:val="00B838D8"/>
    <w:rsid w:val="00B84CFE"/>
    <w:rsid w:val="00B85A19"/>
    <w:rsid w:val="00B93866"/>
    <w:rsid w:val="00B93A28"/>
    <w:rsid w:val="00BA167E"/>
    <w:rsid w:val="00BA1C6C"/>
    <w:rsid w:val="00BA1DAE"/>
    <w:rsid w:val="00BA306B"/>
    <w:rsid w:val="00BA3FBF"/>
    <w:rsid w:val="00BA67C5"/>
    <w:rsid w:val="00BA6847"/>
    <w:rsid w:val="00BA76D9"/>
    <w:rsid w:val="00BB12A1"/>
    <w:rsid w:val="00BB5A4D"/>
    <w:rsid w:val="00BB6349"/>
    <w:rsid w:val="00BB7B51"/>
    <w:rsid w:val="00BB7B60"/>
    <w:rsid w:val="00BB7F42"/>
    <w:rsid w:val="00BC376A"/>
    <w:rsid w:val="00BC3F26"/>
    <w:rsid w:val="00BC6125"/>
    <w:rsid w:val="00BD45D5"/>
    <w:rsid w:val="00BF2C1F"/>
    <w:rsid w:val="00BF41B6"/>
    <w:rsid w:val="00BF6DCC"/>
    <w:rsid w:val="00C001FC"/>
    <w:rsid w:val="00C0084B"/>
    <w:rsid w:val="00C20D4C"/>
    <w:rsid w:val="00C228A0"/>
    <w:rsid w:val="00C24576"/>
    <w:rsid w:val="00C2509F"/>
    <w:rsid w:val="00C2718B"/>
    <w:rsid w:val="00C30B31"/>
    <w:rsid w:val="00C3139C"/>
    <w:rsid w:val="00C326E4"/>
    <w:rsid w:val="00C33F0D"/>
    <w:rsid w:val="00C403D4"/>
    <w:rsid w:val="00C43C65"/>
    <w:rsid w:val="00C44B5B"/>
    <w:rsid w:val="00C4748E"/>
    <w:rsid w:val="00C47D97"/>
    <w:rsid w:val="00C513B4"/>
    <w:rsid w:val="00C52937"/>
    <w:rsid w:val="00C53124"/>
    <w:rsid w:val="00C54827"/>
    <w:rsid w:val="00C57FA9"/>
    <w:rsid w:val="00C645E3"/>
    <w:rsid w:val="00C65115"/>
    <w:rsid w:val="00C6778C"/>
    <w:rsid w:val="00C73432"/>
    <w:rsid w:val="00C81D0B"/>
    <w:rsid w:val="00C83867"/>
    <w:rsid w:val="00C83936"/>
    <w:rsid w:val="00C847D8"/>
    <w:rsid w:val="00C863BC"/>
    <w:rsid w:val="00C866CE"/>
    <w:rsid w:val="00C90901"/>
    <w:rsid w:val="00C92891"/>
    <w:rsid w:val="00C93586"/>
    <w:rsid w:val="00C96E92"/>
    <w:rsid w:val="00C97781"/>
    <w:rsid w:val="00CA0545"/>
    <w:rsid w:val="00CA14A4"/>
    <w:rsid w:val="00CB2B95"/>
    <w:rsid w:val="00CB7346"/>
    <w:rsid w:val="00CC0C9F"/>
    <w:rsid w:val="00CC10FF"/>
    <w:rsid w:val="00CD2070"/>
    <w:rsid w:val="00CD2984"/>
    <w:rsid w:val="00CD5BF4"/>
    <w:rsid w:val="00CD7CD9"/>
    <w:rsid w:val="00CE0A46"/>
    <w:rsid w:val="00CE4EDE"/>
    <w:rsid w:val="00CE6752"/>
    <w:rsid w:val="00CF4694"/>
    <w:rsid w:val="00CF71DD"/>
    <w:rsid w:val="00D035D7"/>
    <w:rsid w:val="00D0445F"/>
    <w:rsid w:val="00D06BE6"/>
    <w:rsid w:val="00D13229"/>
    <w:rsid w:val="00D136DF"/>
    <w:rsid w:val="00D140DB"/>
    <w:rsid w:val="00D1669A"/>
    <w:rsid w:val="00D17848"/>
    <w:rsid w:val="00D2044C"/>
    <w:rsid w:val="00D20D48"/>
    <w:rsid w:val="00D22347"/>
    <w:rsid w:val="00D24587"/>
    <w:rsid w:val="00D2645A"/>
    <w:rsid w:val="00D2672A"/>
    <w:rsid w:val="00D30DEE"/>
    <w:rsid w:val="00D32EA9"/>
    <w:rsid w:val="00D443FC"/>
    <w:rsid w:val="00D46B3C"/>
    <w:rsid w:val="00D4730B"/>
    <w:rsid w:val="00D53A9C"/>
    <w:rsid w:val="00D628E4"/>
    <w:rsid w:val="00D6356B"/>
    <w:rsid w:val="00D66A30"/>
    <w:rsid w:val="00D66D94"/>
    <w:rsid w:val="00D70B73"/>
    <w:rsid w:val="00D770DF"/>
    <w:rsid w:val="00D845A7"/>
    <w:rsid w:val="00D84927"/>
    <w:rsid w:val="00D869B8"/>
    <w:rsid w:val="00D86EC1"/>
    <w:rsid w:val="00D9238E"/>
    <w:rsid w:val="00D9289F"/>
    <w:rsid w:val="00DA4904"/>
    <w:rsid w:val="00DA6E65"/>
    <w:rsid w:val="00DB30A2"/>
    <w:rsid w:val="00DB6F99"/>
    <w:rsid w:val="00DC6A3E"/>
    <w:rsid w:val="00DD5806"/>
    <w:rsid w:val="00DD5EB3"/>
    <w:rsid w:val="00DD7261"/>
    <w:rsid w:val="00DE1E1A"/>
    <w:rsid w:val="00DE2D23"/>
    <w:rsid w:val="00DE4255"/>
    <w:rsid w:val="00E10859"/>
    <w:rsid w:val="00E136D1"/>
    <w:rsid w:val="00E14A9B"/>
    <w:rsid w:val="00E17F9B"/>
    <w:rsid w:val="00E2509F"/>
    <w:rsid w:val="00E34B9F"/>
    <w:rsid w:val="00E3525E"/>
    <w:rsid w:val="00E3700D"/>
    <w:rsid w:val="00E408AC"/>
    <w:rsid w:val="00E409DC"/>
    <w:rsid w:val="00E41F02"/>
    <w:rsid w:val="00E5128F"/>
    <w:rsid w:val="00E532F8"/>
    <w:rsid w:val="00E5558E"/>
    <w:rsid w:val="00E57AAA"/>
    <w:rsid w:val="00E60488"/>
    <w:rsid w:val="00E6109A"/>
    <w:rsid w:val="00E63361"/>
    <w:rsid w:val="00E6405D"/>
    <w:rsid w:val="00E71E65"/>
    <w:rsid w:val="00E829CF"/>
    <w:rsid w:val="00E82DF5"/>
    <w:rsid w:val="00E83E66"/>
    <w:rsid w:val="00E90EC6"/>
    <w:rsid w:val="00E92018"/>
    <w:rsid w:val="00E93A0F"/>
    <w:rsid w:val="00E94A64"/>
    <w:rsid w:val="00EA0D11"/>
    <w:rsid w:val="00EA2F76"/>
    <w:rsid w:val="00EA369F"/>
    <w:rsid w:val="00EB06DE"/>
    <w:rsid w:val="00EB1FA0"/>
    <w:rsid w:val="00EB25DE"/>
    <w:rsid w:val="00EB441B"/>
    <w:rsid w:val="00EB66C8"/>
    <w:rsid w:val="00EB6F85"/>
    <w:rsid w:val="00EC0460"/>
    <w:rsid w:val="00EC513D"/>
    <w:rsid w:val="00EC5E3C"/>
    <w:rsid w:val="00ED19AA"/>
    <w:rsid w:val="00ED3AE4"/>
    <w:rsid w:val="00ED6C9C"/>
    <w:rsid w:val="00EE410F"/>
    <w:rsid w:val="00EE6313"/>
    <w:rsid w:val="00EE6C21"/>
    <w:rsid w:val="00EF1F76"/>
    <w:rsid w:val="00EF3CFC"/>
    <w:rsid w:val="00EF6410"/>
    <w:rsid w:val="00F03529"/>
    <w:rsid w:val="00F03F39"/>
    <w:rsid w:val="00F05399"/>
    <w:rsid w:val="00F1084C"/>
    <w:rsid w:val="00F1678B"/>
    <w:rsid w:val="00F1783A"/>
    <w:rsid w:val="00F22835"/>
    <w:rsid w:val="00F235B3"/>
    <w:rsid w:val="00F23A5B"/>
    <w:rsid w:val="00F25B4C"/>
    <w:rsid w:val="00F26098"/>
    <w:rsid w:val="00F277E9"/>
    <w:rsid w:val="00F304CA"/>
    <w:rsid w:val="00F32271"/>
    <w:rsid w:val="00F35DC6"/>
    <w:rsid w:val="00F52483"/>
    <w:rsid w:val="00F52CBD"/>
    <w:rsid w:val="00F53C1D"/>
    <w:rsid w:val="00F53ED2"/>
    <w:rsid w:val="00F54025"/>
    <w:rsid w:val="00F54237"/>
    <w:rsid w:val="00F57A4A"/>
    <w:rsid w:val="00F61134"/>
    <w:rsid w:val="00F61524"/>
    <w:rsid w:val="00F66E67"/>
    <w:rsid w:val="00F75DBC"/>
    <w:rsid w:val="00F843F5"/>
    <w:rsid w:val="00F86B05"/>
    <w:rsid w:val="00F90DCE"/>
    <w:rsid w:val="00FA6381"/>
    <w:rsid w:val="00FA674A"/>
    <w:rsid w:val="00FA7030"/>
    <w:rsid w:val="00FB1315"/>
    <w:rsid w:val="00FB1CFE"/>
    <w:rsid w:val="00FB4783"/>
    <w:rsid w:val="00FB60CB"/>
    <w:rsid w:val="00FB6199"/>
    <w:rsid w:val="00FB7657"/>
    <w:rsid w:val="00FC0830"/>
    <w:rsid w:val="00FD3C98"/>
    <w:rsid w:val="00FD466C"/>
    <w:rsid w:val="00FD7B79"/>
    <w:rsid w:val="00FE13A9"/>
    <w:rsid w:val="00FE41BE"/>
    <w:rsid w:val="00FE7EEE"/>
    <w:rsid w:val="00FF5E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F1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ListNumber">
    <w:name w:val="List Number"/>
    <w:basedOn w:val="Normal"/>
    <w:uiPriority w:val="99"/>
    <w:semiHidden/>
    <w:unhideWhenUsed/>
    <w:rsid w:val="004713ED"/>
    <w:pPr>
      <w:numPr>
        <w:numId w:val="11"/>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semiHidden/>
    <w:unhideWhenUsed/>
    <w:rsid w:val="004713ED"/>
    <w:pPr>
      <w:numPr>
        <w:ilvl w:val="1"/>
        <w:numId w:val="11"/>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semiHidden/>
    <w:unhideWhenUsed/>
    <w:rsid w:val="004713ED"/>
    <w:pPr>
      <w:numPr>
        <w:ilvl w:val="2"/>
        <w:numId w:val="11"/>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semiHidden/>
    <w:unhideWhenUsed/>
    <w:rsid w:val="004713ED"/>
    <w:pPr>
      <w:numPr>
        <w:ilvl w:val="3"/>
        <w:numId w:val="11"/>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semiHidden/>
    <w:unhideWhenUsed/>
    <w:rsid w:val="004713ED"/>
    <w:pPr>
      <w:numPr>
        <w:ilvl w:val="4"/>
        <w:numId w:val="11"/>
      </w:numPr>
      <w:spacing w:after="200" w:line="276" w:lineRule="auto"/>
    </w:pPr>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2E6E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ListNumber">
    <w:name w:val="List Number"/>
    <w:basedOn w:val="Normal"/>
    <w:uiPriority w:val="99"/>
    <w:semiHidden/>
    <w:unhideWhenUsed/>
    <w:rsid w:val="004713ED"/>
    <w:pPr>
      <w:numPr>
        <w:numId w:val="11"/>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semiHidden/>
    <w:unhideWhenUsed/>
    <w:rsid w:val="004713ED"/>
    <w:pPr>
      <w:numPr>
        <w:ilvl w:val="1"/>
        <w:numId w:val="11"/>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semiHidden/>
    <w:unhideWhenUsed/>
    <w:rsid w:val="004713ED"/>
    <w:pPr>
      <w:numPr>
        <w:ilvl w:val="2"/>
        <w:numId w:val="11"/>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semiHidden/>
    <w:unhideWhenUsed/>
    <w:rsid w:val="004713ED"/>
    <w:pPr>
      <w:numPr>
        <w:ilvl w:val="3"/>
        <w:numId w:val="11"/>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semiHidden/>
    <w:unhideWhenUsed/>
    <w:rsid w:val="004713ED"/>
    <w:pPr>
      <w:numPr>
        <w:ilvl w:val="4"/>
        <w:numId w:val="11"/>
      </w:numPr>
      <w:spacing w:after="200" w:line="276" w:lineRule="auto"/>
    </w:pPr>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2E6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8985">
      <w:bodyDiv w:val="1"/>
      <w:marLeft w:val="0"/>
      <w:marRight w:val="0"/>
      <w:marTop w:val="0"/>
      <w:marBottom w:val="0"/>
      <w:divBdr>
        <w:top w:val="none" w:sz="0" w:space="0" w:color="auto"/>
        <w:left w:val="none" w:sz="0" w:space="0" w:color="auto"/>
        <w:bottom w:val="none" w:sz="0" w:space="0" w:color="auto"/>
        <w:right w:val="none" w:sz="0" w:space="0" w:color="auto"/>
      </w:divBdr>
    </w:div>
    <w:div w:id="655229351">
      <w:bodyDiv w:val="1"/>
      <w:marLeft w:val="0"/>
      <w:marRight w:val="0"/>
      <w:marTop w:val="0"/>
      <w:marBottom w:val="0"/>
      <w:divBdr>
        <w:top w:val="none" w:sz="0" w:space="0" w:color="auto"/>
        <w:left w:val="none" w:sz="0" w:space="0" w:color="auto"/>
        <w:bottom w:val="none" w:sz="0" w:space="0" w:color="auto"/>
        <w:right w:val="none" w:sz="0" w:space="0" w:color="auto"/>
      </w:divBdr>
    </w:div>
    <w:div w:id="994527112">
      <w:bodyDiv w:val="1"/>
      <w:marLeft w:val="0"/>
      <w:marRight w:val="0"/>
      <w:marTop w:val="0"/>
      <w:marBottom w:val="0"/>
      <w:divBdr>
        <w:top w:val="none" w:sz="0" w:space="0" w:color="auto"/>
        <w:left w:val="none" w:sz="0" w:space="0" w:color="auto"/>
        <w:bottom w:val="none" w:sz="0" w:space="0" w:color="auto"/>
        <w:right w:val="none" w:sz="0" w:space="0" w:color="auto"/>
      </w:divBdr>
    </w:div>
    <w:div w:id="1074277598">
      <w:bodyDiv w:val="1"/>
      <w:marLeft w:val="0"/>
      <w:marRight w:val="0"/>
      <w:marTop w:val="0"/>
      <w:marBottom w:val="0"/>
      <w:divBdr>
        <w:top w:val="none" w:sz="0" w:space="0" w:color="auto"/>
        <w:left w:val="none" w:sz="0" w:space="0" w:color="auto"/>
        <w:bottom w:val="none" w:sz="0" w:space="0" w:color="auto"/>
        <w:right w:val="none" w:sz="0" w:space="0" w:color="auto"/>
      </w:divBdr>
    </w:div>
    <w:div w:id="1459838041">
      <w:bodyDiv w:val="1"/>
      <w:marLeft w:val="0"/>
      <w:marRight w:val="0"/>
      <w:marTop w:val="0"/>
      <w:marBottom w:val="0"/>
      <w:divBdr>
        <w:top w:val="none" w:sz="0" w:space="0" w:color="auto"/>
        <w:left w:val="none" w:sz="0" w:space="0" w:color="auto"/>
        <w:bottom w:val="none" w:sz="0" w:space="0" w:color="auto"/>
        <w:right w:val="none" w:sz="0" w:space="0" w:color="auto"/>
      </w:divBdr>
    </w:div>
    <w:div w:id="2021275394">
      <w:bodyDiv w:val="1"/>
      <w:marLeft w:val="0"/>
      <w:marRight w:val="0"/>
      <w:marTop w:val="0"/>
      <w:marBottom w:val="0"/>
      <w:divBdr>
        <w:top w:val="none" w:sz="0" w:space="0" w:color="auto"/>
        <w:left w:val="none" w:sz="0" w:space="0" w:color="auto"/>
        <w:bottom w:val="none" w:sz="0" w:space="0" w:color="auto"/>
        <w:right w:val="none" w:sz="0" w:space="0" w:color="auto"/>
      </w:divBdr>
    </w:div>
    <w:div w:id="20959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lex.europa.e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447E-FD00-4D93-A1F5-B6061555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3503</Words>
  <Characters>19972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23429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NADINE, Tamara</cp:lastModifiedBy>
  <cp:revision>2</cp:revision>
  <cp:lastPrinted>2017-11-15T23:12:00Z</cp:lastPrinted>
  <dcterms:created xsi:type="dcterms:W3CDTF">2017-12-17T22:51:00Z</dcterms:created>
  <dcterms:modified xsi:type="dcterms:W3CDTF">2017-12-17T22:51:00Z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