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54F68" w14:textId="35CAF8C9" w:rsidR="00D8340C" w:rsidRPr="00723C8B" w:rsidRDefault="00D8340C" w:rsidP="009D1F84">
      <w:pPr>
        <w:pStyle w:val="Heading1"/>
        <w:spacing w:line="239" w:lineRule="auto"/>
      </w:pPr>
      <w:bookmarkStart w:id="0" w:name="_Toc408568581"/>
      <w:r w:rsidRPr="00723C8B">
        <w:t>EXPLANATORY STATEMENT</w:t>
      </w:r>
    </w:p>
    <w:p w14:paraId="40E42E76" w14:textId="77777777" w:rsidR="00144DC4" w:rsidRPr="006211E7" w:rsidRDefault="00D8340C" w:rsidP="009D1F84">
      <w:pPr>
        <w:pStyle w:val="Heading2"/>
        <w:spacing w:after="240" w:line="239" w:lineRule="auto"/>
        <w:jc w:val="center"/>
        <w:rPr>
          <w:spacing w:val="-4"/>
        </w:rPr>
      </w:pPr>
      <w:r w:rsidRPr="006211E7">
        <w:rPr>
          <w:spacing w:val="-4"/>
        </w:rPr>
        <w:t>Issued by the Attorney</w:t>
      </w:r>
      <w:r w:rsidRPr="006211E7">
        <w:rPr>
          <w:spacing w:val="-4"/>
        </w:rPr>
        <w:noBreakHyphen/>
        <w:t>General</w:t>
      </w:r>
      <w:r w:rsidR="006B7BAB" w:rsidRPr="006211E7">
        <w:rPr>
          <w:spacing w:val="-4"/>
        </w:rPr>
        <w:t xml:space="preserve"> </w:t>
      </w:r>
      <w:r w:rsidRPr="006211E7">
        <w:rPr>
          <w:spacing w:val="-4"/>
        </w:rPr>
        <w:t xml:space="preserve">in compliance with section </w:t>
      </w:r>
      <w:r w:rsidR="00CC0BEF" w:rsidRPr="006211E7">
        <w:rPr>
          <w:spacing w:val="-4"/>
        </w:rPr>
        <w:t>15G</w:t>
      </w:r>
      <w:r w:rsidRPr="006211E7">
        <w:rPr>
          <w:spacing w:val="-4"/>
        </w:rPr>
        <w:t xml:space="preserve"> of the </w:t>
      </w:r>
      <w:r w:rsidRPr="006211E7">
        <w:rPr>
          <w:i/>
          <w:spacing w:val="-4"/>
        </w:rPr>
        <w:t>Legislati</w:t>
      </w:r>
      <w:r w:rsidR="00CC0BEF" w:rsidRPr="006211E7">
        <w:rPr>
          <w:i/>
          <w:spacing w:val="-4"/>
        </w:rPr>
        <w:t>on</w:t>
      </w:r>
      <w:r w:rsidRPr="006211E7">
        <w:rPr>
          <w:i/>
          <w:spacing w:val="-4"/>
        </w:rPr>
        <w:t xml:space="preserve"> Act 2003</w:t>
      </w:r>
    </w:p>
    <w:p w14:paraId="0CD72B01" w14:textId="77777777" w:rsidR="00144DC4" w:rsidRDefault="00EF7DDE" w:rsidP="009D1F84">
      <w:pPr>
        <w:pBdr>
          <w:bottom w:val="single" w:sz="12" w:space="1" w:color="auto"/>
        </w:pBdr>
        <w:spacing w:before="180" w:after="0" w:line="239" w:lineRule="auto"/>
        <w:jc w:val="center"/>
        <w:rPr>
          <w:rFonts w:cs="Times New Roman"/>
          <w:i/>
        </w:rPr>
      </w:pPr>
      <w:r w:rsidRPr="00EF7DDE">
        <w:rPr>
          <w:rFonts w:cs="Times New Roman"/>
          <w:i/>
        </w:rPr>
        <w:t>Administrative Decisions (Judicial Review) Act 1977</w:t>
      </w:r>
    </w:p>
    <w:p w14:paraId="35997970" w14:textId="77777777" w:rsidR="00EF7DDE" w:rsidRPr="00144DC4" w:rsidRDefault="00EF7DDE" w:rsidP="009D1F84">
      <w:pPr>
        <w:pBdr>
          <w:bottom w:val="single" w:sz="12" w:space="1" w:color="auto"/>
        </w:pBdr>
        <w:spacing w:before="180" w:after="0" w:line="239" w:lineRule="auto"/>
        <w:jc w:val="center"/>
        <w:rPr>
          <w:rFonts w:cs="Times New Roman"/>
        </w:rPr>
      </w:pPr>
      <w:r w:rsidRPr="00EF7DDE">
        <w:rPr>
          <w:rFonts w:cs="Times New Roman"/>
          <w:i/>
        </w:rPr>
        <w:t>Administrative Decisions (Judicial Review) Regulations 2017</w:t>
      </w:r>
    </w:p>
    <w:p w14:paraId="5BD4A0BE" w14:textId="77777777" w:rsidR="00021171" w:rsidRPr="00723C8B" w:rsidRDefault="00021171" w:rsidP="009D1F84">
      <w:pPr>
        <w:pBdr>
          <w:bottom w:val="single" w:sz="12" w:space="1" w:color="auto"/>
        </w:pBdr>
        <w:spacing w:after="360" w:line="239" w:lineRule="auto"/>
        <w:jc w:val="center"/>
        <w:rPr>
          <w:rFonts w:cs="Times New Roman"/>
          <w:i/>
        </w:rPr>
      </w:pPr>
    </w:p>
    <w:p w14:paraId="072777D0" w14:textId="77777777" w:rsidR="00F065C8" w:rsidRPr="00F065C8" w:rsidRDefault="009B1926" w:rsidP="009D1F84">
      <w:pPr>
        <w:pStyle w:val="Heading2"/>
        <w:spacing w:line="239" w:lineRule="auto"/>
      </w:pPr>
      <w:r>
        <w:t>Outline</w:t>
      </w:r>
    </w:p>
    <w:p w14:paraId="102C116D" w14:textId="77777777" w:rsidR="00820CB4" w:rsidRDefault="00644B8A" w:rsidP="009D1F84">
      <w:pPr>
        <w:spacing w:line="239" w:lineRule="auto"/>
      </w:pPr>
      <w:r>
        <w:t xml:space="preserve">The </w:t>
      </w:r>
      <w:r w:rsidRPr="00644B8A">
        <w:rPr>
          <w:i/>
        </w:rPr>
        <w:t>Administrative Decisions (Judicial Review) Act 1977</w:t>
      </w:r>
      <w:r w:rsidR="00712184">
        <w:t xml:space="preserve"> (ADJR Act)</w:t>
      </w:r>
      <w:r w:rsidR="00C76A09">
        <w:t xml:space="preserve"> </w:t>
      </w:r>
      <w:r w:rsidR="00EC7E50">
        <w:t>provides for judicial review of Commonwealth decision</w:t>
      </w:r>
      <w:r w:rsidR="00C656EE">
        <w:t xml:space="preserve">s </w:t>
      </w:r>
      <w:r w:rsidR="007769E0">
        <w:t xml:space="preserve">in the Federal Circuit Court </w:t>
      </w:r>
      <w:r w:rsidR="00A75905">
        <w:t>of Australia</w:t>
      </w:r>
      <w:r w:rsidR="00124E0D">
        <w:t xml:space="preserve"> </w:t>
      </w:r>
      <w:r w:rsidR="007769E0">
        <w:t>and the Federal Court of Australia</w:t>
      </w:r>
      <w:r w:rsidR="00820CB4">
        <w:t>.</w:t>
      </w:r>
    </w:p>
    <w:p w14:paraId="05A5322E" w14:textId="77777777" w:rsidR="00820CB4" w:rsidRDefault="00820CB4" w:rsidP="009D1F84">
      <w:pPr>
        <w:spacing w:line="239" w:lineRule="auto"/>
      </w:pPr>
      <w:r>
        <w:t xml:space="preserve">Section 20 of the ADJR Act </w:t>
      </w:r>
      <w:r w:rsidR="00294EA7">
        <w:t>provides that the Governor-</w:t>
      </w:r>
      <w:r w:rsidRPr="00820CB4">
        <w:t>General may make regulations prescribing matters required or permitted by the</w:t>
      </w:r>
      <w:r w:rsidR="006657C3">
        <w:t xml:space="preserve"> ADJR Act to be prescribed</w:t>
      </w:r>
      <w:r w:rsidR="004B7F8E">
        <w:t xml:space="preserve"> by regulations</w:t>
      </w:r>
      <w:r w:rsidR="002518C1">
        <w:t xml:space="preserve">, or </w:t>
      </w:r>
      <w:r w:rsidR="002518C1" w:rsidRPr="002518C1">
        <w:t>necessary or convenient to be prescribed</w:t>
      </w:r>
      <w:r w:rsidR="004B7F8E">
        <w:t xml:space="preserve"> by regulation</w:t>
      </w:r>
      <w:r w:rsidR="009C0EE7">
        <w:t>s</w:t>
      </w:r>
      <w:r w:rsidR="002518C1" w:rsidRPr="002518C1">
        <w:t>, for carrying out or giving effect to the</w:t>
      </w:r>
      <w:r w:rsidR="00EB0FF5">
        <w:t xml:space="preserve"> ADJR Act.</w:t>
      </w:r>
    </w:p>
    <w:p w14:paraId="2D82CF4D" w14:textId="77777777" w:rsidR="000654C3" w:rsidRDefault="000654C3" w:rsidP="009D1F84">
      <w:pPr>
        <w:spacing w:line="239" w:lineRule="auto"/>
      </w:pPr>
      <w:r w:rsidRPr="000654C3">
        <w:t xml:space="preserve">Subsection 19(1) of the </w:t>
      </w:r>
      <w:r w:rsidR="00073C39">
        <w:t xml:space="preserve">ADJR </w:t>
      </w:r>
      <w:r w:rsidRPr="000654C3">
        <w:t xml:space="preserve">Act provides </w:t>
      </w:r>
      <w:r w:rsidR="002F12C7">
        <w:t>the</w:t>
      </w:r>
      <w:r w:rsidRPr="000654C3">
        <w:t xml:space="preserve"> regulations may </w:t>
      </w:r>
      <w:r w:rsidR="002F12C7">
        <w:t>declare</w:t>
      </w:r>
      <w:r w:rsidRPr="000654C3">
        <w:t xml:space="preserve"> a class or classes of decisions to be decisions that are not subject to judicial review by the Federal Court or the Federal </w:t>
      </w:r>
      <w:r w:rsidR="005108D4">
        <w:t>Circuit</w:t>
      </w:r>
      <w:r w:rsidRPr="000654C3">
        <w:t xml:space="preserve"> Court under the </w:t>
      </w:r>
      <w:r w:rsidR="0082029B">
        <w:t xml:space="preserve">ADJR </w:t>
      </w:r>
      <w:r w:rsidRPr="000654C3">
        <w:t>Act.</w:t>
      </w:r>
    </w:p>
    <w:p w14:paraId="0E57867B" w14:textId="77777777" w:rsidR="00681596" w:rsidRPr="00375E0A" w:rsidRDefault="00681596" w:rsidP="009D1F84">
      <w:pPr>
        <w:spacing w:line="239" w:lineRule="auto"/>
        <w:rPr>
          <w:spacing w:val="-2"/>
        </w:rPr>
      </w:pPr>
      <w:r w:rsidRPr="00375E0A">
        <w:rPr>
          <w:spacing w:val="-2"/>
        </w:rPr>
        <w:t xml:space="preserve">Section 13 of the ADJR Act provides that a person entitled to apply for review of a decision may obtain a statement of reasons for that decision. Subsection 13(8) </w:t>
      </w:r>
      <w:bookmarkStart w:id="1" w:name="_GoBack"/>
      <w:bookmarkEnd w:id="1"/>
      <w:r w:rsidRPr="00375E0A">
        <w:rPr>
          <w:spacing w:val="-2"/>
        </w:rPr>
        <w:t>provides that the regulations may declare a class or classes of decisions to be decisions that are not decisions to which section 13 applies.</w:t>
      </w:r>
    </w:p>
    <w:p w14:paraId="4ECED76D" w14:textId="7605C278" w:rsidR="00921902" w:rsidRDefault="00921902" w:rsidP="009D1F84">
      <w:pPr>
        <w:spacing w:line="239" w:lineRule="auto"/>
      </w:pPr>
      <w:r>
        <w:t xml:space="preserve">The </w:t>
      </w:r>
      <w:r w:rsidRPr="00921902">
        <w:rPr>
          <w:i/>
        </w:rPr>
        <w:t>Administrative Decisions (Judicial Review) Regulations 1985</w:t>
      </w:r>
      <w:r w:rsidRPr="00921902">
        <w:t xml:space="preserve"> (1985 Regulations)</w:t>
      </w:r>
      <w:r w:rsidR="00B9103D">
        <w:t>, which are due to sunset on 1 April 2018,</w:t>
      </w:r>
      <w:r>
        <w:t xml:space="preserve"> </w:t>
      </w:r>
      <w:r w:rsidR="00AB24B7">
        <w:t>prescribe</w:t>
      </w:r>
      <w:r w:rsidR="00394811">
        <w:t>:</w:t>
      </w:r>
    </w:p>
    <w:p w14:paraId="702B5A05" w14:textId="77777777" w:rsidR="00394811" w:rsidRDefault="002E5FE9" w:rsidP="009D1F84">
      <w:pPr>
        <w:pStyle w:val="ListParagraph"/>
        <w:numPr>
          <w:ilvl w:val="0"/>
          <w:numId w:val="4"/>
        </w:numPr>
        <w:spacing w:line="239" w:lineRule="auto"/>
      </w:pPr>
      <w:r w:rsidRPr="002E5FE9">
        <w:t>the classes of decisions to which section 13 of the</w:t>
      </w:r>
      <w:r>
        <w:t xml:space="preserve"> ADJR Act does not apply, and</w:t>
      </w:r>
    </w:p>
    <w:p w14:paraId="4A296176" w14:textId="77777777" w:rsidR="002E5FE9" w:rsidRDefault="002E5FE9" w:rsidP="009D1F84">
      <w:pPr>
        <w:pStyle w:val="ListParagraph"/>
        <w:numPr>
          <w:ilvl w:val="0"/>
          <w:numId w:val="4"/>
        </w:numPr>
        <w:spacing w:line="239" w:lineRule="auto"/>
      </w:pPr>
      <w:r w:rsidRPr="002E5FE9">
        <w:t>the classes of decisions that are not subject to judicial review by the Federal Court or the Federal Circuit Court under the ADJR Act.</w:t>
      </w:r>
    </w:p>
    <w:p w14:paraId="308CB838" w14:textId="77777777" w:rsidR="003242EB" w:rsidRDefault="00310EF7" w:rsidP="009D1F84">
      <w:pPr>
        <w:spacing w:line="239" w:lineRule="auto"/>
      </w:pPr>
      <w:r>
        <w:t xml:space="preserve">The </w:t>
      </w:r>
      <w:r w:rsidRPr="00310EF7">
        <w:t>Attorney-General’s Department</w:t>
      </w:r>
      <w:r>
        <w:t xml:space="preserve"> </w:t>
      </w:r>
      <w:r w:rsidR="00E55E9B">
        <w:t xml:space="preserve">has </w:t>
      </w:r>
      <w:r>
        <w:t>conducted</w:t>
      </w:r>
      <w:r w:rsidR="00225A4C">
        <w:t xml:space="preserve"> a review of the 1985 Regulations</w:t>
      </w:r>
      <w:r w:rsidR="00674292">
        <w:t xml:space="preserve"> and determined that </w:t>
      </w:r>
      <w:r w:rsidR="00983762">
        <w:t xml:space="preserve">they should be remade </w:t>
      </w:r>
      <w:r w:rsidR="001668C5">
        <w:t xml:space="preserve">in an updated form </w:t>
      </w:r>
      <w:r w:rsidR="0048159F" w:rsidRPr="0048159F">
        <w:t xml:space="preserve">that retains </w:t>
      </w:r>
      <w:r w:rsidR="0094310A">
        <w:t>provisions</w:t>
      </w:r>
      <w:r w:rsidR="0048159F" w:rsidRPr="0048159F">
        <w:t xml:space="preserve"> that continue to be required, updates references where necessary and removes </w:t>
      </w:r>
      <w:r w:rsidR="00F93D4F" w:rsidRPr="00F93D4F">
        <w:t xml:space="preserve">provisions </w:t>
      </w:r>
      <w:r w:rsidR="0048159F" w:rsidRPr="0048159F">
        <w:t>that are redundant</w:t>
      </w:r>
      <w:r w:rsidR="006720F6">
        <w:t xml:space="preserve">. </w:t>
      </w:r>
    </w:p>
    <w:p w14:paraId="218419B5" w14:textId="39B9CE6E" w:rsidR="001668C5" w:rsidRDefault="00E227EA" w:rsidP="009D1F84">
      <w:pPr>
        <w:spacing w:line="239" w:lineRule="auto"/>
      </w:pPr>
      <w:r>
        <w:t>The</w:t>
      </w:r>
      <w:r w:rsidR="00316BF1">
        <w:t xml:space="preserve"> purpose of the</w:t>
      </w:r>
      <w:r>
        <w:t xml:space="preserve"> </w:t>
      </w:r>
      <w:r w:rsidRPr="00D12263">
        <w:rPr>
          <w:i/>
        </w:rPr>
        <w:t>Administrative Decisions (Judicial Review) Regulations 2017</w:t>
      </w:r>
      <w:r>
        <w:t xml:space="preserve"> (2017 Regulations)</w:t>
      </w:r>
      <w:r w:rsidR="00FA4B01">
        <w:t xml:space="preserve"> </w:t>
      </w:r>
      <w:r w:rsidR="00E07BFF">
        <w:t xml:space="preserve">is to </w:t>
      </w:r>
      <w:r w:rsidR="00FA4B01">
        <w:t xml:space="preserve">remake the 1985 Regulations </w:t>
      </w:r>
      <w:r w:rsidR="000F2897">
        <w:t>in substantially the same form</w:t>
      </w:r>
      <w:r w:rsidR="000F2897" w:rsidRPr="000F2897">
        <w:t xml:space="preserve"> with amendments to ensure fitness for purpose and consistency with current drafting practices, including simplifying language, restructuring provisions for ease of navigation, updating references to obsolete legislation, and removing references to legislation that is no longer in force.</w:t>
      </w:r>
    </w:p>
    <w:p w14:paraId="63DAF4AA" w14:textId="77777777" w:rsidR="00046AD0" w:rsidRDefault="007F1A9B" w:rsidP="009D1F84">
      <w:pPr>
        <w:pStyle w:val="Heading2"/>
        <w:spacing w:line="239" w:lineRule="auto"/>
      </w:pPr>
      <w:r>
        <w:t>Details of the provisions</w:t>
      </w:r>
    </w:p>
    <w:p w14:paraId="61E91BA3" w14:textId="57A771A6" w:rsidR="000C1121" w:rsidRPr="000C1121" w:rsidRDefault="00C30C65" w:rsidP="009D1F84">
      <w:pPr>
        <w:spacing w:line="239" w:lineRule="auto"/>
      </w:pPr>
      <w:r>
        <w:t>Appropriate</w:t>
      </w:r>
      <w:r w:rsidR="000C1121" w:rsidRPr="000C1121">
        <w:t xml:space="preserve"> principles that may justify exempting a decision-making power from the application of the ADJR Act</w:t>
      </w:r>
      <w:r>
        <w:t xml:space="preserve"> were set out </w:t>
      </w:r>
      <w:r w:rsidR="000C1121" w:rsidRPr="000C1121">
        <w:t xml:space="preserve">by the Administrative Review Council in its 2012 report </w:t>
      </w:r>
      <w:r w:rsidR="000C1121" w:rsidRPr="00125EB5">
        <w:rPr>
          <w:i/>
        </w:rPr>
        <w:t>Federal Judicial Review in Australia</w:t>
      </w:r>
      <w:r w:rsidR="000C1121" w:rsidRPr="000C1121">
        <w:t>, including</w:t>
      </w:r>
      <w:r w:rsidR="006D2D6C">
        <w:t xml:space="preserve"> the following.</w:t>
      </w:r>
      <w:r w:rsidR="000C1121" w:rsidRPr="000C1121">
        <w:t xml:space="preserve"> </w:t>
      </w:r>
    </w:p>
    <w:p w14:paraId="46D61C0C" w14:textId="557AB7BF" w:rsidR="000C1121" w:rsidRPr="00E22CF1" w:rsidRDefault="000C1121" w:rsidP="009D1F84">
      <w:pPr>
        <w:numPr>
          <w:ilvl w:val="0"/>
          <w:numId w:val="4"/>
        </w:numPr>
        <w:spacing w:line="239" w:lineRule="auto"/>
        <w:rPr>
          <w:iCs/>
        </w:rPr>
      </w:pPr>
      <w:r w:rsidRPr="00E22CF1">
        <w:rPr>
          <w:iCs/>
        </w:rPr>
        <w:t>Judicial review has the potential to fragment or frustrate another legal pr</w:t>
      </w:r>
      <w:r w:rsidR="00447ECB" w:rsidRPr="00E22CF1">
        <w:rPr>
          <w:iCs/>
        </w:rPr>
        <w:t>ocess which is already underway</w:t>
      </w:r>
      <w:r w:rsidR="006D2D6C">
        <w:rPr>
          <w:iCs/>
        </w:rPr>
        <w:t>.</w:t>
      </w:r>
    </w:p>
    <w:p w14:paraId="1EFEDE6A" w14:textId="5F7D3328" w:rsidR="007527D1" w:rsidRPr="00E22CF1" w:rsidRDefault="007527D1" w:rsidP="009D1F84">
      <w:pPr>
        <w:numPr>
          <w:ilvl w:val="0"/>
          <w:numId w:val="4"/>
        </w:numPr>
        <w:spacing w:line="239" w:lineRule="auto"/>
        <w:rPr>
          <w:iCs/>
        </w:rPr>
      </w:pPr>
      <w:r w:rsidRPr="00E22CF1">
        <w:rPr>
          <w:iCs/>
        </w:rPr>
        <w:t>A well-established alternative scheme already exists which is as accessible and effective as ADJR Act review</w:t>
      </w:r>
      <w:r w:rsidR="006D2D6C">
        <w:rPr>
          <w:iCs/>
        </w:rPr>
        <w:t>.</w:t>
      </w:r>
    </w:p>
    <w:p w14:paraId="32A74B1F" w14:textId="33B23D45" w:rsidR="000C1121" w:rsidRPr="00E22CF1" w:rsidRDefault="000C1121" w:rsidP="009D1F84">
      <w:pPr>
        <w:numPr>
          <w:ilvl w:val="0"/>
          <w:numId w:val="4"/>
        </w:numPr>
        <w:spacing w:line="239" w:lineRule="auto"/>
        <w:rPr>
          <w:iCs/>
        </w:rPr>
      </w:pPr>
      <w:r w:rsidRPr="00E22CF1">
        <w:rPr>
          <w:iCs/>
        </w:rPr>
        <w:t>The decisions have a strong link with other constitutional considerations, and as such are better dealt with via constitutional review</w:t>
      </w:r>
      <w:r w:rsidR="006D2D6C">
        <w:rPr>
          <w:iCs/>
        </w:rPr>
        <w:t>.</w:t>
      </w:r>
    </w:p>
    <w:p w14:paraId="56F9AA18" w14:textId="11868FAF" w:rsidR="007527D1" w:rsidRPr="00E22CF1" w:rsidRDefault="007527D1" w:rsidP="009D1F84">
      <w:pPr>
        <w:numPr>
          <w:ilvl w:val="0"/>
          <w:numId w:val="4"/>
        </w:numPr>
        <w:spacing w:line="239" w:lineRule="auto"/>
        <w:rPr>
          <w:iCs/>
        </w:rPr>
      </w:pPr>
      <w:r w:rsidRPr="00E22CF1">
        <w:rPr>
          <w:iCs/>
        </w:rPr>
        <w:t>Judicial review is also not available under section 39B of the Judiciary Act 1903, because the decisions are most appropriate to be heard in the High Court in the first instance</w:t>
      </w:r>
      <w:r w:rsidR="006D2D6C">
        <w:rPr>
          <w:iCs/>
        </w:rPr>
        <w:t>.</w:t>
      </w:r>
    </w:p>
    <w:p w14:paraId="42FF3FA6" w14:textId="0D74438D" w:rsidR="000C1121" w:rsidRPr="00E22CF1" w:rsidRDefault="000C1121" w:rsidP="009D1F84">
      <w:pPr>
        <w:numPr>
          <w:ilvl w:val="0"/>
          <w:numId w:val="4"/>
        </w:numPr>
        <w:spacing w:line="239" w:lineRule="auto"/>
        <w:rPr>
          <w:iCs/>
        </w:rPr>
      </w:pPr>
      <w:r w:rsidRPr="00E22CF1">
        <w:rPr>
          <w:iCs/>
        </w:rPr>
        <w:lastRenderedPageBreak/>
        <w:t>The decisions relate to the management of the national economy, do not directly affect the interests of individuals and are likely to be most appropriately resolved in the High Court</w:t>
      </w:r>
      <w:r w:rsidR="006D2D6C">
        <w:rPr>
          <w:iCs/>
        </w:rPr>
        <w:t>.</w:t>
      </w:r>
    </w:p>
    <w:p w14:paraId="5539907B" w14:textId="5CF4575B" w:rsidR="000C1121" w:rsidRPr="00E22CF1" w:rsidRDefault="000C1121" w:rsidP="009D1F84">
      <w:pPr>
        <w:numPr>
          <w:ilvl w:val="0"/>
          <w:numId w:val="4"/>
        </w:numPr>
        <w:spacing w:line="239" w:lineRule="auto"/>
        <w:rPr>
          <w:iCs/>
        </w:rPr>
      </w:pPr>
      <w:r w:rsidRPr="00E22CF1">
        <w:rPr>
          <w:iCs/>
        </w:rPr>
        <w:t>The decisions are related to diplomatic or consular community</w:t>
      </w:r>
      <w:r w:rsidR="006D2D6C">
        <w:rPr>
          <w:iCs/>
        </w:rPr>
        <w:t>.</w:t>
      </w:r>
    </w:p>
    <w:p w14:paraId="1C689BF9" w14:textId="2D1B4F47" w:rsidR="000C1121" w:rsidRPr="00E22CF1" w:rsidRDefault="000C1121" w:rsidP="009D1F84">
      <w:pPr>
        <w:numPr>
          <w:ilvl w:val="0"/>
          <w:numId w:val="4"/>
        </w:numPr>
        <w:spacing w:line="239" w:lineRule="auto"/>
        <w:rPr>
          <w:iCs/>
        </w:rPr>
      </w:pPr>
      <w:r w:rsidRPr="00E22CF1">
        <w:rPr>
          <w:iCs/>
        </w:rPr>
        <w:t>Judicial review</w:t>
      </w:r>
      <w:r w:rsidR="00A00C66" w:rsidRPr="00E22CF1">
        <w:rPr>
          <w:iCs/>
        </w:rPr>
        <w:t xml:space="preserve"> of the decision</w:t>
      </w:r>
      <w:r w:rsidR="001D34D7" w:rsidRPr="00E22CF1">
        <w:rPr>
          <w:iCs/>
        </w:rPr>
        <w:t>s</w:t>
      </w:r>
      <w:r w:rsidRPr="00E22CF1">
        <w:rPr>
          <w:iCs/>
        </w:rPr>
        <w:t xml:space="preserve"> could pose a risk to personal safety</w:t>
      </w:r>
      <w:r w:rsidR="006D2D6C">
        <w:rPr>
          <w:iCs/>
        </w:rPr>
        <w:t>.</w:t>
      </w:r>
    </w:p>
    <w:p w14:paraId="74345866" w14:textId="77777777" w:rsidR="000C1121" w:rsidRPr="00E22CF1" w:rsidRDefault="000C1121" w:rsidP="009D1F84">
      <w:pPr>
        <w:numPr>
          <w:ilvl w:val="0"/>
          <w:numId w:val="4"/>
        </w:numPr>
        <w:spacing w:line="239" w:lineRule="auto"/>
        <w:rPr>
          <w:iCs/>
        </w:rPr>
      </w:pPr>
      <w:r w:rsidRPr="00E22CF1">
        <w:rPr>
          <w:iCs/>
        </w:rPr>
        <w:t>The decisions relate to the deployment or disc</w:t>
      </w:r>
      <w:r w:rsidR="00E8614A" w:rsidRPr="00E22CF1">
        <w:rPr>
          <w:iCs/>
        </w:rPr>
        <w:t>ipline of defence force members</w:t>
      </w:r>
      <w:r w:rsidRPr="00E22CF1">
        <w:rPr>
          <w:iCs/>
        </w:rPr>
        <w:t>.</w:t>
      </w:r>
    </w:p>
    <w:p w14:paraId="6740EA5A" w14:textId="3B799BE2" w:rsidR="002F0213" w:rsidRPr="002F0213" w:rsidRDefault="00002C86" w:rsidP="009D1F84">
      <w:pPr>
        <w:spacing w:line="239" w:lineRule="auto"/>
      </w:pPr>
      <w:r>
        <w:t>The</w:t>
      </w:r>
      <w:r w:rsidR="00E227EA">
        <w:t xml:space="preserve"> 2017 Regulations</w:t>
      </w:r>
      <w:r>
        <w:t xml:space="preserve"> </w:t>
      </w:r>
      <w:r w:rsidR="00B528B2">
        <w:t xml:space="preserve">prescribe </w:t>
      </w:r>
      <w:r w:rsidR="00B528B2" w:rsidRPr="007E4AE5">
        <w:t>the classes of decisions that are not subject to judicial review under the ADJR Act</w:t>
      </w:r>
      <w:r w:rsidR="00B528B2">
        <w:t xml:space="preserve">. </w:t>
      </w:r>
      <w:r w:rsidR="00654254">
        <w:t xml:space="preserve">These </w:t>
      </w:r>
      <w:r w:rsidR="006954EB">
        <w:t>include the following</w:t>
      </w:r>
      <w:r w:rsidR="00654254">
        <w:t xml:space="preserve"> classes of decisions </w:t>
      </w:r>
      <w:r w:rsidR="00610AD5">
        <w:t xml:space="preserve">that are </w:t>
      </w:r>
      <w:r w:rsidR="00654254">
        <w:t>prescribed in</w:t>
      </w:r>
      <w:r w:rsidR="00614E8E" w:rsidRPr="00614E8E">
        <w:t xml:space="preserve"> the 1985 Regulations</w:t>
      </w:r>
      <w:r w:rsidR="002F0213" w:rsidRPr="002F0213">
        <w:t>:</w:t>
      </w:r>
    </w:p>
    <w:p w14:paraId="406B73A9" w14:textId="77777777" w:rsidR="002F0213" w:rsidRPr="002F0213" w:rsidRDefault="002F0213" w:rsidP="009D1F84">
      <w:pPr>
        <w:numPr>
          <w:ilvl w:val="0"/>
          <w:numId w:val="4"/>
        </w:numPr>
        <w:spacing w:line="239" w:lineRule="auto"/>
      </w:pPr>
      <w:r w:rsidRPr="002F0213">
        <w:t xml:space="preserve">decisions made by the Fair Work Commission under or by virtue of the </w:t>
      </w:r>
      <w:r w:rsidRPr="002F0213">
        <w:rPr>
          <w:i/>
          <w:iCs/>
        </w:rPr>
        <w:t>Builders Labourers’ Federation (Cancellation of Registration—Consequential Provisions) Act 1986</w:t>
      </w:r>
      <w:r w:rsidRPr="002F0213">
        <w:rPr>
          <w:iCs/>
        </w:rPr>
        <w:t>, which are already appealable to a Full Bench of the Fair Work Commission and have a right of judicial review to the Federal Court or High Court;</w:t>
      </w:r>
    </w:p>
    <w:p w14:paraId="7540E29F" w14:textId="77777777" w:rsidR="002F0213" w:rsidRPr="002F0213" w:rsidRDefault="002F0213" w:rsidP="009D1F84">
      <w:pPr>
        <w:numPr>
          <w:ilvl w:val="0"/>
          <w:numId w:val="4"/>
        </w:numPr>
        <w:spacing w:line="239" w:lineRule="auto"/>
      </w:pPr>
      <w:r w:rsidRPr="002F0213">
        <w:rPr>
          <w:iCs/>
        </w:rPr>
        <w:t>decisions made by a person employed by Western Australian under a law of Western Australia as applied in the Territories of Christmas Island and the Cocos (Keeling) Islands, which are already subject to review under the general jurisdiction of the Western Australian Supreme Court; and</w:t>
      </w:r>
    </w:p>
    <w:p w14:paraId="5542F1DC" w14:textId="77777777" w:rsidR="002F0213" w:rsidRPr="002F0213" w:rsidRDefault="002F0213" w:rsidP="009D1F84">
      <w:pPr>
        <w:numPr>
          <w:ilvl w:val="0"/>
          <w:numId w:val="4"/>
        </w:numPr>
        <w:spacing w:line="239" w:lineRule="auto"/>
      </w:pPr>
      <w:r w:rsidRPr="002F0213">
        <w:rPr>
          <w:iCs/>
        </w:rPr>
        <w:t xml:space="preserve">decisions made under the </w:t>
      </w:r>
      <w:r w:rsidRPr="002F0213">
        <w:rPr>
          <w:i/>
          <w:iCs/>
        </w:rPr>
        <w:t>Biosecurity Act 2015</w:t>
      </w:r>
      <w:r w:rsidRPr="002F0213">
        <w:rPr>
          <w:iCs/>
        </w:rPr>
        <w:t xml:space="preserve"> in relation to biosecurity emergencies and human biosecurity emergencies, where judicial review processes may unduly delay the control or eradication of biosecurity and human biosecurity threats of national significance.</w:t>
      </w:r>
    </w:p>
    <w:p w14:paraId="31894F9F" w14:textId="51CF5841" w:rsidR="00A03A77" w:rsidRDefault="002560BB" w:rsidP="009D1F84">
      <w:pPr>
        <w:spacing w:line="239" w:lineRule="auto"/>
      </w:pPr>
      <w:r>
        <w:t xml:space="preserve">The 2017 Regulations also </w:t>
      </w:r>
      <w:r w:rsidR="003165D5">
        <w:t>prescribe a new</w:t>
      </w:r>
      <w:r w:rsidR="00755117">
        <w:t xml:space="preserve"> </w:t>
      </w:r>
      <w:r w:rsidR="00FC35CA">
        <w:t xml:space="preserve">class of decisions </w:t>
      </w:r>
      <w:r w:rsidR="00276C1D">
        <w:t xml:space="preserve">as decisions </w:t>
      </w:r>
      <w:r w:rsidR="00FC35CA">
        <w:t>that are not subject to judicial review under the ADJR Act</w:t>
      </w:r>
      <w:r w:rsidR="006C20D0" w:rsidRPr="006C20D0">
        <w:t>, being decisions made by a person employed by New South Wales under a law of New South Wales as applied in Norfolk Island. This would ensure consistency in the treatment of decisions made under applied laws in A</w:t>
      </w:r>
      <w:r w:rsidR="005749E6">
        <w:t xml:space="preserve">ustralia’s </w:t>
      </w:r>
      <w:r w:rsidR="00631B08">
        <w:t>e</w:t>
      </w:r>
      <w:r w:rsidR="006C20D0">
        <w:t xml:space="preserve">xternal </w:t>
      </w:r>
      <w:r w:rsidR="00631B08">
        <w:t>t</w:t>
      </w:r>
      <w:r w:rsidR="006C20D0">
        <w:t>erritories</w:t>
      </w:r>
      <w:r w:rsidR="00CC2E66">
        <w:t>.</w:t>
      </w:r>
    </w:p>
    <w:p w14:paraId="7BC050F0" w14:textId="1ABB6797" w:rsidR="00675069" w:rsidRDefault="00BA5616" w:rsidP="009D1F84">
      <w:pPr>
        <w:spacing w:line="239" w:lineRule="auto"/>
      </w:pPr>
      <w:r>
        <w:t>Each of the</w:t>
      </w:r>
      <w:r w:rsidR="008C58B7">
        <w:t>se</w:t>
      </w:r>
      <w:r>
        <w:t xml:space="preserve"> classes of decisions </w:t>
      </w:r>
      <w:r w:rsidR="00586D81">
        <w:t>has</w:t>
      </w:r>
      <w:r w:rsidRPr="00BA5616">
        <w:t xml:space="preserve"> been assessed by the Attorney-General’s Department as falling under at least one of the principles that </w:t>
      </w:r>
      <w:r w:rsidR="006E7B6E">
        <w:t xml:space="preserve">would </w:t>
      </w:r>
      <w:r w:rsidRPr="00BA5616">
        <w:t>justify exempting a decision-making power from the application of the ADJR Act.</w:t>
      </w:r>
    </w:p>
    <w:p w14:paraId="1BEE00A6" w14:textId="77777777" w:rsidR="00C15227" w:rsidRDefault="00C15227" w:rsidP="009D1F84">
      <w:pPr>
        <w:spacing w:line="239" w:lineRule="auto"/>
      </w:pPr>
      <w:r>
        <w:t xml:space="preserve">A provision-by-provision description of the </w:t>
      </w:r>
      <w:r w:rsidR="004227FF">
        <w:t>2017</w:t>
      </w:r>
      <w:r>
        <w:t xml:space="preserve"> Regulations </w:t>
      </w:r>
      <w:r w:rsidR="00325DD1">
        <w:t xml:space="preserve">is set out at </w:t>
      </w:r>
      <w:r w:rsidR="00325DD1" w:rsidRPr="00AF7EB0">
        <w:rPr>
          <w:u w:val="single"/>
        </w:rPr>
        <w:t>Attachment A.</w:t>
      </w:r>
    </w:p>
    <w:p w14:paraId="149BA4B8" w14:textId="77777777" w:rsidR="008F153D" w:rsidRDefault="008F153D" w:rsidP="009D1F84">
      <w:pPr>
        <w:pStyle w:val="Heading2"/>
        <w:spacing w:line="239" w:lineRule="auto"/>
      </w:pPr>
      <w:r w:rsidRPr="008F153D">
        <w:t>Statement of Compatibility with Human Rights</w:t>
      </w:r>
    </w:p>
    <w:p w14:paraId="320AD41A" w14:textId="77777777" w:rsidR="00167A6A" w:rsidRPr="00167A6A" w:rsidRDefault="001E2B4E" w:rsidP="009D1F84">
      <w:pPr>
        <w:spacing w:line="239" w:lineRule="auto"/>
      </w:pPr>
      <w:r w:rsidRPr="001E2B4E">
        <w:t xml:space="preserve">Subsection 9(1) of the </w:t>
      </w:r>
      <w:r w:rsidRPr="001E2B4E">
        <w:rPr>
          <w:i/>
        </w:rPr>
        <w:t>Human Rights (Parliamentary Scrutiny) Act 2011</w:t>
      </w:r>
      <w:r w:rsidRPr="001E2B4E">
        <w:t xml:space="preserve"> requires the rule-maker </w:t>
      </w:r>
      <w:r w:rsidR="00214D7F">
        <w:t>of</w:t>
      </w:r>
      <w:r w:rsidRPr="001E2B4E">
        <w:t xml:space="preserve"> a legislative instrument to which section 42 (disallowance) of the </w:t>
      </w:r>
      <w:r w:rsidR="0051705E">
        <w:rPr>
          <w:i/>
        </w:rPr>
        <w:t>Legislation Act 2003</w:t>
      </w:r>
      <w:r w:rsidRPr="001E2B4E">
        <w:t xml:space="preserve"> applies to cause a statement of compatibility to be prepared in respect o</w:t>
      </w:r>
      <w:r w:rsidR="008F6CF9">
        <w:t xml:space="preserve">f that legislative instrument. </w:t>
      </w:r>
      <w:r w:rsidR="00167A6A">
        <w:t>A Statement of Compatibility with Human Rights</w:t>
      </w:r>
      <w:r w:rsidR="001D554C">
        <w:t xml:space="preserve"> </w:t>
      </w:r>
      <w:r w:rsidR="001D554C" w:rsidRPr="001D554C">
        <w:t>has been prepared to meet that requirement</w:t>
      </w:r>
      <w:r w:rsidR="009E411B">
        <w:t xml:space="preserve"> and</w:t>
      </w:r>
      <w:r w:rsidR="00167A6A">
        <w:t xml:space="preserve"> is set out at </w:t>
      </w:r>
      <w:r w:rsidR="00167A6A" w:rsidRPr="001E0F87">
        <w:rPr>
          <w:u w:val="single"/>
        </w:rPr>
        <w:t>Attachment B</w:t>
      </w:r>
      <w:r w:rsidR="00167A6A">
        <w:t>.</w:t>
      </w:r>
    </w:p>
    <w:p w14:paraId="6477B831" w14:textId="77777777" w:rsidR="00D8340C" w:rsidRPr="003A7308" w:rsidRDefault="00174DB6" w:rsidP="009D1F84">
      <w:pPr>
        <w:pStyle w:val="Heading2"/>
        <w:spacing w:line="239" w:lineRule="auto"/>
      </w:pPr>
      <w:r w:rsidRPr="003A7308">
        <w:t xml:space="preserve">Regulatory Impact Assessment </w:t>
      </w:r>
    </w:p>
    <w:p w14:paraId="5FE22C54" w14:textId="77777777" w:rsidR="000954DF" w:rsidRDefault="00317538" w:rsidP="009D1F84">
      <w:pPr>
        <w:spacing w:line="239" w:lineRule="auto"/>
      </w:pPr>
      <w:r>
        <w:t>T</w:t>
      </w:r>
      <w:r w:rsidR="00A36879" w:rsidRPr="00723C8B">
        <w:t>he Office of Best Practice Regulation (OBPR)</w:t>
      </w:r>
      <w:r w:rsidR="002B2B1E">
        <w:t xml:space="preserve"> has confirmed that a Regulation Impact Statement is not required for the 2017 Regulations.</w:t>
      </w:r>
      <w:r w:rsidR="0067634A" w:rsidRPr="00723C8B">
        <w:t xml:space="preserve"> The OBPR reference </w:t>
      </w:r>
      <w:r w:rsidR="005D7A8B" w:rsidRPr="00723C8B">
        <w:t xml:space="preserve">is </w:t>
      </w:r>
      <w:r w:rsidR="00E51190">
        <w:t>ID</w:t>
      </w:r>
      <w:r w:rsidR="00EF3399">
        <w:t xml:space="preserve"> </w:t>
      </w:r>
      <w:r w:rsidR="00E51190">
        <w:t>22295</w:t>
      </w:r>
      <w:r w:rsidR="0067634A" w:rsidRPr="00723C8B">
        <w:t>.</w:t>
      </w:r>
    </w:p>
    <w:p w14:paraId="02CB8E60" w14:textId="77777777" w:rsidR="00D8340C" w:rsidRPr="003A7308" w:rsidRDefault="00D8340C" w:rsidP="009D1F84">
      <w:pPr>
        <w:pStyle w:val="Heading2"/>
        <w:tabs>
          <w:tab w:val="left" w:pos="2730"/>
          <w:tab w:val="left" w:pos="5599"/>
        </w:tabs>
        <w:spacing w:line="239" w:lineRule="auto"/>
      </w:pPr>
      <w:r w:rsidRPr="003A7308">
        <w:t xml:space="preserve">Consultation </w:t>
      </w:r>
      <w:r w:rsidR="00C94927">
        <w:tab/>
      </w:r>
      <w:r w:rsidR="0031429A">
        <w:tab/>
      </w:r>
    </w:p>
    <w:p w14:paraId="5621B604" w14:textId="77777777" w:rsidR="009060D4" w:rsidRPr="00D30BA9" w:rsidRDefault="009060D4" w:rsidP="009D1F84">
      <w:pPr>
        <w:spacing w:line="239" w:lineRule="auto"/>
      </w:pPr>
      <w:r w:rsidRPr="00D30BA9">
        <w:t xml:space="preserve">The following agencies were consulted </w:t>
      </w:r>
      <w:r w:rsidR="0031429A" w:rsidRPr="00D30BA9">
        <w:t xml:space="preserve">during the process of the making </w:t>
      </w:r>
      <w:r w:rsidR="00FB011C" w:rsidRPr="00D30BA9">
        <w:t>of the</w:t>
      </w:r>
      <w:r w:rsidR="00CD24CF" w:rsidRPr="00D30BA9">
        <w:t xml:space="preserve"> 2017 Regulations</w:t>
      </w:r>
      <w:r w:rsidR="003E0B15" w:rsidRPr="00D30BA9">
        <w:t>:</w:t>
      </w:r>
      <w:r w:rsidR="009F6087" w:rsidRPr="00D30BA9">
        <w:t xml:space="preserve"> </w:t>
      </w:r>
      <w:r w:rsidR="00735A1C" w:rsidRPr="00D30BA9">
        <w:t xml:space="preserve">the Australian Federal Police, </w:t>
      </w:r>
      <w:r w:rsidR="00E73BD8" w:rsidRPr="00D30BA9">
        <w:t xml:space="preserve">the Department of Agriculture and Water Resources, </w:t>
      </w:r>
      <w:r w:rsidR="00735A1C" w:rsidRPr="00D30BA9">
        <w:t xml:space="preserve">the Department of Defence, </w:t>
      </w:r>
      <w:r w:rsidR="009F6087" w:rsidRPr="00D30BA9">
        <w:t xml:space="preserve">the Department of Employment, </w:t>
      </w:r>
      <w:r w:rsidRPr="00D30BA9">
        <w:t xml:space="preserve">the Department of Finance, </w:t>
      </w:r>
      <w:r w:rsidR="00735A1C" w:rsidRPr="00D30BA9">
        <w:t>the Department of Infrastructure</w:t>
      </w:r>
      <w:r w:rsidR="0027590D" w:rsidRPr="00D30BA9">
        <w:t xml:space="preserve"> and Regional Development</w:t>
      </w:r>
      <w:r w:rsidR="00735A1C" w:rsidRPr="00D30BA9">
        <w:t>,</w:t>
      </w:r>
      <w:r w:rsidR="00E73BD8" w:rsidRPr="00D30BA9">
        <w:t xml:space="preserve"> and</w:t>
      </w:r>
      <w:r w:rsidR="00735A1C" w:rsidRPr="00D30BA9">
        <w:t xml:space="preserve"> </w:t>
      </w:r>
      <w:r w:rsidRPr="00D30BA9">
        <w:t>the Department of the Prime Minister and Cabinet.</w:t>
      </w:r>
    </w:p>
    <w:p w14:paraId="665099AF" w14:textId="5804619B" w:rsidR="00D8340C" w:rsidRPr="00723C8B" w:rsidRDefault="0089086D" w:rsidP="009D1F84">
      <w:pPr>
        <w:spacing w:line="239" w:lineRule="auto"/>
        <w:rPr>
          <w:rFonts w:cs="Times New Roman"/>
        </w:rPr>
      </w:pPr>
      <w:r w:rsidRPr="0089086D">
        <w:t xml:space="preserve">There is a general obligation on the rule-maker under section 17 of the </w:t>
      </w:r>
      <w:r w:rsidRPr="005E404A">
        <w:rPr>
          <w:i/>
        </w:rPr>
        <w:t>Legislation Act</w:t>
      </w:r>
      <w:r w:rsidR="005E404A" w:rsidRPr="005E404A">
        <w:rPr>
          <w:i/>
        </w:rPr>
        <w:t xml:space="preserve"> 2003</w:t>
      </w:r>
      <w:r w:rsidRPr="0089086D">
        <w:t xml:space="preserve"> to be satisfied that any consultation that is appropriate and reasonably practical has been undertaken before a legislative instrument is made. The Attorney-General was satisfied that consultation was appropriate and reasonably practicable to be undertaken.</w:t>
      </w:r>
      <w:bookmarkEnd w:id="0"/>
      <w:r w:rsidR="00D8340C" w:rsidRPr="00723C8B">
        <w:rPr>
          <w:rFonts w:cs="Times New Roman"/>
        </w:rPr>
        <w:br w:type="page"/>
      </w:r>
    </w:p>
    <w:p w14:paraId="3D24C470" w14:textId="77777777" w:rsidR="00D8340C" w:rsidRPr="00155C28" w:rsidRDefault="00155C28" w:rsidP="00026D9A">
      <w:pPr>
        <w:pStyle w:val="NoSpacing"/>
        <w:rPr>
          <w:u w:val="single"/>
        </w:rPr>
      </w:pPr>
      <w:r w:rsidRPr="00155C28">
        <w:rPr>
          <w:rStyle w:val="Heading1Char"/>
          <w:rFonts w:eastAsiaTheme="majorEastAsia"/>
          <w:b/>
          <w:sz w:val="20"/>
          <w:szCs w:val="20"/>
          <w:u w:val="single"/>
        </w:rPr>
        <w:lastRenderedPageBreak/>
        <w:t>Attachment A</w:t>
      </w:r>
    </w:p>
    <w:p w14:paraId="4690CBD0" w14:textId="77777777" w:rsidR="00D8340C" w:rsidRPr="003B4BDA" w:rsidRDefault="003B4BDA" w:rsidP="002B4F3F">
      <w:pPr>
        <w:pStyle w:val="Heading1"/>
        <w:rPr>
          <w:i/>
          <w:lang w:val="en-AU"/>
        </w:rPr>
      </w:pPr>
      <w:r w:rsidRPr="003B4BDA">
        <w:rPr>
          <w:i/>
          <w:lang w:val="en-AU"/>
        </w:rPr>
        <w:t>Administrative Decisions (Judicial Review) Regulations 2017</w:t>
      </w:r>
    </w:p>
    <w:p w14:paraId="3BE7BD35" w14:textId="77777777" w:rsidR="00D8340C" w:rsidRPr="00723C8B" w:rsidRDefault="00E23879" w:rsidP="00021171">
      <w:pPr>
        <w:pStyle w:val="Heading3"/>
        <w:spacing w:before="280"/>
        <w:rPr>
          <w:rFonts w:ascii="Times New Roman" w:hAnsi="Times New Roman" w:cs="Times New Roman"/>
          <w:color w:val="000000" w:themeColor="text1"/>
        </w:rPr>
      </w:pPr>
      <w:r w:rsidRPr="00723C8B">
        <w:rPr>
          <w:rFonts w:ascii="Times New Roman" w:hAnsi="Times New Roman" w:cs="Times New Roman"/>
          <w:color w:val="000000" w:themeColor="text1"/>
        </w:rPr>
        <w:t>Section 1</w:t>
      </w:r>
      <w:r w:rsidRPr="00723C8B">
        <w:rPr>
          <w:rFonts w:ascii="Times New Roman" w:hAnsi="Times New Roman" w:cs="Times New Roman"/>
          <w:color w:val="000000" w:themeColor="text1"/>
        </w:rPr>
        <w:tab/>
        <w:t>Name</w:t>
      </w:r>
    </w:p>
    <w:p w14:paraId="44528181" w14:textId="77777777" w:rsidR="00D8340C" w:rsidRPr="00723C8B" w:rsidRDefault="00D8340C" w:rsidP="00D8340C">
      <w:pPr>
        <w:spacing w:before="180"/>
        <w:rPr>
          <w:rFonts w:cs="Times New Roman"/>
          <w:color w:val="000000" w:themeColor="text1"/>
        </w:rPr>
      </w:pPr>
      <w:r w:rsidRPr="00723C8B">
        <w:rPr>
          <w:rFonts w:cs="Times New Roman"/>
          <w:color w:val="000000" w:themeColor="text1"/>
        </w:rPr>
        <w:t xml:space="preserve">This section provides </w:t>
      </w:r>
      <w:r w:rsidR="0096520E" w:rsidRPr="00723C8B">
        <w:rPr>
          <w:rFonts w:cs="Times New Roman"/>
          <w:color w:val="000000" w:themeColor="text1"/>
        </w:rPr>
        <w:t>that</w:t>
      </w:r>
      <w:r w:rsidR="003019E2" w:rsidRPr="00723C8B">
        <w:rPr>
          <w:rFonts w:cs="Times New Roman"/>
          <w:color w:val="000000" w:themeColor="text1"/>
        </w:rPr>
        <w:t xml:space="preserve"> the </w:t>
      </w:r>
      <w:r w:rsidR="00ED6D27">
        <w:rPr>
          <w:rFonts w:cs="Times New Roman"/>
          <w:color w:val="000000" w:themeColor="text1"/>
        </w:rPr>
        <w:t>instrument</w:t>
      </w:r>
      <w:r w:rsidRPr="00723C8B">
        <w:rPr>
          <w:rFonts w:cs="Times New Roman"/>
          <w:color w:val="000000" w:themeColor="text1"/>
        </w:rPr>
        <w:t xml:space="preserve"> </w:t>
      </w:r>
      <w:r w:rsidR="0096520E" w:rsidRPr="00723C8B">
        <w:rPr>
          <w:rFonts w:cs="Times New Roman"/>
          <w:color w:val="000000" w:themeColor="text1"/>
        </w:rPr>
        <w:t>is</w:t>
      </w:r>
      <w:r w:rsidRPr="00723C8B">
        <w:rPr>
          <w:rFonts w:cs="Times New Roman"/>
          <w:color w:val="000000" w:themeColor="text1"/>
        </w:rPr>
        <w:t xml:space="preserve"> named the </w:t>
      </w:r>
      <w:r w:rsidR="00AC2828" w:rsidRPr="00AC2828">
        <w:rPr>
          <w:rFonts w:cs="Times New Roman"/>
          <w:i/>
          <w:iCs/>
        </w:rPr>
        <w:t>Administrative Decisions (Judicial Review) Regulations 2017</w:t>
      </w:r>
      <w:r w:rsidR="004E6F75">
        <w:rPr>
          <w:rFonts w:cs="Times New Roman"/>
          <w:iCs/>
        </w:rPr>
        <w:t xml:space="preserve"> (2017 Regulations)</w:t>
      </w:r>
      <w:r w:rsidRPr="00723C8B">
        <w:rPr>
          <w:rFonts w:cs="Times New Roman"/>
        </w:rPr>
        <w:t>.</w:t>
      </w:r>
      <w:r w:rsidR="0096520E" w:rsidRPr="00723C8B">
        <w:rPr>
          <w:rFonts w:cs="Times New Roman"/>
          <w:color w:val="000000" w:themeColor="text1"/>
        </w:rPr>
        <w:t xml:space="preserve"> </w:t>
      </w:r>
    </w:p>
    <w:p w14:paraId="2C3F173E" w14:textId="77777777" w:rsidR="00D8340C" w:rsidRPr="00723C8B" w:rsidRDefault="00D8340C" w:rsidP="00021171">
      <w:pPr>
        <w:pStyle w:val="Heading3"/>
        <w:spacing w:before="280"/>
        <w:rPr>
          <w:rFonts w:ascii="Times New Roman" w:hAnsi="Times New Roman" w:cs="Times New Roman"/>
          <w:color w:val="000000" w:themeColor="text1"/>
        </w:rPr>
      </w:pPr>
      <w:r w:rsidRPr="00723C8B">
        <w:rPr>
          <w:rFonts w:ascii="Times New Roman" w:hAnsi="Times New Roman" w:cs="Times New Roman"/>
          <w:color w:val="000000" w:themeColor="text1"/>
        </w:rPr>
        <w:t xml:space="preserve">Section 2 </w:t>
      </w:r>
      <w:r w:rsidRPr="00723C8B">
        <w:rPr>
          <w:rFonts w:ascii="Times New Roman" w:hAnsi="Times New Roman" w:cs="Times New Roman"/>
          <w:color w:val="000000" w:themeColor="text1"/>
        </w:rPr>
        <w:tab/>
        <w:t>Commencement</w:t>
      </w:r>
    </w:p>
    <w:p w14:paraId="0B6B7626" w14:textId="77777777" w:rsidR="00D8340C" w:rsidRPr="00723C8B" w:rsidRDefault="00D8340C" w:rsidP="00D8340C">
      <w:pPr>
        <w:spacing w:before="180"/>
        <w:rPr>
          <w:rFonts w:cs="Times New Roman"/>
          <w:color w:val="000000" w:themeColor="text1"/>
        </w:rPr>
      </w:pPr>
      <w:r w:rsidRPr="00723C8B">
        <w:rPr>
          <w:rFonts w:cs="Times New Roman"/>
          <w:color w:val="000000" w:themeColor="text1"/>
        </w:rPr>
        <w:t>This section pr</w:t>
      </w:r>
      <w:r w:rsidR="000B20B4" w:rsidRPr="00723C8B">
        <w:rPr>
          <w:rFonts w:cs="Times New Roman"/>
          <w:color w:val="000000" w:themeColor="text1"/>
        </w:rPr>
        <w:t xml:space="preserve">ovides </w:t>
      </w:r>
      <w:r w:rsidR="002634BA">
        <w:rPr>
          <w:rFonts w:cs="Times New Roman"/>
          <w:color w:val="000000" w:themeColor="text1"/>
        </w:rPr>
        <w:t xml:space="preserve">that </w:t>
      </w:r>
      <w:r w:rsidR="000B20B4" w:rsidRPr="00723C8B">
        <w:rPr>
          <w:rFonts w:cs="Times New Roman"/>
          <w:color w:val="000000" w:themeColor="text1"/>
        </w:rPr>
        <w:t xml:space="preserve">the </w:t>
      </w:r>
      <w:r w:rsidR="002634BA">
        <w:rPr>
          <w:rFonts w:cs="Times New Roman"/>
          <w:color w:val="000000" w:themeColor="text1"/>
        </w:rPr>
        <w:t xml:space="preserve">whole of the </w:t>
      </w:r>
      <w:r w:rsidR="00B87DAA">
        <w:rPr>
          <w:rFonts w:cs="Times New Roman"/>
          <w:color w:val="000000" w:themeColor="text1"/>
        </w:rPr>
        <w:t>instrument</w:t>
      </w:r>
      <w:r w:rsidRPr="00723C8B">
        <w:rPr>
          <w:rFonts w:cs="Times New Roman"/>
          <w:color w:val="000000" w:themeColor="text1"/>
        </w:rPr>
        <w:t xml:space="preserve"> commence</w:t>
      </w:r>
      <w:r w:rsidR="0073134C">
        <w:rPr>
          <w:rFonts w:cs="Times New Roman"/>
          <w:color w:val="000000" w:themeColor="text1"/>
        </w:rPr>
        <w:t>s</w:t>
      </w:r>
      <w:r w:rsidRPr="00723C8B">
        <w:rPr>
          <w:rFonts w:cs="Times New Roman"/>
          <w:color w:val="000000" w:themeColor="text1"/>
        </w:rPr>
        <w:t xml:space="preserve"> </w:t>
      </w:r>
      <w:r w:rsidR="00A210B0" w:rsidRPr="00723C8B">
        <w:rPr>
          <w:rFonts w:cs="Times New Roman"/>
          <w:color w:val="000000" w:themeColor="text1"/>
        </w:rPr>
        <w:t xml:space="preserve">on </w:t>
      </w:r>
      <w:r w:rsidRPr="00723C8B">
        <w:rPr>
          <w:rFonts w:cs="Times New Roman"/>
          <w:color w:val="000000" w:themeColor="text1"/>
        </w:rPr>
        <w:t xml:space="preserve">the day </w:t>
      </w:r>
      <w:r w:rsidR="00617DEF" w:rsidRPr="00723C8B">
        <w:rPr>
          <w:rFonts w:cs="Times New Roman"/>
          <w:color w:val="000000" w:themeColor="text1"/>
        </w:rPr>
        <w:t xml:space="preserve">after </w:t>
      </w:r>
      <w:r w:rsidRPr="00723C8B">
        <w:rPr>
          <w:rFonts w:cs="Times New Roman"/>
          <w:color w:val="000000" w:themeColor="text1"/>
        </w:rPr>
        <w:t xml:space="preserve">it is registered. </w:t>
      </w:r>
    </w:p>
    <w:p w14:paraId="34A0545D" w14:textId="77777777" w:rsidR="00D8340C" w:rsidRPr="00723C8B" w:rsidRDefault="00D8340C" w:rsidP="00021171">
      <w:pPr>
        <w:pStyle w:val="Heading3"/>
        <w:spacing w:before="280"/>
        <w:rPr>
          <w:rFonts w:ascii="Times New Roman" w:hAnsi="Times New Roman" w:cs="Times New Roman"/>
          <w:color w:val="000000" w:themeColor="text1"/>
        </w:rPr>
      </w:pPr>
      <w:r w:rsidRPr="00723C8B">
        <w:rPr>
          <w:rFonts w:ascii="Times New Roman" w:hAnsi="Times New Roman" w:cs="Times New Roman"/>
          <w:color w:val="000000" w:themeColor="text1"/>
        </w:rPr>
        <w:t>Section 3</w:t>
      </w:r>
      <w:r w:rsidRPr="00723C8B">
        <w:rPr>
          <w:rFonts w:ascii="Times New Roman" w:hAnsi="Times New Roman" w:cs="Times New Roman"/>
          <w:color w:val="000000" w:themeColor="text1"/>
        </w:rPr>
        <w:tab/>
        <w:t>Authority</w:t>
      </w:r>
    </w:p>
    <w:p w14:paraId="05D15558" w14:textId="77777777" w:rsidR="00D8340C" w:rsidRPr="00723C8B" w:rsidRDefault="000B20B4" w:rsidP="00D8340C">
      <w:pPr>
        <w:spacing w:before="180"/>
        <w:rPr>
          <w:rFonts w:cs="Times New Roman"/>
          <w:color w:val="000000" w:themeColor="text1"/>
        </w:rPr>
      </w:pPr>
      <w:r w:rsidRPr="00723C8B">
        <w:rPr>
          <w:rFonts w:cs="Times New Roman"/>
          <w:color w:val="000000" w:themeColor="text1"/>
        </w:rPr>
        <w:t xml:space="preserve">This section provides that the </w:t>
      </w:r>
      <w:r w:rsidR="00B564F3">
        <w:rPr>
          <w:rFonts w:cs="Times New Roman"/>
          <w:color w:val="000000" w:themeColor="text1"/>
        </w:rPr>
        <w:t>instrument</w:t>
      </w:r>
      <w:r w:rsidR="00D8340C" w:rsidRPr="00723C8B">
        <w:rPr>
          <w:rFonts w:cs="Times New Roman"/>
          <w:color w:val="000000" w:themeColor="text1"/>
        </w:rPr>
        <w:t xml:space="preserve"> is made under </w:t>
      </w:r>
      <w:r w:rsidR="00C022E5" w:rsidRPr="00C022E5">
        <w:rPr>
          <w:rFonts w:cs="Times New Roman"/>
          <w:color w:val="000000" w:themeColor="text1"/>
        </w:rPr>
        <w:t xml:space="preserve">the </w:t>
      </w:r>
      <w:r w:rsidR="00C022E5" w:rsidRPr="00C022E5">
        <w:rPr>
          <w:rFonts w:cs="Times New Roman"/>
          <w:i/>
          <w:color w:val="000000" w:themeColor="text1"/>
        </w:rPr>
        <w:t>Administrative Decisions (Judicial Review) Act 1977</w:t>
      </w:r>
      <w:r w:rsidR="00D8340C" w:rsidRPr="00723C8B">
        <w:rPr>
          <w:rFonts w:cs="Times New Roman"/>
          <w:color w:val="000000" w:themeColor="text1"/>
        </w:rPr>
        <w:t xml:space="preserve">.  </w:t>
      </w:r>
    </w:p>
    <w:p w14:paraId="4AC3D77A" w14:textId="77777777" w:rsidR="00D8340C" w:rsidRPr="00723C8B" w:rsidRDefault="00D8340C" w:rsidP="00021171">
      <w:pPr>
        <w:pStyle w:val="Heading3"/>
        <w:spacing w:before="280"/>
        <w:rPr>
          <w:rFonts w:ascii="Times New Roman" w:hAnsi="Times New Roman" w:cs="Times New Roman"/>
          <w:color w:val="000000" w:themeColor="text1"/>
        </w:rPr>
      </w:pPr>
      <w:r w:rsidRPr="00723C8B">
        <w:rPr>
          <w:rFonts w:ascii="Times New Roman" w:hAnsi="Times New Roman" w:cs="Times New Roman"/>
          <w:color w:val="000000" w:themeColor="text1"/>
        </w:rPr>
        <w:t>Section 4</w:t>
      </w:r>
      <w:r w:rsidRPr="00723C8B">
        <w:rPr>
          <w:rFonts w:ascii="Times New Roman" w:hAnsi="Times New Roman" w:cs="Times New Roman"/>
          <w:color w:val="000000" w:themeColor="text1"/>
        </w:rPr>
        <w:tab/>
      </w:r>
      <w:r w:rsidR="0047109F">
        <w:rPr>
          <w:rFonts w:ascii="Times New Roman" w:hAnsi="Times New Roman" w:cs="Times New Roman"/>
          <w:color w:val="000000" w:themeColor="text1"/>
        </w:rPr>
        <w:t>Schedules</w:t>
      </w:r>
    </w:p>
    <w:p w14:paraId="562E3A3C" w14:textId="77777777" w:rsidR="00D8340C" w:rsidRPr="00723C8B" w:rsidRDefault="003D11D3" w:rsidP="00114147">
      <w:pPr>
        <w:spacing w:before="180" w:after="0"/>
        <w:rPr>
          <w:rFonts w:cs="Times New Roman"/>
          <w:color w:val="000000" w:themeColor="text1"/>
        </w:rPr>
      </w:pPr>
      <w:r w:rsidRPr="003D11D3">
        <w:rPr>
          <w:rFonts w:cs="Times New Roman"/>
          <w:color w:val="000000" w:themeColor="text1"/>
        </w:rPr>
        <w:t xml:space="preserve">This section provides that each instrument that is specified in a Schedule to the </w:t>
      </w:r>
      <w:r w:rsidR="00731135">
        <w:rPr>
          <w:rFonts w:cs="Times New Roman"/>
          <w:color w:val="000000" w:themeColor="text1"/>
        </w:rPr>
        <w:t>instrument</w:t>
      </w:r>
      <w:r w:rsidRPr="003D11D3">
        <w:rPr>
          <w:rFonts w:cs="Times New Roman"/>
          <w:color w:val="000000" w:themeColor="text1"/>
        </w:rPr>
        <w:t xml:space="preserve"> is amended or repealed </w:t>
      </w:r>
      <w:r w:rsidR="00CD6463" w:rsidRPr="00CD6463">
        <w:rPr>
          <w:rFonts w:cs="Times New Roman"/>
          <w:color w:val="000000" w:themeColor="text1"/>
        </w:rPr>
        <w:t>according to the terms set out in the Schedule</w:t>
      </w:r>
      <w:r w:rsidRPr="003D11D3">
        <w:rPr>
          <w:rFonts w:cs="Times New Roman"/>
          <w:color w:val="000000" w:themeColor="text1"/>
        </w:rPr>
        <w:t xml:space="preserve">, and any other item in a Schedule to the </w:t>
      </w:r>
      <w:r w:rsidR="00FD37B6">
        <w:rPr>
          <w:rFonts w:cs="Times New Roman"/>
          <w:color w:val="000000" w:themeColor="text1"/>
        </w:rPr>
        <w:t>instrument</w:t>
      </w:r>
      <w:r w:rsidRPr="003D11D3">
        <w:rPr>
          <w:rFonts w:cs="Times New Roman"/>
          <w:color w:val="000000" w:themeColor="text1"/>
        </w:rPr>
        <w:t xml:space="preserve"> has effect </w:t>
      </w:r>
      <w:r>
        <w:rPr>
          <w:rFonts w:cs="Times New Roman"/>
          <w:color w:val="000000" w:themeColor="text1"/>
        </w:rPr>
        <w:t>according to its terms</w:t>
      </w:r>
      <w:r w:rsidR="00BA219B">
        <w:rPr>
          <w:rFonts w:cs="Times New Roman"/>
          <w:color w:val="000000" w:themeColor="text1"/>
        </w:rPr>
        <w:t>.</w:t>
      </w:r>
      <w:r w:rsidR="00D8340C" w:rsidRPr="00723C8B">
        <w:rPr>
          <w:rFonts w:cs="Times New Roman"/>
          <w:color w:val="000000" w:themeColor="text1"/>
        </w:rPr>
        <w:t xml:space="preserve"> </w:t>
      </w:r>
    </w:p>
    <w:p w14:paraId="467D049C" w14:textId="77777777" w:rsidR="00D8340C" w:rsidRPr="00723C8B" w:rsidRDefault="00D8340C" w:rsidP="00021171">
      <w:pPr>
        <w:pStyle w:val="Heading3"/>
        <w:spacing w:before="280"/>
        <w:rPr>
          <w:rFonts w:ascii="Times New Roman" w:hAnsi="Times New Roman" w:cs="Times New Roman"/>
          <w:color w:val="000000" w:themeColor="text1"/>
        </w:rPr>
      </w:pPr>
      <w:r w:rsidRPr="00723C8B">
        <w:rPr>
          <w:rFonts w:ascii="Times New Roman" w:hAnsi="Times New Roman" w:cs="Times New Roman"/>
          <w:color w:val="000000" w:themeColor="text1"/>
        </w:rPr>
        <w:t xml:space="preserve">Section 5 </w:t>
      </w:r>
      <w:r w:rsidRPr="00723C8B">
        <w:rPr>
          <w:rFonts w:ascii="Times New Roman" w:hAnsi="Times New Roman" w:cs="Times New Roman"/>
          <w:color w:val="000000" w:themeColor="text1"/>
        </w:rPr>
        <w:tab/>
      </w:r>
      <w:r w:rsidR="0038752C" w:rsidRPr="0038752C">
        <w:rPr>
          <w:rFonts w:ascii="Times New Roman" w:hAnsi="Times New Roman" w:cs="Times New Roman"/>
          <w:color w:val="000000" w:themeColor="text1"/>
        </w:rPr>
        <w:t>Definitions</w:t>
      </w:r>
    </w:p>
    <w:p w14:paraId="4526B554" w14:textId="77777777" w:rsidR="00D8340C" w:rsidRDefault="00D24F7D" w:rsidP="00D8340C">
      <w:pPr>
        <w:tabs>
          <w:tab w:val="left" w:pos="4536"/>
        </w:tabs>
        <w:spacing w:before="180"/>
        <w:rPr>
          <w:rFonts w:cs="Times New Roman"/>
          <w:color w:val="000000" w:themeColor="text1"/>
        </w:rPr>
      </w:pPr>
      <w:r>
        <w:rPr>
          <w:rFonts w:cs="Times New Roman"/>
          <w:color w:val="000000" w:themeColor="text1"/>
        </w:rPr>
        <w:t>This section provides that, for the purposes of this instrument</w:t>
      </w:r>
      <w:r w:rsidR="002852E8">
        <w:rPr>
          <w:rFonts w:cs="Times New Roman"/>
          <w:color w:val="000000" w:themeColor="text1"/>
        </w:rPr>
        <w:t>,</w:t>
      </w:r>
      <w:r>
        <w:rPr>
          <w:rFonts w:cs="Times New Roman"/>
          <w:color w:val="000000" w:themeColor="text1"/>
        </w:rPr>
        <w:t xml:space="preserve"> ‘Act’</w:t>
      </w:r>
      <w:r w:rsidR="002852E8">
        <w:rPr>
          <w:rFonts w:cs="Times New Roman"/>
          <w:color w:val="000000" w:themeColor="text1"/>
        </w:rPr>
        <w:t xml:space="preserve"> means the </w:t>
      </w:r>
      <w:r w:rsidR="006D2348" w:rsidRPr="006D2348">
        <w:rPr>
          <w:rFonts w:cs="Times New Roman"/>
          <w:i/>
          <w:iCs/>
          <w:color w:val="000000" w:themeColor="text1"/>
        </w:rPr>
        <w:t>Administrative Decisions (Judicial Review) Act 1977</w:t>
      </w:r>
      <w:r w:rsidR="009F7729" w:rsidRPr="00723C8B">
        <w:rPr>
          <w:rFonts w:cs="Times New Roman"/>
          <w:color w:val="000000" w:themeColor="text1"/>
        </w:rPr>
        <w:t>.</w:t>
      </w:r>
    </w:p>
    <w:p w14:paraId="79073D7D" w14:textId="77777777" w:rsidR="00C95CB7" w:rsidRPr="00723C8B" w:rsidRDefault="00C95CB7" w:rsidP="00D8340C">
      <w:pPr>
        <w:tabs>
          <w:tab w:val="left" w:pos="4536"/>
        </w:tabs>
        <w:spacing w:before="180"/>
        <w:rPr>
          <w:rFonts w:cs="Times New Roman"/>
          <w:color w:val="000000" w:themeColor="text1"/>
        </w:rPr>
      </w:pPr>
      <w:r>
        <w:rPr>
          <w:rFonts w:cs="Times New Roman"/>
          <w:color w:val="000000" w:themeColor="text1"/>
        </w:rPr>
        <w:t xml:space="preserve">This section also provides that a reference in section 6 of the instrument to </w:t>
      </w:r>
      <w:r w:rsidRPr="00C95CB7">
        <w:rPr>
          <w:rFonts w:cs="Times New Roman"/>
          <w:color w:val="000000" w:themeColor="text1"/>
        </w:rPr>
        <w:t>an Act or a provision of an Act includes a reference to instruments made under that Act or for the purposes of that provision</w:t>
      </w:r>
      <w:r w:rsidR="001E4B90">
        <w:rPr>
          <w:rFonts w:cs="Times New Roman"/>
          <w:color w:val="000000" w:themeColor="text1"/>
        </w:rPr>
        <w:t>.</w:t>
      </w:r>
    </w:p>
    <w:p w14:paraId="25CEECC8" w14:textId="77777777" w:rsidR="00D8340C" w:rsidRPr="00723C8B" w:rsidRDefault="00D8340C" w:rsidP="00021171">
      <w:pPr>
        <w:pStyle w:val="Heading3"/>
        <w:spacing w:before="280"/>
        <w:rPr>
          <w:rFonts w:ascii="Times New Roman" w:hAnsi="Times New Roman" w:cs="Times New Roman"/>
          <w:color w:val="000000" w:themeColor="text1"/>
        </w:rPr>
      </w:pPr>
      <w:r w:rsidRPr="00723C8B">
        <w:rPr>
          <w:rFonts w:ascii="Times New Roman" w:hAnsi="Times New Roman" w:cs="Times New Roman"/>
          <w:color w:val="000000" w:themeColor="text1"/>
        </w:rPr>
        <w:t>Secti</w:t>
      </w:r>
      <w:r w:rsidR="00BE7A7A" w:rsidRPr="00723C8B">
        <w:rPr>
          <w:rFonts w:ascii="Times New Roman" w:hAnsi="Times New Roman" w:cs="Times New Roman"/>
          <w:color w:val="000000" w:themeColor="text1"/>
        </w:rPr>
        <w:t>on 6</w:t>
      </w:r>
      <w:r w:rsidR="00BE7A7A" w:rsidRPr="00723C8B">
        <w:rPr>
          <w:rFonts w:ascii="Times New Roman" w:hAnsi="Times New Roman" w:cs="Times New Roman"/>
          <w:color w:val="000000" w:themeColor="text1"/>
        </w:rPr>
        <w:tab/>
      </w:r>
      <w:r w:rsidR="00052E86" w:rsidRPr="00052E86">
        <w:rPr>
          <w:rFonts w:ascii="Times New Roman" w:hAnsi="Times New Roman" w:cs="Times New Roman"/>
          <w:color w:val="000000" w:themeColor="text1"/>
        </w:rPr>
        <w:t>Decisions not subject to judicial review</w:t>
      </w:r>
    </w:p>
    <w:p w14:paraId="0E5E7E9D" w14:textId="77777777" w:rsidR="00D8340C" w:rsidRDefault="00353992" w:rsidP="00D8340C">
      <w:pPr>
        <w:pStyle w:val="subsection"/>
        <w:ind w:left="0" w:firstLine="0"/>
        <w:jc w:val="both"/>
      </w:pPr>
      <w:r w:rsidRPr="00583889">
        <w:rPr>
          <w:color w:val="000000" w:themeColor="text1"/>
        </w:rPr>
        <w:t>Subsection 6(1)</w:t>
      </w:r>
      <w:r w:rsidR="005B4045" w:rsidRPr="00583889">
        <w:rPr>
          <w:color w:val="000000" w:themeColor="text1"/>
        </w:rPr>
        <w:t xml:space="preserve"> </w:t>
      </w:r>
      <w:r w:rsidR="005B4045">
        <w:rPr>
          <w:color w:val="000000" w:themeColor="text1"/>
        </w:rPr>
        <w:t>prescribes, for the purposes of subsection 19(1) of the Act</w:t>
      </w:r>
      <w:r w:rsidR="00CA22C2">
        <w:rPr>
          <w:color w:val="000000" w:themeColor="text1"/>
        </w:rPr>
        <w:t>, the</w:t>
      </w:r>
      <w:r w:rsidR="003242EB">
        <w:rPr>
          <w:color w:val="000000" w:themeColor="text1"/>
        </w:rPr>
        <w:t xml:space="preserve"> </w:t>
      </w:r>
      <w:r w:rsidR="0077393C">
        <w:rPr>
          <w:color w:val="000000" w:themeColor="text1"/>
        </w:rPr>
        <w:t xml:space="preserve">following </w:t>
      </w:r>
      <w:r w:rsidR="00CA22C2">
        <w:rPr>
          <w:color w:val="000000" w:themeColor="text1"/>
        </w:rPr>
        <w:t>classes of decisions that are not subject to judicial review under the Act</w:t>
      </w:r>
      <w:r w:rsidR="00D8340C" w:rsidRPr="00723C8B">
        <w:t>.</w:t>
      </w:r>
    </w:p>
    <w:p w14:paraId="5A2C0B39" w14:textId="77777777" w:rsidR="00AE1C6C" w:rsidRDefault="00115C41" w:rsidP="00D8340C">
      <w:pPr>
        <w:pStyle w:val="subsection"/>
        <w:ind w:left="0" w:firstLine="0"/>
        <w:jc w:val="both"/>
        <w:rPr>
          <w:iCs/>
        </w:rPr>
      </w:pPr>
      <w:r w:rsidRPr="00C35AB8">
        <w:rPr>
          <w:b/>
        </w:rPr>
        <w:t>Paragraph 6(1)(a)</w:t>
      </w:r>
      <w:r w:rsidR="00185564">
        <w:t xml:space="preserve"> prescribes </w:t>
      </w:r>
      <w:r w:rsidR="00C35AB8" w:rsidRPr="00C35AB8">
        <w:t xml:space="preserve">decisions under the </w:t>
      </w:r>
      <w:r w:rsidR="00C35AB8" w:rsidRPr="00C35AB8">
        <w:rPr>
          <w:i/>
          <w:iCs/>
        </w:rPr>
        <w:t>Builders Labourers’ Federation (Cancellation of Registration—Consequential Provisions) Act 1986</w:t>
      </w:r>
      <w:r w:rsidR="005538C2">
        <w:rPr>
          <w:iCs/>
        </w:rPr>
        <w:t xml:space="preserve"> </w:t>
      </w:r>
      <w:r w:rsidR="005538C2" w:rsidRPr="005538C2">
        <w:rPr>
          <w:iCs/>
        </w:rPr>
        <w:t>(Consequential Act)</w:t>
      </w:r>
      <w:r w:rsidR="00A53814">
        <w:rPr>
          <w:iCs/>
        </w:rPr>
        <w:t xml:space="preserve">. </w:t>
      </w:r>
      <w:r w:rsidR="005537B0">
        <w:rPr>
          <w:iCs/>
        </w:rPr>
        <w:t xml:space="preserve">This retains </w:t>
      </w:r>
      <w:r w:rsidR="00897049">
        <w:rPr>
          <w:iCs/>
        </w:rPr>
        <w:t xml:space="preserve">the existing </w:t>
      </w:r>
      <w:r w:rsidR="00C72314">
        <w:rPr>
          <w:iCs/>
        </w:rPr>
        <w:t>exemption</w:t>
      </w:r>
      <w:r w:rsidR="006D0DCF">
        <w:rPr>
          <w:iCs/>
        </w:rPr>
        <w:t xml:space="preserve"> </w:t>
      </w:r>
      <w:r w:rsidR="00897049">
        <w:rPr>
          <w:iCs/>
        </w:rPr>
        <w:t xml:space="preserve">in </w:t>
      </w:r>
      <w:r w:rsidR="005537B0">
        <w:rPr>
          <w:iCs/>
        </w:rPr>
        <w:t>paragraph 3(</w:t>
      </w:r>
      <w:r w:rsidR="0051248F">
        <w:rPr>
          <w:iCs/>
        </w:rPr>
        <w:t>b</w:t>
      </w:r>
      <w:r w:rsidR="005537B0">
        <w:rPr>
          <w:iCs/>
        </w:rPr>
        <w:t xml:space="preserve">) of the </w:t>
      </w:r>
      <w:r w:rsidR="009227CB" w:rsidRPr="009227CB">
        <w:rPr>
          <w:i/>
          <w:iCs/>
        </w:rPr>
        <w:t>Administrative Decisions (Judicial Review) Regulations 1985</w:t>
      </w:r>
      <w:r w:rsidR="009227CB" w:rsidRPr="009227CB">
        <w:rPr>
          <w:iCs/>
        </w:rPr>
        <w:t xml:space="preserve"> (1985 Regulations)</w:t>
      </w:r>
      <w:r w:rsidR="005C79D5">
        <w:rPr>
          <w:iCs/>
        </w:rPr>
        <w:t xml:space="preserve">. </w:t>
      </w:r>
    </w:p>
    <w:p w14:paraId="66B780C4" w14:textId="77777777" w:rsidR="00AE1C6C" w:rsidRDefault="00115C41" w:rsidP="00D8340C">
      <w:pPr>
        <w:pStyle w:val="subsection"/>
        <w:ind w:left="0" w:firstLine="0"/>
        <w:jc w:val="both"/>
        <w:rPr>
          <w:iCs/>
        </w:rPr>
      </w:pPr>
      <w:r w:rsidRPr="00C35AB8">
        <w:rPr>
          <w:b/>
        </w:rPr>
        <w:t>Paragraph 6(1)(b)</w:t>
      </w:r>
      <w:r w:rsidR="00185564" w:rsidRPr="00185564">
        <w:t xml:space="preserve"> </w:t>
      </w:r>
      <w:r w:rsidR="00185564">
        <w:t>prescribes</w:t>
      </w:r>
      <w:r w:rsidR="00C35AB8" w:rsidRPr="00C35AB8">
        <w:rPr>
          <w:rFonts w:eastAsiaTheme="minorHAnsi"/>
          <w:color w:val="000000"/>
          <w:szCs w:val="22"/>
          <w:lang w:eastAsia="en-US"/>
        </w:rPr>
        <w:t xml:space="preserve"> </w:t>
      </w:r>
      <w:r w:rsidR="00C35AB8" w:rsidRPr="00C35AB8">
        <w:t xml:space="preserve">decisions under the </w:t>
      </w:r>
      <w:r w:rsidR="00C35AB8" w:rsidRPr="00C35AB8">
        <w:rPr>
          <w:i/>
          <w:iCs/>
        </w:rPr>
        <w:t>Fair Work (Registered Organisations) Act 2009</w:t>
      </w:r>
      <w:r w:rsidR="00C35AB8" w:rsidRPr="00EC20AE">
        <w:rPr>
          <w:iCs/>
        </w:rPr>
        <w:t xml:space="preserve"> </w:t>
      </w:r>
      <w:r w:rsidR="00EC20AE" w:rsidRPr="00EC20AE">
        <w:rPr>
          <w:iCs/>
        </w:rPr>
        <w:t xml:space="preserve">(ROC Act) </w:t>
      </w:r>
      <w:r w:rsidR="00C35AB8" w:rsidRPr="00C35AB8">
        <w:t xml:space="preserve">in </w:t>
      </w:r>
      <w:r w:rsidR="009B6A1E">
        <w:t xml:space="preserve">its application by virtue of the </w:t>
      </w:r>
      <w:r w:rsidR="00770338">
        <w:t>Consequential Act</w:t>
      </w:r>
      <w:r w:rsidR="004D6056">
        <w:rPr>
          <w:iCs/>
        </w:rPr>
        <w:t xml:space="preserve">. </w:t>
      </w:r>
      <w:r w:rsidR="006D7BAE" w:rsidRPr="006D7BAE">
        <w:rPr>
          <w:iCs/>
        </w:rPr>
        <w:t xml:space="preserve">This retains the existing </w:t>
      </w:r>
      <w:r w:rsidR="003C7E2A">
        <w:rPr>
          <w:iCs/>
        </w:rPr>
        <w:t>exemption</w:t>
      </w:r>
      <w:r w:rsidR="006D7BAE" w:rsidRPr="006D7BAE">
        <w:rPr>
          <w:iCs/>
        </w:rPr>
        <w:t xml:space="preserve"> in paragraph 3(</w:t>
      </w:r>
      <w:r w:rsidR="003F5F2A">
        <w:rPr>
          <w:iCs/>
        </w:rPr>
        <w:t>c</w:t>
      </w:r>
      <w:r w:rsidR="006D7BAE" w:rsidRPr="006D7BAE">
        <w:rPr>
          <w:iCs/>
        </w:rPr>
        <w:t>) of the</w:t>
      </w:r>
      <w:r w:rsidR="006D7BAE">
        <w:rPr>
          <w:iCs/>
        </w:rPr>
        <w:t xml:space="preserve"> 1985 Regulations</w:t>
      </w:r>
      <w:r w:rsidR="007F1A55">
        <w:rPr>
          <w:iCs/>
        </w:rPr>
        <w:t xml:space="preserve">, but </w:t>
      </w:r>
      <w:r w:rsidR="000272F1">
        <w:rPr>
          <w:iCs/>
        </w:rPr>
        <w:t>replaces</w:t>
      </w:r>
      <w:r w:rsidR="007F1A55">
        <w:rPr>
          <w:iCs/>
        </w:rPr>
        <w:t xml:space="preserve"> the </w:t>
      </w:r>
      <w:r w:rsidR="000272F1">
        <w:rPr>
          <w:iCs/>
        </w:rPr>
        <w:t xml:space="preserve">obsolete </w:t>
      </w:r>
      <w:r w:rsidR="007F1A55">
        <w:rPr>
          <w:iCs/>
        </w:rPr>
        <w:t>reference to</w:t>
      </w:r>
      <w:r w:rsidR="00601527">
        <w:rPr>
          <w:iCs/>
        </w:rPr>
        <w:t xml:space="preserve"> the</w:t>
      </w:r>
      <w:r w:rsidR="007F1A55">
        <w:rPr>
          <w:iCs/>
        </w:rPr>
        <w:t xml:space="preserve"> </w:t>
      </w:r>
      <w:r w:rsidR="007F1A55" w:rsidRPr="007F1A55">
        <w:rPr>
          <w:i/>
          <w:iCs/>
        </w:rPr>
        <w:t>Conciliation and Arbitration Act 1904</w:t>
      </w:r>
      <w:r w:rsidR="007F1A55" w:rsidRPr="007F1A55">
        <w:rPr>
          <w:iCs/>
        </w:rPr>
        <w:t xml:space="preserve"> </w:t>
      </w:r>
      <w:r w:rsidR="00EF243C">
        <w:rPr>
          <w:iCs/>
        </w:rPr>
        <w:t>(C&amp;A</w:t>
      </w:r>
      <w:r w:rsidR="00C0039C">
        <w:rPr>
          <w:iCs/>
        </w:rPr>
        <w:t> </w:t>
      </w:r>
      <w:r w:rsidR="00EF243C">
        <w:rPr>
          <w:iCs/>
        </w:rPr>
        <w:t xml:space="preserve">Act) </w:t>
      </w:r>
      <w:r w:rsidR="002F0878">
        <w:rPr>
          <w:iCs/>
        </w:rPr>
        <w:t xml:space="preserve">with </w:t>
      </w:r>
      <w:r w:rsidR="00E71CB6">
        <w:rPr>
          <w:iCs/>
        </w:rPr>
        <w:t xml:space="preserve">a reference to </w:t>
      </w:r>
      <w:r w:rsidR="002F0878">
        <w:rPr>
          <w:iCs/>
        </w:rPr>
        <w:t>the</w:t>
      </w:r>
      <w:r w:rsidR="00126048">
        <w:rPr>
          <w:iCs/>
        </w:rPr>
        <w:t xml:space="preserve"> </w:t>
      </w:r>
      <w:r w:rsidR="004D5D94">
        <w:rPr>
          <w:iCs/>
        </w:rPr>
        <w:t>ROC Act</w:t>
      </w:r>
      <w:r w:rsidR="003C7E2A">
        <w:rPr>
          <w:iCs/>
        </w:rPr>
        <w:t>.</w:t>
      </w:r>
      <w:r w:rsidR="00431DB6">
        <w:rPr>
          <w:iCs/>
        </w:rPr>
        <w:t xml:space="preserve"> </w:t>
      </w:r>
    </w:p>
    <w:p w14:paraId="28D3D119" w14:textId="77777777" w:rsidR="00115C41" w:rsidRDefault="00115C41" w:rsidP="00D8340C">
      <w:pPr>
        <w:pStyle w:val="subsection"/>
        <w:ind w:left="0" w:firstLine="0"/>
        <w:jc w:val="both"/>
        <w:rPr>
          <w:iCs/>
        </w:rPr>
      </w:pPr>
      <w:r w:rsidRPr="00C35AB8">
        <w:rPr>
          <w:b/>
        </w:rPr>
        <w:t>Paragraph 6(1)(c)</w:t>
      </w:r>
      <w:r w:rsidR="00185564" w:rsidRPr="00185564">
        <w:t xml:space="preserve"> </w:t>
      </w:r>
      <w:r w:rsidR="00185564">
        <w:t>prescribes</w:t>
      </w:r>
      <w:r w:rsidR="00C35AB8" w:rsidRPr="00C35AB8">
        <w:rPr>
          <w:rFonts w:eastAsiaTheme="minorHAnsi"/>
          <w:color w:val="000000"/>
          <w:szCs w:val="22"/>
          <w:lang w:eastAsia="en-US"/>
        </w:rPr>
        <w:t xml:space="preserve"> </w:t>
      </w:r>
      <w:r w:rsidR="00C35AB8" w:rsidRPr="00C35AB8">
        <w:t xml:space="preserve">decisions under the provisions of the </w:t>
      </w:r>
      <w:r w:rsidR="00C35AB8" w:rsidRPr="00C35AB8">
        <w:rPr>
          <w:i/>
          <w:iCs/>
        </w:rPr>
        <w:t>Fair Work Act 2009</w:t>
      </w:r>
      <w:r w:rsidR="00770338">
        <w:rPr>
          <w:iCs/>
        </w:rPr>
        <w:t xml:space="preserve"> (FW Act)</w:t>
      </w:r>
      <w:r w:rsidR="00C35AB8" w:rsidRPr="00C35AB8">
        <w:t>, to the extent that the provisions apply to proce</w:t>
      </w:r>
      <w:r w:rsidR="00A11467">
        <w:t xml:space="preserve">edings under or by virtue of the </w:t>
      </w:r>
      <w:r w:rsidR="00A11467" w:rsidRPr="00A11467">
        <w:t>Consequential Act</w:t>
      </w:r>
      <w:r w:rsidR="00B13B72">
        <w:rPr>
          <w:iCs/>
        </w:rPr>
        <w:t xml:space="preserve">. </w:t>
      </w:r>
      <w:r w:rsidR="00B13B72" w:rsidRPr="00B13B72">
        <w:rPr>
          <w:iCs/>
        </w:rPr>
        <w:t>This retains the existing exemption in paragraph 3(</w:t>
      </w:r>
      <w:r w:rsidR="003606F7">
        <w:rPr>
          <w:iCs/>
        </w:rPr>
        <w:t>d</w:t>
      </w:r>
      <w:r w:rsidR="00B13B72" w:rsidRPr="00B13B72">
        <w:rPr>
          <w:iCs/>
        </w:rPr>
        <w:t xml:space="preserve">) of the 1985 Regulations, but replaces the obsolete reference </w:t>
      </w:r>
      <w:r w:rsidR="00A710F3">
        <w:rPr>
          <w:iCs/>
        </w:rPr>
        <w:t>to the C&amp;A Act</w:t>
      </w:r>
      <w:r w:rsidR="00B13B72" w:rsidRPr="00B13B72">
        <w:rPr>
          <w:iCs/>
        </w:rPr>
        <w:t xml:space="preserve"> with</w:t>
      </w:r>
      <w:r w:rsidR="004C6D84">
        <w:rPr>
          <w:iCs/>
        </w:rPr>
        <w:t xml:space="preserve"> a reference to the</w:t>
      </w:r>
      <w:r w:rsidR="005D3723">
        <w:rPr>
          <w:iCs/>
        </w:rPr>
        <w:t xml:space="preserve"> </w:t>
      </w:r>
      <w:r w:rsidR="0049217A">
        <w:rPr>
          <w:iCs/>
        </w:rPr>
        <w:t>FW</w:t>
      </w:r>
      <w:r w:rsidR="005E292B">
        <w:rPr>
          <w:iCs/>
        </w:rPr>
        <w:t xml:space="preserve"> </w:t>
      </w:r>
      <w:r w:rsidR="0049217A">
        <w:rPr>
          <w:iCs/>
        </w:rPr>
        <w:t>A</w:t>
      </w:r>
      <w:r w:rsidR="005E292B">
        <w:rPr>
          <w:iCs/>
        </w:rPr>
        <w:t>ct</w:t>
      </w:r>
      <w:r w:rsidR="00B13B72" w:rsidRPr="00B13B72">
        <w:rPr>
          <w:iCs/>
        </w:rPr>
        <w:t>.</w:t>
      </w:r>
    </w:p>
    <w:p w14:paraId="61096327" w14:textId="77777777" w:rsidR="009B0080" w:rsidRDefault="009B0080" w:rsidP="009B0080">
      <w:pPr>
        <w:pStyle w:val="subsection"/>
        <w:ind w:left="0" w:firstLine="0"/>
        <w:jc w:val="both"/>
        <w:rPr>
          <w:color w:val="000000" w:themeColor="text1"/>
          <w:highlight w:val="yellow"/>
        </w:rPr>
      </w:pPr>
      <w:r w:rsidRPr="008A02DE">
        <w:rPr>
          <w:color w:val="000000" w:themeColor="text1"/>
        </w:rPr>
        <w:t>The Consequential Act</w:t>
      </w:r>
      <w:r>
        <w:rPr>
          <w:color w:val="000000" w:themeColor="text1"/>
        </w:rPr>
        <w:t xml:space="preserve"> provides for the consequences of the de</w:t>
      </w:r>
      <w:r w:rsidRPr="00D93702">
        <w:rPr>
          <w:color w:val="000000" w:themeColor="text1"/>
        </w:rPr>
        <w:t>registration of the Australian Building Construction Employees’ and Builders Labourers’ Federation</w:t>
      </w:r>
      <w:r>
        <w:rPr>
          <w:color w:val="000000" w:themeColor="text1"/>
        </w:rPr>
        <w:t xml:space="preserve"> (the Federation) </w:t>
      </w:r>
      <w:r w:rsidRPr="00D93702">
        <w:rPr>
          <w:color w:val="000000" w:themeColor="text1"/>
        </w:rPr>
        <w:t>as an organi</w:t>
      </w:r>
      <w:r>
        <w:rPr>
          <w:color w:val="000000" w:themeColor="text1"/>
        </w:rPr>
        <w:t>s</w:t>
      </w:r>
      <w:r w:rsidRPr="00D93702">
        <w:rPr>
          <w:color w:val="000000" w:themeColor="text1"/>
        </w:rPr>
        <w:t xml:space="preserve">ation of employees under the </w:t>
      </w:r>
      <w:r>
        <w:rPr>
          <w:color w:val="000000" w:themeColor="text1"/>
        </w:rPr>
        <w:t>C&amp;A Act, including</w:t>
      </w:r>
      <w:r w:rsidR="0070257B">
        <w:rPr>
          <w:color w:val="000000" w:themeColor="text1"/>
        </w:rPr>
        <w:t xml:space="preserve"> providing for</w:t>
      </w:r>
      <w:r>
        <w:rPr>
          <w:color w:val="000000" w:themeColor="text1"/>
        </w:rPr>
        <w:t xml:space="preserve"> </w:t>
      </w:r>
      <w:r w:rsidRPr="007051BE">
        <w:rPr>
          <w:color w:val="000000" w:themeColor="text1"/>
        </w:rPr>
        <w:t>the conditions for the re-registration of the Federation, or any other association formed by members or former members of the Federation</w:t>
      </w:r>
      <w:r>
        <w:rPr>
          <w:color w:val="000000" w:themeColor="text1"/>
        </w:rPr>
        <w:t>.</w:t>
      </w:r>
      <w:r w:rsidRPr="00A24127">
        <w:rPr>
          <w:rFonts w:asciiTheme="minorHAnsi" w:eastAsia="Calibri" w:hAnsiTheme="minorHAnsi" w:cs="Calibri"/>
          <w:w w:val="105"/>
          <w:kern w:val="40"/>
          <w:szCs w:val="22"/>
          <w:lang w:eastAsia="en-US"/>
        </w:rPr>
        <w:t xml:space="preserve"> </w:t>
      </w:r>
    </w:p>
    <w:p w14:paraId="402DBC6A" w14:textId="77777777" w:rsidR="009B0080" w:rsidRDefault="009B0080" w:rsidP="009B0080">
      <w:pPr>
        <w:pStyle w:val="subsection"/>
        <w:ind w:left="0" w:firstLine="0"/>
        <w:jc w:val="both"/>
        <w:rPr>
          <w:color w:val="000000" w:themeColor="text1"/>
        </w:rPr>
      </w:pPr>
      <w:r>
        <w:rPr>
          <w:color w:val="000000" w:themeColor="text1"/>
        </w:rPr>
        <w:lastRenderedPageBreak/>
        <w:t>The Consequential Act, among</w:t>
      </w:r>
      <w:r w:rsidRPr="00BD0AB8">
        <w:rPr>
          <w:color w:val="000000" w:themeColor="text1"/>
        </w:rPr>
        <w:t xml:space="preserve"> other things</w:t>
      </w:r>
      <w:r>
        <w:rPr>
          <w:color w:val="000000" w:themeColor="text1"/>
        </w:rPr>
        <w:t>,</w:t>
      </w:r>
      <w:r w:rsidRPr="00BD0AB8">
        <w:rPr>
          <w:color w:val="000000" w:themeColor="text1"/>
        </w:rPr>
        <w:t xml:space="preserve"> regulates the conditions upon which the </w:t>
      </w:r>
      <w:r>
        <w:rPr>
          <w:color w:val="000000" w:themeColor="text1"/>
        </w:rPr>
        <w:t>Federation</w:t>
      </w:r>
      <w:r w:rsidRPr="00BD0AB8">
        <w:rPr>
          <w:color w:val="000000" w:themeColor="text1"/>
        </w:rPr>
        <w:t xml:space="preserve"> or a similar body ma</w:t>
      </w:r>
      <w:r>
        <w:rPr>
          <w:color w:val="000000" w:themeColor="text1"/>
        </w:rPr>
        <w:t xml:space="preserve">y obtain registration under the </w:t>
      </w:r>
      <w:r w:rsidRPr="00BD0AB8">
        <w:rPr>
          <w:color w:val="000000" w:themeColor="text1"/>
        </w:rPr>
        <w:t xml:space="preserve">ROC Act. Under section 5 of the Consequential Act, a </w:t>
      </w:r>
      <w:r>
        <w:rPr>
          <w:color w:val="000000" w:themeColor="text1"/>
        </w:rPr>
        <w:t>‘</w:t>
      </w:r>
      <w:r w:rsidRPr="00BD0AB8">
        <w:rPr>
          <w:color w:val="000000" w:themeColor="text1"/>
        </w:rPr>
        <w:t>non-registered association</w:t>
      </w:r>
      <w:r>
        <w:rPr>
          <w:color w:val="000000" w:themeColor="text1"/>
        </w:rPr>
        <w:t>’</w:t>
      </w:r>
      <w:r w:rsidRPr="00BD0AB8">
        <w:rPr>
          <w:color w:val="000000" w:themeColor="text1"/>
        </w:rPr>
        <w:t xml:space="preserve"> (defined to include the former </w:t>
      </w:r>
      <w:r>
        <w:rPr>
          <w:color w:val="000000" w:themeColor="text1"/>
        </w:rPr>
        <w:t>Federation</w:t>
      </w:r>
      <w:r w:rsidRPr="00BD0AB8">
        <w:rPr>
          <w:color w:val="000000" w:themeColor="text1"/>
        </w:rPr>
        <w:t xml:space="preserve"> or another association with similar characteristics) is not entitled to apply for registration under the ROC Act unless</w:t>
      </w:r>
      <w:r>
        <w:rPr>
          <w:color w:val="000000" w:themeColor="text1"/>
        </w:rPr>
        <w:t xml:space="preserve"> Fair Work Australia</w:t>
      </w:r>
      <w:r w:rsidRPr="00BD0AB8">
        <w:rPr>
          <w:color w:val="000000" w:themeColor="text1"/>
        </w:rPr>
        <w:t xml:space="preserve"> (now the Fair Work Commission) on application declares that it is satisfied certain conditions have been met. This includes satisfying itself that the requirements of the ROC Act have been complied with.</w:t>
      </w:r>
      <w:r>
        <w:rPr>
          <w:color w:val="000000" w:themeColor="text1"/>
        </w:rPr>
        <w:t xml:space="preserve"> </w:t>
      </w:r>
      <w:r w:rsidRPr="004B02AA">
        <w:rPr>
          <w:color w:val="000000" w:themeColor="text1"/>
        </w:rPr>
        <w:t xml:space="preserve">A declaration of the </w:t>
      </w:r>
      <w:r>
        <w:rPr>
          <w:color w:val="000000" w:themeColor="text1"/>
        </w:rPr>
        <w:t>Fair Work Commission</w:t>
      </w:r>
      <w:r w:rsidRPr="004B02AA">
        <w:rPr>
          <w:color w:val="000000" w:themeColor="text1"/>
        </w:rPr>
        <w:t xml:space="preserve"> made under section 5 of the Consequential Act would</w:t>
      </w:r>
      <w:r>
        <w:rPr>
          <w:color w:val="000000" w:themeColor="text1"/>
        </w:rPr>
        <w:t xml:space="preserve"> have</w:t>
      </w:r>
      <w:r w:rsidRPr="004B02AA">
        <w:rPr>
          <w:color w:val="000000" w:themeColor="text1"/>
        </w:rPr>
        <w:t xml:space="preserve"> fall</w:t>
      </w:r>
      <w:r>
        <w:rPr>
          <w:color w:val="000000" w:themeColor="text1"/>
        </w:rPr>
        <w:t>en</w:t>
      </w:r>
      <w:r w:rsidRPr="004B02AA">
        <w:rPr>
          <w:color w:val="000000" w:themeColor="text1"/>
        </w:rPr>
        <w:t xml:space="preserve"> under </w:t>
      </w:r>
      <w:r>
        <w:rPr>
          <w:color w:val="000000" w:themeColor="text1"/>
        </w:rPr>
        <w:t>paragraph</w:t>
      </w:r>
      <w:r w:rsidRPr="004B02AA">
        <w:rPr>
          <w:color w:val="000000" w:themeColor="text1"/>
        </w:rPr>
        <w:t xml:space="preserve"> 3(b) of the </w:t>
      </w:r>
      <w:r>
        <w:rPr>
          <w:color w:val="000000" w:themeColor="text1"/>
        </w:rPr>
        <w:t xml:space="preserve">1985 </w:t>
      </w:r>
      <w:r w:rsidRPr="004B02AA">
        <w:rPr>
          <w:color w:val="000000" w:themeColor="text1"/>
        </w:rPr>
        <w:t>Regulations</w:t>
      </w:r>
      <w:r>
        <w:rPr>
          <w:color w:val="000000" w:themeColor="text1"/>
        </w:rPr>
        <w:t xml:space="preserve"> and will now fall under paragraph 6(1)(a) of the 2017 Regulations</w:t>
      </w:r>
      <w:r w:rsidRPr="004B02AA">
        <w:rPr>
          <w:color w:val="000000" w:themeColor="text1"/>
        </w:rPr>
        <w:t>.</w:t>
      </w:r>
    </w:p>
    <w:p w14:paraId="2F5DD687" w14:textId="12DA220F" w:rsidR="00F84736" w:rsidRDefault="009B0080" w:rsidP="009B0080">
      <w:pPr>
        <w:pStyle w:val="subsection"/>
        <w:ind w:left="0" w:firstLine="0"/>
        <w:jc w:val="both"/>
        <w:rPr>
          <w:iCs/>
        </w:rPr>
      </w:pPr>
      <w:r w:rsidRPr="00402FC5">
        <w:rPr>
          <w:iCs/>
        </w:rPr>
        <w:t xml:space="preserve">When the Consequential Act was first enacted, section 5 made reference to the </w:t>
      </w:r>
      <w:r>
        <w:rPr>
          <w:iCs/>
        </w:rPr>
        <w:t>C&amp;A Act</w:t>
      </w:r>
      <w:r w:rsidR="00410DE2">
        <w:rPr>
          <w:iCs/>
        </w:rPr>
        <w:t xml:space="preserve">, which </w:t>
      </w:r>
      <w:r w:rsidR="00410DE2" w:rsidRPr="00410DE2">
        <w:rPr>
          <w:iCs/>
        </w:rPr>
        <w:t>was repealed in 1989</w:t>
      </w:r>
      <w:r w:rsidR="00DD1CC2">
        <w:rPr>
          <w:iCs/>
        </w:rPr>
        <w:t>,</w:t>
      </w:r>
      <w:r w:rsidRPr="00402FC5">
        <w:rPr>
          <w:iCs/>
        </w:rPr>
        <w:t xml:space="preserve"> and </w:t>
      </w:r>
      <w:r w:rsidR="00DD1CC2">
        <w:rPr>
          <w:iCs/>
        </w:rPr>
        <w:t xml:space="preserve">to </w:t>
      </w:r>
      <w:r w:rsidRPr="00402FC5">
        <w:rPr>
          <w:iCs/>
        </w:rPr>
        <w:t>the Australian Conciliation and Arbitration Commission</w:t>
      </w:r>
      <w:r w:rsidR="00B5762A">
        <w:rPr>
          <w:iCs/>
        </w:rPr>
        <w:t>, which</w:t>
      </w:r>
      <w:r w:rsidRPr="00D91560">
        <w:rPr>
          <w:iCs/>
        </w:rPr>
        <w:t xml:space="preserve"> was replaced by the Australian Industrial Relations Commission </w:t>
      </w:r>
      <w:r>
        <w:rPr>
          <w:iCs/>
        </w:rPr>
        <w:t>which</w:t>
      </w:r>
      <w:r w:rsidRPr="00D91560">
        <w:rPr>
          <w:iCs/>
        </w:rPr>
        <w:t xml:space="preserve"> was then replaced by the Fair Work Commission</w:t>
      </w:r>
      <w:r w:rsidRPr="005E5FE5">
        <w:rPr>
          <w:iCs/>
        </w:rPr>
        <w:t>.</w:t>
      </w:r>
      <w:r w:rsidRPr="00402FC5">
        <w:rPr>
          <w:iCs/>
        </w:rPr>
        <w:t xml:space="preserve"> These references have </w:t>
      </w:r>
      <w:r>
        <w:rPr>
          <w:iCs/>
        </w:rPr>
        <w:t xml:space="preserve">accordingly </w:t>
      </w:r>
      <w:r w:rsidRPr="00402FC5">
        <w:rPr>
          <w:iCs/>
        </w:rPr>
        <w:t xml:space="preserve">been updated to refer to </w:t>
      </w:r>
      <w:r>
        <w:rPr>
          <w:iCs/>
        </w:rPr>
        <w:t xml:space="preserve">the </w:t>
      </w:r>
      <w:r w:rsidRPr="00402FC5">
        <w:rPr>
          <w:iCs/>
        </w:rPr>
        <w:t>ROC Act</w:t>
      </w:r>
      <w:r w:rsidR="0099532E">
        <w:rPr>
          <w:iCs/>
        </w:rPr>
        <w:t xml:space="preserve"> and the Fair Work Commission</w:t>
      </w:r>
      <w:r w:rsidRPr="00402FC5">
        <w:rPr>
          <w:iCs/>
        </w:rPr>
        <w:t xml:space="preserve">. </w:t>
      </w:r>
    </w:p>
    <w:p w14:paraId="35A201E7" w14:textId="3DFBCDDD" w:rsidR="009B0080" w:rsidRDefault="009B0080" w:rsidP="009B0080">
      <w:pPr>
        <w:pStyle w:val="subsection"/>
        <w:ind w:left="0" w:firstLine="0"/>
        <w:jc w:val="both"/>
        <w:rPr>
          <w:iCs/>
        </w:rPr>
      </w:pPr>
      <w:r w:rsidRPr="00402FC5">
        <w:rPr>
          <w:iCs/>
        </w:rPr>
        <w:t>As such</w:t>
      </w:r>
      <w:r w:rsidR="00F556DB">
        <w:rPr>
          <w:iCs/>
        </w:rPr>
        <w:t>,</w:t>
      </w:r>
      <w:r w:rsidRPr="00402FC5">
        <w:rPr>
          <w:iCs/>
        </w:rPr>
        <w:t xml:space="preserve"> the reference in </w:t>
      </w:r>
      <w:r w:rsidR="00B25BCA">
        <w:rPr>
          <w:iCs/>
        </w:rPr>
        <w:t>paragraph</w:t>
      </w:r>
      <w:r w:rsidRPr="00402FC5">
        <w:rPr>
          <w:iCs/>
        </w:rPr>
        <w:t xml:space="preserve"> 3(c)</w:t>
      </w:r>
      <w:r w:rsidR="002969BE">
        <w:rPr>
          <w:iCs/>
        </w:rPr>
        <w:t xml:space="preserve"> of the 1985 Regulations</w:t>
      </w:r>
      <w:r w:rsidRPr="00402FC5">
        <w:rPr>
          <w:iCs/>
        </w:rPr>
        <w:t xml:space="preserve"> to the C&amp;A Act </w:t>
      </w:r>
      <w:r w:rsidR="00E129C5">
        <w:rPr>
          <w:iCs/>
        </w:rPr>
        <w:t>has been</w:t>
      </w:r>
      <w:r w:rsidRPr="00402FC5">
        <w:rPr>
          <w:iCs/>
        </w:rPr>
        <w:t xml:space="preserve"> replaced with a reference to the ROC Act.</w:t>
      </w:r>
      <w:r w:rsidR="00BC3312">
        <w:rPr>
          <w:iCs/>
        </w:rPr>
        <w:t xml:space="preserve"> </w:t>
      </w:r>
      <w:r w:rsidRPr="007C6B7D">
        <w:rPr>
          <w:iCs/>
        </w:rPr>
        <w:t>A decision by Fair Work Commission that the ROC Act has been complied with would</w:t>
      </w:r>
      <w:r>
        <w:rPr>
          <w:iCs/>
        </w:rPr>
        <w:t xml:space="preserve"> have</w:t>
      </w:r>
      <w:r w:rsidRPr="007C6B7D">
        <w:rPr>
          <w:iCs/>
        </w:rPr>
        <w:t xml:space="preserve"> fall</w:t>
      </w:r>
      <w:r w:rsidR="001712A3">
        <w:rPr>
          <w:iCs/>
        </w:rPr>
        <w:t>en</w:t>
      </w:r>
      <w:r w:rsidRPr="007C6B7D">
        <w:rPr>
          <w:iCs/>
        </w:rPr>
        <w:t xml:space="preserve"> under </w:t>
      </w:r>
      <w:r>
        <w:rPr>
          <w:iCs/>
        </w:rPr>
        <w:t>paragraph</w:t>
      </w:r>
      <w:r w:rsidRPr="007C6B7D">
        <w:rPr>
          <w:iCs/>
        </w:rPr>
        <w:t xml:space="preserve"> 3(c) of the </w:t>
      </w:r>
      <w:r>
        <w:rPr>
          <w:iCs/>
        </w:rPr>
        <w:t>1985</w:t>
      </w:r>
      <w:r w:rsidRPr="007C6B7D">
        <w:rPr>
          <w:iCs/>
        </w:rPr>
        <w:t xml:space="preserve"> Regulations</w:t>
      </w:r>
      <w:r>
        <w:rPr>
          <w:iCs/>
        </w:rPr>
        <w:t xml:space="preserve"> and will now fall under paragraph 6(1)(b) of the 2017 Regulations</w:t>
      </w:r>
      <w:r w:rsidRPr="007C6B7D">
        <w:rPr>
          <w:iCs/>
        </w:rPr>
        <w:t xml:space="preserve">. </w:t>
      </w:r>
    </w:p>
    <w:p w14:paraId="232FDB21" w14:textId="77777777" w:rsidR="001444F3" w:rsidRPr="001444F3" w:rsidRDefault="00B25783" w:rsidP="001444F3">
      <w:pPr>
        <w:pStyle w:val="subsection"/>
        <w:ind w:left="0" w:firstLine="0"/>
        <w:jc w:val="both"/>
        <w:rPr>
          <w:iCs/>
        </w:rPr>
      </w:pPr>
      <w:r>
        <w:rPr>
          <w:iCs/>
        </w:rPr>
        <w:t>Paragraph</w:t>
      </w:r>
      <w:r w:rsidR="001444F3" w:rsidRPr="001444F3">
        <w:rPr>
          <w:iCs/>
        </w:rPr>
        <w:t xml:space="preserve"> 3(d) </w:t>
      </w:r>
      <w:r w:rsidR="0066200E">
        <w:rPr>
          <w:iCs/>
        </w:rPr>
        <w:t xml:space="preserve">of the 1985 Regulations </w:t>
      </w:r>
      <w:r w:rsidR="00797404">
        <w:rPr>
          <w:iCs/>
        </w:rPr>
        <w:t xml:space="preserve">dealt </w:t>
      </w:r>
      <w:r w:rsidR="001444F3" w:rsidRPr="001444F3">
        <w:rPr>
          <w:iCs/>
        </w:rPr>
        <w:t>with decisions relating to subsection 6(2)</w:t>
      </w:r>
      <w:r w:rsidR="00672ED1">
        <w:rPr>
          <w:iCs/>
        </w:rPr>
        <w:t xml:space="preserve"> of</w:t>
      </w:r>
      <w:r w:rsidR="001444F3" w:rsidRPr="001444F3">
        <w:rPr>
          <w:iCs/>
        </w:rPr>
        <w:t xml:space="preserve"> the Consequential Act</w:t>
      </w:r>
      <w:r w:rsidR="000322BC">
        <w:rPr>
          <w:iCs/>
        </w:rPr>
        <w:t>, which</w:t>
      </w:r>
      <w:r w:rsidR="001444F3" w:rsidRPr="001444F3">
        <w:rPr>
          <w:iCs/>
        </w:rPr>
        <w:t xml:space="preserve"> refers to decisions made pursuant to the provisions of the </w:t>
      </w:r>
      <w:r w:rsidR="00134331">
        <w:rPr>
          <w:iCs/>
        </w:rPr>
        <w:t xml:space="preserve">FW </w:t>
      </w:r>
      <w:r w:rsidR="001444F3" w:rsidRPr="001444F3">
        <w:rPr>
          <w:iCs/>
        </w:rPr>
        <w:t xml:space="preserve">Act and </w:t>
      </w:r>
      <w:r w:rsidR="00CD3686" w:rsidRPr="00CD3686">
        <w:rPr>
          <w:i/>
          <w:iCs/>
        </w:rPr>
        <w:t>Fair Work Regulations 2009</w:t>
      </w:r>
      <w:r w:rsidR="00CD3686" w:rsidRPr="00CD3686">
        <w:rPr>
          <w:iCs/>
        </w:rPr>
        <w:t xml:space="preserve"> </w:t>
      </w:r>
      <w:r w:rsidR="001444F3" w:rsidRPr="001444F3">
        <w:rPr>
          <w:iCs/>
        </w:rPr>
        <w:t xml:space="preserve">with respect to the procedure and powers of </w:t>
      </w:r>
      <w:r w:rsidR="000A12B1" w:rsidRPr="000A12B1">
        <w:rPr>
          <w:iCs/>
        </w:rPr>
        <w:t xml:space="preserve">the Fair Work Commission </w:t>
      </w:r>
      <w:r w:rsidR="001444F3" w:rsidRPr="001444F3">
        <w:rPr>
          <w:iCs/>
        </w:rPr>
        <w:t xml:space="preserve">as they apply, so far as they are capable of application, in relation to proceedings before </w:t>
      </w:r>
      <w:r w:rsidR="000A12B1" w:rsidRPr="000A12B1">
        <w:rPr>
          <w:iCs/>
        </w:rPr>
        <w:t xml:space="preserve">the Fair Work Commission </w:t>
      </w:r>
      <w:r w:rsidR="001444F3" w:rsidRPr="001444F3">
        <w:rPr>
          <w:iCs/>
        </w:rPr>
        <w:t xml:space="preserve">under the Consequential Act. </w:t>
      </w:r>
      <w:r w:rsidR="00BA150C">
        <w:rPr>
          <w:iCs/>
        </w:rPr>
        <w:t xml:space="preserve">The reference in paragraph </w:t>
      </w:r>
      <w:r w:rsidR="001444F3" w:rsidRPr="001444F3">
        <w:rPr>
          <w:iCs/>
        </w:rPr>
        <w:t xml:space="preserve">3(d) </w:t>
      </w:r>
      <w:r w:rsidR="00EB1B16" w:rsidRPr="00EB1B16">
        <w:rPr>
          <w:iCs/>
        </w:rPr>
        <w:t xml:space="preserve">of the 1985 Regulations to the </w:t>
      </w:r>
      <w:r w:rsidR="0052122A">
        <w:rPr>
          <w:iCs/>
        </w:rPr>
        <w:t xml:space="preserve">now-repealed </w:t>
      </w:r>
      <w:r w:rsidR="00EB1B16" w:rsidRPr="00EB1B16">
        <w:rPr>
          <w:iCs/>
        </w:rPr>
        <w:t xml:space="preserve">C&amp;A Act has </w:t>
      </w:r>
      <w:r w:rsidR="003E6AF9">
        <w:rPr>
          <w:iCs/>
        </w:rPr>
        <w:t xml:space="preserve">accordingly </w:t>
      </w:r>
      <w:r w:rsidR="00EB1B16" w:rsidRPr="00EB1B16">
        <w:rPr>
          <w:iCs/>
        </w:rPr>
        <w:t xml:space="preserve">been replaced with a reference to </w:t>
      </w:r>
      <w:r w:rsidR="00EB1B16">
        <w:rPr>
          <w:iCs/>
        </w:rPr>
        <w:t xml:space="preserve">the FW </w:t>
      </w:r>
      <w:r w:rsidR="008104E5">
        <w:rPr>
          <w:iCs/>
        </w:rPr>
        <w:t>Act.</w:t>
      </w:r>
    </w:p>
    <w:p w14:paraId="7DF63D27" w14:textId="1AD7A1B7" w:rsidR="00C73053" w:rsidRDefault="00390001" w:rsidP="001444F3">
      <w:pPr>
        <w:pStyle w:val="subsection"/>
        <w:ind w:left="0" w:firstLine="0"/>
        <w:jc w:val="both"/>
        <w:rPr>
          <w:iCs/>
        </w:rPr>
      </w:pPr>
      <w:r>
        <w:rPr>
          <w:iCs/>
        </w:rPr>
        <w:t xml:space="preserve">Currently, </w:t>
      </w:r>
      <w:r w:rsidR="001444F3" w:rsidRPr="001444F3">
        <w:rPr>
          <w:iCs/>
        </w:rPr>
        <w:t xml:space="preserve">decisions </w:t>
      </w:r>
      <w:r>
        <w:rPr>
          <w:iCs/>
        </w:rPr>
        <w:t xml:space="preserve">of </w:t>
      </w:r>
      <w:r w:rsidR="004D375D">
        <w:rPr>
          <w:iCs/>
        </w:rPr>
        <w:t>t</w:t>
      </w:r>
      <w:r>
        <w:rPr>
          <w:iCs/>
        </w:rPr>
        <w:t xml:space="preserve">he Fair Work Commission </w:t>
      </w:r>
      <w:r w:rsidR="001444F3" w:rsidRPr="001444F3">
        <w:rPr>
          <w:iCs/>
        </w:rPr>
        <w:t>are not subject to</w:t>
      </w:r>
      <w:r w:rsidR="00EF36E1">
        <w:rPr>
          <w:iCs/>
        </w:rPr>
        <w:t xml:space="preserve"> judicial</w:t>
      </w:r>
      <w:r w:rsidR="001444F3" w:rsidRPr="001444F3">
        <w:rPr>
          <w:iCs/>
        </w:rPr>
        <w:t xml:space="preserve"> review under the Act. Paragraph (a) of Schedule 1 to the Act excludes certain classes of decisions from judicial review and includes decisions under the </w:t>
      </w:r>
      <w:r w:rsidR="004D4E8B">
        <w:rPr>
          <w:iCs/>
        </w:rPr>
        <w:t>FW</w:t>
      </w:r>
      <w:r w:rsidR="001444F3" w:rsidRPr="001444F3">
        <w:rPr>
          <w:iCs/>
        </w:rPr>
        <w:t xml:space="preserve"> Act</w:t>
      </w:r>
      <w:r w:rsidR="004D4E8B">
        <w:rPr>
          <w:iCs/>
        </w:rPr>
        <w:t>,</w:t>
      </w:r>
      <w:r w:rsidR="001444F3" w:rsidRPr="001444F3">
        <w:rPr>
          <w:iCs/>
        </w:rPr>
        <w:t xml:space="preserve"> the ROC Act and the </w:t>
      </w:r>
      <w:r w:rsidR="001444F3" w:rsidRPr="004D4E8B">
        <w:rPr>
          <w:i/>
          <w:iCs/>
        </w:rPr>
        <w:t>Fair Work (Transitional Provisions and Consequential Amendments) Act 2009</w:t>
      </w:r>
      <w:r w:rsidR="001444F3" w:rsidRPr="001444F3">
        <w:rPr>
          <w:iCs/>
        </w:rPr>
        <w:t xml:space="preserve">. </w:t>
      </w:r>
      <w:r w:rsidR="008B3633">
        <w:rPr>
          <w:iCs/>
        </w:rPr>
        <w:t>Paragraphs 6(1)(a), (b) and (c)</w:t>
      </w:r>
      <w:r w:rsidR="001444F3" w:rsidRPr="001444F3">
        <w:rPr>
          <w:iCs/>
        </w:rPr>
        <w:t xml:space="preserve"> </w:t>
      </w:r>
      <w:r w:rsidR="00254DEB">
        <w:rPr>
          <w:iCs/>
        </w:rPr>
        <w:t xml:space="preserve">of the </w:t>
      </w:r>
      <w:r w:rsidR="002B6CBB">
        <w:rPr>
          <w:iCs/>
        </w:rPr>
        <w:t xml:space="preserve">2017 </w:t>
      </w:r>
      <w:r w:rsidR="00254DEB">
        <w:rPr>
          <w:iCs/>
        </w:rPr>
        <w:t xml:space="preserve">Regulations </w:t>
      </w:r>
      <w:r w:rsidR="008B3633">
        <w:rPr>
          <w:iCs/>
        </w:rPr>
        <w:t xml:space="preserve">ensure that all </w:t>
      </w:r>
      <w:r w:rsidR="001444F3" w:rsidRPr="001444F3">
        <w:rPr>
          <w:iCs/>
        </w:rPr>
        <w:t xml:space="preserve">decisions of the </w:t>
      </w:r>
      <w:r w:rsidR="008B3633">
        <w:rPr>
          <w:iCs/>
        </w:rPr>
        <w:t>Fair Work Commission</w:t>
      </w:r>
      <w:r w:rsidR="00CD6B0F">
        <w:rPr>
          <w:iCs/>
        </w:rPr>
        <w:t xml:space="preserve">, including those </w:t>
      </w:r>
      <w:r w:rsidR="001444F3" w:rsidRPr="001444F3">
        <w:rPr>
          <w:iCs/>
        </w:rPr>
        <w:t>made under or by virtue of the Consequential Act</w:t>
      </w:r>
      <w:r w:rsidR="00CD6B0F">
        <w:rPr>
          <w:iCs/>
        </w:rPr>
        <w:t>,</w:t>
      </w:r>
      <w:r w:rsidR="001444F3" w:rsidRPr="001444F3">
        <w:rPr>
          <w:iCs/>
        </w:rPr>
        <w:t xml:space="preserve"> would be </w:t>
      </w:r>
      <w:r w:rsidR="00CD6B0F">
        <w:rPr>
          <w:iCs/>
        </w:rPr>
        <w:t xml:space="preserve">excluded from judicial </w:t>
      </w:r>
      <w:r w:rsidR="001444F3" w:rsidRPr="001444F3">
        <w:rPr>
          <w:iCs/>
        </w:rPr>
        <w:t xml:space="preserve">review under the </w:t>
      </w:r>
      <w:r w:rsidR="00AC5E12">
        <w:rPr>
          <w:iCs/>
        </w:rPr>
        <w:t>Act</w:t>
      </w:r>
      <w:r w:rsidR="001444F3" w:rsidRPr="001444F3">
        <w:rPr>
          <w:iCs/>
        </w:rPr>
        <w:t>.</w:t>
      </w:r>
    </w:p>
    <w:p w14:paraId="75CDEF6D" w14:textId="0B704270" w:rsidR="00AA4BFA" w:rsidRDefault="00AA4BFA" w:rsidP="001444F3">
      <w:pPr>
        <w:pStyle w:val="subsection"/>
        <w:ind w:left="0" w:firstLine="0"/>
        <w:jc w:val="both"/>
        <w:rPr>
          <w:iCs/>
        </w:rPr>
      </w:pPr>
      <w:r w:rsidRPr="00AA4BFA">
        <w:rPr>
          <w:iCs/>
        </w:rPr>
        <w:t>The Fair Work Commission is not an ordinary adjudicative tribunal. Its major decisions have an important impact on the Australian economy, and the parties to its proceedings are generally private individuals. Further, some decisions of the Fair Work Commission are of general application and are therefore not purely administrative in character.</w:t>
      </w:r>
    </w:p>
    <w:p w14:paraId="6A94FBE6" w14:textId="78B9B69D" w:rsidR="00F568D0" w:rsidRPr="001444F3" w:rsidRDefault="00F568D0" w:rsidP="001444F3">
      <w:pPr>
        <w:pStyle w:val="subsection"/>
        <w:ind w:left="0" w:firstLine="0"/>
        <w:jc w:val="both"/>
        <w:rPr>
          <w:iCs/>
        </w:rPr>
      </w:pPr>
      <w:r w:rsidRPr="00F568D0">
        <w:rPr>
          <w:iCs/>
        </w:rPr>
        <w:t xml:space="preserve">Exclusion of these decisions from judicial review under the Act is appropriate because a </w:t>
      </w:r>
      <w:r w:rsidR="00065DF4" w:rsidRPr="00F568D0">
        <w:rPr>
          <w:iCs/>
        </w:rPr>
        <w:t>well</w:t>
      </w:r>
      <w:r w:rsidR="00065DF4">
        <w:rPr>
          <w:iCs/>
        </w:rPr>
        <w:noBreakHyphen/>
      </w:r>
      <w:r w:rsidR="00065DF4" w:rsidRPr="00F568D0">
        <w:rPr>
          <w:iCs/>
        </w:rPr>
        <w:t>established</w:t>
      </w:r>
      <w:r w:rsidRPr="00F568D0">
        <w:rPr>
          <w:iCs/>
        </w:rPr>
        <w:t xml:space="preserve"> alternative scheme already exists</w:t>
      </w:r>
      <w:r w:rsidR="000D7D41">
        <w:rPr>
          <w:iCs/>
        </w:rPr>
        <w:t xml:space="preserve">, being </w:t>
      </w:r>
      <w:r w:rsidR="000D7D41" w:rsidRPr="000D7D41">
        <w:rPr>
          <w:iCs/>
        </w:rPr>
        <w:t xml:space="preserve">appeal rights to a Full Bench of the Fair Work Commission and a right of judicial review to the Federal </w:t>
      </w:r>
      <w:r w:rsidR="00433A5C">
        <w:rPr>
          <w:iCs/>
        </w:rPr>
        <w:t>Court or High Court. Decisions of</w:t>
      </w:r>
      <w:r w:rsidR="004F50A0">
        <w:rPr>
          <w:iCs/>
        </w:rPr>
        <w:t xml:space="preserve"> a</w:t>
      </w:r>
      <w:r w:rsidR="000D7D41" w:rsidRPr="000D7D41">
        <w:rPr>
          <w:iCs/>
        </w:rPr>
        <w:t xml:space="preserve"> single Fair Work Commissioner are appealable to a Full Bench of the Fair Work Commission under section 604 of the FW Act and decisions of a Full Bench of the Fair Work Commission are reviewable by the High Court under section 75(v) of the Constitution or the Federal Court under section 39B of the </w:t>
      </w:r>
      <w:r w:rsidR="000D7D41" w:rsidRPr="000D7D41">
        <w:rPr>
          <w:i/>
          <w:iCs/>
        </w:rPr>
        <w:t>Judiciary Act 1903</w:t>
      </w:r>
      <w:r w:rsidR="000D7D41" w:rsidRPr="000D7D41">
        <w:rPr>
          <w:iCs/>
        </w:rPr>
        <w:t>.</w:t>
      </w:r>
      <w:r w:rsidR="00EF0D09" w:rsidRPr="00EF0D09">
        <w:rPr>
          <w:iCs/>
          <w:sz w:val="24"/>
          <w:szCs w:val="24"/>
        </w:rPr>
        <w:t xml:space="preserve"> </w:t>
      </w:r>
      <w:r w:rsidR="00EF0D09" w:rsidRPr="00EF0D09">
        <w:rPr>
          <w:iCs/>
        </w:rPr>
        <w:t xml:space="preserve">Certain decisions </w:t>
      </w:r>
      <w:r w:rsidR="00A53319">
        <w:rPr>
          <w:iCs/>
        </w:rPr>
        <w:t xml:space="preserve">of the Fair Work Commission </w:t>
      </w:r>
      <w:r w:rsidR="00EF0D09" w:rsidRPr="00EF0D09">
        <w:rPr>
          <w:iCs/>
        </w:rPr>
        <w:t>are also appealable to the Federal Court under sections 562 and 563 of the FW Act.</w:t>
      </w:r>
    </w:p>
    <w:p w14:paraId="3D33F86A" w14:textId="77777777" w:rsidR="006A7E60" w:rsidRDefault="00115C41" w:rsidP="00D8340C">
      <w:pPr>
        <w:pStyle w:val="subsection"/>
        <w:ind w:left="0" w:firstLine="0"/>
        <w:jc w:val="both"/>
      </w:pPr>
      <w:r w:rsidRPr="00C35AB8">
        <w:rPr>
          <w:b/>
        </w:rPr>
        <w:t>Paragraph 6(1)(d)</w:t>
      </w:r>
      <w:r w:rsidR="00185564" w:rsidRPr="00185564">
        <w:t xml:space="preserve"> </w:t>
      </w:r>
      <w:r w:rsidR="00185564">
        <w:t>prescribes</w:t>
      </w:r>
      <w:r w:rsidR="00C35AB8" w:rsidRPr="00C35AB8">
        <w:rPr>
          <w:rFonts w:eastAsiaTheme="minorHAnsi"/>
          <w:color w:val="000000"/>
          <w:szCs w:val="22"/>
          <w:lang w:eastAsia="en-US"/>
        </w:rPr>
        <w:t xml:space="preserve"> </w:t>
      </w:r>
      <w:r w:rsidR="00C35AB8" w:rsidRPr="00C35AB8">
        <w:t xml:space="preserve">decisions </w:t>
      </w:r>
      <w:r w:rsidR="00B22DB1">
        <w:t xml:space="preserve">made </w:t>
      </w:r>
      <w:r w:rsidR="00C35AB8" w:rsidRPr="00C35AB8">
        <w:t xml:space="preserve">under a law of Western Australia, in its application in the Territory of Christmas Island by virtue of the </w:t>
      </w:r>
      <w:r w:rsidR="00C35AB8" w:rsidRPr="00C35AB8">
        <w:rPr>
          <w:i/>
          <w:iCs/>
        </w:rPr>
        <w:t>Christmas Island Act 1958</w:t>
      </w:r>
      <w:r w:rsidR="00C35AB8" w:rsidRPr="00C35AB8">
        <w:t>, by a person employed by Western Australia</w:t>
      </w:r>
      <w:r w:rsidR="00EC3C2A">
        <w:t xml:space="preserve">. </w:t>
      </w:r>
    </w:p>
    <w:p w14:paraId="709094C6" w14:textId="0DCDDA92" w:rsidR="002D5EA7" w:rsidRDefault="00115C41" w:rsidP="00D8340C">
      <w:pPr>
        <w:pStyle w:val="subsection"/>
        <w:ind w:left="0" w:firstLine="0"/>
        <w:jc w:val="both"/>
      </w:pPr>
      <w:r w:rsidRPr="00C35AB8">
        <w:rPr>
          <w:b/>
        </w:rPr>
        <w:t>Paragraph 6(1)(e)</w:t>
      </w:r>
      <w:r w:rsidR="00185564" w:rsidRPr="00185564">
        <w:t xml:space="preserve"> </w:t>
      </w:r>
      <w:r w:rsidR="00185564">
        <w:t>prescribes</w:t>
      </w:r>
      <w:r w:rsidR="00C35AB8" w:rsidRPr="00C35AB8">
        <w:rPr>
          <w:rFonts w:eastAsiaTheme="minorHAnsi"/>
          <w:color w:val="000000"/>
          <w:szCs w:val="22"/>
          <w:lang w:eastAsia="en-US"/>
        </w:rPr>
        <w:t xml:space="preserve"> </w:t>
      </w:r>
      <w:r w:rsidR="00C35AB8" w:rsidRPr="00C35AB8">
        <w:t xml:space="preserve">decisions </w:t>
      </w:r>
      <w:r w:rsidR="006577DA">
        <w:t xml:space="preserve">made </w:t>
      </w:r>
      <w:r w:rsidR="00C35AB8" w:rsidRPr="00C35AB8">
        <w:t xml:space="preserve">under a law of Western Australia, in its application in the Territory of Cocos (Keeling) Islands by virtue of the </w:t>
      </w:r>
      <w:r w:rsidR="00C35AB8" w:rsidRPr="00C35AB8">
        <w:rPr>
          <w:i/>
          <w:iCs/>
        </w:rPr>
        <w:t>Cocos (Keeling) Islands Act 1955</w:t>
      </w:r>
      <w:r w:rsidR="00C35AB8" w:rsidRPr="00C35AB8">
        <w:t>, by a person employed by Western Australia</w:t>
      </w:r>
      <w:r w:rsidR="009241B8">
        <w:t xml:space="preserve">. </w:t>
      </w:r>
    </w:p>
    <w:p w14:paraId="75A8512F" w14:textId="4052E45B" w:rsidR="00115C41" w:rsidRDefault="009241B8" w:rsidP="00D8340C">
      <w:pPr>
        <w:pStyle w:val="subsection"/>
        <w:ind w:left="0" w:firstLine="0"/>
        <w:jc w:val="both"/>
      </w:pPr>
      <w:r>
        <w:lastRenderedPageBreak/>
        <w:t>Paragraphs 6(1)(d) and (e)</w:t>
      </w:r>
      <w:r w:rsidR="006B43F1">
        <w:t xml:space="preserve"> of the 2017 Regulations</w:t>
      </w:r>
      <w:r>
        <w:t xml:space="preserve"> retain</w:t>
      </w:r>
      <w:r w:rsidR="00D80528">
        <w:t xml:space="preserve">, </w:t>
      </w:r>
      <w:r w:rsidR="00D80528" w:rsidRPr="00D80528">
        <w:t>in a simplified form</w:t>
      </w:r>
      <w:r w:rsidR="00D80528">
        <w:t>,</w:t>
      </w:r>
      <w:r>
        <w:t xml:space="preserve"> the </w:t>
      </w:r>
      <w:r w:rsidR="008D79DF">
        <w:t>existing exemptions in paragraph 3(g) of the 1985 Regulations</w:t>
      </w:r>
      <w:r w:rsidR="00977C67">
        <w:t>.</w:t>
      </w:r>
      <w:r w:rsidR="00A65D9E" w:rsidRPr="00A65D9E">
        <w:rPr>
          <w:sz w:val="21"/>
        </w:rPr>
        <w:t xml:space="preserve"> </w:t>
      </w:r>
      <w:r w:rsidR="00A65D9E" w:rsidRPr="00A65D9E">
        <w:t xml:space="preserve">Paragraph 3(g) was inserted into the 1985 Regulations by the </w:t>
      </w:r>
      <w:r w:rsidR="00A65D9E" w:rsidRPr="00A65D9E">
        <w:rPr>
          <w:i/>
        </w:rPr>
        <w:t>Administrative Decisions (Judicial Review) Regulations (Amendment)</w:t>
      </w:r>
      <w:r w:rsidR="00D46FBF">
        <w:rPr>
          <w:i/>
        </w:rPr>
        <w:t xml:space="preserve"> </w:t>
      </w:r>
      <w:r w:rsidR="00D46FBF" w:rsidRPr="00D46FBF">
        <w:rPr>
          <w:i/>
        </w:rPr>
        <w:t>1993 No. 155</w:t>
      </w:r>
      <w:r w:rsidR="00141D45">
        <w:t xml:space="preserve"> following the </w:t>
      </w:r>
      <w:r w:rsidR="00505D9E">
        <w:t xml:space="preserve">commencement of the </w:t>
      </w:r>
      <w:r w:rsidR="00505D9E">
        <w:rPr>
          <w:i/>
        </w:rPr>
        <w:t>Territory Law Reform Act 1992</w:t>
      </w:r>
      <w:r w:rsidR="002F702E">
        <w:t xml:space="preserve">, which </w:t>
      </w:r>
      <w:r w:rsidR="00402813">
        <w:t>provided for the application of</w:t>
      </w:r>
      <w:r w:rsidR="00633C32">
        <w:t xml:space="preserve"> </w:t>
      </w:r>
      <w:r w:rsidR="00EC2B3A">
        <w:t>the laws of Western A</w:t>
      </w:r>
      <w:r w:rsidR="00402813">
        <w:t>ustralia</w:t>
      </w:r>
      <w:r w:rsidR="007E70BC">
        <w:t xml:space="preserve"> as Commonwealth laws</w:t>
      </w:r>
      <w:r w:rsidR="00EC2B3A">
        <w:t xml:space="preserve"> </w:t>
      </w:r>
      <w:r w:rsidR="00402813">
        <w:t xml:space="preserve">in </w:t>
      </w:r>
      <w:r w:rsidR="00402813" w:rsidRPr="00402813">
        <w:t xml:space="preserve">Christmas Island and </w:t>
      </w:r>
      <w:r w:rsidR="00A85ACB">
        <w:t xml:space="preserve">the </w:t>
      </w:r>
      <w:r w:rsidR="00402813" w:rsidRPr="00402813">
        <w:t>Cocos (Keeling) Islands</w:t>
      </w:r>
      <w:r w:rsidR="00A65D9E" w:rsidRPr="00A65D9E">
        <w:t xml:space="preserve">. </w:t>
      </w:r>
      <w:r w:rsidR="009C0492">
        <w:t>T</w:t>
      </w:r>
      <w:r w:rsidR="00A65D9E" w:rsidRPr="00A65D9E">
        <w:t xml:space="preserve">he purpose of paragraph 3(g) </w:t>
      </w:r>
      <w:r w:rsidR="0002538F">
        <w:t xml:space="preserve">was to </w:t>
      </w:r>
      <w:r w:rsidR="00C37D89">
        <w:t>declare</w:t>
      </w:r>
      <w:r w:rsidR="00241A4C">
        <w:t xml:space="preserve"> that</w:t>
      </w:r>
      <w:r w:rsidR="000E232C">
        <w:t xml:space="preserve">, pursuant to an agreement between </w:t>
      </w:r>
      <w:r w:rsidR="000E232C" w:rsidRPr="004E07A2">
        <w:t>the Commonwealth and the State of Western Australia</w:t>
      </w:r>
      <w:r w:rsidR="000E232C">
        <w:t xml:space="preserve">, </w:t>
      </w:r>
      <w:r w:rsidR="00C37D89" w:rsidRPr="00C37D89">
        <w:t xml:space="preserve">decisions made by Western Australian officers under Western Australian State laws as applied in </w:t>
      </w:r>
      <w:r w:rsidR="003108F2" w:rsidRPr="003108F2">
        <w:t xml:space="preserve">Christmas Island and </w:t>
      </w:r>
      <w:r w:rsidR="006158A3">
        <w:t xml:space="preserve">the </w:t>
      </w:r>
      <w:r w:rsidR="003108F2" w:rsidRPr="003108F2">
        <w:t xml:space="preserve">Cocos (Keeling) Islands </w:t>
      </w:r>
      <w:r w:rsidR="00285863">
        <w:t>would be excluded</w:t>
      </w:r>
      <w:r w:rsidR="00C37D89" w:rsidRPr="00C37D89">
        <w:t xml:space="preserve"> </w:t>
      </w:r>
      <w:r w:rsidR="00285863">
        <w:t xml:space="preserve">from </w:t>
      </w:r>
      <w:r w:rsidR="00C37D89" w:rsidRPr="00C37D89">
        <w:t>judicial review under the Act</w:t>
      </w:r>
      <w:r w:rsidR="004E07A2" w:rsidRPr="004E07A2">
        <w:t>.</w:t>
      </w:r>
      <w:r w:rsidR="007A1260">
        <w:t xml:space="preserve"> </w:t>
      </w:r>
      <w:r w:rsidR="008A7EB6">
        <w:t xml:space="preserve">The drafting of </w:t>
      </w:r>
      <w:r w:rsidR="00E63AE0">
        <w:t>p</w:t>
      </w:r>
      <w:r w:rsidR="007A1260" w:rsidRPr="007A1260">
        <w:t>aragraphs 6(1)(d) and (e)</w:t>
      </w:r>
      <w:r w:rsidR="00C12B05">
        <w:t>, in conjunction with the definition provision in subsection 6(2),</w:t>
      </w:r>
      <w:r w:rsidR="00E149DA">
        <w:t xml:space="preserve"> </w:t>
      </w:r>
      <w:r w:rsidR="00647F82">
        <w:t>is consistent with the underlying policy intent and</w:t>
      </w:r>
      <w:r w:rsidR="00C12B05">
        <w:t xml:space="preserve"> </w:t>
      </w:r>
      <w:r w:rsidR="00DA3673">
        <w:t>remove</w:t>
      </w:r>
      <w:r w:rsidR="00735BC3">
        <w:t>s</w:t>
      </w:r>
      <w:r w:rsidR="007A1260">
        <w:t xml:space="preserve"> the </w:t>
      </w:r>
      <w:r w:rsidR="00920DC0">
        <w:t xml:space="preserve">need </w:t>
      </w:r>
      <w:r w:rsidR="00180981">
        <w:t xml:space="preserve">for the </w:t>
      </w:r>
      <w:r w:rsidR="00180981" w:rsidRPr="00180981">
        <w:t>extensive list of carve-outs in subparagraphs 3(g)(iii) to (xii) of the 1985 Regulations.</w:t>
      </w:r>
    </w:p>
    <w:p w14:paraId="553F6F95" w14:textId="6C61EF2F" w:rsidR="00093E01" w:rsidRPr="00A643BB" w:rsidRDefault="006F116C" w:rsidP="00D8340C">
      <w:pPr>
        <w:pStyle w:val="subsection"/>
        <w:ind w:left="0" w:firstLine="0"/>
        <w:jc w:val="both"/>
      </w:pPr>
      <w:r>
        <w:t xml:space="preserve">Exclusion of these decisions from judicial review under the Act is appropriate because a </w:t>
      </w:r>
      <w:r w:rsidRPr="006F116C">
        <w:t>well</w:t>
      </w:r>
      <w:r w:rsidR="00786E4B">
        <w:noBreakHyphen/>
      </w:r>
      <w:r w:rsidRPr="006F116C">
        <w:t>established al</w:t>
      </w:r>
      <w:r w:rsidR="00F30864">
        <w:t>ternative scheme already exists</w:t>
      </w:r>
      <w:r w:rsidR="00CF411D">
        <w:t xml:space="preserve">, </w:t>
      </w:r>
      <w:r w:rsidR="005C1F3C" w:rsidRPr="00E07C71">
        <w:t>being</w:t>
      </w:r>
      <w:r w:rsidR="00CF411D" w:rsidRPr="00E07C71">
        <w:t xml:space="preserve"> the general jurisdiction of the</w:t>
      </w:r>
      <w:r w:rsidR="00971C2A" w:rsidRPr="00E07C71">
        <w:t xml:space="preserve"> Western Australian </w:t>
      </w:r>
      <w:r w:rsidR="007221EE" w:rsidRPr="00E07C71">
        <w:t>Supreme Court</w:t>
      </w:r>
      <w:r w:rsidR="005D5A32" w:rsidRPr="00E07C71">
        <w:t xml:space="preserve"> to undertake judicial review of </w:t>
      </w:r>
      <w:r w:rsidR="00C0539D" w:rsidRPr="00E07C71">
        <w:t>S</w:t>
      </w:r>
      <w:r w:rsidR="005D5A32" w:rsidRPr="00E07C71">
        <w:t>tate executive action</w:t>
      </w:r>
      <w:r w:rsidR="00A62E7B">
        <w:t>.</w:t>
      </w:r>
    </w:p>
    <w:p w14:paraId="3653F084" w14:textId="77777777" w:rsidR="004632BA" w:rsidRDefault="00115C41" w:rsidP="00D8340C">
      <w:pPr>
        <w:pStyle w:val="subsection"/>
        <w:ind w:left="0" w:firstLine="0"/>
        <w:jc w:val="both"/>
      </w:pPr>
      <w:r w:rsidRPr="00C35AB8">
        <w:rPr>
          <w:b/>
        </w:rPr>
        <w:t>Paragraph 6(1)(f)</w:t>
      </w:r>
      <w:r w:rsidR="00185564" w:rsidRPr="00185564">
        <w:t xml:space="preserve"> </w:t>
      </w:r>
      <w:r w:rsidR="00185564">
        <w:t>prescribes</w:t>
      </w:r>
      <w:r w:rsidR="00C35AB8" w:rsidRPr="00C35AB8">
        <w:rPr>
          <w:rFonts w:eastAsiaTheme="minorHAnsi"/>
          <w:color w:val="000000"/>
          <w:szCs w:val="22"/>
          <w:lang w:eastAsia="en-US"/>
        </w:rPr>
        <w:t xml:space="preserve"> </w:t>
      </w:r>
      <w:r w:rsidR="00C35AB8" w:rsidRPr="00C35AB8">
        <w:t xml:space="preserve">decisions under a law of New South Wales, in its application in Norfolk Island by virtue of the </w:t>
      </w:r>
      <w:r w:rsidR="00C35AB8" w:rsidRPr="00C35AB8">
        <w:rPr>
          <w:i/>
          <w:iCs/>
        </w:rPr>
        <w:t>Norfolk Island Act 1979</w:t>
      </w:r>
      <w:r w:rsidR="00C35AB8" w:rsidRPr="00C35AB8">
        <w:t>, by a person employed by New South Wales</w:t>
      </w:r>
      <w:r w:rsidR="00B30462">
        <w:t xml:space="preserve">. </w:t>
      </w:r>
      <w:r w:rsidR="00805DC1">
        <w:t xml:space="preserve">The </w:t>
      </w:r>
      <w:r w:rsidR="004B54CD" w:rsidRPr="001B1DA9">
        <w:rPr>
          <w:i/>
        </w:rPr>
        <w:t>Norfolk Island Act 1979</w:t>
      </w:r>
      <w:r w:rsidR="004B54CD">
        <w:t xml:space="preserve">, as amended by the </w:t>
      </w:r>
      <w:r w:rsidR="00F6183A" w:rsidRPr="00F6183A">
        <w:rPr>
          <w:i/>
        </w:rPr>
        <w:t>Norfolk Island Legislation Amendment Act 2015</w:t>
      </w:r>
      <w:r w:rsidR="004B54CD" w:rsidRPr="001B1DA9">
        <w:t>,</w:t>
      </w:r>
      <w:r w:rsidR="00F6183A" w:rsidRPr="00F6183A">
        <w:t xml:space="preserve"> </w:t>
      </w:r>
      <w:r w:rsidR="00F6183A">
        <w:t>provide</w:t>
      </w:r>
      <w:r w:rsidR="004B54CD">
        <w:t>s</w:t>
      </w:r>
      <w:r w:rsidR="00F6183A">
        <w:t xml:space="preserve"> for the </w:t>
      </w:r>
      <w:r w:rsidR="00805DC1">
        <w:t xml:space="preserve">application of the laws of New South Wales </w:t>
      </w:r>
      <w:r w:rsidR="00936F08">
        <w:t>as Commonwealth laws in the Territory of Norfolk Island.</w:t>
      </w:r>
      <w:r w:rsidR="00E15E9E">
        <w:t xml:space="preserve"> </w:t>
      </w:r>
      <w:r w:rsidR="001B3B06">
        <w:t>Paragraph 6(1)(f)</w:t>
      </w:r>
      <w:r w:rsidR="00D92536">
        <w:t xml:space="preserve"> </w:t>
      </w:r>
      <w:r w:rsidR="00E274AF">
        <w:t xml:space="preserve">ensures </w:t>
      </w:r>
      <w:r w:rsidR="00E274AF" w:rsidRPr="00E274AF">
        <w:t xml:space="preserve">that decisions made under the applied laws </w:t>
      </w:r>
      <w:r w:rsidR="00A90E0D">
        <w:t>by State officials</w:t>
      </w:r>
      <w:r w:rsidR="00A90E0D" w:rsidRPr="00E274AF">
        <w:t xml:space="preserve"> </w:t>
      </w:r>
      <w:r w:rsidR="00E274AF" w:rsidRPr="00E274AF">
        <w:t>in Norfolk Island</w:t>
      </w:r>
      <w:r w:rsidR="005A256D">
        <w:t xml:space="preserve"> </w:t>
      </w:r>
      <w:r w:rsidR="00E274AF" w:rsidRPr="00E274AF">
        <w:t xml:space="preserve">are treated in the same manner </w:t>
      </w:r>
      <w:r w:rsidR="00A62E7B">
        <w:t xml:space="preserve">as decisions made by State officials under applied laws </w:t>
      </w:r>
      <w:r w:rsidR="00E274AF" w:rsidRPr="00E274AF">
        <w:t xml:space="preserve">in </w:t>
      </w:r>
      <w:r w:rsidR="004B54CD" w:rsidRPr="00E274AF">
        <w:t>Christmas Island and the Coco</w:t>
      </w:r>
      <w:r w:rsidR="005A256D">
        <w:t>s (Keeling) Islands</w:t>
      </w:r>
      <w:r w:rsidR="00E274AF" w:rsidRPr="001B1DA9">
        <w:t>.</w:t>
      </w:r>
      <w:r w:rsidR="005A256D" w:rsidRPr="001B1DA9">
        <w:t xml:space="preserve"> </w:t>
      </w:r>
    </w:p>
    <w:p w14:paraId="7DA89C8A" w14:textId="4D3EC7D4" w:rsidR="00115C41" w:rsidRDefault="005A256D" w:rsidP="00D8340C">
      <w:pPr>
        <w:pStyle w:val="subsection"/>
        <w:ind w:left="0" w:firstLine="0"/>
        <w:jc w:val="both"/>
      </w:pPr>
      <w:r w:rsidRPr="001B1DA9">
        <w:t>Similarly, exclusion of these decisions from judicial review under the Act is appropriate because a well</w:t>
      </w:r>
      <w:r w:rsidRPr="001B1DA9">
        <w:noBreakHyphen/>
        <w:t>established alternative scheme already exists, being the general jurisdiction of the New South Wales Supreme Court to undertake judicial review of State executive action.</w:t>
      </w:r>
    </w:p>
    <w:p w14:paraId="7C991F81" w14:textId="77777777" w:rsidR="00970377" w:rsidRDefault="00115C41" w:rsidP="00D8340C">
      <w:pPr>
        <w:pStyle w:val="subsection"/>
        <w:ind w:left="0" w:firstLine="0"/>
        <w:jc w:val="both"/>
      </w:pPr>
      <w:r w:rsidRPr="00C35AB8">
        <w:rPr>
          <w:b/>
        </w:rPr>
        <w:t>Paragraph</w:t>
      </w:r>
      <w:r w:rsidR="00E72472">
        <w:rPr>
          <w:b/>
        </w:rPr>
        <w:t>s</w:t>
      </w:r>
      <w:r w:rsidRPr="00C35AB8">
        <w:rPr>
          <w:b/>
        </w:rPr>
        <w:t xml:space="preserve"> 6(1)(g)</w:t>
      </w:r>
      <w:r w:rsidR="00E72472">
        <w:rPr>
          <w:b/>
        </w:rPr>
        <w:t>, (h), (i) and (j)</w:t>
      </w:r>
      <w:r w:rsidR="00185564" w:rsidRPr="00C35AB8">
        <w:rPr>
          <w:b/>
        </w:rPr>
        <w:t xml:space="preserve"> </w:t>
      </w:r>
      <w:r w:rsidR="005E573F">
        <w:t>prescribe</w:t>
      </w:r>
      <w:r w:rsidR="00970377">
        <w:t>:</w:t>
      </w:r>
    </w:p>
    <w:p w14:paraId="195A8ACE" w14:textId="77777777" w:rsidR="00115C41" w:rsidRDefault="00C35AB8" w:rsidP="00970377">
      <w:pPr>
        <w:pStyle w:val="subsection"/>
        <w:numPr>
          <w:ilvl w:val="0"/>
          <w:numId w:val="4"/>
        </w:numPr>
        <w:jc w:val="both"/>
      </w:pPr>
      <w:r w:rsidRPr="00C35AB8">
        <w:t xml:space="preserve">decisions under Part 1 of Chapter 8 of the </w:t>
      </w:r>
      <w:r w:rsidR="00511890">
        <w:rPr>
          <w:i/>
          <w:iCs/>
        </w:rPr>
        <w:t>Biosecurity Act 2015</w:t>
      </w:r>
      <w:r w:rsidR="00511890" w:rsidRPr="00511890">
        <w:rPr>
          <w:iCs/>
        </w:rPr>
        <w:t xml:space="preserve"> </w:t>
      </w:r>
      <w:r w:rsidR="00511890">
        <w:t xml:space="preserve">(Biosecurity Act) </w:t>
      </w:r>
      <w:r w:rsidRPr="00C35AB8">
        <w:t>in relation to a declaration made under subsection 443(1) of that Act</w:t>
      </w:r>
      <w:r w:rsidR="00BE620B">
        <w:t>;</w:t>
      </w:r>
    </w:p>
    <w:p w14:paraId="418BCCE3" w14:textId="77777777" w:rsidR="00C55CA5" w:rsidRDefault="00C55CA5" w:rsidP="00970377">
      <w:pPr>
        <w:pStyle w:val="subsection"/>
        <w:numPr>
          <w:ilvl w:val="0"/>
          <w:numId w:val="4"/>
        </w:numPr>
        <w:jc w:val="both"/>
      </w:pPr>
      <w:r w:rsidRPr="00C35AB8">
        <w:t xml:space="preserve">decisions under Part 1 of Chapter 8 of the </w:t>
      </w:r>
      <w:r w:rsidRPr="00733655">
        <w:rPr>
          <w:iCs/>
        </w:rPr>
        <w:t>Biosecurity Act</w:t>
      </w:r>
      <w:r w:rsidRPr="00C35AB8">
        <w:rPr>
          <w:i/>
          <w:iCs/>
        </w:rPr>
        <w:t xml:space="preserve"> </w:t>
      </w:r>
      <w:r w:rsidRPr="00C35AB8">
        <w:t>to determine a requirement, give a direction, take any action or exercise any other power during a biosecurity emergency period (within the meaning of that Act)</w:t>
      </w:r>
      <w:r w:rsidR="00BE620B">
        <w:t>;</w:t>
      </w:r>
    </w:p>
    <w:p w14:paraId="2B400851" w14:textId="77777777" w:rsidR="00C55CA5" w:rsidRDefault="00C55CA5" w:rsidP="00F26F57">
      <w:pPr>
        <w:pStyle w:val="subsection"/>
        <w:numPr>
          <w:ilvl w:val="0"/>
          <w:numId w:val="4"/>
        </w:numPr>
        <w:jc w:val="both"/>
      </w:pPr>
      <w:r w:rsidRPr="00C35AB8">
        <w:t xml:space="preserve">decisions under Part 2 of Chapter 8 of the </w:t>
      </w:r>
      <w:r w:rsidRPr="00C55CA5">
        <w:rPr>
          <w:iCs/>
        </w:rPr>
        <w:t>Biosecurity Act</w:t>
      </w:r>
      <w:r w:rsidRPr="00C55CA5">
        <w:rPr>
          <w:i/>
          <w:iCs/>
        </w:rPr>
        <w:t xml:space="preserve"> </w:t>
      </w:r>
      <w:r w:rsidRPr="00C35AB8">
        <w:t>in relation to a declaration made under subsection 475(1) of that Act</w:t>
      </w:r>
      <w:r w:rsidR="00BE620B">
        <w:t>;</w:t>
      </w:r>
      <w:r>
        <w:t xml:space="preserve"> and</w:t>
      </w:r>
    </w:p>
    <w:p w14:paraId="528BDBD3" w14:textId="77777777" w:rsidR="00F26F57" w:rsidRDefault="00C55CA5" w:rsidP="00F26F57">
      <w:pPr>
        <w:pStyle w:val="subsection"/>
        <w:numPr>
          <w:ilvl w:val="0"/>
          <w:numId w:val="4"/>
        </w:numPr>
        <w:jc w:val="both"/>
      </w:pPr>
      <w:r w:rsidRPr="00C35AB8">
        <w:t xml:space="preserve">decisions under Part 2 of Chapter 8 of the </w:t>
      </w:r>
      <w:r w:rsidRPr="00C55CA5">
        <w:rPr>
          <w:iCs/>
        </w:rPr>
        <w:t>Biosecurity Act</w:t>
      </w:r>
      <w:r w:rsidRPr="00C55CA5">
        <w:rPr>
          <w:i/>
          <w:iCs/>
        </w:rPr>
        <w:t xml:space="preserve"> </w:t>
      </w:r>
      <w:r w:rsidRPr="00C35AB8">
        <w:t>to determine a requirement or give a direction during a human biosecurity emergency period (within the meaning of that Act)</w:t>
      </w:r>
      <w:r w:rsidR="00B53971">
        <w:t>.</w:t>
      </w:r>
    </w:p>
    <w:p w14:paraId="5A7D03AB" w14:textId="77777777" w:rsidR="00AD3362" w:rsidRDefault="00B53971" w:rsidP="00AD3362">
      <w:pPr>
        <w:pStyle w:val="subsection"/>
        <w:tabs>
          <w:tab w:val="clear" w:pos="1021"/>
          <w:tab w:val="right" w:pos="0"/>
        </w:tabs>
        <w:ind w:left="0" w:firstLine="0"/>
        <w:jc w:val="both"/>
      </w:pPr>
      <w:r>
        <w:t>These provisions retain</w:t>
      </w:r>
      <w:r w:rsidR="00AD3362" w:rsidRPr="00AD3362">
        <w:t xml:space="preserve"> the existing exemption</w:t>
      </w:r>
      <w:r w:rsidR="00176C12">
        <w:t>s</w:t>
      </w:r>
      <w:r w:rsidR="00AD3362" w:rsidRPr="00AD3362">
        <w:t xml:space="preserve"> in paragraph</w:t>
      </w:r>
      <w:r w:rsidR="00176C12">
        <w:t>s</w:t>
      </w:r>
      <w:r w:rsidR="00AD3362" w:rsidRPr="00AD3362">
        <w:t xml:space="preserve"> 3(h)</w:t>
      </w:r>
      <w:r w:rsidR="00176C12">
        <w:t>, (i), (j) and (k)</w:t>
      </w:r>
      <w:r w:rsidR="00AD3362" w:rsidRPr="00AD3362">
        <w:t xml:space="preserve"> of the 1985 Regulations with minor, non-substantive modifications </w:t>
      </w:r>
      <w:r w:rsidR="008B70A2">
        <w:t>to accord</w:t>
      </w:r>
      <w:r w:rsidR="00AD3362" w:rsidRPr="00AD3362">
        <w:t xml:space="preserve"> with modern drafting practice.</w:t>
      </w:r>
    </w:p>
    <w:p w14:paraId="0902A50B" w14:textId="77777777" w:rsidR="003D10B0" w:rsidRDefault="00A04668" w:rsidP="0046444E">
      <w:pPr>
        <w:rPr>
          <w:rFonts w:eastAsia="Times New Roman" w:cs="Times New Roman"/>
          <w:szCs w:val="20"/>
          <w:lang w:eastAsia="en-AU"/>
        </w:rPr>
      </w:pPr>
      <w:r>
        <w:t>T</w:t>
      </w:r>
      <w:r w:rsidR="00BD7D12">
        <w:t xml:space="preserve">he </w:t>
      </w:r>
      <w:r w:rsidR="00B3256A" w:rsidRPr="00B3256A">
        <w:rPr>
          <w:i/>
        </w:rPr>
        <w:t>Biosecurity (Consequential Amendments and Transitional Provisions) Regulation 2016</w:t>
      </w:r>
      <w:r w:rsidR="005741A5">
        <w:t xml:space="preserve"> </w:t>
      </w:r>
      <w:r w:rsidR="000E5FB5">
        <w:t>inserted</w:t>
      </w:r>
      <w:r w:rsidR="005741A5">
        <w:t xml:space="preserve"> paragraphs 3(h)</w:t>
      </w:r>
      <w:r w:rsidR="00065787">
        <w:t>, (i), (j) and</w:t>
      </w:r>
      <w:r w:rsidR="005741A5">
        <w:t xml:space="preserve"> (k)</w:t>
      </w:r>
      <w:r w:rsidR="001F6F77">
        <w:t xml:space="preserve"> into the 1985 Regulations</w:t>
      </w:r>
      <w:r w:rsidR="00BF6A1F">
        <w:t xml:space="preserve"> </w:t>
      </w:r>
      <w:r w:rsidR="00B3256A">
        <w:t xml:space="preserve">as part of consequential amendments arising from the transition of the quarantine legislative framework to the </w:t>
      </w:r>
      <w:r w:rsidR="00B1446B" w:rsidRPr="00B1446B">
        <w:t>biosecurity legislative framework</w:t>
      </w:r>
      <w:r w:rsidR="00DD5CBC">
        <w:t xml:space="preserve"> </w:t>
      </w:r>
      <w:r w:rsidR="00BD063C" w:rsidRPr="00BD063C">
        <w:rPr>
          <w:rFonts w:eastAsia="Times New Roman" w:cs="Times New Roman"/>
          <w:szCs w:val="20"/>
          <w:lang w:eastAsia="en-AU"/>
        </w:rPr>
        <w:t xml:space="preserve">on commencement of the </w:t>
      </w:r>
      <w:r w:rsidR="00BD063C" w:rsidRPr="003D10B0">
        <w:rPr>
          <w:rFonts w:eastAsia="Times New Roman" w:cs="Times New Roman"/>
          <w:szCs w:val="20"/>
          <w:lang w:eastAsia="en-AU"/>
        </w:rPr>
        <w:t>Biosecurity Act</w:t>
      </w:r>
      <w:r w:rsidR="00BD063C" w:rsidRPr="00BD063C">
        <w:rPr>
          <w:rFonts w:eastAsia="Times New Roman" w:cs="Times New Roman"/>
          <w:szCs w:val="20"/>
          <w:lang w:eastAsia="en-AU"/>
        </w:rPr>
        <w:t>.</w:t>
      </w:r>
      <w:r w:rsidR="00BA312E">
        <w:rPr>
          <w:rFonts w:eastAsia="Times New Roman" w:cs="Times New Roman"/>
          <w:szCs w:val="20"/>
          <w:lang w:eastAsia="en-AU"/>
        </w:rPr>
        <w:t xml:space="preserve"> </w:t>
      </w:r>
    </w:p>
    <w:p w14:paraId="45825C61" w14:textId="77777777" w:rsidR="00D31F30" w:rsidRDefault="00D31F30" w:rsidP="00BD063C">
      <w:pPr>
        <w:rPr>
          <w:rFonts w:eastAsia="Times New Roman" w:cs="Times New Roman"/>
          <w:szCs w:val="20"/>
          <w:lang w:eastAsia="en-AU"/>
        </w:rPr>
      </w:pPr>
      <w:r w:rsidRPr="00D31F30">
        <w:rPr>
          <w:rFonts w:eastAsia="Times New Roman" w:cs="Times New Roman"/>
          <w:szCs w:val="20"/>
          <w:lang w:eastAsia="en-AU"/>
        </w:rPr>
        <w:t xml:space="preserve">Subsection 443(1) of the Biosecurity Act provides for the Governor-General to declare that a biosecurity emergency exists if the Agriculture Minister is satisfied </w:t>
      </w:r>
      <w:r>
        <w:rPr>
          <w:rFonts w:eastAsia="Times New Roman" w:cs="Times New Roman"/>
          <w:szCs w:val="20"/>
          <w:lang w:eastAsia="en-AU"/>
        </w:rPr>
        <w:t>of certain things.</w:t>
      </w:r>
      <w:r w:rsidR="004C1BD3">
        <w:rPr>
          <w:rFonts w:eastAsia="Times New Roman" w:cs="Times New Roman"/>
          <w:szCs w:val="20"/>
          <w:lang w:eastAsia="en-AU"/>
        </w:rPr>
        <w:t xml:space="preserve"> </w:t>
      </w:r>
      <w:r w:rsidR="004C1BD3" w:rsidRPr="004C1BD3">
        <w:rPr>
          <w:rFonts w:eastAsia="Times New Roman" w:cs="Times New Roman"/>
          <w:szCs w:val="20"/>
          <w:lang w:eastAsia="en-AU"/>
        </w:rPr>
        <w:t>Subsection 475(1) of the Biosecurity Act provides for the Governor-General to declare that a human biosecurity emergency exists if the Health Minister is satisfied</w:t>
      </w:r>
      <w:r w:rsidR="004C1BD3">
        <w:rPr>
          <w:rFonts w:eastAsia="Times New Roman" w:cs="Times New Roman"/>
          <w:szCs w:val="20"/>
          <w:lang w:eastAsia="en-AU"/>
        </w:rPr>
        <w:t xml:space="preserve"> of certain things.</w:t>
      </w:r>
    </w:p>
    <w:p w14:paraId="7B2036BE" w14:textId="20E6CFD1" w:rsidR="00010D1D" w:rsidRDefault="00AB7B1F" w:rsidP="00BD063C">
      <w:pPr>
        <w:rPr>
          <w:rFonts w:eastAsia="Times New Roman" w:cs="Times New Roman"/>
          <w:szCs w:val="20"/>
          <w:lang w:eastAsia="en-AU"/>
        </w:rPr>
      </w:pPr>
      <w:r>
        <w:rPr>
          <w:rFonts w:eastAsia="Times New Roman" w:cs="Times New Roman"/>
          <w:szCs w:val="20"/>
          <w:lang w:eastAsia="en-AU"/>
        </w:rPr>
        <w:t>Part</w:t>
      </w:r>
      <w:r w:rsidR="00BC3328" w:rsidRPr="00BC3328">
        <w:rPr>
          <w:rFonts w:eastAsia="Times New Roman" w:cs="Times New Roman"/>
          <w:szCs w:val="20"/>
          <w:lang w:eastAsia="en-AU"/>
        </w:rPr>
        <w:t xml:space="preserve"> 1 of Chapter 8 of the Biosecurity Act provide</w:t>
      </w:r>
      <w:r w:rsidR="00360610">
        <w:rPr>
          <w:rFonts w:eastAsia="Times New Roman" w:cs="Times New Roman"/>
          <w:szCs w:val="20"/>
          <w:lang w:eastAsia="en-AU"/>
        </w:rPr>
        <w:t>s</w:t>
      </w:r>
      <w:r w:rsidR="00BC3328" w:rsidRPr="00BC3328">
        <w:rPr>
          <w:rFonts w:eastAsia="Times New Roman" w:cs="Times New Roman"/>
          <w:szCs w:val="20"/>
          <w:lang w:eastAsia="en-AU"/>
        </w:rPr>
        <w:t xml:space="preserve"> for</w:t>
      </w:r>
      <w:r w:rsidR="00B83B1E">
        <w:rPr>
          <w:rFonts w:eastAsia="Times New Roman" w:cs="Times New Roman"/>
          <w:szCs w:val="20"/>
          <w:lang w:eastAsia="en-AU"/>
        </w:rPr>
        <w:t xml:space="preserve"> the </w:t>
      </w:r>
      <w:r w:rsidR="00B83B1E" w:rsidRPr="00B83B1E">
        <w:rPr>
          <w:rFonts w:eastAsia="Times New Roman" w:cs="Times New Roman"/>
          <w:szCs w:val="20"/>
          <w:lang w:eastAsia="en-AU"/>
        </w:rPr>
        <w:t>Agriculture Minister</w:t>
      </w:r>
      <w:r w:rsidR="00BC3328" w:rsidRPr="00BC3328">
        <w:rPr>
          <w:rFonts w:eastAsia="Times New Roman" w:cs="Times New Roman"/>
          <w:szCs w:val="20"/>
          <w:lang w:eastAsia="en-AU"/>
        </w:rPr>
        <w:t xml:space="preserve"> </w:t>
      </w:r>
      <w:r w:rsidR="00B83B1E">
        <w:rPr>
          <w:rFonts w:eastAsia="Times New Roman" w:cs="Times New Roman"/>
          <w:szCs w:val="20"/>
          <w:lang w:eastAsia="en-AU"/>
        </w:rPr>
        <w:t xml:space="preserve">to </w:t>
      </w:r>
      <w:r w:rsidR="000A00BD" w:rsidRPr="000A00BD">
        <w:rPr>
          <w:rFonts w:eastAsia="Times New Roman" w:cs="Times New Roman"/>
          <w:szCs w:val="20"/>
          <w:lang w:eastAsia="en-AU"/>
        </w:rPr>
        <w:t xml:space="preserve">make certain determinations, give directions or take actions </w:t>
      </w:r>
      <w:r w:rsidR="00BC3328" w:rsidRPr="00BC3328">
        <w:rPr>
          <w:rFonts w:eastAsia="Times New Roman" w:cs="Times New Roman"/>
          <w:szCs w:val="20"/>
          <w:lang w:eastAsia="en-AU"/>
        </w:rPr>
        <w:t xml:space="preserve">during a </w:t>
      </w:r>
      <w:r w:rsidR="00685EDC">
        <w:rPr>
          <w:rFonts w:eastAsia="Times New Roman" w:cs="Times New Roman"/>
          <w:szCs w:val="20"/>
          <w:lang w:eastAsia="en-AU"/>
        </w:rPr>
        <w:t xml:space="preserve">declared </w:t>
      </w:r>
      <w:r w:rsidR="00BC3328" w:rsidRPr="00BC3328">
        <w:rPr>
          <w:rFonts w:eastAsia="Times New Roman" w:cs="Times New Roman"/>
          <w:szCs w:val="20"/>
          <w:lang w:eastAsia="en-AU"/>
        </w:rPr>
        <w:t xml:space="preserve">biosecurity emergency </w:t>
      </w:r>
      <w:r w:rsidR="005E0D0D">
        <w:rPr>
          <w:rFonts w:eastAsia="Times New Roman" w:cs="Times New Roman"/>
          <w:szCs w:val="20"/>
          <w:lang w:eastAsia="en-AU"/>
        </w:rPr>
        <w:t xml:space="preserve">for the </w:t>
      </w:r>
      <w:r w:rsidR="005E0D0D">
        <w:rPr>
          <w:rFonts w:eastAsia="Times New Roman" w:cs="Times New Roman"/>
          <w:szCs w:val="20"/>
          <w:lang w:eastAsia="en-AU"/>
        </w:rPr>
        <w:lastRenderedPageBreak/>
        <w:t xml:space="preserve">purposes of preventing or controlling the establishment or spread of a </w:t>
      </w:r>
      <w:r w:rsidR="00347810">
        <w:rPr>
          <w:rFonts w:eastAsia="Times New Roman" w:cs="Times New Roman"/>
          <w:szCs w:val="20"/>
          <w:lang w:eastAsia="en-AU"/>
        </w:rPr>
        <w:t xml:space="preserve">declared </w:t>
      </w:r>
      <w:r w:rsidR="005E0D0D">
        <w:rPr>
          <w:rFonts w:eastAsia="Times New Roman" w:cs="Times New Roman"/>
          <w:szCs w:val="20"/>
          <w:lang w:eastAsia="en-AU"/>
        </w:rPr>
        <w:t>disease</w:t>
      </w:r>
      <w:r>
        <w:rPr>
          <w:rFonts w:eastAsia="Times New Roman" w:cs="Times New Roman"/>
          <w:szCs w:val="20"/>
          <w:lang w:eastAsia="en-AU"/>
        </w:rPr>
        <w:t xml:space="preserve"> or pest. Part 2 of Chapter 8 of the Biosecurity Act provides for </w:t>
      </w:r>
      <w:r w:rsidR="009D7B47" w:rsidRPr="009D7B47">
        <w:rPr>
          <w:rFonts w:eastAsia="Times New Roman" w:cs="Times New Roman"/>
          <w:szCs w:val="20"/>
          <w:lang w:eastAsia="en-AU"/>
        </w:rPr>
        <w:t xml:space="preserve">the Health Minister </w:t>
      </w:r>
      <w:r w:rsidR="009D7B47">
        <w:rPr>
          <w:rFonts w:eastAsia="Times New Roman" w:cs="Times New Roman"/>
          <w:szCs w:val="20"/>
          <w:lang w:eastAsia="en-AU"/>
        </w:rPr>
        <w:t>to</w:t>
      </w:r>
      <w:r w:rsidR="00EE2ADD">
        <w:rPr>
          <w:rFonts w:eastAsia="Times New Roman" w:cs="Times New Roman"/>
          <w:szCs w:val="20"/>
          <w:lang w:eastAsia="en-AU"/>
        </w:rPr>
        <w:t xml:space="preserve"> </w:t>
      </w:r>
      <w:r w:rsidR="00D242C3" w:rsidRPr="00D242C3">
        <w:rPr>
          <w:rFonts w:eastAsia="Times New Roman" w:cs="Times New Roman"/>
          <w:szCs w:val="20"/>
          <w:lang w:eastAsia="en-AU"/>
        </w:rPr>
        <w:t xml:space="preserve">determine requirements or give directions </w:t>
      </w:r>
      <w:r w:rsidR="00EE2ADD" w:rsidRPr="00EE2ADD">
        <w:rPr>
          <w:rFonts w:eastAsia="Times New Roman" w:cs="Times New Roman"/>
          <w:szCs w:val="20"/>
          <w:lang w:eastAsia="en-AU"/>
        </w:rPr>
        <w:t xml:space="preserve">during a declared human biosecurity emergency </w:t>
      </w:r>
      <w:r w:rsidR="007F00CB">
        <w:rPr>
          <w:rFonts w:eastAsia="Times New Roman" w:cs="Times New Roman"/>
          <w:szCs w:val="20"/>
          <w:lang w:eastAsia="en-AU"/>
        </w:rPr>
        <w:t>for the purposes of</w:t>
      </w:r>
      <w:r w:rsidR="00D242C3" w:rsidRPr="00D242C3">
        <w:rPr>
          <w:rFonts w:eastAsia="Times New Roman" w:cs="Times New Roman"/>
          <w:szCs w:val="20"/>
          <w:lang w:eastAsia="en-AU"/>
        </w:rPr>
        <w:t xml:space="preserve"> control</w:t>
      </w:r>
      <w:r w:rsidR="007F00CB">
        <w:rPr>
          <w:rFonts w:eastAsia="Times New Roman" w:cs="Times New Roman"/>
          <w:szCs w:val="20"/>
          <w:lang w:eastAsia="en-AU"/>
        </w:rPr>
        <w:t>ling, reducing or removing</w:t>
      </w:r>
      <w:r w:rsidR="00376AF8">
        <w:rPr>
          <w:rFonts w:eastAsia="Times New Roman" w:cs="Times New Roman"/>
          <w:szCs w:val="20"/>
          <w:lang w:eastAsia="en-AU"/>
        </w:rPr>
        <w:t xml:space="preserve"> the </w:t>
      </w:r>
      <w:r w:rsidR="00376AF8" w:rsidRPr="00376AF8">
        <w:rPr>
          <w:rFonts w:eastAsia="Times New Roman" w:cs="Times New Roman"/>
          <w:szCs w:val="20"/>
          <w:lang w:eastAsia="en-AU"/>
        </w:rPr>
        <w:t>threat of harm posed by a listed human disease, prevent</w:t>
      </w:r>
      <w:r w:rsidR="0093627F">
        <w:rPr>
          <w:rFonts w:eastAsia="Times New Roman" w:cs="Times New Roman"/>
          <w:szCs w:val="20"/>
          <w:lang w:eastAsia="en-AU"/>
        </w:rPr>
        <w:t>ing</w:t>
      </w:r>
      <w:r w:rsidR="00376AF8" w:rsidRPr="00376AF8">
        <w:rPr>
          <w:rFonts w:eastAsia="Times New Roman" w:cs="Times New Roman"/>
          <w:szCs w:val="20"/>
          <w:lang w:eastAsia="en-AU"/>
        </w:rPr>
        <w:t xml:space="preserve"> or control</w:t>
      </w:r>
      <w:r w:rsidR="0093627F">
        <w:rPr>
          <w:rFonts w:eastAsia="Times New Roman" w:cs="Times New Roman"/>
          <w:szCs w:val="20"/>
          <w:lang w:eastAsia="en-AU"/>
        </w:rPr>
        <w:t>ling</w:t>
      </w:r>
      <w:r w:rsidR="00376AF8" w:rsidRPr="00376AF8">
        <w:rPr>
          <w:rFonts w:eastAsia="Times New Roman" w:cs="Times New Roman"/>
          <w:szCs w:val="20"/>
          <w:lang w:eastAsia="en-AU"/>
        </w:rPr>
        <w:t xml:space="preserve"> the spread of disease to another country, or </w:t>
      </w:r>
      <w:r w:rsidR="0093627F">
        <w:rPr>
          <w:rFonts w:eastAsia="Times New Roman" w:cs="Times New Roman"/>
          <w:szCs w:val="20"/>
          <w:lang w:eastAsia="en-AU"/>
        </w:rPr>
        <w:t>giving</w:t>
      </w:r>
      <w:r w:rsidR="00376AF8" w:rsidRPr="00376AF8">
        <w:rPr>
          <w:rFonts w:eastAsia="Times New Roman" w:cs="Times New Roman"/>
          <w:szCs w:val="20"/>
          <w:lang w:eastAsia="en-AU"/>
        </w:rPr>
        <w:t xml:space="preserve"> effect to a World Health Organization recommendation</w:t>
      </w:r>
      <w:r w:rsidR="00376AF8">
        <w:rPr>
          <w:rFonts w:eastAsia="Times New Roman" w:cs="Times New Roman"/>
          <w:szCs w:val="20"/>
          <w:lang w:eastAsia="en-AU"/>
        </w:rPr>
        <w:t>.</w:t>
      </w:r>
    </w:p>
    <w:p w14:paraId="1DE1186D" w14:textId="38B54B7A" w:rsidR="008E7B18" w:rsidRDefault="006D40B6" w:rsidP="00BD063C">
      <w:pPr>
        <w:rPr>
          <w:rFonts w:eastAsia="Times New Roman" w:cs="Times New Roman"/>
          <w:szCs w:val="20"/>
          <w:lang w:eastAsia="en-AU"/>
        </w:rPr>
      </w:pPr>
      <w:r>
        <w:rPr>
          <w:rFonts w:eastAsia="Times New Roman" w:cs="Times New Roman"/>
          <w:szCs w:val="20"/>
          <w:lang w:eastAsia="en-AU"/>
        </w:rPr>
        <w:t>These provisions</w:t>
      </w:r>
      <w:r w:rsidR="00C97792">
        <w:rPr>
          <w:rFonts w:eastAsia="Times New Roman" w:cs="Times New Roman"/>
          <w:szCs w:val="20"/>
          <w:lang w:eastAsia="en-AU"/>
        </w:rPr>
        <w:t xml:space="preserve"> of the Biosecurity Act</w:t>
      </w:r>
      <w:r>
        <w:rPr>
          <w:rFonts w:eastAsia="Times New Roman" w:cs="Times New Roman"/>
          <w:szCs w:val="20"/>
          <w:lang w:eastAsia="en-AU"/>
        </w:rPr>
        <w:t xml:space="preserve"> allow for</w:t>
      </w:r>
      <w:r w:rsidR="00B328D0">
        <w:rPr>
          <w:rFonts w:eastAsia="Times New Roman" w:cs="Times New Roman"/>
          <w:szCs w:val="20"/>
          <w:lang w:eastAsia="en-AU"/>
        </w:rPr>
        <w:t xml:space="preserve"> the </w:t>
      </w:r>
      <w:r w:rsidR="0046444E" w:rsidRPr="0046444E">
        <w:rPr>
          <w:rFonts w:eastAsia="Times New Roman" w:cs="Times New Roman"/>
          <w:szCs w:val="20"/>
          <w:lang w:eastAsia="en-AU"/>
        </w:rPr>
        <w:t>manage</w:t>
      </w:r>
      <w:r w:rsidR="00B328D0">
        <w:rPr>
          <w:rFonts w:eastAsia="Times New Roman" w:cs="Times New Roman"/>
          <w:szCs w:val="20"/>
          <w:lang w:eastAsia="en-AU"/>
        </w:rPr>
        <w:t>ment of</w:t>
      </w:r>
      <w:r w:rsidR="0046444E" w:rsidRPr="0046444E">
        <w:rPr>
          <w:rFonts w:eastAsia="Times New Roman" w:cs="Times New Roman"/>
          <w:szCs w:val="20"/>
          <w:lang w:eastAsia="en-AU"/>
        </w:rPr>
        <w:t xml:space="preserve"> a pest or disease that poses a nationally significant threat to human, plant and animal health, the environment or the economy</w:t>
      </w:r>
      <w:r w:rsidR="003E2986">
        <w:rPr>
          <w:rFonts w:eastAsia="Times New Roman" w:cs="Times New Roman"/>
          <w:szCs w:val="20"/>
          <w:lang w:eastAsia="en-AU"/>
        </w:rPr>
        <w:t xml:space="preserve">. </w:t>
      </w:r>
      <w:r w:rsidR="0046444E" w:rsidRPr="0046444E">
        <w:rPr>
          <w:rFonts w:eastAsia="Times New Roman" w:cs="Times New Roman"/>
          <w:szCs w:val="20"/>
          <w:lang w:eastAsia="en-AU"/>
        </w:rPr>
        <w:t>The focus of these</w:t>
      </w:r>
      <w:r w:rsidR="00664C82">
        <w:rPr>
          <w:rFonts w:eastAsia="Times New Roman" w:cs="Times New Roman"/>
          <w:szCs w:val="20"/>
          <w:lang w:eastAsia="en-AU"/>
        </w:rPr>
        <w:t xml:space="preserve"> </w:t>
      </w:r>
      <w:r w:rsidR="0046444E" w:rsidRPr="0046444E">
        <w:rPr>
          <w:rFonts w:eastAsia="Times New Roman" w:cs="Times New Roman"/>
          <w:szCs w:val="20"/>
          <w:lang w:eastAsia="en-AU"/>
        </w:rPr>
        <w:t xml:space="preserve">powers is to enable a fast and effective response that helps manage the amount of damage to </w:t>
      </w:r>
      <w:r w:rsidR="00E0376A">
        <w:rPr>
          <w:rFonts w:eastAsia="Times New Roman" w:cs="Times New Roman"/>
          <w:szCs w:val="20"/>
          <w:lang w:eastAsia="en-AU"/>
        </w:rPr>
        <w:t>Australia’</w:t>
      </w:r>
      <w:r w:rsidR="0046444E" w:rsidRPr="0046444E">
        <w:rPr>
          <w:rFonts w:eastAsia="Times New Roman" w:cs="Times New Roman"/>
          <w:szCs w:val="20"/>
          <w:lang w:eastAsia="en-AU"/>
        </w:rPr>
        <w:t>s communities, local industries and economy</w:t>
      </w:r>
      <w:r w:rsidR="005F1B13">
        <w:rPr>
          <w:rFonts w:eastAsia="Times New Roman" w:cs="Times New Roman"/>
          <w:szCs w:val="20"/>
          <w:lang w:eastAsia="en-AU"/>
        </w:rPr>
        <w:t xml:space="preserve">. </w:t>
      </w:r>
      <w:r w:rsidR="00C3127C">
        <w:rPr>
          <w:rFonts w:eastAsia="Times New Roman" w:cs="Times New Roman"/>
          <w:szCs w:val="20"/>
          <w:lang w:eastAsia="en-AU"/>
        </w:rPr>
        <w:t xml:space="preserve">They </w:t>
      </w:r>
      <w:r w:rsidR="005F1B13">
        <w:rPr>
          <w:rFonts w:eastAsia="Times New Roman" w:cs="Times New Roman"/>
          <w:szCs w:val="20"/>
          <w:lang w:eastAsia="en-AU"/>
        </w:rPr>
        <w:t xml:space="preserve">are </w:t>
      </w:r>
      <w:r w:rsidR="005F1B13" w:rsidRPr="005F1B13">
        <w:rPr>
          <w:rFonts w:eastAsia="Times New Roman" w:cs="Times New Roman"/>
          <w:szCs w:val="20"/>
          <w:lang w:eastAsia="en-AU"/>
        </w:rPr>
        <w:t>intended to be used in circumstances where the scale and significance of an emergency requires management at a national level</w:t>
      </w:r>
      <w:r w:rsidR="00B4198F">
        <w:rPr>
          <w:rFonts w:eastAsia="Times New Roman" w:cs="Times New Roman"/>
          <w:szCs w:val="20"/>
          <w:lang w:eastAsia="en-AU"/>
        </w:rPr>
        <w:t>.</w:t>
      </w:r>
      <w:r w:rsidR="00814231">
        <w:rPr>
          <w:rFonts w:eastAsia="Times New Roman" w:cs="Times New Roman"/>
          <w:szCs w:val="20"/>
          <w:lang w:eastAsia="en-AU"/>
        </w:rPr>
        <w:t xml:space="preserve"> </w:t>
      </w:r>
    </w:p>
    <w:p w14:paraId="5F72DBBF" w14:textId="0991574A" w:rsidR="00BD063C" w:rsidRDefault="00FC3F7C" w:rsidP="006F0686">
      <w:pPr>
        <w:rPr>
          <w:rFonts w:eastAsia="Times New Roman" w:cs="Times New Roman"/>
          <w:szCs w:val="20"/>
          <w:lang w:eastAsia="en-AU"/>
        </w:rPr>
      </w:pPr>
      <w:r>
        <w:rPr>
          <w:rFonts w:eastAsia="Times New Roman" w:cs="Times New Roman"/>
          <w:szCs w:val="20"/>
          <w:lang w:eastAsia="en-AU"/>
        </w:rPr>
        <w:t>E</w:t>
      </w:r>
      <w:r w:rsidR="00814231">
        <w:rPr>
          <w:rFonts w:eastAsia="Times New Roman" w:cs="Times New Roman"/>
          <w:szCs w:val="20"/>
          <w:lang w:eastAsia="en-AU"/>
        </w:rPr>
        <w:t>xcluding these decisions fro</w:t>
      </w:r>
      <w:r w:rsidR="00FE7163">
        <w:rPr>
          <w:rFonts w:eastAsia="Times New Roman" w:cs="Times New Roman"/>
          <w:szCs w:val="20"/>
          <w:lang w:eastAsia="en-AU"/>
        </w:rPr>
        <w:t>m judicial review under the Act</w:t>
      </w:r>
      <w:r w:rsidR="001C67F3">
        <w:rPr>
          <w:rFonts w:eastAsia="Times New Roman" w:cs="Times New Roman"/>
          <w:szCs w:val="20"/>
          <w:lang w:eastAsia="en-AU"/>
        </w:rPr>
        <w:t xml:space="preserve"> </w:t>
      </w:r>
      <w:r w:rsidR="00F17BE1">
        <w:rPr>
          <w:rFonts w:eastAsia="Times New Roman" w:cs="Times New Roman"/>
          <w:szCs w:val="20"/>
          <w:lang w:eastAsia="en-AU"/>
        </w:rPr>
        <w:t xml:space="preserve">is appropriate because </w:t>
      </w:r>
      <w:r w:rsidR="002747AD">
        <w:rPr>
          <w:rFonts w:eastAsia="Times New Roman" w:cs="Times New Roman"/>
          <w:szCs w:val="20"/>
          <w:lang w:eastAsia="en-AU"/>
        </w:rPr>
        <w:t xml:space="preserve">these </w:t>
      </w:r>
      <w:r w:rsidR="00F17BE1" w:rsidRPr="00F17BE1">
        <w:rPr>
          <w:rFonts w:eastAsia="Times New Roman" w:cs="Times New Roman"/>
          <w:szCs w:val="20"/>
          <w:lang w:eastAsia="en-AU"/>
        </w:rPr>
        <w:t>decisions relate t</w:t>
      </w:r>
      <w:r w:rsidR="001F1878">
        <w:rPr>
          <w:rFonts w:eastAsia="Times New Roman" w:cs="Times New Roman"/>
          <w:szCs w:val="20"/>
          <w:lang w:eastAsia="en-AU"/>
        </w:rPr>
        <w:t xml:space="preserve">o the management of </w:t>
      </w:r>
      <w:r w:rsidR="00D726A5">
        <w:rPr>
          <w:rFonts w:eastAsia="Times New Roman" w:cs="Times New Roman"/>
          <w:szCs w:val="20"/>
          <w:lang w:eastAsia="en-AU"/>
        </w:rPr>
        <w:t xml:space="preserve">emergencies </w:t>
      </w:r>
      <w:r w:rsidR="001F1878">
        <w:rPr>
          <w:rFonts w:eastAsia="Times New Roman" w:cs="Times New Roman"/>
          <w:szCs w:val="20"/>
          <w:lang w:eastAsia="en-AU"/>
        </w:rPr>
        <w:t xml:space="preserve">that </w:t>
      </w:r>
      <w:r w:rsidR="00181BA5">
        <w:rPr>
          <w:rFonts w:eastAsia="Times New Roman" w:cs="Times New Roman"/>
          <w:szCs w:val="20"/>
          <w:lang w:eastAsia="en-AU"/>
        </w:rPr>
        <w:t>pose a severe and immediate threat</w:t>
      </w:r>
      <w:r w:rsidR="00FE173C">
        <w:rPr>
          <w:rFonts w:eastAsia="Times New Roman" w:cs="Times New Roman"/>
          <w:szCs w:val="20"/>
          <w:lang w:eastAsia="en-AU"/>
        </w:rPr>
        <w:t>,</w:t>
      </w:r>
      <w:r w:rsidR="00181BA5">
        <w:rPr>
          <w:rFonts w:eastAsia="Times New Roman" w:cs="Times New Roman"/>
          <w:szCs w:val="20"/>
          <w:lang w:eastAsia="en-AU"/>
        </w:rPr>
        <w:t xml:space="preserve"> or are causing harm</w:t>
      </w:r>
      <w:r w:rsidR="00FE173C">
        <w:rPr>
          <w:rFonts w:eastAsia="Times New Roman" w:cs="Times New Roman"/>
          <w:szCs w:val="20"/>
          <w:lang w:eastAsia="en-AU"/>
        </w:rPr>
        <w:t>,</w:t>
      </w:r>
      <w:r w:rsidR="00181BA5">
        <w:rPr>
          <w:rFonts w:eastAsia="Times New Roman" w:cs="Times New Roman"/>
          <w:szCs w:val="20"/>
          <w:lang w:eastAsia="en-AU"/>
        </w:rPr>
        <w:t xml:space="preserve"> on a nationally significant scale</w:t>
      </w:r>
      <w:r w:rsidR="001C67F3">
        <w:rPr>
          <w:rFonts w:eastAsia="Times New Roman" w:cs="Times New Roman"/>
          <w:szCs w:val="20"/>
          <w:lang w:eastAsia="en-AU"/>
        </w:rPr>
        <w:t>.</w:t>
      </w:r>
      <w:r w:rsidR="005A3F47">
        <w:rPr>
          <w:rFonts w:eastAsia="Times New Roman" w:cs="Times New Roman"/>
          <w:szCs w:val="20"/>
          <w:lang w:eastAsia="en-AU"/>
        </w:rPr>
        <w:t xml:space="preserve"> </w:t>
      </w:r>
      <w:r w:rsidR="00811B46">
        <w:rPr>
          <w:rFonts w:eastAsia="Times New Roman" w:cs="Times New Roman"/>
          <w:szCs w:val="20"/>
          <w:lang w:eastAsia="en-AU"/>
        </w:rPr>
        <w:t>It</w:t>
      </w:r>
      <w:r w:rsidR="002B74AB" w:rsidRPr="002B74AB">
        <w:rPr>
          <w:rFonts w:eastAsia="Times New Roman" w:cs="Times New Roman"/>
          <w:szCs w:val="20"/>
          <w:lang w:eastAsia="en-AU"/>
        </w:rPr>
        <w:t xml:space="preserve"> ensures that review processes do not unduly delay the control or eradication of biosecurity</w:t>
      </w:r>
      <w:r w:rsidR="001F26D1">
        <w:rPr>
          <w:rFonts w:eastAsia="Times New Roman" w:cs="Times New Roman"/>
          <w:szCs w:val="20"/>
          <w:lang w:eastAsia="en-AU"/>
        </w:rPr>
        <w:t xml:space="preserve"> and human biosecurity</w:t>
      </w:r>
      <w:r w:rsidR="002B74AB" w:rsidRPr="002B74AB">
        <w:rPr>
          <w:rFonts w:eastAsia="Times New Roman" w:cs="Times New Roman"/>
          <w:szCs w:val="20"/>
          <w:lang w:eastAsia="en-AU"/>
        </w:rPr>
        <w:t xml:space="preserve"> threats that can cause damage of national significance</w:t>
      </w:r>
      <w:r w:rsidR="001D7467">
        <w:rPr>
          <w:rFonts w:eastAsia="Times New Roman" w:cs="Times New Roman"/>
          <w:szCs w:val="20"/>
          <w:lang w:eastAsia="en-AU"/>
        </w:rPr>
        <w:t>.</w:t>
      </w:r>
    </w:p>
    <w:p w14:paraId="1E70856D" w14:textId="365DD243" w:rsidR="00181BA5" w:rsidRPr="00BD063C" w:rsidRDefault="00C01D0E" w:rsidP="006F0686">
      <w:pPr>
        <w:rPr>
          <w:rFonts w:eastAsia="Times New Roman" w:cs="Times New Roman"/>
          <w:szCs w:val="20"/>
          <w:lang w:eastAsia="en-AU"/>
        </w:rPr>
      </w:pPr>
      <w:r>
        <w:rPr>
          <w:rFonts w:eastAsia="Times New Roman" w:cs="Times New Roman"/>
          <w:szCs w:val="20"/>
          <w:lang w:eastAsia="en-AU"/>
        </w:rPr>
        <w:t xml:space="preserve">In addition, </w:t>
      </w:r>
      <w:r w:rsidR="00080C48">
        <w:rPr>
          <w:rFonts w:eastAsia="Times New Roman" w:cs="Times New Roman"/>
          <w:szCs w:val="20"/>
          <w:lang w:eastAsia="en-AU"/>
        </w:rPr>
        <w:t>human biosecurity emergencies are declared only in circumstances where a listed human disease is posing a severe and immediate threat</w:t>
      </w:r>
      <w:r w:rsidR="00875D41">
        <w:rPr>
          <w:rFonts w:eastAsia="Times New Roman" w:cs="Times New Roman"/>
          <w:szCs w:val="20"/>
          <w:lang w:eastAsia="en-AU"/>
        </w:rPr>
        <w:t>, or is causing harm, to human health on a nationally significant scale.</w:t>
      </w:r>
      <w:r w:rsidR="00F74809">
        <w:rPr>
          <w:rFonts w:eastAsia="Times New Roman" w:cs="Times New Roman"/>
          <w:szCs w:val="20"/>
          <w:lang w:eastAsia="en-AU"/>
        </w:rPr>
        <w:t xml:space="preserve"> As such, </w:t>
      </w:r>
      <w:r w:rsidR="00E51CCC">
        <w:rPr>
          <w:rFonts w:eastAsia="Times New Roman" w:cs="Times New Roman"/>
          <w:szCs w:val="20"/>
          <w:lang w:eastAsia="en-AU"/>
        </w:rPr>
        <w:t>excluding</w:t>
      </w:r>
      <w:r w:rsidR="00E918ED">
        <w:rPr>
          <w:rFonts w:eastAsia="Times New Roman" w:cs="Times New Roman"/>
          <w:szCs w:val="20"/>
          <w:lang w:eastAsia="en-AU"/>
        </w:rPr>
        <w:t xml:space="preserve"> these decisions </w:t>
      </w:r>
      <w:r w:rsidR="00E51CCC">
        <w:rPr>
          <w:rFonts w:eastAsia="Times New Roman" w:cs="Times New Roman"/>
          <w:szCs w:val="20"/>
          <w:lang w:eastAsia="en-AU"/>
        </w:rPr>
        <w:t xml:space="preserve">from </w:t>
      </w:r>
      <w:r w:rsidR="00E918ED">
        <w:rPr>
          <w:rFonts w:eastAsia="Times New Roman" w:cs="Times New Roman"/>
          <w:szCs w:val="20"/>
          <w:lang w:eastAsia="en-AU"/>
        </w:rPr>
        <w:t xml:space="preserve">judicial review </w:t>
      </w:r>
      <w:r w:rsidR="007E1C34">
        <w:rPr>
          <w:rFonts w:eastAsia="Times New Roman" w:cs="Times New Roman"/>
          <w:szCs w:val="20"/>
          <w:lang w:eastAsia="en-AU"/>
        </w:rPr>
        <w:t xml:space="preserve">under the Act </w:t>
      </w:r>
      <w:r w:rsidR="00E51CCC">
        <w:rPr>
          <w:rFonts w:eastAsia="Times New Roman" w:cs="Times New Roman"/>
          <w:szCs w:val="20"/>
          <w:lang w:eastAsia="en-AU"/>
        </w:rPr>
        <w:t xml:space="preserve">is also appropriate because subjecting these decisions to judicial review </w:t>
      </w:r>
      <w:r w:rsidR="007E1C34">
        <w:rPr>
          <w:rFonts w:eastAsia="Times New Roman" w:cs="Times New Roman"/>
          <w:szCs w:val="20"/>
          <w:lang w:eastAsia="en-AU"/>
        </w:rPr>
        <w:t>could pose a risk to the personal safety of all persons.</w:t>
      </w:r>
    </w:p>
    <w:p w14:paraId="54651989" w14:textId="77777777" w:rsidR="007C6138" w:rsidRPr="00782D2A" w:rsidRDefault="00782D2A" w:rsidP="00D8340C">
      <w:pPr>
        <w:pStyle w:val="subsection"/>
        <w:ind w:left="0" w:firstLine="0"/>
        <w:jc w:val="both"/>
      </w:pPr>
      <w:r w:rsidRPr="00782D2A">
        <w:rPr>
          <w:b/>
        </w:rPr>
        <w:t>Subsection 6(2)</w:t>
      </w:r>
      <w:r>
        <w:t xml:space="preserve"> provides </w:t>
      </w:r>
      <w:r w:rsidR="00A93353" w:rsidRPr="00A93353">
        <w:t xml:space="preserve">a non-exclusive definition of a person employed by a particular State for the purposes of paragraphs </w:t>
      </w:r>
      <w:r w:rsidR="009E2986">
        <w:t>6</w:t>
      </w:r>
      <w:r w:rsidR="00A93353" w:rsidRPr="00A93353">
        <w:t>(1)(d), (e) and (f).</w:t>
      </w:r>
    </w:p>
    <w:p w14:paraId="45916CDE" w14:textId="77777777" w:rsidR="00BE7A7A" w:rsidRPr="00723C8B" w:rsidRDefault="00543864" w:rsidP="00BE7A7A">
      <w:pPr>
        <w:pStyle w:val="Heading3"/>
        <w:spacing w:before="280"/>
        <w:rPr>
          <w:rFonts w:ascii="Times New Roman" w:hAnsi="Times New Roman" w:cs="Times New Roman"/>
          <w:color w:val="000000" w:themeColor="text1"/>
        </w:rPr>
      </w:pPr>
      <w:r>
        <w:rPr>
          <w:rFonts w:ascii="Times New Roman" w:hAnsi="Times New Roman" w:cs="Times New Roman"/>
          <w:color w:val="000000" w:themeColor="text1"/>
        </w:rPr>
        <w:t>Schedule 1</w:t>
      </w:r>
      <w:r w:rsidR="00BE7A7A" w:rsidRPr="00723C8B">
        <w:rPr>
          <w:rFonts w:ascii="Times New Roman" w:hAnsi="Times New Roman" w:cs="Times New Roman"/>
          <w:color w:val="000000" w:themeColor="text1"/>
        </w:rPr>
        <w:tab/>
        <w:t>Repeal</w:t>
      </w:r>
      <w:r>
        <w:rPr>
          <w:rFonts w:ascii="Times New Roman" w:hAnsi="Times New Roman" w:cs="Times New Roman"/>
          <w:color w:val="000000" w:themeColor="text1"/>
        </w:rPr>
        <w:t>s</w:t>
      </w:r>
    </w:p>
    <w:p w14:paraId="770A6127" w14:textId="77777777" w:rsidR="007E12C2" w:rsidRDefault="00665B65" w:rsidP="00BE7A7A">
      <w:pPr>
        <w:pStyle w:val="subsection"/>
        <w:ind w:left="0" w:firstLine="0"/>
        <w:jc w:val="both"/>
        <w:rPr>
          <w:color w:val="000000" w:themeColor="text1"/>
        </w:rPr>
      </w:pPr>
      <w:r w:rsidRPr="00723C8B">
        <w:rPr>
          <w:color w:val="000000" w:themeColor="text1"/>
        </w:rPr>
        <w:t xml:space="preserve">This </w:t>
      </w:r>
      <w:r w:rsidR="00A238EF">
        <w:rPr>
          <w:color w:val="000000" w:themeColor="text1"/>
        </w:rPr>
        <w:t>Schedule</w:t>
      </w:r>
      <w:r w:rsidRPr="00723C8B">
        <w:rPr>
          <w:color w:val="000000" w:themeColor="text1"/>
        </w:rPr>
        <w:t xml:space="preserve"> provides that </w:t>
      </w:r>
      <w:r w:rsidR="00F12DDD">
        <w:rPr>
          <w:color w:val="000000" w:themeColor="text1"/>
        </w:rPr>
        <w:t>the</w:t>
      </w:r>
      <w:r w:rsidR="003962FD">
        <w:rPr>
          <w:color w:val="000000" w:themeColor="text1"/>
        </w:rPr>
        <w:t xml:space="preserve"> whole of the</w:t>
      </w:r>
      <w:r w:rsidR="00F12DDD">
        <w:rPr>
          <w:color w:val="000000" w:themeColor="text1"/>
        </w:rPr>
        <w:t xml:space="preserve"> </w:t>
      </w:r>
      <w:r w:rsidR="00F12DDD" w:rsidRPr="00F12DDD">
        <w:rPr>
          <w:i/>
          <w:color w:val="000000" w:themeColor="text1"/>
        </w:rPr>
        <w:t>Administrative Decisions (Judicial Review) Regulations 1985</w:t>
      </w:r>
      <w:r w:rsidR="00F12DDD">
        <w:rPr>
          <w:color w:val="000000" w:themeColor="text1"/>
        </w:rPr>
        <w:t xml:space="preserve"> is repealed</w:t>
      </w:r>
      <w:r w:rsidR="00BE7A7A" w:rsidRPr="00723C8B">
        <w:rPr>
          <w:color w:val="000000" w:themeColor="text1"/>
        </w:rPr>
        <w:t>.</w:t>
      </w:r>
    </w:p>
    <w:p w14:paraId="643E1392" w14:textId="77777777" w:rsidR="009C2BAC" w:rsidRDefault="009C2BAC">
      <w:pPr>
        <w:spacing w:before="0" w:after="200" w:line="276" w:lineRule="auto"/>
        <w:rPr>
          <w:rFonts w:eastAsia="Times New Roman" w:cs="Times New Roman"/>
          <w:color w:val="000000" w:themeColor="text1"/>
          <w:szCs w:val="20"/>
          <w:lang w:eastAsia="en-AU"/>
        </w:rPr>
      </w:pPr>
      <w:r>
        <w:rPr>
          <w:color w:val="000000" w:themeColor="text1"/>
        </w:rPr>
        <w:br w:type="page"/>
      </w:r>
    </w:p>
    <w:p w14:paraId="3C81B25D" w14:textId="77777777" w:rsidR="009C2BAC" w:rsidRPr="00155C28" w:rsidRDefault="00155C28" w:rsidP="00026D9A">
      <w:pPr>
        <w:pStyle w:val="NoSpacing"/>
        <w:rPr>
          <w:u w:val="single"/>
        </w:rPr>
      </w:pPr>
      <w:r w:rsidRPr="00155C28">
        <w:rPr>
          <w:u w:val="single"/>
        </w:rPr>
        <w:lastRenderedPageBreak/>
        <w:t>Attachment B</w:t>
      </w:r>
    </w:p>
    <w:p w14:paraId="56A469F5" w14:textId="77777777" w:rsidR="00155C28" w:rsidRPr="00155C28" w:rsidRDefault="00155C28" w:rsidP="000B2840">
      <w:pPr>
        <w:pStyle w:val="Heading1"/>
      </w:pPr>
      <w:r w:rsidRPr="00155C28">
        <w:t>Statement of Compatibility with Human Rights</w:t>
      </w:r>
    </w:p>
    <w:p w14:paraId="7C81C37A" w14:textId="77777777" w:rsidR="00155C28" w:rsidRPr="00155C28" w:rsidRDefault="00155C28" w:rsidP="000A03C6">
      <w:pPr>
        <w:jc w:val="center"/>
      </w:pPr>
      <w:r w:rsidRPr="006E20D2">
        <w:t>Prepared in accordance with Part 3 of the</w:t>
      </w:r>
      <w:r w:rsidRPr="00155C28">
        <w:rPr>
          <w:i/>
        </w:rPr>
        <w:t xml:space="preserve"> Human Rights (Parliamentary Scrutiny) Act 2011</w:t>
      </w:r>
    </w:p>
    <w:p w14:paraId="1935199B" w14:textId="77777777" w:rsidR="00155C28" w:rsidRPr="00155C28" w:rsidRDefault="00C10C66" w:rsidP="00C10C66">
      <w:pPr>
        <w:tabs>
          <w:tab w:val="left" w:pos="6587"/>
        </w:tabs>
      </w:pPr>
      <w:r>
        <w:tab/>
      </w:r>
    </w:p>
    <w:p w14:paraId="25241392" w14:textId="77777777" w:rsidR="00155C28" w:rsidRPr="00AC651E" w:rsidRDefault="000A03C6" w:rsidP="00AC651E">
      <w:pPr>
        <w:pStyle w:val="Heading2"/>
        <w:jc w:val="center"/>
        <w:rPr>
          <w:i/>
        </w:rPr>
      </w:pPr>
      <w:r w:rsidRPr="00AC651E">
        <w:rPr>
          <w:i/>
        </w:rPr>
        <w:t>Administrative Decisions (Judicial Review) Regulations 2017</w:t>
      </w:r>
    </w:p>
    <w:p w14:paraId="740F8DB8" w14:textId="77777777" w:rsidR="00155C28" w:rsidRPr="00492D66" w:rsidRDefault="00155C28" w:rsidP="002A6D36">
      <w:pPr>
        <w:jc w:val="center"/>
        <w:rPr>
          <w:spacing w:val="-2"/>
        </w:rPr>
      </w:pPr>
      <w:r w:rsidRPr="00492D66">
        <w:rPr>
          <w:spacing w:val="-2"/>
        </w:rPr>
        <w:t>Th</w:t>
      </w:r>
      <w:r w:rsidR="006D06F5" w:rsidRPr="00492D66">
        <w:rPr>
          <w:spacing w:val="-2"/>
        </w:rPr>
        <w:t xml:space="preserve">is legislative instrument is </w:t>
      </w:r>
      <w:r w:rsidRPr="00492D66">
        <w:rPr>
          <w:spacing w:val="-2"/>
        </w:rPr>
        <w:t xml:space="preserve">compatible with the human rights and freedoms recognised or declared in the international instruments listed in section 3 of the </w:t>
      </w:r>
      <w:r w:rsidRPr="00492D66">
        <w:rPr>
          <w:i/>
          <w:spacing w:val="-2"/>
        </w:rPr>
        <w:t>Human Rights (Parliamentary Scrutiny) Act 2011</w:t>
      </w:r>
      <w:r w:rsidRPr="00492D66">
        <w:rPr>
          <w:spacing w:val="-2"/>
        </w:rPr>
        <w:t>.</w:t>
      </w:r>
    </w:p>
    <w:p w14:paraId="13BCC934" w14:textId="77777777" w:rsidR="00155C28" w:rsidRPr="00155C28" w:rsidRDefault="00155C28" w:rsidP="00155C28"/>
    <w:p w14:paraId="4C7F7F05" w14:textId="77777777" w:rsidR="00155C28" w:rsidRPr="00155C28" w:rsidRDefault="00155C28" w:rsidP="00AC651E">
      <w:pPr>
        <w:pStyle w:val="Heading2"/>
      </w:pPr>
      <w:r w:rsidRPr="00155C28">
        <w:t xml:space="preserve">Overview of the </w:t>
      </w:r>
      <w:r w:rsidR="00920CA0">
        <w:t>l</w:t>
      </w:r>
      <w:r w:rsidRPr="00155C28">
        <w:t xml:space="preserve">egislative </w:t>
      </w:r>
      <w:r w:rsidR="00920CA0">
        <w:t>i</w:t>
      </w:r>
      <w:r w:rsidRPr="00155C28">
        <w:t>nstrument</w:t>
      </w:r>
    </w:p>
    <w:p w14:paraId="5238C652" w14:textId="77777777" w:rsidR="00C10C66" w:rsidRDefault="00C10C66" w:rsidP="00155C28">
      <w:r>
        <w:t xml:space="preserve">The </w:t>
      </w:r>
      <w:r w:rsidRPr="003D460E">
        <w:rPr>
          <w:i/>
        </w:rPr>
        <w:t>Administrative Decisions (Judicial Review) Regulations 2017</w:t>
      </w:r>
      <w:r w:rsidR="009306D3">
        <w:t xml:space="preserve"> </w:t>
      </w:r>
      <w:r w:rsidR="00F503E7">
        <w:t xml:space="preserve">(Regulations) </w:t>
      </w:r>
      <w:r w:rsidR="006E4FBF" w:rsidRPr="006E4FBF">
        <w:t>prescribe</w:t>
      </w:r>
      <w:r w:rsidR="000B4BCE">
        <w:t>, for the purposes of s</w:t>
      </w:r>
      <w:r w:rsidR="000B4BCE" w:rsidRPr="000B4BCE">
        <w:t xml:space="preserve">ubsection 19(1) of the </w:t>
      </w:r>
      <w:r w:rsidR="008B7A2A" w:rsidRPr="008B7A2A">
        <w:rPr>
          <w:i/>
        </w:rPr>
        <w:t>Administrative Decisions (Judicial Review) Act 1977</w:t>
      </w:r>
      <w:r w:rsidR="00DE571B">
        <w:t xml:space="preserve"> (Act)</w:t>
      </w:r>
      <w:r w:rsidR="008B7A2A">
        <w:t>,</w:t>
      </w:r>
      <w:r w:rsidR="008B7A2A" w:rsidRPr="008B7A2A">
        <w:t xml:space="preserve"> </w:t>
      </w:r>
      <w:r w:rsidR="00A703B2">
        <w:t xml:space="preserve">the </w:t>
      </w:r>
      <w:r w:rsidR="000B4BCE" w:rsidRPr="000B4BCE">
        <w:t xml:space="preserve">classes of decisions that are not subject to judicial review by the Federal Court or the Federal Circuit Court under </w:t>
      </w:r>
      <w:r w:rsidR="00BD105F">
        <w:t>th</w:t>
      </w:r>
      <w:r w:rsidR="00DE571B">
        <w:t>e</w:t>
      </w:r>
      <w:r w:rsidR="00BD105F">
        <w:t xml:space="preserve"> Act</w:t>
      </w:r>
      <w:r w:rsidR="006E4FBF">
        <w:t>.</w:t>
      </w:r>
    </w:p>
    <w:p w14:paraId="671D1A05" w14:textId="77777777" w:rsidR="00740063" w:rsidRDefault="00740063" w:rsidP="00155C28">
      <w:r>
        <w:t>The following classes of decisions are prescribed:</w:t>
      </w:r>
    </w:p>
    <w:p w14:paraId="627C10AD" w14:textId="77777777" w:rsidR="00740063" w:rsidRPr="009B4C5C" w:rsidRDefault="008A4E34" w:rsidP="008A4E34">
      <w:pPr>
        <w:pStyle w:val="ListParagraph"/>
        <w:numPr>
          <w:ilvl w:val="0"/>
          <w:numId w:val="4"/>
        </w:numPr>
      </w:pPr>
      <w:r>
        <w:t xml:space="preserve">decisions made by the Fair Work Commission </w:t>
      </w:r>
      <w:r w:rsidRPr="008A4E34">
        <w:t>under or by virtue of the</w:t>
      </w:r>
      <w:r w:rsidR="009B4C5C">
        <w:t xml:space="preserve"> </w:t>
      </w:r>
      <w:r w:rsidR="009B4C5C" w:rsidRPr="009B4C5C">
        <w:rPr>
          <w:i/>
          <w:iCs/>
        </w:rPr>
        <w:t>Builders Labourers’ Federation (Cancellation of Registration—Consequential Provisions) Act 1986</w:t>
      </w:r>
      <w:r w:rsidR="009B4C5C">
        <w:rPr>
          <w:iCs/>
        </w:rPr>
        <w:t>;</w:t>
      </w:r>
    </w:p>
    <w:p w14:paraId="4C98950A" w14:textId="77777777" w:rsidR="009B4C5C" w:rsidRPr="00051BBC" w:rsidRDefault="00051BBC" w:rsidP="008A4E34">
      <w:pPr>
        <w:pStyle w:val="ListParagraph"/>
        <w:numPr>
          <w:ilvl w:val="0"/>
          <w:numId w:val="4"/>
        </w:numPr>
      </w:pPr>
      <w:r>
        <w:rPr>
          <w:iCs/>
        </w:rPr>
        <w:t>decisions made by State officers under the laws of Western Australia or New South Wales, as the case may be, as in their application in the external territories of Christmas Island, the Cocos (Keeling) Islands and Norfolk Island;</w:t>
      </w:r>
      <w:r w:rsidR="00E85742">
        <w:rPr>
          <w:iCs/>
        </w:rPr>
        <w:t xml:space="preserve"> and</w:t>
      </w:r>
    </w:p>
    <w:p w14:paraId="149A7275" w14:textId="77777777" w:rsidR="00051BBC" w:rsidRPr="009306D3" w:rsidRDefault="00E85742" w:rsidP="008A4E34">
      <w:pPr>
        <w:pStyle w:val="ListParagraph"/>
        <w:numPr>
          <w:ilvl w:val="0"/>
          <w:numId w:val="4"/>
        </w:numPr>
      </w:pPr>
      <w:r>
        <w:t xml:space="preserve">decisions made under Chapter 8 of the </w:t>
      </w:r>
      <w:r>
        <w:rPr>
          <w:i/>
        </w:rPr>
        <w:t>Biosecurity Act 2015</w:t>
      </w:r>
      <w:r>
        <w:t xml:space="preserve"> </w:t>
      </w:r>
      <w:r w:rsidR="00217C85">
        <w:t xml:space="preserve">in relation to </w:t>
      </w:r>
      <w:r w:rsidR="00F90A4C">
        <w:t xml:space="preserve">or during declared </w:t>
      </w:r>
      <w:r w:rsidR="000A52F4">
        <w:t xml:space="preserve">biosecurity emergency </w:t>
      </w:r>
      <w:r w:rsidR="00217C85">
        <w:t>and</w:t>
      </w:r>
      <w:r w:rsidR="00FB7FA7">
        <w:t xml:space="preserve"> </w:t>
      </w:r>
      <w:r w:rsidR="000A52F4">
        <w:t>human biosecurity emergency periods.</w:t>
      </w:r>
    </w:p>
    <w:p w14:paraId="0425B379" w14:textId="77777777" w:rsidR="00155C28" w:rsidRPr="00155C28" w:rsidRDefault="00155C28" w:rsidP="00155C28"/>
    <w:p w14:paraId="3562C894" w14:textId="77777777" w:rsidR="00155C28" w:rsidRPr="00155C28" w:rsidRDefault="00155C28" w:rsidP="00AC651E">
      <w:pPr>
        <w:pStyle w:val="Heading2"/>
      </w:pPr>
      <w:r w:rsidRPr="00155C28">
        <w:t>Human rights implications</w:t>
      </w:r>
    </w:p>
    <w:p w14:paraId="29B5A245" w14:textId="77777777" w:rsidR="00CE4749" w:rsidRDefault="00D14B8F" w:rsidP="00155C28">
      <w:r>
        <w:t xml:space="preserve">The Attorney-General’s Department has </w:t>
      </w:r>
      <w:r w:rsidRPr="00D14B8F">
        <w:t>assessed whether the instrument is compatible with human rights, being the rights and freedoms recognised or declared by the international instruments listed in subsection 3(1) of the</w:t>
      </w:r>
      <w:r w:rsidRPr="00D14B8F">
        <w:rPr>
          <w:i/>
        </w:rPr>
        <w:t xml:space="preserve"> Human Rights (Parliamentary Scrutiny) Act 2011 </w:t>
      </w:r>
      <w:r w:rsidRPr="00D14B8F">
        <w:t>as they apply to Australia.</w:t>
      </w:r>
      <w:r w:rsidR="00CE4749" w:rsidRPr="00CE4749">
        <w:t xml:space="preserve"> </w:t>
      </w:r>
    </w:p>
    <w:p w14:paraId="381EF600" w14:textId="77777777" w:rsidR="00F64A4F" w:rsidRPr="0092050F" w:rsidRDefault="00F64A4F" w:rsidP="00F64A4F">
      <w:pPr>
        <w:rPr>
          <w:color w:val="0070C0"/>
        </w:rPr>
      </w:pPr>
      <w:r w:rsidRPr="00CE4749">
        <w:t>Having considered the likely impact of the instrument and the nature of the applicable rights and freedoms, the Attorney-General’s Department has formed the view that the instrument does not engage an</w:t>
      </w:r>
      <w:r>
        <w:t xml:space="preserve">y of those rights or freedoms. </w:t>
      </w:r>
    </w:p>
    <w:p w14:paraId="16D03C0A" w14:textId="178A28AD" w:rsidR="00283238" w:rsidRDefault="00283238" w:rsidP="00155C28">
      <w:r>
        <w:t>The Regulations exclude various classes of decisions from judicial review under the Act.</w:t>
      </w:r>
      <w:r w:rsidR="007437D6">
        <w:t xml:space="preserve"> However, this </w:t>
      </w:r>
      <w:r w:rsidR="00832E41">
        <w:t xml:space="preserve">does not </w:t>
      </w:r>
      <w:r w:rsidR="00832E41" w:rsidRPr="00832E41">
        <w:t>prevent justiciable decisions from</w:t>
      </w:r>
      <w:r w:rsidR="00832E41">
        <w:t xml:space="preserve"> being subject to</w:t>
      </w:r>
      <w:r w:rsidR="00832E41" w:rsidRPr="00832E41">
        <w:t xml:space="preserve"> judicial review </w:t>
      </w:r>
      <w:r w:rsidR="0027349E">
        <w:t xml:space="preserve">in the Federal Court </w:t>
      </w:r>
      <w:r w:rsidR="00301C32">
        <w:t xml:space="preserve">or </w:t>
      </w:r>
      <w:r w:rsidR="0027349E">
        <w:t xml:space="preserve">the High Court </w:t>
      </w:r>
      <w:r w:rsidR="00832E41" w:rsidRPr="00832E41">
        <w:t xml:space="preserve">under section 39B of the </w:t>
      </w:r>
      <w:r w:rsidR="00832E41" w:rsidRPr="00832E41">
        <w:rPr>
          <w:i/>
          <w:iCs/>
        </w:rPr>
        <w:t>Judiciary Act 1903</w:t>
      </w:r>
      <w:r w:rsidR="00832E41" w:rsidRPr="00832E41">
        <w:t xml:space="preserve"> or </w:t>
      </w:r>
      <w:r w:rsidR="00693875">
        <w:t>section</w:t>
      </w:r>
      <w:r w:rsidR="00832E41" w:rsidRPr="00832E41">
        <w:t xml:space="preserve"> 75(v) of the Constitution</w:t>
      </w:r>
      <w:r w:rsidR="00146B3D">
        <w:t>, respectively</w:t>
      </w:r>
      <w:r w:rsidR="00832E41">
        <w:t xml:space="preserve">. </w:t>
      </w:r>
      <w:r w:rsidR="00E4229F">
        <w:t xml:space="preserve">As such, </w:t>
      </w:r>
      <w:r w:rsidR="005D19C7">
        <w:t xml:space="preserve">the Regulations do not unduly affect </w:t>
      </w:r>
      <w:r w:rsidR="00EE4DB4">
        <w:t>the ability of individuals to seek review of administrative decision-making.</w:t>
      </w:r>
    </w:p>
    <w:p w14:paraId="4D9BFD89" w14:textId="77777777" w:rsidR="00155C28" w:rsidRPr="00155C28" w:rsidRDefault="00155C28" w:rsidP="00155C28"/>
    <w:p w14:paraId="745A498F" w14:textId="77777777" w:rsidR="00155C28" w:rsidRPr="00155C28" w:rsidRDefault="00155C28" w:rsidP="00AC651E">
      <w:pPr>
        <w:pStyle w:val="Heading2"/>
      </w:pPr>
      <w:r w:rsidRPr="00155C28">
        <w:t>Conclusion</w:t>
      </w:r>
    </w:p>
    <w:p w14:paraId="46C4D627" w14:textId="77777777" w:rsidR="00104FA2" w:rsidRPr="00104FA2" w:rsidRDefault="00155C28" w:rsidP="00155C28">
      <w:r w:rsidRPr="00155C28">
        <w:t xml:space="preserve">This </w:t>
      </w:r>
      <w:r w:rsidR="001E1AAE">
        <w:t>l</w:t>
      </w:r>
      <w:r w:rsidRPr="00155C28">
        <w:t xml:space="preserve">egislative </w:t>
      </w:r>
      <w:r w:rsidR="001E1AAE">
        <w:t>i</w:t>
      </w:r>
      <w:r w:rsidRPr="00155C28">
        <w:t>nstrument is compatible with human rights as it does not raise any human rights issues.</w:t>
      </w:r>
    </w:p>
    <w:sectPr w:rsidR="00104FA2" w:rsidRPr="00104FA2">
      <w:footerReference w:type="default" r:id="rId11"/>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2C8F51" w15:done="0"/>
  <w15:commentEx w15:paraId="7182FB47" w15:done="0"/>
  <w15:commentEx w15:paraId="48EEBF5D" w15:done="0"/>
  <w15:commentEx w15:paraId="5BB5CC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0E825" w14:textId="77777777" w:rsidR="00805B60" w:rsidRDefault="00805B60" w:rsidP="00834A87">
      <w:pPr>
        <w:spacing w:after="0"/>
      </w:pPr>
      <w:r>
        <w:separator/>
      </w:r>
    </w:p>
  </w:endnote>
  <w:endnote w:type="continuationSeparator" w:id="0">
    <w:p w14:paraId="5D30A8AC" w14:textId="77777777" w:rsidR="00805B60" w:rsidRDefault="00805B60" w:rsidP="00834A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41804"/>
      <w:docPartObj>
        <w:docPartGallery w:val="Page Numbers (Bottom of Page)"/>
        <w:docPartUnique/>
      </w:docPartObj>
    </w:sdtPr>
    <w:sdtEndPr>
      <w:rPr>
        <w:rFonts w:cs="Times New Roman"/>
        <w:noProof/>
      </w:rPr>
    </w:sdtEndPr>
    <w:sdtContent>
      <w:p w14:paraId="0CDF3D08" w14:textId="79AAB0F7" w:rsidR="00021171" w:rsidRPr="00611F23" w:rsidRDefault="00021171">
        <w:pPr>
          <w:pStyle w:val="Footer"/>
          <w:jc w:val="right"/>
          <w:rPr>
            <w:rFonts w:cs="Times New Roman"/>
          </w:rPr>
        </w:pPr>
        <w:r w:rsidRPr="00611F23">
          <w:rPr>
            <w:rFonts w:cs="Times New Roman"/>
          </w:rPr>
          <w:fldChar w:fldCharType="begin"/>
        </w:r>
        <w:r w:rsidRPr="00611F23">
          <w:rPr>
            <w:rFonts w:cs="Times New Roman"/>
          </w:rPr>
          <w:instrText xml:space="preserve"> PAGE   \* MERGEFORMAT </w:instrText>
        </w:r>
        <w:r w:rsidRPr="00611F23">
          <w:rPr>
            <w:rFonts w:cs="Times New Roman"/>
          </w:rPr>
          <w:fldChar w:fldCharType="separate"/>
        </w:r>
        <w:r w:rsidR="00B50FD6">
          <w:rPr>
            <w:rFonts w:cs="Times New Roman"/>
            <w:noProof/>
          </w:rPr>
          <w:t>2</w:t>
        </w:r>
        <w:r w:rsidRPr="00611F23">
          <w:rPr>
            <w:rFonts w:cs="Times New Roman"/>
            <w:noProof/>
          </w:rPr>
          <w:fldChar w:fldCharType="end"/>
        </w:r>
      </w:p>
    </w:sdtContent>
  </w:sdt>
  <w:p w14:paraId="6B352050" w14:textId="77777777" w:rsidR="00021171" w:rsidRDefault="00021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9BF90" w14:textId="77777777" w:rsidR="00805B60" w:rsidRDefault="00805B60" w:rsidP="00834A87">
      <w:pPr>
        <w:spacing w:after="0"/>
      </w:pPr>
      <w:r>
        <w:separator/>
      </w:r>
    </w:p>
  </w:footnote>
  <w:footnote w:type="continuationSeparator" w:id="0">
    <w:p w14:paraId="1251579E" w14:textId="77777777" w:rsidR="00805B60" w:rsidRDefault="00805B60" w:rsidP="00834A8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466"/>
    <w:multiLevelType w:val="hybridMultilevel"/>
    <w:tmpl w:val="047C7BF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C4C1FBD"/>
    <w:multiLevelType w:val="hybridMultilevel"/>
    <w:tmpl w:val="1360B86E"/>
    <w:lvl w:ilvl="0" w:tplc="43709C5C">
      <w:start w:val="1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AF25B0D"/>
    <w:multiLevelType w:val="hybridMultilevel"/>
    <w:tmpl w:val="7DD84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424204E"/>
    <w:multiLevelType w:val="hybridMultilevel"/>
    <w:tmpl w:val="1C72C472"/>
    <w:lvl w:ilvl="0" w:tplc="0C09000F">
      <w:start w:val="1"/>
      <w:numFmt w:val="decimal"/>
      <w:lvlText w:val="%1."/>
      <w:lvlJc w:val="left"/>
      <w:pPr>
        <w:ind w:left="720" w:hanging="360"/>
      </w:pPr>
    </w:lvl>
    <w:lvl w:ilvl="1" w:tplc="DE96DACA">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E96764B"/>
    <w:multiLevelType w:val="hybridMultilevel"/>
    <w:tmpl w:val="2716D71C"/>
    <w:lvl w:ilvl="0" w:tplc="CA8A9986">
      <w:start w:val="15"/>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7B6D67B9"/>
    <w:multiLevelType w:val="hybridMultilevel"/>
    <w:tmpl w:val="75E42D0E"/>
    <w:lvl w:ilvl="0" w:tplc="C8561164">
      <w:start w:val="5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K Adam">
    <w15:presenceInfo w15:providerId="None" w15:userId="KIRK Ad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6EE"/>
    <w:rsid w:val="00002C86"/>
    <w:rsid w:val="000034D0"/>
    <w:rsid w:val="00005C65"/>
    <w:rsid w:val="00007464"/>
    <w:rsid w:val="00010D1D"/>
    <w:rsid w:val="000124AE"/>
    <w:rsid w:val="00016918"/>
    <w:rsid w:val="00021171"/>
    <w:rsid w:val="00021639"/>
    <w:rsid w:val="00021802"/>
    <w:rsid w:val="000220C6"/>
    <w:rsid w:val="00023854"/>
    <w:rsid w:val="00023B6C"/>
    <w:rsid w:val="0002538F"/>
    <w:rsid w:val="00025A3D"/>
    <w:rsid w:val="00026CAC"/>
    <w:rsid w:val="00026D9A"/>
    <w:rsid w:val="000272F1"/>
    <w:rsid w:val="000322BC"/>
    <w:rsid w:val="000358E6"/>
    <w:rsid w:val="00035CDB"/>
    <w:rsid w:val="000361A4"/>
    <w:rsid w:val="000410A6"/>
    <w:rsid w:val="000419E1"/>
    <w:rsid w:val="00041A5B"/>
    <w:rsid w:val="00045F22"/>
    <w:rsid w:val="00046AD0"/>
    <w:rsid w:val="00046E8B"/>
    <w:rsid w:val="00051BBC"/>
    <w:rsid w:val="0005211B"/>
    <w:rsid w:val="00052E86"/>
    <w:rsid w:val="00053436"/>
    <w:rsid w:val="00055DA1"/>
    <w:rsid w:val="000576EE"/>
    <w:rsid w:val="0006144D"/>
    <w:rsid w:val="000654C3"/>
    <w:rsid w:val="00065787"/>
    <w:rsid w:val="00065DF4"/>
    <w:rsid w:val="0007231D"/>
    <w:rsid w:val="00072D0D"/>
    <w:rsid w:val="00073C39"/>
    <w:rsid w:val="00074E9C"/>
    <w:rsid w:val="00077985"/>
    <w:rsid w:val="00080454"/>
    <w:rsid w:val="00080C48"/>
    <w:rsid w:val="00080F34"/>
    <w:rsid w:val="000829EB"/>
    <w:rsid w:val="00085D31"/>
    <w:rsid w:val="00087678"/>
    <w:rsid w:val="00090292"/>
    <w:rsid w:val="00093E01"/>
    <w:rsid w:val="000949AE"/>
    <w:rsid w:val="000954DF"/>
    <w:rsid w:val="00096A9E"/>
    <w:rsid w:val="00097081"/>
    <w:rsid w:val="000A00BD"/>
    <w:rsid w:val="000A03C6"/>
    <w:rsid w:val="000A0732"/>
    <w:rsid w:val="000A0F83"/>
    <w:rsid w:val="000A12B1"/>
    <w:rsid w:val="000A21C9"/>
    <w:rsid w:val="000A3E44"/>
    <w:rsid w:val="000A4E8F"/>
    <w:rsid w:val="000A52F4"/>
    <w:rsid w:val="000A7F08"/>
    <w:rsid w:val="000B20B4"/>
    <w:rsid w:val="000B2840"/>
    <w:rsid w:val="000B3690"/>
    <w:rsid w:val="000B4BCE"/>
    <w:rsid w:val="000B7753"/>
    <w:rsid w:val="000C1121"/>
    <w:rsid w:val="000C25C9"/>
    <w:rsid w:val="000C6160"/>
    <w:rsid w:val="000D368C"/>
    <w:rsid w:val="000D6CA1"/>
    <w:rsid w:val="000D7D41"/>
    <w:rsid w:val="000E232C"/>
    <w:rsid w:val="000E26AD"/>
    <w:rsid w:val="000E56FE"/>
    <w:rsid w:val="000E5775"/>
    <w:rsid w:val="000E5FB5"/>
    <w:rsid w:val="000E6A84"/>
    <w:rsid w:val="000F249E"/>
    <w:rsid w:val="000F2897"/>
    <w:rsid w:val="000F3EF6"/>
    <w:rsid w:val="000F4EF8"/>
    <w:rsid w:val="000F59DB"/>
    <w:rsid w:val="000F699C"/>
    <w:rsid w:val="000F6C74"/>
    <w:rsid w:val="000F79B1"/>
    <w:rsid w:val="0010223D"/>
    <w:rsid w:val="00104FA2"/>
    <w:rsid w:val="0011107D"/>
    <w:rsid w:val="001118ED"/>
    <w:rsid w:val="0011403C"/>
    <w:rsid w:val="00114147"/>
    <w:rsid w:val="001156D6"/>
    <w:rsid w:val="00115C41"/>
    <w:rsid w:val="001171B7"/>
    <w:rsid w:val="00120212"/>
    <w:rsid w:val="0012022F"/>
    <w:rsid w:val="00124E0D"/>
    <w:rsid w:val="00124FF5"/>
    <w:rsid w:val="00125EB5"/>
    <w:rsid w:val="00126048"/>
    <w:rsid w:val="00127A7C"/>
    <w:rsid w:val="00134331"/>
    <w:rsid w:val="00135D36"/>
    <w:rsid w:val="001374FF"/>
    <w:rsid w:val="00137588"/>
    <w:rsid w:val="00141D45"/>
    <w:rsid w:val="0014379A"/>
    <w:rsid w:val="001442E8"/>
    <w:rsid w:val="001444F3"/>
    <w:rsid w:val="00144DC4"/>
    <w:rsid w:val="00146B3D"/>
    <w:rsid w:val="0014788A"/>
    <w:rsid w:val="0015164B"/>
    <w:rsid w:val="001554EB"/>
    <w:rsid w:val="00155C28"/>
    <w:rsid w:val="00164D3C"/>
    <w:rsid w:val="00164F38"/>
    <w:rsid w:val="001668C5"/>
    <w:rsid w:val="00167826"/>
    <w:rsid w:val="00167A6A"/>
    <w:rsid w:val="00170532"/>
    <w:rsid w:val="001712A3"/>
    <w:rsid w:val="0017130D"/>
    <w:rsid w:val="0017202D"/>
    <w:rsid w:val="00174044"/>
    <w:rsid w:val="00174DB6"/>
    <w:rsid w:val="00176C12"/>
    <w:rsid w:val="00177DDF"/>
    <w:rsid w:val="00180981"/>
    <w:rsid w:val="00181BA5"/>
    <w:rsid w:val="00185564"/>
    <w:rsid w:val="00191349"/>
    <w:rsid w:val="00192CFA"/>
    <w:rsid w:val="00193580"/>
    <w:rsid w:val="001A0724"/>
    <w:rsid w:val="001A648E"/>
    <w:rsid w:val="001A6A56"/>
    <w:rsid w:val="001B1DA9"/>
    <w:rsid w:val="001B2F7A"/>
    <w:rsid w:val="001B3B06"/>
    <w:rsid w:val="001C1672"/>
    <w:rsid w:val="001C1A55"/>
    <w:rsid w:val="001C67F3"/>
    <w:rsid w:val="001C773A"/>
    <w:rsid w:val="001C7979"/>
    <w:rsid w:val="001D053A"/>
    <w:rsid w:val="001D34D7"/>
    <w:rsid w:val="001D554C"/>
    <w:rsid w:val="001D7467"/>
    <w:rsid w:val="001E0A1C"/>
    <w:rsid w:val="001E0F87"/>
    <w:rsid w:val="001E1AAE"/>
    <w:rsid w:val="001E259D"/>
    <w:rsid w:val="001E2B4E"/>
    <w:rsid w:val="001E497C"/>
    <w:rsid w:val="001E4B90"/>
    <w:rsid w:val="001E7468"/>
    <w:rsid w:val="001E7503"/>
    <w:rsid w:val="001F1878"/>
    <w:rsid w:val="001F1A94"/>
    <w:rsid w:val="001F26D1"/>
    <w:rsid w:val="001F6F77"/>
    <w:rsid w:val="00203F53"/>
    <w:rsid w:val="00205199"/>
    <w:rsid w:val="00207CE0"/>
    <w:rsid w:val="00214D7F"/>
    <w:rsid w:val="00217C85"/>
    <w:rsid w:val="002237A9"/>
    <w:rsid w:val="00225A4C"/>
    <w:rsid w:val="00227C02"/>
    <w:rsid w:val="00227C64"/>
    <w:rsid w:val="002317E8"/>
    <w:rsid w:val="002331C4"/>
    <w:rsid w:val="0023335C"/>
    <w:rsid w:val="0023716A"/>
    <w:rsid w:val="00241598"/>
    <w:rsid w:val="00241A4C"/>
    <w:rsid w:val="00243BC7"/>
    <w:rsid w:val="002518C1"/>
    <w:rsid w:val="00252F93"/>
    <w:rsid w:val="00254DEB"/>
    <w:rsid w:val="002560BB"/>
    <w:rsid w:val="00257B31"/>
    <w:rsid w:val="00262412"/>
    <w:rsid w:val="002634BA"/>
    <w:rsid w:val="00266836"/>
    <w:rsid w:val="00267205"/>
    <w:rsid w:val="0027349E"/>
    <w:rsid w:val="00274709"/>
    <w:rsid w:val="002747AD"/>
    <w:rsid w:val="00274E79"/>
    <w:rsid w:val="0027590D"/>
    <w:rsid w:val="00276C1D"/>
    <w:rsid w:val="00283238"/>
    <w:rsid w:val="00284854"/>
    <w:rsid w:val="002852E8"/>
    <w:rsid w:val="00285863"/>
    <w:rsid w:val="00286FA3"/>
    <w:rsid w:val="002903E4"/>
    <w:rsid w:val="00291154"/>
    <w:rsid w:val="002930EC"/>
    <w:rsid w:val="00294EA7"/>
    <w:rsid w:val="00295B11"/>
    <w:rsid w:val="002969BE"/>
    <w:rsid w:val="002A4832"/>
    <w:rsid w:val="002A49DE"/>
    <w:rsid w:val="002A596C"/>
    <w:rsid w:val="002A6D36"/>
    <w:rsid w:val="002B04DC"/>
    <w:rsid w:val="002B2B1E"/>
    <w:rsid w:val="002B4A8D"/>
    <w:rsid w:val="002B4F3F"/>
    <w:rsid w:val="002B6CBB"/>
    <w:rsid w:val="002B74AB"/>
    <w:rsid w:val="002B7C96"/>
    <w:rsid w:val="002C201C"/>
    <w:rsid w:val="002C3035"/>
    <w:rsid w:val="002C4975"/>
    <w:rsid w:val="002C525A"/>
    <w:rsid w:val="002C63EB"/>
    <w:rsid w:val="002D27F4"/>
    <w:rsid w:val="002D5E36"/>
    <w:rsid w:val="002D5EA7"/>
    <w:rsid w:val="002E25EA"/>
    <w:rsid w:val="002E50EB"/>
    <w:rsid w:val="002E5FE9"/>
    <w:rsid w:val="002E72BF"/>
    <w:rsid w:val="002E7C47"/>
    <w:rsid w:val="002F0213"/>
    <w:rsid w:val="002F0878"/>
    <w:rsid w:val="002F12C7"/>
    <w:rsid w:val="002F1A19"/>
    <w:rsid w:val="002F4F51"/>
    <w:rsid w:val="002F5CA6"/>
    <w:rsid w:val="002F6F99"/>
    <w:rsid w:val="002F702E"/>
    <w:rsid w:val="003002A0"/>
    <w:rsid w:val="003019E2"/>
    <w:rsid w:val="00301C32"/>
    <w:rsid w:val="00302B48"/>
    <w:rsid w:val="0030436D"/>
    <w:rsid w:val="00304C98"/>
    <w:rsid w:val="003108F2"/>
    <w:rsid w:val="00310EF7"/>
    <w:rsid w:val="0031429A"/>
    <w:rsid w:val="00314B74"/>
    <w:rsid w:val="00315019"/>
    <w:rsid w:val="0031596D"/>
    <w:rsid w:val="003165D5"/>
    <w:rsid w:val="00316BF1"/>
    <w:rsid w:val="00317538"/>
    <w:rsid w:val="00320583"/>
    <w:rsid w:val="003242EB"/>
    <w:rsid w:val="00325DD1"/>
    <w:rsid w:val="00330836"/>
    <w:rsid w:val="003362ED"/>
    <w:rsid w:val="00340E9D"/>
    <w:rsid w:val="00347810"/>
    <w:rsid w:val="00353992"/>
    <w:rsid w:val="00360610"/>
    <w:rsid w:val="003606F7"/>
    <w:rsid w:val="003616BD"/>
    <w:rsid w:val="00363628"/>
    <w:rsid w:val="0036372C"/>
    <w:rsid w:val="00365F6A"/>
    <w:rsid w:val="0036714E"/>
    <w:rsid w:val="00375E0A"/>
    <w:rsid w:val="00376AF8"/>
    <w:rsid w:val="00376C3A"/>
    <w:rsid w:val="00381972"/>
    <w:rsid w:val="00383575"/>
    <w:rsid w:val="0038752C"/>
    <w:rsid w:val="00390001"/>
    <w:rsid w:val="0039170F"/>
    <w:rsid w:val="00394811"/>
    <w:rsid w:val="00395D59"/>
    <w:rsid w:val="003962FD"/>
    <w:rsid w:val="00397716"/>
    <w:rsid w:val="003A114F"/>
    <w:rsid w:val="003A6162"/>
    <w:rsid w:val="003A7308"/>
    <w:rsid w:val="003B0E94"/>
    <w:rsid w:val="003B4BDA"/>
    <w:rsid w:val="003C1209"/>
    <w:rsid w:val="003C1797"/>
    <w:rsid w:val="003C555D"/>
    <w:rsid w:val="003C7BEF"/>
    <w:rsid w:val="003C7E2A"/>
    <w:rsid w:val="003D10B0"/>
    <w:rsid w:val="003D11D3"/>
    <w:rsid w:val="003D460E"/>
    <w:rsid w:val="003D4D21"/>
    <w:rsid w:val="003D4E47"/>
    <w:rsid w:val="003D6308"/>
    <w:rsid w:val="003D7680"/>
    <w:rsid w:val="003D77BC"/>
    <w:rsid w:val="003E0B15"/>
    <w:rsid w:val="003E243C"/>
    <w:rsid w:val="003E2986"/>
    <w:rsid w:val="003E6AF9"/>
    <w:rsid w:val="003F035A"/>
    <w:rsid w:val="003F5154"/>
    <w:rsid w:val="003F5F2A"/>
    <w:rsid w:val="003F6924"/>
    <w:rsid w:val="003F76CA"/>
    <w:rsid w:val="00400C24"/>
    <w:rsid w:val="00400E9C"/>
    <w:rsid w:val="00402813"/>
    <w:rsid w:val="00402FC5"/>
    <w:rsid w:val="004045A0"/>
    <w:rsid w:val="00410DE2"/>
    <w:rsid w:val="004152C9"/>
    <w:rsid w:val="00415F67"/>
    <w:rsid w:val="004227FF"/>
    <w:rsid w:val="00422A3E"/>
    <w:rsid w:val="00427334"/>
    <w:rsid w:val="00431DB6"/>
    <w:rsid w:val="004330E9"/>
    <w:rsid w:val="00433378"/>
    <w:rsid w:val="00433A5C"/>
    <w:rsid w:val="0043641E"/>
    <w:rsid w:val="004406C4"/>
    <w:rsid w:val="0044121A"/>
    <w:rsid w:val="00442A02"/>
    <w:rsid w:val="00445D91"/>
    <w:rsid w:val="00446445"/>
    <w:rsid w:val="0044661E"/>
    <w:rsid w:val="00446D22"/>
    <w:rsid w:val="00447ECB"/>
    <w:rsid w:val="0045705A"/>
    <w:rsid w:val="00460922"/>
    <w:rsid w:val="004632BA"/>
    <w:rsid w:val="0046444E"/>
    <w:rsid w:val="00464665"/>
    <w:rsid w:val="00466EC7"/>
    <w:rsid w:val="00470872"/>
    <w:rsid w:val="0047109F"/>
    <w:rsid w:val="004724BC"/>
    <w:rsid w:val="004748ED"/>
    <w:rsid w:val="004808E8"/>
    <w:rsid w:val="0048159F"/>
    <w:rsid w:val="0048475F"/>
    <w:rsid w:val="00486087"/>
    <w:rsid w:val="004903B3"/>
    <w:rsid w:val="00492034"/>
    <w:rsid w:val="0049217A"/>
    <w:rsid w:val="00492D66"/>
    <w:rsid w:val="004A3F21"/>
    <w:rsid w:val="004A49FA"/>
    <w:rsid w:val="004A6278"/>
    <w:rsid w:val="004B02AA"/>
    <w:rsid w:val="004B1620"/>
    <w:rsid w:val="004B19DA"/>
    <w:rsid w:val="004B54CD"/>
    <w:rsid w:val="004B6A56"/>
    <w:rsid w:val="004B7C53"/>
    <w:rsid w:val="004B7F8E"/>
    <w:rsid w:val="004C1B44"/>
    <w:rsid w:val="004C1BD3"/>
    <w:rsid w:val="004C3CA1"/>
    <w:rsid w:val="004C46D8"/>
    <w:rsid w:val="004C6D84"/>
    <w:rsid w:val="004D0610"/>
    <w:rsid w:val="004D1280"/>
    <w:rsid w:val="004D375D"/>
    <w:rsid w:val="004D4E8B"/>
    <w:rsid w:val="004D5D94"/>
    <w:rsid w:val="004D6056"/>
    <w:rsid w:val="004D610E"/>
    <w:rsid w:val="004E07A2"/>
    <w:rsid w:val="004E6F75"/>
    <w:rsid w:val="004F24BE"/>
    <w:rsid w:val="004F3303"/>
    <w:rsid w:val="004F4226"/>
    <w:rsid w:val="004F50A0"/>
    <w:rsid w:val="004F5DCB"/>
    <w:rsid w:val="00500250"/>
    <w:rsid w:val="00500AFC"/>
    <w:rsid w:val="0050565F"/>
    <w:rsid w:val="00505D9E"/>
    <w:rsid w:val="005108D4"/>
    <w:rsid w:val="00511890"/>
    <w:rsid w:val="00511C29"/>
    <w:rsid w:val="0051248F"/>
    <w:rsid w:val="0051576F"/>
    <w:rsid w:val="0051705E"/>
    <w:rsid w:val="0052122A"/>
    <w:rsid w:val="005243A4"/>
    <w:rsid w:val="00524A52"/>
    <w:rsid w:val="0053295B"/>
    <w:rsid w:val="00536A86"/>
    <w:rsid w:val="00541DCE"/>
    <w:rsid w:val="00543864"/>
    <w:rsid w:val="00545516"/>
    <w:rsid w:val="00545DDD"/>
    <w:rsid w:val="005537B0"/>
    <w:rsid w:val="005538C2"/>
    <w:rsid w:val="005543CF"/>
    <w:rsid w:val="00561D4B"/>
    <w:rsid w:val="00563DE3"/>
    <w:rsid w:val="005701CB"/>
    <w:rsid w:val="005741A5"/>
    <w:rsid w:val="005749E6"/>
    <w:rsid w:val="005767C9"/>
    <w:rsid w:val="00576DA4"/>
    <w:rsid w:val="005802FA"/>
    <w:rsid w:val="0058152A"/>
    <w:rsid w:val="00583889"/>
    <w:rsid w:val="00586D81"/>
    <w:rsid w:val="00590DE9"/>
    <w:rsid w:val="00591417"/>
    <w:rsid w:val="00594787"/>
    <w:rsid w:val="005A0577"/>
    <w:rsid w:val="005A1D43"/>
    <w:rsid w:val="005A256D"/>
    <w:rsid w:val="005A3F47"/>
    <w:rsid w:val="005B2F61"/>
    <w:rsid w:val="005B3BF8"/>
    <w:rsid w:val="005B4045"/>
    <w:rsid w:val="005B4552"/>
    <w:rsid w:val="005C1B99"/>
    <w:rsid w:val="005C1C57"/>
    <w:rsid w:val="005C1DC1"/>
    <w:rsid w:val="005C1F3C"/>
    <w:rsid w:val="005C2737"/>
    <w:rsid w:val="005C2B3C"/>
    <w:rsid w:val="005C34A4"/>
    <w:rsid w:val="005C5594"/>
    <w:rsid w:val="005C6134"/>
    <w:rsid w:val="005C799F"/>
    <w:rsid w:val="005C79D5"/>
    <w:rsid w:val="005C7EF5"/>
    <w:rsid w:val="005D19C7"/>
    <w:rsid w:val="005D3723"/>
    <w:rsid w:val="005D5A32"/>
    <w:rsid w:val="005D7A8B"/>
    <w:rsid w:val="005D7CB7"/>
    <w:rsid w:val="005E04D9"/>
    <w:rsid w:val="005E0D0D"/>
    <w:rsid w:val="005E292B"/>
    <w:rsid w:val="005E2950"/>
    <w:rsid w:val="005E2BDB"/>
    <w:rsid w:val="005E404A"/>
    <w:rsid w:val="005E4EC5"/>
    <w:rsid w:val="005E573F"/>
    <w:rsid w:val="005E5FE5"/>
    <w:rsid w:val="005F1B13"/>
    <w:rsid w:val="005F3939"/>
    <w:rsid w:val="00601527"/>
    <w:rsid w:val="006018BB"/>
    <w:rsid w:val="006035A4"/>
    <w:rsid w:val="00604B6E"/>
    <w:rsid w:val="00610AD5"/>
    <w:rsid w:val="00611F23"/>
    <w:rsid w:val="006141E2"/>
    <w:rsid w:val="00614E8E"/>
    <w:rsid w:val="006158A3"/>
    <w:rsid w:val="00617DEF"/>
    <w:rsid w:val="006211E7"/>
    <w:rsid w:val="0062245F"/>
    <w:rsid w:val="00631B08"/>
    <w:rsid w:val="00632D3D"/>
    <w:rsid w:val="00633C32"/>
    <w:rsid w:val="00637865"/>
    <w:rsid w:val="00637FA4"/>
    <w:rsid w:val="006416C1"/>
    <w:rsid w:val="006444D4"/>
    <w:rsid w:val="00644B8A"/>
    <w:rsid w:val="006466FA"/>
    <w:rsid w:val="00647F82"/>
    <w:rsid w:val="0065346D"/>
    <w:rsid w:val="00654254"/>
    <w:rsid w:val="00656B4C"/>
    <w:rsid w:val="006577DA"/>
    <w:rsid w:val="00661FBB"/>
    <w:rsid w:val="0066200E"/>
    <w:rsid w:val="00664C82"/>
    <w:rsid w:val="006657C3"/>
    <w:rsid w:val="00665B65"/>
    <w:rsid w:val="00665F60"/>
    <w:rsid w:val="006662EC"/>
    <w:rsid w:val="006720F6"/>
    <w:rsid w:val="00672ED1"/>
    <w:rsid w:val="00674292"/>
    <w:rsid w:val="00675069"/>
    <w:rsid w:val="00676280"/>
    <w:rsid w:val="0067634A"/>
    <w:rsid w:val="00680582"/>
    <w:rsid w:val="00680899"/>
    <w:rsid w:val="00681596"/>
    <w:rsid w:val="006841E3"/>
    <w:rsid w:val="00685EDC"/>
    <w:rsid w:val="006862EE"/>
    <w:rsid w:val="006923B9"/>
    <w:rsid w:val="0069262C"/>
    <w:rsid w:val="0069263F"/>
    <w:rsid w:val="00692953"/>
    <w:rsid w:val="00693875"/>
    <w:rsid w:val="00694193"/>
    <w:rsid w:val="00694724"/>
    <w:rsid w:val="006954EB"/>
    <w:rsid w:val="006A25E1"/>
    <w:rsid w:val="006A2926"/>
    <w:rsid w:val="006A2C83"/>
    <w:rsid w:val="006A52A7"/>
    <w:rsid w:val="006A5E86"/>
    <w:rsid w:val="006A7E60"/>
    <w:rsid w:val="006B17A5"/>
    <w:rsid w:val="006B2276"/>
    <w:rsid w:val="006B43F1"/>
    <w:rsid w:val="006B7BAB"/>
    <w:rsid w:val="006C0855"/>
    <w:rsid w:val="006C20D0"/>
    <w:rsid w:val="006C3B19"/>
    <w:rsid w:val="006C5AAA"/>
    <w:rsid w:val="006C67E7"/>
    <w:rsid w:val="006C797D"/>
    <w:rsid w:val="006D0245"/>
    <w:rsid w:val="006D06F5"/>
    <w:rsid w:val="006D0822"/>
    <w:rsid w:val="006D0DCF"/>
    <w:rsid w:val="006D2348"/>
    <w:rsid w:val="006D2858"/>
    <w:rsid w:val="006D2D6C"/>
    <w:rsid w:val="006D40B6"/>
    <w:rsid w:val="006D4F6E"/>
    <w:rsid w:val="006D7BAE"/>
    <w:rsid w:val="006D7DDB"/>
    <w:rsid w:val="006E16F2"/>
    <w:rsid w:val="006E20D2"/>
    <w:rsid w:val="006E24FB"/>
    <w:rsid w:val="006E4394"/>
    <w:rsid w:val="006E4FBF"/>
    <w:rsid w:val="006E7B6E"/>
    <w:rsid w:val="006F0686"/>
    <w:rsid w:val="006F116C"/>
    <w:rsid w:val="006F393C"/>
    <w:rsid w:val="006F6224"/>
    <w:rsid w:val="006F73E0"/>
    <w:rsid w:val="006F7515"/>
    <w:rsid w:val="0070257B"/>
    <w:rsid w:val="007051BE"/>
    <w:rsid w:val="00712184"/>
    <w:rsid w:val="00720F0A"/>
    <w:rsid w:val="007221EE"/>
    <w:rsid w:val="00723C8B"/>
    <w:rsid w:val="00726E9F"/>
    <w:rsid w:val="0073020D"/>
    <w:rsid w:val="00731135"/>
    <w:rsid w:val="0073134C"/>
    <w:rsid w:val="00732C8E"/>
    <w:rsid w:val="00733655"/>
    <w:rsid w:val="00734A55"/>
    <w:rsid w:val="00735A1C"/>
    <w:rsid w:val="00735BC3"/>
    <w:rsid w:val="00736596"/>
    <w:rsid w:val="0073769B"/>
    <w:rsid w:val="007377AC"/>
    <w:rsid w:val="00737A7C"/>
    <w:rsid w:val="00740063"/>
    <w:rsid w:val="007437D6"/>
    <w:rsid w:val="0074452F"/>
    <w:rsid w:val="00745DBD"/>
    <w:rsid w:val="00747B6B"/>
    <w:rsid w:val="00752026"/>
    <w:rsid w:val="007527D1"/>
    <w:rsid w:val="00755117"/>
    <w:rsid w:val="00755C52"/>
    <w:rsid w:val="007612EC"/>
    <w:rsid w:val="007635E8"/>
    <w:rsid w:val="007638C0"/>
    <w:rsid w:val="00770338"/>
    <w:rsid w:val="0077393C"/>
    <w:rsid w:val="007755F3"/>
    <w:rsid w:val="007769E0"/>
    <w:rsid w:val="00782D2A"/>
    <w:rsid w:val="0078435F"/>
    <w:rsid w:val="00786E4B"/>
    <w:rsid w:val="007871D0"/>
    <w:rsid w:val="007875A7"/>
    <w:rsid w:val="007906E5"/>
    <w:rsid w:val="0079144A"/>
    <w:rsid w:val="007929ED"/>
    <w:rsid w:val="00794F32"/>
    <w:rsid w:val="00797404"/>
    <w:rsid w:val="007A0411"/>
    <w:rsid w:val="007A1260"/>
    <w:rsid w:val="007A72EE"/>
    <w:rsid w:val="007B05DE"/>
    <w:rsid w:val="007B3A32"/>
    <w:rsid w:val="007B3DE0"/>
    <w:rsid w:val="007C1CA7"/>
    <w:rsid w:val="007C2724"/>
    <w:rsid w:val="007C6138"/>
    <w:rsid w:val="007C6B7D"/>
    <w:rsid w:val="007C728D"/>
    <w:rsid w:val="007D2721"/>
    <w:rsid w:val="007D3F72"/>
    <w:rsid w:val="007D646C"/>
    <w:rsid w:val="007D68C5"/>
    <w:rsid w:val="007E12C2"/>
    <w:rsid w:val="007E1C34"/>
    <w:rsid w:val="007E36EF"/>
    <w:rsid w:val="007E385A"/>
    <w:rsid w:val="007E4AE5"/>
    <w:rsid w:val="007E70BC"/>
    <w:rsid w:val="007F00CB"/>
    <w:rsid w:val="007F06EA"/>
    <w:rsid w:val="007F143A"/>
    <w:rsid w:val="007F1A55"/>
    <w:rsid w:val="007F1A9B"/>
    <w:rsid w:val="007F37B2"/>
    <w:rsid w:val="007F534D"/>
    <w:rsid w:val="007F5B2C"/>
    <w:rsid w:val="007F7FC2"/>
    <w:rsid w:val="00801313"/>
    <w:rsid w:val="00801420"/>
    <w:rsid w:val="00805B60"/>
    <w:rsid w:val="00805DC1"/>
    <w:rsid w:val="008076C2"/>
    <w:rsid w:val="008079CA"/>
    <w:rsid w:val="00810176"/>
    <w:rsid w:val="008104E5"/>
    <w:rsid w:val="00811013"/>
    <w:rsid w:val="00811B46"/>
    <w:rsid w:val="00814231"/>
    <w:rsid w:val="00816621"/>
    <w:rsid w:val="00817EF6"/>
    <w:rsid w:val="0082029B"/>
    <w:rsid w:val="00820CB4"/>
    <w:rsid w:val="00830C3D"/>
    <w:rsid w:val="0083286B"/>
    <w:rsid w:val="008328D8"/>
    <w:rsid w:val="00832E41"/>
    <w:rsid w:val="00834305"/>
    <w:rsid w:val="00834A87"/>
    <w:rsid w:val="00837656"/>
    <w:rsid w:val="00842E62"/>
    <w:rsid w:val="008468D2"/>
    <w:rsid w:val="008474F8"/>
    <w:rsid w:val="00847D4F"/>
    <w:rsid w:val="0085259E"/>
    <w:rsid w:val="00855B64"/>
    <w:rsid w:val="0085648A"/>
    <w:rsid w:val="00864125"/>
    <w:rsid w:val="008650BC"/>
    <w:rsid w:val="00866E7C"/>
    <w:rsid w:val="00875D41"/>
    <w:rsid w:val="008762E1"/>
    <w:rsid w:val="0089086D"/>
    <w:rsid w:val="00896296"/>
    <w:rsid w:val="00897049"/>
    <w:rsid w:val="0089726F"/>
    <w:rsid w:val="008978C1"/>
    <w:rsid w:val="008A02DE"/>
    <w:rsid w:val="008A2BA2"/>
    <w:rsid w:val="008A4E34"/>
    <w:rsid w:val="008A5E9F"/>
    <w:rsid w:val="008A64AC"/>
    <w:rsid w:val="008A7EB6"/>
    <w:rsid w:val="008B0546"/>
    <w:rsid w:val="008B09EF"/>
    <w:rsid w:val="008B19B3"/>
    <w:rsid w:val="008B31BB"/>
    <w:rsid w:val="008B3633"/>
    <w:rsid w:val="008B70A2"/>
    <w:rsid w:val="008B7A2A"/>
    <w:rsid w:val="008C5548"/>
    <w:rsid w:val="008C58B7"/>
    <w:rsid w:val="008D1A18"/>
    <w:rsid w:val="008D1FBF"/>
    <w:rsid w:val="008D41C4"/>
    <w:rsid w:val="008D79DF"/>
    <w:rsid w:val="008E0412"/>
    <w:rsid w:val="008E5411"/>
    <w:rsid w:val="008E6D79"/>
    <w:rsid w:val="008E7B18"/>
    <w:rsid w:val="008E7BB8"/>
    <w:rsid w:val="008F153D"/>
    <w:rsid w:val="008F1D3D"/>
    <w:rsid w:val="008F6CF9"/>
    <w:rsid w:val="0090039C"/>
    <w:rsid w:val="00905CE8"/>
    <w:rsid w:val="009060D4"/>
    <w:rsid w:val="00906A3F"/>
    <w:rsid w:val="00907A87"/>
    <w:rsid w:val="009112A9"/>
    <w:rsid w:val="009129CE"/>
    <w:rsid w:val="009203E6"/>
    <w:rsid w:val="0092050F"/>
    <w:rsid w:val="00920CA0"/>
    <w:rsid w:val="00920DC0"/>
    <w:rsid w:val="00921902"/>
    <w:rsid w:val="009227CB"/>
    <w:rsid w:val="009241B8"/>
    <w:rsid w:val="00927021"/>
    <w:rsid w:val="009306D3"/>
    <w:rsid w:val="00932740"/>
    <w:rsid w:val="00933380"/>
    <w:rsid w:val="00933772"/>
    <w:rsid w:val="0093627F"/>
    <w:rsid w:val="00936F08"/>
    <w:rsid w:val="00937C55"/>
    <w:rsid w:val="0094310A"/>
    <w:rsid w:val="00944265"/>
    <w:rsid w:val="009463EF"/>
    <w:rsid w:val="00946AC9"/>
    <w:rsid w:val="00950643"/>
    <w:rsid w:val="00950B70"/>
    <w:rsid w:val="00954722"/>
    <w:rsid w:val="009606EE"/>
    <w:rsid w:val="00962B5A"/>
    <w:rsid w:val="0096520E"/>
    <w:rsid w:val="0096594F"/>
    <w:rsid w:val="00970377"/>
    <w:rsid w:val="00970EFE"/>
    <w:rsid w:val="00971C2A"/>
    <w:rsid w:val="00977C67"/>
    <w:rsid w:val="0098210E"/>
    <w:rsid w:val="00983762"/>
    <w:rsid w:val="009853CA"/>
    <w:rsid w:val="00986B12"/>
    <w:rsid w:val="00991A5D"/>
    <w:rsid w:val="0099532E"/>
    <w:rsid w:val="00995C28"/>
    <w:rsid w:val="009A012C"/>
    <w:rsid w:val="009A2295"/>
    <w:rsid w:val="009A48D0"/>
    <w:rsid w:val="009B0080"/>
    <w:rsid w:val="009B068D"/>
    <w:rsid w:val="009B1926"/>
    <w:rsid w:val="009B4C5C"/>
    <w:rsid w:val="009B6A1E"/>
    <w:rsid w:val="009C0492"/>
    <w:rsid w:val="009C0EE7"/>
    <w:rsid w:val="009C2BAC"/>
    <w:rsid w:val="009C38BC"/>
    <w:rsid w:val="009C4E09"/>
    <w:rsid w:val="009C5E8D"/>
    <w:rsid w:val="009C6F07"/>
    <w:rsid w:val="009D1F84"/>
    <w:rsid w:val="009D2AA9"/>
    <w:rsid w:val="009D7B47"/>
    <w:rsid w:val="009E2986"/>
    <w:rsid w:val="009E299E"/>
    <w:rsid w:val="009E2D4D"/>
    <w:rsid w:val="009E388C"/>
    <w:rsid w:val="009E411B"/>
    <w:rsid w:val="009E7B9D"/>
    <w:rsid w:val="009F2C95"/>
    <w:rsid w:val="009F3DFD"/>
    <w:rsid w:val="009F3E87"/>
    <w:rsid w:val="009F6087"/>
    <w:rsid w:val="009F7729"/>
    <w:rsid w:val="00A00C66"/>
    <w:rsid w:val="00A0103D"/>
    <w:rsid w:val="00A02CF8"/>
    <w:rsid w:val="00A03A77"/>
    <w:rsid w:val="00A04668"/>
    <w:rsid w:val="00A11467"/>
    <w:rsid w:val="00A1154E"/>
    <w:rsid w:val="00A1601B"/>
    <w:rsid w:val="00A160A0"/>
    <w:rsid w:val="00A20E53"/>
    <w:rsid w:val="00A210B0"/>
    <w:rsid w:val="00A238EF"/>
    <w:rsid w:val="00A24127"/>
    <w:rsid w:val="00A24184"/>
    <w:rsid w:val="00A3261F"/>
    <w:rsid w:val="00A361A2"/>
    <w:rsid w:val="00A3670B"/>
    <w:rsid w:val="00A36879"/>
    <w:rsid w:val="00A3727B"/>
    <w:rsid w:val="00A44870"/>
    <w:rsid w:val="00A4642C"/>
    <w:rsid w:val="00A53319"/>
    <w:rsid w:val="00A537FE"/>
    <w:rsid w:val="00A53814"/>
    <w:rsid w:val="00A60E91"/>
    <w:rsid w:val="00A62E7B"/>
    <w:rsid w:val="00A643BB"/>
    <w:rsid w:val="00A650AF"/>
    <w:rsid w:val="00A65D9E"/>
    <w:rsid w:val="00A66185"/>
    <w:rsid w:val="00A672CB"/>
    <w:rsid w:val="00A703B2"/>
    <w:rsid w:val="00A70F7D"/>
    <w:rsid w:val="00A710F3"/>
    <w:rsid w:val="00A75905"/>
    <w:rsid w:val="00A85ACB"/>
    <w:rsid w:val="00A90E0D"/>
    <w:rsid w:val="00A92208"/>
    <w:rsid w:val="00A93353"/>
    <w:rsid w:val="00A95538"/>
    <w:rsid w:val="00A96F2D"/>
    <w:rsid w:val="00AA0645"/>
    <w:rsid w:val="00AA4BFA"/>
    <w:rsid w:val="00AA7C29"/>
    <w:rsid w:val="00AB1D44"/>
    <w:rsid w:val="00AB24B7"/>
    <w:rsid w:val="00AB569F"/>
    <w:rsid w:val="00AB7304"/>
    <w:rsid w:val="00AB7B1F"/>
    <w:rsid w:val="00AC19EC"/>
    <w:rsid w:val="00AC2828"/>
    <w:rsid w:val="00AC31B2"/>
    <w:rsid w:val="00AC56A9"/>
    <w:rsid w:val="00AC5E12"/>
    <w:rsid w:val="00AC651E"/>
    <w:rsid w:val="00AD0E79"/>
    <w:rsid w:val="00AD19AD"/>
    <w:rsid w:val="00AD3362"/>
    <w:rsid w:val="00AD398E"/>
    <w:rsid w:val="00AD66C1"/>
    <w:rsid w:val="00AD66CB"/>
    <w:rsid w:val="00AE1483"/>
    <w:rsid w:val="00AE1C6C"/>
    <w:rsid w:val="00AF1B77"/>
    <w:rsid w:val="00AF4660"/>
    <w:rsid w:val="00AF598F"/>
    <w:rsid w:val="00AF61FA"/>
    <w:rsid w:val="00AF66A1"/>
    <w:rsid w:val="00AF693A"/>
    <w:rsid w:val="00AF7EB0"/>
    <w:rsid w:val="00B05A70"/>
    <w:rsid w:val="00B072F9"/>
    <w:rsid w:val="00B10D34"/>
    <w:rsid w:val="00B138D9"/>
    <w:rsid w:val="00B13B72"/>
    <w:rsid w:val="00B1446B"/>
    <w:rsid w:val="00B162B9"/>
    <w:rsid w:val="00B2030A"/>
    <w:rsid w:val="00B22DB1"/>
    <w:rsid w:val="00B25783"/>
    <w:rsid w:val="00B25BCA"/>
    <w:rsid w:val="00B26DAD"/>
    <w:rsid w:val="00B30462"/>
    <w:rsid w:val="00B3256A"/>
    <w:rsid w:val="00B328D0"/>
    <w:rsid w:val="00B33AB7"/>
    <w:rsid w:val="00B347F2"/>
    <w:rsid w:val="00B37799"/>
    <w:rsid w:val="00B37FB9"/>
    <w:rsid w:val="00B408AE"/>
    <w:rsid w:val="00B4198F"/>
    <w:rsid w:val="00B50BA3"/>
    <w:rsid w:val="00B50FD6"/>
    <w:rsid w:val="00B528B2"/>
    <w:rsid w:val="00B52BF4"/>
    <w:rsid w:val="00B5331F"/>
    <w:rsid w:val="00B53971"/>
    <w:rsid w:val="00B54DB5"/>
    <w:rsid w:val="00B55440"/>
    <w:rsid w:val="00B564F3"/>
    <w:rsid w:val="00B5762A"/>
    <w:rsid w:val="00B6166B"/>
    <w:rsid w:val="00B62467"/>
    <w:rsid w:val="00B634E3"/>
    <w:rsid w:val="00B63ACC"/>
    <w:rsid w:val="00B665D4"/>
    <w:rsid w:val="00B67F5A"/>
    <w:rsid w:val="00B72729"/>
    <w:rsid w:val="00B731B6"/>
    <w:rsid w:val="00B77893"/>
    <w:rsid w:val="00B83B1E"/>
    <w:rsid w:val="00B85A3E"/>
    <w:rsid w:val="00B86D26"/>
    <w:rsid w:val="00B87DAA"/>
    <w:rsid w:val="00B90D3F"/>
    <w:rsid w:val="00B90EA7"/>
    <w:rsid w:val="00B9103D"/>
    <w:rsid w:val="00B92EEF"/>
    <w:rsid w:val="00B93901"/>
    <w:rsid w:val="00B97DE1"/>
    <w:rsid w:val="00BA1269"/>
    <w:rsid w:val="00BA150C"/>
    <w:rsid w:val="00BA160E"/>
    <w:rsid w:val="00BA1AB5"/>
    <w:rsid w:val="00BA219B"/>
    <w:rsid w:val="00BA312E"/>
    <w:rsid w:val="00BA454A"/>
    <w:rsid w:val="00BA5616"/>
    <w:rsid w:val="00BA758A"/>
    <w:rsid w:val="00BB2F7C"/>
    <w:rsid w:val="00BC3312"/>
    <w:rsid w:val="00BC3328"/>
    <w:rsid w:val="00BC6F8D"/>
    <w:rsid w:val="00BD063C"/>
    <w:rsid w:val="00BD0AB8"/>
    <w:rsid w:val="00BD105F"/>
    <w:rsid w:val="00BD7D12"/>
    <w:rsid w:val="00BE08BF"/>
    <w:rsid w:val="00BE2C7A"/>
    <w:rsid w:val="00BE3445"/>
    <w:rsid w:val="00BE39F8"/>
    <w:rsid w:val="00BE5815"/>
    <w:rsid w:val="00BE620B"/>
    <w:rsid w:val="00BE7A7A"/>
    <w:rsid w:val="00BF655A"/>
    <w:rsid w:val="00BF6A1F"/>
    <w:rsid w:val="00C0039C"/>
    <w:rsid w:val="00C01442"/>
    <w:rsid w:val="00C01D0E"/>
    <w:rsid w:val="00C022E5"/>
    <w:rsid w:val="00C0539D"/>
    <w:rsid w:val="00C10C66"/>
    <w:rsid w:val="00C12172"/>
    <w:rsid w:val="00C12B05"/>
    <w:rsid w:val="00C15227"/>
    <w:rsid w:val="00C20FBD"/>
    <w:rsid w:val="00C30C65"/>
    <w:rsid w:val="00C30CF9"/>
    <w:rsid w:val="00C3127C"/>
    <w:rsid w:val="00C31A52"/>
    <w:rsid w:val="00C3384C"/>
    <w:rsid w:val="00C33E1F"/>
    <w:rsid w:val="00C35AB8"/>
    <w:rsid w:val="00C36019"/>
    <w:rsid w:val="00C37D89"/>
    <w:rsid w:val="00C455A9"/>
    <w:rsid w:val="00C45D5F"/>
    <w:rsid w:val="00C508C6"/>
    <w:rsid w:val="00C5119A"/>
    <w:rsid w:val="00C528C6"/>
    <w:rsid w:val="00C54228"/>
    <w:rsid w:val="00C55CA5"/>
    <w:rsid w:val="00C56A08"/>
    <w:rsid w:val="00C61DAC"/>
    <w:rsid w:val="00C656EE"/>
    <w:rsid w:val="00C679D0"/>
    <w:rsid w:val="00C67DA0"/>
    <w:rsid w:val="00C72314"/>
    <w:rsid w:val="00C72F9E"/>
    <w:rsid w:val="00C73053"/>
    <w:rsid w:val="00C73D3B"/>
    <w:rsid w:val="00C74CE0"/>
    <w:rsid w:val="00C74E95"/>
    <w:rsid w:val="00C766C9"/>
    <w:rsid w:val="00C76A09"/>
    <w:rsid w:val="00C76BB4"/>
    <w:rsid w:val="00C77C9E"/>
    <w:rsid w:val="00C83DF6"/>
    <w:rsid w:val="00C84233"/>
    <w:rsid w:val="00C8618D"/>
    <w:rsid w:val="00C87DB5"/>
    <w:rsid w:val="00C908A3"/>
    <w:rsid w:val="00C93466"/>
    <w:rsid w:val="00C93FE8"/>
    <w:rsid w:val="00C94927"/>
    <w:rsid w:val="00C95CB7"/>
    <w:rsid w:val="00C97792"/>
    <w:rsid w:val="00CA22C2"/>
    <w:rsid w:val="00CA35E6"/>
    <w:rsid w:val="00CA61FE"/>
    <w:rsid w:val="00CA64C6"/>
    <w:rsid w:val="00CB2299"/>
    <w:rsid w:val="00CB6AA2"/>
    <w:rsid w:val="00CC0BEF"/>
    <w:rsid w:val="00CC0D77"/>
    <w:rsid w:val="00CC2E66"/>
    <w:rsid w:val="00CC3EC3"/>
    <w:rsid w:val="00CD24CF"/>
    <w:rsid w:val="00CD2B67"/>
    <w:rsid w:val="00CD3686"/>
    <w:rsid w:val="00CD451C"/>
    <w:rsid w:val="00CD4EE6"/>
    <w:rsid w:val="00CD60D7"/>
    <w:rsid w:val="00CD6463"/>
    <w:rsid w:val="00CD66C8"/>
    <w:rsid w:val="00CD6B0F"/>
    <w:rsid w:val="00CE12A3"/>
    <w:rsid w:val="00CE4749"/>
    <w:rsid w:val="00CE6D7D"/>
    <w:rsid w:val="00CE7030"/>
    <w:rsid w:val="00CF2302"/>
    <w:rsid w:val="00CF411D"/>
    <w:rsid w:val="00CF785D"/>
    <w:rsid w:val="00D00563"/>
    <w:rsid w:val="00D0077E"/>
    <w:rsid w:val="00D024DE"/>
    <w:rsid w:val="00D0322C"/>
    <w:rsid w:val="00D0697C"/>
    <w:rsid w:val="00D12263"/>
    <w:rsid w:val="00D14B8F"/>
    <w:rsid w:val="00D242C3"/>
    <w:rsid w:val="00D243C5"/>
    <w:rsid w:val="00D2495A"/>
    <w:rsid w:val="00D24F7D"/>
    <w:rsid w:val="00D269DB"/>
    <w:rsid w:val="00D302BC"/>
    <w:rsid w:val="00D30BA9"/>
    <w:rsid w:val="00D31F30"/>
    <w:rsid w:val="00D36929"/>
    <w:rsid w:val="00D430E3"/>
    <w:rsid w:val="00D45130"/>
    <w:rsid w:val="00D46FBF"/>
    <w:rsid w:val="00D5018B"/>
    <w:rsid w:val="00D5133C"/>
    <w:rsid w:val="00D51DB7"/>
    <w:rsid w:val="00D5230C"/>
    <w:rsid w:val="00D53CF5"/>
    <w:rsid w:val="00D726A5"/>
    <w:rsid w:val="00D7572B"/>
    <w:rsid w:val="00D77DE0"/>
    <w:rsid w:val="00D80528"/>
    <w:rsid w:val="00D811D9"/>
    <w:rsid w:val="00D8340C"/>
    <w:rsid w:val="00D8550B"/>
    <w:rsid w:val="00D86E13"/>
    <w:rsid w:val="00D91560"/>
    <w:rsid w:val="00D91FA0"/>
    <w:rsid w:val="00D92536"/>
    <w:rsid w:val="00D9308F"/>
    <w:rsid w:val="00D93702"/>
    <w:rsid w:val="00DA3532"/>
    <w:rsid w:val="00DA3673"/>
    <w:rsid w:val="00DA57BF"/>
    <w:rsid w:val="00DA6A55"/>
    <w:rsid w:val="00DB1B37"/>
    <w:rsid w:val="00DB1F5C"/>
    <w:rsid w:val="00DB29D1"/>
    <w:rsid w:val="00DB3506"/>
    <w:rsid w:val="00DB7B2A"/>
    <w:rsid w:val="00DC4019"/>
    <w:rsid w:val="00DC4458"/>
    <w:rsid w:val="00DC57D9"/>
    <w:rsid w:val="00DD0A25"/>
    <w:rsid w:val="00DD1CC2"/>
    <w:rsid w:val="00DD2A5F"/>
    <w:rsid w:val="00DD5CBC"/>
    <w:rsid w:val="00DD68A3"/>
    <w:rsid w:val="00DE0F9A"/>
    <w:rsid w:val="00DE2CC3"/>
    <w:rsid w:val="00DE571B"/>
    <w:rsid w:val="00DF00BE"/>
    <w:rsid w:val="00DF042A"/>
    <w:rsid w:val="00DF189D"/>
    <w:rsid w:val="00E0376A"/>
    <w:rsid w:val="00E050EF"/>
    <w:rsid w:val="00E05432"/>
    <w:rsid w:val="00E068F4"/>
    <w:rsid w:val="00E07BFF"/>
    <w:rsid w:val="00E07C71"/>
    <w:rsid w:val="00E120D7"/>
    <w:rsid w:val="00E129C5"/>
    <w:rsid w:val="00E149DA"/>
    <w:rsid w:val="00E15B65"/>
    <w:rsid w:val="00E15E9E"/>
    <w:rsid w:val="00E165D0"/>
    <w:rsid w:val="00E21D4E"/>
    <w:rsid w:val="00E227EA"/>
    <w:rsid w:val="00E22CF1"/>
    <w:rsid w:val="00E2302A"/>
    <w:rsid w:val="00E23879"/>
    <w:rsid w:val="00E2647B"/>
    <w:rsid w:val="00E274AF"/>
    <w:rsid w:val="00E40620"/>
    <w:rsid w:val="00E41F85"/>
    <w:rsid w:val="00E4229F"/>
    <w:rsid w:val="00E4691A"/>
    <w:rsid w:val="00E5015C"/>
    <w:rsid w:val="00E51190"/>
    <w:rsid w:val="00E51593"/>
    <w:rsid w:val="00E51CCC"/>
    <w:rsid w:val="00E55404"/>
    <w:rsid w:val="00E55E9B"/>
    <w:rsid w:val="00E63AE0"/>
    <w:rsid w:val="00E6498F"/>
    <w:rsid w:val="00E64D01"/>
    <w:rsid w:val="00E66C25"/>
    <w:rsid w:val="00E71CB6"/>
    <w:rsid w:val="00E72472"/>
    <w:rsid w:val="00E73BD8"/>
    <w:rsid w:val="00E749EB"/>
    <w:rsid w:val="00E77190"/>
    <w:rsid w:val="00E81657"/>
    <w:rsid w:val="00E82E67"/>
    <w:rsid w:val="00E83293"/>
    <w:rsid w:val="00E85742"/>
    <w:rsid w:val="00E8614A"/>
    <w:rsid w:val="00E871BB"/>
    <w:rsid w:val="00E9068F"/>
    <w:rsid w:val="00E918ED"/>
    <w:rsid w:val="00E919EE"/>
    <w:rsid w:val="00E9372F"/>
    <w:rsid w:val="00E961ED"/>
    <w:rsid w:val="00EA05F3"/>
    <w:rsid w:val="00EA1290"/>
    <w:rsid w:val="00EA2669"/>
    <w:rsid w:val="00EA3559"/>
    <w:rsid w:val="00EA673C"/>
    <w:rsid w:val="00EB0FF5"/>
    <w:rsid w:val="00EB15F6"/>
    <w:rsid w:val="00EB1B16"/>
    <w:rsid w:val="00EB7AA8"/>
    <w:rsid w:val="00EC20AE"/>
    <w:rsid w:val="00EC2AA1"/>
    <w:rsid w:val="00EC2B3A"/>
    <w:rsid w:val="00EC3C2A"/>
    <w:rsid w:val="00EC6BEF"/>
    <w:rsid w:val="00EC7E50"/>
    <w:rsid w:val="00ED00EB"/>
    <w:rsid w:val="00ED19F9"/>
    <w:rsid w:val="00ED646C"/>
    <w:rsid w:val="00ED6D27"/>
    <w:rsid w:val="00EE2ADD"/>
    <w:rsid w:val="00EE4C9B"/>
    <w:rsid w:val="00EE4DB4"/>
    <w:rsid w:val="00EE650A"/>
    <w:rsid w:val="00EF0D09"/>
    <w:rsid w:val="00EF243C"/>
    <w:rsid w:val="00EF3399"/>
    <w:rsid w:val="00EF36E1"/>
    <w:rsid w:val="00EF5BD0"/>
    <w:rsid w:val="00EF6745"/>
    <w:rsid w:val="00EF7DDE"/>
    <w:rsid w:val="00EF7E18"/>
    <w:rsid w:val="00F03AE5"/>
    <w:rsid w:val="00F04CB3"/>
    <w:rsid w:val="00F061FC"/>
    <w:rsid w:val="00F065C8"/>
    <w:rsid w:val="00F07B21"/>
    <w:rsid w:val="00F10B4B"/>
    <w:rsid w:val="00F12DDD"/>
    <w:rsid w:val="00F17BE1"/>
    <w:rsid w:val="00F22CD1"/>
    <w:rsid w:val="00F26A65"/>
    <w:rsid w:val="00F26F57"/>
    <w:rsid w:val="00F3072C"/>
    <w:rsid w:val="00F30864"/>
    <w:rsid w:val="00F34CD4"/>
    <w:rsid w:val="00F364CF"/>
    <w:rsid w:val="00F46EA8"/>
    <w:rsid w:val="00F47127"/>
    <w:rsid w:val="00F503E7"/>
    <w:rsid w:val="00F544FB"/>
    <w:rsid w:val="00F556DB"/>
    <w:rsid w:val="00F568D0"/>
    <w:rsid w:val="00F57968"/>
    <w:rsid w:val="00F6183A"/>
    <w:rsid w:val="00F62706"/>
    <w:rsid w:val="00F64A4F"/>
    <w:rsid w:val="00F64C92"/>
    <w:rsid w:val="00F74809"/>
    <w:rsid w:val="00F76EE2"/>
    <w:rsid w:val="00F8045B"/>
    <w:rsid w:val="00F84736"/>
    <w:rsid w:val="00F85DF1"/>
    <w:rsid w:val="00F86E72"/>
    <w:rsid w:val="00F8791A"/>
    <w:rsid w:val="00F90A4C"/>
    <w:rsid w:val="00F9153F"/>
    <w:rsid w:val="00F93D4F"/>
    <w:rsid w:val="00F95AC8"/>
    <w:rsid w:val="00F96005"/>
    <w:rsid w:val="00FA4B01"/>
    <w:rsid w:val="00FA59AB"/>
    <w:rsid w:val="00FA7C49"/>
    <w:rsid w:val="00FB011C"/>
    <w:rsid w:val="00FB27A3"/>
    <w:rsid w:val="00FB5480"/>
    <w:rsid w:val="00FB769A"/>
    <w:rsid w:val="00FB7A24"/>
    <w:rsid w:val="00FB7FA7"/>
    <w:rsid w:val="00FC0683"/>
    <w:rsid w:val="00FC1505"/>
    <w:rsid w:val="00FC1F57"/>
    <w:rsid w:val="00FC35CA"/>
    <w:rsid w:val="00FC3F7C"/>
    <w:rsid w:val="00FC5531"/>
    <w:rsid w:val="00FD37B6"/>
    <w:rsid w:val="00FD4ABB"/>
    <w:rsid w:val="00FD7305"/>
    <w:rsid w:val="00FE173C"/>
    <w:rsid w:val="00FE3EEB"/>
    <w:rsid w:val="00FE6C25"/>
    <w:rsid w:val="00FE6DC7"/>
    <w:rsid w:val="00FE7163"/>
    <w:rsid w:val="00FF310E"/>
    <w:rsid w:val="00FF3E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CD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0BC"/>
    <w:pPr>
      <w:spacing w:before="120" w:after="120" w:line="240" w:lineRule="auto"/>
    </w:pPr>
    <w:rPr>
      <w:rFonts w:ascii="Times New Roman" w:hAnsi="Times New Roman"/>
    </w:rPr>
  </w:style>
  <w:style w:type="paragraph" w:styleId="Heading1">
    <w:name w:val="heading 1"/>
    <w:basedOn w:val="Heading2"/>
    <w:next w:val="Normal"/>
    <w:link w:val="Heading1Char"/>
    <w:qFormat/>
    <w:rsid w:val="0006144D"/>
    <w:pPr>
      <w:keepNext w:val="0"/>
      <w:keepLines w:val="0"/>
      <w:spacing w:before="0" w:after="240"/>
      <w:jc w:val="center"/>
      <w:outlineLvl w:val="0"/>
    </w:pPr>
    <w:rPr>
      <w:rFonts w:eastAsia="Times New Roman"/>
      <w:bCs w:val="0"/>
      <w:sz w:val="28"/>
      <w:lang w:val="x-none" w:eastAsia="x-none"/>
    </w:rPr>
  </w:style>
  <w:style w:type="paragraph" w:styleId="Heading2">
    <w:name w:val="heading 2"/>
    <w:basedOn w:val="Normal"/>
    <w:next w:val="Normal"/>
    <w:link w:val="Heading2Char"/>
    <w:uiPriority w:val="9"/>
    <w:unhideWhenUsed/>
    <w:qFormat/>
    <w:rsid w:val="00561D4B"/>
    <w:pPr>
      <w:keepNext/>
      <w:keepLines/>
      <w:spacing w:before="240"/>
      <w:outlineLvl w:val="1"/>
    </w:pPr>
    <w:rPr>
      <w:rFonts w:eastAsiaTheme="majorEastAsia" w:cs="Times New Roman"/>
      <w:b/>
      <w:bCs/>
      <w:sz w:val="24"/>
      <w:szCs w:val="24"/>
    </w:rPr>
  </w:style>
  <w:style w:type="paragraph" w:styleId="Heading3">
    <w:name w:val="heading 3"/>
    <w:basedOn w:val="Normal"/>
    <w:next w:val="Normal"/>
    <w:link w:val="Heading3Char"/>
    <w:uiPriority w:val="9"/>
    <w:semiHidden/>
    <w:unhideWhenUsed/>
    <w:qFormat/>
    <w:rsid w:val="009606E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36A8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 5"/>
    <w:aliases w:val="s"/>
    <w:basedOn w:val="Normal"/>
    <w:next w:val="subsection"/>
    <w:qFormat/>
    <w:rsid w:val="009606EE"/>
    <w:pPr>
      <w:keepNext/>
      <w:keepLines/>
      <w:spacing w:before="280" w:after="0"/>
      <w:ind w:left="1134" w:hanging="1134"/>
      <w:outlineLvl w:val="4"/>
    </w:pPr>
    <w:rPr>
      <w:rFonts w:eastAsia="Times New Roman" w:cs="Times New Roman"/>
      <w:b/>
      <w:kern w:val="28"/>
      <w:sz w:val="24"/>
      <w:szCs w:val="20"/>
      <w:lang w:eastAsia="en-AU"/>
    </w:rPr>
  </w:style>
  <w:style w:type="character" w:customStyle="1" w:styleId="CharSectno">
    <w:name w:val="CharSectno"/>
    <w:basedOn w:val="DefaultParagraphFont"/>
    <w:qFormat/>
    <w:rsid w:val="009606EE"/>
  </w:style>
  <w:style w:type="paragraph" w:customStyle="1" w:styleId="subsection">
    <w:name w:val="subsection"/>
    <w:aliases w:val="ss"/>
    <w:basedOn w:val="Normal"/>
    <w:link w:val="subsectionChar"/>
    <w:rsid w:val="009606EE"/>
    <w:pPr>
      <w:tabs>
        <w:tab w:val="right" w:pos="1021"/>
      </w:tabs>
      <w:spacing w:before="180" w:after="0"/>
      <w:ind w:left="1134" w:hanging="1134"/>
    </w:pPr>
    <w:rPr>
      <w:rFonts w:eastAsia="Times New Roman" w:cs="Times New Roman"/>
      <w:szCs w:val="20"/>
      <w:lang w:eastAsia="en-AU"/>
    </w:rPr>
  </w:style>
  <w:style w:type="paragraph" w:customStyle="1" w:styleId="SubsectionHead">
    <w:name w:val="SubsectionHead"/>
    <w:aliases w:val="ssh"/>
    <w:basedOn w:val="Normal"/>
    <w:next w:val="subsection"/>
    <w:rsid w:val="009606EE"/>
    <w:pPr>
      <w:keepNext/>
      <w:keepLines/>
      <w:spacing w:before="240" w:after="0"/>
      <w:ind w:left="1134"/>
    </w:pPr>
    <w:rPr>
      <w:rFonts w:eastAsia="Times New Roman" w:cs="Times New Roman"/>
      <w:i/>
      <w:szCs w:val="20"/>
      <w:lang w:eastAsia="en-AU"/>
    </w:rPr>
  </w:style>
  <w:style w:type="character" w:customStyle="1" w:styleId="subsectionChar">
    <w:name w:val="subsection Char"/>
    <w:aliases w:val="ss Char"/>
    <w:link w:val="subsection"/>
    <w:locked/>
    <w:rsid w:val="009606EE"/>
    <w:rPr>
      <w:rFonts w:ascii="Times New Roman" w:eastAsia="Times New Roman" w:hAnsi="Times New Roman" w:cs="Times New Roman"/>
      <w:szCs w:val="20"/>
      <w:lang w:eastAsia="en-AU"/>
    </w:rPr>
  </w:style>
  <w:style w:type="character" w:customStyle="1" w:styleId="Heading1Char">
    <w:name w:val="Heading 1 Char"/>
    <w:basedOn w:val="DefaultParagraphFont"/>
    <w:link w:val="Heading1"/>
    <w:rsid w:val="0006144D"/>
    <w:rPr>
      <w:rFonts w:ascii="Times New Roman" w:eastAsia="Times New Roman" w:hAnsi="Times New Roman" w:cs="Times New Roman"/>
      <w:b/>
      <w:sz w:val="28"/>
      <w:szCs w:val="24"/>
      <w:lang w:val="x-none" w:eastAsia="x-none"/>
    </w:rPr>
  </w:style>
  <w:style w:type="character" w:customStyle="1" w:styleId="Heading2Char">
    <w:name w:val="Heading 2 Char"/>
    <w:basedOn w:val="DefaultParagraphFont"/>
    <w:link w:val="Heading2"/>
    <w:uiPriority w:val="9"/>
    <w:rsid w:val="00561D4B"/>
    <w:rPr>
      <w:rFonts w:ascii="Times New Roman" w:eastAsiaTheme="majorEastAsia" w:hAnsi="Times New Roman" w:cs="Times New Roman"/>
      <w:b/>
      <w:bCs/>
      <w:sz w:val="24"/>
      <w:szCs w:val="24"/>
    </w:rPr>
  </w:style>
  <w:style w:type="paragraph" w:customStyle="1" w:styleId="paragraph">
    <w:name w:val="paragraph"/>
    <w:basedOn w:val="Normal"/>
    <w:rsid w:val="009606EE"/>
    <w:pPr>
      <w:spacing w:before="100" w:beforeAutospacing="1" w:after="100" w:afterAutospacing="1"/>
    </w:pPr>
    <w:rPr>
      <w:rFonts w:eastAsia="Times New Roman" w:cs="Times New Roman"/>
      <w:sz w:val="24"/>
      <w:szCs w:val="24"/>
      <w:lang w:eastAsia="en-AU"/>
    </w:rPr>
  </w:style>
  <w:style w:type="paragraph" w:customStyle="1" w:styleId="ShortT">
    <w:name w:val="ShortT"/>
    <w:basedOn w:val="Normal"/>
    <w:next w:val="Normal"/>
    <w:qFormat/>
    <w:rsid w:val="009606EE"/>
    <w:pPr>
      <w:spacing w:after="0"/>
    </w:pPr>
    <w:rPr>
      <w:rFonts w:eastAsia="Times New Roman" w:cs="Times New Roman"/>
      <w:b/>
      <w:sz w:val="40"/>
      <w:szCs w:val="20"/>
      <w:lang w:eastAsia="en-AU"/>
    </w:rPr>
  </w:style>
  <w:style w:type="character" w:customStyle="1" w:styleId="Heading3Char">
    <w:name w:val="Heading 3 Char"/>
    <w:basedOn w:val="DefaultParagraphFont"/>
    <w:link w:val="Heading3"/>
    <w:uiPriority w:val="9"/>
    <w:semiHidden/>
    <w:rsid w:val="009606EE"/>
    <w:rPr>
      <w:rFonts w:asciiTheme="majorHAnsi" w:eastAsiaTheme="majorEastAsia" w:hAnsiTheme="majorHAnsi" w:cstheme="majorBidi"/>
      <w:b/>
      <w:bCs/>
      <w:color w:val="4F81BD" w:themeColor="accent1"/>
    </w:rPr>
  </w:style>
  <w:style w:type="character" w:styleId="Hyperlink">
    <w:name w:val="Hyperlink"/>
    <w:uiPriority w:val="99"/>
    <w:rsid w:val="009606EE"/>
    <w:rPr>
      <w:color w:val="0000FF"/>
      <w:u w:val="single"/>
    </w:rPr>
  </w:style>
  <w:style w:type="paragraph" w:customStyle="1" w:styleId="Paragraph0">
    <w:name w:val="Paragraph"/>
    <w:basedOn w:val="Normal"/>
    <w:uiPriority w:val="99"/>
    <w:rsid w:val="00C54228"/>
    <w:pPr>
      <w:numPr>
        <w:ilvl w:val="12"/>
      </w:numPr>
      <w:spacing w:before="240" w:after="0"/>
    </w:pPr>
    <w:rPr>
      <w:rFonts w:eastAsia="Times New Roman" w:cs="Times New Roman"/>
      <w:sz w:val="24"/>
      <w:szCs w:val="20"/>
      <w:lang w:eastAsia="en-AU"/>
    </w:rPr>
  </w:style>
  <w:style w:type="paragraph" w:styleId="Header">
    <w:name w:val="header"/>
    <w:basedOn w:val="Normal"/>
    <w:link w:val="HeaderChar"/>
    <w:uiPriority w:val="99"/>
    <w:unhideWhenUsed/>
    <w:rsid w:val="00834A87"/>
    <w:pPr>
      <w:tabs>
        <w:tab w:val="center" w:pos="4513"/>
        <w:tab w:val="right" w:pos="9026"/>
      </w:tabs>
      <w:spacing w:after="0"/>
    </w:pPr>
  </w:style>
  <w:style w:type="character" w:customStyle="1" w:styleId="HeaderChar">
    <w:name w:val="Header Char"/>
    <w:basedOn w:val="DefaultParagraphFont"/>
    <w:link w:val="Header"/>
    <w:uiPriority w:val="99"/>
    <w:rsid w:val="00834A87"/>
  </w:style>
  <w:style w:type="paragraph" w:styleId="Footer">
    <w:name w:val="footer"/>
    <w:basedOn w:val="Normal"/>
    <w:link w:val="FooterChar"/>
    <w:uiPriority w:val="99"/>
    <w:unhideWhenUsed/>
    <w:rsid w:val="00834A87"/>
    <w:pPr>
      <w:tabs>
        <w:tab w:val="center" w:pos="4513"/>
        <w:tab w:val="right" w:pos="9026"/>
      </w:tabs>
      <w:spacing w:after="0"/>
    </w:pPr>
  </w:style>
  <w:style w:type="character" w:customStyle="1" w:styleId="FooterChar">
    <w:name w:val="Footer Char"/>
    <w:basedOn w:val="DefaultParagraphFont"/>
    <w:link w:val="Footer"/>
    <w:uiPriority w:val="99"/>
    <w:rsid w:val="00834A87"/>
  </w:style>
  <w:style w:type="paragraph" w:customStyle="1" w:styleId="Classification">
    <w:name w:val="Classification"/>
    <w:basedOn w:val="Normal"/>
    <w:rsid w:val="00834A87"/>
    <w:pPr>
      <w:spacing w:before="60" w:after="60"/>
      <w:jc w:val="center"/>
    </w:pPr>
    <w:rPr>
      <w:rFonts w:ascii="Arial" w:eastAsia="Times New Roman" w:hAnsi="Arial" w:cs="Times New Roman"/>
      <w:b/>
      <w:caps/>
      <w:color w:val="FF0000"/>
      <w:sz w:val="28"/>
      <w:szCs w:val="20"/>
      <w:lang w:eastAsia="en-AU"/>
    </w:rPr>
  </w:style>
  <w:style w:type="paragraph" w:styleId="BalloonText">
    <w:name w:val="Balloon Text"/>
    <w:basedOn w:val="Normal"/>
    <w:link w:val="BalloonTextChar"/>
    <w:uiPriority w:val="99"/>
    <w:semiHidden/>
    <w:unhideWhenUsed/>
    <w:rsid w:val="007E36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6EF"/>
    <w:rPr>
      <w:rFonts w:ascii="Tahoma" w:hAnsi="Tahoma" w:cs="Tahoma"/>
      <w:sz w:val="16"/>
      <w:szCs w:val="16"/>
    </w:rPr>
  </w:style>
  <w:style w:type="paragraph" w:styleId="NoSpacing">
    <w:name w:val="No Spacing"/>
    <w:basedOn w:val="Heading1"/>
    <w:uiPriority w:val="1"/>
    <w:qFormat/>
    <w:rsid w:val="00026D9A"/>
    <w:pPr>
      <w:spacing w:after="360"/>
      <w:jc w:val="right"/>
    </w:pPr>
    <w:rPr>
      <w:rFonts w:eastAsiaTheme="majorEastAsia"/>
      <w:color w:val="000000" w:themeColor="text1"/>
      <w:sz w:val="20"/>
      <w:szCs w:val="20"/>
    </w:rPr>
  </w:style>
  <w:style w:type="paragraph" w:styleId="ListParagraph">
    <w:name w:val="List Paragraph"/>
    <w:basedOn w:val="Normal"/>
    <w:uiPriority w:val="34"/>
    <w:qFormat/>
    <w:rsid w:val="000949AE"/>
    <w:pPr>
      <w:ind w:left="720"/>
      <w:contextualSpacing/>
    </w:pPr>
  </w:style>
  <w:style w:type="character" w:styleId="CommentReference">
    <w:name w:val="annotation reference"/>
    <w:basedOn w:val="DefaultParagraphFont"/>
    <w:uiPriority w:val="99"/>
    <w:semiHidden/>
    <w:unhideWhenUsed/>
    <w:rsid w:val="00576DA4"/>
    <w:rPr>
      <w:sz w:val="16"/>
      <w:szCs w:val="16"/>
    </w:rPr>
  </w:style>
  <w:style w:type="paragraph" w:styleId="CommentText">
    <w:name w:val="annotation text"/>
    <w:basedOn w:val="Normal"/>
    <w:link w:val="CommentTextChar"/>
    <w:uiPriority w:val="99"/>
    <w:semiHidden/>
    <w:unhideWhenUsed/>
    <w:rsid w:val="00576DA4"/>
    <w:rPr>
      <w:sz w:val="20"/>
      <w:szCs w:val="20"/>
    </w:rPr>
  </w:style>
  <w:style w:type="character" w:customStyle="1" w:styleId="CommentTextChar">
    <w:name w:val="Comment Text Char"/>
    <w:basedOn w:val="DefaultParagraphFont"/>
    <w:link w:val="CommentText"/>
    <w:uiPriority w:val="99"/>
    <w:semiHidden/>
    <w:rsid w:val="00576DA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76DA4"/>
    <w:rPr>
      <w:b/>
      <w:bCs/>
    </w:rPr>
  </w:style>
  <w:style w:type="character" w:customStyle="1" w:styleId="CommentSubjectChar">
    <w:name w:val="Comment Subject Char"/>
    <w:basedOn w:val="CommentTextChar"/>
    <w:link w:val="CommentSubject"/>
    <w:uiPriority w:val="99"/>
    <w:semiHidden/>
    <w:rsid w:val="00576DA4"/>
    <w:rPr>
      <w:rFonts w:ascii="Times New Roman" w:hAnsi="Times New Roman"/>
      <w:b/>
      <w:bCs/>
      <w:sz w:val="20"/>
      <w:szCs w:val="20"/>
    </w:rPr>
  </w:style>
  <w:style w:type="character" w:customStyle="1" w:styleId="Heading4Char">
    <w:name w:val="Heading 4 Char"/>
    <w:basedOn w:val="DefaultParagraphFont"/>
    <w:link w:val="Heading4"/>
    <w:uiPriority w:val="9"/>
    <w:semiHidden/>
    <w:rsid w:val="00536A86"/>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0BC"/>
    <w:pPr>
      <w:spacing w:before="120" w:after="120" w:line="240" w:lineRule="auto"/>
    </w:pPr>
    <w:rPr>
      <w:rFonts w:ascii="Times New Roman" w:hAnsi="Times New Roman"/>
    </w:rPr>
  </w:style>
  <w:style w:type="paragraph" w:styleId="Heading1">
    <w:name w:val="heading 1"/>
    <w:basedOn w:val="Heading2"/>
    <w:next w:val="Normal"/>
    <w:link w:val="Heading1Char"/>
    <w:qFormat/>
    <w:rsid w:val="0006144D"/>
    <w:pPr>
      <w:keepNext w:val="0"/>
      <w:keepLines w:val="0"/>
      <w:spacing w:before="0" w:after="240"/>
      <w:jc w:val="center"/>
      <w:outlineLvl w:val="0"/>
    </w:pPr>
    <w:rPr>
      <w:rFonts w:eastAsia="Times New Roman"/>
      <w:bCs w:val="0"/>
      <w:sz w:val="28"/>
      <w:lang w:val="x-none" w:eastAsia="x-none"/>
    </w:rPr>
  </w:style>
  <w:style w:type="paragraph" w:styleId="Heading2">
    <w:name w:val="heading 2"/>
    <w:basedOn w:val="Normal"/>
    <w:next w:val="Normal"/>
    <w:link w:val="Heading2Char"/>
    <w:uiPriority w:val="9"/>
    <w:unhideWhenUsed/>
    <w:qFormat/>
    <w:rsid w:val="00561D4B"/>
    <w:pPr>
      <w:keepNext/>
      <w:keepLines/>
      <w:spacing w:before="240"/>
      <w:outlineLvl w:val="1"/>
    </w:pPr>
    <w:rPr>
      <w:rFonts w:eastAsiaTheme="majorEastAsia" w:cs="Times New Roman"/>
      <w:b/>
      <w:bCs/>
      <w:sz w:val="24"/>
      <w:szCs w:val="24"/>
    </w:rPr>
  </w:style>
  <w:style w:type="paragraph" w:styleId="Heading3">
    <w:name w:val="heading 3"/>
    <w:basedOn w:val="Normal"/>
    <w:next w:val="Normal"/>
    <w:link w:val="Heading3Char"/>
    <w:uiPriority w:val="9"/>
    <w:semiHidden/>
    <w:unhideWhenUsed/>
    <w:qFormat/>
    <w:rsid w:val="009606E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36A8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 5"/>
    <w:aliases w:val="s"/>
    <w:basedOn w:val="Normal"/>
    <w:next w:val="subsection"/>
    <w:qFormat/>
    <w:rsid w:val="009606EE"/>
    <w:pPr>
      <w:keepNext/>
      <w:keepLines/>
      <w:spacing w:before="280" w:after="0"/>
      <w:ind w:left="1134" w:hanging="1134"/>
      <w:outlineLvl w:val="4"/>
    </w:pPr>
    <w:rPr>
      <w:rFonts w:eastAsia="Times New Roman" w:cs="Times New Roman"/>
      <w:b/>
      <w:kern w:val="28"/>
      <w:sz w:val="24"/>
      <w:szCs w:val="20"/>
      <w:lang w:eastAsia="en-AU"/>
    </w:rPr>
  </w:style>
  <w:style w:type="character" w:customStyle="1" w:styleId="CharSectno">
    <w:name w:val="CharSectno"/>
    <w:basedOn w:val="DefaultParagraphFont"/>
    <w:qFormat/>
    <w:rsid w:val="009606EE"/>
  </w:style>
  <w:style w:type="paragraph" w:customStyle="1" w:styleId="subsection">
    <w:name w:val="subsection"/>
    <w:aliases w:val="ss"/>
    <w:basedOn w:val="Normal"/>
    <w:link w:val="subsectionChar"/>
    <w:rsid w:val="009606EE"/>
    <w:pPr>
      <w:tabs>
        <w:tab w:val="right" w:pos="1021"/>
      </w:tabs>
      <w:spacing w:before="180" w:after="0"/>
      <w:ind w:left="1134" w:hanging="1134"/>
    </w:pPr>
    <w:rPr>
      <w:rFonts w:eastAsia="Times New Roman" w:cs="Times New Roman"/>
      <w:szCs w:val="20"/>
      <w:lang w:eastAsia="en-AU"/>
    </w:rPr>
  </w:style>
  <w:style w:type="paragraph" w:customStyle="1" w:styleId="SubsectionHead">
    <w:name w:val="SubsectionHead"/>
    <w:aliases w:val="ssh"/>
    <w:basedOn w:val="Normal"/>
    <w:next w:val="subsection"/>
    <w:rsid w:val="009606EE"/>
    <w:pPr>
      <w:keepNext/>
      <w:keepLines/>
      <w:spacing w:before="240" w:after="0"/>
      <w:ind w:left="1134"/>
    </w:pPr>
    <w:rPr>
      <w:rFonts w:eastAsia="Times New Roman" w:cs="Times New Roman"/>
      <w:i/>
      <w:szCs w:val="20"/>
      <w:lang w:eastAsia="en-AU"/>
    </w:rPr>
  </w:style>
  <w:style w:type="character" w:customStyle="1" w:styleId="subsectionChar">
    <w:name w:val="subsection Char"/>
    <w:aliases w:val="ss Char"/>
    <w:link w:val="subsection"/>
    <w:locked/>
    <w:rsid w:val="009606EE"/>
    <w:rPr>
      <w:rFonts w:ascii="Times New Roman" w:eastAsia="Times New Roman" w:hAnsi="Times New Roman" w:cs="Times New Roman"/>
      <w:szCs w:val="20"/>
      <w:lang w:eastAsia="en-AU"/>
    </w:rPr>
  </w:style>
  <w:style w:type="character" w:customStyle="1" w:styleId="Heading1Char">
    <w:name w:val="Heading 1 Char"/>
    <w:basedOn w:val="DefaultParagraphFont"/>
    <w:link w:val="Heading1"/>
    <w:rsid w:val="0006144D"/>
    <w:rPr>
      <w:rFonts w:ascii="Times New Roman" w:eastAsia="Times New Roman" w:hAnsi="Times New Roman" w:cs="Times New Roman"/>
      <w:b/>
      <w:sz w:val="28"/>
      <w:szCs w:val="24"/>
      <w:lang w:val="x-none" w:eastAsia="x-none"/>
    </w:rPr>
  </w:style>
  <w:style w:type="character" w:customStyle="1" w:styleId="Heading2Char">
    <w:name w:val="Heading 2 Char"/>
    <w:basedOn w:val="DefaultParagraphFont"/>
    <w:link w:val="Heading2"/>
    <w:uiPriority w:val="9"/>
    <w:rsid w:val="00561D4B"/>
    <w:rPr>
      <w:rFonts w:ascii="Times New Roman" w:eastAsiaTheme="majorEastAsia" w:hAnsi="Times New Roman" w:cs="Times New Roman"/>
      <w:b/>
      <w:bCs/>
      <w:sz w:val="24"/>
      <w:szCs w:val="24"/>
    </w:rPr>
  </w:style>
  <w:style w:type="paragraph" w:customStyle="1" w:styleId="paragraph">
    <w:name w:val="paragraph"/>
    <w:basedOn w:val="Normal"/>
    <w:rsid w:val="009606EE"/>
    <w:pPr>
      <w:spacing w:before="100" w:beforeAutospacing="1" w:after="100" w:afterAutospacing="1"/>
    </w:pPr>
    <w:rPr>
      <w:rFonts w:eastAsia="Times New Roman" w:cs="Times New Roman"/>
      <w:sz w:val="24"/>
      <w:szCs w:val="24"/>
      <w:lang w:eastAsia="en-AU"/>
    </w:rPr>
  </w:style>
  <w:style w:type="paragraph" w:customStyle="1" w:styleId="ShortT">
    <w:name w:val="ShortT"/>
    <w:basedOn w:val="Normal"/>
    <w:next w:val="Normal"/>
    <w:qFormat/>
    <w:rsid w:val="009606EE"/>
    <w:pPr>
      <w:spacing w:after="0"/>
    </w:pPr>
    <w:rPr>
      <w:rFonts w:eastAsia="Times New Roman" w:cs="Times New Roman"/>
      <w:b/>
      <w:sz w:val="40"/>
      <w:szCs w:val="20"/>
      <w:lang w:eastAsia="en-AU"/>
    </w:rPr>
  </w:style>
  <w:style w:type="character" w:customStyle="1" w:styleId="Heading3Char">
    <w:name w:val="Heading 3 Char"/>
    <w:basedOn w:val="DefaultParagraphFont"/>
    <w:link w:val="Heading3"/>
    <w:uiPriority w:val="9"/>
    <w:semiHidden/>
    <w:rsid w:val="009606EE"/>
    <w:rPr>
      <w:rFonts w:asciiTheme="majorHAnsi" w:eastAsiaTheme="majorEastAsia" w:hAnsiTheme="majorHAnsi" w:cstheme="majorBidi"/>
      <w:b/>
      <w:bCs/>
      <w:color w:val="4F81BD" w:themeColor="accent1"/>
    </w:rPr>
  </w:style>
  <w:style w:type="character" w:styleId="Hyperlink">
    <w:name w:val="Hyperlink"/>
    <w:uiPriority w:val="99"/>
    <w:rsid w:val="009606EE"/>
    <w:rPr>
      <w:color w:val="0000FF"/>
      <w:u w:val="single"/>
    </w:rPr>
  </w:style>
  <w:style w:type="paragraph" w:customStyle="1" w:styleId="Paragraph0">
    <w:name w:val="Paragraph"/>
    <w:basedOn w:val="Normal"/>
    <w:uiPriority w:val="99"/>
    <w:rsid w:val="00C54228"/>
    <w:pPr>
      <w:numPr>
        <w:ilvl w:val="12"/>
      </w:numPr>
      <w:spacing w:before="240" w:after="0"/>
    </w:pPr>
    <w:rPr>
      <w:rFonts w:eastAsia="Times New Roman" w:cs="Times New Roman"/>
      <w:sz w:val="24"/>
      <w:szCs w:val="20"/>
      <w:lang w:eastAsia="en-AU"/>
    </w:rPr>
  </w:style>
  <w:style w:type="paragraph" w:styleId="Header">
    <w:name w:val="header"/>
    <w:basedOn w:val="Normal"/>
    <w:link w:val="HeaderChar"/>
    <w:uiPriority w:val="99"/>
    <w:unhideWhenUsed/>
    <w:rsid w:val="00834A87"/>
    <w:pPr>
      <w:tabs>
        <w:tab w:val="center" w:pos="4513"/>
        <w:tab w:val="right" w:pos="9026"/>
      </w:tabs>
      <w:spacing w:after="0"/>
    </w:pPr>
  </w:style>
  <w:style w:type="character" w:customStyle="1" w:styleId="HeaderChar">
    <w:name w:val="Header Char"/>
    <w:basedOn w:val="DefaultParagraphFont"/>
    <w:link w:val="Header"/>
    <w:uiPriority w:val="99"/>
    <w:rsid w:val="00834A87"/>
  </w:style>
  <w:style w:type="paragraph" w:styleId="Footer">
    <w:name w:val="footer"/>
    <w:basedOn w:val="Normal"/>
    <w:link w:val="FooterChar"/>
    <w:uiPriority w:val="99"/>
    <w:unhideWhenUsed/>
    <w:rsid w:val="00834A87"/>
    <w:pPr>
      <w:tabs>
        <w:tab w:val="center" w:pos="4513"/>
        <w:tab w:val="right" w:pos="9026"/>
      </w:tabs>
      <w:spacing w:after="0"/>
    </w:pPr>
  </w:style>
  <w:style w:type="character" w:customStyle="1" w:styleId="FooterChar">
    <w:name w:val="Footer Char"/>
    <w:basedOn w:val="DefaultParagraphFont"/>
    <w:link w:val="Footer"/>
    <w:uiPriority w:val="99"/>
    <w:rsid w:val="00834A87"/>
  </w:style>
  <w:style w:type="paragraph" w:customStyle="1" w:styleId="Classification">
    <w:name w:val="Classification"/>
    <w:basedOn w:val="Normal"/>
    <w:rsid w:val="00834A87"/>
    <w:pPr>
      <w:spacing w:before="60" w:after="60"/>
      <w:jc w:val="center"/>
    </w:pPr>
    <w:rPr>
      <w:rFonts w:ascii="Arial" w:eastAsia="Times New Roman" w:hAnsi="Arial" w:cs="Times New Roman"/>
      <w:b/>
      <w:caps/>
      <w:color w:val="FF0000"/>
      <w:sz w:val="28"/>
      <w:szCs w:val="20"/>
      <w:lang w:eastAsia="en-AU"/>
    </w:rPr>
  </w:style>
  <w:style w:type="paragraph" w:styleId="BalloonText">
    <w:name w:val="Balloon Text"/>
    <w:basedOn w:val="Normal"/>
    <w:link w:val="BalloonTextChar"/>
    <w:uiPriority w:val="99"/>
    <w:semiHidden/>
    <w:unhideWhenUsed/>
    <w:rsid w:val="007E36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6EF"/>
    <w:rPr>
      <w:rFonts w:ascii="Tahoma" w:hAnsi="Tahoma" w:cs="Tahoma"/>
      <w:sz w:val="16"/>
      <w:szCs w:val="16"/>
    </w:rPr>
  </w:style>
  <w:style w:type="paragraph" w:styleId="NoSpacing">
    <w:name w:val="No Spacing"/>
    <w:basedOn w:val="Heading1"/>
    <w:uiPriority w:val="1"/>
    <w:qFormat/>
    <w:rsid w:val="00026D9A"/>
    <w:pPr>
      <w:spacing w:after="360"/>
      <w:jc w:val="right"/>
    </w:pPr>
    <w:rPr>
      <w:rFonts w:eastAsiaTheme="majorEastAsia"/>
      <w:color w:val="000000" w:themeColor="text1"/>
      <w:sz w:val="20"/>
      <w:szCs w:val="20"/>
    </w:rPr>
  </w:style>
  <w:style w:type="paragraph" w:styleId="ListParagraph">
    <w:name w:val="List Paragraph"/>
    <w:basedOn w:val="Normal"/>
    <w:uiPriority w:val="34"/>
    <w:qFormat/>
    <w:rsid w:val="000949AE"/>
    <w:pPr>
      <w:ind w:left="720"/>
      <w:contextualSpacing/>
    </w:pPr>
  </w:style>
  <w:style w:type="character" w:styleId="CommentReference">
    <w:name w:val="annotation reference"/>
    <w:basedOn w:val="DefaultParagraphFont"/>
    <w:uiPriority w:val="99"/>
    <w:semiHidden/>
    <w:unhideWhenUsed/>
    <w:rsid w:val="00576DA4"/>
    <w:rPr>
      <w:sz w:val="16"/>
      <w:szCs w:val="16"/>
    </w:rPr>
  </w:style>
  <w:style w:type="paragraph" w:styleId="CommentText">
    <w:name w:val="annotation text"/>
    <w:basedOn w:val="Normal"/>
    <w:link w:val="CommentTextChar"/>
    <w:uiPriority w:val="99"/>
    <w:semiHidden/>
    <w:unhideWhenUsed/>
    <w:rsid w:val="00576DA4"/>
    <w:rPr>
      <w:sz w:val="20"/>
      <w:szCs w:val="20"/>
    </w:rPr>
  </w:style>
  <w:style w:type="character" w:customStyle="1" w:styleId="CommentTextChar">
    <w:name w:val="Comment Text Char"/>
    <w:basedOn w:val="DefaultParagraphFont"/>
    <w:link w:val="CommentText"/>
    <w:uiPriority w:val="99"/>
    <w:semiHidden/>
    <w:rsid w:val="00576DA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76DA4"/>
    <w:rPr>
      <w:b/>
      <w:bCs/>
    </w:rPr>
  </w:style>
  <w:style w:type="character" w:customStyle="1" w:styleId="CommentSubjectChar">
    <w:name w:val="Comment Subject Char"/>
    <w:basedOn w:val="CommentTextChar"/>
    <w:link w:val="CommentSubject"/>
    <w:uiPriority w:val="99"/>
    <w:semiHidden/>
    <w:rsid w:val="00576DA4"/>
    <w:rPr>
      <w:rFonts w:ascii="Times New Roman" w:hAnsi="Times New Roman"/>
      <w:b/>
      <w:bCs/>
      <w:sz w:val="20"/>
      <w:szCs w:val="20"/>
    </w:rPr>
  </w:style>
  <w:style w:type="character" w:customStyle="1" w:styleId="Heading4Char">
    <w:name w:val="Heading 4 Char"/>
    <w:basedOn w:val="DefaultParagraphFont"/>
    <w:link w:val="Heading4"/>
    <w:uiPriority w:val="9"/>
    <w:semiHidden/>
    <w:rsid w:val="00536A86"/>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3660">
      <w:bodyDiv w:val="1"/>
      <w:marLeft w:val="0"/>
      <w:marRight w:val="0"/>
      <w:marTop w:val="0"/>
      <w:marBottom w:val="0"/>
      <w:divBdr>
        <w:top w:val="none" w:sz="0" w:space="0" w:color="auto"/>
        <w:left w:val="none" w:sz="0" w:space="0" w:color="auto"/>
        <w:bottom w:val="none" w:sz="0" w:space="0" w:color="auto"/>
        <w:right w:val="none" w:sz="0" w:space="0" w:color="auto"/>
      </w:divBdr>
    </w:div>
    <w:div w:id="31075839">
      <w:bodyDiv w:val="1"/>
      <w:marLeft w:val="0"/>
      <w:marRight w:val="0"/>
      <w:marTop w:val="0"/>
      <w:marBottom w:val="0"/>
      <w:divBdr>
        <w:top w:val="none" w:sz="0" w:space="0" w:color="auto"/>
        <w:left w:val="none" w:sz="0" w:space="0" w:color="auto"/>
        <w:bottom w:val="none" w:sz="0" w:space="0" w:color="auto"/>
        <w:right w:val="none" w:sz="0" w:space="0" w:color="auto"/>
      </w:divBdr>
      <w:divsChild>
        <w:div w:id="1244604729">
          <w:marLeft w:val="0"/>
          <w:marRight w:val="0"/>
          <w:marTop w:val="0"/>
          <w:marBottom w:val="0"/>
          <w:divBdr>
            <w:top w:val="none" w:sz="0" w:space="0" w:color="auto"/>
            <w:left w:val="none" w:sz="0" w:space="0" w:color="auto"/>
            <w:bottom w:val="none" w:sz="0" w:space="0" w:color="auto"/>
            <w:right w:val="none" w:sz="0" w:space="0" w:color="auto"/>
          </w:divBdr>
          <w:divsChild>
            <w:div w:id="2096895303">
              <w:marLeft w:val="0"/>
              <w:marRight w:val="0"/>
              <w:marTop w:val="0"/>
              <w:marBottom w:val="0"/>
              <w:divBdr>
                <w:top w:val="none" w:sz="0" w:space="0" w:color="auto"/>
                <w:left w:val="none" w:sz="0" w:space="0" w:color="auto"/>
                <w:bottom w:val="none" w:sz="0" w:space="0" w:color="auto"/>
                <w:right w:val="none" w:sz="0" w:space="0" w:color="auto"/>
              </w:divBdr>
              <w:divsChild>
                <w:div w:id="1259944310">
                  <w:marLeft w:val="0"/>
                  <w:marRight w:val="0"/>
                  <w:marTop w:val="0"/>
                  <w:marBottom w:val="0"/>
                  <w:divBdr>
                    <w:top w:val="none" w:sz="0" w:space="0" w:color="auto"/>
                    <w:left w:val="none" w:sz="0" w:space="0" w:color="auto"/>
                    <w:bottom w:val="none" w:sz="0" w:space="0" w:color="auto"/>
                    <w:right w:val="none" w:sz="0" w:space="0" w:color="auto"/>
                  </w:divBdr>
                  <w:divsChild>
                    <w:div w:id="5668571">
                      <w:marLeft w:val="0"/>
                      <w:marRight w:val="0"/>
                      <w:marTop w:val="0"/>
                      <w:marBottom w:val="0"/>
                      <w:divBdr>
                        <w:top w:val="none" w:sz="0" w:space="0" w:color="auto"/>
                        <w:left w:val="none" w:sz="0" w:space="0" w:color="auto"/>
                        <w:bottom w:val="none" w:sz="0" w:space="0" w:color="auto"/>
                        <w:right w:val="none" w:sz="0" w:space="0" w:color="auto"/>
                      </w:divBdr>
                      <w:divsChild>
                        <w:div w:id="218833592">
                          <w:marLeft w:val="0"/>
                          <w:marRight w:val="0"/>
                          <w:marTop w:val="0"/>
                          <w:marBottom w:val="0"/>
                          <w:divBdr>
                            <w:top w:val="single" w:sz="6" w:space="0" w:color="828282"/>
                            <w:left w:val="single" w:sz="6" w:space="0" w:color="828282"/>
                            <w:bottom w:val="single" w:sz="6" w:space="0" w:color="828282"/>
                            <w:right w:val="single" w:sz="6" w:space="0" w:color="828282"/>
                          </w:divBdr>
                          <w:divsChild>
                            <w:div w:id="1046569407">
                              <w:marLeft w:val="0"/>
                              <w:marRight w:val="0"/>
                              <w:marTop w:val="0"/>
                              <w:marBottom w:val="0"/>
                              <w:divBdr>
                                <w:top w:val="none" w:sz="0" w:space="0" w:color="auto"/>
                                <w:left w:val="none" w:sz="0" w:space="0" w:color="auto"/>
                                <w:bottom w:val="none" w:sz="0" w:space="0" w:color="auto"/>
                                <w:right w:val="none" w:sz="0" w:space="0" w:color="auto"/>
                              </w:divBdr>
                              <w:divsChild>
                                <w:div w:id="974330470">
                                  <w:marLeft w:val="0"/>
                                  <w:marRight w:val="0"/>
                                  <w:marTop w:val="0"/>
                                  <w:marBottom w:val="0"/>
                                  <w:divBdr>
                                    <w:top w:val="none" w:sz="0" w:space="0" w:color="auto"/>
                                    <w:left w:val="none" w:sz="0" w:space="0" w:color="auto"/>
                                    <w:bottom w:val="none" w:sz="0" w:space="0" w:color="auto"/>
                                    <w:right w:val="none" w:sz="0" w:space="0" w:color="auto"/>
                                  </w:divBdr>
                                  <w:divsChild>
                                    <w:div w:id="1448700742">
                                      <w:marLeft w:val="0"/>
                                      <w:marRight w:val="0"/>
                                      <w:marTop w:val="0"/>
                                      <w:marBottom w:val="0"/>
                                      <w:divBdr>
                                        <w:top w:val="none" w:sz="0" w:space="0" w:color="auto"/>
                                        <w:left w:val="none" w:sz="0" w:space="0" w:color="auto"/>
                                        <w:bottom w:val="none" w:sz="0" w:space="0" w:color="auto"/>
                                        <w:right w:val="none" w:sz="0" w:space="0" w:color="auto"/>
                                      </w:divBdr>
                                      <w:divsChild>
                                        <w:div w:id="685595920">
                                          <w:marLeft w:val="0"/>
                                          <w:marRight w:val="0"/>
                                          <w:marTop w:val="0"/>
                                          <w:marBottom w:val="0"/>
                                          <w:divBdr>
                                            <w:top w:val="none" w:sz="0" w:space="0" w:color="auto"/>
                                            <w:left w:val="none" w:sz="0" w:space="0" w:color="auto"/>
                                            <w:bottom w:val="none" w:sz="0" w:space="0" w:color="auto"/>
                                            <w:right w:val="none" w:sz="0" w:space="0" w:color="auto"/>
                                          </w:divBdr>
                                          <w:divsChild>
                                            <w:div w:id="1875072767">
                                              <w:marLeft w:val="0"/>
                                              <w:marRight w:val="0"/>
                                              <w:marTop w:val="0"/>
                                              <w:marBottom w:val="0"/>
                                              <w:divBdr>
                                                <w:top w:val="none" w:sz="0" w:space="0" w:color="auto"/>
                                                <w:left w:val="none" w:sz="0" w:space="0" w:color="auto"/>
                                                <w:bottom w:val="none" w:sz="0" w:space="0" w:color="auto"/>
                                                <w:right w:val="none" w:sz="0" w:space="0" w:color="auto"/>
                                              </w:divBdr>
                                              <w:divsChild>
                                                <w:div w:id="86856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283913">
      <w:bodyDiv w:val="1"/>
      <w:marLeft w:val="0"/>
      <w:marRight w:val="0"/>
      <w:marTop w:val="0"/>
      <w:marBottom w:val="0"/>
      <w:divBdr>
        <w:top w:val="none" w:sz="0" w:space="0" w:color="auto"/>
        <w:left w:val="none" w:sz="0" w:space="0" w:color="auto"/>
        <w:bottom w:val="none" w:sz="0" w:space="0" w:color="auto"/>
        <w:right w:val="none" w:sz="0" w:space="0" w:color="auto"/>
      </w:divBdr>
    </w:div>
    <w:div w:id="164368751">
      <w:bodyDiv w:val="1"/>
      <w:marLeft w:val="0"/>
      <w:marRight w:val="0"/>
      <w:marTop w:val="0"/>
      <w:marBottom w:val="0"/>
      <w:divBdr>
        <w:top w:val="none" w:sz="0" w:space="0" w:color="auto"/>
        <w:left w:val="none" w:sz="0" w:space="0" w:color="auto"/>
        <w:bottom w:val="none" w:sz="0" w:space="0" w:color="auto"/>
        <w:right w:val="none" w:sz="0" w:space="0" w:color="auto"/>
      </w:divBdr>
    </w:div>
    <w:div w:id="185557705">
      <w:bodyDiv w:val="1"/>
      <w:marLeft w:val="0"/>
      <w:marRight w:val="0"/>
      <w:marTop w:val="0"/>
      <w:marBottom w:val="0"/>
      <w:divBdr>
        <w:top w:val="none" w:sz="0" w:space="0" w:color="auto"/>
        <w:left w:val="none" w:sz="0" w:space="0" w:color="auto"/>
        <w:bottom w:val="none" w:sz="0" w:space="0" w:color="auto"/>
        <w:right w:val="none" w:sz="0" w:space="0" w:color="auto"/>
      </w:divBdr>
    </w:div>
    <w:div w:id="248389856">
      <w:bodyDiv w:val="1"/>
      <w:marLeft w:val="0"/>
      <w:marRight w:val="0"/>
      <w:marTop w:val="0"/>
      <w:marBottom w:val="0"/>
      <w:divBdr>
        <w:top w:val="none" w:sz="0" w:space="0" w:color="auto"/>
        <w:left w:val="none" w:sz="0" w:space="0" w:color="auto"/>
        <w:bottom w:val="none" w:sz="0" w:space="0" w:color="auto"/>
        <w:right w:val="none" w:sz="0" w:space="0" w:color="auto"/>
      </w:divBdr>
    </w:div>
    <w:div w:id="344748687">
      <w:bodyDiv w:val="1"/>
      <w:marLeft w:val="0"/>
      <w:marRight w:val="0"/>
      <w:marTop w:val="0"/>
      <w:marBottom w:val="0"/>
      <w:divBdr>
        <w:top w:val="none" w:sz="0" w:space="0" w:color="auto"/>
        <w:left w:val="none" w:sz="0" w:space="0" w:color="auto"/>
        <w:bottom w:val="none" w:sz="0" w:space="0" w:color="auto"/>
        <w:right w:val="none" w:sz="0" w:space="0" w:color="auto"/>
      </w:divBdr>
    </w:div>
    <w:div w:id="624433222">
      <w:bodyDiv w:val="1"/>
      <w:marLeft w:val="0"/>
      <w:marRight w:val="0"/>
      <w:marTop w:val="0"/>
      <w:marBottom w:val="0"/>
      <w:divBdr>
        <w:top w:val="none" w:sz="0" w:space="0" w:color="auto"/>
        <w:left w:val="none" w:sz="0" w:space="0" w:color="auto"/>
        <w:bottom w:val="none" w:sz="0" w:space="0" w:color="auto"/>
        <w:right w:val="none" w:sz="0" w:space="0" w:color="auto"/>
      </w:divBdr>
    </w:div>
    <w:div w:id="688720313">
      <w:bodyDiv w:val="1"/>
      <w:marLeft w:val="0"/>
      <w:marRight w:val="0"/>
      <w:marTop w:val="0"/>
      <w:marBottom w:val="0"/>
      <w:divBdr>
        <w:top w:val="none" w:sz="0" w:space="0" w:color="auto"/>
        <w:left w:val="none" w:sz="0" w:space="0" w:color="auto"/>
        <w:bottom w:val="none" w:sz="0" w:space="0" w:color="auto"/>
        <w:right w:val="none" w:sz="0" w:space="0" w:color="auto"/>
      </w:divBdr>
    </w:div>
    <w:div w:id="902562680">
      <w:bodyDiv w:val="1"/>
      <w:marLeft w:val="0"/>
      <w:marRight w:val="0"/>
      <w:marTop w:val="0"/>
      <w:marBottom w:val="0"/>
      <w:divBdr>
        <w:top w:val="none" w:sz="0" w:space="0" w:color="auto"/>
        <w:left w:val="none" w:sz="0" w:space="0" w:color="auto"/>
        <w:bottom w:val="none" w:sz="0" w:space="0" w:color="auto"/>
        <w:right w:val="none" w:sz="0" w:space="0" w:color="auto"/>
      </w:divBdr>
    </w:div>
    <w:div w:id="1004043209">
      <w:bodyDiv w:val="1"/>
      <w:marLeft w:val="0"/>
      <w:marRight w:val="0"/>
      <w:marTop w:val="0"/>
      <w:marBottom w:val="0"/>
      <w:divBdr>
        <w:top w:val="none" w:sz="0" w:space="0" w:color="auto"/>
        <w:left w:val="none" w:sz="0" w:space="0" w:color="auto"/>
        <w:bottom w:val="none" w:sz="0" w:space="0" w:color="auto"/>
        <w:right w:val="none" w:sz="0" w:space="0" w:color="auto"/>
      </w:divBdr>
    </w:div>
    <w:div w:id="1004892079">
      <w:bodyDiv w:val="1"/>
      <w:marLeft w:val="0"/>
      <w:marRight w:val="0"/>
      <w:marTop w:val="0"/>
      <w:marBottom w:val="0"/>
      <w:divBdr>
        <w:top w:val="none" w:sz="0" w:space="0" w:color="auto"/>
        <w:left w:val="none" w:sz="0" w:space="0" w:color="auto"/>
        <w:bottom w:val="none" w:sz="0" w:space="0" w:color="auto"/>
        <w:right w:val="none" w:sz="0" w:space="0" w:color="auto"/>
      </w:divBdr>
    </w:div>
    <w:div w:id="1019813933">
      <w:bodyDiv w:val="1"/>
      <w:marLeft w:val="0"/>
      <w:marRight w:val="0"/>
      <w:marTop w:val="0"/>
      <w:marBottom w:val="0"/>
      <w:divBdr>
        <w:top w:val="none" w:sz="0" w:space="0" w:color="auto"/>
        <w:left w:val="none" w:sz="0" w:space="0" w:color="auto"/>
        <w:bottom w:val="none" w:sz="0" w:space="0" w:color="auto"/>
        <w:right w:val="none" w:sz="0" w:space="0" w:color="auto"/>
      </w:divBdr>
    </w:div>
    <w:div w:id="1143499105">
      <w:bodyDiv w:val="1"/>
      <w:marLeft w:val="0"/>
      <w:marRight w:val="0"/>
      <w:marTop w:val="0"/>
      <w:marBottom w:val="0"/>
      <w:divBdr>
        <w:top w:val="none" w:sz="0" w:space="0" w:color="auto"/>
        <w:left w:val="none" w:sz="0" w:space="0" w:color="auto"/>
        <w:bottom w:val="none" w:sz="0" w:space="0" w:color="auto"/>
        <w:right w:val="none" w:sz="0" w:space="0" w:color="auto"/>
      </w:divBdr>
    </w:div>
    <w:div w:id="1153908866">
      <w:bodyDiv w:val="1"/>
      <w:marLeft w:val="0"/>
      <w:marRight w:val="0"/>
      <w:marTop w:val="0"/>
      <w:marBottom w:val="0"/>
      <w:divBdr>
        <w:top w:val="none" w:sz="0" w:space="0" w:color="auto"/>
        <w:left w:val="none" w:sz="0" w:space="0" w:color="auto"/>
        <w:bottom w:val="none" w:sz="0" w:space="0" w:color="auto"/>
        <w:right w:val="none" w:sz="0" w:space="0" w:color="auto"/>
      </w:divBdr>
    </w:div>
    <w:div w:id="1165782271">
      <w:bodyDiv w:val="1"/>
      <w:marLeft w:val="0"/>
      <w:marRight w:val="0"/>
      <w:marTop w:val="0"/>
      <w:marBottom w:val="0"/>
      <w:divBdr>
        <w:top w:val="none" w:sz="0" w:space="0" w:color="auto"/>
        <w:left w:val="none" w:sz="0" w:space="0" w:color="auto"/>
        <w:bottom w:val="none" w:sz="0" w:space="0" w:color="auto"/>
        <w:right w:val="none" w:sz="0" w:space="0" w:color="auto"/>
      </w:divBdr>
    </w:div>
    <w:div w:id="1172720275">
      <w:bodyDiv w:val="1"/>
      <w:marLeft w:val="0"/>
      <w:marRight w:val="0"/>
      <w:marTop w:val="0"/>
      <w:marBottom w:val="0"/>
      <w:divBdr>
        <w:top w:val="none" w:sz="0" w:space="0" w:color="auto"/>
        <w:left w:val="none" w:sz="0" w:space="0" w:color="auto"/>
        <w:bottom w:val="none" w:sz="0" w:space="0" w:color="auto"/>
        <w:right w:val="none" w:sz="0" w:space="0" w:color="auto"/>
      </w:divBdr>
    </w:div>
    <w:div w:id="1256938925">
      <w:bodyDiv w:val="1"/>
      <w:marLeft w:val="0"/>
      <w:marRight w:val="0"/>
      <w:marTop w:val="0"/>
      <w:marBottom w:val="0"/>
      <w:divBdr>
        <w:top w:val="none" w:sz="0" w:space="0" w:color="auto"/>
        <w:left w:val="none" w:sz="0" w:space="0" w:color="auto"/>
        <w:bottom w:val="none" w:sz="0" w:space="0" w:color="auto"/>
        <w:right w:val="none" w:sz="0" w:space="0" w:color="auto"/>
      </w:divBdr>
    </w:div>
    <w:div w:id="1442919852">
      <w:bodyDiv w:val="1"/>
      <w:marLeft w:val="0"/>
      <w:marRight w:val="0"/>
      <w:marTop w:val="0"/>
      <w:marBottom w:val="0"/>
      <w:divBdr>
        <w:top w:val="none" w:sz="0" w:space="0" w:color="auto"/>
        <w:left w:val="none" w:sz="0" w:space="0" w:color="auto"/>
        <w:bottom w:val="none" w:sz="0" w:space="0" w:color="auto"/>
        <w:right w:val="none" w:sz="0" w:space="0" w:color="auto"/>
      </w:divBdr>
    </w:div>
    <w:div w:id="1448692530">
      <w:bodyDiv w:val="1"/>
      <w:marLeft w:val="0"/>
      <w:marRight w:val="0"/>
      <w:marTop w:val="0"/>
      <w:marBottom w:val="0"/>
      <w:divBdr>
        <w:top w:val="none" w:sz="0" w:space="0" w:color="auto"/>
        <w:left w:val="none" w:sz="0" w:space="0" w:color="auto"/>
        <w:bottom w:val="none" w:sz="0" w:space="0" w:color="auto"/>
        <w:right w:val="none" w:sz="0" w:space="0" w:color="auto"/>
      </w:divBdr>
    </w:div>
    <w:div w:id="1489054770">
      <w:bodyDiv w:val="1"/>
      <w:marLeft w:val="0"/>
      <w:marRight w:val="0"/>
      <w:marTop w:val="0"/>
      <w:marBottom w:val="0"/>
      <w:divBdr>
        <w:top w:val="none" w:sz="0" w:space="0" w:color="auto"/>
        <w:left w:val="none" w:sz="0" w:space="0" w:color="auto"/>
        <w:bottom w:val="none" w:sz="0" w:space="0" w:color="auto"/>
        <w:right w:val="none" w:sz="0" w:space="0" w:color="auto"/>
      </w:divBdr>
    </w:div>
    <w:div w:id="1526360033">
      <w:bodyDiv w:val="1"/>
      <w:marLeft w:val="0"/>
      <w:marRight w:val="0"/>
      <w:marTop w:val="0"/>
      <w:marBottom w:val="0"/>
      <w:divBdr>
        <w:top w:val="none" w:sz="0" w:space="0" w:color="auto"/>
        <w:left w:val="none" w:sz="0" w:space="0" w:color="auto"/>
        <w:bottom w:val="none" w:sz="0" w:space="0" w:color="auto"/>
        <w:right w:val="none" w:sz="0" w:space="0" w:color="auto"/>
      </w:divBdr>
    </w:div>
    <w:div w:id="1596866958">
      <w:bodyDiv w:val="1"/>
      <w:marLeft w:val="0"/>
      <w:marRight w:val="0"/>
      <w:marTop w:val="0"/>
      <w:marBottom w:val="0"/>
      <w:divBdr>
        <w:top w:val="none" w:sz="0" w:space="0" w:color="auto"/>
        <w:left w:val="none" w:sz="0" w:space="0" w:color="auto"/>
        <w:bottom w:val="none" w:sz="0" w:space="0" w:color="auto"/>
        <w:right w:val="none" w:sz="0" w:space="0" w:color="auto"/>
      </w:divBdr>
    </w:div>
    <w:div w:id="1698384283">
      <w:bodyDiv w:val="1"/>
      <w:marLeft w:val="0"/>
      <w:marRight w:val="0"/>
      <w:marTop w:val="0"/>
      <w:marBottom w:val="0"/>
      <w:divBdr>
        <w:top w:val="none" w:sz="0" w:space="0" w:color="auto"/>
        <w:left w:val="none" w:sz="0" w:space="0" w:color="auto"/>
        <w:bottom w:val="none" w:sz="0" w:space="0" w:color="auto"/>
        <w:right w:val="none" w:sz="0" w:space="0" w:color="auto"/>
      </w:divBdr>
    </w:div>
    <w:div w:id="1707366205">
      <w:bodyDiv w:val="1"/>
      <w:marLeft w:val="0"/>
      <w:marRight w:val="0"/>
      <w:marTop w:val="0"/>
      <w:marBottom w:val="0"/>
      <w:divBdr>
        <w:top w:val="none" w:sz="0" w:space="0" w:color="auto"/>
        <w:left w:val="none" w:sz="0" w:space="0" w:color="auto"/>
        <w:bottom w:val="none" w:sz="0" w:space="0" w:color="auto"/>
        <w:right w:val="none" w:sz="0" w:space="0" w:color="auto"/>
      </w:divBdr>
    </w:div>
    <w:div w:id="1723140734">
      <w:bodyDiv w:val="1"/>
      <w:marLeft w:val="0"/>
      <w:marRight w:val="0"/>
      <w:marTop w:val="0"/>
      <w:marBottom w:val="0"/>
      <w:divBdr>
        <w:top w:val="none" w:sz="0" w:space="0" w:color="auto"/>
        <w:left w:val="none" w:sz="0" w:space="0" w:color="auto"/>
        <w:bottom w:val="none" w:sz="0" w:space="0" w:color="auto"/>
        <w:right w:val="none" w:sz="0" w:space="0" w:color="auto"/>
      </w:divBdr>
    </w:div>
    <w:div w:id="1799103977">
      <w:bodyDiv w:val="1"/>
      <w:marLeft w:val="0"/>
      <w:marRight w:val="0"/>
      <w:marTop w:val="0"/>
      <w:marBottom w:val="0"/>
      <w:divBdr>
        <w:top w:val="none" w:sz="0" w:space="0" w:color="auto"/>
        <w:left w:val="none" w:sz="0" w:space="0" w:color="auto"/>
        <w:bottom w:val="none" w:sz="0" w:space="0" w:color="auto"/>
        <w:right w:val="none" w:sz="0" w:space="0" w:color="auto"/>
      </w:divBdr>
    </w:div>
    <w:div w:id="1823618580">
      <w:bodyDiv w:val="1"/>
      <w:marLeft w:val="0"/>
      <w:marRight w:val="0"/>
      <w:marTop w:val="0"/>
      <w:marBottom w:val="0"/>
      <w:divBdr>
        <w:top w:val="none" w:sz="0" w:space="0" w:color="auto"/>
        <w:left w:val="none" w:sz="0" w:space="0" w:color="auto"/>
        <w:bottom w:val="none" w:sz="0" w:space="0" w:color="auto"/>
        <w:right w:val="none" w:sz="0" w:space="0" w:color="auto"/>
      </w:divBdr>
    </w:div>
    <w:div w:id="1851066755">
      <w:bodyDiv w:val="1"/>
      <w:marLeft w:val="0"/>
      <w:marRight w:val="0"/>
      <w:marTop w:val="0"/>
      <w:marBottom w:val="0"/>
      <w:divBdr>
        <w:top w:val="none" w:sz="0" w:space="0" w:color="auto"/>
        <w:left w:val="none" w:sz="0" w:space="0" w:color="auto"/>
        <w:bottom w:val="none" w:sz="0" w:space="0" w:color="auto"/>
        <w:right w:val="none" w:sz="0" w:space="0" w:color="auto"/>
      </w:divBdr>
    </w:div>
    <w:div w:id="1982415939">
      <w:bodyDiv w:val="1"/>
      <w:marLeft w:val="0"/>
      <w:marRight w:val="0"/>
      <w:marTop w:val="0"/>
      <w:marBottom w:val="0"/>
      <w:divBdr>
        <w:top w:val="none" w:sz="0" w:space="0" w:color="auto"/>
        <w:left w:val="none" w:sz="0" w:space="0" w:color="auto"/>
        <w:bottom w:val="none" w:sz="0" w:space="0" w:color="auto"/>
        <w:right w:val="none" w:sz="0" w:space="0" w:color="auto"/>
      </w:divBdr>
    </w:div>
    <w:div w:id="2120905631">
      <w:bodyDiv w:val="1"/>
      <w:marLeft w:val="0"/>
      <w:marRight w:val="0"/>
      <w:marTop w:val="0"/>
      <w:marBottom w:val="0"/>
      <w:divBdr>
        <w:top w:val="none" w:sz="0" w:space="0" w:color="auto"/>
        <w:left w:val="none" w:sz="0" w:space="0" w:color="auto"/>
        <w:bottom w:val="none" w:sz="0" w:space="0" w:color="auto"/>
        <w:right w:val="none" w:sz="0" w:space="0" w:color="auto"/>
      </w:divBdr>
    </w:div>
    <w:div w:id="212415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55E1DFE844F784F970D68CE34FDEE6B" ma:contentTypeVersion="" ma:contentTypeDescription="PDMS Document Site Content Type" ma:contentTypeScope="" ma:versionID="67daf622f7935eea552e87b28cc5ae89">
  <xsd:schema xmlns:xsd="http://www.w3.org/2001/XMLSchema" xmlns:xs="http://www.w3.org/2001/XMLSchema" xmlns:p="http://schemas.microsoft.com/office/2006/metadata/properties" xmlns:ns2="AF733ACB-A47D-4A9E-9EEE-437E0E7A62BF" targetNamespace="http://schemas.microsoft.com/office/2006/metadata/properties" ma:root="true" ma:fieldsID="a7a95f00e65d8e46ab324ecf4faa6f6a" ns2:_="">
    <xsd:import namespace="AF733ACB-A47D-4A9E-9EEE-437E0E7A62B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33ACB-A47D-4A9E-9EEE-437E0E7A62B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F733ACB-A47D-4A9E-9EEE-437E0E7A62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42539-B295-48CC-BCF5-94452D0A7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33ACB-A47D-4A9E-9EEE-437E0E7A6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B979C-69FE-49CA-9B46-C5F57F0B70D0}">
  <ds:schemaRefs>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AF733ACB-A47D-4A9E-9EEE-437E0E7A62BF"/>
    <ds:schemaRef ds:uri="http://purl.org/dc/elements/1.1/"/>
  </ds:schemaRefs>
</ds:datastoreItem>
</file>

<file path=customXml/itemProps3.xml><?xml version="1.0" encoding="utf-8"?>
<ds:datastoreItem xmlns:ds="http://schemas.openxmlformats.org/officeDocument/2006/customXml" ds:itemID="{7A6EEE12-DBDB-4952-BE28-9202553678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3458</Words>
  <Characters>18984</Characters>
  <Application>Microsoft Office Word</Application>
  <DocSecurity>4</DocSecurity>
  <Lines>286</Lines>
  <Paragraphs>102</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piaoan</dc:creator>
  <cp:lastModifiedBy>dingni</cp:lastModifiedBy>
  <cp:revision>2</cp:revision>
  <dcterms:created xsi:type="dcterms:W3CDTF">2017-12-19T22:55:00Z</dcterms:created>
  <dcterms:modified xsi:type="dcterms:W3CDTF">2017-12-19T22:55:00Z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0x010100266966F133664895A6EE3632470D45F500655E1DFE844F784F970D68CE34FDEE6B</vt:lpwstr>
  </property>
</Properties>
</file>