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34AD7E03" w:rsidR="00521C09" w:rsidRPr="00E479CD" w:rsidRDefault="00E479CD" w:rsidP="00790500">
      <w:r w:rsidRPr="0087603F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AC260E" w:rsidRDefault="00E73966" w:rsidP="00790500"/>
    <w:p w14:paraId="60F25048" w14:textId="3D99DE1D" w:rsidR="00521C09" w:rsidRPr="00185261" w:rsidRDefault="00185261" w:rsidP="00521C09">
      <w:pPr>
        <w:pStyle w:val="ShortT"/>
      </w:pPr>
      <w:r w:rsidRPr="00185261">
        <w:t>Telecommunications (</w:t>
      </w:r>
      <w:r w:rsidR="00D86C85">
        <w:t>NBN Consumer Experience</w:t>
      </w:r>
      <w:r w:rsidR="00D86C85" w:rsidRPr="00185261">
        <w:t xml:space="preserve"> </w:t>
      </w:r>
      <w:r w:rsidRPr="00185261">
        <w:t>Industry Standard) Direction 2017</w:t>
      </w:r>
    </w:p>
    <w:p w14:paraId="5ED26FF0" w14:textId="77777777" w:rsidR="00E479CD" w:rsidRPr="00185261" w:rsidRDefault="00E479CD" w:rsidP="00E479CD"/>
    <w:p w14:paraId="47B5E741" w14:textId="2C6FBB32" w:rsidR="00E479CD" w:rsidRPr="00185261" w:rsidRDefault="00185261" w:rsidP="00E479CD">
      <w:pPr>
        <w:rPr>
          <w:i/>
          <w:sz w:val="28"/>
          <w:szCs w:val="26"/>
        </w:rPr>
      </w:pPr>
      <w:r w:rsidRPr="00185261">
        <w:rPr>
          <w:i/>
          <w:sz w:val="28"/>
          <w:szCs w:val="26"/>
        </w:rPr>
        <w:t>Telecommunications Act 1997</w:t>
      </w:r>
    </w:p>
    <w:p w14:paraId="4AFED304" w14:textId="77777777" w:rsidR="00521C09" w:rsidRPr="00185261" w:rsidRDefault="00521C09" w:rsidP="00521C09"/>
    <w:p w14:paraId="2CF219C5" w14:textId="77777777" w:rsidR="00E73966" w:rsidRPr="00185261" w:rsidRDefault="00E73966" w:rsidP="00521C09"/>
    <w:p w14:paraId="5ED361D2" w14:textId="13B4816E" w:rsidR="00914D92" w:rsidRPr="00185261" w:rsidRDefault="00914D92" w:rsidP="00BE2C51">
      <w:pPr>
        <w:pStyle w:val="SignCoverPageStart"/>
        <w:spacing w:before="240"/>
      </w:pPr>
      <w:r w:rsidRPr="00185261">
        <w:t xml:space="preserve">I, </w:t>
      </w:r>
      <w:r w:rsidR="007F77CD" w:rsidRPr="00185261">
        <w:t>MITCH FIFIELD</w:t>
      </w:r>
      <w:r w:rsidRPr="00185261">
        <w:t xml:space="preserve">, </w:t>
      </w:r>
      <w:r w:rsidR="00670D11" w:rsidRPr="00185261">
        <w:t>Minister for Communications</w:t>
      </w:r>
      <w:r w:rsidRPr="00185261">
        <w:t>,</w:t>
      </w:r>
      <w:r w:rsidR="00185261" w:rsidRPr="00185261">
        <w:t xml:space="preserve"> </w:t>
      </w:r>
      <w:r w:rsidR="008469E1" w:rsidRPr="00185261">
        <w:t>give</w:t>
      </w:r>
      <w:r w:rsidRPr="00185261">
        <w:t xml:space="preserve"> the following </w:t>
      </w:r>
      <w:r w:rsidR="00185261" w:rsidRPr="00185261">
        <w:t xml:space="preserve">direction under subsection </w:t>
      </w:r>
      <w:proofErr w:type="gramStart"/>
      <w:r w:rsidR="00185261" w:rsidRPr="00185261">
        <w:t>125AA(</w:t>
      </w:r>
      <w:proofErr w:type="gramEnd"/>
      <w:r w:rsidR="00185261" w:rsidRPr="00185261">
        <w:t xml:space="preserve">4) of the </w:t>
      </w:r>
      <w:r w:rsidR="00185261" w:rsidRPr="00185261">
        <w:rPr>
          <w:i/>
        </w:rPr>
        <w:t>Telecommunications Act 1997</w:t>
      </w:r>
      <w:r w:rsidRPr="00185261">
        <w:t>.</w:t>
      </w:r>
    </w:p>
    <w:p w14:paraId="6E5CAB86" w14:textId="21728A4A" w:rsidR="00914D92" w:rsidRPr="006F53B0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085ABB">
        <w:rPr>
          <w:sz w:val="24"/>
          <w:szCs w:val="24"/>
        </w:rPr>
        <w:t>Dated</w:t>
      </w:r>
      <w:r w:rsidRPr="006F53B0">
        <w:rPr>
          <w:sz w:val="24"/>
          <w:szCs w:val="24"/>
        </w:rPr>
        <w:t xml:space="preserve"> </w:t>
      </w:r>
      <w:bookmarkStart w:id="0" w:name="BKCheck15B_2"/>
      <w:bookmarkEnd w:id="0"/>
      <w:r w:rsidR="0075254D">
        <w:rPr>
          <w:sz w:val="24"/>
          <w:szCs w:val="24"/>
        </w:rPr>
        <w:t>20 Dec</w:t>
      </w:r>
      <w:bookmarkStart w:id="1" w:name="_GoBack"/>
      <w:bookmarkEnd w:id="1"/>
      <w:r w:rsidR="0075254D">
        <w:rPr>
          <w:sz w:val="24"/>
          <w:szCs w:val="24"/>
        </w:rPr>
        <w:t xml:space="preserve"> 2017</w:t>
      </w:r>
    </w:p>
    <w:p w14:paraId="742D25A5" w14:textId="1C589003" w:rsidR="00914D92" w:rsidRPr="006F53B0" w:rsidRDefault="007F77CD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>
        <w:rPr>
          <w:szCs w:val="22"/>
        </w:rPr>
        <w:t>MITCH FIFIELD</w:t>
      </w:r>
    </w:p>
    <w:p w14:paraId="030A0F6D" w14:textId="47A24FDC" w:rsidR="00914D92" w:rsidRPr="006F53B0" w:rsidRDefault="00914D92" w:rsidP="00BE2C51">
      <w:pPr>
        <w:pStyle w:val="SignCoverPageEnd"/>
      </w:pPr>
      <w:r w:rsidRPr="006F53B0">
        <w:t xml:space="preserve">Minister for </w:t>
      </w:r>
      <w:r w:rsidR="00185261" w:rsidRPr="00185261">
        <w:t>Communications</w:t>
      </w:r>
    </w:p>
    <w:p w14:paraId="4C8E9131" w14:textId="6B705606" w:rsidR="00521C09" w:rsidRPr="00F7748A" w:rsidRDefault="00521C09" w:rsidP="005142A9">
      <w:pPr>
        <w:pStyle w:val="Header"/>
        <w:keepNext w:val="0"/>
        <w:tabs>
          <w:tab w:val="clear" w:pos="4150"/>
          <w:tab w:val="clear" w:pos="8307"/>
        </w:tabs>
        <w:spacing w:line="240" w:lineRule="auto"/>
      </w:pPr>
      <w:r w:rsidRPr="000527F0">
        <w:rPr>
          <w:rStyle w:val="CharChapNo"/>
        </w:rPr>
        <w:t xml:space="preserve"> </w:t>
      </w:r>
      <w:r w:rsidRPr="000527F0">
        <w:rPr>
          <w:rStyle w:val="CharChapText"/>
        </w:rPr>
        <w:t xml:space="preserve"> </w:t>
      </w:r>
      <w:r w:rsidRPr="000527F0">
        <w:rPr>
          <w:rStyle w:val="CharPartNo"/>
        </w:rPr>
        <w:t xml:space="preserve"> </w:t>
      </w:r>
      <w:r w:rsidRPr="000527F0">
        <w:rPr>
          <w:rStyle w:val="CharPartText"/>
        </w:rPr>
        <w:t xml:space="preserve"> </w:t>
      </w:r>
      <w:r w:rsidRPr="000527F0">
        <w:rPr>
          <w:rStyle w:val="CharDivNo"/>
        </w:rPr>
        <w:t xml:space="preserve"> </w:t>
      </w:r>
      <w:r w:rsidRPr="000527F0">
        <w:rPr>
          <w:rStyle w:val="CharDivText"/>
        </w:rPr>
        <w:t xml:space="preserve"> </w:t>
      </w:r>
    </w:p>
    <w:p w14:paraId="57F3A4C2" w14:textId="460437D7" w:rsidR="000727F9" w:rsidRPr="00C00AA1" w:rsidRDefault="000727F9" w:rsidP="000727F9">
      <w:pPr>
        <w:pStyle w:val="ActHead2"/>
      </w:pPr>
      <w:bookmarkStart w:id="2" w:name="_Toc418165038"/>
      <w:bookmarkStart w:id="3" w:name="_Toc418067266"/>
      <w:bookmarkStart w:id="4" w:name="_Toc418067518"/>
      <w:bookmarkStart w:id="5" w:name="_Toc418067534"/>
      <w:bookmarkStart w:id="6" w:name="_Toc418067960"/>
      <w:r w:rsidRPr="00C00AA1">
        <w:rPr>
          <w:rStyle w:val="CharPartNo"/>
        </w:rPr>
        <w:t xml:space="preserve">Part </w:t>
      </w:r>
      <w:r w:rsidR="00C00AA1" w:rsidRPr="00C00AA1">
        <w:rPr>
          <w:rStyle w:val="CharPartNo"/>
        </w:rPr>
        <w:t>1</w:t>
      </w:r>
      <w:r w:rsidRPr="00C00AA1">
        <w:t>—</w:t>
      </w:r>
      <w:bookmarkEnd w:id="2"/>
      <w:r w:rsidR="00C00AA1" w:rsidRPr="00C00AA1">
        <w:rPr>
          <w:rStyle w:val="CharPartText"/>
        </w:rPr>
        <w:t>Introduction</w:t>
      </w:r>
    </w:p>
    <w:p w14:paraId="1464ECE1" w14:textId="7AD8B722" w:rsidR="00275065" w:rsidRPr="006F53B0" w:rsidRDefault="00275065" w:rsidP="00521C09">
      <w:pPr>
        <w:pStyle w:val="ActHead5"/>
      </w:pPr>
      <w:bookmarkStart w:id="7" w:name="_Toc418165041"/>
      <w:proofErr w:type="gramStart"/>
      <w:r w:rsidRPr="006F53B0">
        <w:rPr>
          <w:rStyle w:val="CharSectno"/>
        </w:rPr>
        <w:t>1</w:t>
      </w:r>
      <w:r w:rsidR="00521C09" w:rsidRPr="006F53B0">
        <w:t xml:space="preserve">  </w:t>
      </w:r>
      <w:r w:rsidRPr="006F53B0">
        <w:t>Name</w:t>
      </w:r>
      <w:bookmarkEnd w:id="3"/>
      <w:bookmarkEnd w:id="4"/>
      <w:bookmarkEnd w:id="5"/>
      <w:bookmarkEnd w:id="6"/>
      <w:bookmarkEnd w:id="7"/>
      <w:proofErr w:type="gramEnd"/>
    </w:p>
    <w:p w14:paraId="7EE032AD" w14:textId="52EAC9E0" w:rsidR="00160EE0" w:rsidRPr="006F53B0" w:rsidRDefault="00275065" w:rsidP="00521C09">
      <w:pPr>
        <w:pStyle w:val="subsection"/>
      </w:pPr>
      <w:r w:rsidRPr="006F53B0">
        <w:tab/>
      </w:r>
      <w:r w:rsidRPr="006F53B0">
        <w:tab/>
      </w:r>
      <w:r w:rsidRPr="006646A5">
        <w:t>This</w:t>
      </w:r>
      <w:r w:rsidR="00AC3EF3" w:rsidRPr="006646A5">
        <w:t xml:space="preserve"> </w:t>
      </w:r>
      <w:r w:rsidR="006646A5" w:rsidRPr="006646A5">
        <w:t xml:space="preserve">instrument </w:t>
      </w:r>
      <w:r w:rsidRPr="006F53B0">
        <w:t>is the</w:t>
      </w:r>
      <w:r w:rsidR="00AC3EF3">
        <w:t xml:space="preserve"> </w:t>
      </w:r>
      <w:r w:rsidR="00185261" w:rsidRPr="00185261">
        <w:rPr>
          <w:i/>
        </w:rPr>
        <w:t>Telecommunications (</w:t>
      </w:r>
      <w:r w:rsidR="00D86C85" w:rsidRPr="00A61C15">
        <w:rPr>
          <w:i/>
        </w:rPr>
        <w:t xml:space="preserve">NBN Consumer Experience </w:t>
      </w:r>
      <w:r w:rsidR="00185261" w:rsidRPr="00A61C15">
        <w:rPr>
          <w:i/>
        </w:rPr>
        <w:t>Industry Standard</w:t>
      </w:r>
      <w:r w:rsidR="00185261" w:rsidRPr="00185261">
        <w:rPr>
          <w:i/>
        </w:rPr>
        <w:t>) Direction 2017</w:t>
      </w:r>
      <w:r w:rsidR="00C47468" w:rsidRPr="00185261">
        <w:t>.</w:t>
      </w:r>
    </w:p>
    <w:p w14:paraId="2AD32C90" w14:textId="77777777" w:rsidR="00611361" w:rsidRPr="00695472" w:rsidRDefault="00611361" w:rsidP="00611361">
      <w:pPr>
        <w:pStyle w:val="ActHead5"/>
      </w:pPr>
      <w:bookmarkStart w:id="8" w:name="_Toc485208921"/>
      <w:bookmarkStart w:id="9" w:name="_Toc418067267"/>
      <w:bookmarkStart w:id="10" w:name="_Toc418067519"/>
      <w:bookmarkStart w:id="11" w:name="_Toc418067535"/>
      <w:bookmarkStart w:id="12" w:name="_Toc418067961"/>
      <w:bookmarkStart w:id="13" w:name="_Toc418165042"/>
      <w:proofErr w:type="gramStart"/>
      <w:r w:rsidRPr="00695472">
        <w:rPr>
          <w:rStyle w:val="CharSectno"/>
        </w:rPr>
        <w:t>2</w:t>
      </w:r>
      <w:r w:rsidRPr="00695472">
        <w:t xml:space="preserve">  Commencement</w:t>
      </w:r>
      <w:bookmarkEnd w:id="8"/>
      <w:proofErr w:type="gramEnd"/>
    </w:p>
    <w:p w14:paraId="79E89F02" w14:textId="72A850EC" w:rsidR="00611361" w:rsidRPr="00695472" w:rsidRDefault="00611361" w:rsidP="00185261">
      <w:pPr>
        <w:pStyle w:val="subsection"/>
      </w:pPr>
      <w:r w:rsidRPr="00695472">
        <w:tab/>
      </w:r>
      <w:r w:rsidR="00C50EEB">
        <w:tab/>
      </w:r>
      <w:r w:rsidR="00185261">
        <w:t xml:space="preserve">This </w:t>
      </w:r>
      <w:r w:rsidR="00C00AA1">
        <w:t>instrument</w:t>
      </w:r>
      <w:r w:rsidR="00185261">
        <w:t xml:space="preserve"> commences </w:t>
      </w:r>
      <w:r w:rsidR="00D86C85" w:rsidRPr="00A61C15">
        <w:t xml:space="preserve">on the </w:t>
      </w:r>
      <w:r w:rsidR="00B60584" w:rsidRPr="00A61C15">
        <w:t xml:space="preserve">day </w:t>
      </w:r>
      <w:r w:rsidR="00D86C85" w:rsidRPr="00A61C15">
        <w:t>after it is registered on the Federal Register of Legislative Instruments</w:t>
      </w:r>
      <w:r w:rsidR="00185261" w:rsidRPr="00A61C15">
        <w:t>.</w:t>
      </w:r>
    </w:p>
    <w:p w14:paraId="48234419" w14:textId="26F0B961" w:rsidR="006646A5" w:rsidRDefault="006646A5" w:rsidP="006646A5">
      <w:pPr>
        <w:pStyle w:val="ActHead5"/>
      </w:pPr>
      <w:bookmarkStart w:id="14" w:name="_Toc418067268"/>
      <w:bookmarkStart w:id="15" w:name="_Toc418067520"/>
      <w:bookmarkStart w:id="16" w:name="_Toc418067536"/>
      <w:bookmarkStart w:id="17" w:name="_Toc418067962"/>
      <w:bookmarkStart w:id="18" w:name="_Toc418165043"/>
      <w:bookmarkEnd w:id="9"/>
      <w:bookmarkEnd w:id="10"/>
      <w:bookmarkEnd w:id="11"/>
      <w:bookmarkEnd w:id="12"/>
      <w:bookmarkEnd w:id="13"/>
      <w:proofErr w:type="gramStart"/>
      <w:r w:rsidRPr="0027210B">
        <w:rPr>
          <w:rStyle w:val="CharSectno"/>
        </w:rPr>
        <w:t>3</w:t>
      </w:r>
      <w:r>
        <w:t xml:space="preserve">  Authority</w:t>
      </w:r>
      <w:proofErr w:type="gramEnd"/>
    </w:p>
    <w:p w14:paraId="3C962F87" w14:textId="68B2776B" w:rsidR="006646A5" w:rsidRPr="00E25D6E" w:rsidRDefault="006646A5" w:rsidP="006646A5">
      <w:pPr>
        <w:pStyle w:val="subsection"/>
      </w:pPr>
      <w:r>
        <w:tab/>
      </w:r>
      <w:r w:rsidRPr="00C00AA1">
        <w:tab/>
        <w:t xml:space="preserve">This instrument is made under </w:t>
      </w:r>
      <w:r w:rsidR="00185261" w:rsidRPr="00C00AA1">
        <w:t>sub</w:t>
      </w:r>
      <w:r w:rsidR="00C00AA1" w:rsidRPr="00C00AA1">
        <w:t xml:space="preserve">section </w:t>
      </w:r>
      <w:proofErr w:type="gramStart"/>
      <w:r w:rsidR="00C00AA1" w:rsidRPr="00C00AA1">
        <w:t>125AA(</w:t>
      </w:r>
      <w:proofErr w:type="gramEnd"/>
      <w:r w:rsidR="00C00AA1" w:rsidRPr="00C00AA1">
        <w:t>4)</w:t>
      </w:r>
      <w:r w:rsidRPr="00C00AA1">
        <w:t xml:space="preserve"> of the </w:t>
      </w:r>
      <w:r w:rsidR="00C00AA1" w:rsidRPr="00C00AA1">
        <w:rPr>
          <w:i/>
        </w:rPr>
        <w:t>Telecommunications Act 1997</w:t>
      </w:r>
      <w:r w:rsidRPr="00C00AA1">
        <w:t>.</w:t>
      </w:r>
    </w:p>
    <w:p w14:paraId="5313F370" w14:textId="1734204D" w:rsidR="006646A5" w:rsidRPr="00C50EEB" w:rsidRDefault="00A61C15" w:rsidP="006646A5">
      <w:pPr>
        <w:pStyle w:val="ActHead5"/>
      </w:pPr>
      <w:bookmarkStart w:id="19" w:name="_Toc418165044"/>
      <w:bookmarkStart w:id="20" w:name="_Toc454803175"/>
      <w:bookmarkEnd w:id="14"/>
      <w:bookmarkEnd w:id="15"/>
      <w:bookmarkEnd w:id="16"/>
      <w:bookmarkEnd w:id="17"/>
      <w:bookmarkEnd w:id="18"/>
      <w:proofErr w:type="gramStart"/>
      <w:r>
        <w:rPr>
          <w:rStyle w:val="CharSectno"/>
        </w:rPr>
        <w:t>4</w:t>
      </w:r>
      <w:r w:rsidRPr="006F53B0">
        <w:t xml:space="preserve">  </w:t>
      </w:r>
      <w:r w:rsidR="006646A5" w:rsidRPr="00C50EEB">
        <w:t>Definitions</w:t>
      </w:r>
      <w:bookmarkEnd w:id="19"/>
      <w:bookmarkEnd w:id="20"/>
      <w:proofErr w:type="gramEnd"/>
    </w:p>
    <w:p w14:paraId="7C7A8BE4" w14:textId="627DFB37" w:rsidR="000C5AE2" w:rsidRPr="00C50EEB" w:rsidRDefault="000C5AE2" w:rsidP="00521C09">
      <w:pPr>
        <w:pStyle w:val="subsection"/>
      </w:pPr>
      <w:r w:rsidRPr="00C50EEB">
        <w:tab/>
      </w:r>
      <w:r w:rsidRPr="00C50EEB">
        <w:tab/>
        <w:t xml:space="preserve">In this </w:t>
      </w:r>
      <w:r w:rsidR="006D2642" w:rsidRPr="00C50EEB">
        <w:t>instrument</w:t>
      </w:r>
      <w:r w:rsidRPr="00C50EEB">
        <w:t>:</w:t>
      </w:r>
    </w:p>
    <w:p w14:paraId="7EA5C0E0" w14:textId="37E53E2C" w:rsidR="00C00AA1" w:rsidRPr="00C50EEB" w:rsidRDefault="00C00AA1" w:rsidP="006646A5">
      <w:pPr>
        <w:pStyle w:val="Definition"/>
        <w:rPr>
          <w:b/>
          <w:i/>
        </w:rPr>
      </w:pPr>
      <w:bookmarkStart w:id="21" w:name="_Toc418165046"/>
      <w:r w:rsidRPr="00C50EEB">
        <w:rPr>
          <w:b/>
          <w:i/>
        </w:rPr>
        <w:t xml:space="preserve">ACMA </w:t>
      </w:r>
      <w:r w:rsidRPr="00C50EEB">
        <w:t>means the Australian Communications and Media Authority.</w:t>
      </w:r>
    </w:p>
    <w:p w14:paraId="6D71CD39" w14:textId="21AE5425" w:rsidR="004771DE" w:rsidRDefault="006646A5" w:rsidP="00C00AA1">
      <w:pPr>
        <w:pStyle w:val="Definition"/>
      </w:pPr>
      <w:r w:rsidRPr="00C50EEB">
        <w:rPr>
          <w:b/>
          <w:i/>
        </w:rPr>
        <w:lastRenderedPageBreak/>
        <w:t>Act</w:t>
      </w:r>
      <w:r w:rsidRPr="00C50EEB">
        <w:t xml:space="preserve"> means </w:t>
      </w:r>
      <w:r w:rsidR="00F25A41">
        <w:t xml:space="preserve">the </w:t>
      </w:r>
      <w:r w:rsidR="00C00AA1" w:rsidRPr="00C50EEB">
        <w:rPr>
          <w:i/>
        </w:rPr>
        <w:t>Telecommunications Act 1997</w:t>
      </w:r>
      <w:r w:rsidRPr="00C50EEB">
        <w:t>.</w:t>
      </w:r>
    </w:p>
    <w:p w14:paraId="6186A241" w14:textId="24635253" w:rsidR="004771DE" w:rsidRPr="00A04AD1" w:rsidRDefault="004771DE" w:rsidP="008F59E6">
      <w:pPr>
        <w:pStyle w:val="Definition"/>
        <w:rPr>
          <w:b/>
          <w:i/>
        </w:rPr>
      </w:pPr>
      <w:proofErr w:type="gramStart"/>
      <w:r w:rsidRPr="005106F1">
        <w:rPr>
          <w:b/>
          <w:i/>
        </w:rPr>
        <w:t>l</w:t>
      </w:r>
      <w:r w:rsidRPr="00A04AD1">
        <w:rPr>
          <w:b/>
          <w:i/>
        </w:rPr>
        <w:t>egacy</w:t>
      </w:r>
      <w:proofErr w:type="gramEnd"/>
      <w:r>
        <w:rPr>
          <w:b/>
          <w:i/>
        </w:rPr>
        <w:t xml:space="preserve"> network</w:t>
      </w:r>
      <w:r>
        <w:t xml:space="preserve"> means one or more network units used by a carriage service provider to supply a legacy service.</w:t>
      </w:r>
      <w:r>
        <w:rPr>
          <w:b/>
          <w:i/>
        </w:rPr>
        <w:t xml:space="preserve"> </w:t>
      </w:r>
    </w:p>
    <w:p w14:paraId="54EB78A3" w14:textId="7E5596C3" w:rsidR="00A04AD1" w:rsidRDefault="007E7725" w:rsidP="008F59E6">
      <w:pPr>
        <w:pStyle w:val="Definition"/>
      </w:pPr>
      <w:proofErr w:type="gramStart"/>
      <w:r>
        <w:rPr>
          <w:b/>
          <w:i/>
        </w:rPr>
        <w:t>legacy</w:t>
      </w:r>
      <w:proofErr w:type="gramEnd"/>
      <w:r>
        <w:rPr>
          <w:b/>
          <w:i/>
        </w:rPr>
        <w:t xml:space="preserve"> service</w:t>
      </w:r>
      <w:r>
        <w:t xml:space="preserve"> </w:t>
      </w:r>
      <w:r w:rsidR="00A04AD1">
        <w:t>means:</w:t>
      </w:r>
    </w:p>
    <w:p w14:paraId="10DE37FA" w14:textId="77777777" w:rsidR="005A74E3" w:rsidRDefault="00A04AD1" w:rsidP="00A04AD1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legacy service within the meaning of</w:t>
      </w:r>
      <w:r w:rsidR="007E7725">
        <w:t xml:space="preserve"> Part 4 of the </w:t>
      </w:r>
      <w:r w:rsidR="007E7725" w:rsidRPr="000D0C52">
        <w:rPr>
          <w:i/>
        </w:rPr>
        <w:t>Telecommunications Regulations 2001</w:t>
      </w:r>
      <w:r>
        <w:t>; and</w:t>
      </w:r>
    </w:p>
    <w:p w14:paraId="346AAD91" w14:textId="381639E7" w:rsidR="007E7725" w:rsidRPr="007E7725" w:rsidRDefault="00A04AD1" w:rsidP="00A04AD1">
      <w:pPr>
        <w:pStyle w:val="paragraph"/>
      </w:pPr>
      <w:r>
        <w:tab/>
        <w:t>(b)</w:t>
      </w:r>
      <w:r>
        <w:tab/>
      </w:r>
      <w:proofErr w:type="gramStart"/>
      <w:r w:rsidR="00C96F66">
        <w:t>a</w:t>
      </w:r>
      <w:proofErr w:type="gramEnd"/>
      <w:r w:rsidR="0058229D">
        <w:t xml:space="preserve"> telecommunications</w:t>
      </w:r>
      <w:r w:rsidR="00E72100">
        <w:t xml:space="preserve"> </w:t>
      </w:r>
      <w:r>
        <w:t xml:space="preserve">service supplied </w:t>
      </w:r>
      <w:r w:rsidR="000032D9">
        <w:t xml:space="preserve">using </w:t>
      </w:r>
      <w:r w:rsidR="00742838">
        <w:t xml:space="preserve">a </w:t>
      </w:r>
      <w:r w:rsidR="000032D9">
        <w:t>hybrid fibre-coaxial network</w:t>
      </w:r>
      <w:r w:rsidR="002658BD" w:rsidRPr="002658BD">
        <w:t>.</w:t>
      </w:r>
    </w:p>
    <w:p w14:paraId="4BAE5D03" w14:textId="31152D61" w:rsidR="008F59E6" w:rsidRPr="008F59E6" w:rsidRDefault="008F59E6" w:rsidP="008F59E6">
      <w:pPr>
        <w:pStyle w:val="Definition"/>
      </w:pPr>
      <w:proofErr w:type="gramStart"/>
      <w:r>
        <w:rPr>
          <w:b/>
          <w:i/>
        </w:rPr>
        <w:t>national</w:t>
      </w:r>
      <w:proofErr w:type="gramEnd"/>
      <w:r>
        <w:rPr>
          <w:b/>
          <w:i/>
        </w:rPr>
        <w:t xml:space="preserve"> broadband network</w:t>
      </w:r>
      <w:r w:rsidRPr="00ED4A99">
        <w:t xml:space="preserve"> </w:t>
      </w:r>
      <w:r>
        <w:t xml:space="preserve">has the same meaning as in the </w:t>
      </w:r>
      <w:r>
        <w:rPr>
          <w:i/>
        </w:rPr>
        <w:t>National Broadband Network Companies Act 2011</w:t>
      </w:r>
      <w:r>
        <w:t>.</w:t>
      </w:r>
    </w:p>
    <w:p w14:paraId="0E010D7D" w14:textId="553775C8" w:rsidR="008F59E6" w:rsidRDefault="008F59E6" w:rsidP="008F59E6">
      <w:pPr>
        <w:pStyle w:val="Definition"/>
      </w:pPr>
      <w:r>
        <w:rPr>
          <w:b/>
          <w:i/>
        </w:rPr>
        <w:t>NBN</w:t>
      </w:r>
      <w:r w:rsidRPr="00C50EEB">
        <w:t xml:space="preserve"> means </w:t>
      </w:r>
      <w:r>
        <w:t>the national broadband network</w:t>
      </w:r>
      <w:r w:rsidRPr="00C50EEB">
        <w:t>.</w:t>
      </w:r>
    </w:p>
    <w:p w14:paraId="2870E9C7" w14:textId="77777777" w:rsidR="006646A5" w:rsidRDefault="006646A5" w:rsidP="006646A5">
      <w:pPr>
        <w:pStyle w:val="notetext"/>
      </w:pPr>
      <w:r>
        <w:t>Note:</w:t>
      </w:r>
      <w:r>
        <w:tab/>
        <w:t>A number of expressions used in this instrument are defined in the Act, including the following:</w:t>
      </w:r>
    </w:p>
    <w:p w14:paraId="0EC552A2" w14:textId="7019A92B" w:rsidR="006646A5" w:rsidRDefault="006646A5" w:rsidP="006646A5">
      <w:pPr>
        <w:pStyle w:val="notepara"/>
      </w:pPr>
      <w:r>
        <w:t>(a)</w:t>
      </w:r>
      <w:r>
        <w:tab/>
      </w:r>
      <w:proofErr w:type="gramStart"/>
      <w:r w:rsidR="005A62BF" w:rsidRPr="005A62BF">
        <w:t>carriage</w:t>
      </w:r>
      <w:proofErr w:type="gramEnd"/>
      <w:r w:rsidR="005A62BF" w:rsidRPr="005A62BF">
        <w:t xml:space="preserve"> service provider</w:t>
      </w:r>
      <w:r>
        <w:t>;</w:t>
      </w:r>
    </w:p>
    <w:p w14:paraId="5D173371" w14:textId="77777777" w:rsidR="00373220" w:rsidRDefault="006646A5" w:rsidP="00373220">
      <w:pPr>
        <w:pStyle w:val="notepara"/>
      </w:pPr>
      <w:r>
        <w:t>(b)</w:t>
      </w:r>
      <w:r>
        <w:tab/>
      </w:r>
      <w:proofErr w:type="gramStart"/>
      <w:r w:rsidR="007E7725" w:rsidRPr="007E7725">
        <w:t>carrier</w:t>
      </w:r>
      <w:proofErr w:type="gramEnd"/>
      <w:r w:rsidR="00373220">
        <w:t>;</w:t>
      </w:r>
    </w:p>
    <w:p w14:paraId="3DB4EC8C" w14:textId="6974FBE0" w:rsidR="006474DA" w:rsidRDefault="006474DA" w:rsidP="00373220">
      <w:pPr>
        <w:pStyle w:val="notepara"/>
      </w:pPr>
      <w:r>
        <w:t>(c)</w:t>
      </w:r>
      <w:r>
        <w:tab/>
      </w:r>
      <w:proofErr w:type="gramStart"/>
      <w:r>
        <w:t>hybrid</w:t>
      </w:r>
      <w:proofErr w:type="gramEnd"/>
      <w:r>
        <w:t xml:space="preserve"> fibre-coaxial network;</w:t>
      </w:r>
    </w:p>
    <w:p w14:paraId="54BC9A6E" w14:textId="6CE834B8" w:rsidR="00F162D6" w:rsidRDefault="00373220" w:rsidP="005A74E3">
      <w:pPr>
        <w:pStyle w:val="notepara"/>
      </w:pPr>
      <w:r w:rsidRPr="0058453F">
        <w:t>(</w:t>
      </w:r>
      <w:r w:rsidR="006474DA">
        <w:t>d</w:t>
      </w:r>
      <w:r w:rsidRPr="0058453F">
        <w:t>)</w:t>
      </w:r>
      <w:r w:rsidR="004771DE">
        <w:tab/>
      </w:r>
      <w:proofErr w:type="gramStart"/>
      <w:r w:rsidR="00076729">
        <w:t>network</w:t>
      </w:r>
      <w:proofErr w:type="gramEnd"/>
      <w:r w:rsidR="00076729">
        <w:t xml:space="preserve"> unit</w:t>
      </w:r>
      <w:r w:rsidR="00582DC9">
        <w:t>;</w:t>
      </w:r>
    </w:p>
    <w:p w14:paraId="42FFD470" w14:textId="233B642B" w:rsidR="006646A5" w:rsidRPr="00076729" w:rsidRDefault="00076729" w:rsidP="00076729">
      <w:pPr>
        <w:pStyle w:val="notepara"/>
      </w:pPr>
      <w:r>
        <w:t>(</w:t>
      </w:r>
      <w:r w:rsidR="006474DA">
        <w:t>e</w:t>
      </w:r>
      <w:r>
        <w:t>)</w:t>
      </w:r>
      <w:r>
        <w:tab/>
      </w:r>
      <w:proofErr w:type="gramStart"/>
      <w:r w:rsidR="00373220" w:rsidRPr="00076729">
        <w:t>use</w:t>
      </w:r>
      <w:proofErr w:type="gramEnd"/>
      <w:r w:rsidR="006646A5" w:rsidRPr="00076729">
        <w:t>.</w:t>
      </w:r>
    </w:p>
    <w:p w14:paraId="6DB27AEE" w14:textId="1E1A38DC" w:rsidR="006D2642" w:rsidRDefault="006D2642" w:rsidP="006D2642">
      <w:pPr>
        <w:pStyle w:val="ActHead2"/>
        <w:rPr>
          <w:rStyle w:val="CharPartText"/>
        </w:rPr>
      </w:pPr>
      <w:r w:rsidRPr="00C50EEB">
        <w:rPr>
          <w:rStyle w:val="CharPartNo"/>
        </w:rPr>
        <w:t xml:space="preserve">Part </w:t>
      </w:r>
      <w:r w:rsidR="00460549" w:rsidRPr="00C50EEB">
        <w:rPr>
          <w:rStyle w:val="CharPartNo"/>
        </w:rPr>
        <w:t>2</w:t>
      </w:r>
      <w:r w:rsidRPr="00C50EEB">
        <w:t>—</w:t>
      </w:r>
      <w:r w:rsidR="00C50EEB">
        <w:rPr>
          <w:rStyle w:val="CharPartText"/>
        </w:rPr>
        <w:t>Direction to the ACMA</w:t>
      </w:r>
    </w:p>
    <w:p w14:paraId="20198687" w14:textId="6F040D23" w:rsidR="00C50EEB" w:rsidRPr="00F162D6" w:rsidRDefault="00C50EEB" w:rsidP="00C50EEB">
      <w:pPr>
        <w:pStyle w:val="ActHead3"/>
        <w:rPr>
          <w:rStyle w:val="CharDivNo"/>
        </w:rPr>
      </w:pPr>
      <w:r w:rsidRPr="000727F9">
        <w:rPr>
          <w:rStyle w:val="CharDivNo"/>
        </w:rPr>
        <w:t xml:space="preserve">Division </w:t>
      </w:r>
      <w:r w:rsidRPr="00C50EEB">
        <w:rPr>
          <w:rStyle w:val="CharDivNo"/>
        </w:rPr>
        <w:t>1</w:t>
      </w:r>
      <w:r w:rsidRPr="00F162D6">
        <w:rPr>
          <w:rStyle w:val="CharDivNo"/>
        </w:rPr>
        <w:t>—</w:t>
      </w:r>
      <w:r w:rsidR="00D86C85" w:rsidRPr="00F162D6">
        <w:rPr>
          <w:rStyle w:val="CharDivNo"/>
        </w:rPr>
        <w:t>Direction</w:t>
      </w:r>
    </w:p>
    <w:p w14:paraId="7071E43E" w14:textId="5C4E0D7E" w:rsidR="006D2642" w:rsidRPr="006D2642" w:rsidRDefault="006D2642" w:rsidP="006D2642">
      <w:pPr>
        <w:pStyle w:val="Header"/>
      </w:pPr>
      <w:r w:rsidRPr="006D2642">
        <w:rPr>
          <w:rStyle w:val="CharDivNo"/>
        </w:rPr>
        <w:t xml:space="preserve"> </w:t>
      </w:r>
      <w:r w:rsidRPr="006D2642">
        <w:rPr>
          <w:rStyle w:val="CharDivText"/>
        </w:rPr>
        <w:t xml:space="preserve"> </w:t>
      </w:r>
    </w:p>
    <w:bookmarkEnd w:id="21"/>
    <w:p w14:paraId="074A25CD" w14:textId="1ED51E78" w:rsidR="006646A5" w:rsidRPr="00EE6C5D" w:rsidRDefault="00A61C15" w:rsidP="00EE6C5D">
      <w:pPr>
        <w:pStyle w:val="ActHead5"/>
        <w:ind w:left="0" w:firstLine="0"/>
      </w:pPr>
      <w:proofErr w:type="gramStart"/>
      <w:r>
        <w:rPr>
          <w:rStyle w:val="CharSectno"/>
        </w:rPr>
        <w:t>5</w:t>
      </w:r>
      <w:r w:rsidRPr="00EE6C5D">
        <w:t xml:space="preserve">  </w:t>
      </w:r>
      <w:r w:rsidR="00EE6C5D" w:rsidRPr="00EE6C5D">
        <w:t>Direction</w:t>
      </w:r>
      <w:proofErr w:type="gramEnd"/>
      <w:r w:rsidR="00D86C85">
        <w:t xml:space="preserve"> on industry standard</w:t>
      </w:r>
    </w:p>
    <w:p w14:paraId="5188E6F6" w14:textId="4FD66BA1" w:rsidR="00FF489C" w:rsidRDefault="00A7669F" w:rsidP="005F21F6">
      <w:pPr>
        <w:pStyle w:val="subsection"/>
      </w:pPr>
      <w:r>
        <w:tab/>
        <w:t>(1)</w:t>
      </w:r>
      <w:r>
        <w:tab/>
      </w:r>
      <w:r w:rsidR="00EE6C5D">
        <w:t xml:space="preserve">I direct the ACMA to </w:t>
      </w:r>
      <w:r w:rsidR="005F56FB">
        <w:t>determine</w:t>
      </w:r>
      <w:r w:rsidR="00EE6C5D">
        <w:t xml:space="preserve"> an industry standard under subsection </w:t>
      </w:r>
      <w:proofErr w:type="gramStart"/>
      <w:r w:rsidR="00EE6C5D">
        <w:t>125AA(</w:t>
      </w:r>
      <w:proofErr w:type="gramEnd"/>
      <w:r w:rsidR="00EE6C5D">
        <w:t>1) of the Act that</w:t>
      </w:r>
      <w:r w:rsidR="003479EF">
        <w:t xml:space="preserve"> </w:t>
      </w:r>
      <w:r w:rsidR="00F557E1">
        <w:t xml:space="preserve">complies </w:t>
      </w:r>
      <w:r w:rsidR="003479EF">
        <w:t>with Divisions 2, 3 and 4</w:t>
      </w:r>
      <w:r w:rsidR="00D86C85">
        <w:t xml:space="preserve"> of </w:t>
      </w:r>
      <w:r w:rsidR="0088774D">
        <w:t xml:space="preserve">this </w:t>
      </w:r>
      <w:r w:rsidR="00573890">
        <w:t>Part</w:t>
      </w:r>
      <w:r w:rsidR="0088774D">
        <w:t>.</w:t>
      </w:r>
    </w:p>
    <w:p w14:paraId="42A4BDB6" w14:textId="5F49BAFF" w:rsidR="008F59E6" w:rsidRDefault="00FE7264" w:rsidP="00FE7264">
      <w:pPr>
        <w:pStyle w:val="notetext"/>
      </w:pPr>
      <w:r>
        <w:t>Note:</w:t>
      </w:r>
      <w:r>
        <w:tab/>
        <w:t xml:space="preserve">The ACMA may comply with this subsection by determining one or more industry standards: see paragraph 23(b) of the </w:t>
      </w:r>
      <w:r>
        <w:rPr>
          <w:i/>
        </w:rPr>
        <w:t>Acts Interpretation Act 1901</w:t>
      </w:r>
      <w:r>
        <w:t>.</w:t>
      </w:r>
      <w:r w:rsidR="00573890">
        <w:t xml:space="preserve"> </w:t>
      </w:r>
    </w:p>
    <w:p w14:paraId="00BF20AD" w14:textId="0DFEB248" w:rsidR="00930B61" w:rsidRDefault="00930B61" w:rsidP="00930B61">
      <w:pPr>
        <w:pStyle w:val="subsection"/>
      </w:pPr>
      <w:r>
        <w:tab/>
        <w:t>(2)</w:t>
      </w:r>
      <w:r>
        <w:tab/>
      </w:r>
      <w:r w:rsidR="00D86C85">
        <w:t xml:space="preserve">An </w:t>
      </w:r>
      <w:r w:rsidR="008F59E6">
        <w:t xml:space="preserve">industry standard </w:t>
      </w:r>
      <w:r w:rsidR="00DC6704">
        <w:t xml:space="preserve">referred to in subsection </w:t>
      </w:r>
      <w:r>
        <w:t>(1) is:</w:t>
      </w:r>
    </w:p>
    <w:p w14:paraId="5F4EDDB6" w14:textId="0988E2E2" w:rsidR="00930B61" w:rsidRDefault="00930B61" w:rsidP="00930B61">
      <w:pPr>
        <w:pStyle w:val="paragraph"/>
      </w:pPr>
      <w:r>
        <w:tab/>
        <w:t>(a)</w:t>
      </w:r>
      <w:r>
        <w:tab/>
      </w:r>
      <w:proofErr w:type="gramStart"/>
      <w:r>
        <w:t>to</w:t>
      </w:r>
      <w:proofErr w:type="gramEnd"/>
      <w:r>
        <w:t xml:space="preserve"> be </w:t>
      </w:r>
      <w:r w:rsidR="00533BEA">
        <w:t xml:space="preserve">determined </w:t>
      </w:r>
      <w:r>
        <w:t>no later than six months after the commencement of this direction; and</w:t>
      </w:r>
    </w:p>
    <w:p w14:paraId="0A9F1AA1" w14:textId="590DC421" w:rsidR="00454997" w:rsidRDefault="00930B61" w:rsidP="00454997">
      <w:pPr>
        <w:pStyle w:val="paragraph"/>
      </w:pPr>
      <w:r>
        <w:tab/>
        <w:t>(b)</w:t>
      </w:r>
      <w:r>
        <w:tab/>
      </w:r>
      <w:proofErr w:type="gramStart"/>
      <w:r>
        <w:t>to</w:t>
      </w:r>
      <w:proofErr w:type="gramEnd"/>
      <w:r>
        <w:t xml:space="preserve"> commence in whole or in part no later than three months after it is made.</w:t>
      </w:r>
    </w:p>
    <w:p w14:paraId="0D866B0D" w14:textId="74F032FC" w:rsidR="004E2BAA" w:rsidRDefault="009E7AEF" w:rsidP="004E2BAA">
      <w:pPr>
        <w:pStyle w:val="subsection"/>
      </w:pPr>
      <w:r>
        <w:tab/>
      </w:r>
      <w:r w:rsidR="004E2BAA">
        <w:t>(3)</w:t>
      </w:r>
      <w:r w:rsidR="004E2BAA">
        <w:tab/>
        <w:t xml:space="preserve">In determining </w:t>
      </w:r>
      <w:r w:rsidR="00085ABB">
        <w:t>a</w:t>
      </w:r>
      <w:r w:rsidR="004E2BAA">
        <w:t>n industry standard for the purposes of subsection (1), I direct the ACMA to consider conferring functions and powers on the Telecommunications Industry Ombudsman.</w:t>
      </w:r>
    </w:p>
    <w:p w14:paraId="78C58BDE" w14:textId="77777777" w:rsidR="004E2BAA" w:rsidRDefault="004E2BAA" w:rsidP="004E2BAA">
      <w:pPr>
        <w:pStyle w:val="notetext"/>
      </w:pPr>
      <w:r>
        <w:t xml:space="preserve">Note: </w:t>
      </w:r>
      <w:r>
        <w:tab/>
        <w:t>If the Telecommunications Industry Ombudsman consents, an industry standard may confer functions and powers on the Telecommunications Industry Ombudsman: see section 114 of the Act.</w:t>
      </w:r>
    </w:p>
    <w:p w14:paraId="182A8A5E" w14:textId="79D1C170" w:rsidR="009E7AEF" w:rsidRDefault="00454997" w:rsidP="009E7AEF">
      <w:pPr>
        <w:pStyle w:val="subsection"/>
      </w:pPr>
      <w:r>
        <w:tab/>
        <w:t>(4)</w:t>
      </w:r>
      <w:r>
        <w:tab/>
        <w:t xml:space="preserve"> </w:t>
      </w:r>
      <w:r w:rsidR="009E7AEF" w:rsidRPr="00874617">
        <w:t>I</w:t>
      </w:r>
      <w:r w:rsidR="009E7AEF">
        <w:t xml:space="preserve"> direct the ACMA to vary an industry standard</w:t>
      </w:r>
      <w:r w:rsidR="0088774D">
        <w:t xml:space="preserve"> made under this Part</w:t>
      </w:r>
      <w:r w:rsidR="00B27470">
        <w:t>,</w:t>
      </w:r>
      <w:r w:rsidR="009E7AEF">
        <w:t xml:space="preserve"> as </w:t>
      </w:r>
      <w:r w:rsidR="00B27470">
        <w:t xml:space="preserve">it considers </w:t>
      </w:r>
      <w:r w:rsidR="009E7AEF">
        <w:t>necessary from time to time</w:t>
      </w:r>
      <w:r w:rsidR="0058229D">
        <w:t>,</w:t>
      </w:r>
      <w:r w:rsidR="0088774D">
        <w:t xml:space="preserve"> </w:t>
      </w:r>
      <w:r w:rsidR="0088774D" w:rsidRPr="00C10DF2">
        <w:t>in a like manner and subject to like conditions specified in subsection (1)</w:t>
      </w:r>
      <w:r w:rsidR="00874617" w:rsidRPr="00C10DF2">
        <w:t>.</w:t>
      </w:r>
    </w:p>
    <w:p w14:paraId="46E91691" w14:textId="4FD5E747" w:rsidR="00DC6704" w:rsidRDefault="005F56FB" w:rsidP="005F21F6">
      <w:pPr>
        <w:pStyle w:val="notetext"/>
      </w:pPr>
      <w:r w:rsidRPr="00EE6C5D">
        <w:lastRenderedPageBreak/>
        <w:t>Note:</w:t>
      </w:r>
      <w:r w:rsidR="00874617">
        <w:tab/>
        <w:t>The power to make an</w:t>
      </w:r>
      <w:r w:rsidR="00D86C85">
        <w:t xml:space="preserve"> industry standard determined under subsection </w:t>
      </w:r>
      <w:proofErr w:type="gramStart"/>
      <w:r w:rsidR="00D86C85">
        <w:t>125AA(</w:t>
      </w:r>
      <w:proofErr w:type="gramEnd"/>
      <w:r w:rsidR="00D86C85">
        <w:t xml:space="preserve">1) </w:t>
      </w:r>
      <w:r w:rsidR="00874617">
        <w:t>includes the power to vary that standard in a like manner</w:t>
      </w:r>
      <w:r w:rsidR="00D86C85">
        <w:t xml:space="preserve">: see </w:t>
      </w:r>
      <w:r w:rsidR="00F176C5">
        <w:t xml:space="preserve">subsection 33(3) of the </w:t>
      </w:r>
      <w:r w:rsidR="00F176C5" w:rsidRPr="005C1F97">
        <w:rPr>
          <w:i/>
        </w:rPr>
        <w:t>Acts Interpretation Act 1901</w:t>
      </w:r>
      <w:r w:rsidR="00F176C5">
        <w:t>.</w:t>
      </w:r>
    </w:p>
    <w:p w14:paraId="54C1E6C6" w14:textId="5807F2FC" w:rsidR="00C50EEB" w:rsidRDefault="00C50EEB" w:rsidP="00EE6C5D">
      <w:pPr>
        <w:pStyle w:val="ActHead3"/>
        <w:rPr>
          <w:rStyle w:val="CharDivNo"/>
        </w:rPr>
      </w:pPr>
      <w:r w:rsidRPr="000727F9">
        <w:rPr>
          <w:rStyle w:val="CharDivNo"/>
        </w:rPr>
        <w:t xml:space="preserve">Division </w:t>
      </w:r>
      <w:r>
        <w:rPr>
          <w:rStyle w:val="CharDivNo"/>
        </w:rPr>
        <w:t>2</w:t>
      </w:r>
      <w:r w:rsidRPr="00EE6C5D">
        <w:rPr>
          <w:rStyle w:val="CharDivNo"/>
        </w:rPr>
        <w:t>—</w:t>
      </w:r>
      <w:r w:rsidR="00F176C5">
        <w:rPr>
          <w:rStyle w:val="CharDivNo"/>
        </w:rPr>
        <w:t xml:space="preserve">Industry standard relating to provision of information </w:t>
      </w:r>
      <w:r w:rsidR="0088774D">
        <w:rPr>
          <w:rStyle w:val="CharDivNo"/>
        </w:rPr>
        <w:t xml:space="preserve">and advice </w:t>
      </w:r>
      <w:r w:rsidR="00F176C5">
        <w:rPr>
          <w:rStyle w:val="CharDivNo"/>
        </w:rPr>
        <w:t>by carriage service providers</w:t>
      </w:r>
    </w:p>
    <w:p w14:paraId="0B853FDD" w14:textId="77777777" w:rsidR="008F59E6" w:rsidRDefault="008F59E6" w:rsidP="008F59E6">
      <w:pPr>
        <w:pStyle w:val="Header"/>
        <w:rPr>
          <w:rStyle w:val="CharDivText"/>
        </w:rPr>
      </w:pPr>
      <w:r w:rsidRPr="006D2642">
        <w:rPr>
          <w:rStyle w:val="CharDivNo"/>
        </w:rPr>
        <w:t xml:space="preserve"> </w:t>
      </w:r>
      <w:r w:rsidRPr="006D2642">
        <w:rPr>
          <w:rStyle w:val="CharDivText"/>
        </w:rPr>
        <w:t xml:space="preserve"> </w:t>
      </w:r>
    </w:p>
    <w:p w14:paraId="217E37DA" w14:textId="6C6FF816" w:rsidR="005A62BF" w:rsidRPr="00EE6C5D" w:rsidRDefault="00A61C15" w:rsidP="005A62BF">
      <w:pPr>
        <w:pStyle w:val="ActHead5"/>
        <w:ind w:left="0" w:firstLine="0"/>
      </w:pPr>
      <w:proofErr w:type="gramStart"/>
      <w:r>
        <w:rPr>
          <w:rStyle w:val="CharSectno"/>
        </w:rPr>
        <w:t>6</w:t>
      </w:r>
      <w:r w:rsidRPr="00EE6C5D">
        <w:t xml:space="preserve">  </w:t>
      </w:r>
      <w:r w:rsidR="00FE5A6B">
        <w:t>Standard</w:t>
      </w:r>
      <w:proofErr w:type="gramEnd"/>
      <w:r w:rsidR="00FE5A6B">
        <w:t xml:space="preserve"> on c</w:t>
      </w:r>
      <w:r w:rsidR="008D496D">
        <w:t>onsumer information</w:t>
      </w:r>
    </w:p>
    <w:p w14:paraId="4060FD59" w14:textId="77777777" w:rsidR="00F176C5" w:rsidRDefault="005A62BF" w:rsidP="00F176C5">
      <w:pPr>
        <w:pStyle w:val="subsection"/>
      </w:pPr>
      <w:r>
        <w:tab/>
      </w:r>
      <w:r w:rsidR="00F176C5">
        <w:t>(1)</w:t>
      </w:r>
      <w:r w:rsidR="00F176C5">
        <w:tab/>
        <w:t>The ACMA must determine an industry standard that:</w:t>
      </w:r>
    </w:p>
    <w:p w14:paraId="00818A84" w14:textId="77777777" w:rsidR="008D496D" w:rsidRDefault="00F176C5" w:rsidP="005F21F6">
      <w:pPr>
        <w:pStyle w:val="paragraph"/>
      </w:pPr>
      <w:r>
        <w:tab/>
        <w:t>(a)</w:t>
      </w:r>
      <w:r w:rsidRPr="00EE6C5D">
        <w:tab/>
      </w:r>
      <w:proofErr w:type="gramStart"/>
      <w:r>
        <w:t>applies</w:t>
      </w:r>
      <w:proofErr w:type="gramEnd"/>
      <w:r>
        <w:t xml:space="preserve"> to carriage service providers in relation to services supplied by those providers using the NBN; and</w:t>
      </w:r>
      <w:r w:rsidR="008D496D">
        <w:t xml:space="preserve"> </w:t>
      </w:r>
    </w:p>
    <w:p w14:paraId="0B09EA51" w14:textId="1C966867" w:rsidR="008D496D" w:rsidRPr="00EE6C5D" w:rsidRDefault="008D496D" w:rsidP="006901B1">
      <w:pPr>
        <w:pStyle w:val="paragraph"/>
      </w:pPr>
      <w:r>
        <w:tab/>
      </w:r>
      <w:r w:rsidR="005C1F97">
        <w:t>(b)</w:t>
      </w:r>
      <w:r w:rsidR="005C1F97">
        <w:tab/>
      </w:r>
      <w:proofErr w:type="gramStart"/>
      <w:r>
        <w:t>deals</w:t>
      </w:r>
      <w:proofErr w:type="gramEnd"/>
      <w:r>
        <w:t xml:space="preserve"> with </w:t>
      </w:r>
      <w:r w:rsidR="00816848">
        <w:t>information</w:t>
      </w:r>
      <w:r w:rsidR="0088774D">
        <w:t xml:space="preserve"> and advice</w:t>
      </w:r>
      <w:r w:rsidR="00816848">
        <w:t xml:space="preserve"> that carriage service providers should provide or make available to consumers to help</w:t>
      </w:r>
      <w:r>
        <w:t xml:space="preserve"> consumers make informed decisions about NBN</w:t>
      </w:r>
      <w:r w:rsidR="00BF1D85">
        <w:t xml:space="preserve"> </w:t>
      </w:r>
      <w:r w:rsidR="00573890">
        <w:t xml:space="preserve">services </w:t>
      </w:r>
      <w:r>
        <w:t>prior to entering a contract with a carriage service provider for the supply of those services.</w:t>
      </w:r>
    </w:p>
    <w:p w14:paraId="1E52D742" w14:textId="2C3EFE0E" w:rsidR="008D496D" w:rsidRPr="00EE6C5D" w:rsidRDefault="008D496D" w:rsidP="008D496D">
      <w:pPr>
        <w:pStyle w:val="subsection"/>
      </w:pPr>
      <w:r>
        <w:tab/>
        <w:t>(2)</w:t>
      </w:r>
      <w:r>
        <w:tab/>
        <w:t xml:space="preserve">Without limiting paragraph </w:t>
      </w:r>
      <w:r w:rsidR="00A61C15">
        <w:t>6</w:t>
      </w:r>
      <w:r>
        <w:t>(1</w:t>
      </w:r>
      <w:proofErr w:type="gramStart"/>
      <w:r>
        <w:t>)(</w:t>
      </w:r>
      <w:proofErr w:type="gramEnd"/>
      <w:r>
        <w:t xml:space="preserve">b), an industry standard must deal with: </w:t>
      </w:r>
    </w:p>
    <w:p w14:paraId="66A5EDEC" w14:textId="150038B9" w:rsidR="00F176C5" w:rsidRDefault="006901B1" w:rsidP="00F162D6">
      <w:pPr>
        <w:pStyle w:val="paragraph"/>
      </w:pPr>
      <w:r>
        <w:tab/>
        <w:t>(a)</w:t>
      </w:r>
      <w:r>
        <w:tab/>
      </w:r>
      <w:proofErr w:type="gramStart"/>
      <w:r w:rsidR="008D496D">
        <w:t>minimum</w:t>
      </w:r>
      <w:proofErr w:type="gramEnd"/>
      <w:r w:rsidR="008D496D">
        <w:t xml:space="preserve"> </w:t>
      </w:r>
      <w:r w:rsidR="00F176C5">
        <w:t>requirements for information</w:t>
      </w:r>
      <w:r w:rsidR="008D496D">
        <w:t xml:space="preserve"> and advice</w:t>
      </w:r>
      <w:r w:rsidR="00F176C5">
        <w:t xml:space="preserve"> to be provided to consumers about services s</w:t>
      </w:r>
      <w:r w:rsidR="008D496D">
        <w:t xml:space="preserve">upplied </w:t>
      </w:r>
      <w:r w:rsidR="00FA70BB">
        <w:t>using</w:t>
      </w:r>
      <w:r w:rsidR="008D496D">
        <w:t xml:space="preserve"> the NBN</w:t>
      </w:r>
      <w:r w:rsidR="00BF1D85">
        <w:t>;</w:t>
      </w:r>
    </w:p>
    <w:p w14:paraId="5183ABF9" w14:textId="2518E175" w:rsidR="008D496D" w:rsidRDefault="006901B1" w:rsidP="006901B1">
      <w:pPr>
        <w:pStyle w:val="paragraph"/>
      </w:pPr>
      <w:r>
        <w:tab/>
        <w:t>(b)</w:t>
      </w:r>
      <w:r>
        <w:tab/>
      </w:r>
      <w:proofErr w:type="gramStart"/>
      <w:r w:rsidR="00435732">
        <w:t>requirements</w:t>
      </w:r>
      <w:proofErr w:type="gramEnd"/>
      <w:r w:rsidR="00435732">
        <w:t xml:space="preserve"> in relation to </w:t>
      </w:r>
      <w:r w:rsidR="008D496D">
        <w:t>when the information and advice about the services is to be provided; and</w:t>
      </w:r>
    </w:p>
    <w:p w14:paraId="512FF635" w14:textId="62DE75B3" w:rsidR="00DF7E46" w:rsidRDefault="006901B1" w:rsidP="00F162D6">
      <w:pPr>
        <w:pStyle w:val="paragraph"/>
      </w:pPr>
      <w:r>
        <w:tab/>
        <w:t>(c)</w:t>
      </w:r>
      <w:r>
        <w:tab/>
      </w:r>
      <w:proofErr w:type="gramStart"/>
      <w:r w:rsidR="00435732">
        <w:t>requirements</w:t>
      </w:r>
      <w:proofErr w:type="gramEnd"/>
      <w:r w:rsidR="00435732">
        <w:t xml:space="preserve"> in relation to </w:t>
      </w:r>
      <w:r w:rsidR="008D496D">
        <w:t>the manner in which that information or advice is to be provided.</w:t>
      </w:r>
    </w:p>
    <w:p w14:paraId="45B0F309" w14:textId="3DA43D4C" w:rsidR="003479EF" w:rsidRDefault="003479EF" w:rsidP="003479EF">
      <w:pPr>
        <w:pStyle w:val="ActHead3"/>
        <w:rPr>
          <w:rStyle w:val="CharDivNo"/>
        </w:rPr>
      </w:pPr>
      <w:r w:rsidRPr="000727F9">
        <w:rPr>
          <w:rStyle w:val="CharDivNo"/>
        </w:rPr>
        <w:t xml:space="preserve">Division </w:t>
      </w:r>
      <w:r>
        <w:rPr>
          <w:rStyle w:val="CharDivNo"/>
        </w:rPr>
        <w:t>3</w:t>
      </w:r>
      <w:r w:rsidRPr="00EE6C5D">
        <w:rPr>
          <w:rStyle w:val="CharDivNo"/>
        </w:rPr>
        <w:t>—</w:t>
      </w:r>
      <w:r>
        <w:rPr>
          <w:rStyle w:val="CharDivNo"/>
        </w:rPr>
        <w:t>Industry standard relating to continuity of voice and broadband services</w:t>
      </w:r>
    </w:p>
    <w:p w14:paraId="5E4C42A9" w14:textId="77777777" w:rsidR="00874617" w:rsidRDefault="00874617" w:rsidP="00874617">
      <w:pPr>
        <w:pStyle w:val="Header"/>
        <w:rPr>
          <w:rStyle w:val="CharDivText"/>
        </w:rPr>
      </w:pPr>
      <w:r w:rsidRPr="006D2642">
        <w:rPr>
          <w:rStyle w:val="CharDivNo"/>
        </w:rPr>
        <w:t xml:space="preserve"> </w:t>
      </w:r>
      <w:r w:rsidRPr="006D2642">
        <w:rPr>
          <w:rStyle w:val="CharDivText"/>
        </w:rPr>
        <w:t xml:space="preserve"> </w:t>
      </w:r>
    </w:p>
    <w:p w14:paraId="40800C45" w14:textId="404205A4" w:rsidR="005A62BF" w:rsidRPr="00EE6C5D" w:rsidRDefault="00A61C15" w:rsidP="005A62BF">
      <w:pPr>
        <w:pStyle w:val="ActHead5"/>
        <w:ind w:left="0" w:firstLine="0"/>
      </w:pPr>
      <w:proofErr w:type="gramStart"/>
      <w:r>
        <w:rPr>
          <w:rStyle w:val="CharSectno"/>
        </w:rPr>
        <w:t>7</w:t>
      </w:r>
      <w:r w:rsidRPr="00EE6C5D">
        <w:t xml:space="preserve">  </w:t>
      </w:r>
      <w:r w:rsidR="00FE5A6B">
        <w:t>Standard</w:t>
      </w:r>
      <w:proofErr w:type="gramEnd"/>
      <w:r w:rsidR="00FE5A6B">
        <w:t xml:space="preserve"> on </w:t>
      </w:r>
      <w:r w:rsidR="0088774D">
        <w:t xml:space="preserve">promoting </w:t>
      </w:r>
      <w:r w:rsidR="003479EF">
        <w:t>continuity of voice and broadband services</w:t>
      </w:r>
    </w:p>
    <w:p w14:paraId="5B61CBBD" w14:textId="2CAEE1C6" w:rsidR="003479EF" w:rsidRDefault="006901B1">
      <w:pPr>
        <w:pStyle w:val="subsection"/>
      </w:pPr>
      <w:r>
        <w:tab/>
        <w:t>(1)</w:t>
      </w:r>
      <w:r>
        <w:tab/>
      </w:r>
      <w:r w:rsidR="004A741E">
        <w:t>The ACMA must</w:t>
      </w:r>
      <w:r w:rsidR="003479EF">
        <w:t xml:space="preserve"> determine an industry standard that:</w:t>
      </w:r>
    </w:p>
    <w:p w14:paraId="51D1EB6C" w14:textId="2CE53696" w:rsidR="003479EF" w:rsidRDefault="003479EF" w:rsidP="003479EF">
      <w:pPr>
        <w:pStyle w:val="paragraph"/>
      </w:pPr>
      <w:r>
        <w:tab/>
        <w:t>(a)</w:t>
      </w:r>
      <w:r>
        <w:tab/>
      </w:r>
      <w:proofErr w:type="gramStart"/>
      <w:r>
        <w:t>applies</w:t>
      </w:r>
      <w:proofErr w:type="gramEnd"/>
      <w:r>
        <w:t xml:space="preserve"> to</w:t>
      </w:r>
      <w:r w:rsidR="005C1F97">
        <w:t xml:space="preserve"> all of</w:t>
      </w:r>
      <w:r>
        <w:t xml:space="preserve"> the following:</w:t>
      </w:r>
    </w:p>
    <w:p w14:paraId="7D417F4C" w14:textId="18BDDC03" w:rsidR="003479EF" w:rsidRDefault="003479EF" w:rsidP="003479EF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carriage</w:t>
      </w:r>
      <w:proofErr w:type="gramEnd"/>
      <w:r>
        <w:t xml:space="preserve"> service providers in relation to </w:t>
      </w:r>
      <w:r w:rsidR="004A741E">
        <w:t xml:space="preserve">the </w:t>
      </w:r>
      <w:r>
        <w:t xml:space="preserve">services </w:t>
      </w:r>
      <w:r w:rsidR="004A741E">
        <w:t>they</w:t>
      </w:r>
      <w:r w:rsidR="00816848">
        <w:t xml:space="preserve"> supply</w:t>
      </w:r>
      <w:r>
        <w:t xml:space="preserve"> using a legacy </w:t>
      </w:r>
      <w:r w:rsidR="00BB6BF2">
        <w:t>network</w:t>
      </w:r>
      <w:r>
        <w:t>;</w:t>
      </w:r>
    </w:p>
    <w:p w14:paraId="54BD8A7B" w14:textId="09C6252B" w:rsidR="003479EF" w:rsidRDefault="003479EF" w:rsidP="003479EF">
      <w:pPr>
        <w:pStyle w:val="paragraphsub"/>
      </w:pPr>
      <w:r>
        <w:tab/>
        <w:t>(ii)</w:t>
      </w:r>
      <w:r>
        <w:tab/>
      </w:r>
      <w:proofErr w:type="gramStart"/>
      <w:r>
        <w:t>carriage</w:t>
      </w:r>
      <w:proofErr w:type="gramEnd"/>
      <w:r>
        <w:t xml:space="preserve"> service providers in relation to the services </w:t>
      </w:r>
      <w:r w:rsidR="004A741E">
        <w:t>the</w:t>
      </w:r>
      <w:r w:rsidR="00467C5F">
        <w:t>y</w:t>
      </w:r>
      <w:r w:rsidR="004A741E">
        <w:t xml:space="preserve"> </w:t>
      </w:r>
      <w:r w:rsidR="00816848">
        <w:t xml:space="preserve">supply </w:t>
      </w:r>
      <w:r>
        <w:t>using the NBN;</w:t>
      </w:r>
    </w:p>
    <w:p w14:paraId="067684E7" w14:textId="118CA5AF" w:rsidR="003479EF" w:rsidRDefault="003479EF" w:rsidP="003479EF">
      <w:pPr>
        <w:pStyle w:val="paragraphsub"/>
      </w:pPr>
      <w:r>
        <w:tab/>
        <w:t>(iii)</w:t>
      </w:r>
      <w:r>
        <w:tab/>
      </w:r>
      <w:proofErr w:type="gramStart"/>
      <w:r>
        <w:t>carriers</w:t>
      </w:r>
      <w:proofErr w:type="gramEnd"/>
      <w:r>
        <w:t xml:space="preserve"> to the extent that those carriers </w:t>
      </w:r>
      <w:r w:rsidR="0088774D">
        <w:t xml:space="preserve">supply </w:t>
      </w:r>
      <w:r>
        <w:t xml:space="preserve">legacy </w:t>
      </w:r>
      <w:r w:rsidR="003545A0">
        <w:t>services</w:t>
      </w:r>
      <w:r>
        <w:t>;</w:t>
      </w:r>
    </w:p>
    <w:p w14:paraId="0BD53AD5" w14:textId="35628F7A" w:rsidR="003479EF" w:rsidRDefault="003479EF" w:rsidP="003479EF">
      <w:pPr>
        <w:pStyle w:val="paragraphsub"/>
      </w:pPr>
      <w:r>
        <w:tab/>
        <w:t>(iv)</w:t>
      </w:r>
      <w:r>
        <w:tab/>
        <w:t>NBN Co Limited</w:t>
      </w:r>
      <w:r w:rsidR="0088774D">
        <w:t xml:space="preserve"> in its capacity as a carrier</w:t>
      </w:r>
      <w:r>
        <w:t>;</w:t>
      </w:r>
    </w:p>
    <w:p w14:paraId="0E3EB79A" w14:textId="77777777" w:rsidR="003479EF" w:rsidRDefault="003479EF" w:rsidP="003479EF">
      <w:pPr>
        <w:pStyle w:val="paragraphsub"/>
      </w:pPr>
      <w:r>
        <w:tab/>
      </w:r>
      <w:proofErr w:type="gramStart"/>
      <w:r>
        <w:t>and</w:t>
      </w:r>
      <w:proofErr w:type="gramEnd"/>
    </w:p>
    <w:p w14:paraId="4CF6C927" w14:textId="78A3555B" w:rsidR="004A741E" w:rsidRPr="00EE6C5D" w:rsidRDefault="003479EF" w:rsidP="006901B1">
      <w:pPr>
        <w:pStyle w:val="paragraph"/>
      </w:pPr>
      <w:r>
        <w:tab/>
        <w:t>(b)</w:t>
      </w:r>
      <w:r>
        <w:tab/>
        <w:t>deals with</w:t>
      </w:r>
      <w:r w:rsidR="00816848">
        <w:t xml:space="preserve"> the</w:t>
      </w:r>
      <w:r>
        <w:t xml:space="preserve"> </w:t>
      </w:r>
      <w:r w:rsidR="004A741E">
        <w:t xml:space="preserve">provision of voice and broadband services by persons listed in paragraph </w:t>
      </w:r>
      <w:r w:rsidR="00C73F40">
        <w:t>(1)</w:t>
      </w:r>
      <w:r w:rsidR="004A741E">
        <w:t>(a) to c</w:t>
      </w:r>
      <w:r w:rsidR="0088774D">
        <w:t>onsumers</w:t>
      </w:r>
      <w:r w:rsidR="004A741E">
        <w:t xml:space="preserve"> in areas where</w:t>
      </w:r>
      <w:r w:rsidR="00816848">
        <w:t xml:space="preserve"> legacy services are </w:t>
      </w:r>
      <w:r w:rsidR="00E52D2E">
        <w:t xml:space="preserve">readily </w:t>
      </w:r>
      <w:r w:rsidR="00816848">
        <w:t>able to be supplied</w:t>
      </w:r>
      <w:r w:rsidR="0058229D">
        <w:t xml:space="preserve"> and the area has been declared ready for service by NBN</w:t>
      </w:r>
      <w:r w:rsidR="00085ABB">
        <w:t xml:space="preserve"> </w:t>
      </w:r>
      <w:r w:rsidR="0058229D">
        <w:t>Co Limited.</w:t>
      </w:r>
    </w:p>
    <w:p w14:paraId="41AB0F73" w14:textId="272DB08E" w:rsidR="003479EF" w:rsidRDefault="003479EF" w:rsidP="005F21F6">
      <w:pPr>
        <w:pStyle w:val="subsection"/>
      </w:pPr>
      <w:r w:rsidRPr="00EE6C5D">
        <w:tab/>
        <w:t>(</w:t>
      </w:r>
      <w:r>
        <w:t>2</w:t>
      </w:r>
      <w:r w:rsidRPr="00EE6C5D">
        <w:t>)</w:t>
      </w:r>
      <w:r w:rsidRPr="00EE6C5D">
        <w:tab/>
      </w:r>
      <w:r w:rsidR="00FE5A6B">
        <w:t xml:space="preserve">Without limiting paragraph </w:t>
      </w:r>
      <w:r w:rsidR="00A61C15">
        <w:t>7</w:t>
      </w:r>
      <w:r w:rsidR="00FE5A6B">
        <w:t>(1</w:t>
      </w:r>
      <w:proofErr w:type="gramStart"/>
      <w:r w:rsidR="00FE5A6B">
        <w:t>)(</w:t>
      </w:r>
      <w:proofErr w:type="gramEnd"/>
      <w:r w:rsidR="00FE5A6B">
        <w:t>b), the industry standard must deal with:</w:t>
      </w:r>
    </w:p>
    <w:p w14:paraId="634165E9" w14:textId="546A514C" w:rsidR="0088774D" w:rsidRDefault="005A62BF" w:rsidP="00B263C6">
      <w:pPr>
        <w:pStyle w:val="paragraph"/>
      </w:pPr>
      <w:r>
        <w:lastRenderedPageBreak/>
        <w:tab/>
        <w:t>(a)</w:t>
      </w:r>
      <w:r w:rsidRPr="00EE6C5D">
        <w:tab/>
      </w:r>
      <w:r>
        <w:t>requirements for</w:t>
      </w:r>
      <w:r w:rsidR="00373220">
        <w:t xml:space="preserve"> the supply</w:t>
      </w:r>
      <w:r w:rsidR="0058453F">
        <w:t xml:space="preserve"> </w:t>
      </w:r>
      <w:r w:rsidR="008623EA">
        <w:t xml:space="preserve">to a </w:t>
      </w:r>
      <w:r w:rsidR="0058229D">
        <w:t xml:space="preserve">consumer </w:t>
      </w:r>
      <w:r w:rsidR="008623EA">
        <w:t>of a</w:t>
      </w:r>
      <w:r w:rsidR="00373220">
        <w:t xml:space="preserve"> </w:t>
      </w:r>
      <w:r w:rsidR="007023DA">
        <w:t xml:space="preserve">legacy service that is a </w:t>
      </w:r>
      <w:r w:rsidR="00373220">
        <w:t xml:space="preserve">voice service, a broadband service, or </w:t>
      </w:r>
      <w:r w:rsidR="0058453F">
        <w:t>both</w:t>
      </w:r>
      <w:r w:rsidR="00373220">
        <w:t>,</w:t>
      </w:r>
      <w:r w:rsidR="008623EA">
        <w:t xml:space="preserve"> </w:t>
      </w:r>
      <w:r w:rsidR="00D122DD">
        <w:t>to</w:t>
      </w:r>
      <w:r w:rsidR="008623EA">
        <w:t xml:space="preserve"> their premises</w:t>
      </w:r>
      <w:r w:rsidR="00373220">
        <w:t xml:space="preserve"> using a legacy network</w:t>
      </w:r>
      <w:r w:rsidR="0058453F">
        <w:t xml:space="preserve">, where it is not possible to obtain a working voice or broadband service </w:t>
      </w:r>
      <w:r w:rsidR="00FA70BB">
        <w:t>using</w:t>
      </w:r>
      <w:r w:rsidR="0058453F">
        <w:t xml:space="preserve"> the NBN</w:t>
      </w:r>
      <w:r w:rsidR="00D122DD">
        <w:t>,</w:t>
      </w:r>
      <w:r w:rsidR="007023DA">
        <w:t xml:space="preserve"> including requirements for the supply of such services in the following circumstances:</w:t>
      </w:r>
    </w:p>
    <w:p w14:paraId="24CE1876" w14:textId="1259650A" w:rsidR="0088774D" w:rsidRPr="00E52D2E" w:rsidRDefault="00E52D2E" w:rsidP="00E52D2E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7023DA">
        <w:t>where</w:t>
      </w:r>
      <w:proofErr w:type="gramEnd"/>
      <w:r w:rsidR="007023DA">
        <w:t xml:space="preserve"> </w:t>
      </w:r>
      <w:r w:rsidR="0088774D" w:rsidRPr="00E52D2E">
        <w:t xml:space="preserve">the migration of a legacy </w:t>
      </w:r>
      <w:r w:rsidR="0058229D">
        <w:t>service</w:t>
      </w:r>
      <w:r w:rsidR="0058229D" w:rsidRPr="00E52D2E">
        <w:t xml:space="preserve"> </w:t>
      </w:r>
      <w:r w:rsidR="0088774D" w:rsidRPr="00E52D2E">
        <w:t>to the NBN has been unsuccessful, and is unlikely to be successful within a reasonable period of time;</w:t>
      </w:r>
      <w:r w:rsidR="007023DA">
        <w:t xml:space="preserve"> and</w:t>
      </w:r>
    </w:p>
    <w:p w14:paraId="118D2656" w14:textId="51330DD0" w:rsidR="0088774D" w:rsidRDefault="00E52D2E" w:rsidP="00E52D2E">
      <w:pPr>
        <w:pStyle w:val="paragraphsub"/>
      </w:pPr>
      <w:r>
        <w:tab/>
      </w:r>
      <w:r w:rsidR="0088774D" w:rsidRPr="00E52D2E">
        <w:t>(ii)</w:t>
      </w:r>
      <w:r w:rsidR="0088774D" w:rsidRPr="00E52D2E">
        <w:tab/>
      </w:r>
      <w:proofErr w:type="gramStart"/>
      <w:r w:rsidR="0088774D" w:rsidRPr="00E52D2E">
        <w:t>where</w:t>
      </w:r>
      <w:proofErr w:type="gramEnd"/>
      <w:r w:rsidR="0088774D" w:rsidRPr="00E52D2E">
        <w:t xml:space="preserve"> </w:t>
      </w:r>
      <w:r w:rsidR="007023DA">
        <w:t xml:space="preserve">the migration of a legacy service to the NBN has been successful, but </w:t>
      </w:r>
      <w:r w:rsidR="0088774D" w:rsidRPr="00E52D2E">
        <w:t xml:space="preserve">a voice service or broadband service cannot be supplied </w:t>
      </w:r>
      <w:r w:rsidR="007023DA">
        <w:t xml:space="preserve">to a particular </w:t>
      </w:r>
      <w:r w:rsidR="001F36CC">
        <w:t xml:space="preserve">consumer </w:t>
      </w:r>
      <w:r w:rsidR="0088774D" w:rsidRPr="00E52D2E">
        <w:t>on the NBN for an unreasonable period of time, and it remains readily feasible to supply legacy services to that premises</w:t>
      </w:r>
      <w:r>
        <w:t>;</w:t>
      </w:r>
    </w:p>
    <w:p w14:paraId="6993ABD7" w14:textId="50685050" w:rsidR="005A62BF" w:rsidRDefault="005A62BF">
      <w:pPr>
        <w:pStyle w:val="paragraph"/>
      </w:pPr>
      <w:r>
        <w:tab/>
        <w:t>(b)</w:t>
      </w:r>
      <w:r>
        <w:tab/>
      </w:r>
      <w:proofErr w:type="gramStart"/>
      <w:r w:rsidR="00A353FE">
        <w:t>processes</w:t>
      </w:r>
      <w:proofErr w:type="gramEnd"/>
      <w:r w:rsidR="00A353FE">
        <w:t xml:space="preserve"> for the reconnection of legacy services if required in accordance with a requirement for the purposes of paragraph </w:t>
      </w:r>
      <w:r w:rsidR="00FE5A6B">
        <w:t>(2)</w:t>
      </w:r>
      <w:r w:rsidR="00A353FE">
        <w:t>(a), including timeframes for completion of those processes</w:t>
      </w:r>
      <w:r>
        <w:t>;</w:t>
      </w:r>
    </w:p>
    <w:p w14:paraId="2129F19D" w14:textId="76383160" w:rsidR="005A62BF" w:rsidRPr="00EE6C5D" w:rsidRDefault="005670CB" w:rsidP="00D1032A">
      <w:pPr>
        <w:pStyle w:val="paragraph"/>
      </w:pPr>
      <w:r>
        <w:tab/>
        <w:t>(</w:t>
      </w:r>
      <w:r w:rsidR="00C80F1C">
        <w:t>c</w:t>
      </w:r>
      <w:r>
        <w:t>)</w:t>
      </w:r>
      <w:r>
        <w:tab/>
        <w:t>requirements for persons listed in paragraph (1)(a) to nominate a contact point for coordination activities in relation to reconnection of legacy services</w:t>
      </w:r>
      <w:r w:rsidR="00D1032A">
        <w:t>, including requirements regarding who that nomination must be communicated to, and in what manner.</w:t>
      </w:r>
      <w:r w:rsidR="00FE5A6B" w:rsidDel="00FE5A6B">
        <w:t xml:space="preserve"> </w:t>
      </w:r>
    </w:p>
    <w:p w14:paraId="2DBF2394" w14:textId="0AA61B83" w:rsidR="00C50EEB" w:rsidRPr="00F162D6" w:rsidRDefault="00C50EEB" w:rsidP="00C50EEB">
      <w:pPr>
        <w:pStyle w:val="ActHead3"/>
        <w:rPr>
          <w:rStyle w:val="CharDivNo"/>
        </w:rPr>
      </w:pPr>
      <w:r w:rsidRPr="000727F9">
        <w:rPr>
          <w:rStyle w:val="CharDivNo"/>
        </w:rPr>
        <w:t xml:space="preserve">Division </w:t>
      </w:r>
      <w:r w:rsidR="00FE5A6B">
        <w:rPr>
          <w:rStyle w:val="CharDivNo"/>
        </w:rPr>
        <w:t>4</w:t>
      </w:r>
      <w:r w:rsidRPr="00F162D6">
        <w:rPr>
          <w:rStyle w:val="CharDivNo"/>
        </w:rPr>
        <w:t>—</w:t>
      </w:r>
      <w:r w:rsidR="00FE5A6B" w:rsidRPr="00F162D6">
        <w:rPr>
          <w:rStyle w:val="CharDivNo"/>
        </w:rPr>
        <w:t>Industry standard relating to handling of consumer complaints</w:t>
      </w:r>
    </w:p>
    <w:p w14:paraId="46C3FC63" w14:textId="0B5ED91A" w:rsidR="00DC6704" w:rsidRDefault="008F59E6" w:rsidP="008F59E6">
      <w:pPr>
        <w:pStyle w:val="Header"/>
        <w:rPr>
          <w:rStyle w:val="CharDivText"/>
        </w:rPr>
      </w:pPr>
      <w:r w:rsidRPr="006D2642">
        <w:rPr>
          <w:rStyle w:val="CharDivNo"/>
        </w:rPr>
        <w:t xml:space="preserve"> </w:t>
      </w:r>
      <w:r w:rsidRPr="006D2642">
        <w:rPr>
          <w:rStyle w:val="CharDivText"/>
        </w:rPr>
        <w:t xml:space="preserve"> </w:t>
      </w:r>
    </w:p>
    <w:p w14:paraId="168E9321" w14:textId="14FFA044" w:rsidR="005670CB" w:rsidRPr="00EE6C5D" w:rsidRDefault="00A61C15" w:rsidP="005670CB">
      <w:pPr>
        <w:pStyle w:val="ActHead5"/>
        <w:ind w:left="0" w:firstLine="0"/>
      </w:pPr>
      <w:proofErr w:type="gramStart"/>
      <w:r>
        <w:t>8</w:t>
      </w:r>
      <w:r w:rsidRPr="00EE6C5D">
        <w:t xml:space="preserve">  </w:t>
      </w:r>
      <w:r w:rsidR="00FE5A6B">
        <w:t>Standard</w:t>
      </w:r>
      <w:proofErr w:type="gramEnd"/>
      <w:r w:rsidR="00FE5A6B">
        <w:t xml:space="preserve"> on ensuring professional, effective and efficient handling of complaints</w:t>
      </w:r>
    </w:p>
    <w:p w14:paraId="76AF1C7F" w14:textId="558387DE" w:rsidR="005670CB" w:rsidRDefault="005670CB" w:rsidP="005670CB">
      <w:pPr>
        <w:pStyle w:val="subsection"/>
      </w:pPr>
      <w:r>
        <w:tab/>
        <w:t>(1)</w:t>
      </w:r>
      <w:r>
        <w:tab/>
      </w:r>
      <w:r w:rsidR="00FE5A6B">
        <w:t>The ACMA must</w:t>
      </w:r>
      <w:r>
        <w:t xml:space="preserve"> determine an industry standard that:</w:t>
      </w:r>
    </w:p>
    <w:p w14:paraId="57DCCA37" w14:textId="320028BD" w:rsidR="001D0220" w:rsidRDefault="005670CB" w:rsidP="001D0220">
      <w:pPr>
        <w:pStyle w:val="paragraph"/>
      </w:pPr>
      <w:r>
        <w:tab/>
        <w:t>(a)</w:t>
      </w:r>
      <w:r>
        <w:tab/>
      </w:r>
      <w:proofErr w:type="gramStart"/>
      <w:r w:rsidR="001D0220">
        <w:t>applies</w:t>
      </w:r>
      <w:proofErr w:type="gramEnd"/>
      <w:r w:rsidR="001D0220">
        <w:t xml:space="preserve"> to:</w:t>
      </w:r>
    </w:p>
    <w:p w14:paraId="69E58F89" w14:textId="1D750248" w:rsidR="001D0220" w:rsidRDefault="001D0220" w:rsidP="001D022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carriage</w:t>
      </w:r>
      <w:proofErr w:type="gramEnd"/>
      <w:r>
        <w:t xml:space="preserve"> service providers;</w:t>
      </w:r>
      <w:r w:rsidR="005C1F97">
        <w:t xml:space="preserve"> and</w:t>
      </w:r>
    </w:p>
    <w:p w14:paraId="7FEFD126" w14:textId="71E2B6EC" w:rsidR="005670CB" w:rsidRDefault="001D0220" w:rsidP="001D0220">
      <w:pPr>
        <w:pStyle w:val="paragraphsub"/>
      </w:pPr>
      <w:r>
        <w:tab/>
        <w:t>(ii)</w:t>
      </w:r>
      <w:r>
        <w:tab/>
      </w:r>
      <w:proofErr w:type="gramStart"/>
      <w:r>
        <w:t>carriers</w:t>
      </w:r>
      <w:proofErr w:type="gramEnd"/>
      <w:r>
        <w:t xml:space="preserve"> responsible for network units that are used in the supply of services</w:t>
      </w:r>
      <w:r w:rsidR="002D4962">
        <w:t>;</w:t>
      </w:r>
      <w:r>
        <w:t xml:space="preserve"> </w:t>
      </w:r>
    </w:p>
    <w:p w14:paraId="2E3790EC" w14:textId="67537576" w:rsidR="005670CB" w:rsidRDefault="001D0220" w:rsidP="001D0220">
      <w:pPr>
        <w:pStyle w:val="paragraphsub"/>
      </w:pPr>
      <w:r>
        <w:tab/>
      </w:r>
      <w:proofErr w:type="gramStart"/>
      <w:r w:rsidR="005670CB">
        <w:t>and</w:t>
      </w:r>
      <w:proofErr w:type="gramEnd"/>
    </w:p>
    <w:p w14:paraId="5A7E4C7E" w14:textId="533B11E5" w:rsidR="00FE5A6B" w:rsidRPr="00EE6C5D" w:rsidRDefault="005670CB" w:rsidP="00EC37B6">
      <w:pPr>
        <w:pStyle w:val="paragraph"/>
      </w:pPr>
      <w:r>
        <w:tab/>
        <w:t>(b)</w:t>
      </w:r>
      <w:r>
        <w:tab/>
      </w:r>
      <w:proofErr w:type="gramStart"/>
      <w:r>
        <w:t>deals</w:t>
      </w:r>
      <w:proofErr w:type="gramEnd"/>
      <w:r w:rsidR="00A7669F">
        <w:t xml:space="preserve"> with</w:t>
      </w:r>
      <w:r>
        <w:t xml:space="preserve"> </w:t>
      </w:r>
      <w:r w:rsidR="00F01512">
        <w:t xml:space="preserve">the handling of </w:t>
      </w:r>
      <w:r w:rsidR="00FE5A6B">
        <w:t xml:space="preserve">consumer complaints about the supply of services by persons listed in paragraph </w:t>
      </w:r>
      <w:r w:rsidR="00C73F40">
        <w:t>(1)</w:t>
      </w:r>
      <w:r w:rsidR="00FE5A6B">
        <w:t xml:space="preserve">(a) in a professional, effective and </w:t>
      </w:r>
      <w:r w:rsidR="0088774D">
        <w:t xml:space="preserve">efficient </w:t>
      </w:r>
      <w:r w:rsidR="00FE5A6B">
        <w:t>manner.</w:t>
      </w:r>
    </w:p>
    <w:p w14:paraId="63B87857" w14:textId="1C2A5E7A" w:rsidR="00930B61" w:rsidRDefault="00930B61" w:rsidP="00930B61">
      <w:pPr>
        <w:pStyle w:val="subsection"/>
      </w:pPr>
      <w:r>
        <w:tab/>
        <w:t>(2)</w:t>
      </w:r>
      <w:r w:rsidR="005670CB" w:rsidRPr="00EE6C5D">
        <w:tab/>
      </w:r>
      <w:r w:rsidR="00FE5A6B">
        <w:t xml:space="preserve">Without limiting paragraph </w:t>
      </w:r>
      <w:r w:rsidR="00C73F40">
        <w:t>8</w:t>
      </w:r>
      <w:r w:rsidR="00FE5A6B">
        <w:t>(1</w:t>
      </w:r>
      <w:proofErr w:type="gramStart"/>
      <w:r w:rsidR="00FE5A6B">
        <w:t>)(</w:t>
      </w:r>
      <w:proofErr w:type="gramEnd"/>
      <w:r w:rsidR="00FE5A6B">
        <w:t>b), the standard must deal with</w:t>
      </w:r>
      <w:r>
        <w:t>:</w:t>
      </w:r>
    </w:p>
    <w:p w14:paraId="0A1E97D2" w14:textId="547A6755" w:rsidR="005670CB" w:rsidRDefault="00930B61">
      <w:pPr>
        <w:pStyle w:val="paragraph"/>
      </w:pPr>
      <w:r>
        <w:tab/>
        <w:t>(a)</w:t>
      </w:r>
      <w:r w:rsidR="005670CB" w:rsidRPr="00EE6C5D">
        <w:tab/>
      </w:r>
      <w:proofErr w:type="gramStart"/>
      <w:r w:rsidR="005670CB">
        <w:t>requirements</w:t>
      </w:r>
      <w:proofErr w:type="gramEnd"/>
      <w:r w:rsidR="005670CB">
        <w:t xml:space="preserve"> for </w:t>
      </w:r>
      <w:r w:rsidR="003C7D2D">
        <w:t xml:space="preserve">carriage service providers to establish a consumer complaints handling process, including minimum requirements in relation to </w:t>
      </w:r>
      <w:r w:rsidR="00F01512">
        <w:t xml:space="preserve">timeliness, </w:t>
      </w:r>
      <w:r w:rsidR="003C7D2D">
        <w:t>accessibility and transparency of that process</w:t>
      </w:r>
      <w:r w:rsidR="005670CB">
        <w:t xml:space="preserve">; </w:t>
      </w:r>
    </w:p>
    <w:p w14:paraId="003EE9E1" w14:textId="21B7C71B" w:rsidR="003C7D2D" w:rsidRDefault="003C7D2D" w:rsidP="003C7D2D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requirement that a consumer complaint handling process established under a requirement for the purposes of paragraph (</w:t>
      </w:r>
      <w:r w:rsidR="00A61C15">
        <w:t>2</w:t>
      </w:r>
      <w:r>
        <w:t>)(a) must be free of charge for consumers;</w:t>
      </w:r>
    </w:p>
    <w:p w14:paraId="52B30797" w14:textId="18173A1B" w:rsidR="005670CB" w:rsidRDefault="005670CB" w:rsidP="005670CB">
      <w:pPr>
        <w:pStyle w:val="paragraph"/>
      </w:pPr>
      <w:r>
        <w:lastRenderedPageBreak/>
        <w:tab/>
      </w:r>
      <w:r w:rsidR="00D1032A">
        <w:t>(c)</w:t>
      </w:r>
      <w:r>
        <w:tab/>
      </w:r>
      <w:r w:rsidR="003C7D2D">
        <w:t xml:space="preserve">requirements for carriage service providers to manage, monitor, analyse, </w:t>
      </w:r>
      <w:r w:rsidR="0088774D">
        <w:t xml:space="preserve">and </w:t>
      </w:r>
      <w:r w:rsidR="003C7D2D">
        <w:t xml:space="preserve">record consumer complaints, including </w:t>
      </w:r>
      <w:r w:rsidR="0088774D">
        <w:t xml:space="preserve">requirements for </w:t>
      </w:r>
      <w:r w:rsidR="003C7D2D">
        <w:t>response times for steps in the consumer complaints handling process to be completed</w:t>
      </w:r>
      <w:r>
        <w:t>;</w:t>
      </w:r>
    </w:p>
    <w:p w14:paraId="6A26DCD3" w14:textId="77777777" w:rsidR="00E6326B" w:rsidRDefault="003C7D2D" w:rsidP="006474DA">
      <w:pPr>
        <w:pStyle w:val="paragraph"/>
      </w:pPr>
      <w:r>
        <w:tab/>
        <w:t>(</w:t>
      </w:r>
      <w:r w:rsidR="0088774D">
        <w:t>d</w:t>
      </w:r>
      <w:r>
        <w:t>)</w:t>
      </w:r>
      <w:r>
        <w:tab/>
      </w:r>
      <w:proofErr w:type="gramStart"/>
      <w:r>
        <w:t>requirements</w:t>
      </w:r>
      <w:proofErr w:type="gramEnd"/>
      <w:r>
        <w:t xml:space="preserve"> that, where</w:t>
      </w:r>
      <w:r w:rsidR="004C0AE0">
        <w:t>:</w:t>
      </w:r>
    </w:p>
    <w:p w14:paraId="45A6522A" w14:textId="4595F480" w:rsidR="00E6326B" w:rsidRDefault="00E6326B" w:rsidP="00E6326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carriage service provider</w:t>
      </w:r>
      <w:r w:rsidR="004E2BAA">
        <w:t xml:space="preserve"> (the first carriage service provider)</w:t>
      </w:r>
      <w:r>
        <w:t xml:space="preserve"> supplies a carriage service; and</w:t>
      </w:r>
    </w:p>
    <w:p w14:paraId="18AAE4E9" w14:textId="1A09E013" w:rsidR="00E6326B" w:rsidRDefault="00E6326B" w:rsidP="00E6326B">
      <w:pPr>
        <w:pStyle w:val="paragraphsub"/>
      </w:pPr>
      <w:r>
        <w:tab/>
        <w:t>(ii)</w:t>
      </w:r>
      <w:r>
        <w:tab/>
      </w:r>
      <w:proofErr w:type="gramStart"/>
      <w:r>
        <w:t>that</w:t>
      </w:r>
      <w:proofErr w:type="gramEnd"/>
      <w:r>
        <w:t xml:space="preserve"> carriage service is involved (directly or indirectly) in the supply of another carriage service</w:t>
      </w:r>
      <w:r w:rsidR="004E2BAA">
        <w:t xml:space="preserve"> (the retail carriage service)</w:t>
      </w:r>
      <w:r>
        <w:t xml:space="preserve"> by another carriage service provider (a retail carriage service provider) to consumers;</w:t>
      </w:r>
    </w:p>
    <w:p w14:paraId="6F1C7557" w14:textId="1C594384" w:rsidR="00E6326B" w:rsidRDefault="00E6326B" w:rsidP="00E6326B">
      <w:pPr>
        <w:pStyle w:val="paragraph"/>
      </w:pPr>
      <w:r>
        <w:tab/>
      </w:r>
      <w:r>
        <w:tab/>
      </w:r>
      <w:proofErr w:type="gramStart"/>
      <w:r w:rsidR="004E2BAA">
        <w:t>the</w:t>
      </w:r>
      <w:proofErr w:type="gramEnd"/>
      <w:r w:rsidR="004E2BAA">
        <w:t xml:space="preserve"> first</w:t>
      </w:r>
      <w:r>
        <w:t xml:space="preserve"> carriage service provider must provide reasonable assistance to;</w:t>
      </w:r>
    </w:p>
    <w:p w14:paraId="31CE7B60" w14:textId="77777777" w:rsidR="00E6326B" w:rsidRDefault="00E6326B" w:rsidP="00E6326B">
      <w:pPr>
        <w:pStyle w:val="paragraphsub"/>
      </w:pPr>
      <w:r>
        <w:tab/>
        <w:t>(iii)</w:t>
      </w:r>
      <w:r>
        <w:tab/>
      </w:r>
      <w:proofErr w:type="gramStart"/>
      <w:r>
        <w:t>the</w:t>
      </w:r>
      <w:proofErr w:type="gramEnd"/>
      <w:r>
        <w:t xml:space="preserve"> retail carriage service provider; and</w:t>
      </w:r>
    </w:p>
    <w:p w14:paraId="595FD396" w14:textId="30C6E991" w:rsidR="00E6326B" w:rsidRDefault="00E6326B" w:rsidP="00E6326B">
      <w:pPr>
        <w:pStyle w:val="paragraphsub"/>
      </w:pPr>
      <w:r>
        <w:tab/>
        <w:t>(iv)</w:t>
      </w:r>
      <w:r>
        <w:tab/>
      </w:r>
      <w:proofErr w:type="gramStart"/>
      <w:r>
        <w:t>any</w:t>
      </w:r>
      <w:proofErr w:type="gramEnd"/>
      <w:r>
        <w:t xml:space="preserve"> other carriage service provider</w:t>
      </w:r>
      <w:r w:rsidR="004E2BAA">
        <w:t xml:space="preserve"> who supplies a carriage service that is involved</w:t>
      </w:r>
      <w:r w:rsidR="00EF4F38">
        <w:t xml:space="preserve"> (directly or indirectly) in the supply of the</w:t>
      </w:r>
      <w:r w:rsidR="004E2BAA">
        <w:t xml:space="preserve"> retail carriage service</w:t>
      </w:r>
      <w:r>
        <w:t>;</w:t>
      </w:r>
    </w:p>
    <w:p w14:paraId="4C4506CB" w14:textId="64C9F993" w:rsidR="00E6326B" w:rsidRDefault="00E6326B" w:rsidP="004E2BAA">
      <w:pPr>
        <w:pStyle w:val="paragraph"/>
      </w:pPr>
      <w:r>
        <w:tab/>
      </w:r>
      <w:r>
        <w:tab/>
      </w:r>
      <w:proofErr w:type="gramStart"/>
      <w:r>
        <w:t>in</w:t>
      </w:r>
      <w:proofErr w:type="gramEnd"/>
      <w:r>
        <w:t xml:space="preserve"> managing and resolvi</w:t>
      </w:r>
      <w:r w:rsidR="00EF4F38">
        <w:t>ng any complaints received by the retail carriage service provider in relation to the retail carriage service</w:t>
      </w:r>
      <w:r w:rsidR="004E2BAA">
        <w:t>.</w:t>
      </w:r>
    </w:p>
    <w:p w14:paraId="5BC3F15F" w14:textId="49A265B3" w:rsidR="00930B61" w:rsidRDefault="00D07EBB" w:rsidP="005670CB">
      <w:pPr>
        <w:pStyle w:val="paragraph"/>
      </w:pPr>
      <w:r>
        <w:tab/>
        <w:t>(</w:t>
      </w:r>
      <w:r w:rsidR="0088774D">
        <w:t>e</w:t>
      </w:r>
      <w:r>
        <w:t>)</w:t>
      </w:r>
      <w:r>
        <w:tab/>
      </w:r>
      <w:proofErr w:type="gramStart"/>
      <w:r>
        <w:t>requirements</w:t>
      </w:r>
      <w:proofErr w:type="gramEnd"/>
      <w:r w:rsidR="00930B61">
        <w:t xml:space="preserve"> that, where;</w:t>
      </w:r>
    </w:p>
    <w:p w14:paraId="423AEBA9" w14:textId="69C94B68" w:rsidR="00930B61" w:rsidRDefault="00930B61" w:rsidP="00930B6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carrier is responsible for a network unit;</w:t>
      </w:r>
      <w:r w:rsidR="0088774D">
        <w:t xml:space="preserve"> and</w:t>
      </w:r>
    </w:p>
    <w:p w14:paraId="5E93E545" w14:textId="6299A73D" w:rsidR="00930B61" w:rsidRDefault="00930B61" w:rsidP="00930B61">
      <w:pPr>
        <w:pStyle w:val="paragraphsub"/>
      </w:pPr>
      <w:r>
        <w:tab/>
        <w:t>(ii)</w:t>
      </w:r>
      <w:r>
        <w:tab/>
      </w:r>
      <w:proofErr w:type="gramStart"/>
      <w:r>
        <w:t>that</w:t>
      </w:r>
      <w:proofErr w:type="gramEnd"/>
      <w:r>
        <w:t xml:space="preserve"> network unit is used by a carriage service provider</w:t>
      </w:r>
      <w:r w:rsidR="004E2BAA">
        <w:t xml:space="preserve"> (the retail carriage service provider)</w:t>
      </w:r>
      <w:r>
        <w:t xml:space="preserve"> to supply a carriage service to consumers</w:t>
      </w:r>
      <w:r w:rsidR="004E2BAA">
        <w:t xml:space="preserve"> (a retail carriage service), or to supply a carriage service that is involved (directly or indirectly) in the supply of a retail carriage service</w:t>
      </w:r>
      <w:r>
        <w:t>;</w:t>
      </w:r>
    </w:p>
    <w:p w14:paraId="6A27B88F" w14:textId="6FE5E18E" w:rsidR="004E2BAA" w:rsidRDefault="00930B61" w:rsidP="005F21F6">
      <w:pPr>
        <w:pStyle w:val="paragraph"/>
      </w:pPr>
      <w:r>
        <w:tab/>
      </w:r>
      <w:r>
        <w:tab/>
      </w:r>
      <w:proofErr w:type="gramStart"/>
      <w:r w:rsidR="003545A0">
        <w:t>the</w:t>
      </w:r>
      <w:proofErr w:type="gramEnd"/>
      <w:r w:rsidR="003545A0">
        <w:t xml:space="preserve"> </w:t>
      </w:r>
      <w:r>
        <w:t>carrier must provide re</w:t>
      </w:r>
      <w:r w:rsidR="00F01512">
        <w:t>asonable</w:t>
      </w:r>
      <w:r>
        <w:t xml:space="preserve"> assistance to</w:t>
      </w:r>
      <w:r w:rsidR="004E2BAA">
        <w:t>:</w:t>
      </w:r>
    </w:p>
    <w:p w14:paraId="01D152D1" w14:textId="610AECA9" w:rsidR="004E2BAA" w:rsidRDefault="004E2BAA" w:rsidP="004E2BAA">
      <w:pPr>
        <w:pStyle w:val="paragraphsub"/>
      </w:pPr>
      <w:r>
        <w:tab/>
        <w:t>(iii)</w:t>
      </w:r>
      <w:r>
        <w:tab/>
      </w:r>
      <w:proofErr w:type="gramStart"/>
      <w:r>
        <w:t>the</w:t>
      </w:r>
      <w:proofErr w:type="gramEnd"/>
      <w:r>
        <w:t xml:space="preserve"> retail carriage service provider; and</w:t>
      </w:r>
    </w:p>
    <w:p w14:paraId="279335E8" w14:textId="6FEBF127" w:rsidR="004E2BAA" w:rsidRDefault="004E2BAA" w:rsidP="004E2BAA">
      <w:pPr>
        <w:pStyle w:val="paragraphsub"/>
      </w:pPr>
      <w:r>
        <w:tab/>
        <w:t>(iv)</w:t>
      </w:r>
      <w:r>
        <w:tab/>
      </w:r>
      <w:proofErr w:type="gramStart"/>
      <w:r>
        <w:t>any</w:t>
      </w:r>
      <w:proofErr w:type="gramEnd"/>
      <w:r>
        <w:t xml:space="preserve"> carriage service provider who supplies a carriage service that is involved (directly or indirectly) in the supply of </w:t>
      </w:r>
      <w:r w:rsidR="00EF4F38">
        <w:t xml:space="preserve">the </w:t>
      </w:r>
      <w:r>
        <w:t>retail carriage service;</w:t>
      </w:r>
    </w:p>
    <w:p w14:paraId="38C8EFA9" w14:textId="337873FD" w:rsidR="005670CB" w:rsidRDefault="004E2BAA" w:rsidP="005F21F6">
      <w:pPr>
        <w:pStyle w:val="paragraph"/>
      </w:pPr>
      <w:r>
        <w:tab/>
      </w:r>
      <w:r>
        <w:tab/>
      </w:r>
      <w:proofErr w:type="gramStart"/>
      <w:r w:rsidR="00930B61">
        <w:t>in</w:t>
      </w:r>
      <w:proofErr w:type="gramEnd"/>
      <w:r w:rsidR="00930B61">
        <w:t xml:space="preserve"> managing and resolving</w:t>
      </w:r>
      <w:r w:rsidR="00D1032A">
        <w:t xml:space="preserve"> </w:t>
      </w:r>
      <w:r w:rsidR="003D2F09">
        <w:t>any</w:t>
      </w:r>
      <w:r w:rsidR="00930B61">
        <w:t xml:space="preserve"> complaint</w:t>
      </w:r>
      <w:r w:rsidR="0088774D">
        <w:t>s</w:t>
      </w:r>
      <w:r w:rsidR="00930B61">
        <w:t xml:space="preserve"> received by the </w:t>
      </w:r>
      <w:r w:rsidR="00EF4F38">
        <w:t xml:space="preserve">retail </w:t>
      </w:r>
      <w:r w:rsidR="00930B61">
        <w:t xml:space="preserve">carriage service provider in relation to </w:t>
      </w:r>
      <w:r w:rsidR="00EF4F38">
        <w:t>the retail carriage service</w:t>
      </w:r>
      <w:r w:rsidR="00930B61">
        <w:t>.</w:t>
      </w:r>
    </w:p>
    <w:p w14:paraId="77169666" w14:textId="4EC05E66" w:rsidR="00C40FFB" w:rsidRPr="00EE6C5D" w:rsidRDefault="00746B38" w:rsidP="00F162D6">
      <w:pPr>
        <w:pStyle w:val="ActHead3"/>
      </w:pPr>
      <w:r>
        <w:t xml:space="preserve"> </w:t>
      </w:r>
    </w:p>
    <w:sectPr w:rsidR="00C40FFB" w:rsidRPr="00EE6C5D" w:rsidSect="00CB18D2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1673" w:right="1797" w:bottom="1440" w:left="1797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4E40F" w14:textId="77777777" w:rsidR="00E741EC" w:rsidRDefault="00E741EC">
      <w:r>
        <w:separator/>
      </w:r>
    </w:p>
  </w:endnote>
  <w:endnote w:type="continuationSeparator" w:id="0">
    <w:p w14:paraId="152823A5" w14:textId="77777777" w:rsidR="00E741EC" w:rsidRDefault="00E741EC">
      <w:r>
        <w:continuationSeparator/>
      </w:r>
    </w:p>
  </w:endnote>
  <w:endnote w:type="continuationNotice" w:id="1">
    <w:p w14:paraId="1D8057E2" w14:textId="77777777" w:rsidR="00E741EC" w:rsidRDefault="00E741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3545A0" w:rsidRPr="00074661" w:rsidRDefault="003545A0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545A0" w14:paraId="5E216823" w14:textId="77777777" w:rsidTr="005670C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340515" w14:textId="77777777" w:rsidR="003545A0" w:rsidRDefault="003545A0" w:rsidP="007C0B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75B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B3B199" w14:textId="77777777" w:rsidR="003545A0" w:rsidRDefault="003545A0" w:rsidP="007C0B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B75BE">
            <w:rPr>
              <w:i/>
              <w:noProof/>
              <w:sz w:val="18"/>
            </w:rPr>
            <w:t>Telecommunications (NBN Consumer Experience Industry Standard) Direction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2B1128D" w14:textId="77777777" w:rsidR="003545A0" w:rsidRDefault="003545A0" w:rsidP="007C0B29">
          <w:pPr>
            <w:spacing w:line="0" w:lineRule="atLeast"/>
            <w:jc w:val="right"/>
            <w:rPr>
              <w:sz w:val="18"/>
            </w:rPr>
          </w:pPr>
        </w:p>
      </w:tc>
    </w:tr>
  </w:tbl>
  <w:p w14:paraId="56E92311" w14:textId="77777777" w:rsidR="003545A0" w:rsidRPr="00074661" w:rsidRDefault="003545A0" w:rsidP="000527F0">
    <w:pPr>
      <w:rPr>
        <w:rFonts w:cs="Times New Roman"/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3545A0" w:rsidRPr="002B0EA5" w:rsidRDefault="003545A0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545A0" w14:paraId="79CAA4AE" w14:textId="77777777" w:rsidTr="005670C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4F312E" w14:textId="77777777" w:rsidR="003545A0" w:rsidRDefault="003545A0" w:rsidP="007C0B2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1E9178" w14:textId="77777777" w:rsidR="003545A0" w:rsidRDefault="003545A0" w:rsidP="007C0B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B75BE">
            <w:rPr>
              <w:i/>
              <w:noProof/>
              <w:sz w:val="18"/>
            </w:rPr>
            <w:t>Telecommunications (NBN Consumer Experience Industry Standard) Direction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BF87D4" w14:textId="77777777" w:rsidR="003545A0" w:rsidRDefault="003545A0" w:rsidP="007C0B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75B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AF73A" w14:textId="77777777" w:rsidR="003545A0" w:rsidRPr="00ED79B6" w:rsidRDefault="003545A0" w:rsidP="0007466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D95E9" w14:textId="77777777" w:rsidR="00E741EC" w:rsidRDefault="00E741EC">
      <w:r>
        <w:separator/>
      </w:r>
    </w:p>
  </w:footnote>
  <w:footnote w:type="continuationSeparator" w:id="0">
    <w:p w14:paraId="60FDD0CA" w14:textId="77777777" w:rsidR="00E741EC" w:rsidRDefault="00E741EC">
      <w:r>
        <w:continuationSeparator/>
      </w:r>
    </w:p>
  </w:footnote>
  <w:footnote w:type="continuationNotice" w:id="1">
    <w:p w14:paraId="218C870A" w14:textId="77777777" w:rsidR="00E741EC" w:rsidRDefault="00E741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77777777" w:rsidR="003545A0" w:rsidRDefault="003545A0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C1DA6D7" w14:textId="072D36BF" w:rsidR="00406A06" w:rsidRPr="00AA3D06" w:rsidRDefault="003545A0" w:rsidP="00F162D6">
    <w:pPr>
      <w:rPr>
        <w:b/>
        <w:color w:val="FF0000"/>
        <w:sz w:val="4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B75B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B75BE">
      <w:rPr>
        <w:noProof/>
        <w:sz w:val="20"/>
      </w:rPr>
      <w:t>Direction to the ACMA</w:t>
    </w:r>
    <w:r w:rsidR="008B75BE">
      <w:rPr>
        <w:noProof/>
        <w:sz w:val="20"/>
      </w:rPr>
      <w:cr/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8B75BE">
      <w:rPr>
        <w:b/>
        <w:noProof/>
        <w:sz w:val="20"/>
      </w:rPr>
      <w:t>Division 4—Industry standard relating to handling of consumer complaints</w:t>
    </w:r>
    <w:r w:rsidR="008B75BE">
      <w:rPr>
        <w:b/>
        <w:noProof/>
        <w:sz w:val="20"/>
      </w:rPr>
      <w:cr/>
    </w:r>
    <w:r>
      <w:rPr>
        <w:b/>
        <w:sz w:val="20"/>
      </w:rPr>
      <w:fldChar w:fldCharType="end"/>
    </w:r>
  </w:p>
  <w:p w14:paraId="633D4230" w14:textId="77777777" w:rsidR="003545A0" w:rsidRPr="007A1328" w:rsidRDefault="003545A0" w:rsidP="00BE2C51">
    <w:pPr>
      <w:rPr>
        <w:sz w:val="20"/>
      </w:rPr>
    </w:pPr>
  </w:p>
  <w:p w14:paraId="4021262C" w14:textId="77777777" w:rsidR="003545A0" w:rsidRPr="007A1328" w:rsidRDefault="003545A0" w:rsidP="00BE2C51">
    <w:pPr>
      <w:rPr>
        <w:b/>
        <w:sz w:val="24"/>
      </w:rPr>
    </w:pPr>
  </w:p>
  <w:p w14:paraId="52C22DB1" w14:textId="6066C194" w:rsidR="003545A0" w:rsidRPr="007A1328" w:rsidRDefault="003545A0" w:rsidP="004976A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B75BE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3545A0" w:rsidRPr="007A1328" w:rsidRDefault="003545A0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69A81BB" w14:textId="6359C864" w:rsidR="003545A0" w:rsidRPr="007A1328" w:rsidRDefault="003545A0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B75BE">
      <w:rPr>
        <w:noProof/>
        <w:sz w:val="20"/>
      </w:rPr>
      <w:t>Direction to the ACMA</w:t>
    </w:r>
    <w:r w:rsidR="008B75BE"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B75BE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406F9789" w14:textId="377CC727" w:rsidR="003545A0" w:rsidRPr="007A1328" w:rsidRDefault="003545A0" w:rsidP="00BE2C51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1529E1" w14:textId="77777777" w:rsidR="003545A0" w:rsidRPr="007A1328" w:rsidRDefault="003545A0" w:rsidP="00BE2C51">
    <w:pPr>
      <w:jc w:val="right"/>
      <w:rPr>
        <w:b/>
        <w:sz w:val="24"/>
      </w:rPr>
    </w:pPr>
  </w:p>
  <w:p w14:paraId="0AF45EAE" w14:textId="648E5304" w:rsidR="003545A0" w:rsidRPr="007A1328" w:rsidRDefault="003545A0" w:rsidP="004976A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B75BE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0B17C8"/>
    <w:multiLevelType w:val="hybridMultilevel"/>
    <w:tmpl w:val="24368E60"/>
    <w:lvl w:ilvl="0" w:tplc="E3360AF2">
      <w:start w:val="2"/>
      <w:numFmt w:val="lowerRoman"/>
      <w:lvlText w:val="(%1)"/>
      <w:lvlJc w:val="left"/>
      <w:pPr>
        <w:ind w:left="271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5" w:hanging="360"/>
      </w:pPr>
    </w:lvl>
    <w:lvl w:ilvl="2" w:tplc="0C09001B" w:tentative="1">
      <w:start w:val="1"/>
      <w:numFmt w:val="lowerRoman"/>
      <w:lvlText w:val="%3."/>
      <w:lvlJc w:val="right"/>
      <w:pPr>
        <w:ind w:left="3795" w:hanging="180"/>
      </w:pPr>
    </w:lvl>
    <w:lvl w:ilvl="3" w:tplc="0C09000F" w:tentative="1">
      <w:start w:val="1"/>
      <w:numFmt w:val="decimal"/>
      <w:lvlText w:val="%4."/>
      <w:lvlJc w:val="left"/>
      <w:pPr>
        <w:ind w:left="4515" w:hanging="360"/>
      </w:pPr>
    </w:lvl>
    <w:lvl w:ilvl="4" w:tplc="0C090019" w:tentative="1">
      <w:start w:val="1"/>
      <w:numFmt w:val="lowerLetter"/>
      <w:lvlText w:val="%5."/>
      <w:lvlJc w:val="left"/>
      <w:pPr>
        <w:ind w:left="5235" w:hanging="360"/>
      </w:pPr>
    </w:lvl>
    <w:lvl w:ilvl="5" w:tplc="0C09001B" w:tentative="1">
      <w:start w:val="1"/>
      <w:numFmt w:val="lowerRoman"/>
      <w:lvlText w:val="%6."/>
      <w:lvlJc w:val="right"/>
      <w:pPr>
        <w:ind w:left="5955" w:hanging="180"/>
      </w:pPr>
    </w:lvl>
    <w:lvl w:ilvl="6" w:tplc="0C09000F" w:tentative="1">
      <w:start w:val="1"/>
      <w:numFmt w:val="decimal"/>
      <w:lvlText w:val="%7."/>
      <w:lvlJc w:val="left"/>
      <w:pPr>
        <w:ind w:left="6675" w:hanging="360"/>
      </w:pPr>
    </w:lvl>
    <w:lvl w:ilvl="7" w:tplc="0C090019" w:tentative="1">
      <w:start w:val="1"/>
      <w:numFmt w:val="lowerLetter"/>
      <w:lvlText w:val="%8."/>
      <w:lvlJc w:val="left"/>
      <w:pPr>
        <w:ind w:left="7395" w:hanging="360"/>
      </w:pPr>
    </w:lvl>
    <w:lvl w:ilvl="8" w:tplc="0C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2" w15:restartNumberingAfterBreak="0">
    <w:nsid w:val="067D1883"/>
    <w:multiLevelType w:val="multilevel"/>
    <w:tmpl w:val="9DE613D2"/>
    <w:numStyleLink w:val="Style1"/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970C2"/>
    <w:multiLevelType w:val="hybridMultilevel"/>
    <w:tmpl w:val="52C6FE66"/>
    <w:lvl w:ilvl="0" w:tplc="484284D2">
      <w:start w:val="9"/>
      <w:numFmt w:val="lowerLetter"/>
      <w:lvlText w:val="(%1)"/>
      <w:lvlJc w:val="left"/>
      <w:pPr>
        <w:ind w:left="201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2F128A"/>
    <w:multiLevelType w:val="multilevel"/>
    <w:tmpl w:val="9DE613D2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20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A914759"/>
    <w:multiLevelType w:val="hybridMultilevel"/>
    <w:tmpl w:val="42761BEA"/>
    <w:lvl w:ilvl="0" w:tplc="45C62964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325576B"/>
    <w:multiLevelType w:val="hybridMultilevel"/>
    <w:tmpl w:val="EF7056CA"/>
    <w:lvl w:ilvl="0" w:tplc="50FEA346">
      <w:start w:val="1"/>
      <w:numFmt w:val="lowerRoman"/>
      <w:lvlText w:val="(%1)"/>
      <w:lvlJc w:val="left"/>
      <w:pPr>
        <w:ind w:left="23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0" w15:restartNumberingAfterBreak="0">
    <w:nsid w:val="3616376C"/>
    <w:multiLevelType w:val="hybridMultilevel"/>
    <w:tmpl w:val="D480AADE"/>
    <w:lvl w:ilvl="0" w:tplc="C66E0046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CC043EA"/>
    <w:multiLevelType w:val="hybridMultilevel"/>
    <w:tmpl w:val="A734DF76"/>
    <w:lvl w:ilvl="0" w:tplc="BCC431BE">
      <w:start w:val="9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3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F4300B8"/>
    <w:multiLevelType w:val="hybridMultilevel"/>
    <w:tmpl w:val="6E288204"/>
    <w:lvl w:ilvl="0" w:tplc="F434EF4A">
      <w:start w:val="9"/>
      <w:numFmt w:val="lowerLetter"/>
      <w:lvlText w:val="(%1)"/>
      <w:lvlJc w:val="left"/>
      <w:pPr>
        <w:ind w:left="23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5" w:hanging="360"/>
      </w:pPr>
    </w:lvl>
    <w:lvl w:ilvl="2" w:tplc="0C09001B" w:tentative="1">
      <w:start w:val="1"/>
      <w:numFmt w:val="lowerRoman"/>
      <w:lvlText w:val="%3."/>
      <w:lvlJc w:val="right"/>
      <w:pPr>
        <w:ind w:left="3795" w:hanging="180"/>
      </w:pPr>
    </w:lvl>
    <w:lvl w:ilvl="3" w:tplc="0C09000F" w:tentative="1">
      <w:start w:val="1"/>
      <w:numFmt w:val="decimal"/>
      <w:lvlText w:val="%4."/>
      <w:lvlJc w:val="left"/>
      <w:pPr>
        <w:ind w:left="4515" w:hanging="360"/>
      </w:pPr>
    </w:lvl>
    <w:lvl w:ilvl="4" w:tplc="0C090019" w:tentative="1">
      <w:start w:val="1"/>
      <w:numFmt w:val="lowerLetter"/>
      <w:lvlText w:val="%5."/>
      <w:lvlJc w:val="left"/>
      <w:pPr>
        <w:ind w:left="5235" w:hanging="360"/>
      </w:pPr>
    </w:lvl>
    <w:lvl w:ilvl="5" w:tplc="0C09001B" w:tentative="1">
      <w:start w:val="1"/>
      <w:numFmt w:val="lowerRoman"/>
      <w:lvlText w:val="%6."/>
      <w:lvlJc w:val="right"/>
      <w:pPr>
        <w:ind w:left="5955" w:hanging="180"/>
      </w:pPr>
    </w:lvl>
    <w:lvl w:ilvl="6" w:tplc="0C09000F" w:tentative="1">
      <w:start w:val="1"/>
      <w:numFmt w:val="decimal"/>
      <w:lvlText w:val="%7."/>
      <w:lvlJc w:val="left"/>
      <w:pPr>
        <w:ind w:left="6675" w:hanging="360"/>
      </w:pPr>
    </w:lvl>
    <w:lvl w:ilvl="7" w:tplc="0C090019" w:tentative="1">
      <w:start w:val="1"/>
      <w:numFmt w:val="lowerLetter"/>
      <w:lvlText w:val="%8."/>
      <w:lvlJc w:val="left"/>
      <w:pPr>
        <w:ind w:left="7395" w:hanging="360"/>
      </w:pPr>
    </w:lvl>
    <w:lvl w:ilvl="8" w:tplc="0C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5" w15:restartNumberingAfterBreak="0">
    <w:nsid w:val="4F507CFE"/>
    <w:multiLevelType w:val="hybridMultilevel"/>
    <w:tmpl w:val="C908AB64"/>
    <w:lvl w:ilvl="0" w:tplc="50A05CC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5142CD"/>
    <w:multiLevelType w:val="hybridMultilevel"/>
    <w:tmpl w:val="42761BEA"/>
    <w:lvl w:ilvl="0" w:tplc="45C62964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62395DA3"/>
    <w:multiLevelType w:val="hybridMultilevel"/>
    <w:tmpl w:val="2D881CC6"/>
    <w:lvl w:ilvl="0" w:tplc="0F5ED31A"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86556"/>
    <w:multiLevelType w:val="hybridMultilevel"/>
    <w:tmpl w:val="22AC955C"/>
    <w:lvl w:ilvl="0" w:tplc="C486D0C8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3" w15:restartNumberingAfterBreak="0">
    <w:nsid w:val="669F2C5B"/>
    <w:multiLevelType w:val="hybridMultilevel"/>
    <w:tmpl w:val="2BDC22AC"/>
    <w:lvl w:ilvl="0" w:tplc="5540F6AE">
      <w:start w:val="1"/>
      <w:numFmt w:val="lowerRoman"/>
      <w:lvlText w:val="(%1)"/>
      <w:lvlJc w:val="left"/>
      <w:pPr>
        <w:ind w:left="2820" w:hanging="720"/>
      </w:pPr>
      <w:rPr>
        <w:rFonts w:hint="default"/>
        <w:color w:val="00B0F0"/>
      </w:rPr>
    </w:lvl>
    <w:lvl w:ilvl="1" w:tplc="0C090019" w:tentative="1">
      <w:start w:val="1"/>
      <w:numFmt w:val="lowerLetter"/>
      <w:lvlText w:val="%2."/>
      <w:lvlJc w:val="left"/>
      <w:pPr>
        <w:ind w:left="3180" w:hanging="360"/>
      </w:pPr>
    </w:lvl>
    <w:lvl w:ilvl="2" w:tplc="0C09001B" w:tentative="1">
      <w:start w:val="1"/>
      <w:numFmt w:val="lowerRoman"/>
      <w:lvlText w:val="%3."/>
      <w:lvlJc w:val="right"/>
      <w:pPr>
        <w:ind w:left="3900" w:hanging="180"/>
      </w:pPr>
    </w:lvl>
    <w:lvl w:ilvl="3" w:tplc="0C09000F" w:tentative="1">
      <w:start w:val="1"/>
      <w:numFmt w:val="decimal"/>
      <w:lvlText w:val="%4."/>
      <w:lvlJc w:val="left"/>
      <w:pPr>
        <w:ind w:left="4620" w:hanging="360"/>
      </w:pPr>
    </w:lvl>
    <w:lvl w:ilvl="4" w:tplc="0C090019" w:tentative="1">
      <w:start w:val="1"/>
      <w:numFmt w:val="lowerLetter"/>
      <w:lvlText w:val="%5."/>
      <w:lvlJc w:val="left"/>
      <w:pPr>
        <w:ind w:left="5340" w:hanging="360"/>
      </w:pPr>
    </w:lvl>
    <w:lvl w:ilvl="5" w:tplc="0C09001B" w:tentative="1">
      <w:start w:val="1"/>
      <w:numFmt w:val="lowerRoman"/>
      <w:lvlText w:val="%6."/>
      <w:lvlJc w:val="right"/>
      <w:pPr>
        <w:ind w:left="6060" w:hanging="180"/>
      </w:pPr>
    </w:lvl>
    <w:lvl w:ilvl="6" w:tplc="0C09000F" w:tentative="1">
      <w:start w:val="1"/>
      <w:numFmt w:val="decimal"/>
      <w:lvlText w:val="%7."/>
      <w:lvlJc w:val="left"/>
      <w:pPr>
        <w:ind w:left="6780" w:hanging="360"/>
      </w:pPr>
    </w:lvl>
    <w:lvl w:ilvl="7" w:tplc="0C090019" w:tentative="1">
      <w:start w:val="1"/>
      <w:numFmt w:val="lowerLetter"/>
      <w:lvlText w:val="%8."/>
      <w:lvlJc w:val="left"/>
      <w:pPr>
        <w:ind w:left="7500" w:hanging="360"/>
      </w:pPr>
    </w:lvl>
    <w:lvl w:ilvl="8" w:tplc="0C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4" w15:restartNumberingAfterBreak="0">
    <w:nsid w:val="6B6267D1"/>
    <w:multiLevelType w:val="hybridMultilevel"/>
    <w:tmpl w:val="1BB8E816"/>
    <w:lvl w:ilvl="0" w:tplc="6BBA3FC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6B7F25FF"/>
    <w:multiLevelType w:val="hybridMultilevel"/>
    <w:tmpl w:val="8F923F74"/>
    <w:lvl w:ilvl="0" w:tplc="591CFB5C">
      <w:start w:val="2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90" w:hanging="360"/>
      </w:pPr>
    </w:lvl>
    <w:lvl w:ilvl="2" w:tplc="0C09001B" w:tentative="1">
      <w:start w:val="1"/>
      <w:numFmt w:val="lowerRoman"/>
      <w:lvlText w:val="%3."/>
      <w:lvlJc w:val="right"/>
      <w:pPr>
        <w:ind w:left="3810" w:hanging="180"/>
      </w:pPr>
    </w:lvl>
    <w:lvl w:ilvl="3" w:tplc="0C09000F" w:tentative="1">
      <w:start w:val="1"/>
      <w:numFmt w:val="decimal"/>
      <w:lvlText w:val="%4."/>
      <w:lvlJc w:val="left"/>
      <w:pPr>
        <w:ind w:left="4530" w:hanging="360"/>
      </w:pPr>
    </w:lvl>
    <w:lvl w:ilvl="4" w:tplc="0C090019" w:tentative="1">
      <w:start w:val="1"/>
      <w:numFmt w:val="lowerLetter"/>
      <w:lvlText w:val="%5."/>
      <w:lvlJc w:val="left"/>
      <w:pPr>
        <w:ind w:left="5250" w:hanging="360"/>
      </w:pPr>
    </w:lvl>
    <w:lvl w:ilvl="5" w:tplc="0C09001B" w:tentative="1">
      <w:start w:val="1"/>
      <w:numFmt w:val="lowerRoman"/>
      <w:lvlText w:val="%6."/>
      <w:lvlJc w:val="right"/>
      <w:pPr>
        <w:ind w:left="5970" w:hanging="180"/>
      </w:pPr>
    </w:lvl>
    <w:lvl w:ilvl="6" w:tplc="0C09000F" w:tentative="1">
      <w:start w:val="1"/>
      <w:numFmt w:val="decimal"/>
      <w:lvlText w:val="%7."/>
      <w:lvlJc w:val="left"/>
      <w:pPr>
        <w:ind w:left="6690" w:hanging="360"/>
      </w:pPr>
    </w:lvl>
    <w:lvl w:ilvl="7" w:tplc="0C090019" w:tentative="1">
      <w:start w:val="1"/>
      <w:numFmt w:val="lowerLetter"/>
      <w:lvlText w:val="%8."/>
      <w:lvlJc w:val="left"/>
      <w:pPr>
        <w:ind w:left="7410" w:hanging="360"/>
      </w:pPr>
    </w:lvl>
    <w:lvl w:ilvl="8" w:tplc="0C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6" w15:restartNumberingAfterBreak="0">
    <w:nsid w:val="6BD05ADA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A8466AD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0"/>
  </w:num>
  <w:num w:numId="2">
    <w:abstractNumId w:val="17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6"/>
  </w:num>
  <w:num w:numId="16">
    <w:abstractNumId w:val="21"/>
  </w:num>
  <w:num w:numId="17">
    <w:abstractNumId w:val="28"/>
  </w:num>
  <w:num w:numId="18">
    <w:abstractNumId w:val="15"/>
  </w:num>
  <w:num w:numId="19">
    <w:abstractNumId w:val="13"/>
  </w:num>
  <w:num w:numId="20">
    <w:abstractNumId w:val="27"/>
  </w:num>
  <w:num w:numId="21">
    <w:abstractNumId w:val="34"/>
  </w:num>
  <w:num w:numId="22">
    <w:abstractNumId w:val="24"/>
  </w:num>
  <w:num w:numId="23">
    <w:abstractNumId w:val="11"/>
  </w:num>
  <w:num w:numId="24">
    <w:abstractNumId w:val="33"/>
  </w:num>
  <w:num w:numId="25">
    <w:abstractNumId w:val="14"/>
  </w:num>
  <w:num w:numId="26">
    <w:abstractNumId w:val="35"/>
  </w:num>
  <w:num w:numId="27">
    <w:abstractNumId w:val="19"/>
  </w:num>
  <w:num w:numId="28">
    <w:abstractNumId w:val="20"/>
  </w:num>
  <w:num w:numId="29">
    <w:abstractNumId w:val="32"/>
  </w:num>
  <w:num w:numId="30">
    <w:abstractNumId w:val="31"/>
  </w:num>
  <w:num w:numId="31">
    <w:abstractNumId w:val="22"/>
  </w:num>
  <w:num w:numId="32">
    <w:abstractNumId w:val="25"/>
  </w:num>
  <w:num w:numId="33">
    <w:abstractNumId w:val="30"/>
  </w:num>
  <w:num w:numId="34">
    <w:abstractNumId w:val="18"/>
  </w:num>
  <w:num w:numId="35">
    <w:abstractNumId w:val="36"/>
  </w:num>
  <w:num w:numId="36">
    <w:abstractNumId w:val="37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32D9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2759"/>
    <w:rsid w:val="00023FD2"/>
    <w:rsid w:val="00024E1C"/>
    <w:rsid w:val="000265BC"/>
    <w:rsid w:val="00031EFC"/>
    <w:rsid w:val="0003434D"/>
    <w:rsid w:val="0003498B"/>
    <w:rsid w:val="00036586"/>
    <w:rsid w:val="0004081D"/>
    <w:rsid w:val="000472C2"/>
    <w:rsid w:val="00047A94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729"/>
    <w:rsid w:val="00076B35"/>
    <w:rsid w:val="00077634"/>
    <w:rsid w:val="00080E25"/>
    <w:rsid w:val="000824EA"/>
    <w:rsid w:val="00083CC7"/>
    <w:rsid w:val="00085877"/>
    <w:rsid w:val="00085ABB"/>
    <w:rsid w:val="00086090"/>
    <w:rsid w:val="00086E1D"/>
    <w:rsid w:val="00090414"/>
    <w:rsid w:val="0009067F"/>
    <w:rsid w:val="00092802"/>
    <w:rsid w:val="00095CC4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8B5"/>
    <w:rsid w:val="000D0C52"/>
    <w:rsid w:val="000D112D"/>
    <w:rsid w:val="000D22EC"/>
    <w:rsid w:val="000D363E"/>
    <w:rsid w:val="000D44F8"/>
    <w:rsid w:val="000D7167"/>
    <w:rsid w:val="000D736B"/>
    <w:rsid w:val="000E081D"/>
    <w:rsid w:val="000E0F53"/>
    <w:rsid w:val="000E4466"/>
    <w:rsid w:val="000E470D"/>
    <w:rsid w:val="000F140F"/>
    <w:rsid w:val="000F3758"/>
    <w:rsid w:val="00102347"/>
    <w:rsid w:val="00102ADD"/>
    <w:rsid w:val="00102DA8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231E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79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80CD3"/>
    <w:rsid w:val="00182100"/>
    <w:rsid w:val="001840EA"/>
    <w:rsid w:val="00185261"/>
    <w:rsid w:val="00190D22"/>
    <w:rsid w:val="00191B57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0220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6CC"/>
    <w:rsid w:val="001F3D0A"/>
    <w:rsid w:val="001F475A"/>
    <w:rsid w:val="001F4C6D"/>
    <w:rsid w:val="0020253A"/>
    <w:rsid w:val="0020488A"/>
    <w:rsid w:val="0020650F"/>
    <w:rsid w:val="002125DA"/>
    <w:rsid w:val="00220A3E"/>
    <w:rsid w:val="00220EDA"/>
    <w:rsid w:val="00221EB1"/>
    <w:rsid w:val="00222DA1"/>
    <w:rsid w:val="00223A7F"/>
    <w:rsid w:val="002250FB"/>
    <w:rsid w:val="00226223"/>
    <w:rsid w:val="002271DC"/>
    <w:rsid w:val="00227BD1"/>
    <w:rsid w:val="00230352"/>
    <w:rsid w:val="00231F61"/>
    <w:rsid w:val="00236609"/>
    <w:rsid w:val="00240CD1"/>
    <w:rsid w:val="00245159"/>
    <w:rsid w:val="00253EE7"/>
    <w:rsid w:val="00254B2F"/>
    <w:rsid w:val="00254C12"/>
    <w:rsid w:val="00260641"/>
    <w:rsid w:val="00262431"/>
    <w:rsid w:val="002658BD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C0290"/>
    <w:rsid w:val="002C0E89"/>
    <w:rsid w:val="002C0F7D"/>
    <w:rsid w:val="002C40A0"/>
    <w:rsid w:val="002C42F1"/>
    <w:rsid w:val="002C77BC"/>
    <w:rsid w:val="002C79E4"/>
    <w:rsid w:val="002C7F8D"/>
    <w:rsid w:val="002D35D3"/>
    <w:rsid w:val="002D4962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14ACB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27"/>
    <w:rsid w:val="003412DC"/>
    <w:rsid w:val="00341C71"/>
    <w:rsid w:val="00343A1B"/>
    <w:rsid w:val="00343EA6"/>
    <w:rsid w:val="00344037"/>
    <w:rsid w:val="00346E13"/>
    <w:rsid w:val="00347380"/>
    <w:rsid w:val="003479EF"/>
    <w:rsid w:val="00347ABE"/>
    <w:rsid w:val="00351570"/>
    <w:rsid w:val="00351600"/>
    <w:rsid w:val="003526D3"/>
    <w:rsid w:val="003545A0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3220"/>
    <w:rsid w:val="00374DBE"/>
    <w:rsid w:val="0037528D"/>
    <w:rsid w:val="00376918"/>
    <w:rsid w:val="00377C91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C7D2D"/>
    <w:rsid w:val="003D0A16"/>
    <w:rsid w:val="003D1F25"/>
    <w:rsid w:val="003D20DD"/>
    <w:rsid w:val="003D2F09"/>
    <w:rsid w:val="003D5B35"/>
    <w:rsid w:val="003E1CCB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06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35732"/>
    <w:rsid w:val="00440DE0"/>
    <w:rsid w:val="00441257"/>
    <w:rsid w:val="00442444"/>
    <w:rsid w:val="00442DED"/>
    <w:rsid w:val="004454CF"/>
    <w:rsid w:val="0044728E"/>
    <w:rsid w:val="00447FF1"/>
    <w:rsid w:val="0045063A"/>
    <w:rsid w:val="00451CA7"/>
    <w:rsid w:val="00454997"/>
    <w:rsid w:val="00454D0B"/>
    <w:rsid w:val="00456454"/>
    <w:rsid w:val="00460549"/>
    <w:rsid w:val="00467C5F"/>
    <w:rsid w:val="004703A7"/>
    <w:rsid w:val="004709E2"/>
    <w:rsid w:val="00471344"/>
    <w:rsid w:val="0047221D"/>
    <w:rsid w:val="004742DF"/>
    <w:rsid w:val="004771DE"/>
    <w:rsid w:val="00477B83"/>
    <w:rsid w:val="00480BB9"/>
    <w:rsid w:val="004825F7"/>
    <w:rsid w:val="00482B0A"/>
    <w:rsid w:val="00485A89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41E"/>
    <w:rsid w:val="004A7D5D"/>
    <w:rsid w:val="004B088C"/>
    <w:rsid w:val="004B0996"/>
    <w:rsid w:val="004B1E60"/>
    <w:rsid w:val="004B3683"/>
    <w:rsid w:val="004B717C"/>
    <w:rsid w:val="004C0190"/>
    <w:rsid w:val="004C0AE0"/>
    <w:rsid w:val="004C3A75"/>
    <w:rsid w:val="004C6D83"/>
    <w:rsid w:val="004D0718"/>
    <w:rsid w:val="004D25B2"/>
    <w:rsid w:val="004D2CCB"/>
    <w:rsid w:val="004D460F"/>
    <w:rsid w:val="004E01BE"/>
    <w:rsid w:val="004E1500"/>
    <w:rsid w:val="004E2BAA"/>
    <w:rsid w:val="004E3375"/>
    <w:rsid w:val="004E3516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06F1"/>
    <w:rsid w:val="00510F94"/>
    <w:rsid w:val="00512C3B"/>
    <w:rsid w:val="005142A9"/>
    <w:rsid w:val="0051543A"/>
    <w:rsid w:val="005160A0"/>
    <w:rsid w:val="005171AD"/>
    <w:rsid w:val="00517E9B"/>
    <w:rsid w:val="0052120B"/>
    <w:rsid w:val="00521579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3BEA"/>
    <w:rsid w:val="00535BEF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3738"/>
    <w:rsid w:val="00564001"/>
    <w:rsid w:val="00564FF3"/>
    <w:rsid w:val="0056559C"/>
    <w:rsid w:val="005665B2"/>
    <w:rsid w:val="005670CB"/>
    <w:rsid w:val="00571FCD"/>
    <w:rsid w:val="005732A7"/>
    <w:rsid w:val="00573890"/>
    <w:rsid w:val="00574A09"/>
    <w:rsid w:val="00574CAE"/>
    <w:rsid w:val="00577475"/>
    <w:rsid w:val="00580E49"/>
    <w:rsid w:val="00581353"/>
    <w:rsid w:val="005818B9"/>
    <w:rsid w:val="0058229D"/>
    <w:rsid w:val="00582DC9"/>
    <w:rsid w:val="0058453F"/>
    <w:rsid w:val="00584A71"/>
    <w:rsid w:val="005867F2"/>
    <w:rsid w:val="00590B66"/>
    <w:rsid w:val="005914FF"/>
    <w:rsid w:val="0059382B"/>
    <w:rsid w:val="00594F6A"/>
    <w:rsid w:val="00596B78"/>
    <w:rsid w:val="005A0396"/>
    <w:rsid w:val="005A04A5"/>
    <w:rsid w:val="005A0F53"/>
    <w:rsid w:val="005A2A56"/>
    <w:rsid w:val="005A388A"/>
    <w:rsid w:val="005A5E49"/>
    <w:rsid w:val="005A62BF"/>
    <w:rsid w:val="005A7398"/>
    <w:rsid w:val="005A74E3"/>
    <w:rsid w:val="005B045D"/>
    <w:rsid w:val="005B19A9"/>
    <w:rsid w:val="005B2816"/>
    <w:rsid w:val="005B6393"/>
    <w:rsid w:val="005C1F97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17D7"/>
    <w:rsid w:val="005F21F6"/>
    <w:rsid w:val="005F5365"/>
    <w:rsid w:val="005F56FB"/>
    <w:rsid w:val="005F667E"/>
    <w:rsid w:val="005F7A59"/>
    <w:rsid w:val="006045DF"/>
    <w:rsid w:val="0060499E"/>
    <w:rsid w:val="006060C4"/>
    <w:rsid w:val="00610CB1"/>
    <w:rsid w:val="00611361"/>
    <w:rsid w:val="00612688"/>
    <w:rsid w:val="006133D2"/>
    <w:rsid w:val="00614B3F"/>
    <w:rsid w:val="0062109B"/>
    <w:rsid w:val="006228F8"/>
    <w:rsid w:val="00625EBE"/>
    <w:rsid w:val="00626972"/>
    <w:rsid w:val="00630C62"/>
    <w:rsid w:val="00631E72"/>
    <w:rsid w:val="006334F8"/>
    <w:rsid w:val="00641CB9"/>
    <w:rsid w:val="00641D1F"/>
    <w:rsid w:val="00642014"/>
    <w:rsid w:val="0064304E"/>
    <w:rsid w:val="00645165"/>
    <w:rsid w:val="00645A49"/>
    <w:rsid w:val="00647421"/>
    <w:rsid w:val="006474DA"/>
    <w:rsid w:val="006503AC"/>
    <w:rsid w:val="0065051F"/>
    <w:rsid w:val="00651A97"/>
    <w:rsid w:val="006548E6"/>
    <w:rsid w:val="00657009"/>
    <w:rsid w:val="00657047"/>
    <w:rsid w:val="0065794A"/>
    <w:rsid w:val="006646A5"/>
    <w:rsid w:val="00666109"/>
    <w:rsid w:val="00666B8A"/>
    <w:rsid w:val="006671F5"/>
    <w:rsid w:val="00670D11"/>
    <w:rsid w:val="00672003"/>
    <w:rsid w:val="00672979"/>
    <w:rsid w:val="006753E5"/>
    <w:rsid w:val="00675602"/>
    <w:rsid w:val="00675DB2"/>
    <w:rsid w:val="00680DF0"/>
    <w:rsid w:val="00686152"/>
    <w:rsid w:val="00686485"/>
    <w:rsid w:val="006901B1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2642"/>
    <w:rsid w:val="006D350D"/>
    <w:rsid w:val="006E1327"/>
    <w:rsid w:val="006E15A7"/>
    <w:rsid w:val="006E23CD"/>
    <w:rsid w:val="006E6AF8"/>
    <w:rsid w:val="006F2504"/>
    <w:rsid w:val="006F2ED2"/>
    <w:rsid w:val="006F4850"/>
    <w:rsid w:val="006F53B0"/>
    <w:rsid w:val="00700F97"/>
    <w:rsid w:val="007014F3"/>
    <w:rsid w:val="007023DA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838"/>
    <w:rsid w:val="00742BE4"/>
    <w:rsid w:val="00743F86"/>
    <w:rsid w:val="0074530F"/>
    <w:rsid w:val="00746B38"/>
    <w:rsid w:val="007507CB"/>
    <w:rsid w:val="00750F54"/>
    <w:rsid w:val="00751293"/>
    <w:rsid w:val="0075254D"/>
    <w:rsid w:val="00755DC6"/>
    <w:rsid w:val="00756918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3B75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0B29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1138"/>
    <w:rsid w:val="007E21C3"/>
    <w:rsid w:val="007E5662"/>
    <w:rsid w:val="007E7725"/>
    <w:rsid w:val="007F0DD4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16848"/>
    <w:rsid w:val="008200F1"/>
    <w:rsid w:val="00820E6A"/>
    <w:rsid w:val="00826D3D"/>
    <w:rsid w:val="0083232E"/>
    <w:rsid w:val="00833881"/>
    <w:rsid w:val="00834026"/>
    <w:rsid w:val="00834198"/>
    <w:rsid w:val="00836F81"/>
    <w:rsid w:val="00837950"/>
    <w:rsid w:val="008405E8"/>
    <w:rsid w:val="008421EA"/>
    <w:rsid w:val="008469E1"/>
    <w:rsid w:val="008529D0"/>
    <w:rsid w:val="00855B7C"/>
    <w:rsid w:val="00861B2D"/>
    <w:rsid w:val="008621D6"/>
    <w:rsid w:val="008623EA"/>
    <w:rsid w:val="00871BD1"/>
    <w:rsid w:val="00872D79"/>
    <w:rsid w:val="00874617"/>
    <w:rsid w:val="008800E2"/>
    <w:rsid w:val="00880302"/>
    <w:rsid w:val="008847E0"/>
    <w:rsid w:val="00884A91"/>
    <w:rsid w:val="00884AF0"/>
    <w:rsid w:val="00885A66"/>
    <w:rsid w:val="0088774D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6F8"/>
    <w:rsid w:val="008A3D32"/>
    <w:rsid w:val="008A5870"/>
    <w:rsid w:val="008A5DD5"/>
    <w:rsid w:val="008A6DDA"/>
    <w:rsid w:val="008B02F9"/>
    <w:rsid w:val="008B0881"/>
    <w:rsid w:val="008B09DB"/>
    <w:rsid w:val="008B6D0F"/>
    <w:rsid w:val="008B75BE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496D"/>
    <w:rsid w:val="008D64ED"/>
    <w:rsid w:val="008D6FBE"/>
    <w:rsid w:val="008E02E5"/>
    <w:rsid w:val="008E0640"/>
    <w:rsid w:val="008E1131"/>
    <w:rsid w:val="008E45F9"/>
    <w:rsid w:val="008E74ED"/>
    <w:rsid w:val="008E7D39"/>
    <w:rsid w:val="008F59E6"/>
    <w:rsid w:val="008F5EC2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B61"/>
    <w:rsid w:val="00930C1D"/>
    <w:rsid w:val="00934075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D412B"/>
    <w:rsid w:val="009E104B"/>
    <w:rsid w:val="009E2539"/>
    <w:rsid w:val="009E3171"/>
    <w:rsid w:val="009E3974"/>
    <w:rsid w:val="009E39CE"/>
    <w:rsid w:val="009E5220"/>
    <w:rsid w:val="009E6F97"/>
    <w:rsid w:val="009E7AEF"/>
    <w:rsid w:val="009F1CC8"/>
    <w:rsid w:val="009F3211"/>
    <w:rsid w:val="009F3F34"/>
    <w:rsid w:val="009F46E7"/>
    <w:rsid w:val="009F61D3"/>
    <w:rsid w:val="00A01333"/>
    <w:rsid w:val="00A01FB2"/>
    <w:rsid w:val="00A04AD1"/>
    <w:rsid w:val="00A07733"/>
    <w:rsid w:val="00A12816"/>
    <w:rsid w:val="00A1281A"/>
    <w:rsid w:val="00A12B40"/>
    <w:rsid w:val="00A143DD"/>
    <w:rsid w:val="00A162E6"/>
    <w:rsid w:val="00A17D1D"/>
    <w:rsid w:val="00A20966"/>
    <w:rsid w:val="00A2158C"/>
    <w:rsid w:val="00A240E5"/>
    <w:rsid w:val="00A26EC4"/>
    <w:rsid w:val="00A30816"/>
    <w:rsid w:val="00A30A15"/>
    <w:rsid w:val="00A31BE9"/>
    <w:rsid w:val="00A33BCC"/>
    <w:rsid w:val="00A3491E"/>
    <w:rsid w:val="00A353F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1C15"/>
    <w:rsid w:val="00A64421"/>
    <w:rsid w:val="00A64D50"/>
    <w:rsid w:val="00A650BA"/>
    <w:rsid w:val="00A65E59"/>
    <w:rsid w:val="00A664CC"/>
    <w:rsid w:val="00A67535"/>
    <w:rsid w:val="00A67927"/>
    <w:rsid w:val="00A715A3"/>
    <w:rsid w:val="00A7238F"/>
    <w:rsid w:val="00A725A4"/>
    <w:rsid w:val="00A72DDC"/>
    <w:rsid w:val="00A7669F"/>
    <w:rsid w:val="00A91F48"/>
    <w:rsid w:val="00A92A3F"/>
    <w:rsid w:val="00A939BC"/>
    <w:rsid w:val="00A9492D"/>
    <w:rsid w:val="00A955D9"/>
    <w:rsid w:val="00A9738F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3BA7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A73"/>
    <w:rsid w:val="00B07D2B"/>
    <w:rsid w:val="00B11FF4"/>
    <w:rsid w:val="00B1270A"/>
    <w:rsid w:val="00B12ACE"/>
    <w:rsid w:val="00B15265"/>
    <w:rsid w:val="00B20DCA"/>
    <w:rsid w:val="00B23D22"/>
    <w:rsid w:val="00B25390"/>
    <w:rsid w:val="00B263C6"/>
    <w:rsid w:val="00B267A3"/>
    <w:rsid w:val="00B2730F"/>
    <w:rsid w:val="00B27470"/>
    <w:rsid w:val="00B30277"/>
    <w:rsid w:val="00B312AC"/>
    <w:rsid w:val="00B32109"/>
    <w:rsid w:val="00B341F1"/>
    <w:rsid w:val="00B35329"/>
    <w:rsid w:val="00B37210"/>
    <w:rsid w:val="00B4067E"/>
    <w:rsid w:val="00B41A08"/>
    <w:rsid w:val="00B41FB0"/>
    <w:rsid w:val="00B423E1"/>
    <w:rsid w:val="00B425A5"/>
    <w:rsid w:val="00B4372D"/>
    <w:rsid w:val="00B440EB"/>
    <w:rsid w:val="00B44A30"/>
    <w:rsid w:val="00B50B2D"/>
    <w:rsid w:val="00B534EC"/>
    <w:rsid w:val="00B564FE"/>
    <w:rsid w:val="00B56B8D"/>
    <w:rsid w:val="00B602AB"/>
    <w:rsid w:val="00B60584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A7815"/>
    <w:rsid w:val="00BB4AFF"/>
    <w:rsid w:val="00BB626D"/>
    <w:rsid w:val="00BB6BF2"/>
    <w:rsid w:val="00BC3295"/>
    <w:rsid w:val="00BC3D9E"/>
    <w:rsid w:val="00BC63F3"/>
    <w:rsid w:val="00BD0739"/>
    <w:rsid w:val="00BD12AB"/>
    <w:rsid w:val="00BD1A10"/>
    <w:rsid w:val="00BD3F1E"/>
    <w:rsid w:val="00BD4BF4"/>
    <w:rsid w:val="00BE2C51"/>
    <w:rsid w:val="00BE5B60"/>
    <w:rsid w:val="00BE63CA"/>
    <w:rsid w:val="00BF039D"/>
    <w:rsid w:val="00BF12B8"/>
    <w:rsid w:val="00BF1D85"/>
    <w:rsid w:val="00BF45FB"/>
    <w:rsid w:val="00BF65E6"/>
    <w:rsid w:val="00BF6D49"/>
    <w:rsid w:val="00C00AA1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0DF2"/>
    <w:rsid w:val="00C13C8E"/>
    <w:rsid w:val="00C143E8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5C14"/>
    <w:rsid w:val="00C40FFB"/>
    <w:rsid w:val="00C47091"/>
    <w:rsid w:val="00C47468"/>
    <w:rsid w:val="00C50EEB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4872"/>
    <w:rsid w:val="00C65016"/>
    <w:rsid w:val="00C658DF"/>
    <w:rsid w:val="00C70AEF"/>
    <w:rsid w:val="00C70FAF"/>
    <w:rsid w:val="00C73929"/>
    <w:rsid w:val="00C73F40"/>
    <w:rsid w:val="00C757B2"/>
    <w:rsid w:val="00C77407"/>
    <w:rsid w:val="00C80F1C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3150"/>
    <w:rsid w:val="00C9472B"/>
    <w:rsid w:val="00C95A4E"/>
    <w:rsid w:val="00C96597"/>
    <w:rsid w:val="00C969F3"/>
    <w:rsid w:val="00C96F66"/>
    <w:rsid w:val="00C97211"/>
    <w:rsid w:val="00CA12A7"/>
    <w:rsid w:val="00CA1EB2"/>
    <w:rsid w:val="00CA2653"/>
    <w:rsid w:val="00CA2747"/>
    <w:rsid w:val="00CB18D2"/>
    <w:rsid w:val="00CB2099"/>
    <w:rsid w:val="00CB418B"/>
    <w:rsid w:val="00CC0028"/>
    <w:rsid w:val="00CC0106"/>
    <w:rsid w:val="00CC0311"/>
    <w:rsid w:val="00CC0728"/>
    <w:rsid w:val="00CC1069"/>
    <w:rsid w:val="00CC1B36"/>
    <w:rsid w:val="00CC4496"/>
    <w:rsid w:val="00CC4EF4"/>
    <w:rsid w:val="00CC5089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D7A14"/>
    <w:rsid w:val="00CD7F31"/>
    <w:rsid w:val="00CE142D"/>
    <w:rsid w:val="00CE233A"/>
    <w:rsid w:val="00CF2F05"/>
    <w:rsid w:val="00CF5D22"/>
    <w:rsid w:val="00CF60F8"/>
    <w:rsid w:val="00CF689A"/>
    <w:rsid w:val="00D035FA"/>
    <w:rsid w:val="00D061BC"/>
    <w:rsid w:val="00D06F31"/>
    <w:rsid w:val="00D07EBB"/>
    <w:rsid w:val="00D1032A"/>
    <w:rsid w:val="00D10555"/>
    <w:rsid w:val="00D1206A"/>
    <w:rsid w:val="00D122DD"/>
    <w:rsid w:val="00D222D8"/>
    <w:rsid w:val="00D27EAA"/>
    <w:rsid w:val="00D30298"/>
    <w:rsid w:val="00D304D1"/>
    <w:rsid w:val="00D33DA9"/>
    <w:rsid w:val="00D34D9F"/>
    <w:rsid w:val="00D358ED"/>
    <w:rsid w:val="00D36966"/>
    <w:rsid w:val="00D37721"/>
    <w:rsid w:val="00D40E4E"/>
    <w:rsid w:val="00D4327E"/>
    <w:rsid w:val="00D43C47"/>
    <w:rsid w:val="00D4502B"/>
    <w:rsid w:val="00D467F6"/>
    <w:rsid w:val="00D47AA8"/>
    <w:rsid w:val="00D50A88"/>
    <w:rsid w:val="00D50AA7"/>
    <w:rsid w:val="00D50D04"/>
    <w:rsid w:val="00D51A6A"/>
    <w:rsid w:val="00D52499"/>
    <w:rsid w:val="00D52833"/>
    <w:rsid w:val="00D53BE1"/>
    <w:rsid w:val="00D5561C"/>
    <w:rsid w:val="00D608D7"/>
    <w:rsid w:val="00D61C41"/>
    <w:rsid w:val="00D62311"/>
    <w:rsid w:val="00D62BB9"/>
    <w:rsid w:val="00D67BFF"/>
    <w:rsid w:val="00D72203"/>
    <w:rsid w:val="00D72818"/>
    <w:rsid w:val="00D72D29"/>
    <w:rsid w:val="00D74F65"/>
    <w:rsid w:val="00D76D58"/>
    <w:rsid w:val="00D81D67"/>
    <w:rsid w:val="00D82284"/>
    <w:rsid w:val="00D85BB3"/>
    <w:rsid w:val="00D86B41"/>
    <w:rsid w:val="00D86C85"/>
    <w:rsid w:val="00D86D2A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C13C7"/>
    <w:rsid w:val="00DC2F75"/>
    <w:rsid w:val="00DC6704"/>
    <w:rsid w:val="00DC686D"/>
    <w:rsid w:val="00DC7046"/>
    <w:rsid w:val="00DD0F30"/>
    <w:rsid w:val="00DD355A"/>
    <w:rsid w:val="00DD3616"/>
    <w:rsid w:val="00DE0A50"/>
    <w:rsid w:val="00DE0B13"/>
    <w:rsid w:val="00DE2A58"/>
    <w:rsid w:val="00DE6E03"/>
    <w:rsid w:val="00DE706D"/>
    <w:rsid w:val="00DF5C3D"/>
    <w:rsid w:val="00DF6D67"/>
    <w:rsid w:val="00DF7A67"/>
    <w:rsid w:val="00DF7E46"/>
    <w:rsid w:val="00E00CCB"/>
    <w:rsid w:val="00E0170F"/>
    <w:rsid w:val="00E01972"/>
    <w:rsid w:val="00E046CD"/>
    <w:rsid w:val="00E06384"/>
    <w:rsid w:val="00E07779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2D2E"/>
    <w:rsid w:val="00E537B4"/>
    <w:rsid w:val="00E61DD6"/>
    <w:rsid w:val="00E62BED"/>
    <w:rsid w:val="00E6326B"/>
    <w:rsid w:val="00E704A7"/>
    <w:rsid w:val="00E72100"/>
    <w:rsid w:val="00E73966"/>
    <w:rsid w:val="00E73A1B"/>
    <w:rsid w:val="00E741EC"/>
    <w:rsid w:val="00E76310"/>
    <w:rsid w:val="00E7672E"/>
    <w:rsid w:val="00E80490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4BEE"/>
    <w:rsid w:val="00EB5B57"/>
    <w:rsid w:val="00EB7BDE"/>
    <w:rsid w:val="00EC0C5E"/>
    <w:rsid w:val="00EC1470"/>
    <w:rsid w:val="00EC18DC"/>
    <w:rsid w:val="00EC37B6"/>
    <w:rsid w:val="00EC6938"/>
    <w:rsid w:val="00ED148F"/>
    <w:rsid w:val="00ED153A"/>
    <w:rsid w:val="00ED310D"/>
    <w:rsid w:val="00ED3249"/>
    <w:rsid w:val="00ED3B47"/>
    <w:rsid w:val="00ED4A99"/>
    <w:rsid w:val="00EE54A3"/>
    <w:rsid w:val="00EE6C5D"/>
    <w:rsid w:val="00EE7017"/>
    <w:rsid w:val="00EE73EA"/>
    <w:rsid w:val="00EE7651"/>
    <w:rsid w:val="00EF2A15"/>
    <w:rsid w:val="00EF2F9D"/>
    <w:rsid w:val="00EF4880"/>
    <w:rsid w:val="00EF4F03"/>
    <w:rsid w:val="00EF4F38"/>
    <w:rsid w:val="00EF54E6"/>
    <w:rsid w:val="00F000DD"/>
    <w:rsid w:val="00F00C4C"/>
    <w:rsid w:val="00F01512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62D6"/>
    <w:rsid w:val="00F176C5"/>
    <w:rsid w:val="00F17941"/>
    <w:rsid w:val="00F21027"/>
    <w:rsid w:val="00F25A41"/>
    <w:rsid w:val="00F27877"/>
    <w:rsid w:val="00F3058D"/>
    <w:rsid w:val="00F33606"/>
    <w:rsid w:val="00F35903"/>
    <w:rsid w:val="00F3623A"/>
    <w:rsid w:val="00F37089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57E1"/>
    <w:rsid w:val="00F57858"/>
    <w:rsid w:val="00F60524"/>
    <w:rsid w:val="00F60AAA"/>
    <w:rsid w:val="00F61562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5F67"/>
    <w:rsid w:val="00F8632C"/>
    <w:rsid w:val="00F87B42"/>
    <w:rsid w:val="00F917DD"/>
    <w:rsid w:val="00F94F72"/>
    <w:rsid w:val="00F96701"/>
    <w:rsid w:val="00FA2260"/>
    <w:rsid w:val="00FA33E4"/>
    <w:rsid w:val="00FA61AA"/>
    <w:rsid w:val="00FA6DE7"/>
    <w:rsid w:val="00FA70BB"/>
    <w:rsid w:val="00FB2A3E"/>
    <w:rsid w:val="00FB515C"/>
    <w:rsid w:val="00FC1CF1"/>
    <w:rsid w:val="00FD0E8A"/>
    <w:rsid w:val="00FD189C"/>
    <w:rsid w:val="00FD20B7"/>
    <w:rsid w:val="00FD212A"/>
    <w:rsid w:val="00FD3D32"/>
    <w:rsid w:val="00FD41B2"/>
    <w:rsid w:val="00FD48F5"/>
    <w:rsid w:val="00FD4915"/>
    <w:rsid w:val="00FD4B3A"/>
    <w:rsid w:val="00FD4C92"/>
    <w:rsid w:val="00FE03CA"/>
    <w:rsid w:val="00FE5A6B"/>
    <w:rsid w:val="00FE6284"/>
    <w:rsid w:val="00FE7264"/>
    <w:rsid w:val="00FE79D3"/>
    <w:rsid w:val="00FF0611"/>
    <w:rsid w:val="00FF16E6"/>
    <w:rsid w:val="00FF20D1"/>
    <w:rsid w:val="00FF489C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4C6A4755"/>
  <w15:docId w15:val="{8BDC6B9C-AA34-4411-A943-5BE20FC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1361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611361"/>
    <w:rPr>
      <w:sz w:val="18"/>
    </w:rPr>
  </w:style>
  <w:style w:type="character" w:customStyle="1" w:styleId="CommentTextChar">
    <w:name w:val="Comment Text Char"/>
    <w:basedOn w:val="DefaultParagraphFont"/>
    <w:link w:val="CommentText"/>
    <w:rsid w:val="005A62BF"/>
    <w:rPr>
      <w:rFonts w:eastAsiaTheme="minorHAnsi" w:cstheme="minorBidi"/>
      <w:lang w:eastAsia="en-US"/>
    </w:rPr>
  </w:style>
  <w:style w:type="paragraph" w:customStyle="1" w:styleId="HR">
    <w:name w:val="HR"/>
    <w:aliases w:val="Regulation Heading"/>
    <w:basedOn w:val="Normal"/>
    <w:next w:val="Normal"/>
    <w:uiPriority w:val="99"/>
    <w:rsid w:val="00E704A7"/>
    <w:pPr>
      <w:keepNext/>
      <w:tabs>
        <w:tab w:val="left" w:pos="540"/>
      </w:tabs>
      <w:autoSpaceDE w:val="0"/>
      <w:autoSpaceDN w:val="0"/>
      <w:spacing w:before="240" w:after="120" w:line="240" w:lineRule="auto"/>
      <w:jc w:val="both"/>
    </w:pPr>
    <w:rPr>
      <w:rFonts w:ascii="Times" w:eastAsia="Times New Roman" w:hAnsi="Times" w:cs="Times"/>
      <w:b/>
      <w:bCs/>
      <w:sz w:val="26"/>
      <w:szCs w:val="26"/>
      <w:lang w:eastAsia="en-AU"/>
    </w:rPr>
  </w:style>
  <w:style w:type="paragraph" w:customStyle="1" w:styleId="definition0">
    <w:name w:val="definition"/>
    <w:basedOn w:val="Normal"/>
    <w:rsid w:val="00E704A7"/>
    <w:pPr>
      <w:tabs>
        <w:tab w:val="right" w:pos="1080"/>
        <w:tab w:val="left" w:pos="1260"/>
        <w:tab w:val="left" w:pos="1800"/>
      </w:tabs>
      <w:autoSpaceDE w:val="0"/>
      <w:autoSpaceDN w:val="0"/>
      <w:spacing w:before="40" w:line="240" w:lineRule="auto"/>
      <w:jc w:val="both"/>
    </w:pPr>
    <w:rPr>
      <w:rFonts w:ascii="Times" w:eastAsia="Times New Roman" w:hAnsi="Times" w:cs="Times"/>
      <w:sz w:val="26"/>
      <w:szCs w:val="26"/>
      <w:lang w:eastAsia="en-AU"/>
    </w:rPr>
  </w:style>
  <w:style w:type="numbering" w:customStyle="1" w:styleId="Style1">
    <w:name w:val="Style1"/>
    <w:rsid w:val="00E704A7"/>
    <w:pPr>
      <w:numPr>
        <w:numId w:val="38"/>
      </w:numPr>
    </w:pPr>
  </w:style>
  <w:style w:type="paragraph" w:styleId="Revision">
    <w:name w:val="Revision"/>
    <w:hidden/>
    <w:uiPriority w:val="99"/>
    <w:semiHidden/>
    <w:rsid w:val="00746B38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BB80765314C4697FEFDBD6D03C589" ma:contentTypeVersion="0" ma:contentTypeDescription="Create a new document." ma:contentTypeScope="" ma:versionID="dac7c030914137414a810612d9013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8AFB-75DC-4DEF-B183-7B01DC29A51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C6E20A-397F-4EB9-906F-B34952C8B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62B8CA-E665-4E6F-8221-DFA410BBF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1AF34-BD3F-4C0D-B774-2AFEEC57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5</Pages>
  <Words>1306</Words>
  <Characters>7449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8738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Sekhon, Shireen</dc:creator>
  <cp:keywords/>
  <dc:description/>
  <cp:lastModifiedBy>Cowell, Alexandra</cp:lastModifiedBy>
  <cp:revision>2</cp:revision>
  <cp:lastPrinted>2012-12-05T04:21:00Z</cp:lastPrinted>
  <dcterms:created xsi:type="dcterms:W3CDTF">2017-12-20T23:05:00Z</dcterms:created>
  <dcterms:modified xsi:type="dcterms:W3CDTF">2017-12-20T23:05:00Z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0x010100912BB80765314C4697FEFDBD6D03C589</vt:lpwstr>
  </property>
  <property fmtid="{D5CDD505-2E9C-101B-9397-08002B2CF9AE}" pid="16" name="TrimRevisionNumber">
    <vt:i4>1</vt:i4>
  </property>
</Properties>
</file>