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56F9" w14:textId="52042992" w:rsidR="007A4EE7" w:rsidRPr="00DC685F" w:rsidRDefault="007A4EE7" w:rsidP="0069081A">
      <w:pPr>
        <w:spacing w:before="240"/>
        <w:jc w:val="center"/>
        <w:rPr>
          <w:b/>
          <w:sz w:val="22"/>
          <w:szCs w:val="22"/>
          <w:u w:val="single"/>
        </w:rPr>
      </w:pPr>
      <w:r w:rsidRPr="00364010">
        <w:rPr>
          <w:b/>
          <w:u w:val="single"/>
        </w:rPr>
        <w:t>EXPLANATORY STATEMENT</w:t>
      </w:r>
      <w:bookmarkStart w:id="0" w:name="_GoBack"/>
      <w:bookmarkEnd w:id="0"/>
    </w:p>
    <w:p w14:paraId="3B5B56FA" w14:textId="77777777" w:rsidR="007A4EE7" w:rsidRPr="00DC685F" w:rsidRDefault="007A4EE7" w:rsidP="007A4EE7">
      <w:pPr>
        <w:spacing w:before="240"/>
        <w:jc w:val="center"/>
        <w:rPr>
          <w:sz w:val="22"/>
          <w:szCs w:val="22"/>
        </w:rPr>
      </w:pPr>
      <w:r w:rsidRPr="00DC685F">
        <w:rPr>
          <w:sz w:val="22"/>
          <w:szCs w:val="22"/>
        </w:rPr>
        <w:t>Issued by the Authority of the Attorney-General</w:t>
      </w:r>
    </w:p>
    <w:p w14:paraId="3B5B56FB" w14:textId="77777777" w:rsidR="007A4EE7" w:rsidRDefault="007A4EE7" w:rsidP="007A4EE7">
      <w:pPr>
        <w:spacing w:before="240"/>
        <w:jc w:val="center"/>
        <w:rPr>
          <w:i/>
          <w:sz w:val="22"/>
          <w:szCs w:val="22"/>
        </w:rPr>
      </w:pPr>
      <w:r w:rsidRPr="00DC685F">
        <w:rPr>
          <w:i/>
          <w:sz w:val="22"/>
          <w:szCs w:val="22"/>
        </w:rPr>
        <w:t>Administrative Appeals Tribunal Act 1975</w:t>
      </w:r>
    </w:p>
    <w:p w14:paraId="3B5B56FC" w14:textId="77777777" w:rsidR="009142AB" w:rsidRDefault="005C052F" w:rsidP="009142AB">
      <w:pPr>
        <w:spacing w:before="240"/>
        <w:jc w:val="center"/>
        <w:rPr>
          <w:i/>
          <w:sz w:val="22"/>
          <w:szCs w:val="22"/>
        </w:rPr>
      </w:pPr>
      <w:r>
        <w:rPr>
          <w:i/>
          <w:sz w:val="22"/>
          <w:szCs w:val="22"/>
        </w:rPr>
        <w:t>Administrative Appeals Tribunal (Code of Practice) Determination 2017</w:t>
      </w:r>
    </w:p>
    <w:p w14:paraId="3B5B56FD" w14:textId="77777777" w:rsidR="009142AB" w:rsidRPr="00F30A19" w:rsidRDefault="009142AB" w:rsidP="009142AB">
      <w:pPr>
        <w:spacing w:before="240"/>
        <w:jc w:val="center"/>
        <w:rPr>
          <w:i/>
        </w:rPr>
      </w:pPr>
    </w:p>
    <w:p w14:paraId="3B5B56FE" w14:textId="77777777" w:rsidR="00A96F3E" w:rsidRPr="00F30A19" w:rsidRDefault="004F1C23" w:rsidP="00F30A19">
      <w:pPr>
        <w:keepNext/>
        <w:spacing w:before="240" w:after="120" w:line="240" w:lineRule="exact"/>
        <w:rPr>
          <w:b/>
        </w:rPr>
      </w:pPr>
      <w:r w:rsidRPr="00F30A19">
        <w:rPr>
          <w:b/>
        </w:rPr>
        <w:t xml:space="preserve"> </w:t>
      </w:r>
      <w:r w:rsidR="00A96F3E" w:rsidRPr="00F30A19">
        <w:rPr>
          <w:b/>
        </w:rPr>
        <w:t>Legislative</w:t>
      </w:r>
      <w:r w:rsidRPr="00F30A19">
        <w:rPr>
          <w:b/>
        </w:rPr>
        <w:t xml:space="preserve"> Authority</w:t>
      </w:r>
      <w:r w:rsidR="00A96F3E" w:rsidRPr="00F30A19">
        <w:rPr>
          <w:b/>
        </w:rPr>
        <w:t xml:space="preserve"> </w:t>
      </w:r>
    </w:p>
    <w:p w14:paraId="3B5B56FF" w14:textId="4034CE31" w:rsidR="00131032" w:rsidRPr="00F30A19" w:rsidRDefault="00131032" w:rsidP="00F30A19">
      <w:pPr>
        <w:spacing w:line="240" w:lineRule="exact"/>
      </w:pPr>
      <w:r w:rsidRPr="00F30A19">
        <w:t xml:space="preserve">The </w:t>
      </w:r>
      <w:r w:rsidRPr="00F30A19">
        <w:rPr>
          <w:i/>
        </w:rPr>
        <w:t xml:space="preserve">Administrative Appeals Tribunal Act 1975 </w:t>
      </w:r>
      <w:r w:rsidRPr="00F30A19">
        <w:t xml:space="preserve">(the Act) establishes the Administrative Appeals Tribunal </w:t>
      </w:r>
      <w:r w:rsidR="007D5574" w:rsidRPr="00F30A19">
        <w:t xml:space="preserve">(AAT) </w:t>
      </w:r>
      <w:r w:rsidRPr="00F30A19">
        <w:t>as the peak Commonwealth merits review tribunal</w:t>
      </w:r>
      <w:r w:rsidR="004A0B59" w:rsidRPr="00F30A19">
        <w:t xml:space="preserve">. </w:t>
      </w:r>
      <w:r w:rsidR="007A4EE7" w:rsidRPr="00F30A19">
        <w:t>S</w:t>
      </w:r>
      <w:r w:rsidR="00685342" w:rsidRPr="00F30A19">
        <w:t>ubs</w:t>
      </w:r>
      <w:r w:rsidR="007A4EE7" w:rsidRPr="00F30A19">
        <w:t xml:space="preserve">ection </w:t>
      </w:r>
      <w:proofErr w:type="gramStart"/>
      <w:r w:rsidR="007A4EE7" w:rsidRPr="00F30A19">
        <w:t>27B</w:t>
      </w:r>
      <w:r w:rsidR="00685342" w:rsidRPr="00F30A19">
        <w:t>(</w:t>
      </w:r>
      <w:proofErr w:type="gramEnd"/>
      <w:r w:rsidR="00685342" w:rsidRPr="00F30A19">
        <w:t>1)</w:t>
      </w:r>
      <w:r w:rsidR="007A4EE7" w:rsidRPr="00F30A19">
        <w:t xml:space="preserve"> of the </w:t>
      </w:r>
      <w:r w:rsidRPr="00F30A19">
        <w:t>Act</w:t>
      </w:r>
      <w:r w:rsidR="007A4EE7" w:rsidRPr="00F30A19">
        <w:t xml:space="preserve"> provides that the </w:t>
      </w:r>
      <w:r w:rsidR="00685342" w:rsidRPr="00F30A19">
        <w:t>Attorney</w:t>
      </w:r>
      <w:r w:rsidR="00685342" w:rsidRPr="00F30A19">
        <w:noBreakHyphen/>
        <w:t>General</w:t>
      </w:r>
      <w:r w:rsidR="007A4EE7" w:rsidRPr="00F30A19">
        <w:t xml:space="preserve"> </w:t>
      </w:r>
      <w:r w:rsidR="00685342" w:rsidRPr="00F30A19">
        <w:t>may, by legislative instrument, determine a Code of Practice for the purpose of facilitating the operation of subsection 27A(1) of the Act.</w:t>
      </w:r>
    </w:p>
    <w:p w14:paraId="3B5B5700" w14:textId="77777777" w:rsidR="0099410C" w:rsidRPr="00F30A19" w:rsidRDefault="0099410C" w:rsidP="007A4EE7"/>
    <w:p w14:paraId="3B5B5701" w14:textId="77777777" w:rsidR="0099410C" w:rsidRPr="00F30A19" w:rsidRDefault="0099410C" w:rsidP="00F30A19">
      <w:pPr>
        <w:spacing w:line="240" w:lineRule="exact"/>
      </w:pPr>
      <w:r w:rsidRPr="00F30A19">
        <w:t xml:space="preserve">The </w:t>
      </w:r>
      <w:r w:rsidRPr="00F30A19">
        <w:rPr>
          <w:i/>
        </w:rPr>
        <w:t>Administrative Appeals Tribunal (Code of Practice) Determination 2017</w:t>
      </w:r>
      <w:r w:rsidRPr="00F30A19">
        <w:t xml:space="preserve"> (the Code) will replace and repeal the </w:t>
      </w:r>
      <w:r w:rsidRPr="00F30A19">
        <w:rPr>
          <w:i/>
        </w:rPr>
        <w:t>Code of Practice for Notification of Reviewable Decisions and Rights of Review</w:t>
      </w:r>
      <w:r w:rsidRPr="00F30A19">
        <w:t xml:space="preserve"> (the Code</w:t>
      </w:r>
      <w:r w:rsidR="00541E0C" w:rsidRPr="00F30A19">
        <w:t xml:space="preserve"> of Practice</w:t>
      </w:r>
      <w:r w:rsidRPr="00F30A19">
        <w:t>).</w:t>
      </w:r>
    </w:p>
    <w:p w14:paraId="3B5B5702" w14:textId="77777777" w:rsidR="00DC6B2A" w:rsidRPr="00F30A19" w:rsidRDefault="00DC6B2A" w:rsidP="00F30A19">
      <w:pPr>
        <w:spacing w:line="240" w:lineRule="exact"/>
      </w:pPr>
    </w:p>
    <w:p w14:paraId="3B5B5703" w14:textId="77777777" w:rsidR="00A96F3E" w:rsidRPr="00F30A19" w:rsidRDefault="004F1C23" w:rsidP="00F30A19">
      <w:pPr>
        <w:spacing w:line="240" w:lineRule="exact"/>
        <w:rPr>
          <w:b/>
        </w:rPr>
      </w:pPr>
      <w:r w:rsidRPr="00F30A19">
        <w:rPr>
          <w:b/>
        </w:rPr>
        <w:t>Purpose</w:t>
      </w:r>
    </w:p>
    <w:p w14:paraId="3B5B5704" w14:textId="77777777" w:rsidR="003B303A" w:rsidRPr="00641CEA" w:rsidRDefault="003B303A" w:rsidP="00641CEA">
      <w:pPr>
        <w:autoSpaceDE w:val="0"/>
        <w:autoSpaceDN w:val="0"/>
        <w:adjustRightInd w:val="0"/>
        <w:spacing w:line="240" w:lineRule="exact"/>
        <w:rPr>
          <w:rFonts w:eastAsiaTheme="minorHAnsi"/>
          <w:iCs/>
          <w:lang w:eastAsia="en-US"/>
        </w:rPr>
      </w:pPr>
      <w:r w:rsidRPr="00641CEA">
        <w:rPr>
          <w:rFonts w:eastAsiaTheme="minorHAnsi"/>
          <w:iCs/>
          <w:lang w:eastAsia="en-US"/>
        </w:rPr>
        <w:t>The Code covers decisions made under Commonwealth laws that are subject to review by the</w:t>
      </w:r>
    </w:p>
    <w:p w14:paraId="3B5B5705" w14:textId="28FE97A1" w:rsidR="00541E0C" w:rsidRPr="00F30A19" w:rsidRDefault="003B303A" w:rsidP="00641CEA">
      <w:pPr>
        <w:autoSpaceDE w:val="0"/>
        <w:autoSpaceDN w:val="0"/>
        <w:adjustRightInd w:val="0"/>
        <w:spacing w:line="240" w:lineRule="exact"/>
        <w:rPr>
          <w:rFonts w:eastAsiaTheme="minorHAnsi"/>
          <w:iCs/>
          <w:lang w:eastAsia="en-US"/>
        </w:rPr>
      </w:pPr>
      <w:r w:rsidRPr="00641CEA">
        <w:rPr>
          <w:rFonts w:eastAsiaTheme="minorHAnsi"/>
          <w:iCs/>
          <w:lang w:eastAsia="en-US"/>
        </w:rPr>
        <w:t>AA</w:t>
      </w:r>
      <w:r w:rsidR="00D777EE">
        <w:rPr>
          <w:rFonts w:eastAsiaTheme="minorHAnsi"/>
          <w:iCs/>
          <w:lang w:eastAsia="en-US"/>
        </w:rPr>
        <w:t>T and its purpose is to ensure that affected persons are advised of reviewable decisions and are aware of their rights to seek review of those decisions on the merits</w:t>
      </w:r>
      <w:r w:rsidR="0021515A" w:rsidRPr="00F30A19">
        <w:rPr>
          <w:rFonts w:eastAsiaTheme="minorHAnsi"/>
          <w:iCs/>
          <w:lang w:eastAsia="en-US"/>
        </w:rPr>
        <w:t xml:space="preserve">. </w:t>
      </w:r>
      <w:r w:rsidR="00541E0C" w:rsidRPr="00F30A19">
        <w:rPr>
          <w:rFonts w:eastAsiaTheme="minorHAnsi"/>
          <w:iCs/>
          <w:lang w:eastAsia="en-US"/>
        </w:rPr>
        <w:t>In</w:t>
      </w:r>
      <w:r w:rsidR="0021515A" w:rsidRPr="00F30A19">
        <w:rPr>
          <w:rFonts w:eastAsiaTheme="minorHAnsi"/>
          <w:iCs/>
          <w:lang w:eastAsia="en-US"/>
        </w:rPr>
        <w:t xml:space="preserve"> practice this may be achieved </w:t>
      </w:r>
      <w:r w:rsidR="00816BDA" w:rsidRPr="00F30A19">
        <w:rPr>
          <w:rFonts w:eastAsiaTheme="minorHAnsi"/>
          <w:iCs/>
          <w:lang w:eastAsia="en-US"/>
        </w:rPr>
        <w:t xml:space="preserve">by an </w:t>
      </w:r>
      <w:r w:rsidR="00974DC7">
        <w:rPr>
          <w:rFonts w:eastAsiaTheme="minorHAnsi"/>
          <w:iCs/>
          <w:lang w:eastAsia="en-US"/>
        </w:rPr>
        <w:t>a</w:t>
      </w:r>
      <w:r w:rsidR="00816BDA" w:rsidRPr="00F30A19">
        <w:rPr>
          <w:rFonts w:eastAsiaTheme="minorHAnsi"/>
          <w:iCs/>
          <w:lang w:eastAsia="en-US"/>
        </w:rPr>
        <w:t>gency wh</w:t>
      </w:r>
      <w:r w:rsidR="00974DC7">
        <w:rPr>
          <w:rFonts w:eastAsiaTheme="minorHAnsi"/>
          <w:iCs/>
          <w:lang w:eastAsia="en-US"/>
        </w:rPr>
        <w:t>ich</w:t>
      </w:r>
      <w:r w:rsidR="00816BDA" w:rsidRPr="00F30A19">
        <w:rPr>
          <w:rFonts w:eastAsiaTheme="minorHAnsi"/>
          <w:iCs/>
          <w:lang w:eastAsia="en-US"/>
        </w:rPr>
        <w:t xml:space="preserve"> makes reviewable decisions under Commonwealth law that are subject to AAT review</w:t>
      </w:r>
      <w:r w:rsidR="0021515A" w:rsidRPr="00F30A19">
        <w:rPr>
          <w:rFonts w:eastAsiaTheme="minorHAnsi"/>
          <w:iCs/>
          <w:lang w:eastAsia="en-US"/>
        </w:rPr>
        <w:t>,</w:t>
      </w:r>
      <w:r w:rsidR="00816BDA" w:rsidRPr="00F30A19">
        <w:rPr>
          <w:rFonts w:eastAsiaTheme="minorHAnsi"/>
          <w:iCs/>
          <w:lang w:eastAsia="en-US"/>
        </w:rPr>
        <w:t xml:space="preserve"> </w:t>
      </w:r>
      <w:r w:rsidR="0021515A" w:rsidRPr="00F30A19">
        <w:rPr>
          <w:rFonts w:eastAsiaTheme="minorHAnsi"/>
          <w:iCs/>
          <w:lang w:eastAsia="en-US"/>
        </w:rPr>
        <w:t>providing</w:t>
      </w:r>
      <w:r w:rsidR="00352CE5" w:rsidRPr="00F30A19">
        <w:rPr>
          <w:rFonts w:eastAsiaTheme="minorHAnsi"/>
          <w:iCs/>
          <w:lang w:eastAsia="en-US"/>
        </w:rPr>
        <w:t xml:space="preserve"> the</w:t>
      </w:r>
      <w:r w:rsidR="0021515A" w:rsidRPr="00F30A19">
        <w:rPr>
          <w:rFonts w:eastAsiaTheme="minorHAnsi"/>
          <w:iCs/>
          <w:lang w:eastAsia="en-US"/>
        </w:rPr>
        <w:t xml:space="preserve"> </w:t>
      </w:r>
      <w:r w:rsidR="00696102" w:rsidRPr="00641CEA">
        <w:rPr>
          <w:rFonts w:eastAsiaTheme="minorHAnsi"/>
          <w:iCs/>
          <w:lang w:eastAsia="en-US"/>
        </w:rPr>
        <w:t>persons affected by a reviewable decision</w:t>
      </w:r>
      <w:r w:rsidR="00717D53">
        <w:rPr>
          <w:rFonts w:eastAsiaTheme="minorHAnsi"/>
          <w:iCs/>
          <w:lang w:eastAsia="en-US"/>
        </w:rPr>
        <w:t xml:space="preserve"> with a decision notice</w:t>
      </w:r>
      <w:r w:rsidR="00696102" w:rsidRPr="00641CEA">
        <w:rPr>
          <w:rFonts w:eastAsiaTheme="minorHAnsi"/>
          <w:iCs/>
          <w:lang w:eastAsia="en-US"/>
        </w:rPr>
        <w:t xml:space="preserve"> to better understand the decision and post decision review options. </w:t>
      </w:r>
    </w:p>
    <w:p w14:paraId="3B5B5706" w14:textId="77777777" w:rsidR="00557A39" w:rsidRPr="00F30A19" w:rsidRDefault="00557A39" w:rsidP="00F30A19">
      <w:pPr>
        <w:spacing w:line="240" w:lineRule="exact"/>
        <w:rPr>
          <w:b/>
        </w:rPr>
      </w:pPr>
    </w:p>
    <w:p w14:paraId="3B5B5707" w14:textId="77777777" w:rsidR="00541E0C" w:rsidRPr="00F30A19" w:rsidRDefault="004F1C23" w:rsidP="00F30A19">
      <w:pPr>
        <w:spacing w:line="240" w:lineRule="exact"/>
        <w:rPr>
          <w:rFonts w:eastAsiaTheme="minorHAnsi"/>
          <w:iCs/>
          <w:lang w:eastAsia="en-US"/>
        </w:rPr>
      </w:pPr>
      <w:r w:rsidRPr="00F30A19">
        <w:rPr>
          <w:b/>
        </w:rPr>
        <w:t>Background</w:t>
      </w:r>
    </w:p>
    <w:p w14:paraId="3B5B5708" w14:textId="3A258F48" w:rsidR="00541E0C" w:rsidRPr="00F30A19" w:rsidRDefault="00541E0C" w:rsidP="00541E0C">
      <w:pPr>
        <w:spacing w:line="240" w:lineRule="exact"/>
        <w:rPr>
          <w:rFonts w:eastAsiaTheme="minorHAnsi"/>
          <w:iCs/>
          <w:lang w:eastAsia="en-US"/>
        </w:rPr>
      </w:pPr>
      <w:r w:rsidRPr="00F30A19">
        <w:rPr>
          <w:rFonts w:eastAsiaTheme="minorHAnsi"/>
          <w:iCs/>
          <w:lang w:eastAsia="en-US"/>
        </w:rPr>
        <w:t>The Code outlines the steps a decision-maker must take to ensure that decision notices contain information of three broad kinds</w:t>
      </w:r>
      <w:r w:rsidR="00974DC7">
        <w:rPr>
          <w:rFonts w:eastAsiaTheme="minorHAnsi"/>
          <w:iCs/>
          <w:lang w:eastAsia="en-US"/>
        </w:rPr>
        <w:t>:</w:t>
      </w:r>
      <w:r w:rsidRPr="00F30A19">
        <w:rPr>
          <w:rFonts w:eastAsiaTheme="minorHAnsi"/>
          <w:iCs/>
          <w:lang w:eastAsia="en-US"/>
        </w:rPr>
        <w:t xml:space="preserve"> how information about the affected person in relation to the decision may obtain further information about their decision, whether the affected person is able to seek internal or external merits review of the reviewable decision</w:t>
      </w:r>
      <w:r w:rsidR="00974DC7">
        <w:rPr>
          <w:rFonts w:eastAsiaTheme="minorHAnsi"/>
          <w:iCs/>
          <w:lang w:eastAsia="en-US"/>
        </w:rPr>
        <w:t>,</w:t>
      </w:r>
      <w:r w:rsidRPr="00F30A19">
        <w:rPr>
          <w:rFonts w:eastAsiaTheme="minorHAnsi"/>
          <w:iCs/>
          <w:lang w:eastAsia="en-US"/>
        </w:rPr>
        <w:t xml:space="preserve"> and whe</w:t>
      </w:r>
      <w:r w:rsidR="00974DC7">
        <w:rPr>
          <w:rFonts w:eastAsiaTheme="minorHAnsi"/>
          <w:iCs/>
          <w:lang w:eastAsia="en-US"/>
        </w:rPr>
        <w:t>re</w:t>
      </w:r>
      <w:r w:rsidRPr="00F30A19">
        <w:rPr>
          <w:rFonts w:eastAsiaTheme="minorHAnsi"/>
          <w:iCs/>
          <w:lang w:eastAsia="en-US"/>
        </w:rPr>
        <w:t xml:space="preserve"> avenues of review are available further details about the review. </w:t>
      </w:r>
    </w:p>
    <w:p w14:paraId="3B5B5709" w14:textId="77777777" w:rsidR="00541E0C" w:rsidRPr="00F30A19" w:rsidRDefault="00541E0C" w:rsidP="00541E0C">
      <w:pPr>
        <w:spacing w:line="240" w:lineRule="exact"/>
        <w:rPr>
          <w:rFonts w:eastAsiaTheme="minorHAnsi"/>
          <w:iCs/>
          <w:lang w:eastAsia="en-US"/>
        </w:rPr>
      </w:pPr>
    </w:p>
    <w:p w14:paraId="3B5B570A" w14:textId="4DF6A2AF" w:rsidR="00541E0C" w:rsidRPr="00F30A19" w:rsidRDefault="00541E0C" w:rsidP="00541E0C">
      <w:pPr>
        <w:spacing w:line="240" w:lineRule="exact"/>
        <w:rPr>
          <w:b/>
        </w:rPr>
      </w:pPr>
      <w:r w:rsidRPr="00F30A19">
        <w:t>Other information that must be provided by the decision-maker to the affected person includes</w:t>
      </w:r>
      <w:r w:rsidR="00974DC7">
        <w:t>:</w:t>
      </w:r>
      <w:r w:rsidRPr="00F30A19">
        <w:t xml:space="preserve"> the ability of an affected person to make a complaint in relation to the reviewable decision, any legal, financial or other forms of advice that are available to the affected person</w:t>
      </w:r>
      <w:r w:rsidR="00974DC7">
        <w:t>,</w:t>
      </w:r>
      <w:r w:rsidRPr="00F30A19">
        <w:t xml:space="preserve"> and any other information that the decision-maker considers to the appropriate in the circumstances.</w:t>
      </w:r>
    </w:p>
    <w:p w14:paraId="3B5B570B" w14:textId="77777777" w:rsidR="00541E0C" w:rsidRPr="00F30A19" w:rsidRDefault="00541E0C" w:rsidP="00F30A19">
      <w:pPr>
        <w:spacing w:line="240" w:lineRule="exact"/>
        <w:rPr>
          <w:rFonts w:eastAsiaTheme="minorHAnsi"/>
          <w:iCs/>
          <w:lang w:eastAsia="en-US"/>
        </w:rPr>
      </w:pPr>
    </w:p>
    <w:p w14:paraId="3B5B570C" w14:textId="77777777" w:rsidR="008C1DA1" w:rsidRPr="00F30A19" w:rsidRDefault="009142AB" w:rsidP="00F30A19">
      <w:pPr>
        <w:spacing w:line="240" w:lineRule="exact"/>
      </w:pPr>
      <w:r w:rsidRPr="00F30A19">
        <w:t xml:space="preserve">Details of the Code are set out in </w:t>
      </w:r>
      <w:r w:rsidRPr="00F30A19">
        <w:rPr>
          <w:u w:val="single"/>
        </w:rPr>
        <w:t>Attachment A</w:t>
      </w:r>
      <w:r w:rsidRPr="00F30A19">
        <w:t>.</w:t>
      </w:r>
    </w:p>
    <w:p w14:paraId="3B5B570D" w14:textId="77777777" w:rsidR="00DC6B2A" w:rsidRPr="00F30A19" w:rsidRDefault="00DC6B2A" w:rsidP="00F30A19">
      <w:pPr>
        <w:spacing w:line="240" w:lineRule="exact"/>
      </w:pPr>
    </w:p>
    <w:p w14:paraId="3B5B570E" w14:textId="77777777" w:rsidR="00DC6B2A" w:rsidRPr="00F30A19" w:rsidRDefault="00DC6B2A" w:rsidP="00F30A19">
      <w:pPr>
        <w:spacing w:line="240" w:lineRule="exact"/>
      </w:pPr>
      <w:r w:rsidRPr="00F30A19">
        <w:t>The authorising Act does not specif</w:t>
      </w:r>
      <w:r w:rsidR="00455C11" w:rsidRPr="00F30A19">
        <w:t>y</w:t>
      </w:r>
      <w:r w:rsidRPr="00F30A19">
        <w:t xml:space="preserve"> any conditions that need to be satisfied before the power to make the </w:t>
      </w:r>
      <w:r w:rsidR="00193E6F" w:rsidRPr="00F30A19">
        <w:t>l</w:t>
      </w:r>
      <w:r w:rsidR="00773636" w:rsidRPr="00F30A19">
        <w:t xml:space="preserve">egislative </w:t>
      </w:r>
      <w:r w:rsidR="00193E6F" w:rsidRPr="00F30A19">
        <w:t>i</w:t>
      </w:r>
      <w:r w:rsidRPr="00F30A19">
        <w:t>nstrument may be exercised.</w:t>
      </w:r>
    </w:p>
    <w:p w14:paraId="3B5B570F" w14:textId="77777777" w:rsidR="009142AB" w:rsidRPr="00F30A19" w:rsidRDefault="009142AB" w:rsidP="00F30A19">
      <w:pPr>
        <w:spacing w:line="240" w:lineRule="exact"/>
        <w:rPr>
          <w:b/>
        </w:rPr>
      </w:pPr>
    </w:p>
    <w:p w14:paraId="5446A8CE" w14:textId="5213E5FF" w:rsidR="00B50A19" w:rsidRDefault="000A318F" w:rsidP="00B50A19">
      <w:pPr>
        <w:spacing w:line="240" w:lineRule="exact"/>
      </w:pPr>
      <w:r w:rsidRPr="00F30A19">
        <w:t>Consultation was undertaken with the AAT, the Attorney</w:t>
      </w:r>
      <w:r w:rsidRPr="00F30A19">
        <w:noBreakHyphen/>
        <w:t>General and the following Commonwealth Agencies: the Department of Communications and the Arts, Department of Defence, Department of Environment and Energy, Department of Finance, Department of Health, Department of Industry, Innovation and Science, Department of Infrastructure and Regional Development, Treasury, Department of Veteran’s Affairs, Department of Agriculture and Water Resources, Department of Social Services, Department of Education, Department of Employment, A</w:t>
      </w:r>
      <w:r w:rsidR="00665B41">
        <w:t xml:space="preserve">ustralian </w:t>
      </w:r>
      <w:r w:rsidRPr="00F30A19">
        <w:t>S</w:t>
      </w:r>
      <w:r w:rsidR="00665B41">
        <w:t xml:space="preserve">ecurity </w:t>
      </w:r>
      <w:r w:rsidRPr="00F30A19">
        <w:t>I</w:t>
      </w:r>
      <w:r w:rsidR="00665B41">
        <w:t xml:space="preserve">ntelligence </w:t>
      </w:r>
      <w:r w:rsidRPr="00F30A19">
        <w:t>O</w:t>
      </w:r>
      <w:r w:rsidR="00665B41">
        <w:t>rganisation</w:t>
      </w:r>
      <w:r w:rsidRPr="00F30A19">
        <w:t xml:space="preserve">, </w:t>
      </w:r>
      <w:r w:rsidR="00974DC7">
        <w:t xml:space="preserve">Department of the </w:t>
      </w:r>
      <w:r w:rsidRPr="00F30A19">
        <w:t xml:space="preserve">Prime Minister and Cabinet, Department of Foreign Affairs and Trade, Department of Immigration and Border Protection, </w:t>
      </w:r>
      <w:r w:rsidR="00974DC7">
        <w:t>t</w:t>
      </w:r>
      <w:r w:rsidRPr="00F30A19">
        <w:t>he Office of the Australian Information Commissioner</w:t>
      </w:r>
      <w:r w:rsidR="00974DC7">
        <w:t>,</w:t>
      </w:r>
      <w:r w:rsidRPr="00F30A19">
        <w:t xml:space="preserve"> </w:t>
      </w:r>
      <w:r w:rsidRPr="00F30A19">
        <w:lastRenderedPageBreak/>
        <w:t>and the Department of Human Services.</w:t>
      </w:r>
      <w:r w:rsidR="00B50A19">
        <w:t xml:space="preserve"> These agencies supported the re</w:t>
      </w:r>
      <w:r w:rsidR="00B50A19">
        <w:noBreakHyphen/>
        <w:t xml:space="preserve">making of the Code, and comments and suggestions made by these agencies have been adopted and implemented into the Code. </w:t>
      </w:r>
    </w:p>
    <w:p w14:paraId="3B5B5710" w14:textId="078BD66C" w:rsidR="000A318F" w:rsidRPr="00F30A19" w:rsidRDefault="000A318F" w:rsidP="00F30A19">
      <w:pPr>
        <w:spacing w:line="240" w:lineRule="exact"/>
      </w:pPr>
    </w:p>
    <w:p w14:paraId="3B5B5711" w14:textId="77777777" w:rsidR="00D777EE" w:rsidRDefault="00D777EE" w:rsidP="00F30A19">
      <w:pPr>
        <w:spacing w:line="240" w:lineRule="exact"/>
      </w:pPr>
    </w:p>
    <w:p w14:paraId="3B5B5712" w14:textId="77777777" w:rsidR="009142AB" w:rsidRPr="00F30A19" w:rsidRDefault="009142AB" w:rsidP="00F30A19">
      <w:pPr>
        <w:spacing w:line="240" w:lineRule="exact"/>
      </w:pPr>
      <w:r w:rsidRPr="00F30A19">
        <w:t>The Office of Best Practice Regulation was consulted in relation to the Code and advised that no Regulation Impact Statement was required.</w:t>
      </w:r>
    </w:p>
    <w:p w14:paraId="3B5B5713" w14:textId="77777777" w:rsidR="009142AB" w:rsidRPr="00F30A19" w:rsidRDefault="009142AB" w:rsidP="00F30A19">
      <w:pPr>
        <w:spacing w:line="240" w:lineRule="exact"/>
        <w:rPr>
          <w:b/>
        </w:rPr>
      </w:pPr>
    </w:p>
    <w:p w14:paraId="3B5B5714" w14:textId="77777777" w:rsidR="000A318F" w:rsidRPr="00F30A19" w:rsidRDefault="009142AB" w:rsidP="00F30A19">
      <w:pPr>
        <w:spacing w:line="240" w:lineRule="exact"/>
      </w:pPr>
      <w:r w:rsidRPr="00F30A19">
        <w:t xml:space="preserve">The Code is a legislative instrument for the purposes of the </w:t>
      </w:r>
      <w:r w:rsidRPr="00F30A19">
        <w:rPr>
          <w:i/>
        </w:rPr>
        <w:t xml:space="preserve">Legislation Act </w:t>
      </w:r>
      <w:r w:rsidRPr="00F30A19">
        <w:t>2003</w:t>
      </w:r>
      <w:r w:rsidR="000A318F" w:rsidRPr="00F30A19">
        <w:t>.</w:t>
      </w:r>
    </w:p>
    <w:p w14:paraId="3B5B5715" w14:textId="77777777" w:rsidR="000A318F" w:rsidRPr="00F30A19" w:rsidRDefault="000A318F" w:rsidP="00F30A19">
      <w:pPr>
        <w:spacing w:line="240" w:lineRule="exact"/>
      </w:pPr>
    </w:p>
    <w:p w14:paraId="3B5B5716" w14:textId="77777777" w:rsidR="009142AB" w:rsidRPr="00F30A19" w:rsidRDefault="000A318F" w:rsidP="00F30A19">
      <w:pPr>
        <w:spacing w:line="240" w:lineRule="exact"/>
      </w:pPr>
      <w:r w:rsidRPr="00F30A19">
        <w:t>The Code</w:t>
      </w:r>
      <w:r w:rsidR="009142AB" w:rsidRPr="00F30A19">
        <w:t xml:space="preserve"> </w:t>
      </w:r>
      <w:r w:rsidRPr="00F30A19">
        <w:t xml:space="preserve">commenced on the day after it </w:t>
      </w:r>
      <w:proofErr w:type="gramStart"/>
      <w:r w:rsidRPr="00F30A19">
        <w:t>was registered</w:t>
      </w:r>
      <w:proofErr w:type="gramEnd"/>
      <w:r w:rsidRPr="00F30A19">
        <w:t xml:space="preserve"> on the Federal Register of Legislation</w:t>
      </w:r>
      <w:r w:rsidRPr="00F30A19">
        <w:fldChar w:fldCharType="begin"/>
      </w:r>
      <w:r w:rsidRPr="00F30A19">
        <w:instrText>http://www.comlaw.gov.au/</w:instrText>
      </w:r>
      <w:r w:rsidRPr="00F30A19">
        <w:fldChar w:fldCharType="separate"/>
      </w:r>
      <w:r w:rsidRPr="00F30A19">
        <w:t>http://www.comlaw.gov.au</w:t>
      </w:r>
      <w:r w:rsidRPr="00F30A19">
        <w:fldChar w:fldCharType="end"/>
      </w:r>
      <w:r w:rsidRPr="00F30A19">
        <w:t>.</w:t>
      </w:r>
    </w:p>
    <w:p w14:paraId="3B5B5717" w14:textId="77777777" w:rsidR="000A318F" w:rsidRPr="00F30A19" w:rsidRDefault="000A318F" w:rsidP="00F30A19">
      <w:pPr>
        <w:spacing w:line="240" w:lineRule="exact"/>
      </w:pPr>
    </w:p>
    <w:p w14:paraId="3B5B5718" w14:textId="77777777" w:rsidR="00BE568D" w:rsidRPr="00F30A19" w:rsidRDefault="009142AB" w:rsidP="00F30A19">
      <w:pPr>
        <w:pStyle w:val="subsection"/>
        <w:spacing w:before="0" w:line="240" w:lineRule="exact"/>
        <w:ind w:left="0" w:firstLine="0"/>
        <w:rPr>
          <w:b/>
          <w:sz w:val="24"/>
          <w:szCs w:val="24"/>
        </w:rPr>
        <w:sectPr w:rsidR="00BE568D" w:rsidRPr="00F30A19">
          <w:headerReference w:type="default" r:id="rId12"/>
          <w:footerReference w:type="default" r:id="rId13"/>
          <w:pgSz w:w="11906" w:h="16838"/>
          <w:pgMar w:top="1440" w:right="1440" w:bottom="1440" w:left="1440" w:header="708" w:footer="708" w:gutter="0"/>
          <w:cols w:space="708"/>
          <w:docGrid w:linePitch="360"/>
        </w:sectPr>
      </w:pPr>
      <w:r w:rsidRPr="00F30A19">
        <w:rPr>
          <w:sz w:val="24"/>
          <w:szCs w:val="24"/>
        </w:rPr>
        <w:t>The Statement of Compat</w:t>
      </w:r>
      <w:r w:rsidR="000A318F" w:rsidRPr="00F30A19">
        <w:rPr>
          <w:sz w:val="24"/>
          <w:szCs w:val="24"/>
        </w:rPr>
        <w:t xml:space="preserve">ibility with Human Rights for this </w:t>
      </w:r>
      <w:r w:rsidRPr="00F30A19">
        <w:rPr>
          <w:sz w:val="24"/>
          <w:szCs w:val="24"/>
        </w:rPr>
        <w:t xml:space="preserve">Code is set out in </w:t>
      </w:r>
      <w:r w:rsidRPr="00F30A19">
        <w:rPr>
          <w:sz w:val="24"/>
          <w:szCs w:val="24"/>
          <w:u w:val="single"/>
        </w:rPr>
        <w:t>Attachment B</w:t>
      </w:r>
      <w:r w:rsidRPr="00F30A19">
        <w:rPr>
          <w:sz w:val="24"/>
          <w:szCs w:val="24"/>
        </w:rPr>
        <w:t>.</w:t>
      </w:r>
      <w:r w:rsidRPr="00F30A19" w:rsidDel="00E910F9">
        <w:rPr>
          <w:sz w:val="24"/>
          <w:szCs w:val="24"/>
        </w:rPr>
        <w:t xml:space="preserve"> </w:t>
      </w:r>
    </w:p>
    <w:p w14:paraId="3B5B5719" w14:textId="77777777" w:rsidR="00677BAA" w:rsidRPr="00F30A19" w:rsidRDefault="00677BAA" w:rsidP="00F30A19">
      <w:pPr>
        <w:spacing w:line="240" w:lineRule="exact"/>
        <w:rPr>
          <w:b/>
        </w:rPr>
      </w:pPr>
    </w:p>
    <w:p w14:paraId="3B5B571A" w14:textId="77777777" w:rsidR="00677BAA" w:rsidRPr="00F30A19" w:rsidRDefault="00677BAA" w:rsidP="00E45980">
      <w:pPr>
        <w:keepNext/>
        <w:keepLines/>
        <w:rPr>
          <w:b/>
          <w:u w:val="single"/>
        </w:rPr>
      </w:pPr>
      <w:r w:rsidRPr="00F30A19">
        <w:rPr>
          <w:b/>
          <w:u w:val="single"/>
        </w:rPr>
        <w:t>ATTACHMENT A</w:t>
      </w:r>
    </w:p>
    <w:p w14:paraId="3B5B571B" w14:textId="77777777" w:rsidR="00677BAA" w:rsidRPr="00F30A19" w:rsidRDefault="00677BAA" w:rsidP="00677BAA">
      <w:pPr>
        <w:spacing w:before="240"/>
        <w:rPr>
          <w:i/>
        </w:rPr>
      </w:pPr>
      <w:r w:rsidRPr="00F30A19">
        <w:t xml:space="preserve">Details of the </w:t>
      </w:r>
      <w:r w:rsidRPr="00F30A19">
        <w:rPr>
          <w:i/>
        </w:rPr>
        <w:t>Administrative Appeals Tribunal (Code of Practice) Determination 2017</w:t>
      </w:r>
    </w:p>
    <w:p w14:paraId="3B5B571C" w14:textId="77777777" w:rsidR="00677BAA" w:rsidRPr="00F30A19" w:rsidRDefault="00677BAA" w:rsidP="00DA5B62">
      <w:pPr>
        <w:keepNext/>
        <w:keepLines/>
        <w:rPr>
          <w:b/>
        </w:rPr>
      </w:pPr>
    </w:p>
    <w:p w14:paraId="3B5B571D" w14:textId="77777777" w:rsidR="00852591" w:rsidRPr="00F30A19" w:rsidRDefault="00977E9D" w:rsidP="00DA5B62">
      <w:pPr>
        <w:keepNext/>
        <w:keepLines/>
        <w:rPr>
          <w:b/>
        </w:rPr>
      </w:pPr>
      <w:r w:rsidRPr="00F30A19">
        <w:rPr>
          <w:b/>
        </w:rPr>
        <w:t>Explanation and effect of the Provisions</w:t>
      </w:r>
    </w:p>
    <w:p w14:paraId="3B5B571E" w14:textId="77777777" w:rsidR="005F093F" w:rsidRPr="00F30A19" w:rsidRDefault="005F093F" w:rsidP="00DA5B62">
      <w:pPr>
        <w:keepNext/>
        <w:keepLines/>
        <w:rPr>
          <w:b/>
        </w:rPr>
      </w:pPr>
    </w:p>
    <w:p w14:paraId="3B5B571F" w14:textId="77777777" w:rsidR="00852591" w:rsidRPr="00F30A19" w:rsidRDefault="0052285D" w:rsidP="00DA5B62">
      <w:pPr>
        <w:keepNext/>
        <w:keepLines/>
        <w:rPr>
          <w:u w:val="single"/>
        </w:rPr>
      </w:pPr>
      <w:r w:rsidRPr="00F30A19">
        <w:rPr>
          <w:u w:val="single"/>
        </w:rPr>
        <w:t>Clause</w:t>
      </w:r>
      <w:r w:rsidR="00852591" w:rsidRPr="00F30A19">
        <w:rPr>
          <w:u w:val="single"/>
        </w:rPr>
        <w:t xml:space="preserve"> 1 – Name</w:t>
      </w:r>
    </w:p>
    <w:p w14:paraId="3B5B5720" w14:textId="77777777" w:rsidR="00852591" w:rsidRPr="00F30A19" w:rsidRDefault="0052285D" w:rsidP="00DC6B2A">
      <w:pPr>
        <w:rPr>
          <w:i/>
        </w:rPr>
      </w:pPr>
      <w:r w:rsidRPr="00F30A19">
        <w:t>Clause</w:t>
      </w:r>
      <w:r w:rsidR="00DA70DF" w:rsidRPr="00F30A19">
        <w:t xml:space="preserve"> 1 sets out the title of the Instrument</w:t>
      </w:r>
      <w:r w:rsidR="00852591" w:rsidRPr="00F30A19">
        <w:t xml:space="preserve"> as the </w:t>
      </w:r>
      <w:r w:rsidR="00852591" w:rsidRPr="00F30A19">
        <w:rPr>
          <w:i/>
        </w:rPr>
        <w:t xml:space="preserve">Administrative Appeals Tribunal (Code of Practice) Determination 2017. </w:t>
      </w:r>
    </w:p>
    <w:p w14:paraId="3B5B5721" w14:textId="77777777" w:rsidR="00B51217" w:rsidRPr="00F30A19" w:rsidRDefault="00B51217" w:rsidP="00DC6B2A">
      <w:pPr>
        <w:rPr>
          <w:i/>
        </w:rPr>
      </w:pPr>
    </w:p>
    <w:p w14:paraId="3B5B5722" w14:textId="77777777" w:rsidR="00852591" w:rsidRPr="00F30A19" w:rsidRDefault="0052285D" w:rsidP="00DA5B62">
      <w:pPr>
        <w:keepNext/>
        <w:keepLines/>
        <w:rPr>
          <w:u w:val="single"/>
        </w:rPr>
      </w:pPr>
      <w:r w:rsidRPr="00F30A19">
        <w:rPr>
          <w:u w:val="single"/>
        </w:rPr>
        <w:t>Clause</w:t>
      </w:r>
      <w:r w:rsidR="00852591" w:rsidRPr="00F30A19">
        <w:rPr>
          <w:u w:val="single"/>
        </w:rPr>
        <w:t xml:space="preserve"> 2 – Commencement</w:t>
      </w:r>
    </w:p>
    <w:p w14:paraId="3B5B5723" w14:textId="77777777" w:rsidR="00852591" w:rsidRPr="00F30A19" w:rsidRDefault="0052285D" w:rsidP="00DA5B62">
      <w:pPr>
        <w:keepNext/>
        <w:keepLines/>
      </w:pPr>
      <w:r w:rsidRPr="00F30A19">
        <w:t>Clause</w:t>
      </w:r>
      <w:r w:rsidR="00852591" w:rsidRPr="00F30A19">
        <w:t xml:space="preserve"> 2 provides that the </w:t>
      </w:r>
      <w:r w:rsidR="00DA70DF" w:rsidRPr="00F30A19">
        <w:t>Instrument</w:t>
      </w:r>
      <w:r w:rsidR="00852591" w:rsidRPr="00F30A19">
        <w:t xml:space="preserve"> commen</w:t>
      </w:r>
      <w:r w:rsidR="00132FA3" w:rsidRPr="00F30A19">
        <w:t>ces the day after it is registere</w:t>
      </w:r>
      <w:r w:rsidR="00852591" w:rsidRPr="00F30A19">
        <w:t>d on the Federal Register of Legislation.</w:t>
      </w:r>
    </w:p>
    <w:p w14:paraId="3B5B5724" w14:textId="77777777" w:rsidR="00DA70DF" w:rsidRPr="00F30A19" w:rsidRDefault="00DA70DF" w:rsidP="00DC6B2A"/>
    <w:p w14:paraId="3B5B5725" w14:textId="6296850C" w:rsidR="00DA70DF" w:rsidRPr="00F30A19" w:rsidRDefault="0052285D" w:rsidP="00DC6B2A">
      <w:pPr>
        <w:rPr>
          <w:u w:val="single"/>
        </w:rPr>
      </w:pPr>
      <w:r w:rsidRPr="00F30A19">
        <w:rPr>
          <w:u w:val="single"/>
        </w:rPr>
        <w:t>Clause</w:t>
      </w:r>
      <w:r w:rsidR="00DA70DF" w:rsidRPr="00F30A19">
        <w:rPr>
          <w:u w:val="single"/>
        </w:rPr>
        <w:t xml:space="preserve"> 3</w:t>
      </w:r>
      <w:r w:rsidR="00974DC7">
        <w:rPr>
          <w:u w:val="single"/>
        </w:rPr>
        <w:t xml:space="preserve"> </w:t>
      </w:r>
      <w:r w:rsidR="00974DC7" w:rsidRPr="00F30A19">
        <w:rPr>
          <w:u w:val="single"/>
        </w:rPr>
        <w:t xml:space="preserve">– </w:t>
      </w:r>
      <w:r w:rsidR="00DA70DF" w:rsidRPr="00F30A19">
        <w:rPr>
          <w:u w:val="single"/>
        </w:rPr>
        <w:t>Authority</w:t>
      </w:r>
    </w:p>
    <w:p w14:paraId="3B5B5726" w14:textId="77777777" w:rsidR="00852591" w:rsidRPr="00F30A19" w:rsidRDefault="0052285D" w:rsidP="00DC6B2A">
      <w:r w:rsidRPr="00F30A19">
        <w:t>Clause</w:t>
      </w:r>
      <w:r w:rsidR="00DA70DF" w:rsidRPr="00F30A19">
        <w:t xml:space="preserve"> 3 sets out that this Instrument has been made under subsection </w:t>
      </w:r>
      <w:proofErr w:type="gramStart"/>
      <w:r w:rsidR="00DA70DF" w:rsidRPr="00F30A19">
        <w:t>27B(</w:t>
      </w:r>
      <w:proofErr w:type="gramEnd"/>
      <w:r w:rsidR="00DA70DF" w:rsidRPr="00F30A19">
        <w:t xml:space="preserve">1) of the </w:t>
      </w:r>
      <w:r w:rsidR="00DA70DF" w:rsidRPr="00F30A19">
        <w:rPr>
          <w:i/>
        </w:rPr>
        <w:t>Administrative Appeal Tribunal Act 19</w:t>
      </w:r>
      <w:r w:rsidR="003B303A">
        <w:rPr>
          <w:i/>
        </w:rPr>
        <w:t xml:space="preserve">75 </w:t>
      </w:r>
      <w:r w:rsidR="003B303A" w:rsidRPr="00641CEA">
        <w:t>(the Act)</w:t>
      </w:r>
      <w:r w:rsidR="00DA70DF" w:rsidRPr="00641CEA">
        <w:t>.</w:t>
      </w:r>
      <w:r w:rsidR="00DA70DF" w:rsidRPr="00F30A19">
        <w:t xml:space="preserve"> </w:t>
      </w:r>
    </w:p>
    <w:p w14:paraId="3B5B5727" w14:textId="77777777" w:rsidR="00DA70DF" w:rsidRPr="00F30A19" w:rsidRDefault="00DA70DF" w:rsidP="00DC6B2A"/>
    <w:p w14:paraId="3B5B5728" w14:textId="77777777" w:rsidR="00852591" w:rsidRPr="00F30A19" w:rsidRDefault="0052285D" w:rsidP="00DC6B2A">
      <w:pPr>
        <w:rPr>
          <w:u w:val="single"/>
        </w:rPr>
      </w:pPr>
      <w:r w:rsidRPr="00F30A19">
        <w:rPr>
          <w:u w:val="single"/>
        </w:rPr>
        <w:t>Clause</w:t>
      </w:r>
      <w:r w:rsidR="00DA70DF" w:rsidRPr="00F30A19">
        <w:rPr>
          <w:u w:val="single"/>
        </w:rPr>
        <w:t xml:space="preserve"> 4</w:t>
      </w:r>
      <w:r w:rsidR="00852591" w:rsidRPr="00F30A19">
        <w:rPr>
          <w:u w:val="single"/>
        </w:rPr>
        <w:t xml:space="preserve"> –</w:t>
      </w:r>
      <w:r w:rsidR="00CB5FAD" w:rsidRPr="00F30A19">
        <w:rPr>
          <w:u w:val="single"/>
        </w:rPr>
        <w:t xml:space="preserve"> Schedules</w:t>
      </w:r>
    </w:p>
    <w:p w14:paraId="3B5B5729" w14:textId="77777777" w:rsidR="00CB5FAD" w:rsidRPr="00F30A19" w:rsidRDefault="0052285D" w:rsidP="00DA5B62">
      <w:r w:rsidRPr="00F30A19">
        <w:t>Clause</w:t>
      </w:r>
      <w:r w:rsidR="00DA70DF" w:rsidRPr="00F30A19">
        <w:t xml:space="preserve"> 4</w:t>
      </w:r>
      <w:r w:rsidR="00852591" w:rsidRPr="00F30A19">
        <w:t xml:space="preserve"> </w:t>
      </w:r>
      <w:r w:rsidR="00CB5FAD" w:rsidRPr="00F30A19">
        <w:t>outlines that any Instruments amended, repealed or affected by this Instrument are outlined in Schedule 1.</w:t>
      </w:r>
    </w:p>
    <w:p w14:paraId="3B5B572A" w14:textId="77777777" w:rsidR="00107E23" w:rsidRPr="00F30A19" w:rsidRDefault="00107E23" w:rsidP="00DA5B62"/>
    <w:p w14:paraId="3B5B572B" w14:textId="77777777" w:rsidR="00852591" w:rsidRPr="00F30A19" w:rsidRDefault="0052285D" w:rsidP="00DC6B2A">
      <w:pPr>
        <w:rPr>
          <w:u w:val="single"/>
        </w:rPr>
      </w:pPr>
      <w:r w:rsidRPr="00F30A19">
        <w:rPr>
          <w:u w:val="single"/>
        </w:rPr>
        <w:t>Clause</w:t>
      </w:r>
      <w:r w:rsidR="00DA70DF" w:rsidRPr="00F30A19">
        <w:rPr>
          <w:u w:val="single"/>
        </w:rPr>
        <w:t xml:space="preserve"> 5</w:t>
      </w:r>
      <w:r w:rsidR="00852591" w:rsidRPr="00F30A19">
        <w:rPr>
          <w:u w:val="single"/>
        </w:rPr>
        <w:t xml:space="preserve"> </w:t>
      </w:r>
      <w:r w:rsidR="004C2523" w:rsidRPr="00F30A19">
        <w:rPr>
          <w:u w:val="single"/>
        </w:rPr>
        <w:t>–</w:t>
      </w:r>
      <w:r w:rsidR="00852591" w:rsidRPr="00F30A19">
        <w:rPr>
          <w:u w:val="single"/>
        </w:rPr>
        <w:t xml:space="preserve"> </w:t>
      </w:r>
      <w:r w:rsidR="00CB5FAD" w:rsidRPr="00F30A19">
        <w:rPr>
          <w:u w:val="single"/>
        </w:rPr>
        <w:t>Definitions</w:t>
      </w:r>
    </w:p>
    <w:p w14:paraId="3B5B572C" w14:textId="77777777" w:rsidR="000A318F" w:rsidRPr="00F30A19" w:rsidRDefault="0052285D" w:rsidP="00CB5FAD">
      <w:r w:rsidRPr="00F30A19">
        <w:t>Clause</w:t>
      </w:r>
      <w:r w:rsidR="004C2523" w:rsidRPr="00F30A19">
        <w:t xml:space="preserve"> 5 </w:t>
      </w:r>
      <w:r w:rsidR="00CB5FAD" w:rsidRPr="00F30A19">
        <w:t>outlines the interpretive provisions that are relevant to the Instrument</w:t>
      </w:r>
      <w:r w:rsidR="000A318F" w:rsidRPr="00F30A19">
        <w:t>.</w:t>
      </w:r>
    </w:p>
    <w:p w14:paraId="3B5B572D" w14:textId="77777777" w:rsidR="000A318F" w:rsidRPr="00F30A19" w:rsidRDefault="000A318F" w:rsidP="00CB5FAD"/>
    <w:p w14:paraId="3B5B572E" w14:textId="77777777" w:rsidR="008B0A43" w:rsidRPr="00F30A19" w:rsidRDefault="008B0A43" w:rsidP="00CB5FAD">
      <w:pPr>
        <w:rPr>
          <w:i/>
        </w:rPr>
      </w:pPr>
      <w:r w:rsidRPr="00F30A19">
        <w:t>“</w:t>
      </w:r>
      <w:r w:rsidRPr="00F30A19">
        <w:rPr>
          <w:i/>
        </w:rPr>
        <w:t xml:space="preserve">Act” </w:t>
      </w:r>
      <w:r w:rsidRPr="00F30A19">
        <w:t xml:space="preserve">means the </w:t>
      </w:r>
      <w:r w:rsidRPr="00F30A19">
        <w:rPr>
          <w:i/>
        </w:rPr>
        <w:t>Administrative Appeals Tribunal Act 1975</w:t>
      </w:r>
    </w:p>
    <w:p w14:paraId="3B5B572F" w14:textId="77777777" w:rsidR="008B0A43" w:rsidRPr="00F30A19" w:rsidRDefault="008B0A43" w:rsidP="00CB5FAD"/>
    <w:p w14:paraId="3B5B5730" w14:textId="77777777" w:rsidR="000A318F" w:rsidRPr="00F30A19" w:rsidRDefault="000A318F" w:rsidP="00CB5FAD">
      <w:r w:rsidRPr="00F30A19">
        <w:t>“</w:t>
      </w:r>
      <w:proofErr w:type="gramStart"/>
      <w:r w:rsidRPr="00F30A19">
        <w:rPr>
          <w:i/>
        </w:rPr>
        <w:t>affected</w:t>
      </w:r>
      <w:proofErr w:type="gramEnd"/>
      <w:r w:rsidRPr="00F30A19">
        <w:rPr>
          <w:i/>
        </w:rPr>
        <w:t xml:space="preserve"> perso</w:t>
      </w:r>
      <w:r w:rsidR="008B0A43" w:rsidRPr="00F30A19">
        <w:rPr>
          <w:i/>
        </w:rPr>
        <w:t>n</w:t>
      </w:r>
      <w:r w:rsidRPr="00F30A19">
        <w:t xml:space="preserve">” </w:t>
      </w:r>
      <w:r w:rsidR="00A35EBC" w:rsidRPr="00F30A19">
        <w:t>means a person whose interests are affected by a reviewable decisions.</w:t>
      </w:r>
    </w:p>
    <w:p w14:paraId="3B5B5731" w14:textId="77777777" w:rsidR="000A318F" w:rsidRPr="00F30A19" w:rsidRDefault="000A318F" w:rsidP="00F30A19">
      <w:pPr>
        <w:pStyle w:val="Definition"/>
        <w:ind w:left="0"/>
        <w:rPr>
          <w:sz w:val="24"/>
          <w:szCs w:val="24"/>
        </w:rPr>
      </w:pPr>
      <w:r w:rsidRPr="00F30A19">
        <w:rPr>
          <w:sz w:val="24"/>
          <w:szCs w:val="24"/>
        </w:rPr>
        <w:t>“</w:t>
      </w:r>
      <w:proofErr w:type="gramStart"/>
      <w:r w:rsidRPr="00F30A19">
        <w:rPr>
          <w:i/>
          <w:sz w:val="24"/>
          <w:szCs w:val="24"/>
        </w:rPr>
        <w:t>decision-maker</w:t>
      </w:r>
      <w:proofErr w:type="gramEnd"/>
      <w:r w:rsidRPr="00F30A19">
        <w:rPr>
          <w:i/>
          <w:sz w:val="24"/>
          <w:szCs w:val="24"/>
        </w:rPr>
        <w:t>”</w:t>
      </w:r>
      <w:r w:rsidRPr="00F30A19">
        <w:rPr>
          <w:sz w:val="24"/>
          <w:szCs w:val="24"/>
        </w:rPr>
        <w:t xml:space="preserve"> is defined as</w:t>
      </w:r>
      <w:r w:rsidRPr="00F30A19">
        <w:rPr>
          <w:b/>
          <w:i/>
          <w:sz w:val="24"/>
          <w:szCs w:val="24"/>
        </w:rPr>
        <w:t xml:space="preserve"> </w:t>
      </w:r>
      <w:r w:rsidRPr="00F30A19">
        <w:rPr>
          <w:sz w:val="24"/>
          <w:szCs w:val="24"/>
        </w:rPr>
        <w:t>person who makes a reviewable decision.</w:t>
      </w:r>
    </w:p>
    <w:p w14:paraId="3B5B5732" w14:textId="77777777" w:rsidR="000A318F" w:rsidRPr="00F30A19" w:rsidRDefault="000A318F" w:rsidP="00CB5FAD">
      <w:pPr>
        <w:rPr>
          <w:i/>
        </w:rPr>
      </w:pPr>
    </w:p>
    <w:p w14:paraId="3B5B5733" w14:textId="77777777" w:rsidR="000A318F" w:rsidRDefault="000A318F" w:rsidP="00CB5FAD">
      <w:r w:rsidRPr="00F30A19">
        <w:rPr>
          <w:i/>
        </w:rPr>
        <w:t>“</w:t>
      </w:r>
      <w:proofErr w:type="gramStart"/>
      <w:r w:rsidRPr="00F30A19">
        <w:rPr>
          <w:i/>
        </w:rPr>
        <w:t>decision</w:t>
      </w:r>
      <w:proofErr w:type="gramEnd"/>
      <w:r w:rsidRPr="00F30A19">
        <w:rPr>
          <w:i/>
        </w:rPr>
        <w:t xml:space="preserve"> notice”</w:t>
      </w:r>
      <w:r w:rsidR="005F093F" w:rsidRPr="00F30A19">
        <w:rPr>
          <w:i/>
        </w:rPr>
        <w:t xml:space="preserve"> </w:t>
      </w:r>
      <w:r w:rsidR="005F093F" w:rsidRPr="00F30A19">
        <w:t>is defined as a notice in relation to a reviewable decision under 27A(1) of the Act.</w:t>
      </w:r>
    </w:p>
    <w:p w14:paraId="459C8A04" w14:textId="77777777" w:rsidR="00696BD0" w:rsidRPr="00F30A19" w:rsidRDefault="00696BD0" w:rsidP="00CB5FAD"/>
    <w:p w14:paraId="3B5B5734" w14:textId="60D4C7C0" w:rsidR="003B303A" w:rsidRDefault="00974DC7" w:rsidP="003B303A">
      <w:pPr>
        <w:autoSpaceDE w:val="0"/>
        <w:autoSpaceDN w:val="0"/>
        <w:adjustRightInd w:val="0"/>
      </w:pPr>
      <w:r>
        <w:rPr>
          <w:i/>
        </w:rPr>
        <w:t>“</w:t>
      </w:r>
      <w:proofErr w:type="gramStart"/>
      <w:r w:rsidR="000A318F" w:rsidRPr="003B303A">
        <w:rPr>
          <w:i/>
        </w:rPr>
        <w:t>reviewable</w:t>
      </w:r>
      <w:proofErr w:type="gramEnd"/>
      <w:r w:rsidR="000A318F" w:rsidRPr="003B303A">
        <w:rPr>
          <w:i/>
        </w:rPr>
        <w:t xml:space="preserve"> decision</w:t>
      </w:r>
      <w:r w:rsidR="005F093F" w:rsidRPr="003B303A">
        <w:rPr>
          <w:i/>
        </w:rPr>
        <w:t>”</w:t>
      </w:r>
      <w:r w:rsidR="000A318F" w:rsidRPr="00F30A19">
        <w:t xml:space="preserve"> </w:t>
      </w:r>
      <w:r w:rsidR="005F093F" w:rsidRPr="00F30A19">
        <w:t>is defined under</w:t>
      </w:r>
      <w:r w:rsidR="000A318F" w:rsidRPr="00F30A19">
        <w:t xml:space="preserve"> subsection 27A(4) of the </w:t>
      </w:r>
      <w:r w:rsidR="003B303A">
        <w:t>Act and means</w:t>
      </w:r>
      <w:r>
        <w:t>:</w:t>
      </w:r>
    </w:p>
    <w:p w14:paraId="3B5B5735" w14:textId="77777777" w:rsidR="003B303A" w:rsidRPr="00641CEA" w:rsidRDefault="003B303A" w:rsidP="00641CEA">
      <w:pPr>
        <w:autoSpaceDE w:val="0"/>
        <w:autoSpaceDN w:val="0"/>
        <w:adjustRightInd w:val="0"/>
        <w:ind w:firstLine="720"/>
      </w:pPr>
      <w:r w:rsidRPr="00641CEA">
        <w:t xml:space="preserve">(a) </w:t>
      </w:r>
      <w:proofErr w:type="gramStart"/>
      <w:r w:rsidRPr="00641CEA">
        <w:t>a</w:t>
      </w:r>
      <w:proofErr w:type="gramEnd"/>
      <w:r w:rsidRPr="00641CEA">
        <w:t xml:space="preserve"> decision that is reviewable by the Administrative Appeals Tribunal; or</w:t>
      </w:r>
    </w:p>
    <w:p w14:paraId="3B5B5736" w14:textId="77777777" w:rsidR="003B303A" w:rsidRPr="00641CEA" w:rsidRDefault="003B303A" w:rsidP="00641CEA">
      <w:pPr>
        <w:autoSpaceDE w:val="0"/>
        <w:autoSpaceDN w:val="0"/>
        <w:adjustRightInd w:val="0"/>
        <w:ind w:firstLine="720"/>
      </w:pPr>
      <w:r w:rsidRPr="00641CEA">
        <w:t xml:space="preserve">(b) </w:t>
      </w:r>
      <w:proofErr w:type="gramStart"/>
      <w:r w:rsidRPr="00641CEA">
        <w:t>a</w:t>
      </w:r>
      <w:proofErr w:type="gramEnd"/>
      <w:r w:rsidRPr="00641CEA">
        <w:t xml:space="preserve"> decision that is reviewable by:</w:t>
      </w:r>
    </w:p>
    <w:p w14:paraId="3B5B5737" w14:textId="77777777" w:rsidR="003B303A" w:rsidRPr="00641CEA" w:rsidRDefault="003B303A" w:rsidP="00974DC7">
      <w:pPr>
        <w:autoSpaceDE w:val="0"/>
        <w:autoSpaceDN w:val="0"/>
        <w:adjustRightInd w:val="0"/>
        <w:ind w:left="720" w:firstLine="720"/>
      </w:pPr>
      <w:r w:rsidRPr="00641CEA">
        <w:t>(</w:t>
      </w:r>
      <w:proofErr w:type="spellStart"/>
      <w:r w:rsidRPr="00641CEA">
        <w:t>i</w:t>
      </w:r>
      <w:proofErr w:type="spellEnd"/>
      <w:r w:rsidRPr="00641CEA">
        <w:t xml:space="preserve">) </w:t>
      </w:r>
      <w:proofErr w:type="gramStart"/>
      <w:r w:rsidRPr="00641CEA">
        <w:t>a</w:t>
      </w:r>
      <w:proofErr w:type="gramEnd"/>
      <w:r w:rsidRPr="00641CEA">
        <w:t xml:space="preserve"> person whose decision is reviewable by that Tribunal; or</w:t>
      </w:r>
    </w:p>
    <w:p w14:paraId="3B5B5738" w14:textId="77777777" w:rsidR="000A318F" w:rsidRPr="00641CEA" w:rsidRDefault="003B303A" w:rsidP="00974DC7">
      <w:pPr>
        <w:autoSpaceDE w:val="0"/>
        <w:autoSpaceDN w:val="0"/>
        <w:adjustRightInd w:val="0"/>
        <w:ind w:left="1440"/>
      </w:pPr>
      <w:r w:rsidRPr="00641CEA">
        <w:t xml:space="preserve">(ii) </w:t>
      </w:r>
      <w:proofErr w:type="gramStart"/>
      <w:r w:rsidRPr="00641CEA">
        <w:t>a</w:t>
      </w:r>
      <w:proofErr w:type="gramEnd"/>
      <w:r w:rsidRPr="00641CEA">
        <w:t xml:space="preserve"> person whose decision on review, because of subparagraph (</w:t>
      </w:r>
      <w:proofErr w:type="spellStart"/>
      <w:r w:rsidRPr="00641CEA">
        <w:t>i</w:t>
      </w:r>
      <w:proofErr w:type="spellEnd"/>
      <w:r w:rsidRPr="00641CEA">
        <w:t>), is a reviewable decision.</w:t>
      </w:r>
    </w:p>
    <w:p w14:paraId="23E2437C" w14:textId="77777777" w:rsidR="00D43115" w:rsidRDefault="00D43115" w:rsidP="00DC6B2A"/>
    <w:p w14:paraId="3B5B5739" w14:textId="4FB312BA" w:rsidR="00F2497B" w:rsidRDefault="00D43115" w:rsidP="00DC6B2A">
      <w:pPr>
        <w:rPr>
          <w:u w:val="single"/>
        </w:rPr>
      </w:pPr>
      <w:r w:rsidRPr="00FC6852">
        <w:rPr>
          <w:u w:val="single"/>
        </w:rPr>
        <w:t>Clause 6 – Purpose of this Part</w:t>
      </w:r>
    </w:p>
    <w:p w14:paraId="3052ADBB" w14:textId="6FD966E5" w:rsidR="00D43115" w:rsidRDefault="0025579F" w:rsidP="00DC6B2A">
      <w:r>
        <w:t xml:space="preserve">Clause 6 outlines that the purpose of the Code is to facilitate the operation of subsection </w:t>
      </w:r>
      <w:proofErr w:type="gramStart"/>
      <w:r>
        <w:t>27A(</w:t>
      </w:r>
      <w:proofErr w:type="gramEnd"/>
      <w:r>
        <w:t>1) of the</w:t>
      </w:r>
      <w:r>
        <w:rPr>
          <w:i/>
        </w:rPr>
        <w:t xml:space="preserve"> </w:t>
      </w:r>
      <w:r w:rsidR="00FC6852" w:rsidRPr="00FC6852">
        <w:t>Act</w:t>
      </w:r>
      <w:r w:rsidR="00FC6852">
        <w:rPr>
          <w:i/>
        </w:rPr>
        <w:t xml:space="preserve">. </w:t>
      </w:r>
      <w:r w:rsidR="00FC6852" w:rsidRPr="00FC6852">
        <w:t>Subsection</w:t>
      </w:r>
      <w:r>
        <w:rPr>
          <w:i/>
        </w:rPr>
        <w:t xml:space="preserve"> </w:t>
      </w:r>
      <w:r>
        <w:t xml:space="preserve">27A(1) outlines that </w:t>
      </w:r>
      <w:r w:rsidR="00674DD2">
        <w:t xml:space="preserve">a decision-maker </w:t>
      </w:r>
      <w:r w:rsidR="00A63A03">
        <w:t xml:space="preserve">is required to take steps which are reasonable in the circumstances to give any affected person in relation to a reviewable decision notice, in writing or otherwise, of the making of the reviewable decision and the right of the affected person to have the </w:t>
      </w:r>
      <w:r w:rsidR="00471221">
        <w:t>reviewable</w:t>
      </w:r>
      <w:r w:rsidR="00A63A03">
        <w:t xml:space="preserve"> decision reviewed.</w:t>
      </w:r>
    </w:p>
    <w:p w14:paraId="1BF28B32" w14:textId="77777777" w:rsidR="00A63A03" w:rsidRPr="0025579F" w:rsidRDefault="00A63A03" w:rsidP="00DC6B2A"/>
    <w:p w14:paraId="3B5B573A" w14:textId="3B2445B7" w:rsidR="00F2497B" w:rsidRPr="00F30A19" w:rsidRDefault="0052285D" w:rsidP="00DC6B2A">
      <w:pPr>
        <w:rPr>
          <w:u w:val="single"/>
        </w:rPr>
      </w:pPr>
      <w:r w:rsidRPr="00F30A19">
        <w:rPr>
          <w:u w:val="single"/>
        </w:rPr>
        <w:t>Clause</w:t>
      </w:r>
      <w:r w:rsidR="00E4375D" w:rsidRPr="00F30A19">
        <w:rPr>
          <w:u w:val="single"/>
        </w:rPr>
        <w:t xml:space="preserve"> </w:t>
      </w:r>
      <w:r w:rsidR="00D43115">
        <w:rPr>
          <w:u w:val="single"/>
        </w:rPr>
        <w:t>7</w:t>
      </w:r>
      <w:r w:rsidR="0067540D" w:rsidRPr="00F30A19">
        <w:rPr>
          <w:u w:val="single"/>
        </w:rPr>
        <w:t xml:space="preserve"> – Content</w:t>
      </w:r>
      <w:r w:rsidR="00811711" w:rsidRPr="00F30A19">
        <w:rPr>
          <w:u w:val="single"/>
        </w:rPr>
        <w:t xml:space="preserve"> etc.</w:t>
      </w:r>
      <w:r w:rsidR="0067540D" w:rsidRPr="00F30A19">
        <w:rPr>
          <w:u w:val="single"/>
        </w:rPr>
        <w:t xml:space="preserve"> of </w:t>
      </w:r>
      <w:r w:rsidR="00E4375D" w:rsidRPr="00F30A19">
        <w:rPr>
          <w:u w:val="single"/>
        </w:rPr>
        <w:t xml:space="preserve">decision </w:t>
      </w:r>
      <w:r w:rsidR="0067540D" w:rsidRPr="00F30A19">
        <w:rPr>
          <w:u w:val="single"/>
        </w:rPr>
        <w:t>notices</w:t>
      </w:r>
    </w:p>
    <w:p w14:paraId="3B5B573B" w14:textId="2778412E" w:rsidR="005F258E" w:rsidRPr="00F30A19" w:rsidRDefault="0052285D" w:rsidP="005F258E">
      <w:r w:rsidRPr="00F30A19">
        <w:t>Clause</w:t>
      </w:r>
      <w:r w:rsidR="00147715" w:rsidRPr="00F30A19">
        <w:t xml:space="preserve"> </w:t>
      </w:r>
      <w:r w:rsidR="00D43115">
        <w:t>7</w:t>
      </w:r>
      <w:r w:rsidR="000A6291" w:rsidRPr="00F30A19">
        <w:t>(1</w:t>
      </w:r>
      <w:proofErr w:type="gramStart"/>
      <w:r w:rsidR="000A6291" w:rsidRPr="00F30A19">
        <w:t>)</w:t>
      </w:r>
      <w:r w:rsidR="00811711" w:rsidRPr="00F30A19">
        <w:t>(</w:t>
      </w:r>
      <w:proofErr w:type="gramEnd"/>
      <w:r w:rsidR="00811711" w:rsidRPr="00F30A19">
        <w:t>a)</w:t>
      </w:r>
      <w:r w:rsidR="000A6291" w:rsidRPr="00F30A19">
        <w:t xml:space="preserve"> outlines th</w:t>
      </w:r>
      <w:r w:rsidR="00BE2898" w:rsidRPr="00F30A19">
        <w:t>at information which</w:t>
      </w:r>
      <w:r w:rsidR="00811711" w:rsidRPr="00F30A19">
        <w:t xml:space="preserve"> the decision-maker provides t</w:t>
      </w:r>
      <w:r w:rsidR="007750CD" w:rsidRPr="00F30A19">
        <w:t>o</w:t>
      </w:r>
      <w:r w:rsidR="00811711" w:rsidRPr="00F30A19">
        <w:t xml:space="preserve"> the affected person must be in plain Englis</w:t>
      </w:r>
      <w:r w:rsidR="00BE2898" w:rsidRPr="00F30A19">
        <w:t>h for ease of understanding. This</w:t>
      </w:r>
      <w:r w:rsidR="00811711" w:rsidRPr="00F30A19">
        <w:t xml:space="preserve"> means that the notice must be </w:t>
      </w:r>
      <w:r w:rsidR="00811711" w:rsidRPr="00F30A19">
        <w:lastRenderedPageBreak/>
        <w:t xml:space="preserve">clear, and expressed as simply as the subject matter permits. Clause </w:t>
      </w:r>
      <w:r w:rsidR="00D43115">
        <w:t>7</w:t>
      </w:r>
      <w:r w:rsidR="00811711" w:rsidRPr="00F30A19">
        <w:t>(1</w:t>
      </w:r>
      <w:proofErr w:type="gramStart"/>
      <w:r w:rsidR="00811711" w:rsidRPr="00F30A19">
        <w:t>)(</w:t>
      </w:r>
      <w:proofErr w:type="gramEnd"/>
      <w:r w:rsidR="00811711" w:rsidRPr="00F30A19">
        <w:t>b) outlines that the information provided by the decision</w:t>
      </w:r>
      <w:r w:rsidR="005F093F" w:rsidRPr="00F30A19">
        <w:t>-</w:t>
      </w:r>
      <w:r w:rsidR="00811711" w:rsidRPr="00F30A19">
        <w:t>maker to the affected person must also comply with c</w:t>
      </w:r>
      <w:r w:rsidR="00974DC7">
        <w:t>lause</w:t>
      </w:r>
      <w:r w:rsidR="00811711" w:rsidRPr="00F30A19">
        <w:t xml:space="preserve"> </w:t>
      </w:r>
      <w:r w:rsidR="00D43115">
        <w:t>7</w:t>
      </w:r>
      <w:r w:rsidR="00811711" w:rsidRPr="00F30A19">
        <w:t xml:space="preserve">(2). </w:t>
      </w:r>
      <w:r w:rsidR="00811711" w:rsidRPr="00F30A19">
        <w:br/>
      </w:r>
    </w:p>
    <w:p w14:paraId="3B5B573C" w14:textId="4B694BBD" w:rsidR="002062F4" w:rsidRPr="00F30A19" w:rsidRDefault="0052285D" w:rsidP="005F258E">
      <w:r w:rsidRPr="00F30A19">
        <w:t xml:space="preserve">Clause </w:t>
      </w:r>
      <w:r w:rsidR="00D43115">
        <w:t>7</w:t>
      </w:r>
      <w:r w:rsidR="009B0420" w:rsidRPr="00F30A19">
        <w:t>(2)</w:t>
      </w:r>
      <w:r w:rsidR="00BE2898" w:rsidRPr="00F30A19">
        <w:t xml:space="preserve"> provides</w:t>
      </w:r>
      <w:r w:rsidR="00147715" w:rsidRPr="00F30A19">
        <w:t xml:space="preserve"> that </w:t>
      </w:r>
      <w:r w:rsidR="002062F4" w:rsidRPr="00F30A19">
        <w:t>a decision notice in relation to a reviewable decision must</w:t>
      </w:r>
      <w:r w:rsidR="008443B7" w:rsidRPr="00F30A19">
        <w:t xml:space="preserve"> </w:t>
      </w:r>
      <w:r w:rsidR="00BE2898" w:rsidRPr="00F30A19">
        <w:t>take reasonable steps to detail</w:t>
      </w:r>
      <w:r w:rsidR="008443B7" w:rsidRPr="00F30A19">
        <w:t xml:space="preserve"> the </w:t>
      </w:r>
      <w:r w:rsidR="000E0EBF" w:rsidRPr="00F30A19">
        <w:t>following information to the affected person:</w:t>
      </w:r>
    </w:p>
    <w:p w14:paraId="3B5B573D" w14:textId="218B7D2F" w:rsidR="000E0EBF" w:rsidRPr="00F30A19" w:rsidRDefault="000E0EBF" w:rsidP="00F30A19">
      <w:pPr>
        <w:pStyle w:val="ListParagraph"/>
        <w:numPr>
          <w:ilvl w:val="0"/>
          <w:numId w:val="3"/>
        </w:numPr>
      </w:pPr>
      <w:proofErr w:type="gramStart"/>
      <w:r w:rsidRPr="00F30A19">
        <w:t>information</w:t>
      </w:r>
      <w:proofErr w:type="gramEnd"/>
      <w:r w:rsidRPr="00F30A19">
        <w:t xml:space="preserve"> about how an affected person in relation to the reviewable decision may obtain further information about the decision. Information that would be appropriate to provide in this instance includes</w:t>
      </w:r>
      <w:r w:rsidR="00B1239F" w:rsidRPr="00F30A19">
        <w:t xml:space="preserve"> (</w:t>
      </w:r>
      <w:r w:rsidR="00F81AAC">
        <w:t>c</w:t>
      </w:r>
      <w:r w:rsidR="00B1239F" w:rsidRPr="00F30A19">
        <w:t xml:space="preserve">lause </w:t>
      </w:r>
      <w:r w:rsidR="00D43115">
        <w:t>7</w:t>
      </w:r>
      <w:r w:rsidR="00B1239F" w:rsidRPr="00F30A19">
        <w:t>(2)(a))</w:t>
      </w:r>
      <w:r w:rsidRPr="00F30A19">
        <w:t>:</w:t>
      </w:r>
    </w:p>
    <w:p w14:paraId="3B5B573E" w14:textId="7F4E40A6" w:rsidR="000E0EBF" w:rsidRPr="00F30A19" w:rsidRDefault="000E0EBF" w:rsidP="00F30A19">
      <w:pPr>
        <w:pStyle w:val="ListParagraph"/>
        <w:numPr>
          <w:ilvl w:val="1"/>
          <w:numId w:val="3"/>
        </w:numPr>
      </w:pPr>
      <w:r w:rsidRPr="00F30A19">
        <w:t xml:space="preserve">How a person </w:t>
      </w:r>
      <w:r w:rsidR="00BE2898" w:rsidRPr="00F30A19">
        <w:t>who can provide</w:t>
      </w:r>
      <w:r w:rsidRPr="00F30A19">
        <w:t xml:space="preserve"> information in relation to the decision can be contacted (c</w:t>
      </w:r>
      <w:r w:rsidR="00F615AD">
        <w:t>lause</w:t>
      </w:r>
      <w:r w:rsidRPr="00F30A19">
        <w:t xml:space="preserve"> </w:t>
      </w:r>
      <w:r w:rsidR="00D43115">
        <w:t>7</w:t>
      </w:r>
      <w:r w:rsidRPr="00F30A19">
        <w:t>(2</w:t>
      </w:r>
      <w:proofErr w:type="gramStart"/>
      <w:r w:rsidRPr="00F30A19">
        <w:t>)(</w:t>
      </w:r>
      <w:proofErr w:type="gramEnd"/>
      <w:r w:rsidRPr="00F30A19">
        <w:t>a)(</w:t>
      </w:r>
      <w:proofErr w:type="spellStart"/>
      <w:r w:rsidRPr="00F30A19">
        <w:t>i</w:t>
      </w:r>
      <w:proofErr w:type="spellEnd"/>
      <w:r w:rsidRPr="00F30A19">
        <w:t>)). Contact details that may be appropriate to apply include</w:t>
      </w:r>
      <w:r w:rsidR="00F615AD">
        <w:t>:</w:t>
      </w:r>
      <w:r w:rsidRPr="00F30A19">
        <w:t xml:space="preserve"> a specific telephone number (rather than a switchboard), a postal address, a fax number, website address and email address. Where an email address is provided this can</w:t>
      </w:r>
      <w:r w:rsidR="00390D31" w:rsidRPr="00F30A19">
        <w:t>,</w:t>
      </w:r>
      <w:r w:rsidRPr="00F30A19">
        <w:t xml:space="preserve"> but need not </w:t>
      </w:r>
      <w:proofErr w:type="gramStart"/>
      <w:r w:rsidRPr="00F30A19">
        <w:t>be</w:t>
      </w:r>
      <w:r w:rsidR="004667E1" w:rsidRPr="00F30A19">
        <w:t>,</w:t>
      </w:r>
      <w:proofErr w:type="gramEnd"/>
      <w:r w:rsidRPr="00F30A19">
        <w:t xml:space="preserve"> </w:t>
      </w:r>
      <w:r w:rsidR="00390D31" w:rsidRPr="00F30A19">
        <w:t>an individual’s email address. Alternatively, t</w:t>
      </w:r>
      <w:r w:rsidRPr="00F30A19">
        <w:t>he provision of a mailbox address that is monitored by the individual would also be appropriate.</w:t>
      </w:r>
    </w:p>
    <w:p w14:paraId="3B5B573F" w14:textId="78131291" w:rsidR="00453476" w:rsidRPr="00F30A19" w:rsidRDefault="000E0EBF" w:rsidP="00F30A19">
      <w:pPr>
        <w:pStyle w:val="ListParagraph"/>
        <w:numPr>
          <w:ilvl w:val="1"/>
          <w:numId w:val="3"/>
        </w:numPr>
      </w:pPr>
      <w:r w:rsidRPr="00F30A19">
        <w:t>Whether an affected person is able to ask the decision-maker for the reasons for the decision (if those reasons have not already been given to the person) and if so, how an affected person may ask for them (c</w:t>
      </w:r>
      <w:r w:rsidR="00F615AD">
        <w:t>lause</w:t>
      </w:r>
      <w:r w:rsidRPr="00F30A19">
        <w:t xml:space="preserve"> </w:t>
      </w:r>
      <w:r w:rsidR="00D43115">
        <w:t>7</w:t>
      </w:r>
      <w:r w:rsidRPr="00F30A19">
        <w:t>(2</w:t>
      </w:r>
      <w:proofErr w:type="gramStart"/>
      <w:r w:rsidRPr="00F30A19">
        <w:t>)(</w:t>
      </w:r>
      <w:proofErr w:type="gramEnd"/>
      <w:r w:rsidRPr="00F30A19">
        <w:t>a)(ii)</w:t>
      </w:r>
      <w:r w:rsidR="00717D53">
        <w:t>)</w:t>
      </w:r>
      <w:r w:rsidRPr="00F30A19">
        <w:t>.</w:t>
      </w:r>
    </w:p>
    <w:p w14:paraId="3B5B5740" w14:textId="0EBC4508" w:rsidR="00453476" w:rsidRPr="00F30A19" w:rsidRDefault="00453476" w:rsidP="00F30A19">
      <w:pPr>
        <w:pStyle w:val="ListParagraph"/>
        <w:numPr>
          <w:ilvl w:val="1"/>
          <w:numId w:val="3"/>
        </w:numPr>
      </w:pPr>
      <w:proofErr w:type="gramStart"/>
      <w:r w:rsidRPr="00F30A19">
        <w:t xml:space="preserve">Whether an affected person is able to obtain access to documents or information about the decision under the </w:t>
      </w:r>
      <w:r w:rsidRPr="00F30A19">
        <w:rPr>
          <w:i/>
        </w:rPr>
        <w:t xml:space="preserve">Freedom of Information Act 1982 </w:t>
      </w:r>
      <w:r w:rsidRPr="00F30A19">
        <w:t>or any oth</w:t>
      </w:r>
      <w:r w:rsidR="00BE2898" w:rsidRPr="00F30A19">
        <w:t>er Act and when this is so</w:t>
      </w:r>
      <w:r w:rsidRPr="00F30A19">
        <w:t>, what process the affected person has to undertake to gain access to this information or where they can find information about how to do this</w:t>
      </w:r>
      <w:r w:rsidR="00BE2898" w:rsidRPr="00F30A19">
        <w:t xml:space="preserve"> (c</w:t>
      </w:r>
      <w:r w:rsidR="00F615AD">
        <w:t xml:space="preserve">lause </w:t>
      </w:r>
      <w:r w:rsidR="00D43115">
        <w:t>7</w:t>
      </w:r>
      <w:r w:rsidR="00BE2898" w:rsidRPr="00F30A19">
        <w:t>(2)(a)(iii)</w:t>
      </w:r>
      <w:r w:rsidR="00F81AAC">
        <w:t>)</w:t>
      </w:r>
      <w:r w:rsidRPr="00F30A19">
        <w:t>.</w:t>
      </w:r>
      <w:proofErr w:type="gramEnd"/>
    </w:p>
    <w:p w14:paraId="3B5B5741" w14:textId="67B0FD39" w:rsidR="00453476" w:rsidRPr="00F30A19" w:rsidRDefault="008E4A63" w:rsidP="00F30A19">
      <w:pPr>
        <w:pStyle w:val="ListParagraph"/>
        <w:numPr>
          <w:ilvl w:val="0"/>
          <w:numId w:val="3"/>
        </w:numPr>
      </w:pPr>
      <w:proofErr w:type="gramStart"/>
      <w:r w:rsidRPr="00F30A19">
        <w:t>information</w:t>
      </w:r>
      <w:proofErr w:type="gramEnd"/>
      <w:r w:rsidRPr="00F30A19">
        <w:t xml:space="preserve"> about how an</w:t>
      </w:r>
      <w:r w:rsidR="00453476" w:rsidRPr="00F30A19">
        <w:t xml:space="preserve"> affected person is able to seek review of the decision, </w:t>
      </w:r>
      <w:r w:rsidRPr="00F30A19">
        <w:t>including whether</w:t>
      </w:r>
      <w:r w:rsidR="00453476" w:rsidRPr="00F30A19">
        <w:t xml:space="preserve"> internal and/or exte</w:t>
      </w:r>
      <w:r w:rsidRPr="00F30A19">
        <w:t>rnal review is available to the affected person</w:t>
      </w:r>
      <w:r w:rsidR="00A35EBC" w:rsidRPr="00F30A19">
        <w:t xml:space="preserve"> (</w:t>
      </w:r>
      <w:r w:rsidR="00F81AAC">
        <w:t>c</w:t>
      </w:r>
      <w:r w:rsidR="00A35EBC" w:rsidRPr="00F30A19">
        <w:t xml:space="preserve">lause </w:t>
      </w:r>
      <w:r w:rsidR="00D43115">
        <w:t>7</w:t>
      </w:r>
      <w:r w:rsidR="00A35EBC" w:rsidRPr="00F30A19">
        <w:t>(2)(b))</w:t>
      </w:r>
      <w:r w:rsidR="00453476" w:rsidRPr="00F30A19">
        <w:t xml:space="preserve">. </w:t>
      </w:r>
    </w:p>
    <w:p w14:paraId="3B5B5742" w14:textId="0BEF7231" w:rsidR="008E4A63" w:rsidRPr="00F30A19" w:rsidRDefault="0033623D" w:rsidP="00F30A19">
      <w:pPr>
        <w:pStyle w:val="ListParagraph"/>
        <w:numPr>
          <w:ilvl w:val="0"/>
          <w:numId w:val="3"/>
        </w:numPr>
      </w:pPr>
      <w:r w:rsidRPr="00F30A19">
        <w:t>information about the following matters to the extent practicable, if review is available</w:t>
      </w:r>
      <w:r w:rsidR="00A35EBC" w:rsidRPr="00F30A19">
        <w:t xml:space="preserve"> (</w:t>
      </w:r>
      <w:r w:rsidR="00F81AAC">
        <w:t>c</w:t>
      </w:r>
      <w:r w:rsidR="00A35EBC" w:rsidRPr="00F30A19">
        <w:t xml:space="preserve">lause </w:t>
      </w:r>
      <w:r w:rsidR="00D43115">
        <w:t>7</w:t>
      </w:r>
      <w:r w:rsidR="00A35EBC" w:rsidRPr="00F30A19">
        <w:t>(2)(c))</w:t>
      </w:r>
      <w:r w:rsidRPr="00F30A19">
        <w:t>:</w:t>
      </w:r>
    </w:p>
    <w:p w14:paraId="3B5B5743" w14:textId="7BFC664A" w:rsidR="0033623D" w:rsidRPr="00F30A19" w:rsidRDefault="0033623D" w:rsidP="00F30A19">
      <w:pPr>
        <w:pStyle w:val="ListParagraph"/>
        <w:numPr>
          <w:ilvl w:val="1"/>
          <w:numId w:val="3"/>
        </w:numPr>
      </w:pPr>
      <w:r w:rsidRPr="00F30A19">
        <w:t>A brief statement of the nature of merits review (c</w:t>
      </w:r>
      <w:r w:rsidR="00F615AD">
        <w:t>lause</w:t>
      </w:r>
      <w:r w:rsidRPr="00F30A19">
        <w:t xml:space="preserve"> </w:t>
      </w:r>
      <w:r w:rsidR="00D43115">
        <w:t>7</w:t>
      </w:r>
      <w:r w:rsidRPr="00F30A19">
        <w:t>(2</w:t>
      </w:r>
      <w:proofErr w:type="gramStart"/>
      <w:r w:rsidRPr="00F30A19">
        <w:t>)(</w:t>
      </w:r>
      <w:proofErr w:type="gramEnd"/>
      <w:r w:rsidRPr="00F30A19">
        <w:t>c)(</w:t>
      </w:r>
      <w:proofErr w:type="spellStart"/>
      <w:r w:rsidRPr="00F30A19">
        <w:t>i</w:t>
      </w:r>
      <w:proofErr w:type="spellEnd"/>
      <w:r w:rsidRPr="00F30A19">
        <w:t xml:space="preserve">)). If </w:t>
      </w:r>
      <w:r w:rsidR="000F3E46" w:rsidRPr="00F30A19">
        <w:t xml:space="preserve">there is </w:t>
      </w:r>
      <w:r w:rsidRPr="00F30A19">
        <w:t>uncertain</w:t>
      </w:r>
      <w:r w:rsidR="000F3E46" w:rsidRPr="00F30A19">
        <w:t>ty</w:t>
      </w:r>
      <w:r w:rsidRPr="00F30A19">
        <w:t xml:space="preserve"> about what this statement should entail, an example of an appropriate statement of merits review may be gained from the Administrative Review Council’s </w:t>
      </w:r>
      <w:r w:rsidRPr="00F30A19">
        <w:rPr>
          <w:i/>
        </w:rPr>
        <w:t xml:space="preserve">Best Practice Guide 5 – Decision Making: Accountability </w:t>
      </w:r>
      <w:r w:rsidRPr="00F30A19">
        <w:t>(August 2007) page 2 (or similar).</w:t>
      </w:r>
      <w:r w:rsidR="00F5296B" w:rsidRPr="00F30A19">
        <w:t xml:space="preserve"> Other details that m</w:t>
      </w:r>
      <w:r w:rsidR="00390D31" w:rsidRPr="00F30A19">
        <w:t>a</w:t>
      </w:r>
      <w:r w:rsidR="00F5296B" w:rsidRPr="00F30A19">
        <w:t>y be included in th</w:t>
      </w:r>
      <w:r w:rsidR="00390D31" w:rsidRPr="00F30A19">
        <w:t>is statement may include</w:t>
      </w:r>
      <w:r w:rsidR="00F615AD">
        <w:t>:</w:t>
      </w:r>
      <w:r w:rsidR="00390D31" w:rsidRPr="00F30A19">
        <w:t xml:space="preserve"> who</w:t>
      </w:r>
      <w:r w:rsidR="00F5296B" w:rsidRPr="00F30A19">
        <w:t xml:space="preserve"> the reviewer</w:t>
      </w:r>
      <w:r w:rsidR="00390D31" w:rsidRPr="00F30A19">
        <w:t xml:space="preserve"> is</w:t>
      </w:r>
      <w:r w:rsidR="00F5296B" w:rsidRPr="00F30A19">
        <w:t xml:space="preserve"> (e.g. the AA</w:t>
      </w:r>
      <w:r w:rsidR="00390D31" w:rsidRPr="00F30A19">
        <w:t>T) and if the reviewer can over</w:t>
      </w:r>
      <w:r w:rsidR="00F5296B" w:rsidRPr="00F30A19">
        <w:t xml:space="preserve">turn the decision. </w:t>
      </w:r>
    </w:p>
    <w:p w14:paraId="3B5B5744" w14:textId="1CED1055" w:rsidR="0033623D" w:rsidRPr="00F30A19" w:rsidRDefault="0033623D" w:rsidP="00F30A19">
      <w:pPr>
        <w:pStyle w:val="ListParagraph"/>
        <w:numPr>
          <w:ilvl w:val="1"/>
          <w:numId w:val="3"/>
        </w:numPr>
      </w:pPr>
      <w:r w:rsidRPr="00F30A19">
        <w:t>Whether there are any prerequisites or conditions for seeking review, and if so, what these prerequisites and conditions are (c</w:t>
      </w:r>
      <w:r w:rsidR="00F615AD">
        <w:t>lause</w:t>
      </w:r>
      <w:r w:rsidRPr="00F30A19">
        <w:t xml:space="preserve"> </w:t>
      </w:r>
      <w:r w:rsidR="00D43115">
        <w:t>7</w:t>
      </w:r>
      <w:r w:rsidRPr="00F30A19">
        <w:t>(2</w:t>
      </w:r>
      <w:proofErr w:type="gramStart"/>
      <w:r w:rsidRPr="00F30A19">
        <w:t>)(</w:t>
      </w:r>
      <w:proofErr w:type="gramEnd"/>
      <w:r w:rsidRPr="00F30A19">
        <w:t>c)(ii)</w:t>
      </w:r>
      <w:r w:rsidR="00F615AD">
        <w:t>)</w:t>
      </w:r>
      <w:r w:rsidRPr="00F30A19">
        <w:t>.</w:t>
      </w:r>
    </w:p>
    <w:p w14:paraId="3B5B5745" w14:textId="4D98527D" w:rsidR="0033623D" w:rsidRPr="00F30A19" w:rsidRDefault="0033623D" w:rsidP="00F30A19">
      <w:pPr>
        <w:pStyle w:val="ListParagraph"/>
        <w:numPr>
          <w:ilvl w:val="1"/>
          <w:numId w:val="3"/>
        </w:numPr>
      </w:pPr>
      <w:r w:rsidRPr="00F30A19">
        <w:t>How an affected person may seek merits review including whether an application for review needs to be made and if so, how so the application can be made (c</w:t>
      </w:r>
      <w:r w:rsidR="00F615AD">
        <w:t>lause</w:t>
      </w:r>
      <w:r w:rsidRPr="00F30A19">
        <w:t xml:space="preserve"> </w:t>
      </w:r>
      <w:r w:rsidR="00D43115">
        <w:t>7</w:t>
      </w:r>
      <w:r w:rsidRPr="00F30A19">
        <w:t>(2</w:t>
      </w:r>
      <w:proofErr w:type="gramStart"/>
      <w:r w:rsidRPr="00F30A19">
        <w:t>)(</w:t>
      </w:r>
      <w:proofErr w:type="gramEnd"/>
      <w:r w:rsidRPr="00F30A19">
        <w:t>c)(iii)</w:t>
      </w:r>
      <w:r w:rsidR="00F615AD">
        <w:t>)</w:t>
      </w:r>
      <w:r w:rsidRPr="00F30A19">
        <w:t>.</w:t>
      </w:r>
    </w:p>
    <w:p w14:paraId="3B5B5746" w14:textId="67A1556E" w:rsidR="00235933" w:rsidRPr="00F30A19" w:rsidRDefault="00235933" w:rsidP="00F30A19">
      <w:pPr>
        <w:pStyle w:val="ListParagraph"/>
        <w:numPr>
          <w:ilvl w:val="1"/>
          <w:numId w:val="3"/>
        </w:numPr>
      </w:pPr>
      <w:r w:rsidRPr="00F30A19">
        <w:t>Whether there are any time limits for seeking that review (c</w:t>
      </w:r>
      <w:r w:rsidR="00F615AD">
        <w:t>lause</w:t>
      </w:r>
      <w:r w:rsidRPr="00F30A19">
        <w:t xml:space="preserve"> </w:t>
      </w:r>
      <w:r w:rsidR="00D43115">
        <w:t>7</w:t>
      </w:r>
      <w:r w:rsidRPr="00F30A19">
        <w:t>(2</w:t>
      </w:r>
      <w:proofErr w:type="gramStart"/>
      <w:r w:rsidRPr="00F30A19">
        <w:t>)(</w:t>
      </w:r>
      <w:proofErr w:type="gramEnd"/>
      <w:r w:rsidRPr="00F30A19">
        <w:t>c)(iv)</w:t>
      </w:r>
      <w:r w:rsidR="00F615AD">
        <w:t>)</w:t>
      </w:r>
      <w:r w:rsidRPr="00F30A19">
        <w:t>.</w:t>
      </w:r>
    </w:p>
    <w:p w14:paraId="3B5B5747" w14:textId="33575CDD" w:rsidR="00235933" w:rsidRPr="00F30A19" w:rsidRDefault="00235933" w:rsidP="00F30A19">
      <w:pPr>
        <w:pStyle w:val="ListParagraph"/>
        <w:numPr>
          <w:ilvl w:val="1"/>
          <w:numId w:val="3"/>
        </w:numPr>
      </w:pPr>
      <w:r w:rsidRPr="00F30A19">
        <w:t>Whether or not a fee is payable for the review that the affected person is entitled to undertake and if so the amount of the fee and when it is payable (c</w:t>
      </w:r>
      <w:r w:rsidR="00F615AD">
        <w:t>lause</w:t>
      </w:r>
      <w:r w:rsidRPr="00F30A19">
        <w:t xml:space="preserve"> </w:t>
      </w:r>
      <w:r w:rsidR="00D43115">
        <w:t>7</w:t>
      </w:r>
      <w:r w:rsidRPr="00F30A19">
        <w:t>(2</w:t>
      </w:r>
      <w:proofErr w:type="gramStart"/>
      <w:r w:rsidRPr="00F30A19">
        <w:t>)(</w:t>
      </w:r>
      <w:proofErr w:type="gramEnd"/>
      <w:r w:rsidRPr="00F30A19">
        <w:t>c)(v)</w:t>
      </w:r>
      <w:r w:rsidR="00F615AD">
        <w:t>)</w:t>
      </w:r>
      <w:r w:rsidRPr="00F30A19">
        <w:t>.</w:t>
      </w:r>
    </w:p>
    <w:p w14:paraId="3B5B5748" w14:textId="39926673" w:rsidR="00235933" w:rsidRPr="00F30A19" w:rsidRDefault="00235933" w:rsidP="00F30A19">
      <w:pPr>
        <w:pStyle w:val="ListParagraph"/>
        <w:numPr>
          <w:ilvl w:val="1"/>
          <w:numId w:val="3"/>
        </w:numPr>
      </w:pPr>
      <w:r w:rsidRPr="00F30A19">
        <w:t>Whether a full or partial waiver of any such fee may be sought and if so, h</w:t>
      </w:r>
      <w:r w:rsidR="00BE2898" w:rsidRPr="00F30A19">
        <w:t xml:space="preserve">ow that fee </w:t>
      </w:r>
      <w:r w:rsidRPr="00F30A19">
        <w:t>may be sought and if it is sought, on what basis this can occur (c</w:t>
      </w:r>
      <w:r w:rsidR="00F615AD">
        <w:t>lause</w:t>
      </w:r>
      <w:r w:rsidRPr="00F30A19">
        <w:t xml:space="preserve"> </w:t>
      </w:r>
      <w:r w:rsidR="00D43115">
        <w:t>7</w:t>
      </w:r>
      <w:r w:rsidRPr="00F30A19">
        <w:t>(2</w:t>
      </w:r>
      <w:proofErr w:type="gramStart"/>
      <w:r w:rsidRPr="00F30A19">
        <w:t>)(</w:t>
      </w:r>
      <w:proofErr w:type="gramEnd"/>
      <w:r w:rsidRPr="00F30A19">
        <w:t>c)(vi)</w:t>
      </w:r>
      <w:r w:rsidR="00F81AAC">
        <w:t>)</w:t>
      </w:r>
      <w:r w:rsidRPr="00F30A19">
        <w:t>. For reference, “may be sought” refers to an explanation of the process by which an affected person would have to undertake to receive this waiver. For example, completing and submitting documentation with certain attachments.</w:t>
      </w:r>
    </w:p>
    <w:p w14:paraId="3B5B5749" w14:textId="4C179C9C" w:rsidR="00235933" w:rsidRPr="00F30A19" w:rsidRDefault="00235933" w:rsidP="00F30A19">
      <w:pPr>
        <w:pStyle w:val="ListParagraph"/>
        <w:numPr>
          <w:ilvl w:val="1"/>
          <w:numId w:val="3"/>
        </w:numPr>
      </w:pPr>
      <w:r w:rsidRPr="00F30A19">
        <w:lastRenderedPageBreak/>
        <w:t>Whether a refund can be sought and if so, how the refund may be sought and on what basis (c</w:t>
      </w:r>
      <w:r w:rsidR="00F615AD">
        <w:t>lause</w:t>
      </w:r>
      <w:r w:rsidRPr="00F30A19">
        <w:t xml:space="preserve"> </w:t>
      </w:r>
      <w:r w:rsidR="00D43115">
        <w:t>7</w:t>
      </w:r>
      <w:r w:rsidRPr="00F30A19">
        <w:t>(2</w:t>
      </w:r>
      <w:proofErr w:type="gramStart"/>
      <w:r w:rsidRPr="00F30A19">
        <w:t>)(</w:t>
      </w:r>
      <w:proofErr w:type="gramEnd"/>
      <w:r w:rsidRPr="00F30A19">
        <w:t>c)(vii)</w:t>
      </w:r>
      <w:r w:rsidR="00F615AD">
        <w:t>)</w:t>
      </w:r>
      <w:r w:rsidRPr="00F30A19">
        <w:t>.For reference, “may be sought” has the same meaning as that within c</w:t>
      </w:r>
      <w:r w:rsidR="00F615AD">
        <w:t>lause</w:t>
      </w:r>
      <w:r w:rsidRPr="00F30A19">
        <w:t xml:space="preserve"> </w:t>
      </w:r>
      <w:r w:rsidR="00D43115">
        <w:t>7</w:t>
      </w:r>
      <w:r w:rsidRPr="00F30A19">
        <w:t>(2)(c)(vi).</w:t>
      </w:r>
    </w:p>
    <w:p w14:paraId="3B5B574A" w14:textId="40DFE683" w:rsidR="00235933" w:rsidRPr="00F30A19" w:rsidRDefault="00B50731" w:rsidP="00F30A19">
      <w:pPr>
        <w:pStyle w:val="ListParagraph"/>
        <w:numPr>
          <w:ilvl w:val="1"/>
          <w:numId w:val="3"/>
        </w:numPr>
      </w:pPr>
      <w:r w:rsidRPr="00F30A19">
        <w:t>How the person or body (the reviewer) that may conduct the review may be contacted (c</w:t>
      </w:r>
      <w:r w:rsidR="00F615AD">
        <w:t>lause</w:t>
      </w:r>
      <w:r w:rsidRPr="00F30A19">
        <w:t xml:space="preserve"> </w:t>
      </w:r>
      <w:r w:rsidR="00D43115">
        <w:t>7</w:t>
      </w:r>
      <w:r w:rsidRPr="00F30A19">
        <w:t>(2</w:t>
      </w:r>
      <w:proofErr w:type="gramStart"/>
      <w:r w:rsidRPr="00F30A19">
        <w:t>)(</w:t>
      </w:r>
      <w:proofErr w:type="gramEnd"/>
      <w:r w:rsidRPr="00F30A19">
        <w:t>c)(viii)</w:t>
      </w:r>
      <w:r w:rsidR="00F615AD">
        <w:t>)</w:t>
      </w:r>
      <w:r w:rsidR="00520844" w:rsidRPr="00F30A19">
        <w:t>. It is expected that this will mostly apply for internal review, but it may in some circumstances apply to external review.</w:t>
      </w:r>
    </w:p>
    <w:p w14:paraId="3B5B574B" w14:textId="689B0142" w:rsidR="00B50731" w:rsidRPr="00F30A19" w:rsidRDefault="00B50731" w:rsidP="00F30A19">
      <w:pPr>
        <w:pStyle w:val="ListParagraph"/>
        <w:numPr>
          <w:ilvl w:val="1"/>
          <w:numId w:val="3"/>
        </w:numPr>
      </w:pPr>
      <w:r w:rsidRPr="00F30A19">
        <w:t>If there is a time period which the reviewer must conduct the review within, these time restraints must also be provided (c</w:t>
      </w:r>
      <w:r w:rsidR="00F615AD">
        <w:t>lause</w:t>
      </w:r>
      <w:r w:rsidRPr="00F30A19">
        <w:t xml:space="preserve"> </w:t>
      </w:r>
      <w:r w:rsidR="00D43115">
        <w:t>7</w:t>
      </w:r>
      <w:r w:rsidRPr="00F30A19">
        <w:t>(c</w:t>
      </w:r>
      <w:proofErr w:type="gramStart"/>
      <w:r w:rsidRPr="00F30A19">
        <w:t>)(</w:t>
      </w:r>
      <w:proofErr w:type="gramEnd"/>
      <w:r w:rsidRPr="00F30A19">
        <w:t>ix)</w:t>
      </w:r>
      <w:r w:rsidR="00F615AD">
        <w:t>)</w:t>
      </w:r>
      <w:r w:rsidRPr="00F30A19">
        <w:t>.</w:t>
      </w:r>
    </w:p>
    <w:p w14:paraId="3B5B574C" w14:textId="1D8C40BB" w:rsidR="00B50731" w:rsidRPr="00F30A19" w:rsidRDefault="00B50731" w:rsidP="00F30A19">
      <w:pPr>
        <w:pStyle w:val="ListParagraph"/>
        <w:numPr>
          <w:ilvl w:val="1"/>
          <w:numId w:val="3"/>
        </w:numPr>
      </w:pPr>
      <w:r w:rsidRPr="00F30A19">
        <w:t xml:space="preserve">Any procedures of the reviewer </w:t>
      </w:r>
      <w:r w:rsidR="00520844" w:rsidRPr="00F30A19">
        <w:t>that the decision-maker considers that the affected person should be aware of. This includes but is not limited to whether the affected person is required to attend hearings (c</w:t>
      </w:r>
      <w:r w:rsidR="00F615AD">
        <w:t xml:space="preserve">lause </w:t>
      </w:r>
      <w:r w:rsidR="00D43115">
        <w:t>7</w:t>
      </w:r>
      <w:r w:rsidR="00520844" w:rsidRPr="00F30A19">
        <w:t>(c</w:t>
      </w:r>
      <w:proofErr w:type="gramStart"/>
      <w:r w:rsidR="00520844" w:rsidRPr="00F30A19">
        <w:t>)(</w:t>
      </w:r>
      <w:proofErr w:type="gramEnd"/>
      <w:r w:rsidR="00520844" w:rsidRPr="00F30A19">
        <w:t>x)</w:t>
      </w:r>
      <w:r w:rsidR="00F615AD">
        <w:t>)</w:t>
      </w:r>
      <w:r w:rsidR="00520844" w:rsidRPr="00F30A19">
        <w:t>.</w:t>
      </w:r>
    </w:p>
    <w:p w14:paraId="3B5B574D" w14:textId="289C1429" w:rsidR="008E4A63" w:rsidRPr="00F30A19" w:rsidRDefault="008E4A63" w:rsidP="00F30A19">
      <w:pPr>
        <w:pStyle w:val="ListParagraph"/>
        <w:numPr>
          <w:ilvl w:val="0"/>
          <w:numId w:val="3"/>
        </w:numPr>
      </w:pPr>
      <w:proofErr w:type="gramStart"/>
      <w:r w:rsidRPr="00F30A19">
        <w:t>information</w:t>
      </w:r>
      <w:proofErr w:type="gramEnd"/>
      <w:r w:rsidRPr="00F30A19">
        <w:t xml:space="preserve"> about how an affected person may make a complaint in relation to the reviewable decision</w:t>
      </w:r>
      <w:r w:rsidR="004667E1" w:rsidRPr="00F30A19">
        <w:t xml:space="preserve"> (</w:t>
      </w:r>
      <w:r w:rsidR="00696BD0">
        <w:t>c</w:t>
      </w:r>
      <w:r w:rsidR="004667E1" w:rsidRPr="00F30A19">
        <w:t xml:space="preserve">lause </w:t>
      </w:r>
      <w:r w:rsidR="00D43115">
        <w:t>7</w:t>
      </w:r>
      <w:r w:rsidR="004667E1" w:rsidRPr="00F30A19">
        <w:t>(2)(d))</w:t>
      </w:r>
      <w:r w:rsidRPr="00F30A19">
        <w:t>.</w:t>
      </w:r>
    </w:p>
    <w:p w14:paraId="3B5B574E" w14:textId="06BE34A7" w:rsidR="008E4A63" w:rsidRPr="00F30A19" w:rsidRDefault="00891D9B" w:rsidP="00F30A19">
      <w:pPr>
        <w:pStyle w:val="ListParagraph"/>
        <w:numPr>
          <w:ilvl w:val="0"/>
          <w:numId w:val="2"/>
        </w:numPr>
      </w:pPr>
      <w:proofErr w:type="gramStart"/>
      <w:r w:rsidRPr="00F30A19">
        <w:t>information</w:t>
      </w:r>
      <w:proofErr w:type="gramEnd"/>
      <w:r w:rsidRPr="00F30A19">
        <w:t xml:space="preserve"> about legal</w:t>
      </w:r>
      <w:r w:rsidR="00BE2898" w:rsidRPr="00F30A19">
        <w:t>,</w:t>
      </w:r>
      <w:r w:rsidRPr="00F30A19">
        <w:t xml:space="preserve"> financial or other forms of advice and assistance may be available to an affected pe</w:t>
      </w:r>
      <w:r w:rsidR="008E4A63" w:rsidRPr="00F30A19">
        <w:t>rson</w:t>
      </w:r>
      <w:r w:rsidRPr="00F30A19">
        <w:t>. Examples of what may</w:t>
      </w:r>
      <w:r w:rsidR="00BE2898" w:rsidRPr="00F30A19">
        <w:t xml:space="preserve"> be outlined in this instance</w:t>
      </w:r>
      <w:r w:rsidRPr="00F30A19">
        <w:t xml:space="preserve"> include translation and interpretation services</w:t>
      </w:r>
      <w:r w:rsidR="004667E1" w:rsidRPr="00F30A19">
        <w:t xml:space="preserve"> (</w:t>
      </w:r>
      <w:r w:rsidR="00F81AAC">
        <w:t>c</w:t>
      </w:r>
      <w:r w:rsidR="004667E1" w:rsidRPr="00F30A19">
        <w:t xml:space="preserve">lause </w:t>
      </w:r>
      <w:r w:rsidR="00D43115">
        <w:t>7</w:t>
      </w:r>
      <w:r w:rsidR="004667E1" w:rsidRPr="00F30A19">
        <w:t>(2</w:t>
      </w:r>
      <w:proofErr w:type="gramStart"/>
      <w:r w:rsidR="004667E1" w:rsidRPr="00F30A19">
        <w:t>)(</w:t>
      </w:r>
      <w:proofErr w:type="gramEnd"/>
      <w:r w:rsidR="004667E1" w:rsidRPr="00F30A19">
        <w:t>e))</w:t>
      </w:r>
      <w:r w:rsidRPr="00F30A19">
        <w:t>. When t</w:t>
      </w:r>
      <w:r w:rsidR="00BE2898" w:rsidRPr="00F30A19">
        <w:t>ranslation services are needed,</w:t>
      </w:r>
      <w:r w:rsidRPr="00F30A19">
        <w:t xml:space="preserve"> reference to the </w:t>
      </w:r>
      <w:r w:rsidRPr="00F30A19">
        <w:rPr>
          <w:i/>
        </w:rPr>
        <w:t xml:space="preserve">Multilateral Language Service Guidelines for Australian Government Agencies </w:t>
      </w:r>
      <w:r w:rsidRPr="00F30A19">
        <w:t>may be useful</w:t>
      </w:r>
      <w:r w:rsidR="004667E1" w:rsidRPr="00F30A19">
        <w:t xml:space="preserve">. </w:t>
      </w:r>
      <w:r w:rsidRPr="00F30A19">
        <w:t>Interpretation services include services that would be provided to the vision impaired, or an affected person who has impaired comprehension or literacy abilities.</w:t>
      </w:r>
    </w:p>
    <w:p w14:paraId="3B5B574F" w14:textId="49F69048" w:rsidR="008E4A63" w:rsidRPr="00F30A19" w:rsidRDefault="008E4A63" w:rsidP="00F30A19">
      <w:pPr>
        <w:pStyle w:val="ListParagraph"/>
        <w:numPr>
          <w:ilvl w:val="0"/>
          <w:numId w:val="2"/>
        </w:numPr>
      </w:pPr>
      <w:proofErr w:type="gramStart"/>
      <w:r w:rsidRPr="00F30A19">
        <w:t>any</w:t>
      </w:r>
      <w:proofErr w:type="gramEnd"/>
      <w:r w:rsidRPr="00F30A19">
        <w:t xml:space="preserve"> other information that the decision-maker considers appropriate in all the circumstances</w:t>
      </w:r>
      <w:r w:rsidR="004667E1" w:rsidRPr="00F30A19">
        <w:t xml:space="preserve"> (</w:t>
      </w:r>
      <w:r w:rsidR="00696BD0">
        <w:t>c</w:t>
      </w:r>
      <w:r w:rsidR="00696BD0" w:rsidRPr="00F30A19">
        <w:t xml:space="preserve">lause </w:t>
      </w:r>
      <w:r w:rsidR="00D43115">
        <w:t>7</w:t>
      </w:r>
      <w:r w:rsidR="004667E1" w:rsidRPr="00F30A19">
        <w:t>(2)(f))</w:t>
      </w:r>
      <w:r w:rsidRPr="00F30A19">
        <w:t>.</w:t>
      </w:r>
    </w:p>
    <w:p w14:paraId="3B5B5750" w14:textId="77777777" w:rsidR="005F258E" w:rsidRPr="00F30A19" w:rsidRDefault="005F258E" w:rsidP="00F54420"/>
    <w:p w14:paraId="2F610F62" w14:textId="1309FB0B" w:rsidR="00F615AD" w:rsidRDefault="00235933" w:rsidP="00F54420">
      <w:r w:rsidRPr="00F30A19">
        <w:t>P</w:t>
      </w:r>
      <w:r w:rsidR="005F258E" w:rsidRPr="00F30A19">
        <w:t>lease not</w:t>
      </w:r>
      <w:r w:rsidR="00C53D55" w:rsidRPr="00F30A19">
        <w:t>e</w:t>
      </w:r>
      <w:r w:rsidR="005F258E" w:rsidRPr="00F30A19">
        <w:t xml:space="preserve"> that the requirements of </w:t>
      </w:r>
      <w:r w:rsidR="007740B9">
        <w:t>c</w:t>
      </w:r>
      <w:r w:rsidR="007740B9" w:rsidRPr="00F30A19">
        <w:t xml:space="preserve">lause </w:t>
      </w:r>
      <w:r w:rsidR="00D43115">
        <w:t>7</w:t>
      </w:r>
      <w:r w:rsidR="002062F4" w:rsidRPr="00F30A19">
        <w:t>(2)</w:t>
      </w:r>
      <w:r w:rsidR="00BE2898" w:rsidRPr="00F30A19">
        <w:t xml:space="preserve"> do not need to be fulfilled if they are not applicable</w:t>
      </w:r>
      <w:r w:rsidR="005F258E" w:rsidRPr="00F30A19">
        <w:t xml:space="preserve">. Only the details </w:t>
      </w:r>
      <w:proofErr w:type="gramStart"/>
      <w:r w:rsidR="005F258E" w:rsidRPr="00F30A19">
        <w:t>that are</w:t>
      </w:r>
      <w:proofErr w:type="gramEnd"/>
      <w:r w:rsidR="005F258E" w:rsidRPr="00F30A19">
        <w:t xml:space="preserve"> necessary and relevant to the affected person</w:t>
      </w:r>
      <w:r w:rsidR="00390D31" w:rsidRPr="00F30A19">
        <w:t>’</w:t>
      </w:r>
      <w:r w:rsidR="005F258E" w:rsidRPr="00F30A19">
        <w:t xml:space="preserve">s decision need to be provided. </w:t>
      </w:r>
      <w:r w:rsidR="00891D9B" w:rsidRPr="00F30A19">
        <w:t>In the first instance of review, if there are multiple alternative steps to se</w:t>
      </w:r>
      <w:r w:rsidR="00BE2898" w:rsidRPr="00F30A19">
        <w:t xml:space="preserve">ek review </w:t>
      </w:r>
      <w:r w:rsidR="00891D9B" w:rsidRPr="00F30A19">
        <w:t>then these must all be outlined. Further, if a</w:t>
      </w:r>
      <w:r w:rsidR="005F093F" w:rsidRPr="00F30A19">
        <w:t>n affected</w:t>
      </w:r>
      <w:r w:rsidR="00891D9B" w:rsidRPr="00F30A19">
        <w:t xml:space="preserve"> person seeks review and is provided with a new decision, then a revised decision</w:t>
      </w:r>
      <w:r w:rsidR="00F81AAC">
        <w:t xml:space="preserve"> </w:t>
      </w:r>
      <w:r w:rsidR="00891D9B" w:rsidRPr="00F30A19">
        <w:t xml:space="preserve">notice must be provided with the information that is relevant to that decision. </w:t>
      </w:r>
      <w:r w:rsidR="004667E1" w:rsidRPr="00F30A19">
        <w:t>T</w:t>
      </w:r>
      <w:r w:rsidRPr="00F30A19">
        <w:t>he information that is provided need not be detailed in the document if links to webpages can be provided within the decision</w:t>
      </w:r>
      <w:r w:rsidR="005F093F" w:rsidRPr="00F30A19">
        <w:t xml:space="preserve"> </w:t>
      </w:r>
      <w:r w:rsidRPr="00F30A19">
        <w:t xml:space="preserve">notice or brochures and/or other appropriate source can be provided at the same time as the </w:t>
      </w:r>
    </w:p>
    <w:p w14:paraId="3B5B5751" w14:textId="473B3853" w:rsidR="005F258E" w:rsidRPr="00F30A19" w:rsidRDefault="00696BD0" w:rsidP="00F54420">
      <w:proofErr w:type="gramStart"/>
      <w:r>
        <w:t>d</w:t>
      </w:r>
      <w:r w:rsidRPr="00F30A19">
        <w:t>ecision</w:t>
      </w:r>
      <w:proofErr w:type="gramEnd"/>
      <w:r>
        <w:t xml:space="preserve"> </w:t>
      </w:r>
      <w:r w:rsidR="00235933" w:rsidRPr="00F30A19">
        <w:t>notice.</w:t>
      </w:r>
    </w:p>
    <w:p w14:paraId="3B5B5752" w14:textId="77777777" w:rsidR="00791295" w:rsidRPr="00F30A19" w:rsidRDefault="00791295" w:rsidP="009B0420"/>
    <w:p w14:paraId="3B5B5753" w14:textId="00F08328" w:rsidR="00E4375D" w:rsidRPr="00A63A03" w:rsidRDefault="0052285D" w:rsidP="00E4375D">
      <w:pPr>
        <w:rPr>
          <w:u w:val="single"/>
        </w:rPr>
      </w:pPr>
      <w:r w:rsidRPr="00A63A03">
        <w:rPr>
          <w:u w:val="single"/>
        </w:rPr>
        <w:t>Clause</w:t>
      </w:r>
      <w:r w:rsidR="00E4375D" w:rsidRPr="00A63A03">
        <w:rPr>
          <w:u w:val="single"/>
        </w:rPr>
        <w:t xml:space="preserve"> </w:t>
      </w:r>
      <w:r w:rsidR="00D43115" w:rsidRPr="00A63A03">
        <w:rPr>
          <w:u w:val="single"/>
        </w:rPr>
        <w:t>8</w:t>
      </w:r>
      <w:r w:rsidR="00E4375D" w:rsidRPr="00A63A03">
        <w:rPr>
          <w:u w:val="single"/>
        </w:rPr>
        <w:t xml:space="preserve"> – The decision-maker must notify affected persons about decisions and rights of review</w:t>
      </w:r>
    </w:p>
    <w:p w14:paraId="3B5B5754" w14:textId="030F3B13" w:rsidR="00E4375D" w:rsidRPr="00F30A19" w:rsidRDefault="0052285D" w:rsidP="00E4375D">
      <w:r w:rsidRPr="00A63A03">
        <w:t>Clause</w:t>
      </w:r>
      <w:r w:rsidR="00147715" w:rsidRPr="00A63A03">
        <w:t xml:space="preserve"> </w:t>
      </w:r>
      <w:r w:rsidR="00A63A03" w:rsidRPr="00FC6852">
        <w:t>8</w:t>
      </w:r>
      <w:r w:rsidR="00E4375D" w:rsidRPr="00A63A03">
        <w:t>(1) details the circumstances where a decision</w:t>
      </w:r>
      <w:r w:rsidR="005F093F" w:rsidRPr="00A63A03">
        <w:t>-</w:t>
      </w:r>
      <w:r w:rsidR="00E4375D" w:rsidRPr="00A63A03">
        <w:t>maker may give public notice of the decision and the rights of review.</w:t>
      </w:r>
      <w:r w:rsidR="00147715" w:rsidRPr="00A63A03">
        <w:t xml:space="preserve"> </w:t>
      </w:r>
      <w:r w:rsidR="00F05CDE" w:rsidRPr="00A63A03">
        <w:t>Notice in this form only needs to be provided in certain circumstances, which are outlined in the Code.</w:t>
      </w:r>
      <w:r w:rsidR="00A63A03">
        <w:t xml:space="preserve"> </w:t>
      </w:r>
      <w:r w:rsidR="00F05CDE" w:rsidRPr="00A63A03">
        <w:t xml:space="preserve">The </w:t>
      </w:r>
      <w:proofErr w:type="gramStart"/>
      <w:r w:rsidR="00F05CDE" w:rsidRPr="00A63A03">
        <w:t>form</w:t>
      </w:r>
      <w:proofErr w:type="gramEnd"/>
      <w:r w:rsidR="00F05CDE" w:rsidRPr="00A63A03">
        <w:t xml:space="preserve"> in which a public notice is provided</w:t>
      </w:r>
      <w:r w:rsidR="00BE2898" w:rsidRPr="00A63A03">
        <w:t>,</w:t>
      </w:r>
      <w:r w:rsidR="00F05CDE" w:rsidRPr="00A63A03">
        <w:t xml:space="preserve"> is discretionary. </w:t>
      </w:r>
      <w:r w:rsidR="00A63A03">
        <w:t xml:space="preserve">It may be appropriate for a decision-maker to provide this notice on the internet, in a newspaper or magazine or any other form that may be deemed appropriate in the circumstances. </w:t>
      </w:r>
      <w:r w:rsidRPr="00A63A03">
        <w:t>Clause</w:t>
      </w:r>
      <w:r w:rsidR="00147715" w:rsidRPr="00A63A03">
        <w:t xml:space="preserve"> </w:t>
      </w:r>
      <w:r w:rsidR="00A63A03">
        <w:t>8</w:t>
      </w:r>
      <w:r w:rsidR="00E4375D" w:rsidRPr="00A63A03">
        <w:t xml:space="preserve">(2) outlines that the provision of public notice does </w:t>
      </w:r>
      <w:proofErr w:type="gramStart"/>
      <w:r w:rsidR="00E4375D" w:rsidRPr="00A63A03">
        <w:t>not  mean</w:t>
      </w:r>
      <w:proofErr w:type="gramEnd"/>
      <w:r w:rsidR="00E4375D" w:rsidRPr="00A63A03">
        <w:t xml:space="preserve"> that individual notice cannot be given additionally in particular instances.</w:t>
      </w:r>
      <w:r w:rsidR="00E4375D" w:rsidRPr="00F30A19">
        <w:t xml:space="preserve"> </w:t>
      </w:r>
    </w:p>
    <w:p w14:paraId="3B5B5755" w14:textId="77777777" w:rsidR="00940ADA" w:rsidRPr="00F30A19" w:rsidRDefault="00940ADA" w:rsidP="00DC6B2A"/>
    <w:p w14:paraId="3B5B5756" w14:textId="77777777" w:rsidR="00CB5FAD" w:rsidRPr="00F30A19" w:rsidRDefault="00CB5FAD" w:rsidP="00DC6B2A">
      <w:pPr>
        <w:rPr>
          <w:u w:val="single"/>
        </w:rPr>
      </w:pPr>
      <w:r w:rsidRPr="00F30A19">
        <w:rPr>
          <w:u w:val="single"/>
        </w:rPr>
        <w:t>Schedule 1 – Repeals</w:t>
      </w:r>
    </w:p>
    <w:p w14:paraId="3B5B5757" w14:textId="77777777" w:rsidR="00DC6B2A" w:rsidRPr="00F30A19" w:rsidRDefault="00CB5FAD" w:rsidP="00DC6B2A">
      <w:r w:rsidRPr="00F30A19">
        <w:t xml:space="preserve">Schedule 1 outlines that the Instrument repeals the </w:t>
      </w:r>
      <w:r w:rsidRPr="00F30A19">
        <w:rPr>
          <w:i/>
        </w:rPr>
        <w:t xml:space="preserve">Code of Practice for Notification of Reviewable Decisions and Rights of Review </w:t>
      </w:r>
      <w:r w:rsidRPr="00F30A19">
        <w:t>registered on 30 November 2006.</w:t>
      </w:r>
    </w:p>
    <w:p w14:paraId="3B5B5758" w14:textId="77777777" w:rsidR="009142AB" w:rsidRDefault="009142AB" w:rsidP="007A748C">
      <w:pPr>
        <w:spacing w:after="120"/>
        <w:rPr>
          <w:b/>
          <w:sz w:val="22"/>
          <w:szCs w:val="22"/>
        </w:rPr>
      </w:pPr>
    </w:p>
    <w:p w14:paraId="3B5B5759" w14:textId="77777777" w:rsidR="00816BDA" w:rsidRDefault="00816BDA">
      <w:pPr>
        <w:spacing w:after="200" w:line="276" w:lineRule="auto"/>
        <w:rPr>
          <w:b/>
          <w:sz w:val="22"/>
          <w:szCs w:val="22"/>
        </w:rPr>
      </w:pPr>
      <w:r>
        <w:rPr>
          <w:b/>
          <w:sz w:val="22"/>
          <w:szCs w:val="22"/>
        </w:rPr>
        <w:br w:type="page"/>
      </w:r>
    </w:p>
    <w:p w14:paraId="3B5B575A" w14:textId="122A307D" w:rsidR="009142AB" w:rsidRPr="00560BEB" w:rsidRDefault="00D94489" w:rsidP="00F30A19">
      <w:pPr>
        <w:keepNext/>
        <w:keepLines/>
        <w:rPr>
          <w:b/>
          <w:u w:val="single"/>
        </w:rPr>
      </w:pPr>
      <w:r>
        <w:rPr>
          <w:b/>
          <w:u w:val="single"/>
        </w:rPr>
        <w:lastRenderedPageBreak/>
        <w:t xml:space="preserve">ATTACHMENT </w:t>
      </w:r>
      <w:r w:rsidR="009142AB" w:rsidRPr="00560BEB">
        <w:rPr>
          <w:b/>
          <w:u w:val="single"/>
        </w:rPr>
        <w:t>B</w:t>
      </w:r>
    </w:p>
    <w:p w14:paraId="3B5B575B" w14:textId="77777777" w:rsidR="00E47B3F" w:rsidRDefault="00E47B3F" w:rsidP="00DA5B62">
      <w:pPr>
        <w:pStyle w:val="Heading2"/>
        <w:jc w:val="left"/>
      </w:pPr>
      <w:r>
        <w:t>Statement of Compatibility with Human Rights</w:t>
      </w:r>
    </w:p>
    <w:p w14:paraId="3B5B575C" w14:textId="77777777" w:rsidR="00E47B3F" w:rsidRPr="00641CEA" w:rsidRDefault="00E47B3F" w:rsidP="00F30A19">
      <w:r w:rsidRPr="00641CEA">
        <w:rPr>
          <w:i/>
        </w:rPr>
        <w:t>Prepared in accordance with Part 3 of the Human Rights (Parliamentary Scrutiny) Act 2011</w:t>
      </w:r>
    </w:p>
    <w:p w14:paraId="3B5B575D" w14:textId="77777777" w:rsidR="00696102" w:rsidRPr="00641CEA" w:rsidRDefault="00696102" w:rsidP="00696102">
      <w:pPr>
        <w:spacing w:before="240"/>
        <w:jc w:val="center"/>
        <w:rPr>
          <w:b/>
          <w:i/>
        </w:rPr>
      </w:pPr>
      <w:r w:rsidRPr="00641CEA">
        <w:rPr>
          <w:b/>
          <w:i/>
        </w:rPr>
        <w:t>Administrative Appeals Tribunal (Code of Practice) Determination 2017</w:t>
      </w:r>
    </w:p>
    <w:p w14:paraId="3B5B575E" w14:textId="77777777" w:rsidR="00E47B3F" w:rsidRPr="00641CEA" w:rsidRDefault="00E47B3F" w:rsidP="00F30A19">
      <w:pPr>
        <w:jc w:val="center"/>
      </w:pPr>
    </w:p>
    <w:p w14:paraId="3B5B575F" w14:textId="77777777" w:rsidR="00E47B3F" w:rsidRPr="00641CEA" w:rsidRDefault="00E47B3F" w:rsidP="00F30A19">
      <w:pPr>
        <w:jc w:val="center"/>
      </w:pPr>
      <w:r w:rsidRPr="00641CEA">
        <w:t xml:space="preserve">This </w:t>
      </w:r>
      <w:r w:rsidR="00185E78" w:rsidRPr="00641CEA">
        <w:t>l</w:t>
      </w:r>
      <w:r w:rsidRPr="00641CEA">
        <w:t xml:space="preserve">egislative </w:t>
      </w:r>
      <w:r w:rsidR="00185E78" w:rsidRPr="00641CEA">
        <w:t>i</w:t>
      </w:r>
      <w:r w:rsidRPr="00641CEA">
        <w:t xml:space="preserve">nstrument is compatible with the human rights and freedoms recognised or declared in the international instruments listed in section 3 of the </w:t>
      </w:r>
      <w:r w:rsidRPr="00641CEA">
        <w:rPr>
          <w:i/>
        </w:rPr>
        <w:t xml:space="preserve">Human Rights </w:t>
      </w:r>
      <w:r w:rsidR="00185E78" w:rsidRPr="00641CEA">
        <w:rPr>
          <w:i/>
        </w:rPr>
        <w:br/>
      </w:r>
      <w:r w:rsidRPr="00641CEA">
        <w:rPr>
          <w:i/>
        </w:rPr>
        <w:t>(Parliamentary Scrutiny) Act 2011</w:t>
      </w:r>
      <w:r w:rsidRPr="00641CEA">
        <w:t>.</w:t>
      </w:r>
    </w:p>
    <w:p w14:paraId="3B5B5760" w14:textId="77777777" w:rsidR="00E47B3F" w:rsidRPr="00641CEA" w:rsidRDefault="00E47B3F" w:rsidP="00F30A19"/>
    <w:p w14:paraId="3B5B5761" w14:textId="77777777" w:rsidR="00E47B3F" w:rsidRPr="00641CEA" w:rsidRDefault="00E47B3F" w:rsidP="00F30A19">
      <w:pPr>
        <w:pStyle w:val="Heading3"/>
        <w:spacing w:before="0" w:after="0"/>
      </w:pPr>
      <w:r w:rsidRPr="00641CEA">
        <w:t>Overview of the Legislative Instrument</w:t>
      </w:r>
    </w:p>
    <w:p w14:paraId="3B5B5762" w14:textId="77777777" w:rsidR="00E47B3F" w:rsidRPr="00641CEA" w:rsidRDefault="00E47B3F">
      <w:r w:rsidRPr="00641CEA">
        <w:t xml:space="preserve">The purpose of the </w:t>
      </w:r>
      <w:r w:rsidR="00696102" w:rsidRPr="00641CEA">
        <w:rPr>
          <w:i/>
        </w:rPr>
        <w:t>Administrative Appeals Tribunal (Code of Practice) Determination 2017</w:t>
      </w:r>
      <w:r w:rsidR="00696102" w:rsidRPr="00641CEA" w:rsidDel="00696102">
        <w:rPr>
          <w:i/>
        </w:rPr>
        <w:t xml:space="preserve"> </w:t>
      </w:r>
      <w:r w:rsidRPr="00641CEA">
        <w:t xml:space="preserve">(the Code) is to replace and repeal the </w:t>
      </w:r>
      <w:r w:rsidRPr="00641CEA">
        <w:rPr>
          <w:i/>
        </w:rPr>
        <w:t>Code of Practice for Notification of Reviewable Decisions and Rights of Review</w:t>
      </w:r>
      <w:r w:rsidRPr="00641CEA">
        <w:t xml:space="preserve"> (the former Code).</w:t>
      </w:r>
    </w:p>
    <w:p w14:paraId="3B5B5763" w14:textId="77777777" w:rsidR="00E47B3F" w:rsidRPr="00641CEA" w:rsidRDefault="00E47B3F"/>
    <w:p w14:paraId="3B5B5764" w14:textId="77777777" w:rsidR="00E47B3F" w:rsidRPr="00641CEA" w:rsidRDefault="00E47B3F">
      <w:r w:rsidRPr="00641CEA">
        <w:t>The former Code is due to sunset on 1 April 2018. The Administrative Appeals Tribunal has reinforced its support for the retention of a Code of Practice, as it establishes a minimum standard of practice to ensure affected persons are advised of reviewable decisions and are aware of their rights to seek review of these decisions.</w:t>
      </w:r>
    </w:p>
    <w:p w14:paraId="3B5B5765" w14:textId="77777777" w:rsidR="00E47B3F" w:rsidRPr="00641CEA" w:rsidRDefault="00E47B3F"/>
    <w:p w14:paraId="3B5B576A" w14:textId="7A59E978" w:rsidR="0002375A" w:rsidRPr="00641CEA" w:rsidRDefault="005602C4">
      <w:r w:rsidRPr="00641CEA">
        <w:t xml:space="preserve">The </w:t>
      </w:r>
      <w:r w:rsidR="00264CA5" w:rsidRPr="00641CEA">
        <w:t xml:space="preserve">Code refines the contents of the notices provision in the former Code, requiring </w:t>
      </w:r>
      <w:r w:rsidR="007740B9">
        <w:t xml:space="preserve"> </w:t>
      </w:r>
      <w:r w:rsidR="00264CA5" w:rsidRPr="00641CEA">
        <w:t>decision</w:t>
      </w:r>
      <w:r w:rsidR="007740B9">
        <w:t>-</w:t>
      </w:r>
      <w:r w:rsidR="00264CA5" w:rsidRPr="00641CEA">
        <w:t>makers to take all reasonable steps to provide information of three broad kinds</w:t>
      </w:r>
      <w:r w:rsidR="0029288A">
        <w:t>:</w:t>
      </w:r>
      <w:r w:rsidR="00264CA5" w:rsidRPr="00641CEA">
        <w:t xml:space="preserve"> how information about the affected person in relation to the decision may obtain further information about their decision, whether the affected person is able to seek internal or external merits review of the reviewable decision and</w:t>
      </w:r>
      <w:r w:rsidR="0029288A">
        <w:t>,</w:t>
      </w:r>
      <w:r w:rsidR="00264CA5" w:rsidRPr="00641CEA">
        <w:t xml:space="preserve"> when avenues of review are available, further details about the review, as outlined in c</w:t>
      </w:r>
      <w:r w:rsidR="0029288A">
        <w:t>lause</w:t>
      </w:r>
      <w:r w:rsidR="00264CA5" w:rsidRPr="00641CEA">
        <w:t xml:space="preserve"> </w:t>
      </w:r>
      <w:r w:rsidR="00A63A03">
        <w:t>7</w:t>
      </w:r>
      <w:r w:rsidR="00264CA5" w:rsidRPr="00641CEA">
        <w:t>(c).</w:t>
      </w:r>
      <w:r w:rsidR="008443B7" w:rsidRPr="00641CEA">
        <w:t xml:space="preserve"> Other information that must be provided by the decision-maker to the affected person includes</w:t>
      </w:r>
      <w:r w:rsidR="0029288A">
        <w:t>:</w:t>
      </w:r>
      <w:r w:rsidR="008443B7" w:rsidRPr="00641CEA">
        <w:t xml:space="preserve"> the ability of an affected person to make a complaint in relation to the reviewable decision, any legal, financial or other forms of advice that is available to the affected person</w:t>
      </w:r>
      <w:r w:rsidR="0029288A">
        <w:t>,</w:t>
      </w:r>
      <w:r w:rsidR="008443B7" w:rsidRPr="00641CEA">
        <w:t xml:space="preserve"> and any other information that the decision-maker considers to the appropriate in the circumstances. </w:t>
      </w:r>
      <w:r w:rsidR="001E187F">
        <w:t>The</w:t>
      </w:r>
      <w:r w:rsidR="008C479B" w:rsidRPr="00641CEA">
        <w:t xml:space="preserve"> Code</w:t>
      </w:r>
      <w:r w:rsidR="00264CA5" w:rsidRPr="00641CEA">
        <w:t xml:space="preserve"> </w:t>
      </w:r>
      <w:r w:rsidR="001E187F">
        <w:t>also includes</w:t>
      </w:r>
      <w:r w:rsidR="00264CA5" w:rsidRPr="00641CEA">
        <w:t xml:space="preserve"> definition</w:t>
      </w:r>
      <w:r w:rsidR="001E187F">
        <w:t>s</w:t>
      </w:r>
      <w:r w:rsidR="00264CA5" w:rsidRPr="00641CEA">
        <w:t xml:space="preserve"> of “decision-maker”</w:t>
      </w:r>
      <w:r w:rsidR="00E00E1C" w:rsidRPr="00641CEA">
        <w:t xml:space="preserve"> and “decision notice”</w:t>
      </w:r>
      <w:r w:rsidR="008C479B" w:rsidRPr="00641CEA">
        <w:t xml:space="preserve">. </w:t>
      </w:r>
      <w:r w:rsidR="001E187F">
        <w:t xml:space="preserve">The </w:t>
      </w:r>
      <w:r w:rsidRPr="00641CEA">
        <w:t xml:space="preserve">Code </w:t>
      </w:r>
      <w:r w:rsidR="001E187F">
        <w:t>also includes its</w:t>
      </w:r>
      <w:r w:rsidR="001E187F" w:rsidRPr="00641CEA">
        <w:t xml:space="preserve"> </w:t>
      </w:r>
      <w:r w:rsidRPr="00641CEA">
        <w:t>commence</w:t>
      </w:r>
      <w:r w:rsidR="001E187F">
        <w:t>ment</w:t>
      </w:r>
      <w:r w:rsidRPr="00641CEA">
        <w:t>, the legislative au</w:t>
      </w:r>
      <w:r w:rsidR="00E448F9" w:rsidRPr="00641CEA">
        <w:t>thority under which the</w:t>
      </w:r>
      <w:r w:rsidRPr="00641CEA">
        <w:t xml:space="preserve"> Code was made, and the repeal of the former Code</w:t>
      </w:r>
      <w:r w:rsidRPr="00641CEA">
        <w:rPr>
          <w:i/>
        </w:rPr>
        <w:t>.</w:t>
      </w:r>
    </w:p>
    <w:p w14:paraId="3B5B576B" w14:textId="77777777" w:rsidR="00E47B3F" w:rsidRPr="00641CEA" w:rsidRDefault="00E47B3F" w:rsidP="00F30A19"/>
    <w:p w14:paraId="3B5B576C" w14:textId="77777777" w:rsidR="00E47B3F" w:rsidRPr="00641CEA" w:rsidRDefault="00E47B3F" w:rsidP="00F30A19">
      <w:pPr>
        <w:pStyle w:val="Heading3"/>
        <w:spacing w:before="0" w:after="0"/>
      </w:pPr>
      <w:r w:rsidRPr="00641CEA">
        <w:t>Human rights implications</w:t>
      </w:r>
    </w:p>
    <w:p w14:paraId="3B5B576D" w14:textId="77777777" w:rsidR="0002375A" w:rsidRPr="00641CEA" w:rsidRDefault="00E47B3F" w:rsidP="00F30A19">
      <w:r w:rsidRPr="00641CEA">
        <w:t xml:space="preserve">This </w:t>
      </w:r>
      <w:r w:rsidR="00185E78" w:rsidRPr="00641CEA">
        <w:t>l</w:t>
      </w:r>
      <w:r w:rsidRPr="00641CEA">
        <w:t xml:space="preserve">egislative </w:t>
      </w:r>
      <w:r w:rsidR="00185E78" w:rsidRPr="00641CEA">
        <w:t>i</w:t>
      </w:r>
      <w:r w:rsidRPr="00641CEA">
        <w:t xml:space="preserve">nstrument makes amendments to the former Code, which </w:t>
      </w:r>
      <w:proofErr w:type="gramStart"/>
      <w:r w:rsidRPr="00641CEA">
        <w:t>are</w:t>
      </w:r>
      <w:proofErr w:type="gramEnd"/>
      <w:r w:rsidRPr="00641CEA">
        <w:t xml:space="preserve"> designed to assist persons</w:t>
      </w:r>
      <w:r w:rsidR="00600EA4" w:rsidRPr="00641CEA">
        <w:t xml:space="preserve"> affected by a reviewable decision</w:t>
      </w:r>
      <w:r w:rsidRPr="00641CEA">
        <w:t xml:space="preserve"> to better understand </w:t>
      </w:r>
      <w:r w:rsidR="00600EA4" w:rsidRPr="00641CEA">
        <w:t>the</w:t>
      </w:r>
      <w:r w:rsidRPr="00641CEA">
        <w:t xml:space="preserve"> decision and post decision</w:t>
      </w:r>
      <w:r w:rsidR="00696102" w:rsidRPr="00641CEA">
        <w:t xml:space="preserve"> review</w:t>
      </w:r>
      <w:r w:rsidRPr="00641CEA">
        <w:t xml:space="preserve"> options. </w:t>
      </w:r>
      <w:r w:rsidR="00560B16" w:rsidRPr="00641CEA">
        <w:t>As such, i</w:t>
      </w:r>
      <w:r w:rsidRPr="00641CEA">
        <w:t xml:space="preserve">t does not engage any of the applicable rights or freedoms. </w:t>
      </w:r>
    </w:p>
    <w:p w14:paraId="3B5B576E" w14:textId="77777777" w:rsidR="00E47B3F" w:rsidRPr="00641CEA" w:rsidRDefault="00E47B3F" w:rsidP="00F30A19"/>
    <w:p w14:paraId="3B5B576F" w14:textId="77777777" w:rsidR="00E47B3F" w:rsidRPr="00641CEA" w:rsidRDefault="00E47B3F" w:rsidP="00F30A19">
      <w:pPr>
        <w:pStyle w:val="Heading3"/>
        <w:spacing w:before="0" w:after="0"/>
      </w:pPr>
      <w:r w:rsidRPr="00641CEA">
        <w:t>Conclusion</w:t>
      </w:r>
    </w:p>
    <w:p w14:paraId="3B5B5770" w14:textId="77777777" w:rsidR="00E47B3F" w:rsidRPr="001E187F" w:rsidRDefault="00E47B3F" w:rsidP="001E187F">
      <w:pPr>
        <w:pStyle w:val="Heading3"/>
        <w:spacing w:before="0" w:after="0"/>
        <w:rPr>
          <w:b w:val="0"/>
        </w:rPr>
      </w:pPr>
      <w:r w:rsidRPr="001E187F">
        <w:rPr>
          <w:b w:val="0"/>
        </w:rPr>
        <w:t xml:space="preserve">This </w:t>
      </w:r>
      <w:r w:rsidR="00185E78" w:rsidRPr="001E187F">
        <w:rPr>
          <w:b w:val="0"/>
        </w:rPr>
        <w:t>l</w:t>
      </w:r>
      <w:r w:rsidRPr="001E187F">
        <w:rPr>
          <w:b w:val="0"/>
        </w:rPr>
        <w:t xml:space="preserve">egislative </w:t>
      </w:r>
      <w:r w:rsidR="00185E78" w:rsidRPr="001E187F">
        <w:rPr>
          <w:b w:val="0"/>
        </w:rPr>
        <w:t>i</w:t>
      </w:r>
      <w:r w:rsidRPr="001E187F">
        <w:rPr>
          <w:b w:val="0"/>
        </w:rPr>
        <w:t>nstrument is compatible with human rights as it does</w:t>
      </w:r>
      <w:r w:rsidR="00566C45" w:rsidRPr="001E187F">
        <w:rPr>
          <w:b w:val="0"/>
        </w:rPr>
        <w:t xml:space="preserve"> not limit any human rights</w:t>
      </w:r>
      <w:r w:rsidRPr="001E187F">
        <w:rPr>
          <w:b w:val="0"/>
        </w:rPr>
        <w:t>.</w:t>
      </w:r>
    </w:p>
    <w:sectPr w:rsidR="00E47B3F" w:rsidRPr="001E187F" w:rsidSect="00641CEA">
      <w:head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B5773" w14:textId="77777777" w:rsidR="00EB5B88" w:rsidRDefault="00EB5B88" w:rsidP="005E48D3">
      <w:r>
        <w:separator/>
      </w:r>
    </w:p>
  </w:endnote>
  <w:endnote w:type="continuationSeparator" w:id="0">
    <w:p w14:paraId="3B5B5774" w14:textId="77777777" w:rsidR="00EB5B88" w:rsidRDefault="00EB5B88" w:rsidP="005E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5776" w14:textId="77777777" w:rsidR="004F1C23" w:rsidRDefault="004F1C23" w:rsidP="00F30A19">
    <w:pPr>
      <w:pStyle w:val="Footer"/>
      <w:tabs>
        <w:tab w:val="clear" w:pos="4513"/>
        <w:tab w:val="clear" w:pos="9026"/>
        <w:tab w:val="left" w:pos="57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B5771" w14:textId="77777777" w:rsidR="00EB5B88" w:rsidRDefault="00EB5B88" w:rsidP="005E48D3">
      <w:r>
        <w:separator/>
      </w:r>
    </w:p>
  </w:footnote>
  <w:footnote w:type="continuationSeparator" w:id="0">
    <w:p w14:paraId="3B5B5772" w14:textId="77777777" w:rsidR="00EB5B88" w:rsidRDefault="00EB5B88" w:rsidP="005E4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5775" w14:textId="77777777" w:rsidR="009142AB" w:rsidRPr="005E48D3" w:rsidRDefault="009142AB" w:rsidP="005E48D3">
    <w:pPr>
      <w:pStyle w:val="Header"/>
      <w:jc w:val="right"/>
      <w:rPr>
        <w:rFonts w:ascii="Calibri" w:hAnsi="Calibri" w:cs="Calibr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B5777" w14:textId="77777777" w:rsidR="005C052F" w:rsidRPr="005E48D3" w:rsidRDefault="005C052F" w:rsidP="005E48D3">
    <w:pPr>
      <w:pStyle w:val="Header"/>
      <w:jc w:val="right"/>
      <w:rPr>
        <w:rFonts w:ascii="Calibri" w:hAnsi="Calibri" w:cs="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418"/>
    <w:multiLevelType w:val="hybridMultilevel"/>
    <w:tmpl w:val="E73A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4F5A2D"/>
    <w:multiLevelType w:val="hybridMultilevel"/>
    <w:tmpl w:val="7992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B17E34"/>
    <w:multiLevelType w:val="hybridMultilevel"/>
    <w:tmpl w:val="EFE0F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E7"/>
    <w:rsid w:val="0002375A"/>
    <w:rsid w:val="00040B33"/>
    <w:rsid w:val="000574D1"/>
    <w:rsid w:val="00072EB7"/>
    <w:rsid w:val="000A318F"/>
    <w:rsid w:val="000A6291"/>
    <w:rsid w:val="000C5705"/>
    <w:rsid w:val="000C5AAE"/>
    <w:rsid w:val="000E0EBF"/>
    <w:rsid w:val="000F3E46"/>
    <w:rsid w:val="00107E23"/>
    <w:rsid w:val="001175CC"/>
    <w:rsid w:val="001308D3"/>
    <w:rsid w:val="00131032"/>
    <w:rsid w:val="00132FA3"/>
    <w:rsid w:val="00133E06"/>
    <w:rsid w:val="00134D10"/>
    <w:rsid w:val="001409EA"/>
    <w:rsid w:val="00147715"/>
    <w:rsid w:val="00185E78"/>
    <w:rsid w:val="00193E6F"/>
    <w:rsid w:val="001E187F"/>
    <w:rsid w:val="002030E1"/>
    <w:rsid w:val="002062F4"/>
    <w:rsid w:val="0021515A"/>
    <w:rsid w:val="00235933"/>
    <w:rsid w:val="0025579F"/>
    <w:rsid w:val="00264CA5"/>
    <w:rsid w:val="002700BC"/>
    <w:rsid w:val="0029288A"/>
    <w:rsid w:val="002A793F"/>
    <w:rsid w:val="002D5C08"/>
    <w:rsid w:val="002F7771"/>
    <w:rsid w:val="0033623D"/>
    <w:rsid w:val="00352CE5"/>
    <w:rsid w:val="00360BBA"/>
    <w:rsid w:val="003720A6"/>
    <w:rsid w:val="00390D31"/>
    <w:rsid w:val="003A2DE9"/>
    <w:rsid w:val="003A4670"/>
    <w:rsid w:val="003B303A"/>
    <w:rsid w:val="003E2BC3"/>
    <w:rsid w:val="00403366"/>
    <w:rsid w:val="00453476"/>
    <w:rsid w:val="00455C11"/>
    <w:rsid w:val="004667E1"/>
    <w:rsid w:val="00471221"/>
    <w:rsid w:val="00475355"/>
    <w:rsid w:val="00476B5C"/>
    <w:rsid w:val="004800FC"/>
    <w:rsid w:val="0048262F"/>
    <w:rsid w:val="004A0B59"/>
    <w:rsid w:val="004B4F59"/>
    <w:rsid w:val="004C2523"/>
    <w:rsid w:val="004C5260"/>
    <w:rsid w:val="004D14F0"/>
    <w:rsid w:val="004F1C23"/>
    <w:rsid w:val="00520844"/>
    <w:rsid w:val="0052285D"/>
    <w:rsid w:val="00541E0C"/>
    <w:rsid w:val="00557A39"/>
    <w:rsid w:val="005602C4"/>
    <w:rsid w:val="00560B16"/>
    <w:rsid w:val="00560BEB"/>
    <w:rsid w:val="00561D45"/>
    <w:rsid w:val="00561E01"/>
    <w:rsid w:val="00566C45"/>
    <w:rsid w:val="005C052F"/>
    <w:rsid w:val="005C2E3E"/>
    <w:rsid w:val="005D6F11"/>
    <w:rsid w:val="005E48D3"/>
    <w:rsid w:val="005F093F"/>
    <w:rsid w:val="005F258E"/>
    <w:rsid w:val="005F3BFA"/>
    <w:rsid w:val="00600EA4"/>
    <w:rsid w:val="00611A6A"/>
    <w:rsid w:val="00641CEA"/>
    <w:rsid w:val="00665329"/>
    <w:rsid w:val="00665B41"/>
    <w:rsid w:val="00674DD2"/>
    <w:rsid w:val="0067540D"/>
    <w:rsid w:val="00677BAA"/>
    <w:rsid w:val="00685342"/>
    <w:rsid w:val="00686F7C"/>
    <w:rsid w:val="0069081A"/>
    <w:rsid w:val="00696102"/>
    <w:rsid w:val="00696BD0"/>
    <w:rsid w:val="006C5F17"/>
    <w:rsid w:val="006D3D6A"/>
    <w:rsid w:val="00717D53"/>
    <w:rsid w:val="00744BCB"/>
    <w:rsid w:val="00773636"/>
    <w:rsid w:val="007740B9"/>
    <w:rsid w:val="007750CD"/>
    <w:rsid w:val="00791295"/>
    <w:rsid w:val="007A4EE7"/>
    <w:rsid w:val="007A748C"/>
    <w:rsid w:val="007D1935"/>
    <w:rsid w:val="007D4108"/>
    <w:rsid w:val="007D5574"/>
    <w:rsid w:val="00811711"/>
    <w:rsid w:val="008126B2"/>
    <w:rsid w:val="00813702"/>
    <w:rsid w:val="00816BDA"/>
    <w:rsid w:val="00830033"/>
    <w:rsid w:val="0083244A"/>
    <w:rsid w:val="008443B7"/>
    <w:rsid w:val="008452EA"/>
    <w:rsid w:val="00852591"/>
    <w:rsid w:val="00857EF3"/>
    <w:rsid w:val="00891D9B"/>
    <w:rsid w:val="008B0A43"/>
    <w:rsid w:val="008C1DA1"/>
    <w:rsid w:val="008C3917"/>
    <w:rsid w:val="008C479B"/>
    <w:rsid w:val="008C6A10"/>
    <w:rsid w:val="008D06AC"/>
    <w:rsid w:val="008E4A63"/>
    <w:rsid w:val="008F7C9A"/>
    <w:rsid w:val="009142AB"/>
    <w:rsid w:val="009230EF"/>
    <w:rsid w:val="00924D88"/>
    <w:rsid w:val="00940ADA"/>
    <w:rsid w:val="00950235"/>
    <w:rsid w:val="00974DC7"/>
    <w:rsid w:val="0097578E"/>
    <w:rsid w:val="00977E9D"/>
    <w:rsid w:val="0099410C"/>
    <w:rsid w:val="009B0420"/>
    <w:rsid w:val="009B5F98"/>
    <w:rsid w:val="009C1412"/>
    <w:rsid w:val="009D2A2C"/>
    <w:rsid w:val="00A01F99"/>
    <w:rsid w:val="00A20DD5"/>
    <w:rsid w:val="00A35EBC"/>
    <w:rsid w:val="00A4502A"/>
    <w:rsid w:val="00A573BD"/>
    <w:rsid w:val="00A60041"/>
    <w:rsid w:val="00A63A03"/>
    <w:rsid w:val="00A863D8"/>
    <w:rsid w:val="00A96F3E"/>
    <w:rsid w:val="00AA118E"/>
    <w:rsid w:val="00AA1905"/>
    <w:rsid w:val="00AA4474"/>
    <w:rsid w:val="00AA6ADA"/>
    <w:rsid w:val="00AC2038"/>
    <w:rsid w:val="00AC265B"/>
    <w:rsid w:val="00B02A1C"/>
    <w:rsid w:val="00B1239F"/>
    <w:rsid w:val="00B1436E"/>
    <w:rsid w:val="00B4317A"/>
    <w:rsid w:val="00B43DE4"/>
    <w:rsid w:val="00B46250"/>
    <w:rsid w:val="00B50731"/>
    <w:rsid w:val="00B50A19"/>
    <w:rsid w:val="00B51217"/>
    <w:rsid w:val="00B62164"/>
    <w:rsid w:val="00B66F97"/>
    <w:rsid w:val="00B84E02"/>
    <w:rsid w:val="00BC4F44"/>
    <w:rsid w:val="00BE2898"/>
    <w:rsid w:val="00BE568D"/>
    <w:rsid w:val="00C228B6"/>
    <w:rsid w:val="00C231DC"/>
    <w:rsid w:val="00C53D55"/>
    <w:rsid w:val="00C64C24"/>
    <w:rsid w:val="00C85437"/>
    <w:rsid w:val="00CB5FAD"/>
    <w:rsid w:val="00CE3655"/>
    <w:rsid w:val="00D43115"/>
    <w:rsid w:val="00D63322"/>
    <w:rsid w:val="00D777EE"/>
    <w:rsid w:val="00D94489"/>
    <w:rsid w:val="00DA3ACC"/>
    <w:rsid w:val="00DA5B62"/>
    <w:rsid w:val="00DA70DF"/>
    <w:rsid w:val="00DB0B1D"/>
    <w:rsid w:val="00DC685F"/>
    <w:rsid w:val="00DC69C1"/>
    <w:rsid w:val="00DC6B2A"/>
    <w:rsid w:val="00E008F5"/>
    <w:rsid w:val="00E00E1C"/>
    <w:rsid w:val="00E3659E"/>
    <w:rsid w:val="00E4375D"/>
    <w:rsid w:val="00E448F9"/>
    <w:rsid w:val="00E44E55"/>
    <w:rsid w:val="00E45980"/>
    <w:rsid w:val="00E468FF"/>
    <w:rsid w:val="00E47B3F"/>
    <w:rsid w:val="00E639DE"/>
    <w:rsid w:val="00E910F9"/>
    <w:rsid w:val="00E93C07"/>
    <w:rsid w:val="00EA45DD"/>
    <w:rsid w:val="00EA538C"/>
    <w:rsid w:val="00EB5B88"/>
    <w:rsid w:val="00EF4BEA"/>
    <w:rsid w:val="00F03A8B"/>
    <w:rsid w:val="00F05CDE"/>
    <w:rsid w:val="00F2497B"/>
    <w:rsid w:val="00F30A19"/>
    <w:rsid w:val="00F5296B"/>
    <w:rsid w:val="00F54420"/>
    <w:rsid w:val="00F615AD"/>
    <w:rsid w:val="00F64C18"/>
    <w:rsid w:val="00F72D21"/>
    <w:rsid w:val="00F81AAC"/>
    <w:rsid w:val="00F8491C"/>
    <w:rsid w:val="00FA2BF8"/>
    <w:rsid w:val="00FB6783"/>
    <w:rsid w:val="00FC6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5B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5E48D3"/>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5E48D3"/>
    <w:pPr>
      <w:spacing w:before="120" w:after="120"/>
      <w:jc w:val="both"/>
      <w:outlineLvl w:val="2"/>
    </w:pPr>
    <w:rPr>
      <w:rFonts w:eastAsiaTheme="minorHAns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7A4EE7"/>
    <w:rPr>
      <w:rFonts w:ascii="Arial" w:hAnsi="Arial"/>
      <w:sz w:val="22"/>
      <w:szCs w:val="20"/>
      <w:lang w:eastAsia="en-US"/>
    </w:rPr>
  </w:style>
  <w:style w:type="character" w:styleId="CommentReference">
    <w:name w:val="annotation reference"/>
    <w:basedOn w:val="DefaultParagraphFont"/>
    <w:uiPriority w:val="99"/>
    <w:semiHidden/>
    <w:unhideWhenUsed/>
    <w:rsid w:val="007D5574"/>
    <w:rPr>
      <w:sz w:val="16"/>
      <w:szCs w:val="16"/>
    </w:rPr>
  </w:style>
  <w:style w:type="paragraph" w:styleId="CommentText">
    <w:name w:val="annotation text"/>
    <w:basedOn w:val="Normal"/>
    <w:link w:val="CommentTextChar"/>
    <w:uiPriority w:val="99"/>
    <w:semiHidden/>
    <w:unhideWhenUsed/>
    <w:rsid w:val="007D5574"/>
    <w:rPr>
      <w:sz w:val="20"/>
      <w:szCs w:val="20"/>
    </w:rPr>
  </w:style>
  <w:style w:type="character" w:customStyle="1" w:styleId="CommentTextChar">
    <w:name w:val="Comment Text Char"/>
    <w:basedOn w:val="DefaultParagraphFont"/>
    <w:link w:val="CommentText"/>
    <w:uiPriority w:val="99"/>
    <w:semiHidden/>
    <w:rsid w:val="007D55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5574"/>
    <w:rPr>
      <w:b/>
      <w:bCs/>
    </w:rPr>
  </w:style>
  <w:style w:type="character" w:customStyle="1" w:styleId="CommentSubjectChar">
    <w:name w:val="Comment Subject Char"/>
    <w:basedOn w:val="CommentTextChar"/>
    <w:link w:val="CommentSubject"/>
    <w:uiPriority w:val="99"/>
    <w:semiHidden/>
    <w:rsid w:val="007D557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D5574"/>
    <w:rPr>
      <w:rFonts w:ascii="Tahoma" w:hAnsi="Tahoma" w:cs="Tahoma"/>
      <w:sz w:val="16"/>
      <w:szCs w:val="16"/>
    </w:rPr>
  </w:style>
  <w:style w:type="character" w:customStyle="1" w:styleId="BalloonTextChar">
    <w:name w:val="Balloon Text Char"/>
    <w:basedOn w:val="DefaultParagraphFont"/>
    <w:link w:val="BalloonText"/>
    <w:uiPriority w:val="99"/>
    <w:semiHidden/>
    <w:rsid w:val="007D5574"/>
    <w:rPr>
      <w:rFonts w:ascii="Tahoma" w:eastAsia="Times New Roman" w:hAnsi="Tahoma" w:cs="Tahoma"/>
      <w:sz w:val="16"/>
      <w:szCs w:val="16"/>
      <w:lang w:eastAsia="en-AU"/>
    </w:rPr>
  </w:style>
  <w:style w:type="paragraph" w:styleId="Header">
    <w:name w:val="header"/>
    <w:basedOn w:val="Normal"/>
    <w:link w:val="HeaderChar"/>
    <w:uiPriority w:val="99"/>
    <w:unhideWhenUsed/>
    <w:rsid w:val="005E48D3"/>
    <w:pPr>
      <w:tabs>
        <w:tab w:val="center" w:pos="4513"/>
        <w:tab w:val="right" w:pos="9026"/>
      </w:tabs>
    </w:pPr>
  </w:style>
  <w:style w:type="character" w:customStyle="1" w:styleId="HeaderChar">
    <w:name w:val="Header Char"/>
    <w:basedOn w:val="DefaultParagraphFont"/>
    <w:link w:val="Header"/>
    <w:uiPriority w:val="99"/>
    <w:rsid w:val="005E48D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E48D3"/>
    <w:pPr>
      <w:tabs>
        <w:tab w:val="center" w:pos="4513"/>
        <w:tab w:val="right" w:pos="9026"/>
      </w:tabs>
    </w:pPr>
  </w:style>
  <w:style w:type="character" w:customStyle="1" w:styleId="FooterChar">
    <w:name w:val="Footer Char"/>
    <w:basedOn w:val="DefaultParagraphFont"/>
    <w:link w:val="Footer"/>
    <w:uiPriority w:val="99"/>
    <w:rsid w:val="005E48D3"/>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E48D3"/>
    <w:rPr>
      <w:rFonts w:ascii="Times New Roman" w:hAnsi="Times New Roman"/>
      <w:b/>
      <w:sz w:val="28"/>
      <w:szCs w:val="28"/>
    </w:rPr>
  </w:style>
  <w:style w:type="character" w:customStyle="1" w:styleId="Heading3Char">
    <w:name w:val="Heading 3 Char"/>
    <w:basedOn w:val="DefaultParagraphFont"/>
    <w:link w:val="Heading3"/>
    <w:uiPriority w:val="9"/>
    <w:rsid w:val="005E48D3"/>
    <w:rPr>
      <w:rFonts w:ascii="Times New Roman" w:hAnsi="Times New Roman"/>
      <w:b/>
      <w:sz w:val="24"/>
      <w:szCs w:val="24"/>
    </w:rPr>
  </w:style>
  <w:style w:type="paragraph" w:customStyle="1" w:styleId="subsection">
    <w:name w:val="subsection"/>
    <w:aliases w:val="ss"/>
    <w:basedOn w:val="Normal"/>
    <w:link w:val="subsectionChar"/>
    <w:rsid w:val="00DB0B1D"/>
    <w:pPr>
      <w:tabs>
        <w:tab w:val="right" w:pos="1021"/>
      </w:tabs>
      <w:spacing w:before="180"/>
      <w:ind w:left="1134" w:hanging="1134"/>
    </w:pPr>
    <w:rPr>
      <w:sz w:val="22"/>
      <w:szCs w:val="20"/>
    </w:rPr>
  </w:style>
  <w:style w:type="character" w:customStyle="1" w:styleId="subsectionChar">
    <w:name w:val="subsection Char"/>
    <w:aliases w:val="ss Char"/>
    <w:link w:val="subsection"/>
    <w:locked/>
    <w:rsid w:val="00DB0B1D"/>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B4317A"/>
    <w:rPr>
      <w:color w:val="0000FF" w:themeColor="hyperlink"/>
      <w:u w:val="single"/>
    </w:rPr>
  </w:style>
  <w:style w:type="paragraph" w:styleId="ListParagraph">
    <w:name w:val="List Paragraph"/>
    <w:basedOn w:val="Normal"/>
    <w:uiPriority w:val="34"/>
    <w:qFormat/>
    <w:rsid w:val="00F54420"/>
    <w:pPr>
      <w:ind w:left="720"/>
      <w:contextualSpacing/>
    </w:pPr>
  </w:style>
  <w:style w:type="paragraph" w:customStyle="1" w:styleId="CharChar0">
    <w:name w:val="Char Char"/>
    <w:basedOn w:val="Normal"/>
    <w:rsid w:val="00677BAA"/>
    <w:rPr>
      <w:rFonts w:ascii="Arial" w:hAnsi="Arial"/>
      <w:sz w:val="22"/>
      <w:szCs w:val="20"/>
      <w:lang w:eastAsia="en-US"/>
    </w:rPr>
  </w:style>
  <w:style w:type="paragraph" w:customStyle="1" w:styleId="Definition">
    <w:name w:val="Definition"/>
    <w:aliases w:val="dd"/>
    <w:basedOn w:val="Normal"/>
    <w:rsid w:val="000A318F"/>
    <w:pPr>
      <w:spacing w:before="180"/>
      <w:ind w:left="1134"/>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5E48D3"/>
    <w:pPr>
      <w:spacing w:before="360" w:after="120"/>
      <w:jc w:val="center"/>
      <w:outlineLvl w:val="1"/>
    </w:pPr>
    <w:rPr>
      <w:rFonts w:eastAsiaTheme="minorHAnsi" w:cstheme="minorBidi"/>
      <w:b/>
      <w:sz w:val="28"/>
      <w:szCs w:val="28"/>
      <w:lang w:eastAsia="en-US"/>
    </w:rPr>
  </w:style>
  <w:style w:type="paragraph" w:styleId="Heading3">
    <w:name w:val="heading 3"/>
    <w:basedOn w:val="Normal"/>
    <w:next w:val="Normal"/>
    <w:link w:val="Heading3Char"/>
    <w:uiPriority w:val="9"/>
    <w:unhideWhenUsed/>
    <w:qFormat/>
    <w:rsid w:val="005E48D3"/>
    <w:pPr>
      <w:spacing w:before="120" w:after="120"/>
      <w:jc w:val="both"/>
      <w:outlineLvl w:val="2"/>
    </w:pPr>
    <w:rPr>
      <w:rFonts w:eastAsiaTheme="minorHAns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7A4EE7"/>
    <w:rPr>
      <w:rFonts w:ascii="Arial" w:hAnsi="Arial"/>
      <w:sz w:val="22"/>
      <w:szCs w:val="20"/>
      <w:lang w:eastAsia="en-US"/>
    </w:rPr>
  </w:style>
  <w:style w:type="character" w:styleId="CommentReference">
    <w:name w:val="annotation reference"/>
    <w:basedOn w:val="DefaultParagraphFont"/>
    <w:uiPriority w:val="99"/>
    <w:semiHidden/>
    <w:unhideWhenUsed/>
    <w:rsid w:val="007D5574"/>
    <w:rPr>
      <w:sz w:val="16"/>
      <w:szCs w:val="16"/>
    </w:rPr>
  </w:style>
  <w:style w:type="paragraph" w:styleId="CommentText">
    <w:name w:val="annotation text"/>
    <w:basedOn w:val="Normal"/>
    <w:link w:val="CommentTextChar"/>
    <w:uiPriority w:val="99"/>
    <w:semiHidden/>
    <w:unhideWhenUsed/>
    <w:rsid w:val="007D5574"/>
    <w:rPr>
      <w:sz w:val="20"/>
      <w:szCs w:val="20"/>
    </w:rPr>
  </w:style>
  <w:style w:type="character" w:customStyle="1" w:styleId="CommentTextChar">
    <w:name w:val="Comment Text Char"/>
    <w:basedOn w:val="DefaultParagraphFont"/>
    <w:link w:val="CommentText"/>
    <w:uiPriority w:val="99"/>
    <w:semiHidden/>
    <w:rsid w:val="007D55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D5574"/>
    <w:rPr>
      <w:b/>
      <w:bCs/>
    </w:rPr>
  </w:style>
  <w:style w:type="character" w:customStyle="1" w:styleId="CommentSubjectChar">
    <w:name w:val="Comment Subject Char"/>
    <w:basedOn w:val="CommentTextChar"/>
    <w:link w:val="CommentSubject"/>
    <w:uiPriority w:val="99"/>
    <w:semiHidden/>
    <w:rsid w:val="007D557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D5574"/>
    <w:rPr>
      <w:rFonts w:ascii="Tahoma" w:hAnsi="Tahoma" w:cs="Tahoma"/>
      <w:sz w:val="16"/>
      <w:szCs w:val="16"/>
    </w:rPr>
  </w:style>
  <w:style w:type="character" w:customStyle="1" w:styleId="BalloonTextChar">
    <w:name w:val="Balloon Text Char"/>
    <w:basedOn w:val="DefaultParagraphFont"/>
    <w:link w:val="BalloonText"/>
    <w:uiPriority w:val="99"/>
    <w:semiHidden/>
    <w:rsid w:val="007D5574"/>
    <w:rPr>
      <w:rFonts w:ascii="Tahoma" w:eastAsia="Times New Roman" w:hAnsi="Tahoma" w:cs="Tahoma"/>
      <w:sz w:val="16"/>
      <w:szCs w:val="16"/>
      <w:lang w:eastAsia="en-AU"/>
    </w:rPr>
  </w:style>
  <w:style w:type="paragraph" w:styleId="Header">
    <w:name w:val="header"/>
    <w:basedOn w:val="Normal"/>
    <w:link w:val="HeaderChar"/>
    <w:uiPriority w:val="99"/>
    <w:unhideWhenUsed/>
    <w:rsid w:val="005E48D3"/>
    <w:pPr>
      <w:tabs>
        <w:tab w:val="center" w:pos="4513"/>
        <w:tab w:val="right" w:pos="9026"/>
      </w:tabs>
    </w:pPr>
  </w:style>
  <w:style w:type="character" w:customStyle="1" w:styleId="HeaderChar">
    <w:name w:val="Header Char"/>
    <w:basedOn w:val="DefaultParagraphFont"/>
    <w:link w:val="Header"/>
    <w:uiPriority w:val="99"/>
    <w:rsid w:val="005E48D3"/>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E48D3"/>
    <w:pPr>
      <w:tabs>
        <w:tab w:val="center" w:pos="4513"/>
        <w:tab w:val="right" w:pos="9026"/>
      </w:tabs>
    </w:pPr>
  </w:style>
  <w:style w:type="character" w:customStyle="1" w:styleId="FooterChar">
    <w:name w:val="Footer Char"/>
    <w:basedOn w:val="DefaultParagraphFont"/>
    <w:link w:val="Footer"/>
    <w:uiPriority w:val="99"/>
    <w:rsid w:val="005E48D3"/>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5E48D3"/>
    <w:rPr>
      <w:rFonts w:ascii="Times New Roman" w:hAnsi="Times New Roman"/>
      <w:b/>
      <w:sz w:val="28"/>
      <w:szCs w:val="28"/>
    </w:rPr>
  </w:style>
  <w:style w:type="character" w:customStyle="1" w:styleId="Heading3Char">
    <w:name w:val="Heading 3 Char"/>
    <w:basedOn w:val="DefaultParagraphFont"/>
    <w:link w:val="Heading3"/>
    <w:uiPriority w:val="9"/>
    <w:rsid w:val="005E48D3"/>
    <w:rPr>
      <w:rFonts w:ascii="Times New Roman" w:hAnsi="Times New Roman"/>
      <w:b/>
      <w:sz w:val="24"/>
      <w:szCs w:val="24"/>
    </w:rPr>
  </w:style>
  <w:style w:type="paragraph" w:customStyle="1" w:styleId="subsection">
    <w:name w:val="subsection"/>
    <w:aliases w:val="ss"/>
    <w:basedOn w:val="Normal"/>
    <w:link w:val="subsectionChar"/>
    <w:rsid w:val="00DB0B1D"/>
    <w:pPr>
      <w:tabs>
        <w:tab w:val="right" w:pos="1021"/>
      </w:tabs>
      <w:spacing w:before="180"/>
      <w:ind w:left="1134" w:hanging="1134"/>
    </w:pPr>
    <w:rPr>
      <w:sz w:val="22"/>
      <w:szCs w:val="20"/>
    </w:rPr>
  </w:style>
  <w:style w:type="character" w:customStyle="1" w:styleId="subsectionChar">
    <w:name w:val="subsection Char"/>
    <w:aliases w:val="ss Char"/>
    <w:link w:val="subsection"/>
    <w:locked/>
    <w:rsid w:val="00DB0B1D"/>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B4317A"/>
    <w:rPr>
      <w:color w:val="0000FF" w:themeColor="hyperlink"/>
      <w:u w:val="single"/>
    </w:rPr>
  </w:style>
  <w:style w:type="paragraph" w:styleId="ListParagraph">
    <w:name w:val="List Paragraph"/>
    <w:basedOn w:val="Normal"/>
    <w:uiPriority w:val="34"/>
    <w:qFormat/>
    <w:rsid w:val="00F54420"/>
    <w:pPr>
      <w:ind w:left="720"/>
      <w:contextualSpacing/>
    </w:pPr>
  </w:style>
  <w:style w:type="paragraph" w:customStyle="1" w:styleId="CharChar0">
    <w:name w:val="Char Char"/>
    <w:basedOn w:val="Normal"/>
    <w:rsid w:val="00677BAA"/>
    <w:rPr>
      <w:rFonts w:ascii="Arial" w:hAnsi="Arial"/>
      <w:sz w:val="22"/>
      <w:szCs w:val="20"/>
      <w:lang w:eastAsia="en-US"/>
    </w:rPr>
  </w:style>
  <w:style w:type="paragraph" w:customStyle="1" w:styleId="Definition">
    <w:name w:val="Definition"/>
    <w:aliases w:val="dd"/>
    <w:basedOn w:val="Normal"/>
    <w:rsid w:val="000A318F"/>
    <w:pPr>
      <w:spacing w:before="180"/>
      <w:ind w:left="1134"/>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4216">
      <w:bodyDiv w:val="1"/>
      <w:marLeft w:val="0"/>
      <w:marRight w:val="0"/>
      <w:marTop w:val="0"/>
      <w:marBottom w:val="0"/>
      <w:divBdr>
        <w:top w:val="none" w:sz="0" w:space="0" w:color="auto"/>
        <w:left w:val="none" w:sz="0" w:space="0" w:color="auto"/>
        <w:bottom w:val="none" w:sz="0" w:space="0" w:color="auto"/>
        <w:right w:val="none" w:sz="0" w:space="0" w:color="auto"/>
      </w:divBdr>
    </w:div>
    <w:div w:id="14612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857246AA-2D11-4C74-9E6C-87E493071B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ED32FAF0D7164E9991FFDF9BA6BC28" ma:contentTypeVersion="" ma:contentTypeDescription="PDMS Document Site Content Type" ma:contentTypeScope="" ma:versionID="068bbf4124a6f67b54d281aa568764b5">
  <xsd:schema xmlns:xsd="http://www.w3.org/2001/XMLSchema" xmlns:xs="http://www.w3.org/2001/XMLSchema" xmlns:p="http://schemas.microsoft.com/office/2006/metadata/properties" xmlns:ns2="857246AA-2D11-4C74-9E6C-87E493071B57" targetNamespace="http://schemas.microsoft.com/office/2006/metadata/properties" ma:root="true" ma:fieldsID="78df7a4b1429b2f8ff25dcace593ac6c" ns2:_="">
    <xsd:import namespace="857246AA-2D11-4C74-9E6C-87E493071B5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46AA-2D11-4C74-9E6C-87E493071B5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B288-CB84-4CB0-BAD9-20C7C1B83DB5}">
  <ds:schemaRefs>
    <ds:schemaRef ds:uri="http://schemas.microsoft.com/office/2006/documentManagement/types"/>
    <ds:schemaRef ds:uri="http://purl.org/dc/terms/"/>
    <ds:schemaRef ds:uri="http://purl.org/dc/elements/1.1/"/>
    <ds:schemaRef ds:uri="http://schemas.openxmlformats.org/package/2006/metadata/core-properties"/>
    <ds:schemaRef ds:uri="857246AA-2D11-4C74-9E6C-87E493071B57"/>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EC40A49-0185-4E7A-83AC-E826A21EDAFC}">
  <ds:schemaRefs>
    <ds:schemaRef ds:uri="http://schemas.microsoft.com/sharepoint/v3/contenttype/forms"/>
  </ds:schemaRefs>
</ds:datastoreItem>
</file>

<file path=customXml/itemProps3.xml><?xml version="1.0" encoding="utf-8"?>
<ds:datastoreItem xmlns:ds="http://schemas.openxmlformats.org/officeDocument/2006/customXml" ds:itemID="{131D4374-4AAF-476D-A9EB-02AB86898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46AA-2D11-4C74-9E6C-87E493071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CA415-EF6B-47DB-861B-2E19A9F2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12806</Characters>
  <Application>Microsoft Office Word</Application>
  <DocSecurity>0</DocSecurity>
  <Lines>261</Lines>
  <Paragraphs>101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watera</dc:creator>
  <cp:lastModifiedBy>vogele</cp:lastModifiedBy>
  <cp:revision>3</cp:revision>
  <cp:lastPrinted>2017-09-07T06:20:00Z</cp:lastPrinted>
  <dcterms:created xsi:type="dcterms:W3CDTF">2017-12-20T22:34:00Z</dcterms:created>
  <dcterms:modified xsi:type="dcterms:W3CDTF">2017-12-21T05:22:00Z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0x010100266966F133664895A6EE3632470D45F50050ED32FAF0D7164E9991FFDF9BA6BC28</vt:lpwstr>
  </property>
</Properties>
</file>