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6E" w:rsidRPr="009757AA" w:rsidRDefault="004D586E" w:rsidP="00B3111B">
      <w:pPr>
        <w:jc w:val="center"/>
        <w:rPr>
          <w:rFonts w:ascii="Arial" w:hAnsi="Arial" w:cs="Arial"/>
          <w:b/>
        </w:rPr>
      </w:pPr>
      <w:r w:rsidRPr="009757AA">
        <w:rPr>
          <w:rFonts w:ascii="Arial" w:hAnsi="Arial" w:cs="Arial"/>
          <w:b/>
        </w:rPr>
        <w:t>EXPLANATORY STATEMENT</w:t>
      </w:r>
    </w:p>
    <w:p w:rsidR="004D586E" w:rsidRPr="004D586E" w:rsidRDefault="004D586E" w:rsidP="004D586E">
      <w:pPr>
        <w:spacing w:before="240"/>
        <w:jc w:val="center"/>
        <w:rPr>
          <w:rFonts w:ascii="Arial" w:hAnsi="Arial" w:cs="Arial"/>
          <w:b/>
          <w:i/>
        </w:rPr>
      </w:pPr>
      <w:r w:rsidRPr="004D586E">
        <w:rPr>
          <w:rFonts w:ascii="Arial" w:hAnsi="Arial" w:cs="Arial"/>
          <w:b/>
          <w:i/>
        </w:rPr>
        <w:t xml:space="preserve">Code of Conduct for </w:t>
      </w:r>
      <w:r w:rsidR="004D3A88">
        <w:rPr>
          <w:rFonts w:ascii="Arial" w:hAnsi="Arial" w:cs="Arial"/>
          <w:b/>
          <w:i/>
        </w:rPr>
        <w:t xml:space="preserve">Trans-Tasman </w:t>
      </w:r>
      <w:r w:rsidRPr="004D586E">
        <w:rPr>
          <w:rFonts w:ascii="Arial" w:hAnsi="Arial" w:cs="Arial"/>
          <w:b/>
          <w:i/>
        </w:rPr>
        <w:t>Paten</w:t>
      </w:r>
      <w:r w:rsidR="004D3A88">
        <w:rPr>
          <w:rFonts w:ascii="Arial" w:hAnsi="Arial" w:cs="Arial"/>
          <w:b/>
          <w:i/>
        </w:rPr>
        <w:t>t and Trade Marks Attorneys 2018</w:t>
      </w:r>
    </w:p>
    <w:p w:rsidR="004D586E" w:rsidRPr="001D55A2" w:rsidRDefault="004D586E" w:rsidP="004D586E">
      <w:pPr>
        <w:tabs>
          <w:tab w:val="left" w:pos="0"/>
        </w:tabs>
        <w:spacing w:before="240"/>
        <w:jc w:val="center"/>
        <w:rPr>
          <w:rFonts w:ascii="Arial" w:hAnsi="Arial" w:cs="Arial"/>
        </w:rPr>
      </w:pPr>
      <w:r w:rsidRPr="001D55A2">
        <w:rPr>
          <w:rFonts w:ascii="Arial" w:hAnsi="Arial" w:cs="Arial"/>
        </w:rPr>
        <w:t>Issued by the</w:t>
      </w:r>
      <w:r>
        <w:rPr>
          <w:rFonts w:ascii="Arial" w:hAnsi="Arial" w:cs="Arial"/>
        </w:rPr>
        <w:t xml:space="preserve"> </w:t>
      </w:r>
      <w:r w:rsidR="004D3A88">
        <w:rPr>
          <w:rFonts w:ascii="Arial" w:hAnsi="Arial" w:cs="Arial"/>
        </w:rPr>
        <w:t xml:space="preserve">Trans-Tasman IP Attorneys </w:t>
      </w:r>
      <w:r w:rsidRPr="001D55A2">
        <w:rPr>
          <w:rFonts w:ascii="Arial" w:hAnsi="Arial" w:cs="Arial"/>
        </w:rPr>
        <w:t xml:space="preserve">Board </w:t>
      </w:r>
    </w:p>
    <w:p w:rsidR="004D586E" w:rsidRPr="00B00FEF" w:rsidRDefault="004D586E" w:rsidP="004D586E">
      <w:pPr>
        <w:spacing w:before="240"/>
        <w:jc w:val="center"/>
        <w:rPr>
          <w:rFonts w:ascii="Arial" w:hAnsi="Arial" w:cs="Arial"/>
        </w:rPr>
      </w:pPr>
      <w:r w:rsidRPr="009757AA">
        <w:rPr>
          <w:rFonts w:ascii="Arial" w:hAnsi="Arial" w:cs="Arial"/>
          <w:i/>
        </w:rPr>
        <w:t>Patents Act 1990</w:t>
      </w:r>
      <w:r w:rsidR="004D3A88">
        <w:rPr>
          <w:rFonts w:ascii="Arial" w:hAnsi="Arial" w:cs="Arial"/>
        </w:rPr>
        <w:t xml:space="preserve"> (Cth), </w:t>
      </w:r>
      <w:r w:rsidR="004D3A88" w:rsidRPr="004D3A88">
        <w:rPr>
          <w:rFonts w:ascii="Arial" w:hAnsi="Arial" w:cs="Arial"/>
          <w:i/>
        </w:rPr>
        <w:t>Patents Act 2013</w:t>
      </w:r>
      <w:r w:rsidR="004D3A88">
        <w:rPr>
          <w:rFonts w:ascii="Arial" w:hAnsi="Arial" w:cs="Arial"/>
        </w:rPr>
        <w:t xml:space="preserve"> (NZ)</w:t>
      </w:r>
      <w:r w:rsidRPr="009757AA">
        <w:rPr>
          <w:rFonts w:ascii="Arial" w:hAnsi="Arial" w:cs="Arial"/>
          <w:i/>
        </w:rPr>
        <w:t xml:space="preserve"> and Trade Marks Act 1995</w:t>
      </w:r>
      <w:r w:rsidR="00B00FEF">
        <w:rPr>
          <w:rFonts w:ascii="Arial" w:hAnsi="Arial" w:cs="Arial"/>
        </w:rPr>
        <w:t xml:space="preserve"> (Cth)</w:t>
      </w:r>
    </w:p>
    <w:p w:rsidR="00AA1382" w:rsidRDefault="0019405E" w:rsidP="00AA1382">
      <w:pPr>
        <w:spacing w:before="240"/>
        <w:rPr>
          <w:rFonts w:ascii="Arial" w:hAnsi="Arial" w:cs="Arial"/>
        </w:rPr>
      </w:pPr>
      <w:r>
        <w:rPr>
          <w:rFonts w:ascii="Arial" w:hAnsi="Arial" w:cs="Arial"/>
        </w:rPr>
        <w:t xml:space="preserve">The </w:t>
      </w:r>
      <w:r w:rsidRPr="00F6256A">
        <w:rPr>
          <w:rFonts w:ascii="Arial" w:hAnsi="Arial" w:cs="Arial"/>
          <w:i/>
        </w:rPr>
        <w:t xml:space="preserve">Code of Conduct for </w:t>
      </w:r>
      <w:r w:rsidR="004D3A88">
        <w:rPr>
          <w:rFonts w:ascii="Arial" w:hAnsi="Arial" w:cs="Arial"/>
          <w:i/>
        </w:rPr>
        <w:t xml:space="preserve">Trans-Tasman </w:t>
      </w:r>
      <w:r w:rsidRPr="00F6256A">
        <w:rPr>
          <w:rFonts w:ascii="Arial" w:hAnsi="Arial" w:cs="Arial"/>
          <w:i/>
        </w:rPr>
        <w:t xml:space="preserve">Patent and Trade Marks Attorneys </w:t>
      </w:r>
      <w:r w:rsidR="004D3A88">
        <w:rPr>
          <w:rFonts w:ascii="Arial" w:hAnsi="Arial" w:cs="Arial"/>
          <w:i/>
        </w:rPr>
        <w:t>2018</w:t>
      </w:r>
      <w:r>
        <w:rPr>
          <w:rFonts w:ascii="Arial" w:hAnsi="Arial" w:cs="Arial"/>
          <w:i/>
        </w:rPr>
        <w:t xml:space="preserve"> </w:t>
      </w:r>
      <w:r>
        <w:rPr>
          <w:rFonts w:ascii="Arial" w:hAnsi="Arial" w:cs="Arial"/>
        </w:rPr>
        <w:t>(‘the C</w:t>
      </w:r>
      <w:r w:rsidRPr="009757AA">
        <w:rPr>
          <w:rFonts w:ascii="Arial" w:hAnsi="Arial" w:cs="Arial"/>
        </w:rPr>
        <w:t>ode</w:t>
      </w:r>
      <w:r>
        <w:rPr>
          <w:rFonts w:ascii="Arial" w:hAnsi="Arial" w:cs="Arial"/>
        </w:rPr>
        <w:t xml:space="preserve"> of Conduct’) is established by the </w:t>
      </w:r>
      <w:r w:rsidR="004D3A88">
        <w:rPr>
          <w:rFonts w:ascii="Arial" w:hAnsi="Arial" w:cs="Arial"/>
        </w:rPr>
        <w:t>Trans-Tasman IP Attorneys</w:t>
      </w:r>
      <w:r w:rsidRPr="009757AA">
        <w:rPr>
          <w:rFonts w:ascii="Arial" w:hAnsi="Arial" w:cs="Arial"/>
        </w:rPr>
        <w:t xml:space="preserve"> Board </w:t>
      </w:r>
      <w:r>
        <w:rPr>
          <w:rFonts w:ascii="Arial" w:hAnsi="Arial" w:cs="Arial"/>
        </w:rPr>
        <w:t>(‘</w:t>
      </w:r>
      <w:r w:rsidRPr="009757AA">
        <w:rPr>
          <w:rFonts w:ascii="Arial" w:hAnsi="Arial" w:cs="Arial"/>
        </w:rPr>
        <w:t>the Board</w:t>
      </w:r>
      <w:r>
        <w:rPr>
          <w:rFonts w:ascii="Arial" w:hAnsi="Arial" w:cs="Arial"/>
        </w:rPr>
        <w:t>’</w:t>
      </w:r>
      <w:r w:rsidRPr="009757AA">
        <w:rPr>
          <w:rFonts w:ascii="Arial" w:hAnsi="Arial" w:cs="Arial"/>
        </w:rPr>
        <w:t>)</w:t>
      </w:r>
      <w:r>
        <w:rPr>
          <w:rFonts w:ascii="Arial" w:hAnsi="Arial" w:cs="Arial"/>
        </w:rPr>
        <w:t xml:space="preserve">. </w:t>
      </w:r>
    </w:p>
    <w:p w:rsidR="00A65B39" w:rsidRPr="00195303" w:rsidRDefault="00791909" w:rsidP="00AA1382">
      <w:pPr>
        <w:spacing w:before="240"/>
        <w:rPr>
          <w:rFonts w:ascii="Arial" w:hAnsi="Arial" w:cs="Arial"/>
          <w:spacing w:val="7"/>
        </w:rPr>
      </w:pPr>
      <w:r w:rsidRPr="00195303">
        <w:rPr>
          <w:rFonts w:ascii="Arial" w:hAnsi="Arial" w:cs="Arial"/>
        </w:rPr>
        <w:t xml:space="preserve">Subparagraph 228(2)(r)(ia) of the </w:t>
      </w:r>
      <w:r w:rsidRPr="00195303">
        <w:rPr>
          <w:rFonts w:ascii="Arial" w:hAnsi="Arial" w:cs="Arial"/>
          <w:i/>
        </w:rPr>
        <w:t>Patents Act 1990</w:t>
      </w:r>
      <w:r w:rsidRPr="00195303">
        <w:rPr>
          <w:rFonts w:ascii="Arial" w:hAnsi="Arial" w:cs="Arial"/>
        </w:rPr>
        <w:t xml:space="preserve"> (Cth) and subparagraph 231(2)(ha)(ia) of the </w:t>
      </w:r>
      <w:r w:rsidRPr="00195303">
        <w:rPr>
          <w:rFonts w:ascii="Arial" w:hAnsi="Arial" w:cs="Arial"/>
          <w:i/>
        </w:rPr>
        <w:t>Trade Marks Act 1995</w:t>
      </w:r>
      <w:r w:rsidRPr="00195303">
        <w:rPr>
          <w:rFonts w:ascii="Arial" w:hAnsi="Arial" w:cs="Arial"/>
        </w:rPr>
        <w:t xml:space="preserve"> (Cth) provide for assessing the professional conduct of registered patent attorneys and registered trade marks attorneys, respectively, by reference to standards of practice established by the Board from time to time. The Code of Conduct is a standard of practice established by the Board.  </w:t>
      </w:r>
    </w:p>
    <w:p w:rsidR="009B593F" w:rsidRDefault="00F01E0D" w:rsidP="009B593F">
      <w:pPr>
        <w:spacing w:before="240"/>
        <w:rPr>
          <w:rFonts w:ascii="Arial" w:hAnsi="Arial" w:cs="Arial"/>
        </w:rPr>
      </w:pPr>
      <w:r>
        <w:rPr>
          <w:rFonts w:ascii="Arial" w:hAnsi="Arial" w:cs="Arial"/>
          <w:iCs/>
        </w:rPr>
        <w:t xml:space="preserve">The </w:t>
      </w:r>
      <w:r w:rsidRPr="00EA3AD6">
        <w:rPr>
          <w:rFonts w:ascii="Arial" w:hAnsi="Arial" w:cs="Arial"/>
          <w:i/>
          <w:iCs/>
        </w:rPr>
        <w:t>Arrangement between the Government of Australia and the Government of New Zealand Relating to Trans-Tasman Regulation of Patent Attorneys</w:t>
      </w:r>
      <w:r w:rsidRPr="00EA3AD6">
        <w:rPr>
          <w:rFonts w:ascii="Arial" w:hAnsi="Arial" w:cs="Arial"/>
          <w:iCs/>
        </w:rPr>
        <w:t xml:space="preserve"> signed in March 2013</w:t>
      </w:r>
      <w:r w:rsidRPr="00F01E0D">
        <w:rPr>
          <w:rFonts w:ascii="Arial" w:hAnsi="Arial" w:cs="Arial"/>
        </w:rPr>
        <w:t xml:space="preserve"> </w:t>
      </w:r>
      <w:r w:rsidR="00D10F83">
        <w:rPr>
          <w:rFonts w:ascii="Arial" w:hAnsi="Arial" w:cs="Arial"/>
          <w:iCs/>
        </w:rPr>
        <w:t>(‘</w:t>
      </w:r>
      <w:r w:rsidR="00A65B39">
        <w:rPr>
          <w:rFonts w:ascii="Arial" w:hAnsi="Arial" w:cs="Arial"/>
          <w:iCs/>
        </w:rPr>
        <w:t xml:space="preserve">the </w:t>
      </w:r>
      <w:r w:rsidR="00D10F83">
        <w:rPr>
          <w:rFonts w:ascii="Arial" w:hAnsi="Arial" w:cs="Arial"/>
          <w:iCs/>
        </w:rPr>
        <w:t xml:space="preserve">Trans-Tasman Arrangement’) </w:t>
      </w:r>
      <w:r>
        <w:rPr>
          <w:rFonts w:ascii="Arial" w:hAnsi="Arial" w:cs="Arial"/>
        </w:rPr>
        <w:t>gives effect to a joint regulatory framework for patent attorneys to register and practice between Australia and New Zealand</w:t>
      </w:r>
      <w:r w:rsidR="00A65B39">
        <w:rPr>
          <w:rFonts w:ascii="Arial" w:hAnsi="Arial" w:cs="Arial"/>
        </w:rPr>
        <w:t xml:space="preserve">. </w:t>
      </w:r>
      <w:r w:rsidR="009B593F">
        <w:rPr>
          <w:rFonts w:ascii="Arial" w:hAnsi="Arial" w:cs="Arial"/>
        </w:rPr>
        <w:t>The Trans-Tasman Arrangement</w:t>
      </w:r>
      <w:r w:rsidR="00A65B39">
        <w:rPr>
          <w:rFonts w:ascii="Arial" w:hAnsi="Arial" w:cs="Arial"/>
        </w:rPr>
        <w:t xml:space="preserve">, which is implemented in New Zealand by </w:t>
      </w:r>
      <w:r w:rsidR="00077C11">
        <w:rPr>
          <w:rFonts w:ascii="Arial" w:hAnsi="Arial" w:cs="Arial"/>
        </w:rPr>
        <w:t xml:space="preserve">Part 6 of </w:t>
      </w:r>
      <w:r w:rsidR="00A65B39">
        <w:rPr>
          <w:rFonts w:ascii="Arial" w:hAnsi="Arial" w:cs="Arial"/>
        </w:rPr>
        <w:t>t</w:t>
      </w:r>
      <w:r w:rsidR="00A65B39" w:rsidRPr="002040C5">
        <w:rPr>
          <w:rFonts w:ascii="Arial" w:hAnsi="Arial" w:cs="Arial"/>
        </w:rPr>
        <w:t xml:space="preserve">he </w:t>
      </w:r>
      <w:r w:rsidR="00A65B39" w:rsidRPr="002040C5">
        <w:rPr>
          <w:rFonts w:ascii="Arial" w:hAnsi="Arial" w:cs="Arial"/>
          <w:i/>
        </w:rPr>
        <w:t>Patents Act 2013</w:t>
      </w:r>
      <w:r w:rsidR="00A65B39">
        <w:rPr>
          <w:rFonts w:ascii="Arial" w:hAnsi="Arial" w:cs="Arial"/>
        </w:rPr>
        <w:t xml:space="preserve"> (NZ),</w:t>
      </w:r>
      <w:r w:rsidR="009B593F">
        <w:rPr>
          <w:rFonts w:ascii="Arial" w:hAnsi="Arial" w:cs="Arial"/>
        </w:rPr>
        <w:t xml:space="preserve"> requires the Board to maintain a trans-Tasman code of conduct for al</w:t>
      </w:r>
      <w:r w:rsidR="00CA3169">
        <w:rPr>
          <w:rFonts w:ascii="Arial" w:hAnsi="Arial" w:cs="Arial"/>
        </w:rPr>
        <w:t xml:space="preserve">l registered patent attorneys. </w:t>
      </w:r>
      <w:r w:rsidR="009B593F">
        <w:rPr>
          <w:rFonts w:ascii="Arial" w:hAnsi="Arial" w:cs="Arial"/>
        </w:rPr>
        <w:t>The Code of Conduct is that code.</w:t>
      </w:r>
    </w:p>
    <w:p w:rsidR="0019405E" w:rsidRDefault="0019405E" w:rsidP="004D586E">
      <w:pPr>
        <w:spacing w:before="240"/>
        <w:rPr>
          <w:rFonts w:ascii="Arial" w:hAnsi="Arial" w:cs="Arial"/>
        </w:rPr>
      </w:pPr>
      <w:r>
        <w:rPr>
          <w:rFonts w:ascii="Arial" w:hAnsi="Arial" w:cs="Arial"/>
        </w:rPr>
        <w:t>The Code of Conduct applies to</w:t>
      </w:r>
      <w:r w:rsidR="00A76B41">
        <w:rPr>
          <w:rFonts w:ascii="Arial" w:hAnsi="Arial" w:cs="Arial"/>
        </w:rPr>
        <w:t>:</w:t>
      </w:r>
    </w:p>
    <w:p w:rsidR="00E2416C" w:rsidRPr="00F45690" w:rsidRDefault="00A76B41" w:rsidP="00A20CB0">
      <w:pPr>
        <w:numPr>
          <w:ilvl w:val="0"/>
          <w:numId w:val="6"/>
        </w:numPr>
        <w:spacing w:before="120"/>
        <w:rPr>
          <w:rFonts w:ascii="Arial" w:hAnsi="Arial" w:cs="Arial"/>
        </w:rPr>
      </w:pPr>
      <w:r>
        <w:rPr>
          <w:rFonts w:ascii="Arial" w:hAnsi="Arial" w:cs="Arial"/>
        </w:rPr>
        <w:t xml:space="preserve">all registered patent attorneys under the </w:t>
      </w:r>
      <w:r w:rsidRPr="00E2416C">
        <w:rPr>
          <w:rFonts w:ascii="Arial" w:hAnsi="Arial" w:cs="Arial"/>
          <w:i/>
        </w:rPr>
        <w:t>Patents Act 199</w:t>
      </w:r>
      <w:r>
        <w:rPr>
          <w:rFonts w:ascii="Arial" w:hAnsi="Arial" w:cs="Arial"/>
          <w:i/>
        </w:rPr>
        <w:t>0</w:t>
      </w:r>
      <w:r>
        <w:rPr>
          <w:rFonts w:ascii="Arial" w:hAnsi="Arial" w:cs="Arial"/>
        </w:rPr>
        <w:t xml:space="preserve"> (Cth)</w:t>
      </w:r>
      <w:r>
        <w:rPr>
          <w:rFonts w:ascii="Arial" w:hAnsi="Arial" w:cs="Arial"/>
          <w:i/>
        </w:rPr>
        <w:t xml:space="preserve"> </w:t>
      </w:r>
      <w:r>
        <w:rPr>
          <w:rFonts w:ascii="Arial" w:hAnsi="Arial" w:cs="Arial"/>
        </w:rPr>
        <w:t xml:space="preserve">and the </w:t>
      </w:r>
      <w:r w:rsidRPr="004D3A88">
        <w:rPr>
          <w:rFonts w:ascii="Arial" w:hAnsi="Arial" w:cs="Arial"/>
          <w:i/>
        </w:rPr>
        <w:t>Patents Act 2013</w:t>
      </w:r>
      <w:r>
        <w:rPr>
          <w:rFonts w:ascii="Arial" w:hAnsi="Arial" w:cs="Arial"/>
        </w:rPr>
        <w:t xml:space="preserve"> (NZ), being </w:t>
      </w:r>
      <w:r w:rsidRPr="00F45690">
        <w:rPr>
          <w:rFonts w:ascii="Arial" w:hAnsi="Arial" w:cs="Arial"/>
        </w:rPr>
        <w:t>individual patent attorney</w:t>
      </w:r>
      <w:r>
        <w:rPr>
          <w:rFonts w:ascii="Arial" w:hAnsi="Arial" w:cs="Arial"/>
        </w:rPr>
        <w:t>s</w:t>
      </w:r>
      <w:r w:rsidRPr="00F45690">
        <w:rPr>
          <w:rFonts w:ascii="Arial" w:hAnsi="Arial" w:cs="Arial"/>
        </w:rPr>
        <w:t>, incorporated patent attorney</w:t>
      </w:r>
      <w:r>
        <w:rPr>
          <w:rFonts w:ascii="Arial" w:hAnsi="Arial" w:cs="Arial"/>
        </w:rPr>
        <w:t xml:space="preserve">s, and </w:t>
      </w:r>
      <w:r w:rsidRPr="00F45690">
        <w:rPr>
          <w:rFonts w:ascii="Arial" w:hAnsi="Arial" w:cs="Arial"/>
        </w:rPr>
        <w:t>patent attorney director</w:t>
      </w:r>
      <w:r>
        <w:rPr>
          <w:rFonts w:ascii="Arial" w:hAnsi="Arial" w:cs="Arial"/>
        </w:rPr>
        <w:t>s</w:t>
      </w:r>
      <w:r w:rsidR="00F45690" w:rsidRPr="00F45690">
        <w:rPr>
          <w:rFonts w:ascii="Arial" w:hAnsi="Arial" w:cs="Arial"/>
        </w:rPr>
        <w:t xml:space="preserve">; </w:t>
      </w:r>
      <w:r w:rsidR="008F51AC">
        <w:rPr>
          <w:rFonts w:ascii="Arial" w:hAnsi="Arial" w:cs="Arial"/>
        </w:rPr>
        <w:t>and</w:t>
      </w:r>
    </w:p>
    <w:p w:rsidR="0019405E" w:rsidRPr="00F45690" w:rsidRDefault="00A76B41" w:rsidP="00A20CB0">
      <w:pPr>
        <w:numPr>
          <w:ilvl w:val="0"/>
          <w:numId w:val="6"/>
        </w:numPr>
        <w:spacing w:before="120"/>
        <w:rPr>
          <w:rFonts w:ascii="Arial" w:hAnsi="Arial" w:cs="Arial"/>
        </w:rPr>
      </w:pPr>
      <w:r>
        <w:rPr>
          <w:rFonts w:ascii="Arial" w:hAnsi="Arial" w:cs="Arial"/>
        </w:rPr>
        <w:t xml:space="preserve">all registered trade marks attorneys under the </w:t>
      </w:r>
      <w:r w:rsidRPr="00E2416C">
        <w:rPr>
          <w:rFonts w:ascii="Arial" w:hAnsi="Arial" w:cs="Arial"/>
          <w:i/>
        </w:rPr>
        <w:t>Trade Marks Act 1995</w:t>
      </w:r>
      <w:r>
        <w:rPr>
          <w:rFonts w:ascii="Arial" w:hAnsi="Arial" w:cs="Arial"/>
          <w:i/>
        </w:rPr>
        <w:t xml:space="preserve"> </w:t>
      </w:r>
      <w:r>
        <w:rPr>
          <w:rFonts w:ascii="Arial" w:hAnsi="Arial" w:cs="Arial"/>
        </w:rPr>
        <w:t xml:space="preserve">(Cth), being </w:t>
      </w:r>
      <w:r w:rsidR="00F45690" w:rsidRPr="00F45690">
        <w:rPr>
          <w:rFonts w:ascii="Arial" w:hAnsi="Arial" w:cs="Arial"/>
        </w:rPr>
        <w:t>individual</w:t>
      </w:r>
      <w:r w:rsidR="00E2416C" w:rsidRPr="00F45690">
        <w:rPr>
          <w:rFonts w:ascii="Arial" w:hAnsi="Arial" w:cs="Arial"/>
        </w:rPr>
        <w:t xml:space="preserve"> </w:t>
      </w:r>
      <w:r w:rsidR="0019405E" w:rsidRPr="00F45690">
        <w:rPr>
          <w:rFonts w:ascii="Arial" w:hAnsi="Arial" w:cs="Arial"/>
        </w:rPr>
        <w:t>trade marks attorney</w:t>
      </w:r>
      <w:r>
        <w:rPr>
          <w:rFonts w:ascii="Arial" w:hAnsi="Arial" w:cs="Arial"/>
        </w:rPr>
        <w:t xml:space="preserve">s, </w:t>
      </w:r>
      <w:r w:rsidR="00F45690" w:rsidRPr="00F45690">
        <w:rPr>
          <w:rFonts w:ascii="Arial" w:hAnsi="Arial" w:cs="Arial"/>
        </w:rPr>
        <w:t>incorporated trade mark</w:t>
      </w:r>
      <w:r w:rsidR="004E4AFB">
        <w:rPr>
          <w:rFonts w:ascii="Arial" w:hAnsi="Arial" w:cs="Arial"/>
        </w:rPr>
        <w:t>s</w:t>
      </w:r>
      <w:r w:rsidR="00F45690" w:rsidRPr="00F45690">
        <w:rPr>
          <w:rFonts w:ascii="Arial" w:hAnsi="Arial" w:cs="Arial"/>
        </w:rPr>
        <w:t xml:space="preserve"> attorney</w:t>
      </w:r>
      <w:r>
        <w:rPr>
          <w:rFonts w:ascii="Arial" w:hAnsi="Arial" w:cs="Arial"/>
        </w:rPr>
        <w:t xml:space="preserve">s, and </w:t>
      </w:r>
      <w:r w:rsidR="00F45690" w:rsidRPr="00F45690">
        <w:rPr>
          <w:rFonts w:ascii="Arial" w:hAnsi="Arial" w:cs="Arial"/>
        </w:rPr>
        <w:t>trade marks attorney director</w:t>
      </w:r>
      <w:r>
        <w:rPr>
          <w:rFonts w:ascii="Arial" w:hAnsi="Arial" w:cs="Arial"/>
        </w:rPr>
        <w:t>s</w:t>
      </w:r>
      <w:r w:rsidR="00E2416C" w:rsidRPr="00F45690">
        <w:rPr>
          <w:rFonts w:ascii="Arial" w:hAnsi="Arial" w:cs="Arial"/>
        </w:rPr>
        <w:t>.</w:t>
      </w:r>
    </w:p>
    <w:p w:rsidR="0019405E" w:rsidRDefault="00E2416C" w:rsidP="00E2416C">
      <w:pPr>
        <w:spacing w:before="120"/>
        <w:rPr>
          <w:rFonts w:ascii="Arial" w:hAnsi="Arial" w:cs="Arial"/>
        </w:rPr>
      </w:pPr>
      <w:r>
        <w:rPr>
          <w:rFonts w:ascii="Arial" w:hAnsi="Arial" w:cs="Arial"/>
        </w:rPr>
        <w:t xml:space="preserve">In this </w:t>
      </w:r>
      <w:r w:rsidR="009D184F">
        <w:rPr>
          <w:rFonts w:ascii="Arial" w:hAnsi="Arial" w:cs="Arial"/>
        </w:rPr>
        <w:t>Explanatory S</w:t>
      </w:r>
      <w:r>
        <w:rPr>
          <w:rFonts w:ascii="Arial" w:hAnsi="Arial" w:cs="Arial"/>
        </w:rPr>
        <w:t xml:space="preserve">tatement, </w:t>
      </w:r>
      <w:r w:rsidR="00791CA7">
        <w:rPr>
          <w:rFonts w:ascii="Arial" w:hAnsi="Arial" w:cs="Arial"/>
        </w:rPr>
        <w:t>all of these are</w:t>
      </w:r>
      <w:r>
        <w:rPr>
          <w:rFonts w:ascii="Arial" w:hAnsi="Arial" w:cs="Arial"/>
        </w:rPr>
        <w:t xml:space="preserve"> referred </w:t>
      </w:r>
      <w:r w:rsidR="001C6A33">
        <w:rPr>
          <w:rFonts w:ascii="Arial" w:hAnsi="Arial" w:cs="Arial"/>
        </w:rPr>
        <w:t>to as ‘</w:t>
      </w:r>
      <w:r w:rsidR="0001179C">
        <w:rPr>
          <w:rFonts w:ascii="Arial" w:hAnsi="Arial" w:cs="Arial"/>
        </w:rPr>
        <w:t xml:space="preserve">registered </w:t>
      </w:r>
      <w:r w:rsidR="001C6A33">
        <w:rPr>
          <w:rFonts w:ascii="Arial" w:hAnsi="Arial" w:cs="Arial"/>
        </w:rPr>
        <w:t>attorneys’.</w:t>
      </w:r>
    </w:p>
    <w:p w:rsidR="00755908" w:rsidRDefault="004D586E" w:rsidP="004D586E">
      <w:pPr>
        <w:spacing w:before="240"/>
        <w:rPr>
          <w:rFonts w:ascii="Arial" w:hAnsi="Arial" w:cs="Arial"/>
        </w:rPr>
      </w:pPr>
      <w:r w:rsidRPr="009757AA">
        <w:rPr>
          <w:rFonts w:ascii="Arial" w:hAnsi="Arial" w:cs="Arial"/>
        </w:rPr>
        <w:t xml:space="preserve">The </w:t>
      </w:r>
      <w:r w:rsidR="00E2416C">
        <w:rPr>
          <w:rFonts w:ascii="Arial" w:hAnsi="Arial" w:cs="Arial"/>
        </w:rPr>
        <w:t>Code of Conduct</w:t>
      </w:r>
      <w:r w:rsidR="00755908">
        <w:rPr>
          <w:rFonts w:ascii="Arial" w:hAnsi="Arial" w:cs="Arial"/>
        </w:rPr>
        <w:t>:</w:t>
      </w:r>
    </w:p>
    <w:p w:rsidR="00876AA9" w:rsidRDefault="004D586E" w:rsidP="00B3111B">
      <w:pPr>
        <w:numPr>
          <w:ilvl w:val="0"/>
          <w:numId w:val="8"/>
        </w:numPr>
        <w:spacing w:before="120"/>
        <w:ind w:left="567" w:hanging="567"/>
        <w:rPr>
          <w:rFonts w:ascii="Arial" w:hAnsi="Arial" w:cs="Arial"/>
        </w:rPr>
      </w:pPr>
      <w:r w:rsidRPr="009757AA">
        <w:rPr>
          <w:rFonts w:ascii="Arial" w:hAnsi="Arial" w:cs="Arial"/>
        </w:rPr>
        <w:t>explain</w:t>
      </w:r>
      <w:r w:rsidR="00755908">
        <w:rPr>
          <w:rFonts w:ascii="Arial" w:hAnsi="Arial" w:cs="Arial"/>
        </w:rPr>
        <w:t>s</w:t>
      </w:r>
      <w:r w:rsidRPr="009757AA">
        <w:rPr>
          <w:rFonts w:ascii="Arial" w:hAnsi="Arial" w:cs="Arial"/>
        </w:rPr>
        <w:t xml:space="preserve"> to </w:t>
      </w:r>
      <w:r w:rsidR="0001179C">
        <w:rPr>
          <w:rFonts w:ascii="Arial" w:hAnsi="Arial" w:cs="Arial"/>
        </w:rPr>
        <w:t>registered attorney</w:t>
      </w:r>
      <w:r w:rsidR="001C6A33">
        <w:rPr>
          <w:rFonts w:ascii="Arial" w:hAnsi="Arial" w:cs="Arial"/>
        </w:rPr>
        <w:t>s</w:t>
      </w:r>
      <w:r w:rsidR="00B407EC">
        <w:rPr>
          <w:rFonts w:ascii="Arial" w:hAnsi="Arial" w:cs="Arial"/>
        </w:rPr>
        <w:t xml:space="preserve"> </w:t>
      </w:r>
      <w:r w:rsidRPr="009757AA">
        <w:rPr>
          <w:rFonts w:ascii="Arial" w:hAnsi="Arial" w:cs="Arial"/>
        </w:rPr>
        <w:t>the standards of professional conduct that they are expected to meet</w:t>
      </w:r>
      <w:r>
        <w:rPr>
          <w:rFonts w:ascii="Arial" w:hAnsi="Arial" w:cs="Arial"/>
        </w:rPr>
        <w:t xml:space="preserve"> in their </w:t>
      </w:r>
      <w:r w:rsidR="00A76B41">
        <w:rPr>
          <w:rFonts w:ascii="Arial" w:hAnsi="Arial" w:cs="Arial"/>
        </w:rPr>
        <w:t xml:space="preserve">professional </w:t>
      </w:r>
      <w:r>
        <w:rPr>
          <w:rFonts w:ascii="Arial" w:hAnsi="Arial" w:cs="Arial"/>
        </w:rPr>
        <w:t>practice</w:t>
      </w:r>
      <w:r w:rsidR="00A76B41">
        <w:rPr>
          <w:rFonts w:ascii="Arial" w:hAnsi="Arial" w:cs="Arial"/>
        </w:rPr>
        <w:t>;</w:t>
      </w:r>
    </w:p>
    <w:p w:rsidR="00755908" w:rsidRDefault="00755908" w:rsidP="00B3111B">
      <w:pPr>
        <w:numPr>
          <w:ilvl w:val="0"/>
          <w:numId w:val="8"/>
        </w:numPr>
        <w:spacing w:before="120"/>
        <w:ind w:left="567" w:hanging="567"/>
        <w:rPr>
          <w:rFonts w:ascii="Arial" w:hAnsi="Arial" w:cs="Arial"/>
        </w:rPr>
      </w:pPr>
      <w:r>
        <w:rPr>
          <w:rFonts w:ascii="Arial" w:hAnsi="Arial" w:cs="Arial"/>
        </w:rPr>
        <w:t>aligns those standards with the behaviours expected of other comparable professionals</w:t>
      </w:r>
      <w:r w:rsidR="00A76B41">
        <w:rPr>
          <w:rFonts w:ascii="Arial" w:hAnsi="Arial" w:cs="Arial"/>
        </w:rPr>
        <w:t>;</w:t>
      </w:r>
    </w:p>
    <w:p w:rsidR="00755908" w:rsidRDefault="00755908" w:rsidP="00B3111B">
      <w:pPr>
        <w:numPr>
          <w:ilvl w:val="0"/>
          <w:numId w:val="8"/>
        </w:numPr>
        <w:spacing w:before="120"/>
        <w:ind w:left="567" w:hanging="567"/>
        <w:rPr>
          <w:rFonts w:ascii="Arial" w:hAnsi="Arial" w:cs="Arial"/>
        </w:rPr>
      </w:pPr>
      <w:r>
        <w:rPr>
          <w:rFonts w:ascii="Arial" w:hAnsi="Arial" w:cs="Arial"/>
        </w:rPr>
        <w:t>makes it</w:t>
      </w:r>
      <w:r w:rsidRPr="00755908">
        <w:rPr>
          <w:rFonts w:ascii="Arial" w:hAnsi="Arial" w:cs="Arial"/>
        </w:rPr>
        <w:t xml:space="preserve"> clear to </w:t>
      </w:r>
      <w:r w:rsidR="00A76B41">
        <w:rPr>
          <w:rFonts w:ascii="Arial" w:hAnsi="Arial" w:cs="Arial"/>
        </w:rPr>
        <w:t>clients</w:t>
      </w:r>
      <w:r w:rsidR="00531D3F" w:rsidRPr="00755908">
        <w:rPr>
          <w:rFonts w:ascii="Arial" w:hAnsi="Arial" w:cs="Arial"/>
        </w:rPr>
        <w:t xml:space="preserve"> </w:t>
      </w:r>
      <w:r w:rsidR="00531D3F">
        <w:rPr>
          <w:rFonts w:ascii="Arial" w:hAnsi="Arial" w:cs="Arial"/>
        </w:rPr>
        <w:t xml:space="preserve">what they </w:t>
      </w:r>
      <w:r w:rsidR="00345A13">
        <w:rPr>
          <w:rFonts w:ascii="Arial" w:hAnsi="Arial" w:cs="Arial"/>
        </w:rPr>
        <w:t>should</w:t>
      </w:r>
      <w:r w:rsidR="00531D3F">
        <w:rPr>
          <w:rFonts w:ascii="Arial" w:hAnsi="Arial" w:cs="Arial"/>
        </w:rPr>
        <w:t xml:space="preserve"> </w:t>
      </w:r>
      <w:r w:rsidR="00EE0D1C">
        <w:rPr>
          <w:rFonts w:ascii="Arial" w:hAnsi="Arial" w:cs="Arial"/>
        </w:rPr>
        <w:t xml:space="preserve">expect </w:t>
      </w:r>
      <w:r w:rsidR="00A76B41">
        <w:rPr>
          <w:rFonts w:ascii="Arial" w:hAnsi="Arial" w:cs="Arial"/>
        </w:rPr>
        <w:t>from registered attorneys in terms of professional conduct; and</w:t>
      </w:r>
    </w:p>
    <w:p w:rsidR="00755908" w:rsidRDefault="00755908" w:rsidP="00B3111B">
      <w:pPr>
        <w:numPr>
          <w:ilvl w:val="0"/>
          <w:numId w:val="8"/>
        </w:numPr>
        <w:spacing w:before="120"/>
        <w:ind w:left="567" w:hanging="567"/>
        <w:rPr>
          <w:rFonts w:ascii="Arial" w:hAnsi="Arial" w:cs="Arial"/>
        </w:rPr>
      </w:pPr>
      <w:r>
        <w:rPr>
          <w:rFonts w:ascii="Arial" w:hAnsi="Arial" w:cs="Arial"/>
        </w:rPr>
        <w:t>provides</w:t>
      </w:r>
      <w:r w:rsidRPr="00755908">
        <w:rPr>
          <w:rFonts w:ascii="Arial" w:hAnsi="Arial" w:cs="Arial"/>
        </w:rPr>
        <w:t xml:space="preserve"> a framework </w:t>
      </w:r>
      <w:r>
        <w:rPr>
          <w:rFonts w:ascii="Arial" w:hAnsi="Arial" w:cs="Arial"/>
        </w:rPr>
        <w:t>for</w:t>
      </w:r>
      <w:r w:rsidRPr="00755908">
        <w:rPr>
          <w:rFonts w:ascii="Arial" w:hAnsi="Arial" w:cs="Arial"/>
        </w:rPr>
        <w:t xml:space="preserve"> the Board </w:t>
      </w:r>
      <w:r w:rsidR="00531D3F">
        <w:rPr>
          <w:rFonts w:ascii="Arial" w:hAnsi="Arial" w:cs="Arial"/>
        </w:rPr>
        <w:t>to</w:t>
      </w:r>
      <w:r w:rsidRPr="00755908">
        <w:rPr>
          <w:rFonts w:ascii="Arial" w:hAnsi="Arial" w:cs="Arial"/>
        </w:rPr>
        <w:t xml:space="preserve"> </w:t>
      </w:r>
      <w:r w:rsidR="00A76B41">
        <w:rPr>
          <w:rFonts w:ascii="Arial" w:hAnsi="Arial" w:cs="Arial"/>
        </w:rPr>
        <w:t>determine when</w:t>
      </w:r>
      <w:r w:rsidRPr="00755908">
        <w:rPr>
          <w:rFonts w:ascii="Arial" w:hAnsi="Arial" w:cs="Arial"/>
        </w:rPr>
        <w:t xml:space="preserve"> </w:t>
      </w:r>
      <w:r w:rsidR="00531D3F">
        <w:rPr>
          <w:rFonts w:ascii="Arial" w:hAnsi="Arial" w:cs="Arial"/>
        </w:rPr>
        <w:t>t</w:t>
      </w:r>
      <w:r w:rsidR="00A76B41">
        <w:rPr>
          <w:rFonts w:ascii="Arial" w:hAnsi="Arial" w:cs="Arial"/>
        </w:rPr>
        <w:t xml:space="preserve">he conduct of registered </w:t>
      </w:r>
      <w:r>
        <w:rPr>
          <w:rFonts w:ascii="Arial" w:hAnsi="Arial" w:cs="Arial"/>
        </w:rPr>
        <w:t>a</w:t>
      </w:r>
      <w:r w:rsidRPr="00755908">
        <w:rPr>
          <w:rFonts w:ascii="Arial" w:hAnsi="Arial" w:cs="Arial"/>
        </w:rPr>
        <w:t>ttorney</w:t>
      </w:r>
      <w:r w:rsidR="00A76B41">
        <w:rPr>
          <w:rFonts w:ascii="Arial" w:hAnsi="Arial" w:cs="Arial"/>
        </w:rPr>
        <w:t>s</w:t>
      </w:r>
      <w:r w:rsidRPr="00755908">
        <w:rPr>
          <w:rFonts w:ascii="Arial" w:hAnsi="Arial" w:cs="Arial"/>
        </w:rPr>
        <w:t xml:space="preserve"> should</w:t>
      </w:r>
      <w:r>
        <w:rPr>
          <w:rFonts w:ascii="Arial" w:hAnsi="Arial" w:cs="Arial"/>
        </w:rPr>
        <w:t xml:space="preserve"> </w:t>
      </w:r>
      <w:r w:rsidR="00345A13">
        <w:rPr>
          <w:rFonts w:ascii="Arial" w:hAnsi="Arial" w:cs="Arial"/>
        </w:rPr>
        <w:t>be the subject</w:t>
      </w:r>
      <w:r>
        <w:rPr>
          <w:rFonts w:ascii="Arial" w:hAnsi="Arial" w:cs="Arial"/>
        </w:rPr>
        <w:t xml:space="preserve"> of </w:t>
      </w:r>
      <w:r w:rsidR="00531D3F">
        <w:rPr>
          <w:rFonts w:ascii="Arial" w:hAnsi="Arial" w:cs="Arial"/>
        </w:rPr>
        <w:t xml:space="preserve">disciplinary proceedings </w:t>
      </w:r>
      <w:r>
        <w:rPr>
          <w:rFonts w:ascii="Arial" w:hAnsi="Arial" w:cs="Arial"/>
        </w:rPr>
        <w:t>before</w:t>
      </w:r>
      <w:r w:rsidRPr="00755908">
        <w:rPr>
          <w:rFonts w:ascii="Arial" w:hAnsi="Arial" w:cs="Arial"/>
        </w:rPr>
        <w:t xml:space="preserve"> the </w:t>
      </w:r>
      <w:r w:rsidR="00654148">
        <w:rPr>
          <w:rFonts w:ascii="Arial" w:hAnsi="Arial" w:cs="Arial"/>
        </w:rPr>
        <w:t>Trans-Tasman IP</w:t>
      </w:r>
      <w:r w:rsidRPr="000A4C5B">
        <w:rPr>
          <w:rFonts w:ascii="Arial" w:hAnsi="Arial" w:cs="Arial"/>
        </w:rPr>
        <w:t xml:space="preserve"> Attorneys Disciplinary Tribunal</w:t>
      </w:r>
      <w:r w:rsidR="00531D3F">
        <w:rPr>
          <w:rFonts w:ascii="Arial" w:hAnsi="Arial" w:cs="Arial"/>
        </w:rPr>
        <w:t>.</w:t>
      </w:r>
    </w:p>
    <w:p w:rsidR="00E5522E" w:rsidRDefault="0003552C" w:rsidP="00D56387">
      <w:pPr>
        <w:spacing w:before="240"/>
        <w:rPr>
          <w:rFonts w:ascii="Arial" w:hAnsi="Arial" w:cs="Arial"/>
        </w:rPr>
      </w:pPr>
      <w:r>
        <w:rPr>
          <w:rFonts w:ascii="Arial" w:hAnsi="Arial" w:cs="Arial"/>
        </w:rPr>
        <w:lastRenderedPageBreak/>
        <w:t>The Code of Conduct</w:t>
      </w:r>
      <w:r w:rsidRPr="001D55A2">
        <w:rPr>
          <w:rFonts w:ascii="Arial" w:hAnsi="Arial" w:cs="Arial"/>
        </w:rPr>
        <w:t xml:space="preserve"> replac</w:t>
      </w:r>
      <w:r>
        <w:rPr>
          <w:rFonts w:ascii="Arial" w:hAnsi="Arial" w:cs="Arial"/>
        </w:rPr>
        <w:t xml:space="preserve">es the </w:t>
      </w:r>
      <w:r w:rsidRPr="0003552C">
        <w:rPr>
          <w:rFonts w:ascii="Arial" w:hAnsi="Arial" w:cs="Arial"/>
          <w:i/>
        </w:rPr>
        <w:t>Code of Conduct for Patent and Trade Marks Attorneys 2013</w:t>
      </w:r>
      <w:r>
        <w:rPr>
          <w:rFonts w:ascii="Arial" w:hAnsi="Arial" w:cs="Arial"/>
        </w:rPr>
        <w:t xml:space="preserve"> </w:t>
      </w:r>
      <w:r w:rsidR="002D7D05">
        <w:rPr>
          <w:rFonts w:ascii="Arial" w:hAnsi="Arial" w:cs="Arial"/>
        </w:rPr>
        <w:t>established</w:t>
      </w:r>
      <w:r w:rsidR="002D7D05" w:rsidRPr="00E5522E">
        <w:rPr>
          <w:rFonts w:ascii="Arial" w:hAnsi="Arial" w:cs="Arial"/>
        </w:rPr>
        <w:t xml:space="preserve"> </w:t>
      </w:r>
      <w:r w:rsidRPr="00E5522E">
        <w:rPr>
          <w:rFonts w:ascii="Arial" w:hAnsi="Arial" w:cs="Arial"/>
        </w:rPr>
        <w:t xml:space="preserve">by the </w:t>
      </w:r>
      <w:r>
        <w:rPr>
          <w:rFonts w:ascii="Arial" w:hAnsi="Arial" w:cs="Arial"/>
        </w:rPr>
        <w:t xml:space="preserve">predecessor of the </w:t>
      </w:r>
      <w:r w:rsidRPr="00E5522E">
        <w:rPr>
          <w:rFonts w:ascii="Arial" w:hAnsi="Arial" w:cs="Arial"/>
        </w:rPr>
        <w:t xml:space="preserve">Board </w:t>
      </w:r>
      <w:r>
        <w:rPr>
          <w:rFonts w:ascii="Arial" w:hAnsi="Arial" w:cs="Arial"/>
        </w:rPr>
        <w:t xml:space="preserve">(‘the previous Code’). The previous Code was registered on 23 October 2013 and commenced on 23 November 2013. </w:t>
      </w:r>
      <w:r w:rsidR="000A16DB">
        <w:rPr>
          <w:rFonts w:ascii="Arial" w:hAnsi="Arial" w:cs="Arial"/>
        </w:rPr>
        <w:t xml:space="preserve">The previous Code will continue to be the standard for assessing the conduct of registered attorneys from </w:t>
      </w:r>
      <w:r w:rsidR="008B774F">
        <w:rPr>
          <w:rFonts w:ascii="Arial" w:hAnsi="Arial" w:cs="Arial"/>
        </w:rPr>
        <w:t>23 November 2013</w:t>
      </w:r>
      <w:r w:rsidR="000A16DB">
        <w:rPr>
          <w:rFonts w:ascii="Arial" w:hAnsi="Arial" w:cs="Arial"/>
        </w:rPr>
        <w:t xml:space="preserve"> up to the commencement of the Code of Conduct.</w:t>
      </w:r>
    </w:p>
    <w:p w:rsidR="0003552C" w:rsidRDefault="0003552C" w:rsidP="0003552C">
      <w:pPr>
        <w:spacing w:before="240"/>
        <w:rPr>
          <w:rFonts w:ascii="Arial" w:hAnsi="Arial" w:cs="Arial"/>
        </w:rPr>
      </w:pPr>
      <w:r w:rsidRPr="009757AA">
        <w:rPr>
          <w:rFonts w:ascii="Arial" w:hAnsi="Arial" w:cs="Arial"/>
        </w:rPr>
        <w:t xml:space="preserve">The Code </w:t>
      </w:r>
      <w:r>
        <w:rPr>
          <w:rFonts w:ascii="Arial" w:hAnsi="Arial" w:cs="Arial"/>
        </w:rPr>
        <w:t xml:space="preserve">of Conduct </w:t>
      </w:r>
      <w:r w:rsidRPr="009757AA">
        <w:rPr>
          <w:rFonts w:ascii="Arial" w:hAnsi="Arial" w:cs="Arial"/>
        </w:rPr>
        <w:t xml:space="preserve">commences </w:t>
      </w:r>
      <w:r>
        <w:rPr>
          <w:rFonts w:ascii="Arial" w:hAnsi="Arial" w:cs="Arial"/>
        </w:rPr>
        <w:t xml:space="preserve">on </w:t>
      </w:r>
      <w:r w:rsidR="00E3199F">
        <w:rPr>
          <w:rFonts w:ascii="Arial" w:hAnsi="Arial" w:cs="Arial"/>
        </w:rPr>
        <w:t>23 February 2018</w:t>
      </w:r>
      <w:r w:rsidRPr="009757AA">
        <w:rPr>
          <w:rFonts w:ascii="Arial" w:hAnsi="Arial" w:cs="Arial"/>
        </w:rPr>
        <w:t>.</w:t>
      </w:r>
      <w:r>
        <w:rPr>
          <w:rFonts w:ascii="Arial" w:hAnsi="Arial" w:cs="Arial"/>
        </w:rPr>
        <w:t xml:space="preserve"> From its commencement, the Code of Conduct will govern the conduct of registered attorneys. </w:t>
      </w:r>
    </w:p>
    <w:p w:rsidR="00D56387" w:rsidRDefault="00D74E3D" w:rsidP="00D56387">
      <w:pPr>
        <w:spacing w:before="240"/>
        <w:rPr>
          <w:rFonts w:ascii="Arial" w:hAnsi="Arial" w:cs="Arial"/>
        </w:rPr>
      </w:pPr>
      <w:r w:rsidRPr="00D74E3D">
        <w:rPr>
          <w:rFonts w:ascii="Arial" w:hAnsi="Arial" w:cs="Arial"/>
        </w:rPr>
        <w:t xml:space="preserve">To inform the drafting of the Code of Conduct, the Board conducted </w:t>
      </w:r>
      <w:r w:rsidR="008B774F">
        <w:rPr>
          <w:rFonts w:ascii="Arial" w:hAnsi="Arial" w:cs="Arial"/>
        </w:rPr>
        <w:t xml:space="preserve">a </w:t>
      </w:r>
      <w:r w:rsidR="0095795E">
        <w:rPr>
          <w:rFonts w:ascii="Arial" w:hAnsi="Arial" w:cs="Arial"/>
        </w:rPr>
        <w:t>number</w:t>
      </w:r>
      <w:r w:rsidR="008B774F">
        <w:rPr>
          <w:rFonts w:ascii="Arial" w:hAnsi="Arial" w:cs="Arial"/>
        </w:rPr>
        <w:t xml:space="preserve"> of public </w:t>
      </w:r>
      <w:r w:rsidR="0095795E">
        <w:rPr>
          <w:rFonts w:ascii="Arial" w:hAnsi="Arial" w:cs="Arial"/>
        </w:rPr>
        <w:t xml:space="preserve">presentations and undertook a range of </w:t>
      </w:r>
      <w:r w:rsidR="008B774F">
        <w:rPr>
          <w:rFonts w:ascii="Arial" w:hAnsi="Arial" w:cs="Arial"/>
        </w:rPr>
        <w:t>consultation</w:t>
      </w:r>
      <w:r w:rsidR="0095795E">
        <w:rPr>
          <w:rFonts w:ascii="Arial" w:hAnsi="Arial" w:cs="Arial"/>
        </w:rPr>
        <w:t xml:space="preserve"> activitie</w:t>
      </w:r>
      <w:r w:rsidR="008B774F">
        <w:rPr>
          <w:rFonts w:ascii="Arial" w:hAnsi="Arial" w:cs="Arial"/>
        </w:rPr>
        <w:t>s</w:t>
      </w:r>
      <w:r w:rsidR="00742F3D">
        <w:rPr>
          <w:rFonts w:ascii="Arial" w:hAnsi="Arial" w:cs="Arial"/>
        </w:rPr>
        <w:t>,</w:t>
      </w:r>
      <w:r w:rsidR="008B774F">
        <w:rPr>
          <w:rFonts w:ascii="Arial" w:hAnsi="Arial" w:cs="Arial"/>
        </w:rPr>
        <w:t xml:space="preserve"> in both Australia and New Zealand</w:t>
      </w:r>
      <w:r w:rsidR="00742F3D">
        <w:rPr>
          <w:rFonts w:ascii="Arial" w:hAnsi="Arial" w:cs="Arial"/>
        </w:rPr>
        <w:t>,</w:t>
      </w:r>
      <w:r w:rsidR="008B774F">
        <w:rPr>
          <w:rFonts w:ascii="Arial" w:hAnsi="Arial" w:cs="Arial"/>
        </w:rPr>
        <w:t xml:space="preserve"> between February and </w:t>
      </w:r>
      <w:r w:rsidR="0095795E">
        <w:rPr>
          <w:rFonts w:ascii="Arial" w:hAnsi="Arial" w:cs="Arial"/>
        </w:rPr>
        <w:t>November 2017.  The consultation activities included</w:t>
      </w:r>
      <w:r w:rsidRPr="00CC6732">
        <w:rPr>
          <w:rFonts w:ascii="Arial" w:hAnsi="Arial" w:cs="Arial"/>
        </w:rPr>
        <w:t xml:space="preserve"> </w:t>
      </w:r>
      <w:r w:rsidR="008B774F">
        <w:rPr>
          <w:rFonts w:ascii="Arial" w:hAnsi="Arial" w:cs="Arial"/>
        </w:rPr>
        <w:t xml:space="preserve">issuing a Consultation Paper in </w:t>
      </w:r>
      <w:r w:rsidR="00AF6049">
        <w:rPr>
          <w:rFonts w:ascii="Arial" w:hAnsi="Arial" w:cs="Arial"/>
        </w:rPr>
        <w:t xml:space="preserve">April 2017, a Draft Code in </w:t>
      </w:r>
      <w:r w:rsidR="0095795E">
        <w:rPr>
          <w:rFonts w:ascii="Arial" w:hAnsi="Arial" w:cs="Arial"/>
        </w:rPr>
        <w:t xml:space="preserve">August 2017, and a revised Draft Code in November 2017, on which submissions were sought and received.  </w:t>
      </w:r>
    </w:p>
    <w:p w:rsidR="000F359C" w:rsidRDefault="004D586E" w:rsidP="004D586E">
      <w:pPr>
        <w:spacing w:before="240"/>
        <w:rPr>
          <w:rFonts w:ascii="Arial" w:hAnsi="Arial" w:cs="Arial"/>
        </w:rPr>
      </w:pPr>
      <w:r w:rsidRPr="008B774F">
        <w:rPr>
          <w:rFonts w:ascii="Arial" w:hAnsi="Arial" w:cs="Arial"/>
        </w:rPr>
        <w:t xml:space="preserve">The Office of Best Practice Regulation in the Department of </w:t>
      </w:r>
      <w:r w:rsidR="007804FD">
        <w:rPr>
          <w:rFonts w:ascii="Arial" w:hAnsi="Arial" w:cs="Arial"/>
        </w:rPr>
        <w:t>the Prime Minister and Cabinet</w:t>
      </w:r>
      <w:r w:rsidRPr="008B774F">
        <w:rPr>
          <w:rFonts w:ascii="Arial" w:hAnsi="Arial" w:cs="Arial"/>
        </w:rPr>
        <w:t xml:space="preserve"> has advised that no Regulation Impact Statement is required to be prepared for this </w:t>
      </w:r>
      <w:r w:rsidR="00AA1382" w:rsidRPr="008B774F">
        <w:rPr>
          <w:rFonts w:ascii="Arial" w:hAnsi="Arial" w:cs="Arial"/>
        </w:rPr>
        <w:t>Code of Conduct</w:t>
      </w:r>
      <w:r w:rsidRPr="008B774F">
        <w:rPr>
          <w:rFonts w:ascii="Arial" w:hAnsi="Arial" w:cs="Arial"/>
        </w:rPr>
        <w:t>.</w:t>
      </w:r>
      <w:r w:rsidR="008B774F">
        <w:rPr>
          <w:rFonts w:ascii="Arial" w:hAnsi="Arial" w:cs="Arial"/>
        </w:rPr>
        <w:t xml:space="preserve"> </w:t>
      </w:r>
    </w:p>
    <w:p w:rsidR="000F359C" w:rsidRDefault="0079371E" w:rsidP="004D586E">
      <w:pPr>
        <w:spacing w:before="240"/>
        <w:rPr>
          <w:rFonts w:ascii="Arial" w:hAnsi="Arial" w:cs="Arial"/>
        </w:rPr>
      </w:pPr>
      <w:r>
        <w:rPr>
          <w:rFonts w:ascii="Arial" w:hAnsi="Arial" w:cs="Arial"/>
        </w:rPr>
        <w:t xml:space="preserve">An explanation of </w:t>
      </w:r>
      <w:r w:rsidR="00620A8F">
        <w:rPr>
          <w:rFonts w:ascii="Arial" w:hAnsi="Arial" w:cs="Arial"/>
        </w:rPr>
        <w:t xml:space="preserve">the sections </w:t>
      </w:r>
      <w:r w:rsidR="004D586E" w:rsidRPr="001D55A2">
        <w:rPr>
          <w:rFonts w:ascii="Arial" w:hAnsi="Arial" w:cs="Arial"/>
        </w:rPr>
        <w:t xml:space="preserve">of the </w:t>
      </w:r>
      <w:r w:rsidR="00AA1382">
        <w:rPr>
          <w:rFonts w:ascii="Arial" w:hAnsi="Arial" w:cs="Arial"/>
        </w:rPr>
        <w:t>Code of Conduct</w:t>
      </w:r>
      <w:r w:rsidR="004D586E" w:rsidRPr="001D55A2">
        <w:rPr>
          <w:rFonts w:ascii="Arial" w:hAnsi="Arial" w:cs="Arial"/>
        </w:rPr>
        <w:t xml:space="preserve"> </w:t>
      </w:r>
      <w:r>
        <w:rPr>
          <w:rFonts w:ascii="Arial" w:hAnsi="Arial" w:cs="Arial"/>
        </w:rPr>
        <w:t>is</w:t>
      </w:r>
      <w:r w:rsidR="004D586E" w:rsidRPr="001D55A2">
        <w:rPr>
          <w:rFonts w:ascii="Arial" w:hAnsi="Arial" w:cs="Arial"/>
        </w:rPr>
        <w:t xml:space="preserve"> set out in </w:t>
      </w:r>
      <w:r w:rsidR="004D586E" w:rsidRPr="002A0F11">
        <w:rPr>
          <w:rFonts w:ascii="Arial" w:hAnsi="Arial" w:cs="Arial"/>
          <w:b/>
        </w:rPr>
        <w:t>Attachment A</w:t>
      </w:r>
      <w:r w:rsidR="004D586E" w:rsidRPr="001D55A2">
        <w:rPr>
          <w:rFonts w:ascii="Arial" w:hAnsi="Arial" w:cs="Arial"/>
        </w:rPr>
        <w:t>.</w:t>
      </w:r>
    </w:p>
    <w:p w:rsidR="000F359C" w:rsidRDefault="004D586E" w:rsidP="004D586E">
      <w:pPr>
        <w:spacing w:before="240"/>
        <w:rPr>
          <w:rFonts w:ascii="Arial" w:hAnsi="Arial" w:cs="Arial"/>
        </w:rPr>
      </w:pPr>
      <w:r>
        <w:rPr>
          <w:rFonts w:ascii="Arial" w:hAnsi="Arial" w:cs="Arial"/>
        </w:rPr>
        <w:t xml:space="preserve">A </w:t>
      </w:r>
      <w:r w:rsidR="00975A41">
        <w:rPr>
          <w:rFonts w:ascii="Arial" w:hAnsi="Arial" w:cs="Arial"/>
        </w:rPr>
        <w:t xml:space="preserve">statement of compatibility </w:t>
      </w:r>
      <w:r>
        <w:rPr>
          <w:rFonts w:ascii="Arial" w:hAnsi="Arial" w:cs="Arial"/>
        </w:rPr>
        <w:t xml:space="preserve">under subsection </w:t>
      </w:r>
      <w:hyperlink r:id="rId9" w:anchor="_Toc338403934" w:history="1">
        <w:r w:rsidRPr="00D945C9">
          <w:rPr>
            <w:rStyle w:val="Hyperlink"/>
            <w:rFonts w:ascii="Arial" w:hAnsi="Arial" w:cs="Arial"/>
          </w:rPr>
          <w:t>9(1)</w:t>
        </w:r>
      </w:hyperlink>
      <w:r>
        <w:rPr>
          <w:rFonts w:ascii="Arial" w:hAnsi="Arial" w:cs="Arial"/>
        </w:rPr>
        <w:t xml:space="preserve"> of th</w:t>
      </w:r>
      <w:bookmarkStart w:id="0" w:name="_GoBack"/>
      <w:bookmarkEnd w:id="0"/>
      <w:r>
        <w:rPr>
          <w:rFonts w:ascii="Arial" w:hAnsi="Arial" w:cs="Arial"/>
        </w:rPr>
        <w:t xml:space="preserve">e </w:t>
      </w:r>
      <w:r>
        <w:rPr>
          <w:rFonts w:ascii="Arial" w:hAnsi="Arial" w:cs="Arial"/>
          <w:i/>
        </w:rPr>
        <w:t>Human Rights (Parliamentary Scrutiny) Act 20</w:t>
      </w:r>
      <w:r w:rsidRPr="00CA7CE3">
        <w:rPr>
          <w:rFonts w:ascii="Arial" w:hAnsi="Arial" w:cs="Arial"/>
          <w:i/>
        </w:rPr>
        <w:t xml:space="preserve">11 </w:t>
      </w:r>
      <w:r>
        <w:rPr>
          <w:rFonts w:ascii="Arial" w:hAnsi="Arial" w:cs="Arial"/>
        </w:rPr>
        <w:t xml:space="preserve">is </w:t>
      </w:r>
      <w:r w:rsidRPr="00CA7CE3">
        <w:rPr>
          <w:rFonts w:ascii="Arial" w:hAnsi="Arial" w:cs="Arial"/>
        </w:rPr>
        <w:t xml:space="preserve">provided as </w:t>
      </w:r>
      <w:r w:rsidRPr="002A0F11">
        <w:rPr>
          <w:rFonts w:ascii="Arial" w:hAnsi="Arial" w:cs="Arial"/>
          <w:b/>
        </w:rPr>
        <w:t>Attachment B</w:t>
      </w:r>
      <w:r w:rsidRPr="00CA7CE3">
        <w:rPr>
          <w:rFonts w:ascii="Arial" w:hAnsi="Arial" w:cs="Arial"/>
        </w:rPr>
        <w:t>.</w:t>
      </w:r>
    </w:p>
    <w:p w:rsidR="0066239F" w:rsidRPr="001D55A2" w:rsidRDefault="008D4FD1" w:rsidP="00253AD6">
      <w:pPr>
        <w:jc w:val="right"/>
        <w:rPr>
          <w:rFonts w:ascii="Arial" w:hAnsi="Arial" w:cs="Arial"/>
          <w:b/>
          <w:i/>
          <w:u w:val="single"/>
        </w:rPr>
      </w:pPr>
      <w:r>
        <w:rPr>
          <w:rFonts w:ascii="Arial" w:hAnsi="Arial" w:cs="Arial"/>
          <w:b/>
          <w:u w:val="single"/>
        </w:rPr>
        <w:br w:type="page"/>
      </w:r>
      <w:r w:rsidR="00D71204" w:rsidRPr="001D55A2">
        <w:rPr>
          <w:rFonts w:ascii="Arial" w:hAnsi="Arial" w:cs="Arial"/>
          <w:b/>
          <w:u w:val="single"/>
        </w:rPr>
        <w:lastRenderedPageBreak/>
        <w:t>Attachment A</w:t>
      </w:r>
      <w:r w:rsidR="005C7E17" w:rsidRPr="001D55A2">
        <w:rPr>
          <w:rFonts w:ascii="Arial" w:hAnsi="Arial" w:cs="Arial"/>
          <w:b/>
          <w:u w:val="single"/>
        </w:rPr>
        <w:t xml:space="preserve">: </w:t>
      </w:r>
      <w:r w:rsidR="00D73684">
        <w:rPr>
          <w:rFonts w:ascii="Arial" w:hAnsi="Arial" w:cs="Arial"/>
          <w:b/>
          <w:u w:val="single"/>
        </w:rPr>
        <w:t>Explanation</w:t>
      </w:r>
      <w:r w:rsidR="00286DF7" w:rsidRPr="001D55A2">
        <w:rPr>
          <w:rFonts w:ascii="Arial" w:hAnsi="Arial" w:cs="Arial"/>
          <w:b/>
          <w:u w:val="single"/>
        </w:rPr>
        <w:t xml:space="preserve"> of the </w:t>
      </w:r>
      <w:r w:rsidR="00286DF7" w:rsidRPr="001D55A2">
        <w:rPr>
          <w:rFonts w:ascii="Arial" w:hAnsi="Arial" w:cs="Arial"/>
          <w:b/>
          <w:i/>
          <w:u w:val="single"/>
        </w:rPr>
        <w:t>Code of Conduct for</w:t>
      </w:r>
    </w:p>
    <w:p w:rsidR="000F359C" w:rsidRDefault="0095795E" w:rsidP="00253AD6">
      <w:pPr>
        <w:jc w:val="right"/>
        <w:rPr>
          <w:rFonts w:ascii="Arial" w:hAnsi="Arial" w:cs="Arial"/>
          <w:b/>
          <w:i/>
          <w:u w:val="single"/>
        </w:rPr>
      </w:pPr>
      <w:r>
        <w:rPr>
          <w:rFonts w:ascii="Arial" w:hAnsi="Arial" w:cs="Arial"/>
          <w:b/>
          <w:i/>
          <w:u w:val="single"/>
        </w:rPr>
        <w:t xml:space="preserve">Trans-Tasman </w:t>
      </w:r>
      <w:r w:rsidR="00286DF7" w:rsidRPr="001D55A2">
        <w:rPr>
          <w:rFonts w:ascii="Arial" w:hAnsi="Arial" w:cs="Arial"/>
          <w:b/>
          <w:i/>
          <w:u w:val="single"/>
        </w:rPr>
        <w:t xml:space="preserve">Patent and Trade Marks Attorneys </w:t>
      </w:r>
      <w:r>
        <w:rPr>
          <w:rFonts w:ascii="Arial" w:hAnsi="Arial" w:cs="Arial"/>
          <w:b/>
          <w:i/>
          <w:u w:val="single"/>
        </w:rPr>
        <w:t>2018</w:t>
      </w:r>
    </w:p>
    <w:p w:rsidR="004A7F76" w:rsidRDefault="004A7F76" w:rsidP="00253AD6">
      <w:pPr>
        <w:jc w:val="right"/>
        <w:rPr>
          <w:rFonts w:ascii="Arial" w:hAnsi="Arial" w:cs="Arial"/>
          <w:b/>
          <w:i/>
          <w:u w:val="single"/>
        </w:rPr>
      </w:pPr>
    </w:p>
    <w:p w:rsidR="004A7F76" w:rsidRPr="004A7F76" w:rsidRDefault="004A7F76" w:rsidP="004A7F76">
      <w:pPr>
        <w:spacing w:before="360"/>
        <w:rPr>
          <w:rFonts w:ascii="Arial" w:hAnsi="Arial" w:cs="Arial"/>
          <w:b/>
          <w:i/>
          <w:sz w:val="28"/>
          <w:szCs w:val="28"/>
        </w:rPr>
      </w:pPr>
      <w:r>
        <w:rPr>
          <w:rFonts w:ascii="Arial" w:hAnsi="Arial" w:cs="Arial"/>
          <w:b/>
          <w:i/>
          <w:sz w:val="28"/>
          <w:szCs w:val="28"/>
        </w:rPr>
        <w:t>Part 1</w:t>
      </w:r>
      <w:r w:rsidRPr="004A7F76">
        <w:rPr>
          <w:rFonts w:ascii="Arial" w:hAnsi="Arial" w:cs="Arial"/>
          <w:b/>
          <w:i/>
          <w:sz w:val="28"/>
          <w:szCs w:val="28"/>
        </w:rPr>
        <w:t>—</w:t>
      </w:r>
      <w:r>
        <w:rPr>
          <w:rFonts w:ascii="Arial" w:hAnsi="Arial" w:cs="Arial"/>
          <w:b/>
          <w:i/>
          <w:sz w:val="28"/>
          <w:szCs w:val="28"/>
        </w:rPr>
        <w:t>Preliminary</w:t>
      </w:r>
    </w:p>
    <w:p w:rsidR="00D945C9" w:rsidRDefault="002A7CEA" w:rsidP="00E82EE6">
      <w:pPr>
        <w:spacing w:before="120"/>
        <w:rPr>
          <w:rFonts w:ascii="Arial" w:hAnsi="Arial" w:cs="Arial"/>
        </w:rPr>
      </w:pPr>
      <w:r w:rsidRPr="001D55A2">
        <w:rPr>
          <w:rFonts w:ascii="Arial" w:hAnsi="Arial" w:cs="Arial"/>
        </w:rPr>
        <w:t xml:space="preserve">Part 1 </w:t>
      </w:r>
      <w:r w:rsidR="00241D13" w:rsidRPr="001D55A2">
        <w:rPr>
          <w:rFonts w:ascii="Arial" w:hAnsi="Arial" w:cs="Arial"/>
        </w:rPr>
        <w:t>set</w:t>
      </w:r>
      <w:r w:rsidR="0066239F" w:rsidRPr="001D55A2">
        <w:rPr>
          <w:rFonts w:ascii="Arial" w:hAnsi="Arial" w:cs="Arial"/>
        </w:rPr>
        <w:t>s</w:t>
      </w:r>
      <w:r w:rsidR="00241D13" w:rsidRPr="001D55A2">
        <w:rPr>
          <w:rFonts w:ascii="Arial" w:hAnsi="Arial" w:cs="Arial"/>
        </w:rPr>
        <w:t xml:space="preserve"> out the</w:t>
      </w:r>
      <w:r w:rsidR="002E1BB0">
        <w:rPr>
          <w:rFonts w:ascii="Arial" w:hAnsi="Arial" w:cs="Arial"/>
        </w:rPr>
        <w:t xml:space="preserve"> name of the code</w:t>
      </w:r>
      <w:r w:rsidR="00CD4A94">
        <w:rPr>
          <w:rFonts w:ascii="Arial" w:hAnsi="Arial" w:cs="Arial"/>
        </w:rPr>
        <w:t>, its commencement date, the authority under which it is made, the meaning of key terms used in it, and the code which it replaces</w:t>
      </w:r>
      <w:r w:rsidR="00FC35A5">
        <w:rPr>
          <w:rFonts w:ascii="Arial" w:hAnsi="Arial" w:cs="Arial"/>
        </w:rPr>
        <w:t>.</w:t>
      </w:r>
    </w:p>
    <w:p w:rsidR="00FC35A5" w:rsidRPr="001D55A2" w:rsidRDefault="00FC35A5" w:rsidP="00FC35A5">
      <w:pPr>
        <w:spacing w:before="240"/>
        <w:rPr>
          <w:rFonts w:ascii="Arial" w:hAnsi="Arial" w:cs="Arial"/>
          <w:b/>
        </w:rPr>
      </w:pPr>
      <w:r w:rsidRPr="001D55A2">
        <w:rPr>
          <w:rFonts w:ascii="Arial" w:hAnsi="Arial" w:cs="Arial"/>
          <w:b/>
        </w:rPr>
        <w:t xml:space="preserve">Section </w:t>
      </w:r>
      <w:r>
        <w:rPr>
          <w:rFonts w:ascii="Arial" w:hAnsi="Arial" w:cs="Arial"/>
          <w:b/>
        </w:rPr>
        <w:t>1—Name of code</w:t>
      </w:r>
    </w:p>
    <w:p w:rsidR="00FC35A5" w:rsidRPr="001D55A2" w:rsidRDefault="00FC35A5" w:rsidP="00FC35A5">
      <w:pPr>
        <w:spacing w:before="120"/>
        <w:rPr>
          <w:rFonts w:ascii="Arial" w:hAnsi="Arial" w:cs="Arial"/>
        </w:rPr>
      </w:pPr>
      <w:r>
        <w:rPr>
          <w:rFonts w:ascii="Arial" w:hAnsi="Arial" w:cs="Arial"/>
        </w:rPr>
        <w:t xml:space="preserve">The code is called the </w:t>
      </w:r>
      <w:r w:rsidRPr="00973990">
        <w:rPr>
          <w:rFonts w:ascii="Arial" w:hAnsi="Arial" w:cs="Arial"/>
          <w:i/>
        </w:rPr>
        <w:t>Code of Conduct for Trans-Tasman Patent and Trade Marks Attorneys 2018</w:t>
      </w:r>
      <w:r>
        <w:rPr>
          <w:rFonts w:ascii="Arial" w:hAnsi="Arial" w:cs="Arial"/>
        </w:rPr>
        <w:t xml:space="preserve"> (‘the Code of Conduct’). </w:t>
      </w:r>
    </w:p>
    <w:p w:rsidR="004C52D0" w:rsidRPr="001D55A2" w:rsidRDefault="004C52D0" w:rsidP="004C52D0">
      <w:pPr>
        <w:spacing w:before="240"/>
        <w:rPr>
          <w:rFonts w:ascii="Arial" w:hAnsi="Arial" w:cs="Arial"/>
          <w:b/>
        </w:rPr>
      </w:pPr>
      <w:r w:rsidRPr="001D55A2">
        <w:rPr>
          <w:rFonts w:ascii="Arial" w:hAnsi="Arial" w:cs="Arial"/>
          <w:b/>
        </w:rPr>
        <w:t xml:space="preserve">Section </w:t>
      </w:r>
      <w:r>
        <w:rPr>
          <w:rFonts w:ascii="Arial" w:hAnsi="Arial" w:cs="Arial"/>
          <w:b/>
        </w:rPr>
        <w:t>2</w:t>
      </w:r>
      <w:r w:rsidR="00E82EE6">
        <w:rPr>
          <w:rFonts w:ascii="Arial" w:hAnsi="Arial" w:cs="Arial"/>
          <w:b/>
        </w:rPr>
        <w:t>—</w:t>
      </w:r>
      <w:r>
        <w:rPr>
          <w:rFonts w:ascii="Arial" w:hAnsi="Arial" w:cs="Arial"/>
          <w:b/>
        </w:rPr>
        <w:t>Commencement</w:t>
      </w:r>
    </w:p>
    <w:p w:rsidR="004C52D0" w:rsidRPr="001D55A2" w:rsidRDefault="00EF7C92" w:rsidP="00E82EE6">
      <w:pPr>
        <w:spacing w:before="120"/>
        <w:rPr>
          <w:rFonts w:ascii="Arial" w:hAnsi="Arial" w:cs="Arial"/>
        </w:rPr>
      </w:pPr>
      <w:r>
        <w:rPr>
          <w:rFonts w:ascii="Arial" w:hAnsi="Arial" w:cs="Arial"/>
        </w:rPr>
        <w:t>The Code of Conduct commence</w:t>
      </w:r>
      <w:r w:rsidR="00D945C9">
        <w:rPr>
          <w:rFonts w:ascii="Arial" w:hAnsi="Arial" w:cs="Arial"/>
        </w:rPr>
        <w:t>s</w:t>
      </w:r>
      <w:r>
        <w:rPr>
          <w:rFonts w:ascii="Arial" w:hAnsi="Arial" w:cs="Arial"/>
        </w:rPr>
        <w:t xml:space="preserve"> on </w:t>
      </w:r>
      <w:r w:rsidR="008F4AC3">
        <w:rPr>
          <w:rFonts w:ascii="Arial" w:hAnsi="Arial" w:cs="Arial"/>
        </w:rPr>
        <w:t>23 February 2018</w:t>
      </w:r>
      <w:r>
        <w:rPr>
          <w:rFonts w:ascii="Arial" w:hAnsi="Arial" w:cs="Arial"/>
        </w:rPr>
        <w:t xml:space="preserve">. </w:t>
      </w:r>
    </w:p>
    <w:p w:rsidR="00EA3AD6" w:rsidRPr="001D55A2" w:rsidRDefault="00EA3AD6" w:rsidP="00EA3AD6">
      <w:pPr>
        <w:spacing w:before="240"/>
        <w:rPr>
          <w:rFonts w:ascii="Arial" w:hAnsi="Arial" w:cs="Arial"/>
          <w:b/>
        </w:rPr>
      </w:pPr>
      <w:r w:rsidRPr="001D55A2">
        <w:rPr>
          <w:rFonts w:ascii="Arial" w:hAnsi="Arial" w:cs="Arial"/>
          <w:b/>
        </w:rPr>
        <w:t xml:space="preserve">Section </w:t>
      </w:r>
      <w:r>
        <w:rPr>
          <w:rFonts w:ascii="Arial" w:hAnsi="Arial" w:cs="Arial"/>
          <w:b/>
        </w:rPr>
        <w:t>3—Authority</w:t>
      </w:r>
    </w:p>
    <w:p w:rsidR="00EA3AD6" w:rsidRPr="001D55A2" w:rsidRDefault="00EA3AD6" w:rsidP="00EA3AD6">
      <w:pPr>
        <w:spacing w:before="120"/>
        <w:rPr>
          <w:rFonts w:ascii="Arial" w:hAnsi="Arial" w:cs="Arial"/>
        </w:rPr>
      </w:pPr>
      <w:r>
        <w:rPr>
          <w:rFonts w:ascii="Arial" w:hAnsi="Arial" w:cs="Arial"/>
        </w:rPr>
        <w:t xml:space="preserve">The Code of Conduct </w:t>
      </w:r>
      <w:r w:rsidRPr="00EA3AD6">
        <w:rPr>
          <w:rFonts w:ascii="Arial" w:hAnsi="Arial" w:cs="Arial"/>
        </w:rPr>
        <w:t xml:space="preserve">is </w:t>
      </w:r>
      <w:r w:rsidR="00DC13EC">
        <w:rPr>
          <w:rFonts w:ascii="Arial" w:hAnsi="Arial" w:cs="Arial"/>
        </w:rPr>
        <w:t>established</w:t>
      </w:r>
      <w:r w:rsidR="00DC13EC" w:rsidRPr="00EA3AD6">
        <w:rPr>
          <w:rFonts w:ascii="Arial" w:hAnsi="Arial" w:cs="Arial"/>
        </w:rPr>
        <w:t xml:space="preserve"> </w:t>
      </w:r>
      <w:r w:rsidR="00B2597D">
        <w:rPr>
          <w:rFonts w:ascii="Arial" w:hAnsi="Arial" w:cs="Arial"/>
        </w:rPr>
        <w:t xml:space="preserve">by the Trans-Tasman IP Attorneys Board (‘the Board’) </w:t>
      </w:r>
      <w:r w:rsidRPr="00EA3AD6">
        <w:rPr>
          <w:rFonts w:ascii="Arial" w:hAnsi="Arial" w:cs="Arial"/>
        </w:rPr>
        <w:t xml:space="preserve">under </w:t>
      </w:r>
      <w:r w:rsidR="00DC13EC">
        <w:rPr>
          <w:rFonts w:ascii="Arial" w:hAnsi="Arial" w:cs="Arial"/>
        </w:rPr>
        <w:t xml:space="preserve">subparagraph 228(2)(r)(ia) of </w:t>
      </w:r>
      <w:r w:rsidRPr="00EA3AD6">
        <w:rPr>
          <w:rFonts w:ascii="Arial" w:hAnsi="Arial" w:cs="Arial"/>
        </w:rPr>
        <w:t xml:space="preserve">the </w:t>
      </w:r>
      <w:r w:rsidRPr="00EA3AD6">
        <w:rPr>
          <w:rFonts w:ascii="Arial" w:hAnsi="Arial" w:cs="Arial"/>
          <w:i/>
          <w:iCs/>
        </w:rPr>
        <w:t>Patents Act 1990</w:t>
      </w:r>
      <w:r w:rsidRPr="00EA3AD6">
        <w:rPr>
          <w:rFonts w:ascii="Arial" w:hAnsi="Arial" w:cs="Arial"/>
        </w:rPr>
        <w:t xml:space="preserve"> (Cth) and </w:t>
      </w:r>
      <w:r w:rsidR="00DC13EC">
        <w:rPr>
          <w:rFonts w:ascii="Arial" w:hAnsi="Arial" w:cs="Arial"/>
        </w:rPr>
        <w:t xml:space="preserve">subparagraph 231(2)(ha)(ia) of </w:t>
      </w:r>
      <w:r w:rsidRPr="00EA3AD6">
        <w:rPr>
          <w:rFonts w:ascii="Arial" w:hAnsi="Arial" w:cs="Arial"/>
        </w:rPr>
        <w:t xml:space="preserve">the </w:t>
      </w:r>
      <w:r w:rsidRPr="00EA3AD6">
        <w:rPr>
          <w:rFonts w:ascii="Arial" w:hAnsi="Arial" w:cs="Arial"/>
          <w:i/>
          <w:iCs/>
        </w:rPr>
        <w:t>Trade Marks Act 1995</w:t>
      </w:r>
      <w:r w:rsidRPr="00EA3AD6">
        <w:rPr>
          <w:rFonts w:ascii="Arial" w:hAnsi="Arial" w:cs="Arial"/>
          <w:iCs/>
        </w:rPr>
        <w:t xml:space="preserve"> (Cth), and in accordance with the </w:t>
      </w:r>
      <w:r w:rsidRPr="00EA3AD6">
        <w:rPr>
          <w:rFonts w:ascii="Arial" w:hAnsi="Arial" w:cs="Arial"/>
          <w:i/>
          <w:iCs/>
        </w:rPr>
        <w:t>Arrangement between the Government of Australia and the Government of New Zealand Relating to Trans-Tasman Regulation of Patent Attorneys</w:t>
      </w:r>
      <w:r w:rsidRPr="00EA3AD6">
        <w:rPr>
          <w:rFonts w:ascii="Arial" w:hAnsi="Arial" w:cs="Arial"/>
          <w:iCs/>
        </w:rPr>
        <w:t xml:space="preserve"> signed in March 2013</w:t>
      </w:r>
      <w:r w:rsidR="00B2597D">
        <w:rPr>
          <w:rFonts w:ascii="Arial" w:hAnsi="Arial" w:cs="Arial"/>
          <w:iCs/>
        </w:rPr>
        <w:t xml:space="preserve"> (‘the Trans-Tasman Arrangement’)</w:t>
      </w:r>
      <w:r w:rsidR="004A75BD">
        <w:rPr>
          <w:rFonts w:ascii="Arial" w:hAnsi="Arial" w:cs="Arial"/>
          <w:iCs/>
        </w:rPr>
        <w:t xml:space="preserve">. The Trans-Tasman Arrangement </w:t>
      </w:r>
      <w:r w:rsidR="004A75BD">
        <w:rPr>
          <w:rFonts w:ascii="Arial" w:hAnsi="Arial" w:cs="Arial"/>
        </w:rPr>
        <w:t xml:space="preserve">gives effect to a joint regulatory framework for patent attorneys to register and practice between Australia and New Zealand. That framework is implemented in New Zealand by </w:t>
      </w:r>
      <w:r w:rsidR="00DC13EC">
        <w:rPr>
          <w:rFonts w:ascii="Arial" w:hAnsi="Arial" w:cs="Arial"/>
        </w:rPr>
        <w:t xml:space="preserve">Part 6 of </w:t>
      </w:r>
      <w:r w:rsidR="004A75BD">
        <w:rPr>
          <w:rFonts w:ascii="Arial" w:hAnsi="Arial" w:cs="Arial"/>
          <w:iCs/>
        </w:rPr>
        <w:t>t</w:t>
      </w:r>
      <w:r w:rsidR="00FC35A5" w:rsidRPr="002040C5">
        <w:rPr>
          <w:rFonts w:ascii="Arial" w:hAnsi="Arial" w:cs="Arial"/>
        </w:rPr>
        <w:t xml:space="preserve">he </w:t>
      </w:r>
      <w:r w:rsidR="00FC35A5" w:rsidRPr="002040C5">
        <w:rPr>
          <w:rFonts w:ascii="Arial" w:hAnsi="Arial" w:cs="Arial"/>
          <w:i/>
        </w:rPr>
        <w:t>Patents Act 2013</w:t>
      </w:r>
      <w:r w:rsidR="00FC35A5" w:rsidRPr="002040C5">
        <w:rPr>
          <w:rFonts w:ascii="Arial" w:hAnsi="Arial" w:cs="Arial"/>
        </w:rPr>
        <w:t xml:space="preserve"> (NZ)</w:t>
      </w:r>
      <w:r w:rsidR="00FC35A5">
        <w:rPr>
          <w:rFonts w:ascii="Arial" w:hAnsi="Arial" w:cs="Arial"/>
        </w:rPr>
        <w:t>.</w:t>
      </w:r>
    </w:p>
    <w:p w:rsidR="00973990" w:rsidRPr="001D55A2" w:rsidRDefault="00973990" w:rsidP="00973990">
      <w:pPr>
        <w:spacing w:before="240"/>
        <w:rPr>
          <w:rFonts w:ascii="Arial" w:hAnsi="Arial" w:cs="Arial"/>
          <w:b/>
        </w:rPr>
      </w:pPr>
      <w:r w:rsidRPr="001D55A2">
        <w:rPr>
          <w:rFonts w:ascii="Arial" w:hAnsi="Arial" w:cs="Arial"/>
          <w:b/>
        </w:rPr>
        <w:t xml:space="preserve">Section </w:t>
      </w:r>
      <w:r>
        <w:rPr>
          <w:rFonts w:ascii="Arial" w:hAnsi="Arial" w:cs="Arial"/>
          <w:b/>
        </w:rPr>
        <w:t>4—Definitions</w:t>
      </w:r>
    </w:p>
    <w:p w:rsidR="00973990" w:rsidRPr="001D55A2" w:rsidRDefault="00973990" w:rsidP="00973990">
      <w:pPr>
        <w:spacing w:before="120"/>
        <w:rPr>
          <w:rFonts w:ascii="Arial" w:hAnsi="Arial" w:cs="Arial"/>
        </w:rPr>
      </w:pPr>
      <w:r>
        <w:rPr>
          <w:rFonts w:ascii="Arial" w:hAnsi="Arial" w:cs="Arial"/>
        </w:rPr>
        <w:t xml:space="preserve">The Code of Conduct </w:t>
      </w:r>
      <w:r w:rsidR="00FC35A5">
        <w:rPr>
          <w:rFonts w:ascii="Arial" w:hAnsi="Arial" w:cs="Arial"/>
        </w:rPr>
        <w:t>defines key terms used in it</w:t>
      </w:r>
      <w:r>
        <w:rPr>
          <w:rFonts w:ascii="Arial" w:hAnsi="Arial" w:cs="Arial"/>
        </w:rPr>
        <w:t xml:space="preserve">. </w:t>
      </w:r>
    </w:p>
    <w:p w:rsidR="00747EF3" w:rsidRPr="001D55A2" w:rsidRDefault="00747EF3" w:rsidP="00747EF3">
      <w:pPr>
        <w:spacing w:before="240"/>
        <w:rPr>
          <w:rFonts w:ascii="Arial" w:hAnsi="Arial" w:cs="Arial"/>
          <w:b/>
        </w:rPr>
      </w:pPr>
      <w:r w:rsidRPr="001D55A2">
        <w:rPr>
          <w:rFonts w:ascii="Arial" w:hAnsi="Arial" w:cs="Arial"/>
          <w:b/>
        </w:rPr>
        <w:t xml:space="preserve">Section </w:t>
      </w:r>
      <w:r>
        <w:rPr>
          <w:rFonts w:ascii="Arial" w:hAnsi="Arial" w:cs="Arial"/>
          <w:b/>
        </w:rPr>
        <w:t>5</w:t>
      </w:r>
      <w:r w:rsidR="00E82EE6">
        <w:rPr>
          <w:rFonts w:ascii="Arial" w:hAnsi="Arial" w:cs="Arial"/>
          <w:b/>
        </w:rPr>
        <w:t>—</w:t>
      </w:r>
      <w:r>
        <w:rPr>
          <w:rFonts w:ascii="Arial" w:hAnsi="Arial" w:cs="Arial"/>
          <w:b/>
        </w:rPr>
        <w:t>Former Code of Conduct</w:t>
      </w:r>
    </w:p>
    <w:p w:rsidR="00747EF3" w:rsidRPr="001D55A2" w:rsidRDefault="007D6B50" w:rsidP="00E82EE6">
      <w:pPr>
        <w:spacing w:before="120"/>
        <w:rPr>
          <w:rFonts w:ascii="Arial" w:hAnsi="Arial" w:cs="Arial"/>
        </w:rPr>
      </w:pPr>
      <w:r>
        <w:rPr>
          <w:rFonts w:ascii="Arial" w:hAnsi="Arial" w:cs="Arial"/>
        </w:rPr>
        <w:t xml:space="preserve">Until the </w:t>
      </w:r>
      <w:r w:rsidR="00FC35A5">
        <w:rPr>
          <w:rFonts w:ascii="Arial" w:hAnsi="Arial" w:cs="Arial"/>
        </w:rPr>
        <w:t>Code of Conduct</w:t>
      </w:r>
      <w:r w:rsidR="00FC35A5" w:rsidRPr="001D55A2">
        <w:rPr>
          <w:rFonts w:ascii="Arial" w:hAnsi="Arial" w:cs="Arial"/>
        </w:rPr>
        <w:t xml:space="preserve"> </w:t>
      </w:r>
      <w:r>
        <w:rPr>
          <w:rFonts w:ascii="Arial" w:hAnsi="Arial" w:cs="Arial"/>
        </w:rPr>
        <w:t xml:space="preserve">commences, the operative standard of practice </w:t>
      </w:r>
      <w:r w:rsidR="004F588B">
        <w:rPr>
          <w:rFonts w:ascii="Arial" w:hAnsi="Arial" w:cs="Arial"/>
        </w:rPr>
        <w:t xml:space="preserve">for registered attorneys </w:t>
      </w:r>
      <w:r>
        <w:rPr>
          <w:rFonts w:ascii="Arial" w:hAnsi="Arial" w:cs="Arial"/>
        </w:rPr>
        <w:t xml:space="preserve">will continue to be the </w:t>
      </w:r>
      <w:r w:rsidR="00322797" w:rsidRPr="007D6B50">
        <w:rPr>
          <w:rFonts w:ascii="Arial" w:hAnsi="Arial" w:cs="Arial"/>
          <w:i/>
        </w:rPr>
        <w:t>Code of Conduct for Patent and Trade Marks Attorneys 201</w:t>
      </w:r>
      <w:r w:rsidR="00322797">
        <w:rPr>
          <w:rFonts w:ascii="Arial" w:hAnsi="Arial" w:cs="Arial"/>
          <w:i/>
        </w:rPr>
        <w:t>3</w:t>
      </w:r>
      <w:r w:rsidR="007C60A2">
        <w:rPr>
          <w:rFonts w:ascii="Arial" w:hAnsi="Arial" w:cs="Arial"/>
        </w:rPr>
        <w:t>.</w:t>
      </w:r>
      <w:r w:rsidR="00896450">
        <w:rPr>
          <w:rFonts w:ascii="Arial" w:hAnsi="Arial" w:cs="Arial"/>
        </w:rPr>
        <w:t xml:space="preserve"> Schedule 1 repeals that instrument</w:t>
      </w:r>
      <w:r w:rsidR="00FC35A5">
        <w:rPr>
          <w:rFonts w:ascii="Arial" w:hAnsi="Arial" w:cs="Arial"/>
        </w:rPr>
        <w:t xml:space="preserve"> upon commencement of the Code of Conduct</w:t>
      </w:r>
      <w:r w:rsidR="00896450">
        <w:rPr>
          <w:rFonts w:ascii="Arial" w:hAnsi="Arial" w:cs="Arial"/>
        </w:rPr>
        <w:t>.</w:t>
      </w:r>
    </w:p>
    <w:p w:rsidR="003E2C31" w:rsidRPr="004A7F76" w:rsidRDefault="00BF5A2C" w:rsidP="004A7F76">
      <w:pPr>
        <w:spacing w:before="360"/>
        <w:rPr>
          <w:rFonts w:ascii="Arial" w:hAnsi="Arial" w:cs="Arial"/>
          <w:b/>
          <w:i/>
          <w:sz w:val="28"/>
          <w:szCs w:val="28"/>
        </w:rPr>
      </w:pPr>
      <w:r w:rsidRPr="004A7F76">
        <w:rPr>
          <w:rFonts w:ascii="Arial" w:hAnsi="Arial" w:cs="Arial"/>
          <w:b/>
          <w:i/>
          <w:sz w:val="28"/>
          <w:szCs w:val="28"/>
        </w:rPr>
        <w:t>Part 2</w:t>
      </w:r>
      <w:r w:rsidR="00E82EE6" w:rsidRPr="004A7F76">
        <w:rPr>
          <w:rFonts w:ascii="Arial" w:hAnsi="Arial" w:cs="Arial"/>
          <w:b/>
          <w:i/>
          <w:sz w:val="28"/>
          <w:szCs w:val="28"/>
        </w:rPr>
        <w:t>—</w:t>
      </w:r>
      <w:r w:rsidRPr="004A7F76">
        <w:rPr>
          <w:rFonts w:ascii="Arial" w:hAnsi="Arial" w:cs="Arial"/>
          <w:b/>
          <w:i/>
          <w:sz w:val="28"/>
          <w:szCs w:val="28"/>
        </w:rPr>
        <w:t>Overview</w:t>
      </w:r>
    </w:p>
    <w:p w:rsidR="00241D13" w:rsidRPr="001D55A2" w:rsidRDefault="00241D13" w:rsidP="00E82EE6">
      <w:pPr>
        <w:spacing w:before="120"/>
        <w:rPr>
          <w:rFonts w:ascii="Arial" w:hAnsi="Arial" w:cs="Arial"/>
        </w:rPr>
      </w:pPr>
      <w:r w:rsidRPr="001D55A2">
        <w:rPr>
          <w:rFonts w:ascii="Arial" w:hAnsi="Arial" w:cs="Arial"/>
        </w:rPr>
        <w:t xml:space="preserve">Part 2 </w:t>
      </w:r>
      <w:r w:rsidR="007E3D15">
        <w:rPr>
          <w:rFonts w:ascii="Arial" w:hAnsi="Arial" w:cs="Arial"/>
        </w:rPr>
        <w:t xml:space="preserve">explains to </w:t>
      </w:r>
      <w:r w:rsidR="007938E2" w:rsidRPr="001D55A2">
        <w:rPr>
          <w:rFonts w:ascii="Arial" w:hAnsi="Arial" w:cs="Arial"/>
        </w:rPr>
        <w:t>who</w:t>
      </w:r>
      <w:r w:rsidR="007E3D15">
        <w:rPr>
          <w:rFonts w:ascii="Arial" w:hAnsi="Arial" w:cs="Arial"/>
        </w:rPr>
        <w:t>m</w:t>
      </w:r>
      <w:r w:rsidR="007938E2" w:rsidRPr="001D55A2">
        <w:rPr>
          <w:rFonts w:ascii="Arial" w:hAnsi="Arial" w:cs="Arial"/>
        </w:rPr>
        <w:t xml:space="preserve"> the </w:t>
      </w:r>
      <w:r w:rsidR="00952BCF">
        <w:rPr>
          <w:rFonts w:ascii="Arial" w:hAnsi="Arial" w:cs="Arial"/>
        </w:rPr>
        <w:t>Code of Conduct</w:t>
      </w:r>
      <w:r w:rsidR="007938E2" w:rsidRPr="001D55A2">
        <w:rPr>
          <w:rFonts w:ascii="Arial" w:hAnsi="Arial" w:cs="Arial"/>
        </w:rPr>
        <w:t xml:space="preserve"> applies, the objectives of the </w:t>
      </w:r>
      <w:r w:rsidR="00952BCF">
        <w:rPr>
          <w:rFonts w:ascii="Arial" w:hAnsi="Arial" w:cs="Arial"/>
        </w:rPr>
        <w:t>Code of Conduct</w:t>
      </w:r>
      <w:r w:rsidR="00CD4A94">
        <w:rPr>
          <w:rFonts w:ascii="Arial" w:hAnsi="Arial" w:cs="Arial"/>
        </w:rPr>
        <w:t xml:space="preserve">, the guidelines for interpreting the Code of Conduct, </w:t>
      </w:r>
      <w:r w:rsidR="007938E2" w:rsidRPr="001D55A2">
        <w:rPr>
          <w:rFonts w:ascii="Arial" w:hAnsi="Arial" w:cs="Arial"/>
        </w:rPr>
        <w:t xml:space="preserve">the effect of the </w:t>
      </w:r>
      <w:r w:rsidR="00952BCF">
        <w:rPr>
          <w:rFonts w:ascii="Arial" w:hAnsi="Arial" w:cs="Arial"/>
        </w:rPr>
        <w:t>Code of Conduct</w:t>
      </w:r>
      <w:r w:rsidR="007938E2" w:rsidRPr="001D55A2">
        <w:rPr>
          <w:rFonts w:ascii="Arial" w:hAnsi="Arial" w:cs="Arial"/>
        </w:rPr>
        <w:t xml:space="preserve"> on the rights of </w:t>
      </w:r>
      <w:r w:rsidR="002303F1" w:rsidRPr="001D55A2">
        <w:rPr>
          <w:rFonts w:ascii="Arial" w:hAnsi="Arial" w:cs="Arial"/>
        </w:rPr>
        <w:t xml:space="preserve">registered </w:t>
      </w:r>
      <w:r w:rsidR="00373B6A" w:rsidRPr="001D55A2">
        <w:rPr>
          <w:rFonts w:ascii="Arial" w:hAnsi="Arial" w:cs="Arial"/>
        </w:rPr>
        <w:t xml:space="preserve">attorneys’ </w:t>
      </w:r>
      <w:r w:rsidR="007938E2" w:rsidRPr="001D55A2">
        <w:rPr>
          <w:rFonts w:ascii="Arial" w:hAnsi="Arial" w:cs="Arial"/>
        </w:rPr>
        <w:t>clients</w:t>
      </w:r>
      <w:r w:rsidR="00CD4A94">
        <w:rPr>
          <w:rFonts w:ascii="Arial" w:hAnsi="Arial" w:cs="Arial"/>
        </w:rPr>
        <w:t>, and the administration of the Code of Conduct</w:t>
      </w:r>
      <w:r w:rsidR="007938E2" w:rsidRPr="001D55A2">
        <w:rPr>
          <w:rFonts w:ascii="Arial" w:hAnsi="Arial" w:cs="Arial"/>
        </w:rPr>
        <w:t>.</w:t>
      </w:r>
    </w:p>
    <w:p w:rsidR="0066239F" w:rsidRPr="001D55A2" w:rsidRDefault="007938E2" w:rsidP="004D586E">
      <w:pPr>
        <w:spacing w:before="240"/>
        <w:rPr>
          <w:rFonts w:ascii="Arial" w:hAnsi="Arial" w:cs="Arial"/>
          <w:b/>
        </w:rPr>
      </w:pPr>
      <w:r w:rsidRPr="00CD4A94">
        <w:rPr>
          <w:rFonts w:ascii="Arial" w:hAnsi="Arial" w:cs="Arial"/>
          <w:b/>
        </w:rPr>
        <w:t>Section</w:t>
      </w:r>
      <w:r w:rsidR="001B1939" w:rsidRPr="00CD4A94">
        <w:rPr>
          <w:rFonts w:ascii="Arial" w:hAnsi="Arial" w:cs="Arial"/>
          <w:b/>
        </w:rPr>
        <w:t xml:space="preserve"> </w:t>
      </w:r>
      <w:r w:rsidR="005131F2" w:rsidRPr="00CD4A94">
        <w:rPr>
          <w:rFonts w:ascii="Arial" w:hAnsi="Arial" w:cs="Arial"/>
          <w:b/>
        </w:rPr>
        <w:t>6</w:t>
      </w:r>
      <w:r w:rsidR="00E82EE6" w:rsidRPr="00CD4A94">
        <w:rPr>
          <w:rFonts w:ascii="Arial" w:hAnsi="Arial" w:cs="Arial"/>
          <w:b/>
        </w:rPr>
        <w:t>—</w:t>
      </w:r>
      <w:r w:rsidR="007B0F66" w:rsidRPr="00CD4A94">
        <w:rPr>
          <w:rFonts w:ascii="Arial" w:hAnsi="Arial" w:cs="Arial"/>
          <w:b/>
        </w:rPr>
        <w:t xml:space="preserve">Application of </w:t>
      </w:r>
      <w:r w:rsidR="00EB19D2" w:rsidRPr="00CD4A94">
        <w:rPr>
          <w:rFonts w:ascii="Arial" w:hAnsi="Arial" w:cs="Arial"/>
          <w:b/>
        </w:rPr>
        <w:t>code</w:t>
      </w:r>
    </w:p>
    <w:p w:rsidR="0066239F" w:rsidRPr="001D55A2" w:rsidRDefault="006162DE" w:rsidP="00E82EE6">
      <w:pPr>
        <w:spacing w:before="120"/>
        <w:rPr>
          <w:rFonts w:ascii="Arial" w:hAnsi="Arial" w:cs="Arial"/>
        </w:rPr>
      </w:pPr>
      <w:r w:rsidRPr="001D55A2">
        <w:rPr>
          <w:rFonts w:ascii="Arial" w:hAnsi="Arial" w:cs="Arial"/>
        </w:rPr>
        <w:t>Th</w:t>
      </w:r>
      <w:r w:rsidR="00BB4565" w:rsidRPr="001D55A2">
        <w:rPr>
          <w:rFonts w:ascii="Arial" w:hAnsi="Arial" w:cs="Arial"/>
        </w:rPr>
        <w:t>e</w:t>
      </w:r>
      <w:r w:rsidRPr="001D55A2">
        <w:rPr>
          <w:rFonts w:ascii="Arial" w:hAnsi="Arial" w:cs="Arial"/>
        </w:rPr>
        <w:t xml:space="preserve"> </w:t>
      </w:r>
      <w:r w:rsidR="00952BCF">
        <w:rPr>
          <w:rFonts w:ascii="Arial" w:hAnsi="Arial" w:cs="Arial"/>
        </w:rPr>
        <w:t>Code of Conduct</w:t>
      </w:r>
      <w:r w:rsidRPr="001D55A2">
        <w:rPr>
          <w:rFonts w:ascii="Arial" w:hAnsi="Arial" w:cs="Arial"/>
        </w:rPr>
        <w:t xml:space="preserve"> </w:t>
      </w:r>
      <w:r w:rsidR="00180DF2" w:rsidRPr="00180DF2">
        <w:rPr>
          <w:rFonts w:ascii="Arial" w:hAnsi="Arial" w:cs="Arial"/>
        </w:rPr>
        <w:t>applies t</w:t>
      </w:r>
      <w:r w:rsidR="00180DF2" w:rsidRPr="00180DF2">
        <w:rPr>
          <w:rFonts w:ascii="Arial" w:hAnsi="Arial" w:cs="Arial"/>
          <w:spacing w:val="1"/>
        </w:rPr>
        <w:t>o a registered patent attorney and a re</w:t>
      </w:r>
      <w:r w:rsidR="00CD4A94">
        <w:rPr>
          <w:rFonts w:ascii="Arial" w:hAnsi="Arial" w:cs="Arial"/>
          <w:spacing w:val="1"/>
        </w:rPr>
        <w:t xml:space="preserve">gistered trade marks attorney. </w:t>
      </w:r>
      <w:r w:rsidR="00180DF2" w:rsidRPr="00180DF2">
        <w:rPr>
          <w:rFonts w:ascii="Arial" w:hAnsi="Arial" w:cs="Arial"/>
          <w:spacing w:val="1"/>
        </w:rPr>
        <w:t xml:space="preserve">These terms are explained in the </w:t>
      </w:r>
      <w:r w:rsidR="00180DF2" w:rsidRPr="00180DF2">
        <w:rPr>
          <w:rFonts w:ascii="Arial" w:hAnsi="Arial" w:cs="Arial"/>
          <w:i/>
          <w:spacing w:val="2"/>
        </w:rPr>
        <w:t>P</w:t>
      </w:r>
      <w:r w:rsidR="00180DF2" w:rsidRPr="00180DF2">
        <w:rPr>
          <w:rFonts w:ascii="Arial" w:hAnsi="Arial" w:cs="Arial"/>
          <w:i/>
          <w:spacing w:val="-1"/>
        </w:rPr>
        <w:t>a</w:t>
      </w:r>
      <w:r w:rsidR="00180DF2" w:rsidRPr="00180DF2">
        <w:rPr>
          <w:rFonts w:ascii="Arial" w:hAnsi="Arial" w:cs="Arial"/>
          <w:i/>
        </w:rPr>
        <w:t xml:space="preserve">tents </w:t>
      </w:r>
      <w:r w:rsidR="00180DF2" w:rsidRPr="00180DF2">
        <w:rPr>
          <w:rFonts w:ascii="Arial" w:hAnsi="Arial" w:cs="Arial"/>
          <w:i/>
          <w:spacing w:val="-3"/>
        </w:rPr>
        <w:t>A</w:t>
      </w:r>
      <w:r w:rsidR="00180DF2" w:rsidRPr="00180DF2">
        <w:rPr>
          <w:rFonts w:ascii="Arial" w:hAnsi="Arial" w:cs="Arial"/>
          <w:i/>
          <w:spacing w:val="-1"/>
        </w:rPr>
        <w:t>c</w:t>
      </w:r>
      <w:r w:rsidR="00180DF2" w:rsidRPr="00180DF2">
        <w:rPr>
          <w:rFonts w:ascii="Arial" w:hAnsi="Arial" w:cs="Arial"/>
          <w:i/>
        </w:rPr>
        <w:t>t 1990</w:t>
      </w:r>
      <w:r w:rsidR="00180DF2" w:rsidRPr="00180DF2">
        <w:rPr>
          <w:rFonts w:ascii="Arial" w:hAnsi="Arial" w:cs="Arial"/>
        </w:rPr>
        <w:t xml:space="preserve"> (Cth) and the </w:t>
      </w:r>
      <w:r w:rsidR="00180DF2" w:rsidRPr="00180DF2">
        <w:rPr>
          <w:rFonts w:ascii="Arial" w:hAnsi="Arial" w:cs="Arial"/>
          <w:i/>
        </w:rPr>
        <w:t>Patents Act 2013</w:t>
      </w:r>
      <w:r w:rsidR="00180DF2" w:rsidRPr="00180DF2">
        <w:rPr>
          <w:rFonts w:ascii="Arial" w:hAnsi="Arial" w:cs="Arial"/>
        </w:rPr>
        <w:t xml:space="preserve"> (NZ)</w:t>
      </w:r>
      <w:r w:rsidR="00180DF2" w:rsidRPr="00180DF2">
        <w:rPr>
          <w:rFonts w:ascii="Arial" w:hAnsi="Arial" w:cs="Arial"/>
          <w:spacing w:val="2"/>
          <w:szCs w:val="22"/>
        </w:rPr>
        <w:t xml:space="preserve">, and in the </w:t>
      </w:r>
      <w:r w:rsidR="00180DF2" w:rsidRPr="00180DF2">
        <w:rPr>
          <w:rFonts w:ascii="Arial" w:hAnsi="Arial" w:cs="Arial"/>
          <w:i/>
        </w:rPr>
        <w:t>Tr</w:t>
      </w:r>
      <w:r w:rsidR="00180DF2" w:rsidRPr="00180DF2">
        <w:rPr>
          <w:rFonts w:ascii="Arial" w:hAnsi="Arial" w:cs="Arial"/>
          <w:i/>
          <w:spacing w:val="-1"/>
        </w:rPr>
        <w:t>a</w:t>
      </w:r>
      <w:r w:rsidR="00180DF2" w:rsidRPr="00180DF2">
        <w:rPr>
          <w:rFonts w:ascii="Arial" w:hAnsi="Arial" w:cs="Arial"/>
          <w:i/>
          <w:spacing w:val="1"/>
        </w:rPr>
        <w:t>d</w:t>
      </w:r>
      <w:r w:rsidR="00180DF2" w:rsidRPr="00180DF2">
        <w:rPr>
          <w:rFonts w:ascii="Arial" w:hAnsi="Arial" w:cs="Arial"/>
          <w:i/>
        </w:rPr>
        <w:t>e</w:t>
      </w:r>
      <w:r w:rsidR="00180DF2" w:rsidRPr="00180DF2">
        <w:rPr>
          <w:rFonts w:ascii="Arial" w:hAnsi="Arial" w:cs="Arial"/>
          <w:i/>
          <w:spacing w:val="-1"/>
        </w:rPr>
        <w:t xml:space="preserve"> </w:t>
      </w:r>
      <w:r w:rsidR="00180DF2" w:rsidRPr="00180DF2">
        <w:rPr>
          <w:rFonts w:ascii="Arial" w:hAnsi="Arial" w:cs="Arial"/>
          <w:i/>
        </w:rPr>
        <w:t>M</w:t>
      </w:r>
      <w:r w:rsidR="00180DF2" w:rsidRPr="00180DF2">
        <w:rPr>
          <w:rFonts w:ascii="Arial" w:hAnsi="Arial" w:cs="Arial"/>
          <w:i/>
          <w:spacing w:val="-1"/>
        </w:rPr>
        <w:t>a</w:t>
      </w:r>
      <w:r w:rsidR="00180DF2" w:rsidRPr="00180DF2">
        <w:rPr>
          <w:rFonts w:ascii="Arial" w:hAnsi="Arial" w:cs="Arial"/>
          <w:i/>
        </w:rPr>
        <w:t>rks</w:t>
      </w:r>
      <w:r w:rsidR="00180DF2" w:rsidRPr="00180DF2">
        <w:rPr>
          <w:rFonts w:ascii="Arial" w:hAnsi="Arial" w:cs="Arial"/>
          <w:i/>
          <w:spacing w:val="2"/>
        </w:rPr>
        <w:t xml:space="preserve"> </w:t>
      </w:r>
      <w:r w:rsidR="00180DF2" w:rsidRPr="00180DF2">
        <w:rPr>
          <w:rFonts w:ascii="Arial" w:hAnsi="Arial" w:cs="Arial"/>
          <w:i/>
          <w:spacing w:val="-3"/>
        </w:rPr>
        <w:t>A</w:t>
      </w:r>
      <w:r w:rsidR="00180DF2" w:rsidRPr="00180DF2">
        <w:rPr>
          <w:rFonts w:ascii="Arial" w:hAnsi="Arial" w:cs="Arial"/>
          <w:i/>
          <w:spacing w:val="-1"/>
        </w:rPr>
        <w:t>c</w:t>
      </w:r>
      <w:r w:rsidR="00180DF2" w:rsidRPr="00180DF2">
        <w:rPr>
          <w:rFonts w:ascii="Arial" w:hAnsi="Arial" w:cs="Arial"/>
          <w:i/>
        </w:rPr>
        <w:t>t 1995</w:t>
      </w:r>
      <w:r w:rsidR="00180DF2" w:rsidRPr="00180DF2">
        <w:rPr>
          <w:rFonts w:ascii="Arial" w:hAnsi="Arial" w:cs="Arial"/>
        </w:rPr>
        <w:t xml:space="preserve"> (Cth), </w:t>
      </w:r>
      <w:r w:rsidR="00CD4A94">
        <w:rPr>
          <w:rFonts w:ascii="Arial" w:hAnsi="Arial" w:cs="Arial"/>
          <w:spacing w:val="2"/>
          <w:szCs w:val="22"/>
        </w:rPr>
        <w:t xml:space="preserve">respectively. </w:t>
      </w:r>
    </w:p>
    <w:p w:rsidR="0066239F" w:rsidRPr="001D55A2" w:rsidRDefault="005131F2" w:rsidP="004D586E">
      <w:pPr>
        <w:spacing w:before="240"/>
        <w:rPr>
          <w:rFonts w:ascii="Arial" w:hAnsi="Arial" w:cs="Arial"/>
          <w:b/>
        </w:rPr>
      </w:pPr>
      <w:r w:rsidRPr="001D55A2">
        <w:rPr>
          <w:rFonts w:ascii="Arial" w:hAnsi="Arial" w:cs="Arial"/>
          <w:b/>
        </w:rPr>
        <w:t>Section 7</w:t>
      </w:r>
      <w:r w:rsidR="00E82EE6">
        <w:rPr>
          <w:rFonts w:ascii="Arial" w:hAnsi="Arial" w:cs="Arial"/>
          <w:b/>
        </w:rPr>
        <w:t>—</w:t>
      </w:r>
      <w:r w:rsidR="004F6F3F">
        <w:rPr>
          <w:rFonts w:ascii="Arial" w:hAnsi="Arial" w:cs="Arial"/>
          <w:b/>
        </w:rPr>
        <w:t>Objective</w:t>
      </w:r>
      <w:r w:rsidR="00E665AA" w:rsidRPr="001D55A2">
        <w:rPr>
          <w:rFonts w:ascii="Arial" w:hAnsi="Arial" w:cs="Arial"/>
          <w:b/>
        </w:rPr>
        <w:t xml:space="preserve"> of </w:t>
      </w:r>
      <w:r w:rsidR="00065C65" w:rsidRPr="001D55A2">
        <w:rPr>
          <w:rFonts w:ascii="Arial" w:hAnsi="Arial" w:cs="Arial"/>
          <w:b/>
        </w:rPr>
        <w:t>code</w:t>
      </w:r>
    </w:p>
    <w:p w:rsidR="0066239F" w:rsidRDefault="00B00FEF" w:rsidP="00E82EE6">
      <w:pPr>
        <w:spacing w:before="120"/>
        <w:rPr>
          <w:rFonts w:ascii="Arial" w:hAnsi="Arial" w:cs="Arial"/>
        </w:rPr>
      </w:pPr>
      <w:r>
        <w:rPr>
          <w:rFonts w:ascii="Arial" w:hAnsi="Arial" w:cs="Arial"/>
        </w:rPr>
        <w:lastRenderedPageBreak/>
        <w:t xml:space="preserve">The Code of Conduct </w:t>
      </w:r>
      <w:r w:rsidRPr="00B00FEF">
        <w:rPr>
          <w:rFonts w:ascii="Arial" w:hAnsi="Arial" w:cs="Arial"/>
        </w:rPr>
        <w:t>explain</w:t>
      </w:r>
      <w:r>
        <w:rPr>
          <w:rFonts w:ascii="Arial" w:hAnsi="Arial" w:cs="Arial"/>
        </w:rPr>
        <w:t>s</w:t>
      </w:r>
      <w:r w:rsidRPr="00B00FEF">
        <w:rPr>
          <w:rFonts w:ascii="Arial" w:hAnsi="Arial" w:cs="Arial"/>
        </w:rPr>
        <w:t xml:space="preserve"> the professional conduct re</w:t>
      </w:r>
      <w:r w:rsidR="00B307DD">
        <w:rPr>
          <w:rFonts w:ascii="Arial" w:hAnsi="Arial" w:cs="Arial"/>
        </w:rPr>
        <w:t xml:space="preserve">quired of </w:t>
      </w:r>
      <w:r w:rsidRPr="00B00FEF">
        <w:rPr>
          <w:rFonts w:ascii="Arial" w:hAnsi="Arial" w:cs="Arial"/>
        </w:rPr>
        <w:t>registered attorney</w:t>
      </w:r>
      <w:r w:rsidR="00B307DD">
        <w:rPr>
          <w:rFonts w:ascii="Arial" w:hAnsi="Arial" w:cs="Arial"/>
        </w:rPr>
        <w:t>s</w:t>
      </w:r>
      <w:r w:rsidRPr="00B00FEF">
        <w:rPr>
          <w:rFonts w:ascii="Arial" w:hAnsi="Arial" w:cs="Arial"/>
        </w:rPr>
        <w:t xml:space="preserve"> by setting out the s</w:t>
      </w:r>
      <w:r w:rsidR="00B307DD">
        <w:rPr>
          <w:rFonts w:ascii="Arial" w:hAnsi="Arial" w:cs="Arial"/>
        </w:rPr>
        <w:t xml:space="preserve">tandards of practice to which </w:t>
      </w:r>
      <w:r w:rsidRPr="00B00FEF">
        <w:rPr>
          <w:rFonts w:ascii="Arial" w:hAnsi="Arial" w:cs="Arial"/>
        </w:rPr>
        <w:t>registered attorney</w:t>
      </w:r>
      <w:r w:rsidR="00B307DD">
        <w:rPr>
          <w:rFonts w:ascii="Arial" w:hAnsi="Arial" w:cs="Arial"/>
        </w:rPr>
        <w:t>s</w:t>
      </w:r>
      <w:r w:rsidRPr="00B00FEF">
        <w:rPr>
          <w:rFonts w:ascii="Arial" w:hAnsi="Arial" w:cs="Arial"/>
        </w:rPr>
        <w:t xml:space="preserve"> </w:t>
      </w:r>
      <w:r w:rsidR="00B307DD">
        <w:rPr>
          <w:rFonts w:ascii="Arial" w:hAnsi="Arial" w:cs="Arial"/>
        </w:rPr>
        <w:t>are</w:t>
      </w:r>
      <w:r w:rsidRPr="00B00FEF">
        <w:rPr>
          <w:rFonts w:ascii="Arial" w:hAnsi="Arial" w:cs="Arial"/>
        </w:rPr>
        <w:t xml:space="preserve"> required to adhere</w:t>
      </w:r>
      <w:r w:rsidRPr="001D55A2">
        <w:rPr>
          <w:rFonts w:ascii="Arial" w:hAnsi="Arial" w:cs="Arial"/>
        </w:rPr>
        <w:t xml:space="preserve"> </w:t>
      </w:r>
      <w:r w:rsidR="004E54D7" w:rsidRPr="001D55A2">
        <w:rPr>
          <w:rFonts w:ascii="Arial" w:hAnsi="Arial" w:cs="Arial"/>
        </w:rPr>
        <w:t xml:space="preserve">in </w:t>
      </w:r>
      <w:r w:rsidR="00B307DD">
        <w:rPr>
          <w:rFonts w:ascii="Arial" w:hAnsi="Arial" w:cs="Arial"/>
        </w:rPr>
        <w:t>their</w:t>
      </w:r>
      <w:r w:rsidR="004E54D7" w:rsidRPr="001D55A2">
        <w:rPr>
          <w:rFonts w:ascii="Arial" w:hAnsi="Arial" w:cs="Arial"/>
        </w:rPr>
        <w:t xml:space="preserve"> dealings with clients, </w:t>
      </w:r>
      <w:r>
        <w:rPr>
          <w:rFonts w:ascii="Arial" w:hAnsi="Arial" w:cs="Arial"/>
        </w:rPr>
        <w:t xml:space="preserve">with </w:t>
      </w:r>
      <w:r w:rsidR="004E54D7" w:rsidRPr="001D55A2">
        <w:rPr>
          <w:rFonts w:ascii="Arial" w:hAnsi="Arial" w:cs="Arial"/>
        </w:rPr>
        <w:t xml:space="preserve">other </w:t>
      </w:r>
      <w:r w:rsidR="00641D88" w:rsidRPr="001D55A2">
        <w:rPr>
          <w:rFonts w:ascii="Arial" w:hAnsi="Arial" w:cs="Arial"/>
        </w:rPr>
        <w:t>professional service providers</w:t>
      </w:r>
      <w:r>
        <w:rPr>
          <w:rFonts w:ascii="Arial" w:hAnsi="Arial" w:cs="Arial"/>
        </w:rPr>
        <w:t>,</w:t>
      </w:r>
      <w:r w:rsidR="004E54D7" w:rsidRPr="001D55A2">
        <w:rPr>
          <w:rFonts w:ascii="Arial" w:hAnsi="Arial" w:cs="Arial"/>
        </w:rPr>
        <w:t xml:space="preserve"> and </w:t>
      </w:r>
      <w:r>
        <w:rPr>
          <w:rFonts w:ascii="Arial" w:hAnsi="Arial" w:cs="Arial"/>
        </w:rPr>
        <w:t xml:space="preserve">with </w:t>
      </w:r>
      <w:r w:rsidR="00345A13">
        <w:rPr>
          <w:rFonts w:ascii="Arial" w:hAnsi="Arial" w:cs="Arial"/>
        </w:rPr>
        <w:t xml:space="preserve">regulatory authorities </w:t>
      </w:r>
      <w:r w:rsidR="004A7F76">
        <w:rPr>
          <w:rFonts w:ascii="Arial" w:hAnsi="Arial" w:cs="Arial"/>
        </w:rPr>
        <w:t>(</w:t>
      </w:r>
      <w:r w:rsidR="00345A13">
        <w:rPr>
          <w:rFonts w:ascii="Arial" w:hAnsi="Arial" w:cs="Arial"/>
        </w:rPr>
        <w:t xml:space="preserve">such as </w:t>
      </w:r>
      <w:r w:rsidR="000823DD" w:rsidRPr="001D55A2">
        <w:rPr>
          <w:rFonts w:ascii="Arial" w:hAnsi="Arial" w:cs="Arial"/>
        </w:rPr>
        <w:t>IP Australia</w:t>
      </w:r>
      <w:r>
        <w:rPr>
          <w:rFonts w:ascii="Arial" w:hAnsi="Arial" w:cs="Arial"/>
        </w:rPr>
        <w:t xml:space="preserve"> and the Intellectual Property Office of New Zealand</w:t>
      </w:r>
      <w:r w:rsidR="004A7F76">
        <w:rPr>
          <w:rFonts w:ascii="Arial" w:hAnsi="Arial" w:cs="Arial"/>
        </w:rPr>
        <w:t>)</w:t>
      </w:r>
      <w:r w:rsidR="00A45A15" w:rsidRPr="001D55A2">
        <w:rPr>
          <w:rFonts w:ascii="Arial" w:hAnsi="Arial" w:cs="Arial"/>
        </w:rPr>
        <w:t>.</w:t>
      </w:r>
      <w:r w:rsidR="0001179C">
        <w:rPr>
          <w:rFonts w:ascii="Arial" w:hAnsi="Arial" w:cs="Arial"/>
        </w:rPr>
        <w:t xml:space="preserve"> </w:t>
      </w:r>
    </w:p>
    <w:p w:rsidR="00B2597D" w:rsidRPr="001D55A2" w:rsidRDefault="00B2597D" w:rsidP="00B2597D">
      <w:pPr>
        <w:spacing w:before="240"/>
        <w:rPr>
          <w:rFonts w:ascii="Arial" w:hAnsi="Arial" w:cs="Arial"/>
          <w:b/>
        </w:rPr>
      </w:pPr>
      <w:r>
        <w:rPr>
          <w:rFonts w:ascii="Arial" w:hAnsi="Arial" w:cs="Arial"/>
          <w:b/>
        </w:rPr>
        <w:t>Section 8—Guidelines to</w:t>
      </w:r>
      <w:r w:rsidRPr="001D55A2">
        <w:rPr>
          <w:rFonts w:ascii="Arial" w:hAnsi="Arial" w:cs="Arial"/>
          <w:b/>
        </w:rPr>
        <w:t xml:space="preserve"> code</w:t>
      </w:r>
    </w:p>
    <w:p w:rsidR="00B2597D" w:rsidRDefault="00B2597D" w:rsidP="00B2597D">
      <w:pPr>
        <w:spacing w:before="120"/>
        <w:rPr>
          <w:rFonts w:ascii="Arial" w:hAnsi="Arial" w:cs="Arial"/>
        </w:rPr>
      </w:pPr>
      <w:r>
        <w:rPr>
          <w:rFonts w:ascii="Arial" w:hAnsi="Arial" w:cs="Arial"/>
        </w:rPr>
        <w:t xml:space="preserve">The Code of Conduct provides that the Board may publish non-binding guidelines to assist registered attorneys and </w:t>
      </w:r>
      <w:r w:rsidR="00B307DD">
        <w:rPr>
          <w:rFonts w:ascii="Arial" w:hAnsi="Arial" w:cs="Arial"/>
        </w:rPr>
        <w:t xml:space="preserve">their </w:t>
      </w:r>
      <w:r>
        <w:rPr>
          <w:rFonts w:ascii="Arial" w:hAnsi="Arial" w:cs="Arial"/>
        </w:rPr>
        <w:t xml:space="preserve">clients understand it and the conduct that it covers. </w:t>
      </w:r>
    </w:p>
    <w:p w:rsidR="00B2597D" w:rsidRPr="001D55A2" w:rsidRDefault="00B2597D" w:rsidP="00B2597D">
      <w:pPr>
        <w:spacing w:before="240"/>
        <w:rPr>
          <w:rFonts w:ascii="Arial" w:hAnsi="Arial" w:cs="Arial"/>
          <w:b/>
        </w:rPr>
      </w:pPr>
      <w:r>
        <w:rPr>
          <w:rFonts w:ascii="Arial" w:hAnsi="Arial" w:cs="Arial"/>
          <w:b/>
        </w:rPr>
        <w:t>Section 9—Rights of clients not affected</w:t>
      </w:r>
    </w:p>
    <w:p w:rsidR="00B2597D" w:rsidRDefault="00B2597D" w:rsidP="00B2597D">
      <w:pPr>
        <w:spacing w:before="120"/>
        <w:rPr>
          <w:rFonts w:ascii="Arial" w:hAnsi="Arial" w:cs="Arial"/>
        </w:rPr>
      </w:pPr>
      <w:r>
        <w:rPr>
          <w:rFonts w:ascii="Arial" w:hAnsi="Arial" w:cs="Arial"/>
        </w:rPr>
        <w:t xml:space="preserve">The Code of Conduct does not </w:t>
      </w:r>
      <w:r w:rsidR="00F820DD">
        <w:rPr>
          <w:rFonts w:ascii="Arial" w:hAnsi="Arial" w:cs="Arial"/>
        </w:rPr>
        <w:t>affect or reduce the rights of client</w:t>
      </w:r>
      <w:r w:rsidR="004F588B">
        <w:rPr>
          <w:rFonts w:ascii="Arial" w:hAnsi="Arial" w:cs="Arial"/>
        </w:rPr>
        <w:t xml:space="preserve">s </w:t>
      </w:r>
      <w:r w:rsidR="00F820DD">
        <w:rPr>
          <w:rFonts w:ascii="Arial" w:hAnsi="Arial" w:cs="Arial"/>
        </w:rPr>
        <w:t>in relation to the conduct</w:t>
      </w:r>
      <w:r w:rsidR="004F588B">
        <w:rPr>
          <w:rFonts w:ascii="Arial" w:hAnsi="Arial" w:cs="Arial"/>
        </w:rPr>
        <w:t xml:space="preserve"> of registered attorneys</w:t>
      </w:r>
      <w:r>
        <w:rPr>
          <w:rFonts w:ascii="Arial" w:hAnsi="Arial" w:cs="Arial"/>
        </w:rPr>
        <w:t xml:space="preserve">. </w:t>
      </w:r>
    </w:p>
    <w:p w:rsidR="00F820DD" w:rsidRPr="001D55A2" w:rsidRDefault="00F820DD" w:rsidP="00F820DD">
      <w:pPr>
        <w:spacing w:before="240"/>
        <w:rPr>
          <w:rFonts w:ascii="Arial" w:hAnsi="Arial" w:cs="Arial"/>
          <w:b/>
        </w:rPr>
      </w:pPr>
      <w:r>
        <w:rPr>
          <w:rFonts w:ascii="Arial" w:hAnsi="Arial" w:cs="Arial"/>
          <w:b/>
        </w:rPr>
        <w:t>Section 10—Administration of code</w:t>
      </w:r>
    </w:p>
    <w:p w:rsidR="00B2597D" w:rsidRDefault="00F820DD" w:rsidP="00E82EE6">
      <w:pPr>
        <w:spacing w:before="120"/>
        <w:rPr>
          <w:rFonts w:ascii="Arial" w:hAnsi="Arial" w:cs="Arial"/>
        </w:rPr>
      </w:pPr>
      <w:r>
        <w:rPr>
          <w:rFonts w:ascii="Arial" w:hAnsi="Arial" w:cs="Arial"/>
        </w:rPr>
        <w:t xml:space="preserve">The Board is responsible for raising awareness of, and for conducting periodic reviews of the effectiveness of, the Code of Conduct. </w:t>
      </w:r>
    </w:p>
    <w:p w:rsidR="004A7F76" w:rsidRPr="004A7F76" w:rsidRDefault="004A7F76" w:rsidP="004A7F76">
      <w:pPr>
        <w:spacing w:before="360"/>
        <w:rPr>
          <w:rFonts w:ascii="Arial" w:hAnsi="Arial" w:cs="Arial"/>
          <w:b/>
          <w:i/>
          <w:sz w:val="28"/>
          <w:szCs w:val="28"/>
        </w:rPr>
      </w:pPr>
      <w:r>
        <w:rPr>
          <w:rFonts w:ascii="Arial" w:hAnsi="Arial" w:cs="Arial"/>
          <w:b/>
          <w:i/>
          <w:sz w:val="28"/>
          <w:szCs w:val="28"/>
        </w:rPr>
        <w:t>Part 3</w:t>
      </w:r>
      <w:r w:rsidRPr="004A7F76">
        <w:rPr>
          <w:rFonts w:ascii="Arial" w:hAnsi="Arial" w:cs="Arial"/>
          <w:b/>
          <w:i/>
          <w:sz w:val="28"/>
          <w:szCs w:val="28"/>
        </w:rPr>
        <w:t>—</w:t>
      </w:r>
      <w:r>
        <w:rPr>
          <w:rFonts w:ascii="Arial" w:hAnsi="Arial" w:cs="Arial"/>
          <w:b/>
          <w:i/>
          <w:sz w:val="28"/>
          <w:szCs w:val="28"/>
        </w:rPr>
        <w:t>Professional conduct</w:t>
      </w:r>
    </w:p>
    <w:p w:rsidR="00207D41" w:rsidRPr="001D55A2" w:rsidRDefault="007117D8" w:rsidP="00E82EE6">
      <w:pPr>
        <w:spacing w:before="120"/>
        <w:rPr>
          <w:rFonts w:ascii="Arial" w:hAnsi="Arial" w:cs="Arial"/>
        </w:rPr>
      </w:pPr>
      <w:r w:rsidRPr="001D55A2">
        <w:rPr>
          <w:rFonts w:ascii="Arial" w:hAnsi="Arial" w:cs="Arial"/>
        </w:rPr>
        <w:t xml:space="preserve">Part 3 </w:t>
      </w:r>
      <w:r w:rsidR="00C75E3F" w:rsidRPr="001D55A2">
        <w:rPr>
          <w:rFonts w:ascii="Arial" w:hAnsi="Arial" w:cs="Arial"/>
        </w:rPr>
        <w:t xml:space="preserve">of the </w:t>
      </w:r>
      <w:r w:rsidR="00952BCF">
        <w:rPr>
          <w:rFonts w:ascii="Arial" w:hAnsi="Arial" w:cs="Arial"/>
        </w:rPr>
        <w:t>Code of Conduct</w:t>
      </w:r>
      <w:r w:rsidR="00C75E3F" w:rsidRPr="001D55A2">
        <w:rPr>
          <w:rFonts w:ascii="Arial" w:hAnsi="Arial" w:cs="Arial"/>
        </w:rPr>
        <w:t xml:space="preserve"> sets out the substantive standards of practice that </w:t>
      </w:r>
      <w:r w:rsidRPr="001D55A2">
        <w:rPr>
          <w:rFonts w:ascii="Arial" w:hAnsi="Arial" w:cs="Arial"/>
        </w:rPr>
        <w:t>appl</w:t>
      </w:r>
      <w:r w:rsidR="00C75E3F" w:rsidRPr="001D55A2">
        <w:rPr>
          <w:rFonts w:ascii="Arial" w:hAnsi="Arial" w:cs="Arial"/>
        </w:rPr>
        <w:t>y</w:t>
      </w:r>
      <w:r w:rsidRPr="001D55A2">
        <w:rPr>
          <w:rFonts w:ascii="Arial" w:hAnsi="Arial" w:cs="Arial"/>
        </w:rPr>
        <w:t xml:space="preserve"> to all</w:t>
      </w:r>
      <w:r w:rsidR="00C75E3F" w:rsidRPr="001D55A2">
        <w:rPr>
          <w:rFonts w:ascii="Arial" w:hAnsi="Arial" w:cs="Arial"/>
        </w:rPr>
        <w:t xml:space="preserve"> </w:t>
      </w:r>
      <w:r w:rsidR="0001179C">
        <w:rPr>
          <w:rFonts w:ascii="Arial" w:hAnsi="Arial" w:cs="Arial"/>
        </w:rPr>
        <w:t>registered attorney</w:t>
      </w:r>
      <w:r w:rsidR="00C47BC0">
        <w:rPr>
          <w:rFonts w:ascii="Arial" w:hAnsi="Arial" w:cs="Arial"/>
        </w:rPr>
        <w:t>s</w:t>
      </w:r>
      <w:r w:rsidRPr="001D55A2">
        <w:rPr>
          <w:rFonts w:ascii="Arial" w:hAnsi="Arial" w:cs="Arial"/>
        </w:rPr>
        <w:t>.</w:t>
      </w:r>
    </w:p>
    <w:p w:rsidR="007117D8" w:rsidRPr="001D55A2" w:rsidRDefault="00C75E3F" w:rsidP="004D586E">
      <w:pPr>
        <w:spacing w:before="240"/>
        <w:rPr>
          <w:rFonts w:ascii="Arial" w:hAnsi="Arial" w:cs="Arial"/>
          <w:b/>
        </w:rPr>
      </w:pPr>
      <w:r w:rsidRPr="001D55A2">
        <w:rPr>
          <w:rFonts w:ascii="Arial" w:hAnsi="Arial" w:cs="Arial"/>
          <w:b/>
        </w:rPr>
        <w:t xml:space="preserve">Section </w:t>
      </w:r>
      <w:r w:rsidR="007117D8" w:rsidRPr="001D55A2">
        <w:rPr>
          <w:rFonts w:ascii="Arial" w:hAnsi="Arial" w:cs="Arial"/>
          <w:b/>
        </w:rPr>
        <w:t>1</w:t>
      </w:r>
      <w:r w:rsidR="005131F2" w:rsidRPr="001D55A2">
        <w:rPr>
          <w:rFonts w:ascii="Arial" w:hAnsi="Arial" w:cs="Arial"/>
          <w:b/>
        </w:rPr>
        <w:t>1</w:t>
      </w:r>
      <w:r w:rsidR="00E82EE6">
        <w:rPr>
          <w:rFonts w:ascii="Arial" w:hAnsi="Arial" w:cs="Arial"/>
          <w:b/>
        </w:rPr>
        <w:t>—</w:t>
      </w:r>
      <w:r w:rsidR="007117D8" w:rsidRPr="001D55A2">
        <w:rPr>
          <w:rFonts w:ascii="Arial" w:hAnsi="Arial" w:cs="Arial"/>
          <w:b/>
        </w:rPr>
        <w:t>Core obligations</w:t>
      </w:r>
    </w:p>
    <w:p w:rsidR="002C23A9" w:rsidRDefault="00B307DD" w:rsidP="00E82EE6">
      <w:pPr>
        <w:spacing w:before="120"/>
        <w:rPr>
          <w:rFonts w:ascii="Arial" w:hAnsi="Arial" w:cs="Arial"/>
        </w:rPr>
      </w:pPr>
      <w:r>
        <w:rPr>
          <w:rFonts w:ascii="Arial" w:hAnsi="Arial" w:cs="Arial"/>
        </w:rPr>
        <w:t>R</w:t>
      </w:r>
      <w:r w:rsidR="004A7F76">
        <w:rPr>
          <w:rFonts w:ascii="Arial" w:hAnsi="Arial" w:cs="Arial"/>
        </w:rPr>
        <w:t>egistered attorney</w:t>
      </w:r>
      <w:r>
        <w:rPr>
          <w:rFonts w:ascii="Arial" w:hAnsi="Arial" w:cs="Arial"/>
        </w:rPr>
        <w:t>s</w:t>
      </w:r>
      <w:r w:rsidR="004A7F76">
        <w:rPr>
          <w:rFonts w:ascii="Arial" w:hAnsi="Arial" w:cs="Arial"/>
        </w:rPr>
        <w:t xml:space="preserve"> must act, in order of priority, in accordance with the law, in the best interests of the</w:t>
      </w:r>
      <w:r>
        <w:rPr>
          <w:rFonts w:ascii="Arial" w:hAnsi="Arial" w:cs="Arial"/>
        </w:rPr>
        <w:t>ir</w:t>
      </w:r>
      <w:r w:rsidR="004A7F76">
        <w:rPr>
          <w:rFonts w:ascii="Arial" w:hAnsi="Arial" w:cs="Arial"/>
        </w:rPr>
        <w:t xml:space="preserve"> client</w:t>
      </w:r>
      <w:r>
        <w:rPr>
          <w:rFonts w:ascii="Arial" w:hAnsi="Arial" w:cs="Arial"/>
        </w:rPr>
        <w:t>s</w:t>
      </w:r>
      <w:r w:rsidR="004A7F76">
        <w:rPr>
          <w:rFonts w:ascii="Arial" w:hAnsi="Arial" w:cs="Arial"/>
        </w:rPr>
        <w:t>, in the public interest, and in the interests of the</w:t>
      </w:r>
      <w:r>
        <w:rPr>
          <w:rFonts w:ascii="Arial" w:hAnsi="Arial" w:cs="Arial"/>
        </w:rPr>
        <w:t>ir</w:t>
      </w:r>
      <w:r w:rsidR="004A7F76">
        <w:rPr>
          <w:rFonts w:ascii="Arial" w:hAnsi="Arial" w:cs="Arial"/>
        </w:rPr>
        <w:t xml:space="preserve"> profession as a whole. </w:t>
      </w:r>
    </w:p>
    <w:p w:rsidR="004A7F76" w:rsidRPr="001D55A2" w:rsidRDefault="004A7F76" w:rsidP="004A7F76">
      <w:pPr>
        <w:spacing w:before="240"/>
        <w:rPr>
          <w:rFonts w:ascii="Arial" w:hAnsi="Arial" w:cs="Arial"/>
          <w:b/>
        </w:rPr>
      </w:pPr>
      <w:r w:rsidRPr="001D55A2">
        <w:rPr>
          <w:rFonts w:ascii="Arial" w:hAnsi="Arial" w:cs="Arial"/>
          <w:b/>
        </w:rPr>
        <w:t>Section 1</w:t>
      </w:r>
      <w:r>
        <w:rPr>
          <w:rFonts w:ascii="Arial" w:hAnsi="Arial" w:cs="Arial"/>
          <w:b/>
        </w:rPr>
        <w:t>2—Responsibility</w:t>
      </w:r>
    </w:p>
    <w:p w:rsidR="004A7F76" w:rsidRDefault="00B307DD" w:rsidP="004A7F76">
      <w:pPr>
        <w:spacing w:before="120"/>
        <w:rPr>
          <w:rFonts w:ascii="Arial" w:hAnsi="Arial" w:cs="Arial"/>
        </w:rPr>
      </w:pPr>
      <w:r>
        <w:rPr>
          <w:rFonts w:ascii="Arial" w:hAnsi="Arial" w:cs="Arial"/>
        </w:rPr>
        <w:t>R</w:t>
      </w:r>
      <w:r w:rsidR="004A7F76">
        <w:rPr>
          <w:rFonts w:ascii="Arial" w:hAnsi="Arial" w:cs="Arial"/>
        </w:rPr>
        <w:t>egistered attorney</w:t>
      </w:r>
      <w:r>
        <w:rPr>
          <w:rFonts w:ascii="Arial" w:hAnsi="Arial" w:cs="Arial"/>
        </w:rPr>
        <w:t>s</w:t>
      </w:r>
      <w:r w:rsidR="004A7F76">
        <w:rPr>
          <w:rFonts w:ascii="Arial" w:hAnsi="Arial" w:cs="Arial"/>
        </w:rPr>
        <w:t xml:space="preserve"> </w:t>
      </w:r>
      <w:r>
        <w:rPr>
          <w:rFonts w:ascii="Arial" w:hAnsi="Arial" w:cs="Arial"/>
        </w:rPr>
        <w:t>are</w:t>
      </w:r>
      <w:r w:rsidR="004A7F76">
        <w:rPr>
          <w:rFonts w:ascii="Arial" w:hAnsi="Arial" w:cs="Arial"/>
        </w:rPr>
        <w:t xml:space="preserve"> responsible for their own work, acts and defaults, and for the work, acts and defaults of persons </w:t>
      </w:r>
      <w:r w:rsidR="00E576D6">
        <w:rPr>
          <w:rFonts w:ascii="Arial" w:hAnsi="Arial" w:cs="Arial"/>
        </w:rPr>
        <w:t xml:space="preserve">who do work for </w:t>
      </w:r>
      <w:r>
        <w:rPr>
          <w:rFonts w:ascii="Arial" w:hAnsi="Arial" w:cs="Arial"/>
        </w:rPr>
        <w:t xml:space="preserve">them </w:t>
      </w:r>
      <w:r w:rsidR="00E576D6">
        <w:rPr>
          <w:rFonts w:ascii="Arial" w:hAnsi="Arial" w:cs="Arial"/>
        </w:rPr>
        <w:t xml:space="preserve">under contract (including </w:t>
      </w:r>
      <w:r>
        <w:rPr>
          <w:rFonts w:ascii="Arial" w:hAnsi="Arial" w:cs="Arial"/>
        </w:rPr>
        <w:t xml:space="preserve">their </w:t>
      </w:r>
      <w:r w:rsidR="00BB159A">
        <w:rPr>
          <w:rFonts w:ascii="Arial" w:hAnsi="Arial" w:cs="Arial"/>
        </w:rPr>
        <w:t>employees</w:t>
      </w:r>
      <w:r w:rsidR="00E576D6">
        <w:rPr>
          <w:rFonts w:ascii="Arial" w:hAnsi="Arial" w:cs="Arial"/>
        </w:rPr>
        <w:t>)</w:t>
      </w:r>
      <w:r w:rsidR="004A7F76">
        <w:rPr>
          <w:rFonts w:ascii="Arial" w:hAnsi="Arial" w:cs="Arial"/>
        </w:rPr>
        <w:t xml:space="preserve">. </w:t>
      </w:r>
    </w:p>
    <w:p w:rsidR="004A7F76" w:rsidRPr="001D55A2" w:rsidRDefault="004A7F76" w:rsidP="004A7F76">
      <w:pPr>
        <w:spacing w:before="240"/>
        <w:rPr>
          <w:rFonts w:ascii="Arial" w:hAnsi="Arial" w:cs="Arial"/>
          <w:b/>
        </w:rPr>
      </w:pPr>
      <w:r w:rsidRPr="001D55A2">
        <w:rPr>
          <w:rFonts w:ascii="Arial" w:hAnsi="Arial" w:cs="Arial"/>
          <w:b/>
        </w:rPr>
        <w:t>Section 1</w:t>
      </w:r>
      <w:r w:rsidR="004F588B">
        <w:rPr>
          <w:rFonts w:ascii="Arial" w:hAnsi="Arial" w:cs="Arial"/>
          <w:b/>
        </w:rPr>
        <w:t>3</w:t>
      </w:r>
      <w:r>
        <w:rPr>
          <w:rFonts w:ascii="Arial" w:hAnsi="Arial" w:cs="Arial"/>
          <w:b/>
        </w:rPr>
        <w:t>—Integrity</w:t>
      </w:r>
    </w:p>
    <w:p w:rsidR="004A7F76" w:rsidRDefault="00B307DD" w:rsidP="004A7F76">
      <w:pPr>
        <w:spacing w:before="120"/>
        <w:rPr>
          <w:rFonts w:ascii="Arial" w:hAnsi="Arial" w:cs="Arial"/>
        </w:rPr>
      </w:pPr>
      <w:r>
        <w:rPr>
          <w:rFonts w:ascii="Arial" w:hAnsi="Arial" w:cs="Arial"/>
        </w:rPr>
        <w:t>R</w:t>
      </w:r>
      <w:r w:rsidR="004A7F76">
        <w:rPr>
          <w:rFonts w:ascii="Arial" w:hAnsi="Arial" w:cs="Arial"/>
        </w:rPr>
        <w:t>egistered attorney</w:t>
      </w:r>
      <w:r>
        <w:rPr>
          <w:rFonts w:ascii="Arial" w:hAnsi="Arial" w:cs="Arial"/>
        </w:rPr>
        <w:t>s</w:t>
      </w:r>
      <w:r w:rsidR="004A7F76">
        <w:rPr>
          <w:rFonts w:ascii="Arial" w:hAnsi="Arial" w:cs="Arial"/>
        </w:rPr>
        <w:t xml:space="preserve"> must not act in a way that is fraudulent, deceitful or knowingly misleading, and must maintain standards of practice that are courteous, ethical and well-informed. </w:t>
      </w:r>
    </w:p>
    <w:p w:rsidR="006524B1" w:rsidRPr="001D55A2" w:rsidRDefault="00C75E3F" w:rsidP="004D586E">
      <w:pPr>
        <w:spacing w:before="240"/>
        <w:rPr>
          <w:rFonts w:ascii="Arial" w:hAnsi="Arial" w:cs="Arial"/>
          <w:b/>
        </w:rPr>
      </w:pPr>
      <w:r w:rsidRPr="001D55A2">
        <w:rPr>
          <w:rFonts w:ascii="Arial" w:hAnsi="Arial" w:cs="Arial"/>
          <w:b/>
        </w:rPr>
        <w:t xml:space="preserve">Section </w:t>
      </w:r>
      <w:r w:rsidR="006524B1" w:rsidRPr="001D55A2">
        <w:rPr>
          <w:rFonts w:ascii="Arial" w:hAnsi="Arial" w:cs="Arial"/>
          <w:b/>
        </w:rPr>
        <w:t>1</w:t>
      </w:r>
      <w:r w:rsidR="004A7F76">
        <w:rPr>
          <w:rFonts w:ascii="Arial" w:hAnsi="Arial" w:cs="Arial"/>
          <w:b/>
        </w:rPr>
        <w:t>4</w:t>
      </w:r>
      <w:r w:rsidR="00E82EE6">
        <w:rPr>
          <w:rFonts w:ascii="Arial" w:hAnsi="Arial" w:cs="Arial"/>
          <w:b/>
        </w:rPr>
        <w:t>—</w:t>
      </w:r>
      <w:r w:rsidR="00C47BC0">
        <w:rPr>
          <w:rFonts w:ascii="Arial" w:hAnsi="Arial" w:cs="Arial"/>
          <w:b/>
        </w:rPr>
        <w:t>Competency</w:t>
      </w:r>
    </w:p>
    <w:p w:rsidR="00191323" w:rsidRPr="00A561EF" w:rsidRDefault="00B307DD" w:rsidP="00191323">
      <w:pPr>
        <w:spacing w:before="120"/>
        <w:rPr>
          <w:rFonts w:ascii="Arial" w:hAnsi="Arial" w:cs="Arial"/>
        </w:rPr>
      </w:pPr>
      <w:r>
        <w:rPr>
          <w:rFonts w:ascii="Arial" w:hAnsi="Arial" w:cs="Arial"/>
        </w:rPr>
        <w:t>R</w:t>
      </w:r>
      <w:r w:rsidR="00191323">
        <w:rPr>
          <w:rFonts w:ascii="Arial" w:hAnsi="Arial" w:cs="Arial"/>
        </w:rPr>
        <w:t>egistered attorney</w:t>
      </w:r>
      <w:r>
        <w:rPr>
          <w:rFonts w:ascii="Arial" w:hAnsi="Arial" w:cs="Arial"/>
        </w:rPr>
        <w:t>s</w:t>
      </w:r>
      <w:r w:rsidR="00191323">
        <w:rPr>
          <w:rFonts w:ascii="Arial" w:hAnsi="Arial" w:cs="Arial"/>
        </w:rPr>
        <w:t xml:space="preserve"> must</w:t>
      </w:r>
      <w:r w:rsidR="0002438C" w:rsidRPr="007D032F">
        <w:rPr>
          <w:rFonts w:ascii="Arial" w:hAnsi="Arial" w:cs="Arial"/>
        </w:rPr>
        <w:t xml:space="preserve"> </w:t>
      </w:r>
      <w:r w:rsidR="00245857">
        <w:rPr>
          <w:rFonts w:ascii="Arial" w:hAnsi="Arial" w:cs="Arial"/>
        </w:rPr>
        <w:t>have appropriate</w:t>
      </w:r>
      <w:r w:rsidR="0002438C" w:rsidRPr="007D032F">
        <w:rPr>
          <w:rFonts w:ascii="Arial" w:hAnsi="Arial" w:cs="Arial"/>
        </w:rPr>
        <w:t xml:space="preserve"> </w:t>
      </w:r>
      <w:r w:rsidR="0002438C">
        <w:rPr>
          <w:rFonts w:ascii="Arial" w:hAnsi="Arial" w:cs="Arial"/>
        </w:rPr>
        <w:t xml:space="preserve">competency </w:t>
      </w:r>
      <w:r w:rsidR="00191323">
        <w:rPr>
          <w:rFonts w:ascii="Arial" w:hAnsi="Arial" w:cs="Arial"/>
        </w:rPr>
        <w:t xml:space="preserve">for the work that they undertake, and must carry out their work with due skill and care. </w:t>
      </w:r>
    </w:p>
    <w:p w:rsidR="00191323" w:rsidRPr="001D55A2" w:rsidRDefault="00191323" w:rsidP="00191323">
      <w:pPr>
        <w:spacing w:before="240"/>
        <w:rPr>
          <w:rFonts w:ascii="Arial" w:hAnsi="Arial" w:cs="Arial"/>
          <w:b/>
        </w:rPr>
      </w:pPr>
      <w:r w:rsidRPr="001D55A2">
        <w:rPr>
          <w:rFonts w:ascii="Arial" w:hAnsi="Arial" w:cs="Arial"/>
          <w:b/>
        </w:rPr>
        <w:t>Section 1</w:t>
      </w:r>
      <w:r w:rsidR="00E65E6C">
        <w:rPr>
          <w:rFonts w:ascii="Arial" w:hAnsi="Arial" w:cs="Arial"/>
          <w:b/>
        </w:rPr>
        <w:t>5</w:t>
      </w:r>
      <w:r>
        <w:rPr>
          <w:rFonts w:ascii="Arial" w:hAnsi="Arial" w:cs="Arial"/>
          <w:b/>
        </w:rPr>
        <w:t>—Diligence</w:t>
      </w:r>
    </w:p>
    <w:p w:rsidR="00191323" w:rsidRPr="00A561EF" w:rsidRDefault="00B307DD" w:rsidP="00191323">
      <w:pPr>
        <w:spacing w:before="120"/>
        <w:rPr>
          <w:rFonts w:ascii="Arial" w:hAnsi="Arial" w:cs="Arial"/>
        </w:rPr>
      </w:pPr>
      <w:r>
        <w:rPr>
          <w:rFonts w:ascii="Arial" w:hAnsi="Arial" w:cs="Arial"/>
        </w:rPr>
        <w:t>R</w:t>
      </w:r>
      <w:r w:rsidR="00191323">
        <w:rPr>
          <w:rFonts w:ascii="Arial" w:hAnsi="Arial" w:cs="Arial"/>
        </w:rPr>
        <w:t>egistered attorney</w:t>
      </w:r>
      <w:r w:rsidR="00A05BB5">
        <w:rPr>
          <w:rFonts w:ascii="Arial" w:hAnsi="Arial" w:cs="Arial"/>
        </w:rPr>
        <w:t>s</w:t>
      </w:r>
      <w:r w:rsidR="00191323">
        <w:rPr>
          <w:rFonts w:ascii="Arial" w:hAnsi="Arial" w:cs="Arial"/>
        </w:rPr>
        <w:t xml:space="preserve"> must</w:t>
      </w:r>
      <w:r w:rsidR="00191323" w:rsidRPr="007D032F">
        <w:rPr>
          <w:rFonts w:ascii="Arial" w:hAnsi="Arial" w:cs="Arial"/>
        </w:rPr>
        <w:t xml:space="preserve"> </w:t>
      </w:r>
      <w:r w:rsidR="00191323">
        <w:rPr>
          <w:rFonts w:ascii="Arial" w:hAnsi="Arial" w:cs="Arial"/>
        </w:rPr>
        <w:t xml:space="preserve">carry out their work in a timely manner, and must act on the instructions of </w:t>
      </w:r>
      <w:r>
        <w:rPr>
          <w:rFonts w:ascii="Arial" w:hAnsi="Arial" w:cs="Arial"/>
        </w:rPr>
        <w:t>a</w:t>
      </w:r>
      <w:r w:rsidR="00191323">
        <w:rPr>
          <w:rFonts w:ascii="Arial" w:hAnsi="Arial" w:cs="Arial"/>
        </w:rPr>
        <w:t xml:space="preserve"> client in a timely manner or inform </w:t>
      </w:r>
      <w:r>
        <w:rPr>
          <w:rFonts w:ascii="Arial" w:hAnsi="Arial" w:cs="Arial"/>
        </w:rPr>
        <w:t>the</w:t>
      </w:r>
      <w:r w:rsidR="00191323">
        <w:rPr>
          <w:rFonts w:ascii="Arial" w:hAnsi="Arial" w:cs="Arial"/>
        </w:rPr>
        <w:t xml:space="preserve"> client in a timely manner of their inability to do so. </w:t>
      </w:r>
    </w:p>
    <w:p w:rsidR="00E65E6C" w:rsidRPr="001D55A2" w:rsidRDefault="00E65E6C" w:rsidP="00E65E6C">
      <w:pPr>
        <w:spacing w:before="240"/>
        <w:rPr>
          <w:rFonts w:ascii="Arial" w:hAnsi="Arial" w:cs="Arial"/>
          <w:b/>
        </w:rPr>
      </w:pPr>
      <w:r w:rsidRPr="001D55A2">
        <w:rPr>
          <w:rFonts w:ascii="Arial" w:hAnsi="Arial" w:cs="Arial"/>
          <w:b/>
        </w:rPr>
        <w:t>Section 1</w:t>
      </w:r>
      <w:r>
        <w:rPr>
          <w:rFonts w:ascii="Arial" w:hAnsi="Arial" w:cs="Arial"/>
          <w:b/>
        </w:rPr>
        <w:t>6—Communication</w:t>
      </w:r>
    </w:p>
    <w:p w:rsidR="00E65E6C" w:rsidRPr="00A561EF" w:rsidRDefault="00D45632" w:rsidP="00E65E6C">
      <w:pPr>
        <w:spacing w:before="120"/>
        <w:rPr>
          <w:rFonts w:ascii="Arial" w:hAnsi="Arial" w:cs="Arial"/>
        </w:rPr>
      </w:pPr>
      <w:r>
        <w:rPr>
          <w:rFonts w:ascii="Arial" w:hAnsi="Arial" w:cs="Arial"/>
        </w:rPr>
        <w:t>Before</w:t>
      </w:r>
      <w:r w:rsidR="00E65E6C">
        <w:rPr>
          <w:rFonts w:ascii="Arial" w:hAnsi="Arial" w:cs="Arial"/>
        </w:rPr>
        <w:t xml:space="preserve"> undertaking </w:t>
      </w:r>
      <w:r w:rsidR="004641A9">
        <w:rPr>
          <w:rFonts w:ascii="Arial" w:hAnsi="Arial" w:cs="Arial"/>
        </w:rPr>
        <w:t xml:space="preserve">any </w:t>
      </w:r>
      <w:r w:rsidR="00E65E6C">
        <w:rPr>
          <w:rFonts w:ascii="Arial" w:hAnsi="Arial" w:cs="Arial"/>
        </w:rPr>
        <w:t xml:space="preserve">work </w:t>
      </w:r>
      <w:r w:rsidR="00B307DD">
        <w:rPr>
          <w:rFonts w:ascii="Arial" w:hAnsi="Arial" w:cs="Arial"/>
        </w:rPr>
        <w:t xml:space="preserve">for a client, </w:t>
      </w:r>
      <w:r w:rsidR="00E65E6C">
        <w:rPr>
          <w:rFonts w:ascii="Arial" w:hAnsi="Arial" w:cs="Arial"/>
        </w:rPr>
        <w:t>registered attorney</w:t>
      </w:r>
      <w:r w:rsidR="00B307DD">
        <w:rPr>
          <w:rFonts w:ascii="Arial" w:hAnsi="Arial" w:cs="Arial"/>
        </w:rPr>
        <w:t>s</w:t>
      </w:r>
      <w:r w:rsidR="00E65E6C">
        <w:rPr>
          <w:rFonts w:ascii="Arial" w:hAnsi="Arial" w:cs="Arial"/>
        </w:rPr>
        <w:t xml:space="preserve"> must</w:t>
      </w:r>
      <w:r w:rsidR="00E65E6C" w:rsidRPr="007D032F">
        <w:rPr>
          <w:rFonts w:ascii="Arial" w:hAnsi="Arial" w:cs="Arial"/>
        </w:rPr>
        <w:t xml:space="preserve"> </w:t>
      </w:r>
      <w:r w:rsidR="00EE0BB1">
        <w:rPr>
          <w:rFonts w:ascii="Arial" w:hAnsi="Arial" w:cs="Arial"/>
        </w:rPr>
        <w:t>inform</w:t>
      </w:r>
      <w:r w:rsidR="004641A9">
        <w:rPr>
          <w:rFonts w:ascii="Arial" w:hAnsi="Arial" w:cs="Arial"/>
        </w:rPr>
        <w:t xml:space="preserve"> the</w:t>
      </w:r>
      <w:r w:rsidR="00E65E6C">
        <w:rPr>
          <w:rFonts w:ascii="Arial" w:hAnsi="Arial" w:cs="Arial"/>
        </w:rPr>
        <w:t xml:space="preserve"> client (or, in certain situations, the client’s representative) of </w:t>
      </w:r>
      <w:r w:rsidR="00683A6D">
        <w:rPr>
          <w:rFonts w:ascii="Arial" w:hAnsi="Arial" w:cs="Arial"/>
        </w:rPr>
        <w:t>the</w:t>
      </w:r>
      <w:r w:rsidR="00B307DD">
        <w:rPr>
          <w:rFonts w:ascii="Arial" w:hAnsi="Arial" w:cs="Arial"/>
        </w:rPr>
        <w:t>ir</w:t>
      </w:r>
      <w:r w:rsidR="00683A6D">
        <w:rPr>
          <w:rFonts w:ascii="Arial" w:hAnsi="Arial" w:cs="Arial"/>
        </w:rPr>
        <w:t xml:space="preserve"> registration </w:t>
      </w:r>
      <w:r w:rsidR="00683A6D">
        <w:rPr>
          <w:rFonts w:ascii="Arial" w:hAnsi="Arial" w:cs="Arial"/>
        </w:rPr>
        <w:lastRenderedPageBreak/>
        <w:t>and competency to perform the work, the procedures, costs and timing of the work, and the</w:t>
      </w:r>
      <w:r w:rsidR="00B307DD">
        <w:rPr>
          <w:rFonts w:ascii="Arial" w:hAnsi="Arial" w:cs="Arial"/>
        </w:rPr>
        <w:t>ir</w:t>
      </w:r>
      <w:r w:rsidR="00683A6D">
        <w:rPr>
          <w:rFonts w:ascii="Arial" w:hAnsi="Arial" w:cs="Arial"/>
        </w:rPr>
        <w:t xml:space="preserve"> corporate and ownership status</w:t>
      </w:r>
      <w:r>
        <w:rPr>
          <w:rFonts w:ascii="Arial" w:hAnsi="Arial" w:cs="Arial"/>
        </w:rPr>
        <w:t>, unless they have already done so</w:t>
      </w:r>
      <w:r w:rsidR="00683A6D">
        <w:rPr>
          <w:rFonts w:ascii="Arial" w:hAnsi="Arial" w:cs="Arial"/>
        </w:rPr>
        <w:t xml:space="preserve">. </w:t>
      </w:r>
      <w:r w:rsidR="00B307DD">
        <w:rPr>
          <w:rFonts w:ascii="Arial" w:hAnsi="Arial" w:cs="Arial"/>
        </w:rPr>
        <w:t>R</w:t>
      </w:r>
      <w:r w:rsidR="00BB159A">
        <w:rPr>
          <w:rFonts w:ascii="Arial" w:hAnsi="Arial" w:cs="Arial"/>
        </w:rPr>
        <w:t xml:space="preserve">egistered </w:t>
      </w:r>
      <w:r w:rsidR="00683A6D">
        <w:rPr>
          <w:rFonts w:ascii="Arial" w:hAnsi="Arial" w:cs="Arial"/>
        </w:rPr>
        <w:t>attorney</w:t>
      </w:r>
      <w:r w:rsidR="00B307DD">
        <w:rPr>
          <w:rFonts w:ascii="Arial" w:hAnsi="Arial" w:cs="Arial"/>
        </w:rPr>
        <w:t>s</w:t>
      </w:r>
      <w:r w:rsidR="00683A6D">
        <w:rPr>
          <w:rFonts w:ascii="Arial" w:hAnsi="Arial" w:cs="Arial"/>
        </w:rPr>
        <w:t xml:space="preserve"> </w:t>
      </w:r>
      <w:r w:rsidR="00B307DD">
        <w:rPr>
          <w:rFonts w:ascii="Arial" w:hAnsi="Arial" w:cs="Arial"/>
        </w:rPr>
        <w:t>are</w:t>
      </w:r>
      <w:r w:rsidR="00683A6D">
        <w:rPr>
          <w:rFonts w:ascii="Arial" w:hAnsi="Arial" w:cs="Arial"/>
        </w:rPr>
        <w:t xml:space="preserve"> required to inform the client (or </w:t>
      </w:r>
      <w:r w:rsidR="00B307DD">
        <w:rPr>
          <w:rFonts w:ascii="Arial" w:hAnsi="Arial" w:cs="Arial"/>
        </w:rPr>
        <w:t>the client’s</w:t>
      </w:r>
      <w:r w:rsidR="00683A6D">
        <w:rPr>
          <w:rFonts w:ascii="Arial" w:hAnsi="Arial" w:cs="Arial"/>
        </w:rPr>
        <w:t xml:space="preserve"> representative) where any substantial </w:t>
      </w:r>
      <w:r w:rsidR="00B307DD">
        <w:rPr>
          <w:rFonts w:ascii="Arial" w:hAnsi="Arial" w:cs="Arial"/>
        </w:rPr>
        <w:t>change</w:t>
      </w:r>
      <w:r w:rsidR="00683A6D">
        <w:rPr>
          <w:rFonts w:ascii="Arial" w:hAnsi="Arial" w:cs="Arial"/>
        </w:rPr>
        <w:t xml:space="preserve"> </w:t>
      </w:r>
      <w:r w:rsidR="00A05BB5">
        <w:rPr>
          <w:rFonts w:ascii="Arial" w:hAnsi="Arial" w:cs="Arial"/>
        </w:rPr>
        <w:t>occurs</w:t>
      </w:r>
      <w:r w:rsidR="00683A6D">
        <w:rPr>
          <w:rFonts w:ascii="Arial" w:hAnsi="Arial" w:cs="Arial"/>
        </w:rPr>
        <w:t xml:space="preserve"> in relation to information previously notified. </w:t>
      </w:r>
    </w:p>
    <w:p w:rsidR="00BB159A" w:rsidRPr="001D55A2" w:rsidRDefault="00BB159A" w:rsidP="00BB159A">
      <w:pPr>
        <w:spacing w:before="240"/>
        <w:rPr>
          <w:rFonts w:ascii="Arial" w:hAnsi="Arial" w:cs="Arial"/>
          <w:b/>
        </w:rPr>
      </w:pPr>
      <w:r w:rsidRPr="001D55A2">
        <w:rPr>
          <w:rFonts w:ascii="Arial" w:hAnsi="Arial" w:cs="Arial"/>
          <w:b/>
        </w:rPr>
        <w:t>Section 1</w:t>
      </w:r>
      <w:r>
        <w:rPr>
          <w:rFonts w:ascii="Arial" w:hAnsi="Arial" w:cs="Arial"/>
          <w:b/>
        </w:rPr>
        <w:t>7—Disclosure</w:t>
      </w:r>
    </w:p>
    <w:p w:rsidR="00BB159A" w:rsidRPr="00A561EF" w:rsidRDefault="00933ADE" w:rsidP="00BB159A">
      <w:pPr>
        <w:spacing w:before="120"/>
        <w:rPr>
          <w:rFonts w:ascii="Arial" w:hAnsi="Arial" w:cs="Arial"/>
        </w:rPr>
      </w:pPr>
      <w:r>
        <w:rPr>
          <w:rFonts w:ascii="Arial" w:hAnsi="Arial" w:cs="Arial"/>
        </w:rPr>
        <w:t>R</w:t>
      </w:r>
      <w:r w:rsidR="00BB159A">
        <w:rPr>
          <w:rFonts w:ascii="Arial" w:hAnsi="Arial" w:cs="Arial"/>
        </w:rPr>
        <w:t>egistered attorney</w:t>
      </w:r>
      <w:r>
        <w:rPr>
          <w:rFonts w:ascii="Arial" w:hAnsi="Arial" w:cs="Arial"/>
        </w:rPr>
        <w:t>s</w:t>
      </w:r>
      <w:r w:rsidR="00BB159A">
        <w:rPr>
          <w:rFonts w:ascii="Arial" w:hAnsi="Arial" w:cs="Arial"/>
        </w:rPr>
        <w:t xml:space="preserve"> </w:t>
      </w:r>
      <w:r>
        <w:rPr>
          <w:rFonts w:ascii="Arial" w:hAnsi="Arial" w:cs="Arial"/>
        </w:rPr>
        <w:t>are</w:t>
      </w:r>
      <w:r w:rsidR="00BB159A">
        <w:rPr>
          <w:rFonts w:ascii="Arial" w:hAnsi="Arial" w:cs="Arial"/>
        </w:rPr>
        <w:t xml:space="preserve"> required to disclose to the</w:t>
      </w:r>
      <w:r>
        <w:rPr>
          <w:rFonts w:ascii="Arial" w:hAnsi="Arial" w:cs="Arial"/>
        </w:rPr>
        <w:t>ir</w:t>
      </w:r>
      <w:r w:rsidR="00BB159A">
        <w:rPr>
          <w:rFonts w:ascii="Arial" w:hAnsi="Arial" w:cs="Arial"/>
        </w:rPr>
        <w:t xml:space="preserve"> client all information of which </w:t>
      </w:r>
      <w:r>
        <w:rPr>
          <w:rFonts w:ascii="Arial" w:hAnsi="Arial" w:cs="Arial"/>
        </w:rPr>
        <w:t>they are</w:t>
      </w:r>
      <w:r w:rsidR="00BB159A">
        <w:rPr>
          <w:rFonts w:ascii="Arial" w:hAnsi="Arial" w:cs="Arial"/>
        </w:rPr>
        <w:t xml:space="preserve"> aware </w:t>
      </w:r>
      <w:r w:rsidR="001D3998">
        <w:rPr>
          <w:rFonts w:ascii="Arial" w:hAnsi="Arial" w:cs="Arial"/>
        </w:rPr>
        <w:t xml:space="preserve">and </w:t>
      </w:r>
      <w:r w:rsidR="00BB159A">
        <w:rPr>
          <w:rFonts w:ascii="Arial" w:hAnsi="Arial" w:cs="Arial"/>
        </w:rPr>
        <w:t>that is relevant to work being undertaken for the client, except where the</w:t>
      </w:r>
      <w:r>
        <w:rPr>
          <w:rFonts w:ascii="Arial" w:hAnsi="Arial" w:cs="Arial"/>
        </w:rPr>
        <w:t>y</w:t>
      </w:r>
      <w:r w:rsidR="00BB159A">
        <w:rPr>
          <w:rFonts w:ascii="Arial" w:hAnsi="Arial" w:cs="Arial"/>
        </w:rPr>
        <w:t xml:space="preserve"> </w:t>
      </w:r>
      <w:r>
        <w:rPr>
          <w:rFonts w:ascii="Arial" w:hAnsi="Arial" w:cs="Arial"/>
        </w:rPr>
        <w:t>are</w:t>
      </w:r>
      <w:r w:rsidR="00BB159A">
        <w:rPr>
          <w:rFonts w:ascii="Arial" w:hAnsi="Arial" w:cs="Arial"/>
        </w:rPr>
        <w:t xml:space="preserve"> prohibited by a legal obligation </w:t>
      </w:r>
      <w:r w:rsidR="001D3998">
        <w:rPr>
          <w:rFonts w:ascii="Arial" w:hAnsi="Arial" w:cs="Arial"/>
        </w:rPr>
        <w:t xml:space="preserve">from doing so </w:t>
      </w:r>
      <w:r w:rsidR="00BB159A">
        <w:rPr>
          <w:rFonts w:ascii="Arial" w:hAnsi="Arial" w:cs="Arial"/>
        </w:rPr>
        <w:t>(</w:t>
      </w:r>
      <w:r w:rsidR="001D3998">
        <w:rPr>
          <w:rFonts w:ascii="Arial" w:hAnsi="Arial" w:cs="Arial"/>
        </w:rPr>
        <w:t>such as</w:t>
      </w:r>
      <w:r w:rsidR="00BB159A">
        <w:rPr>
          <w:rFonts w:ascii="Arial" w:hAnsi="Arial" w:cs="Arial"/>
        </w:rPr>
        <w:t xml:space="preserve"> </w:t>
      </w:r>
      <w:r w:rsidR="00903DC6">
        <w:rPr>
          <w:rFonts w:ascii="Arial" w:hAnsi="Arial" w:cs="Arial"/>
        </w:rPr>
        <w:t xml:space="preserve">by </w:t>
      </w:r>
      <w:r w:rsidR="00BB159A">
        <w:rPr>
          <w:rFonts w:ascii="Arial" w:hAnsi="Arial" w:cs="Arial"/>
        </w:rPr>
        <w:t xml:space="preserve">an obligation </w:t>
      </w:r>
      <w:r w:rsidR="001D3998">
        <w:rPr>
          <w:rFonts w:ascii="Arial" w:hAnsi="Arial" w:cs="Arial"/>
        </w:rPr>
        <w:t>to maintain the confidentiality of information</w:t>
      </w:r>
      <w:r w:rsidR="00BB159A">
        <w:rPr>
          <w:rFonts w:ascii="Arial" w:hAnsi="Arial" w:cs="Arial"/>
        </w:rPr>
        <w:t xml:space="preserve">). </w:t>
      </w:r>
    </w:p>
    <w:p w:rsidR="00EF6072" w:rsidRPr="001D55A2" w:rsidRDefault="00EF6072" w:rsidP="00EF6072">
      <w:pPr>
        <w:spacing w:before="240"/>
        <w:rPr>
          <w:rFonts w:ascii="Arial" w:hAnsi="Arial" w:cs="Arial"/>
          <w:b/>
        </w:rPr>
      </w:pPr>
      <w:r w:rsidRPr="001D55A2">
        <w:rPr>
          <w:rFonts w:ascii="Arial" w:hAnsi="Arial" w:cs="Arial"/>
          <w:b/>
        </w:rPr>
        <w:t>Section 1</w:t>
      </w:r>
      <w:r>
        <w:rPr>
          <w:rFonts w:ascii="Arial" w:hAnsi="Arial" w:cs="Arial"/>
          <w:b/>
        </w:rPr>
        <w:t>8—Confidentiality</w:t>
      </w:r>
    </w:p>
    <w:p w:rsidR="00EF6072" w:rsidRPr="00A561EF" w:rsidRDefault="00EF6072" w:rsidP="00EF6072">
      <w:pPr>
        <w:spacing w:before="120"/>
        <w:rPr>
          <w:rFonts w:ascii="Arial" w:hAnsi="Arial" w:cs="Arial"/>
        </w:rPr>
      </w:pPr>
      <w:r>
        <w:rPr>
          <w:rFonts w:ascii="Arial" w:hAnsi="Arial" w:cs="Arial"/>
        </w:rPr>
        <w:t xml:space="preserve">Registered attorneys must not use or disclose a client’s confidential information unless permitted or required by law or with the client’s informed consent. </w:t>
      </w:r>
    </w:p>
    <w:p w:rsidR="00BA2346" w:rsidRPr="001D55A2" w:rsidRDefault="00BA2346" w:rsidP="00BA2346">
      <w:pPr>
        <w:spacing w:before="240"/>
        <w:rPr>
          <w:rFonts w:ascii="Arial" w:hAnsi="Arial" w:cs="Arial"/>
          <w:b/>
        </w:rPr>
      </w:pPr>
      <w:r w:rsidRPr="001D55A2">
        <w:rPr>
          <w:rFonts w:ascii="Arial" w:hAnsi="Arial" w:cs="Arial"/>
          <w:b/>
        </w:rPr>
        <w:t>Section 1</w:t>
      </w:r>
      <w:r>
        <w:rPr>
          <w:rFonts w:ascii="Arial" w:hAnsi="Arial" w:cs="Arial"/>
          <w:b/>
        </w:rPr>
        <w:t>9—Loyalty</w:t>
      </w:r>
    </w:p>
    <w:p w:rsidR="00BA2346" w:rsidRPr="00A561EF" w:rsidRDefault="00BA2346" w:rsidP="00BA2346">
      <w:pPr>
        <w:spacing w:before="120"/>
        <w:rPr>
          <w:rFonts w:ascii="Arial" w:hAnsi="Arial" w:cs="Arial"/>
        </w:rPr>
      </w:pPr>
      <w:r>
        <w:rPr>
          <w:rFonts w:ascii="Arial" w:hAnsi="Arial" w:cs="Arial"/>
        </w:rPr>
        <w:t>Registered attorneys owe a d</w:t>
      </w:r>
      <w:r w:rsidR="00D93BBC">
        <w:rPr>
          <w:rFonts w:ascii="Arial" w:hAnsi="Arial" w:cs="Arial"/>
        </w:rPr>
        <w:t>uty of loyalty to their clients. They</w:t>
      </w:r>
      <w:r>
        <w:rPr>
          <w:rFonts w:ascii="Arial" w:hAnsi="Arial" w:cs="Arial"/>
        </w:rPr>
        <w:t xml:space="preserve"> must not prefer their own interests over the interests of a client, and must not prefer the interests of one client over the interests of another client. </w:t>
      </w:r>
      <w:r w:rsidR="00D93BBC">
        <w:rPr>
          <w:rFonts w:ascii="Arial" w:hAnsi="Arial" w:cs="Arial"/>
        </w:rPr>
        <w:t xml:space="preserve">Registered attorneys must not act for one client against the interests </w:t>
      </w:r>
      <w:r w:rsidR="007A6D6A">
        <w:rPr>
          <w:rFonts w:ascii="Arial" w:hAnsi="Arial" w:cs="Arial"/>
        </w:rPr>
        <w:t xml:space="preserve">of </w:t>
      </w:r>
      <w:r w:rsidR="00D93BBC">
        <w:rPr>
          <w:rFonts w:ascii="Arial" w:hAnsi="Arial" w:cs="Arial"/>
        </w:rPr>
        <w:t>another client unless both clients have given informed consent and the confidentiality of the clients’ information is maintained. Even where the clients would consent and the confidentiality of the clients’ information could be maintained, registered attorneys mus</w:t>
      </w:r>
      <w:r w:rsidR="00B823DD">
        <w:rPr>
          <w:rFonts w:ascii="Arial" w:hAnsi="Arial" w:cs="Arial"/>
        </w:rPr>
        <w:t xml:space="preserve">t not act in </w:t>
      </w:r>
      <w:r w:rsidR="00D93BBC">
        <w:rPr>
          <w:rFonts w:ascii="Arial" w:hAnsi="Arial" w:cs="Arial"/>
        </w:rPr>
        <w:t>contentious matter</w:t>
      </w:r>
      <w:r w:rsidR="00B823DD">
        <w:rPr>
          <w:rFonts w:ascii="Arial" w:hAnsi="Arial" w:cs="Arial"/>
        </w:rPr>
        <w:t>s</w:t>
      </w:r>
      <w:r w:rsidR="00D93BBC">
        <w:rPr>
          <w:rFonts w:ascii="Arial" w:hAnsi="Arial" w:cs="Arial"/>
        </w:rPr>
        <w:t xml:space="preserve"> for one client against another client. </w:t>
      </w:r>
    </w:p>
    <w:p w:rsidR="001B1E2A" w:rsidRPr="001D55A2" w:rsidRDefault="001B1E2A" w:rsidP="001B1E2A">
      <w:pPr>
        <w:spacing w:before="240"/>
        <w:rPr>
          <w:rFonts w:ascii="Arial" w:hAnsi="Arial" w:cs="Arial"/>
          <w:b/>
        </w:rPr>
      </w:pPr>
      <w:r w:rsidRPr="001D55A2">
        <w:rPr>
          <w:rFonts w:ascii="Arial" w:hAnsi="Arial" w:cs="Arial"/>
          <w:b/>
        </w:rPr>
        <w:t xml:space="preserve">Section </w:t>
      </w:r>
      <w:r>
        <w:rPr>
          <w:rFonts w:ascii="Arial" w:hAnsi="Arial" w:cs="Arial"/>
          <w:b/>
        </w:rPr>
        <w:t>20—Conflicts</w:t>
      </w:r>
    </w:p>
    <w:p w:rsidR="001B1E2A" w:rsidRPr="00A561EF" w:rsidRDefault="001B1E2A" w:rsidP="001B1E2A">
      <w:pPr>
        <w:spacing w:before="120"/>
        <w:rPr>
          <w:rFonts w:ascii="Arial" w:hAnsi="Arial" w:cs="Arial"/>
        </w:rPr>
      </w:pPr>
      <w:r>
        <w:rPr>
          <w:rFonts w:ascii="Arial" w:hAnsi="Arial" w:cs="Arial"/>
        </w:rPr>
        <w:t xml:space="preserve">Registered attorneys must </w:t>
      </w:r>
      <w:r w:rsidR="000F52DE">
        <w:rPr>
          <w:rFonts w:ascii="Arial" w:hAnsi="Arial" w:cs="Arial"/>
        </w:rPr>
        <w:t>avoid the creation of a situation that gives rise to a conflict of interests, and must take all reasonable steps to resolve a conflict of interests upon becoming aware of one</w:t>
      </w:r>
      <w:r>
        <w:rPr>
          <w:rFonts w:ascii="Arial" w:hAnsi="Arial" w:cs="Arial"/>
        </w:rPr>
        <w:t xml:space="preserve">. </w:t>
      </w:r>
    </w:p>
    <w:p w:rsidR="001E5125" w:rsidRPr="001D55A2" w:rsidRDefault="001E5125" w:rsidP="001E5125">
      <w:pPr>
        <w:spacing w:before="240"/>
        <w:rPr>
          <w:rFonts w:ascii="Arial" w:hAnsi="Arial" w:cs="Arial"/>
          <w:b/>
        </w:rPr>
      </w:pPr>
      <w:r w:rsidRPr="001D55A2">
        <w:rPr>
          <w:rFonts w:ascii="Arial" w:hAnsi="Arial" w:cs="Arial"/>
          <w:b/>
        </w:rPr>
        <w:t xml:space="preserve">Section </w:t>
      </w:r>
      <w:r>
        <w:rPr>
          <w:rFonts w:ascii="Arial" w:hAnsi="Arial" w:cs="Arial"/>
          <w:b/>
        </w:rPr>
        <w:t>21—Independence</w:t>
      </w:r>
    </w:p>
    <w:p w:rsidR="001E5125" w:rsidRDefault="0057404E" w:rsidP="001E5125">
      <w:pPr>
        <w:spacing w:before="120"/>
        <w:rPr>
          <w:rFonts w:ascii="Arial" w:hAnsi="Arial" w:cs="Arial"/>
        </w:rPr>
      </w:pPr>
      <w:r>
        <w:rPr>
          <w:rFonts w:ascii="Arial" w:hAnsi="Arial" w:cs="Arial"/>
        </w:rPr>
        <w:t xml:space="preserve">For the purpose of the duty of loyalty and the </w:t>
      </w:r>
      <w:r w:rsidR="00ED746E">
        <w:rPr>
          <w:rFonts w:ascii="Arial" w:hAnsi="Arial" w:cs="Arial"/>
        </w:rPr>
        <w:t xml:space="preserve">obligations to avoid and </w:t>
      </w:r>
      <w:r w:rsidR="00694DD0">
        <w:rPr>
          <w:rFonts w:ascii="Arial" w:hAnsi="Arial" w:cs="Arial"/>
        </w:rPr>
        <w:t xml:space="preserve">to </w:t>
      </w:r>
      <w:r w:rsidR="00ED746E">
        <w:rPr>
          <w:rFonts w:ascii="Arial" w:hAnsi="Arial" w:cs="Arial"/>
        </w:rPr>
        <w:t>resolve</w:t>
      </w:r>
      <w:r w:rsidR="00B823DD">
        <w:rPr>
          <w:rFonts w:ascii="Arial" w:hAnsi="Arial" w:cs="Arial"/>
        </w:rPr>
        <w:t xml:space="preserve"> </w:t>
      </w:r>
      <w:r w:rsidR="00694DD0">
        <w:rPr>
          <w:rFonts w:ascii="Arial" w:hAnsi="Arial" w:cs="Arial"/>
        </w:rPr>
        <w:t>a conflict</w:t>
      </w:r>
      <w:r>
        <w:rPr>
          <w:rFonts w:ascii="Arial" w:hAnsi="Arial" w:cs="Arial"/>
        </w:rPr>
        <w:t xml:space="preserve"> of interest</w:t>
      </w:r>
      <w:r w:rsidR="00694DD0">
        <w:rPr>
          <w:rFonts w:ascii="Arial" w:hAnsi="Arial" w:cs="Arial"/>
        </w:rPr>
        <w:t>s</w:t>
      </w:r>
      <w:r>
        <w:rPr>
          <w:rFonts w:ascii="Arial" w:hAnsi="Arial" w:cs="Arial"/>
        </w:rPr>
        <w:t>, the clients of one registered attorney are treated as the clients of another registered attorney where those r</w:t>
      </w:r>
      <w:r w:rsidR="001E5125">
        <w:rPr>
          <w:rFonts w:ascii="Arial" w:hAnsi="Arial" w:cs="Arial"/>
        </w:rPr>
        <w:t xml:space="preserve">egistered attorneys </w:t>
      </w:r>
      <w:r>
        <w:rPr>
          <w:rFonts w:ascii="Arial" w:hAnsi="Arial" w:cs="Arial"/>
        </w:rPr>
        <w:t xml:space="preserve">are </w:t>
      </w:r>
      <w:r w:rsidR="007A6D6A">
        <w:rPr>
          <w:rFonts w:ascii="Arial" w:hAnsi="Arial" w:cs="Arial"/>
        </w:rPr>
        <w:t xml:space="preserve">members of a group of </w:t>
      </w:r>
      <w:r w:rsidR="00ED746E">
        <w:rPr>
          <w:rFonts w:ascii="Arial" w:hAnsi="Arial" w:cs="Arial"/>
        </w:rPr>
        <w:t>associated entities</w:t>
      </w:r>
      <w:r w:rsidR="007A6D6A">
        <w:rPr>
          <w:rFonts w:ascii="Arial" w:hAnsi="Arial" w:cs="Arial"/>
        </w:rPr>
        <w:t>, unless the attorneys</w:t>
      </w:r>
      <w:r w:rsidR="00ED746E">
        <w:rPr>
          <w:rFonts w:ascii="Arial" w:hAnsi="Arial" w:cs="Arial"/>
        </w:rPr>
        <w:t xml:space="preserve"> opera</w:t>
      </w:r>
      <w:r w:rsidR="007A6D6A">
        <w:rPr>
          <w:rFonts w:ascii="Arial" w:hAnsi="Arial" w:cs="Arial"/>
        </w:rPr>
        <w:t>te</w:t>
      </w:r>
      <w:r w:rsidR="00961EA6">
        <w:rPr>
          <w:rFonts w:ascii="Arial" w:hAnsi="Arial" w:cs="Arial"/>
        </w:rPr>
        <w:t xml:space="preserve"> independently of each other in the provision of their professional services</w:t>
      </w:r>
      <w:r w:rsidR="001E5125">
        <w:rPr>
          <w:rFonts w:ascii="Arial" w:hAnsi="Arial" w:cs="Arial"/>
        </w:rPr>
        <w:t xml:space="preserve">. </w:t>
      </w:r>
      <w:r w:rsidR="007A6D6A">
        <w:rPr>
          <w:rFonts w:ascii="Arial" w:hAnsi="Arial" w:cs="Arial"/>
        </w:rPr>
        <w:t xml:space="preserve">Registered attorneys will be members of a group of associated entities where they have a </w:t>
      </w:r>
      <w:r w:rsidR="00952EE6">
        <w:rPr>
          <w:rFonts w:ascii="Arial" w:hAnsi="Arial" w:cs="Arial"/>
        </w:rPr>
        <w:t xml:space="preserve">significant </w:t>
      </w:r>
      <w:r w:rsidR="007A6D6A">
        <w:rPr>
          <w:rFonts w:ascii="Arial" w:hAnsi="Arial" w:cs="Arial"/>
        </w:rPr>
        <w:t xml:space="preserve">degree of common ownership or control. </w:t>
      </w:r>
      <w:r w:rsidR="00961EA6">
        <w:rPr>
          <w:rFonts w:ascii="Arial" w:hAnsi="Arial" w:cs="Arial"/>
        </w:rPr>
        <w:t xml:space="preserve">Even where registered attorneys who are </w:t>
      </w:r>
      <w:r w:rsidR="007A6D6A">
        <w:rPr>
          <w:rFonts w:ascii="Arial" w:hAnsi="Arial" w:cs="Arial"/>
        </w:rPr>
        <w:t xml:space="preserve">members of a group of associated entities </w:t>
      </w:r>
      <w:r w:rsidR="00961EA6">
        <w:rPr>
          <w:rFonts w:ascii="Arial" w:hAnsi="Arial" w:cs="Arial"/>
        </w:rPr>
        <w:t>are operating independently of each other</w:t>
      </w:r>
      <w:r w:rsidR="00B823DD">
        <w:rPr>
          <w:rFonts w:ascii="Arial" w:hAnsi="Arial" w:cs="Arial"/>
        </w:rPr>
        <w:t xml:space="preserve">, they must not act in </w:t>
      </w:r>
      <w:r w:rsidR="00961EA6">
        <w:rPr>
          <w:rFonts w:ascii="Arial" w:hAnsi="Arial" w:cs="Arial"/>
        </w:rPr>
        <w:t>contentious matter</w:t>
      </w:r>
      <w:r w:rsidR="00B823DD">
        <w:rPr>
          <w:rFonts w:ascii="Arial" w:hAnsi="Arial" w:cs="Arial"/>
        </w:rPr>
        <w:t>s</w:t>
      </w:r>
      <w:r w:rsidR="00961EA6">
        <w:rPr>
          <w:rFonts w:ascii="Arial" w:hAnsi="Arial" w:cs="Arial"/>
        </w:rPr>
        <w:t xml:space="preserve"> for a client </w:t>
      </w:r>
      <w:r w:rsidR="008333AB">
        <w:rPr>
          <w:rFonts w:ascii="Arial" w:hAnsi="Arial" w:cs="Arial"/>
        </w:rPr>
        <w:t xml:space="preserve">against a client of another </w:t>
      </w:r>
      <w:r w:rsidR="007A6D6A">
        <w:rPr>
          <w:rFonts w:ascii="Arial" w:hAnsi="Arial" w:cs="Arial"/>
        </w:rPr>
        <w:t>member of the group</w:t>
      </w:r>
      <w:r w:rsidR="008333AB">
        <w:rPr>
          <w:rFonts w:ascii="Arial" w:hAnsi="Arial" w:cs="Arial"/>
        </w:rPr>
        <w:t xml:space="preserve"> unless the clients give informed consent.</w:t>
      </w:r>
    </w:p>
    <w:p w:rsidR="004C027F" w:rsidRPr="001D55A2" w:rsidRDefault="004C027F" w:rsidP="004C027F">
      <w:pPr>
        <w:spacing w:before="240"/>
        <w:rPr>
          <w:rFonts w:ascii="Arial" w:hAnsi="Arial" w:cs="Arial"/>
          <w:b/>
        </w:rPr>
      </w:pPr>
      <w:r w:rsidRPr="001D55A2">
        <w:rPr>
          <w:rFonts w:ascii="Arial" w:hAnsi="Arial" w:cs="Arial"/>
          <w:b/>
        </w:rPr>
        <w:t xml:space="preserve">Section </w:t>
      </w:r>
      <w:r>
        <w:rPr>
          <w:rFonts w:ascii="Arial" w:hAnsi="Arial" w:cs="Arial"/>
          <w:b/>
        </w:rPr>
        <w:t>22—Termination of services</w:t>
      </w:r>
    </w:p>
    <w:p w:rsidR="004C027F" w:rsidRPr="00A561EF" w:rsidRDefault="004C027F" w:rsidP="004C027F">
      <w:pPr>
        <w:spacing w:before="120"/>
        <w:rPr>
          <w:rFonts w:ascii="Arial" w:hAnsi="Arial" w:cs="Arial"/>
        </w:rPr>
      </w:pPr>
      <w:r>
        <w:rPr>
          <w:rFonts w:ascii="Arial" w:hAnsi="Arial" w:cs="Arial"/>
        </w:rPr>
        <w:t xml:space="preserve">When registered attorneys cease to act for a client, they must take all reasonable steps to inform the client of the actions required to maintain the client’s intellectual property rights, and must cooperate with the client and its new representative to ensure that the intellectual property rights are maintained during the transfer of responsibility. </w:t>
      </w:r>
    </w:p>
    <w:p w:rsidR="00BF5A2C" w:rsidRPr="00083747" w:rsidRDefault="00BF5A2C" w:rsidP="00083747">
      <w:pPr>
        <w:spacing w:before="360"/>
        <w:rPr>
          <w:rFonts w:ascii="Arial" w:hAnsi="Arial" w:cs="Arial"/>
          <w:b/>
          <w:i/>
          <w:sz w:val="28"/>
          <w:szCs w:val="28"/>
        </w:rPr>
      </w:pPr>
      <w:r w:rsidRPr="00083747">
        <w:rPr>
          <w:rFonts w:ascii="Arial" w:hAnsi="Arial" w:cs="Arial"/>
          <w:b/>
          <w:i/>
          <w:sz w:val="28"/>
          <w:szCs w:val="28"/>
        </w:rPr>
        <w:lastRenderedPageBreak/>
        <w:t>Part 4</w:t>
      </w:r>
      <w:r w:rsidR="00E82EE6" w:rsidRPr="00083747">
        <w:rPr>
          <w:rFonts w:ascii="Arial" w:hAnsi="Arial" w:cs="Arial"/>
          <w:b/>
          <w:i/>
          <w:sz w:val="28"/>
          <w:szCs w:val="28"/>
        </w:rPr>
        <w:t>—</w:t>
      </w:r>
      <w:r w:rsidR="00083747">
        <w:rPr>
          <w:rFonts w:ascii="Arial" w:hAnsi="Arial" w:cs="Arial"/>
          <w:b/>
          <w:i/>
          <w:sz w:val="28"/>
          <w:szCs w:val="28"/>
        </w:rPr>
        <w:t>Practice management</w:t>
      </w:r>
    </w:p>
    <w:p w:rsidR="00994C9D" w:rsidRPr="001D55A2" w:rsidRDefault="009A23FA" w:rsidP="00D945C9">
      <w:pPr>
        <w:spacing w:before="120"/>
        <w:rPr>
          <w:rFonts w:ascii="Arial" w:hAnsi="Arial" w:cs="Arial"/>
        </w:rPr>
      </w:pPr>
      <w:r w:rsidRPr="001D55A2">
        <w:rPr>
          <w:rFonts w:ascii="Arial" w:hAnsi="Arial" w:cs="Arial"/>
        </w:rPr>
        <w:t>Part 4 explain</w:t>
      </w:r>
      <w:r w:rsidR="00994C9D" w:rsidRPr="001D55A2">
        <w:rPr>
          <w:rFonts w:ascii="Arial" w:hAnsi="Arial" w:cs="Arial"/>
        </w:rPr>
        <w:t>s</w:t>
      </w:r>
      <w:r w:rsidRPr="001D55A2">
        <w:rPr>
          <w:rFonts w:ascii="Arial" w:hAnsi="Arial" w:cs="Arial"/>
        </w:rPr>
        <w:t xml:space="preserve"> the </w:t>
      </w:r>
      <w:r w:rsidR="00134E21">
        <w:rPr>
          <w:rFonts w:ascii="Arial" w:hAnsi="Arial" w:cs="Arial"/>
        </w:rPr>
        <w:t xml:space="preserve">information about ownership that registered attorneys must provide to the public, the manner in which registered attorneys must deal with a client’s funds and property, and the obligation on registered attorneys to inform the Board of their current address. </w:t>
      </w:r>
    </w:p>
    <w:p w:rsidR="00083747" w:rsidRPr="001D55A2" w:rsidRDefault="00083747" w:rsidP="00083747">
      <w:pPr>
        <w:spacing w:before="240"/>
        <w:rPr>
          <w:rFonts w:ascii="Arial" w:hAnsi="Arial" w:cs="Arial"/>
          <w:b/>
        </w:rPr>
      </w:pPr>
      <w:r w:rsidRPr="001D55A2">
        <w:rPr>
          <w:rFonts w:ascii="Arial" w:hAnsi="Arial" w:cs="Arial"/>
          <w:b/>
        </w:rPr>
        <w:t xml:space="preserve">Section </w:t>
      </w:r>
      <w:r>
        <w:rPr>
          <w:rFonts w:ascii="Arial" w:hAnsi="Arial" w:cs="Arial"/>
          <w:b/>
        </w:rPr>
        <w:t>23—Ownership</w:t>
      </w:r>
    </w:p>
    <w:p w:rsidR="00083747" w:rsidRPr="00A561EF" w:rsidRDefault="001224F3" w:rsidP="00083747">
      <w:pPr>
        <w:spacing w:before="120"/>
        <w:rPr>
          <w:rFonts w:ascii="Arial" w:hAnsi="Arial" w:cs="Arial"/>
        </w:rPr>
      </w:pPr>
      <w:r>
        <w:rPr>
          <w:rFonts w:ascii="Arial" w:hAnsi="Arial" w:cs="Arial"/>
        </w:rPr>
        <w:t>R</w:t>
      </w:r>
      <w:r w:rsidR="00083747">
        <w:rPr>
          <w:rFonts w:ascii="Arial" w:hAnsi="Arial" w:cs="Arial"/>
        </w:rPr>
        <w:t xml:space="preserve">egistered attorneys </w:t>
      </w:r>
      <w:r>
        <w:rPr>
          <w:rFonts w:ascii="Arial" w:hAnsi="Arial" w:cs="Arial"/>
        </w:rPr>
        <w:t xml:space="preserve">that are members of a group of associated entities (in the sense of having a </w:t>
      </w:r>
      <w:r w:rsidR="00FB596D">
        <w:rPr>
          <w:rFonts w:ascii="Arial" w:hAnsi="Arial" w:cs="Arial"/>
        </w:rPr>
        <w:t xml:space="preserve">significant </w:t>
      </w:r>
      <w:r>
        <w:rPr>
          <w:rFonts w:ascii="Arial" w:hAnsi="Arial" w:cs="Arial"/>
        </w:rPr>
        <w:t xml:space="preserve">degree of common ownership or control) must clearly disclose to the public that fact and the </w:t>
      </w:r>
      <w:r w:rsidR="00C3357E">
        <w:rPr>
          <w:rFonts w:ascii="Arial" w:hAnsi="Arial" w:cs="Arial"/>
        </w:rPr>
        <w:t>identity of the members of the</w:t>
      </w:r>
      <w:r w:rsidR="001C45DC">
        <w:rPr>
          <w:rFonts w:ascii="Arial" w:hAnsi="Arial" w:cs="Arial"/>
        </w:rPr>
        <w:t xml:space="preserve"> group</w:t>
      </w:r>
      <w:r w:rsidR="00083747">
        <w:rPr>
          <w:rFonts w:ascii="Arial" w:hAnsi="Arial" w:cs="Arial"/>
        </w:rPr>
        <w:t xml:space="preserve">. </w:t>
      </w:r>
    </w:p>
    <w:p w:rsidR="00F328B4" w:rsidRPr="001D55A2" w:rsidRDefault="00F328B4" w:rsidP="00F328B4">
      <w:pPr>
        <w:spacing w:before="240"/>
        <w:rPr>
          <w:rFonts w:ascii="Arial" w:hAnsi="Arial" w:cs="Arial"/>
          <w:b/>
        </w:rPr>
      </w:pPr>
      <w:r w:rsidRPr="001D55A2">
        <w:rPr>
          <w:rFonts w:ascii="Arial" w:hAnsi="Arial" w:cs="Arial"/>
          <w:b/>
        </w:rPr>
        <w:t xml:space="preserve">Section </w:t>
      </w:r>
      <w:r>
        <w:rPr>
          <w:rFonts w:ascii="Arial" w:hAnsi="Arial" w:cs="Arial"/>
          <w:b/>
        </w:rPr>
        <w:t>24—Funds</w:t>
      </w:r>
    </w:p>
    <w:p w:rsidR="00F328B4" w:rsidRPr="00A561EF" w:rsidRDefault="00F328B4" w:rsidP="00F328B4">
      <w:pPr>
        <w:spacing w:before="120"/>
        <w:rPr>
          <w:rFonts w:ascii="Arial" w:hAnsi="Arial" w:cs="Arial"/>
        </w:rPr>
      </w:pPr>
      <w:r>
        <w:rPr>
          <w:rFonts w:ascii="Arial" w:hAnsi="Arial" w:cs="Arial"/>
        </w:rPr>
        <w:t xml:space="preserve">Registered attorneys must account for </w:t>
      </w:r>
      <w:r w:rsidR="009B3FD9">
        <w:rPr>
          <w:rFonts w:ascii="Arial" w:hAnsi="Arial" w:cs="Arial"/>
        </w:rPr>
        <w:t>a client’s</w:t>
      </w:r>
      <w:r>
        <w:rPr>
          <w:rFonts w:ascii="Arial" w:hAnsi="Arial" w:cs="Arial"/>
        </w:rPr>
        <w:t xml:space="preserve"> funds, </w:t>
      </w:r>
      <w:r w:rsidR="009B3FD9">
        <w:rPr>
          <w:rFonts w:ascii="Arial" w:hAnsi="Arial" w:cs="Arial"/>
        </w:rPr>
        <w:t xml:space="preserve">and must </w:t>
      </w:r>
      <w:r>
        <w:rPr>
          <w:rFonts w:ascii="Arial" w:hAnsi="Arial" w:cs="Arial"/>
        </w:rPr>
        <w:t xml:space="preserve">apply those funds </w:t>
      </w:r>
      <w:r w:rsidR="009B3FD9">
        <w:rPr>
          <w:rFonts w:ascii="Arial" w:hAnsi="Arial" w:cs="Arial"/>
        </w:rPr>
        <w:t>only for</w:t>
      </w:r>
      <w:r>
        <w:rPr>
          <w:rFonts w:ascii="Arial" w:hAnsi="Arial" w:cs="Arial"/>
        </w:rPr>
        <w:t xml:space="preserve"> the purpose for which they were provided</w:t>
      </w:r>
      <w:r w:rsidR="009B3FD9">
        <w:rPr>
          <w:rFonts w:ascii="Arial" w:hAnsi="Arial" w:cs="Arial"/>
        </w:rPr>
        <w:t xml:space="preserve"> or as directed by the client</w:t>
      </w:r>
      <w:r>
        <w:rPr>
          <w:rFonts w:ascii="Arial" w:hAnsi="Arial" w:cs="Arial"/>
        </w:rPr>
        <w:t xml:space="preserve">. </w:t>
      </w:r>
    </w:p>
    <w:p w:rsidR="007959B2" w:rsidRPr="001D55A2" w:rsidRDefault="007959B2" w:rsidP="007959B2">
      <w:pPr>
        <w:spacing w:before="240"/>
        <w:rPr>
          <w:rFonts w:ascii="Arial" w:hAnsi="Arial" w:cs="Arial"/>
          <w:b/>
        </w:rPr>
      </w:pPr>
      <w:r w:rsidRPr="001D55A2">
        <w:rPr>
          <w:rFonts w:ascii="Arial" w:hAnsi="Arial" w:cs="Arial"/>
          <w:b/>
        </w:rPr>
        <w:t xml:space="preserve">Section </w:t>
      </w:r>
      <w:r w:rsidR="004172E7">
        <w:rPr>
          <w:rFonts w:ascii="Arial" w:hAnsi="Arial" w:cs="Arial"/>
          <w:b/>
        </w:rPr>
        <w:t>25</w:t>
      </w:r>
      <w:r>
        <w:rPr>
          <w:rFonts w:ascii="Arial" w:hAnsi="Arial" w:cs="Arial"/>
          <w:b/>
        </w:rPr>
        <w:t>—Client property</w:t>
      </w:r>
    </w:p>
    <w:p w:rsidR="007959B2" w:rsidRDefault="007959B2" w:rsidP="007959B2">
      <w:pPr>
        <w:spacing w:before="120"/>
        <w:rPr>
          <w:rFonts w:ascii="Arial" w:hAnsi="Arial" w:cs="Arial"/>
        </w:rPr>
      </w:pPr>
      <w:r>
        <w:rPr>
          <w:rFonts w:ascii="Arial" w:hAnsi="Arial" w:cs="Arial"/>
        </w:rPr>
        <w:t>Registered attorneys must, upon request, provide to a client material that is the client’s property or to which the client has a right of access, subject to a</w:t>
      </w:r>
      <w:r w:rsidR="00462410">
        <w:rPr>
          <w:rFonts w:ascii="Arial" w:hAnsi="Arial" w:cs="Arial"/>
        </w:rPr>
        <w:t>ny</w:t>
      </w:r>
      <w:r>
        <w:rPr>
          <w:rFonts w:ascii="Arial" w:hAnsi="Arial" w:cs="Arial"/>
        </w:rPr>
        <w:t xml:space="preserve"> lien </w:t>
      </w:r>
      <w:r w:rsidR="00462410">
        <w:rPr>
          <w:rFonts w:ascii="Arial" w:hAnsi="Arial" w:cs="Arial"/>
        </w:rPr>
        <w:t>over that material</w:t>
      </w:r>
      <w:r>
        <w:rPr>
          <w:rFonts w:ascii="Arial" w:hAnsi="Arial" w:cs="Arial"/>
        </w:rPr>
        <w:t xml:space="preserve">. </w:t>
      </w:r>
    </w:p>
    <w:p w:rsidR="004172E7" w:rsidRPr="001D55A2" w:rsidRDefault="004172E7" w:rsidP="004172E7">
      <w:pPr>
        <w:spacing w:before="240"/>
        <w:rPr>
          <w:rFonts w:ascii="Arial" w:hAnsi="Arial" w:cs="Arial"/>
          <w:b/>
        </w:rPr>
      </w:pPr>
      <w:r w:rsidRPr="001D55A2">
        <w:rPr>
          <w:rFonts w:ascii="Arial" w:hAnsi="Arial" w:cs="Arial"/>
          <w:b/>
        </w:rPr>
        <w:t xml:space="preserve">Section </w:t>
      </w:r>
      <w:r>
        <w:rPr>
          <w:rFonts w:ascii="Arial" w:hAnsi="Arial" w:cs="Arial"/>
          <w:b/>
        </w:rPr>
        <w:t>26—Address</w:t>
      </w:r>
    </w:p>
    <w:p w:rsidR="007E3D15" w:rsidRPr="001D55A2" w:rsidRDefault="004172E7" w:rsidP="00C3357E">
      <w:pPr>
        <w:spacing w:before="120"/>
        <w:rPr>
          <w:rFonts w:ascii="Arial" w:hAnsi="Arial" w:cs="Arial"/>
        </w:rPr>
      </w:pPr>
      <w:r>
        <w:rPr>
          <w:rFonts w:ascii="Arial" w:hAnsi="Arial" w:cs="Arial"/>
        </w:rPr>
        <w:t xml:space="preserve">Registered attorneys must have, and </w:t>
      </w:r>
      <w:r w:rsidR="00B823DD">
        <w:rPr>
          <w:rFonts w:ascii="Arial" w:hAnsi="Arial" w:cs="Arial"/>
        </w:rPr>
        <w:t xml:space="preserve">must </w:t>
      </w:r>
      <w:r>
        <w:rPr>
          <w:rFonts w:ascii="Arial" w:hAnsi="Arial" w:cs="Arial"/>
        </w:rPr>
        <w:t xml:space="preserve">notify the Board of, a current address at </w:t>
      </w:r>
      <w:r w:rsidR="00B823DD">
        <w:rPr>
          <w:rFonts w:ascii="Arial" w:hAnsi="Arial" w:cs="Arial"/>
        </w:rPr>
        <w:t>which notices can be served.</w:t>
      </w:r>
    </w:p>
    <w:p w:rsidR="005C4F3B" w:rsidRPr="00E04051" w:rsidRDefault="005C4F3B" w:rsidP="005C4F3B">
      <w:pPr>
        <w:spacing w:before="360"/>
        <w:rPr>
          <w:rFonts w:ascii="Arial" w:hAnsi="Arial" w:cs="Arial"/>
          <w:b/>
          <w:i/>
          <w:sz w:val="28"/>
          <w:szCs w:val="28"/>
        </w:rPr>
      </w:pPr>
      <w:r w:rsidRPr="00E04051">
        <w:rPr>
          <w:rFonts w:ascii="Arial" w:hAnsi="Arial" w:cs="Arial"/>
          <w:b/>
          <w:i/>
          <w:sz w:val="28"/>
          <w:szCs w:val="28"/>
        </w:rPr>
        <w:t>Part 5—Complaints and disciplinary proceedings</w:t>
      </w:r>
    </w:p>
    <w:p w:rsidR="005C4F3B" w:rsidRPr="00E04051" w:rsidRDefault="00E04051" w:rsidP="005C4F3B">
      <w:pPr>
        <w:spacing w:before="120"/>
        <w:rPr>
          <w:rFonts w:ascii="Arial" w:hAnsi="Arial" w:cs="Arial"/>
        </w:rPr>
      </w:pPr>
      <w:r>
        <w:rPr>
          <w:rFonts w:ascii="Arial" w:hAnsi="Arial" w:cs="Arial"/>
        </w:rPr>
        <w:t>Part 5</w:t>
      </w:r>
      <w:r w:rsidR="005C4F3B" w:rsidRPr="00E04051">
        <w:rPr>
          <w:rFonts w:ascii="Arial" w:hAnsi="Arial" w:cs="Arial"/>
        </w:rPr>
        <w:t xml:space="preserve"> explains how complaints </w:t>
      </w:r>
      <w:r>
        <w:rPr>
          <w:rFonts w:ascii="Arial" w:hAnsi="Arial" w:cs="Arial"/>
        </w:rPr>
        <w:t xml:space="preserve">against registered attorneys may be made, and how and by whom </w:t>
      </w:r>
      <w:r w:rsidR="005C4F3B" w:rsidRPr="00E04051">
        <w:rPr>
          <w:rFonts w:ascii="Arial" w:hAnsi="Arial" w:cs="Arial"/>
        </w:rPr>
        <w:t xml:space="preserve">disciplinary proceedings </w:t>
      </w:r>
      <w:r>
        <w:rPr>
          <w:rFonts w:ascii="Arial" w:hAnsi="Arial" w:cs="Arial"/>
        </w:rPr>
        <w:t xml:space="preserve">against registered attorneys </w:t>
      </w:r>
      <w:r w:rsidR="005C4F3B" w:rsidRPr="00E04051">
        <w:rPr>
          <w:rFonts w:ascii="Arial" w:hAnsi="Arial" w:cs="Arial"/>
        </w:rPr>
        <w:t xml:space="preserve">are initiated. </w:t>
      </w:r>
    </w:p>
    <w:p w:rsidR="00E04051" w:rsidRPr="001D55A2" w:rsidRDefault="00E04051" w:rsidP="00E04051">
      <w:pPr>
        <w:spacing w:before="240"/>
        <w:rPr>
          <w:rFonts w:ascii="Arial" w:hAnsi="Arial" w:cs="Arial"/>
          <w:b/>
        </w:rPr>
      </w:pPr>
      <w:r w:rsidRPr="001D55A2">
        <w:rPr>
          <w:rFonts w:ascii="Arial" w:hAnsi="Arial" w:cs="Arial"/>
          <w:b/>
        </w:rPr>
        <w:t xml:space="preserve">Section </w:t>
      </w:r>
      <w:r>
        <w:rPr>
          <w:rFonts w:ascii="Arial" w:hAnsi="Arial" w:cs="Arial"/>
          <w:b/>
        </w:rPr>
        <w:t>27—Complaints</w:t>
      </w:r>
    </w:p>
    <w:p w:rsidR="00E04051" w:rsidRDefault="00E04051" w:rsidP="00E04051">
      <w:pPr>
        <w:spacing w:before="120"/>
        <w:rPr>
          <w:rFonts w:ascii="Arial" w:hAnsi="Arial" w:cs="Arial"/>
        </w:rPr>
      </w:pPr>
      <w:r>
        <w:rPr>
          <w:rFonts w:ascii="Arial" w:hAnsi="Arial" w:cs="Arial"/>
        </w:rPr>
        <w:t>Complaints about registered attorneys may be made to the Board by any person.</w:t>
      </w:r>
    </w:p>
    <w:p w:rsidR="00E04051" w:rsidRPr="001D55A2" w:rsidRDefault="00E04051" w:rsidP="00E04051">
      <w:pPr>
        <w:spacing w:before="240"/>
        <w:rPr>
          <w:rFonts w:ascii="Arial" w:hAnsi="Arial" w:cs="Arial"/>
          <w:b/>
        </w:rPr>
      </w:pPr>
      <w:r w:rsidRPr="001D55A2">
        <w:rPr>
          <w:rFonts w:ascii="Arial" w:hAnsi="Arial" w:cs="Arial"/>
          <w:b/>
        </w:rPr>
        <w:t xml:space="preserve">Section </w:t>
      </w:r>
      <w:r>
        <w:rPr>
          <w:rFonts w:ascii="Arial" w:hAnsi="Arial" w:cs="Arial"/>
          <w:b/>
        </w:rPr>
        <w:t>28—</w:t>
      </w:r>
      <w:r w:rsidR="00721C1D">
        <w:rPr>
          <w:rFonts w:ascii="Arial" w:hAnsi="Arial" w:cs="Arial"/>
          <w:b/>
        </w:rPr>
        <w:t>Disciplinary proceeding</w:t>
      </w:r>
      <w:r>
        <w:rPr>
          <w:rFonts w:ascii="Arial" w:hAnsi="Arial" w:cs="Arial"/>
          <w:b/>
        </w:rPr>
        <w:t>s</w:t>
      </w:r>
    </w:p>
    <w:p w:rsidR="00E04051" w:rsidRDefault="00E04051" w:rsidP="00E04051">
      <w:pPr>
        <w:spacing w:before="120"/>
        <w:rPr>
          <w:rFonts w:ascii="Arial" w:hAnsi="Arial" w:cs="Arial"/>
        </w:rPr>
      </w:pPr>
      <w:r>
        <w:rPr>
          <w:rFonts w:ascii="Arial" w:hAnsi="Arial" w:cs="Arial"/>
        </w:rPr>
        <w:t xml:space="preserve">The Board has the sole responsibility for commencing and conducting disciplinary proceedings against registered attorneys, and can do so as </w:t>
      </w:r>
      <w:r w:rsidR="00C24B47">
        <w:rPr>
          <w:rFonts w:ascii="Arial" w:hAnsi="Arial" w:cs="Arial"/>
        </w:rPr>
        <w:t xml:space="preserve">a </w:t>
      </w:r>
      <w:r>
        <w:rPr>
          <w:rFonts w:ascii="Arial" w:hAnsi="Arial" w:cs="Arial"/>
        </w:rPr>
        <w:t>result of information received or on its own initiative.</w:t>
      </w:r>
      <w:r w:rsidR="003A42AF">
        <w:rPr>
          <w:rFonts w:ascii="Arial" w:hAnsi="Arial" w:cs="Arial"/>
        </w:rPr>
        <w:t xml:space="preserve"> Disciplinary proceedings are conducted before the Trans-Tasman IP Attorneys Disciplinary Tribunal (‘the Tribunal’). If satisfied that there is a reasonable likelihood of an individual registered attorney being found guilty of unsatisfactory conduct</w:t>
      </w:r>
      <w:r w:rsidR="00C24B47">
        <w:rPr>
          <w:rFonts w:ascii="Arial" w:hAnsi="Arial" w:cs="Arial"/>
        </w:rPr>
        <w:t>,</w:t>
      </w:r>
      <w:r w:rsidR="003A42AF">
        <w:rPr>
          <w:rFonts w:ascii="Arial" w:hAnsi="Arial" w:cs="Arial"/>
        </w:rPr>
        <w:t xml:space="preserve"> the Board may commence proceedings before the Tribunal. If satisfied that there is a reasonable likelihood of an individual registered attorney being found guilty of professional misconduct</w:t>
      </w:r>
      <w:r w:rsidR="00C24B47">
        <w:rPr>
          <w:rFonts w:ascii="Arial" w:hAnsi="Arial" w:cs="Arial"/>
        </w:rPr>
        <w:t>,</w:t>
      </w:r>
      <w:r w:rsidR="003A42AF">
        <w:rPr>
          <w:rFonts w:ascii="Arial" w:hAnsi="Arial" w:cs="Arial"/>
        </w:rPr>
        <w:t xml:space="preserve"> the Board must commence proceedings before the Tribunal. </w:t>
      </w:r>
      <w:r w:rsidR="003F1931">
        <w:rPr>
          <w:rFonts w:ascii="Arial" w:hAnsi="Arial" w:cs="Arial"/>
        </w:rPr>
        <w:t>Where an individual registered attorney’s registration has been cancelled or suspended because of being found guilty of professional misconduct, the Board may apply to the Tribunal to cancel or suspend the registration of an incorporated attorney of which the individual was an employee or officer when the professional misconduct occurred.</w:t>
      </w:r>
    </w:p>
    <w:p w:rsidR="00C3357E" w:rsidRPr="00E04051" w:rsidRDefault="00C3357E" w:rsidP="00C3357E">
      <w:pPr>
        <w:spacing w:before="360"/>
        <w:rPr>
          <w:rFonts w:ascii="Arial" w:hAnsi="Arial" w:cs="Arial"/>
          <w:b/>
          <w:i/>
          <w:sz w:val="28"/>
          <w:szCs w:val="28"/>
        </w:rPr>
      </w:pPr>
      <w:r>
        <w:rPr>
          <w:rFonts w:ascii="Arial" w:hAnsi="Arial" w:cs="Arial"/>
          <w:b/>
          <w:i/>
          <w:sz w:val="28"/>
          <w:szCs w:val="28"/>
        </w:rPr>
        <w:lastRenderedPageBreak/>
        <w:t>Schedule 1</w:t>
      </w:r>
      <w:r w:rsidRPr="00E04051">
        <w:rPr>
          <w:rFonts w:ascii="Arial" w:hAnsi="Arial" w:cs="Arial"/>
          <w:b/>
          <w:i/>
          <w:sz w:val="28"/>
          <w:szCs w:val="28"/>
        </w:rPr>
        <w:t>—</w:t>
      </w:r>
      <w:r>
        <w:rPr>
          <w:rFonts w:ascii="Arial" w:hAnsi="Arial" w:cs="Arial"/>
          <w:b/>
          <w:i/>
          <w:sz w:val="28"/>
          <w:szCs w:val="28"/>
        </w:rPr>
        <w:t>Repeals</w:t>
      </w:r>
    </w:p>
    <w:p w:rsidR="00C3357E" w:rsidRDefault="00F872D2" w:rsidP="00E04051">
      <w:pPr>
        <w:spacing w:before="120"/>
        <w:rPr>
          <w:rFonts w:ascii="Arial" w:hAnsi="Arial" w:cs="Arial"/>
          <w:b/>
        </w:rPr>
      </w:pPr>
      <w:r>
        <w:rPr>
          <w:rFonts w:ascii="Arial" w:hAnsi="Arial" w:cs="Arial"/>
          <w:b/>
        </w:rPr>
        <w:t>Clause</w:t>
      </w:r>
      <w:r w:rsidRPr="001D55A2">
        <w:rPr>
          <w:rFonts w:ascii="Arial" w:hAnsi="Arial" w:cs="Arial"/>
          <w:b/>
        </w:rPr>
        <w:t xml:space="preserve"> </w:t>
      </w:r>
      <w:r>
        <w:rPr>
          <w:rFonts w:ascii="Arial" w:hAnsi="Arial" w:cs="Arial"/>
          <w:b/>
        </w:rPr>
        <w:t>1—</w:t>
      </w:r>
      <w:r w:rsidRPr="00F872D2">
        <w:rPr>
          <w:rFonts w:ascii="Arial" w:hAnsi="Arial" w:cs="Arial"/>
          <w:b/>
          <w:i/>
        </w:rPr>
        <w:t>Code of Conduct for Patents and Trade Marks Attorneys 2013</w:t>
      </w:r>
    </w:p>
    <w:p w:rsidR="00F872D2" w:rsidRDefault="00F872D2" w:rsidP="00E04051">
      <w:pPr>
        <w:spacing w:before="120"/>
        <w:rPr>
          <w:rFonts w:ascii="Arial" w:hAnsi="Arial" w:cs="Arial"/>
        </w:rPr>
      </w:pPr>
      <w:r>
        <w:rPr>
          <w:rFonts w:ascii="Arial" w:hAnsi="Arial" w:cs="Arial"/>
        </w:rPr>
        <w:t>The previous Code is repealed by the Code of Conduct.</w:t>
      </w:r>
    </w:p>
    <w:p w:rsidR="00F0083F" w:rsidRPr="00F0083F" w:rsidRDefault="00F0083F" w:rsidP="004D586E">
      <w:pPr>
        <w:spacing w:before="240"/>
        <w:jc w:val="right"/>
        <w:rPr>
          <w:rFonts w:ascii="Arial" w:hAnsi="Arial" w:cs="Arial"/>
          <w:b/>
          <w:u w:val="single"/>
        </w:rPr>
      </w:pPr>
      <w:r>
        <w:rPr>
          <w:rFonts w:ascii="Arial" w:hAnsi="Arial" w:cs="Arial"/>
        </w:rPr>
        <w:br w:type="page"/>
      </w:r>
      <w:r w:rsidRPr="00F0083F">
        <w:rPr>
          <w:rFonts w:ascii="Arial" w:hAnsi="Arial" w:cs="Arial"/>
          <w:b/>
          <w:u w:val="single"/>
        </w:rPr>
        <w:lastRenderedPageBreak/>
        <w:t>Attachment B</w:t>
      </w:r>
      <w:r>
        <w:rPr>
          <w:rFonts w:ascii="Arial" w:hAnsi="Arial" w:cs="Arial"/>
          <w:b/>
          <w:u w:val="single"/>
        </w:rPr>
        <w:t>:</w:t>
      </w:r>
      <w:r w:rsidRPr="00F0083F">
        <w:rPr>
          <w:rFonts w:ascii="Arial" w:hAnsi="Arial" w:cs="Arial"/>
          <w:b/>
          <w:u w:val="single"/>
        </w:rPr>
        <w:t xml:space="preserve"> Statement of </w:t>
      </w:r>
      <w:r w:rsidR="005C4F3B">
        <w:rPr>
          <w:rFonts w:ascii="Arial" w:hAnsi="Arial" w:cs="Arial"/>
          <w:b/>
          <w:u w:val="single"/>
        </w:rPr>
        <w:t>Compatibility with Human Rights</w:t>
      </w:r>
    </w:p>
    <w:p w:rsidR="00F0083F" w:rsidRDefault="00F0083F" w:rsidP="004D586E">
      <w:pPr>
        <w:spacing w:before="240"/>
        <w:rPr>
          <w:rFonts w:ascii="Arial" w:hAnsi="Arial" w:cs="Arial"/>
        </w:rPr>
      </w:pPr>
    </w:p>
    <w:p w:rsidR="00786C2F" w:rsidRPr="00DB6C43" w:rsidRDefault="00786C2F" w:rsidP="00786C2F">
      <w:pPr>
        <w:jc w:val="center"/>
        <w:rPr>
          <w:rFonts w:ascii="Arial" w:hAnsi="Arial" w:cs="Arial"/>
          <w:b/>
          <w:sz w:val="28"/>
          <w:szCs w:val="28"/>
        </w:rPr>
      </w:pPr>
      <w:r w:rsidRPr="00DB6C43">
        <w:rPr>
          <w:rFonts w:ascii="Arial" w:hAnsi="Arial" w:cs="Arial"/>
          <w:b/>
          <w:sz w:val="28"/>
          <w:szCs w:val="28"/>
        </w:rPr>
        <w:t>Statement of Compatibility with Human Rights</w:t>
      </w:r>
    </w:p>
    <w:p w:rsidR="00786C2F" w:rsidRPr="00DB6C43" w:rsidRDefault="00786C2F" w:rsidP="00786C2F">
      <w:pPr>
        <w:jc w:val="center"/>
        <w:rPr>
          <w:rFonts w:ascii="Arial" w:hAnsi="Arial" w:cs="Arial"/>
          <w:b/>
          <w:sz w:val="28"/>
          <w:szCs w:val="28"/>
        </w:rPr>
      </w:pPr>
    </w:p>
    <w:p w:rsidR="00786C2F" w:rsidRDefault="00786C2F" w:rsidP="00786C2F">
      <w:pPr>
        <w:jc w:val="center"/>
        <w:rPr>
          <w:rFonts w:ascii="Arial" w:hAnsi="Arial" w:cs="Arial"/>
          <w:i/>
        </w:rPr>
      </w:pPr>
      <w:r w:rsidRPr="00DB6C43">
        <w:rPr>
          <w:rFonts w:ascii="Arial" w:hAnsi="Arial" w:cs="Arial"/>
          <w:i/>
        </w:rPr>
        <w:t xml:space="preserve">Prepared in accordance with Part 3 of the </w:t>
      </w:r>
    </w:p>
    <w:p w:rsidR="00786C2F" w:rsidRPr="00DB6C43" w:rsidRDefault="00786C2F" w:rsidP="00786C2F">
      <w:pPr>
        <w:jc w:val="center"/>
        <w:rPr>
          <w:rFonts w:ascii="Arial" w:hAnsi="Arial" w:cs="Arial"/>
          <w:i/>
        </w:rPr>
      </w:pPr>
      <w:r w:rsidRPr="00DB6C43">
        <w:rPr>
          <w:rFonts w:ascii="Arial" w:hAnsi="Arial" w:cs="Arial"/>
          <w:i/>
        </w:rPr>
        <w:t>Human Rights (Parliamentary Scrutiny) Act 2011</w:t>
      </w:r>
    </w:p>
    <w:p w:rsidR="00786C2F" w:rsidRPr="00DB6C43" w:rsidRDefault="00786C2F" w:rsidP="00786C2F">
      <w:pPr>
        <w:jc w:val="center"/>
        <w:rPr>
          <w:rFonts w:ascii="Arial" w:hAnsi="Arial" w:cs="Arial"/>
          <w:b/>
        </w:rPr>
      </w:pPr>
    </w:p>
    <w:p w:rsidR="00786C2F" w:rsidRPr="00DB6C43" w:rsidRDefault="00786C2F" w:rsidP="00786C2F">
      <w:pPr>
        <w:jc w:val="center"/>
        <w:rPr>
          <w:rFonts w:ascii="Arial" w:hAnsi="Arial" w:cs="Arial"/>
          <w:b/>
        </w:rPr>
      </w:pPr>
      <w:r w:rsidRPr="00DB6C43">
        <w:rPr>
          <w:rFonts w:ascii="Arial" w:hAnsi="Arial" w:cs="Arial"/>
          <w:b/>
        </w:rPr>
        <w:t xml:space="preserve">Code of Conduct for </w:t>
      </w:r>
      <w:r w:rsidR="005C4F3B">
        <w:rPr>
          <w:rFonts w:ascii="Arial" w:hAnsi="Arial" w:cs="Arial"/>
          <w:b/>
        </w:rPr>
        <w:t xml:space="preserve">Trans-Tasman </w:t>
      </w:r>
      <w:r w:rsidRPr="00DB6C43">
        <w:rPr>
          <w:rFonts w:ascii="Arial" w:hAnsi="Arial" w:cs="Arial"/>
          <w:b/>
        </w:rPr>
        <w:t>Paten</w:t>
      </w:r>
      <w:r w:rsidR="005C4F3B">
        <w:rPr>
          <w:rFonts w:ascii="Arial" w:hAnsi="Arial" w:cs="Arial"/>
          <w:b/>
        </w:rPr>
        <w:t>t and Trade Marks Attorneys 2018</w:t>
      </w:r>
    </w:p>
    <w:p w:rsidR="00786C2F" w:rsidRPr="00DB6C43" w:rsidRDefault="00786C2F" w:rsidP="00786C2F">
      <w:pPr>
        <w:rPr>
          <w:rFonts w:ascii="Arial" w:hAnsi="Arial" w:cs="Arial"/>
          <w:b/>
        </w:rPr>
      </w:pPr>
    </w:p>
    <w:p w:rsidR="00786C2F" w:rsidRPr="00DB6C43" w:rsidRDefault="00786C2F" w:rsidP="00786C2F">
      <w:pPr>
        <w:rPr>
          <w:rFonts w:ascii="Arial" w:hAnsi="Arial" w:cs="Arial"/>
        </w:rPr>
      </w:pPr>
      <w:r w:rsidRPr="00DB6C43">
        <w:rPr>
          <w:rFonts w:ascii="Arial" w:hAnsi="Arial" w:cs="Arial"/>
        </w:rPr>
        <w:t xml:space="preserve">This Legislative Instrument is compatible with the human rights and freedoms recognised or declared in the international instruments listed in section 3 of the </w:t>
      </w:r>
      <w:r w:rsidRPr="00DB6C43">
        <w:rPr>
          <w:rFonts w:ascii="Arial" w:hAnsi="Arial" w:cs="Arial"/>
          <w:i/>
        </w:rPr>
        <w:t>Human Rights (Parliamentary Scrutiny) Act 2011</w:t>
      </w:r>
      <w:r w:rsidRPr="00DB6C43">
        <w:rPr>
          <w:rFonts w:ascii="Arial" w:hAnsi="Arial" w:cs="Arial"/>
        </w:rPr>
        <w:t>.</w:t>
      </w:r>
    </w:p>
    <w:p w:rsidR="00786C2F" w:rsidRPr="00DB6C43" w:rsidRDefault="00786C2F" w:rsidP="00786C2F">
      <w:pPr>
        <w:jc w:val="center"/>
        <w:rPr>
          <w:rFonts w:ascii="Arial" w:hAnsi="Arial" w:cs="Arial"/>
        </w:rPr>
      </w:pPr>
    </w:p>
    <w:p w:rsidR="00786C2F" w:rsidRPr="00DB6C43" w:rsidRDefault="00786C2F" w:rsidP="00786C2F">
      <w:pPr>
        <w:jc w:val="both"/>
        <w:rPr>
          <w:rFonts w:ascii="Arial" w:hAnsi="Arial" w:cs="Arial"/>
          <w:b/>
        </w:rPr>
      </w:pPr>
      <w:r w:rsidRPr="00DB6C43">
        <w:rPr>
          <w:rFonts w:ascii="Arial" w:hAnsi="Arial" w:cs="Arial"/>
          <w:b/>
        </w:rPr>
        <w:t>Overview of the Legislative Instrument</w:t>
      </w:r>
    </w:p>
    <w:p w:rsidR="00786C2F" w:rsidRPr="00DB6C43" w:rsidRDefault="00786C2F" w:rsidP="00786C2F">
      <w:pPr>
        <w:rPr>
          <w:rFonts w:ascii="Arial" w:hAnsi="Arial" w:cs="Arial"/>
        </w:rPr>
      </w:pPr>
    </w:p>
    <w:p w:rsidR="00786C2F" w:rsidRPr="00DB6C43" w:rsidRDefault="00786C2F" w:rsidP="00786C2F">
      <w:pPr>
        <w:rPr>
          <w:rFonts w:ascii="Arial" w:hAnsi="Arial" w:cs="Arial"/>
        </w:rPr>
      </w:pPr>
      <w:r w:rsidRPr="00DB6C43">
        <w:rPr>
          <w:rFonts w:ascii="Arial" w:hAnsi="Arial" w:cs="Arial"/>
        </w:rPr>
        <w:t xml:space="preserve">The </w:t>
      </w:r>
      <w:r w:rsidRPr="00DB6C43">
        <w:rPr>
          <w:rFonts w:ascii="Arial" w:hAnsi="Arial" w:cs="Arial"/>
          <w:i/>
        </w:rPr>
        <w:t xml:space="preserve">Code of Conduct for </w:t>
      </w:r>
      <w:r w:rsidR="000713FD">
        <w:rPr>
          <w:rFonts w:ascii="Arial" w:hAnsi="Arial" w:cs="Arial"/>
          <w:i/>
        </w:rPr>
        <w:t xml:space="preserve">Trans-Tasman </w:t>
      </w:r>
      <w:r w:rsidRPr="00DB6C43">
        <w:rPr>
          <w:rFonts w:ascii="Arial" w:hAnsi="Arial" w:cs="Arial"/>
          <w:i/>
        </w:rPr>
        <w:t>Patent and Trade Marks Attorneys 201</w:t>
      </w:r>
      <w:r w:rsidR="000713FD">
        <w:rPr>
          <w:rFonts w:ascii="Arial" w:hAnsi="Arial" w:cs="Arial"/>
          <w:i/>
        </w:rPr>
        <w:t>8</w:t>
      </w:r>
      <w:r>
        <w:rPr>
          <w:rFonts w:ascii="Arial" w:hAnsi="Arial" w:cs="Arial"/>
        </w:rPr>
        <w:t xml:space="preserve"> </w:t>
      </w:r>
      <w:r w:rsidRPr="00DB6C43">
        <w:rPr>
          <w:rFonts w:ascii="Arial" w:hAnsi="Arial" w:cs="Arial"/>
        </w:rPr>
        <w:t>(</w:t>
      </w:r>
      <w:r>
        <w:rPr>
          <w:rFonts w:ascii="Arial" w:hAnsi="Arial" w:cs="Arial"/>
        </w:rPr>
        <w:t>‘</w:t>
      </w:r>
      <w:r w:rsidRPr="00DB6C43">
        <w:rPr>
          <w:rFonts w:ascii="Arial" w:hAnsi="Arial" w:cs="Arial"/>
        </w:rPr>
        <w:t xml:space="preserve">the </w:t>
      </w:r>
      <w:r w:rsidR="00952BCF">
        <w:rPr>
          <w:rFonts w:ascii="Arial" w:hAnsi="Arial" w:cs="Arial"/>
        </w:rPr>
        <w:t>Code of Conduct</w:t>
      </w:r>
      <w:r>
        <w:rPr>
          <w:rFonts w:ascii="Arial" w:hAnsi="Arial" w:cs="Arial"/>
        </w:rPr>
        <w:t>’</w:t>
      </w:r>
      <w:r w:rsidRPr="00DB6C43">
        <w:rPr>
          <w:rFonts w:ascii="Arial" w:hAnsi="Arial" w:cs="Arial"/>
        </w:rPr>
        <w:t xml:space="preserve">) is a </w:t>
      </w:r>
      <w:r>
        <w:rPr>
          <w:rFonts w:ascii="Arial" w:hAnsi="Arial" w:cs="Arial"/>
        </w:rPr>
        <w:t>L</w:t>
      </w:r>
      <w:r w:rsidRPr="00DB6C43">
        <w:rPr>
          <w:rFonts w:ascii="Arial" w:hAnsi="Arial" w:cs="Arial"/>
        </w:rPr>
        <w:t xml:space="preserve">egislative </w:t>
      </w:r>
      <w:r>
        <w:rPr>
          <w:rFonts w:ascii="Arial" w:hAnsi="Arial" w:cs="Arial"/>
        </w:rPr>
        <w:t>I</w:t>
      </w:r>
      <w:r w:rsidRPr="00DB6C43">
        <w:rPr>
          <w:rFonts w:ascii="Arial" w:hAnsi="Arial" w:cs="Arial"/>
        </w:rPr>
        <w:t xml:space="preserve">nstrument </w:t>
      </w:r>
      <w:r>
        <w:rPr>
          <w:rFonts w:ascii="Arial" w:hAnsi="Arial" w:cs="Arial"/>
        </w:rPr>
        <w:t>detailing</w:t>
      </w:r>
      <w:r w:rsidRPr="00DB6C43">
        <w:rPr>
          <w:rFonts w:ascii="Arial" w:hAnsi="Arial" w:cs="Arial"/>
        </w:rPr>
        <w:t xml:space="preserve"> the standards of practice </w:t>
      </w:r>
      <w:r>
        <w:rPr>
          <w:rFonts w:ascii="Arial" w:hAnsi="Arial" w:cs="Arial"/>
        </w:rPr>
        <w:t xml:space="preserve">expected of registered </w:t>
      </w:r>
      <w:r w:rsidRPr="00DB6C43">
        <w:rPr>
          <w:rFonts w:ascii="Arial" w:hAnsi="Arial" w:cs="Arial"/>
        </w:rPr>
        <w:t>patent attorneys</w:t>
      </w:r>
      <w:r>
        <w:rPr>
          <w:rFonts w:ascii="Arial" w:hAnsi="Arial" w:cs="Arial"/>
        </w:rPr>
        <w:t xml:space="preserve"> under the </w:t>
      </w:r>
      <w:r w:rsidRPr="00E341CD">
        <w:rPr>
          <w:rFonts w:ascii="Arial" w:hAnsi="Arial" w:cs="Arial"/>
          <w:i/>
        </w:rPr>
        <w:t>Patents Act 1990</w:t>
      </w:r>
      <w:r>
        <w:rPr>
          <w:rFonts w:ascii="Arial" w:hAnsi="Arial" w:cs="Arial"/>
        </w:rPr>
        <w:t xml:space="preserve"> </w:t>
      </w:r>
      <w:r w:rsidR="000713FD">
        <w:rPr>
          <w:rFonts w:ascii="Arial" w:hAnsi="Arial" w:cs="Arial"/>
        </w:rPr>
        <w:t xml:space="preserve">(Cth) and the </w:t>
      </w:r>
      <w:r w:rsidR="000713FD" w:rsidRPr="000713FD">
        <w:rPr>
          <w:rFonts w:ascii="Arial" w:hAnsi="Arial" w:cs="Arial"/>
          <w:i/>
        </w:rPr>
        <w:t>Patents Act 2013</w:t>
      </w:r>
      <w:r w:rsidR="000713FD">
        <w:rPr>
          <w:rFonts w:ascii="Arial" w:hAnsi="Arial" w:cs="Arial"/>
        </w:rPr>
        <w:t xml:space="preserve"> (NZ) and of</w:t>
      </w:r>
      <w:r w:rsidRPr="00DB6C43">
        <w:rPr>
          <w:rFonts w:ascii="Arial" w:hAnsi="Arial" w:cs="Arial"/>
        </w:rPr>
        <w:t xml:space="preserve"> </w:t>
      </w:r>
      <w:r>
        <w:rPr>
          <w:rFonts w:ascii="Arial" w:hAnsi="Arial" w:cs="Arial"/>
        </w:rPr>
        <w:t xml:space="preserve">registered </w:t>
      </w:r>
      <w:r w:rsidRPr="00DB6C43">
        <w:rPr>
          <w:rFonts w:ascii="Arial" w:hAnsi="Arial" w:cs="Arial"/>
        </w:rPr>
        <w:t>trade marks attorneys</w:t>
      </w:r>
      <w:r>
        <w:rPr>
          <w:rFonts w:ascii="Arial" w:hAnsi="Arial" w:cs="Arial"/>
        </w:rPr>
        <w:t xml:space="preserve"> under the </w:t>
      </w:r>
      <w:r w:rsidRPr="00E341CD">
        <w:rPr>
          <w:rFonts w:ascii="Arial" w:hAnsi="Arial" w:cs="Arial"/>
          <w:i/>
        </w:rPr>
        <w:t>Trade Marks Act 1995</w:t>
      </w:r>
      <w:r>
        <w:rPr>
          <w:rFonts w:ascii="Arial" w:hAnsi="Arial" w:cs="Arial"/>
        </w:rPr>
        <w:t xml:space="preserve"> </w:t>
      </w:r>
      <w:r w:rsidR="000713FD">
        <w:rPr>
          <w:rFonts w:ascii="Arial" w:hAnsi="Arial" w:cs="Arial"/>
        </w:rPr>
        <w:t xml:space="preserve">(Cth) </w:t>
      </w:r>
      <w:r w:rsidRPr="00DB6C43">
        <w:rPr>
          <w:rFonts w:ascii="Arial" w:hAnsi="Arial" w:cs="Arial"/>
        </w:rPr>
        <w:t>(</w:t>
      </w:r>
      <w:r w:rsidR="00632BCB">
        <w:rPr>
          <w:rFonts w:ascii="Arial" w:hAnsi="Arial" w:cs="Arial"/>
        </w:rPr>
        <w:t xml:space="preserve">hereafter jointly referred to as </w:t>
      </w:r>
      <w:r>
        <w:rPr>
          <w:rFonts w:ascii="Arial" w:hAnsi="Arial" w:cs="Arial"/>
        </w:rPr>
        <w:t>‘</w:t>
      </w:r>
      <w:r w:rsidR="0001179C">
        <w:rPr>
          <w:rFonts w:ascii="Arial" w:hAnsi="Arial" w:cs="Arial"/>
        </w:rPr>
        <w:t xml:space="preserve">registered </w:t>
      </w:r>
      <w:r w:rsidRPr="00DB6C43">
        <w:rPr>
          <w:rFonts w:ascii="Arial" w:hAnsi="Arial" w:cs="Arial"/>
        </w:rPr>
        <w:t>attorneys</w:t>
      </w:r>
      <w:r>
        <w:rPr>
          <w:rFonts w:ascii="Arial" w:hAnsi="Arial" w:cs="Arial"/>
        </w:rPr>
        <w:t>’</w:t>
      </w:r>
      <w:r w:rsidRPr="00DB6C43">
        <w:rPr>
          <w:rFonts w:ascii="Arial" w:hAnsi="Arial" w:cs="Arial"/>
        </w:rPr>
        <w:t xml:space="preserve">). </w:t>
      </w:r>
    </w:p>
    <w:p w:rsidR="00786C2F" w:rsidRPr="00DB6C43" w:rsidRDefault="00786C2F" w:rsidP="00786C2F">
      <w:pPr>
        <w:rPr>
          <w:rFonts w:ascii="Arial" w:hAnsi="Arial" w:cs="Arial"/>
        </w:rPr>
      </w:pPr>
    </w:p>
    <w:p w:rsidR="00786C2F" w:rsidRPr="00DB6C43" w:rsidRDefault="000713FD" w:rsidP="00786C2F">
      <w:pPr>
        <w:rPr>
          <w:rFonts w:ascii="Arial" w:hAnsi="Arial" w:cs="Arial"/>
        </w:rPr>
      </w:pPr>
      <w:r>
        <w:rPr>
          <w:rFonts w:ascii="Arial" w:hAnsi="Arial" w:cs="Arial"/>
        </w:rPr>
        <w:t xml:space="preserve">The </w:t>
      </w:r>
      <w:r w:rsidR="00A252DC">
        <w:rPr>
          <w:rFonts w:ascii="Arial" w:hAnsi="Arial" w:cs="Arial"/>
        </w:rPr>
        <w:t xml:space="preserve">objective of the </w:t>
      </w:r>
      <w:r>
        <w:rPr>
          <w:rFonts w:ascii="Arial" w:hAnsi="Arial" w:cs="Arial"/>
        </w:rPr>
        <w:t xml:space="preserve">Code of Conduct </w:t>
      </w:r>
      <w:r w:rsidR="00A252DC">
        <w:rPr>
          <w:rFonts w:ascii="Arial" w:hAnsi="Arial" w:cs="Arial"/>
        </w:rPr>
        <w:t xml:space="preserve">is to </w:t>
      </w:r>
      <w:r w:rsidRPr="00B00FEF">
        <w:rPr>
          <w:rFonts w:ascii="Arial" w:hAnsi="Arial" w:cs="Arial"/>
        </w:rPr>
        <w:t>explain the professional conduct re</w:t>
      </w:r>
      <w:r>
        <w:rPr>
          <w:rFonts w:ascii="Arial" w:hAnsi="Arial" w:cs="Arial"/>
        </w:rPr>
        <w:t xml:space="preserve">quired of </w:t>
      </w:r>
      <w:r w:rsidRPr="00B00FEF">
        <w:rPr>
          <w:rFonts w:ascii="Arial" w:hAnsi="Arial" w:cs="Arial"/>
        </w:rPr>
        <w:t>registered attorney</w:t>
      </w:r>
      <w:r>
        <w:rPr>
          <w:rFonts w:ascii="Arial" w:hAnsi="Arial" w:cs="Arial"/>
        </w:rPr>
        <w:t>s. It does so</w:t>
      </w:r>
      <w:r w:rsidRPr="00B00FEF">
        <w:rPr>
          <w:rFonts w:ascii="Arial" w:hAnsi="Arial" w:cs="Arial"/>
        </w:rPr>
        <w:t xml:space="preserve"> by setting out the s</w:t>
      </w:r>
      <w:r>
        <w:rPr>
          <w:rFonts w:ascii="Arial" w:hAnsi="Arial" w:cs="Arial"/>
        </w:rPr>
        <w:t xml:space="preserve">tandards of practice to which </w:t>
      </w:r>
      <w:r w:rsidRPr="00B00FEF">
        <w:rPr>
          <w:rFonts w:ascii="Arial" w:hAnsi="Arial" w:cs="Arial"/>
        </w:rPr>
        <w:t>registered attorney</w:t>
      </w:r>
      <w:r>
        <w:rPr>
          <w:rFonts w:ascii="Arial" w:hAnsi="Arial" w:cs="Arial"/>
        </w:rPr>
        <w:t>s</w:t>
      </w:r>
      <w:r w:rsidRPr="00B00FEF">
        <w:rPr>
          <w:rFonts w:ascii="Arial" w:hAnsi="Arial" w:cs="Arial"/>
        </w:rPr>
        <w:t xml:space="preserve"> </w:t>
      </w:r>
      <w:r>
        <w:rPr>
          <w:rFonts w:ascii="Arial" w:hAnsi="Arial" w:cs="Arial"/>
        </w:rPr>
        <w:t>are</w:t>
      </w:r>
      <w:r w:rsidRPr="00B00FEF">
        <w:rPr>
          <w:rFonts w:ascii="Arial" w:hAnsi="Arial" w:cs="Arial"/>
        </w:rPr>
        <w:t xml:space="preserve"> required to adhere</w:t>
      </w:r>
      <w:r w:rsidRPr="001D55A2">
        <w:rPr>
          <w:rFonts w:ascii="Arial" w:hAnsi="Arial" w:cs="Arial"/>
        </w:rPr>
        <w:t xml:space="preserve"> in </w:t>
      </w:r>
      <w:r>
        <w:rPr>
          <w:rFonts w:ascii="Arial" w:hAnsi="Arial" w:cs="Arial"/>
        </w:rPr>
        <w:t>their</w:t>
      </w:r>
      <w:r w:rsidRPr="001D55A2">
        <w:rPr>
          <w:rFonts w:ascii="Arial" w:hAnsi="Arial" w:cs="Arial"/>
        </w:rPr>
        <w:t xml:space="preserve"> dealings with clients, </w:t>
      </w:r>
      <w:r>
        <w:rPr>
          <w:rFonts w:ascii="Arial" w:hAnsi="Arial" w:cs="Arial"/>
        </w:rPr>
        <w:t xml:space="preserve">with </w:t>
      </w:r>
      <w:r w:rsidRPr="001D55A2">
        <w:rPr>
          <w:rFonts w:ascii="Arial" w:hAnsi="Arial" w:cs="Arial"/>
        </w:rPr>
        <w:t>other professional service providers</w:t>
      </w:r>
      <w:r>
        <w:rPr>
          <w:rFonts w:ascii="Arial" w:hAnsi="Arial" w:cs="Arial"/>
        </w:rPr>
        <w:t>,</w:t>
      </w:r>
      <w:r w:rsidRPr="001D55A2">
        <w:rPr>
          <w:rFonts w:ascii="Arial" w:hAnsi="Arial" w:cs="Arial"/>
        </w:rPr>
        <w:t xml:space="preserve"> and </w:t>
      </w:r>
      <w:r>
        <w:rPr>
          <w:rFonts w:ascii="Arial" w:hAnsi="Arial" w:cs="Arial"/>
        </w:rPr>
        <w:t>with regulatory authorities</w:t>
      </w:r>
      <w:r w:rsidR="00786C2F" w:rsidRPr="00DB6C43">
        <w:rPr>
          <w:rFonts w:ascii="Arial" w:hAnsi="Arial" w:cs="Arial"/>
        </w:rPr>
        <w:t xml:space="preserve">. </w:t>
      </w:r>
      <w:r w:rsidR="00786C2F">
        <w:rPr>
          <w:rFonts w:ascii="Arial" w:hAnsi="Arial" w:cs="Arial"/>
        </w:rPr>
        <w:t xml:space="preserve">The </w:t>
      </w:r>
      <w:r w:rsidR="00952BCF">
        <w:rPr>
          <w:rFonts w:ascii="Arial" w:hAnsi="Arial" w:cs="Arial"/>
        </w:rPr>
        <w:t>Code of Conduct</w:t>
      </w:r>
      <w:r w:rsidR="00786C2F" w:rsidRPr="00DB6C43">
        <w:rPr>
          <w:rFonts w:ascii="Arial" w:hAnsi="Arial" w:cs="Arial"/>
        </w:rPr>
        <w:t xml:space="preserve"> also sets out how information can be provided to the </w:t>
      </w:r>
      <w:r w:rsidR="00A252DC">
        <w:rPr>
          <w:rFonts w:ascii="Arial" w:hAnsi="Arial" w:cs="Arial"/>
        </w:rPr>
        <w:t>Trans-Tasman IP</w:t>
      </w:r>
      <w:r w:rsidR="00786C2F" w:rsidRPr="00DB6C43">
        <w:rPr>
          <w:rFonts w:ascii="Arial" w:hAnsi="Arial" w:cs="Arial"/>
        </w:rPr>
        <w:t xml:space="preserve"> Attorneys </w:t>
      </w:r>
      <w:r w:rsidR="00A252DC">
        <w:rPr>
          <w:rFonts w:ascii="Arial" w:hAnsi="Arial" w:cs="Arial"/>
        </w:rPr>
        <w:t xml:space="preserve">Board </w:t>
      </w:r>
      <w:r w:rsidR="00786C2F" w:rsidRPr="00DB6C43">
        <w:rPr>
          <w:rFonts w:ascii="Arial" w:hAnsi="Arial" w:cs="Arial"/>
        </w:rPr>
        <w:t xml:space="preserve">to enable </w:t>
      </w:r>
      <w:r w:rsidR="002F3F1D">
        <w:rPr>
          <w:rFonts w:ascii="Arial" w:hAnsi="Arial" w:cs="Arial"/>
        </w:rPr>
        <w:t>it</w:t>
      </w:r>
      <w:r w:rsidR="00786C2F" w:rsidRPr="00DB6C43">
        <w:rPr>
          <w:rFonts w:ascii="Arial" w:hAnsi="Arial" w:cs="Arial"/>
        </w:rPr>
        <w:t xml:space="preserve"> to investigate the conduct of </w:t>
      </w:r>
      <w:r w:rsidR="0001179C">
        <w:rPr>
          <w:rFonts w:ascii="Arial" w:hAnsi="Arial" w:cs="Arial"/>
        </w:rPr>
        <w:t>a registered attorney</w:t>
      </w:r>
      <w:r w:rsidR="00786C2F" w:rsidRPr="00DB6C43">
        <w:rPr>
          <w:rFonts w:ascii="Arial" w:hAnsi="Arial" w:cs="Arial"/>
        </w:rPr>
        <w:t>.</w:t>
      </w:r>
    </w:p>
    <w:p w:rsidR="00786C2F" w:rsidRPr="00DB6C43" w:rsidRDefault="00786C2F" w:rsidP="00786C2F">
      <w:pPr>
        <w:rPr>
          <w:rFonts w:ascii="Arial" w:hAnsi="Arial" w:cs="Arial"/>
          <w:b/>
        </w:rPr>
      </w:pPr>
    </w:p>
    <w:p w:rsidR="00786C2F" w:rsidRPr="00DB6C43" w:rsidRDefault="00786C2F" w:rsidP="00786C2F">
      <w:pPr>
        <w:rPr>
          <w:rFonts w:ascii="Arial" w:hAnsi="Arial" w:cs="Arial"/>
          <w:b/>
        </w:rPr>
      </w:pPr>
      <w:r w:rsidRPr="00DB6C43">
        <w:rPr>
          <w:rFonts w:ascii="Arial" w:hAnsi="Arial" w:cs="Arial"/>
          <w:b/>
        </w:rPr>
        <w:t>Human rights implications</w:t>
      </w:r>
    </w:p>
    <w:p w:rsidR="00786C2F" w:rsidRPr="00813896" w:rsidRDefault="00786C2F" w:rsidP="00786C2F">
      <w:pPr>
        <w:rPr>
          <w:rFonts w:ascii="Arial" w:hAnsi="Arial" w:cs="Arial"/>
        </w:rPr>
      </w:pPr>
    </w:p>
    <w:p w:rsidR="00786C2F" w:rsidRPr="00DB6C43" w:rsidRDefault="00786C2F" w:rsidP="00786C2F">
      <w:pPr>
        <w:rPr>
          <w:rFonts w:ascii="Arial" w:hAnsi="Arial" w:cs="Arial"/>
        </w:rPr>
      </w:pPr>
      <w:r w:rsidRPr="00DB6C43">
        <w:rPr>
          <w:rFonts w:ascii="Arial" w:hAnsi="Arial" w:cs="Arial"/>
        </w:rPr>
        <w:t xml:space="preserve">This Legislative Instrument does not engage any of the applicable rights or </w:t>
      </w:r>
      <w:r>
        <w:rPr>
          <w:rFonts w:ascii="Arial" w:hAnsi="Arial" w:cs="Arial"/>
        </w:rPr>
        <w:t>f</w:t>
      </w:r>
      <w:r w:rsidRPr="00DB6C43">
        <w:rPr>
          <w:rFonts w:ascii="Arial" w:hAnsi="Arial" w:cs="Arial"/>
        </w:rPr>
        <w:t>reedoms.</w:t>
      </w:r>
    </w:p>
    <w:p w:rsidR="00786C2F" w:rsidRPr="00DB6C43" w:rsidRDefault="00786C2F" w:rsidP="00786C2F">
      <w:pPr>
        <w:rPr>
          <w:rFonts w:ascii="Arial" w:hAnsi="Arial" w:cs="Arial"/>
        </w:rPr>
      </w:pPr>
    </w:p>
    <w:p w:rsidR="00786C2F" w:rsidRPr="00DB6C43" w:rsidRDefault="00786C2F" w:rsidP="00786C2F">
      <w:pPr>
        <w:rPr>
          <w:rFonts w:ascii="Arial" w:hAnsi="Arial" w:cs="Arial"/>
          <w:b/>
        </w:rPr>
      </w:pPr>
      <w:r w:rsidRPr="00DB6C43">
        <w:rPr>
          <w:rFonts w:ascii="Arial" w:hAnsi="Arial" w:cs="Arial"/>
          <w:b/>
        </w:rPr>
        <w:t xml:space="preserve">Conclusion </w:t>
      </w:r>
    </w:p>
    <w:p w:rsidR="00786C2F" w:rsidRPr="00DB6C43" w:rsidRDefault="00786C2F" w:rsidP="00786C2F">
      <w:pPr>
        <w:rPr>
          <w:rFonts w:ascii="Arial" w:hAnsi="Arial" w:cs="Arial"/>
          <w:b/>
        </w:rPr>
      </w:pPr>
    </w:p>
    <w:p w:rsidR="00786C2F" w:rsidRPr="00DB6C43" w:rsidRDefault="00786C2F" w:rsidP="00786C2F">
      <w:pPr>
        <w:rPr>
          <w:rFonts w:ascii="Arial" w:hAnsi="Arial" w:cs="Arial"/>
        </w:rPr>
      </w:pPr>
      <w:r w:rsidRPr="00DB6C43">
        <w:rPr>
          <w:rFonts w:ascii="Arial" w:hAnsi="Arial" w:cs="Arial"/>
        </w:rPr>
        <w:t>This Legislative Instrument is compatible with human rights as it does not raise any human rights issues.</w:t>
      </w:r>
    </w:p>
    <w:p w:rsidR="00786C2F" w:rsidRPr="00DB6C43" w:rsidRDefault="00786C2F" w:rsidP="00786C2F">
      <w:pPr>
        <w:rPr>
          <w:rFonts w:ascii="Arial" w:hAnsi="Arial" w:cs="Arial"/>
        </w:rPr>
      </w:pPr>
    </w:p>
    <w:p w:rsidR="00786C2F" w:rsidRPr="00DB6C43" w:rsidRDefault="00786C2F" w:rsidP="00786C2F">
      <w:pPr>
        <w:jc w:val="center"/>
        <w:rPr>
          <w:rFonts w:ascii="Arial" w:hAnsi="Arial" w:cs="Arial"/>
        </w:rPr>
      </w:pPr>
    </w:p>
    <w:p w:rsidR="00786C2F" w:rsidRPr="002E45DB" w:rsidRDefault="00786C2F" w:rsidP="00273E5F">
      <w:pPr>
        <w:jc w:val="center"/>
        <w:rPr>
          <w:rFonts w:ascii="Arial" w:hAnsi="Arial" w:cs="Arial"/>
          <w:b/>
        </w:rPr>
      </w:pPr>
      <w:r w:rsidRPr="00DB6C43">
        <w:rPr>
          <w:rFonts w:ascii="Arial" w:hAnsi="Arial" w:cs="Arial"/>
          <w:b/>
        </w:rPr>
        <w:t xml:space="preserve">The </w:t>
      </w:r>
      <w:r w:rsidR="00CA3169">
        <w:rPr>
          <w:rFonts w:ascii="Arial" w:hAnsi="Arial" w:cs="Arial"/>
          <w:b/>
        </w:rPr>
        <w:t>Trans-Tasman IP</w:t>
      </w:r>
      <w:r w:rsidRPr="00DB6C43">
        <w:rPr>
          <w:rFonts w:ascii="Arial" w:hAnsi="Arial" w:cs="Arial"/>
          <w:b/>
        </w:rPr>
        <w:t xml:space="preserve"> Attorneys</w:t>
      </w:r>
      <w:r w:rsidR="00CA3169">
        <w:rPr>
          <w:rFonts w:ascii="Arial" w:hAnsi="Arial" w:cs="Arial"/>
          <w:b/>
        </w:rPr>
        <w:t xml:space="preserve"> Board</w:t>
      </w:r>
    </w:p>
    <w:sectPr w:rsidR="00786C2F" w:rsidRPr="002E45DB" w:rsidSect="00B3111B">
      <w:headerReference w:type="even" r:id="rId10"/>
      <w:headerReference w:type="default" r:id="rId11"/>
      <w:footerReference w:type="even" r:id="rId12"/>
      <w:footerReference w:type="default" r:id="rId13"/>
      <w:headerReference w:type="first" r:id="rId14"/>
      <w:footerReference w:type="first" r:id="rId15"/>
      <w:pgSz w:w="11906" w:h="16838"/>
      <w:pgMar w:top="993" w:right="1797" w:bottom="851" w:left="1797"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9B" w:rsidRDefault="0053489B">
      <w:r>
        <w:separator/>
      </w:r>
    </w:p>
  </w:endnote>
  <w:endnote w:type="continuationSeparator" w:id="0">
    <w:p w:rsidR="0053489B" w:rsidRDefault="0053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9B2" w:rsidRDefault="007959B2" w:rsidP="00353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B2" w:rsidRDefault="007959B2" w:rsidP="002306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9B2" w:rsidRDefault="007959B2" w:rsidP="0023062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B" w:rsidRDefault="00E6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9B" w:rsidRDefault="0053489B">
      <w:r>
        <w:separator/>
      </w:r>
    </w:p>
  </w:footnote>
  <w:footnote w:type="continuationSeparator" w:id="0">
    <w:p w:rsidR="0053489B" w:rsidRDefault="00534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B" w:rsidRDefault="00E63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B" w:rsidRDefault="00E630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B" w:rsidRDefault="00E63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9FC"/>
    <w:multiLevelType w:val="hybridMultilevel"/>
    <w:tmpl w:val="2506A5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183531"/>
    <w:multiLevelType w:val="multilevel"/>
    <w:tmpl w:val="E326C1DC"/>
    <w:lvl w:ilvl="0">
      <w:numFmt w:val="bullet"/>
      <w:lvlText w:val=""/>
      <w:lvlJc w:val="left"/>
      <w:pPr>
        <w:ind w:left="567" w:hanging="567"/>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720644D"/>
    <w:multiLevelType w:val="hybridMultilevel"/>
    <w:tmpl w:val="31166024"/>
    <w:lvl w:ilvl="0" w:tplc="85C2D33E">
      <w:start w:val="1"/>
      <w:numFmt w:val="bullet"/>
      <w:lvlText w:val=""/>
      <w:lvlJc w:val="left"/>
      <w:pPr>
        <w:tabs>
          <w:tab w:val="num" w:pos="971"/>
        </w:tabs>
        <w:ind w:left="971" w:hanging="311"/>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3">
    <w:nsid w:val="3ECE3421"/>
    <w:multiLevelType w:val="multilevel"/>
    <w:tmpl w:val="E326C1DC"/>
    <w:lvl w:ilvl="0">
      <w:numFmt w:val="bullet"/>
      <w:lvlText w:val=""/>
      <w:lvlJc w:val="left"/>
      <w:pPr>
        <w:ind w:left="567" w:hanging="567"/>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431C50F5"/>
    <w:multiLevelType w:val="multilevel"/>
    <w:tmpl w:val="4FCA6BA8"/>
    <w:lvl w:ilvl="0">
      <w:start w:val="1"/>
      <w:numFmt w:val="bullet"/>
      <w:lvlText w:val=""/>
      <w:lvlJc w:val="left"/>
      <w:pPr>
        <w:tabs>
          <w:tab w:val="num" w:pos="0"/>
        </w:tabs>
        <w:ind w:left="284" w:hanging="284"/>
      </w:pPr>
      <w:rPr>
        <w:rFonts w:ascii="Symbol" w:hAnsi="Symbol" w:hint="default"/>
        <w:sz w:val="20"/>
      </w:rPr>
    </w:lvl>
    <w:lvl w:ilvl="1">
      <w:start w:val="1"/>
      <w:numFmt w:val="bullet"/>
      <w:lvlText w:val=""/>
      <w:lvlJc w:val="left"/>
      <w:pPr>
        <w:tabs>
          <w:tab w:val="num" w:pos="567"/>
        </w:tabs>
        <w:ind w:left="567" w:hanging="283"/>
      </w:pPr>
      <w:rPr>
        <w:rFonts w:ascii="Wingdings" w:hAnsi="Wingdings" w:hint="default"/>
        <w:sz w:val="20"/>
      </w:rPr>
    </w:lvl>
    <w:lvl w:ilvl="2">
      <w:start w:val="1"/>
      <w:numFmt w:val="bullet"/>
      <w:lvlText w:val=""/>
      <w:lvlJc w:val="left"/>
      <w:pPr>
        <w:tabs>
          <w:tab w:val="num" w:pos="851"/>
        </w:tabs>
        <w:ind w:left="851" w:hanging="284"/>
      </w:pPr>
      <w:rPr>
        <w:rFonts w:ascii="Wingdings" w:hAnsi="Wingdings" w:hint="default"/>
        <w:sz w:val="16"/>
      </w:rPr>
    </w:lvl>
    <w:lvl w:ilvl="3">
      <w:start w:val="1"/>
      <w:numFmt w:val="bullet"/>
      <w:lvlText w:val=""/>
      <w:lvlJc w:val="left"/>
      <w:pPr>
        <w:tabs>
          <w:tab w:val="num" w:pos="1134"/>
        </w:tabs>
        <w:ind w:left="1134" w:hanging="283"/>
      </w:pPr>
      <w:rPr>
        <w:rFonts w:ascii="Wingdings" w:hAnsi="Wingdings" w:hint="default"/>
        <w:sz w:val="16"/>
      </w:rPr>
    </w:lvl>
    <w:lvl w:ilvl="4">
      <w:start w:val="1"/>
      <w:numFmt w:val="bullet"/>
      <w:lvlText w:val=""/>
      <w:lvlJc w:val="left"/>
      <w:pPr>
        <w:tabs>
          <w:tab w:val="num" w:pos="1418"/>
        </w:tabs>
        <w:ind w:left="1418" w:hanging="284"/>
      </w:pPr>
      <w:rPr>
        <w:rFonts w:ascii="Symbol" w:hAnsi="Symbol"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DDA6451"/>
    <w:multiLevelType w:val="multilevel"/>
    <w:tmpl w:val="E326C1DC"/>
    <w:lvl w:ilvl="0">
      <w:numFmt w:val="bullet"/>
      <w:lvlText w:val=""/>
      <w:lvlJc w:val="left"/>
      <w:pPr>
        <w:ind w:left="567" w:hanging="567"/>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54D83C19"/>
    <w:multiLevelType w:val="hybridMultilevel"/>
    <w:tmpl w:val="7A0A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9F444F"/>
    <w:multiLevelType w:val="hybridMultilevel"/>
    <w:tmpl w:val="B18493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9942C9"/>
    <w:multiLevelType w:val="hybridMultilevel"/>
    <w:tmpl w:val="7474FBFE"/>
    <w:lvl w:ilvl="0" w:tplc="3B7C6510">
      <w:numFmt w:val="bullet"/>
      <w:lvlText w:val="-"/>
      <w:lvlJc w:val="left"/>
      <w:pPr>
        <w:tabs>
          <w:tab w:val="num" w:pos="1575"/>
        </w:tabs>
        <w:ind w:left="1575" w:hanging="855"/>
      </w:pPr>
      <w:rPr>
        <w:rFonts w:ascii="Times New Roman" w:eastAsia="Calibri"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6F6372AF"/>
    <w:multiLevelType w:val="hybridMultilevel"/>
    <w:tmpl w:val="00449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846B6A"/>
    <w:multiLevelType w:val="multilevel"/>
    <w:tmpl w:val="E326C1DC"/>
    <w:lvl w:ilvl="0">
      <w:numFmt w:val="bullet"/>
      <w:lvlText w:val=""/>
      <w:lvlJc w:val="left"/>
      <w:pPr>
        <w:ind w:left="567" w:hanging="567"/>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9"/>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E0"/>
    <w:rsid w:val="00003D53"/>
    <w:rsid w:val="000063C9"/>
    <w:rsid w:val="0001179C"/>
    <w:rsid w:val="00022CF6"/>
    <w:rsid w:val="0002438C"/>
    <w:rsid w:val="0002706B"/>
    <w:rsid w:val="00030FEB"/>
    <w:rsid w:val="00034373"/>
    <w:rsid w:val="00034D5D"/>
    <w:rsid w:val="0003552C"/>
    <w:rsid w:val="00040681"/>
    <w:rsid w:val="000442B6"/>
    <w:rsid w:val="0004537F"/>
    <w:rsid w:val="00046F03"/>
    <w:rsid w:val="00052DD9"/>
    <w:rsid w:val="000546AE"/>
    <w:rsid w:val="00061954"/>
    <w:rsid w:val="00064686"/>
    <w:rsid w:val="00065C65"/>
    <w:rsid w:val="0006621C"/>
    <w:rsid w:val="00067270"/>
    <w:rsid w:val="000713FD"/>
    <w:rsid w:val="000773E6"/>
    <w:rsid w:val="000777EC"/>
    <w:rsid w:val="00077C11"/>
    <w:rsid w:val="00081C9C"/>
    <w:rsid w:val="000823DD"/>
    <w:rsid w:val="00083747"/>
    <w:rsid w:val="00084F35"/>
    <w:rsid w:val="00094FE7"/>
    <w:rsid w:val="000A03D1"/>
    <w:rsid w:val="000A0A65"/>
    <w:rsid w:val="000A16DB"/>
    <w:rsid w:val="000A1AD9"/>
    <w:rsid w:val="000A3F59"/>
    <w:rsid w:val="000A4C01"/>
    <w:rsid w:val="000A4C5B"/>
    <w:rsid w:val="000B1D8F"/>
    <w:rsid w:val="000B4496"/>
    <w:rsid w:val="000B620A"/>
    <w:rsid w:val="000B6E39"/>
    <w:rsid w:val="000C24BE"/>
    <w:rsid w:val="000C7262"/>
    <w:rsid w:val="000C77A1"/>
    <w:rsid w:val="000D0A92"/>
    <w:rsid w:val="000D6D01"/>
    <w:rsid w:val="000E09E3"/>
    <w:rsid w:val="000F359C"/>
    <w:rsid w:val="000F52DE"/>
    <w:rsid w:val="000F5FD9"/>
    <w:rsid w:val="00102C1D"/>
    <w:rsid w:val="00104F31"/>
    <w:rsid w:val="001064FE"/>
    <w:rsid w:val="0011416E"/>
    <w:rsid w:val="001175F4"/>
    <w:rsid w:val="00121EDE"/>
    <w:rsid w:val="001224F3"/>
    <w:rsid w:val="00122F79"/>
    <w:rsid w:val="00123958"/>
    <w:rsid w:val="0013014E"/>
    <w:rsid w:val="001322F9"/>
    <w:rsid w:val="00134E21"/>
    <w:rsid w:val="00140C40"/>
    <w:rsid w:val="0014196C"/>
    <w:rsid w:val="00142E5D"/>
    <w:rsid w:val="00144324"/>
    <w:rsid w:val="00144CA3"/>
    <w:rsid w:val="0015057F"/>
    <w:rsid w:val="001518F0"/>
    <w:rsid w:val="00157BA5"/>
    <w:rsid w:val="00162BB8"/>
    <w:rsid w:val="00166D74"/>
    <w:rsid w:val="00173C56"/>
    <w:rsid w:val="00180DF2"/>
    <w:rsid w:val="001869DB"/>
    <w:rsid w:val="00191323"/>
    <w:rsid w:val="0019405E"/>
    <w:rsid w:val="00194B38"/>
    <w:rsid w:val="00195303"/>
    <w:rsid w:val="0019553C"/>
    <w:rsid w:val="00196572"/>
    <w:rsid w:val="0019728A"/>
    <w:rsid w:val="001A11B5"/>
    <w:rsid w:val="001A21AD"/>
    <w:rsid w:val="001A5C6D"/>
    <w:rsid w:val="001A66E7"/>
    <w:rsid w:val="001A72CF"/>
    <w:rsid w:val="001B04A2"/>
    <w:rsid w:val="001B10A3"/>
    <w:rsid w:val="001B1939"/>
    <w:rsid w:val="001B1E2A"/>
    <w:rsid w:val="001B46BF"/>
    <w:rsid w:val="001C34E2"/>
    <w:rsid w:val="001C4385"/>
    <w:rsid w:val="001C45DC"/>
    <w:rsid w:val="001C4E70"/>
    <w:rsid w:val="001C5569"/>
    <w:rsid w:val="001C5B89"/>
    <w:rsid w:val="001C6A33"/>
    <w:rsid w:val="001C7641"/>
    <w:rsid w:val="001C7A23"/>
    <w:rsid w:val="001D2A3C"/>
    <w:rsid w:val="001D3998"/>
    <w:rsid w:val="001D4401"/>
    <w:rsid w:val="001D55A2"/>
    <w:rsid w:val="001D5A43"/>
    <w:rsid w:val="001E5125"/>
    <w:rsid w:val="001E7A09"/>
    <w:rsid w:val="001F5A4D"/>
    <w:rsid w:val="001F732F"/>
    <w:rsid w:val="00200781"/>
    <w:rsid w:val="002040C5"/>
    <w:rsid w:val="00205065"/>
    <w:rsid w:val="00207D41"/>
    <w:rsid w:val="002103DD"/>
    <w:rsid w:val="0021243A"/>
    <w:rsid w:val="00215635"/>
    <w:rsid w:val="002303F1"/>
    <w:rsid w:val="00230627"/>
    <w:rsid w:val="00232634"/>
    <w:rsid w:val="002331F0"/>
    <w:rsid w:val="00241292"/>
    <w:rsid w:val="002414D7"/>
    <w:rsid w:val="00241D13"/>
    <w:rsid w:val="00245857"/>
    <w:rsid w:val="00247FF8"/>
    <w:rsid w:val="00250281"/>
    <w:rsid w:val="00253AD6"/>
    <w:rsid w:val="00254B61"/>
    <w:rsid w:val="002558CC"/>
    <w:rsid w:val="00255FB4"/>
    <w:rsid w:val="00272C37"/>
    <w:rsid w:val="00273E5F"/>
    <w:rsid w:val="00276179"/>
    <w:rsid w:val="00280158"/>
    <w:rsid w:val="0028172E"/>
    <w:rsid w:val="00286DF7"/>
    <w:rsid w:val="0029669B"/>
    <w:rsid w:val="002A0F11"/>
    <w:rsid w:val="002A54A9"/>
    <w:rsid w:val="002A7CEA"/>
    <w:rsid w:val="002C119E"/>
    <w:rsid w:val="002C1886"/>
    <w:rsid w:val="002C23A9"/>
    <w:rsid w:val="002C2F2B"/>
    <w:rsid w:val="002C4669"/>
    <w:rsid w:val="002D2E9C"/>
    <w:rsid w:val="002D44AA"/>
    <w:rsid w:val="002D5878"/>
    <w:rsid w:val="002D7C5A"/>
    <w:rsid w:val="002D7D05"/>
    <w:rsid w:val="002E0CC4"/>
    <w:rsid w:val="002E14C4"/>
    <w:rsid w:val="002E1BB0"/>
    <w:rsid w:val="002E44E6"/>
    <w:rsid w:val="002E45DB"/>
    <w:rsid w:val="002E6933"/>
    <w:rsid w:val="002E7680"/>
    <w:rsid w:val="002F2142"/>
    <w:rsid w:val="002F36CC"/>
    <w:rsid w:val="002F3F1D"/>
    <w:rsid w:val="002F66B0"/>
    <w:rsid w:val="002F7276"/>
    <w:rsid w:val="00303785"/>
    <w:rsid w:val="003045F0"/>
    <w:rsid w:val="00304E2E"/>
    <w:rsid w:val="003102A4"/>
    <w:rsid w:val="00312CB2"/>
    <w:rsid w:val="00313443"/>
    <w:rsid w:val="003176A5"/>
    <w:rsid w:val="00322797"/>
    <w:rsid w:val="00324460"/>
    <w:rsid w:val="00333519"/>
    <w:rsid w:val="003348CF"/>
    <w:rsid w:val="00342DDC"/>
    <w:rsid w:val="00345A13"/>
    <w:rsid w:val="00346073"/>
    <w:rsid w:val="0035094C"/>
    <w:rsid w:val="00353253"/>
    <w:rsid w:val="00353285"/>
    <w:rsid w:val="00353AD3"/>
    <w:rsid w:val="0035559A"/>
    <w:rsid w:val="00357171"/>
    <w:rsid w:val="003601B7"/>
    <w:rsid w:val="003611E3"/>
    <w:rsid w:val="003620C6"/>
    <w:rsid w:val="0036239E"/>
    <w:rsid w:val="00364039"/>
    <w:rsid w:val="00373B6A"/>
    <w:rsid w:val="00374533"/>
    <w:rsid w:val="00374F4B"/>
    <w:rsid w:val="003816CB"/>
    <w:rsid w:val="00384991"/>
    <w:rsid w:val="00387983"/>
    <w:rsid w:val="00387E74"/>
    <w:rsid w:val="0039050D"/>
    <w:rsid w:val="003922F3"/>
    <w:rsid w:val="003941ED"/>
    <w:rsid w:val="00396548"/>
    <w:rsid w:val="003A07BF"/>
    <w:rsid w:val="003A0F38"/>
    <w:rsid w:val="003A42AF"/>
    <w:rsid w:val="003A5BB8"/>
    <w:rsid w:val="003B55C8"/>
    <w:rsid w:val="003B6A12"/>
    <w:rsid w:val="003C5F43"/>
    <w:rsid w:val="003D1B41"/>
    <w:rsid w:val="003D7D70"/>
    <w:rsid w:val="003E0DA4"/>
    <w:rsid w:val="003E2C31"/>
    <w:rsid w:val="003E340F"/>
    <w:rsid w:val="003E36BD"/>
    <w:rsid w:val="003E4681"/>
    <w:rsid w:val="003E6C48"/>
    <w:rsid w:val="003E74DC"/>
    <w:rsid w:val="003E7A2F"/>
    <w:rsid w:val="003E7A63"/>
    <w:rsid w:val="003F1931"/>
    <w:rsid w:val="003F1A00"/>
    <w:rsid w:val="00403FE7"/>
    <w:rsid w:val="0041103A"/>
    <w:rsid w:val="004116C5"/>
    <w:rsid w:val="00414D18"/>
    <w:rsid w:val="004154C0"/>
    <w:rsid w:val="004172E7"/>
    <w:rsid w:val="004247ED"/>
    <w:rsid w:val="00425E79"/>
    <w:rsid w:val="004308CC"/>
    <w:rsid w:val="00430B2A"/>
    <w:rsid w:val="00431AB5"/>
    <w:rsid w:val="00437E54"/>
    <w:rsid w:val="004412C3"/>
    <w:rsid w:val="00441344"/>
    <w:rsid w:val="00442B99"/>
    <w:rsid w:val="00443CE9"/>
    <w:rsid w:val="00446FFF"/>
    <w:rsid w:val="00451F6A"/>
    <w:rsid w:val="0045787B"/>
    <w:rsid w:val="00460099"/>
    <w:rsid w:val="00460E47"/>
    <w:rsid w:val="00462410"/>
    <w:rsid w:val="004641A9"/>
    <w:rsid w:val="00466B67"/>
    <w:rsid w:val="00471616"/>
    <w:rsid w:val="00474CFB"/>
    <w:rsid w:val="00480651"/>
    <w:rsid w:val="004837FD"/>
    <w:rsid w:val="00491769"/>
    <w:rsid w:val="004945EE"/>
    <w:rsid w:val="0049599B"/>
    <w:rsid w:val="004A1B0F"/>
    <w:rsid w:val="004A211D"/>
    <w:rsid w:val="004A464A"/>
    <w:rsid w:val="004A75BD"/>
    <w:rsid w:val="004A75FA"/>
    <w:rsid w:val="004A7982"/>
    <w:rsid w:val="004A7F76"/>
    <w:rsid w:val="004B09E0"/>
    <w:rsid w:val="004B1C48"/>
    <w:rsid w:val="004B3F29"/>
    <w:rsid w:val="004B6DB2"/>
    <w:rsid w:val="004C027F"/>
    <w:rsid w:val="004C16B3"/>
    <w:rsid w:val="004C1B46"/>
    <w:rsid w:val="004C52D0"/>
    <w:rsid w:val="004D1352"/>
    <w:rsid w:val="004D3A88"/>
    <w:rsid w:val="004D586E"/>
    <w:rsid w:val="004E4AFB"/>
    <w:rsid w:val="004E54D7"/>
    <w:rsid w:val="004E5EB4"/>
    <w:rsid w:val="004E6217"/>
    <w:rsid w:val="004E67BB"/>
    <w:rsid w:val="004F23BE"/>
    <w:rsid w:val="004F3ABC"/>
    <w:rsid w:val="004F588B"/>
    <w:rsid w:val="004F60E4"/>
    <w:rsid w:val="004F6F3F"/>
    <w:rsid w:val="004F7773"/>
    <w:rsid w:val="00500CF9"/>
    <w:rsid w:val="00500E6D"/>
    <w:rsid w:val="0050180A"/>
    <w:rsid w:val="00505C02"/>
    <w:rsid w:val="0051061C"/>
    <w:rsid w:val="005125F5"/>
    <w:rsid w:val="005131F2"/>
    <w:rsid w:val="00517AF9"/>
    <w:rsid w:val="0052252A"/>
    <w:rsid w:val="005240B4"/>
    <w:rsid w:val="00530017"/>
    <w:rsid w:val="00530B4D"/>
    <w:rsid w:val="005313DF"/>
    <w:rsid w:val="00531D3F"/>
    <w:rsid w:val="00532D28"/>
    <w:rsid w:val="00534214"/>
    <w:rsid w:val="0053489B"/>
    <w:rsid w:val="00535ABD"/>
    <w:rsid w:val="00537290"/>
    <w:rsid w:val="00541DFF"/>
    <w:rsid w:val="005438B8"/>
    <w:rsid w:val="005447D9"/>
    <w:rsid w:val="005448C0"/>
    <w:rsid w:val="00544D98"/>
    <w:rsid w:val="005466E0"/>
    <w:rsid w:val="00547CD3"/>
    <w:rsid w:val="0055552F"/>
    <w:rsid w:val="00560AE1"/>
    <w:rsid w:val="00562822"/>
    <w:rsid w:val="00563701"/>
    <w:rsid w:val="0056392D"/>
    <w:rsid w:val="00570392"/>
    <w:rsid w:val="005710AA"/>
    <w:rsid w:val="00571B59"/>
    <w:rsid w:val="0057404E"/>
    <w:rsid w:val="00575F4B"/>
    <w:rsid w:val="00576AE9"/>
    <w:rsid w:val="00576E5B"/>
    <w:rsid w:val="00576EF9"/>
    <w:rsid w:val="005807B1"/>
    <w:rsid w:val="0058135C"/>
    <w:rsid w:val="005839E9"/>
    <w:rsid w:val="005846A9"/>
    <w:rsid w:val="0058684D"/>
    <w:rsid w:val="005872A8"/>
    <w:rsid w:val="00594100"/>
    <w:rsid w:val="0059433F"/>
    <w:rsid w:val="00597D65"/>
    <w:rsid w:val="005A3DF3"/>
    <w:rsid w:val="005A5F1C"/>
    <w:rsid w:val="005A73F2"/>
    <w:rsid w:val="005B2BBE"/>
    <w:rsid w:val="005C4F3B"/>
    <w:rsid w:val="005C5C3C"/>
    <w:rsid w:val="005C6A13"/>
    <w:rsid w:val="005C7E17"/>
    <w:rsid w:val="005D2DF6"/>
    <w:rsid w:val="005D317D"/>
    <w:rsid w:val="005E0D13"/>
    <w:rsid w:val="005E1594"/>
    <w:rsid w:val="005E5207"/>
    <w:rsid w:val="005F3588"/>
    <w:rsid w:val="005F397E"/>
    <w:rsid w:val="005F78FD"/>
    <w:rsid w:val="00602CFD"/>
    <w:rsid w:val="006032A5"/>
    <w:rsid w:val="00603FED"/>
    <w:rsid w:val="00614C06"/>
    <w:rsid w:val="006162DE"/>
    <w:rsid w:val="006164DC"/>
    <w:rsid w:val="00620A8F"/>
    <w:rsid w:val="006243A4"/>
    <w:rsid w:val="006253DB"/>
    <w:rsid w:val="00625905"/>
    <w:rsid w:val="006274A3"/>
    <w:rsid w:val="0063006A"/>
    <w:rsid w:val="00632BCB"/>
    <w:rsid w:val="0063459B"/>
    <w:rsid w:val="00637D2B"/>
    <w:rsid w:val="00641D88"/>
    <w:rsid w:val="00642273"/>
    <w:rsid w:val="00643E95"/>
    <w:rsid w:val="00644212"/>
    <w:rsid w:val="00646205"/>
    <w:rsid w:val="00646BDE"/>
    <w:rsid w:val="00650285"/>
    <w:rsid w:val="006524B1"/>
    <w:rsid w:val="00654148"/>
    <w:rsid w:val="00654EDF"/>
    <w:rsid w:val="00657450"/>
    <w:rsid w:val="0065795C"/>
    <w:rsid w:val="00657F3D"/>
    <w:rsid w:val="006612E1"/>
    <w:rsid w:val="0066239F"/>
    <w:rsid w:val="006652C2"/>
    <w:rsid w:val="00665BD5"/>
    <w:rsid w:val="006670AC"/>
    <w:rsid w:val="00671566"/>
    <w:rsid w:val="00672833"/>
    <w:rsid w:val="00677A42"/>
    <w:rsid w:val="0068139A"/>
    <w:rsid w:val="00683A6D"/>
    <w:rsid w:val="00685B22"/>
    <w:rsid w:val="00694DD0"/>
    <w:rsid w:val="006964A2"/>
    <w:rsid w:val="00696AB5"/>
    <w:rsid w:val="00697B60"/>
    <w:rsid w:val="006A515D"/>
    <w:rsid w:val="006B149A"/>
    <w:rsid w:val="006B6203"/>
    <w:rsid w:val="006C0894"/>
    <w:rsid w:val="006C399A"/>
    <w:rsid w:val="006C3A73"/>
    <w:rsid w:val="006D6E47"/>
    <w:rsid w:val="006E47A8"/>
    <w:rsid w:val="006E739B"/>
    <w:rsid w:val="007052A5"/>
    <w:rsid w:val="007070EB"/>
    <w:rsid w:val="007117D8"/>
    <w:rsid w:val="00717D3F"/>
    <w:rsid w:val="007205C7"/>
    <w:rsid w:val="00721C1D"/>
    <w:rsid w:val="00724E5C"/>
    <w:rsid w:val="00725048"/>
    <w:rsid w:val="00725055"/>
    <w:rsid w:val="00737C7C"/>
    <w:rsid w:val="00740367"/>
    <w:rsid w:val="00742F3D"/>
    <w:rsid w:val="00747EF3"/>
    <w:rsid w:val="00752EAF"/>
    <w:rsid w:val="00755908"/>
    <w:rsid w:val="007611E0"/>
    <w:rsid w:val="007611EF"/>
    <w:rsid w:val="007657EA"/>
    <w:rsid w:val="00765CBA"/>
    <w:rsid w:val="00766310"/>
    <w:rsid w:val="00766AF4"/>
    <w:rsid w:val="007702F1"/>
    <w:rsid w:val="00773129"/>
    <w:rsid w:val="00773860"/>
    <w:rsid w:val="0077469A"/>
    <w:rsid w:val="007804FD"/>
    <w:rsid w:val="00781C16"/>
    <w:rsid w:val="007822F1"/>
    <w:rsid w:val="00786C2F"/>
    <w:rsid w:val="0078701B"/>
    <w:rsid w:val="0079020B"/>
    <w:rsid w:val="0079053C"/>
    <w:rsid w:val="00791909"/>
    <w:rsid w:val="00791CA7"/>
    <w:rsid w:val="0079371E"/>
    <w:rsid w:val="007938E2"/>
    <w:rsid w:val="00793941"/>
    <w:rsid w:val="00794B2D"/>
    <w:rsid w:val="007959B2"/>
    <w:rsid w:val="007A1063"/>
    <w:rsid w:val="007A5CB9"/>
    <w:rsid w:val="007A6D6A"/>
    <w:rsid w:val="007B0F66"/>
    <w:rsid w:val="007B243E"/>
    <w:rsid w:val="007B38FA"/>
    <w:rsid w:val="007B5FC3"/>
    <w:rsid w:val="007C4F2C"/>
    <w:rsid w:val="007C60A2"/>
    <w:rsid w:val="007D032F"/>
    <w:rsid w:val="007D0B34"/>
    <w:rsid w:val="007D4F87"/>
    <w:rsid w:val="007D6B50"/>
    <w:rsid w:val="007D7C14"/>
    <w:rsid w:val="007E3D15"/>
    <w:rsid w:val="007E4C67"/>
    <w:rsid w:val="007E517B"/>
    <w:rsid w:val="007E5B73"/>
    <w:rsid w:val="007E6CEB"/>
    <w:rsid w:val="007F113F"/>
    <w:rsid w:val="007F13F5"/>
    <w:rsid w:val="007F161C"/>
    <w:rsid w:val="007F47D4"/>
    <w:rsid w:val="007F4B3F"/>
    <w:rsid w:val="00802D92"/>
    <w:rsid w:val="00803E47"/>
    <w:rsid w:val="008109B7"/>
    <w:rsid w:val="00817DC7"/>
    <w:rsid w:val="008208FB"/>
    <w:rsid w:val="00826E13"/>
    <w:rsid w:val="00833290"/>
    <w:rsid w:val="008333AB"/>
    <w:rsid w:val="008424D7"/>
    <w:rsid w:val="008433A7"/>
    <w:rsid w:val="008475E5"/>
    <w:rsid w:val="008477C6"/>
    <w:rsid w:val="00847D67"/>
    <w:rsid w:val="00851559"/>
    <w:rsid w:val="00853982"/>
    <w:rsid w:val="00853AF9"/>
    <w:rsid w:val="008556C1"/>
    <w:rsid w:val="0085732F"/>
    <w:rsid w:val="008611A1"/>
    <w:rsid w:val="00864428"/>
    <w:rsid w:val="00865609"/>
    <w:rsid w:val="00865E35"/>
    <w:rsid w:val="008709BD"/>
    <w:rsid w:val="00876AA9"/>
    <w:rsid w:val="00883056"/>
    <w:rsid w:val="008838C0"/>
    <w:rsid w:val="00884266"/>
    <w:rsid w:val="0089137D"/>
    <w:rsid w:val="0089584E"/>
    <w:rsid w:val="00896450"/>
    <w:rsid w:val="008979EA"/>
    <w:rsid w:val="00897D4B"/>
    <w:rsid w:val="008A3F86"/>
    <w:rsid w:val="008B2582"/>
    <w:rsid w:val="008B774F"/>
    <w:rsid w:val="008C104D"/>
    <w:rsid w:val="008C5D73"/>
    <w:rsid w:val="008D23B0"/>
    <w:rsid w:val="008D4FD1"/>
    <w:rsid w:val="008D6548"/>
    <w:rsid w:val="008E14C3"/>
    <w:rsid w:val="008E2066"/>
    <w:rsid w:val="008E36DD"/>
    <w:rsid w:val="008E39AE"/>
    <w:rsid w:val="008F3A0B"/>
    <w:rsid w:val="008F3F6E"/>
    <w:rsid w:val="008F4AC3"/>
    <w:rsid w:val="008F51AC"/>
    <w:rsid w:val="009023B7"/>
    <w:rsid w:val="00903A84"/>
    <w:rsid w:val="00903DC6"/>
    <w:rsid w:val="00907EB2"/>
    <w:rsid w:val="009111CC"/>
    <w:rsid w:val="00913114"/>
    <w:rsid w:val="00913719"/>
    <w:rsid w:val="00915D14"/>
    <w:rsid w:val="00920206"/>
    <w:rsid w:val="009228A7"/>
    <w:rsid w:val="00931CC8"/>
    <w:rsid w:val="00933ADE"/>
    <w:rsid w:val="00941E08"/>
    <w:rsid w:val="00942830"/>
    <w:rsid w:val="009513FF"/>
    <w:rsid w:val="00952BCF"/>
    <w:rsid w:val="00952EE6"/>
    <w:rsid w:val="0095795E"/>
    <w:rsid w:val="0096013D"/>
    <w:rsid w:val="00961EA6"/>
    <w:rsid w:val="0096466B"/>
    <w:rsid w:val="00965451"/>
    <w:rsid w:val="00966B04"/>
    <w:rsid w:val="009679B2"/>
    <w:rsid w:val="00972A4A"/>
    <w:rsid w:val="00973990"/>
    <w:rsid w:val="00974C4C"/>
    <w:rsid w:val="009752AF"/>
    <w:rsid w:val="00975A41"/>
    <w:rsid w:val="009814D8"/>
    <w:rsid w:val="009919C2"/>
    <w:rsid w:val="00994C9D"/>
    <w:rsid w:val="009961A6"/>
    <w:rsid w:val="009A0CCD"/>
    <w:rsid w:val="009A16D2"/>
    <w:rsid w:val="009A23FA"/>
    <w:rsid w:val="009A7656"/>
    <w:rsid w:val="009A7CF2"/>
    <w:rsid w:val="009B0CE9"/>
    <w:rsid w:val="009B2A67"/>
    <w:rsid w:val="009B3FD9"/>
    <w:rsid w:val="009B4140"/>
    <w:rsid w:val="009B593F"/>
    <w:rsid w:val="009C3A85"/>
    <w:rsid w:val="009C7AB3"/>
    <w:rsid w:val="009D1613"/>
    <w:rsid w:val="009D184F"/>
    <w:rsid w:val="009D3174"/>
    <w:rsid w:val="009D540E"/>
    <w:rsid w:val="009D7C22"/>
    <w:rsid w:val="009E0B27"/>
    <w:rsid w:val="009E1FB6"/>
    <w:rsid w:val="009E3813"/>
    <w:rsid w:val="009E3CBF"/>
    <w:rsid w:val="009E479D"/>
    <w:rsid w:val="009E5EEA"/>
    <w:rsid w:val="009E5F4D"/>
    <w:rsid w:val="009F18D0"/>
    <w:rsid w:val="009F2C93"/>
    <w:rsid w:val="009F3E3E"/>
    <w:rsid w:val="009F44F5"/>
    <w:rsid w:val="009F68FF"/>
    <w:rsid w:val="009F6EF6"/>
    <w:rsid w:val="00A00C10"/>
    <w:rsid w:val="00A01DFC"/>
    <w:rsid w:val="00A03361"/>
    <w:rsid w:val="00A035B1"/>
    <w:rsid w:val="00A04E23"/>
    <w:rsid w:val="00A05BB5"/>
    <w:rsid w:val="00A078BA"/>
    <w:rsid w:val="00A115C7"/>
    <w:rsid w:val="00A16722"/>
    <w:rsid w:val="00A17305"/>
    <w:rsid w:val="00A20CB0"/>
    <w:rsid w:val="00A23863"/>
    <w:rsid w:val="00A239C8"/>
    <w:rsid w:val="00A252DC"/>
    <w:rsid w:val="00A34178"/>
    <w:rsid w:val="00A34AE8"/>
    <w:rsid w:val="00A415C4"/>
    <w:rsid w:val="00A4579D"/>
    <w:rsid w:val="00A45A15"/>
    <w:rsid w:val="00A45C4E"/>
    <w:rsid w:val="00A4713F"/>
    <w:rsid w:val="00A53F8E"/>
    <w:rsid w:val="00A561EF"/>
    <w:rsid w:val="00A64462"/>
    <w:rsid w:val="00A65B39"/>
    <w:rsid w:val="00A6755A"/>
    <w:rsid w:val="00A7404D"/>
    <w:rsid w:val="00A7423E"/>
    <w:rsid w:val="00A76B41"/>
    <w:rsid w:val="00A80533"/>
    <w:rsid w:val="00A80EDA"/>
    <w:rsid w:val="00A928B3"/>
    <w:rsid w:val="00A92A98"/>
    <w:rsid w:val="00A93718"/>
    <w:rsid w:val="00AA1382"/>
    <w:rsid w:val="00AA4A3C"/>
    <w:rsid w:val="00AB1F27"/>
    <w:rsid w:val="00AB61E5"/>
    <w:rsid w:val="00AB6771"/>
    <w:rsid w:val="00AC2200"/>
    <w:rsid w:val="00AD21D1"/>
    <w:rsid w:val="00AE0621"/>
    <w:rsid w:val="00AE32B6"/>
    <w:rsid w:val="00AE3C69"/>
    <w:rsid w:val="00AF188A"/>
    <w:rsid w:val="00AF36D3"/>
    <w:rsid w:val="00AF45F4"/>
    <w:rsid w:val="00AF6049"/>
    <w:rsid w:val="00AF6D48"/>
    <w:rsid w:val="00AF77E2"/>
    <w:rsid w:val="00AF786E"/>
    <w:rsid w:val="00B004B0"/>
    <w:rsid w:val="00B00FEF"/>
    <w:rsid w:val="00B07358"/>
    <w:rsid w:val="00B11E3B"/>
    <w:rsid w:val="00B126E8"/>
    <w:rsid w:val="00B16721"/>
    <w:rsid w:val="00B208A3"/>
    <w:rsid w:val="00B219BC"/>
    <w:rsid w:val="00B233EC"/>
    <w:rsid w:val="00B2597D"/>
    <w:rsid w:val="00B26B92"/>
    <w:rsid w:val="00B304EA"/>
    <w:rsid w:val="00B307DD"/>
    <w:rsid w:val="00B3111B"/>
    <w:rsid w:val="00B349BD"/>
    <w:rsid w:val="00B35B0E"/>
    <w:rsid w:val="00B407EC"/>
    <w:rsid w:val="00B426AA"/>
    <w:rsid w:val="00B4481C"/>
    <w:rsid w:val="00B50402"/>
    <w:rsid w:val="00B51409"/>
    <w:rsid w:val="00B54084"/>
    <w:rsid w:val="00B603F7"/>
    <w:rsid w:val="00B6100D"/>
    <w:rsid w:val="00B6244A"/>
    <w:rsid w:val="00B65F7F"/>
    <w:rsid w:val="00B75D42"/>
    <w:rsid w:val="00B80A68"/>
    <w:rsid w:val="00B823DD"/>
    <w:rsid w:val="00B94342"/>
    <w:rsid w:val="00BA2346"/>
    <w:rsid w:val="00BA3CCE"/>
    <w:rsid w:val="00BA6B36"/>
    <w:rsid w:val="00BB159A"/>
    <w:rsid w:val="00BB3261"/>
    <w:rsid w:val="00BB4565"/>
    <w:rsid w:val="00BC4041"/>
    <w:rsid w:val="00BC76F6"/>
    <w:rsid w:val="00BE4248"/>
    <w:rsid w:val="00BE7BC0"/>
    <w:rsid w:val="00BE7DB6"/>
    <w:rsid w:val="00BF35A7"/>
    <w:rsid w:val="00BF5A2C"/>
    <w:rsid w:val="00BF5D54"/>
    <w:rsid w:val="00C02363"/>
    <w:rsid w:val="00C02D70"/>
    <w:rsid w:val="00C03998"/>
    <w:rsid w:val="00C045C2"/>
    <w:rsid w:val="00C058CA"/>
    <w:rsid w:val="00C17FB8"/>
    <w:rsid w:val="00C20149"/>
    <w:rsid w:val="00C21136"/>
    <w:rsid w:val="00C22513"/>
    <w:rsid w:val="00C24B47"/>
    <w:rsid w:val="00C27A67"/>
    <w:rsid w:val="00C320B0"/>
    <w:rsid w:val="00C33379"/>
    <w:rsid w:val="00C3357E"/>
    <w:rsid w:val="00C34694"/>
    <w:rsid w:val="00C40C25"/>
    <w:rsid w:val="00C452F2"/>
    <w:rsid w:val="00C464F6"/>
    <w:rsid w:val="00C465BE"/>
    <w:rsid w:val="00C46F87"/>
    <w:rsid w:val="00C47BC0"/>
    <w:rsid w:val="00C47E19"/>
    <w:rsid w:val="00C52B5E"/>
    <w:rsid w:val="00C531C6"/>
    <w:rsid w:val="00C535BB"/>
    <w:rsid w:val="00C5590F"/>
    <w:rsid w:val="00C642F5"/>
    <w:rsid w:val="00C75E3F"/>
    <w:rsid w:val="00C82B1A"/>
    <w:rsid w:val="00C958FC"/>
    <w:rsid w:val="00C97710"/>
    <w:rsid w:val="00CA0E60"/>
    <w:rsid w:val="00CA3169"/>
    <w:rsid w:val="00CB1672"/>
    <w:rsid w:val="00CB3B88"/>
    <w:rsid w:val="00CB6301"/>
    <w:rsid w:val="00CC02B2"/>
    <w:rsid w:val="00CC04B2"/>
    <w:rsid w:val="00CC0607"/>
    <w:rsid w:val="00CC25CF"/>
    <w:rsid w:val="00CC6558"/>
    <w:rsid w:val="00CC6732"/>
    <w:rsid w:val="00CD4A94"/>
    <w:rsid w:val="00CE03B3"/>
    <w:rsid w:val="00CE4618"/>
    <w:rsid w:val="00CE6DD8"/>
    <w:rsid w:val="00CF35FE"/>
    <w:rsid w:val="00D017F2"/>
    <w:rsid w:val="00D027D6"/>
    <w:rsid w:val="00D042F8"/>
    <w:rsid w:val="00D04ED8"/>
    <w:rsid w:val="00D056AF"/>
    <w:rsid w:val="00D07B12"/>
    <w:rsid w:val="00D10ED7"/>
    <w:rsid w:val="00D10F83"/>
    <w:rsid w:val="00D11BFA"/>
    <w:rsid w:val="00D17F05"/>
    <w:rsid w:val="00D21EDF"/>
    <w:rsid w:val="00D23F42"/>
    <w:rsid w:val="00D241B2"/>
    <w:rsid w:val="00D249E7"/>
    <w:rsid w:val="00D26A80"/>
    <w:rsid w:val="00D31E86"/>
    <w:rsid w:val="00D3407F"/>
    <w:rsid w:val="00D377C8"/>
    <w:rsid w:val="00D44C64"/>
    <w:rsid w:val="00D45632"/>
    <w:rsid w:val="00D45E28"/>
    <w:rsid w:val="00D46069"/>
    <w:rsid w:val="00D51F12"/>
    <w:rsid w:val="00D56387"/>
    <w:rsid w:val="00D70639"/>
    <w:rsid w:val="00D71204"/>
    <w:rsid w:val="00D73684"/>
    <w:rsid w:val="00D74E3D"/>
    <w:rsid w:val="00D763F0"/>
    <w:rsid w:val="00D81359"/>
    <w:rsid w:val="00D84EFA"/>
    <w:rsid w:val="00D853A2"/>
    <w:rsid w:val="00D938B0"/>
    <w:rsid w:val="00D93BBC"/>
    <w:rsid w:val="00D945C9"/>
    <w:rsid w:val="00D94932"/>
    <w:rsid w:val="00D95C40"/>
    <w:rsid w:val="00DA04DE"/>
    <w:rsid w:val="00DA7336"/>
    <w:rsid w:val="00DA7771"/>
    <w:rsid w:val="00DB623B"/>
    <w:rsid w:val="00DB7A7F"/>
    <w:rsid w:val="00DC139A"/>
    <w:rsid w:val="00DC13EC"/>
    <w:rsid w:val="00DC2053"/>
    <w:rsid w:val="00DC23B2"/>
    <w:rsid w:val="00DC4A57"/>
    <w:rsid w:val="00DD0732"/>
    <w:rsid w:val="00DD0B72"/>
    <w:rsid w:val="00DD2706"/>
    <w:rsid w:val="00DD7AC9"/>
    <w:rsid w:val="00DD7D51"/>
    <w:rsid w:val="00DE54F4"/>
    <w:rsid w:val="00DE7EA3"/>
    <w:rsid w:val="00DF6945"/>
    <w:rsid w:val="00DF69FB"/>
    <w:rsid w:val="00DF6A48"/>
    <w:rsid w:val="00DF6FDA"/>
    <w:rsid w:val="00E04051"/>
    <w:rsid w:val="00E04F02"/>
    <w:rsid w:val="00E05DFE"/>
    <w:rsid w:val="00E06890"/>
    <w:rsid w:val="00E073F6"/>
    <w:rsid w:val="00E1351A"/>
    <w:rsid w:val="00E16F9E"/>
    <w:rsid w:val="00E17476"/>
    <w:rsid w:val="00E230D3"/>
    <w:rsid w:val="00E2364D"/>
    <w:rsid w:val="00E24101"/>
    <w:rsid w:val="00E2416C"/>
    <w:rsid w:val="00E24D51"/>
    <w:rsid w:val="00E3199F"/>
    <w:rsid w:val="00E32B0A"/>
    <w:rsid w:val="00E370C4"/>
    <w:rsid w:val="00E3721E"/>
    <w:rsid w:val="00E377C7"/>
    <w:rsid w:val="00E37C0A"/>
    <w:rsid w:val="00E40D30"/>
    <w:rsid w:val="00E5522E"/>
    <w:rsid w:val="00E576D6"/>
    <w:rsid w:val="00E57B5F"/>
    <w:rsid w:val="00E6128C"/>
    <w:rsid w:val="00E61A5A"/>
    <w:rsid w:val="00E630AB"/>
    <w:rsid w:val="00E65E6C"/>
    <w:rsid w:val="00E665AA"/>
    <w:rsid w:val="00E67621"/>
    <w:rsid w:val="00E67B4D"/>
    <w:rsid w:val="00E70A2F"/>
    <w:rsid w:val="00E716DF"/>
    <w:rsid w:val="00E71B37"/>
    <w:rsid w:val="00E74F0F"/>
    <w:rsid w:val="00E81254"/>
    <w:rsid w:val="00E82EE6"/>
    <w:rsid w:val="00E838D1"/>
    <w:rsid w:val="00E85088"/>
    <w:rsid w:val="00E86D52"/>
    <w:rsid w:val="00E9238D"/>
    <w:rsid w:val="00E963D8"/>
    <w:rsid w:val="00EA2B0E"/>
    <w:rsid w:val="00EA3AD6"/>
    <w:rsid w:val="00EA6CD1"/>
    <w:rsid w:val="00EB19D2"/>
    <w:rsid w:val="00EB7D4A"/>
    <w:rsid w:val="00EC3329"/>
    <w:rsid w:val="00EC3AEA"/>
    <w:rsid w:val="00ED11D3"/>
    <w:rsid w:val="00ED746E"/>
    <w:rsid w:val="00EE0BB1"/>
    <w:rsid w:val="00EE0D1C"/>
    <w:rsid w:val="00EE135D"/>
    <w:rsid w:val="00EF0F26"/>
    <w:rsid w:val="00EF15EB"/>
    <w:rsid w:val="00EF3EEE"/>
    <w:rsid w:val="00EF4589"/>
    <w:rsid w:val="00EF6072"/>
    <w:rsid w:val="00EF7C92"/>
    <w:rsid w:val="00EF7E0C"/>
    <w:rsid w:val="00F00695"/>
    <w:rsid w:val="00F0083F"/>
    <w:rsid w:val="00F01E0D"/>
    <w:rsid w:val="00F01EDB"/>
    <w:rsid w:val="00F05124"/>
    <w:rsid w:val="00F11EE2"/>
    <w:rsid w:val="00F12E6C"/>
    <w:rsid w:val="00F20461"/>
    <w:rsid w:val="00F208B5"/>
    <w:rsid w:val="00F24335"/>
    <w:rsid w:val="00F27A3F"/>
    <w:rsid w:val="00F328B4"/>
    <w:rsid w:val="00F330E9"/>
    <w:rsid w:val="00F35FB1"/>
    <w:rsid w:val="00F45690"/>
    <w:rsid w:val="00F51CA0"/>
    <w:rsid w:val="00F52238"/>
    <w:rsid w:val="00F52A3D"/>
    <w:rsid w:val="00F60488"/>
    <w:rsid w:val="00F6294B"/>
    <w:rsid w:val="00F67F3C"/>
    <w:rsid w:val="00F70FC6"/>
    <w:rsid w:val="00F714F2"/>
    <w:rsid w:val="00F76B2E"/>
    <w:rsid w:val="00F820DD"/>
    <w:rsid w:val="00F8268F"/>
    <w:rsid w:val="00F86997"/>
    <w:rsid w:val="00F872D2"/>
    <w:rsid w:val="00F87BF9"/>
    <w:rsid w:val="00F90751"/>
    <w:rsid w:val="00F92666"/>
    <w:rsid w:val="00F930AB"/>
    <w:rsid w:val="00F93CFD"/>
    <w:rsid w:val="00F93DA3"/>
    <w:rsid w:val="00FA5814"/>
    <w:rsid w:val="00FB0F70"/>
    <w:rsid w:val="00FB23BC"/>
    <w:rsid w:val="00FB3A8A"/>
    <w:rsid w:val="00FB41E4"/>
    <w:rsid w:val="00FB596D"/>
    <w:rsid w:val="00FB65C2"/>
    <w:rsid w:val="00FC35A5"/>
    <w:rsid w:val="00FC3661"/>
    <w:rsid w:val="00FC3838"/>
    <w:rsid w:val="00FC51C7"/>
    <w:rsid w:val="00FD43DC"/>
    <w:rsid w:val="00FD4CB2"/>
    <w:rsid w:val="00FD74B4"/>
    <w:rsid w:val="00FD753E"/>
    <w:rsid w:val="00FE09AF"/>
    <w:rsid w:val="00FE1273"/>
    <w:rsid w:val="00FE6042"/>
    <w:rsid w:val="00FF362E"/>
    <w:rsid w:val="00FF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611E0"/>
    <w:rPr>
      <w:sz w:val="24"/>
      <w:szCs w:val="24"/>
    </w:rPr>
  </w:style>
  <w:style w:type="paragraph" w:styleId="Heading6">
    <w:name w:val="heading 6"/>
    <w:basedOn w:val="Normal"/>
    <w:next w:val="Normal"/>
    <w:qFormat/>
    <w:rsid w:val="00625905"/>
    <w:pPr>
      <w:numPr>
        <w:ilvl w:val="5"/>
        <w:numId w:val="2"/>
      </w:numPr>
      <w:spacing w:before="240" w:after="60"/>
      <w:outlineLvl w:val="5"/>
    </w:pPr>
    <w:rPr>
      <w:b/>
      <w:bCs/>
      <w:sz w:val="22"/>
      <w:szCs w:val="22"/>
    </w:rPr>
  </w:style>
  <w:style w:type="paragraph" w:styleId="Heading7">
    <w:name w:val="heading 7"/>
    <w:basedOn w:val="Normal"/>
    <w:next w:val="Normal"/>
    <w:qFormat/>
    <w:rsid w:val="00625905"/>
    <w:pPr>
      <w:numPr>
        <w:ilvl w:val="6"/>
        <w:numId w:val="2"/>
      </w:numPr>
      <w:spacing w:before="240" w:after="60"/>
      <w:outlineLvl w:val="6"/>
    </w:pPr>
  </w:style>
  <w:style w:type="paragraph" w:styleId="Heading8">
    <w:name w:val="heading 8"/>
    <w:basedOn w:val="Normal"/>
    <w:next w:val="Normal"/>
    <w:qFormat/>
    <w:rsid w:val="00625905"/>
    <w:pPr>
      <w:numPr>
        <w:ilvl w:val="7"/>
        <w:numId w:val="2"/>
      </w:numPr>
      <w:spacing w:before="240" w:after="60"/>
      <w:outlineLvl w:val="7"/>
    </w:pPr>
    <w:rPr>
      <w:i/>
      <w:iCs/>
    </w:rPr>
  </w:style>
  <w:style w:type="paragraph" w:styleId="Heading9">
    <w:name w:val="heading 9"/>
    <w:basedOn w:val="Normal"/>
    <w:next w:val="Normal"/>
    <w:qFormat/>
    <w:rsid w:val="0062590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BlockText"/>
    <w:rsid w:val="007611E0"/>
    <w:pPr>
      <w:spacing w:after="160" w:line="240" w:lineRule="exact"/>
    </w:pPr>
    <w:rPr>
      <w:rFonts w:ascii="Verdana" w:hAnsi="Verdana"/>
      <w:sz w:val="20"/>
      <w:lang w:val="en-US" w:eastAsia="en-US"/>
    </w:rPr>
  </w:style>
  <w:style w:type="character" w:styleId="CommentReference">
    <w:name w:val="annotation reference"/>
    <w:semiHidden/>
    <w:rsid w:val="007611E0"/>
    <w:rPr>
      <w:sz w:val="16"/>
      <w:szCs w:val="16"/>
    </w:rPr>
  </w:style>
  <w:style w:type="paragraph" w:styleId="CommentText">
    <w:name w:val="annotation text"/>
    <w:basedOn w:val="Normal"/>
    <w:semiHidden/>
    <w:rsid w:val="007611E0"/>
    <w:rPr>
      <w:sz w:val="20"/>
      <w:szCs w:val="20"/>
    </w:rPr>
  </w:style>
  <w:style w:type="paragraph" w:styleId="BlockText">
    <w:name w:val="Block Text"/>
    <w:basedOn w:val="Normal"/>
    <w:rsid w:val="007611E0"/>
    <w:pPr>
      <w:spacing w:after="120"/>
      <w:ind w:left="1440" w:right="1440"/>
    </w:pPr>
  </w:style>
  <w:style w:type="paragraph" w:styleId="BalloonText">
    <w:name w:val="Balloon Text"/>
    <w:basedOn w:val="Normal"/>
    <w:semiHidden/>
    <w:rsid w:val="007611E0"/>
    <w:rPr>
      <w:rFonts w:ascii="Tahoma" w:hAnsi="Tahoma" w:cs="Tahoma"/>
      <w:sz w:val="16"/>
      <w:szCs w:val="16"/>
    </w:rPr>
  </w:style>
  <w:style w:type="paragraph" w:styleId="Footer">
    <w:name w:val="footer"/>
    <w:basedOn w:val="Normal"/>
    <w:rsid w:val="00230627"/>
    <w:pPr>
      <w:tabs>
        <w:tab w:val="center" w:pos="4153"/>
        <w:tab w:val="right" w:pos="8306"/>
      </w:tabs>
    </w:pPr>
  </w:style>
  <w:style w:type="character" w:styleId="PageNumber">
    <w:name w:val="page number"/>
    <w:basedOn w:val="DefaultParagraphFont"/>
    <w:rsid w:val="00230627"/>
  </w:style>
  <w:style w:type="paragraph" w:styleId="Header">
    <w:name w:val="header"/>
    <w:basedOn w:val="Normal"/>
    <w:rsid w:val="00205065"/>
    <w:pPr>
      <w:tabs>
        <w:tab w:val="center" w:pos="4153"/>
        <w:tab w:val="right" w:pos="8306"/>
      </w:tabs>
    </w:pPr>
  </w:style>
  <w:style w:type="paragraph" w:styleId="CommentSubject">
    <w:name w:val="annotation subject"/>
    <w:basedOn w:val="CommentText"/>
    <w:next w:val="CommentText"/>
    <w:semiHidden/>
    <w:rsid w:val="004154C0"/>
    <w:rPr>
      <w:b/>
      <w:bCs/>
    </w:rPr>
  </w:style>
  <w:style w:type="character" w:styleId="Hyperlink">
    <w:name w:val="Hyperlink"/>
    <w:rsid w:val="008F3A0B"/>
    <w:rPr>
      <w:color w:val="0000FF"/>
      <w:u w:val="single"/>
    </w:rPr>
  </w:style>
  <w:style w:type="paragraph" w:styleId="FootnoteText">
    <w:name w:val="footnote text"/>
    <w:basedOn w:val="Normal"/>
    <w:link w:val="FootnoteTextChar"/>
    <w:rsid w:val="00C82B1A"/>
    <w:rPr>
      <w:sz w:val="20"/>
      <w:szCs w:val="20"/>
    </w:rPr>
  </w:style>
  <w:style w:type="character" w:customStyle="1" w:styleId="FootnoteTextChar">
    <w:name w:val="Footnote Text Char"/>
    <w:basedOn w:val="DefaultParagraphFont"/>
    <w:link w:val="FootnoteText"/>
    <w:rsid w:val="00C82B1A"/>
  </w:style>
  <w:style w:type="character" w:styleId="FootnoteReference">
    <w:name w:val="footnote reference"/>
    <w:rsid w:val="00C82B1A"/>
    <w:rPr>
      <w:vertAlign w:val="superscript"/>
    </w:rPr>
  </w:style>
  <w:style w:type="character" w:styleId="FollowedHyperlink">
    <w:name w:val="FollowedHyperlink"/>
    <w:rsid w:val="00E82E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611E0"/>
    <w:rPr>
      <w:sz w:val="24"/>
      <w:szCs w:val="24"/>
    </w:rPr>
  </w:style>
  <w:style w:type="paragraph" w:styleId="Heading6">
    <w:name w:val="heading 6"/>
    <w:basedOn w:val="Normal"/>
    <w:next w:val="Normal"/>
    <w:qFormat/>
    <w:rsid w:val="00625905"/>
    <w:pPr>
      <w:numPr>
        <w:ilvl w:val="5"/>
        <w:numId w:val="2"/>
      </w:numPr>
      <w:spacing w:before="240" w:after="60"/>
      <w:outlineLvl w:val="5"/>
    </w:pPr>
    <w:rPr>
      <w:b/>
      <w:bCs/>
      <w:sz w:val="22"/>
      <w:szCs w:val="22"/>
    </w:rPr>
  </w:style>
  <w:style w:type="paragraph" w:styleId="Heading7">
    <w:name w:val="heading 7"/>
    <w:basedOn w:val="Normal"/>
    <w:next w:val="Normal"/>
    <w:qFormat/>
    <w:rsid w:val="00625905"/>
    <w:pPr>
      <w:numPr>
        <w:ilvl w:val="6"/>
        <w:numId w:val="2"/>
      </w:numPr>
      <w:spacing w:before="240" w:after="60"/>
      <w:outlineLvl w:val="6"/>
    </w:pPr>
  </w:style>
  <w:style w:type="paragraph" w:styleId="Heading8">
    <w:name w:val="heading 8"/>
    <w:basedOn w:val="Normal"/>
    <w:next w:val="Normal"/>
    <w:qFormat/>
    <w:rsid w:val="00625905"/>
    <w:pPr>
      <w:numPr>
        <w:ilvl w:val="7"/>
        <w:numId w:val="2"/>
      </w:numPr>
      <w:spacing w:before="240" w:after="60"/>
      <w:outlineLvl w:val="7"/>
    </w:pPr>
    <w:rPr>
      <w:i/>
      <w:iCs/>
    </w:rPr>
  </w:style>
  <w:style w:type="paragraph" w:styleId="Heading9">
    <w:name w:val="heading 9"/>
    <w:basedOn w:val="Normal"/>
    <w:next w:val="Normal"/>
    <w:qFormat/>
    <w:rsid w:val="0062590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BlockText"/>
    <w:rsid w:val="007611E0"/>
    <w:pPr>
      <w:spacing w:after="160" w:line="240" w:lineRule="exact"/>
    </w:pPr>
    <w:rPr>
      <w:rFonts w:ascii="Verdana" w:hAnsi="Verdana"/>
      <w:sz w:val="20"/>
      <w:lang w:val="en-US" w:eastAsia="en-US"/>
    </w:rPr>
  </w:style>
  <w:style w:type="character" w:styleId="CommentReference">
    <w:name w:val="annotation reference"/>
    <w:semiHidden/>
    <w:rsid w:val="007611E0"/>
    <w:rPr>
      <w:sz w:val="16"/>
      <w:szCs w:val="16"/>
    </w:rPr>
  </w:style>
  <w:style w:type="paragraph" w:styleId="CommentText">
    <w:name w:val="annotation text"/>
    <w:basedOn w:val="Normal"/>
    <w:semiHidden/>
    <w:rsid w:val="007611E0"/>
    <w:rPr>
      <w:sz w:val="20"/>
      <w:szCs w:val="20"/>
    </w:rPr>
  </w:style>
  <w:style w:type="paragraph" w:styleId="BlockText">
    <w:name w:val="Block Text"/>
    <w:basedOn w:val="Normal"/>
    <w:rsid w:val="007611E0"/>
    <w:pPr>
      <w:spacing w:after="120"/>
      <w:ind w:left="1440" w:right="1440"/>
    </w:pPr>
  </w:style>
  <w:style w:type="paragraph" w:styleId="BalloonText">
    <w:name w:val="Balloon Text"/>
    <w:basedOn w:val="Normal"/>
    <w:semiHidden/>
    <w:rsid w:val="007611E0"/>
    <w:rPr>
      <w:rFonts w:ascii="Tahoma" w:hAnsi="Tahoma" w:cs="Tahoma"/>
      <w:sz w:val="16"/>
      <w:szCs w:val="16"/>
    </w:rPr>
  </w:style>
  <w:style w:type="paragraph" w:styleId="Footer">
    <w:name w:val="footer"/>
    <w:basedOn w:val="Normal"/>
    <w:rsid w:val="00230627"/>
    <w:pPr>
      <w:tabs>
        <w:tab w:val="center" w:pos="4153"/>
        <w:tab w:val="right" w:pos="8306"/>
      </w:tabs>
    </w:pPr>
  </w:style>
  <w:style w:type="character" w:styleId="PageNumber">
    <w:name w:val="page number"/>
    <w:basedOn w:val="DefaultParagraphFont"/>
    <w:rsid w:val="00230627"/>
  </w:style>
  <w:style w:type="paragraph" w:styleId="Header">
    <w:name w:val="header"/>
    <w:basedOn w:val="Normal"/>
    <w:rsid w:val="00205065"/>
    <w:pPr>
      <w:tabs>
        <w:tab w:val="center" w:pos="4153"/>
        <w:tab w:val="right" w:pos="8306"/>
      </w:tabs>
    </w:pPr>
  </w:style>
  <w:style w:type="paragraph" w:styleId="CommentSubject">
    <w:name w:val="annotation subject"/>
    <w:basedOn w:val="CommentText"/>
    <w:next w:val="CommentText"/>
    <w:semiHidden/>
    <w:rsid w:val="004154C0"/>
    <w:rPr>
      <w:b/>
      <w:bCs/>
    </w:rPr>
  </w:style>
  <w:style w:type="character" w:styleId="Hyperlink">
    <w:name w:val="Hyperlink"/>
    <w:rsid w:val="008F3A0B"/>
    <w:rPr>
      <w:color w:val="0000FF"/>
      <w:u w:val="single"/>
    </w:rPr>
  </w:style>
  <w:style w:type="paragraph" w:styleId="FootnoteText">
    <w:name w:val="footnote text"/>
    <w:basedOn w:val="Normal"/>
    <w:link w:val="FootnoteTextChar"/>
    <w:rsid w:val="00C82B1A"/>
    <w:rPr>
      <w:sz w:val="20"/>
      <w:szCs w:val="20"/>
    </w:rPr>
  </w:style>
  <w:style w:type="character" w:customStyle="1" w:styleId="FootnoteTextChar">
    <w:name w:val="Footnote Text Char"/>
    <w:basedOn w:val="DefaultParagraphFont"/>
    <w:link w:val="FootnoteText"/>
    <w:rsid w:val="00C82B1A"/>
  </w:style>
  <w:style w:type="character" w:styleId="FootnoteReference">
    <w:name w:val="footnote reference"/>
    <w:rsid w:val="00C82B1A"/>
    <w:rPr>
      <w:vertAlign w:val="superscript"/>
    </w:rPr>
  </w:style>
  <w:style w:type="character" w:styleId="FollowedHyperlink">
    <w:name w:val="FollowedHyperlink"/>
    <w:rsid w:val="00E82E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law.gov.au/Details/C2012C00726/Html/Tex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909F-2766-4A45-AF3E-C8C40B92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53061BBD</Template>
  <TotalTime>0</TotalTime>
  <Pages>8</Pages>
  <Words>2410</Words>
  <Characters>13160</Characters>
  <Application>Microsoft Office Word</Application>
  <DocSecurity>0</DocSecurity>
  <Lines>109</Lines>
  <Paragraphs>31</Paragraphs>
  <ScaleCrop>false</ScaleCrop>
  <Company/>
  <LinksUpToDate>false</LinksUpToDate>
  <CharactersWithSpaces>15539</CharactersWithSpaces>
  <SharedDoc>false</SharedDoc>
  <HLinks>
    <vt:vector size="6" baseType="variant">
      <vt:variant>
        <vt:i4>3080279</vt:i4>
      </vt:variant>
      <vt:variant>
        <vt:i4>0</vt:i4>
      </vt:variant>
      <vt:variant>
        <vt:i4>0</vt:i4>
      </vt:variant>
      <vt:variant>
        <vt:i4>5</vt:i4>
      </vt:variant>
      <vt:variant>
        <vt:lpwstr>http://www.comlaw.gov.au/Details/C2012C00726/Html/Text</vt:lpwstr>
      </vt:variant>
      <vt:variant>
        <vt:lpwstr>_Toc338403934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2018-01-07T23:57:00Z</dcterms:created>
  <dcterms:modified xsi:type="dcterms:W3CDTF">2018-01-07T23:58:00Z</dcterms:modified>
</cp:coreProperties>
</file>