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3ACE3" w14:textId="6FBFEC5E" w:rsidR="002436BD" w:rsidRPr="002C6D26" w:rsidRDefault="00E62E09" w:rsidP="00113C3C">
      <w:pPr>
        <w:pStyle w:val="Heading"/>
        <w:spacing w:after="240"/>
        <w:jc w:val="center"/>
        <w:rPr>
          <w:rFonts w:ascii="Times New Roman" w:hAnsi="Times New Roman"/>
          <w:sz w:val="24"/>
          <w:szCs w:val="24"/>
        </w:rPr>
      </w:pPr>
      <w:bookmarkStart w:id="0" w:name="_GoBack"/>
      <w:bookmarkEnd w:id="0"/>
      <w:r w:rsidRPr="00E62E09">
        <w:rPr>
          <w:rFonts w:ascii="Times New Roman" w:hAnsi="Times New Roman"/>
          <w:sz w:val="24"/>
          <w:szCs w:val="24"/>
        </w:rPr>
        <w:t>Financial Sector (Collection of Data) (reporting standard)</w:t>
      </w:r>
      <w:r w:rsidR="001A2ADB">
        <w:rPr>
          <w:rFonts w:ascii="Times New Roman" w:hAnsi="Times New Roman"/>
          <w:sz w:val="24"/>
          <w:szCs w:val="24"/>
        </w:rPr>
        <w:t xml:space="preserve"> </w:t>
      </w:r>
      <w:r w:rsidR="00041756">
        <w:rPr>
          <w:rFonts w:ascii="Times New Roman" w:hAnsi="Times New Roman"/>
          <w:sz w:val="24"/>
          <w:szCs w:val="24"/>
        </w:rPr>
        <w:t xml:space="preserve">determination No. </w:t>
      </w:r>
      <w:r w:rsidR="00AF29D5">
        <w:rPr>
          <w:rFonts w:ascii="Times New Roman" w:hAnsi="Times New Roman"/>
          <w:sz w:val="24"/>
          <w:szCs w:val="24"/>
        </w:rPr>
        <w:t xml:space="preserve">1 </w:t>
      </w:r>
      <w:r w:rsidR="00041756">
        <w:rPr>
          <w:rFonts w:ascii="Times New Roman" w:hAnsi="Times New Roman"/>
          <w:sz w:val="24"/>
          <w:szCs w:val="24"/>
        </w:rPr>
        <w:t xml:space="preserve">of </w:t>
      </w:r>
      <w:r w:rsidR="00AF29D5">
        <w:rPr>
          <w:rFonts w:ascii="Times New Roman" w:hAnsi="Times New Roman"/>
          <w:sz w:val="24"/>
          <w:szCs w:val="24"/>
        </w:rPr>
        <w:t>2018</w:t>
      </w:r>
    </w:p>
    <w:p w14:paraId="37DC42A1" w14:textId="77777777" w:rsidR="002436BD" w:rsidRPr="002C6D26" w:rsidRDefault="002436BD" w:rsidP="00113C3C">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17F4DCE1" w14:textId="77777777" w:rsidR="002436BD" w:rsidRPr="002C6D26" w:rsidRDefault="002436BD" w:rsidP="00113C3C">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27CA54AB" w14:textId="77777777" w:rsidR="001A2ADB" w:rsidRDefault="001A2ADB" w:rsidP="00113C3C">
      <w:pPr>
        <w:pStyle w:val="heading0"/>
        <w:spacing w:before="0" w:beforeAutospacing="0" w:after="240" w:afterAutospacing="0"/>
        <w:jc w:val="center"/>
      </w:pPr>
      <w:r>
        <w:rPr>
          <w:i/>
          <w:iCs/>
        </w:rPr>
        <w:t>Financial Sector (Collection of Data) Act 2001</w:t>
      </w:r>
      <w:r>
        <w:t>, sections 13 and 15</w:t>
      </w:r>
    </w:p>
    <w:p w14:paraId="181EEF0D" w14:textId="77777777" w:rsidR="00CA7768" w:rsidRDefault="00CA7768" w:rsidP="00113C3C">
      <w:pPr>
        <w:pStyle w:val="heading0"/>
        <w:spacing w:before="0" w:beforeAutospacing="0" w:after="240" w:afterAutospacing="0"/>
        <w:jc w:val="center"/>
      </w:pPr>
      <w:r w:rsidRPr="008F49B2">
        <w:rPr>
          <w:i/>
        </w:rPr>
        <w:t>Acts Interpretation Act 1901</w:t>
      </w:r>
      <w:r>
        <w:t>, subsection 33(3)</w:t>
      </w:r>
    </w:p>
    <w:p w14:paraId="75C591C6" w14:textId="77777777" w:rsidR="002436BD" w:rsidRDefault="002436BD" w:rsidP="001317F6">
      <w:pPr>
        <w:widowControl w:val="0"/>
        <w:spacing w:after="240"/>
        <w:jc w:val="both"/>
        <w:rPr>
          <w:rFonts w:ascii="Times New Roman" w:hAnsi="Times New Roman"/>
          <w:iCs/>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 xml:space="preserve">has the power to determine reporting standards, in writing, with which financial sector entities must comply. </w:t>
      </w:r>
      <w:r w:rsidR="00E200E4">
        <w:rPr>
          <w:rFonts w:ascii="Times New Roman" w:hAnsi="Times New Roman"/>
          <w:sz w:val="24"/>
          <w:szCs w:val="24"/>
        </w:rPr>
        <w:t xml:space="preserve"> Under subsection 13(2B) of the Act, </w:t>
      </w:r>
      <w:r w:rsidR="00E200E4" w:rsidRPr="00E200E4">
        <w:rPr>
          <w:rFonts w:ascii="Times New Roman" w:hAnsi="Times New Roman"/>
          <w:sz w:val="24"/>
          <w:szCs w:val="24"/>
        </w:rPr>
        <w:t>the matters</w:t>
      </w:r>
      <w:r w:rsidR="00E200E4">
        <w:rPr>
          <w:rFonts w:ascii="Times New Roman" w:hAnsi="Times New Roman"/>
          <w:sz w:val="24"/>
          <w:szCs w:val="24"/>
        </w:rPr>
        <w:t xml:space="preserve"> that</w:t>
      </w:r>
      <w:r w:rsidR="00E200E4" w:rsidRPr="00E200E4">
        <w:rPr>
          <w:rFonts w:ascii="Times New Roman" w:hAnsi="Times New Roman"/>
          <w:sz w:val="24"/>
          <w:szCs w:val="24"/>
        </w:rPr>
        <w:t xml:space="preserve"> may </w:t>
      </w:r>
      <w:r w:rsidR="00E200E4">
        <w:rPr>
          <w:rFonts w:ascii="Times New Roman" w:hAnsi="Times New Roman"/>
          <w:sz w:val="24"/>
          <w:szCs w:val="24"/>
        </w:rPr>
        <w:t xml:space="preserve">be included in reporting standards may </w:t>
      </w:r>
      <w:r w:rsidR="00E200E4" w:rsidRPr="00E200E4">
        <w:rPr>
          <w:rFonts w:ascii="Times New Roman" w:hAnsi="Times New Roman"/>
          <w:sz w:val="24"/>
          <w:szCs w:val="24"/>
        </w:rPr>
        <w:t xml:space="preserve">relate to reporting of amounts for the purposes of the </w:t>
      </w:r>
      <w:r w:rsidR="00E200E4" w:rsidRPr="00E200E4">
        <w:rPr>
          <w:rFonts w:ascii="Times New Roman" w:hAnsi="Times New Roman"/>
          <w:i/>
          <w:iCs/>
          <w:sz w:val="24"/>
          <w:szCs w:val="24"/>
        </w:rPr>
        <w:t>Major Bank Levy Act 2017</w:t>
      </w:r>
      <w:r w:rsidR="00E200E4">
        <w:rPr>
          <w:rFonts w:ascii="Times New Roman" w:hAnsi="Times New Roman"/>
          <w:iCs/>
          <w:sz w:val="24"/>
          <w:szCs w:val="24"/>
        </w:rPr>
        <w:t>.</w:t>
      </w:r>
    </w:p>
    <w:p w14:paraId="377640C8" w14:textId="77777777" w:rsidR="00CA7768" w:rsidRPr="00E17D13" w:rsidRDefault="00CA7768" w:rsidP="00CA7768">
      <w:pPr>
        <w:pStyle w:val="BodyText2"/>
        <w:tabs>
          <w:tab w:val="left" w:pos="0"/>
        </w:tabs>
        <w:spacing w:after="0" w:line="240" w:lineRule="auto"/>
        <w:jc w:val="both"/>
        <w:rPr>
          <w:rFonts w:ascii="Times New Roman" w:hAnsi="Times New Roman"/>
          <w:sz w:val="24"/>
          <w:szCs w:val="24"/>
        </w:rPr>
      </w:pPr>
      <w:r>
        <w:rPr>
          <w:rFonts w:ascii="Times New Roman" w:hAnsi="Times New Roman"/>
          <w:sz w:val="24"/>
          <w:szCs w:val="24"/>
        </w:rPr>
        <w:t>Subsection</w:t>
      </w:r>
      <w:r w:rsidRPr="00E17D13">
        <w:rPr>
          <w:rFonts w:ascii="Times New Roman" w:hAnsi="Times New Roman"/>
          <w:sz w:val="24"/>
          <w:szCs w:val="24"/>
        </w:rPr>
        <w:t xml:space="preserve"> 33(3) of the </w:t>
      </w:r>
      <w:r w:rsidRPr="00E17D13">
        <w:rPr>
          <w:rFonts w:ascii="Times New Roman" w:hAnsi="Times New Roman"/>
          <w:i/>
          <w:sz w:val="24"/>
          <w:szCs w:val="24"/>
        </w:rPr>
        <w:t>Acts Interpretation Act 1901</w:t>
      </w:r>
      <w:r w:rsidRPr="00E17D13">
        <w:rPr>
          <w:rFonts w:ascii="Times New Roman" w:hAnsi="Times New Roman"/>
          <w:sz w:val="24"/>
          <w:szCs w:val="24"/>
        </w:rPr>
        <w:t xml:space="preserve"> provides that where an Act confers a power to make, grant or issue any </w:t>
      </w:r>
      <w:r>
        <w:rPr>
          <w:rFonts w:ascii="Times New Roman" w:hAnsi="Times New Roman"/>
          <w:sz w:val="24"/>
          <w:szCs w:val="24"/>
        </w:rPr>
        <w:t>Instrument</w:t>
      </w:r>
      <w:r w:rsidRPr="00E17D13">
        <w:rPr>
          <w:rFonts w:ascii="Times New Roman" w:hAnsi="Times New Roman"/>
          <w:sz w:val="24"/>
          <w:szCs w:val="24"/>
        </w:rPr>
        <w:t xml:space="preserve"> (including rule, regulations or by</w:t>
      </w:r>
      <w:r w:rsidRPr="00E17D13">
        <w:rPr>
          <w:rFonts w:ascii="Times New Roman" w:hAnsi="Times New Roman"/>
          <w:sz w:val="24"/>
          <w:szCs w:val="24"/>
        </w:rPr>
        <w:noBreakHyphen/>
        <w:t xml:space="preserve">laws) the power shall, unless the contrary intention appears, be construed as including a power exercisable in the like manner and subject to the like conditions (if any) to repeal, rescind, revoke, amend, or vary any such </w:t>
      </w:r>
      <w:r>
        <w:rPr>
          <w:rFonts w:ascii="Times New Roman" w:hAnsi="Times New Roman"/>
          <w:sz w:val="24"/>
          <w:szCs w:val="24"/>
        </w:rPr>
        <w:t>Instrument</w:t>
      </w:r>
      <w:r w:rsidRPr="00E17D13">
        <w:rPr>
          <w:rFonts w:ascii="Times New Roman" w:hAnsi="Times New Roman"/>
          <w:sz w:val="24"/>
          <w:szCs w:val="24"/>
        </w:rPr>
        <w:t>.</w:t>
      </w:r>
    </w:p>
    <w:p w14:paraId="4EA00934" w14:textId="77777777" w:rsidR="00CA7768" w:rsidRPr="002C6D26" w:rsidRDefault="00CA7768" w:rsidP="001317F6">
      <w:pPr>
        <w:widowControl w:val="0"/>
        <w:spacing w:after="240"/>
        <w:jc w:val="both"/>
        <w:rPr>
          <w:rFonts w:ascii="Times New Roman" w:hAnsi="Times New Roman"/>
          <w:sz w:val="24"/>
          <w:szCs w:val="24"/>
        </w:rPr>
      </w:pPr>
    </w:p>
    <w:p w14:paraId="6C8DF3D8" w14:textId="7E9637D3" w:rsidR="00246723" w:rsidRDefault="00041756" w:rsidP="001317F6">
      <w:pPr>
        <w:widowControl w:val="0"/>
        <w:spacing w:after="240"/>
        <w:jc w:val="both"/>
        <w:rPr>
          <w:rFonts w:ascii="Times New Roman" w:hAnsi="Times New Roman"/>
          <w:sz w:val="24"/>
          <w:szCs w:val="24"/>
        </w:rPr>
      </w:pPr>
      <w:r>
        <w:rPr>
          <w:rFonts w:ascii="Times New Roman" w:hAnsi="Times New Roman"/>
          <w:sz w:val="24"/>
          <w:szCs w:val="24"/>
        </w:rPr>
        <w:t xml:space="preserve">On </w:t>
      </w:r>
      <w:r w:rsidR="00AF29D5">
        <w:rPr>
          <w:rFonts w:ascii="Times New Roman" w:hAnsi="Times New Roman"/>
          <w:sz w:val="24"/>
          <w:szCs w:val="24"/>
        </w:rPr>
        <w:t>9</w:t>
      </w:r>
      <w:r w:rsidR="00AF29D5" w:rsidRPr="001C7CBD">
        <w:rPr>
          <w:rFonts w:ascii="Times New Roman" w:hAnsi="Times New Roman"/>
          <w:sz w:val="24"/>
          <w:szCs w:val="24"/>
        </w:rPr>
        <w:t xml:space="preserve"> </w:t>
      </w:r>
      <w:r w:rsidR="008F49B2">
        <w:rPr>
          <w:rFonts w:ascii="Times New Roman" w:hAnsi="Times New Roman"/>
          <w:sz w:val="24"/>
          <w:szCs w:val="24"/>
        </w:rPr>
        <w:t>January 2018</w:t>
      </w:r>
      <w:r w:rsidR="002436BD">
        <w:rPr>
          <w:rFonts w:ascii="Times New Roman" w:hAnsi="Times New Roman"/>
          <w:sz w:val="24"/>
          <w:szCs w:val="24"/>
        </w:rPr>
        <w:t xml:space="preserve">, APRA made </w:t>
      </w:r>
      <w:r w:rsidR="000B14BD" w:rsidRPr="000B14BD">
        <w:rPr>
          <w:rFonts w:ascii="Times New Roman" w:hAnsi="Times New Roman"/>
          <w:sz w:val="24"/>
          <w:szCs w:val="24"/>
        </w:rPr>
        <w:t>Financial Sector (Collection of Data) (reporting standard)</w:t>
      </w:r>
      <w:r>
        <w:rPr>
          <w:rFonts w:ascii="Times New Roman" w:hAnsi="Times New Roman"/>
          <w:sz w:val="24"/>
          <w:szCs w:val="24"/>
        </w:rPr>
        <w:t xml:space="preserve"> determination No. </w:t>
      </w:r>
      <w:r w:rsidR="008F49B2">
        <w:rPr>
          <w:rFonts w:ascii="Times New Roman" w:hAnsi="Times New Roman"/>
          <w:sz w:val="24"/>
          <w:szCs w:val="24"/>
        </w:rPr>
        <w:t>1</w:t>
      </w:r>
      <w:r>
        <w:rPr>
          <w:rFonts w:ascii="Times New Roman" w:hAnsi="Times New Roman"/>
          <w:sz w:val="24"/>
          <w:szCs w:val="24"/>
        </w:rPr>
        <w:t xml:space="preserve"> of </w:t>
      </w:r>
      <w:r w:rsidR="008F49B2">
        <w:rPr>
          <w:rFonts w:ascii="Times New Roman" w:hAnsi="Times New Roman"/>
          <w:sz w:val="24"/>
          <w:szCs w:val="24"/>
        </w:rPr>
        <w:t>2018</w:t>
      </w:r>
      <w:r w:rsidR="008F49B2" w:rsidRPr="002C6D26">
        <w:rPr>
          <w:rFonts w:ascii="Times New Roman" w:hAnsi="Times New Roman"/>
          <w:sz w:val="24"/>
          <w:szCs w:val="24"/>
        </w:rPr>
        <w:t xml:space="preserve"> </w:t>
      </w:r>
      <w:r w:rsidR="002436BD">
        <w:rPr>
          <w:rFonts w:ascii="Times New Roman" w:hAnsi="Times New Roman"/>
          <w:sz w:val="24"/>
          <w:szCs w:val="24"/>
        </w:rPr>
        <w:t xml:space="preserve">(the instrument) which </w:t>
      </w:r>
      <w:r w:rsidR="002436BD" w:rsidRPr="002C6D26">
        <w:rPr>
          <w:rFonts w:ascii="Times New Roman" w:hAnsi="Times New Roman"/>
          <w:sz w:val="24"/>
          <w:szCs w:val="24"/>
        </w:rPr>
        <w:t>determines</w:t>
      </w:r>
      <w:r>
        <w:rPr>
          <w:rFonts w:ascii="Times New Roman" w:hAnsi="Times New Roman"/>
          <w:i/>
          <w:sz w:val="24"/>
          <w:szCs w:val="24"/>
        </w:rPr>
        <w:t xml:space="preserve"> </w:t>
      </w:r>
      <w:r w:rsidR="00E200E4">
        <w:rPr>
          <w:rFonts w:ascii="Times New Roman" w:hAnsi="Times New Roman"/>
          <w:i/>
          <w:sz w:val="24"/>
          <w:szCs w:val="24"/>
        </w:rPr>
        <w:t xml:space="preserve">Reporting Standard </w:t>
      </w:r>
      <w:r w:rsidRPr="00B20573">
        <w:rPr>
          <w:rFonts w:ascii="Times New Roman" w:hAnsi="Times New Roman"/>
          <w:i/>
          <w:sz w:val="24"/>
        </w:rPr>
        <w:t xml:space="preserve">ARS 760.0 ATO collection for Major Bank </w:t>
      </w:r>
      <w:r w:rsidRPr="00B20573">
        <w:rPr>
          <w:rFonts w:ascii="Times New Roman" w:hAnsi="Times New Roman"/>
          <w:i/>
          <w:sz w:val="24"/>
        </w:rPr>
        <w:lastRenderedPageBreak/>
        <w:t xml:space="preserve">Levy Act </w:t>
      </w:r>
      <w:r w:rsidRPr="00B20573">
        <w:rPr>
          <w:rFonts w:ascii="Times New Roman" w:hAnsi="Times New Roman"/>
          <w:sz w:val="24"/>
        </w:rPr>
        <w:t>(ARS 760.0)</w:t>
      </w:r>
      <w:r>
        <w:rPr>
          <w:rFonts w:ascii="Times New Roman" w:hAnsi="Times New Roman"/>
          <w:sz w:val="24"/>
        </w:rPr>
        <w:t>.</w:t>
      </w:r>
      <w:r w:rsidR="003F7AF4">
        <w:rPr>
          <w:rFonts w:ascii="Times New Roman" w:hAnsi="Times New Roman"/>
          <w:sz w:val="24"/>
        </w:rPr>
        <w:t xml:space="preserve"> T</w:t>
      </w:r>
      <w:r w:rsidR="003F7AF4" w:rsidRPr="003F7AF4">
        <w:rPr>
          <w:rFonts w:ascii="Times New Roman" w:hAnsi="Times New Roman"/>
          <w:sz w:val="24"/>
        </w:rPr>
        <w:t xml:space="preserve">he instrument also revokes Financial Sector (Collection of Data) (reporting standard) determination No. 13 of 2017, including </w:t>
      </w:r>
      <w:r w:rsidR="003F7AF4" w:rsidRPr="008F49B2">
        <w:rPr>
          <w:rFonts w:ascii="Times New Roman" w:hAnsi="Times New Roman"/>
          <w:i/>
          <w:sz w:val="24"/>
        </w:rPr>
        <w:t>Reporting Standard ARS 760.0 ATO collection for Major Bank Levy Act 2017</w:t>
      </w:r>
      <w:r w:rsidR="003F7AF4" w:rsidRPr="003F7AF4">
        <w:rPr>
          <w:rFonts w:ascii="Times New Roman" w:hAnsi="Times New Roman"/>
          <w:sz w:val="24"/>
        </w:rPr>
        <w:t xml:space="preserve"> made under that Determination.</w:t>
      </w:r>
    </w:p>
    <w:p w14:paraId="1CD08B26" w14:textId="6121D688" w:rsidR="002436BD" w:rsidRPr="003F2B0C" w:rsidRDefault="00246723" w:rsidP="001317F6">
      <w:pPr>
        <w:widowControl w:val="0"/>
        <w:spacing w:after="240"/>
        <w:jc w:val="both"/>
        <w:rPr>
          <w:rFonts w:ascii="Times New Roman" w:hAnsi="Times New Roman"/>
          <w:sz w:val="24"/>
          <w:szCs w:val="24"/>
        </w:rPr>
      </w:pPr>
      <w:r w:rsidRPr="003F2B0C">
        <w:rPr>
          <w:rFonts w:ascii="Times New Roman" w:hAnsi="Times New Roman"/>
          <w:sz w:val="24"/>
          <w:szCs w:val="24"/>
        </w:rPr>
        <w:t>The instrument commences</w:t>
      </w:r>
      <w:r w:rsidR="00041756" w:rsidRPr="003F2B0C">
        <w:rPr>
          <w:rFonts w:ascii="Times New Roman" w:hAnsi="Times New Roman"/>
          <w:sz w:val="24"/>
          <w:szCs w:val="24"/>
        </w:rPr>
        <w:t xml:space="preserve"> </w:t>
      </w:r>
      <w:r w:rsidR="00887098">
        <w:rPr>
          <w:rFonts w:ascii="Times New Roman" w:hAnsi="Times New Roman"/>
          <w:sz w:val="24"/>
          <w:szCs w:val="24"/>
        </w:rPr>
        <w:t xml:space="preserve">on </w:t>
      </w:r>
      <w:r w:rsidR="00AF29D5">
        <w:rPr>
          <w:rFonts w:ascii="Times New Roman" w:hAnsi="Times New Roman"/>
          <w:sz w:val="24"/>
          <w:szCs w:val="24"/>
        </w:rPr>
        <w:t>12</w:t>
      </w:r>
      <w:r w:rsidR="002E4E41">
        <w:rPr>
          <w:rFonts w:ascii="Times New Roman" w:hAnsi="Times New Roman"/>
          <w:sz w:val="24"/>
          <w:szCs w:val="24"/>
        </w:rPr>
        <w:t xml:space="preserve"> </w:t>
      </w:r>
      <w:r w:rsidR="00BA5762">
        <w:rPr>
          <w:rFonts w:ascii="Times New Roman" w:hAnsi="Times New Roman"/>
          <w:sz w:val="24"/>
          <w:szCs w:val="24"/>
        </w:rPr>
        <w:t xml:space="preserve">January </w:t>
      </w:r>
      <w:r w:rsidR="002E4E41">
        <w:rPr>
          <w:rFonts w:ascii="Times New Roman" w:hAnsi="Times New Roman"/>
          <w:sz w:val="24"/>
          <w:szCs w:val="24"/>
        </w:rPr>
        <w:t>201</w:t>
      </w:r>
      <w:r w:rsidR="008F49B2">
        <w:rPr>
          <w:rFonts w:ascii="Times New Roman" w:hAnsi="Times New Roman"/>
          <w:sz w:val="24"/>
          <w:szCs w:val="24"/>
        </w:rPr>
        <w:t>8</w:t>
      </w:r>
    </w:p>
    <w:p w14:paraId="0776F704" w14:textId="77777777" w:rsidR="002436BD" w:rsidRDefault="002436BD" w:rsidP="001317F6">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79EF0F7E" w14:textId="4FF21B1B" w:rsidR="00466F8D" w:rsidRPr="00466F8D" w:rsidRDefault="00466F8D" w:rsidP="001317F6">
      <w:pPr>
        <w:pStyle w:val="Heading"/>
        <w:keepNext/>
        <w:spacing w:after="240"/>
        <w:outlineLvl w:val="0"/>
        <w:rPr>
          <w:rFonts w:ascii="Times New Roman" w:hAnsi="Times New Roman"/>
          <w:b w:val="0"/>
          <w:sz w:val="24"/>
          <w:szCs w:val="24"/>
        </w:rPr>
      </w:pPr>
      <w:r w:rsidRPr="00466F8D">
        <w:rPr>
          <w:rFonts w:ascii="Times New Roman" w:hAnsi="Times New Roman"/>
          <w:b w:val="0"/>
          <w:sz w:val="24"/>
          <w:szCs w:val="24"/>
        </w:rPr>
        <w:t xml:space="preserve">In June 2017, the </w:t>
      </w:r>
      <w:r w:rsidR="00DA20E4">
        <w:rPr>
          <w:rFonts w:ascii="Times New Roman" w:hAnsi="Times New Roman"/>
          <w:b w:val="0"/>
          <w:sz w:val="24"/>
          <w:szCs w:val="24"/>
        </w:rPr>
        <w:t>Australian Parliament</w:t>
      </w:r>
      <w:r w:rsidRPr="00466F8D">
        <w:rPr>
          <w:rFonts w:ascii="Times New Roman" w:hAnsi="Times New Roman"/>
          <w:b w:val="0"/>
          <w:sz w:val="24"/>
          <w:szCs w:val="24"/>
        </w:rPr>
        <w:t xml:space="preserve"> passed </w:t>
      </w:r>
      <w:r w:rsidR="0084038A" w:rsidRPr="0084038A">
        <w:rPr>
          <w:rFonts w:ascii="Times New Roman" w:hAnsi="Times New Roman"/>
          <w:b w:val="0"/>
          <w:sz w:val="24"/>
          <w:szCs w:val="24"/>
        </w:rPr>
        <w:t xml:space="preserve">the </w:t>
      </w:r>
      <w:r w:rsidR="0084038A" w:rsidRPr="0084038A">
        <w:rPr>
          <w:rFonts w:ascii="Times New Roman" w:hAnsi="Times New Roman"/>
          <w:b w:val="0"/>
          <w:i/>
          <w:sz w:val="24"/>
          <w:szCs w:val="24"/>
        </w:rPr>
        <w:t>Major Bank Levy Act 2017</w:t>
      </w:r>
      <w:r w:rsidR="0084038A" w:rsidRPr="0084038A">
        <w:rPr>
          <w:rFonts w:ascii="Times New Roman" w:hAnsi="Times New Roman"/>
          <w:b w:val="0"/>
          <w:sz w:val="24"/>
          <w:szCs w:val="24"/>
        </w:rPr>
        <w:t xml:space="preserve"> </w:t>
      </w:r>
      <w:r w:rsidR="005907BA">
        <w:rPr>
          <w:rFonts w:ascii="Times New Roman" w:hAnsi="Times New Roman"/>
          <w:b w:val="0"/>
          <w:sz w:val="24"/>
          <w:szCs w:val="24"/>
        </w:rPr>
        <w:t xml:space="preserve">(MBL Act) </w:t>
      </w:r>
      <w:r w:rsidR="0084038A" w:rsidRPr="0084038A">
        <w:rPr>
          <w:rFonts w:ascii="Times New Roman" w:hAnsi="Times New Roman"/>
          <w:b w:val="0"/>
          <w:sz w:val="24"/>
          <w:szCs w:val="24"/>
        </w:rPr>
        <w:t xml:space="preserve">and the </w:t>
      </w:r>
      <w:r w:rsidR="0084038A" w:rsidRPr="0084038A">
        <w:rPr>
          <w:rFonts w:ascii="Times New Roman" w:hAnsi="Times New Roman"/>
          <w:b w:val="0"/>
          <w:i/>
          <w:sz w:val="24"/>
          <w:szCs w:val="24"/>
        </w:rPr>
        <w:t>Treasury Laws Amendment (Major Bank Levy) Act 2017</w:t>
      </w:r>
      <w:r w:rsidR="0084038A">
        <w:rPr>
          <w:rFonts w:ascii="Times New Roman" w:hAnsi="Times New Roman"/>
          <w:b w:val="0"/>
          <w:sz w:val="24"/>
          <w:szCs w:val="24"/>
        </w:rPr>
        <w:t xml:space="preserve"> </w:t>
      </w:r>
      <w:r w:rsidR="00DB5671">
        <w:rPr>
          <w:rFonts w:ascii="Times New Roman" w:hAnsi="Times New Roman"/>
          <w:b w:val="0"/>
          <w:sz w:val="24"/>
          <w:szCs w:val="24"/>
        </w:rPr>
        <w:t xml:space="preserve">(TLA Act) </w:t>
      </w:r>
      <w:r w:rsidRPr="00466F8D">
        <w:rPr>
          <w:rFonts w:ascii="Times New Roman" w:hAnsi="Times New Roman"/>
          <w:b w:val="0"/>
          <w:sz w:val="24"/>
          <w:szCs w:val="24"/>
        </w:rPr>
        <w:t>to implement the major bank levy, which was announced as part of the 2017-18 Budget. This legislation empower</w:t>
      </w:r>
      <w:r w:rsidR="00DA20E4">
        <w:rPr>
          <w:rFonts w:ascii="Times New Roman" w:hAnsi="Times New Roman"/>
          <w:b w:val="0"/>
          <w:sz w:val="24"/>
          <w:szCs w:val="24"/>
        </w:rPr>
        <w:t>s</w:t>
      </w:r>
      <w:r w:rsidRPr="00466F8D">
        <w:rPr>
          <w:rFonts w:ascii="Times New Roman" w:hAnsi="Times New Roman"/>
          <w:b w:val="0"/>
          <w:sz w:val="24"/>
          <w:szCs w:val="24"/>
        </w:rPr>
        <w:t xml:space="preserve"> APRA to collect data </w:t>
      </w:r>
      <w:r w:rsidR="00FB6B4D">
        <w:rPr>
          <w:rFonts w:ascii="Times New Roman" w:hAnsi="Times New Roman"/>
          <w:b w:val="0"/>
          <w:sz w:val="24"/>
          <w:szCs w:val="24"/>
        </w:rPr>
        <w:t xml:space="preserve">from authorised deposit-taking institutions (ADIs) </w:t>
      </w:r>
      <w:r w:rsidRPr="00466F8D">
        <w:rPr>
          <w:rFonts w:ascii="Times New Roman" w:hAnsi="Times New Roman"/>
          <w:b w:val="0"/>
          <w:sz w:val="24"/>
          <w:szCs w:val="24"/>
        </w:rPr>
        <w:t xml:space="preserve">under the Act </w:t>
      </w:r>
      <w:r w:rsidR="00F31894">
        <w:rPr>
          <w:rFonts w:ascii="Times New Roman" w:hAnsi="Times New Roman"/>
          <w:b w:val="0"/>
          <w:sz w:val="24"/>
          <w:szCs w:val="24"/>
        </w:rPr>
        <w:t xml:space="preserve">for </w:t>
      </w:r>
      <w:r w:rsidRPr="00466F8D">
        <w:rPr>
          <w:rFonts w:ascii="Times New Roman" w:hAnsi="Times New Roman"/>
          <w:b w:val="0"/>
          <w:sz w:val="24"/>
          <w:szCs w:val="24"/>
        </w:rPr>
        <w:t>the purposes of the major bank levy.</w:t>
      </w:r>
    </w:p>
    <w:p w14:paraId="63325A12" w14:textId="77777777" w:rsidR="002436BD" w:rsidRDefault="002436BD" w:rsidP="001317F6">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1DB643C6" w14:textId="1C583E71" w:rsidR="00C0015F" w:rsidRPr="00B66454" w:rsidRDefault="00B55260" w:rsidP="00C0015F">
      <w:pPr>
        <w:pStyle w:val="Heading"/>
        <w:spacing w:after="240"/>
        <w:rPr>
          <w:rFonts w:ascii="Times New Roman" w:hAnsi="Times New Roman"/>
          <w:b w:val="0"/>
          <w:sz w:val="24"/>
          <w:szCs w:val="24"/>
        </w:rPr>
      </w:pPr>
      <w:bookmarkStart w:id="5" w:name="bkPurpose"/>
      <w:bookmarkEnd w:id="5"/>
      <w:r w:rsidRPr="00B9154C">
        <w:rPr>
          <w:rFonts w:ascii="Times New Roman" w:hAnsi="Times New Roman"/>
          <w:b w:val="0"/>
          <w:sz w:val="24"/>
          <w:szCs w:val="24"/>
        </w:rPr>
        <w:t xml:space="preserve">The purpose of </w:t>
      </w:r>
      <w:r w:rsidR="00B9154C" w:rsidRPr="00B9154C">
        <w:rPr>
          <w:rFonts w:ascii="Times New Roman" w:hAnsi="Times New Roman"/>
          <w:b w:val="0"/>
          <w:sz w:val="24"/>
          <w:szCs w:val="24"/>
        </w:rPr>
        <w:t>th</w:t>
      </w:r>
      <w:r w:rsidR="00DA20E4">
        <w:rPr>
          <w:rFonts w:ascii="Times New Roman" w:hAnsi="Times New Roman"/>
          <w:b w:val="0"/>
          <w:sz w:val="24"/>
          <w:szCs w:val="24"/>
        </w:rPr>
        <w:t>e</w:t>
      </w:r>
      <w:r w:rsidR="00B9154C" w:rsidRPr="00B9154C">
        <w:rPr>
          <w:rFonts w:ascii="Times New Roman" w:hAnsi="Times New Roman"/>
          <w:b w:val="0"/>
          <w:sz w:val="24"/>
          <w:szCs w:val="24"/>
        </w:rPr>
        <w:t xml:space="preserve"> instrument is to </w:t>
      </w:r>
      <w:r w:rsidR="008462CB">
        <w:rPr>
          <w:rFonts w:ascii="Times New Roman" w:hAnsi="Times New Roman"/>
          <w:b w:val="0"/>
          <w:sz w:val="24"/>
          <w:szCs w:val="24"/>
        </w:rPr>
        <w:t xml:space="preserve">revoke the </w:t>
      </w:r>
      <w:r w:rsidR="00DA20E4">
        <w:rPr>
          <w:rFonts w:ascii="Times New Roman" w:hAnsi="Times New Roman"/>
          <w:b w:val="0"/>
          <w:sz w:val="24"/>
          <w:szCs w:val="24"/>
        </w:rPr>
        <w:t>version of</w:t>
      </w:r>
      <w:r w:rsidR="008462CB">
        <w:rPr>
          <w:rFonts w:ascii="Times New Roman" w:hAnsi="Times New Roman"/>
          <w:b w:val="0"/>
          <w:sz w:val="24"/>
          <w:szCs w:val="24"/>
        </w:rPr>
        <w:t xml:space="preserve"> ARS 760.0 </w:t>
      </w:r>
      <w:r w:rsidR="00DA20E4">
        <w:rPr>
          <w:rFonts w:ascii="Times New Roman" w:hAnsi="Times New Roman"/>
          <w:b w:val="0"/>
          <w:sz w:val="24"/>
          <w:szCs w:val="24"/>
        </w:rPr>
        <w:t xml:space="preserve">which was made under </w:t>
      </w:r>
      <w:r w:rsidR="00DA20E4" w:rsidRPr="008F49B2">
        <w:rPr>
          <w:rFonts w:ascii="Times New Roman" w:hAnsi="Times New Roman"/>
          <w:b w:val="0"/>
          <w:color w:val="000000"/>
          <w:sz w:val="24"/>
          <w:szCs w:val="24"/>
        </w:rPr>
        <w:t>Financial Sector (Collection of Data) (reporting standard) determination No. 13 of 2017</w:t>
      </w:r>
      <w:r w:rsidR="00431DFA">
        <w:rPr>
          <w:color w:val="000000"/>
          <w:szCs w:val="24"/>
        </w:rPr>
        <w:t xml:space="preserve"> </w:t>
      </w:r>
      <w:r w:rsidR="008462CB">
        <w:rPr>
          <w:rFonts w:ascii="Times New Roman" w:hAnsi="Times New Roman"/>
          <w:b w:val="0"/>
          <w:sz w:val="24"/>
          <w:szCs w:val="24"/>
        </w:rPr>
        <w:t xml:space="preserve">and replace it with a revised version of </w:t>
      </w:r>
      <w:r w:rsidR="00B9154C" w:rsidRPr="00B9154C">
        <w:rPr>
          <w:rFonts w:ascii="Times New Roman" w:hAnsi="Times New Roman"/>
          <w:b w:val="0"/>
          <w:sz w:val="24"/>
          <w:szCs w:val="24"/>
        </w:rPr>
        <w:t>ARS 760.0</w:t>
      </w:r>
      <w:r w:rsidR="008462CB">
        <w:rPr>
          <w:rFonts w:ascii="Times New Roman" w:hAnsi="Times New Roman"/>
          <w:b w:val="0"/>
          <w:sz w:val="24"/>
          <w:szCs w:val="24"/>
        </w:rPr>
        <w:t xml:space="preserve">. </w:t>
      </w:r>
      <w:r w:rsidR="00431DFA">
        <w:rPr>
          <w:rFonts w:ascii="Times New Roman" w:hAnsi="Times New Roman"/>
          <w:b w:val="0"/>
          <w:sz w:val="24"/>
          <w:szCs w:val="24"/>
        </w:rPr>
        <w:t xml:space="preserve">The revised version of </w:t>
      </w:r>
      <w:r w:rsidR="008462CB">
        <w:rPr>
          <w:rFonts w:ascii="Times New Roman" w:hAnsi="Times New Roman"/>
          <w:b w:val="0"/>
          <w:sz w:val="24"/>
          <w:szCs w:val="24"/>
        </w:rPr>
        <w:t>ARS 760</w:t>
      </w:r>
      <w:r w:rsidR="00B9154C" w:rsidRPr="00B9154C">
        <w:rPr>
          <w:rFonts w:ascii="Times New Roman" w:hAnsi="Times New Roman"/>
          <w:b w:val="0"/>
          <w:sz w:val="24"/>
          <w:szCs w:val="24"/>
        </w:rPr>
        <w:t xml:space="preserve"> </w:t>
      </w:r>
      <w:r w:rsidR="00431DFA">
        <w:rPr>
          <w:rFonts w:ascii="Times New Roman" w:hAnsi="Times New Roman"/>
          <w:b w:val="0"/>
          <w:sz w:val="24"/>
          <w:szCs w:val="24"/>
        </w:rPr>
        <w:t xml:space="preserve">(the revised ARS 760.0) </w:t>
      </w:r>
      <w:r w:rsidR="00B9154C" w:rsidRPr="00B9154C">
        <w:rPr>
          <w:rFonts w:ascii="Times New Roman" w:hAnsi="Times New Roman"/>
          <w:b w:val="0"/>
          <w:sz w:val="24"/>
          <w:szCs w:val="24"/>
        </w:rPr>
        <w:t xml:space="preserve">contains the </w:t>
      </w:r>
      <w:r w:rsidR="00B9154C" w:rsidRPr="00B66454">
        <w:rPr>
          <w:rFonts w:ascii="Times New Roman" w:hAnsi="Times New Roman"/>
          <w:b w:val="0"/>
          <w:sz w:val="24"/>
          <w:szCs w:val="24"/>
        </w:rPr>
        <w:t xml:space="preserve">requirements for the provision of information to </w:t>
      </w:r>
      <w:r w:rsidR="00ED246B" w:rsidRPr="00B66454">
        <w:rPr>
          <w:rFonts w:ascii="Times New Roman" w:hAnsi="Times New Roman"/>
          <w:b w:val="0"/>
          <w:sz w:val="24"/>
          <w:szCs w:val="24"/>
        </w:rPr>
        <w:t>APRA</w:t>
      </w:r>
      <w:r w:rsidR="00C0015F">
        <w:rPr>
          <w:rFonts w:ascii="Times New Roman" w:hAnsi="Times New Roman"/>
          <w:b w:val="0"/>
          <w:sz w:val="24"/>
          <w:szCs w:val="24"/>
        </w:rPr>
        <w:t xml:space="preserve">, using the definitions and methodology set out in the MBL Act, </w:t>
      </w:r>
      <w:r w:rsidR="00CA4B41">
        <w:rPr>
          <w:rFonts w:ascii="Times New Roman" w:hAnsi="Times New Roman"/>
          <w:b w:val="0"/>
          <w:sz w:val="24"/>
          <w:szCs w:val="24"/>
        </w:rPr>
        <w:t>for the purposes of</w:t>
      </w:r>
      <w:r w:rsidR="00C0015F">
        <w:rPr>
          <w:rFonts w:ascii="Times New Roman" w:hAnsi="Times New Roman"/>
          <w:b w:val="0"/>
          <w:sz w:val="24"/>
          <w:szCs w:val="24"/>
        </w:rPr>
        <w:t xml:space="preserve"> the major bank levy</w:t>
      </w:r>
      <w:r w:rsidR="00ED246B" w:rsidRPr="00B66454">
        <w:rPr>
          <w:rFonts w:ascii="Times New Roman" w:hAnsi="Times New Roman"/>
          <w:b w:val="0"/>
          <w:i/>
          <w:sz w:val="24"/>
          <w:szCs w:val="24"/>
        </w:rPr>
        <w:t>.</w:t>
      </w:r>
      <w:r w:rsidR="00C0015F" w:rsidRPr="00C0015F">
        <w:rPr>
          <w:rFonts w:ascii="Times New Roman" w:hAnsi="Times New Roman"/>
          <w:b w:val="0"/>
          <w:sz w:val="24"/>
          <w:szCs w:val="24"/>
        </w:rPr>
        <w:t xml:space="preserve"> </w:t>
      </w:r>
      <w:r w:rsidR="00C0015F" w:rsidRPr="00B66454">
        <w:rPr>
          <w:rFonts w:ascii="Times New Roman" w:hAnsi="Times New Roman"/>
          <w:b w:val="0"/>
          <w:sz w:val="24"/>
          <w:szCs w:val="24"/>
        </w:rPr>
        <w:t xml:space="preserve">The information reported </w:t>
      </w:r>
      <w:r w:rsidR="00431DFA">
        <w:rPr>
          <w:rFonts w:ascii="Times New Roman" w:hAnsi="Times New Roman"/>
          <w:b w:val="0"/>
          <w:sz w:val="24"/>
          <w:szCs w:val="24"/>
        </w:rPr>
        <w:t xml:space="preserve">to APRA </w:t>
      </w:r>
      <w:r w:rsidR="00C0015F" w:rsidRPr="00B66454">
        <w:rPr>
          <w:rFonts w:ascii="Times New Roman" w:hAnsi="Times New Roman"/>
          <w:b w:val="0"/>
          <w:sz w:val="24"/>
          <w:szCs w:val="24"/>
        </w:rPr>
        <w:t xml:space="preserve">under </w:t>
      </w:r>
      <w:r w:rsidR="00431DFA">
        <w:rPr>
          <w:rFonts w:ascii="Times New Roman" w:hAnsi="Times New Roman"/>
          <w:b w:val="0"/>
          <w:sz w:val="24"/>
          <w:szCs w:val="24"/>
        </w:rPr>
        <w:t xml:space="preserve">the revised </w:t>
      </w:r>
      <w:r w:rsidR="00C0015F" w:rsidRPr="00B66454">
        <w:rPr>
          <w:rFonts w:ascii="Times New Roman" w:hAnsi="Times New Roman"/>
          <w:b w:val="0"/>
          <w:sz w:val="24"/>
          <w:szCs w:val="24"/>
        </w:rPr>
        <w:t xml:space="preserve">ARS 760.0 will be provided to the </w:t>
      </w:r>
      <w:r w:rsidR="00C0015F">
        <w:rPr>
          <w:rFonts w:ascii="Times New Roman" w:hAnsi="Times New Roman"/>
          <w:b w:val="0"/>
          <w:sz w:val="24"/>
          <w:szCs w:val="24"/>
        </w:rPr>
        <w:t xml:space="preserve">Commissioner of Taxation </w:t>
      </w:r>
      <w:r w:rsidR="00C0015F" w:rsidRPr="00B66454">
        <w:rPr>
          <w:rFonts w:ascii="Times New Roman" w:hAnsi="Times New Roman"/>
          <w:b w:val="0"/>
          <w:sz w:val="24"/>
          <w:szCs w:val="24"/>
        </w:rPr>
        <w:t>for the purposes of the MBL Act.</w:t>
      </w:r>
    </w:p>
    <w:p w14:paraId="7452D799" w14:textId="77777777" w:rsidR="00B9154C" w:rsidRDefault="00431DFA" w:rsidP="001317F6">
      <w:pPr>
        <w:pStyle w:val="Heading"/>
        <w:spacing w:after="240"/>
        <w:rPr>
          <w:rFonts w:ascii="Times New Roman" w:hAnsi="Times New Roman"/>
          <w:b w:val="0"/>
          <w:sz w:val="24"/>
          <w:szCs w:val="24"/>
        </w:rPr>
      </w:pPr>
      <w:r>
        <w:rPr>
          <w:rFonts w:ascii="Times New Roman" w:hAnsi="Times New Roman"/>
          <w:b w:val="0"/>
          <w:sz w:val="24"/>
          <w:szCs w:val="24"/>
        </w:rPr>
        <w:lastRenderedPageBreak/>
        <w:t xml:space="preserve">The revised </w:t>
      </w:r>
      <w:r w:rsidR="00FB6B4D" w:rsidRPr="00B66454">
        <w:rPr>
          <w:rFonts w:ascii="Times New Roman" w:hAnsi="Times New Roman"/>
          <w:b w:val="0"/>
          <w:sz w:val="24"/>
          <w:szCs w:val="24"/>
        </w:rPr>
        <w:t xml:space="preserve">ARS 760.0 applies to ADIs </w:t>
      </w:r>
      <w:r w:rsidR="00B66454">
        <w:rPr>
          <w:rFonts w:ascii="Times New Roman" w:hAnsi="Times New Roman"/>
          <w:b w:val="0"/>
          <w:sz w:val="24"/>
          <w:szCs w:val="24"/>
        </w:rPr>
        <w:t xml:space="preserve">with liabilities </w:t>
      </w:r>
      <w:r w:rsidR="00FB6B4D" w:rsidRPr="00B66454">
        <w:rPr>
          <w:rFonts w:ascii="Times New Roman" w:hAnsi="Times New Roman"/>
          <w:b w:val="0"/>
          <w:sz w:val="24"/>
          <w:szCs w:val="24"/>
        </w:rPr>
        <w:t>that exceed the levy threshold</w:t>
      </w:r>
      <w:r w:rsidR="005907BA" w:rsidRPr="00B66454">
        <w:rPr>
          <w:rFonts w:ascii="Times New Roman" w:hAnsi="Times New Roman"/>
          <w:b w:val="0"/>
          <w:sz w:val="24"/>
          <w:szCs w:val="24"/>
        </w:rPr>
        <w:t xml:space="preserve"> </w:t>
      </w:r>
      <w:r w:rsidR="00BC510C" w:rsidRPr="00B66454">
        <w:rPr>
          <w:rFonts w:ascii="Times New Roman" w:hAnsi="Times New Roman"/>
          <w:b w:val="0"/>
          <w:sz w:val="24"/>
          <w:szCs w:val="24"/>
        </w:rPr>
        <w:t xml:space="preserve">set out in the MBL Act. </w:t>
      </w:r>
    </w:p>
    <w:p w14:paraId="2925EC2A" w14:textId="00603951" w:rsidR="008462CB" w:rsidRDefault="008462CB" w:rsidP="001317F6">
      <w:pPr>
        <w:pStyle w:val="Heading"/>
        <w:spacing w:after="240"/>
        <w:rPr>
          <w:rFonts w:ascii="Times New Roman" w:hAnsi="Times New Roman"/>
          <w:b w:val="0"/>
          <w:sz w:val="24"/>
          <w:szCs w:val="24"/>
        </w:rPr>
      </w:pPr>
      <w:r>
        <w:rPr>
          <w:rFonts w:ascii="Times New Roman" w:hAnsi="Times New Roman"/>
          <w:b w:val="0"/>
          <w:sz w:val="24"/>
          <w:szCs w:val="24"/>
        </w:rPr>
        <w:t xml:space="preserve">The </w:t>
      </w:r>
      <w:r w:rsidR="00431DFA">
        <w:rPr>
          <w:rFonts w:ascii="Times New Roman" w:hAnsi="Times New Roman"/>
          <w:b w:val="0"/>
          <w:sz w:val="24"/>
          <w:szCs w:val="24"/>
        </w:rPr>
        <w:t xml:space="preserve">main </w:t>
      </w:r>
      <w:r>
        <w:rPr>
          <w:rFonts w:ascii="Times New Roman" w:hAnsi="Times New Roman"/>
          <w:b w:val="0"/>
          <w:sz w:val="24"/>
          <w:szCs w:val="24"/>
        </w:rPr>
        <w:t xml:space="preserve">changes </w:t>
      </w:r>
      <w:r w:rsidR="00431DFA">
        <w:rPr>
          <w:rFonts w:ascii="Times New Roman" w:hAnsi="Times New Roman"/>
          <w:b w:val="0"/>
          <w:sz w:val="24"/>
          <w:szCs w:val="24"/>
        </w:rPr>
        <w:t>incorporated within</w:t>
      </w:r>
      <w:r>
        <w:rPr>
          <w:rFonts w:ascii="Times New Roman" w:hAnsi="Times New Roman"/>
          <w:b w:val="0"/>
          <w:sz w:val="24"/>
          <w:szCs w:val="24"/>
        </w:rPr>
        <w:t xml:space="preserve"> the revised ARS 760.0 are:</w:t>
      </w:r>
    </w:p>
    <w:p w14:paraId="2EE1CA2C" w14:textId="068377C0" w:rsidR="008462CB" w:rsidRDefault="008462CB" w:rsidP="008462CB">
      <w:pPr>
        <w:pStyle w:val="Heading"/>
        <w:numPr>
          <w:ilvl w:val="0"/>
          <w:numId w:val="7"/>
        </w:numPr>
        <w:spacing w:after="240"/>
        <w:rPr>
          <w:rFonts w:ascii="Times New Roman" w:hAnsi="Times New Roman"/>
          <w:b w:val="0"/>
          <w:sz w:val="24"/>
          <w:szCs w:val="24"/>
        </w:rPr>
      </w:pPr>
      <w:r>
        <w:rPr>
          <w:rFonts w:ascii="Times New Roman" w:hAnsi="Times New Roman"/>
          <w:b w:val="0"/>
          <w:sz w:val="24"/>
          <w:szCs w:val="24"/>
        </w:rPr>
        <w:t xml:space="preserve">Changing the scaling factor used in reporting from millions to one decimal place to whole dollars; </w:t>
      </w:r>
    </w:p>
    <w:p w14:paraId="379784BA" w14:textId="77777777" w:rsidR="008F499B" w:rsidRDefault="008462CB" w:rsidP="008462CB">
      <w:pPr>
        <w:pStyle w:val="Heading"/>
        <w:numPr>
          <w:ilvl w:val="0"/>
          <w:numId w:val="7"/>
        </w:numPr>
        <w:spacing w:after="240"/>
        <w:rPr>
          <w:rFonts w:ascii="Times New Roman" w:hAnsi="Times New Roman"/>
          <w:b w:val="0"/>
          <w:sz w:val="24"/>
          <w:szCs w:val="24"/>
        </w:rPr>
      </w:pPr>
      <w:r>
        <w:rPr>
          <w:rFonts w:ascii="Times New Roman" w:hAnsi="Times New Roman"/>
          <w:b w:val="0"/>
          <w:sz w:val="24"/>
          <w:szCs w:val="24"/>
        </w:rPr>
        <w:t>The addition of the word ‘lending’ in the definition of repurchase agreements to correct an omission in the original version</w:t>
      </w:r>
      <w:r w:rsidR="00AA1519">
        <w:rPr>
          <w:rFonts w:ascii="Times New Roman" w:hAnsi="Times New Roman"/>
          <w:b w:val="0"/>
          <w:sz w:val="24"/>
          <w:szCs w:val="24"/>
        </w:rPr>
        <w:t xml:space="preserve">; </w:t>
      </w:r>
    </w:p>
    <w:p w14:paraId="2715B554" w14:textId="15C2BA08" w:rsidR="008462CB" w:rsidRPr="008F499B" w:rsidRDefault="008F499B" w:rsidP="008F499B">
      <w:pPr>
        <w:pStyle w:val="Heading"/>
        <w:numPr>
          <w:ilvl w:val="0"/>
          <w:numId w:val="7"/>
        </w:numPr>
        <w:spacing w:after="240"/>
        <w:rPr>
          <w:rFonts w:ascii="Times New Roman" w:hAnsi="Times New Roman"/>
          <w:b w:val="0"/>
          <w:sz w:val="24"/>
          <w:szCs w:val="24"/>
        </w:rPr>
      </w:pPr>
      <w:r w:rsidRPr="008F499B">
        <w:rPr>
          <w:rFonts w:ascii="Times New Roman" w:hAnsi="Times New Roman"/>
          <w:b w:val="0"/>
          <w:sz w:val="24"/>
          <w:szCs w:val="24"/>
        </w:rPr>
        <w:t>The additio</w:t>
      </w:r>
      <w:r w:rsidRPr="008F49B2">
        <w:rPr>
          <w:rFonts w:ascii="Times New Roman" w:hAnsi="Times New Roman"/>
          <w:b w:val="0"/>
          <w:sz w:val="24"/>
          <w:szCs w:val="24"/>
        </w:rPr>
        <w:t xml:space="preserve">n of definitions for </w:t>
      </w:r>
      <w:r w:rsidR="00E37CEC">
        <w:rPr>
          <w:rFonts w:ascii="Times New Roman" w:hAnsi="Times New Roman"/>
          <w:b w:val="0"/>
          <w:sz w:val="24"/>
          <w:szCs w:val="24"/>
        </w:rPr>
        <w:t>‘</w:t>
      </w:r>
      <w:r w:rsidRPr="008F49B2">
        <w:rPr>
          <w:rFonts w:ascii="Times New Roman" w:hAnsi="Times New Roman"/>
          <w:b w:val="0"/>
          <w:sz w:val="24"/>
          <w:szCs w:val="24"/>
        </w:rPr>
        <w:t>subsection 5(4) legislative instrument</w:t>
      </w:r>
      <w:r w:rsidR="00E37CEC">
        <w:rPr>
          <w:rFonts w:ascii="Times New Roman" w:hAnsi="Times New Roman"/>
          <w:b w:val="0"/>
          <w:sz w:val="24"/>
          <w:szCs w:val="24"/>
        </w:rPr>
        <w:t>’</w:t>
      </w:r>
      <w:r w:rsidRPr="008F49B2">
        <w:rPr>
          <w:rFonts w:ascii="Times New Roman" w:hAnsi="Times New Roman"/>
          <w:b w:val="0"/>
          <w:sz w:val="24"/>
          <w:szCs w:val="24"/>
        </w:rPr>
        <w:t xml:space="preserve"> and</w:t>
      </w:r>
      <w:r>
        <w:rPr>
          <w:rFonts w:ascii="Times New Roman" w:hAnsi="Times New Roman"/>
          <w:b w:val="0"/>
          <w:sz w:val="24"/>
          <w:szCs w:val="24"/>
        </w:rPr>
        <w:t xml:space="preserve"> </w:t>
      </w:r>
      <w:r w:rsidR="00E37CEC">
        <w:rPr>
          <w:rFonts w:ascii="Times New Roman" w:hAnsi="Times New Roman"/>
          <w:b w:val="0"/>
          <w:sz w:val="24"/>
          <w:szCs w:val="24"/>
        </w:rPr>
        <w:t>‘s</w:t>
      </w:r>
      <w:r w:rsidRPr="008F499B">
        <w:rPr>
          <w:rFonts w:ascii="Times New Roman" w:hAnsi="Times New Roman"/>
          <w:b w:val="0"/>
          <w:sz w:val="24"/>
          <w:szCs w:val="24"/>
        </w:rPr>
        <w:t>ubsection 6(4) legislative instrument</w:t>
      </w:r>
      <w:r w:rsidR="00E37CEC">
        <w:rPr>
          <w:rFonts w:ascii="Times New Roman" w:hAnsi="Times New Roman"/>
          <w:b w:val="0"/>
          <w:sz w:val="24"/>
          <w:szCs w:val="24"/>
        </w:rPr>
        <w:t>’</w:t>
      </w:r>
      <w:r>
        <w:rPr>
          <w:rFonts w:ascii="Times New Roman" w:hAnsi="Times New Roman"/>
          <w:b w:val="0"/>
          <w:sz w:val="24"/>
          <w:szCs w:val="24"/>
        </w:rPr>
        <w:t>;</w:t>
      </w:r>
      <w:r w:rsidRPr="008F499B">
        <w:rPr>
          <w:rFonts w:ascii="Times New Roman" w:hAnsi="Times New Roman"/>
          <w:b w:val="0"/>
          <w:sz w:val="24"/>
          <w:szCs w:val="24"/>
        </w:rPr>
        <w:t xml:space="preserve"> </w:t>
      </w:r>
      <w:r w:rsidR="00AA1519" w:rsidRPr="008F499B">
        <w:rPr>
          <w:rFonts w:ascii="Times New Roman" w:hAnsi="Times New Roman"/>
          <w:b w:val="0"/>
          <w:sz w:val="24"/>
          <w:szCs w:val="24"/>
        </w:rPr>
        <w:t>and</w:t>
      </w:r>
    </w:p>
    <w:p w14:paraId="69169A7E" w14:textId="6A6785DE" w:rsidR="00F86382" w:rsidRPr="00B66454" w:rsidRDefault="00AA1519" w:rsidP="008462CB">
      <w:pPr>
        <w:pStyle w:val="Heading"/>
        <w:numPr>
          <w:ilvl w:val="0"/>
          <w:numId w:val="7"/>
        </w:numPr>
        <w:spacing w:after="240"/>
        <w:rPr>
          <w:rFonts w:ascii="Times New Roman" w:hAnsi="Times New Roman"/>
          <w:b w:val="0"/>
          <w:sz w:val="24"/>
          <w:szCs w:val="24"/>
        </w:rPr>
      </w:pPr>
      <w:r>
        <w:rPr>
          <w:rFonts w:ascii="Times New Roman" w:hAnsi="Times New Roman"/>
          <w:b w:val="0"/>
          <w:sz w:val="24"/>
          <w:szCs w:val="24"/>
        </w:rPr>
        <w:t xml:space="preserve">Updates to the syntax used when referring to legislative instruments and </w:t>
      </w:r>
      <w:r w:rsidR="00E37CEC">
        <w:rPr>
          <w:rFonts w:ascii="Times New Roman" w:hAnsi="Times New Roman"/>
          <w:b w:val="0"/>
          <w:sz w:val="24"/>
          <w:szCs w:val="24"/>
        </w:rPr>
        <w:t>A</w:t>
      </w:r>
      <w:r>
        <w:rPr>
          <w:rFonts w:ascii="Times New Roman" w:hAnsi="Times New Roman"/>
          <w:b w:val="0"/>
          <w:sz w:val="24"/>
          <w:szCs w:val="24"/>
        </w:rPr>
        <w:t>cts.</w:t>
      </w:r>
    </w:p>
    <w:p w14:paraId="06DA2BF7" w14:textId="77777777" w:rsidR="003C60A4" w:rsidRDefault="003C60A4" w:rsidP="003C60A4">
      <w:pPr>
        <w:pStyle w:val="Heading"/>
        <w:spacing w:after="240"/>
        <w:rPr>
          <w:rFonts w:ascii="Times New Roman" w:hAnsi="Times New Roman"/>
          <w:b w:val="0"/>
          <w:sz w:val="24"/>
          <w:szCs w:val="24"/>
          <w:highlight w:val="yellow"/>
        </w:rPr>
      </w:pPr>
      <w:r w:rsidRPr="00FD728F">
        <w:rPr>
          <w:rFonts w:ascii="Times New Roman" w:hAnsi="Times New Roman"/>
          <w:b w:val="0"/>
          <w:sz w:val="24"/>
          <w:szCs w:val="24"/>
        </w:rPr>
        <w:t xml:space="preserve">Where </w:t>
      </w:r>
      <w:r w:rsidR="00431DFA">
        <w:rPr>
          <w:rFonts w:ascii="Times New Roman" w:hAnsi="Times New Roman"/>
          <w:b w:val="0"/>
          <w:sz w:val="24"/>
          <w:szCs w:val="24"/>
        </w:rPr>
        <w:t xml:space="preserve">the revised </w:t>
      </w:r>
      <w:r w:rsidR="00466F8D">
        <w:rPr>
          <w:rFonts w:ascii="Times New Roman" w:hAnsi="Times New Roman"/>
          <w:b w:val="0"/>
          <w:sz w:val="24"/>
          <w:szCs w:val="24"/>
        </w:rPr>
        <w:t xml:space="preserve">ARS 760.0 </w:t>
      </w:r>
      <w:r w:rsidRPr="00FD728F">
        <w:rPr>
          <w:rFonts w:ascii="Times New Roman" w:hAnsi="Times New Roman"/>
          <w:b w:val="0"/>
          <w:sz w:val="24"/>
          <w:szCs w:val="24"/>
        </w:rPr>
        <w:t>refer</w:t>
      </w:r>
      <w:r w:rsidR="00C0015F">
        <w:rPr>
          <w:rFonts w:ascii="Times New Roman" w:hAnsi="Times New Roman"/>
          <w:b w:val="0"/>
          <w:sz w:val="24"/>
          <w:szCs w:val="24"/>
        </w:rPr>
        <w:t>s to</w:t>
      </w:r>
      <w:r w:rsidRPr="00FD728F">
        <w:rPr>
          <w:rFonts w:ascii="Times New Roman" w:hAnsi="Times New Roman"/>
          <w:b w:val="0"/>
          <w:sz w:val="24"/>
          <w:szCs w:val="24"/>
        </w:rPr>
        <w:t xml:space="preserve"> </w:t>
      </w:r>
      <w:r w:rsidR="0034434D">
        <w:rPr>
          <w:rFonts w:ascii="Times New Roman" w:hAnsi="Times New Roman"/>
          <w:b w:val="0"/>
          <w:sz w:val="24"/>
          <w:szCs w:val="24"/>
        </w:rPr>
        <w:t xml:space="preserve">Acts, </w:t>
      </w:r>
      <w:r w:rsidR="00C0015F">
        <w:rPr>
          <w:rFonts w:ascii="Times New Roman" w:hAnsi="Times New Roman"/>
          <w:b w:val="0"/>
          <w:sz w:val="24"/>
          <w:szCs w:val="24"/>
        </w:rPr>
        <w:t>P</w:t>
      </w:r>
      <w:r w:rsidRPr="00FD728F">
        <w:rPr>
          <w:rFonts w:ascii="Times New Roman" w:hAnsi="Times New Roman"/>
          <w:b w:val="0"/>
          <w:sz w:val="24"/>
          <w:szCs w:val="24"/>
        </w:rPr>
        <w:t xml:space="preserve">rudential </w:t>
      </w:r>
      <w:r w:rsidR="00C0015F">
        <w:rPr>
          <w:rFonts w:ascii="Times New Roman" w:hAnsi="Times New Roman"/>
          <w:b w:val="0"/>
          <w:sz w:val="24"/>
          <w:szCs w:val="24"/>
        </w:rPr>
        <w:t>S</w:t>
      </w:r>
      <w:r w:rsidRPr="00FD728F">
        <w:rPr>
          <w:rFonts w:ascii="Times New Roman" w:hAnsi="Times New Roman"/>
          <w:b w:val="0"/>
          <w:sz w:val="24"/>
          <w:szCs w:val="24"/>
        </w:rPr>
        <w:t>tandard</w:t>
      </w:r>
      <w:r w:rsidR="00C0015F">
        <w:rPr>
          <w:rFonts w:ascii="Times New Roman" w:hAnsi="Times New Roman"/>
          <w:b w:val="0"/>
          <w:sz w:val="24"/>
          <w:szCs w:val="24"/>
        </w:rPr>
        <w:t>s</w:t>
      </w:r>
      <w:r w:rsidRPr="00FD728F">
        <w:rPr>
          <w:rFonts w:ascii="Times New Roman" w:hAnsi="Times New Roman"/>
          <w:b w:val="0"/>
          <w:sz w:val="24"/>
          <w:szCs w:val="24"/>
        </w:rPr>
        <w:t>,</w:t>
      </w:r>
      <w:r w:rsidR="00C0015F">
        <w:rPr>
          <w:rFonts w:ascii="Times New Roman" w:hAnsi="Times New Roman"/>
          <w:b w:val="0"/>
          <w:sz w:val="24"/>
          <w:szCs w:val="24"/>
        </w:rPr>
        <w:t xml:space="preserve"> Australian Accounting</w:t>
      </w:r>
      <w:r w:rsidR="00F24C78">
        <w:rPr>
          <w:rFonts w:ascii="Times New Roman" w:hAnsi="Times New Roman"/>
          <w:b w:val="0"/>
          <w:sz w:val="24"/>
          <w:szCs w:val="24"/>
        </w:rPr>
        <w:t xml:space="preserve"> Standards</w:t>
      </w:r>
      <w:r w:rsidR="00C0015F">
        <w:rPr>
          <w:rFonts w:ascii="Times New Roman" w:hAnsi="Times New Roman"/>
          <w:b w:val="0"/>
          <w:sz w:val="24"/>
          <w:szCs w:val="24"/>
        </w:rPr>
        <w:t xml:space="preserve"> or Audit Standards, these are </w:t>
      </w:r>
      <w:r w:rsidRPr="00FD728F">
        <w:rPr>
          <w:rFonts w:ascii="Times New Roman" w:hAnsi="Times New Roman"/>
          <w:b w:val="0"/>
          <w:sz w:val="24"/>
          <w:szCs w:val="24"/>
        </w:rPr>
        <w:t>reference</w:t>
      </w:r>
      <w:r w:rsidR="00C0015F">
        <w:rPr>
          <w:rFonts w:ascii="Times New Roman" w:hAnsi="Times New Roman"/>
          <w:b w:val="0"/>
          <w:sz w:val="24"/>
          <w:szCs w:val="24"/>
        </w:rPr>
        <w:t>s</w:t>
      </w:r>
      <w:r w:rsidRPr="00FD728F">
        <w:rPr>
          <w:rFonts w:ascii="Times New Roman" w:hAnsi="Times New Roman"/>
          <w:b w:val="0"/>
          <w:sz w:val="24"/>
          <w:szCs w:val="24"/>
        </w:rPr>
        <w:t xml:space="preserve"> to th</w:t>
      </w:r>
      <w:r w:rsidR="0093795B">
        <w:rPr>
          <w:rFonts w:ascii="Times New Roman" w:hAnsi="Times New Roman"/>
          <w:b w:val="0"/>
          <w:sz w:val="24"/>
          <w:szCs w:val="24"/>
        </w:rPr>
        <w:t>ose</w:t>
      </w:r>
      <w:r w:rsidR="00C0015F">
        <w:rPr>
          <w:rFonts w:ascii="Times New Roman" w:hAnsi="Times New Roman"/>
          <w:b w:val="0"/>
          <w:sz w:val="24"/>
          <w:szCs w:val="24"/>
        </w:rPr>
        <w:t xml:space="preserve"> instruments </w:t>
      </w:r>
      <w:r w:rsidRPr="00FD728F">
        <w:rPr>
          <w:rFonts w:ascii="Times New Roman" w:hAnsi="Times New Roman"/>
          <w:b w:val="0"/>
          <w:sz w:val="24"/>
          <w:szCs w:val="24"/>
        </w:rPr>
        <w:t xml:space="preserve">as </w:t>
      </w:r>
      <w:r w:rsidR="00C0015F">
        <w:rPr>
          <w:rFonts w:ascii="Times New Roman" w:hAnsi="Times New Roman"/>
          <w:b w:val="0"/>
          <w:sz w:val="24"/>
          <w:szCs w:val="24"/>
        </w:rPr>
        <w:t xml:space="preserve">they </w:t>
      </w:r>
      <w:r w:rsidRPr="00FD728F">
        <w:rPr>
          <w:rFonts w:ascii="Times New Roman" w:hAnsi="Times New Roman"/>
          <w:b w:val="0"/>
          <w:sz w:val="24"/>
          <w:szCs w:val="24"/>
        </w:rPr>
        <w:t>exist from time to time.</w:t>
      </w:r>
    </w:p>
    <w:p w14:paraId="7AD54B0A" w14:textId="77777777" w:rsidR="002436BD" w:rsidRDefault="002436BD" w:rsidP="001317F6">
      <w:pPr>
        <w:pStyle w:val="Heading"/>
        <w:numPr>
          <w:ilvl w:val="0"/>
          <w:numId w:val="2"/>
        </w:numPr>
        <w:spacing w:after="240"/>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t>Consultation</w:t>
      </w:r>
    </w:p>
    <w:p w14:paraId="63ACB432" w14:textId="78116AE3" w:rsidR="00022802" w:rsidRDefault="008462CB" w:rsidP="00A26D2A">
      <w:pPr>
        <w:jc w:val="both"/>
        <w:rPr>
          <w:rFonts w:ascii="Times New Roman" w:hAnsi="Times New Roman"/>
          <w:sz w:val="24"/>
          <w:lang w:eastAsia="en-US"/>
        </w:rPr>
      </w:pPr>
      <w:r>
        <w:rPr>
          <w:rFonts w:ascii="Times New Roman" w:hAnsi="Times New Roman"/>
          <w:sz w:val="24"/>
          <w:lang w:eastAsia="en-US"/>
        </w:rPr>
        <w:t>APRA con</w:t>
      </w:r>
      <w:r w:rsidR="00431DFA">
        <w:rPr>
          <w:rFonts w:ascii="Times New Roman" w:hAnsi="Times New Roman"/>
          <w:sz w:val="24"/>
          <w:lang w:eastAsia="en-US"/>
        </w:rPr>
        <w:t>sulted with</w:t>
      </w:r>
      <w:r w:rsidR="00072E48">
        <w:rPr>
          <w:rFonts w:ascii="Times New Roman" w:hAnsi="Times New Roman"/>
          <w:sz w:val="24"/>
          <w:lang w:eastAsia="en-US"/>
        </w:rPr>
        <w:t xml:space="preserve"> </w:t>
      </w:r>
      <w:r>
        <w:rPr>
          <w:rFonts w:ascii="Times New Roman" w:hAnsi="Times New Roman"/>
          <w:sz w:val="24"/>
          <w:lang w:eastAsia="en-US"/>
        </w:rPr>
        <w:t xml:space="preserve">each entity that is required to report under </w:t>
      </w:r>
      <w:r w:rsidR="00072E48">
        <w:rPr>
          <w:rFonts w:ascii="Times New Roman" w:hAnsi="Times New Roman"/>
          <w:sz w:val="24"/>
          <w:lang w:eastAsia="en-US"/>
        </w:rPr>
        <w:t xml:space="preserve">the revised </w:t>
      </w:r>
      <w:r>
        <w:rPr>
          <w:rFonts w:ascii="Times New Roman" w:hAnsi="Times New Roman"/>
          <w:sz w:val="24"/>
          <w:lang w:eastAsia="en-US"/>
        </w:rPr>
        <w:t xml:space="preserve">ARS 760.0 and asked </w:t>
      </w:r>
      <w:r w:rsidR="00072E48">
        <w:rPr>
          <w:rFonts w:ascii="Times New Roman" w:hAnsi="Times New Roman"/>
          <w:sz w:val="24"/>
          <w:lang w:eastAsia="en-US"/>
        </w:rPr>
        <w:t xml:space="preserve">each of </w:t>
      </w:r>
      <w:r>
        <w:rPr>
          <w:rFonts w:ascii="Times New Roman" w:hAnsi="Times New Roman"/>
          <w:sz w:val="24"/>
          <w:lang w:eastAsia="en-US"/>
        </w:rPr>
        <w:t xml:space="preserve">them </w:t>
      </w:r>
      <w:r w:rsidR="00072E48">
        <w:rPr>
          <w:rFonts w:ascii="Times New Roman" w:hAnsi="Times New Roman"/>
          <w:sz w:val="24"/>
          <w:lang w:eastAsia="en-US"/>
        </w:rPr>
        <w:t>whether</w:t>
      </w:r>
      <w:r>
        <w:rPr>
          <w:rFonts w:ascii="Times New Roman" w:hAnsi="Times New Roman"/>
          <w:sz w:val="24"/>
          <w:lang w:eastAsia="en-US"/>
        </w:rPr>
        <w:t xml:space="preserve"> </w:t>
      </w:r>
      <w:r w:rsidR="00AF17B8" w:rsidRPr="00AF17B8">
        <w:rPr>
          <w:rFonts w:ascii="Times New Roman" w:hAnsi="Times New Roman"/>
          <w:sz w:val="24"/>
          <w:lang w:eastAsia="en-US"/>
        </w:rPr>
        <w:t>changing the scaling factor used and adding the word ‘lending’ in the definition of repurchase agreements would pose any problems for reporting purposes.</w:t>
      </w:r>
      <w:r w:rsidR="00AF17B8">
        <w:rPr>
          <w:rFonts w:ascii="Times New Roman" w:hAnsi="Times New Roman"/>
          <w:sz w:val="24"/>
          <w:lang w:eastAsia="en-US"/>
        </w:rPr>
        <w:t xml:space="preserve"> </w:t>
      </w:r>
      <w:r w:rsidR="00DD6A63">
        <w:rPr>
          <w:rFonts w:ascii="Times New Roman" w:hAnsi="Times New Roman"/>
          <w:sz w:val="24"/>
          <w:lang w:eastAsia="en-US"/>
        </w:rPr>
        <w:t>No objections to the proposed changes were raised.</w:t>
      </w:r>
    </w:p>
    <w:p w14:paraId="77DAC1D9" w14:textId="77777777" w:rsidR="00AF17B8" w:rsidRDefault="00AF17B8" w:rsidP="00A26D2A">
      <w:pPr>
        <w:jc w:val="both"/>
        <w:rPr>
          <w:rFonts w:ascii="Times New Roman" w:hAnsi="Times New Roman"/>
          <w:sz w:val="24"/>
          <w:lang w:eastAsia="en-US"/>
        </w:rPr>
      </w:pPr>
    </w:p>
    <w:p w14:paraId="7C22728F" w14:textId="616845C0" w:rsidR="00AF17B8" w:rsidRDefault="00AF17B8" w:rsidP="00A26D2A">
      <w:pPr>
        <w:jc w:val="both"/>
        <w:rPr>
          <w:rFonts w:ascii="Times New Roman" w:hAnsi="Times New Roman"/>
          <w:sz w:val="24"/>
          <w:szCs w:val="24"/>
        </w:rPr>
      </w:pPr>
      <w:r w:rsidRPr="00AF17B8">
        <w:rPr>
          <w:rFonts w:ascii="Times New Roman" w:hAnsi="Times New Roman"/>
          <w:sz w:val="24"/>
          <w:szCs w:val="24"/>
        </w:rPr>
        <w:lastRenderedPageBreak/>
        <w:t>Other changes made in the revised ARS 760.0 are mechanical or minor drafting clarifications which do not alter the substance of the existing requirements.  Accordingly it was not considered necessary to consult upon those changes.</w:t>
      </w:r>
    </w:p>
    <w:p w14:paraId="7389BBDA" w14:textId="77777777" w:rsidR="00B8751A" w:rsidRPr="00991D50" w:rsidRDefault="00B8751A" w:rsidP="00A26D2A">
      <w:pPr>
        <w:jc w:val="both"/>
        <w:rPr>
          <w:rFonts w:ascii="Times New Roman" w:hAnsi="Times New Roman"/>
          <w:sz w:val="24"/>
          <w:szCs w:val="24"/>
          <w:lang w:eastAsia="en-US"/>
        </w:rPr>
      </w:pPr>
    </w:p>
    <w:p w14:paraId="05F8844C" w14:textId="77777777" w:rsidR="002436BD" w:rsidRDefault="00DF524E" w:rsidP="00113C3C">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14:paraId="29F812E1" w14:textId="4F3E859E" w:rsidR="00D3484E" w:rsidRDefault="00D3484E" w:rsidP="00113C3C">
      <w:pPr>
        <w:pStyle w:val="Heading"/>
        <w:spacing w:after="240"/>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a Regulation Impact Statement </w:t>
      </w:r>
      <w:r>
        <w:rPr>
          <w:rFonts w:ascii="Times New Roman" w:hAnsi="Times New Roman"/>
          <w:b w:val="0"/>
          <w:sz w:val="24"/>
          <w:szCs w:val="24"/>
        </w:rPr>
        <w:t>is not required for th</w:t>
      </w:r>
      <w:r w:rsidR="00BA6C50">
        <w:rPr>
          <w:rFonts w:ascii="Times New Roman" w:hAnsi="Times New Roman"/>
          <w:b w:val="0"/>
          <w:sz w:val="24"/>
          <w:szCs w:val="24"/>
        </w:rPr>
        <w:t>e</w:t>
      </w:r>
      <w:r>
        <w:rPr>
          <w:rFonts w:ascii="Times New Roman" w:hAnsi="Times New Roman"/>
          <w:b w:val="0"/>
          <w:sz w:val="24"/>
          <w:szCs w:val="24"/>
        </w:rPr>
        <w:t xml:space="preserve"> instrument</w:t>
      </w:r>
      <w:r w:rsidRPr="00D3484E">
        <w:rPr>
          <w:rFonts w:ascii="Times New Roman" w:hAnsi="Times New Roman"/>
          <w:b w:val="0"/>
          <w:sz w:val="24"/>
          <w:szCs w:val="24"/>
        </w:rPr>
        <w:t>.</w:t>
      </w:r>
    </w:p>
    <w:p w14:paraId="2CF90F37" w14:textId="77777777" w:rsidR="002436BD" w:rsidRPr="00B3165F" w:rsidRDefault="00DF524E" w:rsidP="00113C3C">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the </w:t>
      </w:r>
      <w:r w:rsidR="002436BD" w:rsidRPr="00BA5762">
        <w:rPr>
          <w:rFonts w:ascii="Times New Roman" w:hAnsi="Times New Roman"/>
          <w:i/>
          <w:sz w:val="24"/>
          <w:szCs w:val="24"/>
        </w:rPr>
        <w:t>Human Rights (Parliamentary Scrutiny) Act 2011</w:t>
      </w:r>
    </w:p>
    <w:p w14:paraId="69C983C6" w14:textId="77777777" w:rsidR="005C350E" w:rsidRDefault="0030506B" w:rsidP="001317F6">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72D1381D" w14:textId="77777777" w:rsidR="005C350E" w:rsidRDefault="005C350E">
      <w:pPr>
        <w:rPr>
          <w:rFonts w:ascii="Times New Roman" w:hAnsi="Times New Roman"/>
          <w:sz w:val="24"/>
          <w:szCs w:val="24"/>
        </w:rPr>
      </w:pPr>
      <w:r>
        <w:rPr>
          <w:rFonts w:ascii="Times New Roman" w:hAnsi="Times New Roman"/>
          <w:b/>
          <w:sz w:val="24"/>
          <w:szCs w:val="24"/>
        </w:rPr>
        <w:br w:type="page"/>
      </w:r>
    </w:p>
    <w:p w14:paraId="5F62B408" w14:textId="77777777" w:rsidR="005C350E" w:rsidRPr="005C350E" w:rsidRDefault="005C350E" w:rsidP="005C350E">
      <w:pPr>
        <w:pStyle w:val="Heading"/>
        <w:tabs>
          <w:tab w:val="left" w:pos="360"/>
        </w:tabs>
        <w:spacing w:after="240"/>
        <w:jc w:val="left"/>
        <w:rPr>
          <w:rFonts w:ascii="Times New Roman" w:hAnsi="Times New Roman"/>
          <w:sz w:val="24"/>
          <w:szCs w:val="24"/>
          <w:u w:val="single"/>
        </w:rPr>
      </w:pPr>
      <w:r w:rsidRPr="005C350E">
        <w:rPr>
          <w:rFonts w:ascii="Times New Roman" w:hAnsi="Times New Roman"/>
          <w:sz w:val="24"/>
          <w:szCs w:val="24"/>
          <w:u w:val="single"/>
        </w:rPr>
        <w:lastRenderedPageBreak/>
        <w:t>ATTACHMENT A</w:t>
      </w:r>
    </w:p>
    <w:p w14:paraId="68A18EB7" w14:textId="77777777" w:rsidR="005C350E" w:rsidRPr="00751835" w:rsidRDefault="005C350E" w:rsidP="005C350E">
      <w:pPr>
        <w:spacing w:after="240"/>
        <w:jc w:val="center"/>
        <w:rPr>
          <w:rFonts w:ascii="Times New Roman" w:hAnsi="Times New Roman"/>
          <w:b/>
          <w:sz w:val="24"/>
        </w:rPr>
      </w:pPr>
      <w:r w:rsidRPr="00751835">
        <w:rPr>
          <w:rFonts w:ascii="Times New Roman" w:hAnsi="Times New Roman"/>
          <w:b/>
          <w:sz w:val="24"/>
        </w:rPr>
        <w:t>Statement of Compatibility with Human Rights</w:t>
      </w:r>
    </w:p>
    <w:p w14:paraId="18ECED55" w14:textId="77777777" w:rsidR="005C350E" w:rsidRPr="00751835" w:rsidRDefault="005C350E" w:rsidP="005C350E">
      <w:pPr>
        <w:keepNext/>
        <w:keepLines/>
        <w:spacing w:after="240"/>
        <w:jc w:val="center"/>
        <w:outlineLvl w:val="0"/>
        <w:rPr>
          <w:rFonts w:ascii="Times New Roman" w:hAnsi="Times New Roman"/>
          <w:bCs/>
          <w:i/>
          <w:color w:val="000000"/>
          <w:sz w:val="24"/>
        </w:rPr>
      </w:pPr>
      <w:r w:rsidRPr="00BA5762">
        <w:rPr>
          <w:rFonts w:ascii="Times New Roman" w:hAnsi="Times New Roman"/>
          <w:bCs/>
          <w:color w:val="000000"/>
          <w:sz w:val="24"/>
        </w:rPr>
        <w:t>Prepared in accordance with Part 3 of the</w:t>
      </w:r>
      <w:r w:rsidRPr="00751835">
        <w:rPr>
          <w:rFonts w:ascii="Times New Roman" w:hAnsi="Times New Roman"/>
          <w:bCs/>
          <w:i/>
          <w:color w:val="000000"/>
          <w:sz w:val="24"/>
        </w:rPr>
        <w:t xml:space="preserve"> Human Rights (Parliamentary Scrutiny) Act 2011</w:t>
      </w:r>
    </w:p>
    <w:p w14:paraId="54598A1A" w14:textId="7EA67BFD" w:rsidR="005C350E" w:rsidRPr="00751835" w:rsidRDefault="005C350E" w:rsidP="005C350E">
      <w:pPr>
        <w:pStyle w:val="Heading"/>
        <w:spacing w:before="120"/>
        <w:jc w:val="center"/>
        <w:rPr>
          <w:rFonts w:ascii="Times New Roman" w:hAnsi="Times New Roman"/>
          <w:b w:val="0"/>
          <w:sz w:val="24"/>
        </w:rPr>
      </w:pPr>
      <w:r w:rsidRPr="005C350E">
        <w:rPr>
          <w:rFonts w:ascii="Times New Roman" w:hAnsi="Times New Roman"/>
          <w:sz w:val="24"/>
        </w:rPr>
        <w:t xml:space="preserve">Financial Sector (Collection of Data) (reporting standard) determination No. </w:t>
      </w:r>
      <w:r w:rsidR="00BA5762">
        <w:rPr>
          <w:rFonts w:ascii="Times New Roman" w:hAnsi="Times New Roman"/>
          <w:sz w:val="24"/>
        </w:rPr>
        <w:t>1</w:t>
      </w:r>
      <w:r w:rsidRPr="005C350E">
        <w:rPr>
          <w:rFonts w:ascii="Times New Roman" w:hAnsi="Times New Roman"/>
          <w:color w:val="FF0000"/>
          <w:sz w:val="24"/>
        </w:rPr>
        <w:t xml:space="preserve"> </w:t>
      </w:r>
      <w:r w:rsidRPr="005C350E">
        <w:rPr>
          <w:rFonts w:ascii="Times New Roman" w:hAnsi="Times New Roman"/>
          <w:sz w:val="24"/>
        </w:rPr>
        <w:t xml:space="preserve">of </w:t>
      </w:r>
      <w:r w:rsidR="00BA5762" w:rsidRPr="005C350E">
        <w:rPr>
          <w:rFonts w:ascii="Times New Roman" w:hAnsi="Times New Roman"/>
          <w:sz w:val="24"/>
        </w:rPr>
        <w:t>201</w:t>
      </w:r>
      <w:r w:rsidR="00BA5762">
        <w:rPr>
          <w:rFonts w:ascii="Times New Roman" w:hAnsi="Times New Roman"/>
          <w:sz w:val="24"/>
        </w:rPr>
        <w:t>8</w:t>
      </w:r>
    </w:p>
    <w:p w14:paraId="0A13F871" w14:textId="77777777" w:rsidR="005C350E" w:rsidRPr="00751835" w:rsidRDefault="005C350E" w:rsidP="005C350E">
      <w:pPr>
        <w:jc w:val="center"/>
        <w:rPr>
          <w:rFonts w:ascii="Times New Roman" w:hAnsi="Times New Roman"/>
          <w:sz w:val="24"/>
        </w:rPr>
      </w:pPr>
    </w:p>
    <w:p w14:paraId="3B2EB73B" w14:textId="77777777" w:rsidR="005C350E" w:rsidRPr="00751835" w:rsidRDefault="005C350E" w:rsidP="005C350E">
      <w:pPr>
        <w:spacing w:after="240"/>
        <w:jc w:val="both"/>
        <w:rPr>
          <w:rFonts w:ascii="Times New Roman" w:hAnsi="Times New Roman"/>
          <w:sz w:val="24"/>
        </w:rPr>
      </w:pPr>
      <w:r w:rsidRPr="00751835">
        <w:rPr>
          <w:rFonts w:ascii="Times New Roman" w:hAnsi="Times New Roman"/>
          <w:sz w:val="24"/>
        </w:rPr>
        <w:t xml:space="preserve">This Legislative Instrument is compatible with the human rights and freedoms recognised or declared in the international instrument listed in section 3 of the </w:t>
      </w:r>
      <w:r w:rsidRPr="00751835">
        <w:rPr>
          <w:rFonts w:ascii="Times New Roman" w:hAnsi="Times New Roman"/>
          <w:i/>
          <w:sz w:val="24"/>
        </w:rPr>
        <w:t>Human Rights (Parliamentary Scrutiny) Act 2011</w:t>
      </w:r>
      <w:r w:rsidRPr="00751835">
        <w:rPr>
          <w:rFonts w:ascii="Times New Roman" w:hAnsi="Times New Roman"/>
          <w:sz w:val="24"/>
        </w:rPr>
        <w:t xml:space="preserve"> (HRPS Act).</w:t>
      </w:r>
    </w:p>
    <w:p w14:paraId="0A382469" w14:textId="77777777" w:rsidR="005C350E" w:rsidRPr="00751835" w:rsidRDefault="005C350E" w:rsidP="005C350E">
      <w:pPr>
        <w:spacing w:after="240"/>
        <w:jc w:val="both"/>
        <w:rPr>
          <w:rFonts w:ascii="Times New Roman" w:hAnsi="Times New Roman"/>
          <w:sz w:val="24"/>
        </w:rPr>
      </w:pPr>
      <w:r w:rsidRPr="00751835">
        <w:rPr>
          <w:rFonts w:ascii="Times New Roman" w:hAnsi="Times New Roman"/>
          <w:b/>
          <w:sz w:val="24"/>
        </w:rPr>
        <w:t>Overview of the legislative instrument</w:t>
      </w:r>
    </w:p>
    <w:p w14:paraId="26D978AF" w14:textId="0084C7E6" w:rsidR="00977EAB" w:rsidRDefault="00977EAB" w:rsidP="005C350E">
      <w:pPr>
        <w:widowControl w:val="0"/>
        <w:spacing w:before="120" w:after="60"/>
        <w:rPr>
          <w:rFonts w:ascii="Times New Roman" w:hAnsi="Times New Roman"/>
          <w:sz w:val="24"/>
        </w:rPr>
      </w:pPr>
      <w:r w:rsidRPr="00977EAB">
        <w:rPr>
          <w:rFonts w:ascii="Times New Roman" w:hAnsi="Times New Roman"/>
          <w:sz w:val="24"/>
        </w:rPr>
        <w:t xml:space="preserve">In June 2017, the </w:t>
      </w:r>
      <w:r w:rsidR="00A97777">
        <w:rPr>
          <w:rFonts w:ascii="Times New Roman" w:hAnsi="Times New Roman"/>
          <w:sz w:val="24"/>
        </w:rPr>
        <w:t>Australian Parliament</w:t>
      </w:r>
      <w:r w:rsidR="00A97777" w:rsidRPr="00977EAB">
        <w:rPr>
          <w:rFonts w:ascii="Times New Roman" w:hAnsi="Times New Roman"/>
          <w:sz w:val="24"/>
        </w:rPr>
        <w:t xml:space="preserve"> </w:t>
      </w:r>
      <w:r w:rsidRPr="00977EAB">
        <w:rPr>
          <w:rFonts w:ascii="Times New Roman" w:hAnsi="Times New Roman"/>
          <w:sz w:val="24"/>
        </w:rPr>
        <w:t xml:space="preserve">passed the </w:t>
      </w:r>
      <w:r w:rsidRPr="00977EAB">
        <w:rPr>
          <w:rFonts w:ascii="Times New Roman" w:hAnsi="Times New Roman"/>
          <w:i/>
          <w:sz w:val="24"/>
        </w:rPr>
        <w:t>Major Bank Levy Act 2017</w:t>
      </w:r>
      <w:r w:rsidRPr="00977EAB">
        <w:rPr>
          <w:rFonts w:ascii="Times New Roman" w:hAnsi="Times New Roman"/>
          <w:sz w:val="24"/>
        </w:rPr>
        <w:t xml:space="preserve"> and the </w:t>
      </w:r>
      <w:r w:rsidRPr="00977EAB">
        <w:rPr>
          <w:rFonts w:ascii="Times New Roman" w:hAnsi="Times New Roman"/>
          <w:i/>
          <w:sz w:val="24"/>
        </w:rPr>
        <w:t>Treasury Laws Amendment (Major Bank Levy) Act 2017</w:t>
      </w:r>
      <w:r w:rsidRPr="00977EAB">
        <w:rPr>
          <w:rFonts w:ascii="Times New Roman" w:hAnsi="Times New Roman"/>
          <w:sz w:val="24"/>
        </w:rPr>
        <w:t xml:space="preserve"> to implement the major bank levy, which was announced as part of the 2017-18 Budget. This legislation empower</w:t>
      </w:r>
      <w:r w:rsidR="000C4076">
        <w:rPr>
          <w:rFonts w:ascii="Times New Roman" w:hAnsi="Times New Roman"/>
          <w:sz w:val="24"/>
        </w:rPr>
        <w:t>s</w:t>
      </w:r>
      <w:r w:rsidRPr="00977EAB">
        <w:rPr>
          <w:rFonts w:ascii="Times New Roman" w:hAnsi="Times New Roman"/>
          <w:sz w:val="24"/>
        </w:rPr>
        <w:t xml:space="preserve"> APRA to collect data from authorised deposit-taking institutions (ADIs) under the </w:t>
      </w:r>
      <w:r w:rsidR="000C4076" w:rsidRPr="00BA5762">
        <w:rPr>
          <w:rFonts w:ascii="Times New Roman" w:hAnsi="Times New Roman"/>
          <w:i/>
          <w:iCs/>
        </w:rPr>
        <w:t>Financial Sector (Collection of Data) Act 2001</w:t>
      </w:r>
      <w:r w:rsidR="00F31894">
        <w:rPr>
          <w:rFonts w:ascii="Times New Roman" w:hAnsi="Times New Roman"/>
          <w:sz w:val="24"/>
        </w:rPr>
        <w:t xml:space="preserve"> for</w:t>
      </w:r>
      <w:r w:rsidRPr="00977EAB">
        <w:rPr>
          <w:rFonts w:ascii="Times New Roman" w:hAnsi="Times New Roman"/>
          <w:sz w:val="24"/>
        </w:rPr>
        <w:t xml:space="preserve"> the purposes of the major bank levy</w:t>
      </w:r>
      <w:r>
        <w:rPr>
          <w:rFonts w:ascii="Times New Roman" w:hAnsi="Times New Roman"/>
          <w:sz w:val="24"/>
        </w:rPr>
        <w:t>.</w:t>
      </w:r>
    </w:p>
    <w:p w14:paraId="7FF78F50" w14:textId="00F5658D" w:rsidR="005C350E" w:rsidRPr="00751835" w:rsidRDefault="005C350E" w:rsidP="005C350E">
      <w:pPr>
        <w:widowControl w:val="0"/>
        <w:spacing w:before="120" w:after="60"/>
        <w:rPr>
          <w:rFonts w:ascii="Times New Roman" w:hAnsi="Times New Roman"/>
          <w:sz w:val="24"/>
        </w:rPr>
      </w:pPr>
      <w:r w:rsidRPr="00751835">
        <w:rPr>
          <w:rFonts w:ascii="Times New Roman" w:hAnsi="Times New Roman"/>
          <w:sz w:val="24"/>
        </w:rPr>
        <w:t xml:space="preserve">The instrument determines a new reporting standard under the </w:t>
      </w:r>
      <w:r w:rsidRPr="00751835">
        <w:rPr>
          <w:rFonts w:ascii="Times New Roman" w:hAnsi="Times New Roman"/>
          <w:i/>
          <w:sz w:val="24"/>
        </w:rPr>
        <w:t>Financial Sect</w:t>
      </w:r>
      <w:r w:rsidR="007E5499">
        <w:rPr>
          <w:rFonts w:ascii="Times New Roman" w:hAnsi="Times New Roman"/>
          <w:i/>
          <w:sz w:val="24"/>
        </w:rPr>
        <w:t>or (Collection of Data) Act 2001</w:t>
      </w:r>
      <w:r w:rsidR="00977EAB">
        <w:rPr>
          <w:rFonts w:ascii="Times New Roman" w:hAnsi="Times New Roman"/>
          <w:sz w:val="24"/>
        </w:rPr>
        <w:t xml:space="preserve"> </w:t>
      </w:r>
      <w:r w:rsidR="00CB0B19">
        <w:rPr>
          <w:rFonts w:ascii="Times New Roman" w:hAnsi="Times New Roman"/>
          <w:sz w:val="24"/>
        </w:rPr>
        <w:t>to</w:t>
      </w:r>
      <w:r w:rsidR="00977EAB">
        <w:rPr>
          <w:rFonts w:ascii="Times New Roman" w:hAnsi="Times New Roman"/>
          <w:sz w:val="24"/>
        </w:rPr>
        <w:t xml:space="preserve"> </w:t>
      </w:r>
      <w:r w:rsidR="00977EAB" w:rsidRPr="00977EAB">
        <w:rPr>
          <w:rFonts w:ascii="Times New Roman" w:hAnsi="Times New Roman"/>
          <w:sz w:val="24"/>
        </w:rPr>
        <w:t xml:space="preserve">facilitate the </w:t>
      </w:r>
      <w:r w:rsidR="00977EAB">
        <w:rPr>
          <w:rFonts w:ascii="Times New Roman" w:hAnsi="Times New Roman"/>
          <w:sz w:val="24"/>
        </w:rPr>
        <w:t xml:space="preserve">collection of data by APRA from ADIs, which will be provided to the </w:t>
      </w:r>
      <w:r w:rsidR="00E1527E">
        <w:rPr>
          <w:rFonts w:ascii="Times New Roman" w:hAnsi="Times New Roman"/>
          <w:sz w:val="24"/>
        </w:rPr>
        <w:t>Commissioner of Taxation</w:t>
      </w:r>
      <w:r w:rsidR="00977EAB">
        <w:rPr>
          <w:rFonts w:ascii="Times New Roman" w:hAnsi="Times New Roman"/>
          <w:sz w:val="24"/>
        </w:rPr>
        <w:t xml:space="preserve"> for the purposes of </w:t>
      </w:r>
      <w:r w:rsidR="00977EAB" w:rsidRPr="00977EAB">
        <w:rPr>
          <w:rFonts w:ascii="Times New Roman" w:hAnsi="Times New Roman"/>
          <w:sz w:val="24"/>
        </w:rPr>
        <w:t>administ</w:t>
      </w:r>
      <w:r w:rsidR="00977EAB">
        <w:rPr>
          <w:rFonts w:ascii="Times New Roman" w:hAnsi="Times New Roman"/>
          <w:sz w:val="24"/>
        </w:rPr>
        <w:t>ering the</w:t>
      </w:r>
      <w:r w:rsidR="00977EAB" w:rsidRPr="00977EAB">
        <w:rPr>
          <w:rFonts w:ascii="Times New Roman" w:hAnsi="Times New Roman"/>
          <w:sz w:val="24"/>
        </w:rPr>
        <w:t xml:space="preserve"> bank levy</w:t>
      </w:r>
      <w:r w:rsidR="00977EAB">
        <w:rPr>
          <w:rFonts w:ascii="Times New Roman" w:hAnsi="Times New Roman"/>
          <w:sz w:val="24"/>
        </w:rPr>
        <w:t>.</w:t>
      </w:r>
    </w:p>
    <w:p w14:paraId="5741E3AD" w14:textId="77777777" w:rsidR="005C350E" w:rsidRPr="00751835" w:rsidRDefault="005C350E" w:rsidP="005C350E">
      <w:pPr>
        <w:rPr>
          <w:rFonts w:ascii="Times New Roman" w:hAnsi="Times New Roman"/>
          <w:sz w:val="24"/>
        </w:rPr>
      </w:pPr>
    </w:p>
    <w:p w14:paraId="15C8482E" w14:textId="77777777" w:rsidR="005C350E" w:rsidRPr="00751835" w:rsidRDefault="005C350E" w:rsidP="005C350E">
      <w:pPr>
        <w:spacing w:after="240"/>
        <w:jc w:val="both"/>
        <w:rPr>
          <w:rFonts w:ascii="Times New Roman" w:hAnsi="Times New Roman"/>
          <w:sz w:val="24"/>
        </w:rPr>
      </w:pPr>
      <w:r w:rsidRPr="00751835">
        <w:rPr>
          <w:rFonts w:ascii="Times New Roman" w:hAnsi="Times New Roman"/>
          <w:b/>
          <w:sz w:val="24"/>
        </w:rPr>
        <w:lastRenderedPageBreak/>
        <w:t>Human rights implications</w:t>
      </w:r>
    </w:p>
    <w:p w14:paraId="3F85C881" w14:textId="77777777" w:rsidR="005C350E" w:rsidRPr="00751835" w:rsidRDefault="005C350E" w:rsidP="005C350E">
      <w:pPr>
        <w:spacing w:after="240"/>
        <w:jc w:val="both"/>
        <w:rPr>
          <w:rFonts w:ascii="Times New Roman" w:hAnsi="Times New Roman"/>
          <w:sz w:val="24"/>
        </w:rPr>
      </w:pPr>
      <w:r w:rsidRPr="00751835">
        <w:rPr>
          <w:rFonts w:ascii="Times New Roman" w:hAnsi="Times New Roman"/>
          <w:sz w:val="24"/>
        </w:rPr>
        <w:t xml:space="preserve">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0A69D4C2" w14:textId="77777777" w:rsidR="005C350E" w:rsidRPr="00751835" w:rsidRDefault="005C350E" w:rsidP="005C350E">
      <w:pPr>
        <w:spacing w:after="240"/>
        <w:jc w:val="both"/>
        <w:rPr>
          <w:rFonts w:ascii="Times New Roman" w:hAnsi="Times New Roman"/>
          <w:b/>
          <w:sz w:val="24"/>
        </w:rPr>
      </w:pPr>
      <w:r w:rsidRPr="00751835">
        <w:rPr>
          <w:rFonts w:ascii="Times New Roman" w:hAnsi="Times New Roman"/>
          <w:b/>
          <w:sz w:val="24"/>
        </w:rPr>
        <w:t>Conclusion</w:t>
      </w:r>
    </w:p>
    <w:p w14:paraId="1913CC6D" w14:textId="77777777" w:rsidR="005C350E" w:rsidRPr="00751835" w:rsidRDefault="005C350E" w:rsidP="005C350E">
      <w:pPr>
        <w:spacing w:after="240"/>
        <w:jc w:val="both"/>
        <w:rPr>
          <w:rFonts w:ascii="Times New Roman" w:hAnsi="Times New Roman"/>
          <w:sz w:val="24"/>
        </w:rPr>
      </w:pPr>
      <w:r w:rsidRPr="00751835">
        <w:rPr>
          <w:rFonts w:ascii="Times New Roman" w:hAnsi="Times New Roman"/>
          <w:sz w:val="24"/>
        </w:rPr>
        <w:t xml:space="preserve">This Legislative Instrument is compatible with human rights as it does not raise any human rights issues. </w:t>
      </w:r>
    </w:p>
    <w:p w14:paraId="2796430C" w14:textId="77777777" w:rsidR="005C350E" w:rsidRDefault="005C350E" w:rsidP="005C350E"/>
    <w:p w14:paraId="4A96E7D8" w14:textId="77777777" w:rsidR="005C350E" w:rsidRPr="008178C2" w:rsidRDefault="005C350E" w:rsidP="005C350E"/>
    <w:p w14:paraId="1A49240F" w14:textId="77777777" w:rsidR="005C350E" w:rsidRPr="00A4054F" w:rsidRDefault="005C350E" w:rsidP="005C350E">
      <w:pPr>
        <w:pStyle w:val="Heading"/>
        <w:tabs>
          <w:tab w:val="left" w:pos="360"/>
        </w:tabs>
        <w:spacing w:before="120"/>
        <w:rPr>
          <w:rFonts w:ascii="Times New Roman" w:hAnsi="Times New Roman"/>
        </w:rPr>
      </w:pPr>
    </w:p>
    <w:p w14:paraId="02F91E15" w14:textId="77777777" w:rsidR="00B04B20" w:rsidRPr="001317F6" w:rsidRDefault="00B04B20" w:rsidP="001317F6">
      <w:pPr>
        <w:pStyle w:val="Heading"/>
        <w:spacing w:after="240"/>
        <w:rPr>
          <w:rFonts w:ascii="Times New Roman" w:hAnsi="Times New Roman"/>
          <w:b w:val="0"/>
          <w:sz w:val="24"/>
          <w:szCs w:val="24"/>
        </w:rPr>
      </w:pPr>
    </w:p>
    <w:sectPr w:rsidR="00B04B20" w:rsidRPr="001317F6" w:rsidSect="003D5032">
      <w:headerReference w:type="even" r:id="rId13"/>
      <w:headerReference w:type="default" r:id="rId14"/>
      <w:footerReference w:type="even" r:id="rId15"/>
      <w:footerReference w:type="default" r:id="rId16"/>
      <w:headerReference w:type="first" r:id="rId17"/>
      <w:footerReference w:type="first" r:id="rId18"/>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32338" w14:textId="77777777" w:rsidR="00EB0588" w:rsidRDefault="00EB0588" w:rsidP="001317F6">
      <w:r>
        <w:separator/>
      </w:r>
    </w:p>
  </w:endnote>
  <w:endnote w:type="continuationSeparator" w:id="0">
    <w:p w14:paraId="27619E95" w14:textId="77777777" w:rsidR="00EB0588" w:rsidRDefault="00EB0588" w:rsidP="0013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DFEFE" w14:textId="77777777" w:rsidR="00FB0ADC" w:rsidRDefault="00FB0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szCs w:val="22"/>
      </w:rPr>
    </w:sdtEndPr>
    <w:sdtContent>
      <w:p w14:paraId="0AC8C368" w14:textId="77777777" w:rsidR="00DB5671" w:rsidRPr="001317F6" w:rsidRDefault="00DB5671" w:rsidP="001317F6">
        <w:pPr>
          <w:pStyle w:val="Footer"/>
          <w:jc w:val="center"/>
          <w:rPr>
            <w:szCs w:val="22"/>
          </w:rPr>
        </w:pPr>
        <w:r w:rsidRPr="00707EB4">
          <w:rPr>
            <w:rFonts w:ascii="Times New Roman" w:hAnsi="Times New Roman"/>
            <w:bCs/>
            <w:sz w:val="24"/>
            <w:szCs w:val="24"/>
          </w:rPr>
          <w:fldChar w:fldCharType="begin"/>
        </w:r>
        <w:r w:rsidRPr="00707EB4">
          <w:rPr>
            <w:rFonts w:ascii="Times New Roman" w:hAnsi="Times New Roman"/>
            <w:bCs/>
            <w:sz w:val="24"/>
            <w:szCs w:val="24"/>
          </w:rPr>
          <w:instrText xml:space="preserve"> PAGE </w:instrText>
        </w:r>
        <w:r w:rsidRPr="00707EB4">
          <w:rPr>
            <w:rFonts w:ascii="Times New Roman" w:hAnsi="Times New Roman"/>
            <w:bCs/>
            <w:sz w:val="24"/>
            <w:szCs w:val="24"/>
          </w:rPr>
          <w:fldChar w:fldCharType="separate"/>
        </w:r>
        <w:r w:rsidR="0008669E">
          <w:rPr>
            <w:rFonts w:ascii="Times New Roman" w:hAnsi="Times New Roman"/>
            <w:bCs/>
            <w:noProof/>
            <w:sz w:val="24"/>
            <w:szCs w:val="24"/>
          </w:rPr>
          <w:t>1</w:t>
        </w:r>
        <w:r w:rsidRPr="00707EB4">
          <w:rPr>
            <w:rFonts w:ascii="Times New Roman" w:hAnsi="Times New Roman"/>
            <w:bCs/>
            <w:sz w:val="24"/>
            <w:szCs w:val="24"/>
          </w:rPr>
          <w:fldChar w:fldCharType="end"/>
        </w:r>
      </w:p>
    </w:sdtContent>
  </w:sdt>
  <w:p w14:paraId="52FD19F6" w14:textId="77777777" w:rsidR="00DB5671" w:rsidRDefault="00DB56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02CC1" w14:textId="77777777" w:rsidR="00FB0ADC" w:rsidRDefault="00FB0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BF959" w14:textId="77777777" w:rsidR="00EB0588" w:rsidRDefault="00EB0588" w:rsidP="001317F6">
      <w:r>
        <w:separator/>
      </w:r>
    </w:p>
  </w:footnote>
  <w:footnote w:type="continuationSeparator" w:id="0">
    <w:p w14:paraId="66ED027D" w14:textId="77777777" w:rsidR="00EB0588" w:rsidRDefault="00EB0588" w:rsidP="00131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5A1D3" w14:textId="77777777" w:rsidR="00FB0ADC" w:rsidRDefault="00FB0A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71F9" w14:textId="4067F054" w:rsidR="00D206BE" w:rsidRDefault="00D206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47B6E" w14:textId="77777777" w:rsidR="00FB0ADC" w:rsidRDefault="00FB0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F2EEF"/>
    <w:multiLevelType w:val="hybridMultilevel"/>
    <w:tmpl w:val="95E02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DF87BC0"/>
    <w:multiLevelType w:val="hybridMultilevel"/>
    <w:tmpl w:val="4FB436F8"/>
    <w:lvl w:ilvl="0" w:tplc="6F8CE88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15:restartNumberingAfterBreak="0">
    <w:nsid w:val="421F640B"/>
    <w:multiLevelType w:val="hybridMultilevel"/>
    <w:tmpl w:val="4FD4E948"/>
    <w:lvl w:ilvl="0" w:tplc="1DEEA526">
      <w:numFmt w:val="bullet"/>
      <w:lvlText w:val=""/>
      <w:lvlJc w:val="left"/>
      <w:pPr>
        <w:tabs>
          <w:tab w:val="num" w:pos="567"/>
        </w:tabs>
        <w:ind w:left="567" w:hanging="567"/>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DA3D61"/>
    <w:multiLevelType w:val="hybridMultilevel"/>
    <w:tmpl w:val="3A74BFE8"/>
    <w:lvl w:ilvl="0" w:tplc="B17EDFD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C8"/>
    <w:rsid w:val="00022802"/>
    <w:rsid w:val="000319AD"/>
    <w:rsid w:val="000401FC"/>
    <w:rsid w:val="00041756"/>
    <w:rsid w:val="00067851"/>
    <w:rsid w:val="00072E48"/>
    <w:rsid w:val="0008669E"/>
    <w:rsid w:val="000B14BD"/>
    <w:rsid w:val="000C4076"/>
    <w:rsid w:val="000E369C"/>
    <w:rsid w:val="00113C3C"/>
    <w:rsid w:val="001261C5"/>
    <w:rsid w:val="001317F6"/>
    <w:rsid w:val="0014545A"/>
    <w:rsid w:val="00154BF4"/>
    <w:rsid w:val="00160AA9"/>
    <w:rsid w:val="00182FA1"/>
    <w:rsid w:val="001A083F"/>
    <w:rsid w:val="001A2ADB"/>
    <w:rsid w:val="001C3621"/>
    <w:rsid w:val="001C7CBD"/>
    <w:rsid w:val="002436BD"/>
    <w:rsid w:val="00246723"/>
    <w:rsid w:val="0025651C"/>
    <w:rsid w:val="002A73BD"/>
    <w:rsid w:val="002C037D"/>
    <w:rsid w:val="002E4BD9"/>
    <w:rsid w:val="002E4E41"/>
    <w:rsid w:val="0030506B"/>
    <w:rsid w:val="00310CF8"/>
    <w:rsid w:val="003155FB"/>
    <w:rsid w:val="0034434D"/>
    <w:rsid w:val="00354CB8"/>
    <w:rsid w:val="003678FC"/>
    <w:rsid w:val="003702D6"/>
    <w:rsid w:val="003866AD"/>
    <w:rsid w:val="003914AA"/>
    <w:rsid w:val="003A52A5"/>
    <w:rsid w:val="003C60A4"/>
    <w:rsid w:val="003D5032"/>
    <w:rsid w:val="003F0228"/>
    <w:rsid w:val="003F2B0C"/>
    <w:rsid w:val="003F7AF4"/>
    <w:rsid w:val="0040175E"/>
    <w:rsid w:val="00422164"/>
    <w:rsid w:val="00431DFA"/>
    <w:rsid w:val="00443A02"/>
    <w:rsid w:val="00466F8D"/>
    <w:rsid w:val="00485C48"/>
    <w:rsid w:val="00487DD8"/>
    <w:rsid w:val="004B6091"/>
    <w:rsid w:val="004C3D07"/>
    <w:rsid w:val="004C5B30"/>
    <w:rsid w:val="004D2513"/>
    <w:rsid w:val="004E2008"/>
    <w:rsid w:val="00514059"/>
    <w:rsid w:val="005155C8"/>
    <w:rsid w:val="0051575B"/>
    <w:rsid w:val="0056141D"/>
    <w:rsid w:val="005907BA"/>
    <w:rsid w:val="00594DD2"/>
    <w:rsid w:val="005A55FF"/>
    <w:rsid w:val="005C350E"/>
    <w:rsid w:val="005D4287"/>
    <w:rsid w:val="005E5910"/>
    <w:rsid w:val="005E6853"/>
    <w:rsid w:val="005F2BDF"/>
    <w:rsid w:val="00622013"/>
    <w:rsid w:val="00622480"/>
    <w:rsid w:val="00623D65"/>
    <w:rsid w:val="006463AD"/>
    <w:rsid w:val="00647D58"/>
    <w:rsid w:val="00657678"/>
    <w:rsid w:val="00675342"/>
    <w:rsid w:val="00682865"/>
    <w:rsid w:val="00684F73"/>
    <w:rsid w:val="00694E33"/>
    <w:rsid w:val="006B093F"/>
    <w:rsid w:val="006D4AA0"/>
    <w:rsid w:val="006E0762"/>
    <w:rsid w:val="007014AF"/>
    <w:rsid w:val="007031F4"/>
    <w:rsid w:val="007049CF"/>
    <w:rsid w:val="00707EB4"/>
    <w:rsid w:val="007368AD"/>
    <w:rsid w:val="00736D41"/>
    <w:rsid w:val="007428D4"/>
    <w:rsid w:val="00745E96"/>
    <w:rsid w:val="00747AFF"/>
    <w:rsid w:val="00760B2F"/>
    <w:rsid w:val="00785CDC"/>
    <w:rsid w:val="007B0D8E"/>
    <w:rsid w:val="007C2298"/>
    <w:rsid w:val="007C5B92"/>
    <w:rsid w:val="007E4B2A"/>
    <w:rsid w:val="007E5499"/>
    <w:rsid w:val="00830F66"/>
    <w:rsid w:val="0084038A"/>
    <w:rsid w:val="008462CB"/>
    <w:rsid w:val="00887098"/>
    <w:rsid w:val="008917A9"/>
    <w:rsid w:val="008F499B"/>
    <w:rsid w:val="008F49B2"/>
    <w:rsid w:val="00913F97"/>
    <w:rsid w:val="00932EFA"/>
    <w:rsid w:val="0093795B"/>
    <w:rsid w:val="009506D6"/>
    <w:rsid w:val="00967D16"/>
    <w:rsid w:val="00977EAB"/>
    <w:rsid w:val="00991D50"/>
    <w:rsid w:val="009B4D9A"/>
    <w:rsid w:val="009B67A8"/>
    <w:rsid w:val="009C5368"/>
    <w:rsid w:val="00A062D3"/>
    <w:rsid w:val="00A173D4"/>
    <w:rsid w:val="00A1745B"/>
    <w:rsid w:val="00A26D2A"/>
    <w:rsid w:val="00A279AF"/>
    <w:rsid w:val="00A34704"/>
    <w:rsid w:val="00A4133B"/>
    <w:rsid w:val="00A63A2B"/>
    <w:rsid w:val="00A97777"/>
    <w:rsid w:val="00AA0126"/>
    <w:rsid w:val="00AA1519"/>
    <w:rsid w:val="00AC2517"/>
    <w:rsid w:val="00AC7A56"/>
    <w:rsid w:val="00AF17B8"/>
    <w:rsid w:val="00AF29D5"/>
    <w:rsid w:val="00B04B20"/>
    <w:rsid w:val="00B32186"/>
    <w:rsid w:val="00B55260"/>
    <w:rsid w:val="00B64B2E"/>
    <w:rsid w:val="00B66454"/>
    <w:rsid w:val="00B731B6"/>
    <w:rsid w:val="00B85B6E"/>
    <w:rsid w:val="00B8751A"/>
    <w:rsid w:val="00B87CBD"/>
    <w:rsid w:val="00B9154C"/>
    <w:rsid w:val="00BA5762"/>
    <w:rsid w:val="00BA6C50"/>
    <w:rsid w:val="00BB1678"/>
    <w:rsid w:val="00BC510C"/>
    <w:rsid w:val="00BD26FA"/>
    <w:rsid w:val="00BD6360"/>
    <w:rsid w:val="00BE2533"/>
    <w:rsid w:val="00BF2953"/>
    <w:rsid w:val="00C0015F"/>
    <w:rsid w:val="00C12832"/>
    <w:rsid w:val="00C1436B"/>
    <w:rsid w:val="00C15915"/>
    <w:rsid w:val="00C231A7"/>
    <w:rsid w:val="00C23F8F"/>
    <w:rsid w:val="00C302FA"/>
    <w:rsid w:val="00C3365D"/>
    <w:rsid w:val="00C80097"/>
    <w:rsid w:val="00C948AA"/>
    <w:rsid w:val="00CA4B41"/>
    <w:rsid w:val="00CA6CB3"/>
    <w:rsid w:val="00CA7768"/>
    <w:rsid w:val="00CB0B19"/>
    <w:rsid w:val="00CB384A"/>
    <w:rsid w:val="00CD1947"/>
    <w:rsid w:val="00CE3EF2"/>
    <w:rsid w:val="00D119F5"/>
    <w:rsid w:val="00D206BE"/>
    <w:rsid w:val="00D3484E"/>
    <w:rsid w:val="00D61C83"/>
    <w:rsid w:val="00D64906"/>
    <w:rsid w:val="00D71EDF"/>
    <w:rsid w:val="00D83531"/>
    <w:rsid w:val="00D870D4"/>
    <w:rsid w:val="00D87E36"/>
    <w:rsid w:val="00D912B0"/>
    <w:rsid w:val="00DA20E4"/>
    <w:rsid w:val="00DB5671"/>
    <w:rsid w:val="00DD6A63"/>
    <w:rsid w:val="00DF524E"/>
    <w:rsid w:val="00E1527E"/>
    <w:rsid w:val="00E15497"/>
    <w:rsid w:val="00E154A3"/>
    <w:rsid w:val="00E16789"/>
    <w:rsid w:val="00E200E4"/>
    <w:rsid w:val="00E201A8"/>
    <w:rsid w:val="00E37CEC"/>
    <w:rsid w:val="00E52DFE"/>
    <w:rsid w:val="00E61B19"/>
    <w:rsid w:val="00E62E09"/>
    <w:rsid w:val="00E63174"/>
    <w:rsid w:val="00E661FC"/>
    <w:rsid w:val="00E90C89"/>
    <w:rsid w:val="00E91EED"/>
    <w:rsid w:val="00EB0588"/>
    <w:rsid w:val="00EC5653"/>
    <w:rsid w:val="00ED246B"/>
    <w:rsid w:val="00F04A9E"/>
    <w:rsid w:val="00F06C0C"/>
    <w:rsid w:val="00F24C78"/>
    <w:rsid w:val="00F31894"/>
    <w:rsid w:val="00F436BC"/>
    <w:rsid w:val="00F7706D"/>
    <w:rsid w:val="00F80D3B"/>
    <w:rsid w:val="00F86382"/>
    <w:rsid w:val="00FA3A47"/>
    <w:rsid w:val="00FA5345"/>
    <w:rsid w:val="00FB0ADC"/>
    <w:rsid w:val="00FB5D7D"/>
    <w:rsid w:val="00FB6B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DA786F"/>
  <w15:docId w15:val="{C0FB5777-FAE9-4DAD-9663-3A9B7333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semiHidden/>
    <w:unhideWhenUsed/>
    <w:rsid w:val="002436BD"/>
    <w:rPr>
      <w:sz w:val="16"/>
      <w:szCs w:val="16"/>
    </w:rPr>
  </w:style>
  <w:style w:type="paragraph" w:styleId="CommentText">
    <w:name w:val="annotation text"/>
    <w:basedOn w:val="Normal"/>
    <w:link w:val="CommentTextChar"/>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317F6"/>
    <w:pPr>
      <w:tabs>
        <w:tab w:val="center" w:pos="4513"/>
        <w:tab w:val="right" w:pos="9026"/>
      </w:tabs>
    </w:pPr>
  </w:style>
  <w:style w:type="character" w:customStyle="1" w:styleId="HeaderChar">
    <w:name w:val="Header Char"/>
    <w:basedOn w:val="DefaultParagraphFont"/>
    <w:link w:val="Header"/>
    <w:uiPriority w:val="99"/>
    <w:rsid w:val="001317F6"/>
    <w:rPr>
      <w:rFonts w:ascii="Trebuchet MS" w:eastAsia="Times New Roman" w:hAnsi="Trebuchet MS"/>
      <w:sz w:val="22"/>
    </w:rPr>
  </w:style>
  <w:style w:type="paragraph" w:styleId="Footer">
    <w:name w:val="footer"/>
    <w:basedOn w:val="Normal"/>
    <w:link w:val="FooterChar"/>
    <w:uiPriority w:val="99"/>
    <w:unhideWhenUsed/>
    <w:rsid w:val="001317F6"/>
    <w:pPr>
      <w:tabs>
        <w:tab w:val="center" w:pos="4513"/>
        <w:tab w:val="right" w:pos="9026"/>
      </w:tabs>
    </w:pPr>
  </w:style>
  <w:style w:type="character" w:customStyle="1" w:styleId="FooterChar">
    <w:name w:val="Footer Char"/>
    <w:basedOn w:val="DefaultParagraphFont"/>
    <w:link w:val="Footer"/>
    <w:uiPriority w:val="99"/>
    <w:rsid w:val="001317F6"/>
    <w:rPr>
      <w:rFonts w:ascii="Trebuchet MS" w:eastAsia="Times New Roman" w:hAnsi="Trebuchet MS"/>
      <w:sz w:val="22"/>
    </w:rPr>
  </w:style>
  <w:style w:type="paragraph" w:styleId="BodyText2">
    <w:name w:val="Body Text 2"/>
    <w:basedOn w:val="Normal"/>
    <w:link w:val="BodyText2Char"/>
    <w:uiPriority w:val="99"/>
    <w:semiHidden/>
    <w:unhideWhenUsed/>
    <w:rsid w:val="00CA7768"/>
    <w:pPr>
      <w:spacing w:after="120" w:line="480" w:lineRule="auto"/>
    </w:pPr>
    <w:rPr>
      <w:rFonts w:ascii="Calibri" w:hAnsi="Calibri"/>
      <w:szCs w:val="22"/>
    </w:rPr>
  </w:style>
  <w:style w:type="character" w:customStyle="1" w:styleId="BodyText2Char">
    <w:name w:val="Body Text 2 Char"/>
    <w:basedOn w:val="DefaultParagraphFont"/>
    <w:link w:val="BodyText2"/>
    <w:uiPriority w:val="99"/>
    <w:semiHidden/>
    <w:rsid w:val="00CA776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74209">
      <w:bodyDiv w:val="1"/>
      <w:marLeft w:val="0"/>
      <w:marRight w:val="0"/>
      <w:marTop w:val="0"/>
      <w:marBottom w:val="0"/>
      <w:divBdr>
        <w:top w:val="none" w:sz="0" w:space="0" w:color="auto"/>
        <w:left w:val="none" w:sz="0" w:space="0" w:color="auto"/>
        <w:bottom w:val="none" w:sz="0" w:space="0" w:color="auto"/>
        <w:right w:val="none" w:sz="0" w:space="0" w:color="auto"/>
      </w:divBdr>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3337259">
      <w:bodyDiv w:val="1"/>
      <w:marLeft w:val="0"/>
      <w:marRight w:val="0"/>
      <w:marTop w:val="0"/>
      <w:marBottom w:val="0"/>
      <w:divBdr>
        <w:top w:val="none" w:sz="0" w:space="0" w:color="auto"/>
        <w:left w:val="none" w:sz="0" w:space="0" w:color="auto"/>
        <w:bottom w:val="none" w:sz="0" w:space="0" w:color="auto"/>
        <w:right w:val="none" w:sz="0" w:space="0" w:color="auto"/>
      </w:divBdr>
    </w:div>
    <w:div w:id="176155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new%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Explanatory statement</TermName>
          <TermId>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2018-01-08T13:00:00+00:00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(Collection of Data) (Reporting Standard) determination No 1 of 2018</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5JENXJJSCC7A-445999044-6184</_dlc_DocId>
    <_dlc_DocIdUrl xmlns="814d62cb-2db6-4c25-ab62-b9075facbc11">
      <Url>https://im/teams/LEGAL/_layouts/15/DocIdRedir.aspx?ID=5JENXJJSCC7A-445999044-6184</Url>
      <Description>5JENXJJSCC7A-445999044-6184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5EB3F-D12C-44C9-88EF-1174483A4407}">
  <ds:schemaRefs>
    <ds:schemaRef ds:uri="Microsoft.SharePoint.Taxonomy.ContentTypeSync"/>
  </ds:schemaRefs>
</ds:datastoreItem>
</file>

<file path=customXml/itemProps2.xml><?xml version="1.0" encoding="utf-8"?>
<ds:datastoreItem xmlns:ds="http://schemas.openxmlformats.org/officeDocument/2006/customXml" ds:itemID="{A7DF01BD-D742-4940-950B-777ACA5290D7}">
  <ds:schemaRefs>
    <ds:schemaRef ds:uri="http://schemas.microsoft.com/sharepoint/events"/>
  </ds:schemaRefs>
</ds:datastoreItem>
</file>

<file path=customXml/itemProps3.xml><?xml version="1.0" encoding="utf-8"?>
<ds:datastoreItem xmlns:ds="http://schemas.openxmlformats.org/officeDocument/2006/customXml" ds:itemID="{A41D8994-F9A7-47FE-A50D-D3CF2FB6C30A}">
  <ds:schemaRefs>
    <ds:schemaRef ds:uri="http://schemas.microsoft.com/sharepoint/v3/contenttype/forms"/>
  </ds:schemaRefs>
</ds:datastoreItem>
</file>

<file path=customXml/itemProps4.xml><?xml version="1.0" encoding="utf-8"?>
<ds:datastoreItem xmlns:ds="http://schemas.openxmlformats.org/officeDocument/2006/customXml" ds:itemID="{2B0EF4DD-92E4-49A4-B69B-233B421C50CF}">
  <ds:schemaRef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814d62cb-2db6-4c25-ab62-b9075facbc11"/>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1FAC3C4-0077-4193-B9EC-DA9589454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18E4BB-A667-405C-BF25-730616F6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new reporting standard (April 2016).dotx</Template>
  <TotalTime>1</TotalTime>
  <Pages>3</Pages>
  <Words>948</Words>
  <Characters>5113</Characters>
  <Application>Microsoft Office Word</Application>
  <DocSecurity>0</DocSecurity>
  <Lines>104</Lines>
  <Paragraphs>46</Paragraphs>
  <ScaleCrop>false</ScaleCrop>
  <HeadingPairs>
    <vt:vector size="2" baseType="variant">
      <vt:variant>
        <vt:lpstr>Title</vt:lpstr>
      </vt:variant>
      <vt:variant>
        <vt:i4>1</vt:i4>
      </vt:variant>
    </vt:vector>
  </HeadingPairs>
  <TitlesOfParts>
    <vt:vector size="1" baseType="lpstr">
      <vt:lpstr>ARS 760.0 ATO Collection for Major Bank Levy Act 2017 Explanatory Statement</vt:lpstr>
    </vt:vector>
  </TitlesOfParts>
  <Company>APRA</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Financial Sector (Collection of Data) (Reporting Standard) determination No 1 of 2018</dc:title>
  <dc:creator>Sullivan, David</dc:creator>
  <cp:keywords>[SEC=UNCLASSIFIED]</cp:keywords>
  <cp:lastModifiedBy>Toni Michalis</cp:lastModifiedBy>
  <cp:revision>2</cp:revision>
  <cp:lastPrinted>2012-11-13T01:53:00Z</cp:lastPrinted>
  <dcterms:created xsi:type="dcterms:W3CDTF">2018-01-09T21:15:00Z</dcterms:created>
  <dcterms:modified xsi:type="dcterms:W3CDTF">2018-01-09T21:15:00Z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
  </property>
  <property fmtid="{D5CDD505-2E9C-101B-9397-08002B2CF9AE}" pid="3" name="PM_ProtectiveMarkingValue_Footer">
    <vt:lpwstr>UNCLASSIFIED</vt:lpwstr>
  </property>
  <property fmtid="{D5CDD505-2E9C-101B-9397-08002B2CF9AE}" pid="4" name="PM_Caveats_Count">
    <vt:lpwstr>0</vt:lpwstr>
  </property>
  <property fmtid="{D5CDD505-2E9C-101B-9397-08002B2CF9AE}" pid="5" name="PM_Originator_Hash_SHA1">
    <vt:lpwstr>C3AD57350F36D8E1BD75F8F67CB06D435C9C43CA</vt:lpwstr>
  </property>
  <property fmtid="{D5CDD505-2E9C-101B-9397-08002B2CF9AE}" pid="6" name="PM_SecurityClassification">
    <vt:lpwstr>UNCLASSIFIED</vt:lpwstr>
  </property>
  <property fmtid="{D5CDD505-2E9C-101B-9397-08002B2CF9AE}" pid="7" name="PM_DisplayValueSecClassificationWithQualifier">
    <vt:lpwstr>UNCLASSIFIED</vt:lpwstr>
  </property>
  <property fmtid="{D5CDD505-2E9C-101B-9397-08002B2CF9AE}" pid="8" name="PM_Qualifier">
    <vt:lpwstr/>
  </property>
  <property fmtid="{D5CDD505-2E9C-101B-9397-08002B2CF9AE}" pid="9" name="PM_InsertionValue">
    <vt:lpwstr>UNCLASSIFIED</vt:lpwstr>
  </property>
  <property fmtid="{D5CDD505-2E9C-101B-9397-08002B2CF9AE}" pid="10" name="PM_ProtectiveMarkingValue_Header">
    <vt:lpwstr>UNCLASSIFIED</vt:lpwstr>
  </property>
  <property fmtid="{D5CDD505-2E9C-101B-9397-08002B2CF9AE}" pid="11" name="PM_Hash_SHA1">
    <vt:lpwstr>31C0CBA12DCC7AC956CB93D2E64971F28EFF6F15</vt:lpwstr>
  </property>
  <property fmtid="{D5CDD505-2E9C-101B-9397-08002B2CF9AE}" pid="12" name="PM_ProtectiveMarkingImage_Header">
    <vt:lpwstr>C:\Program Files (x86)\Common Files\janusNET Shared\janusSEAL\Images\DocumentSlashBlue.png</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2012.3</vt:lpwstr>
  </property>
  <property fmtid="{D5CDD505-2E9C-101B-9397-08002B2CF9AE}" pid="16" name="PM_Originating_FileId">
    <vt:lpwstr>8A8859C22A3D4A74A0EC00D748194087</vt:lpwstr>
  </property>
  <property fmtid="{D5CDD505-2E9C-101B-9397-08002B2CF9AE}" pid="17" name="PM_OriginationTimeStamp">
    <vt:lpwstr>2018-01-09T21:14:52Z</vt:lpwstr>
  </property>
  <property fmtid="{D5CDD505-2E9C-101B-9397-08002B2CF9AE}" pid="18" name="PM_Hash_Version">
    <vt:lpwstr>2016.1</vt:lpwstr>
  </property>
  <property fmtid="{D5CDD505-2E9C-101B-9397-08002B2CF9AE}" pid="19" name="PM_Hash_Salt_Prev">
    <vt:lpwstr>DAC95BDDCA2EDE0C1B37233A09626B53</vt:lpwstr>
  </property>
  <property fmtid="{D5CDD505-2E9C-101B-9397-08002B2CF9AE}" pid="20" name="PM_Hash_Salt">
    <vt:lpwstr>2F1049D8ACCFD25504410EEEBC632970</vt:lpwstr>
  </property>
  <property fmtid="{D5CDD505-2E9C-101B-9397-08002B2CF9AE}" pid="21" name="ContentTypeId">
    <vt:lpwstr>0x0101008CA7A4F8331B45C7B0D3158B4994D0CA0200577EC0F5A1FBFC498F9A8436B963F8A6</vt:lpwstr>
  </property>
  <property fmtid="{D5CDD505-2E9C-101B-9397-08002B2CF9AE}" pid="22" name="APRAExternalOrganisation">
    <vt:lpwstr/>
  </property>
  <property fmtid="{D5CDD505-2E9C-101B-9397-08002B2CF9AE}" pid="23" name="APRAIRTR">
    <vt:lpwstr/>
  </property>
  <property fmtid="{D5CDD505-2E9C-101B-9397-08002B2CF9AE}" pid="24" name="APRAPeriod">
    <vt:lpwstr/>
  </property>
  <property fmtid="{D5CDD505-2E9C-101B-9397-08002B2CF9AE}" pid="25"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Corporate and Resolution|696624b1-19f4-47b2-a07b-57868a922a96</vt:lpwstr>
  </property>
  <property fmtid="{D5CDD505-2E9C-101B-9397-08002B2CF9AE}" pid="26" name="IT system type">
    <vt:lpwstr/>
  </property>
  <property fmtid="{D5CDD505-2E9C-101B-9397-08002B2CF9AE}" pid="27" name="APRACategory">
    <vt:lpwstr/>
  </property>
  <property fmtid="{D5CDD505-2E9C-101B-9397-08002B2CF9AE}" pid="28" name="APRAPRSG">
    <vt:lpwstr/>
  </property>
  <property fmtid="{D5CDD505-2E9C-101B-9397-08002B2CF9AE}" pid="29" name="APRADocumentType">
    <vt:lpwstr>234;#Explanatory statement|b22f2e2f-3f73-411b-9a7c-34264d26fa25</vt:lpwstr>
  </property>
  <property fmtid="{D5CDD505-2E9C-101B-9397-08002B2CF9AE}" pid="30" name="APRAStatus">
    <vt:lpwstr>19;#Final|84d6b2d0-8498-4d62-bf46-bab38babbe9e</vt:lpwstr>
  </property>
  <property fmtid="{D5CDD505-2E9C-101B-9397-08002B2CF9AE}" pid="31" name="APRAActivity">
    <vt:lpwstr>10;#Registration|390476ce-d76d-4e8d-905f-28e32d2df127;#109;#Statutory instrument|fe68928c-5a9c-4caf-bc8c-6c18cedcb17f</vt:lpwstr>
  </property>
  <property fmtid="{D5CDD505-2E9C-101B-9397-08002B2CF9AE}" pid="32" name="APRAEntityAdviceSupport">
    <vt:lpwstr/>
  </property>
  <property fmtid="{D5CDD505-2E9C-101B-9397-08002B2CF9AE}" pid="33" name="APRALegislation">
    <vt:lpwstr/>
  </property>
  <property fmtid="{D5CDD505-2E9C-101B-9397-08002B2CF9AE}" pid="34" name="APRAYear">
    <vt:lpwstr>171;#2018|337d548e-be9a-4363-bbb3-ec2b7c3daa90</vt:lpwstr>
  </property>
  <property fmtid="{D5CDD505-2E9C-101B-9397-08002B2CF9AE}" pid="35" name="APRAIndustry">
    <vt:lpwstr/>
  </property>
  <property fmtid="{D5CDD505-2E9C-101B-9397-08002B2CF9AE}" pid="36" name="_dlc_DocIdItemGuid">
    <vt:lpwstr>99e0fd3a-55b6-4ab9-ad76-97a587bd4798</vt:lpwstr>
  </property>
  <property fmtid="{D5CDD505-2E9C-101B-9397-08002B2CF9AE}" pid="37" name="RecordPoint_WorkflowType">
    <vt:lpwstr>ActiveSubmitStub</vt:lpwstr>
  </property>
  <property fmtid="{D5CDD505-2E9C-101B-9397-08002B2CF9AE}" pid="38" name="RecordPoint_ActiveItemWebId">
    <vt:lpwstr>{75a71c27-8d66-4282-ae60-1bfc22a83be1}</vt:lpwstr>
  </property>
  <property fmtid="{D5CDD505-2E9C-101B-9397-08002B2CF9AE}" pid="39" name="RecordPoint_ActiveItemSiteId">
    <vt:lpwstr>{88691c01-5bbb-4215-adc0-66cb7065b0af}</vt:lpwstr>
  </property>
  <property fmtid="{D5CDD505-2E9C-101B-9397-08002B2CF9AE}" pid="40" name="RecordPoint_ActiveItemListId">
    <vt:lpwstr>{0e59e171-09d8-4401-800a-327154450cb3}</vt:lpwstr>
  </property>
  <property fmtid="{D5CDD505-2E9C-101B-9397-08002B2CF9AE}" pid="41" name="RecordPoint_ActiveItemUniqueId">
    <vt:lpwstr>{99e0fd3a-55b6-4ab9-ad76-97a587bd4798}</vt:lpwstr>
  </property>
  <property fmtid="{D5CDD505-2E9C-101B-9397-08002B2CF9AE}" pid="42" name="IsLocked">
    <vt:lpwstr>False</vt:lpwstr>
  </property>
  <property fmtid="{D5CDD505-2E9C-101B-9397-08002B2CF9AE}" pid="43" name="RecordPoint_SubmissionCompleted">
    <vt:lpwstr/>
  </property>
  <property fmtid="{D5CDD505-2E9C-101B-9397-08002B2CF9AE}" pid="44" name="RecordPoint_RecordNumberSubmitted">
    <vt:lpwstr/>
  </property>
  <property fmtid="{D5CDD505-2E9C-101B-9397-08002B2CF9AE}" pid="45" name="PM_SecurityClassification_Prev">
    <vt:lpwstr>UNCLASSIFIED</vt:lpwstr>
  </property>
  <property fmtid="{D5CDD505-2E9C-101B-9397-08002B2CF9AE}" pid="46" name="PM_Qualifier_Prev">
    <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