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rsidR="005D1ABF" w:rsidRPr="005D1ABF" w:rsidRDefault="005D1ABF" w:rsidP="005D1ABF">
      <w:pPr>
        <w:spacing w:after="0" w:line="240" w:lineRule="auto"/>
        <w:jc w:val="center"/>
        <w:rPr>
          <w:rFonts w:ascii="Times New Roman" w:hAnsi="Times New Roman" w:cs="Times New Roman"/>
          <w:b/>
          <w:caps/>
          <w:sz w:val="24"/>
          <w:szCs w:val="24"/>
          <w:u w:val="single"/>
        </w:rPr>
      </w:pPr>
    </w:p>
    <w:p w:rsidR="007608B8" w:rsidRPr="00BD68AE" w:rsidRDefault="007608B8" w:rsidP="007608B8">
      <w:pPr>
        <w:spacing w:after="0" w:line="240" w:lineRule="auto"/>
        <w:jc w:val="center"/>
        <w:rPr>
          <w:rFonts w:ascii="Times New Roman" w:hAnsi="Times New Roman" w:cs="Times New Roman"/>
          <w:sz w:val="24"/>
          <w:szCs w:val="24"/>
          <w:u w:val="single"/>
        </w:rPr>
      </w:pPr>
      <w:r w:rsidRPr="00E45139">
        <w:rPr>
          <w:rFonts w:ascii="Times New Roman" w:hAnsi="Times New Roman" w:cs="Times New Roman"/>
          <w:sz w:val="24"/>
          <w:szCs w:val="24"/>
          <w:u w:val="single"/>
        </w:rPr>
        <w:t xml:space="preserve">Issued by Authority of the </w:t>
      </w:r>
      <w:r w:rsidR="00E45139">
        <w:rPr>
          <w:rFonts w:ascii="Times New Roman" w:hAnsi="Times New Roman" w:cs="Times New Roman"/>
          <w:sz w:val="24"/>
          <w:szCs w:val="24"/>
          <w:u w:val="single"/>
        </w:rPr>
        <w:t>Deputy Prime Minister</w:t>
      </w:r>
      <w:r w:rsidR="00450428">
        <w:rPr>
          <w:rFonts w:ascii="Times New Roman" w:hAnsi="Times New Roman" w:cs="Times New Roman"/>
          <w:sz w:val="24"/>
          <w:szCs w:val="24"/>
          <w:u w:val="single"/>
        </w:rPr>
        <w:t xml:space="preserve"> and </w:t>
      </w:r>
      <w:r w:rsidR="00450428" w:rsidRPr="00E45139">
        <w:rPr>
          <w:rFonts w:ascii="Times New Roman" w:hAnsi="Times New Roman" w:cs="Times New Roman"/>
          <w:sz w:val="24"/>
          <w:szCs w:val="24"/>
          <w:u w:val="single"/>
        </w:rPr>
        <w:t>Minister for Agriculture and Water Resources</w:t>
      </w:r>
    </w:p>
    <w:p w:rsidR="002B1DB3" w:rsidRPr="005D1ABF" w:rsidRDefault="002B1DB3" w:rsidP="005D1ABF">
      <w:pPr>
        <w:spacing w:after="0" w:line="240" w:lineRule="auto"/>
        <w:jc w:val="center"/>
        <w:rPr>
          <w:rFonts w:ascii="Times New Roman" w:hAnsi="Times New Roman" w:cs="Times New Roman"/>
          <w:sz w:val="24"/>
          <w:szCs w:val="24"/>
        </w:rPr>
      </w:pPr>
    </w:p>
    <w:p w:rsidR="007608B8" w:rsidRPr="00450428" w:rsidRDefault="007608B8" w:rsidP="007608B8">
      <w:pPr>
        <w:spacing w:after="0" w:line="240" w:lineRule="auto"/>
        <w:jc w:val="center"/>
        <w:rPr>
          <w:rFonts w:ascii="Times New Roman" w:hAnsi="Times New Roman" w:cs="Times New Roman"/>
          <w:snapToGrid w:val="0"/>
          <w:sz w:val="24"/>
          <w:szCs w:val="24"/>
        </w:rPr>
      </w:pPr>
      <w:r w:rsidRPr="00450428">
        <w:rPr>
          <w:rFonts w:ascii="Times New Roman" w:hAnsi="Times New Roman" w:cs="Times New Roman"/>
          <w:i/>
          <w:snapToGrid w:val="0"/>
          <w:sz w:val="24"/>
          <w:szCs w:val="24"/>
        </w:rPr>
        <w:t xml:space="preserve">Water Act 2007 </w:t>
      </w:r>
    </w:p>
    <w:p w:rsidR="002B1DB3" w:rsidRPr="00450428" w:rsidRDefault="002B1DB3" w:rsidP="005D1ABF">
      <w:pPr>
        <w:spacing w:after="0" w:line="240" w:lineRule="auto"/>
        <w:jc w:val="center"/>
        <w:rPr>
          <w:rFonts w:ascii="Times New Roman" w:hAnsi="Times New Roman" w:cs="Times New Roman"/>
          <w:sz w:val="24"/>
          <w:szCs w:val="24"/>
        </w:rPr>
      </w:pPr>
    </w:p>
    <w:p w:rsidR="007608B8" w:rsidRPr="00450428" w:rsidRDefault="007608B8" w:rsidP="007608B8">
      <w:pPr>
        <w:spacing w:after="0" w:line="240" w:lineRule="auto"/>
        <w:jc w:val="center"/>
        <w:rPr>
          <w:rFonts w:ascii="Times New Roman" w:hAnsi="Times New Roman" w:cs="Times New Roman"/>
          <w:i/>
          <w:sz w:val="24"/>
          <w:szCs w:val="24"/>
        </w:rPr>
      </w:pPr>
      <w:r w:rsidRPr="00450428">
        <w:rPr>
          <w:rFonts w:ascii="Times New Roman" w:hAnsi="Times New Roman" w:cs="Times New Roman"/>
          <w:i/>
          <w:sz w:val="24"/>
          <w:szCs w:val="24"/>
        </w:rPr>
        <w:t>Basin Plan Amendment (SDL Adjustments) Instrument 2017</w:t>
      </w:r>
    </w:p>
    <w:p w:rsidR="007608B8" w:rsidRPr="0081301F" w:rsidRDefault="007608B8" w:rsidP="007608B8">
      <w:pPr>
        <w:spacing w:after="0" w:line="240" w:lineRule="auto"/>
        <w:jc w:val="center"/>
        <w:rPr>
          <w:rFonts w:ascii="Times New Roman" w:hAnsi="Times New Roman" w:cs="Times New Roman"/>
          <w:sz w:val="24"/>
        </w:rPr>
      </w:pPr>
    </w:p>
    <w:p w:rsidR="00D03BEA" w:rsidRDefault="0081301F" w:rsidP="0081301F">
      <w:pPr>
        <w:shd w:val="clear" w:color="auto" w:fill="FFFFFF"/>
        <w:spacing w:after="0" w:line="240" w:lineRule="auto"/>
        <w:rPr>
          <w:rFonts w:ascii="Times New Roman" w:hAnsi="Times New Roman" w:cs="Times New Roman"/>
          <w:sz w:val="24"/>
        </w:rPr>
      </w:pPr>
      <w:r w:rsidRPr="0081301F">
        <w:rPr>
          <w:rFonts w:ascii="Times New Roman" w:hAnsi="Times New Roman" w:cs="Times New Roman"/>
          <w:sz w:val="24"/>
        </w:rPr>
        <w:t xml:space="preserve">The </w:t>
      </w:r>
      <w:r w:rsidRPr="0081301F">
        <w:rPr>
          <w:rFonts w:ascii="Times New Roman" w:hAnsi="Times New Roman" w:cs="Times New Roman"/>
          <w:i/>
          <w:sz w:val="24"/>
        </w:rPr>
        <w:t>Basin Plan 2012</w:t>
      </w:r>
      <w:r w:rsidRPr="0081301F">
        <w:rPr>
          <w:rFonts w:ascii="Times New Roman" w:hAnsi="Times New Roman" w:cs="Times New Roman"/>
          <w:sz w:val="24"/>
        </w:rPr>
        <w:t xml:space="preserve"> (the Basin Plan) provides for the integrated management of </w:t>
      </w:r>
      <w:r w:rsidR="007926F6">
        <w:rPr>
          <w:rFonts w:ascii="Times New Roman" w:hAnsi="Times New Roman" w:cs="Times New Roman"/>
          <w:sz w:val="24"/>
        </w:rPr>
        <w:t xml:space="preserve">the </w:t>
      </w:r>
      <w:r w:rsidRPr="0081301F">
        <w:rPr>
          <w:rFonts w:ascii="Times New Roman" w:hAnsi="Times New Roman" w:cs="Times New Roman"/>
          <w:sz w:val="24"/>
        </w:rPr>
        <w:t xml:space="preserve">Murray-Darling Basin water resources in a way that promotes the objects of the </w:t>
      </w:r>
      <w:r w:rsidRPr="0081301F">
        <w:rPr>
          <w:rFonts w:ascii="Times New Roman" w:hAnsi="Times New Roman" w:cs="Times New Roman"/>
          <w:i/>
          <w:sz w:val="24"/>
        </w:rPr>
        <w:t>Water Act 2007</w:t>
      </w:r>
      <w:r w:rsidRPr="0081301F">
        <w:rPr>
          <w:rFonts w:ascii="Times New Roman" w:hAnsi="Times New Roman" w:cs="Times New Roman"/>
          <w:sz w:val="24"/>
        </w:rPr>
        <w:t xml:space="preserve"> (the Water Act)</w:t>
      </w:r>
      <w:r w:rsidR="00873A3F">
        <w:rPr>
          <w:rFonts w:ascii="Times New Roman" w:hAnsi="Times New Roman" w:cs="Times New Roman"/>
          <w:sz w:val="24"/>
        </w:rPr>
        <w:t>.</w:t>
      </w:r>
      <w:r w:rsidR="007752E9">
        <w:rPr>
          <w:rFonts w:ascii="Times New Roman" w:hAnsi="Times New Roman" w:cs="Times New Roman"/>
          <w:sz w:val="24"/>
        </w:rPr>
        <w:t xml:space="preserve"> </w:t>
      </w:r>
    </w:p>
    <w:p w:rsidR="004C5262" w:rsidRDefault="004C5262" w:rsidP="00DE43CB">
      <w:pPr>
        <w:pStyle w:val="Normal-em"/>
        <w:spacing w:after="0" w:line="240" w:lineRule="auto"/>
        <w:rPr>
          <w:szCs w:val="24"/>
        </w:rPr>
      </w:pPr>
    </w:p>
    <w:p w:rsidR="004C5262" w:rsidRPr="00202A40" w:rsidRDefault="004C5262" w:rsidP="004C5262">
      <w:pPr>
        <w:shd w:val="clear" w:color="auto" w:fill="FFFFFF"/>
        <w:spacing w:after="0" w:line="240" w:lineRule="auto"/>
        <w:rPr>
          <w:rFonts w:ascii="Times New Roman" w:hAnsi="Times New Roman" w:cs="Times New Roman"/>
          <w:b/>
          <w:sz w:val="24"/>
        </w:rPr>
      </w:pPr>
      <w:r w:rsidRPr="00202A40">
        <w:rPr>
          <w:rFonts w:ascii="Times New Roman" w:hAnsi="Times New Roman" w:cs="Times New Roman"/>
          <w:b/>
          <w:sz w:val="24"/>
        </w:rPr>
        <w:t>Background</w:t>
      </w:r>
    </w:p>
    <w:p w:rsidR="004C5262" w:rsidRDefault="004C5262" w:rsidP="00DE43CB">
      <w:pPr>
        <w:pStyle w:val="Normal-em"/>
        <w:spacing w:after="0" w:line="240" w:lineRule="auto"/>
        <w:rPr>
          <w:szCs w:val="24"/>
        </w:rPr>
      </w:pPr>
    </w:p>
    <w:p w:rsidR="00000645" w:rsidRDefault="00DE43CB" w:rsidP="00435A8F">
      <w:pPr>
        <w:pStyle w:val="Normal-em"/>
        <w:spacing w:after="0" w:line="240" w:lineRule="auto"/>
        <w:rPr>
          <w:szCs w:val="24"/>
        </w:rPr>
      </w:pPr>
      <w:r>
        <w:rPr>
          <w:szCs w:val="24"/>
        </w:rPr>
        <w:t xml:space="preserve">The Basin Plan sets long-term average </w:t>
      </w:r>
      <w:r w:rsidR="00000645">
        <w:rPr>
          <w:szCs w:val="24"/>
        </w:rPr>
        <w:t>s</w:t>
      </w:r>
      <w:r w:rsidR="00D65D5C">
        <w:rPr>
          <w:szCs w:val="24"/>
        </w:rPr>
        <w:t xml:space="preserve">ustainable </w:t>
      </w:r>
      <w:r w:rsidR="00000645">
        <w:rPr>
          <w:szCs w:val="24"/>
        </w:rPr>
        <w:t>d</w:t>
      </w:r>
      <w:r w:rsidR="00D65D5C">
        <w:rPr>
          <w:szCs w:val="24"/>
        </w:rPr>
        <w:t xml:space="preserve">iversion </w:t>
      </w:r>
      <w:r w:rsidR="00000645">
        <w:rPr>
          <w:szCs w:val="24"/>
        </w:rPr>
        <w:t>l</w:t>
      </w:r>
      <w:r w:rsidR="00D65D5C">
        <w:rPr>
          <w:szCs w:val="24"/>
        </w:rPr>
        <w:t>imits (</w:t>
      </w:r>
      <w:r>
        <w:rPr>
          <w:szCs w:val="24"/>
        </w:rPr>
        <w:t>SDLs</w:t>
      </w:r>
      <w:r w:rsidR="00D65D5C">
        <w:rPr>
          <w:szCs w:val="24"/>
        </w:rPr>
        <w:t>)</w:t>
      </w:r>
      <w:r>
        <w:rPr>
          <w:szCs w:val="24"/>
        </w:rPr>
        <w:t xml:space="preserve"> to provide for a healthy river system while ensuring that the communities and industries that rely on Basin water resources remain productive into the future.</w:t>
      </w:r>
      <w:r w:rsidR="00D0290F">
        <w:rPr>
          <w:szCs w:val="24"/>
        </w:rPr>
        <w:t xml:space="preserve"> The SDLs take effect on 1 July 2019. </w:t>
      </w:r>
      <w:r>
        <w:rPr>
          <w:szCs w:val="24"/>
        </w:rPr>
        <w:t xml:space="preserve"> </w:t>
      </w:r>
    </w:p>
    <w:p w:rsidR="00000645" w:rsidRDefault="00000645" w:rsidP="00435A8F">
      <w:pPr>
        <w:pStyle w:val="Normal-em"/>
        <w:spacing w:after="0" w:line="240" w:lineRule="auto"/>
        <w:rPr>
          <w:szCs w:val="24"/>
        </w:rPr>
      </w:pPr>
    </w:p>
    <w:p w:rsidR="00A87DB6" w:rsidRPr="00B074A0" w:rsidRDefault="00A87DB6" w:rsidP="00A87DB6">
      <w:pPr>
        <w:pStyle w:val="Normal-em"/>
        <w:spacing w:after="0" w:line="240" w:lineRule="auto"/>
        <w:rPr>
          <w:szCs w:val="24"/>
        </w:rPr>
      </w:pPr>
      <w:r w:rsidRPr="00B074A0">
        <w:rPr>
          <w:szCs w:val="24"/>
        </w:rPr>
        <w:t xml:space="preserve">The Basin Plan and the Water Act set out the processes to be followed and the criteria to be applied in determining </w:t>
      </w:r>
      <w:r>
        <w:rPr>
          <w:szCs w:val="24"/>
        </w:rPr>
        <w:t>an</w:t>
      </w:r>
      <w:r w:rsidRPr="00B074A0">
        <w:rPr>
          <w:szCs w:val="24"/>
        </w:rPr>
        <w:t xml:space="preserve"> SDL adjustment</w:t>
      </w:r>
      <w:r>
        <w:rPr>
          <w:szCs w:val="24"/>
        </w:rPr>
        <w:t xml:space="preserve"> in 2017</w:t>
      </w:r>
      <w:r w:rsidRPr="00B074A0">
        <w:rPr>
          <w:szCs w:val="24"/>
        </w:rPr>
        <w:t>.</w:t>
      </w:r>
    </w:p>
    <w:p w:rsidR="00A87DB6" w:rsidRDefault="00A87DB6" w:rsidP="00A87DB6">
      <w:pPr>
        <w:pStyle w:val="Normal-em"/>
        <w:spacing w:after="0" w:line="240" w:lineRule="auto"/>
        <w:rPr>
          <w:szCs w:val="24"/>
        </w:rPr>
      </w:pPr>
    </w:p>
    <w:p w:rsidR="00A87DB6" w:rsidRDefault="00A87DB6" w:rsidP="00A87DB6">
      <w:pPr>
        <w:pStyle w:val="Normal-em"/>
        <w:spacing w:after="0" w:line="240" w:lineRule="auto"/>
        <w:rPr>
          <w:szCs w:val="24"/>
        </w:rPr>
      </w:pPr>
      <w:r>
        <w:rPr>
          <w:szCs w:val="24"/>
        </w:rPr>
        <w:t xml:space="preserve">The Basin Plan requires that any adjustment </w:t>
      </w:r>
      <w:r w:rsidR="00FF5A2A">
        <w:rPr>
          <w:szCs w:val="24"/>
        </w:rPr>
        <w:t xml:space="preserve">to the SDLs </w:t>
      </w:r>
      <w:r>
        <w:rPr>
          <w:szCs w:val="24"/>
        </w:rPr>
        <w:t>under this mechanism will maintain or improve environmental</w:t>
      </w:r>
      <w:r w:rsidR="0055166D">
        <w:rPr>
          <w:szCs w:val="24"/>
        </w:rPr>
        <w:t>,</w:t>
      </w:r>
      <w:r>
        <w:rPr>
          <w:szCs w:val="24"/>
        </w:rPr>
        <w:t xml:space="preserve"> </w:t>
      </w:r>
      <w:r w:rsidRPr="00435A8F">
        <w:rPr>
          <w:szCs w:val="24"/>
        </w:rPr>
        <w:t>social and economic outcomes</w:t>
      </w:r>
      <w:r>
        <w:rPr>
          <w:szCs w:val="24"/>
        </w:rPr>
        <w:t>. All Basin State jurisdictions and the Murray-Darling Basin Authority (the Authority) agreed in 2012 that this mechanism was desirable.</w:t>
      </w:r>
    </w:p>
    <w:p w:rsidR="00000645" w:rsidRDefault="00000645" w:rsidP="00435A8F">
      <w:pPr>
        <w:pStyle w:val="Normal-em"/>
        <w:spacing w:after="0" w:line="240" w:lineRule="auto"/>
        <w:rPr>
          <w:szCs w:val="24"/>
        </w:rPr>
      </w:pPr>
    </w:p>
    <w:p w:rsidR="007926F6" w:rsidRDefault="00000645" w:rsidP="00DE43CB">
      <w:pPr>
        <w:pStyle w:val="Normal-em"/>
        <w:spacing w:after="0" w:line="240" w:lineRule="auto"/>
        <w:rPr>
          <w:szCs w:val="24"/>
        </w:rPr>
      </w:pPr>
      <w:r>
        <w:rPr>
          <w:szCs w:val="24"/>
        </w:rPr>
        <w:t>The SDL adjustment mechanism enables the Basin</w:t>
      </w:r>
      <w:r>
        <w:rPr>
          <w:szCs w:val="24"/>
        </w:rPr>
        <w:noBreakHyphen/>
        <w:t xml:space="preserve">wide SDL for surface water to be changed </w:t>
      </w:r>
      <w:r w:rsidR="00435A8F">
        <w:rPr>
          <w:szCs w:val="24"/>
        </w:rPr>
        <w:t xml:space="preserve">to </w:t>
      </w:r>
      <w:r w:rsidR="00435A8F" w:rsidRPr="00435A8F">
        <w:rPr>
          <w:szCs w:val="24"/>
        </w:rPr>
        <w:t>reflect the measures that</w:t>
      </w:r>
      <w:r w:rsidR="00C21208">
        <w:rPr>
          <w:szCs w:val="24"/>
        </w:rPr>
        <w:t xml:space="preserve"> operate both to </w:t>
      </w:r>
      <w:r w:rsidR="00435A8F" w:rsidRPr="00435A8F">
        <w:rPr>
          <w:szCs w:val="24"/>
        </w:rPr>
        <w:t xml:space="preserve">increase the </w:t>
      </w:r>
      <w:r w:rsidR="00C21208">
        <w:rPr>
          <w:szCs w:val="24"/>
        </w:rPr>
        <w:t xml:space="preserve">quantity </w:t>
      </w:r>
      <w:r w:rsidR="00435A8F" w:rsidRPr="00435A8F">
        <w:rPr>
          <w:szCs w:val="24"/>
        </w:rPr>
        <w:t>of water</w:t>
      </w:r>
      <w:r w:rsidR="00C21208">
        <w:rPr>
          <w:szCs w:val="24"/>
        </w:rPr>
        <w:t xml:space="preserve"> available to be taken</w:t>
      </w:r>
      <w:r w:rsidR="00435A8F" w:rsidRPr="00435A8F">
        <w:rPr>
          <w:szCs w:val="24"/>
        </w:rPr>
        <w:t xml:space="preserve"> (</w:t>
      </w:r>
      <w:r w:rsidR="00435A8F">
        <w:rPr>
          <w:szCs w:val="24"/>
        </w:rPr>
        <w:t>‘</w:t>
      </w:r>
      <w:r w:rsidR="00435A8F" w:rsidRPr="00435A8F">
        <w:rPr>
          <w:szCs w:val="24"/>
        </w:rPr>
        <w:t>supply m</w:t>
      </w:r>
      <w:r w:rsidR="00435A8F">
        <w:rPr>
          <w:szCs w:val="24"/>
        </w:rPr>
        <w:t>easures’</w:t>
      </w:r>
      <w:r w:rsidR="00435A8F" w:rsidRPr="00435A8F">
        <w:rPr>
          <w:szCs w:val="24"/>
        </w:rPr>
        <w:t xml:space="preserve">) </w:t>
      </w:r>
      <w:r w:rsidR="00C21208">
        <w:rPr>
          <w:szCs w:val="24"/>
        </w:rPr>
        <w:t>and to enhance environmental outcomes</w:t>
      </w:r>
      <w:r w:rsidR="00435A8F">
        <w:rPr>
          <w:szCs w:val="24"/>
        </w:rPr>
        <w:t xml:space="preserve"> (‘efficiency measures’</w:t>
      </w:r>
      <w:r w:rsidR="00435A8F" w:rsidRPr="00435A8F">
        <w:rPr>
          <w:szCs w:val="24"/>
        </w:rPr>
        <w:t xml:space="preserve">). </w:t>
      </w:r>
      <w:r>
        <w:rPr>
          <w:szCs w:val="24"/>
        </w:rPr>
        <w:t xml:space="preserve">Supply </w:t>
      </w:r>
      <w:proofErr w:type="gramStart"/>
      <w:r>
        <w:rPr>
          <w:szCs w:val="24"/>
        </w:rPr>
        <w:t>measures</w:t>
      </w:r>
      <w:proofErr w:type="gramEnd"/>
      <w:r>
        <w:rPr>
          <w:szCs w:val="24"/>
        </w:rPr>
        <w:t xml:space="preserve"> achieve environmental outcomes </w:t>
      </w:r>
      <w:r w:rsidR="00B9790F">
        <w:rPr>
          <w:szCs w:val="24"/>
        </w:rPr>
        <w:t xml:space="preserve">equivalent to those that were anticipated under the Basin Plan in 2012 </w:t>
      </w:r>
      <w:r>
        <w:rPr>
          <w:szCs w:val="24"/>
        </w:rPr>
        <w:t xml:space="preserve">with a lower volume of held environmental water </w:t>
      </w:r>
      <w:r w:rsidR="00046F76">
        <w:rPr>
          <w:szCs w:val="24"/>
        </w:rPr>
        <w:t xml:space="preserve">than </w:t>
      </w:r>
      <w:r>
        <w:rPr>
          <w:szCs w:val="24"/>
        </w:rPr>
        <w:t xml:space="preserve">would otherwise be required. </w:t>
      </w:r>
      <w:r w:rsidR="00A87DB6">
        <w:rPr>
          <w:szCs w:val="24"/>
        </w:rPr>
        <w:t xml:space="preserve">The effect of supply measures and their corresponding contribution is to increase the SDLs. </w:t>
      </w:r>
      <w:r>
        <w:rPr>
          <w:szCs w:val="24"/>
        </w:rPr>
        <w:t xml:space="preserve">Efficiency measures increase environmental outcomes while maintaining or improving social and economic outcomes. </w:t>
      </w:r>
      <w:r w:rsidR="00A87DB6">
        <w:rPr>
          <w:szCs w:val="24"/>
        </w:rPr>
        <w:t>The effect of efficiency measures and their corresponding contribution is to decrease the SDLs.</w:t>
      </w:r>
    </w:p>
    <w:p w:rsidR="007926F6" w:rsidRDefault="007926F6" w:rsidP="00DE43CB">
      <w:pPr>
        <w:pStyle w:val="Normal-em"/>
        <w:spacing w:after="0" w:line="240" w:lineRule="auto"/>
        <w:rPr>
          <w:szCs w:val="24"/>
        </w:rPr>
      </w:pPr>
    </w:p>
    <w:p w:rsidR="00AA7F1D" w:rsidRDefault="00D0290F" w:rsidP="00B074A0">
      <w:pPr>
        <w:pStyle w:val="Normal-em"/>
        <w:spacing w:after="0" w:line="240" w:lineRule="auto"/>
        <w:rPr>
          <w:szCs w:val="24"/>
        </w:rPr>
      </w:pPr>
      <w:r>
        <w:rPr>
          <w:szCs w:val="24"/>
        </w:rPr>
        <w:t xml:space="preserve">The maximum </w:t>
      </w:r>
      <w:r w:rsidR="00B9790F">
        <w:rPr>
          <w:szCs w:val="24"/>
        </w:rPr>
        <w:t xml:space="preserve">net </w:t>
      </w:r>
      <w:r>
        <w:rPr>
          <w:szCs w:val="24"/>
        </w:rPr>
        <w:t>adjustment</w:t>
      </w:r>
      <w:r w:rsidR="007C5D26">
        <w:rPr>
          <w:szCs w:val="24"/>
        </w:rPr>
        <w:t xml:space="preserve"> to the total surface water SDLs</w:t>
      </w:r>
      <w:r>
        <w:rPr>
          <w:szCs w:val="24"/>
        </w:rPr>
        <w:t xml:space="preserve"> permitted under these provisions is a net </w:t>
      </w:r>
      <w:r w:rsidR="00435A8F">
        <w:rPr>
          <w:szCs w:val="24"/>
        </w:rPr>
        <w:t>five per cent</w:t>
      </w:r>
      <w:r>
        <w:rPr>
          <w:szCs w:val="24"/>
        </w:rPr>
        <w:t xml:space="preserve"> adjustment.</w:t>
      </w:r>
      <w:r w:rsidR="00B074A0">
        <w:rPr>
          <w:szCs w:val="24"/>
        </w:rPr>
        <w:t xml:space="preserve"> </w:t>
      </w:r>
      <w:r w:rsidR="00602F30">
        <w:rPr>
          <w:szCs w:val="24"/>
        </w:rPr>
        <w:t xml:space="preserve">The net five per cent limit is calculated as five per cent of the total surface water SDL for the Basin water resources as it stood when the Basin Plan first took effect in 2012. The total surface water SDL for the Basin </w:t>
      </w:r>
      <w:r w:rsidR="00602F30" w:rsidRPr="00590687">
        <w:rPr>
          <w:szCs w:val="24"/>
        </w:rPr>
        <w:t>water resources at that time was estimated to be 10,873 GL, and the net five per cent limit is therefore 543 GL</w:t>
      </w:r>
      <w:r w:rsidR="00602F30">
        <w:rPr>
          <w:szCs w:val="24"/>
        </w:rPr>
        <w:t xml:space="preserve"> per year. </w:t>
      </w:r>
    </w:p>
    <w:p w:rsidR="00B138E3" w:rsidRDefault="00B138E3" w:rsidP="0081301F">
      <w:pPr>
        <w:shd w:val="clear" w:color="auto" w:fill="FFFFFF"/>
        <w:spacing w:after="0" w:line="240" w:lineRule="auto"/>
        <w:rPr>
          <w:rFonts w:ascii="Times New Roman" w:hAnsi="Times New Roman" w:cs="Times New Roman"/>
          <w:sz w:val="24"/>
        </w:rPr>
      </w:pPr>
    </w:p>
    <w:p w:rsidR="00435A8F" w:rsidRDefault="00E06468" w:rsidP="0081301F">
      <w:pPr>
        <w:shd w:val="clear" w:color="auto" w:fill="FFFFFF"/>
        <w:spacing w:after="0" w:line="240" w:lineRule="auto"/>
        <w:rPr>
          <w:rFonts w:ascii="Times New Roman" w:hAnsi="Times New Roman" w:cs="Times New Roman"/>
          <w:sz w:val="24"/>
        </w:rPr>
      </w:pPr>
      <w:r>
        <w:rPr>
          <w:rFonts w:ascii="Times New Roman" w:hAnsi="Times New Roman" w:cs="Times New Roman"/>
          <w:sz w:val="24"/>
        </w:rPr>
        <w:t>Section 7.12 of t</w:t>
      </w:r>
      <w:r w:rsidR="00FE64F7">
        <w:rPr>
          <w:rFonts w:ascii="Times New Roman" w:hAnsi="Times New Roman" w:cs="Times New Roman"/>
          <w:sz w:val="24"/>
        </w:rPr>
        <w:t xml:space="preserve">he Basin Plan provides for the Basin Officials Committee </w:t>
      </w:r>
      <w:r w:rsidR="00435A8F">
        <w:rPr>
          <w:rFonts w:ascii="Times New Roman" w:hAnsi="Times New Roman" w:cs="Times New Roman"/>
          <w:sz w:val="24"/>
        </w:rPr>
        <w:t xml:space="preserve">(the Committee) </w:t>
      </w:r>
      <w:r w:rsidR="00FE64F7">
        <w:rPr>
          <w:rFonts w:ascii="Times New Roman" w:hAnsi="Times New Roman" w:cs="Times New Roman"/>
          <w:sz w:val="24"/>
        </w:rPr>
        <w:t xml:space="preserve">to notify the Authority </w:t>
      </w:r>
      <w:r>
        <w:rPr>
          <w:rFonts w:ascii="Times New Roman" w:hAnsi="Times New Roman" w:cs="Times New Roman"/>
          <w:sz w:val="24"/>
        </w:rPr>
        <w:t>o</w:t>
      </w:r>
      <w:r w:rsidR="00F23672">
        <w:rPr>
          <w:rFonts w:ascii="Times New Roman" w:hAnsi="Times New Roman" w:cs="Times New Roman"/>
          <w:sz w:val="24"/>
        </w:rPr>
        <w:t>f supply and efficiency measures that t</w:t>
      </w:r>
      <w:r>
        <w:rPr>
          <w:rFonts w:ascii="Times New Roman" w:hAnsi="Times New Roman" w:cs="Times New Roman"/>
          <w:sz w:val="24"/>
        </w:rPr>
        <w:t xml:space="preserve">he Committee </w:t>
      </w:r>
      <w:r w:rsidR="00D95A81">
        <w:rPr>
          <w:rFonts w:ascii="Times New Roman" w:hAnsi="Times New Roman" w:cs="Times New Roman"/>
          <w:sz w:val="24"/>
        </w:rPr>
        <w:t xml:space="preserve">considers </w:t>
      </w:r>
      <w:r>
        <w:rPr>
          <w:rFonts w:ascii="Times New Roman" w:hAnsi="Times New Roman" w:cs="Times New Roman"/>
          <w:sz w:val="24"/>
        </w:rPr>
        <w:t>the Authority should take into account in proposing adjustments to surface water SDLs</w:t>
      </w:r>
      <w:r w:rsidR="009A2864">
        <w:rPr>
          <w:rFonts w:ascii="Times New Roman" w:hAnsi="Times New Roman" w:cs="Times New Roman"/>
          <w:sz w:val="24"/>
        </w:rPr>
        <w:t xml:space="preserve">. </w:t>
      </w:r>
      <w:r w:rsidR="001C47B8">
        <w:rPr>
          <w:rFonts w:ascii="Times New Roman" w:hAnsi="Times New Roman" w:cs="Times New Roman"/>
          <w:sz w:val="24"/>
        </w:rPr>
        <w:t xml:space="preserve">The Committee must amend any notification as soon as practicable after any notified details have changed. </w:t>
      </w:r>
      <w:r w:rsidR="00D366A2" w:rsidRPr="00375F5C">
        <w:rPr>
          <w:rFonts w:ascii="Times New Roman" w:hAnsi="Times New Roman" w:cs="Times New Roman"/>
          <w:sz w:val="24"/>
        </w:rPr>
        <w:t>The Basin Plan also require</w:t>
      </w:r>
      <w:r w:rsidR="002F678B" w:rsidRPr="00375F5C">
        <w:rPr>
          <w:rFonts w:ascii="Times New Roman" w:hAnsi="Times New Roman" w:cs="Times New Roman"/>
          <w:sz w:val="24"/>
        </w:rPr>
        <w:t>s</w:t>
      </w:r>
      <w:r w:rsidR="00D366A2" w:rsidRPr="00375F5C">
        <w:rPr>
          <w:rFonts w:ascii="Times New Roman" w:hAnsi="Times New Roman" w:cs="Times New Roman"/>
          <w:sz w:val="24"/>
        </w:rPr>
        <w:t xml:space="preserve"> the noti</w:t>
      </w:r>
      <w:r w:rsidR="00FF5A2A" w:rsidRPr="00375F5C">
        <w:rPr>
          <w:rFonts w:ascii="Times New Roman" w:hAnsi="Times New Roman" w:cs="Times New Roman"/>
          <w:sz w:val="24"/>
        </w:rPr>
        <w:t>fication to include details of the easing or removal of constraints to deliver environmental water</w:t>
      </w:r>
      <w:r w:rsidR="0055166D" w:rsidRPr="00375F5C">
        <w:rPr>
          <w:rFonts w:ascii="Times New Roman" w:hAnsi="Times New Roman" w:cs="Times New Roman"/>
          <w:sz w:val="24"/>
        </w:rPr>
        <w:t>, where</w:t>
      </w:r>
      <w:r w:rsidR="0055166D">
        <w:rPr>
          <w:rFonts w:ascii="Times New Roman" w:hAnsi="Times New Roman" w:cs="Times New Roman"/>
          <w:sz w:val="24"/>
        </w:rPr>
        <w:t xml:space="preserve"> relevant to a notified measure</w:t>
      </w:r>
      <w:r w:rsidR="00D366A2">
        <w:rPr>
          <w:rFonts w:ascii="Times New Roman" w:hAnsi="Times New Roman" w:cs="Times New Roman"/>
          <w:sz w:val="24"/>
        </w:rPr>
        <w:t xml:space="preserve">. </w:t>
      </w:r>
      <w:r w:rsidR="00435A8F">
        <w:rPr>
          <w:rFonts w:ascii="Times New Roman" w:hAnsi="Times New Roman" w:cs="Times New Roman"/>
          <w:sz w:val="24"/>
        </w:rPr>
        <w:lastRenderedPageBreak/>
        <w:t>The Committee comprises representatives of the governments of Queensland, New South Wales, Victoria, South Australia and the Australian Capital Territory (the Basin States) and the Australian Government.</w:t>
      </w:r>
    </w:p>
    <w:p w:rsidR="00435A8F" w:rsidRDefault="00435A8F" w:rsidP="0081301F">
      <w:pPr>
        <w:shd w:val="clear" w:color="auto" w:fill="FFFFFF"/>
        <w:spacing w:after="0" w:line="240" w:lineRule="auto"/>
        <w:rPr>
          <w:rFonts w:ascii="Times New Roman" w:hAnsi="Times New Roman" w:cs="Times New Roman"/>
          <w:sz w:val="24"/>
        </w:rPr>
      </w:pPr>
    </w:p>
    <w:p w:rsidR="00F23672" w:rsidRDefault="00046F76" w:rsidP="0081301F">
      <w:pPr>
        <w:shd w:val="clear" w:color="auto" w:fill="FFFFFF"/>
        <w:spacing w:after="0" w:line="240" w:lineRule="auto"/>
        <w:rPr>
          <w:rFonts w:ascii="Times New Roman" w:hAnsi="Times New Roman" w:cs="Times New Roman"/>
          <w:sz w:val="24"/>
        </w:rPr>
      </w:pPr>
      <w:r>
        <w:rPr>
          <w:rFonts w:ascii="Times New Roman" w:hAnsi="Times New Roman" w:cs="Times New Roman"/>
          <w:sz w:val="24"/>
        </w:rPr>
        <w:t>In accordance with s</w:t>
      </w:r>
      <w:r w:rsidR="00611003">
        <w:rPr>
          <w:rFonts w:ascii="Times New Roman" w:hAnsi="Times New Roman" w:cs="Times New Roman"/>
          <w:sz w:val="24"/>
        </w:rPr>
        <w:t>ection</w:t>
      </w:r>
      <w:r>
        <w:rPr>
          <w:rFonts w:ascii="Times New Roman" w:hAnsi="Times New Roman" w:cs="Times New Roman"/>
          <w:sz w:val="24"/>
        </w:rPr>
        <w:t xml:space="preserve"> 7.12 t</w:t>
      </w:r>
      <w:r w:rsidR="00F23672" w:rsidRPr="00202A40">
        <w:rPr>
          <w:rFonts w:ascii="Times New Roman" w:hAnsi="Times New Roman" w:cs="Times New Roman"/>
          <w:sz w:val="24"/>
        </w:rPr>
        <w:t>he Committee has made two notifications to the Authority, on 5 May 2016 and 28 June</w:t>
      </w:r>
      <w:r w:rsidR="008B6FEB">
        <w:rPr>
          <w:rFonts w:ascii="Times New Roman" w:hAnsi="Times New Roman" w:cs="Times New Roman"/>
          <w:sz w:val="24"/>
        </w:rPr>
        <w:t> </w:t>
      </w:r>
      <w:r w:rsidR="00F23672" w:rsidRPr="00202A40">
        <w:rPr>
          <w:rFonts w:ascii="Times New Roman" w:hAnsi="Times New Roman" w:cs="Times New Roman"/>
          <w:sz w:val="24"/>
        </w:rPr>
        <w:t>2017. The Committee has also given the Authority a number of amendments to the supply measure notifications. The final notified package for the purposes of the Authority’s 2017 determination includes 36 supply measures and two efficiency measures.</w:t>
      </w:r>
    </w:p>
    <w:p w:rsidR="005B7CE0" w:rsidRDefault="005B7CE0" w:rsidP="0081301F">
      <w:pPr>
        <w:shd w:val="clear" w:color="auto" w:fill="FFFFFF"/>
        <w:spacing w:after="0" w:line="240" w:lineRule="auto"/>
        <w:rPr>
          <w:rFonts w:ascii="Times New Roman" w:hAnsi="Times New Roman" w:cs="Times New Roman"/>
          <w:sz w:val="24"/>
        </w:rPr>
      </w:pPr>
    </w:p>
    <w:p w:rsidR="00EB3DC0" w:rsidRDefault="007F35C7" w:rsidP="0081301F">
      <w:pPr>
        <w:shd w:val="clear" w:color="auto" w:fill="FFFFFF"/>
        <w:spacing w:after="0" w:line="240" w:lineRule="auto"/>
        <w:rPr>
          <w:rFonts w:ascii="Times New Roman" w:hAnsi="Times New Roman" w:cs="Times New Roman"/>
          <w:sz w:val="24"/>
        </w:rPr>
      </w:pPr>
      <w:r>
        <w:rPr>
          <w:rFonts w:ascii="Times New Roman" w:hAnsi="Times New Roman" w:cs="Times New Roman"/>
          <w:sz w:val="24"/>
        </w:rPr>
        <w:t>The Authority must maintain a register of notified measures and additional efficiency measures (section 7.13</w:t>
      </w:r>
      <w:r w:rsidR="00046F76">
        <w:rPr>
          <w:rFonts w:ascii="Times New Roman" w:hAnsi="Times New Roman" w:cs="Times New Roman"/>
          <w:sz w:val="24"/>
        </w:rPr>
        <w:t xml:space="preserve"> </w:t>
      </w:r>
      <w:r w:rsidR="00132737">
        <w:rPr>
          <w:rFonts w:ascii="Times New Roman" w:hAnsi="Times New Roman" w:cs="Times New Roman"/>
          <w:sz w:val="24"/>
        </w:rPr>
        <w:t xml:space="preserve">of the </w:t>
      </w:r>
      <w:r w:rsidR="00046F76">
        <w:rPr>
          <w:rFonts w:ascii="Times New Roman" w:hAnsi="Times New Roman" w:cs="Times New Roman"/>
          <w:sz w:val="24"/>
        </w:rPr>
        <w:t>Basin Plan</w:t>
      </w:r>
      <w:r>
        <w:rPr>
          <w:rFonts w:ascii="Times New Roman" w:hAnsi="Times New Roman" w:cs="Times New Roman"/>
          <w:sz w:val="24"/>
        </w:rPr>
        <w:t xml:space="preserve">). </w:t>
      </w:r>
      <w:r w:rsidR="005B7CE0">
        <w:rPr>
          <w:rFonts w:ascii="Times New Roman" w:hAnsi="Times New Roman" w:cs="Times New Roman"/>
          <w:sz w:val="24"/>
        </w:rPr>
        <w:t>The n</w:t>
      </w:r>
      <w:r w:rsidR="00271818">
        <w:rPr>
          <w:rFonts w:ascii="Times New Roman" w:hAnsi="Times New Roman" w:cs="Times New Roman"/>
          <w:sz w:val="24"/>
        </w:rPr>
        <w:t xml:space="preserve">otified supply and efficiency measures are </w:t>
      </w:r>
      <w:r w:rsidR="00A51CCC">
        <w:rPr>
          <w:rFonts w:ascii="Times New Roman" w:hAnsi="Times New Roman" w:cs="Times New Roman"/>
          <w:sz w:val="24"/>
        </w:rPr>
        <w:t>listed</w:t>
      </w:r>
      <w:r w:rsidR="004A0578">
        <w:rPr>
          <w:rFonts w:ascii="Times New Roman" w:hAnsi="Times New Roman" w:cs="Times New Roman"/>
          <w:sz w:val="24"/>
        </w:rPr>
        <w:t xml:space="preserve"> on the register</w:t>
      </w:r>
      <w:r w:rsidR="00A51CCC">
        <w:rPr>
          <w:rFonts w:ascii="Times New Roman" w:hAnsi="Times New Roman" w:cs="Times New Roman"/>
          <w:sz w:val="24"/>
        </w:rPr>
        <w:t xml:space="preserve"> </w:t>
      </w:r>
      <w:r w:rsidR="002F443B">
        <w:rPr>
          <w:rFonts w:ascii="Times New Roman" w:hAnsi="Times New Roman" w:cs="Times New Roman"/>
          <w:sz w:val="24"/>
        </w:rPr>
        <w:t>at</w:t>
      </w:r>
      <w:r w:rsidR="000600E2">
        <w:rPr>
          <w:rFonts w:ascii="Times New Roman" w:hAnsi="Times New Roman" w:cs="Times New Roman"/>
          <w:sz w:val="24"/>
        </w:rPr>
        <w:t xml:space="preserve"> </w:t>
      </w:r>
      <w:hyperlink r:id="rId8" w:history="1">
        <w:r w:rsidR="000600E2" w:rsidRPr="004C21FE">
          <w:rPr>
            <w:rStyle w:val="Hyperlink"/>
            <w:rFonts w:ascii="Times New Roman" w:hAnsi="Times New Roman" w:cs="Times New Roman"/>
            <w:sz w:val="24"/>
          </w:rPr>
          <w:t>https://www.mdba.gov.au/sites/default/files/docs/171120-register-of-measures.pdf</w:t>
        </w:r>
      </w:hyperlink>
      <w:r w:rsidR="000600E2">
        <w:rPr>
          <w:rFonts w:ascii="Times New Roman" w:hAnsi="Times New Roman" w:cs="Times New Roman"/>
          <w:sz w:val="24"/>
        </w:rPr>
        <w:t xml:space="preserve"> </w:t>
      </w:r>
      <w:r w:rsidR="002F443B">
        <w:rPr>
          <w:rFonts w:ascii="Times New Roman" w:hAnsi="Times New Roman" w:cs="Times New Roman"/>
          <w:sz w:val="24"/>
        </w:rPr>
        <w:t xml:space="preserve">. </w:t>
      </w:r>
    </w:p>
    <w:p w:rsidR="0055166D" w:rsidRDefault="0055166D" w:rsidP="0081301F">
      <w:pPr>
        <w:shd w:val="clear" w:color="auto" w:fill="FFFFFF"/>
        <w:spacing w:after="0" w:line="240" w:lineRule="auto"/>
        <w:rPr>
          <w:rFonts w:ascii="Times New Roman" w:hAnsi="Times New Roman" w:cs="Times New Roman"/>
          <w:sz w:val="24"/>
        </w:rPr>
      </w:pPr>
    </w:p>
    <w:p w:rsidR="002F678B" w:rsidRDefault="002F678B" w:rsidP="002F678B">
      <w:pPr>
        <w:pStyle w:val="Normal-em"/>
        <w:spacing w:after="0" w:line="240" w:lineRule="auto"/>
      </w:pPr>
      <w:r>
        <w:t xml:space="preserve">The Authority determined the </w:t>
      </w:r>
      <w:r w:rsidR="00033ED1">
        <w:t xml:space="preserve">2017 </w:t>
      </w:r>
      <w:r>
        <w:t xml:space="preserve">SDL adjustments for those surface water SDL resource units affected by the notified supply and efficiency measures in accordance with the criteria set out in Chapter 7 of the Basin Plan. </w:t>
      </w:r>
    </w:p>
    <w:p w:rsidR="002F678B" w:rsidRDefault="002F678B" w:rsidP="0081301F">
      <w:pPr>
        <w:shd w:val="clear" w:color="auto" w:fill="FFFFFF"/>
        <w:spacing w:after="0" w:line="240" w:lineRule="auto"/>
        <w:rPr>
          <w:rFonts w:ascii="Times New Roman" w:hAnsi="Times New Roman" w:cs="Times New Roman"/>
          <w:sz w:val="24"/>
        </w:rPr>
      </w:pPr>
    </w:p>
    <w:p w:rsidR="00C72DAE" w:rsidRDefault="005D3F29" w:rsidP="0081301F">
      <w:pPr>
        <w:shd w:val="clear" w:color="auto" w:fill="FFFFFF"/>
        <w:spacing w:after="0" w:line="240" w:lineRule="auto"/>
        <w:rPr>
          <w:rFonts w:ascii="Times New Roman" w:hAnsi="Times New Roman" w:cs="Times New Roman"/>
          <w:sz w:val="24"/>
        </w:rPr>
      </w:pPr>
      <w:r>
        <w:rPr>
          <w:rFonts w:ascii="Times New Roman" w:hAnsi="Times New Roman" w:cs="Times New Roman"/>
          <w:sz w:val="24"/>
        </w:rPr>
        <w:t>The supply and efficiency contributions can adjust the SDLs in surface water SDL resource units</w:t>
      </w:r>
      <w:r w:rsidR="007C5D26">
        <w:rPr>
          <w:rFonts w:ascii="Times New Roman" w:hAnsi="Times New Roman" w:cs="Times New Roman"/>
          <w:sz w:val="24"/>
        </w:rPr>
        <w:t xml:space="preserve"> that are</w:t>
      </w:r>
      <w:r>
        <w:rPr>
          <w:rFonts w:ascii="Times New Roman" w:hAnsi="Times New Roman" w:cs="Times New Roman"/>
          <w:sz w:val="24"/>
        </w:rPr>
        <w:t xml:space="preserve"> identified in the notification as ‘affected units’. </w:t>
      </w:r>
      <w:r w:rsidR="00EB1912">
        <w:rPr>
          <w:rFonts w:ascii="Times New Roman" w:hAnsi="Times New Roman" w:cs="Times New Roman"/>
          <w:sz w:val="24"/>
        </w:rPr>
        <w:t xml:space="preserve">All surface water SDL resource units in the southern </w:t>
      </w:r>
      <w:r w:rsidR="006A5AE5">
        <w:rPr>
          <w:rFonts w:ascii="Times New Roman" w:hAnsi="Times New Roman" w:cs="Times New Roman"/>
          <w:sz w:val="24"/>
        </w:rPr>
        <w:t xml:space="preserve">connected </w:t>
      </w:r>
      <w:r w:rsidR="00EB1912">
        <w:rPr>
          <w:rFonts w:ascii="Times New Roman" w:hAnsi="Times New Roman" w:cs="Times New Roman"/>
          <w:sz w:val="24"/>
        </w:rPr>
        <w:t xml:space="preserve">Basin have been notified as affected units for the package of </w:t>
      </w:r>
      <w:r w:rsidR="003E7EF3">
        <w:rPr>
          <w:rFonts w:ascii="Times New Roman" w:hAnsi="Times New Roman" w:cs="Times New Roman"/>
          <w:sz w:val="24"/>
        </w:rPr>
        <w:t xml:space="preserve">notified </w:t>
      </w:r>
      <w:r w:rsidR="00EB1912">
        <w:rPr>
          <w:rFonts w:ascii="Times New Roman" w:hAnsi="Times New Roman" w:cs="Times New Roman"/>
          <w:sz w:val="24"/>
        </w:rPr>
        <w:t>supply measures</w:t>
      </w:r>
      <w:r w:rsidR="00D1185E">
        <w:rPr>
          <w:rFonts w:ascii="Times New Roman" w:hAnsi="Times New Roman" w:cs="Times New Roman"/>
          <w:sz w:val="24"/>
        </w:rPr>
        <w:t xml:space="preserve">. </w:t>
      </w:r>
      <w:r w:rsidR="00D1185E" w:rsidRPr="00734682">
        <w:rPr>
          <w:rFonts w:ascii="Times New Roman" w:hAnsi="Times New Roman" w:cs="Times New Roman"/>
          <w:sz w:val="24"/>
        </w:rPr>
        <w:t xml:space="preserve">All </w:t>
      </w:r>
      <w:r w:rsidR="00EB1912" w:rsidRPr="00734682">
        <w:rPr>
          <w:rFonts w:ascii="Times New Roman" w:hAnsi="Times New Roman" w:cs="Times New Roman"/>
          <w:sz w:val="24"/>
        </w:rPr>
        <w:t xml:space="preserve">surface water SDL resource units in the whole Basin have been notified as affected units for </w:t>
      </w:r>
      <w:r w:rsidR="003E7EF3" w:rsidRPr="00734682">
        <w:rPr>
          <w:rFonts w:ascii="Times New Roman" w:hAnsi="Times New Roman" w:cs="Times New Roman"/>
          <w:sz w:val="24"/>
        </w:rPr>
        <w:t xml:space="preserve">notified </w:t>
      </w:r>
      <w:r w:rsidR="00EB1912" w:rsidRPr="00734682">
        <w:rPr>
          <w:rFonts w:ascii="Times New Roman" w:hAnsi="Times New Roman" w:cs="Times New Roman"/>
          <w:sz w:val="24"/>
        </w:rPr>
        <w:t>efficiency measures.</w:t>
      </w:r>
      <w:r>
        <w:rPr>
          <w:rFonts w:ascii="Times New Roman" w:hAnsi="Times New Roman" w:cs="Times New Roman"/>
          <w:sz w:val="24"/>
        </w:rPr>
        <w:t xml:space="preserve"> </w:t>
      </w:r>
    </w:p>
    <w:p w:rsidR="00C72DAE" w:rsidRDefault="00C72DAE" w:rsidP="0081301F">
      <w:pPr>
        <w:shd w:val="clear" w:color="auto" w:fill="FFFFFF"/>
        <w:spacing w:after="0" w:line="240" w:lineRule="auto"/>
        <w:rPr>
          <w:rFonts w:ascii="Times New Roman" w:hAnsi="Times New Roman" w:cs="Times New Roman"/>
          <w:sz w:val="24"/>
        </w:rPr>
      </w:pPr>
    </w:p>
    <w:p w:rsidR="002F678B" w:rsidRDefault="00290533" w:rsidP="00290533">
      <w:pPr>
        <w:pStyle w:val="Normal-em"/>
        <w:spacing w:after="0" w:line="240" w:lineRule="auto"/>
      </w:pPr>
      <w:r>
        <w:t>The</w:t>
      </w:r>
      <w:r w:rsidR="007C5D26">
        <w:t xml:space="preserve"> total supply contribution referrable to notified</w:t>
      </w:r>
      <w:r>
        <w:t xml:space="preserve"> </w:t>
      </w:r>
      <w:r w:rsidR="004C5262">
        <w:t>supply measures</w:t>
      </w:r>
      <w:r w:rsidR="008B1196">
        <w:t xml:space="preserve"> </w:t>
      </w:r>
      <w:r w:rsidR="004C5262">
        <w:t xml:space="preserve">was determined </w:t>
      </w:r>
      <w:r w:rsidR="00033ED1">
        <w:t xml:space="preserve">by the Authority </w:t>
      </w:r>
      <w:r w:rsidR="00FB6CC2">
        <w:t xml:space="preserve">in 2017 </w:t>
      </w:r>
      <w:r w:rsidR="004C5262">
        <w:t>to be</w:t>
      </w:r>
      <w:r>
        <w:t xml:space="preserve"> 605 </w:t>
      </w:r>
      <w:r w:rsidR="008B6FEB">
        <w:t>GL</w:t>
      </w:r>
      <w:r>
        <w:t xml:space="preserve">. </w:t>
      </w:r>
      <w:r w:rsidR="002F678B">
        <w:t xml:space="preserve">This </w:t>
      </w:r>
      <w:r w:rsidR="007C5D26">
        <w:t>was calculated</w:t>
      </w:r>
      <w:r w:rsidR="002F678B">
        <w:t xml:space="preserve"> based on</w:t>
      </w:r>
      <w:r w:rsidR="007C5D26">
        <w:t xml:space="preserve"> </w:t>
      </w:r>
      <w:r w:rsidR="00734682">
        <w:t xml:space="preserve">the </w:t>
      </w:r>
      <w:r w:rsidR="002F678B">
        <w:t>effect</w:t>
      </w:r>
      <w:r w:rsidR="007C5D26">
        <w:t xml:space="preserve"> </w:t>
      </w:r>
      <w:r w:rsidR="0055166D">
        <w:t xml:space="preserve">that </w:t>
      </w:r>
      <w:r w:rsidR="007C5D26">
        <w:t>the notified</w:t>
      </w:r>
      <w:r w:rsidR="002F678B">
        <w:t xml:space="preserve"> supply measures</w:t>
      </w:r>
      <w:r w:rsidR="0055166D">
        <w:t xml:space="preserve"> will have </w:t>
      </w:r>
      <w:r w:rsidR="002F678B">
        <w:t>when they come into operation</w:t>
      </w:r>
      <w:r w:rsidR="00B15769">
        <w:t xml:space="preserve"> by 30 June 2024</w:t>
      </w:r>
      <w:r w:rsidR="002F678B">
        <w:t>. This 605 </w:t>
      </w:r>
      <w:r w:rsidR="008B6FEB">
        <w:t>GL</w:t>
      </w:r>
      <w:r w:rsidR="002F678B">
        <w:t xml:space="preserve"> supply contribution has been distributed between surface water SDL resource units in accordance with section 7.18 of the Basin Plan.</w:t>
      </w:r>
    </w:p>
    <w:p w:rsidR="002F678B" w:rsidRDefault="002F678B" w:rsidP="00290533">
      <w:pPr>
        <w:pStyle w:val="Normal-em"/>
        <w:spacing w:after="0" w:line="240" w:lineRule="auto"/>
      </w:pPr>
    </w:p>
    <w:p w:rsidR="00F576C8" w:rsidRPr="00202A40" w:rsidRDefault="008B1196" w:rsidP="00290533">
      <w:pPr>
        <w:pStyle w:val="Normal-em"/>
        <w:spacing w:after="0" w:line="240" w:lineRule="auto"/>
        <w:rPr>
          <w:szCs w:val="24"/>
        </w:rPr>
      </w:pPr>
      <w:r>
        <w:t xml:space="preserve">The Authority calculated </w:t>
      </w:r>
      <w:r w:rsidR="002F678B">
        <w:t xml:space="preserve">the </w:t>
      </w:r>
      <w:r>
        <w:t xml:space="preserve">supply contribution in accordance with the </w:t>
      </w:r>
      <w:r w:rsidR="006247AD">
        <w:t xml:space="preserve">applicable method, using the </w:t>
      </w:r>
      <w:r>
        <w:t xml:space="preserve">default method set out in Schedule 6 of the Basin Plan. </w:t>
      </w:r>
      <w:r w:rsidR="00F576C8">
        <w:t xml:space="preserve">With the notified supply measures, the Authority has determined </w:t>
      </w:r>
      <w:r w:rsidR="00F576C8" w:rsidRPr="00A96DDA">
        <w:rPr>
          <w:szCs w:val="24"/>
        </w:rPr>
        <w:t>that a</w:t>
      </w:r>
      <w:r w:rsidR="00581B96" w:rsidRPr="00CD30FE">
        <w:rPr>
          <w:szCs w:val="24"/>
        </w:rPr>
        <w:t>n in</w:t>
      </w:r>
      <w:r w:rsidR="00F576C8" w:rsidRPr="00CD30FE">
        <w:rPr>
          <w:szCs w:val="24"/>
        </w:rPr>
        <w:t>crease in the SDLs of 605 </w:t>
      </w:r>
      <w:r w:rsidR="008B6FEB">
        <w:rPr>
          <w:szCs w:val="24"/>
        </w:rPr>
        <w:t>GL</w:t>
      </w:r>
      <w:r w:rsidR="00F576C8" w:rsidRPr="00CD30FE">
        <w:rPr>
          <w:szCs w:val="24"/>
        </w:rPr>
        <w:t xml:space="preserve"> will</w:t>
      </w:r>
      <w:r w:rsidR="002F678B" w:rsidRPr="001F31B4">
        <w:rPr>
          <w:szCs w:val="24"/>
        </w:rPr>
        <w:t xml:space="preserve">, when compared with </w:t>
      </w:r>
      <w:r w:rsidR="00B15769">
        <w:rPr>
          <w:szCs w:val="24"/>
        </w:rPr>
        <w:t>outcomes anticipated under the Basin Plan in 2012 (</w:t>
      </w:r>
      <w:r w:rsidR="002F678B" w:rsidRPr="001F31B4">
        <w:rPr>
          <w:szCs w:val="24"/>
        </w:rPr>
        <w:t>the benchmark environmental outcomes</w:t>
      </w:r>
      <w:r w:rsidR="00B15769">
        <w:rPr>
          <w:szCs w:val="24"/>
        </w:rPr>
        <w:t>)</w:t>
      </w:r>
      <w:r w:rsidR="00F576C8" w:rsidRPr="00033C6E">
        <w:rPr>
          <w:szCs w:val="24"/>
        </w:rPr>
        <w:t>:</w:t>
      </w:r>
    </w:p>
    <w:p w:rsidR="00F576C8" w:rsidRDefault="00F576C8" w:rsidP="00F576C8">
      <w:pPr>
        <w:pStyle w:val="ListParagraph"/>
        <w:numPr>
          <w:ilvl w:val="0"/>
          <w:numId w:val="19"/>
        </w:numPr>
        <w:shd w:val="clear" w:color="auto" w:fill="FFFFFF"/>
        <w:spacing w:after="0" w:line="240" w:lineRule="auto"/>
        <w:rPr>
          <w:rFonts w:ascii="Times New Roman" w:hAnsi="Times New Roman" w:cs="Times New Roman"/>
          <w:sz w:val="24"/>
          <w:szCs w:val="24"/>
        </w:rPr>
      </w:pPr>
      <w:r w:rsidRPr="00202A40">
        <w:rPr>
          <w:rFonts w:ascii="Times New Roman" w:hAnsi="Times New Roman" w:cs="Times New Roman"/>
          <w:sz w:val="24"/>
          <w:szCs w:val="24"/>
        </w:rPr>
        <w:t xml:space="preserve">have no detrimental impacts on reliability of supply of water to the holders of water access rights that are </w:t>
      </w:r>
      <w:r w:rsidRPr="00A96DDA">
        <w:rPr>
          <w:rFonts w:ascii="Times New Roman" w:hAnsi="Times New Roman" w:cs="Times New Roman"/>
          <w:sz w:val="24"/>
          <w:szCs w:val="24"/>
        </w:rPr>
        <w:t>not</w:t>
      </w:r>
      <w:r w:rsidRPr="00202A40">
        <w:rPr>
          <w:rFonts w:ascii="Times New Roman" w:hAnsi="Times New Roman" w:cs="Times New Roman"/>
          <w:sz w:val="24"/>
          <w:szCs w:val="24"/>
        </w:rPr>
        <w:t xml:space="preserve"> offset or negated;</w:t>
      </w:r>
    </w:p>
    <w:p w:rsidR="00F576C8" w:rsidRPr="00347E7B" w:rsidRDefault="00B15769" w:rsidP="00F576C8">
      <w:pPr>
        <w:pStyle w:val="ListParagraph"/>
        <w:numPr>
          <w:ilvl w:val="0"/>
          <w:numId w:val="19"/>
        </w:numPr>
        <w:shd w:val="clear" w:color="auto" w:fill="FFFFFF"/>
        <w:spacing w:after="0" w:line="240" w:lineRule="auto"/>
        <w:rPr>
          <w:rFonts w:ascii="Times New Roman" w:hAnsi="Times New Roman" w:cs="Times New Roman"/>
          <w:sz w:val="24"/>
          <w:szCs w:val="24"/>
        </w:rPr>
      </w:pPr>
      <w:proofErr w:type="gramStart"/>
      <w:r w:rsidRPr="00347E7B">
        <w:rPr>
          <w:rFonts w:ascii="Times New Roman" w:hAnsi="Times New Roman" w:cs="Times New Roman"/>
          <w:sz w:val="24"/>
          <w:szCs w:val="24"/>
        </w:rPr>
        <w:t>achieve</w:t>
      </w:r>
      <w:proofErr w:type="gramEnd"/>
      <w:r w:rsidRPr="00347E7B">
        <w:rPr>
          <w:rFonts w:ascii="Times New Roman" w:hAnsi="Times New Roman" w:cs="Times New Roman"/>
          <w:sz w:val="24"/>
          <w:szCs w:val="24"/>
        </w:rPr>
        <w:t xml:space="preserve"> </w:t>
      </w:r>
      <w:r w:rsidR="00F576C8" w:rsidRPr="00347E7B">
        <w:rPr>
          <w:rFonts w:ascii="Times New Roman" w:hAnsi="Times New Roman" w:cs="Times New Roman"/>
          <w:sz w:val="24"/>
          <w:szCs w:val="24"/>
        </w:rPr>
        <w:t>equivalent environmental outcomes</w:t>
      </w:r>
      <w:r w:rsidR="002F678B" w:rsidRPr="00347E7B">
        <w:rPr>
          <w:rFonts w:ascii="Times New Roman" w:hAnsi="Times New Roman" w:cs="Times New Roman"/>
          <w:sz w:val="24"/>
          <w:szCs w:val="24"/>
        </w:rPr>
        <w:t>.</w:t>
      </w:r>
      <w:r w:rsidR="00347E7B">
        <w:rPr>
          <w:rStyle w:val="FootnoteReference"/>
          <w:rFonts w:ascii="Times New Roman" w:hAnsi="Times New Roman" w:cs="Times New Roman"/>
          <w:sz w:val="24"/>
          <w:szCs w:val="24"/>
        </w:rPr>
        <w:footnoteReference w:id="1"/>
      </w:r>
    </w:p>
    <w:p w:rsidR="00C9470F" w:rsidRDefault="00C9470F" w:rsidP="00132737">
      <w:pPr>
        <w:shd w:val="clear" w:color="auto" w:fill="FFFFFF"/>
        <w:spacing w:after="0" w:line="240" w:lineRule="auto"/>
        <w:ind w:left="720"/>
        <w:rPr>
          <w:rFonts w:ascii="Times New Roman" w:hAnsi="Times New Roman" w:cs="Times New Roman"/>
          <w:sz w:val="24"/>
          <w:szCs w:val="24"/>
        </w:rPr>
      </w:pPr>
    </w:p>
    <w:p w:rsidR="005D3F29" w:rsidRPr="00202A40" w:rsidRDefault="002F678B" w:rsidP="002F678B">
      <w:pPr>
        <w:pStyle w:val="Normal-em"/>
        <w:spacing w:after="0" w:line="240" w:lineRule="auto"/>
        <w:rPr>
          <w:szCs w:val="24"/>
        </w:rPr>
      </w:pPr>
      <w:r w:rsidRPr="00A96DDA">
        <w:rPr>
          <w:szCs w:val="24"/>
        </w:rPr>
        <w:t xml:space="preserve">This determination </w:t>
      </w:r>
      <w:r w:rsidRPr="00CD30FE">
        <w:rPr>
          <w:szCs w:val="24"/>
        </w:rPr>
        <w:t xml:space="preserve">also </w:t>
      </w:r>
      <w:r w:rsidR="00F576C8" w:rsidRPr="00CD30FE">
        <w:rPr>
          <w:szCs w:val="24"/>
        </w:rPr>
        <w:t>satisf</w:t>
      </w:r>
      <w:r w:rsidRPr="001F31B4">
        <w:rPr>
          <w:szCs w:val="24"/>
        </w:rPr>
        <w:t>ies</w:t>
      </w:r>
      <w:r w:rsidR="00F576C8" w:rsidRPr="001F31B4">
        <w:rPr>
          <w:szCs w:val="24"/>
        </w:rPr>
        <w:t xml:space="preserve"> the environmental safeguards (limits of change)</w:t>
      </w:r>
      <w:r w:rsidR="00D1185E" w:rsidRPr="001F31B4">
        <w:rPr>
          <w:szCs w:val="24"/>
        </w:rPr>
        <w:t xml:space="preserve"> in Schedule 6 of the Basin Plan</w:t>
      </w:r>
      <w:r w:rsidR="00F576C8" w:rsidRPr="00EC65C3">
        <w:rPr>
          <w:szCs w:val="24"/>
        </w:rPr>
        <w:t>.</w:t>
      </w:r>
      <w:r w:rsidR="00E73E85" w:rsidRPr="00EC65C3">
        <w:rPr>
          <w:szCs w:val="24"/>
        </w:rPr>
        <w:t xml:space="preserve"> </w:t>
      </w:r>
      <w:r w:rsidR="006A5AE5">
        <w:rPr>
          <w:szCs w:val="24"/>
        </w:rPr>
        <w:t>In its report to the Authority, t</w:t>
      </w:r>
      <w:r w:rsidR="00E73E85" w:rsidRPr="00EC65C3">
        <w:rPr>
          <w:szCs w:val="24"/>
        </w:rPr>
        <w:t>he Independent Expert Panel Murray-Darling Basin SDL Limits of Change Review</w:t>
      </w:r>
      <w:r w:rsidR="00347E7B" w:rsidRPr="00EC65C3">
        <w:rPr>
          <w:szCs w:val="24"/>
        </w:rPr>
        <w:t>,</w:t>
      </w:r>
      <w:r w:rsidR="00E73E85" w:rsidRPr="00EC65C3">
        <w:rPr>
          <w:szCs w:val="24"/>
        </w:rPr>
        <w:t xml:space="preserve"> </w:t>
      </w:r>
      <w:r w:rsidR="006A5AE5">
        <w:rPr>
          <w:szCs w:val="24"/>
        </w:rPr>
        <w:t>comprising</w:t>
      </w:r>
      <w:r w:rsidR="00347E7B" w:rsidRPr="00EC65C3">
        <w:rPr>
          <w:szCs w:val="24"/>
        </w:rPr>
        <w:t xml:space="preserve"> ecologists </w:t>
      </w:r>
      <w:r w:rsidR="006A5AE5">
        <w:rPr>
          <w:szCs w:val="24"/>
        </w:rPr>
        <w:t>and hydrologists,</w:t>
      </w:r>
      <w:r w:rsidR="00347E7B" w:rsidRPr="00EC65C3">
        <w:rPr>
          <w:szCs w:val="24"/>
        </w:rPr>
        <w:t xml:space="preserve"> assessed the limits of change breaches that occurred in a few sites</w:t>
      </w:r>
      <w:r w:rsidR="006A5AE5">
        <w:rPr>
          <w:szCs w:val="24"/>
        </w:rPr>
        <w:t>. The Panel concluded that</w:t>
      </w:r>
      <w:r w:rsidR="00347E7B" w:rsidRPr="00EC65C3">
        <w:rPr>
          <w:szCs w:val="24"/>
        </w:rPr>
        <w:t xml:space="preserve"> these breaches are not material and there was very little environmental risk associated with them.</w:t>
      </w:r>
    </w:p>
    <w:p w:rsidR="006D0DE2" w:rsidRDefault="006D0DE2" w:rsidP="00290533">
      <w:pPr>
        <w:pStyle w:val="Normal-em"/>
        <w:spacing w:after="0" w:line="240" w:lineRule="auto"/>
        <w:rPr>
          <w:szCs w:val="24"/>
        </w:rPr>
      </w:pPr>
    </w:p>
    <w:p w:rsidR="00DB5B92" w:rsidRPr="00954B1A" w:rsidRDefault="00DB5B92" w:rsidP="00290533">
      <w:pPr>
        <w:pStyle w:val="Normal-em"/>
        <w:spacing w:after="0" w:line="240" w:lineRule="auto"/>
        <w:rPr>
          <w:szCs w:val="24"/>
        </w:rPr>
      </w:pPr>
      <w:r w:rsidRPr="00954B1A">
        <w:rPr>
          <w:szCs w:val="24"/>
        </w:rPr>
        <w:lastRenderedPageBreak/>
        <w:t xml:space="preserve">The Authority determined that the efficiency contribution to the proposed SDL adjustment would achieve neutral or improved socio-economic outcomes compared with the outcomes under benchmark conditions of development. </w:t>
      </w:r>
      <w:r w:rsidR="00D3081D">
        <w:rPr>
          <w:szCs w:val="24"/>
        </w:rPr>
        <w:t>T</w:t>
      </w:r>
      <w:r w:rsidR="00683A69">
        <w:rPr>
          <w:szCs w:val="24"/>
        </w:rPr>
        <w:t xml:space="preserve">he </w:t>
      </w:r>
      <w:r w:rsidR="00D3081D">
        <w:rPr>
          <w:szCs w:val="24"/>
        </w:rPr>
        <w:t>efficiency programs improve</w:t>
      </w:r>
      <w:r w:rsidR="00683A69">
        <w:rPr>
          <w:szCs w:val="24"/>
        </w:rPr>
        <w:t xml:space="preserve"> the environmental outcomes under the Basin Plan by investing in projects that reduce consumptive water inefficiencies and losses, and recover this water for the environment. The reduction in consumptive water use must have no reduction in socio-economic outcomes.</w:t>
      </w:r>
    </w:p>
    <w:p w:rsidR="00E73E85" w:rsidRPr="00954B1A" w:rsidRDefault="00E73E85" w:rsidP="00290533">
      <w:pPr>
        <w:pStyle w:val="Normal-em"/>
        <w:spacing w:after="0" w:line="240" w:lineRule="auto"/>
        <w:rPr>
          <w:szCs w:val="24"/>
        </w:rPr>
      </w:pPr>
    </w:p>
    <w:p w:rsidR="00581B96" w:rsidRDefault="00290533" w:rsidP="00290533">
      <w:pPr>
        <w:pStyle w:val="Normal-em"/>
        <w:spacing w:after="0" w:line="240" w:lineRule="auto"/>
        <w:rPr>
          <w:szCs w:val="24"/>
        </w:rPr>
      </w:pPr>
      <w:r w:rsidRPr="00954B1A" w:rsidDel="00980A97">
        <w:rPr>
          <w:szCs w:val="24"/>
        </w:rPr>
        <w:t xml:space="preserve">The SDL adjustment is limited to </w:t>
      </w:r>
      <w:r w:rsidR="005A3311" w:rsidRPr="00954B1A">
        <w:rPr>
          <w:szCs w:val="24"/>
        </w:rPr>
        <w:t>a</w:t>
      </w:r>
      <w:r w:rsidR="005A3311" w:rsidRPr="004B71DF">
        <w:rPr>
          <w:szCs w:val="24"/>
        </w:rPr>
        <w:t xml:space="preserve"> net </w:t>
      </w:r>
      <w:r w:rsidRPr="004B71DF" w:rsidDel="00980A97">
        <w:rPr>
          <w:szCs w:val="24"/>
        </w:rPr>
        <w:t>five per</w:t>
      </w:r>
      <w:r w:rsidR="00FD2A0A" w:rsidRPr="004B71DF">
        <w:rPr>
          <w:szCs w:val="24"/>
        </w:rPr>
        <w:t> </w:t>
      </w:r>
      <w:r w:rsidRPr="004B71DF" w:rsidDel="00980A97">
        <w:rPr>
          <w:szCs w:val="24"/>
        </w:rPr>
        <w:t>cent of the</w:t>
      </w:r>
      <w:r w:rsidRPr="004B71DF">
        <w:rPr>
          <w:szCs w:val="24"/>
        </w:rPr>
        <w:t xml:space="preserve"> unadjusted</w:t>
      </w:r>
      <w:r w:rsidRPr="004B71DF" w:rsidDel="00980A97">
        <w:rPr>
          <w:szCs w:val="24"/>
        </w:rPr>
        <w:t xml:space="preserve"> total surface water SDL for the Basin water resources (</w:t>
      </w:r>
      <w:r w:rsidRPr="00046F76" w:rsidDel="00980A97">
        <w:rPr>
          <w:szCs w:val="24"/>
        </w:rPr>
        <w:t>543 </w:t>
      </w:r>
      <w:r w:rsidR="008B6FEB" w:rsidRPr="00046F76">
        <w:rPr>
          <w:szCs w:val="24"/>
        </w:rPr>
        <w:t>GL</w:t>
      </w:r>
      <w:r w:rsidR="00FD2A0A" w:rsidRPr="004B71DF">
        <w:rPr>
          <w:szCs w:val="24"/>
        </w:rPr>
        <w:t xml:space="preserve"> per year</w:t>
      </w:r>
      <w:r w:rsidRPr="004B71DF" w:rsidDel="00980A97">
        <w:rPr>
          <w:szCs w:val="24"/>
        </w:rPr>
        <w:t>)</w:t>
      </w:r>
      <w:r w:rsidR="005A3311" w:rsidRPr="004B71DF">
        <w:rPr>
          <w:szCs w:val="24"/>
        </w:rPr>
        <w:t>, after taking into account increases to the SDL from supply measures and decreases to the SDL from efficiency measures</w:t>
      </w:r>
      <w:r w:rsidRPr="004B71DF" w:rsidDel="00980A97">
        <w:rPr>
          <w:szCs w:val="24"/>
        </w:rPr>
        <w:t xml:space="preserve">. </w:t>
      </w:r>
      <w:r w:rsidR="00037CDA" w:rsidRPr="00EC65C3">
        <w:rPr>
          <w:szCs w:val="24"/>
        </w:rPr>
        <w:t>This means that</w:t>
      </w:r>
      <w:r w:rsidR="00954B1A" w:rsidRPr="00EC65C3">
        <w:rPr>
          <w:szCs w:val="24"/>
        </w:rPr>
        <w:t>, as a result of the 2017 SDL adjustment,</w:t>
      </w:r>
      <w:r w:rsidR="00037CDA" w:rsidRPr="00EC65C3">
        <w:rPr>
          <w:szCs w:val="24"/>
        </w:rPr>
        <w:t xml:space="preserve"> the </w:t>
      </w:r>
      <w:r w:rsidR="007B1EF1" w:rsidRPr="00EC65C3">
        <w:rPr>
          <w:szCs w:val="24"/>
        </w:rPr>
        <w:t xml:space="preserve">Basin-wide </w:t>
      </w:r>
      <w:r w:rsidR="00037CDA" w:rsidRPr="00EC65C3">
        <w:rPr>
          <w:szCs w:val="24"/>
        </w:rPr>
        <w:t xml:space="preserve">SDL must always be within </w:t>
      </w:r>
      <w:r w:rsidR="00954B1A" w:rsidRPr="00EC65C3">
        <w:rPr>
          <w:szCs w:val="24"/>
        </w:rPr>
        <w:t xml:space="preserve">543 GL of the SDL at the reference time of 24 November 2012, </w:t>
      </w:r>
      <w:r w:rsidR="004E317F" w:rsidRPr="00EC65C3">
        <w:rPr>
          <w:szCs w:val="24"/>
        </w:rPr>
        <w:t xml:space="preserve">or within </w:t>
      </w:r>
      <w:r w:rsidR="00037CDA" w:rsidRPr="00EC65C3">
        <w:rPr>
          <w:szCs w:val="24"/>
        </w:rPr>
        <w:t xml:space="preserve">the range </w:t>
      </w:r>
      <w:r w:rsidR="007B1EF1" w:rsidRPr="00EC65C3">
        <w:rPr>
          <w:szCs w:val="24"/>
        </w:rPr>
        <w:t>from 10,</w:t>
      </w:r>
      <w:r w:rsidR="004E317F" w:rsidRPr="00EC65C3">
        <w:rPr>
          <w:szCs w:val="24"/>
        </w:rPr>
        <w:t>330</w:t>
      </w:r>
      <w:r w:rsidR="007B1EF1" w:rsidRPr="00EC65C3">
        <w:rPr>
          <w:szCs w:val="24"/>
        </w:rPr>
        <w:t> </w:t>
      </w:r>
      <w:r w:rsidR="008B6FEB" w:rsidRPr="00EC65C3">
        <w:rPr>
          <w:szCs w:val="24"/>
        </w:rPr>
        <w:t>GL</w:t>
      </w:r>
      <w:r w:rsidR="007B1EF1" w:rsidRPr="00EC65C3">
        <w:rPr>
          <w:szCs w:val="24"/>
        </w:rPr>
        <w:t xml:space="preserve"> </w:t>
      </w:r>
      <w:r w:rsidR="00FD2A0A" w:rsidRPr="00EC65C3">
        <w:rPr>
          <w:szCs w:val="24"/>
        </w:rPr>
        <w:t xml:space="preserve">per year </w:t>
      </w:r>
      <w:r w:rsidR="007B1EF1" w:rsidRPr="00EC65C3">
        <w:rPr>
          <w:szCs w:val="24"/>
        </w:rPr>
        <w:t>to 11,</w:t>
      </w:r>
      <w:r w:rsidR="004E317F" w:rsidRPr="00EC65C3">
        <w:rPr>
          <w:szCs w:val="24"/>
        </w:rPr>
        <w:t>416</w:t>
      </w:r>
      <w:r w:rsidR="007B1EF1" w:rsidRPr="00EC65C3">
        <w:rPr>
          <w:szCs w:val="24"/>
        </w:rPr>
        <w:t> </w:t>
      </w:r>
      <w:r w:rsidR="008B6FEB" w:rsidRPr="00EC65C3">
        <w:rPr>
          <w:szCs w:val="24"/>
        </w:rPr>
        <w:t>GL</w:t>
      </w:r>
      <w:r w:rsidR="00FD2A0A" w:rsidRPr="00EC65C3">
        <w:rPr>
          <w:szCs w:val="24"/>
        </w:rPr>
        <w:t xml:space="preserve"> per year</w:t>
      </w:r>
      <w:r w:rsidR="007B1EF1" w:rsidRPr="00EC65C3">
        <w:rPr>
          <w:szCs w:val="24"/>
        </w:rPr>
        <w:t xml:space="preserve">. </w:t>
      </w:r>
      <w:r w:rsidR="002A3DD1">
        <w:rPr>
          <w:szCs w:val="24"/>
        </w:rPr>
        <w:t>Noting that t</w:t>
      </w:r>
      <w:r w:rsidR="00581B96" w:rsidRPr="00EC65C3">
        <w:rPr>
          <w:szCs w:val="24"/>
        </w:rPr>
        <w:t xml:space="preserve">he </w:t>
      </w:r>
      <w:r w:rsidR="005A3311" w:rsidRPr="00EC65C3">
        <w:rPr>
          <w:szCs w:val="24"/>
        </w:rPr>
        <w:t xml:space="preserve">net </w:t>
      </w:r>
      <w:r w:rsidR="00581B96" w:rsidRPr="00EC65C3">
        <w:rPr>
          <w:szCs w:val="24"/>
        </w:rPr>
        <w:t xml:space="preserve">five per cent limit applies at the Basin-scale, individual SDL resource units may increase or decrease </w:t>
      </w:r>
      <w:r w:rsidR="00FD2A0A" w:rsidRPr="00EC65C3">
        <w:rPr>
          <w:szCs w:val="24"/>
        </w:rPr>
        <w:t xml:space="preserve">by </w:t>
      </w:r>
      <w:r w:rsidR="00581B96" w:rsidRPr="00EC65C3">
        <w:rPr>
          <w:szCs w:val="24"/>
        </w:rPr>
        <w:t xml:space="preserve">greater than five per cent, as long as the </w:t>
      </w:r>
      <w:r w:rsidR="005A3311" w:rsidRPr="00EC65C3">
        <w:rPr>
          <w:szCs w:val="24"/>
        </w:rPr>
        <w:t xml:space="preserve">net </w:t>
      </w:r>
      <w:r w:rsidR="00581B96" w:rsidRPr="00EC65C3">
        <w:rPr>
          <w:szCs w:val="24"/>
        </w:rPr>
        <w:t>Basin-wide SDL remains within that range.</w:t>
      </w:r>
    </w:p>
    <w:p w:rsidR="00581B96" w:rsidRDefault="00581B96" w:rsidP="00290533">
      <w:pPr>
        <w:pStyle w:val="Normal-em"/>
        <w:spacing w:after="0" w:line="240" w:lineRule="auto"/>
        <w:rPr>
          <w:szCs w:val="24"/>
        </w:rPr>
      </w:pPr>
    </w:p>
    <w:p w:rsidR="00037CDA" w:rsidRDefault="002A3DD1" w:rsidP="00290533">
      <w:pPr>
        <w:pStyle w:val="Normal-em"/>
        <w:spacing w:after="0" w:line="240" w:lineRule="auto"/>
        <w:rPr>
          <w:szCs w:val="24"/>
        </w:rPr>
      </w:pPr>
      <w:r>
        <w:rPr>
          <w:szCs w:val="24"/>
        </w:rPr>
        <w:t xml:space="preserve">Giving full effect to the </w:t>
      </w:r>
      <w:r w:rsidR="007B1EF1">
        <w:rPr>
          <w:szCs w:val="24"/>
        </w:rPr>
        <w:t>605 </w:t>
      </w:r>
      <w:r w:rsidR="008B6FEB">
        <w:rPr>
          <w:szCs w:val="24"/>
        </w:rPr>
        <w:t>GL</w:t>
      </w:r>
      <w:r w:rsidR="007B1EF1">
        <w:rPr>
          <w:szCs w:val="24"/>
        </w:rPr>
        <w:t xml:space="preserve"> </w:t>
      </w:r>
      <w:r w:rsidR="007C5D26">
        <w:rPr>
          <w:szCs w:val="24"/>
        </w:rPr>
        <w:t xml:space="preserve">total </w:t>
      </w:r>
      <w:r w:rsidR="007B1EF1">
        <w:rPr>
          <w:szCs w:val="24"/>
        </w:rPr>
        <w:t xml:space="preserve">supply contribution </w:t>
      </w:r>
      <w:r w:rsidR="006C4774">
        <w:rPr>
          <w:szCs w:val="24"/>
        </w:rPr>
        <w:t>within</w:t>
      </w:r>
      <w:r w:rsidR="007B1EF1">
        <w:rPr>
          <w:szCs w:val="24"/>
        </w:rPr>
        <w:t xml:space="preserve"> the </w:t>
      </w:r>
      <w:proofErr w:type="spellStart"/>
      <w:r w:rsidR="00A24D56">
        <w:rPr>
          <w:szCs w:val="24"/>
        </w:rPr>
        <w:t>net</w:t>
      </w:r>
      <w:proofErr w:type="spellEnd"/>
      <w:r w:rsidR="00A24D56">
        <w:rPr>
          <w:szCs w:val="24"/>
        </w:rPr>
        <w:t xml:space="preserve"> </w:t>
      </w:r>
      <w:r w:rsidR="007B1EF1">
        <w:rPr>
          <w:szCs w:val="24"/>
        </w:rPr>
        <w:t>five per cent limit</w:t>
      </w:r>
      <w:r w:rsidR="002801ED">
        <w:rPr>
          <w:szCs w:val="24"/>
        </w:rPr>
        <w:t xml:space="preserve"> can </w:t>
      </w:r>
      <w:r w:rsidR="00581B96">
        <w:rPr>
          <w:szCs w:val="24"/>
        </w:rPr>
        <w:t>be</w:t>
      </w:r>
      <w:r w:rsidR="002801ED">
        <w:rPr>
          <w:szCs w:val="24"/>
        </w:rPr>
        <w:t xml:space="preserve"> achieved b</w:t>
      </w:r>
      <w:r w:rsidR="007B1EF1">
        <w:rPr>
          <w:szCs w:val="24"/>
        </w:rPr>
        <w:t xml:space="preserve">y a </w:t>
      </w:r>
      <w:r w:rsidR="002801ED">
        <w:rPr>
          <w:szCs w:val="24"/>
        </w:rPr>
        <w:t xml:space="preserve">decrease in the SDLs through </w:t>
      </w:r>
      <w:r w:rsidR="000600E2">
        <w:rPr>
          <w:szCs w:val="24"/>
        </w:rPr>
        <w:t xml:space="preserve">the </w:t>
      </w:r>
      <w:r w:rsidR="007B1EF1">
        <w:rPr>
          <w:szCs w:val="24"/>
        </w:rPr>
        <w:t xml:space="preserve">efficiency </w:t>
      </w:r>
      <w:r w:rsidR="000600E2">
        <w:rPr>
          <w:szCs w:val="24"/>
        </w:rPr>
        <w:t>contribution</w:t>
      </w:r>
      <w:r w:rsidR="007B1EF1">
        <w:rPr>
          <w:szCs w:val="24"/>
        </w:rPr>
        <w:t>.</w:t>
      </w:r>
      <w:r w:rsidR="00581B96">
        <w:rPr>
          <w:szCs w:val="24"/>
        </w:rPr>
        <w:t xml:space="preserve"> </w:t>
      </w:r>
      <w:r w:rsidR="002801ED">
        <w:rPr>
          <w:szCs w:val="24"/>
        </w:rPr>
        <w:t xml:space="preserve">The five per cent limit requires that </w:t>
      </w:r>
      <w:r w:rsidR="00581B96">
        <w:rPr>
          <w:szCs w:val="24"/>
        </w:rPr>
        <w:t xml:space="preserve">the </w:t>
      </w:r>
      <w:r w:rsidR="00A24D56">
        <w:rPr>
          <w:szCs w:val="24"/>
        </w:rPr>
        <w:t xml:space="preserve">net </w:t>
      </w:r>
      <w:r w:rsidR="002801ED">
        <w:rPr>
          <w:szCs w:val="24"/>
        </w:rPr>
        <w:t xml:space="preserve">SDL adjustment arising from </w:t>
      </w:r>
      <w:r w:rsidR="00581B96">
        <w:rPr>
          <w:szCs w:val="24"/>
        </w:rPr>
        <w:t xml:space="preserve">the supply contribution and the efficiency contribution is less than or equal to </w:t>
      </w:r>
      <w:r w:rsidR="00581B96" w:rsidRPr="00046F76">
        <w:rPr>
          <w:szCs w:val="24"/>
        </w:rPr>
        <w:t>543</w:t>
      </w:r>
      <w:r w:rsidR="00581B96">
        <w:rPr>
          <w:szCs w:val="24"/>
        </w:rPr>
        <w:t> </w:t>
      </w:r>
      <w:r w:rsidR="008B6FEB">
        <w:rPr>
          <w:szCs w:val="24"/>
        </w:rPr>
        <w:t>GL</w:t>
      </w:r>
      <w:r w:rsidR="002801ED">
        <w:rPr>
          <w:szCs w:val="24"/>
        </w:rPr>
        <w:t>.</w:t>
      </w:r>
    </w:p>
    <w:p w:rsidR="00581B96" w:rsidRDefault="00581B96" w:rsidP="00290533">
      <w:pPr>
        <w:pStyle w:val="Normal-em"/>
        <w:spacing w:after="0" w:line="240" w:lineRule="auto"/>
        <w:rPr>
          <w:szCs w:val="24"/>
        </w:rPr>
      </w:pPr>
    </w:p>
    <w:p w:rsidR="00A24D56" w:rsidRDefault="00581B96" w:rsidP="00A24D56">
      <w:pPr>
        <w:pStyle w:val="Normal-em"/>
        <w:spacing w:after="0" w:line="240" w:lineRule="auto"/>
        <w:rPr>
          <w:szCs w:val="24"/>
        </w:rPr>
      </w:pPr>
      <w:r>
        <w:rPr>
          <w:szCs w:val="24"/>
        </w:rPr>
        <w:t xml:space="preserve">This means that at least </w:t>
      </w:r>
      <w:r w:rsidR="00132737">
        <w:rPr>
          <w:szCs w:val="24"/>
        </w:rPr>
        <w:t>62</w:t>
      </w:r>
      <w:r w:rsidR="00C05F7C">
        <w:rPr>
          <w:szCs w:val="24"/>
        </w:rPr>
        <w:t> </w:t>
      </w:r>
      <w:r w:rsidR="008B6FEB">
        <w:rPr>
          <w:szCs w:val="24"/>
        </w:rPr>
        <w:t>GL</w:t>
      </w:r>
      <w:r w:rsidR="00C05F7C">
        <w:rPr>
          <w:szCs w:val="24"/>
        </w:rPr>
        <w:t xml:space="preserve"> of efficiency contribution has </w:t>
      </w:r>
      <w:r w:rsidR="004834C6">
        <w:rPr>
          <w:szCs w:val="24"/>
        </w:rPr>
        <w:t xml:space="preserve">to be </w:t>
      </w:r>
      <w:r>
        <w:rPr>
          <w:szCs w:val="24"/>
        </w:rPr>
        <w:t>acquired</w:t>
      </w:r>
      <w:r w:rsidR="00A24D56">
        <w:rPr>
          <w:szCs w:val="24"/>
        </w:rPr>
        <w:t xml:space="preserve"> and accounted for in the SDL adjustment</w:t>
      </w:r>
      <w:r w:rsidR="003E38F8">
        <w:rPr>
          <w:szCs w:val="24"/>
        </w:rPr>
        <w:t xml:space="preserve"> (which occurs progressively)</w:t>
      </w:r>
      <w:r w:rsidR="008017E6">
        <w:rPr>
          <w:szCs w:val="24"/>
        </w:rPr>
        <w:t xml:space="preserve"> for the full 605 GL supply contribution to be realised</w:t>
      </w:r>
      <w:r w:rsidR="004834C6">
        <w:rPr>
          <w:szCs w:val="24"/>
        </w:rPr>
        <w:t>. Until this point in time</w:t>
      </w:r>
      <w:r w:rsidR="00C05F7C">
        <w:rPr>
          <w:szCs w:val="24"/>
        </w:rPr>
        <w:t xml:space="preserve">, the supply contribution will need to be </w:t>
      </w:r>
      <w:r w:rsidR="00E05F5D">
        <w:rPr>
          <w:szCs w:val="24"/>
        </w:rPr>
        <w:t xml:space="preserve">limited </w:t>
      </w:r>
      <w:r w:rsidR="0029393E">
        <w:t xml:space="preserve">to ensure the SDL adjustment remains within the </w:t>
      </w:r>
      <w:proofErr w:type="spellStart"/>
      <w:r w:rsidR="0029393E">
        <w:t>net</w:t>
      </w:r>
      <w:proofErr w:type="spellEnd"/>
      <w:r w:rsidR="0029393E">
        <w:t xml:space="preserve"> five per cent limit</w:t>
      </w:r>
      <w:r w:rsidR="00C05F7C">
        <w:rPr>
          <w:szCs w:val="24"/>
        </w:rPr>
        <w:t>.</w:t>
      </w:r>
      <w:r>
        <w:rPr>
          <w:szCs w:val="24"/>
        </w:rPr>
        <w:t xml:space="preserve"> </w:t>
      </w:r>
      <w:r w:rsidR="00FC3F22">
        <w:rPr>
          <w:szCs w:val="24"/>
        </w:rPr>
        <w:t>If necessary, the effect of t</w:t>
      </w:r>
      <w:r w:rsidR="00A24D56">
        <w:t xml:space="preserve">his </w:t>
      </w:r>
      <w:r w:rsidR="00E766A8">
        <w:t xml:space="preserve">limit on </w:t>
      </w:r>
      <w:r w:rsidR="00A24D56">
        <w:t xml:space="preserve">the supply contribution will be </w:t>
      </w:r>
      <w:r w:rsidR="0029393E">
        <w:t xml:space="preserve">distributed </w:t>
      </w:r>
      <w:r w:rsidR="00A24D56">
        <w:t>between surface water SDL resource units</w:t>
      </w:r>
      <w:r w:rsidR="003E38F8">
        <w:t xml:space="preserve"> in a manner</w:t>
      </w:r>
      <w:r w:rsidR="00A24D56">
        <w:t xml:space="preserve"> proportional to </w:t>
      </w:r>
      <w:r w:rsidR="0029393E">
        <w:t xml:space="preserve">the volumes of the </w:t>
      </w:r>
      <w:r w:rsidR="00A24D56">
        <w:t xml:space="preserve">supply contribution </w:t>
      </w:r>
      <w:r w:rsidR="0029393E">
        <w:t>for each SDL resource unit</w:t>
      </w:r>
      <w:r w:rsidR="00FC3F22">
        <w:t xml:space="preserve">, until such time </w:t>
      </w:r>
      <w:r w:rsidR="000600E2">
        <w:t>there is at least</w:t>
      </w:r>
      <w:r w:rsidR="00FC3F22">
        <w:t xml:space="preserve"> 62 GL of efficiency contribution.</w:t>
      </w:r>
    </w:p>
    <w:p w:rsidR="00C05F7C" w:rsidRDefault="00C05F7C" w:rsidP="0081301F">
      <w:pPr>
        <w:shd w:val="clear" w:color="auto" w:fill="FFFFFF"/>
        <w:spacing w:after="0" w:line="240" w:lineRule="auto"/>
        <w:rPr>
          <w:rFonts w:ascii="Times New Roman" w:hAnsi="Times New Roman" w:cs="Times New Roman"/>
          <w:sz w:val="24"/>
        </w:rPr>
      </w:pPr>
    </w:p>
    <w:p w:rsidR="00A24D56" w:rsidRDefault="00A24D56" w:rsidP="00A24D56">
      <w:pPr>
        <w:pStyle w:val="Normal-em"/>
        <w:spacing w:after="0" w:line="240" w:lineRule="auto"/>
        <w:rPr>
          <w:szCs w:val="24"/>
        </w:rPr>
      </w:pPr>
      <w:r>
        <w:rPr>
          <w:szCs w:val="24"/>
        </w:rPr>
        <w:t xml:space="preserve">The efficiency contribution will increase over time as efficiency entitlements are acquired through notified efficiency measures. </w:t>
      </w:r>
      <w:r w:rsidR="00132737" w:rsidRPr="00954B1A">
        <w:rPr>
          <w:szCs w:val="24"/>
        </w:rPr>
        <w:t xml:space="preserve">There are two notified efficiency measures </w:t>
      </w:r>
      <w:r w:rsidR="004834C6">
        <w:rPr>
          <w:szCs w:val="24"/>
        </w:rPr>
        <w:t xml:space="preserve">that could be </w:t>
      </w:r>
      <w:r w:rsidR="00132737" w:rsidRPr="00954B1A">
        <w:rPr>
          <w:szCs w:val="24"/>
        </w:rPr>
        <w:t xml:space="preserve">rolled out in </w:t>
      </w:r>
      <w:r w:rsidR="004834C6">
        <w:rPr>
          <w:szCs w:val="24"/>
        </w:rPr>
        <w:t xml:space="preserve">any of the </w:t>
      </w:r>
      <w:r w:rsidR="00132737" w:rsidRPr="00954B1A">
        <w:rPr>
          <w:szCs w:val="24"/>
        </w:rPr>
        <w:t xml:space="preserve">SDL resource units up to 30 June 2024, firstly, </w:t>
      </w:r>
      <w:r w:rsidR="00460610">
        <w:rPr>
          <w:szCs w:val="24"/>
        </w:rPr>
        <w:t xml:space="preserve">through </w:t>
      </w:r>
      <w:r w:rsidR="00132737" w:rsidRPr="00954B1A">
        <w:rPr>
          <w:szCs w:val="24"/>
        </w:rPr>
        <w:t>on</w:t>
      </w:r>
      <w:r w:rsidR="00132737" w:rsidRPr="00954B1A">
        <w:rPr>
          <w:szCs w:val="24"/>
        </w:rPr>
        <w:noBreakHyphen/>
        <w:t xml:space="preserve">farm irrigation and other water use </w:t>
      </w:r>
      <w:r w:rsidR="000600E2">
        <w:rPr>
          <w:szCs w:val="24"/>
        </w:rPr>
        <w:t xml:space="preserve">efficiency </w:t>
      </w:r>
      <w:r w:rsidR="00132737" w:rsidRPr="00954B1A">
        <w:rPr>
          <w:szCs w:val="24"/>
        </w:rPr>
        <w:t xml:space="preserve">measures, and secondly, </w:t>
      </w:r>
      <w:r w:rsidR="00460610">
        <w:rPr>
          <w:szCs w:val="24"/>
        </w:rPr>
        <w:t xml:space="preserve">through </w:t>
      </w:r>
      <w:r w:rsidR="00132737" w:rsidRPr="00954B1A">
        <w:rPr>
          <w:szCs w:val="24"/>
        </w:rPr>
        <w:t xml:space="preserve">urban or industrial and mining areas water </w:t>
      </w:r>
      <w:r w:rsidR="000600E2">
        <w:rPr>
          <w:szCs w:val="24"/>
        </w:rPr>
        <w:t xml:space="preserve">efficiency </w:t>
      </w:r>
      <w:r w:rsidR="00132737" w:rsidRPr="00954B1A">
        <w:rPr>
          <w:szCs w:val="24"/>
        </w:rPr>
        <w:t xml:space="preserve">measures. </w:t>
      </w:r>
      <w:r w:rsidR="00787954" w:rsidRPr="00954B1A">
        <w:rPr>
          <w:szCs w:val="24"/>
        </w:rPr>
        <w:t>Funding is available for these efficiency measures from t</w:t>
      </w:r>
      <w:r w:rsidR="00132737" w:rsidRPr="00954B1A">
        <w:rPr>
          <w:szCs w:val="24"/>
        </w:rPr>
        <w:t>he Water for the Environment Special Account established under Part 2AA of the Water Act</w:t>
      </w:r>
      <w:r w:rsidR="00787954" w:rsidRPr="00954B1A">
        <w:rPr>
          <w:szCs w:val="24"/>
        </w:rPr>
        <w:t>.</w:t>
      </w:r>
      <w:r w:rsidR="00132737">
        <w:rPr>
          <w:szCs w:val="24"/>
        </w:rPr>
        <w:t xml:space="preserve"> </w:t>
      </w:r>
      <w:r w:rsidR="00E766A8">
        <w:rPr>
          <w:szCs w:val="24"/>
        </w:rPr>
        <w:t xml:space="preserve">The objective for efficiency measures is to increase environmental outcomes while maintaining or improving social and economic outcomes. </w:t>
      </w:r>
      <w:r w:rsidR="000600E2">
        <w:rPr>
          <w:szCs w:val="24"/>
        </w:rPr>
        <w:t>As at 5</w:t>
      </w:r>
      <w:r w:rsidR="00466045">
        <w:rPr>
          <w:szCs w:val="24"/>
        </w:rPr>
        <w:t xml:space="preserve"> December 2017, </w:t>
      </w:r>
      <w:r w:rsidR="00460610">
        <w:rPr>
          <w:szCs w:val="24"/>
        </w:rPr>
        <w:t>0.5</w:t>
      </w:r>
      <w:r w:rsidR="000600E2">
        <w:rPr>
          <w:szCs w:val="24"/>
        </w:rPr>
        <w:t> </w:t>
      </w:r>
      <w:r w:rsidR="008B6FEB" w:rsidRPr="00954B1A">
        <w:rPr>
          <w:szCs w:val="24"/>
        </w:rPr>
        <w:t>GL</w:t>
      </w:r>
      <w:r>
        <w:rPr>
          <w:szCs w:val="24"/>
        </w:rPr>
        <w:t xml:space="preserve"> in efficiency entitlements are listed on the Authority’s register of notified measures.</w:t>
      </w:r>
    </w:p>
    <w:p w:rsidR="00A24D56" w:rsidRDefault="00A24D56" w:rsidP="0081301F">
      <w:pPr>
        <w:shd w:val="clear" w:color="auto" w:fill="FFFFFF"/>
        <w:spacing w:after="0" w:line="240" w:lineRule="auto"/>
        <w:rPr>
          <w:rFonts w:ascii="Times New Roman" w:hAnsi="Times New Roman" w:cs="Times New Roman"/>
          <w:sz w:val="24"/>
        </w:rPr>
      </w:pPr>
    </w:p>
    <w:p w:rsidR="00B4039A" w:rsidRDefault="005308D0" w:rsidP="0081301F">
      <w:pPr>
        <w:shd w:val="clear" w:color="auto" w:fill="FFFFFF"/>
        <w:spacing w:after="0" w:line="240" w:lineRule="auto"/>
        <w:rPr>
          <w:rFonts w:ascii="Times New Roman" w:hAnsi="Times New Roman" w:cs="Times New Roman"/>
          <w:sz w:val="24"/>
        </w:rPr>
      </w:pPr>
      <w:r>
        <w:rPr>
          <w:rFonts w:ascii="Times New Roman" w:hAnsi="Times New Roman" w:cs="Times New Roman"/>
          <w:sz w:val="24"/>
        </w:rPr>
        <w:t>In accordance with section 7.05 of the Basin Plan</w:t>
      </w:r>
      <w:r w:rsidR="005A2E03">
        <w:rPr>
          <w:rFonts w:ascii="Times New Roman" w:hAnsi="Times New Roman" w:cs="Times New Roman"/>
          <w:sz w:val="24"/>
        </w:rPr>
        <w:t>,</w:t>
      </w:r>
      <w:r>
        <w:rPr>
          <w:rFonts w:ascii="Times New Roman" w:hAnsi="Times New Roman" w:cs="Times New Roman"/>
          <w:sz w:val="24"/>
        </w:rPr>
        <w:t xml:space="preserve"> the Authority consulted with the Basin Officials Committee on the proposed adjustments </w:t>
      </w:r>
      <w:r w:rsidR="007C2CC6">
        <w:rPr>
          <w:rFonts w:ascii="Times New Roman" w:hAnsi="Times New Roman" w:cs="Times New Roman"/>
          <w:sz w:val="24"/>
        </w:rPr>
        <w:t>in a draft determination report</w:t>
      </w:r>
      <w:r w:rsidR="00E766A8">
        <w:rPr>
          <w:rFonts w:ascii="Times New Roman" w:hAnsi="Times New Roman" w:cs="Times New Roman"/>
          <w:sz w:val="24"/>
        </w:rPr>
        <w:t>.</w:t>
      </w:r>
      <w:r w:rsidR="007C2CC6">
        <w:rPr>
          <w:rFonts w:ascii="Times New Roman" w:hAnsi="Times New Roman" w:cs="Times New Roman"/>
          <w:sz w:val="24"/>
        </w:rPr>
        <w:t xml:space="preserve"> </w:t>
      </w:r>
      <w:r>
        <w:rPr>
          <w:rFonts w:ascii="Times New Roman" w:hAnsi="Times New Roman" w:cs="Times New Roman"/>
          <w:sz w:val="24"/>
        </w:rPr>
        <w:t xml:space="preserve"> </w:t>
      </w:r>
    </w:p>
    <w:p w:rsidR="00B4039A" w:rsidRDefault="00B4039A" w:rsidP="0081301F">
      <w:pPr>
        <w:shd w:val="clear" w:color="auto" w:fill="FFFFFF"/>
        <w:spacing w:after="0" w:line="240" w:lineRule="auto"/>
        <w:rPr>
          <w:rFonts w:ascii="Times New Roman" w:hAnsi="Times New Roman" w:cs="Times New Roman"/>
          <w:sz w:val="24"/>
        </w:rPr>
      </w:pPr>
    </w:p>
    <w:p w:rsidR="005308D0" w:rsidRDefault="001F52D2" w:rsidP="0081301F">
      <w:pPr>
        <w:shd w:val="clear" w:color="auto" w:fill="FFFFFF"/>
        <w:spacing w:after="0" w:line="240" w:lineRule="auto"/>
        <w:rPr>
          <w:rFonts w:ascii="Times New Roman" w:hAnsi="Times New Roman" w:cs="Times New Roman"/>
          <w:sz w:val="24"/>
        </w:rPr>
      </w:pPr>
      <w:r>
        <w:rPr>
          <w:rFonts w:ascii="Times New Roman" w:hAnsi="Times New Roman" w:cs="Times New Roman"/>
          <w:sz w:val="24"/>
        </w:rPr>
        <w:t xml:space="preserve">The Committee was satisfied with the draft determination and advised that the Authority’s proposed supply contribution of 605 </w:t>
      </w:r>
      <w:r w:rsidR="008B6FEB">
        <w:rPr>
          <w:rFonts w:ascii="Times New Roman" w:hAnsi="Times New Roman" w:cs="Times New Roman"/>
          <w:sz w:val="24"/>
        </w:rPr>
        <w:t>GL</w:t>
      </w:r>
      <w:r>
        <w:rPr>
          <w:rFonts w:ascii="Times New Roman" w:hAnsi="Times New Roman" w:cs="Times New Roman"/>
          <w:sz w:val="24"/>
        </w:rPr>
        <w:t xml:space="preserve"> meets Basin Ministers’ expectations to offset the full remaining water recovery gap in the Southern Basin</w:t>
      </w:r>
      <w:r w:rsidR="007C1E99">
        <w:rPr>
          <w:rFonts w:ascii="Times New Roman" w:hAnsi="Times New Roman" w:cs="Times New Roman"/>
          <w:sz w:val="24"/>
        </w:rPr>
        <w:t>, when combined with the deliver</w:t>
      </w:r>
      <w:r w:rsidR="0088115E">
        <w:rPr>
          <w:rFonts w:ascii="Times New Roman" w:hAnsi="Times New Roman" w:cs="Times New Roman"/>
          <w:sz w:val="24"/>
        </w:rPr>
        <w:t>y</w:t>
      </w:r>
      <w:r w:rsidR="007C1E99">
        <w:rPr>
          <w:rFonts w:ascii="Times New Roman" w:hAnsi="Times New Roman" w:cs="Times New Roman"/>
          <w:sz w:val="24"/>
        </w:rPr>
        <w:t xml:space="preserve"> of all</w:t>
      </w:r>
      <w:r w:rsidR="001714BF">
        <w:rPr>
          <w:rFonts w:ascii="Times New Roman" w:hAnsi="Times New Roman" w:cs="Times New Roman"/>
          <w:sz w:val="24"/>
        </w:rPr>
        <w:t xml:space="preserve"> remaining</w:t>
      </w:r>
      <w:r w:rsidR="007C1E99">
        <w:rPr>
          <w:rFonts w:ascii="Times New Roman" w:hAnsi="Times New Roman" w:cs="Times New Roman"/>
          <w:sz w:val="24"/>
        </w:rPr>
        <w:t xml:space="preserve"> contracted water recovery</w:t>
      </w:r>
      <w:r>
        <w:rPr>
          <w:rFonts w:ascii="Times New Roman" w:hAnsi="Times New Roman" w:cs="Times New Roman"/>
          <w:sz w:val="24"/>
        </w:rPr>
        <w:t xml:space="preserve">. </w:t>
      </w:r>
      <w:r w:rsidR="002730CE">
        <w:rPr>
          <w:rFonts w:ascii="Times New Roman" w:hAnsi="Times New Roman" w:cs="Times New Roman"/>
          <w:sz w:val="24"/>
        </w:rPr>
        <w:t>The</w:t>
      </w:r>
      <w:r>
        <w:rPr>
          <w:rFonts w:ascii="Times New Roman" w:hAnsi="Times New Roman" w:cs="Times New Roman"/>
          <w:sz w:val="24"/>
        </w:rPr>
        <w:t xml:space="preserve"> full</w:t>
      </w:r>
      <w:r w:rsidR="002730CE">
        <w:rPr>
          <w:rFonts w:ascii="Times New Roman" w:hAnsi="Times New Roman" w:cs="Times New Roman"/>
          <w:sz w:val="24"/>
        </w:rPr>
        <w:t xml:space="preserve"> </w:t>
      </w:r>
      <w:r w:rsidR="001C4C16">
        <w:rPr>
          <w:rFonts w:ascii="Times New Roman" w:hAnsi="Times New Roman" w:cs="Times New Roman"/>
          <w:sz w:val="24"/>
        </w:rPr>
        <w:t>advice from the Committee</w:t>
      </w:r>
      <w:r w:rsidR="000600E2">
        <w:rPr>
          <w:rFonts w:ascii="Times New Roman" w:hAnsi="Times New Roman" w:cs="Times New Roman"/>
          <w:sz w:val="24"/>
        </w:rPr>
        <w:t xml:space="preserve"> (dated 21 </w:t>
      </w:r>
      <w:r w:rsidR="00FB6CC2">
        <w:rPr>
          <w:rFonts w:ascii="Times New Roman" w:hAnsi="Times New Roman" w:cs="Times New Roman"/>
          <w:sz w:val="24"/>
        </w:rPr>
        <w:t>September 2017)</w:t>
      </w:r>
      <w:r w:rsidR="001C4C16">
        <w:rPr>
          <w:rFonts w:ascii="Times New Roman" w:hAnsi="Times New Roman" w:cs="Times New Roman"/>
          <w:sz w:val="24"/>
        </w:rPr>
        <w:t xml:space="preserve"> is available </w:t>
      </w:r>
      <w:r w:rsidR="00001BAB">
        <w:rPr>
          <w:rFonts w:ascii="Times New Roman" w:hAnsi="Times New Roman" w:cs="Times New Roman"/>
          <w:sz w:val="24"/>
        </w:rPr>
        <w:t xml:space="preserve">at </w:t>
      </w:r>
      <w:hyperlink r:id="rId9" w:history="1">
        <w:r w:rsidR="00001BAB" w:rsidRPr="00D65654">
          <w:rPr>
            <w:rStyle w:val="Hyperlink"/>
            <w:rFonts w:ascii="Times New Roman" w:hAnsi="Times New Roman" w:cs="Times New Roman"/>
            <w:sz w:val="24"/>
          </w:rPr>
          <w:t>mdba.gov.au/publications/mdba-reports/sustainable-diversion-limit-adjustment-mechanism-assessment-draft</w:t>
        </w:r>
      </w:hyperlink>
      <w:r w:rsidR="00D65654">
        <w:rPr>
          <w:rFonts w:ascii="Times New Roman" w:hAnsi="Times New Roman" w:cs="Times New Roman"/>
          <w:sz w:val="24"/>
        </w:rPr>
        <w:t>.</w:t>
      </w:r>
      <w:r>
        <w:rPr>
          <w:rFonts w:ascii="Times New Roman" w:hAnsi="Times New Roman" w:cs="Times New Roman"/>
          <w:sz w:val="24"/>
        </w:rPr>
        <w:t xml:space="preserve"> </w:t>
      </w:r>
    </w:p>
    <w:p w:rsidR="00B15986" w:rsidRDefault="00B15986" w:rsidP="0081301F">
      <w:pPr>
        <w:shd w:val="clear" w:color="auto" w:fill="FFFFFF"/>
        <w:spacing w:after="0" w:line="240" w:lineRule="auto"/>
        <w:rPr>
          <w:rFonts w:ascii="Times New Roman" w:hAnsi="Times New Roman" w:cs="Times New Roman"/>
          <w:sz w:val="24"/>
        </w:rPr>
      </w:pPr>
    </w:p>
    <w:p w:rsidR="007752E9" w:rsidRDefault="00D65654" w:rsidP="0081301F">
      <w:pPr>
        <w:shd w:val="clear" w:color="auto" w:fill="FFFFFF"/>
        <w:spacing w:after="0" w:line="240" w:lineRule="auto"/>
        <w:rPr>
          <w:rFonts w:ascii="Times New Roman" w:hAnsi="Times New Roman" w:cs="Times New Roman"/>
          <w:sz w:val="24"/>
        </w:rPr>
      </w:pPr>
      <w:r>
        <w:rPr>
          <w:rFonts w:ascii="Times New Roman" w:hAnsi="Times New Roman" w:cs="Times New Roman"/>
          <w:sz w:val="24"/>
        </w:rPr>
        <w:lastRenderedPageBreak/>
        <w:t>T</w:t>
      </w:r>
      <w:r w:rsidR="005308D0">
        <w:rPr>
          <w:rFonts w:ascii="Times New Roman" w:hAnsi="Times New Roman" w:cs="Times New Roman"/>
          <w:sz w:val="24"/>
        </w:rPr>
        <w:t>he Authority published</w:t>
      </w:r>
      <w:r w:rsidR="007164B8">
        <w:rPr>
          <w:rFonts w:ascii="Times New Roman" w:hAnsi="Times New Roman" w:cs="Times New Roman"/>
          <w:sz w:val="24"/>
        </w:rPr>
        <w:t xml:space="preserve"> the</w:t>
      </w:r>
      <w:r w:rsidR="005308D0">
        <w:rPr>
          <w:rFonts w:ascii="Times New Roman" w:hAnsi="Times New Roman" w:cs="Times New Roman"/>
          <w:sz w:val="24"/>
        </w:rPr>
        <w:t xml:space="preserve"> </w:t>
      </w:r>
      <w:r w:rsidR="005308D0" w:rsidRPr="00DA0212">
        <w:rPr>
          <w:rFonts w:ascii="Times New Roman" w:hAnsi="Times New Roman" w:cs="Times New Roman"/>
          <w:i/>
          <w:sz w:val="24"/>
        </w:rPr>
        <w:t xml:space="preserve">Sustainable Diversion Limit Adjustment Mechanism: Draft </w:t>
      </w:r>
      <w:r w:rsidR="007C2CC6">
        <w:rPr>
          <w:rFonts w:ascii="Times New Roman" w:hAnsi="Times New Roman" w:cs="Times New Roman"/>
          <w:i/>
          <w:sz w:val="24"/>
        </w:rPr>
        <w:t xml:space="preserve">Determination </w:t>
      </w:r>
      <w:r w:rsidR="005308D0" w:rsidRPr="00DA0212">
        <w:rPr>
          <w:rFonts w:ascii="Times New Roman" w:hAnsi="Times New Roman" w:cs="Times New Roman"/>
          <w:i/>
          <w:sz w:val="24"/>
        </w:rPr>
        <w:t xml:space="preserve">Report </w:t>
      </w:r>
      <w:r w:rsidR="005308D0">
        <w:rPr>
          <w:rFonts w:ascii="Times New Roman" w:hAnsi="Times New Roman" w:cs="Times New Roman"/>
          <w:sz w:val="24"/>
        </w:rPr>
        <w:t>on its website</w:t>
      </w:r>
      <w:r w:rsidR="006A198F">
        <w:rPr>
          <w:rFonts w:ascii="Times New Roman" w:hAnsi="Times New Roman" w:cs="Times New Roman"/>
          <w:sz w:val="24"/>
        </w:rPr>
        <w:t xml:space="preserve"> </w:t>
      </w:r>
      <w:r w:rsidR="00E766A8">
        <w:rPr>
          <w:rFonts w:ascii="Times New Roman" w:hAnsi="Times New Roman" w:cs="Times New Roman"/>
          <w:sz w:val="24"/>
        </w:rPr>
        <w:t>in accordance with s</w:t>
      </w:r>
      <w:r>
        <w:rPr>
          <w:rFonts w:ascii="Times New Roman" w:hAnsi="Times New Roman" w:cs="Times New Roman"/>
          <w:sz w:val="24"/>
        </w:rPr>
        <w:t xml:space="preserve">ection </w:t>
      </w:r>
      <w:r w:rsidR="00E766A8">
        <w:rPr>
          <w:rFonts w:ascii="Times New Roman" w:hAnsi="Times New Roman" w:cs="Times New Roman"/>
          <w:sz w:val="24"/>
        </w:rPr>
        <w:t xml:space="preserve">7.05 of the Basin Plan </w:t>
      </w:r>
      <w:r w:rsidR="006A198F">
        <w:rPr>
          <w:rFonts w:ascii="Times New Roman" w:hAnsi="Times New Roman" w:cs="Times New Roman"/>
          <w:sz w:val="24"/>
        </w:rPr>
        <w:t xml:space="preserve">at </w:t>
      </w:r>
      <w:hyperlink r:id="rId10" w:history="1">
        <w:r w:rsidR="006A198F" w:rsidRPr="00D65654">
          <w:rPr>
            <w:rStyle w:val="Hyperlink"/>
            <w:rFonts w:ascii="Times New Roman" w:hAnsi="Times New Roman" w:cs="Times New Roman"/>
            <w:sz w:val="24"/>
          </w:rPr>
          <w:t>mdba.gov.au/publications/mdba-reports/sustainable-diversion-limit-adjustment-mechanism-assessment-draft</w:t>
        </w:r>
      </w:hyperlink>
      <w:r w:rsidR="006A198F">
        <w:rPr>
          <w:rFonts w:ascii="Times New Roman" w:hAnsi="Times New Roman" w:cs="Times New Roman"/>
          <w:sz w:val="24"/>
        </w:rPr>
        <w:t xml:space="preserve"> </w:t>
      </w:r>
      <w:r w:rsidR="005308D0">
        <w:rPr>
          <w:rFonts w:ascii="Times New Roman" w:hAnsi="Times New Roman" w:cs="Times New Roman"/>
          <w:sz w:val="24"/>
        </w:rPr>
        <w:t xml:space="preserve">and </w:t>
      </w:r>
      <w:r w:rsidR="00E37FA6" w:rsidRPr="00C23DC5">
        <w:rPr>
          <w:rFonts w:ascii="Times New Roman" w:hAnsi="Times New Roman" w:cs="Times New Roman"/>
          <w:sz w:val="24"/>
        </w:rPr>
        <w:t>invited</w:t>
      </w:r>
      <w:r w:rsidR="00E37FA6">
        <w:rPr>
          <w:rFonts w:ascii="Times New Roman" w:hAnsi="Times New Roman" w:cs="Times New Roman"/>
          <w:sz w:val="24"/>
        </w:rPr>
        <w:t xml:space="preserve"> the public to make submissions during a one month period running from 3 October to 3 November 2017. </w:t>
      </w:r>
      <w:r w:rsidR="005308D0">
        <w:rPr>
          <w:rFonts w:ascii="Times New Roman" w:hAnsi="Times New Roman" w:cs="Times New Roman"/>
          <w:sz w:val="24"/>
        </w:rPr>
        <w:t xml:space="preserve"> </w:t>
      </w:r>
    </w:p>
    <w:p w:rsidR="00B138E3" w:rsidRDefault="00B138E3" w:rsidP="0081301F">
      <w:pPr>
        <w:shd w:val="clear" w:color="auto" w:fill="FFFFFF"/>
        <w:spacing w:after="0" w:line="240" w:lineRule="auto"/>
        <w:rPr>
          <w:rFonts w:ascii="Times New Roman" w:hAnsi="Times New Roman" w:cs="Times New Roman"/>
          <w:sz w:val="24"/>
        </w:rPr>
      </w:pPr>
    </w:p>
    <w:p w:rsidR="00E766A8" w:rsidRDefault="00E766A8" w:rsidP="0081301F">
      <w:pPr>
        <w:shd w:val="clear" w:color="auto" w:fill="FFFFFF"/>
        <w:spacing w:after="0" w:line="240" w:lineRule="auto"/>
        <w:rPr>
          <w:rFonts w:ascii="Times New Roman" w:hAnsi="Times New Roman" w:cs="Times New Roman"/>
          <w:sz w:val="24"/>
        </w:rPr>
      </w:pPr>
      <w:r>
        <w:rPr>
          <w:rFonts w:ascii="Times New Roman" w:hAnsi="Times New Roman" w:cs="Times New Roman"/>
          <w:sz w:val="24"/>
        </w:rPr>
        <w:t>The Authority has considered both the advice of the Committee and the submissions made by the public in proposing the 2017 SDL adjustment.</w:t>
      </w:r>
    </w:p>
    <w:p w:rsidR="00E766A8" w:rsidRDefault="00E766A8" w:rsidP="0081301F">
      <w:pPr>
        <w:shd w:val="clear" w:color="auto" w:fill="FFFFFF"/>
        <w:spacing w:after="0" w:line="240" w:lineRule="auto"/>
        <w:rPr>
          <w:rFonts w:ascii="Times New Roman" w:hAnsi="Times New Roman" w:cs="Times New Roman"/>
          <w:sz w:val="24"/>
        </w:rPr>
      </w:pPr>
    </w:p>
    <w:p w:rsidR="00E85B0B" w:rsidRDefault="00E638D9" w:rsidP="0081301F">
      <w:pPr>
        <w:shd w:val="clear" w:color="auto" w:fill="FFFFFF"/>
        <w:spacing w:after="0" w:line="240" w:lineRule="auto"/>
        <w:rPr>
          <w:rFonts w:ascii="Times New Roman" w:hAnsi="Times New Roman" w:cs="Times New Roman"/>
          <w:sz w:val="24"/>
        </w:rPr>
      </w:pPr>
      <w:r>
        <w:rPr>
          <w:rFonts w:ascii="Times New Roman" w:hAnsi="Times New Roman" w:cs="Times New Roman"/>
          <w:sz w:val="24"/>
        </w:rPr>
        <w:t>Th</w:t>
      </w:r>
      <w:r w:rsidR="00F956B9">
        <w:rPr>
          <w:rFonts w:ascii="Times New Roman" w:hAnsi="Times New Roman" w:cs="Times New Roman"/>
          <w:sz w:val="24"/>
        </w:rPr>
        <w:t>e Authority proposed SDL adjustments to the Minister in accordance with s</w:t>
      </w:r>
      <w:r w:rsidR="00D65654">
        <w:rPr>
          <w:rFonts w:ascii="Times New Roman" w:hAnsi="Times New Roman" w:cs="Times New Roman"/>
          <w:sz w:val="24"/>
        </w:rPr>
        <w:t>ection</w:t>
      </w:r>
      <w:r w:rsidR="00F956B9">
        <w:rPr>
          <w:rFonts w:ascii="Times New Roman" w:hAnsi="Times New Roman" w:cs="Times New Roman"/>
          <w:sz w:val="24"/>
        </w:rPr>
        <w:t xml:space="preserve"> 23B of the Water Act. </w:t>
      </w:r>
      <w:r w:rsidR="00873A3F">
        <w:rPr>
          <w:rFonts w:ascii="Times New Roman" w:hAnsi="Times New Roman" w:cs="Times New Roman"/>
          <w:sz w:val="24"/>
        </w:rPr>
        <w:t>T</w:t>
      </w:r>
      <w:r w:rsidR="0081301F" w:rsidRPr="0081301F">
        <w:rPr>
          <w:rFonts w:ascii="Times New Roman" w:hAnsi="Times New Roman" w:cs="Times New Roman"/>
          <w:sz w:val="24"/>
        </w:rPr>
        <w:t>he</w:t>
      </w:r>
      <w:r w:rsidR="000600E2">
        <w:rPr>
          <w:rFonts w:ascii="Times New Roman" w:hAnsi="Times New Roman" w:cs="Times New Roman"/>
          <w:sz w:val="24"/>
        </w:rPr>
        <w:t xml:space="preserve"> 2017 SDL adjustment is set out in the</w:t>
      </w:r>
      <w:r w:rsidR="0081301F" w:rsidRPr="0081301F">
        <w:rPr>
          <w:rFonts w:ascii="Times New Roman" w:hAnsi="Times New Roman" w:cs="Times New Roman"/>
          <w:sz w:val="24"/>
        </w:rPr>
        <w:t xml:space="preserve"> </w:t>
      </w:r>
      <w:r w:rsidR="0081301F" w:rsidRPr="0081301F">
        <w:rPr>
          <w:rFonts w:ascii="Times New Roman" w:hAnsi="Times New Roman" w:cs="Times New Roman"/>
          <w:i/>
          <w:sz w:val="24"/>
        </w:rPr>
        <w:t xml:space="preserve">Basin Plan Amendment (SDL Adjustments) Instrument 2017 </w:t>
      </w:r>
      <w:r w:rsidR="0081301F" w:rsidRPr="0081301F">
        <w:rPr>
          <w:rFonts w:ascii="Times New Roman" w:hAnsi="Times New Roman" w:cs="Times New Roman"/>
          <w:sz w:val="24"/>
        </w:rPr>
        <w:t>(the Amendment Instrument)</w:t>
      </w:r>
      <w:r w:rsidR="000600E2">
        <w:rPr>
          <w:rFonts w:ascii="Times New Roman" w:hAnsi="Times New Roman" w:cs="Times New Roman"/>
          <w:sz w:val="24"/>
        </w:rPr>
        <w:t>,</w:t>
      </w:r>
      <w:r w:rsidR="0081301F" w:rsidRPr="0081301F">
        <w:rPr>
          <w:rFonts w:ascii="Times New Roman" w:hAnsi="Times New Roman" w:cs="Times New Roman"/>
          <w:sz w:val="24"/>
        </w:rPr>
        <w:t xml:space="preserve"> </w:t>
      </w:r>
      <w:r w:rsidR="00F956B9">
        <w:rPr>
          <w:rFonts w:ascii="Times New Roman" w:hAnsi="Times New Roman" w:cs="Times New Roman"/>
          <w:sz w:val="24"/>
        </w:rPr>
        <w:t xml:space="preserve">which gives effect to the proposed </w:t>
      </w:r>
      <w:r w:rsidR="007C2CC6">
        <w:rPr>
          <w:rFonts w:ascii="Times New Roman" w:hAnsi="Times New Roman" w:cs="Times New Roman"/>
          <w:sz w:val="24"/>
        </w:rPr>
        <w:t xml:space="preserve">2017 SDL </w:t>
      </w:r>
      <w:r w:rsidR="00F956B9">
        <w:rPr>
          <w:rFonts w:ascii="Times New Roman" w:hAnsi="Times New Roman" w:cs="Times New Roman"/>
          <w:sz w:val="24"/>
        </w:rPr>
        <w:t>adjustments</w:t>
      </w:r>
      <w:r w:rsidR="000600E2">
        <w:rPr>
          <w:rFonts w:ascii="Times New Roman" w:hAnsi="Times New Roman" w:cs="Times New Roman"/>
          <w:sz w:val="24"/>
        </w:rPr>
        <w:t xml:space="preserve"> set out in</w:t>
      </w:r>
      <w:r w:rsidR="00F956B9">
        <w:rPr>
          <w:rFonts w:ascii="Times New Roman" w:hAnsi="Times New Roman" w:cs="Times New Roman"/>
          <w:sz w:val="24"/>
        </w:rPr>
        <w:t xml:space="preserve"> </w:t>
      </w:r>
      <w:r w:rsidR="00CA491C">
        <w:rPr>
          <w:rFonts w:ascii="Times New Roman" w:hAnsi="Times New Roman" w:cs="Times New Roman"/>
          <w:sz w:val="24"/>
        </w:rPr>
        <w:t xml:space="preserve">the </w:t>
      </w:r>
      <w:r w:rsidR="00A93678" w:rsidRPr="00A93678">
        <w:rPr>
          <w:rFonts w:ascii="Times New Roman" w:hAnsi="Times New Roman" w:cs="Times New Roman"/>
          <w:i/>
          <w:sz w:val="24"/>
        </w:rPr>
        <w:t>Water (SDL Adjustments) Notice 2017</w:t>
      </w:r>
      <w:r w:rsidR="000600E2">
        <w:rPr>
          <w:rFonts w:ascii="Times New Roman" w:hAnsi="Times New Roman" w:cs="Times New Roman"/>
          <w:sz w:val="24"/>
        </w:rPr>
        <w:t>. This notice also includes</w:t>
      </w:r>
      <w:r w:rsidR="00932D51">
        <w:rPr>
          <w:rFonts w:ascii="Times New Roman" w:hAnsi="Times New Roman" w:cs="Times New Roman"/>
          <w:sz w:val="24"/>
        </w:rPr>
        <w:t xml:space="preserve"> an outline of material on which the Authority based its decision in determining the adjustments,</w:t>
      </w:r>
      <w:r w:rsidR="00F956B9">
        <w:rPr>
          <w:rFonts w:ascii="Times New Roman" w:hAnsi="Times New Roman" w:cs="Times New Roman"/>
          <w:sz w:val="24"/>
        </w:rPr>
        <w:t xml:space="preserve"> in accordance with s</w:t>
      </w:r>
      <w:r w:rsidR="00D65654">
        <w:rPr>
          <w:rFonts w:ascii="Times New Roman" w:hAnsi="Times New Roman" w:cs="Times New Roman"/>
          <w:sz w:val="24"/>
        </w:rPr>
        <w:t>ection</w:t>
      </w:r>
      <w:r w:rsidR="00F956B9">
        <w:rPr>
          <w:rFonts w:ascii="Times New Roman" w:hAnsi="Times New Roman" w:cs="Times New Roman"/>
          <w:sz w:val="24"/>
        </w:rPr>
        <w:t xml:space="preserve"> 23B of the </w:t>
      </w:r>
      <w:r w:rsidR="00787E0D">
        <w:rPr>
          <w:rFonts w:ascii="Times New Roman" w:hAnsi="Times New Roman" w:cs="Times New Roman"/>
          <w:sz w:val="24"/>
        </w:rPr>
        <w:t xml:space="preserve">Water </w:t>
      </w:r>
      <w:r w:rsidR="00F956B9">
        <w:rPr>
          <w:rFonts w:ascii="Times New Roman" w:hAnsi="Times New Roman" w:cs="Times New Roman"/>
          <w:sz w:val="24"/>
        </w:rPr>
        <w:t>Act.</w:t>
      </w:r>
      <w:r w:rsidR="001A4EAC" w:rsidDel="001A4EAC">
        <w:rPr>
          <w:rFonts w:ascii="Times New Roman" w:hAnsi="Times New Roman" w:cs="Times New Roman"/>
          <w:sz w:val="24"/>
        </w:rPr>
        <w:t xml:space="preserve"> </w:t>
      </w:r>
    </w:p>
    <w:p w:rsidR="00E85B0B" w:rsidRDefault="00E85B0B" w:rsidP="0081301F">
      <w:pPr>
        <w:shd w:val="clear" w:color="auto" w:fill="FFFFFF"/>
        <w:spacing w:after="0" w:line="240" w:lineRule="auto"/>
        <w:rPr>
          <w:rFonts w:ascii="Times New Roman" w:hAnsi="Times New Roman" w:cs="Times New Roman"/>
          <w:sz w:val="24"/>
        </w:rPr>
      </w:pPr>
    </w:p>
    <w:p w:rsidR="0081301F" w:rsidRPr="0081301F" w:rsidRDefault="00E85B0B" w:rsidP="0081301F">
      <w:pPr>
        <w:shd w:val="clear" w:color="auto" w:fill="FFFFFF"/>
        <w:spacing w:after="0" w:line="240" w:lineRule="auto"/>
        <w:rPr>
          <w:rFonts w:ascii="Times New Roman" w:hAnsi="Times New Roman" w:cs="Times New Roman"/>
          <w:sz w:val="24"/>
        </w:rPr>
      </w:pPr>
      <w:r>
        <w:rPr>
          <w:rFonts w:ascii="Times New Roman" w:hAnsi="Times New Roman" w:cs="Times New Roman"/>
          <w:sz w:val="24"/>
        </w:rPr>
        <w:t>In accordance with section 7.10(2) of the Basin Plan t</w:t>
      </w:r>
      <w:r w:rsidR="00C15499">
        <w:rPr>
          <w:rFonts w:ascii="Times New Roman" w:hAnsi="Times New Roman" w:cs="Times New Roman"/>
          <w:sz w:val="24"/>
        </w:rPr>
        <w:t xml:space="preserve">he Authority also advised the Minister on the implications </w:t>
      </w:r>
      <w:r w:rsidR="00BD0934">
        <w:rPr>
          <w:rFonts w:ascii="Times New Roman" w:hAnsi="Times New Roman" w:cs="Times New Roman"/>
          <w:sz w:val="24"/>
        </w:rPr>
        <w:t xml:space="preserve">of the proposed adjustments on declared </w:t>
      </w:r>
      <w:proofErr w:type="spellStart"/>
      <w:r w:rsidR="00BA2DF4">
        <w:rPr>
          <w:rFonts w:ascii="Times New Roman" w:hAnsi="Times New Roman" w:cs="Times New Roman"/>
          <w:sz w:val="24"/>
        </w:rPr>
        <w:t>Ramsar</w:t>
      </w:r>
      <w:proofErr w:type="spellEnd"/>
      <w:r w:rsidR="00D80A99">
        <w:rPr>
          <w:rFonts w:ascii="Times New Roman" w:hAnsi="Times New Roman" w:cs="Times New Roman"/>
          <w:sz w:val="24"/>
        </w:rPr>
        <w:t xml:space="preserve"> </w:t>
      </w:r>
      <w:r w:rsidR="00BD0934">
        <w:rPr>
          <w:rFonts w:ascii="Times New Roman" w:hAnsi="Times New Roman" w:cs="Times New Roman"/>
          <w:sz w:val="24"/>
        </w:rPr>
        <w:t>wetlands</w:t>
      </w:r>
      <w:r w:rsidR="00D80A99">
        <w:rPr>
          <w:rFonts w:ascii="Times New Roman" w:hAnsi="Times New Roman" w:cs="Times New Roman"/>
          <w:sz w:val="24"/>
        </w:rPr>
        <w:t xml:space="preserve"> </w:t>
      </w:r>
      <w:r w:rsidR="00BD0934">
        <w:rPr>
          <w:rFonts w:ascii="Times New Roman" w:hAnsi="Times New Roman" w:cs="Times New Roman"/>
          <w:sz w:val="24"/>
        </w:rPr>
        <w:t xml:space="preserve">included on the List of Wetlands of International Importance established under the </w:t>
      </w:r>
      <w:proofErr w:type="spellStart"/>
      <w:r>
        <w:rPr>
          <w:rFonts w:ascii="Times New Roman" w:hAnsi="Times New Roman" w:cs="Times New Roman"/>
          <w:sz w:val="24"/>
        </w:rPr>
        <w:t>Ramsar</w:t>
      </w:r>
      <w:proofErr w:type="spellEnd"/>
      <w:r>
        <w:rPr>
          <w:rFonts w:ascii="Times New Roman" w:hAnsi="Times New Roman" w:cs="Times New Roman"/>
          <w:sz w:val="24"/>
        </w:rPr>
        <w:t xml:space="preserve"> Convention.</w:t>
      </w:r>
      <w:r>
        <w:rPr>
          <w:rStyle w:val="FootnoteReference"/>
          <w:rFonts w:ascii="Times New Roman" w:hAnsi="Times New Roman" w:cs="Times New Roman"/>
          <w:sz w:val="24"/>
        </w:rPr>
        <w:footnoteReference w:id="2"/>
      </w:r>
      <w:r>
        <w:rPr>
          <w:rFonts w:ascii="Times New Roman" w:hAnsi="Times New Roman" w:cs="Times New Roman"/>
          <w:sz w:val="24"/>
        </w:rPr>
        <w:t xml:space="preserve"> </w:t>
      </w:r>
      <w:r w:rsidR="00D80A99" w:rsidRPr="007D64B5">
        <w:rPr>
          <w:rFonts w:ascii="Times New Roman" w:hAnsi="Times New Roman" w:cs="Times New Roman"/>
          <w:sz w:val="24"/>
        </w:rPr>
        <w:t xml:space="preserve">Eight </w:t>
      </w:r>
      <w:proofErr w:type="spellStart"/>
      <w:r w:rsidR="00D80A99" w:rsidRPr="007D64B5">
        <w:rPr>
          <w:rFonts w:ascii="Times New Roman" w:hAnsi="Times New Roman" w:cs="Times New Roman"/>
          <w:sz w:val="24"/>
        </w:rPr>
        <w:t>Ramsar</w:t>
      </w:r>
      <w:proofErr w:type="spellEnd"/>
      <w:r w:rsidR="00D80A99" w:rsidRPr="007D64B5">
        <w:rPr>
          <w:rFonts w:ascii="Times New Roman" w:hAnsi="Times New Roman" w:cs="Times New Roman"/>
          <w:sz w:val="24"/>
        </w:rPr>
        <w:t xml:space="preserve"> wetlands are located in the southern-connected Basin and are potentially affected by SDL adjustment projects (Barmah Forest, NSW Central Murray State Forests, Gunbower Forest, Hattah-</w:t>
      </w:r>
      <w:proofErr w:type="spellStart"/>
      <w:r w:rsidR="00D80A99" w:rsidRPr="007D64B5">
        <w:rPr>
          <w:rFonts w:ascii="Times New Roman" w:hAnsi="Times New Roman" w:cs="Times New Roman"/>
          <w:sz w:val="24"/>
        </w:rPr>
        <w:t>Kulkyne</w:t>
      </w:r>
      <w:proofErr w:type="spellEnd"/>
      <w:r w:rsidR="00D80A99" w:rsidRPr="007D64B5">
        <w:rPr>
          <w:rFonts w:ascii="Times New Roman" w:hAnsi="Times New Roman" w:cs="Times New Roman"/>
          <w:sz w:val="24"/>
        </w:rPr>
        <w:t xml:space="preserve"> Lakes, </w:t>
      </w:r>
      <w:proofErr w:type="spellStart"/>
      <w:r w:rsidR="00D80A99" w:rsidRPr="007D64B5">
        <w:rPr>
          <w:rFonts w:ascii="Times New Roman" w:hAnsi="Times New Roman" w:cs="Times New Roman"/>
          <w:sz w:val="24"/>
        </w:rPr>
        <w:t>Fivebough</w:t>
      </w:r>
      <w:proofErr w:type="spellEnd"/>
      <w:r w:rsidR="00D80A99" w:rsidRPr="007D64B5">
        <w:rPr>
          <w:rFonts w:ascii="Times New Roman" w:hAnsi="Times New Roman" w:cs="Times New Roman"/>
          <w:sz w:val="24"/>
        </w:rPr>
        <w:t xml:space="preserve"> and </w:t>
      </w:r>
      <w:proofErr w:type="spellStart"/>
      <w:r w:rsidR="00D80A99" w:rsidRPr="007D64B5">
        <w:rPr>
          <w:rFonts w:ascii="Times New Roman" w:hAnsi="Times New Roman" w:cs="Times New Roman"/>
          <w:sz w:val="24"/>
        </w:rPr>
        <w:t>Tuckerbil</w:t>
      </w:r>
      <w:proofErr w:type="spellEnd"/>
      <w:r w:rsidR="00D80A99" w:rsidRPr="007D64B5">
        <w:rPr>
          <w:rFonts w:ascii="Times New Roman" w:hAnsi="Times New Roman" w:cs="Times New Roman"/>
          <w:sz w:val="24"/>
        </w:rPr>
        <w:t xml:space="preserve"> Swamps, ‘Riverland’, </w:t>
      </w:r>
      <w:proofErr w:type="spellStart"/>
      <w:r w:rsidR="00D80A99" w:rsidRPr="007D64B5">
        <w:rPr>
          <w:rFonts w:ascii="Times New Roman" w:hAnsi="Times New Roman" w:cs="Times New Roman"/>
          <w:sz w:val="24"/>
        </w:rPr>
        <w:t>Banrock</w:t>
      </w:r>
      <w:proofErr w:type="spellEnd"/>
      <w:r w:rsidR="00D80A99" w:rsidRPr="007D64B5">
        <w:rPr>
          <w:rFonts w:ascii="Times New Roman" w:hAnsi="Times New Roman" w:cs="Times New Roman"/>
          <w:sz w:val="24"/>
        </w:rPr>
        <w:t xml:space="preserve"> Station Wetland Complex</w:t>
      </w:r>
      <w:r w:rsidR="00EC65C3">
        <w:rPr>
          <w:rFonts w:ascii="Times New Roman" w:hAnsi="Times New Roman" w:cs="Times New Roman"/>
          <w:sz w:val="24"/>
        </w:rPr>
        <w:t>,</w:t>
      </w:r>
      <w:r w:rsidR="00D80A99" w:rsidRPr="007D64B5">
        <w:rPr>
          <w:rFonts w:ascii="Times New Roman" w:hAnsi="Times New Roman" w:cs="Times New Roman"/>
          <w:sz w:val="24"/>
        </w:rPr>
        <w:t xml:space="preserve"> and the Coorong and Lakes Alexandrina and Albert). An analysis of the outcomes from the SDL adjustment package has determined that the proposed adjustments are not likely to have a significant impact on the eight relevant </w:t>
      </w:r>
      <w:proofErr w:type="spellStart"/>
      <w:r w:rsidR="00D80A99" w:rsidRPr="007D64B5">
        <w:rPr>
          <w:rFonts w:ascii="Times New Roman" w:hAnsi="Times New Roman" w:cs="Times New Roman"/>
          <w:sz w:val="24"/>
        </w:rPr>
        <w:t>Ramsar</w:t>
      </w:r>
      <w:proofErr w:type="spellEnd"/>
      <w:r w:rsidR="00D80A99" w:rsidRPr="007D64B5">
        <w:rPr>
          <w:rFonts w:ascii="Times New Roman" w:hAnsi="Times New Roman" w:cs="Times New Roman"/>
          <w:sz w:val="24"/>
        </w:rPr>
        <w:t xml:space="preserve"> wetlands. </w:t>
      </w:r>
      <w:r w:rsidR="00D80A99" w:rsidRPr="004E317F">
        <w:rPr>
          <w:rFonts w:ascii="Times New Roman" w:hAnsi="Times New Roman" w:cs="Times New Roman"/>
          <w:sz w:val="24"/>
        </w:rPr>
        <w:t>The Au</w:t>
      </w:r>
      <w:r w:rsidR="002E5878" w:rsidRPr="004E317F">
        <w:rPr>
          <w:rFonts w:ascii="Times New Roman" w:hAnsi="Times New Roman" w:cs="Times New Roman"/>
          <w:sz w:val="24"/>
        </w:rPr>
        <w:t xml:space="preserve">thority provided </w:t>
      </w:r>
      <w:r w:rsidR="00EC65C3">
        <w:rPr>
          <w:rFonts w:ascii="Times New Roman" w:hAnsi="Times New Roman" w:cs="Times New Roman"/>
          <w:sz w:val="24"/>
        </w:rPr>
        <w:t xml:space="preserve">the </w:t>
      </w:r>
      <w:r w:rsidR="00D80A99" w:rsidRPr="004E317F">
        <w:rPr>
          <w:rFonts w:ascii="Times New Roman" w:hAnsi="Times New Roman" w:cs="Times New Roman"/>
          <w:sz w:val="24"/>
        </w:rPr>
        <w:t xml:space="preserve">advice on the implications for </w:t>
      </w:r>
      <w:proofErr w:type="spellStart"/>
      <w:r w:rsidR="00D80A99" w:rsidRPr="004E317F">
        <w:rPr>
          <w:rFonts w:ascii="Times New Roman" w:hAnsi="Times New Roman" w:cs="Times New Roman"/>
          <w:sz w:val="24"/>
        </w:rPr>
        <w:t>Ramsar</w:t>
      </w:r>
      <w:proofErr w:type="spellEnd"/>
      <w:r w:rsidR="00D80A99" w:rsidRPr="004E317F">
        <w:rPr>
          <w:rFonts w:ascii="Times New Roman" w:hAnsi="Times New Roman" w:cs="Times New Roman"/>
          <w:sz w:val="24"/>
        </w:rPr>
        <w:t xml:space="preserve"> wetlands</w:t>
      </w:r>
      <w:r w:rsidR="00EC65C3" w:rsidRPr="00EC65C3">
        <w:rPr>
          <w:rFonts w:ascii="Times New Roman" w:hAnsi="Times New Roman" w:cs="Times New Roman"/>
          <w:sz w:val="24"/>
        </w:rPr>
        <w:t xml:space="preserve"> to the Minister</w:t>
      </w:r>
      <w:r w:rsidR="00D80A99" w:rsidRPr="004E317F">
        <w:rPr>
          <w:rFonts w:ascii="Times New Roman" w:hAnsi="Times New Roman" w:cs="Times New Roman"/>
          <w:sz w:val="24"/>
        </w:rPr>
        <w:t>.</w:t>
      </w:r>
    </w:p>
    <w:p w:rsidR="007608B8" w:rsidRPr="007D64B5" w:rsidRDefault="007608B8" w:rsidP="001A4EAC">
      <w:pPr>
        <w:shd w:val="clear" w:color="auto" w:fill="FFFFFF"/>
        <w:spacing w:after="0" w:line="240" w:lineRule="auto"/>
        <w:rPr>
          <w:rFonts w:ascii="Times New Roman" w:hAnsi="Times New Roman" w:cs="Times New Roman"/>
          <w:sz w:val="24"/>
        </w:rPr>
      </w:pPr>
    </w:p>
    <w:p w:rsidR="00AA7D2F" w:rsidRDefault="00E85B0B" w:rsidP="00AA7D2F">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In accordance with s</w:t>
      </w:r>
      <w:r w:rsidR="00942CA6">
        <w:rPr>
          <w:rFonts w:ascii="Times New Roman" w:hAnsi="Times New Roman" w:cs="Times New Roman"/>
          <w:sz w:val="24"/>
        </w:rPr>
        <w:t>ection</w:t>
      </w:r>
      <w:r>
        <w:rPr>
          <w:rFonts w:ascii="Times New Roman" w:hAnsi="Times New Roman" w:cs="Times New Roman"/>
          <w:sz w:val="24"/>
        </w:rPr>
        <w:t xml:space="preserve"> 23B</w:t>
      </w:r>
      <w:r w:rsidR="00D80A99">
        <w:rPr>
          <w:rFonts w:ascii="Times New Roman" w:hAnsi="Times New Roman" w:cs="Times New Roman"/>
          <w:sz w:val="24"/>
        </w:rPr>
        <w:t xml:space="preserve"> of the Water Act</w:t>
      </w:r>
      <w:r>
        <w:rPr>
          <w:rFonts w:ascii="Times New Roman" w:hAnsi="Times New Roman" w:cs="Times New Roman"/>
          <w:sz w:val="24"/>
        </w:rPr>
        <w:t xml:space="preserve"> </w:t>
      </w:r>
      <w:r w:rsidR="00D80A99">
        <w:rPr>
          <w:rFonts w:ascii="Times New Roman" w:hAnsi="Times New Roman" w:cs="Times New Roman"/>
          <w:sz w:val="24"/>
        </w:rPr>
        <w:t>the Minister has decided to adopt the Amendment Instrument.</w:t>
      </w:r>
    </w:p>
    <w:p w:rsidR="004A0578" w:rsidRDefault="004A0578" w:rsidP="00AA7D2F">
      <w:pPr>
        <w:tabs>
          <w:tab w:val="left" w:pos="1701"/>
          <w:tab w:val="right" w:pos="9072"/>
        </w:tabs>
        <w:spacing w:after="0" w:line="240" w:lineRule="auto"/>
        <w:rPr>
          <w:rFonts w:ascii="Times New Roman" w:hAnsi="Times New Roman" w:cs="Times New Roman"/>
          <w:sz w:val="24"/>
        </w:rPr>
      </w:pPr>
    </w:p>
    <w:p w:rsidR="00AA7D2F" w:rsidRDefault="00AA7D2F" w:rsidP="00AA7D2F">
      <w:pPr>
        <w:tabs>
          <w:tab w:val="left" w:pos="1701"/>
          <w:tab w:val="right" w:pos="9072"/>
        </w:tabs>
        <w:spacing w:after="0" w:line="240" w:lineRule="auto"/>
        <w:rPr>
          <w:rFonts w:ascii="Times New Roman" w:hAnsi="Times New Roman" w:cs="Times New Roman"/>
          <w:sz w:val="24"/>
        </w:rPr>
      </w:pPr>
      <w:r w:rsidRPr="006E0B17">
        <w:rPr>
          <w:rFonts w:ascii="Times New Roman" w:hAnsi="Times New Roman" w:cs="Times New Roman"/>
          <w:sz w:val="24"/>
        </w:rPr>
        <w:t>The Amendment Instrument</w:t>
      </w:r>
      <w:r w:rsidR="0029393E">
        <w:rPr>
          <w:rFonts w:ascii="Times New Roman" w:hAnsi="Times New Roman" w:cs="Times New Roman"/>
          <w:sz w:val="24"/>
        </w:rPr>
        <w:t xml:space="preserve"> </w:t>
      </w:r>
      <w:r w:rsidRPr="006E0B17">
        <w:rPr>
          <w:rFonts w:ascii="Times New Roman" w:hAnsi="Times New Roman" w:cs="Times New Roman"/>
          <w:sz w:val="24"/>
        </w:rPr>
        <w:t xml:space="preserve">is a legislative instrument, which is required to be tabled in Parliament </w:t>
      </w:r>
      <w:r>
        <w:rPr>
          <w:rFonts w:ascii="Times New Roman" w:hAnsi="Times New Roman" w:cs="Times New Roman"/>
          <w:sz w:val="24"/>
        </w:rPr>
        <w:t>and is subject to disallowance</w:t>
      </w:r>
      <w:r w:rsidRPr="006E0B17">
        <w:rPr>
          <w:rFonts w:ascii="Times New Roman" w:hAnsi="Times New Roman" w:cs="Times New Roman"/>
          <w:sz w:val="24"/>
        </w:rPr>
        <w:t xml:space="preserve"> in accordance with the requirements of the </w:t>
      </w:r>
      <w:r w:rsidRPr="006E0B17">
        <w:rPr>
          <w:rFonts w:ascii="Times New Roman" w:hAnsi="Times New Roman" w:cs="Times New Roman"/>
          <w:i/>
          <w:sz w:val="24"/>
        </w:rPr>
        <w:t>Legislation Act 2003</w:t>
      </w:r>
      <w:r w:rsidRPr="006E0B17">
        <w:rPr>
          <w:rFonts w:ascii="Times New Roman" w:hAnsi="Times New Roman" w:cs="Times New Roman"/>
          <w:sz w:val="24"/>
        </w:rPr>
        <w:t>.</w:t>
      </w:r>
    </w:p>
    <w:p w:rsidR="004C5262" w:rsidRDefault="004C5262" w:rsidP="00AA7D2F">
      <w:pPr>
        <w:tabs>
          <w:tab w:val="left" w:pos="1701"/>
          <w:tab w:val="right" w:pos="9072"/>
        </w:tabs>
        <w:spacing w:after="0" w:line="240" w:lineRule="auto"/>
        <w:rPr>
          <w:rFonts w:ascii="Times New Roman" w:hAnsi="Times New Roman" w:cs="Times New Roman"/>
          <w:sz w:val="24"/>
        </w:rPr>
      </w:pPr>
    </w:p>
    <w:p w:rsidR="004C5262" w:rsidRPr="00943B74" w:rsidRDefault="004C5262" w:rsidP="00AA7D2F">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w:t>
      </w:r>
      <w:r w:rsidR="00A93678" w:rsidRPr="00A93678">
        <w:rPr>
          <w:rFonts w:ascii="Times New Roman" w:hAnsi="Times New Roman" w:cs="Times New Roman"/>
          <w:i/>
          <w:sz w:val="24"/>
        </w:rPr>
        <w:t>Water (SDL Adjustments) Notice 2017</w:t>
      </w:r>
      <w:r w:rsidR="00A93678">
        <w:rPr>
          <w:rFonts w:ascii="Times New Roman" w:hAnsi="Times New Roman" w:cs="Times New Roman"/>
          <w:sz w:val="24"/>
        </w:rPr>
        <w:t xml:space="preserve">, </w:t>
      </w:r>
      <w:r>
        <w:rPr>
          <w:rFonts w:ascii="Times New Roman" w:hAnsi="Times New Roman" w:cs="Times New Roman"/>
          <w:sz w:val="24"/>
        </w:rPr>
        <w:t>also tabled with the Amendment Instrument</w:t>
      </w:r>
      <w:r w:rsidR="00FB6CC2">
        <w:rPr>
          <w:rFonts w:ascii="Times New Roman" w:hAnsi="Times New Roman" w:cs="Times New Roman"/>
          <w:sz w:val="24"/>
        </w:rPr>
        <w:t xml:space="preserve"> in accordance with the requirements of section 23B of the Water Act</w:t>
      </w:r>
      <w:r w:rsidR="00A93678">
        <w:rPr>
          <w:rFonts w:ascii="Times New Roman" w:hAnsi="Times New Roman" w:cs="Times New Roman"/>
          <w:sz w:val="24"/>
        </w:rPr>
        <w:t>,</w:t>
      </w:r>
      <w:r>
        <w:rPr>
          <w:rFonts w:ascii="Times New Roman" w:hAnsi="Times New Roman" w:cs="Times New Roman"/>
          <w:sz w:val="24"/>
        </w:rPr>
        <w:t xml:space="preserve"> is not a legislative instrument.</w:t>
      </w:r>
    </w:p>
    <w:p w:rsidR="002B1DB3" w:rsidRDefault="002B1DB3" w:rsidP="001C09FB">
      <w:pPr>
        <w:tabs>
          <w:tab w:val="left" w:pos="2760"/>
        </w:tabs>
        <w:spacing w:after="0" w:line="240" w:lineRule="auto"/>
        <w:rPr>
          <w:rFonts w:ascii="Times New Roman" w:hAnsi="Times New Roman" w:cs="Times New Roman"/>
          <w:color w:val="000000" w:themeColor="text1"/>
          <w:sz w:val="24"/>
          <w:szCs w:val="24"/>
        </w:rPr>
      </w:pPr>
    </w:p>
    <w:p w:rsidR="002B1DB3" w:rsidRPr="005D698C" w:rsidRDefault="002B1DB3" w:rsidP="00EE1D9B">
      <w:pPr>
        <w:keepNext/>
        <w:tabs>
          <w:tab w:val="left" w:pos="1701"/>
          <w:tab w:val="right" w:pos="9072"/>
        </w:tabs>
        <w:spacing w:after="0" w:line="240" w:lineRule="auto"/>
        <w:rPr>
          <w:rFonts w:ascii="Times New Roman" w:hAnsi="Times New Roman" w:cs="Times New Roman"/>
          <w:b/>
          <w:color w:val="000000" w:themeColor="text1"/>
          <w:sz w:val="24"/>
          <w:szCs w:val="24"/>
        </w:rPr>
      </w:pPr>
      <w:r w:rsidRPr="005D698C">
        <w:rPr>
          <w:rFonts w:ascii="Times New Roman" w:hAnsi="Times New Roman" w:cs="Times New Roman"/>
          <w:b/>
          <w:color w:val="000000" w:themeColor="text1"/>
          <w:sz w:val="24"/>
          <w:szCs w:val="24"/>
        </w:rPr>
        <w:t>Purpose</w:t>
      </w:r>
    </w:p>
    <w:p w:rsidR="002B1DB3" w:rsidRPr="005D698C" w:rsidRDefault="002B1DB3" w:rsidP="00535093">
      <w:pPr>
        <w:keepNext/>
        <w:tabs>
          <w:tab w:val="right" w:pos="9072"/>
        </w:tabs>
        <w:spacing w:after="0" w:line="240" w:lineRule="auto"/>
        <w:rPr>
          <w:rFonts w:ascii="Times New Roman" w:hAnsi="Times New Roman" w:cs="Times New Roman"/>
          <w:color w:val="000000" w:themeColor="text1"/>
          <w:sz w:val="24"/>
          <w:szCs w:val="24"/>
        </w:rPr>
      </w:pPr>
    </w:p>
    <w:p w:rsidR="001C09FB" w:rsidRPr="009E6C8D" w:rsidRDefault="005D698C" w:rsidP="001C09F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The purpose of the Amendment Instrument is to</w:t>
      </w:r>
      <w:r w:rsidR="00016236">
        <w:rPr>
          <w:rFonts w:ascii="Times New Roman" w:hAnsi="Times New Roman" w:cs="Times New Roman"/>
          <w:sz w:val="24"/>
        </w:rPr>
        <w:t xml:space="preserve"> </w:t>
      </w:r>
      <w:r w:rsidR="007164B8">
        <w:rPr>
          <w:rFonts w:ascii="Times New Roman" w:hAnsi="Times New Roman" w:cs="Times New Roman"/>
          <w:sz w:val="24"/>
        </w:rPr>
        <w:t xml:space="preserve">adjust </w:t>
      </w:r>
      <w:r w:rsidR="00016236">
        <w:rPr>
          <w:rFonts w:ascii="Times New Roman" w:hAnsi="Times New Roman" w:cs="Times New Roman"/>
          <w:sz w:val="24"/>
        </w:rPr>
        <w:t>the Basin Plan surface water SDLs in accordance with the</w:t>
      </w:r>
      <w:r w:rsidR="00490CB8">
        <w:rPr>
          <w:rFonts w:ascii="Times New Roman" w:hAnsi="Times New Roman" w:cs="Times New Roman"/>
          <w:sz w:val="24"/>
        </w:rPr>
        <w:t xml:space="preserve"> </w:t>
      </w:r>
      <w:r w:rsidR="00016236">
        <w:rPr>
          <w:rFonts w:ascii="Times New Roman" w:hAnsi="Times New Roman" w:cs="Times New Roman"/>
          <w:sz w:val="24"/>
        </w:rPr>
        <w:t xml:space="preserve">recommendation </w:t>
      </w:r>
      <w:r w:rsidR="00490CB8">
        <w:rPr>
          <w:rFonts w:ascii="Times New Roman" w:hAnsi="Times New Roman" w:cs="Times New Roman"/>
          <w:sz w:val="24"/>
        </w:rPr>
        <w:t>by the Authority to the Minister</w:t>
      </w:r>
      <w:r w:rsidR="007164B8">
        <w:rPr>
          <w:rFonts w:ascii="Times New Roman" w:hAnsi="Times New Roman" w:cs="Times New Roman"/>
          <w:sz w:val="24"/>
        </w:rPr>
        <w:t xml:space="preserve"> made under section 23B of the Act</w:t>
      </w:r>
      <w:r w:rsidR="00490CB8">
        <w:rPr>
          <w:rFonts w:ascii="Times New Roman" w:hAnsi="Times New Roman" w:cs="Times New Roman"/>
          <w:sz w:val="24"/>
        </w:rPr>
        <w:t xml:space="preserve">. </w:t>
      </w:r>
    </w:p>
    <w:p w:rsidR="002B1DB3" w:rsidRPr="002C57CD" w:rsidRDefault="002B1DB3" w:rsidP="005D1ABF">
      <w:pPr>
        <w:tabs>
          <w:tab w:val="right" w:pos="9072"/>
        </w:tabs>
        <w:spacing w:after="0" w:line="240" w:lineRule="auto"/>
        <w:rPr>
          <w:rFonts w:ascii="Times New Roman" w:hAnsi="Times New Roman" w:cs="Times New Roman"/>
          <w:color w:val="000000" w:themeColor="text1"/>
          <w:sz w:val="24"/>
          <w:szCs w:val="24"/>
        </w:rPr>
      </w:pPr>
    </w:p>
    <w:p w:rsidR="00C4122D" w:rsidRDefault="00C4122D" w:rsidP="005D1ABF">
      <w:pPr>
        <w:tabs>
          <w:tab w:val="left" w:pos="1701"/>
          <w:tab w:val="right" w:pos="9072"/>
        </w:tabs>
        <w:spacing w:after="0" w:line="240" w:lineRule="auto"/>
        <w:rPr>
          <w:rFonts w:ascii="Times New Roman" w:hAnsi="Times New Roman" w:cs="Times New Roman"/>
          <w:b/>
          <w:color w:val="000000" w:themeColor="text1"/>
          <w:sz w:val="24"/>
          <w:szCs w:val="24"/>
        </w:rPr>
      </w:pPr>
    </w:p>
    <w:p w:rsidR="00C4122D" w:rsidRDefault="00C4122D" w:rsidP="005D1ABF">
      <w:pPr>
        <w:tabs>
          <w:tab w:val="left" w:pos="1701"/>
          <w:tab w:val="right" w:pos="9072"/>
        </w:tabs>
        <w:spacing w:after="0" w:line="240" w:lineRule="auto"/>
        <w:rPr>
          <w:rFonts w:ascii="Times New Roman" w:hAnsi="Times New Roman" w:cs="Times New Roman"/>
          <w:b/>
          <w:color w:val="000000" w:themeColor="text1"/>
          <w:sz w:val="24"/>
          <w:szCs w:val="24"/>
        </w:rPr>
      </w:pPr>
    </w:p>
    <w:p w:rsidR="00C4122D" w:rsidRDefault="00C4122D" w:rsidP="005D1ABF">
      <w:pPr>
        <w:tabs>
          <w:tab w:val="left" w:pos="1701"/>
          <w:tab w:val="right" w:pos="9072"/>
        </w:tabs>
        <w:spacing w:after="0" w:line="240" w:lineRule="auto"/>
        <w:rPr>
          <w:rFonts w:ascii="Times New Roman" w:hAnsi="Times New Roman" w:cs="Times New Roman"/>
          <w:b/>
          <w:color w:val="000000" w:themeColor="text1"/>
          <w:sz w:val="24"/>
          <w:szCs w:val="24"/>
        </w:rPr>
      </w:pPr>
    </w:p>
    <w:p w:rsidR="002B1DB3" w:rsidRPr="002C57CD"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2C57CD">
        <w:rPr>
          <w:rFonts w:ascii="Times New Roman" w:hAnsi="Times New Roman" w:cs="Times New Roman"/>
          <w:b/>
          <w:color w:val="000000" w:themeColor="text1"/>
          <w:sz w:val="24"/>
          <w:szCs w:val="24"/>
        </w:rPr>
        <w:lastRenderedPageBreak/>
        <w:t>Impact and Effect</w:t>
      </w:r>
    </w:p>
    <w:p w:rsidR="002B1DB3" w:rsidRPr="00535093" w:rsidRDefault="002B1DB3" w:rsidP="005D1ABF">
      <w:pPr>
        <w:tabs>
          <w:tab w:val="right" w:pos="9072"/>
        </w:tabs>
        <w:spacing w:after="0" w:line="240" w:lineRule="auto"/>
        <w:rPr>
          <w:rFonts w:ascii="Times New Roman" w:hAnsi="Times New Roman" w:cs="Times New Roman"/>
          <w:sz w:val="24"/>
          <w:szCs w:val="24"/>
        </w:rPr>
      </w:pPr>
    </w:p>
    <w:p w:rsidR="00C617D3" w:rsidRPr="00535093" w:rsidRDefault="00C617D3" w:rsidP="005D1ABF">
      <w:pPr>
        <w:tabs>
          <w:tab w:val="right" w:pos="9072"/>
        </w:tabs>
        <w:spacing w:after="0" w:line="240" w:lineRule="auto"/>
        <w:rPr>
          <w:rFonts w:ascii="Times New Roman" w:hAnsi="Times New Roman" w:cs="Times New Roman"/>
          <w:sz w:val="24"/>
          <w:szCs w:val="24"/>
        </w:rPr>
      </w:pPr>
      <w:r w:rsidRPr="00535093">
        <w:rPr>
          <w:rFonts w:ascii="Times New Roman" w:hAnsi="Times New Roman" w:cs="Times New Roman"/>
          <w:sz w:val="24"/>
          <w:szCs w:val="24"/>
        </w:rPr>
        <w:t xml:space="preserve">The Amendment Instrument has the effect of enabling </w:t>
      </w:r>
      <w:r w:rsidR="00372453">
        <w:rPr>
          <w:rFonts w:ascii="Times New Roman" w:hAnsi="Times New Roman" w:cs="Times New Roman"/>
          <w:sz w:val="24"/>
          <w:szCs w:val="24"/>
        </w:rPr>
        <w:t xml:space="preserve">a net adjustment </w:t>
      </w:r>
      <w:r w:rsidR="00DE12B2">
        <w:rPr>
          <w:rFonts w:ascii="Times New Roman" w:hAnsi="Times New Roman" w:cs="Times New Roman"/>
          <w:sz w:val="24"/>
          <w:szCs w:val="24"/>
        </w:rPr>
        <w:t xml:space="preserve">in 2017 </w:t>
      </w:r>
      <w:r w:rsidR="00372453">
        <w:rPr>
          <w:rFonts w:ascii="Times New Roman" w:hAnsi="Times New Roman" w:cs="Times New Roman"/>
          <w:sz w:val="24"/>
          <w:szCs w:val="24"/>
        </w:rPr>
        <w:t xml:space="preserve">to the </w:t>
      </w:r>
      <w:r w:rsidRPr="00535093">
        <w:rPr>
          <w:rFonts w:ascii="Times New Roman" w:hAnsi="Times New Roman" w:cs="Times New Roman"/>
          <w:sz w:val="24"/>
          <w:szCs w:val="24"/>
        </w:rPr>
        <w:t xml:space="preserve">Basin-wide SDLs </w:t>
      </w:r>
      <w:r w:rsidR="00FA4526">
        <w:rPr>
          <w:rFonts w:ascii="Times New Roman" w:hAnsi="Times New Roman" w:cs="Times New Roman"/>
          <w:sz w:val="24"/>
          <w:szCs w:val="24"/>
        </w:rPr>
        <w:t xml:space="preserve">of </w:t>
      </w:r>
      <w:r w:rsidRPr="00535093">
        <w:rPr>
          <w:rFonts w:ascii="Times New Roman" w:hAnsi="Times New Roman" w:cs="Times New Roman"/>
          <w:sz w:val="24"/>
          <w:szCs w:val="24"/>
        </w:rPr>
        <w:t xml:space="preserve">up to </w:t>
      </w:r>
      <w:r w:rsidRPr="00046F76">
        <w:rPr>
          <w:rFonts w:ascii="Times New Roman" w:hAnsi="Times New Roman" w:cs="Times New Roman"/>
          <w:sz w:val="24"/>
          <w:szCs w:val="24"/>
        </w:rPr>
        <w:t>543</w:t>
      </w:r>
      <w:r w:rsidRPr="00535093">
        <w:rPr>
          <w:rFonts w:ascii="Times New Roman" w:hAnsi="Times New Roman" w:cs="Times New Roman"/>
          <w:sz w:val="24"/>
          <w:szCs w:val="24"/>
        </w:rPr>
        <w:t> </w:t>
      </w:r>
      <w:r w:rsidR="008B6FEB">
        <w:rPr>
          <w:rFonts w:ascii="Times New Roman" w:hAnsi="Times New Roman" w:cs="Times New Roman"/>
          <w:sz w:val="24"/>
          <w:szCs w:val="24"/>
        </w:rPr>
        <w:t>GL</w:t>
      </w:r>
      <w:r w:rsidRPr="00535093">
        <w:rPr>
          <w:rFonts w:ascii="Times New Roman" w:hAnsi="Times New Roman" w:cs="Times New Roman"/>
          <w:sz w:val="24"/>
          <w:szCs w:val="24"/>
        </w:rPr>
        <w:t xml:space="preserve"> per year. </w:t>
      </w:r>
    </w:p>
    <w:p w:rsidR="00C617D3" w:rsidRPr="00535093" w:rsidRDefault="00C617D3" w:rsidP="005D1ABF">
      <w:pPr>
        <w:tabs>
          <w:tab w:val="right" w:pos="9072"/>
        </w:tabs>
        <w:spacing w:after="0" w:line="240" w:lineRule="auto"/>
        <w:rPr>
          <w:rFonts w:ascii="Times New Roman" w:hAnsi="Times New Roman" w:cs="Times New Roman"/>
          <w:sz w:val="24"/>
          <w:szCs w:val="24"/>
        </w:rPr>
      </w:pPr>
    </w:p>
    <w:p w:rsidR="00C23F5A" w:rsidRPr="00535093" w:rsidRDefault="00C23F5A" w:rsidP="005D1ABF">
      <w:pPr>
        <w:tabs>
          <w:tab w:val="right" w:pos="9072"/>
        </w:tabs>
        <w:spacing w:after="0" w:line="240" w:lineRule="auto"/>
        <w:rPr>
          <w:rFonts w:ascii="Times New Roman" w:hAnsi="Times New Roman" w:cs="Times New Roman"/>
          <w:sz w:val="24"/>
          <w:szCs w:val="24"/>
        </w:rPr>
      </w:pPr>
      <w:r w:rsidRPr="00535093">
        <w:rPr>
          <w:rFonts w:ascii="Times New Roman" w:hAnsi="Times New Roman" w:cs="Times New Roman"/>
          <w:sz w:val="24"/>
          <w:szCs w:val="24"/>
        </w:rPr>
        <w:t>The notifi</w:t>
      </w:r>
      <w:r w:rsidR="00C55E6F">
        <w:rPr>
          <w:rFonts w:ascii="Times New Roman" w:hAnsi="Times New Roman" w:cs="Times New Roman"/>
          <w:sz w:val="24"/>
          <w:szCs w:val="24"/>
        </w:rPr>
        <w:t xml:space="preserve">ed supply measures will enable </w:t>
      </w:r>
      <w:r w:rsidRPr="00535093">
        <w:rPr>
          <w:rFonts w:ascii="Times New Roman" w:hAnsi="Times New Roman" w:cs="Times New Roman"/>
          <w:sz w:val="24"/>
          <w:szCs w:val="24"/>
        </w:rPr>
        <w:t xml:space="preserve">environmental outcomes </w:t>
      </w:r>
      <w:r w:rsidR="00C55E6F">
        <w:rPr>
          <w:rFonts w:ascii="Times New Roman" w:hAnsi="Times New Roman" w:cs="Times New Roman"/>
          <w:sz w:val="24"/>
          <w:szCs w:val="24"/>
        </w:rPr>
        <w:t xml:space="preserve">equivalent to those anticipated under the </w:t>
      </w:r>
      <w:r w:rsidR="00C4122D" w:rsidRPr="00C4122D">
        <w:rPr>
          <w:rFonts w:ascii="Times New Roman" w:hAnsi="Times New Roman" w:cs="Times New Roman"/>
          <w:sz w:val="24"/>
          <w:szCs w:val="24"/>
        </w:rPr>
        <w:t>Basin Plan</w:t>
      </w:r>
      <w:r w:rsidR="00C55E6F" w:rsidRPr="00C4122D">
        <w:rPr>
          <w:rFonts w:ascii="Times New Roman" w:hAnsi="Times New Roman" w:cs="Times New Roman"/>
          <w:sz w:val="24"/>
          <w:szCs w:val="24"/>
        </w:rPr>
        <w:t xml:space="preserve"> </w:t>
      </w:r>
      <w:r w:rsidRPr="00C4122D">
        <w:rPr>
          <w:rFonts w:ascii="Times New Roman" w:hAnsi="Times New Roman" w:cs="Times New Roman"/>
          <w:sz w:val="24"/>
          <w:szCs w:val="24"/>
        </w:rPr>
        <w:t>t</w:t>
      </w:r>
      <w:r w:rsidRPr="00535093">
        <w:rPr>
          <w:rFonts w:ascii="Times New Roman" w:hAnsi="Times New Roman" w:cs="Times New Roman"/>
          <w:sz w:val="24"/>
          <w:szCs w:val="24"/>
        </w:rPr>
        <w:t>o be achieved with a</w:t>
      </w:r>
      <w:r w:rsidR="00C002F6" w:rsidRPr="00535093">
        <w:rPr>
          <w:rFonts w:ascii="Times New Roman" w:hAnsi="Times New Roman" w:cs="Times New Roman"/>
          <w:sz w:val="24"/>
          <w:szCs w:val="24"/>
        </w:rPr>
        <w:t xml:space="preserve"> 605 </w:t>
      </w:r>
      <w:r w:rsidR="008B6FEB">
        <w:rPr>
          <w:rFonts w:ascii="Times New Roman" w:hAnsi="Times New Roman" w:cs="Times New Roman"/>
          <w:sz w:val="24"/>
          <w:szCs w:val="24"/>
        </w:rPr>
        <w:t>GL</w:t>
      </w:r>
      <w:r w:rsidR="00C002F6" w:rsidRPr="00535093">
        <w:rPr>
          <w:rFonts w:ascii="Times New Roman" w:hAnsi="Times New Roman" w:cs="Times New Roman"/>
          <w:sz w:val="24"/>
          <w:szCs w:val="24"/>
        </w:rPr>
        <w:t xml:space="preserve"> increase </w:t>
      </w:r>
      <w:r w:rsidRPr="00535093">
        <w:rPr>
          <w:rFonts w:ascii="Times New Roman" w:hAnsi="Times New Roman" w:cs="Times New Roman"/>
          <w:sz w:val="24"/>
          <w:szCs w:val="24"/>
        </w:rPr>
        <w:t xml:space="preserve">in the SDLs. This </w:t>
      </w:r>
      <w:r w:rsidR="00C55E6F">
        <w:rPr>
          <w:rFonts w:ascii="Times New Roman" w:hAnsi="Times New Roman" w:cs="Times New Roman"/>
          <w:sz w:val="24"/>
          <w:szCs w:val="24"/>
        </w:rPr>
        <w:t>serves to</w:t>
      </w:r>
      <w:r w:rsidRPr="00535093">
        <w:rPr>
          <w:rFonts w:ascii="Times New Roman" w:hAnsi="Times New Roman" w:cs="Times New Roman"/>
          <w:sz w:val="24"/>
          <w:szCs w:val="24"/>
        </w:rPr>
        <w:t xml:space="preserve"> minimise the remaining environmental water recovery task. </w:t>
      </w:r>
    </w:p>
    <w:p w:rsidR="00C23F5A" w:rsidRPr="00535093" w:rsidRDefault="00C23F5A" w:rsidP="005D1ABF">
      <w:pPr>
        <w:tabs>
          <w:tab w:val="right" w:pos="9072"/>
        </w:tabs>
        <w:spacing w:after="0" w:line="240" w:lineRule="auto"/>
        <w:rPr>
          <w:rFonts w:ascii="Times New Roman" w:hAnsi="Times New Roman" w:cs="Times New Roman"/>
          <w:sz w:val="24"/>
          <w:szCs w:val="24"/>
        </w:rPr>
      </w:pPr>
    </w:p>
    <w:p w:rsidR="00C23F5A" w:rsidRPr="00535093" w:rsidRDefault="00F52E39" w:rsidP="005D1ABF">
      <w:pPr>
        <w:tabs>
          <w:tab w:val="right" w:pos="9072"/>
        </w:tabs>
        <w:spacing w:after="0" w:line="240" w:lineRule="auto"/>
        <w:rPr>
          <w:rFonts w:ascii="Times New Roman" w:hAnsi="Times New Roman" w:cs="Times New Roman"/>
          <w:sz w:val="24"/>
          <w:szCs w:val="24"/>
        </w:rPr>
      </w:pPr>
      <w:r w:rsidRPr="00535093">
        <w:rPr>
          <w:rFonts w:ascii="Times New Roman" w:hAnsi="Times New Roman" w:cs="Times New Roman"/>
          <w:sz w:val="24"/>
          <w:szCs w:val="24"/>
        </w:rPr>
        <w:t>Two efficiency measures have been notified, enabling efficiency entitlements to be acquired</w:t>
      </w:r>
      <w:r w:rsidR="007164B8">
        <w:rPr>
          <w:rFonts w:ascii="Times New Roman" w:hAnsi="Times New Roman" w:cs="Times New Roman"/>
          <w:sz w:val="24"/>
          <w:szCs w:val="24"/>
        </w:rPr>
        <w:t xml:space="preserve"> and decrease the SDLs accordingly</w:t>
      </w:r>
      <w:r w:rsidRPr="00535093">
        <w:rPr>
          <w:rFonts w:ascii="Times New Roman" w:hAnsi="Times New Roman" w:cs="Times New Roman"/>
          <w:sz w:val="24"/>
          <w:szCs w:val="24"/>
        </w:rPr>
        <w:t xml:space="preserve">. </w:t>
      </w:r>
      <w:r w:rsidR="00C002F6" w:rsidRPr="00535093">
        <w:rPr>
          <w:rFonts w:ascii="Times New Roman" w:hAnsi="Times New Roman" w:cs="Times New Roman"/>
          <w:sz w:val="24"/>
          <w:szCs w:val="24"/>
        </w:rPr>
        <w:t xml:space="preserve">The </w:t>
      </w:r>
      <w:r w:rsidRPr="00535093">
        <w:rPr>
          <w:rFonts w:ascii="Times New Roman" w:hAnsi="Times New Roman" w:cs="Times New Roman"/>
          <w:sz w:val="24"/>
          <w:szCs w:val="24"/>
        </w:rPr>
        <w:t xml:space="preserve">SDL adjustment formula </w:t>
      </w:r>
      <w:r w:rsidR="00C002F6" w:rsidRPr="00535093">
        <w:rPr>
          <w:rFonts w:ascii="Times New Roman" w:hAnsi="Times New Roman" w:cs="Times New Roman"/>
          <w:sz w:val="24"/>
          <w:szCs w:val="24"/>
        </w:rPr>
        <w:t>in the Amendment Instrument provides for the SDL adjustment amount to decrease to reflect the efficiency contribution</w:t>
      </w:r>
      <w:r w:rsidRPr="00535093">
        <w:rPr>
          <w:rFonts w:ascii="Times New Roman" w:hAnsi="Times New Roman" w:cs="Times New Roman"/>
          <w:sz w:val="24"/>
          <w:szCs w:val="24"/>
        </w:rPr>
        <w:t xml:space="preserve">. </w:t>
      </w:r>
      <w:r w:rsidR="002C6947" w:rsidRPr="00535093">
        <w:rPr>
          <w:rFonts w:ascii="Times New Roman" w:hAnsi="Times New Roman" w:cs="Times New Roman"/>
          <w:sz w:val="24"/>
          <w:szCs w:val="24"/>
        </w:rPr>
        <w:t xml:space="preserve">Efficiency measures can be funded through the Water for the Environment Special Account established in section 86AB of the Act. </w:t>
      </w:r>
    </w:p>
    <w:p w:rsidR="00C23F5A" w:rsidRPr="00535093" w:rsidRDefault="00C23F5A" w:rsidP="005D1ABF">
      <w:pPr>
        <w:tabs>
          <w:tab w:val="right" w:pos="9072"/>
        </w:tabs>
        <w:spacing w:after="0" w:line="240" w:lineRule="auto"/>
        <w:rPr>
          <w:rFonts w:ascii="Times New Roman" w:hAnsi="Times New Roman" w:cs="Times New Roman"/>
          <w:sz w:val="24"/>
          <w:szCs w:val="24"/>
        </w:rPr>
      </w:pPr>
    </w:p>
    <w:p w:rsidR="00C23F5A" w:rsidRPr="00535093" w:rsidRDefault="002C6947" w:rsidP="005D1ABF">
      <w:pPr>
        <w:tabs>
          <w:tab w:val="right" w:pos="9072"/>
        </w:tabs>
        <w:spacing w:after="0" w:line="240" w:lineRule="auto"/>
        <w:rPr>
          <w:rFonts w:ascii="Times New Roman" w:hAnsi="Times New Roman" w:cs="Times New Roman"/>
          <w:sz w:val="24"/>
          <w:szCs w:val="24"/>
        </w:rPr>
      </w:pPr>
      <w:r w:rsidRPr="00535093">
        <w:rPr>
          <w:rFonts w:ascii="Times New Roman" w:hAnsi="Times New Roman" w:cs="Times New Roman"/>
          <w:sz w:val="24"/>
          <w:szCs w:val="24"/>
        </w:rPr>
        <w:t xml:space="preserve">Due to the </w:t>
      </w:r>
      <w:r w:rsidR="00FA4526">
        <w:rPr>
          <w:rFonts w:ascii="Times New Roman" w:hAnsi="Times New Roman" w:cs="Times New Roman"/>
          <w:sz w:val="24"/>
          <w:szCs w:val="24"/>
        </w:rPr>
        <w:t xml:space="preserve">net </w:t>
      </w:r>
      <w:r w:rsidRPr="00535093">
        <w:rPr>
          <w:rFonts w:ascii="Times New Roman" w:hAnsi="Times New Roman" w:cs="Times New Roman"/>
          <w:sz w:val="24"/>
          <w:szCs w:val="24"/>
        </w:rPr>
        <w:t>five per </w:t>
      </w:r>
      <w:r w:rsidR="00CF29F8">
        <w:rPr>
          <w:rFonts w:ascii="Times New Roman" w:hAnsi="Times New Roman" w:cs="Times New Roman"/>
          <w:sz w:val="24"/>
          <w:szCs w:val="24"/>
        </w:rPr>
        <w:t xml:space="preserve">cent </w:t>
      </w:r>
      <w:r w:rsidRPr="00535093">
        <w:rPr>
          <w:rFonts w:ascii="Times New Roman" w:hAnsi="Times New Roman" w:cs="Times New Roman"/>
          <w:sz w:val="24"/>
          <w:szCs w:val="24"/>
        </w:rPr>
        <w:t>limit on the SDL adjustment</w:t>
      </w:r>
      <w:r w:rsidR="00E27F41">
        <w:rPr>
          <w:rFonts w:ascii="Times New Roman" w:hAnsi="Times New Roman" w:cs="Times New Roman"/>
          <w:sz w:val="24"/>
          <w:szCs w:val="24"/>
        </w:rPr>
        <w:t xml:space="preserve"> under the Basin Plan</w:t>
      </w:r>
      <w:r w:rsidRPr="00535093">
        <w:rPr>
          <w:rFonts w:ascii="Times New Roman" w:hAnsi="Times New Roman" w:cs="Times New Roman"/>
          <w:sz w:val="24"/>
          <w:szCs w:val="24"/>
        </w:rPr>
        <w:t xml:space="preserve">, the full effect of the notified supply measures will not </w:t>
      </w:r>
      <w:r w:rsidR="0098385C">
        <w:rPr>
          <w:rFonts w:ascii="Times New Roman" w:hAnsi="Times New Roman" w:cs="Times New Roman"/>
          <w:sz w:val="24"/>
          <w:szCs w:val="24"/>
        </w:rPr>
        <w:t xml:space="preserve">take effect </w:t>
      </w:r>
      <w:r w:rsidRPr="00535093">
        <w:rPr>
          <w:rFonts w:ascii="Times New Roman" w:hAnsi="Times New Roman" w:cs="Times New Roman"/>
          <w:sz w:val="24"/>
          <w:szCs w:val="24"/>
        </w:rPr>
        <w:t xml:space="preserve">until at least </w:t>
      </w:r>
      <w:r w:rsidR="00D426B4">
        <w:rPr>
          <w:rFonts w:ascii="Times New Roman" w:hAnsi="Times New Roman" w:cs="Times New Roman"/>
          <w:sz w:val="24"/>
          <w:szCs w:val="24"/>
        </w:rPr>
        <w:t>62</w:t>
      </w:r>
      <w:r w:rsidRPr="00535093">
        <w:rPr>
          <w:rFonts w:ascii="Times New Roman" w:hAnsi="Times New Roman" w:cs="Times New Roman"/>
          <w:sz w:val="24"/>
          <w:szCs w:val="24"/>
        </w:rPr>
        <w:t> </w:t>
      </w:r>
      <w:r w:rsidR="008B6FEB">
        <w:rPr>
          <w:rFonts w:ascii="Times New Roman" w:hAnsi="Times New Roman" w:cs="Times New Roman"/>
          <w:sz w:val="24"/>
          <w:szCs w:val="24"/>
        </w:rPr>
        <w:t>GL</w:t>
      </w:r>
      <w:r w:rsidRPr="00535093">
        <w:rPr>
          <w:rFonts w:ascii="Times New Roman" w:hAnsi="Times New Roman" w:cs="Times New Roman"/>
          <w:sz w:val="24"/>
          <w:szCs w:val="24"/>
        </w:rPr>
        <w:t xml:space="preserve"> of efficiency entitlements have been acquired.</w:t>
      </w:r>
    </w:p>
    <w:p w:rsidR="002C6947" w:rsidRPr="00535093" w:rsidRDefault="002C6947" w:rsidP="005D1ABF">
      <w:pPr>
        <w:tabs>
          <w:tab w:val="right" w:pos="9072"/>
        </w:tabs>
        <w:spacing w:after="0" w:line="240" w:lineRule="auto"/>
        <w:rPr>
          <w:rFonts w:ascii="Times New Roman" w:hAnsi="Times New Roman" w:cs="Times New Roman"/>
          <w:sz w:val="24"/>
          <w:szCs w:val="24"/>
        </w:rPr>
      </w:pPr>
    </w:p>
    <w:p w:rsidR="00F46B5C" w:rsidRPr="00535093" w:rsidRDefault="004A0578"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O</w:t>
      </w:r>
      <w:r w:rsidR="0063098B">
        <w:rPr>
          <w:rFonts w:ascii="Times New Roman" w:hAnsi="Times New Roman" w:cs="Times New Roman"/>
          <w:sz w:val="24"/>
          <w:szCs w:val="24"/>
        </w:rPr>
        <w:t xml:space="preserve">n 9 June 2017 </w:t>
      </w:r>
      <w:r w:rsidR="00ED6CE3" w:rsidRPr="00535093">
        <w:rPr>
          <w:rFonts w:ascii="Times New Roman" w:hAnsi="Times New Roman" w:cs="Times New Roman"/>
          <w:sz w:val="24"/>
          <w:szCs w:val="24"/>
        </w:rPr>
        <w:t xml:space="preserve">the </w:t>
      </w:r>
      <w:r w:rsidR="00EC65C3">
        <w:rPr>
          <w:rFonts w:ascii="Times New Roman" w:hAnsi="Times New Roman" w:cs="Times New Roman"/>
          <w:sz w:val="24"/>
          <w:szCs w:val="24"/>
        </w:rPr>
        <w:t>COAG</w:t>
      </w:r>
      <w:r w:rsidR="0063098B">
        <w:rPr>
          <w:rFonts w:ascii="Times New Roman" w:hAnsi="Times New Roman" w:cs="Times New Roman"/>
          <w:sz w:val="24"/>
          <w:szCs w:val="24"/>
        </w:rPr>
        <w:t xml:space="preserve"> endorsed the </w:t>
      </w:r>
      <w:r w:rsidR="0063098B" w:rsidRPr="00535093">
        <w:rPr>
          <w:rFonts w:ascii="Times New Roman" w:hAnsi="Times New Roman" w:cs="Times New Roman"/>
          <w:sz w:val="24"/>
          <w:szCs w:val="24"/>
        </w:rPr>
        <w:t>report by the Murray-Darling Basin Ministerial Council</w:t>
      </w:r>
      <w:r w:rsidR="00ED6CE3" w:rsidRPr="00535093">
        <w:rPr>
          <w:rFonts w:ascii="Times New Roman" w:hAnsi="Times New Roman" w:cs="Times New Roman"/>
          <w:sz w:val="24"/>
          <w:szCs w:val="24"/>
        </w:rPr>
        <w:t xml:space="preserve">, </w:t>
      </w:r>
      <w:r w:rsidR="00ED6CE3" w:rsidRPr="00535093">
        <w:rPr>
          <w:rFonts w:ascii="Times New Roman" w:hAnsi="Times New Roman" w:cs="Times New Roman"/>
          <w:i/>
          <w:sz w:val="24"/>
          <w:szCs w:val="24"/>
        </w:rPr>
        <w:t>Implementing the Basin Plan</w:t>
      </w:r>
      <w:r w:rsidR="0063098B">
        <w:rPr>
          <w:rFonts w:ascii="Times New Roman" w:hAnsi="Times New Roman" w:cs="Times New Roman"/>
          <w:i/>
          <w:sz w:val="24"/>
          <w:szCs w:val="24"/>
        </w:rPr>
        <w:t xml:space="preserve">, </w:t>
      </w:r>
      <w:r w:rsidR="0063098B">
        <w:rPr>
          <w:rFonts w:ascii="Times New Roman" w:hAnsi="Times New Roman" w:cs="Times New Roman"/>
          <w:sz w:val="24"/>
          <w:szCs w:val="24"/>
        </w:rPr>
        <w:t xml:space="preserve">outlining the overall approach taken to </w:t>
      </w:r>
      <w:r w:rsidR="007164B8">
        <w:rPr>
          <w:rFonts w:ascii="Times New Roman" w:hAnsi="Times New Roman" w:cs="Times New Roman"/>
          <w:sz w:val="24"/>
          <w:szCs w:val="24"/>
        </w:rPr>
        <w:t xml:space="preserve">the </w:t>
      </w:r>
      <w:r w:rsidR="0063098B">
        <w:rPr>
          <w:rFonts w:ascii="Times New Roman" w:hAnsi="Times New Roman" w:cs="Times New Roman"/>
          <w:sz w:val="24"/>
          <w:szCs w:val="24"/>
        </w:rPr>
        <w:t xml:space="preserve">implementation of the </w:t>
      </w:r>
      <w:r>
        <w:rPr>
          <w:rFonts w:ascii="Times New Roman" w:hAnsi="Times New Roman" w:cs="Times New Roman"/>
          <w:sz w:val="24"/>
          <w:szCs w:val="24"/>
        </w:rPr>
        <w:t xml:space="preserve">2017 </w:t>
      </w:r>
      <w:r w:rsidR="0063098B">
        <w:rPr>
          <w:rFonts w:ascii="Times New Roman" w:hAnsi="Times New Roman" w:cs="Times New Roman"/>
          <w:sz w:val="24"/>
          <w:szCs w:val="24"/>
        </w:rPr>
        <w:t xml:space="preserve">SDL adjustment. </w:t>
      </w:r>
      <w:r w:rsidR="00EC65C3">
        <w:rPr>
          <w:rFonts w:ascii="Times New Roman" w:hAnsi="Times New Roman" w:cs="Times New Roman"/>
          <w:sz w:val="24"/>
          <w:szCs w:val="24"/>
        </w:rPr>
        <w:t xml:space="preserve">The </w:t>
      </w:r>
      <w:r w:rsidR="0063098B">
        <w:rPr>
          <w:rFonts w:ascii="Times New Roman" w:hAnsi="Times New Roman" w:cs="Times New Roman"/>
          <w:sz w:val="24"/>
          <w:szCs w:val="24"/>
        </w:rPr>
        <w:t>COAG endorsed the report as</w:t>
      </w:r>
      <w:r>
        <w:rPr>
          <w:rFonts w:ascii="Times New Roman" w:hAnsi="Times New Roman" w:cs="Times New Roman"/>
          <w:sz w:val="24"/>
          <w:szCs w:val="24"/>
        </w:rPr>
        <w:t xml:space="preserve"> </w:t>
      </w:r>
      <w:r w:rsidR="00ED6CE3" w:rsidRPr="00535093">
        <w:rPr>
          <w:rFonts w:ascii="Times New Roman" w:hAnsi="Times New Roman" w:cs="Times New Roman"/>
          <w:sz w:val="24"/>
          <w:szCs w:val="24"/>
        </w:rPr>
        <w:t>providing a credible and balanced pathway to implement the Basin Plan package agreed in 2012, including:</w:t>
      </w:r>
    </w:p>
    <w:p w:rsidR="00ED6CE3" w:rsidRPr="00535093" w:rsidRDefault="00ED6CE3" w:rsidP="00ED6CE3">
      <w:pPr>
        <w:pStyle w:val="ListParagraph"/>
        <w:numPr>
          <w:ilvl w:val="0"/>
          <w:numId w:val="20"/>
        </w:numPr>
        <w:tabs>
          <w:tab w:val="right" w:pos="9072"/>
        </w:tabs>
        <w:spacing w:after="0" w:line="240" w:lineRule="auto"/>
        <w:rPr>
          <w:rFonts w:ascii="Times New Roman" w:hAnsi="Times New Roman" w:cs="Times New Roman"/>
          <w:sz w:val="24"/>
          <w:szCs w:val="24"/>
        </w:rPr>
      </w:pPr>
      <w:r w:rsidRPr="00535093">
        <w:rPr>
          <w:rFonts w:ascii="Times New Roman" w:hAnsi="Times New Roman" w:cs="Times New Roman"/>
          <w:sz w:val="24"/>
          <w:szCs w:val="24"/>
        </w:rPr>
        <w:t>supply measures to offset the Basin Plan water recovery target of 2,750 </w:t>
      </w:r>
      <w:r w:rsidR="008B6FEB">
        <w:rPr>
          <w:rFonts w:ascii="Times New Roman" w:hAnsi="Times New Roman" w:cs="Times New Roman"/>
          <w:sz w:val="24"/>
          <w:szCs w:val="24"/>
        </w:rPr>
        <w:t>GL</w:t>
      </w:r>
      <w:r w:rsidRPr="00535093">
        <w:rPr>
          <w:rFonts w:ascii="Times New Roman" w:hAnsi="Times New Roman" w:cs="Times New Roman"/>
          <w:sz w:val="24"/>
          <w:szCs w:val="24"/>
        </w:rPr>
        <w:t xml:space="preserve"> by 2019, using the SDL adjustment mechanism;</w:t>
      </w:r>
    </w:p>
    <w:p w:rsidR="00ED6CE3" w:rsidRPr="00535093" w:rsidRDefault="00ED6CE3" w:rsidP="00ED6CE3">
      <w:pPr>
        <w:pStyle w:val="ListParagraph"/>
        <w:numPr>
          <w:ilvl w:val="0"/>
          <w:numId w:val="20"/>
        </w:numPr>
        <w:tabs>
          <w:tab w:val="right" w:pos="9072"/>
        </w:tabs>
        <w:spacing w:after="0" w:line="240" w:lineRule="auto"/>
        <w:rPr>
          <w:rFonts w:ascii="Times New Roman" w:hAnsi="Times New Roman" w:cs="Times New Roman"/>
          <w:sz w:val="24"/>
          <w:szCs w:val="24"/>
        </w:rPr>
      </w:pPr>
      <w:r w:rsidRPr="00535093">
        <w:rPr>
          <w:rFonts w:ascii="Times New Roman" w:hAnsi="Times New Roman" w:cs="Times New Roman"/>
          <w:sz w:val="24"/>
          <w:szCs w:val="24"/>
        </w:rPr>
        <w:t>constraints measures to address impediments to delivering environmental water; and</w:t>
      </w:r>
    </w:p>
    <w:p w:rsidR="00ED6CE3" w:rsidRPr="00535093" w:rsidRDefault="00ED6CE3" w:rsidP="00ED6CE3">
      <w:pPr>
        <w:pStyle w:val="ListParagraph"/>
        <w:numPr>
          <w:ilvl w:val="0"/>
          <w:numId w:val="20"/>
        </w:numPr>
        <w:tabs>
          <w:tab w:val="right" w:pos="9072"/>
        </w:tabs>
        <w:spacing w:after="0" w:line="240" w:lineRule="auto"/>
        <w:rPr>
          <w:rFonts w:ascii="Times New Roman" w:hAnsi="Times New Roman" w:cs="Times New Roman"/>
          <w:sz w:val="24"/>
          <w:szCs w:val="24"/>
        </w:rPr>
      </w:pPr>
      <w:proofErr w:type="gramStart"/>
      <w:r w:rsidRPr="00535093">
        <w:rPr>
          <w:rFonts w:ascii="Times New Roman" w:hAnsi="Times New Roman" w:cs="Times New Roman"/>
          <w:sz w:val="24"/>
          <w:szCs w:val="24"/>
        </w:rPr>
        <w:t>efficiency</w:t>
      </w:r>
      <w:proofErr w:type="gramEnd"/>
      <w:r w:rsidRPr="00535093">
        <w:rPr>
          <w:rFonts w:ascii="Times New Roman" w:hAnsi="Times New Roman" w:cs="Times New Roman"/>
          <w:sz w:val="24"/>
          <w:szCs w:val="24"/>
        </w:rPr>
        <w:t xml:space="preserve"> measures to recover an additional 450 </w:t>
      </w:r>
      <w:r w:rsidR="008B6FEB">
        <w:rPr>
          <w:rFonts w:ascii="Times New Roman" w:hAnsi="Times New Roman" w:cs="Times New Roman"/>
          <w:sz w:val="24"/>
          <w:szCs w:val="24"/>
        </w:rPr>
        <w:t>GL</w:t>
      </w:r>
      <w:r w:rsidRPr="00535093">
        <w:rPr>
          <w:rFonts w:ascii="Times New Roman" w:hAnsi="Times New Roman" w:cs="Times New Roman"/>
          <w:sz w:val="24"/>
          <w:szCs w:val="24"/>
        </w:rPr>
        <w:t xml:space="preserve"> by 2024, consistent with the Basin Plan legal requirement to achieve neutral or improved socio-economic outcomes.</w:t>
      </w:r>
    </w:p>
    <w:p w:rsidR="00F46B5C" w:rsidRPr="00535093" w:rsidRDefault="00F46B5C" w:rsidP="005D1ABF">
      <w:pPr>
        <w:tabs>
          <w:tab w:val="right" w:pos="9072"/>
        </w:tabs>
        <w:spacing w:after="0" w:line="240" w:lineRule="auto"/>
        <w:rPr>
          <w:rFonts w:ascii="Times New Roman" w:hAnsi="Times New Roman" w:cs="Times New Roman"/>
          <w:sz w:val="24"/>
          <w:szCs w:val="24"/>
        </w:rPr>
      </w:pPr>
    </w:p>
    <w:p w:rsidR="002B1DB3" w:rsidRPr="00535093" w:rsidRDefault="002B1DB3" w:rsidP="00FA4526">
      <w:pPr>
        <w:keepNext/>
        <w:tabs>
          <w:tab w:val="left" w:pos="1701"/>
          <w:tab w:val="right" w:pos="9072"/>
        </w:tabs>
        <w:spacing w:after="0" w:line="240" w:lineRule="auto"/>
        <w:rPr>
          <w:rFonts w:ascii="Times New Roman" w:hAnsi="Times New Roman" w:cs="Times New Roman"/>
          <w:sz w:val="24"/>
          <w:szCs w:val="24"/>
        </w:rPr>
      </w:pPr>
      <w:r w:rsidRPr="00535093">
        <w:rPr>
          <w:rFonts w:ascii="Times New Roman" w:hAnsi="Times New Roman" w:cs="Times New Roman"/>
          <w:b/>
          <w:sz w:val="24"/>
          <w:szCs w:val="24"/>
        </w:rPr>
        <w:t>Consultation</w:t>
      </w:r>
    </w:p>
    <w:p w:rsidR="002B1DB3" w:rsidRPr="001A7F89"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p>
    <w:p w:rsidR="002B1DB3" w:rsidRDefault="001A7F89" w:rsidP="005D1ABF">
      <w:pPr>
        <w:tabs>
          <w:tab w:val="right" w:pos="9072"/>
        </w:tabs>
        <w:spacing w:after="0" w:line="240" w:lineRule="auto"/>
        <w:rPr>
          <w:rFonts w:ascii="Times New Roman" w:hAnsi="Times New Roman" w:cs="Times New Roman"/>
          <w:sz w:val="24"/>
          <w:szCs w:val="24"/>
        </w:rPr>
      </w:pPr>
      <w:r w:rsidRPr="00AD648F">
        <w:rPr>
          <w:rFonts w:ascii="Times New Roman" w:hAnsi="Times New Roman" w:cs="Times New Roman"/>
          <w:sz w:val="24"/>
          <w:szCs w:val="24"/>
        </w:rPr>
        <w:t xml:space="preserve">The </w:t>
      </w:r>
      <w:r>
        <w:rPr>
          <w:rFonts w:ascii="Times New Roman" w:hAnsi="Times New Roman" w:cs="Times New Roman"/>
          <w:sz w:val="24"/>
          <w:szCs w:val="24"/>
        </w:rPr>
        <w:t>Auth</w:t>
      </w:r>
      <w:r w:rsidR="00AC7335">
        <w:rPr>
          <w:rFonts w:ascii="Times New Roman" w:hAnsi="Times New Roman" w:cs="Times New Roman"/>
          <w:sz w:val="24"/>
          <w:szCs w:val="24"/>
        </w:rPr>
        <w:t>ority consulted with the public</w:t>
      </w:r>
      <w:r w:rsidR="008570C8">
        <w:rPr>
          <w:rFonts w:ascii="Times New Roman" w:hAnsi="Times New Roman" w:cs="Times New Roman"/>
          <w:sz w:val="24"/>
          <w:szCs w:val="24"/>
        </w:rPr>
        <w:t xml:space="preserve"> </w:t>
      </w:r>
      <w:r w:rsidR="002B7717">
        <w:rPr>
          <w:rFonts w:ascii="Times New Roman" w:hAnsi="Times New Roman" w:cs="Times New Roman"/>
          <w:sz w:val="24"/>
          <w:szCs w:val="24"/>
        </w:rPr>
        <w:t>and the</w:t>
      </w:r>
      <w:r w:rsidR="00AC7335">
        <w:rPr>
          <w:rFonts w:ascii="Times New Roman" w:hAnsi="Times New Roman" w:cs="Times New Roman"/>
          <w:sz w:val="24"/>
          <w:szCs w:val="24"/>
        </w:rPr>
        <w:t xml:space="preserve"> Committee </w:t>
      </w:r>
      <w:r>
        <w:rPr>
          <w:rFonts w:ascii="Times New Roman" w:hAnsi="Times New Roman" w:cs="Times New Roman"/>
          <w:sz w:val="24"/>
          <w:szCs w:val="24"/>
        </w:rPr>
        <w:t>on the proposed Amendment Instrument</w:t>
      </w:r>
      <w:r w:rsidR="000C59EF">
        <w:rPr>
          <w:rFonts w:ascii="Times New Roman" w:hAnsi="Times New Roman" w:cs="Times New Roman"/>
          <w:sz w:val="24"/>
          <w:szCs w:val="24"/>
        </w:rPr>
        <w:t xml:space="preserve">. </w:t>
      </w:r>
      <w:r>
        <w:rPr>
          <w:rFonts w:ascii="Times New Roman" w:hAnsi="Times New Roman" w:cs="Times New Roman"/>
          <w:b/>
          <w:sz w:val="24"/>
          <w:szCs w:val="24"/>
        </w:rPr>
        <w:br/>
      </w:r>
      <w:r>
        <w:rPr>
          <w:rFonts w:ascii="Times New Roman" w:hAnsi="Times New Roman" w:cs="Times New Roman"/>
          <w:b/>
          <w:sz w:val="24"/>
          <w:szCs w:val="24"/>
        </w:rPr>
        <w:br/>
      </w:r>
      <w:r w:rsidR="00FA4526" w:rsidRPr="00FA4526">
        <w:rPr>
          <w:rFonts w:ascii="Times New Roman" w:hAnsi="Times New Roman" w:cs="Times New Roman"/>
          <w:sz w:val="24"/>
          <w:szCs w:val="24"/>
        </w:rPr>
        <w:t xml:space="preserve">The Office of Best Practice Regulation was consulted in the preparation of the </w:t>
      </w:r>
      <w:r w:rsidR="00C84D89">
        <w:rPr>
          <w:rFonts w:ascii="Times New Roman" w:hAnsi="Times New Roman" w:cs="Times New Roman"/>
          <w:sz w:val="24"/>
          <w:szCs w:val="24"/>
        </w:rPr>
        <w:t>Amendment Instrument</w:t>
      </w:r>
      <w:r w:rsidR="00C84D89" w:rsidRPr="00FA4526">
        <w:rPr>
          <w:rFonts w:ascii="Times New Roman" w:hAnsi="Times New Roman" w:cs="Times New Roman"/>
          <w:sz w:val="24"/>
          <w:szCs w:val="24"/>
        </w:rPr>
        <w:t xml:space="preserve"> </w:t>
      </w:r>
      <w:r w:rsidR="00FA4526" w:rsidRPr="00FA4526">
        <w:rPr>
          <w:rFonts w:ascii="Times New Roman" w:hAnsi="Times New Roman" w:cs="Times New Roman"/>
          <w:sz w:val="24"/>
          <w:szCs w:val="24"/>
        </w:rPr>
        <w:t>(ID</w:t>
      </w:r>
      <w:r w:rsidR="00FA4526">
        <w:rPr>
          <w:rFonts w:ascii="Times New Roman" w:hAnsi="Times New Roman" w:cs="Times New Roman"/>
          <w:sz w:val="24"/>
          <w:szCs w:val="24"/>
        </w:rPr>
        <w:t> </w:t>
      </w:r>
      <w:r w:rsidR="00FA4526" w:rsidRPr="00FA4526">
        <w:rPr>
          <w:rFonts w:ascii="Times New Roman" w:hAnsi="Times New Roman" w:cs="Times New Roman"/>
          <w:sz w:val="24"/>
          <w:szCs w:val="24"/>
        </w:rPr>
        <w:t>22938)</w:t>
      </w:r>
      <w:r w:rsidR="00C84D89">
        <w:rPr>
          <w:rFonts w:ascii="Times New Roman" w:hAnsi="Times New Roman" w:cs="Times New Roman"/>
          <w:sz w:val="24"/>
          <w:szCs w:val="24"/>
        </w:rPr>
        <w:t xml:space="preserve"> and advised that no Regulatory Impact Statement was required for the Amendment Instrument</w:t>
      </w:r>
      <w:r w:rsidR="00EC65C3">
        <w:rPr>
          <w:rFonts w:ascii="Times New Roman" w:hAnsi="Times New Roman" w:cs="Times New Roman"/>
          <w:sz w:val="24"/>
          <w:szCs w:val="24"/>
        </w:rPr>
        <w:t xml:space="preserve"> because the proposal is</w:t>
      </w:r>
      <w:r w:rsidR="004E317F">
        <w:rPr>
          <w:rFonts w:ascii="Times New Roman" w:hAnsi="Times New Roman" w:cs="Times New Roman"/>
          <w:sz w:val="24"/>
          <w:szCs w:val="24"/>
        </w:rPr>
        <w:t xml:space="preserve"> </w:t>
      </w:r>
      <w:r w:rsidR="00EA7DE1">
        <w:rPr>
          <w:rFonts w:ascii="Times New Roman" w:hAnsi="Times New Roman" w:cs="Times New Roman"/>
          <w:sz w:val="24"/>
          <w:szCs w:val="24"/>
        </w:rPr>
        <w:t>minor in nature</w:t>
      </w:r>
      <w:r w:rsidR="00FA4526">
        <w:rPr>
          <w:rFonts w:ascii="Times New Roman" w:hAnsi="Times New Roman" w:cs="Times New Roman"/>
          <w:sz w:val="24"/>
          <w:szCs w:val="24"/>
        </w:rPr>
        <w:t>.</w:t>
      </w:r>
    </w:p>
    <w:p w:rsidR="00FA4526" w:rsidRPr="005D1ABF" w:rsidRDefault="00FA4526" w:rsidP="005D1ABF">
      <w:pPr>
        <w:tabs>
          <w:tab w:val="right" w:pos="9072"/>
        </w:tabs>
        <w:spacing w:after="0" w:line="240" w:lineRule="auto"/>
        <w:rPr>
          <w:rFonts w:ascii="Times New Roman" w:hAnsi="Times New Roman" w:cs="Times New Roman"/>
          <w:sz w:val="24"/>
          <w:szCs w:val="24"/>
        </w:rPr>
      </w:pPr>
    </w:p>
    <w:p w:rsidR="00E76AB5" w:rsidRPr="004E317F" w:rsidRDefault="00E76AB5" w:rsidP="00E76AB5">
      <w:pPr>
        <w:tabs>
          <w:tab w:val="left" w:pos="1701"/>
          <w:tab w:val="right" w:pos="9072"/>
        </w:tabs>
        <w:spacing w:after="0" w:line="240" w:lineRule="auto"/>
        <w:rPr>
          <w:rFonts w:ascii="Times New Roman" w:hAnsi="Times New Roman" w:cs="Times New Roman"/>
          <w:b/>
          <w:color w:val="000000" w:themeColor="text1"/>
          <w:sz w:val="24"/>
        </w:rPr>
      </w:pPr>
      <w:r w:rsidRPr="004E317F">
        <w:rPr>
          <w:rFonts w:ascii="Times New Roman" w:hAnsi="Times New Roman" w:cs="Times New Roman"/>
          <w:b/>
          <w:color w:val="000000" w:themeColor="text1"/>
          <w:sz w:val="24"/>
        </w:rPr>
        <w:t>Details/ Operation</w:t>
      </w:r>
    </w:p>
    <w:p w:rsidR="00E76AB5" w:rsidRPr="004E317F" w:rsidRDefault="00E76AB5" w:rsidP="00E76AB5">
      <w:pPr>
        <w:tabs>
          <w:tab w:val="left" w:pos="1701"/>
          <w:tab w:val="right" w:pos="9072"/>
        </w:tabs>
        <w:spacing w:after="0" w:line="240" w:lineRule="auto"/>
        <w:rPr>
          <w:rFonts w:ascii="Times New Roman" w:hAnsi="Times New Roman" w:cs="Times New Roman"/>
          <w:color w:val="000000" w:themeColor="text1"/>
          <w:sz w:val="24"/>
        </w:rPr>
      </w:pPr>
    </w:p>
    <w:p w:rsidR="00B66DFF" w:rsidRDefault="004F76F2" w:rsidP="005D1ABF">
      <w:pPr>
        <w:tabs>
          <w:tab w:val="left" w:pos="1701"/>
          <w:tab w:val="right" w:pos="9072"/>
        </w:tabs>
        <w:spacing w:after="0" w:line="240" w:lineRule="auto"/>
        <w:rPr>
          <w:rFonts w:ascii="Times New Roman" w:hAnsi="Times New Roman" w:cs="Times New Roman"/>
          <w:sz w:val="24"/>
        </w:rPr>
      </w:pPr>
      <w:r w:rsidRPr="004E317F">
        <w:rPr>
          <w:rFonts w:ascii="Times New Roman" w:hAnsi="Times New Roman" w:cs="Times New Roman"/>
          <w:color w:val="000000" w:themeColor="text1"/>
          <w:sz w:val="24"/>
        </w:rPr>
        <w:t>Furt</w:t>
      </w:r>
      <w:r>
        <w:rPr>
          <w:rFonts w:ascii="Times New Roman" w:hAnsi="Times New Roman" w:cs="Times New Roman"/>
          <w:sz w:val="24"/>
        </w:rPr>
        <w:t>her d</w:t>
      </w:r>
      <w:r w:rsidRPr="00D01BF9">
        <w:rPr>
          <w:rFonts w:ascii="Times New Roman" w:hAnsi="Times New Roman" w:cs="Times New Roman"/>
          <w:sz w:val="24"/>
        </w:rPr>
        <w:t xml:space="preserve">etails of the </w:t>
      </w:r>
      <w:r>
        <w:rPr>
          <w:rFonts w:ascii="Times New Roman" w:hAnsi="Times New Roman" w:cs="Times New Roman"/>
          <w:sz w:val="24"/>
        </w:rPr>
        <w:t xml:space="preserve">Amendment Instrument </w:t>
      </w:r>
      <w:r w:rsidRPr="00D01BF9">
        <w:rPr>
          <w:rFonts w:ascii="Times New Roman" w:hAnsi="Times New Roman" w:cs="Times New Roman"/>
          <w:sz w:val="24"/>
        </w:rPr>
        <w:t xml:space="preserve">are set out in the </w:t>
      </w:r>
      <w:r w:rsidRPr="00D01BF9">
        <w:rPr>
          <w:rFonts w:ascii="Times New Roman" w:hAnsi="Times New Roman" w:cs="Times New Roman"/>
          <w:sz w:val="24"/>
          <w:u w:val="single"/>
        </w:rPr>
        <w:t>Attachment A</w:t>
      </w:r>
      <w:r w:rsidRPr="00D01BF9">
        <w:rPr>
          <w:rFonts w:ascii="Times New Roman" w:hAnsi="Times New Roman" w:cs="Times New Roman"/>
          <w:sz w:val="24"/>
        </w:rPr>
        <w:t>.</w:t>
      </w:r>
    </w:p>
    <w:p w:rsidR="004F76F2" w:rsidRPr="005D1ABF" w:rsidRDefault="004F76F2" w:rsidP="005D1ABF">
      <w:pPr>
        <w:tabs>
          <w:tab w:val="left" w:pos="1701"/>
          <w:tab w:val="right" w:pos="9072"/>
        </w:tabs>
        <w:spacing w:after="0" w:line="240" w:lineRule="auto"/>
        <w:rPr>
          <w:rFonts w:ascii="Times New Roman" w:hAnsi="Times New Roman" w:cs="Times New Roman"/>
          <w:sz w:val="24"/>
          <w:szCs w:val="24"/>
        </w:rPr>
      </w:pPr>
    </w:p>
    <w:p w:rsidR="00E76AB5" w:rsidRDefault="00E76AB5" w:rsidP="00751F85">
      <w:pPr>
        <w:keepNext/>
        <w:tabs>
          <w:tab w:val="left" w:pos="1701"/>
          <w:tab w:val="right" w:pos="9072"/>
        </w:tabs>
        <w:spacing w:after="0" w:line="240" w:lineRule="auto"/>
        <w:rPr>
          <w:rFonts w:ascii="Times New Roman" w:hAnsi="Times New Roman" w:cs="Times New Roman"/>
          <w:b/>
          <w:color w:val="000000" w:themeColor="text1"/>
          <w:sz w:val="24"/>
          <w:szCs w:val="24"/>
        </w:rPr>
      </w:pPr>
      <w:r w:rsidRPr="004F76F2">
        <w:rPr>
          <w:rFonts w:ascii="Times New Roman" w:hAnsi="Times New Roman" w:cs="Times New Roman"/>
          <w:b/>
          <w:color w:val="000000" w:themeColor="text1"/>
          <w:sz w:val="24"/>
          <w:szCs w:val="24"/>
        </w:rPr>
        <w:t>Other</w:t>
      </w:r>
    </w:p>
    <w:p w:rsidR="004F76F2" w:rsidRPr="004F76F2" w:rsidRDefault="004F76F2" w:rsidP="005D1ABF">
      <w:pPr>
        <w:tabs>
          <w:tab w:val="left" w:pos="1701"/>
          <w:tab w:val="right" w:pos="9072"/>
        </w:tabs>
        <w:spacing w:after="0" w:line="240" w:lineRule="auto"/>
        <w:rPr>
          <w:rFonts w:ascii="Times New Roman" w:hAnsi="Times New Roman" w:cs="Times New Roman"/>
          <w:color w:val="000000" w:themeColor="text1"/>
          <w:sz w:val="24"/>
          <w:szCs w:val="24"/>
        </w:rPr>
      </w:pPr>
    </w:p>
    <w:p w:rsidR="004F76F2" w:rsidRPr="004F76F2" w:rsidRDefault="004F76F2" w:rsidP="004F76F2">
      <w:pPr>
        <w:tabs>
          <w:tab w:val="left" w:pos="1701"/>
          <w:tab w:val="right" w:pos="9072"/>
        </w:tabs>
        <w:spacing w:after="0" w:line="240" w:lineRule="auto"/>
        <w:rPr>
          <w:rFonts w:ascii="Times New Roman" w:hAnsi="Times New Roman" w:cs="Times New Roman"/>
          <w:color w:val="000000" w:themeColor="text1"/>
          <w:sz w:val="24"/>
          <w:szCs w:val="24"/>
        </w:rPr>
      </w:pPr>
      <w:r w:rsidRPr="004F76F2">
        <w:rPr>
          <w:rFonts w:ascii="Times New Roman" w:hAnsi="Times New Roman" w:cs="Times New Roman"/>
          <w:color w:val="000000" w:themeColor="text1"/>
          <w:sz w:val="24"/>
          <w:szCs w:val="24"/>
        </w:rPr>
        <w:t xml:space="preserve">The Amendment Instrument is compatible with the human rights and freedoms recognised or declared under section 3 of the </w:t>
      </w:r>
      <w:r w:rsidRPr="004F76F2">
        <w:rPr>
          <w:rFonts w:ascii="Times New Roman" w:hAnsi="Times New Roman" w:cs="Times New Roman"/>
          <w:i/>
          <w:color w:val="000000" w:themeColor="text1"/>
          <w:sz w:val="24"/>
          <w:szCs w:val="24"/>
        </w:rPr>
        <w:t>Human Rights (Parliamentary Scrutiny) Act 2011.</w:t>
      </w:r>
      <w:r w:rsidRPr="004F76F2">
        <w:rPr>
          <w:rFonts w:ascii="Times New Roman" w:hAnsi="Times New Roman" w:cs="Times New Roman"/>
          <w:color w:val="000000" w:themeColor="text1"/>
          <w:sz w:val="24"/>
          <w:szCs w:val="24"/>
        </w:rPr>
        <w:t xml:space="preserve"> A full statement of compatibility is set out in </w:t>
      </w:r>
      <w:r w:rsidRPr="004F76F2">
        <w:rPr>
          <w:rFonts w:ascii="Times New Roman" w:hAnsi="Times New Roman" w:cs="Times New Roman"/>
          <w:color w:val="000000" w:themeColor="text1"/>
          <w:sz w:val="24"/>
          <w:szCs w:val="24"/>
          <w:u w:val="single"/>
        </w:rPr>
        <w:t>Attachment B</w:t>
      </w:r>
      <w:r w:rsidRPr="004F76F2">
        <w:rPr>
          <w:rFonts w:ascii="Times New Roman" w:hAnsi="Times New Roman" w:cs="Times New Roman"/>
          <w:color w:val="000000" w:themeColor="text1"/>
          <w:sz w:val="24"/>
          <w:szCs w:val="24"/>
        </w:rPr>
        <w:t>.</w:t>
      </w:r>
      <w:r w:rsidR="00821AA9" w:rsidRPr="00821AA9">
        <w:rPr>
          <w:rFonts w:ascii="Times New Roman" w:hAnsi="Times New Roman" w:cs="Times New Roman"/>
          <w:color w:val="000000" w:themeColor="text1"/>
          <w:sz w:val="24"/>
          <w:szCs w:val="24"/>
        </w:rPr>
        <w:t xml:space="preserve"> </w:t>
      </w:r>
      <w:r w:rsidR="00821AA9" w:rsidRPr="00930C6E">
        <w:rPr>
          <w:rFonts w:ascii="Times New Roman" w:hAnsi="Times New Roman" w:cs="Times New Roman"/>
          <w:color w:val="000000" w:themeColor="text1"/>
          <w:sz w:val="24"/>
          <w:szCs w:val="24"/>
        </w:rPr>
        <w:t xml:space="preserve">The Office of International Law </w:t>
      </w:r>
      <w:r w:rsidR="00821AA9">
        <w:rPr>
          <w:rFonts w:ascii="Times New Roman" w:hAnsi="Times New Roman" w:cs="Times New Roman"/>
          <w:color w:val="000000" w:themeColor="text1"/>
          <w:sz w:val="24"/>
          <w:szCs w:val="24"/>
        </w:rPr>
        <w:t xml:space="preserve">also </w:t>
      </w:r>
      <w:r w:rsidR="00821AA9" w:rsidRPr="00930C6E">
        <w:rPr>
          <w:rFonts w:ascii="Times New Roman" w:hAnsi="Times New Roman" w:cs="Times New Roman"/>
          <w:color w:val="000000" w:themeColor="text1"/>
          <w:sz w:val="24"/>
          <w:szCs w:val="24"/>
        </w:rPr>
        <w:lastRenderedPageBreak/>
        <w:t>advised that the proposed amendments are consistent with Australia’s obligations under ‘relevant international agreements’ as defined under section 4(1) of the Water Act.</w:t>
      </w:r>
    </w:p>
    <w:p w:rsidR="004F76F2" w:rsidRPr="00A21378" w:rsidRDefault="004F76F2" w:rsidP="004F76F2">
      <w:pPr>
        <w:tabs>
          <w:tab w:val="left" w:pos="1701"/>
          <w:tab w:val="right" w:pos="9072"/>
        </w:tabs>
        <w:spacing w:after="0" w:line="240" w:lineRule="auto"/>
        <w:rPr>
          <w:rFonts w:ascii="Times New Roman" w:hAnsi="Times New Roman" w:cs="Times New Roman"/>
          <w:sz w:val="24"/>
          <w:szCs w:val="24"/>
        </w:rPr>
      </w:pPr>
    </w:p>
    <w:p w:rsidR="004F76F2" w:rsidRPr="00840C12" w:rsidRDefault="004F76F2" w:rsidP="004F76F2">
      <w:pPr>
        <w:pStyle w:val="Normal-em"/>
        <w:spacing w:after="0" w:line="240" w:lineRule="auto"/>
        <w:rPr>
          <w:iCs/>
          <w:szCs w:val="24"/>
        </w:rPr>
      </w:pPr>
      <w:r w:rsidRPr="00840C12">
        <w:rPr>
          <w:iCs/>
          <w:szCs w:val="24"/>
        </w:rPr>
        <w:t xml:space="preserve">The Amendment Instrument is a legislative instrument for the purposes of the </w:t>
      </w:r>
      <w:r w:rsidRPr="00840C12">
        <w:rPr>
          <w:i/>
          <w:iCs/>
          <w:szCs w:val="24"/>
        </w:rPr>
        <w:t xml:space="preserve">Legislation Act 2003 </w:t>
      </w:r>
      <w:r w:rsidRPr="00840C12">
        <w:rPr>
          <w:iCs/>
          <w:szCs w:val="24"/>
        </w:rPr>
        <w:t>(</w:t>
      </w:r>
      <w:proofErr w:type="spellStart"/>
      <w:r w:rsidRPr="00840C12">
        <w:rPr>
          <w:iCs/>
          <w:szCs w:val="24"/>
        </w:rPr>
        <w:t>Cth</w:t>
      </w:r>
      <w:proofErr w:type="spellEnd"/>
      <w:r w:rsidRPr="00840C12">
        <w:rPr>
          <w:iCs/>
          <w:szCs w:val="24"/>
        </w:rPr>
        <w:t>).</w:t>
      </w:r>
    </w:p>
    <w:p w:rsidR="004F76F2" w:rsidRDefault="004F76F2" w:rsidP="004F76F2">
      <w:pPr>
        <w:pStyle w:val="Normal-em"/>
        <w:spacing w:after="0" w:line="240" w:lineRule="auto"/>
        <w:rPr>
          <w:iCs/>
          <w:szCs w:val="24"/>
        </w:rPr>
      </w:pPr>
    </w:p>
    <w:p w:rsidR="004F76F2" w:rsidRDefault="004F76F2" w:rsidP="004F76F2">
      <w:pPr>
        <w:pStyle w:val="Normal-em"/>
        <w:spacing w:after="0" w:line="240" w:lineRule="auto"/>
        <w:rPr>
          <w:iCs/>
          <w:szCs w:val="24"/>
        </w:rPr>
      </w:pPr>
      <w:r>
        <w:rPr>
          <w:iCs/>
          <w:szCs w:val="24"/>
        </w:rPr>
        <w:t>The</w:t>
      </w:r>
      <w:r w:rsidRPr="001A02C0">
        <w:rPr>
          <w:iCs/>
          <w:szCs w:val="24"/>
        </w:rPr>
        <w:t xml:space="preserve"> </w:t>
      </w:r>
      <w:r w:rsidR="00490CB8">
        <w:rPr>
          <w:iCs/>
          <w:szCs w:val="24"/>
        </w:rPr>
        <w:t xml:space="preserve">Amendment Instrument </w:t>
      </w:r>
      <w:r w:rsidRPr="001A02C0">
        <w:rPr>
          <w:iCs/>
          <w:szCs w:val="24"/>
        </w:rPr>
        <w:t>commence</w:t>
      </w:r>
      <w:r w:rsidR="00490CB8">
        <w:rPr>
          <w:iCs/>
          <w:szCs w:val="24"/>
        </w:rPr>
        <w:t>s</w:t>
      </w:r>
      <w:r w:rsidRPr="001A02C0">
        <w:rPr>
          <w:iCs/>
          <w:szCs w:val="24"/>
        </w:rPr>
        <w:t xml:space="preserve"> </w:t>
      </w:r>
      <w:r>
        <w:rPr>
          <w:iCs/>
          <w:szCs w:val="24"/>
        </w:rPr>
        <w:t xml:space="preserve">on </w:t>
      </w:r>
      <w:r w:rsidRPr="001A02C0">
        <w:rPr>
          <w:iCs/>
          <w:szCs w:val="24"/>
        </w:rPr>
        <w:t>the day after registration</w:t>
      </w:r>
      <w:r>
        <w:rPr>
          <w:iCs/>
          <w:szCs w:val="24"/>
        </w:rPr>
        <w:t>.</w:t>
      </w:r>
    </w:p>
    <w:p w:rsidR="00E76AB5" w:rsidRDefault="00E76AB5" w:rsidP="00E76AB5">
      <w:pPr>
        <w:pStyle w:val="Normal-em"/>
        <w:spacing w:after="0" w:line="240" w:lineRule="auto"/>
        <w:rPr>
          <w:b/>
          <w:caps/>
          <w:szCs w:val="24"/>
          <w:u w:val="single"/>
        </w:rPr>
      </w:pPr>
      <w:r>
        <w:rPr>
          <w:b/>
          <w:caps/>
          <w:szCs w:val="24"/>
          <w:u w:val="single"/>
        </w:rPr>
        <w:br w:type="page"/>
      </w:r>
    </w:p>
    <w:p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5D698C">
        <w:rPr>
          <w:b/>
          <w:caps/>
          <w:szCs w:val="24"/>
          <w:u w:val="single"/>
        </w:rPr>
        <w:t xml:space="preserve"> A</w:t>
      </w:r>
    </w:p>
    <w:p w:rsidR="002B1DB3" w:rsidRPr="005D1ABF" w:rsidRDefault="002B1DB3" w:rsidP="005D1ABF">
      <w:pPr>
        <w:pStyle w:val="Normal-em"/>
        <w:spacing w:after="0" w:line="240" w:lineRule="auto"/>
        <w:rPr>
          <w:color w:val="auto"/>
          <w:szCs w:val="24"/>
        </w:rPr>
      </w:pPr>
    </w:p>
    <w:p w:rsidR="007608B8" w:rsidRPr="007608B8" w:rsidRDefault="002B1DB3" w:rsidP="007608B8">
      <w:pPr>
        <w:spacing w:after="0" w:line="240" w:lineRule="auto"/>
        <w:rPr>
          <w:rFonts w:ascii="Times New Roman" w:hAnsi="Times New Roman" w:cs="Times New Roman"/>
          <w:i/>
          <w:sz w:val="24"/>
          <w:szCs w:val="24"/>
          <w:u w:val="single"/>
        </w:rPr>
      </w:pPr>
      <w:r w:rsidRPr="007608B8">
        <w:rPr>
          <w:rFonts w:ascii="Times New Roman" w:hAnsi="Times New Roman" w:cs="Times New Roman"/>
          <w:b/>
          <w:iCs/>
          <w:sz w:val="24"/>
          <w:szCs w:val="24"/>
          <w:u w:val="single"/>
        </w:rPr>
        <w:t xml:space="preserve">Details of the </w:t>
      </w:r>
      <w:r w:rsidR="007608B8" w:rsidRPr="007608B8">
        <w:rPr>
          <w:rFonts w:ascii="Times New Roman" w:hAnsi="Times New Roman" w:cs="Times New Roman"/>
          <w:b/>
          <w:i/>
          <w:sz w:val="24"/>
          <w:szCs w:val="24"/>
          <w:u w:val="single"/>
        </w:rPr>
        <w:t>Basin Plan Amendment Instrument (SDL Adjustments) Instrument 2017</w:t>
      </w:r>
    </w:p>
    <w:p w:rsidR="00DF3F6E" w:rsidRPr="005D1ABF" w:rsidRDefault="00DF3F6E" w:rsidP="005D1ABF">
      <w:pPr>
        <w:pStyle w:val="Normal-em"/>
        <w:spacing w:after="0" w:line="240" w:lineRule="auto"/>
        <w:rPr>
          <w:color w:val="auto"/>
          <w:szCs w:val="24"/>
        </w:rPr>
      </w:pPr>
    </w:p>
    <w:p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rsidR="002B1DB3" w:rsidRPr="00FD2AEE" w:rsidRDefault="002B1DB3" w:rsidP="005D1ABF">
      <w:pPr>
        <w:pStyle w:val="Normal-em"/>
        <w:spacing w:after="0" w:line="240" w:lineRule="auto"/>
        <w:ind w:left="1440" w:hanging="1440"/>
        <w:rPr>
          <w:b/>
          <w:color w:val="000000" w:themeColor="text1"/>
          <w:szCs w:val="24"/>
        </w:rPr>
      </w:pPr>
    </w:p>
    <w:p w:rsidR="00FD2AEE" w:rsidRPr="00FD2AEE" w:rsidRDefault="002B1DB3" w:rsidP="00FD2AEE">
      <w:pPr>
        <w:spacing w:after="0" w:line="240" w:lineRule="auto"/>
        <w:rPr>
          <w:rFonts w:ascii="Times New Roman" w:hAnsi="Times New Roman" w:cs="Times New Roman"/>
          <w:i/>
          <w:color w:val="000000" w:themeColor="text1"/>
          <w:sz w:val="24"/>
          <w:szCs w:val="24"/>
          <w:u w:val="single"/>
        </w:rPr>
      </w:pPr>
      <w:r w:rsidRPr="00FD2AEE">
        <w:rPr>
          <w:rFonts w:ascii="Times New Roman" w:hAnsi="Times New Roman" w:cs="Times New Roman"/>
          <w:color w:val="000000" w:themeColor="text1"/>
          <w:sz w:val="24"/>
          <w:szCs w:val="24"/>
        </w:rPr>
        <w:t xml:space="preserve">This </w:t>
      </w:r>
      <w:r w:rsidR="00DF3F6E" w:rsidRPr="00FD2AEE">
        <w:rPr>
          <w:rFonts w:ascii="Times New Roman" w:hAnsi="Times New Roman" w:cs="Times New Roman"/>
          <w:color w:val="000000" w:themeColor="text1"/>
          <w:sz w:val="24"/>
          <w:szCs w:val="24"/>
        </w:rPr>
        <w:t>s</w:t>
      </w:r>
      <w:r w:rsidRPr="00FD2AEE">
        <w:rPr>
          <w:rFonts w:ascii="Times New Roman" w:hAnsi="Times New Roman" w:cs="Times New Roman"/>
          <w:color w:val="000000" w:themeColor="text1"/>
          <w:sz w:val="24"/>
          <w:szCs w:val="24"/>
        </w:rPr>
        <w:t xml:space="preserve">ection provides </w:t>
      </w:r>
      <w:r w:rsidR="00DF3F6E" w:rsidRPr="00FD2AEE">
        <w:rPr>
          <w:rFonts w:ascii="Times New Roman" w:hAnsi="Times New Roman" w:cs="Times New Roman"/>
          <w:color w:val="000000" w:themeColor="text1"/>
          <w:sz w:val="24"/>
          <w:szCs w:val="24"/>
        </w:rPr>
        <w:t xml:space="preserve">that the name of the </w:t>
      </w:r>
      <w:r w:rsidR="00FD2AEE" w:rsidRPr="00FD2AEE">
        <w:rPr>
          <w:rFonts w:ascii="Times New Roman" w:hAnsi="Times New Roman" w:cs="Times New Roman"/>
          <w:color w:val="000000" w:themeColor="text1"/>
          <w:sz w:val="24"/>
          <w:szCs w:val="24"/>
        </w:rPr>
        <w:t>instrument</w:t>
      </w:r>
      <w:r w:rsidR="00DF3F6E" w:rsidRPr="00FD2AEE">
        <w:rPr>
          <w:rFonts w:ascii="Times New Roman" w:hAnsi="Times New Roman" w:cs="Times New Roman"/>
          <w:color w:val="000000" w:themeColor="text1"/>
          <w:sz w:val="24"/>
          <w:szCs w:val="24"/>
        </w:rPr>
        <w:t xml:space="preserve"> is the </w:t>
      </w:r>
      <w:r w:rsidR="00FD2AEE" w:rsidRPr="00FD2AEE">
        <w:rPr>
          <w:rFonts w:ascii="Times New Roman" w:hAnsi="Times New Roman" w:cs="Times New Roman"/>
          <w:i/>
          <w:color w:val="000000" w:themeColor="text1"/>
          <w:sz w:val="24"/>
          <w:szCs w:val="24"/>
        </w:rPr>
        <w:t>Basin Plan Amendment (SDL Adjustments) Instrument 2017</w:t>
      </w:r>
      <w:r w:rsidR="00D722CF">
        <w:rPr>
          <w:rFonts w:ascii="Times New Roman" w:hAnsi="Times New Roman" w:cs="Times New Roman"/>
          <w:i/>
          <w:color w:val="000000" w:themeColor="text1"/>
          <w:sz w:val="24"/>
          <w:szCs w:val="24"/>
        </w:rPr>
        <w:t xml:space="preserve"> </w:t>
      </w:r>
      <w:r w:rsidR="00D722CF">
        <w:rPr>
          <w:rFonts w:ascii="Times New Roman" w:hAnsi="Times New Roman" w:cs="Times New Roman"/>
          <w:color w:val="000000" w:themeColor="text1"/>
          <w:sz w:val="24"/>
          <w:szCs w:val="24"/>
        </w:rPr>
        <w:t>(Amendment Instrument).</w:t>
      </w:r>
    </w:p>
    <w:p w:rsidR="002B1DB3" w:rsidRPr="005D1ABF" w:rsidRDefault="002B1DB3" w:rsidP="005D1ABF">
      <w:pPr>
        <w:pStyle w:val="Normal-em"/>
        <w:spacing w:after="0" w:line="240" w:lineRule="auto"/>
        <w:rPr>
          <w:color w:val="auto"/>
          <w:szCs w:val="24"/>
        </w:rPr>
      </w:pPr>
    </w:p>
    <w:p w:rsidR="002B1DB3" w:rsidRPr="005D1ABF" w:rsidRDefault="002B1DB3" w:rsidP="005D1ABF">
      <w:pPr>
        <w:pStyle w:val="Normal-em"/>
        <w:spacing w:after="0" w:line="240" w:lineRule="auto"/>
        <w:rPr>
          <w:color w:val="auto"/>
          <w:szCs w:val="24"/>
          <w:u w:val="single"/>
        </w:rPr>
      </w:pPr>
      <w:r w:rsidRPr="005D1ABF">
        <w:rPr>
          <w:color w:val="auto"/>
          <w:szCs w:val="24"/>
          <w:u w:val="single"/>
        </w:rPr>
        <w:t>Section 2 – Commencement</w:t>
      </w:r>
    </w:p>
    <w:p w:rsidR="002B1DB3" w:rsidRPr="005D1ABF" w:rsidRDefault="002B1DB3" w:rsidP="005D1ABF">
      <w:pPr>
        <w:pStyle w:val="Normal-em"/>
        <w:spacing w:after="0" w:line="240" w:lineRule="auto"/>
        <w:rPr>
          <w:color w:val="auto"/>
          <w:szCs w:val="24"/>
        </w:rPr>
      </w:pPr>
    </w:p>
    <w:p w:rsidR="002B1DB3" w:rsidRPr="005D1ABF" w:rsidRDefault="00DF3F6E" w:rsidP="005D1ABF">
      <w:pPr>
        <w:pStyle w:val="Normal-em"/>
        <w:spacing w:after="0" w:line="240" w:lineRule="auto"/>
        <w:rPr>
          <w:color w:val="auto"/>
          <w:szCs w:val="24"/>
          <w:highlight w:val="yellow"/>
        </w:rPr>
      </w:pPr>
      <w:r w:rsidRPr="005D1ABF">
        <w:rPr>
          <w:color w:val="auto"/>
          <w:szCs w:val="24"/>
        </w:rPr>
        <w:t>This s</w:t>
      </w:r>
      <w:r w:rsidR="002B1DB3" w:rsidRPr="005D1ABF">
        <w:rPr>
          <w:color w:val="auto"/>
          <w:szCs w:val="24"/>
        </w:rPr>
        <w:t xml:space="preserve">ection provides </w:t>
      </w:r>
      <w:r w:rsidRPr="00FD2AEE">
        <w:rPr>
          <w:color w:val="000000" w:themeColor="text1"/>
          <w:szCs w:val="24"/>
        </w:rPr>
        <w:t xml:space="preserve">for the </w:t>
      </w:r>
      <w:r w:rsidR="00D722CF">
        <w:rPr>
          <w:color w:val="000000" w:themeColor="text1"/>
          <w:szCs w:val="24"/>
        </w:rPr>
        <w:t>Amendment I</w:t>
      </w:r>
      <w:r w:rsidR="00FD2AEE" w:rsidRPr="00FD2AEE">
        <w:rPr>
          <w:color w:val="000000" w:themeColor="text1"/>
          <w:szCs w:val="24"/>
        </w:rPr>
        <w:t>nstrument</w:t>
      </w:r>
      <w:r w:rsidRPr="00FD2AEE">
        <w:rPr>
          <w:color w:val="000000" w:themeColor="text1"/>
          <w:szCs w:val="24"/>
        </w:rPr>
        <w:t xml:space="preserve"> </w:t>
      </w:r>
      <w:r w:rsidR="00FA4526">
        <w:rPr>
          <w:color w:val="000000" w:themeColor="text1"/>
          <w:szCs w:val="24"/>
        </w:rPr>
        <w:t xml:space="preserve">to </w:t>
      </w:r>
      <w:r w:rsidR="00FD2AEE" w:rsidRPr="00FD2AEE">
        <w:rPr>
          <w:color w:val="000000" w:themeColor="text1"/>
          <w:szCs w:val="24"/>
        </w:rPr>
        <w:t xml:space="preserve">commence </w:t>
      </w:r>
      <w:r w:rsidR="00FD2AEE">
        <w:rPr>
          <w:color w:val="auto"/>
          <w:szCs w:val="24"/>
        </w:rPr>
        <w:t>on</w:t>
      </w:r>
      <w:r w:rsidR="00FD2AEE" w:rsidRPr="008C1FD9">
        <w:rPr>
          <w:color w:val="000000" w:themeColor="text1"/>
          <w:szCs w:val="24"/>
        </w:rPr>
        <w:t xml:space="preserve"> the day after it is registered.</w:t>
      </w:r>
    </w:p>
    <w:p w:rsidR="002B1DB3" w:rsidRPr="005D1ABF" w:rsidRDefault="002B1DB3" w:rsidP="005D1ABF">
      <w:pPr>
        <w:pStyle w:val="Normal-em"/>
        <w:spacing w:after="0" w:line="240" w:lineRule="auto"/>
        <w:rPr>
          <w:color w:val="auto"/>
          <w:szCs w:val="24"/>
        </w:rPr>
      </w:pPr>
    </w:p>
    <w:p w:rsidR="002B1DB3" w:rsidRPr="005D1ABF" w:rsidRDefault="002B1DB3"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 xml:space="preserve">Authority </w:t>
      </w:r>
    </w:p>
    <w:p w:rsidR="002B1DB3" w:rsidRPr="005D1ABF" w:rsidRDefault="002B1DB3" w:rsidP="005D1ABF">
      <w:pPr>
        <w:pStyle w:val="Normal-em"/>
        <w:spacing w:after="0" w:line="240" w:lineRule="auto"/>
        <w:rPr>
          <w:color w:val="auto"/>
          <w:szCs w:val="24"/>
        </w:rPr>
      </w:pPr>
    </w:p>
    <w:p w:rsidR="002B1DB3" w:rsidRPr="00FD2AEE" w:rsidRDefault="00DF3F6E" w:rsidP="005D1ABF">
      <w:pPr>
        <w:pStyle w:val="Normal-em"/>
        <w:spacing w:after="0" w:line="240" w:lineRule="auto"/>
        <w:rPr>
          <w:iCs/>
          <w:color w:val="auto"/>
          <w:szCs w:val="24"/>
        </w:rPr>
      </w:pPr>
      <w:r w:rsidRPr="005D1ABF">
        <w:rPr>
          <w:color w:val="auto"/>
          <w:szCs w:val="24"/>
        </w:rPr>
        <w:t>This s</w:t>
      </w:r>
      <w:r w:rsidR="002B1DB3" w:rsidRPr="005D1ABF">
        <w:rPr>
          <w:color w:val="auto"/>
          <w:szCs w:val="24"/>
        </w:rPr>
        <w:t xml:space="preserve">ection </w:t>
      </w:r>
      <w:r w:rsidR="002B1DB3" w:rsidRPr="00FD2AEE">
        <w:rPr>
          <w:color w:val="000000" w:themeColor="text1"/>
          <w:szCs w:val="24"/>
        </w:rPr>
        <w:t xml:space="preserve">provides </w:t>
      </w:r>
      <w:r w:rsidRPr="00FD2AEE">
        <w:rPr>
          <w:color w:val="000000" w:themeColor="text1"/>
          <w:szCs w:val="24"/>
        </w:rPr>
        <w:t xml:space="preserve">that the </w:t>
      </w:r>
      <w:r w:rsidR="00D722CF">
        <w:rPr>
          <w:color w:val="000000" w:themeColor="text1"/>
          <w:szCs w:val="24"/>
        </w:rPr>
        <w:t>Amendment I</w:t>
      </w:r>
      <w:r w:rsidR="00FD2AEE" w:rsidRPr="00FD2AEE">
        <w:rPr>
          <w:color w:val="000000" w:themeColor="text1"/>
          <w:szCs w:val="24"/>
        </w:rPr>
        <w:t xml:space="preserve">nstrument is made under section 23B of the </w:t>
      </w:r>
      <w:r w:rsidR="00FD2AEE" w:rsidRPr="00375F5C">
        <w:rPr>
          <w:i/>
          <w:color w:val="000000" w:themeColor="text1"/>
          <w:szCs w:val="24"/>
        </w:rPr>
        <w:t>Water Act</w:t>
      </w:r>
      <w:r w:rsidR="00D722CF">
        <w:rPr>
          <w:color w:val="000000" w:themeColor="text1"/>
          <w:szCs w:val="24"/>
        </w:rPr>
        <w:t xml:space="preserve"> </w:t>
      </w:r>
      <w:r w:rsidR="00D722CF" w:rsidRPr="00F85035">
        <w:rPr>
          <w:i/>
          <w:color w:val="000000" w:themeColor="text1"/>
          <w:szCs w:val="24"/>
        </w:rPr>
        <w:t>2007</w:t>
      </w:r>
      <w:r w:rsidR="00D722CF">
        <w:rPr>
          <w:color w:val="000000" w:themeColor="text1"/>
          <w:szCs w:val="24"/>
        </w:rPr>
        <w:t xml:space="preserve"> (Water Act)</w:t>
      </w:r>
      <w:r w:rsidR="00FD2AEE" w:rsidRPr="00FD2AEE">
        <w:rPr>
          <w:color w:val="000000" w:themeColor="text1"/>
          <w:szCs w:val="24"/>
        </w:rPr>
        <w:t>.</w:t>
      </w:r>
    </w:p>
    <w:p w:rsidR="002B1DB3" w:rsidRPr="005D1ABF" w:rsidRDefault="002B1DB3" w:rsidP="005D1ABF">
      <w:pPr>
        <w:pStyle w:val="Normal-em"/>
        <w:spacing w:after="0" w:line="240" w:lineRule="auto"/>
        <w:rPr>
          <w:iCs/>
          <w:color w:val="auto"/>
          <w:szCs w:val="24"/>
        </w:rPr>
      </w:pPr>
    </w:p>
    <w:p w:rsidR="00DF3F6E" w:rsidRPr="005D1ABF" w:rsidRDefault="00DF3F6E" w:rsidP="005D1ABF">
      <w:pPr>
        <w:pStyle w:val="Normal-em"/>
        <w:spacing w:after="0" w:line="240" w:lineRule="auto"/>
        <w:rPr>
          <w:color w:val="auto"/>
          <w:szCs w:val="24"/>
          <w:u w:val="single"/>
        </w:rPr>
      </w:pPr>
      <w:r w:rsidRPr="005D1ABF">
        <w:rPr>
          <w:color w:val="auto"/>
          <w:szCs w:val="24"/>
          <w:u w:val="single"/>
        </w:rPr>
        <w:t>Section 4 – Schedules</w:t>
      </w:r>
    </w:p>
    <w:p w:rsidR="00DF3F6E" w:rsidRPr="005D1ABF" w:rsidRDefault="00DF3F6E" w:rsidP="005D1ABF">
      <w:pPr>
        <w:pStyle w:val="Normal-em"/>
        <w:spacing w:after="0" w:line="240" w:lineRule="auto"/>
        <w:rPr>
          <w:color w:val="auto"/>
          <w:szCs w:val="24"/>
        </w:rPr>
      </w:pPr>
    </w:p>
    <w:p w:rsidR="00DF3F6E" w:rsidRPr="00FD2AEE" w:rsidRDefault="00DF3F6E" w:rsidP="005D1ABF">
      <w:pPr>
        <w:pStyle w:val="Normal-em"/>
        <w:spacing w:after="0" w:line="240" w:lineRule="auto"/>
        <w:rPr>
          <w:color w:val="000000" w:themeColor="text1"/>
          <w:szCs w:val="24"/>
        </w:rPr>
      </w:pPr>
      <w:r w:rsidRPr="005D1ABF">
        <w:rPr>
          <w:color w:val="auto"/>
          <w:szCs w:val="24"/>
        </w:rPr>
        <w:t xml:space="preserve">This section provides that the </w:t>
      </w:r>
      <w:r w:rsidR="00FA4526">
        <w:rPr>
          <w:color w:val="000000" w:themeColor="text1"/>
          <w:szCs w:val="24"/>
        </w:rPr>
        <w:t xml:space="preserve">Basin Plan </w:t>
      </w:r>
      <w:r w:rsidR="00D722CF">
        <w:rPr>
          <w:color w:val="000000" w:themeColor="text1"/>
          <w:szCs w:val="24"/>
        </w:rPr>
        <w:t xml:space="preserve">2012 (Basin Plan) </w:t>
      </w:r>
      <w:r w:rsidRPr="00FD2AEE">
        <w:rPr>
          <w:color w:val="000000" w:themeColor="text1"/>
          <w:szCs w:val="24"/>
        </w:rPr>
        <w:t>is amended as set out in</w:t>
      </w:r>
      <w:r w:rsidR="00FD2AEE" w:rsidRPr="00FD2AEE">
        <w:rPr>
          <w:color w:val="000000" w:themeColor="text1"/>
          <w:szCs w:val="24"/>
        </w:rPr>
        <w:t xml:space="preserve"> Schedule</w:t>
      </w:r>
      <w:r w:rsidR="00F85035">
        <w:rPr>
          <w:color w:val="000000" w:themeColor="text1"/>
          <w:szCs w:val="24"/>
        </w:rPr>
        <w:t> </w:t>
      </w:r>
      <w:r w:rsidR="00FD2AEE">
        <w:rPr>
          <w:color w:val="000000" w:themeColor="text1"/>
          <w:szCs w:val="24"/>
        </w:rPr>
        <w:t>1.</w:t>
      </w:r>
    </w:p>
    <w:p w:rsidR="00DF3F6E" w:rsidRPr="005D1ABF" w:rsidRDefault="00DF3F6E" w:rsidP="005D1ABF">
      <w:pPr>
        <w:pStyle w:val="Normal-em"/>
        <w:spacing w:after="0" w:line="240" w:lineRule="auto"/>
        <w:rPr>
          <w:color w:val="auto"/>
          <w:szCs w:val="24"/>
          <w:u w:val="single"/>
        </w:rPr>
      </w:pPr>
    </w:p>
    <w:p w:rsidR="005D7DD7" w:rsidRPr="005D1ABF" w:rsidRDefault="005D7DD7" w:rsidP="005D7DD7">
      <w:pPr>
        <w:pStyle w:val="Normal-em"/>
        <w:spacing w:after="0" w:line="240" w:lineRule="auto"/>
        <w:rPr>
          <w:color w:val="auto"/>
          <w:szCs w:val="24"/>
        </w:rPr>
      </w:pPr>
      <w:r w:rsidRPr="005D1ABF">
        <w:rPr>
          <w:color w:val="auto"/>
          <w:szCs w:val="24"/>
          <w:u w:val="single"/>
        </w:rPr>
        <w:t>Schedule 1 – Amendments</w:t>
      </w:r>
      <w:r>
        <w:rPr>
          <w:color w:val="auto"/>
          <w:szCs w:val="24"/>
          <w:u w:val="single"/>
        </w:rPr>
        <w:t xml:space="preserve"> to the </w:t>
      </w:r>
      <w:r w:rsidRPr="006B1BB8">
        <w:rPr>
          <w:i/>
          <w:color w:val="auto"/>
          <w:szCs w:val="24"/>
          <w:u w:val="single"/>
        </w:rPr>
        <w:t>Basin Plan 2012</w:t>
      </w:r>
    </w:p>
    <w:p w:rsidR="005D7DD7" w:rsidRPr="005D1ABF" w:rsidRDefault="005D7DD7" w:rsidP="005D7DD7">
      <w:pPr>
        <w:pStyle w:val="Normal-em"/>
        <w:spacing w:after="0" w:line="240" w:lineRule="auto"/>
        <w:rPr>
          <w:iCs/>
          <w:color w:val="auto"/>
          <w:szCs w:val="24"/>
        </w:rPr>
      </w:pPr>
    </w:p>
    <w:p w:rsidR="00E711B4" w:rsidRDefault="00E711B4" w:rsidP="00BD648A">
      <w:pPr>
        <w:pStyle w:val="Normal-em"/>
        <w:spacing w:after="0" w:line="240" w:lineRule="auto"/>
        <w:rPr>
          <w:szCs w:val="24"/>
        </w:rPr>
      </w:pPr>
      <w:r>
        <w:rPr>
          <w:szCs w:val="24"/>
        </w:rPr>
        <w:t xml:space="preserve">Chapter 6 of the Basin Plan specifies SDLs which take effect on 1 July 2019. Chapter 7 of the Basin Plan sets out a mechanism for adjusting the surface water SDLs. </w:t>
      </w:r>
    </w:p>
    <w:p w:rsidR="00E711B4" w:rsidRDefault="00E711B4" w:rsidP="00BD648A">
      <w:pPr>
        <w:pStyle w:val="Normal-em"/>
        <w:spacing w:after="0" w:line="240" w:lineRule="auto"/>
        <w:rPr>
          <w:szCs w:val="24"/>
        </w:rPr>
      </w:pPr>
    </w:p>
    <w:p w:rsidR="00BD648A" w:rsidRDefault="00BD648A" w:rsidP="00BD648A">
      <w:pPr>
        <w:pStyle w:val="Normal-em"/>
        <w:spacing w:after="0" w:line="240" w:lineRule="auto"/>
        <w:rPr>
          <w:szCs w:val="24"/>
        </w:rPr>
      </w:pPr>
      <w:r>
        <w:rPr>
          <w:szCs w:val="24"/>
        </w:rPr>
        <w:t xml:space="preserve">The Amendment Instrument provides for </w:t>
      </w:r>
      <w:r w:rsidR="00EA7DE1">
        <w:rPr>
          <w:szCs w:val="24"/>
        </w:rPr>
        <w:t xml:space="preserve">the 2017 </w:t>
      </w:r>
      <w:r>
        <w:rPr>
          <w:szCs w:val="24"/>
        </w:rPr>
        <w:t xml:space="preserve">adjustment of the SDL for each affected </w:t>
      </w:r>
      <w:r w:rsidR="00D722CF">
        <w:rPr>
          <w:szCs w:val="24"/>
        </w:rPr>
        <w:t xml:space="preserve">surface water </w:t>
      </w:r>
      <w:r>
        <w:rPr>
          <w:szCs w:val="24"/>
        </w:rPr>
        <w:t xml:space="preserve">SDL resource unit and </w:t>
      </w:r>
      <w:r w:rsidR="00EA7DE1">
        <w:rPr>
          <w:szCs w:val="24"/>
        </w:rPr>
        <w:t>the</w:t>
      </w:r>
      <w:r>
        <w:rPr>
          <w:szCs w:val="24"/>
        </w:rPr>
        <w:t xml:space="preserve"> adjustment of the SDL for the Basin </w:t>
      </w:r>
      <w:r w:rsidR="00D722CF">
        <w:rPr>
          <w:szCs w:val="24"/>
        </w:rPr>
        <w:t xml:space="preserve">surface </w:t>
      </w:r>
      <w:r>
        <w:rPr>
          <w:szCs w:val="24"/>
        </w:rPr>
        <w:t>water resources as a whole</w:t>
      </w:r>
      <w:r w:rsidR="009914E9">
        <w:rPr>
          <w:szCs w:val="24"/>
        </w:rPr>
        <w:t xml:space="preserve"> to be adjusted in response to a determination made by the Authority under section 7.10 of the Basin Plan</w:t>
      </w:r>
      <w:r>
        <w:rPr>
          <w:szCs w:val="24"/>
        </w:rPr>
        <w:t>. As required by the Basin Plan, the proposed SDL adjustment is in the form of a formula</w:t>
      </w:r>
      <w:r w:rsidR="00EA7DE1">
        <w:rPr>
          <w:szCs w:val="24"/>
        </w:rPr>
        <w:t>,</w:t>
      </w:r>
      <w:r>
        <w:rPr>
          <w:szCs w:val="24"/>
        </w:rPr>
        <w:t xml:space="preserve"> as a function of time</w:t>
      </w:r>
      <w:r w:rsidR="00EA7DE1">
        <w:rPr>
          <w:szCs w:val="24"/>
        </w:rPr>
        <w:t>,</w:t>
      </w:r>
      <w:r>
        <w:rPr>
          <w:szCs w:val="24"/>
        </w:rPr>
        <w:t xml:space="preserve"> that reflects the changes up until 30 June 2024 of the relevant efficiency contributions</w:t>
      </w:r>
      <w:r w:rsidR="00EA7DE1">
        <w:rPr>
          <w:szCs w:val="24"/>
        </w:rPr>
        <w:t xml:space="preserve"> from time to time,</w:t>
      </w:r>
      <w:r>
        <w:rPr>
          <w:szCs w:val="24"/>
        </w:rPr>
        <w:t xml:space="preserve"> and the operation of the </w:t>
      </w:r>
      <w:r w:rsidR="00215F7E">
        <w:rPr>
          <w:szCs w:val="24"/>
        </w:rPr>
        <w:t xml:space="preserve">net </w:t>
      </w:r>
      <w:r>
        <w:rPr>
          <w:szCs w:val="24"/>
        </w:rPr>
        <w:t>five per cent limit on adjustments in section 7.19</w:t>
      </w:r>
      <w:r w:rsidR="00480EC1">
        <w:rPr>
          <w:szCs w:val="24"/>
        </w:rPr>
        <w:t xml:space="preserve"> of the Basin Plan</w:t>
      </w:r>
      <w:r>
        <w:rPr>
          <w:szCs w:val="24"/>
        </w:rPr>
        <w:t xml:space="preserve">. </w:t>
      </w:r>
    </w:p>
    <w:p w:rsidR="00BD648A" w:rsidRDefault="00BD648A" w:rsidP="00F75A4E">
      <w:pPr>
        <w:pStyle w:val="Normal-em"/>
        <w:spacing w:after="0" w:line="240" w:lineRule="auto"/>
        <w:rPr>
          <w:szCs w:val="24"/>
        </w:rPr>
      </w:pPr>
    </w:p>
    <w:p w:rsidR="00F75A4E" w:rsidRDefault="001C2B4F" w:rsidP="00F75A4E">
      <w:pPr>
        <w:pStyle w:val="Normal-em"/>
        <w:spacing w:after="0" w:line="240" w:lineRule="auto"/>
        <w:rPr>
          <w:szCs w:val="24"/>
        </w:rPr>
      </w:pPr>
      <w:r>
        <w:rPr>
          <w:szCs w:val="24"/>
        </w:rPr>
        <w:t xml:space="preserve">The SDL </w:t>
      </w:r>
      <w:r w:rsidRPr="00A96FA6">
        <w:rPr>
          <w:szCs w:val="24"/>
        </w:rPr>
        <w:t>for each</w:t>
      </w:r>
      <w:r>
        <w:rPr>
          <w:szCs w:val="24"/>
        </w:rPr>
        <w:t xml:space="preserve"> </w:t>
      </w:r>
      <w:r w:rsidRPr="00A96FA6">
        <w:rPr>
          <w:szCs w:val="24"/>
        </w:rPr>
        <w:t>surface water SDL resource unit is set out in column 2 of the table in Schedule</w:t>
      </w:r>
      <w:r>
        <w:rPr>
          <w:szCs w:val="24"/>
        </w:rPr>
        <w:t> </w:t>
      </w:r>
      <w:r w:rsidRPr="00A96FA6">
        <w:rPr>
          <w:szCs w:val="24"/>
        </w:rPr>
        <w:t>2</w:t>
      </w:r>
      <w:r w:rsidR="00F104FE">
        <w:rPr>
          <w:szCs w:val="24"/>
        </w:rPr>
        <w:t xml:space="preserve"> of the Basin Plan</w:t>
      </w:r>
      <w:r>
        <w:rPr>
          <w:szCs w:val="24"/>
        </w:rPr>
        <w:t xml:space="preserve">. </w:t>
      </w:r>
      <w:r w:rsidR="007138E7">
        <w:rPr>
          <w:szCs w:val="24"/>
        </w:rPr>
        <w:t>T</w:t>
      </w:r>
      <w:r w:rsidR="00F75A4E" w:rsidRPr="00A96FA6">
        <w:rPr>
          <w:szCs w:val="24"/>
        </w:rPr>
        <w:t xml:space="preserve">he </w:t>
      </w:r>
      <w:r w:rsidR="007138E7">
        <w:rPr>
          <w:szCs w:val="24"/>
        </w:rPr>
        <w:t xml:space="preserve">SDLs </w:t>
      </w:r>
      <w:r w:rsidR="00F75A4E" w:rsidRPr="00A96FA6">
        <w:rPr>
          <w:szCs w:val="24"/>
        </w:rPr>
        <w:t>for each surface water SDL resource unit is determined by the following</w:t>
      </w:r>
      <w:r w:rsidR="00F75A4E">
        <w:rPr>
          <w:szCs w:val="24"/>
        </w:rPr>
        <w:t xml:space="preserve"> </w:t>
      </w:r>
      <w:r w:rsidR="00F75A4E" w:rsidRPr="00A96FA6">
        <w:rPr>
          <w:szCs w:val="24"/>
        </w:rPr>
        <w:t xml:space="preserve">formula: the relevant </w:t>
      </w:r>
      <w:r w:rsidR="00F75A4E">
        <w:rPr>
          <w:szCs w:val="24"/>
        </w:rPr>
        <w:t xml:space="preserve">baseline diversion limit (BDL) </w:t>
      </w:r>
      <w:r w:rsidR="00F75A4E" w:rsidRPr="00A96FA6">
        <w:rPr>
          <w:szCs w:val="24"/>
        </w:rPr>
        <w:t>reduced by the</w:t>
      </w:r>
      <w:r w:rsidR="00F75A4E">
        <w:rPr>
          <w:szCs w:val="24"/>
        </w:rPr>
        <w:t xml:space="preserve"> </w:t>
      </w:r>
      <w:r w:rsidR="00F75A4E" w:rsidRPr="00A96FA6">
        <w:rPr>
          <w:szCs w:val="24"/>
        </w:rPr>
        <w:t>local reduction amount (if any) and reduced by the SDL resource unit shared reduction</w:t>
      </w:r>
      <w:r w:rsidR="00F75A4E">
        <w:rPr>
          <w:szCs w:val="24"/>
        </w:rPr>
        <w:t xml:space="preserve"> </w:t>
      </w:r>
      <w:r>
        <w:rPr>
          <w:szCs w:val="24"/>
        </w:rPr>
        <w:t>amount (if any) and then increased or reduced by the SDL adjustment amount (if any).</w:t>
      </w:r>
    </w:p>
    <w:p w:rsidR="00F75A4E" w:rsidRDefault="00F75A4E" w:rsidP="00F75A4E">
      <w:pPr>
        <w:pStyle w:val="Normal-em"/>
        <w:spacing w:after="0" w:line="240" w:lineRule="auto"/>
        <w:rPr>
          <w:szCs w:val="24"/>
        </w:rPr>
      </w:pPr>
    </w:p>
    <w:p w:rsidR="001C2B4F" w:rsidRDefault="006C4192" w:rsidP="00F75A4E">
      <w:pPr>
        <w:pStyle w:val="Normal-em"/>
        <w:spacing w:after="0" w:line="240" w:lineRule="auto"/>
        <w:rPr>
          <w:szCs w:val="24"/>
        </w:rPr>
      </w:pPr>
      <w:r>
        <w:rPr>
          <w:szCs w:val="24"/>
        </w:rPr>
        <w:t xml:space="preserve">The </w:t>
      </w:r>
      <w:r w:rsidR="00F75A4E" w:rsidRPr="00A96FA6">
        <w:rPr>
          <w:szCs w:val="24"/>
        </w:rPr>
        <w:t>BDLs establish a baseline from which to</w:t>
      </w:r>
      <w:r w:rsidR="00F75A4E">
        <w:rPr>
          <w:szCs w:val="24"/>
        </w:rPr>
        <w:t xml:space="preserve"> </w:t>
      </w:r>
      <w:r w:rsidR="00F75A4E" w:rsidRPr="00A96FA6">
        <w:rPr>
          <w:szCs w:val="24"/>
        </w:rPr>
        <w:t>determine re</w:t>
      </w:r>
      <w:r w:rsidR="00F75A4E">
        <w:rPr>
          <w:szCs w:val="24"/>
        </w:rPr>
        <w:t>quired reductions in diversions</w:t>
      </w:r>
      <w:r w:rsidR="001C2B4F">
        <w:rPr>
          <w:szCs w:val="24"/>
        </w:rPr>
        <w:t>. They a</w:t>
      </w:r>
      <w:r w:rsidR="00F75A4E">
        <w:rPr>
          <w:szCs w:val="24"/>
        </w:rPr>
        <w:t xml:space="preserve">re </w:t>
      </w:r>
      <w:r w:rsidR="00F75A4E" w:rsidRPr="00A96FA6">
        <w:rPr>
          <w:szCs w:val="24"/>
        </w:rPr>
        <w:t>set out in Schedule 3</w:t>
      </w:r>
      <w:r w:rsidR="001C2B4F">
        <w:rPr>
          <w:szCs w:val="24"/>
        </w:rPr>
        <w:t xml:space="preserve"> of the Basin Plan</w:t>
      </w:r>
      <w:r w:rsidR="00F75A4E">
        <w:rPr>
          <w:szCs w:val="24"/>
        </w:rPr>
        <w:t xml:space="preserve">. </w:t>
      </w:r>
    </w:p>
    <w:p w:rsidR="001C2B4F" w:rsidRDefault="001C2B4F" w:rsidP="00F75A4E">
      <w:pPr>
        <w:pStyle w:val="Normal-em"/>
        <w:spacing w:after="0" w:line="240" w:lineRule="auto"/>
        <w:rPr>
          <w:szCs w:val="24"/>
        </w:rPr>
      </w:pPr>
    </w:p>
    <w:p w:rsidR="00F75A4E" w:rsidRDefault="00F75A4E" w:rsidP="00F75A4E">
      <w:pPr>
        <w:pStyle w:val="Normal-em"/>
        <w:spacing w:after="0" w:line="240" w:lineRule="auto"/>
        <w:rPr>
          <w:szCs w:val="24"/>
        </w:rPr>
      </w:pPr>
      <w:r>
        <w:rPr>
          <w:szCs w:val="24"/>
        </w:rPr>
        <w:t xml:space="preserve">The </w:t>
      </w:r>
      <w:r w:rsidRPr="00A96FA6">
        <w:rPr>
          <w:szCs w:val="24"/>
        </w:rPr>
        <w:t xml:space="preserve">local reduction amount is </w:t>
      </w:r>
      <w:r>
        <w:rPr>
          <w:szCs w:val="24"/>
        </w:rPr>
        <w:t>defined in section 1.07</w:t>
      </w:r>
      <w:r w:rsidR="00480EC1">
        <w:rPr>
          <w:szCs w:val="24"/>
        </w:rPr>
        <w:t xml:space="preserve"> of the Basin Plan</w:t>
      </w:r>
      <w:r>
        <w:rPr>
          <w:szCs w:val="24"/>
        </w:rPr>
        <w:t xml:space="preserve">, and is </w:t>
      </w:r>
      <w:r w:rsidRPr="00A96FA6">
        <w:rPr>
          <w:szCs w:val="24"/>
        </w:rPr>
        <w:t>the quantity of</w:t>
      </w:r>
      <w:r>
        <w:rPr>
          <w:szCs w:val="24"/>
        </w:rPr>
        <w:t xml:space="preserve"> </w:t>
      </w:r>
      <w:r w:rsidRPr="00A96FA6">
        <w:rPr>
          <w:szCs w:val="24"/>
        </w:rPr>
        <w:t>water identified in column</w:t>
      </w:r>
      <w:r>
        <w:rPr>
          <w:szCs w:val="24"/>
        </w:rPr>
        <w:t> </w:t>
      </w:r>
      <w:r w:rsidRPr="00A96FA6">
        <w:rPr>
          <w:szCs w:val="24"/>
        </w:rPr>
        <w:t xml:space="preserve">2 of the table in Schedule 2 </w:t>
      </w:r>
      <w:r w:rsidR="001C2B4F">
        <w:rPr>
          <w:szCs w:val="24"/>
        </w:rPr>
        <w:t xml:space="preserve">of the Basin Plan </w:t>
      </w:r>
      <w:r w:rsidRPr="00A96FA6">
        <w:rPr>
          <w:szCs w:val="24"/>
        </w:rPr>
        <w:t>as the local reduction amount for</w:t>
      </w:r>
      <w:r>
        <w:rPr>
          <w:szCs w:val="24"/>
        </w:rPr>
        <w:t xml:space="preserve"> </w:t>
      </w:r>
      <w:r w:rsidRPr="00A96FA6">
        <w:rPr>
          <w:szCs w:val="24"/>
        </w:rPr>
        <w:t>the unit or if no quantity is identified, zero.</w:t>
      </w:r>
    </w:p>
    <w:p w:rsidR="00F75A4E" w:rsidRDefault="00F75A4E" w:rsidP="00F75A4E">
      <w:pPr>
        <w:pStyle w:val="Normal-em"/>
        <w:spacing w:after="0" w:line="240" w:lineRule="auto"/>
        <w:rPr>
          <w:szCs w:val="24"/>
        </w:rPr>
      </w:pPr>
    </w:p>
    <w:p w:rsidR="006C4192" w:rsidRPr="001C2B4F" w:rsidRDefault="00F75A4E" w:rsidP="006C4192">
      <w:pPr>
        <w:pStyle w:val="Normal-em"/>
        <w:spacing w:after="0" w:line="240" w:lineRule="auto"/>
        <w:rPr>
          <w:szCs w:val="24"/>
        </w:rPr>
      </w:pPr>
      <w:r>
        <w:rPr>
          <w:szCs w:val="24"/>
        </w:rPr>
        <w:lastRenderedPageBreak/>
        <w:t xml:space="preserve">The </w:t>
      </w:r>
      <w:r w:rsidR="006C4192" w:rsidRPr="006C4192">
        <w:rPr>
          <w:szCs w:val="24"/>
        </w:rPr>
        <w:t>SDL resource unit shared reduction amount for each</w:t>
      </w:r>
      <w:r w:rsidR="006C4192">
        <w:rPr>
          <w:szCs w:val="24"/>
        </w:rPr>
        <w:t xml:space="preserve"> </w:t>
      </w:r>
      <w:r w:rsidR="006C4192" w:rsidRPr="006C4192">
        <w:rPr>
          <w:szCs w:val="24"/>
        </w:rPr>
        <w:t>surface water SDL resource unit in a zone is the amount, in</w:t>
      </w:r>
      <w:r w:rsidR="006D0A12">
        <w:rPr>
          <w:szCs w:val="24"/>
        </w:rPr>
        <w:t xml:space="preserve"> gigalitres</w:t>
      </w:r>
      <w:r w:rsidR="006C4192" w:rsidRPr="006C4192">
        <w:rPr>
          <w:szCs w:val="24"/>
        </w:rPr>
        <w:t xml:space="preserve"> </w:t>
      </w:r>
      <w:r w:rsidR="006D0A12">
        <w:rPr>
          <w:szCs w:val="24"/>
        </w:rPr>
        <w:t>(</w:t>
      </w:r>
      <w:r w:rsidR="006C4192" w:rsidRPr="006C4192">
        <w:rPr>
          <w:szCs w:val="24"/>
        </w:rPr>
        <w:t>GL</w:t>
      </w:r>
      <w:r w:rsidR="006D0A12">
        <w:rPr>
          <w:szCs w:val="24"/>
        </w:rPr>
        <w:t>)</w:t>
      </w:r>
      <w:r w:rsidR="006C4192" w:rsidRPr="006C4192">
        <w:rPr>
          <w:szCs w:val="24"/>
        </w:rPr>
        <w:t xml:space="preserve"> per year, calculated in</w:t>
      </w:r>
      <w:r w:rsidR="006C4192">
        <w:rPr>
          <w:szCs w:val="24"/>
        </w:rPr>
        <w:t xml:space="preserve"> </w:t>
      </w:r>
      <w:r w:rsidR="006C4192" w:rsidRPr="006C4192">
        <w:rPr>
          <w:szCs w:val="24"/>
        </w:rPr>
        <w:t xml:space="preserve">accordance with </w:t>
      </w:r>
      <w:r w:rsidR="006C4192">
        <w:rPr>
          <w:szCs w:val="24"/>
        </w:rPr>
        <w:t>section 6.05</w:t>
      </w:r>
      <w:r w:rsidR="006C4192" w:rsidRPr="006C4192">
        <w:rPr>
          <w:szCs w:val="24"/>
        </w:rPr>
        <w:t>.</w:t>
      </w:r>
      <w:r w:rsidR="006C4192">
        <w:rPr>
          <w:szCs w:val="24"/>
        </w:rPr>
        <w:t xml:space="preserve"> </w:t>
      </w:r>
      <w:r w:rsidR="00480EC1" w:rsidRPr="004E317F">
        <w:rPr>
          <w:szCs w:val="24"/>
        </w:rPr>
        <w:t>Under section 7.14A of the Basin Plan, a Basin State may provide a reallocation adjustment request for shared reduction amounts up to 30 June 2017. This reallocation adjustment request is for the purposes of the operation of the SDL adjustment mechanism only, that is, this shared reduction request will be used to calculate the SDL adjustments in 2017 and any reconciliation adjustments in 2024.</w:t>
      </w:r>
    </w:p>
    <w:p w:rsidR="00F75A4E" w:rsidRDefault="00F75A4E" w:rsidP="00A96FA6">
      <w:pPr>
        <w:pStyle w:val="Normal-em"/>
        <w:spacing w:after="0" w:line="240" w:lineRule="auto"/>
        <w:rPr>
          <w:szCs w:val="24"/>
        </w:rPr>
      </w:pPr>
    </w:p>
    <w:p w:rsidR="001C2B4F" w:rsidRDefault="001C2B4F" w:rsidP="00A96FA6">
      <w:pPr>
        <w:pStyle w:val="Normal-em"/>
        <w:spacing w:after="0" w:line="240" w:lineRule="auto"/>
        <w:rPr>
          <w:szCs w:val="24"/>
        </w:rPr>
      </w:pPr>
      <w:r>
        <w:rPr>
          <w:szCs w:val="24"/>
        </w:rPr>
        <w:t>The SDL adjustment amount</w:t>
      </w:r>
      <w:r w:rsidR="003C0058">
        <w:rPr>
          <w:szCs w:val="24"/>
        </w:rPr>
        <w:t xml:space="preserve"> in 2017</w:t>
      </w:r>
      <w:r>
        <w:rPr>
          <w:szCs w:val="24"/>
        </w:rPr>
        <w:t xml:space="preserve"> reflects the overall impact for an SDL resource unit of the increase in the SDL from supply measures</w:t>
      </w:r>
      <w:r w:rsidR="00E711B4">
        <w:rPr>
          <w:szCs w:val="24"/>
        </w:rPr>
        <w:t xml:space="preserve"> (supply contribution)</w:t>
      </w:r>
      <w:r>
        <w:rPr>
          <w:szCs w:val="24"/>
        </w:rPr>
        <w:t xml:space="preserve"> and the decrease in the SDL from efficiency measures</w:t>
      </w:r>
      <w:r w:rsidR="00E711B4">
        <w:rPr>
          <w:szCs w:val="24"/>
        </w:rPr>
        <w:t xml:space="preserve"> (efficiency contribution)</w:t>
      </w:r>
      <w:r w:rsidR="00F85035" w:rsidRPr="00F85035">
        <w:rPr>
          <w:szCs w:val="24"/>
        </w:rPr>
        <w:t>, including the operation of the net five per cent limit on adjustments in section 7.19 of the Basin Plan</w:t>
      </w:r>
      <w:r>
        <w:rPr>
          <w:szCs w:val="24"/>
        </w:rPr>
        <w:t xml:space="preserve">. The Amendment Instrument provides for </w:t>
      </w:r>
      <w:r w:rsidR="008F195B">
        <w:rPr>
          <w:szCs w:val="24"/>
        </w:rPr>
        <w:t xml:space="preserve">the </w:t>
      </w:r>
      <w:r>
        <w:rPr>
          <w:szCs w:val="24"/>
        </w:rPr>
        <w:t>calculat</w:t>
      </w:r>
      <w:r w:rsidR="008F195B">
        <w:rPr>
          <w:szCs w:val="24"/>
        </w:rPr>
        <w:t>ion of</w:t>
      </w:r>
      <w:r>
        <w:rPr>
          <w:szCs w:val="24"/>
        </w:rPr>
        <w:t xml:space="preserve"> the SDL adjustment amount</w:t>
      </w:r>
      <w:r w:rsidR="003C0058">
        <w:rPr>
          <w:szCs w:val="24"/>
        </w:rPr>
        <w:t xml:space="preserve"> in accordance with Chapter 7 of the Basin Plan</w:t>
      </w:r>
      <w:r>
        <w:rPr>
          <w:szCs w:val="24"/>
        </w:rPr>
        <w:t xml:space="preserve">. </w:t>
      </w:r>
      <w:r w:rsidRPr="007041CF">
        <w:rPr>
          <w:szCs w:val="24"/>
        </w:rPr>
        <w:t xml:space="preserve">The SDL adjustment amount </w:t>
      </w:r>
      <w:r w:rsidR="003822E9" w:rsidRPr="007041CF">
        <w:rPr>
          <w:szCs w:val="24"/>
        </w:rPr>
        <w:t xml:space="preserve">for an SDL resource unit </w:t>
      </w:r>
      <w:r w:rsidRPr="007041CF">
        <w:rPr>
          <w:szCs w:val="24"/>
        </w:rPr>
        <w:t xml:space="preserve">will be a positive number if the supply contribution is greater than the efficiency contribution, and a negative number </w:t>
      </w:r>
      <w:r w:rsidR="003822E9" w:rsidRPr="007041CF">
        <w:rPr>
          <w:szCs w:val="24"/>
        </w:rPr>
        <w:t xml:space="preserve">of </w:t>
      </w:r>
      <w:r w:rsidRPr="007041CF">
        <w:rPr>
          <w:szCs w:val="24"/>
        </w:rPr>
        <w:t>the efficiency contribution is greater than the supply contribution.</w:t>
      </w:r>
    </w:p>
    <w:p w:rsidR="009F09DE" w:rsidRDefault="009F09DE" w:rsidP="00A96FA6">
      <w:pPr>
        <w:pStyle w:val="Normal-em"/>
        <w:spacing w:after="0" w:line="240" w:lineRule="auto"/>
        <w:rPr>
          <w:szCs w:val="24"/>
        </w:rPr>
      </w:pPr>
    </w:p>
    <w:p w:rsidR="009F09DE" w:rsidRDefault="009F09DE" w:rsidP="00A96FA6">
      <w:pPr>
        <w:pStyle w:val="Normal-em"/>
        <w:spacing w:after="0" w:line="240" w:lineRule="auto"/>
        <w:rPr>
          <w:b/>
          <w:szCs w:val="24"/>
        </w:rPr>
      </w:pPr>
      <w:r>
        <w:rPr>
          <w:b/>
          <w:szCs w:val="24"/>
        </w:rPr>
        <w:t xml:space="preserve">Item 1 </w:t>
      </w:r>
      <w:r>
        <w:rPr>
          <w:szCs w:val="24"/>
        </w:rPr>
        <w:t xml:space="preserve">inserts the new Schedule 6A in subsection 1.05(1), after the table item dealing with Schedule 6. </w:t>
      </w:r>
    </w:p>
    <w:p w:rsidR="009F09DE" w:rsidRDefault="009F09DE" w:rsidP="00A96FA6">
      <w:pPr>
        <w:pStyle w:val="Normal-em"/>
        <w:spacing w:after="0" w:line="240" w:lineRule="auto"/>
        <w:rPr>
          <w:b/>
          <w:szCs w:val="24"/>
        </w:rPr>
      </w:pPr>
    </w:p>
    <w:p w:rsidR="009F09DE" w:rsidRDefault="009F09DE" w:rsidP="005D7DD7">
      <w:pPr>
        <w:pStyle w:val="Normal-em"/>
        <w:spacing w:after="0" w:line="240" w:lineRule="auto"/>
        <w:rPr>
          <w:color w:val="auto"/>
          <w:szCs w:val="24"/>
        </w:rPr>
      </w:pPr>
      <w:r>
        <w:rPr>
          <w:b/>
          <w:szCs w:val="24"/>
        </w:rPr>
        <w:t xml:space="preserve">Item 2 </w:t>
      </w:r>
      <w:r w:rsidR="005D7DD7" w:rsidRPr="005D1ABF">
        <w:rPr>
          <w:szCs w:val="24"/>
        </w:rPr>
        <w:t>inserts</w:t>
      </w:r>
      <w:r w:rsidR="005D7DD7">
        <w:rPr>
          <w:szCs w:val="24"/>
        </w:rPr>
        <w:t xml:space="preserve"> new definition</w:t>
      </w:r>
      <w:r>
        <w:rPr>
          <w:szCs w:val="24"/>
        </w:rPr>
        <w:t>s</w:t>
      </w:r>
      <w:r w:rsidR="005D7DD7">
        <w:rPr>
          <w:szCs w:val="24"/>
        </w:rPr>
        <w:t xml:space="preserve"> in </w:t>
      </w:r>
      <w:r w:rsidR="00123E65">
        <w:rPr>
          <w:szCs w:val="24"/>
        </w:rPr>
        <w:t>sub</w:t>
      </w:r>
      <w:r w:rsidR="005D7DD7">
        <w:rPr>
          <w:szCs w:val="24"/>
        </w:rPr>
        <w:t>section 1.07(1)</w:t>
      </w:r>
      <w:r w:rsidR="00DF473D">
        <w:rPr>
          <w:szCs w:val="24"/>
        </w:rPr>
        <w:t xml:space="preserve"> of the Basin Plan</w:t>
      </w:r>
      <w:r w:rsidR="005D7DD7" w:rsidRPr="005D1ABF">
        <w:rPr>
          <w:color w:val="auto"/>
          <w:szCs w:val="24"/>
        </w:rPr>
        <w:t>.</w:t>
      </w:r>
      <w:r w:rsidR="005D7DD7">
        <w:rPr>
          <w:color w:val="auto"/>
          <w:szCs w:val="24"/>
        </w:rPr>
        <w:t xml:space="preserve"> </w:t>
      </w:r>
      <w:r w:rsidR="00C27C1E">
        <w:rPr>
          <w:color w:val="auto"/>
          <w:szCs w:val="24"/>
        </w:rPr>
        <w:t>The terms ‘apportioned supply contribution’, ‘current efficiency contribution’, ‘net effect’, ‘reduced supply contribution’</w:t>
      </w:r>
      <w:r w:rsidR="001D65FC">
        <w:rPr>
          <w:color w:val="auto"/>
          <w:szCs w:val="24"/>
        </w:rPr>
        <w:t>,</w:t>
      </w:r>
      <w:r w:rsidR="00C27C1E">
        <w:rPr>
          <w:color w:val="auto"/>
          <w:szCs w:val="24"/>
        </w:rPr>
        <w:t xml:space="preserve"> ‘SDL adjustment amount’ </w:t>
      </w:r>
      <w:r w:rsidR="001D65FC">
        <w:rPr>
          <w:color w:val="auto"/>
          <w:szCs w:val="24"/>
        </w:rPr>
        <w:t xml:space="preserve">and ‘total current efficiency contribution’ </w:t>
      </w:r>
      <w:r w:rsidR="00C27C1E">
        <w:rPr>
          <w:color w:val="auto"/>
          <w:szCs w:val="24"/>
        </w:rPr>
        <w:t>have the meanings given by Schedule 6A</w:t>
      </w:r>
      <w:r w:rsidR="001D65FC">
        <w:rPr>
          <w:color w:val="auto"/>
          <w:szCs w:val="24"/>
        </w:rPr>
        <w:t xml:space="preserve"> or section 6.05A of the Basin Plan</w:t>
      </w:r>
      <w:r w:rsidR="00C27C1E">
        <w:rPr>
          <w:color w:val="auto"/>
          <w:szCs w:val="24"/>
        </w:rPr>
        <w:t>.</w:t>
      </w:r>
    </w:p>
    <w:p w:rsidR="005D7DD7" w:rsidRDefault="005D7DD7" w:rsidP="005D7DD7">
      <w:pPr>
        <w:spacing w:after="0" w:line="240" w:lineRule="auto"/>
        <w:rPr>
          <w:rFonts w:ascii="Times New Roman" w:hAnsi="Times New Roman" w:cs="Times New Roman"/>
          <w:sz w:val="24"/>
          <w:szCs w:val="24"/>
        </w:rPr>
      </w:pPr>
    </w:p>
    <w:p w:rsidR="005D7DD7" w:rsidRDefault="005D7DD7" w:rsidP="005D7DD7">
      <w:pPr>
        <w:pStyle w:val="Normal-em"/>
        <w:spacing w:after="0" w:line="240" w:lineRule="auto"/>
        <w:rPr>
          <w:szCs w:val="24"/>
        </w:rPr>
      </w:pPr>
      <w:r>
        <w:rPr>
          <w:b/>
          <w:szCs w:val="24"/>
        </w:rPr>
        <w:t>Item 3</w:t>
      </w:r>
      <w:r w:rsidRPr="005D1ABF">
        <w:rPr>
          <w:b/>
          <w:szCs w:val="24"/>
        </w:rPr>
        <w:t xml:space="preserve"> </w:t>
      </w:r>
      <w:r w:rsidRPr="005D1ABF">
        <w:rPr>
          <w:szCs w:val="24"/>
        </w:rPr>
        <w:t>inserts</w:t>
      </w:r>
      <w:r>
        <w:rPr>
          <w:szCs w:val="24"/>
        </w:rPr>
        <w:t xml:space="preserve"> a new section 6.05A, which defines the term ‘SDL adjustment amount’. The term ‘SDL adjustment amount’ applies at the </w:t>
      </w:r>
      <w:r w:rsidR="00C27C1E">
        <w:rPr>
          <w:szCs w:val="24"/>
        </w:rPr>
        <w:t xml:space="preserve">surface water </w:t>
      </w:r>
      <w:r>
        <w:rPr>
          <w:szCs w:val="24"/>
        </w:rPr>
        <w:t xml:space="preserve">SDL resource unit level and can change between water accounting periods. The SDL adjustment amounts, which have been proposed by the Authority under section 23A of the Act, are calculated in accordance with Schedule 6A in </w:t>
      </w:r>
      <w:r w:rsidR="008B6FEB">
        <w:rPr>
          <w:szCs w:val="24"/>
        </w:rPr>
        <w:t>GL</w:t>
      </w:r>
      <w:r>
        <w:rPr>
          <w:szCs w:val="24"/>
        </w:rPr>
        <w:t xml:space="preserve"> per year. The long-term average sustainable diversion limits for SDL resource units, set in column 2 of the table in Schedule 2, include the SDL adjustment amounts.</w:t>
      </w:r>
    </w:p>
    <w:p w:rsidR="005D7DD7" w:rsidRDefault="005D7DD7" w:rsidP="005D7DD7">
      <w:pPr>
        <w:pStyle w:val="Normal-em"/>
        <w:spacing w:after="0" w:line="240" w:lineRule="auto"/>
        <w:rPr>
          <w:szCs w:val="24"/>
        </w:rPr>
      </w:pPr>
    </w:p>
    <w:p w:rsidR="005D7DD7" w:rsidRDefault="005D7DD7" w:rsidP="005D7DD7">
      <w:pPr>
        <w:pStyle w:val="Normal-em"/>
        <w:spacing w:after="0" w:line="240" w:lineRule="auto"/>
        <w:rPr>
          <w:szCs w:val="24"/>
        </w:rPr>
      </w:pPr>
      <w:r>
        <w:rPr>
          <w:b/>
          <w:szCs w:val="24"/>
        </w:rPr>
        <w:t>Item 4</w:t>
      </w:r>
      <w:r w:rsidRPr="005D1ABF">
        <w:rPr>
          <w:b/>
          <w:szCs w:val="24"/>
        </w:rPr>
        <w:t xml:space="preserve"> </w:t>
      </w:r>
      <w:r>
        <w:rPr>
          <w:szCs w:val="24"/>
        </w:rPr>
        <w:t>replaces the existing note to Schedule 2</w:t>
      </w:r>
      <w:r w:rsidR="00A90C20">
        <w:rPr>
          <w:szCs w:val="24"/>
        </w:rPr>
        <w:t xml:space="preserve"> of the Basin Plan</w:t>
      </w:r>
      <w:r>
        <w:rPr>
          <w:szCs w:val="24"/>
        </w:rPr>
        <w:t>. The new Note 1 indicates that sections 6.02, 6.04, 6.05 and 6.05A, Schedule 3, Schedule 6A</w:t>
      </w:r>
      <w:r w:rsidR="00C27C1E">
        <w:rPr>
          <w:szCs w:val="24"/>
        </w:rPr>
        <w:t xml:space="preserve">, </w:t>
      </w:r>
      <w:r>
        <w:rPr>
          <w:szCs w:val="24"/>
        </w:rPr>
        <w:t>the definition of BDL in section 1.07</w:t>
      </w:r>
      <w:r w:rsidR="00484A34">
        <w:rPr>
          <w:szCs w:val="24"/>
        </w:rPr>
        <w:t>,</w:t>
      </w:r>
      <w:r>
        <w:rPr>
          <w:szCs w:val="24"/>
        </w:rPr>
        <w:t xml:space="preserve"> and Part 3 of Chapter 10 are all relevant to this Schedule</w:t>
      </w:r>
      <w:r w:rsidR="00A90C20">
        <w:rPr>
          <w:szCs w:val="24"/>
        </w:rPr>
        <w:t xml:space="preserve"> 2</w:t>
      </w:r>
      <w:r>
        <w:rPr>
          <w:szCs w:val="24"/>
        </w:rPr>
        <w:t xml:space="preserve">. The new Note 2 clarifies the formula that is used to calculate the </w:t>
      </w:r>
      <w:r w:rsidR="00C339B0">
        <w:rPr>
          <w:szCs w:val="24"/>
        </w:rPr>
        <w:t>long-term average sustainable diversion limit</w:t>
      </w:r>
      <w:r>
        <w:rPr>
          <w:szCs w:val="24"/>
        </w:rPr>
        <w:t xml:space="preserve"> for a particular SDL resource unit as:</w:t>
      </w:r>
    </w:p>
    <w:p w:rsidR="005D7DD7" w:rsidRDefault="005D7DD7" w:rsidP="005D7DD7">
      <w:pPr>
        <w:pStyle w:val="Normal-em"/>
        <w:spacing w:after="0" w:line="240" w:lineRule="auto"/>
        <w:rPr>
          <w:szCs w:val="24"/>
        </w:rPr>
      </w:pPr>
    </w:p>
    <w:p w:rsidR="005D7DD7" w:rsidRPr="00B4082C" w:rsidRDefault="005D7DD7" w:rsidP="005D7DD7">
      <w:pPr>
        <w:pStyle w:val="Normal-em"/>
        <w:spacing w:after="0" w:line="240" w:lineRule="auto"/>
        <w:ind w:left="720"/>
        <w:rPr>
          <w:szCs w:val="24"/>
        </w:rPr>
      </w:pPr>
      <w:r w:rsidRPr="00B4082C">
        <w:rPr>
          <w:szCs w:val="24"/>
        </w:rPr>
        <w:t xml:space="preserve">SDL = BDL – (local reduction amount) – (SDL resource unit shared reduction amount) + </w:t>
      </w:r>
      <w:r>
        <w:rPr>
          <w:szCs w:val="24"/>
        </w:rPr>
        <w:t>(</w:t>
      </w:r>
      <w:r w:rsidRPr="00B4082C">
        <w:rPr>
          <w:szCs w:val="24"/>
        </w:rPr>
        <w:t>SDL adjustment amount)</w:t>
      </w:r>
    </w:p>
    <w:p w:rsidR="005D7DD7" w:rsidRDefault="005D7DD7" w:rsidP="005D7DD7">
      <w:pPr>
        <w:pStyle w:val="Normal-em"/>
        <w:spacing w:after="0" w:line="240" w:lineRule="auto"/>
        <w:rPr>
          <w:szCs w:val="24"/>
        </w:rPr>
      </w:pPr>
    </w:p>
    <w:p w:rsidR="005D7DD7" w:rsidRDefault="005D7DD7" w:rsidP="005D7DD7">
      <w:pPr>
        <w:pStyle w:val="Normal-em"/>
        <w:spacing w:after="0" w:line="240" w:lineRule="auto"/>
        <w:rPr>
          <w:szCs w:val="24"/>
        </w:rPr>
      </w:pPr>
      <w:r>
        <w:rPr>
          <w:szCs w:val="24"/>
        </w:rPr>
        <w:t xml:space="preserve">The note also </w:t>
      </w:r>
      <w:r w:rsidR="00A90C20">
        <w:rPr>
          <w:szCs w:val="24"/>
        </w:rPr>
        <w:t xml:space="preserve">includes </w:t>
      </w:r>
      <w:r>
        <w:rPr>
          <w:szCs w:val="24"/>
        </w:rPr>
        <w:t xml:space="preserve">the </w:t>
      </w:r>
      <w:r w:rsidR="00A90C20">
        <w:rPr>
          <w:szCs w:val="24"/>
        </w:rPr>
        <w:t xml:space="preserve">text for the </w:t>
      </w:r>
      <w:r>
        <w:rPr>
          <w:szCs w:val="24"/>
        </w:rPr>
        <w:t>definitions for the terms ‘BDL’, ‘local reduction amount’, ‘SDL resource unit shared reduction amount’ and ‘SDL adjustment amount’.</w:t>
      </w:r>
      <w:r w:rsidR="00A90C20">
        <w:rPr>
          <w:szCs w:val="24"/>
        </w:rPr>
        <w:t xml:space="preserve"> These are the same definitions used </w:t>
      </w:r>
      <w:r w:rsidR="006B7B7D">
        <w:rPr>
          <w:szCs w:val="24"/>
        </w:rPr>
        <w:t>elsewhere in</w:t>
      </w:r>
      <w:r w:rsidR="00A90C20">
        <w:rPr>
          <w:szCs w:val="24"/>
        </w:rPr>
        <w:t xml:space="preserve"> the Basin Plan.</w:t>
      </w:r>
    </w:p>
    <w:p w:rsidR="005D7DD7" w:rsidRDefault="005D7DD7" w:rsidP="005D7DD7">
      <w:pPr>
        <w:spacing w:after="0" w:line="240" w:lineRule="auto"/>
        <w:rPr>
          <w:rFonts w:ascii="Times New Roman" w:hAnsi="Times New Roman" w:cs="Times New Roman"/>
          <w:sz w:val="24"/>
          <w:szCs w:val="24"/>
        </w:rPr>
      </w:pPr>
    </w:p>
    <w:p w:rsidR="000434EF" w:rsidRDefault="005D7DD7" w:rsidP="005D7DD7">
      <w:pPr>
        <w:pStyle w:val="Normal-em"/>
        <w:spacing w:after="0" w:line="240" w:lineRule="auto"/>
        <w:rPr>
          <w:szCs w:val="24"/>
        </w:rPr>
      </w:pPr>
      <w:r>
        <w:rPr>
          <w:b/>
          <w:szCs w:val="24"/>
        </w:rPr>
        <w:t>Item 5</w:t>
      </w:r>
      <w:r w:rsidRPr="005D1ABF">
        <w:rPr>
          <w:b/>
          <w:szCs w:val="24"/>
        </w:rPr>
        <w:t xml:space="preserve"> </w:t>
      </w:r>
      <w:r>
        <w:rPr>
          <w:szCs w:val="24"/>
        </w:rPr>
        <w:t xml:space="preserve">amends the long-term average sustainable diversion limits for each </w:t>
      </w:r>
      <w:r w:rsidR="006B7B7D">
        <w:rPr>
          <w:szCs w:val="24"/>
        </w:rPr>
        <w:t xml:space="preserve">surface water </w:t>
      </w:r>
      <w:r>
        <w:rPr>
          <w:szCs w:val="24"/>
        </w:rPr>
        <w:t>SDL resource unit, in column 2 of the table in Schedule 2</w:t>
      </w:r>
      <w:r w:rsidR="006B7B7D">
        <w:rPr>
          <w:szCs w:val="24"/>
        </w:rPr>
        <w:t xml:space="preserve"> of the Basin Plan</w:t>
      </w:r>
      <w:r>
        <w:rPr>
          <w:szCs w:val="24"/>
        </w:rPr>
        <w:t>, to include the SDL adjustment amount.</w:t>
      </w:r>
      <w:r w:rsidR="00123E65">
        <w:rPr>
          <w:szCs w:val="24"/>
        </w:rPr>
        <w:t xml:space="preserve"> </w:t>
      </w:r>
    </w:p>
    <w:p w:rsidR="000434EF" w:rsidRDefault="000434EF" w:rsidP="005D7DD7">
      <w:pPr>
        <w:pStyle w:val="Normal-em"/>
        <w:spacing w:after="0" w:line="240" w:lineRule="auto"/>
        <w:rPr>
          <w:szCs w:val="24"/>
        </w:rPr>
      </w:pPr>
    </w:p>
    <w:p w:rsidR="005D7DD7" w:rsidRPr="005D1ABF" w:rsidRDefault="005D7DD7" w:rsidP="005D7DD7">
      <w:pPr>
        <w:pStyle w:val="Normal-em"/>
        <w:spacing w:after="0" w:line="240" w:lineRule="auto"/>
        <w:rPr>
          <w:iCs/>
          <w:color w:val="auto"/>
          <w:szCs w:val="24"/>
        </w:rPr>
      </w:pPr>
      <w:r>
        <w:rPr>
          <w:b/>
          <w:szCs w:val="24"/>
        </w:rPr>
        <w:lastRenderedPageBreak/>
        <w:t>Item 6</w:t>
      </w:r>
      <w:r w:rsidRPr="005D1ABF">
        <w:rPr>
          <w:b/>
          <w:szCs w:val="24"/>
        </w:rPr>
        <w:t xml:space="preserve"> </w:t>
      </w:r>
      <w:r w:rsidRPr="000E25F8">
        <w:rPr>
          <w:szCs w:val="24"/>
        </w:rPr>
        <w:t xml:space="preserve">is </w:t>
      </w:r>
      <w:r w:rsidR="006B7B7D">
        <w:rPr>
          <w:szCs w:val="24"/>
        </w:rPr>
        <w:t xml:space="preserve">a </w:t>
      </w:r>
      <w:r w:rsidRPr="000E25F8">
        <w:rPr>
          <w:szCs w:val="24"/>
        </w:rPr>
        <w:t xml:space="preserve">consequential </w:t>
      </w:r>
      <w:r w:rsidR="006B7B7D">
        <w:rPr>
          <w:szCs w:val="24"/>
        </w:rPr>
        <w:t xml:space="preserve">amendment due </w:t>
      </w:r>
      <w:r w:rsidRPr="000E25F8">
        <w:rPr>
          <w:szCs w:val="24"/>
        </w:rPr>
        <w:t>to</w:t>
      </w:r>
      <w:r>
        <w:rPr>
          <w:b/>
          <w:szCs w:val="24"/>
        </w:rPr>
        <w:t xml:space="preserve"> Item 5 </w:t>
      </w:r>
      <w:r w:rsidR="003822E9" w:rsidRPr="00D1012B">
        <w:rPr>
          <w:szCs w:val="24"/>
        </w:rPr>
        <w:t>and</w:t>
      </w:r>
      <w:r w:rsidR="003822E9">
        <w:rPr>
          <w:b/>
          <w:szCs w:val="24"/>
        </w:rPr>
        <w:t xml:space="preserve"> </w:t>
      </w:r>
      <w:r w:rsidRPr="005D1ABF">
        <w:rPr>
          <w:szCs w:val="24"/>
        </w:rPr>
        <w:t>inserts</w:t>
      </w:r>
      <w:r>
        <w:rPr>
          <w:szCs w:val="24"/>
        </w:rPr>
        <w:t xml:space="preserve"> a note </w:t>
      </w:r>
      <w:r w:rsidR="003822E9">
        <w:rPr>
          <w:szCs w:val="24"/>
        </w:rPr>
        <w:t xml:space="preserve">against </w:t>
      </w:r>
      <w:r>
        <w:rPr>
          <w:szCs w:val="24"/>
        </w:rPr>
        <w:t xml:space="preserve">each SDL resource unit that the SDL adjustment amount will be added to the estimates of the SDL for each resource unit. </w:t>
      </w:r>
    </w:p>
    <w:p w:rsidR="005D7DD7" w:rsidRDefault="005D7DD7" w:rsidP="005D7DD7">
      <w:pPr>
        <w:pStyle w:val="Normal-em"/>
        <w:spacing w:after="0" w:line="240" w:lineRule="auto"/>
        <w:rPr>
          <w:b/>
          <w:szCs w:val="24"/>
        </w:rPr>
      </w:pPr>
    </w:p>
    <w:p w:rsidR="005D7DD7" w:rsidRDefault="005D7DD7" w:rsidP="005D7DD7">
      <w:pPr>
        <w:pStyle w:val="Normal-em"/>
        <w:spacing w:after="0" w:line="240" w:lineRule="auto"/>
        <w:rPr>
          <w:szCs w:val="24"/>
        </w:rPr>
      </w:pPr>
      <w:r>
        <w:rPr>
          <w:b/>
          <w:szCs w:val="24"/>
        </w:rPr>
        <w:t>Item 7</w:t>
      </w:r>
      <w:r w:rsidRPr="005D1ABF">
        <w:rPr>
          <w:b/>
          <w:szCs w:val="24"/>
        </w:rPr>
        <w:t xml:space="preserve"> </w:t>
      </w:r>
      <w:r w:rsidRPr="005D1ABF">
        <w:rPr>
          <w:szCs w:val="24"/>
        </w:rPr>
        <w:t>inserts</w:t>
      </w:r>
      <w:r>
        <w:rPr>
          <w:szCs w:val="24"/>
        </w:rPr>
        <w:t xml:space="preserve"> a new Schedule 6A which sets out how the SDL adjustment amount will be calculated for each </w:t>
      </w:r>
      <w:r w:rsidR="00015DB9">
        <w:rPr>
          <w:szCs w:val="24"/>
        </w:rPr>
        <w:t xml:space="preserve">surface water </w:t>
      </w:r>
      <w:r>
        <w:rPr>
          <w:szCs w:val="24"/>
        </w:rPr>
        <w:t>SDL resource unit.</w:t>
      </w:r>
    </w:p>
    <w:p w:rsidR="005D7DD7" w:rsidRDefault="005D7DD7" w:rsidP="005D7DD7">
      <w:pPr>
        <w:pStyle w:val="Normal-em"/>
        <w:spacing w:after="0" w:line="240" w:lineRule="auto"/>
        <w:rPr>
          <w:szCs w:val="24"/>
        </w:rPr>
      </w:pPr>
    </w:p>
    <w:p w:rsidR="005D7DD7" w:rsidRPr="00D16D12" w:rsidRDefault="005D7DD7" w:rsidP="005D7DD7">
      <w:pPr>
        <w:pStyle w:val="Normal-em"/>
        <w:spacing w:after="0" w:line="240" w:lineRule="auto"/>
        <w:rPr>
          <w:szCs w:val="24"/>
        </w:rPr>
      </w:pPr>
      <w:r w:rsidRPr="00D16D12">
        <w:rPr>
          <w:szCs w:val="24"/>
        </w:rPr>
        <w:t>Section </w:t>
      </w:r>
      <w:r w:rsidR="005F56D2">
        <w:rPr>
          <w:szCs w:val="24"/>
        </w:rPr>
        <w:t>S</w:t>
      </w:r>
      <w:r w:rsidR="00253D49">
        <w:rPr>
          <w:szCs w:val="24"/>
        </w:rPr>
        <w:t>6A.01</w:t>
      </w:r>
      <w:r w:rsidRPr="00D16D12">
        <w:rPr>
          <w:szCs w:val="24"/>
        </w:rPr>
        <w:t xml:space="preserve"> </w:t>
      </w:r>
      <w:r w:rsidR="00123E65">
        <w:rPr>
          <w:szCs w:val="24"/>
        </w:rPr>
        <w:t xml:space="preserve">of Schedule 6A </w:t>
      </w:r>
      <w:r w:rsidRPr="00D16D12">
        <w:rPr>
          <w:szCs w:val="24"/>
        </w:rPr>
        <w:t xml:space="preserve">provides a simplified outline of </w:t>
      </w:r>
      <w:r w:rsidR="00123E65">
        <w:rPr>
          <w:szCs w:val="24"/>
        </w:rPr>
        <w:t xml:space="preserve">the </w:t>
      </w:r>
      <w:r w:rsidR="00015DB9">
        <w:rPr>
          <w:szCs w:val="24"/>
        </w:rPr>
        <w:t>S</w:t>
      </w:r>
      <w:r w:rsidRPr="00D16D12">
        <w:rPr>
          <w:szCs w:val="24"/>
        </w:rPr>
        <w:t>chedule.</w:t>
      </w:r>
    </w:p>
    <w:p w:rsidR="005D7DD7" w:rsidRPr="00D16D12" w:rsidRDefault="005D7DD7" w:rsidP="005D7DD7">
      <w:pPr>
        <w:pStyle w:val="Normal-em"/>
        <w:spacing w:after="0" w:line="240" w:lineRule="auto"/>
        <w:rPr>
          <w:szCs w:val="24"/>
        </w:rPr>
      </w:pPr>
    </w:p>
    <w:p w:rsidR="00123E65" w:rsidRDefault="005D7DD7" w:rsidP="005D7DD7">
      <w:pPr>
        <w:pStyle w:val="Normal-em"/>
        <w:spacing w:after="0" w:line="240" w:lineRule="auto"/>
        <w:rPr>
          <w:szCs w:val="24"/>
        </w:rPr>
      </w:pPr>
      <w:r w:rsidRPr="00D16D12">
        <w:rPr>
          <w:szCs w:val="24"/>
        </w:rPr>
        <w:t xml:space="preserve">Section </w:t>
      </w:r>
      <w:r w:rsidR="005F56D2">
        <w:rPr>
          <w:szCs w:val="24"/>
        </w:rPr>
        <w:t>S</w:t>
      </w:r>
      <w:r w:rsidR="00253D49">
        <w:rPr>
          <w:szCs w:val="24"/>
        </w:rPr>
        <w:t>6A.0</w:t>
      </w:r>
      <w:r w:rsidRPr="00D16D12">
        <w:rPr>
          <w:szCs w:val="24"/>
        </w:rPr>
        <w:t xml:space="preserve">2 </w:t>
      </w:r>
      <w:r>
        <w:rPr>
          <w:szCs w:val="24"/>
        </w:rPr>
        <w:t>defines key terms</w:t>
      </w:r>
      <w:r w:rsidR="00123E65">
        <w:rPr>
          <w:szCs w:val="24"/>
        </w:rPr>
        <w:t xml:space="preserve"> </w:t>
      </w:r>
      <w:r w:rsidR="005F56D2">
        <w:rPr>
          <w:szCs w:val="24"/>
        </w:rPr>
        <w:t xml:space="preserve">‘apportioned supply contribution’, ‘current efficiency contribution’, ‘net effect’ and ‘total current efficiency contribution’ </w:t>
      </w:r>
      <w:r w:rsidR="00015DB9">
        <w:rPr>
          <w:szCs w:val="24"/>
        </w:rPr>
        <w:t>(in subsection (1)</w:t>
      </w:r>
      <w:r w:rsidR="005F56D2">
        <w:rPr>
          <w:szCs w:val="24"/>
        </w:rPr>
        <w:t xml:space="preserve"> and as further detailed below</w:t>
      </w:r>
      <w:r w:rsidR="00015DB9">
        <w:rPr>
          <w:szCs w:val="24"/>
        </w:rPr>
        <w:t xml:space="preserve">) </w:t>
      </w:r>
      <w:r w:rsidR="00123E65">
        <w:rPr>
          <w:szCs w:val="24"/>
        </w:rPr>
        <w:t>and sets out</w:t>
      </w:r>
      <w:r w:rsidR="005F56D2">
        <w:rPr>
          <w:szCs w:val="24"/>
        </w:rPr>
        <w:t xml:space="preserve"> in a table</w:t>
      </w:r>
      <w:r w:rsidR="00123E65">
        <w:rPr>
          <w:szCs w:val="24"/>
        </w:rPr>
        <w:t xml:space="preserve"> the apportioned supply contributions for each </w:t>
      </w:r>
      <w:r w:rsidR="00015DB9">
        <w:rPr>
          <w:szCs w:val="24"/>
        </w:rPr>
        <w:t xml:space="preserve">southern Basin surface water </w:t>
      </w:r>
      <w:r w:rsidR="00123E65">
        <w:rPr>
          <w:szCs w:val="24"/>
        </w:rPr>
        <w:t>SDL resource unit</w:t>
      </w:r>
      <w:r w:rsidR="00015DB9">
        <w:rPr>
          <w:szCs w:val="24"/>
        </w:rPr>
        <w:t xml:space="preserve"> (in subsection (2))</w:t>
      </w:r>
      <w:r>
        <w:rPr>
          <w:szCs w:val="24"/>
        </w:rPr>
        <w:t xml:space="preserve">. </w:t>
      </w:r>
    </w:p>
    <w:p w:rsidR="00123E65" w:rsidRDefault="00123E65" w:rsidP="005D7DD7">
      <w:pPr>
        <w:pStyle w:val="Normal-em"/>
        <w:spacing w:after="0" w:line="240" w:lineRule="auto"/>
        <w:rPr>
          <w:szCs w:val="24"/>
        </w:rPr>
      </w:pPr>
    </w:p>
    <w:p w:rsidR="00361EDD" w:rsidRDefault="005F34CC" w:rsidP="005D7DD7">
      <w:pPr>
        <w:pStyle w:val="Normal-em"/>
        <w:spacing w:after="0" w:line="240" w:lineRule="auto"/>
        <w:rPr>
          <w:szCs w:val="24"/>
        </w:rPr>
      </w:pPr>
      <w:r>
        <w:rPr>
          <w:szCs w:val="24"/>
        </w:rPr>
        <w:t>The 605 </w:t>
      </w:r>
      <w:r w:rsidR="008B6FEB">
        <w:rPr>
          <w:szCs w:val="24"/>
        </w:rPr>
        <w:t>GL</w:t>
      </w:r>
      <w:r>
        <w:rPr>
          <w:szCs w:val="24"/>
        </w:rPr>
        <w:t xml:space="preserve"> supply contribution proposed by the Authority will be apportioned between SDL resource units as set out in this </w:t>
      </w:r>
      <w:r w:rsidR="00015DB9">
        <w:rPr>
          <w:szCs w:val="24"/>
        </w:rPr>
        <w:t>sub</w:t>
      </w:r>
      <w:r>
        <w:rPr>
          <w:szCs w:val="24"/>
        </w:rPr>
        <w:t>section</w:t>
      </w:r>
      <w:r w:rsidR="00CF29F8">
        <w:rPr>
          <w:szCs w:val="24"/>
        </w:rPr>
        <w:t xml:space="preserve"> </w:t>
      </w:r>
      <w:r w:rsidR="00015DB9">
        <w:rPr>
          <w:szCs w:val="24"/>
        </w:rPr>
        <w:t>(2)</w:t>
      </w:r>
      <w:r>
        <w:rPr>
          <w:szCs w:val="24"/>
        </w:rPr>
        <w:t xml:space="preserve">. </w:t>
      </w:r>
      <w:r w:rsidR="006247AD" w:rsidRPr="006247AD">
        <w:rPr>
          <w:szCs w:val="24"/>
        </w:rPr>
        <w:t>The Authority calculated the supply contribution in accordance with the applicable method, using the default method set out in Schedule 6 of the Basin Plan.</w:t>
      </w:r>
      <w:r w:rsidR="006247AD">
        <w:rPr>
          <w:szCs w:val="24"/>
        </w:rPr>
        <w:t xml:space="preserve"> </w:t>
      </w:r>
      <w:r w:rsidR="005D7DD7">
        <w:rPr>
          <w:szCs w:val="24"/>
        </w:rPr>
        <w:t>For the SDL resource units listed in the table at section </w:t>
      </w:r>
      <w:proofErr w:type="gramStart"/>
      <w:r w:rsidR="00835D4D">
        <w:rPr>
          <w:szCs w:val="24"/>
        </w:rPr>
        <w:t>S</w:t>
      </w:r>
      <w:r w:rsidR="00EC6FE6">
        <w:rPr>
          <w:szCs w:val="24"/>
        </w:rPr>
        <w:t>6A.0</w:t>
      </w:r>
      <w:r w:rsidR="005D7DD7">
        <w:rPr>
          <w:szCs w:val="24"/>
        </w:rPr>
        <w:t>2(</w:t>
      </w:r>
      <w:proofErr w:type="gramEnd"/>
      <w:r w:rsidR="005D7DD7">
        <w:rPr>
          <w:szCs w:val="24"/>
        </w:rPr>
        <w:t xml:space="preserve">2) of Schedule 6A, ‘apportioned supply contribution’ is defined as the amount in </w:t>
      </w:r>
      <w:r w:rsidR="008B6FEB">
        <w:rPr>
          <w:szCs w:val="24"/>
        </w:rPr>
        <w:t>GL</w:t>
      </w:r>
      <w:r w:rsidR="005D7DD7">
        <w:rPr>
          <w:szCs w:val="24"/>
        </w:rPr>
        <w:t xml:space="preserve"> </w:t>
      </w:r>
      <w:r w:rsidR="00835D4D">
        <w:rPr>
          <w:szCs w:val="24"/>
        </w:rPr>
        <w:t xml:space="preserve">per year </w:t>
      </w:r>
      <w:r w:rsidR="005D7DD7">
        <w:rPr>
          <w:szCs w:val="24"/>
        </w:rPr>
        <w:t>listed in the table. For all SDL resource units not listed in the table, the ‘apportioned supply contribution’ is zero</w:t>
      </w:r>
      <w:r w:rsidR="00361EDD">
        <w:rPr>
          <w:szCs w:val="24"/>
        </w:rPr>
        <w:t>, including northern Basin surface water SDL resource units</w:t>
      </w:r>
      <w:r w:rsidR="00835D4D">
        <w:rPr>
          <w:szCs w:val="24"/>
        </w:rPr>
        <w:t xml:space="preserve"> (items 1 to 12 in Schedule 2 of the Basin Plan)</w:t>
      </w:r>
      <w:r w:rsidR="005D7DD7">
        <w:rPr>
          <w:szCs w:val="24"/>
        </w:rPr>
        <w:t>.</w:t>
      </w:r>
      <w:r>
        <w:rPr>
          <w:szCs w:val="24"/>
        </w:rPr>
        <w:t xml:space="preserve"> </w:t>
      </w:r>
    </w:p>
    <w:p w:rsidR="00361EDD" w:rsidRDefault="00361EDD" w:rsidP="005D7DD7">
      <w:pPr>
        <w:pStyle w:val="Normal-em"/>
        <w:spacing w:after="0" w:line="240" w:lineRule="auto"/>
        <w:rPr>
          <w:szCs w:val="24"/>
        </w:rPr>
      </w:pPr>
    </w:p>
    <w:p w:rsidR="005D7DD7" w:rsidRDefault="00FD4DBB" w:rsidP="005D7DD7">
      <w:pPr>
        <w:pStyle w:val="Normal-em"/>
        <w:spacing w:after="0" w:line="240" w:lineRule="auto"/>
        <w:rPr>
          <w:szCs w:val="24"/>
        </w:rPr>
      </w:pPr>
      <w:r>
        <w:rPr>
          <w:szCs w:val="24"/>
        </w:rPr>
        <w:t>The supply contribution has been apportioned between SDL resource units so that New South Wales receives 47.4 per cent of the supply contribution, Victoria receives 44 per cent of the supply contribution and South Australia receives 8.6 per cent of the supply contribution.</w:t>
      </w:r>
      <w:r w:rsidR="00F23684">
        <w:rPr>
          <w:szCs w:val="24"/>
        </w:rPr>
        <w:t xml:space="preserve"> This is based on the percentage proportions of the southern Basin shared reduction amount in section 6.05(3) of the Basin Plan, amended to distribute the Australian Capital Territory’s share between New South Wales, Victoria and South Australia.</w:t>
      </w:r>
    </w:p>
    <w:p w:rsidR="005D7DD7" w:rsidRDefault="005D7DD7" w:rsidP="005D7DD7">
      <w:pPr>
        <w:pStyle w:val="Normal-em"/>
        <w:spacing w:after="0" w:line="240" w:lineRule="auto"/>
        <w:rPr>
          <w:szCs w:val="24"/>
        </w:rPr>
      </w:pPr>
    </w:p>
    <w:p w:rsidR="005D7DD7" w:rsidRPr="00E70884" w:rsidRDefault="005D7DD7" w:rsidP="005D7DD7">
      <w:pPr>
        <w:pStyle w:val="Normal-em"/>
        <w:spacing w:after="0" w:line="240" w:lineRule="auto"/>
        <w:rPr>
          <w:szCs w:val="24"/>
        </w:rPr>
      </w:pPr>
      <w:r w:rsidRPr="00E70884">
        <w:rPr>
          <w:szCs w:val="24"/>
        </w:rPr>
        <w:t>‘Current efficiency contribution’ is defined as</w:t>
      </w:r>
      <w:r w:rsidR="009A7C23" w:rsidRPr="00E70884">
        <w:rPr>
          <w:szCs w:val="24"/>
        </w:rPr>
        <w:t xml:space="preserve"> </w:t>
      </w:r>
      <w:r w:rsidR="008B6CEB" w:rsidRPr="00E70884">
        <w:rPr>
          <w:szCs w:val="24"/>
        </w:rPr>
        <w:t xml:space="preserve">the number of efficiency entitlements </w:t>
      </w:r>
      <w:r w:rsidR="004F0776" w:rsidRPr="00E70884">
        <w:rPr>
          <w:szCs w:val="24"/>
        </w:rPr>
        <w:t xml:space="preserve">registered as being available </w:t>
      </w:r>
      <w:r w:rsidR="008B6CEB" w:rsidRPr="00E70884">
        <w:rPr>
          <w:szCs w:val="24"/>
        </w:rPr>
        <w:t xml:space="preserve">for the </w:t>
      </w:r>
      <w:r w:rsidR="001E755E" w:rsidRPr="00E70884">
        <w:rPr>
          <w:szCs w:val="24"/>
        </w:rPr>
        <w:t xml:space="preserve">surface water </w:t>
      </w:r>
      <w:r w:rsidR="008B6CEB" w:rsidRPr="00E70884">
        <w:rPr>
          <w:szCs w:val="24"/>
        </w:rPr>
        <w:t>SDL resource unit</w:t>
      </w:r>
      <w:r w:rsidR="001E755E" w:rsidRPr="00E70884">
        <w:rPr>
          <w:szCs w:val="24"/>
        </w:rPr>
        <w:t xml:space="preserve"> </w:t>
      </w:r>
      <w:r w:rsidR="004F0776" w:rsidRPr="00E70884">
        <w:rPr>
          <w:szCs w:val="24"/>
        </w:rPr>
        <w:t>and for a particular water accounting period. The current efficiency contribution is determined</w:t>
      </w:r>
      <w:r w:rsidR="001E755E" w:rsidRPr="00E70884">
        <w:rPr>
          <w:szCs w:val="24"/>
        </w:rPr>
        <w:t xml:space="preserve"> a</w:t>
      </w:r>
      <w:r w:rsidR="00253D49" w:rsidRPr="00E70884">
        <w:rPr>
          <w:szCs w:val="24"/>
        </w:rPr>
        <w:t>s at the end of the first day of the</w:t>
      </w:r>
      <w:r w:rsidR="008B6CEB" w:rsidRPr="00E70884">
        <w:rPr>
          <w:szCs w:val="24"/>
        </w:rPr>
        <w:t xml:space="preserve"> </w:t>
      </w:r>
      <w:r w:rsidR="000934B6" w:rsidRPr="00E70884">
        <w:rPr>
          <w:szCs w:val="24"/>
        </w:rPr>
        <w:t xml:space="preserve">particular </w:t>
      </w:r>
      <w:r w:rsidR="008B6CEB" w:rsidRPr="00E70884">
        <w:rPr>
          <w:szCs w:val="24"/>
        </w:rPr>
        <w:t xml:space="preserve">water accounting period, </w:t>
      </w:r>
      <w:r w:rsidR="001E755E" w:rsidRPr="00E70884">
        <w:rPr>
          <w:szCs w:val="24"/>
        </w:rPr>
        <w:t xml:space="preserve">disregarding </w:t>
      </w:r>
      <w:r w:rsidR="008B6CEB" w:rsidRPr="00E70884">
        <w:rPr>
          <w:szCs w:val="24"/>
        </w:rPr>
        <w:t xml:space="preserve">any efficiency entitlement that might be registered </w:t>
      </w:r>
      <w:r w:rsidR="004F0776" w:rsidRPr="00E70884">
        <w:rPr>
          <w:szCs w:val="24"/>
        </w:rPr>
        <w:t>after 30 June</w:t>
      </w:r>
      <w:r w:rsidR="008B6CEB" w:rsidRPr="00E70884">
        <w:rPr>
          <w:szCs w:val="24"/>
        </w:rPr>
        <w:t xml:space="preserve"> 2024.</w:t>
      </w:r>
      <w:r w:rsidR="008B6CEB" w:rsidRPr="00E70884" w:rsidDel="008B6CEB">
        <w:rPr>
          <w:szCs w:val="24"/>
        </w:rPr>
        <w:t xml:space="preserve"> </w:t>
      </w:r>
      <w:r w:rsidR="008B6CEB" w:rsidRPr="00E70884">
        <w:rPr>
          <w:szCs w:val="24"/>
        </w:rPr>
        <w:t xml:space="preserve">The </w:t>
      </w:r>
      <w:r w:rsidR="000934B6" w:rsidRPr="00E70884">
        <w:rPr>
          <w:szCs w:val="24"/>
        </w:rPr>
        <w:t xml:space="preserve">current </w:t>
      </w:r>
      <w:r w:rsidR="008B6CEB" w:rsidRPr="00E70884">
        <w:rPr>
          <w:szCs w:val="24"/>
        </w:rPr>
        <w:t xml:space="preserve">efficiency contribution </w:t>
      </w:r>
      <w:r w:rsidR="000934B6" w:rsidRPr="00E70884">
        <w:rPr>
          <w:szCs w:val="24"/>
        </w:rPr>
        <w:t xml:space="preserve">for a surface water SDL resource unit </w:t>
      </w:r>
      <w:r w:rsidR="008B6CEB" w:rsidRPr="00E70884">
        <w:rPr>
          <w:szCs w:val="24"/>
        </w:rPr>
        <w:t xml:space="preserve">will increase over time as more efficiency entitlements are </w:t>
      </w:r>
      <w:r w:rsidR="004F0776" w:rsidRPr="00E70884">
        <w:rPr>
          <w:szCs w:val="24"/>
        </w:rPr>
        <w:t>acquired</w:t>
      </w:r>
      <w:r w:rsidR="008B6CEB" w:rsidRPr="00E70884">
        <w:rPr>
          <w:szCs w:val="24"/>
        </w:rPr>
        <w:t>.</w:t>
      </w:r>
    </w:p>
    <w:p w:rsidR="005D7DD7" w:rsidRPr="00E70884" w:rsidRDefault="005D7DD7" w:rsidP="005D7DD7">
      <w:pPr>
        <w:pStyle w:val="Normal-em"/>
        <w:spacing w:after="0" w:line="240" w:lineRule="auto"/>
        <w:rPr>
          <w:szCs w:val="24"/>
        </w:rPr>
      </w:pPr>
    </w:p>
    <w:p w:rsidR="005D7DD7" w:rsidRDefault="005D7DD7" w:rsidP="005D7DD7">
      <w:pPr>
        <w:pStyle w:val="Normal-em"/>
        <w:spacing w:after="0" w:line="240" w:lineRule="auto"/>
        <w:rPr>
          <w:szCs w:val="24"/>
        </w:rPr>
      </w:pPr>
      <w:r w:rsidRPr="00E70884">
        <w:rPr>
          <w:szCs w:val="24"/>
        </w:rPr>
        <w:t>‘Net effect’ is defined as having the meaning given by</w:t>
      </w:r>
      <w:r>
        <w:rPr>
          <w:szCs w:val="24"/>
        </w:rPr>
        <w:t xml:space="preserve"> </w:t>
      </w:r>
      <w:r w:rsidR="00361EDD">
        <w:rPr>
          <w:szCs w:val="24"/>
        </w:rPr>
        <w:t>sub</w:t>
      </w:r>
      <w:r>
        <w:rPr>
          <w:szCs w:val="24"/>
        </w:rPr>
        <w:t>section </w:t>
      </w:r>
      <w:proofErr w:type="gramStart"/>
      <w:r w:rsidR="00A733AC">
        <w:rPr>
          <w:szCs w:val="24"/>
        </w:rPr>
        <w:t>S</w:t>
      </w:r>
      <w:r w:rsidR="004F2AF9">
        <w:rPr>
          <w:szCs w:val="24"/>
        </w:rPr>
        <w:t>6A.04(</w:t>
      </w:r>
      <w:proofErr w:type="gramEnd"/>
      <w:r w:rsidR="004F2AF9">
        <w:rPr>
          <w:szCs w:val="24"/>
        </w:rPr>
        <w:t>2)</w:t>
      </w:r>
      <w:r>
        <w:rPr>
          <w:szCs w:val="24"/>
        </w:rPr>
        <w:t xml:space="preserve"> of Schedule 6A.</w:t>
      </w:r>
      <w:r w:rsidR="00215F72">
        <w:rPr>
          <w:szCs w:val="24"/>
        </w:rPr>
        <w:t xml:space="preserve"> Note 1 explains that the net effect is the difference between the total supply contribution and the total efficiency contribution for the water accounting period under sections 7.15 to 7.17 of the Basin Plan. Note 2 explains that the net effect might vary between water accounting periods. This is because the total efficiency contribution changes with time.</w:t>
      </w:r>
    </w:p>
    <w:p w:rsidR="00253D49" w:rsidRDefault="00253D49" w:rsidP="005D7DD7">
      <w:pPr>
        <w:pStyle w:val="Normal-em"/>
        <w:spacing w:after="0" w:line="240" w:lineRule="auto"/>
        <w:rPr>
          <w:szCs w:val="24"/>
        </w:rPr>
      </w:pPr>
    </w:p>
    <w:p w:rsidR="00253D49" w:rsidRDefault="00253D49" w:rsidP="005D7DD7">
      <w:pPr>
        <w:pStyle w:val="Normal-em"/>
        <w:spacing w:after="0" w:line="240" w:lineRule="auto"/>
        <w:rPr>
          <w:szCs w:val="24"/>
        </w:rPr>
      </w:pPr>
      <w:r>
        <w:rPr>
          <w:szCs w:val="24"/>
        </w:rPr>
        <w:t>‘Total current efficiency contribution’ is defined</w:t>
      </w:r>
      <w:r w:rsidR="006C09E9">
        <w:rPr>
          <w:szCs w:val="24"/>
        </w:rPr>
        <w:t>, for the water accounting period,</w:t>
      </w:r>
      <w:r>
        <w:rPr>
          <w:szCs w:val="24"/>
        </w:rPr>
        <w:t xml:space="preserve"> as equal to the </w:t>
      </w:r>
      <w:r w:rsidR="006C09E9">
        <w:rPr>
          <w:szCs w:val="24"/>
        </w:rPr>
        <w:t>sum of the current efficiency contributions of all surface water SDL resource units.</w:t>
      </w:r>
    </w:p>
    <w:p w:rsidR="005D7DD7" w:rsidRDefault="005D7DD7" w:rsidP="005D7DD7">
      <w:pPr>
        <w:pStyle w:val="Normal-em"/>
        <w:spacing w:after="0" w:line="240" w:lineRule="auto"/>
        <w:rPr>
          <w:szCs w:val="24"/>
        </w:rPr>
      </w:pPr>
    </w:p>
    <w:p w:rsidR="00DE2F57" w:rsidRDefault="00DE2F57" w:rsidP="005D7DD7">
      <w:pPr>
        <w:pStyle w:val="Normal-em"/>
        <w:spacing w:after="0" w:line="240" w:lineRule="auto"/>
        <w:rPr>
          <w:szCs w:val="24"/>
        </w:rPr>
      </w:pPr>
      <w:r w:rsidRPr="000F39DF">
        <w:rPr>
          <w:szCs w:val="24"/>
        </w:rPr>
        <w:t xml:space="preserve">Section </w:t>
      </w:r>
      <w:r w:rsidR="00094391">
        <w:rPr>
          <w:szCs w:val="24"/>
        </w:rPr>
        <w:t>S</w:t>
      </w:r>
      <w:r w:rsidR="00253D49" w:rsidRPr="000F39DF">
        <w:rPr>
          <w:szCs w:val="24"/>
        </w:rPr>
        <w:t>6A.0</w:t>
      </w:r>
      <w:r w:rsidRPr="000F39DF">
        <w:rPr>
          <w:szCs w:val="24"/>
        </w:rPr>
        <w:t xml:space="preserve">3 provides for the definitions </w:t>
      </w:r>
      <w:r w:rsidR="00094391">
        <w:rPr>
          <w:szCs w:val="24"/>
        </w:rPr>
        <w:t xml:space="preserve">of </w:t>
      </w:r>
      <w:r w:rsidRPr="000F39DF">
        <w:rPr>
          <w:szCs w:val="24"/>
        </w:rPr>
        <w:t xml:space="preserve">‘proposed plan area limit’ and ‘proposed Basin limit’ </w:t>
      </w:r>
      <w:r w:rsidR="00094391">
        <w:rPr>
          <w:szCs w:val="24"/>
        </w:rPr>
        <w:t xml:space="preserve">within the meaning of subsection </w:t>
      </w:r>
      <w:proofErr w:type="gramStart"/>
      <w:r w:rsidR="00094391">
        <w:rPr>
          <w:szCs w:val="24"/>
        </w:rPr>
        <w:t>23A(</w:t>
      </w:r>
      <w:proofErr w:type="gramEnd"/>
      <w:r w:rsidR="00094391">
        <w:rPr>
          <w:szCs w:val="24"/>
        </w:rPr>
        <w:t>5</w:t>
      </w:r>
      <w:r w:rsidRPr="000F39DF">
        <w:rPr>
          <w:szCs w:val="24"/>
        </w:rPr>
        <w:t>) of the Water Act</w:t>
      </w:r>
      <w:r w:rsidR="00CB54E1">
        <w:rPr>
          <w:szCs w:val="24"/>
        </w:rPr>
        <w:t xml:space="preserve"> and for the purposes of the </w:t>
      </w:r>
      <w:proofErr w:type="spellStart"/>
      <w:r w:rsidR="00CB54E1">
        <w:rPr>
          <w:szCs w:val="24"/>
        </w:rPr>
        <w:t>the</w:t>
      </w:r>
      <w:proofErr w:type="spellEnd"/>
      <w:r w:rsidR="00CB54E1">
        <w:rPr>
          <w:szCs w:val="24"/>
        </w:rPr>
        <w:t xml:space="preserve"> </w:t>
      </w:r>
      <w:r w:rsidR="00CB54E1" w:rsidRPr="00CB54E1">
        <w:rPr>
          <w:i/>
          <w:szCs w:val="24"/>
        </w:rPr>
        <w:t>Water (SDL Adjustments) Notice 2017</w:t>
      </w:r>
      <w:r w:rsidR="00CB54E1">
        <w:rPr>
          <w:szCs w:val="24"/>
        </w:rPr>
        <w:t xml:space="preserve"> prepared under subsection 23B(4) of the Water Act</w:t>
      </w:r>
      <w:r w:rsidRPr="000F39DF">
        <w:rPr>
          <w:szCs w:val="24"/>
        </w:rPr>
        <w:t>.</w:t>
      </w:r>
    </w:p>
    <w:p w:rsidR="00DE2F57" w:rsidRDefault="00DE2F57" w:rsidP="005D7DD7">
      <w:pPr>
        <w:pStyle w:val="Normal-em"/>
        <w:spacing w:after="0" w:line="240" w:lineRule="auto"/>
        <w:rPr>
          <w:szCs w:val="24"/>
        </w:rPr>
      </w:pPr>
    </w:p>
    <w:p w:rsidR="005D7DD7" w:rsidRDefault="005D7DD7" w:rsidP="005D7DD7">
      <w:pPr>
        <w:pStyle w:val="Normal-em"/>
        <w:spacing w:after="0" w:line="240" w:lineRule="auto"/>
        <w:rPr>
          <w:szCs w:val="24"/>
        </w:rPr>
      </w:pPr>
      <w:r>
        <w:rPr>
          <w:szCs w:val="24"/>
        </w:rPr>
        <w:t>Section </w:t>
      </w:r>
      <w:r w:rsidR="00F46C8C">
        <w:rPr>
          <w:szCs w:val="24"/>
        </w:rPr>
        <w:t>S</w:t>
      </w:r>
      <w:r w:rsidR="006C09E9">
        <w:rPr>
          <w:szCs w:val="24"/>
        </w:rPr>
        <w:t>6A.0</w:t>
      </w:r>
      <w:r w:rsidR="00DE2F57">
        <w:rPr>
          <w:szCs w:val="24"/>
        </w:rPr>
        <w:t>4</w:t>
      </w:r>
      <w:r w:rsidR="00F46C8C">
        <w:rPr>
          <w:szCs w:val="24"/>
        </w:rPr>
        <w:t xml:space="preserve"> provides the method for calculating</w:t>
      </w:r>
      <w:r>
        <w:rPr>
          <w:szCs w:val="24"/>
        </w:rPr>
        <w:t xml:space="preserve"> the </w:t>
      </w:r>
      <w:r w:rsidR="002D65F6">
        <w:rPr>
          <w:szCs w:val="24"/>
        </w:rPr>
        <w:t>‘</w:t>
      </w:r>
      <w:r>
        <w:rPr>
          <w:szCs w:val="24"/>
        </w:rPr>
        <w:t>net effect</w:t>
      </w:r>
      <w:r w:rsidR="002D65F6">
        <w:rPr>
          <w:szCs w:val="24"/>
        </w:rPr>
        <w:t>’</w:t>
      </w:r>
      <w:r>
        <w:rPr>
          <w:szCs w:val="24"/>
        </w:rPr>
        <w:t xml:space="preserve"> for each water accounting period in </w:t>
      </w:r>
      <w:r w:rsidR="008B6FEB">
        <w:rPr>
          <w:szCs w:val="24"/>
        </w:rPr>
        <w:t>GL</w:t>
      </w:r>
      <w:r>
        <w:rPr>
          <w:szCs w:val="24"/>
        </w:rPr>
        <w:t xml:space="preserve"> per year. </w:t>
      </w:r>
      <w:r w:rsidR="002D65F6">
        <w:rPr>
          <w:szCs w:val="24"/>
        </w:rPr>
        <w:t xml:space="preserve">The net effect </w:t>
      </w:r>
      <w:r>
        <w:rPr>
          <w:szCs w:val="24"/>
        </w:rPr>
        <w:t>is the difference between the Basin-wide supply contribution (605 </w:t>
      </w:r>
      <w:r w:rsidR="008B6FEB">
        <w:rPr>
          <w:szCs w:val="24"/>
        </w:rPr>
        <w:t>GL</w:t>
      </w:r>
      <w:r>
        <w:rPr>
          <w:szCs w:val="24"/>
        </w:rPr>
        <w:t>) and the total current efficiency contribution</w:t>
      </w:r>
      <w:r w:rsidR="00630B52">
        <w:rPr>
          <w:szCs w:val="24"/>
        </w:rPr>
        <w:t xml:space="preserve">. The </w:t>
      </w:r>
      <w:r w:rsidR="00F46C8C">
        <w:rPr>
          <w:szCs w:val="24"/>
        </w:rPr>
        <w:t>‘</w:t>
      </w:r>
      <w:r>
        <w:rPr>
          <w:szCs w:val="24"/>
        </w:rPr>
        <w:t>total current efficiency contribution</w:t>
      </w:r>
      <w:r w:rsidR="00F46C8C">
        <w:rPr>
          <w:szCs w:val="24"/>
        </w:rPr>
        <w:t>’</w:t>
      </w:r>
      <w:r>
        <w:rPr>
          <w:szCs w:val="24"/>
        </w:rPr>
        <w:t xml:space="preserve"> is equal to the sum of the current efficiency contributions </w:t>
      </w:r>
      <w:r w:rsidR="00A733AC">
        <w:rPr>
          <w:szCs w:val="24"/>
        </w:rPr>
        <w:t xml:space="preserve">(as defined in subsection </w:t>
      </w:r>
      <w:proofErr w:type="gramStart"/>
      <w:r w:rsidR="00A733AC">
        <w:rPr>
          <w:szCs w:val="24"/>
        </w:rPr>
        <w:t>S</w:t>
      </w:r>
      <w:r w:rsidR="00F46C8C">
        <w:rPr>
          <w:szCs w:val="24"/>
        </w:rPr>
        <w:t>6A.02(</w:t>
      </w:r>
      <w:proofErr w:type="gramEnd"/>
      <w:r w:rsidR="00F46C8C">
        <w:rPr>
          <w:szCs w:val="24"/>
        </w:rPr>
        <w:t xml:space="preserve">1)) </w:t>
      </w:r>
      <w:r>
        <w:rPr>
          <w:szCs w:val="24"/>
        </w:rPr>
        <w:t xml:space="preserve">of all SDL resource units. The purpose of calculating the net effect is to </w:t>
      </w:r>
      <w:r w:rsidR="0083030C">
        <w:rPr>
          <w:szCs w:val="24"/>
        </w:rPr>
        <w:t>determine whether the supply contribution needs to be reduced</w:t>
      </w:r>
      <w:r w:rsidR="00630B52">
        <w:rPr>
          <w:szCs w:val="24"/>
        </w:rPr>
        <w:t xml:space="preserve"> to bring the </w:t>
      </w:r>
      <w:r>
        <w:rPr>
          <w:szCs w:val="24"/>
        </w:rPr>
        <w:t xml:space="preserve">SDL adjustment amount </w:t>
      </w:r>
      <w:r w:rsidR="00630B52">
        <w:rPr>
          <w:szCs w:val="24"/>
        </w:rPr>
        <w:t xml:space="preserve">within the </w:t>
      </w:r>
      <w:proofErr w:type="spellStart"/>
      <w:r w:rsidR="00E519EC">
        <w:rPr>
          <w:szCs w:val="24"/>
        </w:rPr>
        <w:t>net</w:t>
      </w:r>
      <w:proofErr w:type="spellEnd"/>
      <w:r w:rsidR="00E519EC">
        <w:rPr>
          <w:szCs w:val="24"/>
        </w:rPr>
        <w:t xml:space="preserve"> </w:t>
      </w:r>
      <w:r w:rsidR="00630B52">
        <w:rPr>
          <w:szCs w:val="24"/>
        </w:rPr>
        <w:t>five </w:t>
      </w:r>
      <w:r>
        <w:rPr>
          <w:szCs w:val="24"/>
        </w:rPr>
        <w:t xml:space="preserve">per cent </w:t>
      </w:r>
      <w:r w:rsidR="00630B52">
        <w:rPr>
          <w:szCs w:val="24"/>
        </w:rPr>
        <w:t>limi</w:t>
      </w:r>
      <w:r w:rsidR="00E519EC">
        <w:rPr>
          <w:szCs w:val="24"/>
        </w:rPr>
        <w:t>t</w:t>
      </w:r>
      <w:r w:rsidR="00630B52">
        <w:rPr>
          <w:szCs w:val="24"/>
        </w:rPr>
        <w:t xml:space="preserve"> </w:t>
      </w:r>
      <w:r w:rsidR="00361EDD">
        <w:rPr>
          <w:szCs w:val="24"/>
        </w:rPr>
        <w:t>as required under</w:t>
      </w:r>
      <w:r w:rsidR="00630B52">
        <w:rPr>
          <w:szCs w:val="24"/>
        </w:rPr>
        <w:t xml:space="preserve"> </w:t>
      </w:r>
      <w:r>
        <w:rPr>
          <w:szCs w:val="24"/>
        </w:rPr>
        <w:t>section 7.19</w:t>
      </w:r>
      <w:r w:rsidR="00361EDD">
        <w:rPr>
          <w:szCs w:val="24"/>
        </w:rPr>
        <w:t xml:space="preserve"> of the Basin Plan</w:t>
      </w:r>
      <w:r>
        <w:rPr>
          <w:szCs w:val="24"/>
        </w:rPr>
        <w:t>.</w:t>
      </w:r>
    </w:p>
    <w:p w:rsidR="005D7DD7" w:rsidRDefault="005D7DD7" w:rsidP="005D7DD7">
      <w:pPr>
        <w:pStyle w:val="Normal-em"/>
        <w:spacing w:after="0" w:line="240" w:lineRule="auto"/>
        <w:rPr>
          <w:szCs w:val="24"/>
        </w:rPr>
      </w:pPr>
    </w:p>
    <w:p w:rsidR="001912E7" w:rsidRPr="00C23DC5" w:rsidRDefault="008E2464" w:rsidP="005D7DD7">
      <w:pPr>
        <w:pStyle w:val="Normal-em"/>
        <w:spacing w:after="0" w:line="240" w:lineRule="auto"/>
        <w:rPr>
          <w:szCs w:val="24"/>
        </w:rPr>
      </w:pPr>
      <w:r w:rsidRPr="008E2464">
        <w:rPr>
          <w:szCs w:val="24"/>
        </w:rPr>
        <w:t>If the net effec</w:t>
      </w:r>
      <w:r w:rsidR="00311E6F">
        <w:rPr>
          <w:szCs w:val="24"/>
        </w:rPr>
        <w:t>t is greater than 543 GL, then s</w:t>
      </w:r>
      <w:r w:rsidRPr="008E2464">
        <w:rPr>
          <w:szCs w:val="24"/>
        </w:rPr>
        <w:t>ection S6A.05 of Schedule 6A will apply to calculate the SDL adjustment amount.</w:t>
      </w:r>
      <w:r>
        <w:rPr>
          <w:szCs w:val="24"/>
        </w:rPr>
        <w:t xml:space="preserve"> </w:t>
      </w:r>
      <w:r w:rsidR="005D7DD7">
        <w:rPr>
          <w:szCs w:val="24"/>
        </w:rPr>
        <w:t xml:space="preserve">If the net effect is </w:t>
      </w:r>
      <w:r w:rsidR="005D7DD7" w:rsidRPr="00C23DC5">
        <w:rPr>
          <w:szCs w:val="24"/>
        </w:rPr>
        <w:t xml:space="preserve">less than or equal to </w:t>
      </w:r>
      <w:r w:rsidR="005D7DD7" w:rsidRPr="00046F76">
        <w:rPr>
          <w:szCs w:val="24"/>
        </w:rPr>
        <w:t>543</w:t>
      </w:r>
      <w:r w:rsidR="005D7DD7" w:rsidRPr="00C23DC5">
        <w:rPr>
          <w:szCs w:val="24"/>
        </w:rPr>
        <w:t> </w:t>
      </w:r>
      <w:r w:rsidR="008B6FEB" w:rsidRPr="00C23DC5">
        <w:rPr>
          <w:szCs w:val="24"/>
        </w:rPr>
        <w:t>GL</w:t>
      </w:r>
      <w:r w:rsidR="00311E6F">
        <w:rPr>
          <w:szCs w:val="24"/>
        </w:rPr>
        <w:t>, then s</w:t>
      </w:r>
      <w:r w:rsidR="005D7DD7" w:rsidRPr="000C2167">
        <w:rPr>
          <w:szCs w:val="24"/>
        </w:rPr>
        <w:t>ection </w:t>
      </w:r>
      <w:r>
        <w:rPr>
          <w:szCs w:val="24"/>
        </w:rPr>
        <w:t>S</w:t>
      </w:r>
      <w:r w:rsidR="004F4401">
        <w:rPr>
          <w:szCs w:val="24"/>
        </w:rPr>
        <w:t>6A.0</w:t>
      </w:r>
      <w:r>
        <w:rPr>
          <w:szCs w:val="24"/>
        </w:rPr>
        <w:t>6</w:t>
      </w:r>
      <w:r w:rsidR="005D7DD7" w:rsidRPr="000C2167">
        <w:rPr>
          <w:szCs w:val="24"/>
        </w:rPr>
        <w:t xml:space="preserve"> of Schedule 6A will apply to calculate the SDL adjustment amount. </w:t>
      </w:r>
    </w:p>
    <w:p w:rsidR="001912E7" w:rsidRPr="00C23DC5" w:rsidRDefault="001912E7" w:rsidP="005D7DD7">
      <w:pPr>
        <w:pStyle w:val="Normal-em"/>
        <w:spacing w:after="0" w:line="240" w:lineRule="auto"/>
        <w:rPr>
          <w:szCs w:val="24"/>
        </w:rPr>
      </w:pPr>
    </w:p>
    <w:p w:rsidR="005D7DD7" w:rsidRDefault="001912E7" w:rsidP="001912E7">
      <w:pPr>
        <w:pStyle w:val="Normal-em"/>
        <w:spacing w:after="0" w:line="240" w:lineRule="auto"/>
        <w:rPr>
          <w:szCs w:val="24"/>
        </w:rPr>
      </w:pPr>
      <w:r w:rsidRPr="00C23DC5">
        <w:rPr>
          <w:szCs w:val="24"/>
        </w:rPr>
        <w:t>The formula in Schedule 6A operates on the assumption that the net impact of the adjustment will be an increase in the Basin-wide SDL of up to five per cent</w:t>
      </w:r>
      <w:r w:rsidR="00361EDD" w:rsidRPr="00C23DC5">
        <w:rPr>
          <w:szCs w:val="24"/>
        </w:rPr>
        <w:t>, that is</w:t>
      </w:r>
      <w:r w:rsidR="008C5770" w:rsidRPr="00C23DC5">
        <w:rPr>
          <w:szCs w:val="24"/>
        </w:rPr>
        <w:t>,</w:t>
      </w:r>
      <w:r w:rsidR="00361EDD" w:rsidRPr="00C23DC5">
        <w:rPr>
          <w:szCs w:val="24"/>
        </w:rPr>
        <w:t xml:space="preserve"> </w:t>
      </w:r>
      <w:r w:rsidR="008C5770" w:rsidRPr="00C23DC5">
        <w:rPr>
          <w:szCs w:val="24"/>
        </w:rPr>
        <w:t xml:space="preserve">a net effect of </w:t>
      </w:r>
      <w:r w:rsidR="00361EDD" w:rsidRPr="00C23DC5">
        <w:rPr>
          <w:szCs w:val="24"/>
        </w:rPr>
        <w:t xml:space="preserve">no more than </w:t>
      </w:r>
      <w:r w:rsidR="00361EDD" w:rsidRPr="00046F76">
        <w:rPr>
          <w:szCs w:val="24"/>
        </w:rPr>
        <w:t>543</w:t>
      </w:r>
      <w:r w:rsidR="00361EDD" w:rsidRPr="00C23DC5">
        <w:rPr>
          <w:szCs w:val="24"/>
        </w:rPr>
        <w:t> GL</w:t>
      </w:r>
      <w:r w:rsidRPr="00C23DC5">
        <w:rPr>
          <w:szCs w:val="24"/>
        </w:rPr>
        <w:t>.</w:t>
      </w:r>
      <w:r>
        <w:rPr>
          <w:szCs w:val="24"/>
        </w:rPr>
        <w:t xml:space="preserve"> The Basin Plan does not preclude that the net impact of the adjustment could be a </w:t>
      </w:r>
      <w:r w:rsidRPr="00CB1F2A">
        <w:rPr>
          <w:szCs w:val="24"/>
        </w:rPr>
        <w:t>decrease</w:t>
      </w:r>
      <w:r w:rsidRPr="00361EDD">
        <w:rPr>
          <w:szCs w:val="24"/>
        </w:rPr>
        <w:t xml:space="preserve"> in</w:t>
      </w:r>
      <w:r>
        <w:rPr>
          <w:szCs w:val="24"/>
        </w:rPr>
        <w:t xml:space="preserve"> the Basin-wide SDL. That is, if the total efficiency contribution was greater than the total supply contribution, then the Basin-wide SDL would adjust downwards. Practically, however, the efficiency contribution </w:t>
      </w:r>
      <w:r w:rsidR="006071E7">
        <w:rPr>
          <w:szCs w:val="24"/>
        </w:rPr>
        <w:t xml:space="preserve">could </w:t>
      </w:r>
      <w:r>
        <w:rPr>
          <w:szCs w:val="24"/>
        </w:rPr>
        <w:t>never exceed 605 </w:t>
      </w:r>
      <w:r w:rsidR="008B6FEB">
        <w:rPr>
          <w:szCs w:val="24"/>
        </w:rPr>
        <w:t>GL</w:t>
      </w:r>
      <w:r>
        <w:rPr>
          <w:szCs w:val="24"/>
        </w:rPr>
        <w:t>.</w:t>
      </w:r>
      <w:r w:rsidR="00946671">
        <w:rPr>
          <w:szCs w:val="24"/>
        </w:rPr>
        <w:t xml:space="preserve"> </w:t>
      </w:r>
      <w:r w:rsidR="006071E7" w:rsidRPr="00E70884">
        <w:rPr>
          <w:szCs w:val="24"/>
        </w:rPr>
        <w:t>The Water for the Environment Special Account established by s</w:t>
      </w:r>
      <w:r w:rsidR="009F573B" w:rsidRPr="00E70884">
        <w:rPr>
          <w:szCs w:val="24"/>
        </w:rPr>
        <w:t>ection</w:t>
      </w:r>
      <w:r w:rsidR="006071E7" w:rsidRPr="00E70884">
        <w:rPr>
          <w:szCs w:val="24"/>
        </w:rPr>
        <w:t xml:space="preserve"> 86AA of the Water Act provides funding for measures that will increase the volume of Basin water uses available for environmental use by 450 GL.</w:t>
      </w:r>
      <w:r w:rsidR="005300EA" w:rsidRPr="00E70884">
        <w:rPr>
          <w:szCs w:val="24"/>
        </w:rPr>
        <w:t xml:space="preserve"> </w:t>
      </w:r>
      <w:r w:rsidR="00946671" w:rsidRPr="00E70884">
        <w:rPr>
          <w:szCs w:val="24"/>
        </w:rPr>
        <w:t>The total supply contribution of the notified measures</w:t>
      </w:r>
      <w:r w:rsidR="00946671">
        <w:rPr>
          <w:szCs w:val="24"/>
        </w:rPr>
        <w:t xml:space="preserve"> is the total increase in the SDLs for all the units affected by notified supply measures (section 7.15</w:t>
      </w:r>
      <w:r w:rsidR="009F573B">
        <w:rPr>
          <w:szCs w:val="24"/>
        </w:rPr>
        <w:t xml:space="preserve"> of the Basin Plan</w:t>
      </w:r>
      <w:r w:rsidR="00946671">
        <w:rPr>
          <w:szCs w:val="24"/>
        </w:rPr>
        <w:t>).</w:t>
      </w:r>
    </w:p>
    <w:p w:rsidR="002D65F6" w:rsidRPr="000C2167" w:rsidRDefault="002D65F6" w:rsidP="005D7DD7">
      <w:pPr>
        <w:pStyle w:val="Normal-em"/>
        <w:spacing w:after="0" w:line="240" w:lineRule="auto"/>
        <w:rPr>
          <w:szCs w:val="24"/>
        </w:rPr>
      </w:pPr>
    </w:p>
    <w:p w:rsidR="002D65F6" w:rsidRDefault="002D65F6" w:rsidP="005D7DD7">
      <w:pPr>
        <w:pStyle w:val="Normal-em"/>
        <w:spacing w:after="0" w:line="240" w:lineRule="auto"/>
        <w:rPr>
          <w:szCs w:val="24"/>
        </w:rPr>
      </w:pPr>
      <w:r w:rsidRPr="00C23DC5">
        <w:rPr>
          <w:szCs w:val="24"/>
        </w:rPr>
        <w:t>Section </w:t>
      </w:r>
      <w:r w:rsidR="006C09E9">
        <w:rPr>
          <w:szCs w:val="24"/>
        </w:rPr>
        <w:t>6A.0</w:t>
      </w:r>
      <w:r w:rsidRPr="00C23DC5">
        <w:rPr>
          <w:szCs w:val="24"/>
        </w:rPr>
        <w:t xml:space="preserve">5 provides </w:t>
      </w:r>
      <w:r w:rsidR="003A41F4" w:rsidRPr="00C23DC5">
        <w:rPr>
          <w:szCs w:val="24"/>
        </w:rPr>
        <w:t>a method</w:t>
      </w:r>
      <w:r w:rsidRPr="00C23DC5">
        <w:rPr>
          <w:szCs w:val="24"/>
        </w:rPr>
        <w:t xml:space="preserve"> to calculate the SDL adjustment amount for each SDL resource unit if the net effect is greater than </w:t>
      </w:r>
      <w:r w:rsidRPr="00046F76">
        <w:rPr>
          <w:szCs w:val="24"/>
        </w:rPr>
        <w:t>543 </w:t>
      </w:r>
      <w:r w:rsidR="008B6FEB" w:rsidRPr="00C23DC5">
        <w:rPr>
          <w:szCs w:val="24"/>
        </w:rPr>
        <w:t>GL</w:t>
      </w:r>
      <w:r w:rsidRPr="00C23DC5">
        <w:rPr>
          <w:szCs w:val="24"/>
        </w:rPr>
        <w:t xml:space="preserve"> per year</w:t>
      </w:r>
      <w:r w:rsidR="00466649" w:rsidRPr="00C23DC5">
        <w:rPr>
          <w:szCs w:val="24"/>
        </w:rPr>
        <w:t xml:space="preserve"> (the </w:t>
      </w:r>
      <w:r w:rsidR="00215F7E" w:rsidRPr="000C2167">
        <w:rPr>
          <w:szCs w:val="24"/>
        </w:rPr>
        <w:t xml:space="preserve">net </w:t>
      </w:r>
      <w:r w:rsidR="00466649" w:rsidRPr="000C2167">
        <w:rPr>
          <w:szCs w:val="24"/>
        </w:rPr>
        <w:t xml:space="preserve">five per cent limit </w:t>
      </w:r>
      <w:r w:rsidR="00B534E5" w:rsidRPr="000C2167">
        <w:rPr>
          <w:szCs w:val="24"/>
        </w:rPr>
        <w:t xml:space="preserve">calculated under </w:t>
      </w:r>
      <w:r w:rsidR="00466649" w:rsidRPr="000C2167">
        <w:rPr>
          <w:szCs w:val="24"/>
        </w:rPr>
        <w:t>section 7.19)</w:t>
      </w:r>
      <w:r w:rsidRPr="00C23DC5">
        <w:rPr>
          <w:szCs w:val="24"/>
        </w:rPr>
        <w:t xml:space="preserve">. This </w:t>
      </w:r>
      <w:r w:rsidR="00B534E5" w:rsidRPr="00C23DC5">
        <w:rPr>
          <w:szCs w:val="24"/>
        </w:rPr>
        <w:t xml:space="preserve">five per cent limit </w:t>
      </w:r>
      <w:r w:rsidRPr="00C23DC5">
        <w:rPr>
          <w:szCs w:val="24"/>
        </w:rPr>
        <w:t xml:space="preserve">will </w:t>
      </w:r>
      <w:r w:rsidR="00B534E5" w:rsidRPr="00C23DC5">
        <w:rPr>
          <w:szCs w:val="24"/>
        </w:rPr>
        <w:t xml:space="preserve">be reached </w:t>
      </w:r>
      <w:r w:rsidRPr="00C23DC5">
        <w:rPr>
          <w:szCs w:val="24"/>
        </w:rPr>
        <w:t xml:space="preserve">if less than </w:t>
      </w:r>
      <w:r w:rsidR="00D426B4">
        <w:rPr>
          <w:szCs w:val="24"/>
        </w:rPr>
        <w:t>62</w:t>
      </w:r>
      <w:r w:rsidRPr="00C23DC5">
        <w:rPr>
          <w:szCs w:val="24"/>
        </w:rPr>
        <w:t> </w:t>
      </w:r>
      <w:r w:rsidR="008B6FEB" w:rsidRPr="00C23DC5">
        <w:rPr>
          <w:szCs w:val="24"/>
        </w:rPr>
        <w:t>GL</w:t>
      </w:r>
      <w:r w:rsidRPr="00C23DC5">
        <w:rPr>
          <w:szCs w:val="24"/>
        </w:rPr>
        <w:t xml:space="preserve"> of efficiency contribution has been achieved. The practical effect of this is that the 605 </w:t>
      </w:r>
      <w:r w:rsidR="008B6FEB" w:rsidRPr="00C23DC5">
        <w:rPr>
          <w:szCs w:val="24"/>
        </w:rPr>
        <w:t>GL</w:t>
      </w:r>
      <w:r w:rsidRPr="00C23DC5">
        <w:rPr>
          <w:szCs w:val="24"/>
        </w:rPr>
        <w:t xml:space="preserve"> supply contribution will need to be reduced so that the net effect remains less than or equal to </w:t>
      </w:r>
      <w:r w:rsidRPr="00046F76">
        <w:rPr>
          <w:szCs w:val="24"/>
        </w:rPr>
        <w:t>543</w:t>
      </w:r>
      <w:r w:rsidRPr="00C23DC5">
        <w:rPr>
          <w:szCs w:val="24"/>
        </w:rPr>
        <w:t> </w:t>
      </w:r>
      <w:r w:rsidR="008B6FEB" w:rsidRPr="00C23DC5">
        <w:rPr>
          <w:szCs w:val="24"/>
        </w:rPr>
        <w:t>GL</w:t>
      </w:r>
      <w:r w:rsidRPr="00C23DC5">
        <w:rPr>
          <w:szCs w:val="24"/>
        </w:rPr>
        <w:t>.</w:t>
      </w:r>
      <w:r w:rsidR="007A1EB1" w:rsidRPr="000C2167">
        <w:rPr>
          <w:szCs w:val="24"/>
        </w:rPr>
        <w:t xml:space="preserve"> In this case, the formula for calculating the SDL adjustment amount for each SDL resource unit will be:</w:t>
      </w:r>
    </w:p>
    <w:p w:rsidR="007A1EB1" w:rsidRDefault="007A1EB1" w:rsidP="005D7DD7">
      <w:pPr>
        <w:pStyle w:val="Normal-em"/>
        <w:spacing w:after="0" w:line="240" w:lineRule="auto"/>
        <w:rPr>
          <w:szCs w:val="24"/>
        </w:rPr>
      </w:pPr>
    </w:p>
    <w:p w:rsidR="007A1EB1" w:rsidRDefault="007A1EB1" w:rsidP="007A1EB1">
      <w:pPr>
        <w:pStyle w:val="Normal-em"/>
        <w:spacing w:after="0" w:line="240" w:lineRule="auto"/>
        <w:ind w:left="720" w:hanging="720"/>
        <w:rPr>
          <w:szCs w:val="24"/>
        </w:rPr>
      </w:pPr>
      <w:r>
        <w:rPr>
          <w:szCs w:val="24"/>
        </w:rPr>
        <w:tab/>
        <w:t>(SDL adjustment amount) = (reduced supply contribution) – (current efficiency contribution)</w:t>
      </w:r>
    </w:p>
    <w:p w:rsidR="007A1EB1" w:rsidRDefault="007A1EB1" w:rsidP="007A1EB1">
      <w:pPr>
        <w:pStyle w:val="Normal-em"/>
        <w:spacing w:after="0" w:line="240" w:lineRule="auto"/>
        <w:ind w:left="720" w:hanging="720"/>
        <w:rPr>
          <w:szCs w:val="24"/>
        </w:rPr>
      </w:pPr>
    </w:p>
    <w:p w:rsidR="002D65F6" w:rsidRDefault="007A1EB1" w:rsidP="005D7DD7">
      <w:pPr>
        <w:pStyle w:val="Normal-em"/>
        <w:spacing w:after="0" w:line="240" w:lineRule="auto"/>
        <w:rPr>
          <w:szCs w:val="24"/>
        </w:rPr>
      </w:pPr>
      <w:r>
        <w:rPr>
          <w:szCs w:val="24"/>
        </w:rPr>
        <w:t>The apportioned supply contribution will be reduced in each SDL resource unit in proportion to the volume of the total supply contribution that is apportioned to that SDL resource unit</w:t>
      </w:r>
      <w:r w:rsidR="00B534E5">
        <w:rPr>
          <w:szCs w:val="24"/>
        </w:rPr>
        <w:t>, in accordance with the provisions of section 7.19</w:t>
      </w:r>
      <w:r>
        <w:rPr>
          <w:szCs w:val="24"/>
        </w:rPr>
        <w:t>. The reduced supply contribution will be calculated using the following formula:</w:t>
      </w:r>
    </w:p>
    <w:p w:rsidR="007A1EB1" w:rsidRDefault="007A1EB1" w:rsidP="005D7DD7">
      <w:pPr>
        <w:pStyle w:val="Normal-em"/>
        <w:spacing w:after="0" w:line="240" w:lineRule="auto"/>
        <w:rPr>
          <w:szCs w:val="24"/>
        </w:rPr>
      </w:pPr>
    </w:p>
    <w:p w:rsidR="007A1EB1" w:rsidRDefault="007A1EB1" w:rsidP="007A1EB1">
      <w:pPr>
        <w:pStyle w:val="Normal-em"/>
        <w:spacing w:after="0" w:line="240" w:lineRule="auto"/>
        <w:ind w:left="720" w:hanging="720"/>
        <w:rPr>
          <w:szCs w:val="24"/>
        </w:rPr>
      </w:pPr>
      <w:r>
        <w:rPr>
          <w:szCs w:val="24"/>
        </w:rPr>
        <w:tab/>
        <w:t>(</w:t>
      </w:r>
      <w:proofErr w:type="gramStart"/>
      <w:r>
        <w:rPr>
          <w:szCs w:val="24"/>
        </w:rPr>
        <w:t>reduced</w:t>
      </w:r>
      <w:proofErr w:type="gramEnd"/>
      <w:r>
        <w:rPr>
          <w:szCs w:val="24"/>
        </w:rPr>
        <w:t xml:space="preserve"> supply contribution) = (apportioned supply contribution) × (</w:t>
      </w:r>
      <w:r w:rsidR="009F573B">
        <w:rPr>
          <w:szCs w:val="24"/>
        </w:rPr>
        <w:t>(total current efficiency contribution + 543)</w:t>
      </w:r>
      <w:r>
        <w:rPr>
          <w:szCs w:val="24"/>
        </w:rPr>
        <w:t xml:space="preserve"> ÷ 605)</w:t>
      </w:r>
    </w:p>
    <w:p w:rsidR="00DA6396" w:rsidRDefault="00DA6396" w:rsidP="007A1EB1">
      <w:pPr>
        <w:pStyle w:val="Normal-em"/>
        <w:spacing w:after="0" w:line="240" w:lineRule="auto"/>
        <w:ind w:left="720" w:hanging="720"/>
        <w:rPr>
          <w:szCs w:val="24"/>
        </w:rPr>
      </w:pPr>
    </w:p>
    <w:p w:rsidR="00503D6E" w:rsidRDefault="001C1B07" w:rsidP="00503D6E">
      <w:pPr>
        <w:pStyle w:val="Normal-em"/>
        <w:spacing w:after="0" w:line="240" w:lineRule="auto"/>
        <w:rPr>
          <w:szCs w:val="24"/>
        </w:rPr>
      </w:pPr>
      <w:r>
        <w:rPr>
          <w:szCs w:val="24"/>
        </w:rPr>
        <w:t>As efficiency entitlements are acquired, this reduction to the supply contribution will relax, until the full 605 </w:t>
      </w:r>
      <w:r w:rsidR="008B6FEB">
        <w:rPr>
          <w:szCs w:val="24"/>
        </w:rPr>
        <w:t>GL</w:t>
      </w:r>
      <w:r>
        <w:rPr>
          <w:szCs w:val="24"/>
        </w:rPr>
        <w:t xml:space="preserve"> is available</w:t>
      </w:r>
      <w:r w:rsidR="00B534E5">
        <w:rPr>
          <w:szCs w:val="24"/>
        </w:rPr>
        <w:t xml:space="preserve"> to be apportioned to the surface water SDL resource units</w:t>
      </w:r>
      <w:r>
        <w:rPr>
          <w:szCs w:val="24"/>
        </w:rPr>
        <w:t xml:space="preserve">. Efficiency entitlements from across the whole Basin can contribute to this relaxation, regardless of </w:t>
      </w:r>
      <w:r w:rsidR="00387296">
        <w:rPr>
          <w:szCs w:val="24"/>
        </w:rPr>
        <w:t xml:space="preserve">the </w:t>
      </w:r>
      <w:r>
        <w:rPr>
          <w:szCs w:val="24"/>
        </w:rPr>
        <w:t>SDL resource unit in which they are held.</w:t>
      </w:r>
      <w:r w:rsidR="006626F6">
        <w:rPr>
          <w:szCs w:val="24"/>
        </w:rPr>
        <w:t xml:space="preserve"> The SDL adjustment amount in </w:t>
      </w:r>
      <w:r w:rsidR="006626F6">
        <w:rPr>
          <w:szCs w:val="24"/>
        </w:rPr>
        <w:lastRenderedPageBreak/>
        <w:t>any SDL resource unit will be calculated using the volume of efficiency entitlements held in that SDL resource unit.</w:t>
      </w:r>
    </w:p>
    <w:p w:rsidR="00503D6E" w:rsidRDefault="00503D6E" w:rsidP="00503D6E">
      <w:pPr>
        <w:pStyle w:val="Normal-em"/>
        <w:spacing w:after="0" w:line="240" w:lineRule="auto"/>
        <w:rPr>
          <w:szCs w:val="24"/>
        </w:rPr>
      </w:pPr>
    </w:p>
    <w:p w:rsidR="000C2167" w:rsidRPr="00C23DC5" w:rsidRDefault="000C2167" w:rsidP="000C2167">
      <w:pPr>
        <w:pStyle w:val="Normal-em"/>
        <w:spacing w:after="0" w:line="240" w:lineRule="auto"/>
        <w:rPr>
          <w:szCs w:val="24"/>
        </w:rPr>
      </w:pPr>
      <w:r>
        <w:rPr>
          <w:szCs w:val="24"/>
        </w:rPr>
        <w:t>Section </w:t>
      </w:r>
      <w:r w:rsidR="006C09E9">
        <w:rPr>
          <w:szCs w:val="24"/>
        </w:rPr>
        <w:t>6A.0</w:t>
      </w:r>
      <w:r>
        <w:rPr>
          <w:szCs w:val="24"/>
        </w:rPr>
        <w:t>6 provides a method to calculate the SDL adjustment amount for each SDL resource unit if the net effect is less th</w:t>
      </w:r>
      <w:r w:rsidRPr="00C23DC5">
        <w:rPr>
          <w:szCs w:val="24"/>
        </w:rPr>
        <w:t xml:space="preserve">an or equal to </w:t>
      </w:r>
      <w:r w:rsidRPr="00046F76">
        <w:rPr>
          <w:szCs w:val="24"/>
        </w:rPr>
        <w:t>543</w:t>
      </w:r>
      <w:r w:rsidRPr="00C23DC5">
        <w:rPr>
          <w:szCs w:val="24"/>
        </w:rPr>
        <w:t> GL per year</w:t>
      </w:r>
      <w:r w:rsidRPr="000C2167">
        <w:rPr>
          <w:szCs w:val="24"/>
        </w:rPr>
        <w:t xml:space="preserve"> (the net five per cent limit calculated under</w:t>
      </w:r>
      <w:r w:rsidRPr="00644819">
        <w:rPr>
          <w:szCs w:val="24"/>
        </w:rPr>
        <w:t xml:space="preserve"> section 7.19)</w:t>
      </w:r>
      <w:r w:rsidRPr="003C065E">
        <w:rPr>
          <w:szCs w:val="24"/>
        </w:rPr>
        <w:t xml:space="preserve">. This will occur if </w:t>
      </w:r>
      <w:r w:rsidRPr="000001BD">
        <w:rPr>
          <w:szCs w:val="24"/>
        </w:rPr>
        <w:t xml:space="preserve">greater than or equal to </w:t>
      </w:r>
      <w:r w:rsidR="00D426B4">
        <w:rPr>
          <w:szCs w:val="24"/>
        </w:rPr>
        <w:t>62</w:t>
      </w:r>
      <w:r w:rsidRPr="000001BD">
        <w:rPr>
          <w:szCs w:val="24"/>
        </w:rPr>
        <w:t> GL</w:t>
      </w:r>
      <w:r w:rsidRPr="00DF2A50">
        <w:rPr>
          <w:szCs w:val="24"/>
        </w:rPr>
        <w:t xml:space="preserve"> of efficie</w:t>
      </w:r>
      <w:r w:rsidRPr="00C23DC5">
        <w:rPr>
          <w:szCs w:val="24"/>
        </w:rPr>
        <w:t>ncy contribution has been achieved. The practical effect of this is that the full 605 GL supply contribution can contribute to the SDL adjustment amount. Consequently, the formula for calculating the SDL adjustment amount for each SDL resource unit will be:</w:t>
      </w:r>
    </w:p>
    <w:p w:rsidR="000C2167" w:rsidRPr="00C23DC5" w:rsidRDefault="000C2167" w:rsidP="000C2167">
      <w:pPr>
        <w:pStyle w:val="Normal-em"/>
        <w:spacing w:after="0" w:line="240" w:lineRule="auto"/>
        <w:rPr>
          <w:szCs w:val="24"/>
        </w:rPr>
      </w:pPr>
    </w:p>
    <w:p w:rsidR="000C2167" w:rsidRPr="00C23DC5" w:rsidRDefault="000C2167" w:rsidP="000C2167">
      <w:pPr>
        <w:pStyle w:val="Normal-em"/>
        <w:spacing w:after="0" w:line="240" w:lineRule="auto"/>
        <w:ind w:left="720" w:hanging="720"/>
        <w:rPr>
          <w:szCs w:val="24"/>
        </w:rPr>
      </w:pPr>
      <w:r w:rsidRPr="00C23DC5">
        <w:rPr>
          <w:szCs w:val="24"/>
        </w:rPr>
        <w:tab/>
        <w:t>(SDL adjustment amount) = (apportioned supply contribution) – (current efficiency contribution)</w:t>
      </w:r>
    </w:p>
    <w:p w:rsidR="008E61AE" w:rsidRDefault="008E61AE" w:rsidP="008E61AE">
      <w:pPr>
        <w:pStyle w:val="Normal-em"/>
        <w:spacing w:after="0" w:line="240" w:lineRule="auto"/>
        <w:rPr>
          <w:szCs w:val="24"/>
        </w:rPr>
      </w:pPr>
    </w:p>
    <w:p w:rsidR="008E61AE" w:rsidRDefault="008E61AE" w:rsidP="008E61AE">
      <w:pPr>
        <w:pStyle w:val="Normal-em"/>
        <w:spacing w:after="0" w:line="240" w:lineRule="auto"/>
        <w:rPr>
          <w:szCs w:val="24"/>
        </w:rPr>
      </w:pPr>
      <w:r>
        <w:rPr>
          <w:szCs w:val="24"/>
        </w:rPr>
        <w:t xml:space="preserve">The two worked examples below illustrate how the formula in Schedule 6A applies to ensure that the SDL adjustment always operates within the </w:t>
      </w:r>
      <w:proofErr w:type="spellStart"/>
      <w:r>
        <w:rPr>
          <w:szCs w:val="24"/>
        </w:rPr>
        <w:t>net</w:t>
      </w:r>
      <w:proofErr w:type="spellEnd"/>
      <w:r>
        <w:rPr>
          <w:szCs w:val="24"/>
        </w:rPr>
        <w:t xml:space="preserve"> five per cent limit. </w:t>
      </w:r>
    </w:p>
    <w:p w:rsidR="000C2167" w:rsidRDefault="000C2167" w:rsidP="002669EB">
      <w:pPr>
        <w:pStyle w:val="Normal-em"/>
        <w:spacing w:after="0" w:line="240" w:lineRule="auto"/>
        <w:rPr>
          <w:szCs w:val="24"/>
          <w:u w:val="single"/>
        </w:rPr>
      </w:pPr>
    </w:p>
    <w:p w:rsidR="00E41710" w:rsidRPr="00E41710" w:rsidRDefault="00E41710" w:rsidP="00E41710">
      <w:pPr>
        <w:pStyle w:val="Normal-em"/>
        <w:rPr>
          <w:szCs w:val="24"/>
          <w:u w:val="single"/>
        </w:rPr>
      </w:pPr>
      <w:r w:rsidRPr="00E41710">
        <w:rPr>
          <w:szCs w:val="24"/>
          <w:u w:val="single"/>
        </w:rPr>
        <w:t>Worked example 1</w:t>
      </w:r>
    </w:p>
    <w:p w:rsidR="00E41710" w:rsidRPr="00E41710" w:rsidRDefault="00E41710" w:rsidP="007A004D">
      <w:pPr>
        <w:pStyle w:val="Normal-em"/>
        <w:spacing w:after="0"/>
        <w:rPr>
          <w:szCs w:val="24"/>
        </w:rPr>
      </w:pPr>
    </w:p>
    <w:p w:rsidR="00E41710" w:rsidRPr="00E41710" w:rsidRDefault="00E41710" w:rsidP="00E41710">
      <w:pPr>
        <w:pStyle w:val="Normal-em"/>
        <w:numPr>
          <w:ilvl w:val="0"/>
          <w:numId w:val="21"/>
        </w:numPr>
        <w:rPr>
          <w:szCs w:val="24"/>
        </w:rPr>
      </w:pPr>
      <w:r w:rsidRPr="00E41710">
        <w:rPr>
          <w:szCs w:val="24"/>
        </w:rPr>
        <w:t>Total supply contribution: 605 GL</w:t>
      </w:r>
    </w:p>
    <w:p w:rsidR="00E41710" w:rsidRPr="00E41710" w:rsidRDefault="00E41710" w:rsidP="00E41710">
      <w:pPr>
        <w:pStyle w:val="Normal-em"/>
        <w:numPr>
          <w:ilvl w:val="0"/>
          <w:numId w:val="21"/>
        </w:numPr>
        <w:rPr>
          <w:szCs w:val="24"/>
        </w:rPr>
      </w:pPr>
      <w:r w:rsidRPr="00E41710">
        <w:rPr>
          <w:szCs w:val="24"/>
        </w:rPr>
        <w:t>Total efficiency contribution: 1 GL</w:t>
      </w:r>
    </w:p>
    <w:p w:rsidR="00E41710" w:rsidRPr="00E41710" w:rsidRDefault="00E41710" w:rsidP="00E41710">
      <w:pPr>
        <w:pStyle w:val="Normal-em"/>
        <w:numPr>
          <w:ilvl w:val="0"/>
          <w:numId w:val="21"/>
        </w:numPr>
        <w:rPr>
          <w:szCs w:val="24"/>
        </w:rPr>
      </w:pPr>
      <w:r w:rsidRPr="00E41710">
        <w:rPr>
          <w:szCs w:val="24"/>
        </w:rPr>
        <w:t>Net effect: 604 GL</w:t>
      </w:r>
    </w:p>
    <w:p w:rsidR="00E41710" w:rsidRPr="00E41710" w:rsidRDefault="00E41710" w:rsidP="00E41710">
      <w:pPr>
        <w:pStyle w:val="Normal-em"/>
        <w:numPr>
          <w:ilvl w:val="0"/>
          <w:numId w:val="21"/>
        </w:numPr>
        <w:rPr>
          <w:szCs w:val="24"/>
        </w:rPr>
      </w:pPr>
      <w:r w:rsidRPr="00E41710">
        <w:rPr>
          <w:szCs w:val="24"/>
        </w:rPr>
        <w:t>Net five per cent limit on the SDL adjustment: 543 GL</w:t>
      </w:r>
    </w:p>
    <w:p w:rsidR="00E41710" w:rsidRPr="00C4122D" w:rsidRDefault="00E41710" w:rsidP="00C4122D">
      <w:pPr>
        <w:tabs>
          <w:tab w:val="right" w:pos="9072"/>
        </w:tabs>
        <w:spacing w:after="0" w:line="240" w:lineRule="auto"/>
        <w:rPr>
          <w:rFonts w:ascii="Times New Roman" w:hAnsi="Times New Roman" w:cs="Times New Roman"/>
          <w:sz w:val="24"/>
          <w:szCs w:val="24"/>
        </w:rPr>
      </w:pPr>
    </w:p>
    <w:p w:rsidR="00E41710" w:rsidRPr="00C4122D" w:rsidRDefault="00E41710" w:rsidP="00C4122D">
      <w:pPr>
        <w:tabs>
          <w:tab w:val="right" w:pos="9072"/>
        </w:tabs>
        <w:spacing w:after="0" w:line="240" w:lineRule="auto"/>
        <w:rPr>
          <w:rFonts w:ascii="Times New Roman" w:hAnsi="Times New Roman" w:cs="Times New Roman"/>
          <w:sz w:val="24"/>
          <w:szCs w:val="24"/>
        </w:rPr>
      </w:pPr>
      <w:r w:rsidRPr="00C4122D">
        <w:rPr>
          <w:rFonts w:ascii="Times New Roman" w:hAnsi="Times New Roman" w:cs="Times New Roman"/>
          <w:sz w:val="24"/>
          <w:szCs w:val="24"/>
        </w:rPr>
        <w:t>Without the net five per cent limit on the SDL adjustment, the Basin-wide SDL would increase by 604 GL (i.e. a 605 GL increase in the SDLs from supply measures and a one GL decrease in the SDLs from efficiency measures).</w:t>
      </w:r>
    </w:p>
    <w:p w:rsidR="00E41710" w:rsidRPr="00C4122D" w:rsidRDefault="00E41710" w:rsidP="00C4122D">
      <w:pPr>
        <w:tabs>
          <w:tab w:val="right" w:pos="9072"/>
        </w:tabs>
        <w:spacing w:after="0" w:line="240" w:lineRule="auto"/>
        <w:rPr>
          <w:rFonts w:ascii="Times New Roman" w:hAnsi="Times New Roman" w:cs="Times New Roman"/>
          <w:sz w:val="24"/>
          <w:szCs w:val="24"/>
        </w:rPr>
      </w:pPr>
    </w:p>
    <w:p w:rsidR="00E41710" w:rsidRPr="00C4122D" w:rsidRDefault="00E41710" w:rsidP="00C4122D">
      <w:pPr>
        <w:tabs>
          <w:tab w:val="right" w:pos="9072"/>
        </w:tabs>
        <w:spacing w:after="0" w:line="240" w:lineRule="auto"/>
        <w:rPr>
          <w:rFonts w:ascii="Times New Roman" w:hAnsi="Times New Roman" w:cs="Times New Roman"/>
          <w:sz w:val="24"/>
          <w:szCs w:val="24"/>
        </w:rPr>
      </w:pPr>
      <w:r w:rsidRPr="00C4122D">
        <w:rPr>
          <w:rFonts w:ascii="Times New Roman" w:hAnsi="Times New Roman" w:cs="Times New Roman"/>
          <w:sz w:val="24"/>
          <w:szCs w:val="24"/>
        </w:rPr>
        <w:t>However, the net five per cent limit on the SDL adjustment will limit the SDL adjustment to an increase of 543 GL (i.e. a 544 GL increase in the SDLs from supply measures and one GL decrease in the SDLs from efficiency measures).</w:t>
      </w:r>
    </w:p>
    <w:p w:rsidR="00E41710" w:rsidRPr="00C4122D" w:rsidRDefault="00E41710" w:rsidP="00C4122D">
      <w:pPr>
        <w:tabs>
          <w:tab w:val="right" w:pos="9072"/>
        </w:tabs>
        <w:spacing w:after="0" w:line="240" w:lineRule="auto"/>
        <w:rPr>
          <w:rFonts w:ascii="Times New Roman" w:hAnsi="Times New Roman" w:cs="Times New Roman"/>
          <w:sz w:val="24"/>
          <w:szCs w:val="24"/>
        </w:rPr>
      </w:pPr>
    </w:p>
    <w:p w:rsidR="00E41710" w:rsidRPr="00C4122D" w:rsidRDefault="00E41710" w:rsidP="00C4122D">
      <w:pPr>
        <w:tabs>
          <w:tab w:val="right" w:pos="9072"/>
        </w:tabs>
        <w:spacing w:after="0" w:line="240" w:lineRule="auto"/>
        <w:rPr>
          <w:rFonts w:ascii="Times New Roman" w:hAnsi="Times New Roman" w:cs="Times New Roman"/>
          <w:sz w:val="24"/>
          <w:szCs w:val="24"/>
        </w:rPr>
      </w:pPr>
      <w:r w:rsidRPr="00C4122D">
        <w:rPr>
          <w:rFonts w:ascii="Times New Roman" w:hAnsi="Times New Roman" w:cs="Times New Roman"/>
          <w:sz w:val="24"/>
          <w:szCs w:val="24"/>
        </w:rPr>
        <w:t xml:space="preserve">The total supply contribution will need to be reduced to 544 GL. This is a reduction of 61 GL. This reduction will be distributed across surface water SDL resource units in the same proportions as the apportionment of the 605 GL supply contribution. </w:t>
      </w:r>
    </w:p>
    <w:p w:rsidR="00E41710" w:rsidRPr="00C4122D" w:rsidRDefault="00E41710" w:rsidP="00C4122D">
      <w:pPr>
        <w:tabs>
          <w:tab w:val="right" w:pos="9072"/>
        </w:tabs>
        <w:spacing w:after="0" w:line="240" w:lineRule="auto"/>
        <w:rPr>
          <w:rFonts w:ascii="Times New Roman" w:hAnsi="Times New Roman" w:cs="Times New Roman"/>
          <w:sz w:val="24"/>
          <w:szCs w:val="24"/>
        </w:rPr>
      </w:pPr>
    </w:p>
    <w:p w:rsidR="008E61AE" w:rsidRPr="00C4122D" w:rsidRDefault="00E41710" w:rsidP="00C4122D">
      <w:pPr>
        <w:tabs>
          <w:tab w:val="right" w:pos="9072"/>
        </w:tabs>
        <w:spacing w:after="0" w:line="240" w:lineRule="auto"/>
        <w:rPr>
          <w:rFonts w:ascii="Times New Roman" w:hAnsi="Times New Roman" w:cs="Times New Roman"/>
          <w:sz w:val="24"/>
          <w:szCs w:val="24"/>
        </w:rPr>
      </w:pPr>
      <w:r w:rsidRPr="00C4122D">
        <w:rPr>
          <w:rFonts w:ascii="Times New Roman" w:hAnsi="Times New Roman" w:cs="Times New Roman"/>
          <w:sz w:val="24"/>
          <w:szCs w:val="24"/>
        </w:rPr>
        <w:t>For example, in Table 1 below, Murrumbidgee receives 26.78 per cent of the 605 GL supply contribution. Murrumbidgee will also be allocated 26.78 per cent of the 61 GL reduction. This means that the supply contribution allocated to Murrumbidgee will be reduced by 16.3 GL from</w:t>
      </w:r>
      <w:r w:rsidR="00311E6F" w:rsidRPr="00C4122D">
        <w:rPr>
          <w:rFonts w:ascii="Times New Roman" w:hAnsi="Times New Roman" w:cs="Times New Roman"/>
          <w:sz w:val="24"/>
          <w:szCs w:val="24"/>
        </w:rPr>
        <w:t xml:space="preserve"> 162 GL to 145.7 GL. </w:t>
      </w:r>
    </w:p>
    <w:p w:rsidR="008E61AE" w:rsidRPr="00C4122D" w:rsidRDefault="008E61AE" w:rsidP="00C4122D">
      <w:pPr>
        <w:tabs>
          <w:tab w:val="right" w:pos="9072"/>
        </w:tabs>
        <w:spacing w:after="0" w:line="240" w:lineRule="auto"/>
        <w:rPr>
          <w:rFonts w:ascii="Times New Roman" w:hAnsi="Times New Roman" w:cs="Times New Roman"/>
          <w:sz w:val="24"/>
          <w:szCs w:val="24"/>
        </w:rPr>
      </w:pPr>
    </w:p>
    <w:p w:rsidR="00E41710" w:rsidRPr="00C4122D" w:rsidRDefault="00311E6F" w:rsidP="00C4122D">
      <w:pPr>
        <w:tabs>
          <w:tab w:val="right" w:pos="9072"/>
        </w:tabs>
        <w:spacing w:after="0" w:line="240" w:lineRule="auto"/>
        <w:rPr>
          <w:rFonts w:ascii="Times New Roman" w:hAnsi="Times New Roman" w:cs="Times New Roman"/>
          <w:sz w:val="24"/>
          <w:szCs w:val="24"/>
        </w:rPr>
      </w:pPr>
      <w:r w:rsidRPr="00C4122D">
        <w:rPr>
          <w:rFonts w:ascii="Times New Roman" w:hAnsi="Times New Roman" w:cs="Times New Roman"/>
          <w:sz w:val="24"/>
          <w:szCs w:val="24"/>
        </w:rPr>
        <w:t xml:space="preserve">For each water accounting period, and as calculated </w:t>
      </w:r>
      <w:r w:rsidR="008E61AE" w:rsidRPr="00C4122D">
        <w:rPr>
          <w:rFonts w:ascii="Times New Roman" w:hAnsi="Times New Roman" w:cs="Times New Roman"/>
          <w:sz w:val="24"/>
          <w:szCs w:val="24"/>
        </w:rPr>
        <w:t xml:space="preserve">at the end of </w:t>
      </w:r>
      <w:r w:rsidRPr="00C4122D">
        <w:rPr>
          <w:rFonts w:ascii="Times New Roman" w:hAnsi="Times New Roman" w:cs="Times New Roman"/>
          <w:sz w:val="24"/>
          <w:szCs w:val="24"/>
        </w:rPr>
        <w:t>the first day</w:t>
      </w:r>
      <w:r w:rsidR="00E41710" w:rsidRPr="00C4122D">
        <w:rPr>
          <w:rFonts w:ascii="Times New Roman" w:hAnsi="Times New Roman" w:cs="Times New Roman"/>
          <w:sz w:val="24"/>
          <w:szCs w:val="24"/>
        </w:rPr>
        <w:t xml:space="preserve"> </w:t>
      </w:r>
      <w:r w:rsidRPr="00C4122D">
        <w:rPr>
          <w:rFonts w:ascii="Times New Roman" w:hAnsi="Times New Roman" w:cs="Times New Roman"/>
          <w:sz w:val="24"/>
          <w:szCs w:val="24"/>
        </w:rPr>
        <w:t>of each water accounting period</w:t>
      </w:r>
      <w:r w:rsidR="00E41710" w:rsidRPr="00C4122D">
        <w:rPr>
          <w:rFonts w:ascii="Times New Roman" w:hAnsi="Times New Roman" w:cs="Times New Roman"/>
          <w:sz w:val="24"/>
          <w:szCs w:val="24"/>
        </w:rPr>
        <w:t xml:space="preserve">, as new efficiency entitlements are acquired, the </w:t>
      </w:r>
      <w:r w:rsidR="008E61AE" w:rsidRPr="00C4122D">
        <w:rPr>
          <w:rFonts w:ascii="Times New Roman" w:hAnsi="Times New Roman" w:cs="Times New Roman"/>
          <w:sz w:val="24"/>
          <w:szCs w:val="24"/>
        </w:rPr>
        <w:t xml:space="preserve">available </w:t>
      </w:r>
      <w:r w:rsidR="00E41710" w:rsidRPr="00C4122D">
        <w:rPr>
          <w:rFonts w:ascii="Times New Roman" w:hAnsi="Times New Roman" w:cs="Times New Roman"/>
          <w:sz w:val="24"/>
          <w:szCs w:val="24"/>
        </w:rPr>
        <w:t xml:space="preserve">supply contribution will </w:t>
      </w:r>
      <w:r w:rsidR="008E61AE" w:rsidRPr="00C4122D">
        <w:rPr>
          <w:rFonts w:ascii="Times New Roman" w:hAnsi="Times New Roman" w:cs="Times New Roman"/>
          <w:sz w:val="24"/>
          <w:szCs w:val="24"/>
        </w:rPr>
        <w:t xml:space="preserve">increase </w:t>
      </w:r>
      <w:r w:rsidR="00E41710" w:rsidRPr="00C4122D">
        <w:rPr>
          <w:rFonts w:ascii="Times New Roman" w:hAnsi="Times New Roman" w:cs="Times New Roman"/>
          <w:sz w:val="24"/>
          <w:szCs w:val="24"/>
        </w:rPr>
        <w:t xml:space="preserve">by the </w:t>
      </w:r>
      <w:r w:rsidRPr="00C4122D">
        <w:rPr>
          <w:rFonts w:ascii="Times New Roman" w:hAnsi="Times New Roman" w:cs="Times New Roman"/>
          <w:sz w:val="24"/>
          <w:szCs w:val="24"/>
        </w:rPr>
        <w:t>amount</w:t>
      </w:r>
      <w:r w:rsidR="00E41710" w:rsidRPr="00C4122D">
        <w:rPr>
          <w:rFonts w:ascii="Times New Roman" w:hAnsi="Times New Roman" w:cs="Times New Roman"/>
          <w:sz w:val="24"/>
          <w:szCs w:val="24"/>
        </w:rPr>
        <w:t xml:space="preserve"> of efficiency ent</w:t>
      </w:r>
      <w:r w:rsidRPr="00C4122D">
        <w:rPr>
          <w:rFonts w:ascii="Times New Roman" w:hAnsi="Times New Roman" w:cs="Times New Roman"/>
          <w:sz w:val="24"/>
          <w:szCs w:val="24"/>
        </w:rPr>
        <w:t>itlements</w:t>
      </w:r>
      <w:r w:rsidR="00E41710" w:rsidRPr="00C4122D">
        <w:rPr>
          <w:rFonts w:ascii="Times New Roman" w:hAnsi="Times New Roman" w:cs="Times New Roman"/>
          <w:sz w:val="24"/>
          <w:szCs w:val="24"/>
        </w:rPr>
        <w:t xml:space="preserve">. </w:t>
      </w:r>
      <w:r w:rsidR="008E61AE" w:rsidRPr="00C4122D">
        <w:rPr>
          <w:rFonts w:ascii="Times New Roman" w:hAnsi="Times New Roman" w:cs="Times New Roman"/>
          <w:sz w:val="24"/>
          <w:szCs w:val="24"/>
        </w:rPr>
        <w:t>T</w:t>
      </w:r>
      <w:r w:rsidR="00E41710" w:rsidRPr="00C4122D">
        <w:rPr>
          <w:rFonts w:ascii="Times New Roman" w:hAnsi="Times New Roman" w:cs="Times New Roman"/>
          <w:sz w:val="24"/>
          <w:szCs w:val="24"/>
        </w:rPr>
        <w:t xml:space="preserve">he reduction (and </w:t>
      </w:r>
      <w:r w:rsidR="008E61AE" w:rsidRPr="00C4122D">
        <w:rPr>
          <w:rFonts w:ascii="Times New Roman" w:hAnsi="Times New Roman" w:cs="Times New Roman"/>
          <w:sz w:val="24"/>
          <w:szCs w:val="24"/>
        </w:rPr>
        <w:t xml:space="preserve">its </w:t>
      </w:r>
      <w:r w:rsidR="00E41710" w:rsidRPr="00C4122D">
        <w:rPr>
          <w:rFonts w:ascii="Times New Roman" w:hAnsi="Times New Roman" w:cs="Times New Roman"/>
          <w:sz w:val="24"/>
          <w:szCs w:val="24"/>
        </w:rPr>
        <w:t>relaxation</w:t>
      </w:r>
      <w:r w:rsidR="008E61AE" w:rsidRPr="00C4122D">
        <w:rPr>
          <w:rFonts w:ascii="Times New Roman" w:hAnsi="Times New Roman" w:cs="Times New Roman"/>
          <w:sz w:val="24"/>
          <w:szCs w:val="24"/>
        </w:rPr>
        <w:t xml:space="preserve"> as efficiency entitlements are acquired</w:t>
      </w:r>
      <w:r w:rsidR="00E41710" w:rsidRPr="00C4122D">
        <w:rPr>
          <w:rFonts w:ascii="Times New Roman" w:hAnsi="Times New Roman" w:cs="Times New Roman"/>
          <w:sz w:val="24"/>
          <w:szCs w:val="24"/>
        </w:rPr>
        <w:t xml:space="preserve">) </w:t>
      </w:r>
      <w:r w:rsidR="008E61AE" w:rsidRPr="00C4122D">
        <w:rPr>
          <w:rFonts w:ascii="Times New Roman" w:hAnsi="Times New Roman" w:cs="Times New Roman"/>
          <w:sz w:val="24"/>
          <w:szCs w:val="24"/>
        </w:rPr>
        <w:t xml:space="preserve">will </w:t>
      </w:r>
      <w:r w:rsidR="00E41710" w:rsidRPr="00C4122D">
        <w:rPr>
          <w:rFonts w:ascii="Times New Roman" w:hAnsi="Times New Roman" w:cs="Times New Roman"/>
          <w:sz w:val="24"/>
          <w:szCs w:val="24"/>
        </w:rPr>
        <w:t xml:space="preserve">always </w:t>
      </w:r>
      <w:r w:rsidR="008E61AE" w:rsidRPr="00C4122D">
        <w:rPr>
          <w:rFonts w:ascii="Times New Roman" w:hAnsi="Times New Roman" w:cs="Times New Roman"/>
          <w:sz w:val="24"/>
          <w:szCs w:val="24"/>
        </w:rPr>
        <w:t xml:space="preserve">be </w:t>
      </w:r>
      <w:r w:rsidR="00E41710" w:rsidRPr="00C4122D">
        <w:rPr>
          <w:rFonts w:ascii="Times New Roman" w:hAnsi="Times New Roman" w:cs="Times New Roman"/>
          <w:sz w:val="24"/>
          <w:szCs w:val="24"/>
        </w:rPr>
        <w:t>applied in the same proportions</w:t>
      </w:r>
      <w:r w:rsidR="008E61AE" w:rsidRPr="00C4122D">
        <w:rPr>
          <w:rFonts w:ascii="Times New Roman" w:hAnsi="Times New Roman" w:cs="Times New Roman"/>
          <w:sz w:val="24"/>
          <w:szCs w:val="24"/>
        </w:rPr>
        <w:t xml:space="preserve">. Therefore, an </w:t>
      </w:r>
      <w:r w:rsidR="00E41710" w:rsidRPr="00C4122D">
        <w:rPr>
          <w:rFonts w:ascii="Times New Roman" w:hAnsi="Times New Roman" w:cs="Times New Roman"/>
          <w:sz w:val="24"/>
          <w:szCs w:val="24"/>
        </w:rPr>
        <w:t>SDL resource unit will always have the same percentage of the available supply contribution.</w:t>
      </w:r>
    </w:p>
    <w:p w:rsidR="001D77A6" w:rsidRPr="00C4122D" w:rsidRDefault="001D77A6" w:rsidP="00C4122D">
      <w:pPr>
        <w:tabs>
          <w:tab w:val="right" w:pos="9072"/>
        </w:tabs>
        <w:spacing w:after="0" w:line="240" w:lineRule="auto"/>
        <w:rPr>
          <w:rFonts w:ascii="Times New Roman" w:hAnsi="Times New Roman" w:cs="Times New Roman"/>
          <w:sz w:val="24"/>
          <w:szCs w:val="24"/>
        </w:rPr>
      </w:pPr>
    </w:p>
    <w:p w:rsidR="00E41710" w:rsidRPr="00E41710" w:rsidRDefault="00E41710" w:rsidP="00E41710">
      <w:pPr>
        <w:pStyle w:val="Normal-em"/>
        <w:rPr>
          <w:b/>
          <w:szCs w:val="24"/>
        </w:rPr>
      </w:pPr>
      <w:r w:rsidRPr="00E41710">
        <w:rPr>
          <w:b/>
          <w:szCs w:val="24"/>
        </w:rPr>
        <w:lastRenderedPageBreak/>
        <w:t>Table 1: Worked example 1</w:t>
      </w:r>
    </w:p>
    <w:tbl>
      <w:tblPr>
        <w:tblStyle w:val="TableGrid"/>
        <w:tblW w:w="0" w:type="auto"/>
        <w:tblLook w:val="04A0" w:firstRow="1" w:lastRow="0" w:firstColumn="1" w:lastColumn="0" w:noHBand="0" w:noVBand="1"/>
      </w:tblPr>
      <w:tblGrid>
        <w:gridCol w:w="763"/>
        <w:gridCol w:w="1926"/>
        <w:gridCol w:w="1559"/>
        <w:gridCol w:w="1661"/>
        <w:gridCol w:w="1576"/>
        <w:gridCol w:w="1576"/>
      </w:tblGrid>
      <w:tr w:rsidR="00E41710" w:rsidRPr="00E41710" w:rsidTr="001D77A6">
        <w:trPr>
          <w:tblHeader/>
        </w:trPr>
        <w:tc>
          <w:tcPr>
            <w:tcW w:w="763" w:type="dxa"/>
          </w:tcPr>
          <w:p w:rsidR="00E41710" w:rsidRPr="00E41710" w:rsidRDefault="00E41710" w:rsidP="00E41710">
            <w:pPr>
              <w:pStyle w:val="Normal-em"/>
              <w:rPr>
                <w:b/>
                <w:szCs w:val="24"/>
              </w:rPr>
            </w:pPr>
            <w:r w:rsidRPr="00E41710">
              <w:rPr>
                <w:b/>
                <w:szCs w:val="24"/>
              </w:rPr>
              <w:t>Item</w:t>
            </w:r>
          </w:p>
        </w:tc>
        <w:tc>
          <w:tcPr>
            <w:tcW w:w="1926" w:type="dxa"/>
          </w:tcPr>
          <w:p w:rsidR="00E41710" w:rsidRPr="00E41710" w:rsidRDefault="00E41710" w:rsidP="00E41710">
            <w:pPr>
              <w:pStyle w:val="Normal-em"/>
              <w:rPr>
                <w:b/>
                <w:szCs w:val="24"/>
              </w:rPr>
            </w:pPr>
            <w:r w:rsidRPr="00E41710">
              <w:rPr>
                <w:b/>
                <w:szCs w:val="24"/>
              </w:rPr>
              <w:t>SDL resource unit (code)</w:t>
            </w:r>
          </w:p>
        </w:tc>
        <w:tc>
          <w:tcPr>
            <w:tcW w:w="1559" w:type="dxa"/>
          </w:tcPr>
          <w:p w:rsidR="00E41710" w:rsidRPr="00E41710" w:rsidRDefault="00E41710" w:rsidP="00E41710">
            <w:pPr>
              <w:pStyle w:val="Normal-em"/>
              <w:rPr>
                <w:b/>
                <w:szCs w:val="24"/>
              </w:rPr>
            </w:pPr>
            <w:r w:rsidRPr="00E41710">
              <w:rPr>
                <w:b/>
                <w:szCs w:val="24"/>
              </w:rPr>
              <w:t>Apportioned supply contribution (GL)</w:t>
            </w:r>
          </w:p>
        </w:tc>
        <w:tc>
          <w:tcPr>
            <w:tcW w:w="1661" w:type="dxa"/>
          </w:tcPr>
          <w:p w:rsidR="00E41710" w:rsidRPr="00E41710" w:rsidRDefault="00E41710" w:rsidP="00E41710">
            <w:pPr>
              <w:pStyle w:val="Normal-em"/>
              <w:rPr>
                <w:b/>
                <w:szCs w:val="24"/>
              </w:rPr>
            </w:pPr>
            <w:r w:rsidRPr="00E41710">
              <w:rPr>
                <w:b/>
                <w:szCs w:val="24"/>
              </w:rPr>
              <w:t>Percentage of the apportioned supply contribution (%)</w:t>
            </w:r>
          </w:p>
        </w:tc>
        <w:tc>
          <w:tcPr>
            <w:tcW w:w="1576" w:type="dxa"/>
          </w:tcPr>
          <w:p w:rsidR="00E41710" w:rsidRPr="00E41710" w:rsidRDefault="00E41710" w:rsidP="00E41710">
            <w:pPr>
              <w:pStyle w:val="Normal-em"/>
              <w:rPr>
                <w:b/>
                <w:szCs w:val="24"/>
              </w:rPr>
            </w:pPr>
            <w:r w:rsidRPr="00E41710">
              <w:rPr>
                <w:b/>
                <w:szCs w:val="24"/>
              </w:rPr>
              <w:t>Reduction in supply contribution (GL)</w:t>
            </w:r>
          </w:p>
        </w:tc>
        <w:tc>
          <w:tcPr>
            <w:tcW w:w="1576" w:type="dxa"/>
          </w:tcPr>
          <w:p w:rsidR="00E41710" w:rsidRPr="00E41710" w:rsidRDefault="00E41710" w:rsidP="00E41710">
            <w:pPr>
              <w:pStyle w:val="Normal-em"/>
              <w:rPr>
                <w:b/>
                <w:szCs w:val="24"/>
              </w:rPr>
            </w:pPr>
            <w:r w:rsidRPr="00E41710">
              <w:rPr>
                <w:b/>
                <w:szCs w:val="24"/>
              </w:rPr>
              <w:t>Reduced supply contribution (GL)</w:t>
            </w:r>
          </w:p>
        </w:tc>
      </w:tr>
      <w:tr w:rsidR="008E61AE" w:rsidRPr="00E41710" w:rsidTr="00E41710">
        <w:tc>
          <w:tcPr>
            <w:tcW w:w="763" w:type="dxa"/>
          </w:tcPr>
          <w:p w:rsidR="008E61AE" w:rsidRPr="00E41710" w:rsidRDefault="008E61AE" w:rsidP="00E41710">
            <w:pPr>
              <w:pStyle w:val="Normal-em"/>
              <w:rPr>
                <w:szCs w:val="24"/>
              </w:rPr>
            </w:pPr>
            <w:r>
              <w:rPr>
                <w:szCs w:val="24"/>
              </w:rPr>
              <w:t>13</w:t>
            </w:r>
          </w:p>
        </w:tc>
        <w:tc>
          <w:tcPr>
            <w:tcW w:w="1926" w:type="dxa"/>
          </w:tcPr>
          <w:p w:rsidR="008E61AE" w:rsidRPr="00E41710" w:rsidRDefault="008E61AE" w:rsidP="00E41710">
            <w:pPr>
              <w:pStyle w:val="Normal-em"/>
              <w:rPr>
                <w:szCs w:val="24"/>
              </w:rPr>
            </w:pPr>
            <w:r>
              <w:rPr>
                <w:szCs w:val="24"/>
              </w:rPr>
              <w:t>Lachlan (SS16)</w:t>
            </w:r>
          </w:p>
        </w:tc>
        <w:tc>
          <w:tcPr>
            <w:tcW w:w="1559" w:type="dxa"/>
          </w:tcPr>
          <w:p w:rsidR="008E61AE" w:rsidRPr="00E41710" w:rsidRDefault="008E61AE" w:rsidP="00375F5C">
            <w:pPr>
              <w:pStyle w:val="Normal-em"/>
              <w:jc w:val="right"/>
              <w:rPr>
                <w:szCs w:val="24"/>
              </w:rPr>
            </w:pPr>
            <w:r>
              <w:rPr>
                <w:szCs w:val="24"/>
              </w:rPr>
              <w:t>0.0</w:t>
            </w:r>
          </w:p>
        </w:tc>
        <w:tc>
          <w:tcPr>
            <w:tcW w:w="1661" w:type="dxa"/>
          </w:tcPr>
          <w:p w:rsidR="008E61AE" w:rsidRPr="00E41710" w:rsidRDefault="008E61AE" w:rsidP="00375F5C">
            <w:pPr>
              <w:pStyle w:val="Normal-em"/>
              <w:jc w:val="right"/>
              <w:rPr>
                <w:szCs w:val="24"/>
              </w:rPr>
            </w:pPr>
            <w:r>
              <w:rPr>
                <w:szCs w:val="24"/>
              </w:rPr>
              <w:t>0.00</w:t>
            </w:r>
          </w:p>
        </w:tc>
        <w:tc>
          <w:tcPr>
            <w:tcW w:w="1576" w:type="dxa"/>
          </w:tcPr>
          <w:p w:rsidR="008E61AE" w:rsidRPr="00E41710" w:rsidRDefault="008E61AE" w:rsidP="00375F5C">
            <w:pPr>
              <w:pStyle w:val="Normal-em"/>
              <w:jc w:val="right"/>
              <w:rPr>
                <w:szCs w:val="24"/>
              </w:rPr>
            </w:pPr>
            <w:r>
              <w:rPr>
                <w:szCs w:val="24"/>
              </w:rPr>
              <w:t>0.0</w:t>
            </w:r>
          </w:p>
        </w:tc>
        <w:tc>
          <w:tcPr>
            <w:tcW w:w="1576" w:type="dxa"/>
          </w:tcPr>
          <w:p w:rsidR="008E61AE" w:rsidRPr="00E41710" w:rsidRDefault="008E61AE" w:rsidP="00375F5C">
            <w:pPr>
              <w:pStyle w:val="Normal-em"/>
              <w:jc w:val="right"/>
              <w:rPr>
                <w:szCs w:val="24"/>
              </w:rPr>
            </w:pPr>
            <w:r>
              <w:rPr>
                <w:szCs w:val="24"/>
              </w:rPr>
              <w:t>0.0</w:t>
            </w:r>
          </w:p>
        </w:tc>
      </w:tr>
      <w:tr w:rsidR="00E41710" w:rsidRPr="00E41710" w:rsidTr="00E41710">
        <w:tc>
          <w:tcPr>
            <w:tcW w:w="763" w:type="dxa"/>
          </w:tcPr>
          <w:p w:rsidR="00E41710" w:rsidRPr="00E41710" w:rsidRDefault="00E41710" w:rsidP="00E41710">
            <w:pPr>
              <w:pStyle w:val="Normal-em"/>
              <w:rPr>
                <w:szCs w:val="24"/>
              </w:rPr>
            </w:pPr>
            <w:r w:rsidRPr="00E41710">
              <w:rPr>
                <w:szCs w:val="24"/>
              </w:rPr>
              <w:t>14</w:t>
            </w:r>
          </w:p>
        </w:tc>
        <w:tc>
          <w:tcPr>
            <w:tcW w:w="1926" w:type="dxa"/>
          </w:tcPr>
          <w:p w:rsidR="00E41710" w:rsidRPr="00E41710" w:rsidRDefault="00E41710" w:rsidP="00E41710">
            <w:pPr>
              <w:pStyle w:val="Normal-em"/>
              <w:rPr>
                <w:szCs w:val="24"/>
              </w:rPr>
            </w:pPr>
            <w:r w:rsidRPr="00E41710">
              <w:rPr>
                <w:szCs w:val="24"/>
              </w:rPr>
              <w:t>Murrumbidgee (SS15)</w:t>
            </w:r>
          </w:p>
        </w:tc>
        <w:tc>
          <w:tcPr>
            <w:tcW w:w="1559" w:type="dxa"/>
          </w:tcPr>
          <w:p w:rsidR="00E41710" w:rsidRPr="00E41710" w:rsidRDefault="00E41710" w:rsidP="00375F5C">
            <w:pPr>
              <w:pStyle w:val="Normal-em"/>
              <w:jc w:val="right"/>
              <w:rPr>
                <w:szCs w:val="24"/>
              </w:rPr>
            </w:pPr>
            <w:r w:rsidRPr="00E41710">
              <w:rPr>
                <w:szCs w:val="24"/>
              </w:rPr>
              <w:t>162.0</w:t>
            </w:r>
          </w:p>
        </w:tc>
        <w:tc>
          <w:tcPr>
            <w:tcW w:w="1661" w:type="dxa"/>
          </w:tcPr>
          <w:p w:rsidR="00E41710" w:rsidRPr="00E41710" w:rsidRDefault="00E41710" w:rsidP="00375F5C">
            <w:pPr>
              <w:pStyle w:val="Normal-em"/>
              <w:jc w:val="right"/>
              <w:rPr>
                <w:szCs w:val="24"/>
              </w:rPr>
            </w:pPr>
            <w:r w:rsidRPr="00E41710">
              <w:rPr>
                <w:szCs w:val="24"/>
              </w:rPr>
              <w:t>26.78</w:t>
            </w:r>
          </w:p>
        </w:tc>
        <w:tc>
          <w:tcPr>
            <w:tcW w:w="1576" w:type="dxa"/>
          </w:tcPr>
          <w:p w:rsidR="00E41710" w:rsidRPr="00E41710" w:rsidRDefault="00E41710" w:rsidP="00375F5C">
            <w:pPr>
              <w:pStyle w:val="Normal-em"/>
              <w:jc w:val="right"/>
              <w:rPr>
                <w:szCs w:val="24"/>
              </w:rPr>
            </w:pPr>
            <w:r w:rsidRPr="00E41710">
              <w:rPr>
                <w:szCs w:val="24"/>
              </w:rPr>
              <w:t>16.3</w:t>
            </w:r>
          </w:p>
        </w:tc>
        <w:tc>
          <w:tcPr>
            <w:tcW w:w="1576" w:type="dxa"/>
          </w:tcPr>
          <w:p w:rsidR="00E41710" w:rsidRPr="00E41710" w:rsidRDefault="00E41710" w:rsidP="00375F5C">
            <w:pPr>
              <w:pStyle w:val="Normal-em"/>
              <w:jc w:val="right"/>
              <w:rPr>
                <w:szCs w:val="24"/>
              </w:rPr>
            </w:pPr>
            <w:r w:rsidRPr="00E41710">
              <w:rPr>
                <w:szCs w:val="24"/>
              </w:rPr>
              <w:t>145.7</w:t>
            </w:r>
          </w:p>
        </w:tc>
      </w:tr>
      <w:tr w:rsidR="00E41710" w:rsidRPr="00E41710" w:rsidTr="00E41710">
        <w:tc>
          <w:tcPr>
            <w:tcW w:w="763" w:type="dxa"/>
          </w:tcPr>
          <w:p w:rsidR="00E41710" w:rsidRPr="00E41710" w:rsidRDefault="00E41710" w:rsidP="00E41710">
            <w:pPr>
              <w:pStyle w:val="Normal-em"/>
              <w:rPr>
                <w:szCs w:val="24"/>
              </w:rPr>
            </w:pPr>
            <w:r w:rsidRPr="00E41710">
              <w:rPr>
                <w:szCs w:val="24"/>
              </w:rPr>
              <w:t>15</w:t>
            </w:r>
          </w:p>
        </w:tc>
        <w:tc>
          <w:tcPr>
            <w:tcW w:w="1926" w:type="dxa"/>
          </w:tcPr>
          <w:p w:rsidR="00E41710" w:rsidRPr="00E41710" w:rsidRDefault="00E41710" w:rsidP="00E41710">
            <w:pPr>
              <w:pStyle w:val="Normal-em"/>
              <w:rPr>
                <w:szCs w:val="24"/>
              </w:rPr>
            </w:pPr>
            <w:r w:rsidRPr="00E41710">
              <w:rPr>
                <w:szCs w:val="24"/>
              </w:rPr>
              <w:t>New South Wales Murray (SS14)</w:t>
            </w:r>
          </w:p>
        </w:tc>
        <w:tc>
          <w:tcPr>
            <w:tcW w:w="1559" w:type="dxa"/>
          </w:tcPr>
          <w:p w:rsidR="00E41710" w:rsidRPr="00E41710" w:rsidRDefault="00E41710" w:rsidP="00375F5C">
            <w:pPr>
              <w:pStyle w:val="Normal-em"/>
              <w:jc w:val="right"/>
              <w:rPr>
                <w:szCs w:val="24"/>
              </w:rPr>
            </w:pPr>
            <w:r w:rsidRPr="00E41710">
              <w:rPr>
                <w:szCs w:val="24"/>
              </w:rPr>
              <w:t>124.8</w:t>
            </w:r>
          </w:p>
        </w:tc>
        <w:tc>
          <w:tcPr>
            <w:tcW w:w="1661" w:type="dxa"/>
          </w:tcPr>
          <w:p w:rsidR="00E41710" w:rsidRPr="00E41710" w:rsidRDefault="00E41710" w:rsidP="00375F5C">
            <w:pPr>
              <w:pStyle w:val="Normal-em"/>
              <w:jc w:val="right"/>
              <w:rPr>
                <w:szCs w:val="24"/>
              </w:rPr>
            </w:pPr>
            <w:r w:rsidRPr="00E41710">
              <w:rPr>
                <w:szCs w:val="24"/>
              </w:rPr>
              <w:t>20.63</w:t>
            </w:r>
          </w:p>
        </w:tc>
        <w:tc>
          <w:tcPr>
            <w:tcW w:w="1576" w:type="dxa"/>
          </w:tcPr>
          <w:p w:rsidR="00E41710" w:rsidRPr="00E41710" w:rsidRDefault="00E41710" w:rsidP="00375F5C">
            <w:pPr>
              <w:pStyle w:val="Normal-em"/>
              <w:jc w:val="right"/>
              <w:rPr>
                <w:szCs w:val="24"/>
              </w:rPr>
            </w:pPr>
            <w:r w:rsidRPr="00E41710">
              <w:rPr>
                <w:szCs w:val="24"/>
              </w:rPr>
              <w:t>12.6</w:t>
            </w:r>
          </w:p>
        </w:tc>
        <w:tc>
          <w:tcPr>
            <w:tcW w:w="1576" w:type="dxa"/>
          </w:tcPr>
          <w:p w:rsidR="00E41710" w:rsidRPr="00E41710" w:rsidRDefault="00E41710" w:rsidP="00375F5C">
            <w:pPr>
              <w:pStyle w:val="Normal-em"/>
              <w:jc w:val="right"/>
              <w:rPr>
                <w:szCs w:val="24"/>
              </w:rPr>
            </w:pPr>
            <w:r w:rsidRPr="00E41710">
              <w:rPr>
                <w:szCs w:val="24"/>
              </w:rPr>
              <w:t>112.2</w:t>
            </w:r>
          </w:p>
        </w:tc>
      </w:tr>
      <w:tr w:rsidR="00E41710" w:rsidRPr="00E41710" w:rsidTr="00E41710">
        <w:tc>
          <w:tcPr>
            <w:tcW w:w="763" w:type="dxa"/>
          </w:tcPr>
          <w:p w:rsidR="00E41710" w:rsidRPr="00E41710" w:rsidRDefault="00E41710" w:rsidP="00E41710">
            <w:pPr>
              <w:pStyle w:val="Normal-em"/>
              <w:rPr>
                <w:szCs w:val="24"/>
              </w:rPr>
            </w:pPr>
            <w:r w:rsidRPr="00E41710">
              <w:rPr>
                <w:szCs w:val="24"/>
              </w:rPr>
              <w:t>16</w:t>
            </w:r>
          </w:p>
        </w:tc>
        <w:tc>
          <w:tcPr>
            <w:tcW w:w="1926" w:type="dxa"/>
          </w:tcPr>
          <w:p w:rsidR="00E41710" w:rsidRPr="00E41710" w:rsidRDefault="00E41710" w:rsidP="00E41710">
            <w:pPr>
              <w:pStyle w:val="Normal-em"/>
              <w:rPr>
                <w:szCs w:val="24"/>
              </w:rPr>
            </w:pPr>
            <w:r w:rsidRPr="00E41710">
              <w:rPr>
                <w:szCs w:val="24"/>
              </w:rPr>
              <w:t>Lower Darling (SS18)</w:t>
            </w:r>
          </w:p>
        </w:tc>
        <w:tc>
          <w:tcPr>
            <w:tcW w:w="1559" w:type="dxa"/>
          </w:tcPr>
          <w:p w:rsidR="00E41710" w:rsidRPr="00E41710" w:rsidRDefault="00E41710" w:rsidP="00375F5C">
            <w:pPr>
              <w:pStyle w:val="Normal-em"/>
              <w:jc w:val="right"/>
              <w:rPr>
                <w:szCs w:val="24"/>
              </w:rPr>
            </w:pPr>
            <w:r w:rsidRPr="00E41710">
              <w:rPr>
                <w:szCs w:val="24"/>
              </w:rPr>
              <w:t>0.0</w:t>
            </w:r>
          </w:p>
        </w:tc>
        <w:tc>
          <w:tcPr>
            <w:tcW w:w="1661" w:type="dxa"/>
          </w:tcPr>
          <w:p w:rsidR="00E41710" w:rsidRPr="00E41710" w:rsidRDefault="00E41710" w:rsidP="00375F5C">
            <w:pPr>
              <w:pStyle w:val="Normal-em"/>
              <w:jc w:val="right"/>
              <w:rPr>
                <w:szCs w:val="24"/>
              </w:rPr>
            </w:pPr>
            <w:r w:rsidRPr="00E41710">
              <w:rPr>
                <w:szCs w:val="24"/>
              </w:rPr>
              <w:t>0.00</w:t>
            </w:r>
          </w:p>
        </w:tc>
        <w:tc>
          <w:tcPr>
            <w:tcW w:w="1576" w:type="dxa"/>
          </w:tcPr>
          <w:p w:rsidR="00E41710" w:rsidRPr="00E41710" w:rsidRDefault="00E41710" w:rsidP="00375F5C">
            <w:pPr>
              <w:pStyle w:val="Normal-em"/>
              <w:jc w:val="right"/>
              <w:rPr>
                <w:szCs w:val="24"/>
              </w:rPr>
            </w:pPr>
            <w:r w:rsidRPr="00E41710">
              <w:rPr>
                <w:szCs w:val="24"/>
              </w:rPr>
              <w:t>0.0</w:t>
            </w:r>
          </w:p>
        </w:tc>
        <w:tc>
          <w:tcPr>
            <w:tcW w:w="1576" w:type="dxa"/>
          </w:tcPr>
          <w:p w:rsidR="00E41710" w:rsidRPr="00E41710" w:rsidRDefault="00E41710" w:rsidP="00375F5C">
            <w:pPr>
              <w:pStyle w:val="Normal-em"/>
              <w:jc w:val="right"/>
              <w:rPr>
                <w:szCs w:val="24"/>
              </w:rPr>
            </w:pPr>
            <w:r w:rsidRPr="00E41710">
              <w:rPr>
                <w:szCs w:val="24"/>
              </w:rPr>
              <w:t>0.0</w:t>
            </w:r>
          </w:p>
        </w:tc>
      </w:tr>
      <w:tr w:rsidR="00E41710" w:rsidRPr="00E41710" w:rsidTr="00E41710">
        <w:tc>
          <w:tcPr>
            <w:tcW w:w="763" w:type="dxa"/>
          </w:tcPr>
          <w:p w:rsidR="00E41710" w:rsidRPr="00E41710" w:rsidRDefault="00E41710" w:rsidP="00E41710">
            <w:pPr>
              <w:pStyle w:val="Normal-em"/>
              <w:rPr>
                <w:szCs w:val="24"/>
              </w:rPr>
            </w:pPr>
            <w:r w:rsidRPr="00E41710">
              <w:rPr>
                <w:szCs w:val="24"/>
              </w:rPr>
              <w:t>17</w:t>
            </w:r>
          </w:p>
        </w:tc>
        <w:tc>
          <w:tcPr>
            <w:tcW w:w="1926" w:type="dxa"/>
          </w:tcPr>
          <w:p w:rsidR="00E41710" w:rsidRPr="00E41710" w:rsidRDefault="00E41710" w:rsidP="00E41710">
            <w:pPr>
              <w:pStyle w:val="Normal-em"/>
              <w:rPr>
                <w:szCs w:val="24"/>
              </w:rPr>
            </w:pPr>
            <w:r w:rsidRPr="00E41710">
              <w:rPr>
                <w:szCs w:val="24"/>
              </w:rPr>
              <w:t>Victorian Murray (SS2)</w:t>
            </w:r>
          </w:p>
        </w:tc>
        <w:tc>
          <w:tcPr>
            <w:tcW w:w="1559" w:type="dxa"/>
          </w:tcPr>
          <w:p w:rsidR="00E41710" w:rsidRPr="00E41710" w:rsidRDefault="00E41710" w:rsidP="00375F5C">
            <w:pPr>
              <w:pStyle w:val="Normal-em"/>
              <w:jc w:val="right"/>
              <w:rPr>
                <w:szCs w:val="24"/>
              </w:rPr>
            </w:pPr>
            <w:r w:rsidRPr="00E41710">
              <w:rPr>
                <w:szCs w:val="24"/>
              </w:rPr>
              <w:t>72.8</w:t>
            </w:r>
          </w:p>
        </w:tc>
        <w:tc>
          <w:tcPr>
            <w:tcW w:w="1661" w:type="dxa"/>
          </w:tcPr>
          <w:p w:rsidR="00E41710" w:rsidRPr="00E41710" w:rsidRDefault="00E41710" w:rsidP="00375F5C">
            <w:pPr>
              <w:pStyle w:val="Normal-em"/>
              <w:jc w:val="right"/>
              <w:rPr>
                <w:szCs w:val="24"/>
              </w:rPr>
            </w:pPr>
            <w:r w:rsidRPr="00E41710">
              <w:rPr>
                <w:szCs w:val="24"/>
              </w:rPr>
              <w:t>12.03</w:t>
            </w:r>
          </w:p>
        </w:tc>
        <w:tc>
          <w:tcPr>
            <w:tcW w:w="1576" w:type="dxa"/>
          </w:tcPr>
          <w:p w:rsidR="00E41710" w:rsidRPr="00E41710" w:rsidRDefault="00E41710" w:rsidP="00375F5C">
            <w:pPr>
              <w:pStyle w:val="Normal-em"/>
              <w:jc w:val="right"/>
              <w:rPr>
                <w:szCs w:val="24"/>
              </w:rPr>
            </w:pPr>
            <w:r w:rsidRPr="00E41710">
              <w:rPr>
                <w:szCs w:val="24"/>
              </w:rPr>
              <w:t>7.3</w:t>
            </w:r>
          </w:p>
        </w:tc>
        <w:tc>
          <w:tcPr>
            <w:tcW w:w="1576" w:type="dxa"/>
          </w:tcPr>
          <w:p w:rsidR="00E41710" w:rsidRPr="00E41710" w:rsidRDefault="00E41710" w:rsidP="00375F5C">
            <w:pPr>
              <w:pStyle w:val="Normal-em"/>
              <w:jc w:val="right"/>
              <w:rPr>
                <w:szCs w:val="24"/>
              </w:rPr>
            </w:pPr>
            <w:r w:rsidRPr="00E41710">
              <w:rPr>
                <w:szCs w:val="24"/>
              </w:rPr>
              <w:t>65.5</w:t>
            </w:r>
          </w:p>
        </w:tc>
      </w:tr>
      <w:tr w:rsidR="00E41710" w:rsidRPr="00E41710" w:rsidTr="00E41710">
        <w:tc>
          <w:tcPr>
            <w:tcW w:w="763" w:type="dxa"/>
          </w:tcPr>
          <w:p w:rsidR="00E41710" w:rsidRPr="00E41710" w:rsidRDefault="00E41710" w:rsidP="00E41710">
            <w:pPr>
              <w:pStyle w:val="Normal-em"/>
              <w:rPr>
                <w:szCs w:val="24"/>
              </w:rPr>
            </w:pPr>
            <w:r w:rsidRPr="00E41710">
              <w:rPr>
                <w:szCs w:val="24"/>
              </w:rPr>
              <w:t>18</w:t>
            </w:r>
          </w:p>
        </w:tc>
        <w:tc>
          <w:tcPr>
            <w:tcW w:w="1926" w:type="dxa"/>
          </w:tcPr>
          <w:p w:rsidR="00E41710" w:rsidRPr="00E41710" w:rsidRDefault="00E41710" w:rsidP="00E41710">
            <w:pPr>
              <w:pStyle w:val="Normal-em"/>
              <w:rPr>
                <w:szCs w:val="24"/>
              </w:rPr>
            </w:pPr>
            <w:r w:rsidRPr="00E41710">
              <w:rPr>
                <w:szCs w:val="24"/>
              </w:rPr>
              <w:t>Kiewa (SS3)</w:t>
            </w:r>
          </w:p>
        </w:tc>
        <w:tc>
          <w:tcPr>
            <w:tcW w:w="1559" w:type="dxa"/>
          </w:tcPr>
          <w:p w:rsidR="00E41710" w:rsidRPr="00E41710" w:rsidRDefault="00E41710" w:rsidP="00375F5C">
            <w:pPr>
              <w:pStyle w:val="Normal-em"/>
              <w:jc w:val="right"/>
              <w:rPr>
                <w:szCs w:val="24"/>
              </w:rPr>
            </w:pPr>
            <w:r w:rsidRPr="00E41710">
              <w:rPr>
                <w:szCs w:val="24"/>
              </w:rPr>
              <w:t>1.3</w:t>
            </w:r>
          </w:p>
        </w:tc>
        <w:tc>
          <w:tcPr>
            <w:tcW w:w="1661" w:type="dxa"/>
          </w:tcPr>
          <w:p w:rsidR="00E41710" w:rsidRPr="00E41710" w:rsidRDefault="00E41710" w:rsidP="00375F5C">
            <w:pPr>
              <w:pStyle w:val="Normal-em"/>
              <w:jc w:val="right"/>
              <w:rPr>
                <w:szCs w:val="24"/>
              </w:rPr>
            </w:pPr>
            <w:r w:rsidRPr="00E41710">
              <w:rPr>
                <w:szCs w:val="24"/>
              </w:rPr>
              <w:t>0.21</w:t>
            </w:r>
          </w:p>
        </w:tc>
        <w:tc>
          <w:tcPr>
            <w:tcW w:w="1576" w:type="dxa"/>
          </w:tcPr>
          <w:p w:rsidR="00E41710" w:rsidRPr="00E41710" w:rsidRDefault="00E41710" w:rsidP="00375F5C">
            <w:pPr>
              <w:pStyle w:val="Normal-em"/>
              <w:jc w:val="right"/>
              <w:rPr>
                <w:szCs w:val="24"/>
              </w:rPr>
            </w:pPr>
            <w:r w:rsidRPr="00E41710">
              <w:rPr>
                <w:szCs w:val="24"/>
              </w:rPr>
              <w:t>0.1</w:t>
            </w:r>
          </w:p>
        </w:tc>
        <w:tc>
          <w:tcPr>
            <w:tcW w:w="1576" w:type="dxa"/>
          </w:tcPr>
          <w:p w:rsidR="00E41710" w:rsidRPr="00E41710" w:rsidRDefault="00E41710" w:rsidP="00375F5C">
            <w:pPr>
              <w:pStyle w:val="Normal-em"/>
              <w:jc w:val="right"/>
              <w:rPr>
                <w:szCs w:val="24"/>
              </w:rPr>
            </w:pPr>
            <w:r w:rsidRPr="00E41710">
              <w:rPr>
                <w:szCs w:val="24"/>
              </w:rPr>
              <w:t>1.2</w:t>
            </w:r>
          </w:p>
        </w:tc>
      </w:tr>
      <w:tr w:rsidR="00E41710" w:rsidRPr="00E41710" w:rsidTr="00E41710">
        <w:tc>
          <w:tcPr>
            <w:tcW w:w="763" w:type="dxa"/>
          </w:tcPr>
          <w:p w:rsidR="00E41710" w:rsidRPr="00E41710" w:rsidRDefault="00E41710" w:rsidP="00E41710">
            <w:pPr>
              <w:pStyle w:val="Normal-em"/>
              <w:rPr>
                <w:szCs w:val="24"/>
              </w:rPr>
            </w:pPr>
            <w:r w:rsidRPr="00E41710">
              <w:rPr>
                <w:szCs w:val="24"/>
              </w:rPr>
              <w:t>19</w:t>
            </w:r>
          </w:p>
        </w:tc>
        <w:tc>
          <w:tcPr>
            <w:tcW w:w="1926" w:type="dxa"/>
          </w:tcPr>
          <w:p w:rsidR="00E41710" w:rsidRPr="00E41710" w:rsidRDefault="00E41710" w:rsidP="00E41710">
            <w:pPr>
              <w:pStyle w:val="Normal-em"/>
              <w:rPr>
                <w:szCs w:val="24"/>
              </w:rPr>
            </w:pPr>
            <w:r w:rsidRPr="00E41710">
              <w:rPr>
                <w:szCs w:val="24"/>
              </w:rPr>
              <w:t>Ovens (SS4)</w:t>
            </w:r>
          </w:p>
        </w:tc>
        <w:tc>
          <w:tcPr>
            <w:tcW w:w="1559" w:type="dxa"/>
          </w:tcPr>
          <w:p w:rsidR="00E41710" w:rsidRPr="00E41710" w:rsidRDefault="00E41710" w:rsidP="00375F5C">
            <w:pPr>
              <w:pStyle w:val="Normal-em"/>
              <w:jc w:val="right"/>
              <w:rPr>
                <w:szCs w:val="24"/>
              </w:rPr>
            </w:pPr>
            <w:r w:rsidRPr="00E41710">
              <w:rPr>
                <w:szCs w:val="24"/>
              </w:rPr>
              <w:t>3.0</w:t>
            </w:r>
          </w:p>
        </w:tc>
        <w:tc>
          <w:tcPr>
            <w:tcW w:w="1661" w:type="dxa"/>
          </w:tcPr>
          <w:p w:rsidR="00E41710" w:rsidRPr="00E41710" w:rsidRDefault="00E41710" w:rsidP="00375F5C">
            <w:pPr>
              <w:pStyle w:val="Normal-em"/>
              <w:jc w:val="right"/>
              <w:rPr>
                <w:szCs w:val="24"/>
              </w:rPr>
            </w:pPr>
            <w:r w:rsidRPr="00E41710">
              <w:rPr>
                <w:szCs w:val="24"/>
              </w:rPr>
              <w:t>0.50</w:t>
            </w:r>
          </w:p>
        </w:tc>
        <w:tc>
          <w:tcPr>
            <w:tcW w:w="1576" w:type="dxa"/>
          </w:tcPr>
          <w:p w:rsidR="00E41710" w:rsidRPr="00E41710" w:rsidRDefault="00E41710" w:rsidP="00375F5C">
            <w:pPr>
              <w:pStyle w:val="Normal-em"/>
              <w:jc w:val="right"/>
              <w:rPr>
                <w:szCs w:val="24"/>
              </w:rPr>
            </w:pPr>
            <w:r w:rsidRPr="00E41710">
              <w:rPr>
                <w:szCs w:val="24"/>
              </w:rPr>
              <w:t>0.3</w:t>
            </w:r>
          </w:p>
        </w:tc>
        <w:tc>
          <w:tcPr>
            <w:tcW w:w="1576" w:type="dxa"/>
          </w:tcPr>
          <w:p w:rsidR="00E41710" w:rsidRPr="00E41710" w:rsidRDefault="00E41710" w:rsidP="00375F5C">
            <w:pPr>
              <w:pStyle w:val="Normal-em"/>
              <w:jc w:val="right"/>
              <w:rPr>
                <w:szCs w:val="24"/>
              </w:rPr>
            </w:pPr>
            <w:r w:rsidRPr="00E41710">
              <w:rPr>
                <w:szCs w:val="24"/>
              </w:rPr>
              <w:t>2.7</w:t>
            </w:r>
          </w:p>
        </w:tc>
      </w:tr>
      <w:tr w:rsidR="00E41710" w:rsidRPr="00E41710" w:rsidTr="00E41710">
        <w:tc>
          <w:tcPr>
            <w:tcW w:w="763" w:type="dxa"/>
          </w:tcPr>
          <w:p w:rsidR="00E41710" w:rsidRPr="00E41710" w:rsidRDefault="00E41710" w:rsidP="00E41710">
            <w:pPr>
              <w:pStyle w:val="Normal-em"/>
              <w:rPr>
                <w:szCs w:val="24"/>
              </w:rPr>
            </w:pPr>
            <w:r w:rsidRPr="00E41710">
              <w:rPr>
                <w:szCs w:val="24"/>
              </w:rPr>
              <w:t>20</w:t>
            </w:r>
          </w:p>
        </w:tc>
        <w:tc>
          <w:tcPr>
            <w:tcW w:w="1926" w:type="dxa"/>
          </w:tcPr>
          <w:p w:rsidR="00E41710" w:rsidRPr="00E41710" w:rsidRDefault="00E41710" w:rsidP="00E41710">
            <w:pPr>
              <w:pStyle w:val="Normal-em"/>
              <w:rPr>
                <w:szCs w:val="24"/>
              </w:rPr>
            </w:pPr>
            <w:r w:rsidRPr="00E41710">
              <w:rPr>
                <w:szCs w:val="24"/>
              </w:rPr>
              <w:t>Goulburn (SS6)</w:t>
            </w:r>
          </w:p>
        </w:tc>
        <w:tc>
          <w:tcPr>
            <w:tcW w:w="1559" w:type="dxa"/>
          </w:tcPr>
          <w:p w:rsidR="00E41710" w:rsidRPr="00E41710" w:rsidRDefault="00E41710" w:rsidP="00375F5C">
            <w:pPr>
              <w:pStyle w:val="Normal-em"/>
              <w:jc w:val="right"/>
              <w:rPr>
                <w:szCs w:val="24"/>
              </w:rPr>
            </w:pPr>
            <w:r w:rsidRPr="00E41710">
              <w:rPr>
                <w:szCs w:val="24"/>
              </w:rPr>
              <w:t>174.5</w:t>
            </w:r>
          </w:p>
        </w:tc>
        <w:tc>
          <w:tcPr>
            <w:tcW w:w="1661" w:type="dxa"/>
          </w:tcPr>
          <w:p w:rsidR="00E41710" w:rsidRPr="00E41710" w:rsidRDefault="00E41710" w:rsidP="00375F5C">
            <w:pPr>
              <w:pStyle w:val="Normal-em"/>
              <w:jc w:val="right"/>
              <w:rPr>
                <w:szCs w:val="24"/>
              </w:rPr>
            </w:pPr>
            <w:r w:rsidRPr="00E41710">
              <w:rPr>
                <w:szCs w:val="24"/>
              </w:rPr>
              <w:t>28.84</w:t>
            </w:r>
          </w:p>
        </w:tc>
        <w:tc>
          <w:tcPr>
            <w:tcW w:w="1576" w:type="dxa"/>
          </w:tcPr>
          <w:p w:rsidR="00E41710" w:rsidRPr="00E41710" w:rsidRDefault="00E41710" w:rsidP="00375F5C">
            <w:pPr>
              <w:pStyle w:val="Normal-em"/>
              <w:jc w:val="right"/>
              <w:rPr>
                <w:szCs w:val="24"/>
              </w:rPr>
            </w:pPr>
            <w:r w:rsidRPr="00E41710">
              <w:rPr>
                <w:szCs w:val="24"/>
              </w:rPr>
              <w:t>17.6</w:t>
            </w:r>
          </w:p>
        </w:tc>
        <w:tc>
          <w:tcPr>
            <w:tcW w:w="1576" w:type="dxa"/>
          </w:tcPr>
          <w:p w:rsidR="00E41710" w:rsidRPr="00E41710" w:rsidRDefault="00E41710" w:rsidP="00375F5C">
            <w:pPr>
              <w:pStyle w:val="Normal-em"/>
              <w:jc w:val="right"/>
              <w:rPr>
                <w:szCs w:val="24"/>
              </w:rPr>
            </w:pPr>
            <w:r w:rsidRPr="00E41710">
              <w:rPr>
                <w:szCs w:val="24"/>
              </w:rPr>
              <w:t>156.9</w:t>
            </w:r>
          </w:p>
        </w:tc>
      </w:tr>
      <w:tr w:rsidR="00E41710" w:rsidRPr="00E41710" w:rsidTr="00E41710">
        <w:tc>
          <w:tcPr>
            <w:tcW w:w="763" w:type="dxa"/>
          </w:tcPr>
          <w:p w:rsidR="00E41710" w:rsidRPr="00E41710" w:rsidRDefault="00E41710" w:rsidP="00E41710">
            <w:pPr>
              <w:pStyle w:val="Normal-em"/>
              <w:rPr>
                <w:szCs w:val="24"/>
              </w:rPr>
            </w:pPr>
            <w:r w:rsidRPr="00E41710">
              <w:rPr>
                <w:szCs w:val="24"/>
              </w:rPr>
              <w:t>21</w:t>
            </w:r>
          </w:p>
        </w:tc>
        <w:tc>
          <w:tcPr>
            <w:tcW w:w="1926" w:type="dxa"/>
          </w:tcPr>
          <w:p w:rsidR="00E41710" w:rsidRPr="00E41710" w:rsidRDefault="00E41710" w:rsidP="00E41710">
            <w:pPr>
              <w:pStyle w:val="Normal-em"/>
              <w:rPr>
                <w:szCs w:val="24"/>
              </w:rPr>
            </w:pPr>
            <w:r w:rsidRPr="00E41710">
              <w:rPr>
                <w:szCs w:val="24"/>
              </w:rPr>
              <w:t>Broken (SS5)</w:t>
            </w:r>
          </w:p>
        </w:tc>
        <w:tc>
          <w:tcPr>
            <w:tcW w:w="1559" w:type="dxa"/>
          </w:tcPr>
          <w:p w:rsidR="00E41710" w:rsidRPr="00E41710" w:rsidRDefault="00E41710" w:rsidP="00375F5C">
            <w:pPr>
              <w:pStyle w:val="Normal-em"/>
              <w:jc w:val="right"/>
              <w:rPr>
                <w:szCs w:val="24"/>
              </w:rPr>
            </w:pPr>
            <w:r w:rsidRPr="00E41710">
              <w:rPr>
                <w:szCs w:val="24"/>
              </w:rPr>
              <w:t>1.1</w:t>
            </w:r>
          </w:p>
        </w:tc>
        <w:tc>
          <w:tcPr>
            <w:tcW w:w="1661" w:type="dxa"/>
          </w:tcPr>
          <w:p w:rsidR="00E41710" w:rsidRPr="00E41710" w:rsidRDefault="00E41710" w:rsidP="00375F5C">
            <w:pPr>
              <w:pStyle w:val="Normal-em"/>
              <w:jc w:val="right"/>
              <w:rPr>
                <w:szCs w:val="24"/>
              </w:rPr>
            </w:pPr>
            <w:r w:rsidRPr="00E41710">
              <w:rPr>
                <w:szCs w:val="24"/>
              </w:rPr>
              <w:t>0.18</w:t>
            </w:r>
          </w:p>
        </w:tc>
        <w:tc>
          <w:tcPr>
            <w:tcW w:w="1576" w:type="dxa"/>
          </w:tcPr>
          <w:p w:rsidR="00E41710" w:rsidRPr="00E41710" w:rsidRDefault="00E41710" w:rsidP="00375F5C">
            <w:pPr>
              <w:pStyle w:val="Normal-em"/>
              <w:jc w:val="right"/>
              <w:rPr>
                <w:szCs w:val="24"/>
              </w:rPr>
            </w:pPr>
            <w:r w:rsidRPr="00E41710">
              <w:rPr>
                <w:szCs w:val="24"/>
              </w:rPr>
              <w:t>0.1</w:t>
            </w:r>
          </w:p>
        </w:tc>
        <w:tc>
          <w:tcPr>
            <w:tcW w:w="1576" w:type="dxa"/>
          </w:tcPr>
          <w:p w:rsidR="00E41710" w:rsidRPr="00E41710" w:rsidRDefault="00E41710" w:rsidP="00375F5C">
            <w:pPr>
              <w:pStyle w:val="Normal-em"/>
              <w:jc w:val="right"/>
              <w:rPr>
                <w:szCs w:val="24"/>
              </w:rPr>
            </w:pPr>
            <w:r w:rsidRPr="00E41710">
              <w:rPr>
                <w:szCs w:val="24"/>
              </w:rPr>
              <w:t>1.0</w:t>
            </w:r>
          </w:p>
        </w:tc>
      </w:tr>
      <w:tr w:rsidR="00E41710" w:rsidRPr="00E41710" w:rsidTr="00E41710">
        <w:tc>
          <w:tcPr>
            <w:tcW w:w="763" w:type="dxa"/>
          </w:tcPr>
          <w:p w:rsidR="00E41710" w:rsidRPr="00E41710" w:rsidRDefault="00E41710" w:rsidP="00E41710">
            <w:pPr>
              <w:pStyle w:val="Normal-em"/>
              <w:rPr>
                <w:szCs w:val="24"/>
              </w:rPr>
            </w:pPr>
            <w:r w:rsidRPr="00E41710">
              <w:rPr>
                <w:szCs w:val="24"/>
              </w:rPr>
              <w:t>22</w:t>
            </w:r>
          </w:p>
        </w:tc>
        <w:tc>
          <w:tcPr>
            <w:tcW w:w="1926" w:type="dxa"/>
          </w:tcPr>
          <w:p w:rsidR="00E41710" w:rsidRPr="00E41710" w:rsidRDefault="00E41710" w:rsidP="00E41710">
            <w:pPr>
              <w:pStyle w:val="Normal-em"/>
              <w:rPr>
                <w:szCs w:val="24"/>
              </w:rPr>
            </w:pPr>
            <w:r w:rsidRPr="00E41710">
              <w:rPr>
                <w:szCs w:val="24"/>
              </w:rPr>
              <w:t>Campaspe (SS7)</w:t>
            </w:r>
          </w:p>
        </w:tc>
        <w:tc>
          <w:tcPr>
            <w:tcW w:w="1559" w:type="dxa"/>
          </w:tcPr>
          <w:p w:rsidR="00E41710" w:rsidRPr="00E41710" w:rsidRDefault="00E41710" w:rsidP="00375F5C">
            <w:pPr>
              <w:pStyle w:val="Normal-em"/>
              <w:jc w:val="right"/>
              <w:rPr>
                <w:szCs w:val="24"/>
              </w:rPr>
            </w:pPr>
            <w:r w:rsidRPr="00E41710">
              <w:rPr>
                <w:szCs w:val="24"/>
              </w:rPr>
              <w:t>2.6</w:t>
            </w:r>
          </w:p>
        </w:tc>
        <w:tc>
          <w:tcPr>
            <w:tcW w:w="1661" w:type="dxa"/>
          </w:tcPr>
          <w:p w:rsidR="00E41710" w:rsidRPr="00E41710" w:rsidRDefault="00E41710" w:rsidP="00375F5C">
            <w:pPr>
              <w:pStyle w:val="Normal-em"/>
              <w:jc w:val="right"/>
              <w:rPr>
                <w:szCs w:val="24"/>
              </w:rPr>
            </w:pPr>
            <w:r w:rsidRPr="00E41710">
              <w:rPr>
                <w:szCs w:val="24"/>
              </w:rPr>
              <w:t>0.43</w:t>
            </w:r>
          </w:p>
        </w:tc>
        <w:tc>
          <w:tcPr>
            <w:tcW w:w="1576" w:type="dxa"/>
          </w:tcPr>
          <w:p w:rsidR="00E41710" w:rsidRPr="00E41710" w:rsidRDefault="00E41710" w:rsidP="00375F5C">
            <w:pPr>
              <w:pStyle w:val="Normal-em"/>
              <w:jc w:val="right"/>
              <w:rPr>
                <w:szCs w:val="24"/>
              </w:rPr>
            </w:pPr>
            <w:r w:rsidRPr="00E41710">
              <w:rPr>
                <w:szCs w:val="24"/>
              </w:rPr>
              <w:t>0.3</w:t>
            </w:r>
          </w:p>
        </w:tc>
        <w:tc>
          <w:tcPr>
            <w:tcW w:w="1576" w:type="dxa"/>
          </w:tcPr>
          <w:p w:rsidR="00E41710" w:rsidRPr="00E41710" w:rsidRDefault="00E41710" w:rsidP="00375F5C">
            <w:pPr>
              <w:pStyle w:val="Normal-em"/>
              <w:jc w:val="right"/>
              <w:rPr>
                <w:szCs w:val="24"/>
              </w:rPr>
            </w:pPr>
            <w:r w:rsidRPr="00E41710">
              <w:rPr>
                <w:szCs w:val="24"/>
              </w:rPr>
              <w:t>2.3</w:t>
            </w:r>
          </w:p>
        </w:tc>
      </w:tr>
      <w:tr w:rsidR="00E41710" w:rsidRPr="00E41710" w:rsidTr="00E41710">
        <w:tc>
          <w:tcPr>
            <w:tcW w:w="763" w:type="dxa"/>
          </w:tcPr>
          <w:p w:rsidR="00E41710" w:rsidRPr="00E41710" w:rsidRDefault="00E41710" w:rsidP="00E41710">
            <w:pPr>
              <w:pStyle w:val="Normal-em"/>
              <w:rPr>
                <w:szCs w:val="24"/>
              </w:rPr>
            </w:pPr>
            <w:r w:rsidRPr="00E41710">
              <w:rPr>
                <w:szCs w:val="24"/>
              </w:rPr>
              <w:t>23</w:t>
            </w:r>
          </w:p>
        </w:tc>
        <w:tc>
          <w:tcPr>
            <w:tcW w:w="1926" w:type="dxa"/>
          </w:tcPr>
          <w:p w:rsidR="00E41710" w:rsidRPr="00E41710" w:rsidRDefault="00E41710" w:rsidP="00E41710">
            <w:pPr>
              <w:pStyle w:val="Normal-em"/>
              <w:rPr>
                <w:szCs w:val="24"/>
              </w:rPr>
            </w:pPr>
            <w:r w:rsidRPr="00E41710">
              <w:rPr>
                <w:szCs w:val="24"/>
              </w:rPr>
              <w:t>Loddon (SS8)</w:t>
            </w:r>
          </w:p>
        </w:tc>
        <w:tc>
          <w:tcPr>
            <w:tcW w:w="1559" w:type="dxa"/>
          </w:tcPr>
          <w:p w:rsidR="00E41710" w:rsidRPr="00E41710" w:rsidRDefault="00E41710" w:rsidP="00375F5C">
            <w:pPr>
              <w:pStyle w:val="Normal-em"/>
              <w:jc w:val="right"/>
              <w:rPr>
                <w:szCs w:val="24"/>
              </w:rPr>
            </w:pPr>
            <w:r w:rsidRPr="00E41710">
              <w:rPr>
                <w:szCs w:val="24"/>
              </w:rPr>
              <w:t>10.9</w:t>
            </w:r>
          </w:p>
        </w:tc>
        <w:tc>
          <w:tcPr>
            <w:tcW w:w="1661" w:type="dxa"/>
          </w:tcPr>
          <w:p w:rsidR="00E41710" w:rsidRPr="00E41710" w:rsidRDefault="00E41710" w:rsidP="00375F5C">
            <w:pPr>
              <w:pStyle w:val="Normal-em"/>
              <w:jc w:val="right"/>
              <w:rPr>
                <w:szCs w:val="24"/>
              </w:rPr>
            </w:pPr>
            <w:r w:rsidRPr="00E41710">
              <w:rPr>
                <w:szCs w:val="24"/>
              </w:rPr>
              <w:t>1.80</w:t>
            </w:r>
          </w:p>
        </w:tc>
        <w:tc>
          <w:tcPr>
            <w:tcW w:w="1576" w:type="dxa"/>
          </w:tcPr>
          <w:p w:rsidR="00E41710" w:rsidRPr="00E41710" w:rsidRDefault="00E41710" w:rsidP="00375F5C">
            <w:pPr>
              <w:pStyle w:val="Normal-em"/>
              <w:jc w:val="right"/>
              <w:rPr>
                <w:szCs w:val="24"/>
              </w:rPr>
            </w:pPr>
            <w:r w:rsidRPr="00E41710">
              <w:rPr>
                <w:szCs w:val="24"/>
              </w:rPr>
              <w:t>1.1</w:t>
            </w:r>
          </w:p>
        </w:tc>
        <w:tc>
          <w:tcPr>
            <w:tcW w:w="1576" w:type="dxa"/>
          </w:tcPr>
          <w:p w:rsidR="00E41710" w:rsidRPr="00E41710" w:rsidRDefault="00E41710" w:rsidP="00375F5C">
            <w:pPr>
              <w:pStyle w:val="Normal-em"/>
              <w:jc w:val="right"/>
              <w:rPr>
                <w:szCs w:val="24"/>
              </w:rPr>
            </w:pPr>
            <w:r w:rsidRPr="00E41710">
              <w:rPr>
                <w:szCs w:val="24"/>
              </w:rPr>
              <w:t>9.8</w:t>
            </w:r>
          </w:p>
        </w:tc>
      </w:tr>
      <w:tr w:rsidR="00E41710" w:rsidRPr="00E41710" w:rsidTr="00E41710">
        <w:tc>
          <w:tcPr>
            <w:tcW w:w="763" w:type="dxa"/>
          </w:tcPr>
          <w:p w:rsidR="00E41710" w:rsidRPr="00E41710" w:rsidRDefault="00E41710" w:rsidP="00E41710">
            <w:pPr>
              <w:pStyle w:val="Normal-em"/>
              <w:rPr>
                <w:szCs w:val="24"/>
              </w:rPr>
            </w:pPr>
            <w:r w:rsidRPr="00E41710">
              <w:rPr>
                <w:szCs w:val="24"/>
              </w:rPr>
              <w:t>24</w:t>
            </w:r>
          </w:p>
        </w:tc>
        <w:tc>
          <w:tcPr>
            <w:tcW w:w="1926" w:type="dxa"/>
          </w:tcPr>
          <w:p w:rsidR="00E41710" w:rsidRPr="00E41710" w:rsidRDefault="00E41710" w:rsidP="00E41710">
            <w:pPr>
              <w:pStyle w:val="Normal-em"/>
              <w:rPr>
                <w:szCs w:val="24"/>
              </w:rPr>
            </w:pPr>
            <w:r w:rsidRPr="00E41710">
              <w:rPr>
                <w:szCs w:val="24"/>
              </w:rPr>
              <w:t>Wimmera-Mallee (surface water) (SS9)</w:t>
            </w:r>
          </w:p>
        </w:tc>
        <w:tc>
          <w:tcPr>
            <w:tcW w:w="1559" w:type="dxa"/>
          </w:tcPr>
          <w:p w:rsidR="00E41710" w:rsidRPr="00E41710" w:rsidRDefault="00E41710" w:rsidP="00375F5C">
            <w:pPr>
              <w:pStyle w:val="Normal-em"/>
              <w:jc w:val="right"/>
              <w:rPr>
                <w:szCs w:val="24"/>
              </w:rPr>
            </w:pPr>
            <w:r w:rsidRPr="00E41710">
              <w:rPr>
                <w:szCs w:val="24"/>
              </w:rPr>
              <w:t>0.0</w:t>
            </w:r>
          </w:p>
        </w:tc>
        <w:tc>
          <w:tcPr>
            <w:tcW w:w="1661" w:type="dxa"/>
          </w:tcPr>
          <w:p w:rsidR="00E41710" w:rsidRPr="00E41710" w:rsidRDefault="00E41710" w:rsidP="00375F5C">
            <w:pPr>
              <w:pStyle w:val="Normal-em"/>
              <w:jc w:val="right"/>
              <w:rPr>
                <w:szCs w:val="24"/>
              </w:rPr>
            </w:pPr>
            <w:r w:rsidRPr="00E41710">
              <w:rPr>
                <w:szCs w:val="24"/>
              </w:rPr>
              <w:t>0.00</w:t>
            </w:r>
          </w:p>
        </w:tc>
        <w:tc>
          <w:tcPr>
            <w:tcW w:w="1576" w:type="dxa"/>
          </w:tcPr>
          <w:p w:rsidR="00E41710" w:rsidRPr="00E41710" w:rsidRDefault="00E41710" w:rsidP="00375F5C">
            <w:pPr>
              <w:pStyle w:val="Normal-em"/>
              <w:jc w:val="right"/>
              <w:rPr>
                <w:szCs w:val="24"/>
              </w:rPr>
            </w:pPr>
            <w:r w:rsidRPr="00E41710">
              <w:rPr>
                <w:szCs w:val="24"/>
              </w:rPr>
              <w:t>0.0</w:t>
            </w:r>
          </w:p>
        </w:tc>
        <w:tc>
          <w:tcPr>
            <w:tcW w:w="1576" w:type="dxa"/>
          </w:tcPr>
          <w:p w:rsidR="00E41710" w:rsidRPr="00E41710" w:rsidRDefault="00E41710" w:rsidP="00375F5C">
            <w:pPr>
              <w:pStyle w:val="Normal-em"/>
              <w:jc w:val="right"/>
              <w:rPr>
                <w:szCs w:val="24"/>
              </w:rPr>
            </w:pPr>
            <w:r w:rsidRPr="00E41710">
              <w:rPr>
                <w:szCs w:val="24"/>
              </w:rPr>
              <w:t>0.0</w:t>
            </w:r>
          </w:p>
        </w:tc>
      </w:tr>
      <w:tr w:rsidR="00E41710" w:rsidRPr="00E41710" w:rsidTr="00E41710">
        <w:tc>
          <w:tcPr>
            <w:tcW w:w="763" w:type="dxa"/>
          </w:tcPr>
          <w:p w:rsidR="00E41710" w:rsidRPr="00E41710" w:rsidRDefault="00E41710" w:rsidP="00E41710">
            <w:pPr>
              <w:pStyle w:val="Normal-em"/>
              <w:rPr>
                <w:szCs w:val="24"/>
              </w:rPr>
            </w:pPr>
            <w:r w:rsidRPr="00E41710">
              <w:rPr>
                <w:szCs w:val="24"/>
              </w:rPr>
              <w:t>25</w:t>
            </w:r>
          </w:p>
        </w:tc>
        <w:tc>
          <w:tcPr>
            <w:tcW w:w="1926" w:type="dxa"/>
          </w:tcPr>
          <w:p w:rsidR="00E41710" w:rsidRPr="00E41710" w:rsidRDefault="00E41710" w:rsidP="00E41710">
            <w:pPr>
              <w:pStyle w:val="Normal-em"/>
              <w:rPr>
                <w:szCs w:val="24"/>
              </w:rPr>
            </w:pPr>
            <w:r w:rsidRPr="00E41710">
              <w:rPr>
                <w:szCs w:val="24"/>
              </w:rPr>
              <w:t>South Australian Murray (SS11)</w:t>
            </w:r>
          </w:p>
        </w:tc>
        <w:tc>
          <w:tcPr>
            <w:tcW w:w="1559" w:type="dxa"/>
          </w:tcPr>
          <w:p w:rsidR="00E41710" w:rsidRPr="00E41710" w:rsidRDefault="00E41710" w:rsidP="00375F5C">
            <w:pPr>
              <w:pStyle w:val="Normal-em"/>
              <w:jc w:val="right"/>
              <w:rPr>
                <w:szCs w:val="24"/>
              </w:rPr>
            </w:pPr>
            <w:r w:rsidRPr="00E41710">
              <w:rPr>
                <w:szCs w:val="24"/>
              </w:rPr>
              <w:t>52.0</w:t>
            </w:r>
          </w:p>
        </w:tc>
        <w:tc>
          <w:tcPr>
            <w:tcW w:w="1661" w:type="dxa"/>
          </w:tcPr>
          <w:p w:rsidR="00E41710" w:rsidRPr="00E41710" w:rsidRDefault="00E41710" w:rsidP="00375F5C">
            <w:pPr>
              <w:pStyle w:val="Normal-em"/>
              <w:jc w:val="right"/>
              <w:rPr>
                <w:szCs w:val="24"/>
              </w:rPr>
            </w:pPr>
            <w:r w:rsidRPr="00E41710">
              <w:rPr>
                <w:szCs w:val="24"/>
              </w:rPr>
              <w:t>8.60</w:t>
            </w:r>
          </w:p>
        </w:tc>
        <w:tc>
          <w:tcPr>
            <w:tcW w:w="1576" w:type="dxa"/>
          </w:tcPr>
          <w:p w:rsidR="00E41710" w:rsidRPr="00E41710" w:rsidRDefault="00E41710" w:rsidP="00375F5C">
            <w:pPr>
              <w:pStyle w:val="Normal-em"/>
              <w:jc w:val="right"/>
              <w:rPr>
                <w:szCs w:val="24"/>
              </w:rPr>
            </w:pPr>
            <w:r w:rsidRPr="00E41710">
              <w:rPr>
                <w:szCs w:val="24"/>
              </w:rPr>
              <w:t>5.2</w:t>
            </w:r>
          </w:p>
        </w:tc>
        <w:tc>
          <w:tcPr>
            <w:tcW w:w="1576" w:type="dxa"/>
          </w:tcPr>
          <w:p w:rsidR="00E41710" w:rsidRPr="00E41710" w:rsidRDefault="00E41710" w:rsidP="00375F5C">
            <w:pPr>
              <w:pStyle w:val="Normal-em"/>
              <w:jc w:val="right"/>
              <w:rPr>
                <w:szCs w:val="24"/>
              </w:rPr>
            </w:pPr>
            <w:r w:rsidRPr="00E41710">
              <w:rPr>
                <w:szCs w:val="24"/>
              </w:rPr>
              <w:t>46.8</w:t>
            </w:r>
          </w:p>
        </w:tc>
      </w:tr>
      <w:tr w:rsidR="00E41710" w:rsidRPr="00E41710" w:rsidTr="00E41710">
        <w:tc>
          <w:tcPr>
            <w:tcW w:w="763" w:type="dxa"/>
          </w:tcPr>
          <w:p w:rsidR="00E41710" w:rsidRPr="00E41710" w:rsidRDefault="00E41710" w:rsidP="00E41710">
            <w:pPr>
              <w:pStyle w:val="Normal-em"/>
              <w:rPr>
                <w:szCs w:val="24"/>
              </w:rPr>
            </w:pPr>
            <w:r w:rsidRPr="00E41710">
              <w:rPr>
                <w:szCs w:val="24"/>
              </w:rPr>
              <w:t>26</w:t>
            </w:r>
          </w:p>
        </w:tc>
        <w:tc>
          <w:tcPr>
            <w:tcW w:w="1926" w:type="dxa"/>
          </w:tcPr>
          <w:p w:rsidR="00E41710" w:rsidRPr="00E41710" w:rsidRDefault="00E41710" w:rsidP="00E41710">
            <w:pPr>
              <w:pStyle w:val="Normal-em"/>
              <w:rPr>
                <w:szCs w:val="24"/>
              </w:rPr>
            </w:pPr>
            <w:r w:rsidRPr="00E41710">
              <w:rPr>
                <w:szCs w:val="24"/>
              </w:rPr>
              <w:t>South Australian Non-Prescribed Areas (SS10)</w:t>
            </w:r>
          </w:p>
        </w:tc>
        <w:tc>
          <w:tcPr>
            <w:tcW w:w="1559" w:type="dxa"/>
          </w:tcPr>
          <w:p w:rsidR="00E41710" w:rsidRPr="00E41710" w:rsidRDefault="00E41710" w:rsidP="00375F5C">
            <w:pPr>
              <w:pStyle w:val="Normal-em"/>
              <w:jc w:val="right"/>
              <w:rPr>
                <w:szCs w:val="24"/>
              </w:rPr>
            </w:pPr>
            <w:r w:rsidRPr="00E41710">
              <w:rPr>
                <w:szCs w:val="24"/>
              </w:rPr>
              <w:t>0.0</w:t>
            </w:r>
          </w:p>
        </w:tc>
        <w:tc>
          <w:tcPr>
            <w:tcW w:w="1661" w:type="dxa"/>
          </w:tcPr>
          <w:p w:rsidR="00E41710" w:rsidRPr="00E41710" w:rsidRDefault="00E41710" w:rsidP="00375F5C">
            <w:pPr>
              <w:pStyle w:val="Normal-em"/>
              <w:jc w:val="right"/>
              <w:rPr>
                <w:szCs w:val="24"/>
              </w:rPr>
            </w:pPr>
            <w:r w:rsidRPr="00E41710">
              <w:rPr>
                <w:szCs w:val="24"/>
              </w:rPr>
              <w:t>0.00</w:t>
            </w:r>
          </w:p>
        </w:tc>
        <w:tc>
          <w:tcPr>
            <w:tcW w:w="1576" w:type="dxa"/>
          </w:tcPr>
          <w:p w:rsidR="00E41710" w:rsidRPr="00E41710" w:rsidRDefault="00E41710" w:rsidP="00375F5C">
            <w:pPr>
              <w:pStyle w:val="Normal-em"/>
              <w:jc w:val="right"/>
              <w:rPr>
                <w:szCs w:val="24"/>
              </w:rPr>
            </w:pPr>
            <w:r w:rsidRPr="00E41710">
              <w:rPr>
                <w:szCs w:val="24"/>
              </w:rPr>
              <w:t>0.0</w:t>
            </w:r>
          </w:p>
        </w:tc>
        <w:tc>
          <w:tcPr>
            <w:tcW w:w="1576" w:type="dxa"/>
          </w:tcPr>
          <w:p w:rsidR="00E41710" w:rsidRPr="00E41710" w:rsidRDefault="00E41710" w:rsidP="00375F5C">
            <w:pPr>
              <w:pStyle w:val="Normal-em"/>
              <w:jc w:val="right"/>
              <w:rPr>
                <w:szCs w:val="24"/>
              </w:rPr>
            </w:pPr>
            <w:r w:rsidRPr="00E41710">
              <w:rPr>
                <w:szCs w:val="24"/>
              </w:rPr>
              <w:t>0.0</w:t>
            </w:r>
          </w:p>
        </w:tc>
      </w:tr>
      <w:tr w:rsidR="00E41710" w:rsidRPr="00E41710" w:rsidTr="00E41710">
        <w:tc>
          <w:tcPr>
            <w:tcW w:w="763" w:type="dxa"/>
          </w:tcPr>
          <w:p w:rsidR="00E41710" w:rsidRPr="00E41710" w:rsidRDefault="00E41710" w:rsidP="00E41710">
            <w:pPr>
              <w:pStyle w:val="Normal-em"/>
              <w:rPr>
                <w:szCs w:val="24"/>
              </w:rPr>
            </w:pPr>
            <w:r w:rsidRPr="00E41710">
              <w:rPr>
                <w:szCs w:val="24"/>
              </w:rPr>
              <w:t>27</w:t>
            </w:r>
          </w:p>
        </w:tc>
        <w:tc>
          <w:tcPr>
            <w:tcW w:w="1926" w:type="dxa"/>
          </w:tcPr>
          <w:p w:rsidR="00E41710" w:rsidRPr="00E41710" w:rsidRDefault="00E41710" w:rsidP="00E41710">
            <w:pPr>
              <w:pStyle w:val="Normal-em"/>
              <w:rPr>
                <w:szCs w:val="24"/>
              </w:rPr>
            </w:pPr>
            <w:r w:rsidRPr="00E41710">
              <w:rPr>
                <w:szCs w:val="24"/>
              </w:rPr>
              <w:t>Eastern Mount Lofty Ranges (SS13)</w:t>
            </w:r>
          </w:p>
        </w:tc>
        <w:tc>
          <w:tcPr>
            <w:tcW w:w="1559" w:type="dxa"/>
          </w:tcPr>
          <w:p w:rsidR="00E41710" w:rsidRPr="00E41710" w:rsidRDefault="00E41710" w:rsidP="00375F5C">
            <w:pPr>
              <w:pStyle w:val="Normal-em"/>
              <w:jc w:val="right"/>
              <w:rPr>
                <w:szCs w:val="24"/>
              </w:rPr>
            </w:pPr>
            <w:r w:rsidRPr="00E41710">
              <w:rPr>
                <w:szCs w:val="24"/>
              </w:rPr>
              <w:t>0.0</w:t>
            </w:r>
          </w:p>
        </w:tc>
        <w:tc>
          <w:tcPr>
            <w:tcW w:w="1661" w:type="dxa"/>
          </w:tcPr>
          <w:p w:rsidR="00E41710" w:rsidRPr="00E41710" w:rsidRDefault="00E41710" w:rsidP="00375F5C">
            <w:pPr>
              <w:pStyle w:val="Normal-em"/>
              <w:jc w:val="right"/>
              <w:rPr>
                <w:szCs w:val="24"/>
              </w:rPr>
            </w:pPr>
            <w:r w:rsidRPr="00E41710">
              <w:rPr>
                <w:szCs w:val="24"/>
              </w:rPr>
              <w:t>0.00</w:t>
            </w:r>
          </w:p>
        </w:tc>
        <w:tc>
          <w:tcPr>
            <w:tcW w:w="1576" w:type="dxa"/>
          </w:tcPr>
          <w:p w:rsidR="00E41710" w:rsidRPr="00E41710" w:rsidRDefault="00E41710" w:rsidP="00375F5C">
            <w:pPr>
              <w:pStyle w:val="Normal-em"/>
              <w:jc w:val="right"/>
              <w:rPr>
                <w:szCs w:val="24"/>
              </w:rPr>
            </w:pPr>
            <w:r w:rsidRPr="00E41710">
              <w:rPr>
                <w:szCs w:val="24"/>
              </w:rPr>
              <w:t>0.0</w:t>
            </w:r>
          </w:p>
        </w:tc>
        <w:tc>
          <w:tcPr>
            <w:tcW w:w="1576" w:type="dxa"/>
          </w:tcPr>
          <w:p w:rsidR="00E41710" w:rsidRPr="00E41710" w:rsidRDefault="00E41710" w:rsidP="00375F5C">
            <w:pPr>
              <w:pStyle w:val="Normal-em"/>
              <w:jc w:val="right"/>
              <w:rPr>
                <w:szCs w:val="24"/>
              </w:rPr>
            </w:pPr>
            <w:r w:rsidRPr="00E41710">
              <w:rPr>
                <w:szCs w:val="24"/>
              </w:rPr>
              <w:t>0.0</w:t>
            </w:r>
          </w:p>
        </w:tc>
      </w:tr>
      <w:tr w:rsidR="00E41710" w:rsidRPr="00E41710" w:rsidTr="00E41710">
        <w:tc>
          <w:tcPr>
            <w:tcW w:w="763" w:type="dxa"/>
          </w:tcPr>
          <w:p w:rsidR="00E41710" w:rsidRPr="00E41710" w:rsidRDefault="00E41710" w:rsidP="00E41710">
            <w:pPr>
              <w:pStyle w:val="Normal-em"/>
              <w:rPr>
                <w:szCs w:val="24"/>
              </w:rPr>
            </w:pPr>
            <w:r w:rsidRPr="00E41710">
              <w:rPr>
                <w:szCs w:val="24"/>
              </w:rPr>
              <w:t>28</w:t>
            </w:r>
          </w:p>
        </w:tc>
        <w:tc>
          <w:tcPr>
            <w:tcW w:w="1926" w:type="dxa"/>
          </w:tcPr>
          <w:p w:rsidR="00E41710" w:rsidRPr="00E41710" w:rsidRDefault="00E41710" w:rsidP="00E41710">
            <w:pPr>
              <w:pStyle w:val="Normal-em"/>
              <w:rPr>
                <w:szCs w:val="24"/>
              </w:rPr>
            </w:pPr>
            <w:r w:rsidRPr="00E41710">
              <w:rPr>
                <w:szCs w:val="24"/>
              </w:rPr>
              <w:t>Marne-Saunders (SS12)</w:t>
            </w:r>
          </w:p>
        </w:tc>
        <w:tc>
          <w:tcPr>
            <w:tcW w:w="1559" w:type="dxa"/>
          </w:tcPr>
          <w:p w:rsidR="00E41710" w:rsidRPr="00E41710" w:rsidRDefault="00E41710" w:rsidP="00375F5C">
            <w:pPr>
              <w:pStyle w:val="Normal-em"/>
              <w:jc w:val="right"/>
              <w:rPr>
                <w:szCs w:val="24"/>
              </w:rPr>
            </w:pPr>
            <w:r w:rsidRPr="00E41710">
              <w:rPr>
                <w:szCs w:val="24"/>
              </w:rPr>
              <w:t>0.0</w:t>
            </w:r>
          </w:p>
        </w:tc>
        <w:tc>
          <w:tcPr>
            <w:tcW w:w="1661" w:type="dxa"/>
          </w:tcPr>
          <w:p w:rsidR="00E41710" w:rsidRPr="00E41710" w:rsidRDefault="00E41710" w:rsidP="00375F5C">
            <w:pPr>
              <w:pStyle w:val="Normal-em"/>
              <w:jc w:val="right"/>
              <w:rPr>
                <w:szCs w:val="24"/>
              </w:rPr>
            </w:pPr>
            <w:r w:rsidRPr="00E41710">
              <w:rPr>
                <w:szCs w:val="24"/>
              </w:rPr>
              <w:t>0.00</w:t>
            </w:r>
          </w:p>
        </w:tc>
        <w:tc>
          <w:tcPr>
            <w:tcW w:w="1576" w:type="dxa"/>
          </w:tcPr>
          <w:p w:rsidR="00E41710" w:rsidRPr="00E41710" w:rsidRDefault="00E41710" w:rsidP="00375F5C">
            <w:pPr>
              <w:pStyle w:val="Normal-em"/>
              <w:jc w:val="right"/>
              <w:rPr>
                <w:szCs w:val="24"/>
              </w:rPr>
            </w:pPr>
            <w:r w:rsidRPr="00E41710">
              <w:rPr>
                <w:szCs w:val="24"/>
              </w:rPr>
              <w:t>0.0</w:t>
            </w:r>
          </w:p>
        </w:tc>
        <w:tc>
          <w:tcPr>
            <w:tcW w:w="1576" w:type="dxa"/>
          </w:tcPr>
          <w:p w:rsidR="00E41710" w:rsidRPr="00E41710" w:rsidRDefault="00E41710" w:rsidP="00375F5C">
            <w:pPr>
              <w:pStyle w:val="Normal-em"/>
              <w:jc w:val="right"/>
              <w:rPr>
                <w:szCs w:val="24"/>
              </w:rPr>
            </w:pPr>
            <w:r w:rsidRPr="00E41710">
              <w:rPr>
                <w:szCs w:val="24"/>
              </w:rPr>
              <w:t>0.0</w:t>
            </w:r>
          </w:p>
        </w:tc>
      </w:tr>
      <w:tr w:rsidR="00E41710" w:rsidRPr="00E41710" w:rsidTr="00E41710">
        <w:tc>
          <w:tcPr>
            <w:tcW w:w="763" w:type="dxa"/>
          </w:tcPr>
          <w:p w:rsidR="00E41710" w:rsidRPr="00E41710" w:rsidRDefault="00E41710" w:rsidP="00E41710">
            <w:pPr>
              <w:pStyle w:val="Normal-em"/>
              <w:rPr>
                <w:szCs w:val="24"/>
              </w:rPr>
            </w:pPr>
            <w:r w:rsidRPr="00E41710">
              <w:rPr>
                <w:szCs w:val="24"/>
              </w:rPr>
              <w:lastRenderedPageBreak/>
              <w:t>29</w:t>
            </w:r>
          </w:p>
        </w:tc>
        <w:tc>
          <w:tcPr>
            <w:tcW w:w="1926" w:type="dxa"/>
          </w:tcPr>
          <w:p w:rsidR="00E41710" w:rsidRPr="00E41710" w:rsidRDefault="00E41710" w:rsidP="00E41710">
            <w:pPr>
              <w:pStyle w:val="Normal-em"/>
              <w:rPr>
                <w:szCs w:val="24"/>
              </w:rPr>
            </w:pPr>
            <w:r w:rsidRPr="00E41710">
              <w:rPr>
                <w:szCs w:val="24"/>
              </w:rPr>
              <w:t>Australian Capital Territory (SS1)</w:t>
            </w:r>
          </w:p>
        </w:tc>
        <w:tc>
          <w:tcPr>
            <w:tcW w:w="1559" w:type="dxa"/>
          </w:tcPr>
          <w:p w:rsidR="00E41710" w:rsidRPr="00E41710" w:rsidRDefault="00E41710" w:rsidP="00375F5C">
            <w:pPr>
              <w:pStyle w:val="Normal-em"/>
              <w:jc w:val="right"/>
              <w:rPr>
                <w:szCs w:val="24"/>
              </w:rPr>
            </w:pPr>
            <w:r w:rsidRPr="00E41710">
              <w:rPr>
                <w:szCs w:val="24"/>
              </w:rPr>
              <w:t>0.0</w:t>
            </w:r>
          </w:p>
        </w:tc>
        <w:tc>
          <w:tcPr>
            <w:tcW w:w="1661" w:type="dxa"/>
          </w:tcPr>
          <w:p w:rsidR="00E41710" w:rsidRPr="00E41710" w:rsidRDefault="00E41710" w:rsidP="00375F5C">
            <w:pPr>
              <w:pStyle w:val="Normal-em"/>
              <w:jc w:val="right"/>
              <w:rPr>
                <w:szCs w:val="24"/>
              </w:rPr>
            </w:pPr>
            <w:r w:rsidRPr="00E41710">
              <w:rPr>
                <w:szCs w:val="24"/>
              </w:rPr>
              <w:t>0.00</w:t>
            </w:r>
          </w:p>
        </w:tc>
        <w:tc>
          <w:tcPr>
            <w:tcW w:w="1576" w:type="dxa"/>
          </w:tcPr>
          <w:p w:rsidR="00E41710" w:rsidRPr="00E41710" w:rsidRDefault="00E41710" w:rsidP="00375F5C">
            <w:pPr>
              <w:pStyle w:val="Normal-em"/>
              <w:jc w:val="right"/>
              <w:rPr>
                <w:szCs w:val="24"/>
              </w:rPr>
            </w:pPr>
            <w:r w:rsidRPr="00E41710">
              <w:rPr>
                <w:szCs w:val="24"/>
              </w:rPr>
              <w:t>0.0</w:t>
            </w:r>
          </w:p>
        </w:tc>
        <w:tc>
          <w:tcPr>
            <w:tcW w:w="1576" w:type="dxa"/>
          </w:tcPr>
          <w:p w:rsidR="00E41710" w:rsidRPr="00E41710" w:rsidRDefault="00E41710" w:rsidP="00375F5C">
            <w:pPr>
              <w:pStyle w:val="Normal-em"/>
              <w:jc w:val="right"/>
              <w:rPr>
                <w:szCs w:val="24"/>
              </w:rPr>
            </w:pPr>
            <w:r w:rsidRPr="00E41710">
              <w:rPr>
                <w:szCs w:val="24"/>
              </w:rPr>
              <w:t>0.0</w:t>
            </w:r>
          </w:p>
        </w:tc>
      </w:tr>
      <w:tr w:rsidR="00E41710" w:rsidRPr="00E41710" w:rsidTr="00E41710">
        <w:tc>
          <w:tcPr>
            <w:tcW w:w="763" w:type="dxa"/>
          </w:tcPr>
          <w:p w:rsidR="00E41710" w:rsidRPr="00E41710" w:rsidRDefault="00E41710" w:rsidP="00E41710">
            <w:pPr>
              <w:pStyle w:val="Normal-em"/>
              <w:rPr>
                <w:b/>
                <w:szCs w:val="24"/>
              </w:rPr>
            </w:pPr>
            <w:r w:rsidRPr="00E41710">
              <w:rPr>
                <w:b/>
                <w:szCs w:val="24"/>
              </w:rPr>
              <w:t>Total</w:t>
            </w:r>
          </w:p>
        </w:tc>
        <w:tc>
          <w:tcPr>
            <w:tcW w:w="1926" w:type="dxa"/>
          </w:tcPr>
          <w:p w:rsidR="00E41710" w:rsidRPr="00E41710" w:rsidRDefault="00E41710" w:rsidP="00E41710">
            <w:pPr>
              <w:pStyle w:val="Normal-em"/>
              <w:rPr>
                <w:b/>
                <w:szCs w:val="24"/>
              </w:rPr>
            </w:pPr>
          </w:p>
        </w:tc>
        <w:tc>
          <w:tcPr>
            <w:tcW w:w="1559" w:type="dxa"/>
          </w:tcPr>
          <w:p w:rsidR="00E41710" w:rsidRPr="00E41710" w:rsidRDefault="00E41710" w:rsidP="00375F5C">
            <w:pPr>
              <w:pStyle w:val="Normal-em"/>
              <w:jc w:val="right"/>
              <w:rPr>
                <w:b/>
                <w:szCs w:val="24"/>
              </w:rPr>
            </w:pPr>
            <w:r w:rsidRPr="00E41710">
              <w:rPr>
                <w:b/>
                <w:szCs w:val="24"/>
              </w:rPr>
              <w:t>605.0</w:t>
            </w:r>
          </w:p>
        </w:tc>
        <w:tc>
          <w:tcPr>
            <w:tcW w:w="1661" w:type="dxa"/>
          </w:tcPr>
          <w:p w:rsidR="00E41710" w:rsidRPr="00E41710" w:rsidRDefault="00E41710" w:rsidP="00375F5C">
            <w:pPr>
              <w:pStyle w:val="Normal-em"/>
              <w:jc w:val="right"/>
              <w:rPr>
                <w:b/>
                <w:szCs w:val="24"/>
              </w:rPr>
            </w:pPr>
            <w:r w:rsidRPr="00E41710">
              <w:rPr>
                <w:b/>
                <w:szCs w:val="24"/>
              </w:rPr>
              <w:t>100.00</w:t>
            </w:r>
          </w:p>
        </w:tc>
        <w:tc>
          <w:tcPr>
            <w:tcW w:w="1576" w:type="dxa"/>
          </w:tcPr>
          <w:p w:rsidR="00E41710" w:rsidRPr="00E41710" w:rsidRDefault="00E41710" w:rsidP="00375F5C">
            <w:pPr>
              <w:pStyle w:val="Normal-em"/>
              <w:jc w:val="right"/>
              <w:rPr>
                <w:b/>
                <w:szCs w:val="24"/>
              </w:rPr>
            </w:pPr>
            <w:r w:rsidRPr="00E41710">
              <w:rPr>
                <w:b/>
                <w:szCs w:val="24"/>
              </w:rPr>
              <w:t>6</w:t>
            </w:r>
            <w:r w:rsidR="008E61AE">
              <w:rPr>
                <w:b/>
                <w:szCs w:val="24"/>
              </w:rPr>
              <w:t>1</w:t>
            </w:r>
            <w:r w:rsidRPr="00E41710">
              <w:rPr>
                <w:b/>
                <w:szCs w:val="24"/>
              </w:rPr>
              <w:t>.0</w:t>
            </w:r>
          </w:p>
        </w:tc>
        <w:tc>
          <w:tcPr>
            <w:tcW w:w="1576" w:type="dxa"/>
          </w:tcPr>
          <w:p w:rsidR="00E41710" w:rsidRPr="00E41710" w:rsidRDefault="00E41710" w:rsidP="00375F5C">
            <w:pPr>
              <w:pStyle w:val="Normal-em"/>
              <w:jc w:val="right"/>
              <w:rPr>
                <w:b/>
                <w:szCs w:val="24"/>
              </w:rPr>
            </w:pPr>
            <w:r w:rsidRPr="00E41710">
              <w:rPr>
                <w:b/>
                <w:szCs w:val="24"/>
              </w:rPr>
              <w:t>544.0</w:t>
            </w:r>
          </w:p>
        </w:tc>
      </w:tr>
    </w:tbl>
    <w:p w:rsidR="00E41710" w:rsidRPr="00E41710" w:rsidRDefault="00E41710" w:rsidP="00E41710">
      <w:pPr>
        <w:pStyle w:val="Normal-em"/>
        <w:rPr>
          <w:szCs w:val="24"/>
        </w:rPr>
      </w:pPr>
    </w:p>
    <w:p w:rsidR="00E41710" w:rsidRPr="00E41710" w:rsidRDefault="00E41710" w:rsidP="00E41710">
      <w:pPr>
        <w:pStyle w:val="Normal-em"/>
        <w:rPr>
          <w:szCs w:val="24"/>
          <w:u w:val="single"/>
        </w:rPr>
      </w:pPr>
      <w:r w:rsidRPr="00E41710">
        <w:rPr>
          <w:szCs w:val="24"/>
          <w:u w:val="single"/>
        </w:rPr>
        <w:t>Worked example 2</w:t>
      </w:r>
    </w:p>
    <w:p w:rsidR="00E41710" w:rsidRPr="00E41710" w:rsidRDefault="00E41710" w:rsidP="007A004D">
      <w:pPr>
        <w:pStyle w:val="Normal-em"/>
        <w:spacing w:after="0"/>
        <w:rPr>
          <w:szCs w:val="24"/>
        </w:rPr>
      </w:pPr>
    </w:p>
    <w:p w:rsidR="00E41710" w:rsidRPr="00E41710" w:rsidRDefault="00E41710" w:rsidP="00E41710">
      <w:pPr>
        <w:pStyle w:val="Normal-em"/>
        <w:numPr>
          <w:ilvl w:val="0"/>
          <w:numId w:val="21"/>
        </w:numPr>
        <w:rPr>
          <w:szCs w:val="24"/>
        </w:rPr>
      </w:pPr>
      <w:r w:rsidRPr="00E41710">
        <w:rPr>
          <w:szCs w:val="24"/>
        </w:rPr>
        <w:t>Total supply contribution: 605 GL</w:t>
      </w:r>
    </w:p>
    <w:p w:rsidR="00E41710" w:rsidRPr="00E41710" w:rsidRDefault="00E41710" w:rsidP="00E41710">
      <w:pPr>
        <w:pStyle w:val="Normal-em"/>
        <w:numPr>
          <w:ilvl w:val="0"/>
          <w:numId w:val="21"/>
        </w:numPr>
        <w:rPr>
          <w:szCs w:val="24"/>
        </w:rPr>
      </w:pPr>
      <w:r w:rsidRPr="00E41710">
        <w:rPr>
          <w:szCs w:val="24"/>
        </w:rPr>
        <w:t>Total efficiency contribution: 30 GL</w:t>
      </w:r>
    </w:p>
    <w:p w:rsidR="00E41710" w:rsidRPr="00E41710" w:rsidRDefault="00E41710" w:rsidP="00E41710">
      <w:pPr>
        <w:pStyle w:val="Normal-em"/>
        <w:numPr>
          <w:ilvl w:val="0"/>
          <w:numId w:val="21"/>
        </w:numPr>
        <w:rPr>
          <w:szCs w:val="24"/>
        </w:rPr>
      </w:pPr>
      <w:r w:rsidRPr="00E41710">
        <w:rPr>
          <w:szCs w:val="24"/>
        </w:rPr>
        <w:t>Net effect: 575 GL</w:t>
      </w:r>
    </w:p>
    <w:p w:rsidR="00E41710" w:rsidRPr="00E41710" w:rsidRDefault="00E41710" w:rsidP="00E41710">
      <w:pPr>
        <w:pStyle w:val="Normal-em"/>
        <w:numPr>
          <w:ilvl w:val="0"/>
          <w:numId w:val="21"/>
        </w:numPr>
        <w:rPr>
          <w:szCs w:val="24"/>
        </w:rPr>
      </w:pPr>
      <w:r w:rsidRPr="00E41710">
        <w:rPr>
          <w:szCs w:val="24"/>
        </w:rPr>
        <w:t>Net five per cent limit on the SDL adjustment: 543 GL</w:t>
      </w:r>
    </w:p>
    <w:p w:rsidR="00E41710" w:rsidRPr="00C4122D" w:rsidRDefault="00E41710" w:rsidP="00C4122D">
      <w:pPr>
        <w:tabs>
          <w:tab w:val="right" w:pos="9072"/>
        </w:tabs>
        <w:spacing w:after="0" w:line="240" w:lineRule="auto"/>
        <w:rPr>
          <w:rFonts w:ascii="Times New Roman" w:hAnsi="Times New Roman" w:cs="Times New Roman"/>
          <w:sz w:val="24"/>
          <w:szCs w:val="24"/>
        </w:rPr>
      </w:pPr>
    </w:p>
    <w:p w:rsidR="00E41710" w:rsidRPr="00C4122D" w:rsidRDefault="00E41710" w:rsidP="00C4122D">
      <w:pPr>
        <w:tabs>
          <w:tab w:val="right" w:pos="9072"/>
        </w:tabs>
        <w:spacing w:after="0" w:line="240" w:lineRule="auto"/>
        <w:rPr>
          <w:rFonts w:ascii="Times New Roman" w:hAnsi="Times New Roman" w:cs="Times New Roman"/>
          <w:sz w:val="24"/>
          <w:szCs w:val="24"/>
        </w:rPr>
      </w:pPr>
      <w:r w:rsidRPr="00C4122D">
        <w:rPr>
          <w:rFonts w:ascii="Times New Roman" w:hAnsi="Times New Roman" w:cs="Times New Roman"/>
          <w:sz w:val="24"/>
          <w:szCs w:val="24"/>
        </w:rPr>
        <w:t>Without the net five per cent limit on the SDL adjustment, the Basin-wide SDL would increase by 575 GL (i.e. a 605 GL increase in the SDLs from supply measures and a 30 GL decrease in the SDLs from efficiency measures).</w:t>
      </w:r>
    </w:p>
    <w:p w:rsidR="00E41710" w:rsidRPr="00C4122D" w:rsidRDefault="00E41710" w:rsidP="00C4122D">
      <w:pPr>
        <w:tabs>
          <w:tab w:val="right" w:pos="9072"/>
        </w:tabs>
        <w:spacing w:after="0" w:line="240" w:lineRule="auto"/>
        <w:rPr>
          <w:rFonts w:ascii="Times New Roman" w:hAnsi="Times New Roman" w:cs="Times New Roman"/>
          <w:sz w:val="24"/>
          <w:szCs w:val="24"/>
        </w:rPr>
      </w:pPr>
    </w:p>
    <w:p w:rsidR="00E41710" w:rsidRPr="00C4122D" w:rsidRDefault="00E41710" w:rsidP="00C4122D">
      <w:pPr>
        <w:tabs>
          <w:tab w:val="right" w:pos="9072"/>
        </w:tabs>
        <w:spacing w:after="0" w:line="240" w:lineRule="auto"/>
        <w:rPr>
          <w:rFonts w:ascii="Times New Roman" w:hAnsi="Times New Roman" w:cs="Times New Roman"/>
          <w:sz w:val="24"/>
          <w:szCs w:val="24"/>
        </w:rPr>
      </w:pPr>
      <w:r w:rsidRPr="00C4122D">
        <w:rPr>
          <w:rFonts w:ascii="Times New Roman" w:hAnsi="Times New Roman" w:cs="Times New Roman"/>
          <w:sz w:val="24"/>
          <w:szCs w:val="24"/>
        </w:rPr>
        <w:t>However, the net five per cent limit on the SDL adjustment will limit the SDL adjustment to an increase of 543 GL (i.e. a 573 GL increase in the SDLs from supply measures and a 30 GL decrease in the SDLs from efficiency measures).</w:t>
      </w:r>
    </w:p>
    <w:p w:rsidR="00E41710" w:rsidRPr="00C4122D" w:rsidRDefault="00E41710" w:rsidP="00C4122D">
      <w:pPr>
        <w:tabs>
          <w:tab w:val="right" w:pos="9072"/>
        </w:tabs>
        <w:spacing w:after="0" w:line="240" w:lineRule="auto"/>
        <w:rPr>
          <w:rFonts w:ascii="Times New Roman" w:hAnsi="Times New Roman" w:cs="Times New Roman"/>
          <w:sz w:val="24"/>
          <w:szCs w:val="24"/>
        </w:rPr>
      </w:pPr>
    </w:p>
    <w:p w:rsidR="00E41710" w:rsidRPr="00C4122D" w:rsidRDefault="00E41710" w:rsidP="00C4122D">
      <w:pPr>
        <w:tabs>
          <w:tab w:val="right" w:pos="9072"/>
        </w:tabs>
        <w:spacing w:after="0" w:line="240" w:lineRule="auto"/>
        <w:rPr>
          <w:rFonts w:ascii="Times New Roman" w:hAnsi="Times New Roman" w:cs="Times New Roman"/>
          <w:sz w:val="24"/>
          <w:szCs w:val="24"/>
        </w:rPr>
      </w:pPr>
      <w:r w:rsidRPr="00C4122D">
        <w:rPr>
          <w:rFonts w:ascii="Times New Roman" w:hAnsi="Times New Roman" w:cs="Times New Roman"/>
          <w:sz w:val="24"/>
          <w:szCs w:val="24"/>
        </w:rPr>
        <w:t>The total supply contribution will need to be reduced to 573 GL. This is a reduction of 32 GL. This reduction will be distributed across surface water SDL resource units in the same proportions as the apportionment of the 605 GL supply contribution.</w:t>
      </w:r>
    </w:p>
    <w:p w:rsidR="00E41710" w:rsidRPr="00C4122D" w:rsidRDefault="00E41710" w:rsidP="00C4122D">
      <w:pPr>
        <w:tabs>
          <w:tab w:val="right" w:pos="9072"/>
        </w:tabs>
        <w:spacing w:after="0" w:line="240" w:lineRule="auto"/>
        <w:rPr>
          <w:rFonts w:ascii="Times New Roman" w:hAnsi="Times New Roman" w:cs="Times New Roman"/>
          <w:sz w:val="24"/>
          <w:szCs w:val="24"/>
        </w:rPr>
      </w:pPr>
    </w:p>
    <w:p w:rsidR="00E41710" w:rsidRPr="00C4122D" w:rsidRDefault="00E41710" w:rsidP="00C4122D">
      <w:pPr>
        <w:tabs>
          <w:tab w:val="right" w:pos="9072"/>
        </w:tabs>
        <w:spacing w:after="0" w:line="240" w:lineRule="auto"/>
        <w:rPr>
          <w:rFonts w:ascii="Times New Roman" w:hAnsi="Times New Roman" w:cs="Times New Roman"/>
          <w:sz w:val="24"/>
          <w:szCs w:val="24"/>
        </w:rPr>
      </w:pPr>
      <w:r w:rsidRPr="00C4122D">
        <w:rPr>
          <w:rFonts w:ascii="Times New Roman" w:hAnsi="Times New Roman" w:cs="Times New Roman"/>
          <w:sz w:val="24"/>
          <w:szCs w:val="24"/>
        </w:rPr>
        <w:t>For example, in Table 2 below, Murrumbidgee still receives 26.78 per cent of the 605 GL supply contribution. Murrumbidgee will also be allocated 26.78 per cent of the 32 GL reduction. This means that the supply contribution allocated to Murrumbidgee will be reduced by 8.6 GL from 162 GL to 153.4 GL.</w:t>
      </w:r>
    </w:p>
    <w:p w:rsidR="00E41710" w:rsidRPr="00C4122D" w:rsidRDefault="00E41710" w:rsidP="00C4122D">
      <w:pPr>
        <w:tabs>
          <w:tab w:val="right" w:pos="9072"/>
        </w:tabs>
        <w:spacing w:after="0" w:line="240" w:lineRule="auto"/>
        <w:rPr>
          <w:rFonts w:ascii="Times New Roman" w:hAnsi="Times New Roman" w:cs="Times New Roman"/>
          <w:sz w:val="24"/>
          <w:szCs w:val="24"/>
        </w:rPr>
      </w:pPr>
    </w:p>
    <w:p w:rsidR="0040611B" w:rsidRPr="00C4122D" w:rsidRDefault="00E41710" w:rsidP="00C4122D">
      <w:pPr>
        <w:tabs>
          <w:tab w:val="right" w:pos="9072"/>
        </w:tabs>
        <w:spacing w:after="0" w:line="240" w:lineRule="auto"/>
        <w:rPr>
          <w:rFonts w:ascii="Times New Roman" w:hAnsi="Times New Roman" w:cs="Times New Roman"/>
          <w:sz w:val="24"/>
          <w:szCs w:val="24"/>
        </w:rPr>
      </w:pPr>
      <w:r w:rsidRPr="00C4122D">
        <w:rPr>
          <w:rFonts w:ascii="Times New Roman" w:hAnsi="Times New Roman" w:cs="Times New Roman"/>
          <w:sz w:val="24"/>
          <w:szCs w:val="24"/>
        </w:rPr>
        <w:t xml:space="preserve">Compared to the first worked example above, the reduction to the supply contribution has relaxed by 29 GL from 544 GL to 573 GL. </w:t>
      </w:r>
      <w:r w:rsidR="00F32ADB" w:rsidRPr="00C4122D">
        <w:rPr>
          <w:rFonts w:ascii="Times New Roman" w:hAnsi="Times New Roman" w:cs="Times New Roman"/>
          <w:sz w:val="24"/>
          <w:szCs w:val="24"/>
        </w:rPr>
        <w:t xml:space="preserve">For each water accounting period, and as calculated </w:t>
      </w:r>
      <w:r w:rsidR="0040611B" w:rsidRPr="00C4122D">
        <w:rPr>
          <w:rFonts w:ascii="Times New Roman" w:hAnsi="Times New Roman" w:cs="Times New Roman"/>
          <w:sz w:val="24"/>
          <w:szCs w:val="24"/>
        </w:rPr>
        <w:t xml:space="preserve">at the end of </w:t>
      </w:r>
      <w:r w:rsidR="00F32ADB" w:rsidRPr="00C4122D">
        <w:rPr>
          <w:rFonts w:ascii="Times New Roman" w:hAnsi="Times New Roman" w:cs="Times New Roman"/>
          <w:sz w:val="24"/>
          <w:szCs w:val="24"/>
        </w:rPr>
        <w:t xml:space="preserve">the first day of each water accounting period, as new efficiency entitlements are acquired, the </w:t>
      </w:r>
      <w:r w:rsidR="0040611B" w:rsidRPr="00C4122D">
        <w:rPr>
          <w:rFonts w:ascii="Times New Roman" w:hAnsi="Times New Roman" w:cs="Times New Roman"/>
          <w:sz w:val="24"/>
          <w:szCs w:val="24"/>
        </w:rPr>
        <w:t xml:space="preserve">available </w:t>
      </w:r>
      <w:r w:rsidR="00F32ADB" w:rsidRPr="00C4122D">
        <w:rPr>
          <w:rFonts w:ascii="Times New Roman" w:hAnsi="Times New Roman" w:cs="Times New Roman"/>
          <w:sz w:val="24"/>
          <w:szCs w:val="24"/>
        </w:rPr>
        <w:t xml:space="preserve">supply contribution will </w:t>
      </w:r>
      <w:r w:rsidR="0040611B" w:rsidRPr="00C4122D">
        <w:rPr>
          <w:rFonts w:ascii="Times New Roman" w:hAnsi="Times New Roman" w:cs="Times New Roman"/>
          <w:sz w:val="24"/>
          <w:szCs w:val="24"/>
        </w:rPr>
        <w:t xml:space="preserve">increase </w:t>
      </w:r>
      <w:r w:rsidR="00F32ADB" w:rsidRPr="00C4122D">
        <w:rPr>
          <w:rFonts w:ascii="Times New Roman" w:hAnsi="Times New Roman" w:cs="Times New Roman"/>
          <w:sz w:val="24"/>
          <w:szCs w:val="24"/>
        </w:rPr>
        <w:t>by the amount of efficiency entitlements</w:t>
      </w:r>
      <w:r w:rsidR="0040611B" w:rsidRPr="00C4122D">
        <w:rPr>
          <w:rFonts w:ascii="Times New Roman" w:hAnsi="Times New Roman" w:cs="Times New Roman"/>
          <w:sz w:val="24"/>
          <w:szCs w:val="24"/>
        </w:rPr>
        <w:t xml:space="preserve"> acquired in the previous year</w:t>
      </w:r>
      <w:r w:rsidR="00F32ADB" w:rsidRPr="00C4122D">
        <w:rPr>
          <w:rFonts w:ascii="Times New Roman" w:hAnsi="Times New Roman" w:cs="Times New Roman"/>
          <w:sz w:val="24"/>
          <w:szCs w:val="24"/>
        </w:rPr>
        <w:t xml:space="preserve">. </w:t>
      </w:r>
    </w:p>
    <w:p w:rsidR="0040611B" w:rsidRPr="00C4122D" w:rsidRDefault="0040611B" w:rsidP="00C4122D">
      <w:pPr>
        <w:tabs>
          <w:tab w:val="right" w:pos="9072"/>
        </w:tabs>
        <w:spacing w:after="0" w:line="240" w:lineRule="auto"/>
        <w:rPr>
          <w:rFonts w:ascii="Times New Roman" w:hAnsi="Times New Roman" w:cs="Times New Roman"/>
          <w:sz w:val="24"/>
          <w:szCs w:val="24"/>
        </w:rPr>
      </w:pPr>
    </w:p>
    <w:p w:rsidR="00E41710" w:rsidRPr="00C4122D" w:rsidRDefault="0040611B" w:rsidP="00C4122D">
      <w:pPr>
        <w:tabs>
          <w:tab w:val="right" w:pos="9072"/>
        </w:tabs>
        <w:spacing w:after="0" w:line="240" w:lineRule="auto"/>
        <w:rPr>
          <w:rFonts w:ascii="Times New Roman" w:hAnsi="Times New Roman" w:cs="Times New Roman"/>
          <w:sz w:val="24"/>
          <w:szCs w:val="24"/>
        </w:rPr>
      </w:pPr>
      <w:r w:rsidRPr="00C4122D">
        <w:rPr>
          <w:rFonts w:ascii="Times New Roman" w:hAnsi="Times New Roman" w:cs="Times New Roman"/>
          <w:sz w:val="24"/>
          <w:szCs w:val="24"/>
        </w:rPr>
        <w:t xml:space="preserve">The </w:t>
      </w:r>
      <w:r w:rsidR="00E41710" w:rsidRPr="00C4122D">
        <w:rPr>
          <w:rFonts w:ascii="Times New Roman" w:hAnsi="Times New Roman" w:cs="Times New Roman"/>
          <w:sz w:val="24"/>
          <w:szCs w:val="24"/>
        </w:rPr>
        <w:t xml:space="preserve">reduction (and </w:t>
      </w:r>
      <w:r w:rsidRPr="00C4122D">
        <w:rPr>
          <w:rFonts w:ascii="Times New Roman" w:hAnsi="Times New Roman" w:cs="Times New Roman"/>
          <w:sz w:val="24"/>
          <w:szCs w:val="24"/>
        </w:rPr>
        <w:t xml:space="preserve">its </w:t>
      </w:r>
      <w:r w:rsidR="00E41710" w:rsidRPr="00C4122D">
        <w:rPr>
          <w:rFonts w:ascii="Times New Roman" w:hAnsi="Times New Roman" w:cs="Times New Roman"/>
          <w:sz w:val="24"/>
          <w:szCs w:val="24"/>
        </w:rPr>
        <w:t>relaxation</w:t>
      </w:r>
      <w:r w:rsidRPr="00C4122D">
        <w:rPr>
          <w:rFonts w:ascii="Times New Roman" w:hAnsi="Times New Roman" w:cs="Times New Roman"/>
          <w:sz w:val="24"/>
          <w:szCs w:val="24"/>
        </w:rPr>
        <w:t xml:space="preserve"> as efficiency entitlements are acquired</w:t>
      </w:r>
      <w:r w:rsidR="00E41710" w:rsidRPr="00C4122D">
        <w:rPr>
          <w:rFonts w:ascii="Times New Roman" w:hAnsi="Times New Roman" w:cs="Times New Roman"/>
          <w:sz w:val="24"/>
          <w:szCs w:val="24"/>
        </w:rPr>
        <w:t xml:space="preserve">) </w:t>
      </w:r>
      <w:r w:rsidRPr="00C4122D">
        <w:rPr>
          <w:rFonts w:ascii="Times New Roman" w:hAnsi="Times New Roman" w:cs="Times New Roman"/>
          <w:sz w:val="24"/>
          <w:szCs w:val="24"/>
        </w:rPr>
        <w:t xml:space="preserve">will </w:t>
      </w:r>
      <w:r w:rsidR="00E41710" w:rsidRPr="00C4122D">
        <w:rPr>
          <w:rFonts w:ascii="Times New Roman" w:hAnsi="Times New Roman" w:cs="Times New Roman"/>
          <w:sz w:val="24"/>
          <w:szCs w:val="24"/>
        </w:rPr>
        <w:t>always being applied in the same proportions</w:t>
      </w:r>
      <w:r w:rsidRPr="00C4122D">
        <w:rPr>
          <w:rFonts w:ascii="Times New Roman" w:hAnsi="Times New Roman" w:cs="Times New Roman"/>
          <w:sz w:val="24"/>
          <w:szCs w:val="24"/>
        </w:rPr>
        <w:t xml:space="preserve">. Therefore, an </w:t>
      </w:r>
      <w:r w:rsidR="00E41710" w:rsidRPr="00C4122D">
        <w:rPr>
          <w:rFonts w:ascii="Times New Roman" w:hAnsi="Times New Roman" w:cs="Times New Roman"/>
          <w:sz w:val="24"/>
          <w:szCs w:val="24"/>
        </w:rPr>
        <w:t>SDL resource unit will always have the same percentage of the available supply contribution.</w:t>
      </w:r>
    </w:p>
    <w:p w:rsidR="00E41710" w:rsidRPr="00C4122D" w:rsidRDefault="00E41710" w:rsidP="00C4122D">
      <w:pPr>
        <w:tabs>
          <w:tab w:val="right" w:pos="9072"/>
        </w:tabs>
        <w:spacing w:after="0" w:line="240" w:lineRule="auto"/>
        <w:rPr>
          <w:rFonts w:ascii="Times New Roman" w:hAnsi="Times New Roman" w:cs="Times New Roman"/>
          <w:sz w:val="24"/>
          <w:szCs w:val="24"/>
        </w:rPr>
      </w:pPr>
    </w:p>
    <w:p w:rsidR="00E41710" w:rsidRPr="00E41710" w:rsidRDefault="00E41710" w:rsidP="007A004D">
      <w:pPr>
        <w:pStyle w:val="Normal-em"/>
        <w:spacing w:line="240" w:lineRule="auto"/>
        <w:rPr>
          <w:b/>
          <w:szCs w:val="24"/>
        </w:rPr>
      </w:pPr>
      <w:r w:rsidRPr="00E41710">
        <w:rPr>
          <w:b/>
          <w:szCs w:val="24"/>
        </w:rPr>
        <w:t>Table 2: Worked example 2</w:t>
      </w:r>
    </w:p>
    <w:tbl>
      <w:tblPr>
        <w:tblStyle w:val="TableGrid"/>
        <w:tblW w:w="0" w:type="auto"/>
        <w:tblLook w:val="04A0" w:firstRow="1" w:lastRow="0" w:firstColumn="1" w:lastColumn="0" w:noHBand="0" w:noVBand="1"/>
      </w:tblPr>
      <w:tblGrid>
        <w:gridCol w:w="763"/>
        <w:gridCol w:w="1926"/>
        <w:gridCol w:w="1559"/>
        <w:gridCol w:w="1661"/>
        <w:gridCol w:w="1576"/>
        <w:gridCol w:w="1576"/>
      </w:tblGrid>
      <w:tr w:rsidR="00E41710" w:rsidRPr="00E41710" w:rsidTr="001D77A6">
        <w:trPr>
          <w:tblHeader/>
        </w:trPr>
        <w:tc>
          <w:tcPr>
            <w:tcW w:w="763" w:type="dxa"/>
          </w:tcPr>
          <w:p w:rsidR="00E41710" w:rsidRPr="00E41710" w:rsidRDefault="00E41710" w:rsidP="00E41710">
            <w:pPr>
              <w:pStyle w:val="Normal-em"/>
              <w:rPr>
                <w:b/>
                <w:szCs w:val="24"/>
              </w:rPr>
            </w:pPr>
            <w:r w:rsidRPr="00E41710">
              <w:rPr>
                <w:b/>
                <w:szCs w:val="24"/>
              </w:rPr>
              <w:t>Item</w:t>
            </w:r>
          </w:p>
        </w:tc>
        <w:tc>
          <w:tcPr>
            <w:tcW w:w="1926" w:type="dxa"/>
          </w:tcPr>
          <w:p w:rsidR="00E41710" w:rsidRPr="00E41710" w:rsidRDefault="00E41710" w:rsidP="00E41710">
            <w:pPr>
              <w:pStyle w:val="Normal-em"/>
              <w:rPr>
                <w:b/>
                <w:szCs w:val="24"/>
              </w:rPr>
            </w:pPr>
            <w:r w:rsidRPr="00E41710">
              <w:rPr>
                <w:b/>
                <w:szCs w:val="24"/>
              </w:rPr>
              <w:t>SDL resource unit (code)</w:t>
            </w:r>
          </w:p>
        </w:tc>
        <w:tc>
          <w:tcPr>
            <w:tcW w:w="1559" w:type="dxa"/>
          </w:tcPr>
          <w:p w:rsidR="00E41710" w:rsidRPr="00E41710" w:rsidRDefault="00E41710" w:rsidP="00E41710">
            <w:pPr>
              <w:pStyle w:val="Normal-em"/>
              <w:rPr>
                <w:b/>
                <w:szCs w:val="24"/>
              </w:rPr>
            </w:pPr>
            <w:r w:rsidRPr="00E41710">
              <w:rPr>
                <w:b/>
                <w:szCs w:val="24"/>
              </w:rPr>
              <w:t>Apportioned supply contribution (GL)</w:t>
            </w:r>
          </w:p>
        </w:tc>
        <w:tc>
          <w:tcPr>
            <w:tcW w:w="1661" w:type="dxa"/>
          </w:tcPr>
          <w:p w:rsidR="00E41710" w:rsidRPr="00E41710" w:rsidRDefault="00E41710" w:rsidP="00E41710">
            <w:pPr>
              <w:pStyle w:val="Normal-em"/>
              <w:rPr>
                <w:b/>
                <w:szCs w:val="24"/>
              </w:rPr>
            </w:pPr>
            <w:r w:rsidRPr="00E41710">
              <w:rPr>
                <w:b/>
                <w:szCs w:val="24"/>
              </w:rPr>
              <w:t>Percentage of the apportioned supply contribution (%)</w:t>
            </w:r>
          </w:p>
        </w:tc>
        <w:tc>
          <w:tcPr>
            <w:tcW w:w="1576" w:type="dxa"/>
          </w:tcPr>
          <w:p w:rsidR="00E41710" w:rsidRPr="00E41710" w:rsidRDefault="00E41710" w:rsidP="00E41710">
            <w:pPr>
              <w:pStyle w:val="Normal-em"/>
              <w:rPr>
                <w:b/>
                <w:szCs w:val="24"/>
              </w:rPr>
            </w:pPr>
            <w:r w:rsidRPr="00E41710">
              <w:rPr>
                <w:b/>
                <w:szCs w:val="24"/>
              </w:rPr>
              <w:t>Reduction in supply contribution (GL)</w:t>
            </w:r>
          </w:p>
        </w:tc>
        <w:tc>
          <w:tcPr>
            <w:tcW w:w="1576" w:type="dxa"/>
          </w:tcPr>
          <w:p w:rsidR="00E41710" w:rsidRPr="00E41710" w:rsidRDefault="00E41710" w:rsidP="00E41710">
            <w:pPr>
              <w:pStyle w:val="Normal-em"/>
              <w:rPr>
                <w:b/>
                <w:szCs w:val="24"/>
              </w:rPr>
            </w:pPr>
            <w:r w:rsidRPr="00E41710">
              <w:rPr>
                <w:b/>
                <w:szCs w:val="24"/>
              </w:rPr>
              <w:t>Reduced supply contribution (GL)</w:t>
            </w:r>
          </w:p>
        </w:tc>
      </w:tr>
      <w:tr w:rsidR="0040611B" w:rsidRPr="00E41710" w:rsidTr="00E41710">
        <w:tc>
          <w:tcPr>
            <w:tcW w:w="763" w:type="dxa"/>
          </w:tcPr>
          <w:p w:rsidR="0040611B" w:rsidRPr="00E41710" w:rsidRDefault="0040611B" w:rsidP="00E41710">
            <w:pPr>
              <w:pStyle w:val="Normal-em"/>
              <w:rPr>
                <w:szCs w:val="24"/>
              </w:rPr>
            </w:pPr>
            <w:r>
              <w:rPr>
                <w:szCs w:val="24"/>
              </w:rPr>
              <w:t>13</w:t>
            </w:r>
          </w:p>
        </w:tc>
        <w:tc>
          <w:tcPr>
            <w:tcW w:w="1926" w:type="dxa"/>
          </w:tcPr>
          <w:p w:rsidR="0040611B" w:rsidRPr="00E41710" w:rsidRDefault="0040611B" w:rsidP="00E41710">
            <w:pPr>
              <w:pStyle w:val="Normal-em"/>
              <w:rPr>
                <w:szCs w:val="24"/>
              </w:rPr>
            </w:pPr>
            <w:r>
              <w:rPr>
                <w:szCs w:val="24"/>
              </w:rPr>
              <w:t>Lachlan (SS16)</w:t>
            </w:r>
          </w:p>
        </w:tc>
        <w:tc>
          <w:tcPr>
            <w:tcW w:w="1559" w:type="dxa"/>
          </w:tcPr>
          <w:p w:rsidR="0040611B" w:rsidRPr="00E41710" w:rsidRDefault="0040611B" w:rsidP="00375F5C">
            <w:pPr>
              <w:pStyle w:val="Normal-em"/>
              <w:jc w:val="right"/>
              <w:rPr>
                <w:szCs w:val="24"/>
              </w:rPr>
            </w:pPr>
            <w:r>
              <w:rPr>
                <w:szCs w:val="24"/>
              </w:rPr>
              <w:t>0.0</w:t>
            </w:r>
          </w:p>
        </w:tc>
        <w:tc>
          <w:tcPr>
            <w:tcW w:w="1661" w:type="dxa"/>
          </w:tcPr>
          <w:p w:rsidR="0040611B" w:rsidRPr="00E41710" w:rsidRDefault="0040611B" w:rsidP="00375F5C">
            <w:pPr>
              <w:pStyle w:val="Normal-em"/>
              <w:jc w:val="right"/>
              <w:rPr>
                <w:szCs w:val="24"/>
              </w:rPr>
            </w:pPr>
            <w:r>
              <w:rPr>
                <w:szCs w:val="24"/>
              </w:rPr>
              <w:t>0.00</w:t>
            </w:r>
          </w:p>
        </w:tc>
        <w:tc>
          <w:tcPr>
            <w:tcW w:w="1576" w:type="dxa"/>
          </w:tcPr>
          <w:p w:rsidR="0040611B" w:rsidRPr="00E41710" w:rsidRDefault="0040611B" w:rsidP="00375F5C">
            <w:pPr>
              <w:pStyle w:val="Normal-em"/>
              <w:jc w:val="right"/>
              <w:rPr>
                <w:szCs w:val="24"/>
              </w:rPr>
            </w:pPr>
            <w:r>
              <w:rPr>
                <w:szCs w:val="24"/>
              </w:rPr>
              <w:t>0.0</w:t>
            </w:r>
          </w:p>
        </w:tc>
        <w:tc>
          <w:tcPr>
            <w:tcW w:w="1576" w:type="dxa"/>
          </w:tcPr>
          <w:p w:rsidR="0040611B" w:rsidRPr="00E41710" w:rsidRDefault="0040611B" w:rsidP="00375F5C">
            <w:pPr>
              <w:pStyle w:val="Normal-em"/>
              <w:jc w:val="right"/>
              <w:rPr>
                <w:szCs w:val="24"/>
              </w:rPr>
            </w:pPr>
            <w:r>
              <w:rPr>
                <w:szCs w:val="24"/>
              </w:rPr>
              <w:t>0.0</w:t>
            </w:r>
          </w:p>
        </w:tc>
      </w:tr>
      <w:tr w:rsidR="00E41710" w:rsidRPr="00E41710" w:rsidTr="00E41710">
        <w:tc>
          <w:tcPr>
            <w:tcW w:w="763" w:type="dxa"/>
          </w:tcPr>
          <w:p w:rsidR="00E41710" w:rsidRPr="00E41710" w:rsidRDefault="00E41710" w:rsidP="00E41710">
            <w:pPr>
              <w:pStyle w:val="Normal-em"/>
              <w:rPr>
                <w:szCs w:val="24"/>
              </w:rPr>
            </w:pPr>
            <w:r w:rsidRPr="00E41710">
              <w:rPr>
                <w:szCs w:val="24"/>
              </w:rPr>
              <w:t>14</w:t>
            </w:r>
          </w:p>
        </w:tc>
        <w:tc>
          <w:tcPr>
            <w:tcW w:w="1926" w:type="dxa"/>
          </w:tcPr>
          <w:p w:rsidR="00E41710" w:rsidRPr="00E41710" w:rsidRDefault="00E41710" w:rsidP="00E41710">
            <w:pPr>
              <w:pStyle w:val="Normal-em"/>
              <w:rPr>
                <w:szCs w:val="24"/>
              </w:rPr>
            </w:pPr>
            <w:r w:rsidRPr="00E41710">
              <w:rPr>
                <w:szCs w:val="24"/>
              </w:rPr>
              <w:t>Murrumbidgee (SS15)</w:t>
            </w:r>
          </w:p>
        </w:tc>
        <w:tc>
          <w:tcPr>
            <w:tcW w:w="1559" w:type="dxa"/>
          </w:tcPr>
          <w:p w:rsidR="00E41710" w:rsidRPr="00E41710" w:rsidRDefault="00E41710" w:rsidP="00375F5C">
            <w:pPr>
              <w:pStyle w:val="Normal-em"/>
              <w:jc w:val="right"/>
              <w:rPr>
                <w:szCs w:val="24"/>
              </w:rPr>
            </w:pPr>
            <w:r w:rsidRPr="00E41710">
              <w:rPr>
                <w:szCs w:val="24"/>
              </w:rPr>
              <w:t>162.0</w:t>
            </w:r>
          </w:p>
        </w:tc>
        <w:tc>
          <w:tcPr>
            <w:tcW w:w="1661" w:type="dxa"/>
          </w:tcPr>
          <w:p w:rsidR="00E41710" w:rsidRPr="00E41710" w:rsidRDefault="00E41710" w:rsidP="00375F5C">
            <w:pPr>
              <w:pStyle w:val="Normal-em"/>
              <w:jc w:val="right"/>
              <w:rPr>
                <w:szCs w:val="24"/>
              </w:rPr>
            </w:pPr>
            <w:r w:rsidRPr="00E41710">
              <w:rPr>
                <w:szCs w:val="24"/>
              </w:rPr>
              <w:t>26.78</w:t>
            </w:r>
          </w:p>
        </w:tc>
        <w:tc>
          <w:tcPr>
            <w:tcW w:w="1576" w:type="dxa"/>
          </w:tcPr>
          <w:p w:rsidR="00E41710" w:rsidRPr="00E41710" w:rsidRDefault="00E41710" w:rsidP="00375F5C">
            <w:pPr>
              <w:pStyle w:val="Normal-em"/>
              <w:jc w:val="right"/>
              <w:rPr>
                <w:szCs w:val="24"/>
              </w:rPr>
            </w:pPr>
            <w:r w:rsidRPr="00E41710">
              <w:rPr>
                <w:szCs w:val="24"/>
              </w:rPr>
              <w:t>8.6</w:t>
            </w:r>
          </w:p>
        </w:tc>
        <w:tc>
          <w:tcPr>
            <w:tcW w:w="1576" w:type="dxa"/>
          </w:tcPr>
          <w:p w:rsidR="00E41710" w:rsidRPr="00E41710" w:rsidRDefault="00E41710" w:rsidP="00375F5C">
            <w:pPr>
              <w:pStyle w:val="Normal-em"/>
              <w:jc w:val="right"/>
              <w:rPr>
                <w:szCs w:val="24"/>
              </w:rPr>
            </w:pPr>
            <w:r w:rsidRPr="00E41710">
              <w:rPr>
                <w:szCs w:val="24"/>
              </w:rPr>
              <w:t>153.4</w:t>
            </w:r>
          </w:p>
        </w:tc>
      </w:tr>
      <w:tr w:rsidR="00E41710" w:rsidRPr="00E41710" w:rsidTr="00E41710">
        <w:tc>
          <w:tcPr>
            <w:tcW w:w="763" w:type="dxa"/>
          </w:tcPr>
          <w:p w:rsidR="00E41710" w:rsidRPr="00E41710" w:rsidRDefault="00E41710" w:rsidP="00E41710">
            <w:pPr>
              <w:pStyle w:val="Normal-em"/>
              <w:rPr>
                <w:szCs w:val="24"/>
              </w:rPr>
            </w:pPr>
            <w:r w:rsidRPr="00E41710">
              <w:rPr>
                <w:szCs w:val="24"/>
              </w:rPr>
              <w:t>15</w:t>
            </w:r>
          </w:p>
        </w:tc>
        <w:tc>
          <w:tcPr>
            <w:tcW w:w="1926" w:type="dxa"/>
          </w:tcPr>
          <w:p w:rsidR="00E41710" w:rsidRPr="00E41710" w:rsidRDefault="00E41710" w:rsidP="00E41710">
            <w:pPr>
              <w:pStyle w:val="Normal-em"/>
              <w:rPr>
                <w:szCs w:val="24"/>
              </w:rPr>
            </w:pPr>
            <w:r w:rsidRPr="00E41710">
              <w:rPr>
                <w:szCs w:val="24"/>
              </w:rPr>
              <w:t>New South Wales Murray (SS14)</w:t>
            </w:r>
          </w:p>
        </w:tc>
        <w:tc>
          <w:tcPr>
            <w:tcW w:w="1559" w:type="dxa"/>
          </w:tcPr>
          <w:p w:rsidR="00E41710" w:rsidRPr="00E41710" w:rsidRDefault="00E41710" w:rsidP="00375F5C">
            <w:pPr>
              <w:pStyle w:val="Normal-em"/>
              <w:jc w:val="right"/>
              <w:rPr>
                <w:szCs w:val="24"/>
              </w:rPr>
            </w:pPr>
            <w:r w:rsidRPr="00E41710">
              <w:rPr>
                <w:szCs w:val="24"/>
              </w:rPr>
              <w:t>124.8</w:t>
            </w:r>
          </w:p>
        </w:tc>
        <w:tc>
          <w:tcPr>
            <w:tcW w:w="1661" w:type="dxa"/>
          </w:tcPr>
          <w:p w:rsidR="00E41710" w:rsidRPr="00E41710" w:rsidRDefault="00E41710" w:rsidP="00375F5C">
            <w:pPr>
              <w:pStyle w:val="Normal-em"/>
              <w:jc w:val="right"/>
              <w:rPr>
                <w:szCs w:val="24"/>
              </w:rPr>
            </w:pPr>
            <w:r w:rsidRPr="00E41710">
              <w:rPr>
                <w:szCs w:val="24"/>
              </w:rPr>
              <w:t>20.63</w:t>
            </w:r>
          </w:p>
        </w:tc>
        <w:tc>
          <w:tcPr>
            <w:tcW w:w="1576" w:type="dxa"/>
          </w:tcPr>
          <w:p w:rsidR="00E41710" w:rsidRPr="00E41710" w:rsidRDefault="00E41710" w:rsidP="00375F5C">
            <w:pPr>
              <w:pStyle w:val="Normal-em"/>
              <w:jc w:val="right"/>
              <w:rPr>
                <w:szCs w:val="24"/>
              </w:rPr>
            </w:pPr>
            <w:r w:rsidRPr="00E41710">
              <w:rPr>
                <w:szCs w:val="24"/>
              </w:rPr>
              <w:t>6.6</w:t>
            </w:r>
          </w:p>
        </w:tc>
        <w:tc>
          <w:tcPr>
            <w:tcW w:w="1576" w:type="dxa"/>
          </w:tcPr>
          <w:p w:rsidR="00E41710" w:rsidRPr="00E41710" w:rsidRDefault="00E41710" w:rsidP="00375F5C">
            <w:pPr>
              <w:pStyle w:val="Normal-em"/>
              <w:jc w:val="right"/>
              <w:rPr>
                <w:szCs w:val="24"/>
              </w:rPr>
            </w:pPr>
            <w:r w:rsidRPr="00E41710">
              <w:rPr>
                <w:szCs w:val="24"/>
              </w:rPr>
              <w:t>118.2</w:t>
            </w:r>
          </w:p>
        </w:tc>
      </w:tr>
      <w:tr w:rsidR="00E41710" w:rsidRPr="00E41710" w:rsidTr="00E41710">
        <w:tc>
          <w:tcPr>
            <w:tcW w:w="763" w:type="dxa"/>
          </w:tcPr>
          <w:p w:rsidR="00E41710" w:rsidRPr="00E41710" w:rsidRDefault="00E41710" w:rsidP="00E41710">
            <w:pPr>
              <w:pStyle w:val="Normal-em"/>
              <w:rPr>
                <w:szCs w:val="24"/>
              </w:rPr>
            </w:pPr>
            <w:r w:rsidRPr="00E41710">
              <w:rPr>
                <w:szCs w:val="24"/>
              </w:rPr>
              <w:t>16</w:t>
            </w:r>
          </w:p>
        </w:tc>
        <w:tc>
          <w:tcPr>
            <w:tcW w:w="1926" w:type="dxa"/>
          </w:tcPr>
          <w:p w:rsidR="00E41710" w:rsidRPr="00E41710" w:rsidRDefault="00E41710" w:rsidP="00E41710">
            <w:pPr>
              <w:pStyle w:val="Normal-em"/>
              <w:rPr>
                <w:szCs w:val="24"/>
              </w:rPr>
            </w:pPr>
            <w:r w:rsidRPr="00E41710">
              <w:rPr>
                <w:szCs w:val="24"/>
              </w:rPr>
              <w:t>Lower Darling (SS18)</w:t>
            </w:r>
          </w:p>
        </w:tc>
        <w:tc>
          <w:tcPr>
            <w:tcW w:w="1559" w:type="dxa"/>
          </w:tcPr>
          <w:p w:rsidR="00E41710" w:rsidRPr="00E41710" w:rsidRDefault="00E41710" w:rsidP="00375F5C">
            <w:pPr>
              <w:pStyle w:val="Normal-em"/>
              <w:jc w:val="right"/>
              <w:rPr>
                <w:szCs w:val="24"/>
              </w:rPr>
            </w:pPr>
            <w:r w:rsidRPr="00E41710">
              <w:rPr>
                <w:szCs w:val="24"/>
              </w:rPr>
              <w:t>0.0</w:t>
            </w:r>
          </w:p>
        </w:tc>
        <w:tc>
          <w:tcPr>
            <w:tcW w:w="1661" w:type="dxa"/>
          </w:tcPr>
          <w:p w:rsidR="00E41710" w:rsidRPr="00E41710" w:rsidRDefault="00E41710" w:rsidP="00375F5C">
            <w:pPr>
              <w:pStyle w:val="Normal-em"/>
              <w:jc w:val="right"/>
              <w:rPr>
                <w:szCs w:val="24"/>
              </w:rPr>
            </w:pPr>
            <w:r w:rsidRPr="00E41710">
              <w:rPr>
                <w:szCs w:val="24"/>
              </w:rPr>
              <w:t>0.00</w:t>
            </w:r>
          </w:p>
        </w:tc>
        <w:tc>
          <w:tcPr>
            <w:tcW w:w="1576" w:type="dxa"/>
          </w:tcPr>
          <w:p w:rsidR="00E41710" w:rsidRPr="00E41710" w:rsidRDefault="00E41710" w:rsidP="00375F5C">
            <w:pPr>
              <w:pStyle w:val="Normal-em"/>
              <w:jc w:val="right"/>
              <w:rPr>
                <w:szCs w:val="24"/>
              </w:rPr>
            </w:pPr>
            <w:r w:rsidRPr="00E41710">
              <w:rPr>
                <w:szCs w:val="24"/>
              </w:rPr>
              <w:t>0.0</w:t>
            </w:r>
          </w:p>
        </w:tc>
        <w:tc>
          <w:tcPr>
            <w:tcW w:w="1576" w:type="dxa"/>
          </w:tcPr>
          <w:p w:rsidR="00E41710" w:rsidRPr="00E41710" w:rsidRDefault="00E41710" w:rsidP="00375F5C">
            <w:pPr>
              <w:pStyle w:val="Normal-em"/>
              <w:jc w:val="right"/>
              <w:rPr>
                <w:szCs w:val="24"/>
              </w:rPr>
            </w:pPr>
            <w:r w:rsidRPr="00E41710">
              <w:rPr>
                <w:szCs w:val="24"/>
              </w:rPr>
              <w:t>0.0</w:t>
            </w:r>
          </w:p>
        </w:tc>
      </w:tr>
      <w:tr w:rsidR="00E41710" w:rsidRPr="00E41710" w:rsidTr="00E41710">
        <w:tc>
          <w:tcPr>
            <w:tcW w:w="763" w:type="dxa"/>
          </w:tcPr>
          <w:p w:rsidR="00E41710" w:rsidRPr="00E41710" w:rsidRDefault="00E41710" w:rsidP="00E41710">
            <w:pPr>
              <w:pStyle w:val="Normal-em"/>
              <w:rPr>
                <w:szCs w:val="24"/>
              </w:rPr>
            </w:pPr>
            <w:r w:rsidRPr="00E41710">
              <w:rPr>
                <w:szCs w:val="24"/>
              </w:rPr>
              <w:t>17</w:t>
            </w:r>
          </w:p>
        </w:tc>
        <w:tc>
          <w:tcPr>
            <w:tcW w:w="1926" w:type="dxa"/>
          </w:tcPr>
          <w:p w:rsidR="00E41710" w:rsidRPr="00E41710" w:rsidRDefault="00E41710" w:rsidP="00E41710">
            <w:pPr>
              <w:pStyle w:val="Normal-em"/>
              <w:rPr>
                <w:szCs w:val="24"/>
              </w:rPr>
            </w:pPr>
            <w:r w:rsidRPr="00E41710">
              <w:rPr>
                <w:szCs w:val="24"/>
              </w:rPr>
              <w:t>Victorian Murray (SS2)</w:t>
            </w:r>
          </w:p>
        </w:tc>
        <w:tc>
          <w:tcPr>
            <w:tcW w:w="1559" w:type="dxa"/>
          </w:tcPr>
          <w:p w:rsidR="00E41710" w:rsidRPr="00E41710" w:rsidRDefault="00E41710" w:rsidP="00375F5C">
            <w:pPr>
              <w:pStyle w:val="Normal-em"/>
              <w:jc w:val="right"/>
              <w:rPr>
                <w:szCs w:val="24"/>
              </w:rPr>
            </w:pPr>
            <w:r w:rsidRPr="00E41710">
              <w:rPr>
                <w:szCs w:val="24"/>
              </w:rPr>
              <w:t>72.8</w:t>
            </w:r>
          </w:p>
        </w:tc>
        <w:tc>
          <w:tcPr>
            <w:tcW w:w="1661" w:type="dxa"/>
          </w:tcPr>
          <w:p w:rsidR="00E41710" w:rsidRPr="00E41710" w:rsidRDefault="00E41710" w:rsidP="00375F5C">
            <w:pPr>
              <w:pStyle w:val="Normal-em"/>
              <w:jc w:val="right"/>
              <w:rPr>
                <w:szCs w:val="24"/>
              </w:rPr>
            </w:pPr>
            <w:r w:rsidRPr="00E41710">
              <w:rPr>
                <w:szCs w:val="24"/>
              </w:rPr>
              <w:t>12.03</w:t>
            </w:r>
          </w:p>
        </w:tc>
        <w:tc>
          <w:tcPr>
            <w:tcW w:w="1576" w:type="dxa"/>
          </w:tcPr>
          <w:p w:rsidR="00E41710" w:rsidRPr="00E41710" w:rsidRDefault="00E41710" w:rsidP="00375F5C">
            <w:pPr>
              <w:pStyle w:val="Normal-em"/>
              <w:jc w:val="right"/>
              <w:rPr>
                <w:szCs w:val="24"/>
              </w:rPr>
            </w:pPr>
            <w:r w:rsidRPr="00E41710">
              <w:rPr>
                <w:szCs w:val="24"/>
              </w:rPr>
              <w:t>3.8</w:t>
            </w:r>
          </w:p>
        </w:tc>
        <w:tc>
          <w:tcPr>
            <w:tcW w:w="1576" w:type="dxa"/>
          </w:tcPr>
          <w:p w:rsidR="00E41710" w:rsidRPr="00E41710" w:rsidRDefault="00E41710" w:rsidP="00375F5C">
            <w:pPr>
              <w:pStyle w:val="Normal-em"/>
              <w:jc w:val="right"/>
              <w:rPr>
                <w:szCs w:val="24"/>
              </w:rPr>
            </w:pPr>
            <w:r w:rsidRPr="00E41710">
              <w:rPr>
                <w:szCs w:val="24"/>
              </w:rPr>
              <w:t>69.0</w:t>
            </w:r>
          </w:p>
        </w:tc>
      </w:tr>
      <w:tr w:rsidR="00E41710" w:rsidRPr="00E41710" w:rsidTr="00E41710">
        <w:tc>
          <w:tcPr>
            <w:tcW w:w="763" w:type="dxa"/>
          </w:tcPr>
          <w:p w:rsidR="00E41710" w:rsidRPr="00E41710" w:rsidRDefault="00E41710" w:rsidP="00E41710">
            <w:pPr>
              <w:pStyle w:val="Normal-em"/>
              <w:rPr>
                <w:szCs w:val="24"/>
              </w:rPr>
            </w:pPr>
            <w:r w:rsidRPr="00E41710">
              <w:rPr>
                <w:szCs w:val="24"/>
              </w:rPr>
              <w:t>18</w:t>
            </w:r>
          </w:p>
        </w:tc>
        <w:tc>
          <w:tcPr>
            <w:tcW w:w="1926" w:type="dxa"/>
          </w:tcPr>
          <w:p w:rsidR="00E41710" w:rsidRPr="00E41710" w:rsidRDefault="00E41710" w:rsidP="00E41710">
            <w:pPr>
              <w:pStyle w:val="Normal-em"/>
              <w:rPr>
                <w:szCs w:val="24"/>
              </w:rPr>
            </w:pPr>
            <w:r w:rsidRPr="00E41710">
              <w:rPr>
                <w:szCs w:val="24"/>
              </w:rPr>
              <w:t>Kiewa (SS3)</w:t>
            </w:r>
          </w:p>
        </w:tc>
        <w:tc>
          <w:tcPr>
            <w:tcW w:w="1559" w:type="dxa"/>
          </w:tcPr>
          <w:p w:rsidR="00E41710" w:rsidRPr="00E41710" w:rsidRDefault="00E41710" w:rsidP="00375F5C">
            <w:pPr>
              <w:pStyle w:val="Normal-em"/>
              <w:jc w:val="right"/>
              <w:rPr>
                <w:szCs w:val="24"/>
              </w:rPr>
            </w:pPr>
            <w:r w:rsidRPr="00E41710">
              <w:rPr>
                <w:szCs w:val="24"/>
              </w:rPr>
              <w:t>1.3</w:t>
            </w:r>
          </w:p>
        </w:tc>
        <w:tc>
          <w:tcPr>
            <w:tcW w:w="1661" w:type="dxa"/>
          </w:tcPr>
          <w:p w:rsidR="00E41710" w:rsidRPr="00E41710" w:rsidRDefault="00E41710" w:rsidP="00375F5C">
            <w:pPr>
              <w:pStyle w:val="Normal-em"/>
              <w:jc w:val="right"/>
              <w:rPr>
                <w:szCs w:val="24"/>
              </w:rPr>
            </w:pPr>
            <w:r w:rsidRPr="00E41710">
              <w:rPr>
                <w:szCs w:val="24"/>
              </w:rPr>
              <w:t>0.21</w:t>
            </w:r>
          </w:p>
        </w:tc>
        <w:tc>
          <w:tcPr>
            <w:tcW w:w="1576" w:type="dxa"/>
          </w:tcPr>
          <w:p w:rsidR="00E41710" w:rsidRPr="00E41710" w:rsidRDefault="00E41710" w:rsidP="00375F5C">
            <w:pPr>
              <w:pStyle w:val="Normal-em"/>
              <w:jc w:val="right"/>
              <w:rPr>
                <w:szCs w:val="24"/>
              </w:rPr>
            </w:pPr>
            <w:r w:rsidRPr="00E41710">
              <w:rPr>
                <w:szCs w:val="24"/>
              </w:rPr>
              <w:t>0.1</w:t>
            </w:r>
          </w:p>
        </w:tc>
        <w:tc>
          <w:tcPr>
            <w:tcW w:w="1576" w:type="dxa"/>
          </w:tcPr>
          <w:p w:rsidR="00E41710" w:rsidRPr="00E41710" w:rsidRDefault="00E41710" w:rsidP="00375F5C">
            <w:pPr>
              <w:pStyle w:val="Normal-em"/>
              <w:jc w:val="right"/>
              <w:rPr>
                <w:szCs w:val="24"/>
              </w:rPr>
            </w:pPr>
            <w:r w:rsidRPr="00E41710">
              <w:rPr>
                <w:szCs w:val="24"/>
              </w:rPr>
              <w:t>1.2</w:t>
            </w:r>
          </w:p>
        </w:tc>
      </w:tr>
      <w:tr w:rsidR="00E41710" w:rsidRPr="00E41710" w:rsidTr="00E41710">
        <w:tc>
          <w:tcPr>
            <w:tcW w:w="763" w:type="dxa"/>
          </w:tcPr>
          <w:p w:rsidR="00E41710" w:rsidRPr="00E41710" w:rsidRDefault="00E41710" w:rsidP="00E41710">
            <w:pPr>
              <w:pStyle w:val="Normal-em"/>
              <w:rPr>
                <w:szCs w:val="24"/>
              </w:rPr>
            </w:pPr>
            <w:r w:rsidRPr="00E41710">
              <w:rPr>
                <w:szCs w:val="24"/>
              </w:rPr>
              <w:t>19</w:t>
            </w:r>
          </w:p>
        </w:tc>
        <w:tc>
          <w:tcPr>
            <w:tcW w:w="1926" w:type="dxa"/>
          </w:tcPr>
          <w:p w:rsidR="00E41710" w:rsidRPr="00E41710" w:rsidRDefault="00E41710" w:rsidP="00E41710">
            <w:pPr>
              <w:pStyle w:val="Normal-em"/>
              <w:rPr>
                <w:szCs w:val="24"/>
              </w:rPr>
            </w:pPr>
            <w:r w:rsidRPr="00E41710">
              <w:rPr>
                <w:szCs w:val="24"/>
              </w:rPr>
              <w:t>Ovens (SS4)</w:t>
            </w:r>
          </w:p>
        </w:tc>
        <w:tc>
          <w:tcPr>
            <w:tcW w:w="1559" w:type="dxa"/>
          </w:tcPr>
          <w:p w:rsidR="00E41710" w:rsidRPr="00E41710" w:rsidRDefault="00E41710" w:rsidP="00375F5C">
            <w:pPr>
              <w:pStyle w:val="Normal-em"/>
              <w:jc w:val="right"/>
              <w:rPr>
                <w:szCs w:val="24"/>
              </w:rPr>
            </w:pPr>
            <w:r w:rsidRPr="00E41710">
              <w:rPr>
                <w:szCs w:val="24"/>
              </w:rPr>
              <w:t>3.0</w:t>
            </w:r>
          </w:p>
        </w:tc>
        <w:tc>
          <w:tcPr>
            <w:tcW w:w="1661" w:type="dxa"/>
          </w:tcPr>
          <w:p w:rsidR="00E41710" w:rsidRPr="00E41710" w:rsidRDefault="00E41710" w:rsidP="00375F5C">
            <w:pPr>
              <w:pStyle w:val="Normal-em"/>
              <w:jc w:val="right"/>
              <w:rPr>
                <w:szCs w:val="24"/>
              </w:rPr>
            </w:pPr>
            <w:r w:rsidRPr="00E41710">
              <w:rPr>
                <w:szCs w:val="24"/>
              </w:rPr>
              <w:t>0.50</w:t>
            </w:r>
          </w:p>
        </w:tc>
        <w:tc>
          <w:tcPr>
            <w:tcW w:w="1576" w:type="dxa"/>
          </w:tcPr>
          <w:p w:rsidR="00E41710" w:rsidRPr="00E41710" w:rsidRDefault="00E41710" w:rsidP="00375F5C">
            <w:pPr>
              <w:pStyle w:val="Normal-em"/>
              <w:jc w:val="right"/>
              <w:rPr>
                <w:szCs w:val="24"/>
              </w:rPr>
            </w:pPr>
            <w:r w:rsidRPr="00E41710">
              <w:rPr>
                <w:szCs w:val="24"/>
              </w:rPr>
              <w:t>0.2</w:t>
            </w:r>
          </w:p>
        </w:tc>
        <w:tc>
          <w:tcPr>
            <w:tcW w:w="1576" w:type="dxa"/>
          </w:tcPr>
          <w:p w:rsidR="00E41710" w:rsidRPr="00E41710" w:rsidRDefault="00E41710" w:rsidP="00375F5C">
            <w:pPr>
              <w:pStyle w:val="Normal-em"/>
              <w:jc w:val="right"/>
              <w:rPr>
                <w:szCs w:val="24"/>
              </w:rPr>
            </w:pPr>
            <w:r w:rsidRPr="00E41710">
              <w:rPr>
                <w:szCs w:val="24"/>
              </w:rPr>
              <w:t>2.8</w:t>
            </w:r>
          </w:p>
        </w:tc>
      </w:tr>
      <w:tr w:rsidR="00E41710" w:rsidRPr="00E41710" w:rsidTr="00E41710">
        <w:tc>
          <w:tcPr>
            <w:tcW w:w="763" w:type="dxa"/>
          </w:tcPr>
          <w:p w:rsidR="00E41710" w:rsidRPr="00E41710" w:rsidRDefault="00E41710" w:rsidP="00E41710">
            <w:pPr>
              <w:pStyle w:val="Normal-em"/>
              <w:rPr>
                <w:szCs w:val="24"/>
              </w:rPr>
            </w:pPr>
            <w:r w:rsidRPr="00E41710">
              <w:rPr>
                <w:szCs w:val="24"/>
              </w:rPr>
              <w:t>20</w:t>
            </w:r>
          </w:p>
        </w:tc>
        <w:tc>
          <w:tcPr>
            <w:tcW w:w="1926" w:type="dxa"/>
          </w:tcPr>
          <w:p w:rsidR="00E41710" w:rsidRPr="00E41710" w:rsidRDefault="00E41710" w:rsidP="00E41710">
            <w:pPr>
              <w:pStyle w:val="Normal-em"/>
              <w:rPr>
                <w:szCs w:val="24"/>
              </w:rPr>
            </w:pPr>
            <w:r w:rsidRPr="00E41710">
              <w:rPr>
                <w:szCs w:val="24"/>
              </w:rPr>
              <w:t>Goulburn (SS6)</w:t>
            </w:r>
          </w:p>
        </w:tc>
        <w:tc>
          <w:tcPr>
            <w:tcW w:w="1559" w:type="dxa"/>
          </w:tcPr>
          <w:p w:rsidR="00E41710" w:rsidRPr="00E41710" w:rsidRDefault="00E41710" w:rsidP="00375F5C">
            <w:pPr>
              <w:pStyle w:val="Normal-em"/>
              <w:jc w:val="right"/>
              <w:rPr>
                <w:szCs w:val="24"/>
              </w:rPr>
            </w:pPr>
            <w:r w:rsidRPr="00E41710">
              <w:rPr>
                <w:szCs w:val="24"/>
              </w:rPr>
              <w:t>174.5</w:t>
            </w:r>
          </w:p>
        </w:tc>
        <w:tc>
          <w:tcPr>
            <w:tcW w:w="1661" w:type="dxa"/>
          </w:tcPr>
          <w:p w:rsidR="00E41710" w:rsidRPr="00E41710" w:rsidRDefault="00E41710" w:rsidP="00375F5C">
            <w:pPr>
              <w:pStyle w:val="Normal-em"/>
              <w:jc w:val="right"/>
              <w:rPr>
                <w:szCs w:val="24"/>
              </w:rPr>
            </w:pPr>
            <w:r w:rsidRPr="00E41710">
              <w:rPr>
                <w:szCs w:val="24"/>
              </w:rPr>
              <w:t>28.84</w:t>
            </w:r>
          </w:p>
        </w:tc>
        <w:tc>
          <w:tcPr>
            <w:tcW w:w="1576" w:type="dxa"/>
          </w:tcPr>
          <w:p w:rsidR="00E41710" w:rsidRPr="00E41710" w:rsidRDefault="00E41710" w:rsidP="00375F5C">
            <w:pPr>
              <w:pStyle w:val="Normal-em"/>
              <w:jc w:val="right"/>
              <w:rPr>
                <w:szCs w:val="24"/>
              </w:rPr>
            </w:pPr>
            <w:r w:rsidRPr="00E41710">
              <w:rPr>
                <w:szCs w:val="24"/>
              </w:rPr>
              <w:t>9.2</w:t>
            </w:r>
          </w:p>
        </w:tc>
        <w:tc>
          <w:tcPr>
            <w:tcW w:w="1576" w:type="dxa"/>
          </w:tcPr>
          <w:p w:rsidR="00E41710" w:rsidRPr="00E41710" w:rsidRDefault="00E41710" w:rsidP="00375F5C">
            <w:pPr>
              <w:pStyle w:val="Normal-em"/>
              <w:jc w:val="right"/>
              <w:rPr>
                <w:szCs w:val="24"/>
              </w:rPr>
            </w:pPr>
            <w:r w:rsidRPr="00E41710">
              <w:rPr>
                <w:szCs w:val="24"/>
              </w:rPr>
              <w:t>165.3</w:t>
            </w:r>
          </w:p>
        </w:tc>
      </w:tr>
      <w:tr w:rsidR="00E41710" w:rsidRPr="00E41710" w:rsidTr="00E41710">
        <w:tc>
          <w:tcPr>
            <w:tcW w:w="763" w:type="dxa"/>
          </w:tcPr>
          <w:p w:rsidR="00E41710" w:rsidRPr="00E41710" w:rsidRDefault="00E41710" w:rsidP="00E41710">
            <w:pPr>
              <w:pStyle w:val="Normal-em"/>
              <w:rPr>
                <w:szCs w:val="24"/>
              </w:rPr>
            </w:pPr>
            <w:r w:rsidRPr="00E41710">
              <w:rPr>
                <w:szCs w:val="24"/>
              </w:rPr>
              <w:t>21</w:t>
            </w:r>
          </w:p>
        </w:tc>
        <w:tc>
          <w:tcPr>
            <w:tcW w:w="1926" w:type="dxa"/>
          </w:tcPr>
          <w:p w:rsidR="00E41710" w:rsidRPr="00E41710" w:rsidRDefault="00E41710" w:rsidP="00E41710">
            <w:pPr>
              <w:pStyle w:val="Normal-em"/>
              <w:rPr>
                <w:szCs w:val="24"/>
              </w:rPr>
            </w:pPr>
            <w:r w:rsidRPr="00E41710">
              <w:rPr>
                <w:szCs w:val="24"/>
              </w:rPr>
              <w:t>Broken (SS5)</w:t>
            </w:r>
          </w:p>
        </w:tc>
        <w:tc>
          <w:tcPr>
            <w:tcW w:w="1559" w:type="dxa"/>
          </w:tcPr>
          <w:p w:rsidR="00E41710" w:rsidRPr="00E41710" w:rsidRDefault="00E41710" w:rsidP="00375F5C">
            <w:pPr>
              <w:pStyle w:val="Normal-em"/>
              <w:jc w:val="right"/>
              <w:rPr>
                <w:szCs w:val="24"/>
              </w:rPr>
            </w:pPr>
            <w:r w:rsidRPr="00E41710">
              <w:rPr>
                <w:szCs w:val="24"/>
              </w:rPr>
              <w:t>1.1</w:t>
            </w:r>
          </w:p>
        </w:tc>
        <w:tc>
          <w:tcPr>
            <w:tcW w:w="1661" w:type="dxa"/>
          </w:tcPr>
          <w:p w:rsidR="00E41710" w:rsidRPr="00E41710" w:rsidRDefault="00E41710" w:rsidP="00375F5C">
            <w:pPr>
              <w:pStyle w:val="Normal-em"/>
              <w:jc w:val="right"/>
              <w:rPr>
                <w:szCs w:val="24"/>
              </w:rPr>
            </w:pPr>
            <w:r w:rsidRPr="00E41710">
              <w:rPr>
                <w:szCs w:val="24"/>
              </w:rPr>
              <w:t>0.18</w:t>
            </w:r>
          </w:p>
        </w:tc>
        <w:tc>
          <w:tcPr>
            <w:tcW w:w="1576" w:type="dxa"/>
          </w:tcPr>
          <w:p w:rsidR="00E41710" w:rsidRPr="00E41710" w:rsidRDefault="00E41710" w:rsidP="00375F5C">
            <w:pPr>
              <w:pStyle w:val="Normal-em"/>
              <w:jc w:val="right"/>
              <w:rPr>
                <w:szCs w:val="24"/>
              </w:rPr>
            </w:pPr>
            <w:r w:rsidRPr="00E41710">
              <w:rPr>
                <w:szCs w:val="24"/>
              </w:rPr>
              <w:t>0.1</w:t>
            </w:r>
          </w:p>
        </w:tc>
        <w:tc>
          <w:tcPr>
            <w:tcW w:w="1576" w:type="dxa"/>
          </w:tcPr>
          <w:p w:rsidR="00E41710" w:rsidRPr="00E41710" w:rsidRDefault="00E41710" w:rsidP="00375F5C">
            <w:pPr>
              <w:pStyle w:val="Normal-em"/>
              <w:jc w:val="right"/>
              <w:rPr>
                <w:szCs w:val="24"/>
              </w:rPr>
            </w:pPr>
            <w:r w:rsidRPr="00E41710">
              <w:rPr>
                <w:szCs w:val="24"/>
              </w:rPr>
              <w:t>1.0</w:t>
            </w:r>
          </w:p>
        </w:tc>
      </w:tr>
      <w:tr w:rsidR="00E41710" w:rsidRPr="00E41710" w:rsidTr="00E41710">
        <w:tc>
          <w:tcPr>
            <w:tcW w:w="763" w:type="dxa"/>
          </w:tcPr>
          <w:p w:rsidR="00E41710" w:rsidRPr="00E41710" w:rsidRDefault="00E41710" w:rsidP="00E41710">
            <w:pPr>
              <w:pStyle w:val="Normal-em"/>
              <w:rPr>
                <w:szCs w:val="24"/>
              </w:rPr>
            </w:pPr>
            <w:r w:rsidRPr="00E41710">
              <w:rPr>
                <w:szCs w:val="24"/>
              </w:rPr>
              <w:t>22</w:t>
            </w:r>
          </w:p>
        </w:tc>
        <w:tc>
          <w:tcPr>
            <w:tcW w:w="1926" w:type="dxa"/>
          </w:tcPr>
          <w:p w:rsidR="00E41710" w:rsidRPr="00E41710" w:rsidRDefault="00E41710" w:rsidP="00E41710">
            <w:pPr>
              <w:pStyle w:val="Normal-em"/>
              <w:rPr>
                <w:szCs w:val="24"/>
              </w:rPr>
            </w:pPr>
            <w:r w:rsidRPr="00E41710">
              <w:rPr>
                <w:szCs w:val="24"/>
              </w:rPr>
              <w:t>Campaspe (SS7)</w:t>
            </w:r>
          </w:p>
        </w:tc>
        <w:tc>
          <w:tcPr>
            <w:tcW w:w="1559" w:type="dxa"/>
          </w:tcPr>
          <w:p w:rsidR="00E41710" w:rsidRPr="00E41710" w:rsidRDefault="00E41710" w:rsidP="00375F5C">
            <w:pPr>
              <w:pStyle w:val="Normal-em"/>
              <w:jc w:val="right"/>
              <w:rPr>
                <w:szCs w:val="24"/>
              </w:rPr>
            </w:pPr>
            <w:r w:rsidRPr="00E41710">
              <w:rPr>
                <w:szCs w:val="24"/>
              </w:rPr>
              <w:t>2.6</w:t>
            </w:r>
          </w:p>
        </w:tc>
        <w:tc>
          <w:tcPr>
            <w:tcW w:w="1661" w:type="dxa"/>
          </w:tcPr>
          <w:p w:rsidR="00E41710" w:rsidRPr="00E41710" w:rsidRDefault="00E41710" w:rsidP="00375F5C">
            <w:pPr>
              <w:pStyle w:val="Normal-em"/>
              <w:jc w:val="right"/>
              <w:rPr>
                <w:szCs w:val="24"/>
              </w:rPr>
            </w:pPr>
            <w:r w:rsidRPr="00E41710">
              <w:rPr>
                <w:szCs w:val="24"/>
              </w:rPr>
              <w:t>0.43</w:t>
            </w:r>
          </w:p>
        </w:tc>
        <w:tc>
          <w:tcPr>
            <w:tcW w:w="1576" w:type="dxa"/>
          </w:tcPr>
          <w:p w:rsidR="00E41710" w:rsidRPr="00E41710" w:rsidRDefault="00E41710" w:rsidP="00375F5C">
            <w:pPr>
              <w:pStyle w:val="Normal-em"/>
              <w:jc w:val="right"/>
              <w:rPr>
                <w:szCs w:val="24"/>
              </w:rPr>
            </w:pPr>
            <w:r w:rsidRPr="00E41710">
              <w:rPr>
                <w:szCs w:val="24"/>
              </w:rPr>
              <w:t>0.1</w:t>
            </w:r>
          </w:p>
        </w:tc>
        <w:tc>
          <w:tcPr>
            <w:tcW w:w="1576" w:type="dxa"/>
          </w:tcPr>
          <w:p w:rsidR="00E41710" w:rsidRPr="00E41710" w:rsidRDefault="00E41710" w:rsidP="00375F5C">
            <w:pPr>
              <w:pStyle w:val="Normal-em"/>
              <w:jc w:val="right"/>
              <w:rPr>
                <w:szCs w:val="24"/>
              </w:rPr>
            </w:pPr>
            <w:r w:rsidRPr="00E41710">
              <w:rPr>
                <w:szCs w:val="24"/>
              </w:rPr>
              <w:t>2.5</w:t>
            </w:r>
          </w:p>
        </w:tc>
      </w:tr>
      <w:tr w:rsidR="00E41710" w:rsidRPr="00E41710" w:rsidTr="00E41710">
        <w:tc>
          <w:tcPr>
            <w:tcW w:w="763" w:type="dxa"/>
          </w:tcPr>
          <w:p w:rsidR="00E41710" w:rsidRPr="00E41710" w:rsidRDefault="00E41710" w:rsidP="00E41710">
            <w:pPr>
              <w:pStyle w:val="Normal-em"/>
              <w:rPr>
                <w:szCs w:val="24"/>
              </w:rPr>
            </w:pPr>
            <w:r w:rsidRPr="00E41710">
              <w:rPr>
                <w:szCs w:val="24"/>
              </w:rPr>
              <w:t>23</w:t>
            </w:r>
          </w:p>
        </w:tc>
        <w:tc>
          <w:tcPr>
            <w:tcW w:w="1926" w:type="dxa"/>
          </w:tcPr>
          <w:p w:rsidR="00E41710" w:rsidRPr="00E41710" w:rsidRDefault="00E41710" w:rsidP="00E41710">
            <w:pPr>
              <w:pStyle w:val="Normal-em"/>
              <w:rPr>
                <w:szCs w:val="24"/>
              </w:rPr>
            </w:pPr>
            <w:r w:rsidRPr="00E41710">
              <w:rPr>
                <w:szCs w:val="24"/>
              </w:rPr>
              <w:t>Loddon (SS8)</w:t>
            </w:r>
          </w:p>
        </w:tc>
        <w:tc>
          <w:tcPr>
            <w:tcW w:w="1559" w:type="dxa"/>
          </w:tcPr>
          <w:p w:rsidR="00E41710" w:rsidRPr="00E41710" w:rsidRDefault="00E41710" w:rsidP="00375F5C">
            <w:pPr>
              <w:pStyle w:val="Normal-em"/>
              <w:jc w:val="right"/>
              <w:rPr>
                <w:szCs w:val="24"/>
              </w:rPr>
            </w:pPr>
            <w:r w:rsidRPr="00E41710">
              <w:rPr>
                <w:szCs w:val="24"/>
              </w:rPr>
              <w:t>10.9</w:t>
            </w:r>
          </w:p>
        </w:tc>
        <w:tc>
          <w:tcPr>
            <w:tcW w:w="1661" w:type="dxa"/>
          </w:tcPr>
          <w:p w:rsidR="00E41710" w:rsidRPr="00E41710" w:rsidRDefault="00E41710" w:rsidP="00375F5C">
            <w:pPr>
              <w:pStyle w:val="Normal-em"/>
              <w:jc w:val="right"/>
              <w:rPr>
                <w:szCs w:val="24"/>
              </w:rPr>
            </w:pPr>
            <w:r w:rsidRPr="00E41710">
              <w:rPr>
                <w:szCs w:val="24"/>
              </w:rPr>
              <w:t>1.80</w:t>
            </w:r>
          </w:p>
        </w:tc>
        <w:tc>
          <w:tcPr>
            <w:tcW w:w="1576" w:type="dxa"/>
          </w:tcPr>
          <w:p w:rsidR="00E41710" w:rsidRPr="00E41710" w:rsidRDefault="00E41710" w:rsidP="00375F5C">
            <w:pPr>
              <w:pStyle w:val="Normal-em"/>
              <w:jc w:val="right"/>
              <w:rPr>
                <w:szCs w:val="24"/>
              </w:rPr>
            </w:pPr>
            <w:r w:rsidRPr="00E41710">
              <w:rPr>
                <w:szCs w:val="24"/>
              </w:rPr>
              <w:t>0.6</w:t>
            </w:r>
          </w:p>
        </w:tc>
        <w:tc>
          <w:tcPr>
            <w:tcW w:w="1576" w:type="dxa"/>
          </w:tcPr>
          <w:p w:rsidR="00E41710" w:rsidRPr="00E41710" w:rsidRDefault="00E41710" w:rsidP="00375F5C">
            <w:pPr>
              <w:pStyle w:val="Normal-em"/>
              <w:jc w:val="right"/>
              <w:rPr>
                <w:szCs w:val="24"/>
              </w:rPr>
            </w:pPr>
            <w:r w:rsidRPr="00E41710">
              <w:rPr>
                <w:szCs w:val="24"/>
              </w:rPr>
              <w:t>10.3</w:t>
            </w:r>
          </w:p>
        </w:tc>
      </w:tr>
      <w:tr w:rsidR="00E41710" w:rsidRPr="00E41710" w:rsidTr="00E41710">
        <w:tc>
          <w:tcPr>
            <w:tcW w:w="763" w:type="dxa"/>
          </w:tcPr>
          <w:p w:rsidR="00E41710" w:rsidRPr="00E41710" w:rsidRDefault="00E41710" w:rsidP="00E41710">
            <w:pPr>
              <w:pStyle w:val="Normal-em"/>
              <w:rPr>
                <w:szCs w:val="24"/>
              </w:rPr>
            </w:pPr>
            <w:r w:rsidRPr="00E41710">
              <w:rPr>
                <w:szCs w:val="24"/>
              </w:rPr>
              <w:t>24</w:t>
            </w:r>
          </w:p>
        </w:tc>
        <w:tc>
          <w:tcPr>
            <w:tcW w:w="1926" w:type="dxa"/>
          </w:tcPr>
          <w:p w:rsidR="00E41710" w:rsidRPr="00E41710" w:rsidRDefault="00E41710" w:rsidP="00E41710">
            <w:pPr>
              <w:pStyle w:val="Normal-em"/>
              <w:rPr>
                <w:szCs w:val="24"/>
              </w:rPr>
            </w:pPr>
            <w:r w:rsidRPr="00E41710">
              <w:rPr>
                <w:szCs w:val="24"/>
              </w:rPr>
              <w:t>Wimmera-Mallee (surface water) (SS9)</w:t>
            </w:r>
          </w:p>
        </w:tc>
        <w:tc>
          <w:tcPr>
            <w:tcW w:w="1559" w:type="dxa"/>
          </w:tcPr>
          <w:p w:rsidR="00E41710" w:rsidRPr="00E41710" w:rsidRDefault="00E41710" w:rsidP="00375F5C">
            <w:pPr>
              <w:pStyle w:val="Normal-em"/>
              <w:jc w:val="right"/>
              <w:rPr>
                <w:szCs w:val="24"/>
              </w:rPr>
            </w:pPr>
            <w:r w:rsidRPr="00E41710">
              <w:rPr>
                <w:szCs w:val="24"/>
              </w:rPr>
              <w:t>0.0</w:t>
            </w:r>
          </w:p>
        </w:tc>
        <w:tc>
          <w:tcPr>
            <w:tcW w:w="1661" w:type="dxa"/>
          </w:tcPr>
          <w:p w:rsidR="00E41710" w:rsidRPr="00E41710" w:rsidRDefault="00E41710" w:rsidP="00375F5C">
            <w:pPr>
              <w:pStyle w:val="Normal-em"/>
              <w:jc w:val="right"/>
              <w:rPr>
                <w:szCs w:val="24"/>
              </w:rPr>
            </w:pPr>
            <w:r w:rsidRPr="00E41710">
              <w:rPr>
                <w:szCs w:val="24"/>
              </w:rPr>
              <w:t>0.00</w:t>
            </w:r>
          </w:p>
        </w:tc>
        <w:tc>
          <w:tcPr>
            <w:tcW w:w="1576" w:type="dxa"/>
          </w:tcPr>
          <w:p w:rsidR="00E41710" w:rsidRPr="00E41710" w:rsidRDefault="00E41710" w:rsidP="00375F5C">
            <w:pPr>
              <w:pStyle w:val="Normal-em"/>
              <w:jc w:val="right"/>
              <w:rPr>
                <w:szCs w:val="24"/>
              </w:rPr>
            </w:pPr>
            <w:r w:rsidRPr="00E41710">
              <w:rPr>
                <w:szCs w:val="24"/>
              </w:rPr>
              <w:t>0.0</w:t>
            </w:r>
          </w:p>
        </w:tc>
        <w:tc>
          <w:tcPr>
            <w:tcW w:w="1576" w:type="dxa"/>
          </w:tcPr>
          <w:p w:rsidR="00E41710" w:rsidRPr="00E41710" w:rsidRDefault="00E41710" w:rsidP="00375F5C">
            <w:pPr>
              <w:pStyle w:val="Normal-em"/>
              <w:jc w:val="right"/>
              <w:rPr>
                <w:szCs w:val="24"/>
              </w:rPr>
            </w:pPr>
            <w:r w:rsidRPr="00E41710">
              <w:rPr>
                <w:szCs w:val="24"/>
              </w:rPr>
              <w:t>0.0</w:t>
            </w:r>
          </w:p>
        </w:tc>
      </w:tr>
      <w:tr w:rsidR="00E41710" w:rsidRPr="00E41710" w:rsidTr="00E41710">
        <w:tc>
          <w:tcPr>
            <w:tcW w:w="763" w:type="dxa"/>
          </w:tcPr>
          <w:p w:rsidR="00E41710" w:rsidRPr="00E41710" w:rsidRDefault="00E41710" w:rsidP="00E41710">
            <w:pPr>
              <w:pStyle w:val="Normal-em"/>
              <w:rPr>
                <w:szCs w:val="24"/>
              </w:rPr>
            </w:pPr>
            <w:r w:rsidRPr="00E41710">
              <w:rPr>
                <w:szCs w:val="24"/>
              </w:rPr>
              <w:t>25</w:t>
            </w:r>
          </w:p>
        </w:tc>
        <w:tc>
          <w:tcPr>
            <w:tcW w:w="1926" w:type="dxa"/>
          </w:tcPr>
          <w:p w:rsidR="00E41710" w:rsidRPr="00E41710" w:rsidRDefault="00E41710" w:rsidP="00E41710">
            <w:pPr>
              <w:pStyle w:val="Normal-em"/>
              <w:rPr>
                <w:szCs w:val="24"/>
              </w:rPr>
            </w:pPr>
            <w:r w:rsidRPr="00E41710">
              <w:rPr>
                <w:szCs w:val="24"/>
              </w:rPr>
              <w:t>South Australian Murray (SS11)</w:t>
            </w:r>
          </w:p>
        </w:tc>
        <w:tc>
          <w:tcPr>
            <w:tcW w:w="1559" w:type="dxa"/>
          </w:tcPr>
          <w:p w:rsidR="00E41710" w:rsidRPr="00E41710" w:rsidRDefault="00E41710" w:rsidP="00375F5C">
            <w:pPr>
              <w:pStyle w:val="Normal-em"/>
              <w:jc w:val="right"/>
              <w:rPr>
                <w:szCs w:val="24"/>
              </w:rPr>
            </w:pPr>
            <w:r w:rsidRPr="00E41710">
              <w:rPr>
                <w:szCs w:val="24"/>
              </w:rPr>
              <w:t>52.0</w:t>
            </w:r>
          </w:p>
        </w:tc>
        <w:tc>
          <w:tcPr>
            <w:tcW w:w="1661" w:type="dxa"/>
          </w:tcPr>
          <w:p w:rsidR="00E41710" w:rsidRPr="00E41710" w:rsidRDefault="00E41710" w:rsidP="00375F5C">
            <w:pPr>
              <w:pStyle w:val="Normal-em"/>
              <w:jc w:val="right"/>
              <w:rPr>
                <w:szCs w:val="24"/>
              </w:rPr>
            </w:pPr>
            <w:r w:rsidRPr="00E41710">
              <w:rPr>
                <w:szCs w:val="24"/>
              </w:rPr>
              <w:t>8.60</w:t>
            </w:r>
          </w:p>
        </w:tc>
        <w:tc>
          <w:tcPr>
            <w:tcW w:w="1576" w:type="dxa"/>
          </w:tcPr>
          <w:p w:rsidR="00E41710" w:rsidRPr="00E41710" w:rsidRDefault="00E41710" w:rsidP="00375F5C">
            <w:pPr>
              <w:pStyle w:val="Normal-em"/>
              <w:jc w:val="right"/>
              <w:rPr>
                <w:szCs w:val="24"/>
              </w:rPr>
            </w:pPr>
            <w:r w:rsidRPr="00E41710">
              <w:rPr>
                <w:szCs w:val="24"/>
              </w:rPr>
              <w:t>2.8</w:t>
            </w:r>
          </w:p>
        </w:tc>
        <w:tc>
          <w:tcPr>
            <w:tcW w:w="1576" w:type="dxa"/>
          </w:tcPr>
          <w:p w:rsidR="00E41710" w:rsidRPr="00E41710" w:rsidRDefault="00E41710" w:rsidP="00375F5C">
            <w:pPr>
              <w:pStyle w:val="Normal-em"/>
              <w:jc w:val="right"/>
              <w:rPr>
                <w:szCs w:val="24"/>
              </w:rPr>
            </w:pPr>
            <w:r w:rsidRPr="00E41710">
              <w:rPr>
                <w:szCs w:val="24"/>
              </w:rPr>
              <w:t>49.2</w:t>
            </w:r>
          </w:p>
        </w:tc>
      </w:tr>
      <w:tr w:rsidR="00E41710" w:rsidRPr="00E41710" w:rsidTr="00E41710">
        <w:tc>
          <w:tcPr>
            <w:tcW w:w="763" w:type="dxa"/>
          </w:tcPr>
          <w:p w:rsidR="00E41710" w:rsidRPr="00E41710" w:rsidRDefault="00E41710" w:rsidP="00E41710">
            <w:pPr>
              <w:pStyle w:val="Normal-em"/>
              <w:rPr>
                <w:szCs w:val="24"/>
              </w:rPr>
            </w:pPr>
            <w:r w:rsidRPr="00E41710">
              <w:rPr>
                <w:szCs w:val="24"/>
              </w:rPr>
              <w:t>26</w:t>
            </w:r>
          </w:p>
        </w:tc>
        <w:tc>
          <w:tcPr>
            <w:tcW w:w="1926" w:type="dxa"/>
          </w:tcPr>
          <w:p w:rsidR="00E41710" w:rsidRPr="00E41710" w:rsidRDefault="00E41710" w:rsidP="00E41710">
            <w:pPr>
              <w:pStyle w:val="Normal-em"/>
              <w:rPr>
                <w:szCs w:val="24"/>
              </w:rPr>
            </w:pPr>
            <w:r w:rsidRPr="00E41710">
              <w:rPr>
                <w:szCs w:val="24"/>
              </w:rPr>
              <w:t>South Australian Non-Prescribed Areas (SS10)</w:t>
            </w:r>
          </w:p>
        </w:tc>
        <w:tc>
          <w:tcPr>
            <w:tcW w:w="1559" w:type="dxa"/>
          </w:tcPr>
          <w:p w:rsidR="00E41710" w:rsidRPr="00E41710" w:rsidRDefault="00E41710" w:rsidP="00375F5C">
            <w:pPr>
              <w:pStyle w:val="Normal-em"/>
              <w:jc w:val="right"/>
              <w:rPr>
                <w:szCs w:val="24"/>
              </w:rPr>
            </w:pPr>
            <w:r w:rsidRPr="00E41710">
              <w:rPr>
                <w:szCs w:val="24"/>
              </w:rPr>
              <w:t>0.0</w:t>
            </w:r>
          </w:p>
        </w:tc>
        <w:tc>
          <w:tcPr>
            <w:tcW w:w="1661" w:type="dxa"/>
          </w:tcPr>
          <w:p w:rsidR="00E41710" w:rsidRPr="00E41710" w:rsidRDefault="00E41710" w:rsidP="00375F5C">
            <w:pPr>
              <w:pStyle w:val="Normal-em"/>
              <w:jc w:val="right"/>
              <w:rPr>
                <w:szCs w:val="24"/>
              </w:rPr>
            </w:pPr>
            <w:r w:rsidRPr="00E41710">
              <w:rPr>
                <w:szCs w:val="24"/>
              </w:rPr>
              <w:t>0.00</w:t>
            </w:r>
          </w:p>
        </w:tc>
        <w:tc>
          <w:tcPr>
            <w:tcW w:w="1576" w:type="dxa"/>
          </w:tcPr>
          <w:p w:rsidR="00E41710" w:rsidRPr="00E41710" w:rsidRDefault="00E41710" w:rsidP="00375F5C">
            <w:pPr>
              <w:pStyle w:val="Normal-em"/>
              <w:jc w:val="right"/>
              <w:rPr>
                <w:szCs w:val="24"/>
              </w:rPr>
            </w:pPr>
            <w:r w:rsidRPr="00E41710">
              <w:rPr>
                <w:szCs w:val="24"/>
              </w:rPr>
              <w:t>0.0</w:t>
            </w:r>
          </w:p>
        </w:tc>
        <w:tc>
          <w:tcPr>
            <w:tcW w:w="1576" w:type="dxa"/>
          </w:tcPr>
          <w:p w:rsidR="00E41710" w:rsidRPr="00E41710" w:rsidRDefault="00E41710" w:rsidP="00375F5C">
            <w:pPr>
              <w:pStyle w:val="Normal-em"/>
              <w:jc w:val="right"/>
              <w:rPr>
                <w:szCs w:val="24"/>
              </w:rPr>
            </w:pPr>
            <w:r w:rsidRPr="00E41710">
              <w:rPr>
                <w:szCs w:val="24"/>
              </w:rPr>
              <w:t>0.0</w:t>
            </w:r>
          </w:p>
        </w:tc>
      </w:tr>
      <w:tr w:rsidR="00E41710" w:rsidRPr="00E41710" w:rsidTr="00E41710">
        <w:tc>
          <w:tcPr>
            <w:tcW w:w="763" w:type="dxa"/>
          </w:tcPr>
          <w:p w:rsidR="00E41710" w:rsidRPr="00E41710" w:rsidRDefault="00E41710" w:rsidP="00E41710">
            <w:pPr>
              <w:pStyle w:val="Normal-em"/>
              <w:rPr>
                <w:szCs w:val="24"/>
              </w:rPr>
            </w:pPr>
            <w:r w:rsidRPr="00E41710">
              <w:rPr>
                <w:szCs w:val="24"/>
              </w:rPr>
              <w:t>27</w:t>
            </w:r>
          </w:p>
        </w:tc>
        <w:tc>
          <w:tcPr>
            <w:tcW w:w="1926" w:type="dxa"/>
          </w:tcPr>
          <w:p w:rsidR="00E41710" w:rsidRPr="00E41710" w:rsidRDefault="00E41710" w:rsidP="00E41710">
            <w:pPr>
              <w:pStyle w:val="Normal-em"/>
              <w:rPr>
                <w:szCs w:val="24"/>
              </w:rPr>
            </w:pPr>
            <w:r w:rsidRPr="00E41710">
              <w:rPr>
                <w:szCs w:val="24"/>
              </w:rPr>
              <w:t>Eastern Mount Lofty Ranges (SS13)</w:t>
            </w:r>
          </w:p>
        </w:tc>
        <w:tc>
          <w:tcPr>
            <w:tcW w:w="1559" w:type="dxa"/>
          </w:tcPr>
          <w:p w:rsidR="00E41710" w:rsidRPr="00E41710" w:rsidRDefault="00E41710" w:rsidP="00375F5C">
            <w:pPr>
              <w:pStyle w:val="Normal-em"/>
              <w:jc w:val="right"/>
              <w:rPr>
                <w:szCs w:val="24"/>
              </w:rPr>
            </w:pPr>
            <w:r w:rsidRPr="00E41710">
              <w:rPr>
                <w:szCs w:val="24"/>
              </w:rPr>
              <w:t>0.0</w:t>
            </w:r>
          </w:p>
        </w:tc>
        <w:tc>
          <w:tcPr>
            <w:tcW w:w="1661" w:type="dxa"/>
          </w:tcPr>
          <w:p w:rsidR="00E41710" w:rsidRPr="00E41710" w:rsidRDefault="00E41710" w:rsidP="00375F5C">
            <w:pPr>
              <w:pStyle w:val="Normal-em"/>
              <w:jc w:val="right"/>
              <w:rPr>
                <w:szCs w:val="24"/>
              </w:rPr>
            </w:pPr>
            <w:r w:rsidRPr="00E41710">
              <w:rPr>
                <w:szCs w:val="24"/>
              </w:rPr>
              <w:t>0.00</w:t>
            </w:r>
          </w:p>
        </w:tc>
        <w:tc>
          <w:tcPr>
            <w:tcW w:w="1576" w:type="dxa"/>
          </w:tcPr>
          <w:p w:rsidR="00E41710" w:rsidRPr="00E41710" w:rsidRDefault="00E41710" w:rsidP="00375F5C">
            <w:pPr>
              <w:pStyle w:val="Normal-em"/>
              <w:jc w:val="right"/>
              <w:rPr>
                <w:szCs w:val="24"/>
              </w:rPr>
            </w:pPr>
            <w:r w:rsidRPr="00E41710">
              <w:rPr>
                <w:szCs w:val="24"/>
              </w:rPr>
              <w:t>0.0</w:t>
            </w:r>
          </w:p>
        </w:tc>
        <w:tc>
          <w:tcPr>
            <w:tcW w:w="1576" w:type="dxa"/>
          </w:tcPr>
          <w:p w:rsidR="00E41710" w:rsidRPr="00E41710" w:rsidRDefault="00E41710" w:rsidP="00375F5C">
            <w:pPr>
              <w:pStyle w:val="Normal-em"/>
              <w:jc w:val="right"/>
              <w:rPr>
                <w:szCs w:val="24"/>
              </w:rPr>
            </w:pPr>
            <w:r w:rsidRPr="00E41710">
              <w:rPr>
                <w:szCs w:val="24"/>
              </w:rPr>
              <w:t>0.0</w:t>
            </w:r>
          </w:p>
        </w:tc>
      </w:tr>
      <w:tr w:rsidR="00E41710" w:rsidRPr="00E41710" w:rsidTr="00E41710">
        <w:tc>
          <w:tcPr>
            <w:tcW w:w="763" w:type="dxa"/>
          </w:tcPr>
          <w:p w:rsidR="00E41710" w:rsidRPr="00E41710" w:rsidRDefault="00E41710" w:rsidP="00E41710">
            <w:pPr>
              <w:pStyle w:val="Normal-em"/>
              <w:rPr>
                <w:szCs w:val="24"/>
              </w:rPr>
            </w:pPr>
            <w:r w:rsidRPr="00E41710">
              <w:rPr>
                <w:szCs w:val="24"/>
              </w:rPr>
              <w:t>28</w:t>
            </w:r>
          </w:p>
        </w:tc>
        <w:tc>
          <w:tcPr>
            <w:tcW w:w="1926" w:type="dxa"/>
          </w:tcPr>
          <w:p w:rsidR="00E41710" w:rsidRPr="00E41710" w:rsidRDefault="00E41710" w:rsidP="00E41710">
            <w:pPr>
              <w:pStyle w:val="Normal-em"/>
              <w:rPr>
                <w:szCs w:val="24"/>
              </w:rPr>
            </w:pPr>
            <w:r w:rsidRPr="00E41710">
              <w:rPr>
                <w:szCs w:val="24"/>
              </w:rPr>
              <w:t>Marne-Saunders (SS12)</w:t>
            </w:r>
          </w:p>
        </w:tc>
        <w:tc>
          <w:tcPr>
            <w:tcW w:w="1559" w:type="dxa"/>
          </w:tcPr>
          <w:p w:rsidR="00E41710" w:rsidRPr="00E41710" w:rsidRDefault="00E41710" w:rsidP="00375F5C">
            <w:pPr>
              <w:pStyle w:val="Normal-em"/>
              <w:jc w:val="right"/>
              <w:rPr>
                <w:szCs w:val="24"/>
              </w:rPr>
            </w:pPr>
            <w:r w:rsidRPr="00E41710">
              <w:rPr>
                <w:szCs w:val="24"/>
              </w:rPr>
              <w:t>0.0</w:t>
            </w:r>
          </w:p>
        </w:tc>
        <w:tc>
          <w:tcPr>
            <w:tcW w:w="1661" w:type="dxa"/>
          </w:tcPr>
          <w:p w:rsidR="00E41710" w:rsidRPr="00E41710" w:rsidRDefault="00E41710" w:rsidP="00375F5C">
            <w:pPr>
              <w:pStyle w:val="Normal-em"/>
              <w:jc w:val="right"/>
              <w:rPr>
                <w:szCs w:val="24"/>
              </w:rPr>
            </w:pPr>
            <w:r w:rsidRPr="00E41710">
              <w:rPr>
                <w:szCs w:val="24"/>
              </w:rPr>
              <w:t>0.00</w:t>
            </w:r>
          </w:p>
        </w:tc>
        <w:tc>
          <w:tcPr>
            <w:tcW w:w="1576" w:type="dxa"/>
          </w:tcPr>
          <w:p w:rsidR="00E41710" w:rsidRPr="00E41710" w:rsidRDefault="00E41710" w:rsidP="00375F5C">
            <w:pPr>
              <w:pStyle w:val="Normal-em"/>
              <w:jc w:val="right"/>
              <w:rPr>
                <w:szCs w:val="24"/>
              </w:rPr>
            </w:pPr>
            <w:r w:rsidRPr="00E41710">
              <w:rPr>
                <w:szCs w:val="24"/>
              </w:rPr>
              <w:t>0.0</w:t>
            </w:r>
          </w:p>
        </w:tc>
        <w:tc>
          <w:tcPr>
            <w:tcW w:w="1576" w:type="dxa"/>
          </w:tcPr>
          <w:p w:rsidR="00E41710" w:rsidRPr="00E41710" w:rsidRDefault="00E41710" w:rsidP="00375F5C">
            <w:pPr>
              <w:pStyle w:val="Normal-em"/>
              <w:jc w:val="right"/>
              <w:rPr>
                <w:szCs w:val="24"/>
              </w:rPr>
            </w:pPr>
            <w:r w:rsidRPr="00E41710">
              <w:rPr>
                <w:szCs w:val="24"/>
              </w:rPr>
              <w:t>0.0</w:t>
            </w:r>
          </w:p>
        </w:tc>
      </w:tr>
      <w:tr w:rsidR="00E41710" w:rsidRPr="00E41710" w:rsidTr="00E41710">
        <w:tc>
          <w:tcPr>
            <w:tcW w:w="763" w:type="dxa"/>
          </w:tcPr>
          <w:p w:rsidR="00E41710" w:rsidRPr="00E41710" w:rsidRDefault="00E41710" w:rsidP="00E41710">
            <w:pPr>
              <w:pStyle w:val="Normal-em"/>
              <w:rPr>
                <w:szCs w:val="24"/>
              </w:rPr>
            </w:pPr>
            <w:r w:rsidRPr="00E41710">
              <w:rPr>
                <w:szCs w:val="24"/>
              </w:rPr>
              <w:lastRenderedPageBreak/>
              <w:t>29</w:t>
            </w:r>
          </w:p>
        </w:tc>
        <w:tc>
          <w:tcPr>
            <w:tcW w:w="1926" w:type="dxa"/>
          </w:tcPr>
          <w:p w:rsidR="00E41710" w:rsidRPr="00E41710" w:rsidRDefault="00E41710" w:rsidP="00E41710">
            <w:pPr>
              <w:pStyle w:val="Normal-em"/>
              <w:rPr>
                <w:szCs w:val="24"/>
              </w:rPr>
            </w:pPr>
            <w:r w:rsidRPr="00E41710">
              <w:rPr>
                <w:szCs w:val="24"/>
              </w:rPr>
              <w:t>Australian Capital Territory (SS1)</w:t>
            </w:r>
          </w:p>
        </w:tc>
        <w:tc>
          <w:tcPr>
            <w:tcW w:w="1559" w:type="dxa"/>
          </w:tcPr>
          <w:p w:rsidR="00E41710" w:rsidRPr="00E41710" w:rsidRDefault="00E41710" w:rsidP="00375F5C">
            <w:pPr>
              <w:pStyle w:val="Normal-em"/>
              <w:jc w:val="right"/>
              <w:rPr>
                <w:szCs w:val="24"/>
              </w:rPr>
            </w:pPr>
            <w:r w:rsidRPr="00E41710">
              <w:rPr>
                <w:szCs w:val="24"/>
              </w:rPr>
              <w:t>0.0</w:t>
            </w:r>
          </w:p>
        </w:tc>
        <w:tc>
          <w:tcPr>
            <w:tcW w:w="1661" w:type="dxa"/>
          </w:tcPr>
          <w:p w:rsidR="00E41710" w:rsidRPr="00E41710" w:rsidRDefault="00E41710" w:rsidP="00375F5C">
            <w:pPr>
              <w:pStyle w:val="Normal-em"/>
              <w:jc w:val="right"/>
              <w:rPr>
                <w:szCs w:val="24"/>
              </w:rPr>
            </w:pPr>
            <w:r w:rsidRPr="00E41710">
              <w:rPr>
                <w:szCs w:val="24"/>
              </w:rPr>
              <w:t>0.00</w:t>
            </w:r>
          </w:p>
        </w:tc>
        <w:tc>
          <w:tcPr>
            <w:tcW w:w="1576" w:type="dxa"/>
          </w:tcPr>
          <w:p w:rsidR="00E41710" w:rsidRPr="00E41710" w:rsidRDefault="00E41710" w:rsidP="00375F5C">
            <w:pPr>
              <w:pStyle w:val="Normal-em"/>
              <w:jc w:val="right"/>
              <w:rPr>
                <w:szCs w:val="24"/>
              </w:rPr>
            </w:pPr>
            <w:r w:rsidRPr="00E41710">
              <w:rPr>
                <w:szCs w:val="24"/>
              </w:rPr>
              <w:t>0.0</w:t>
            </w:r>
          </w:p>
        </w:tc>
        <w:tc>
          <w:tcPr>
            <w:tcW w:w="1576" w:type="dxa"/>
          </w:tcPr>
          <w:p w:rsidR="00E41710" w:rsidRPr="00E41710" w:rsidRDefault="00E41710" w:rsidP="00375F5C">
            <w:pPr>
              <w:pStyle w:val="Normal-em"/>
              <w:jc w:val="right"/>
              <w:rPr>
                <w:szCs w:val="24"/>
              </w:rPr>
            </w:pPr>
            <w:r w:rsidRPr="00E41710">
              <w:rPr>
                <w:szCs w:val="24"/>
              </w:rPr>
              <w:t>0.0</w:t>
            </w:r>
          </w:p>
        </w:tc>
      </w:tr>
      <w:tr w:rsidR="00E41710" w:rsidRPr="00E41710" w:rsidTr="00E41710">
        <w:tc>
          <w:tcPr>
            <w:tcW w:w="763" w:type="dxa"/>
          </w:tcPr>
          <w:p w:rsidR="00E41710" w:rsidRPr="00E41710" w:rsidRDefault="00E41710" w:rsidP="00E41710">
            <w:pPr>
              <w:pStyle w:val="Normal-em"/>
              <w:rPr>
                <w:b/>
                <w:szCs w:val="24"/>
              </w:rPr>
            </w:pPr>
            <w:r w:rsidRPr="00E41710">
              <w:rPr>
                <w:b/>
                <w:szCs w:val="24"/>
              </w:rPr>
              <w:t>Total</w:t>
            </w:r>
          </w:p>
        </w:tc>
        <w:tc>
          <w:tcPr>
            <w:tcW w:w="1926" w:type="dxa"/>
          </w:tcPr>
          <w:p w:rsidR="00E41710" w:rsidRPr="00E41710" w:rsidRDefault="00E41710" w:rsidP="00E41710">
            <w:pPr>
              <w:pStyle w:val="Normal-em"/>
              <w:rPr>
                <w:b/>
                <w:szCs w:val="24"/>
              </w:rPr>
            </w:pPr>
          </w:p>
        </w:tc>
        <w:tc>
          <w:tcPr>
            <w:tcW w:w="1559" w:type="dxa"/>
          </w:tcPr>
          <w:p w:rsidR="00E41710" w:rsidRPr="00E41710" w:rsidRDefault="00E41710" w:rsidP="00375F5C">
            <w:pPr>
              <w:pStyle w:val="Normal-em"/>
              <w:jc w:val="right"/>
              <w:rPr>
                <w:b/>
                <w:szCs w:val="24"/>
              </w:rPr>
            </w:pPr>
            <w:r w:rsidRPr="00E41710">
              <w:rPr>
                <w:b/>
                <w:szCs w:val="24"/>
              </w:rPr>
              <w:t>605.0</w:t>
            </w:r>
          </w:p>
        </w:tc>
        <w:tc>
          <w:tcPr>
            <w:tcW w:w="1661" w:type="dxa"/>
          </w:tcPr>
          <w:p w:rsidR="00E41710" w:rsidRPr="00E41710" w:rsidRDefault="00E41710" w:rsidP="00375F5C">
            <w:pPr>
              <w:pStyle w:val="Normal-em"/>
              <w:jc w:val="right"/>
              <w:rPr>
                <w:b/>
                <w:szCs w:val="24"/>
              </w:rPr>
            </w:pPr>
            <w:r w:rsidRPr="00E41710">
              <w:rPr>
                <w:b/>
                <w:szCs w:val="24"/>
              </w:rPr>
              <w:t>100.00</w:t>
            </w:r>
          </w:p>
        </w:tc>
        <w:tc>
          <w:tcPr>
            <w:tcW w:w="1576" w:type="dxa"/>
          </w:tcPr>
          <w:p w:rsidR="00E41710" w:rsidRPr="00E41710" w:rsidRDefault="00E41710" w:rsidP="00375F5C">
            <w:pPr>
              <w:pStyle w:val="Normal-em"/>
              <w:jc w:val="right"/>
              <w:rPr>
                <w:b/>
                <w:szCs w:val="24"/>
              </w:rPr>
            </w:pPr>
            <w:r w:rsidRPr="00E41710">
              <w:rPr>
                <w:b/>
                <w:szCs w:val="24"/>
              </w:rPr>
              <w:t>32.0</w:t>
            </w:r>
          </w:p>
        </w:tc>
        <w:tc>
          <w:tcPr>
            <w:tcW w:w="1576" w:type="dxa"/>
          </w:tcPr>
          <w:p w:rsidR="00E41710" w:rsidRPr="00E41710" w:rsidRDefault="00E41710" w:rsidP="00375F5C">
            <w:pPr>
              <w:pStyle w:val="Normal-em"/>
              <w:jc w:val="right"/>
              <w:rPr>
                <w:b/>
                <w:szCs w:val="24"/>
              </w:rPr>
            </w:pPr>
            <w:r w:rsidRPr="00E41710">
              <w:rPr>
                <w:b/>
                <w:szCs w:val="24"/>
              </w:rPr>
              <w:t>573.0</w:t>
            </w:r>
          </w:p>
        </w:tc>
      </w:tr>
    </w:tbl>
    <w:p w:rsidR="00E41710" w:rsidRPr="00E41710" w:rsidRDefault="00E41710" w:rsidP="00E41710">
      <w:pPr>
        <w:pStyle w:val="Normal-em"/>
        <w:rPr>
          <w:szCs w:val="24"/>
        </w:rPr>
      </w:pPr>
    </w:p>
    <w:p w:rsidR="00323626" w:rsidRPr="002D20D0" w:rsidRDefault="00323626" w:rsidP="002669EB">
      <w:pPr>
        <w:pStyle w:val="Normal-em"/>
        <w:spacing w:after="0" w:line="240" w:lineRule="auto"/>
        <w:rPr>
          <w:i/>
          <w:szCs w:val="24"/>
        </w:rPr>
      </w:pPr>
      <w:r w:rsidRPr="00046F76">
        <w:rPr>
          <w:szCs w:val="24"/>
        </w:rPr>
        <w:t xml:space="preserve">Illustrative examples of the </w:t>
      </w:r>
      <w:r w:rsidR="00932D51" w:rsidRPr="00046F76">
        <w:rPr>
          <w:szCs w:val="24"/>
        </w:rPr>
        <w:t xml:space="preserve">SDL adjustments can </w:t>
      </w:r>
      <w:r w:rsidR="00E41710">
        <w:rPr>
          <w:szCs w:val="24"/>
        </w:rPr>
        <w:t xml:space="preserve">also </w:t>
      </w:r>
      <w:r w:rsidR="00932D51" w:rsidRPr="00046F76">
        <w:rPr>
          <w:szCs w:val="24"/>
        </w:rPr>
        <w:t xml:space="preserve">be found in the </w:t>
      </w:r>
      <w:r w:rsidR="00932D51" w:rsidRPr="002D20D0">
        <w:rPr>
          <w:i/>
          <w:szCs w:val="24"/>
        </w:rPr>
        <w:t>Water (SDL Adjustments</w:t>
      </w:r>
      <w:r w:rsidR="002D20D0" w:rsidRPr="002D20D0">
        <w:rPr>
          <w:i/>
          <w:szCs w:val="24"/>
        </w:rPr>
        <w:t>)</w:t>
      </w:r>
      <w:r w:rsidR="00932D51" w:rsidRPr="002D20D0">
        <w:rPr>
          <w:i/>
          <w:szCs w:val="24"/>
        </w:rPr>
        <w:t xml:space="preserve"> Notice 2017. </w:t>
      </w:r>
      <w:r w:rsidRPr="002D20D0">
        <w:rPr>
          <w:i/>
          <w:szCs w:val="24"/>
        </w:rPr>
        <w:t xml:space="preserve"> </w:t>
      </w:r>
    </w:p>
    <w:p w:rsidR="002669EB" w:rsidRDefault="002669EB" w:rsidP="002669EB">
      <w:pPr>
        <w:pStyle w:val="Normal-em"/>
        <w:spacing w:after="0" w:line="240" w:lineRule="auto"/>
        <w:rPr>
          <w:szCs w:val="24"/>
        </w:rPr>
      </w:pPr>
    </w:p>
    <w:p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rsidR="00FD2AEE" w:rsidRPr="00515061" w:rsidRDefault="00FD2AEE" w:rsidP="00FD2AEE">
      <w:pPr>
        <w:pStyle w:val="Normal-em"/>
        <w:spacing w:after="0" w:line="240" w:lineRule="auto"/>
        <w:jc w:val="right"/>
        <w:rPr>
          <w:b/>
          <w:caps/>
          <w:szCs w:val="24"/>
          <w:u w:val="single"/>
        </w:rPr>
      </w:pPr>
      <w:r w:rsidRPr="00515061">
        <w:rPr>
          <w:b/>
          <w:caps/>
          <w:szCs w:val="24"/>
          <w:u w:val="single"/>
        </w:rPr>
        <w:lastRenderedPageBreak/>
        <w:t>Attachment B</w:t>
      </w:r>
    </w:p>
    <w:p w:rsidR="002B1DB3" w:rsidRPr="005D1ABF" w:rsidRDefault="002B1DB3" w:rsidP="005D1ABF">
      <w:pPr>
        <w:spacing w:after="0" w:line="240" w:lineRule="auto"/>
        <w:rPr>
          <w:rFonts w:ascii="Times New Roman" w:hAnsi="Times New Roman" w:cs="Times New Roman"/>
          <w:sz w:val="24"/>
          <w:szCs w:val="24"/>
        </w:rPr>
      </w:pPr>
    </w:p>
    <w:p w:rsidR="00FD2AEE" w:rsidRDefault="00FD2AEE" w:rsidP="005D1ABF">
      <w:pPr>
        <w:spacing w:after="0" w:line="240" w:lineRule="auto"/>
        <w:jc w:val="center"/>
        <w:rPr>
          <w:rFonts w:ascii="Times New Roman" w:hAnsi="Times New Roman" w:cs="Times New Roman"/>
          <w:b/>
          <w:sz w:val="24"/>
          <w:szCs w:val="24"/>
        </w:rPr>
      </w:pPr>
    </w:p>
    <w:p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rsidR="002B1DB3" w:rsidRPr="005D1ABF" w:rsidRDefault="002B1DB3" w:rsidP="005D1ABF">
      <w:pPr>
        <w:spacing w:after="0" w:line="240" w:lineRule="auto"/>
        <w:jc w:val="center"/>
        <w:rPr>
          <w:rFonts w:ascii="Times New Roman" w:hAnsi="Times New Roman" w:cs="Times New Roman"/>
          <w:sz w:val="24"/>
          <w:szCs w:val="24"/>
        </w:rPr>
      </w:pPr>
    </w:p>
    <w:p w:rsidR="002B1DB3" w:rsidRPr="00FD2AEE" w:rsidRDefault="005D698C" w:rsidP="005D1ABF">
      <w:pPr>
        <w:spacing w:after="0" w:line="240" w:lineRule="auto"/>
        <w:jc w:val="center"/>
        <w:rPr>
          <w:rFonts w:ascii="Times New Roman" w:hAnsi="Times New Roman" w:cs="Times New Roman"/>
          <w:b/>
          <w:i/>
          <w:sz w:val="24"/>
          <w:szCs w:val="24"/>
        </w:rPr>
      </w:pPr>
      <w:r w:rsidRPr="00FD2AEE">
        <w:rPr>
          <w:rFonts w:ascii="Times New Roman" w:hAnsi="Times New Roman" w:cs="Times New Roman"/>
          <w:b/>
          <w:i/>
          <w:sz w:val="24"/>
          <w:szCs w:val="24"/>
        </w:rPr>
        <w:t>Basin Plan Amendment (SDL Adjustments) Instrument 2017</w:t>
      </w:r>
    </w:p>
    <w:p w:rsidR="005D698C" w:rsidRPr="005D1ABF" w:rsidRDefault="005D698C" w:rsidP="005D1ABF">
      <w:pPr>
        <w:spacing w:after="0" w:line="240" w:lineRule="auto"/>
        <w:jc w:val="center"/>
        <w:rPr>
          <w:rFonts w:ascii="Times New Roman" w:hAnsi="Times New Roman" w:cs="Times New Roman"/>
          <w:sz w:val="24"/>
          <w:szCs w:val="24"/>
        </w:rPr>
      </w:pPr>
    </w:p>
    <w:p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rsidR="002B1DB3" w:rsidRPr="005D1ABF" w:rsidRDefault="002B1DB3" w:rsidP="005D1ABF">
      <w:pPr>
        <w:spacing w:after="0" w:line="240" w:lineRule="auto"/>
        <w:rPr>
          <w:rFonts w:ascii="Times New Roman" w:hAnsi="Times New Roman" w:cs="Times New Roman"/>
          <w:sz w:val="24"/>
          <w:szCs w:val="24"/>
        </w:rPr>
      </w:pPr>
    </w:p>
    <w:p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rsidR="00FD2AEE" w:rsidRDefault="00FD2AEE" w:rsidP="005D1ABF">
      <w:pPr>
        <w:spacing w:after="0" w:line="240" w:lineRule="auto"/>
        <w:rPr>
          <w:rFonts w:ascii="Times New Roman" w:hAnsi="Times New Roman" w:cs="Times New Roman"/>
          <w:color w:val="FF0000"/>
          <w:sz w:val="24"/>
          <w:szCs w:val="24"/>
          <w:highlight w:val="yellow"/>
          <w:u w:val="single"/>
        </w:rPr>
      </w:pPr>
    </w:p>
    <w:p w:rsidR="00E45E05" w:rsidRDefault="00873A3F" w:rsidP="00873A3F">
      <w:pPr>
        <w:shd w:val="clear" w:color="auto" w:fill="FFFFFF"/>
        <w:spacing w:after="0"/>
        <w:rPr>
          <w:rFonts w:ascii="Times New Roman" w:hAnsi="Times New Roman" w:cs="Times New Roman"/>
          <w:sz w:val="24"/>
        </w:rPr>
      </w:pPr>
      <w:r w:rsidRPr="0081301F">
        <w:rPr>
          <w:rFonts w:ascii="Times New Roman" w:hAnsi="Times New Roman" w:cs="Times New Roman"/>
          <w:sz w:val="24"/>
        </w:rPr>
        <w:t xml:space="preserve">The </w:t>
      </w:r>
      <w:r w:rsidRPr="0081301F">
        <w:rPr>
          <w:rFonts w:ascii="Times New Roman" w:hAnsi="Times New Roman" w:cs="Times New Roman"/>
          <w:i/>
          <w:sz w:val="24"/>
        </w:rPr>
        <w:t>Basin Plan 2012</w:t>
      </w:r>
      <w:r w:rsidRPr="0081301F">
        <w:rPr>
          <w:rFonts w:ascii="Times New Roman" w:hAnsi="Times New Roman" w:cs="Times New Roman"/>
          <w:sz w:val="24"/>
        </w:rPr>
        <w:t xml:space="preserve"> (the Basin Plan) provides for the integrated management of Murray-Darling Basin water resources in a way that promotes the objects of the </w:t>
      </w:r>
      <w:r w:rsidRPr="0081301F">
        <w:rPr>
          <w:rFonts w:ascii="Times New Roman" w:hAnsi="Times New Roman" w:cs="Times New Roman"/>
          <w:i/>
          <w:sz w:val="24"/>
        </w:rPr>
        <w:t>Water Act 2007</w:t>
      </w:r>
      <w:r w:rsidRPr="0081301F">
        <w:rPr>
          <w:rFonts w:ascii="Times New Roman" w:hAnsi="Times New Roman" w:cs="Times New Roman"/>
          <w:sz w:val="24"/>
        </w:rPr>
        <w:t xml:space="preserve"> (</w:t>
      </w:r>
      <w:proofErr w:type="spellStart"/>
      <w:r w:rsidRPr="0081301F">
        <w:rPr>
          <w:rFonts w:ascii="Times New Roman" w:hAnsi="Times New Roman" w:cs="Times New Roman"/>
          <w:sz w:val="24"/>
        </w:rPr>
        <w:t>Cth</w:t>
      </w:r>
      <w:proofErr w:type="spellEnd"/>
      <w:r w:rsidRPr="0081301F">
        <w:rPr>
          <w:rFonts w:ascii="Times New Roman" w:hAnsi="Times New Roman" w:cs="Times New Roman"/>
          <w:sz w:val="24"/>
        </w:rPr>
        <w:t xml:space="preserve">) (the Water Act), including setting </w:t>
      </w:r>
      <w:r w:rsidR="00E45E05">
        <w:rPr>
          <w:rFonts w:ascii="Times New Roman" w:hAnsi="Times New Roman" w:cs="Times New Roman"/>
          <w:sz w:val="24"/>
        </w:rPr>
        <w:t>s</w:t>
      </w:r>
      <w:r w:rsidRPr="0081301F">
        <w:rPr>
          <w:rFonts w:ascii="Times New Roman" w:hAnsi="Times New Roman" w:cs="Times New Roman"/>
          <w:sz w:val="24"/>
        </w:rPr>
        <w:t xml:space="preserve">ustainable </w:t>
      </w:r>
      <w:r w:rsidR="00E45E05">
        <w:rPr>
          <w:rFonts w:ascii="Times New Roman" w:hAnsi="Times New Roman" w:cs="Times New Roman"/>
          <w:sz w:val="24"/>
        </w:rPr>
        <w:t>d</w:t>
      </w:r>
      <w:r w:rsidRPr="0081301F">
        <w:rPr>
          <w:rFonts w:ascii="Times New Roman" w:hAnsi="Times New Roman" w:cs="Times New Roman"/>
          <w:sz w:val="24"/>
        </w:rPr>
        <w:t xml:space="preserve">iversion </w:t>
      </w:r>
      <w:r w:rsidR="00E45E05">
        <w:rPr>
          <w:rFonts w:ascii="Times New Roman" w:hAnsi="Times New Roman" w:cs="Times New Roman"/>
          <w:sz w:val="24"/>
        </w:rPr>
        <w:t>l</w:t>
      </w:r>
      <w:r w:rsidRPr="0081301F">
        <w:rPr>
          <w:rFonts w:ascii="Times New Roman" w:hAnsi="Times New Roman" w:cs="Times New Roman"/>
          <w:sz w:val="24"/>
        </w:rPr>
        <w:t xml:space="preserve">imits (SDLs) </w:t>
      </w:r>
      <w:r>
        <w:rPr>
          <w:rFonts w:ascii="Times New Roman" w:hAnsi="Times New Roman" w:cs="Times New Roman"/>
          <w:sz w:val="24"/>
        </w:rPr>
        <w:t xml:space="preserve">from 1 July 2019 </w:t>
      </w:r>
      <w:r w:rsidRPr="0081301F">
        <w:rPr>
          <w:rFonts w:ascii="Times New Roman" w:hAnsi="Times New Roman" w:cs="Times New Roman"/>
          <w:sz w:val="24"/>
        </w:rPr>
        <w:t xml:space="preserve">to restrict how much water can be </w:t>
      </w:r>
      <w:r w:rsidR="00DA0BC0">
        <w:rPr>
          <w:rFonts w:ascii="Times New Roman" w:hAnsi="Times New Roman" w:cs="Times New Roman"/>
          <w:sz w:val="24"/>
        </w:rPr>
        <w:t xml:space="preserve">sustainably taken from </w:t>
      </w:r>
      <w:r w:rsidRPr="0081301F">
        <w:rPr>
          <w:rFonts w:ascii="Times New Roman" w:hAnsi="Times New Roman" w:cs="Times New Roman"/>
          <w:sz w:val="24"/>
        </w:rPr>
        <w:t>the Basin</w:t>
      </w:r>
      <w:r>
        <w:rPr>
          <w:rFonts w:ascii="Times New Roman" w:hAnsi="Times New Roman" w:cs="Times New Roman"/>
          <w:sz w:val="24"/>
        </w:rPr>
        <w:t xml:space="preserve">. </w:t>
      </w:r>
      <w:r w:rsidRPr="0081301F">
        <w:rPr>
          <w:rFonts w:ascii="Times New Roman" w:hAnsi="Times New Roman" w:cs="Times New Roman"/>
          <w:sz w:val="24"/>
        </w:rPr>
        <w:t>To provide flexibility, Chapter 7 of the Basin Plan includes a mechanism to adjust the SDLs</w:t>
      </w:r>
      <w:r w:rsidR="00393D7F">
        <w:rPr>
          <w:rFonts w:ascii="Times New Roman" w:hAnsi="Times New Roman" w:cs="Times New Roman"/>
          <w:sz w:val="24"/>
        </w:rPr>
        <w:t xml:space="preserve"> in 2017</w:t>
      </w:r>
      <w:r w:rsidRPr="0081301F">
        <w:rPr>
          <w:rFonts w:ascii="Times New Roman" w:hAnsi="Times New Roman" w:cs="Times New Roman"/>
          <w:sz w:val="24"/>
        </w:rPr>
        <w:t>. The process to adjust the SDLs in the Basin Plan is prescribed in sections 23A and 23B of the Water Act.</w:t>
      </w:r>
    </w:p>
    <w:p w:rsidR="00E45E05" w:rsidRDefault="00E45E05" w:rsidP="00873A3F">
      <w:pPr>
        <w:shd w:val="clear" w:color="auto" w:fill="FFFFFF"/>
        <w:spacing w:after="0"/>
        <w:rPr>
          <w:rFonts w:ascii="Times New Roman" w:hAnsi="Times New Roman" w:cs="Times New Roman"/>
          <w:sz w:val="24"/>
        </w:rPr>
      </w:pPr>
    </w:p>
    <w:p w:rsidR="00873A3F" w:rsidRPr="0081301F" w:rsidRDefault="00873A3F" w:rsidP="00873A3F">
      <w:pPr>
        <w:shd w:val="clear" w:color="auto" w:fill="FFFFFF"/>
        <w:spacing w:after="0"/>
        <w:rPr>
          <w:rFonts w:ascii="Times New Roman" w:hAnsi="Times New Roman" w:cs="Times New Roman"/>
          <w:sz w:val="24"/>
        </w:rPr>
      </w:pPr>
      <w:r>
        <w:rPr>
          <w:rFonts w:ascii="Times New Roman" w:hAnsi="Times New Roman" w:cs="Times New Roman"/>
          <w:sz w:val="24"/>
        </w:rPr>
        <w:t>T</w:t>
      </w:r>
      <w:r w:rsidRPr="0081301F">
        <w:rPr>
          <w:rFonts w:ascii="Times New Roman" w:hAnsi="Times New Roman" w:cs="Times New Roman"/>
          <w:sz w:val="24"/>
        </w:rPr>
        <w:t xml:space="preserve">he </w:t>
      </w:r>
      <w:r w:rsidRPr="0081301F">
        <w:rPr>
          <w:rFonts w:ascii="Times New Roman" w:hAnsi="Times New Roman" w:cs="Times New Roman"/>
          <w:i/>
          <w:sz w:val="24"/>
        </w:rPr>
        <w:t xml:space="preserve">Basin Plan Amendment (SDL Adjustments) Instrument 2017 </w:t>
      </w:r>
      <w:r w:rsidRPr="0081301F">
        <w:rPr>
          <w:rFonts w:ascii="Times New Roman" w:hAnsi="Times New Roman" w:cs="Times New Roman"/>
          <w:sz w:val="24"/>
        </w:rPr>
        <w:t xml:space="preserve">(the Amendment Instrument) proposes adjustments to the SDLs in response to </w:t>
      </w:r>
      <w:r w:rsidR="00E45E05">
        <w:rPr>
          <w:rFonts w:ascii="Times New Roman" w:hAnsi="Times New Roman" w:cs="Times New Roman"/>
          <w:sz w:val="24"/>
        </w:rPr>
        <w:t xml:space="preserve">supply and efficiency </w:t>
      </w:r>
      <w:r w:rsidRPr="0081301F">
        <w:rPr>
          <w:rFonts w:ascii="Times New Roman" w:hAnsi="Times New Roman" w:cs="Times New Roman"/>
          <w:sz w:val="24"/>
        </w:rPr>
        <w:t>measures</w:t>
      </w:r>
      <w:r w:rsidR="00E45E05">
        <w:rPr>
          <w:rFonts w:ascii="Times New Roman" w:hAnsi="Times New Roman" w:cs="Times New Roman"/>
          <w:sz w:val="24"/>
        </w:rPr>
        <w:t xml:space="preserve"> notified by the Basin Officials Committee under section 7.12 of the Basin Plan. </w:t>
      </w:r>
      <w:r w:rsidR="00940921" w:rsidRPr="00940921">
        <w:rPr>
          <w:rFonts w:ascii="Times New Roman" w:hAnsi="Times New Roman" w:cs="Times New Roman"/>
          <w:sz w:val="24"/>
        </w:rPr>
        <w:t>The unadjusted surface water SDLs for the Basin water resources as a whole is estimated to be 10,</w:t>
      </w:r>
      <w:r w:rsidR="00E571FE">
        <w:rPr>
          <w:rFonts w:ascii="Times New Roman" w:hAnsi="Times New Roman" w:cs="Times New Roman"/>
          <w:sz w:val="24"/>
        </w:rPr>
        <w:t>945</w:t>
      </w:r>
      <w:r w:rsidR="00E571FE" w:rsidRPr="00940921">
        <w:rPr>
          <w:rFonts w:ascii="Times New Roman" w:hAnsi="Times New Roman" w:cs="Times New Roman"/>
          <w:sz w:val="24"/>
        </w:rPr>
        <w:t> </w:t>
      </w:r>
      <w:r w:rsidR="008B6FEB">
        <w:rPr>
          <w:rFonts w:ascii="Times New Roman" w:hAnsi="Times New Roman" w:cs="Times New Roman"/>
          <w:sz w:val="24"/>
        </w:rPr>
        <w:t>GL</w:t>
      </w:r>
      <w:r w:rsidR="00940921" w:rsidRPr="00940921">
        <w:rPr>
          <w:rFonts w:ascii="Times New Roman" w:hAnsi="Times New Roman" w:cs="Times New Roman"/>
          <w:sz w:val="24"/>
        </w:rPr>
        <w:t xml:space="preserve"> per year. The maximum adjustment permitted under these provisions is a net five per cent adjustment </w:t>
      </w:r>
      <w:r w:rsidR="00940921" w:rsidRPr="00046F76">
        <w:rPr>
          <w:rFonts w:ascii="Times New Roman" w:hAnsi="Times New Roman" w:cs="Times New Roman"/>
          <w:sz w:val="24"/>
        </w:rPr>
        <w:t>(543</w:t>
      </w:r>
      <w:r w:rsidR="005C4493" w:rsidRPr="00046F76">
        <w:rPr>
          <w:rFonts w:ascii="Times New Roman" w:hAnsi="Times New Roman" w:cs="Times New Roman"/>
          <w:sz w:val="24"/>
        </w:rPr>
        <w:t xml:space="preserve"> </w:t>
      </w:r>
      <w:r w:rsidR="008B6FEB">
        <w:rPr>
          <w:rFonts w:ascii="Times New Roman" w:hAnsi="Times New Roman" w:cs="Times New Roman"/>
          <w:sz w:val="24"/>
        </w:rPr>
        <w:t>GL</w:t>
      </w:r>
      <w:r w:rsidR="00940921" w:rsidRPr="00940921">
        <w:rPr>
          <w:rFonts w:ascii="Times New Roman" w:hAnsi="Times New Roman" w:cs="Times New Roman"/>
          <w:sz w:val="24"/>
        </w:rPr>
        <w:t xml:space="preserve"> per year).</w:t>
      </w:r>
    </w:p>
    <w:p w:rsidR="002B1DB3" w:rsidRPr="00940921" w:rsidRDefault="002B1DB3" w:rsidP="00940921">
      <w:pPr>
        <w:shd w:val="clear" w:color="auto" w:fill="FFFFFF"/>
        <w:spacing w:after="0"/>
        <w:rPr>
          <w:rFonts w:ascii="Times New Roman" w:hAnsi="Times New Roman" w:cs="Times New Roman"/>
          <w:sz w:val="24"/>
        </w:rPr>
      </w:pPr>
    </w:p>
    <w:p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rsidR="002B1DB3" w:rsidRDefault="002B1DB3" w:rsidP="005D1ABF">
      <w:pPr>
        <w:spacing w:after="0" w:line="240" w:lineRule="auto"/>
        <w:rPr>
          <w:rFonts w:ascii="Times New Roman" w:hAnsi="Times New Roman" w:cs="Times New Roman"/>
          <w:sz w:val="24"/>
          <w:szCs w:val="24"/>
        </w:rPr>
      </w:pPr>
    </w:p>
    <w:p w:rsidR="00FD2AEE" w:rsidRPr="00515061" w:rsidRDefault="00FD2AEE" w:rsidP="00FD2AEE">
      <w:pPr>
        <w:shd w:val="clear" w:color="auto" w:fill="FFFFFF"/>
        <w:spacing w:after="0"/>
        <w:rPr>
          <w:rFonts w:ascii="Times New Roman" w:hAnsi="Times New Roman"/>
          <w:iCs/>
          <w:sz w:val="24"/>
          <w:szCs w:val="24"/>
        </w:rPr>
      </w:pPr>
      <w:r w:rsidRPr="00515061">
        <w:rPr>
          <w:rFonts w:ascii="Times New Roman" w:hAnsi="Times New Roman"/>
          <w:iCs/>
          <w:sz w:val="24"/>
          <w:szCs w:val="24"/>
        </w:rPr>
        <w:t xml:space="preserve">The Amendment Instrument engages the right to an adequate standard of living and the right to health in the International Covenant on Economic, Social and Cultural Rights (ICESCR). The right to an adequate standard of living is protected in Article 11 of the ICESCR and the right to physical and mental health is protected in article 12 of the ICESCR. </w:t>
      </w:r>
    </w:p>
    <w:p w:rsidR="00FD2AEE" w:rsidRPr="00515061" w:rsidRDefault="00FD2AEE" w:rsidP="00FD2AEE">
      <w:pPr>
        <w:shd w:val="clear" w:color="auto" w:fill="FFFFFF"/>
        <w:spacing w:after="0"/>
        <w:rPr>
          <w:rFonts w:ascii="Times New Roman" w:hAnsi="Times New Roman"/>
          <w:sz w:val="24"/>
          <w:szCs w:val="24"/>
        </w:rPr>
      </w:pPr>
    </w:p>
    <w:p w:rsidR="00FD2AEE" w:rsidRPr="00515061" w:rsidRDefault="00FD2AEE" w:rsidP="00FD2AEE">
      <w:pPr>
        <w:spacing w:after="0"/>
        <w:rPr>
          <w:rFonts w:ascii="Times New Roman" w:hAnsi="Times New Roman"/>
          <w:iCs/>
          <w:sz w:val="24"/>
          <w:szCs w:val="24"/>
        </w:rPr>
      </w:pPr>
      <w:r w:rsidRPr="00515061">
        <w:rPr>
          <w:rFonts w:ascii="Times New Roman" w:hAnsi="Times New Roman"/>
          <w:iCs/>
          <w:sz w:val="24"/>
          <w:szCs w:val="24"/>
        </w:rPr>
        <w:t>The Committee on Economic, Social and Cultural Rights (the Committee), established to oversee the implementation of the ICESCR, has interpreted these articles as including a human right to water, which encompasses an entitlement to ‘sufficient, safe, acceptable, physically accessible and affordable water for personal and domestic uses’.</w:t>
      </w:r>
    </w:p>
    <w:p w:rsidR="00FD2AEE" w:rsidRPr="00515061" w:rsidRDefault="00FD2AEE" w:rsidP="00FD2AEE">
      <w:pPr>
        <w:spacing w:after="0"/>
        <w:rPr>
          <w:rFonts w:ascii="Times New Roman" w:hAnsi="Times New Roman"/>
          <w:iCs/>
          <w:sz w:val="24"/>
          <w:szCs w:val="24"/>
        </w:rPr>
      </w:pPr>
    </w:p>
    <w:p w:rsidR="00FD2AEE" w:rsidRPr="00515061" w:rsidRDefault="00FD2AEE" w:rsidP="00FD2AEE">
      <w:pPr>
        <w:spacing w:after="0"/>
        <w:rPr>
          <w:rFonts w:ascii="Times New Roman" w:hAnsi="Times New Roman"/>
          <w:sz w:val="24"/>
          <w:szCs w:val="24"/>
          <w:lang w:eastAsia="en-AU"/>
        </w:rPr>
      </w:pPr>
      <w:r w:rsidRPr="00515061">
        <w:rPr>
          <w:rFonts w:ascii="Times New Roman" w:hAnsi="Times New Roman"/>
          <w:sz w:val="24"/>
          <w:szCs w:val="24"/>
          <w:lang w:eastAsia="en-AU"/>
        </w:rPr>
        <w:t>The Committee has noted the importance of ensuring sustainable access to water resources for agricultural purposes, to realise the right to adequate food. Attention should be given to ensuring that farmers have equitable access to water and water management systems, including sustainable rain harvesting and irrigation technology. In order to ensure that there is sufficient and safe water for present and future generations, countries should adopt programs that reduce depletion of water resources through unsustainable extraction and diversion.</w:t>
      </w:r>
    </w:p>
    <w:p w:rsidR="00FD2AEE" w:rsidRPr="00515061" w:rsidRDefault="00FD2AEE" w:rsidP="00FD2AEE">
      <w:pPr>
        <w:spacing w:after="0"/>
        <w:rPr>
          <w:rFonts w:ascii="Times New Roman" w:hAnsi="Times New Roman"/>
          <w:sz w:val="24"/>
          <w:szCs w:val="24"/>
          <w:lang w:eastAsia="en-AU"/>
        </w:rPr>
      </w:pPr>
    </w:p>
    <w:p w:rsidR="00FD2AEE" w:rsidRPr="00515061" w:rsidRDefault="00FD2AEE" w:rsidP="00FD2AEE">
      <w:pPr>
        <w:spacing w:after="0"/>
        <w:rPr>
          <w:rFonts w:ascii="Times New Roman" w:hAnsi="Times New Roman"/>
          <w:sz w:val="24"/>
          <w:szCs w:val="24"/>
          <w:lang w:eastAsia="en-AU"/>
        </w:rPr>
      </w:pPr>
      <w:r w:rsidRPr="00515061">
        <w:rPr>
          <w:rFonts w:ascii="Times New Roman" w:hAnsi="Times New Roman"/>
          <w:sz w:val="24"/>
          <w:szCs w:val="24"/>
          <w:lang w:eastAsia="en-AU"/>
        </w:rPr>
        <w:lastRenderedPageBreak/>
        <w:t>The human rights implications of the Amendment Instrument must be considered in the context of the Water Act. The overall framework of the Water Act supports access to sufficient, safe, acceptable and physically accessible water for personal and domestic uses. This is reflected in the Water Act by section 20, which sets out the purpose of the Basin Plan, and is supported by subsection 22(1) which sets out the specific content required to be included in the Basin Plan, such as a water quality and salinity management plan (item 10). These sections, together with paragraph 86A(1)(a) of the Water Act, which requires regard to be given to critical human water needs and water quality, support the human right to water.</w:t>
      </w:r>
    </w:p>
    <w:p w:rsidR="00AD1ADE" w:rsidRDefault="00AD1ADE" w:rsidP="00AD1ADE">
      <w:pPr>
        <w:tabs>
          <w:tab w:val="right" w:pos="9072"/>
        </w:tabs>
        <w:spacing w:after="0" w:line="240" w:lineRule="auto"/>
        <w:rPr>
          <w:rFonts w:ascii="Times New Roman" w:hAnsi="Times New Roman" w:cs="Times New Roman"/>
          <w:color w:val="000000" w:themeColor="text1"/>
          <w:sz w:val="24"/>
          <w:szCs w:val="24"/>
        </w:rPr>
      </w:pPr>
    </w:p>
    <w:p w:rsidR="00AD1ADE" w:rsidRPr="0036434A" w:rsidRDefault="00AD1ADE" w:rsidP="0036434A">
      <w:pPr>
        <w:spacing w:after="0"/>
        <w:rPr>
          <w:rFonts w:ascii="Times New Roman" w:hAnsi="Times New Roman"/>
          <w:sz w:val="24"/>
          <w:szCs w:val="24"/>
          <w:lang w:eastAsia="en-AU"/>
        </w:rPr>
      </w:pPr>
      <w:r w:rsidRPr="0036434A">
        <w:rPr>
          <w:rFonts w:ascii="Times New Roman" w:hAnsi="Times New Roman"/>
          <w:sz w:val="24"/>
          <w:szCs w:val="24"/>
          <w:lang w:eastAsia="en-AU"/>
        </w:rPr>
        <w:t xml:space="preserve">The Amendment Instrument supports the right to an adequate standard of living </w:t>
      </w:r>
      <w:r w:rsidR="000C59EF">
        <w:rPr>
          <w:rFonts w:ascii="Times New Roman" w:hAnsi="Times New Roman"/>
          <w:sz w:val="24"/>
          <w:szCs w:val="24"/>
          <w:lang w:eastAsia="en-AU"/>
        </w:rPr>
        <w:t>by making</w:t>
      </w:r>
      <w:r w:rsidRPr="0036434A">
        <w:rPr>
          <w:rFonts w:ascii="Times New Roman" w:hAnsi="Times New Roman"/>
          <w:sz w:val="24"/>
          <w:szCs w:val="24"/>
          <w:lang w:eastAsia="en-AU"/>
        </w:rPr>
        <w:t xml:space="preserve"> an </w:t>
      </w:r>
      <w:r w:rsidR="0013787A">
        <w:rPr>
          <w:rFonts w:ascii="Times New Roman" w:hAnsi="Times New Roman"/>
          <w:sz w:val="24"/>
          <w:szCs w:val="24"/>
          <w:lang w:eastAsia="en-AU"/>
        </w:rPr>
        <w:t xml:space="preserve">adjustment to the SDLs to provide </w:t>
      </w:r>
      <w:r w:rsidRPr="0036434A">
        <w:rPr>
          <w:rFonts w:ascii="Times New Roman" w:hAnsi="Times New Roman"/>
          <w:sz w:val="24"/>
          <w:szCs w:val="24"/>
          <w:lang w:eastAsia="en-AU"/>
        </w:rPr>
        <w:t xml:space="preserve">additional </w:t>
      </w:r>
      <w:r w:rsidR="0013787A">
        <w:rPr>
          <w:rFonts w:ascii="Times New Roman" w:hAnsi="Times New Roman"/>
          <w:sz w:val="24"/>
          <w:szCs w:val="24"/>
          <w:lang w:eastAsia="en-AU"/>
        </w:rPr>
        <w:t>water</w:t>
      </w:r>
      <w:r w:rsidRPr="0036434A">
        <w:rPr>
          <w:rFonts w:ascii="Times New Roman" w:hAnsi="Times New Roman"/>
          <w:sz w:val="24"/>
          <w:szCs w:val="24"/>
          <w:lang w:eastAsia="en-AU"/>
        </w:rPr>
        <w:t xml:space="preserve"> available for communities</w:t>
      </w:r>
      <w:r w:rsidR="006443EA">
        <w:rPr>
          <w:rFonts w:ascii="Times New Roman" w:hAnsi="Times New Roman"/>
          <w:sz w:val="24"/>
          <w:szCs w:val="24"/>
          <w:lang w:eastAsia="en-AU"/>
        </w:rPr>
        <w:t xml:space="preserve"> and by improving environmental outcomes while maintaining or improving socio-economic outcomes</w:t>
      </w:r>
      <w:r w:rsidRPr="0036434A">
        <w:rPr>
          <w:rFonts w:ascii="Times New Roman" w:hAnsi="Times New Roman"/>
          <w:sz w:val="24"/>
          <w:szCs w:val="24"/>
          <w:lang w:eastAsia="en-AU"/>
        </w:rPr>
        <w:t xml:space="preserve">. </w:t>
      </w:r>
      <w:r w:rsidR="006443EA" w:rsidRPr="00E45E05">
        <w:rPr>
          <w:rFonts w:ascii="Times New Roman" w:hAnsi="Times New Roman" w:cs="Times New Roman"/>
          <w:sz w:val="24"/>
        </w:rPr>
        <w:t xml:space="preserve">Supply measures </w:t>
      </w:r>
      <w:r w:rsidR="0013787A">
        <w:rPr>
          <w:rFonts w:ascii="Times New Roman" w:hAnsi="Times New Roman" w:cs="Times New Roman"/>
          <w:sz w:val="24"/>
        </w:rPr>
        <w:t xml:space="preserve">increase the </w:t>
      </w:r>
      <w:r w:rsidR="00E43369">
        <w:rPr>
          <w:rFonts w:ascii="Times New Roman" w:hAnsi="Times New Roman" w:cs="Times New Roman"/>
          <w:sz w:val="24"/>
        </w:rPr>
        <w:t xml:space="preserve">quantity </w:t>
      </w:r>
      <w:r w:rsidR="0013787A">
        <w:rPr>
          <w:rFonts w:ascii="Times New Roman" w:hAnsi="Times New Roman" w:cs="Times New Roman"/>
          <w:sz w:val="24"/>
        </w:rPr>
        <w:t xml:space="preserve">of water </w:t>
      </w:r>
      <w:r w:rsidR="00E43369">
        <w:rPr>
          <w:rFonts w:ascii="Times New Roman" w:hAnsi="Times New Roman" w:cs="Times New Roman"/>
          <w:sz w:val="24"/>
        </w:rPr>
        <w:t xml:space="preserve">available to be taken </w:t>
      </w:r>
      <w:r w:rsidR="0013787A">
        <w:rPr>
          <w:rFonts w:ascii="Times New Roman" w:hAnsi="Times New Roman" w:cs="Times New Roman"/>
          <w:sz w:val="24"/>
        </w:rPr>
        <w:t xml:space="preserve">and </w:t>
      </w:r>
      <w:r w:rsidR="006443EA" w:rsidRPr="00E45E05">
        <w:rPr>
          <w:rFonts w:ascii="Times New Roman" w:hAnsi="Times New Roman" w:cs="Times New Roman"/>
          <w:sz w:val="24"/>
        </w:rPr>
        <w:t>achieve equivalent environmental outcomes with a lower volume of held environmental water that would otherwise be required. Efficiency measures</w:t>
      </w:r>
      <w:r w:rsidR="0013787A">
        <w:rPr>
          <w:rFonts w:ascii="Times New Roman" w:hAnsi="Times New Roman" w:cs="Times New Roman"/>
          <w:sz w:val="24"/>
        </w:rPr>
        <w:t xml:space="preserve"> are measures that </w:t>
      </w:r>
      <w:r w:rsidR="006443EA" w:rsidRPr="00E45E05">
        <w:rPr>
          <w:rFonts w:ascii="Times New Roman" w:hAnsi="Times New Roman" w:cs="Times New Roman"/>
          <w:sz w:val="24"/>
        </w:rPr>
        <w:t xml:space="preserve">increase environmental outcomes while maintaining or improving social and economic outcomes. </w:t>
      </w:r>
      <w:r w:rsidRPr="0036434A">
        <w:rPr>
          <w:rFonts w:ascii="Times New Roman" w:hAnsi="Times New Roman"/>
          <w:sz w:val="24"/>
          <w:szCs w:val="24"/>
          <w:lang w:eastAsia="en-AU"/>
        </w:rPr>
        <w:t>This means equivalent environmental outcomes are achieved with les</w:t>
      </w:r>
      <w:r w:rsidR="0036434A">
        <w:rPr>
          <w:rFonts w:ascii="Times New Roman" w:hAnsi="Times New Roman"/>
          <w:sz w:val="24"/>
          <w:szCs w:val="24"/>
          <w:lang w:eastAsia="en-AU"/>
        </w:rPr>
        <w:t>s water needin</w:t>
      </w:r>
      <w:r w:rsidR="000C59EF">
        <w:rPr>
          <w:rFonts w:ascii="Times New Roman" w:hAnsi="Times New Roman"/>
          <w:sz w:val="24"/>
          <w:szCs w:val="24"/>
          <w:lang w:eastAsia="en-AU"/>
        </w:rPr>
        <w:t>g to be recovered, and this i</w:t>
      </w:r>
      <w:r w:rsidR="0036434A">
        <w:rPr>
          <w:rFonts w:ascii="Times New Roman" w:hAnsi="Times New Roman"/>
          <w:sz w:val="24"/>
          <w:szCs w:val="24"/>
          <w:lang w:eastAsia="en-AU"/>
        </w:rPr>
        <w:t>s in line with the Committee’s emphasis on ensuring there is sufficient and safe water available for future generations.</w:t>
      </w:r>
    </w:p>
    <w:p w:rsidR="00FD2AEE" w:rsidRPr="00515061" w:rsidRDefault="00FD2AEE" w:rsidP="00FD2AEE">
      <w:pPr>
        <w:spacing w:after="0"/>
        <w:rPr>
          <w:rFonts w:ascii="Times New Roman" w:hAnsi="Times New Roman"/>
          <w:sz w:val="24"/>
          <w:szCs w:val="24"/>
          <w:lang w:eastAsia="en-AU"/>
        </w:rPr>
      </w:pPr>
    </w:p>
    <w:p w:rsidR="00FD2AEE" w:rsidRPr="00515061" w:rsidRDefault="00FD2AEE" w:rsidP="00FD2AEE">
      <w:pPr>
        <w:spacing w:after="0"/>
        <w:rPr>
          <w:rFonts w:ascii="Times New Roman" w:hAnsi="Times New Roman"/>
          <w:sz w:val="24"/>
          <w:szCs w:val="24"/>
          <w:lang w:eastAsia="en-AU"/>
        </w:rPr>
      </w:pPr>
      <w:r w:rsidRPr="00515061">
        <w:rPr>
          <w:rFonts w:ascii="Times New Roman" w:hAnsi="Times New Roman"/>
          <w:sz w:val="24"/>
          <w:szCs w:val="24"/>
          <w:lang w:eastAsia="en-AU"/>
        </w:rPr>
        <w:t>The Amendment Instrument does not change the Basin Plan requirements for Basin States to consider Indigenous values and uses in water resource planning. Chapter 10 of the Basin Plan ensures that a water resource plan must be prepared in consultation with relevant Indigenous organisations and consider certain specified matters relevant to Indigenous people. Indigenous people and organisations were consulted during the amendment process and the Amendment Instrument continues to maintain Indigenous peoples’ access to adequate and safe water, which helps to achieve Indigenous social and cultural objectives as they relate to waterways.</w:t>
      </w:r>
    </w:p>
    <w:p w:rsidR="00FD2AEE" w:rsidRPr="00515061" w:rsidRDefault="00FD2AEE" w:rsidP="00FD2AEE">
      <w:pPr>
        <w:spacing w:after="0"/>
        <w:rPr>
          <w:rFonts w:ascii="Times New Roman" w:hAnsi="Times New Roman"/>
          <w:sz w:val="24"/>
          <w:szCs w:val="24"/>
          <w:lang w:eastAsia="en-AU"/>
        </w:rPr>
      </w:pPr>
    </w:p>
    <w:p w:rsidR="00FD2AEE" w:rsidRDefault="00FD2AEE" w:rsidP="00FD2AEE">
      <w:pPr>
        <w:spacing w:after="0"/>
        <w:rPr>
          <w:rFonts w:ascii="Times New Roman" w:hAnsi="Times New Roman"/>
          <w:sz w:val="24"/>
          <w:szCs w:val="24"/>
          <w:lang w:eastAsia="en-AU"/>
        </w:rPr>
      </w:pPr>
      <w:r w:rsidRPr="00515061">
        <w:rPr>
          <w:rFonts w:ascii="Times New Roman" w:hAnsi="Times New Roman"/>
          <w:iCs/>
          <w:sz w:val="24"/>
          <w:szCs w:val="24"/>
        </w:rPr>
        <w:t xml:space="preserve">The Amendment Instrument supports </w:t>
      </w:r>
      <w:r w:rsidRPr="00F5115A">
        <w:rPr>
          <w:rFonts w:ascii="Times New Roman" w:hAnsi="Times New Roman"/>
          <w:iCs/>
          <w:sz w:val="24"/>
          <w:szCs w:val="24"/>
        </w:rPr>
        <w:t>the Committee’s interpretation of Articles 11 and 12</w:t>
      </w:r>
      <w:r w:rsidR="00940921">
        <w:rPr>
          <w:rFonts w:ascii="Times New Roman" w:hAnsi="Times New Roman"/>
          <w:iCs/>
          <w:sz w:val="24"/>
          <w:szCs w:val="24"/>
        </w:rPr>
        <w:t xml:space="preserve"> of the </w:t>
      </w:r>
      <w:r w:rsidR="00940921" w:rsidRPr="00515061">
        <w:rPr>
          <w:rFonts w:ascii="Times New Roman" w:hAnsi="Times New Roman"/>
          <w:iCs/>
          <w:sz w:val="24"/>
          <w:szCs w:val="24"/>
        </w:rPr>
        <w:t>ICESCR</w:t>
      </w:r>
      <w:r w:rsidRPr="00F5115A">
        <w:rPr>
          <w:rFonts w:ascii="Times New Roman" w:hAnsi="Times New Roman"/>
          <w:iCs/>
          <w:sz w:val="24"/>
          <w:szCs w:val="24"/>
        </w:rPr>
        <w:t xml:space="preserve"> as including </w:t>
      </w:r>
      <w:r w:rsidRPr="00F5115A">
        <w:rPr>
          <w:rFonts w:ascii="Times New Roman" w:hAnsi="Times New Roman"/>
          <w:sz w:val="24"/>
          <w:szCs w:val="24"/>
          <w:lang w:eastAsia="en-AU"/>
        </w:rPr>
        <w:t>farmers and irrigators having equitable access to water and water management systems, to meet the requirements of a sustainable irrigation sector. The</w:t>
      </w:r>
      <w:r w:rsidR="0036434A" w:rsidRPr="00F5115A">
        <w:rPr>
          <w:rFonts w:ascii="Times New Roman" w:hAnsi="Times New Roman"/>
          <w:sz w:val="24"/>
          <w:szCs w:val="24"/>
          <w:lang w:eastAsia="en-AU"/>
        </w:rPr>
        <w:t xml:space="preserve"> purpose of the</w:t>
      </w:r>
      <w:r w:rsidRPr="00F5115A">
        <w:rPr>
          <w:rFonts w:ascii="Times New Roman" w:hAnsi="Times New Roman"/>
          <w:sz w:val="24"/>
          <w:szCs w:val="24"/>
          <w:lang w:eastAsia="en-AU"/>
        </w:rPr>
        <w:t xml:space="preserve"> Amendment Instrument </w:t>
      </w:r>
      <w:r w:rsidR="0036434A" w:rsidRPr="00F5115A">
        <w:rPr>
          <w:rFonts w:ascii="Times New Roman" w:hAnsi="Times New Roman"/>
          <w:sz w:val="24"/>
          <w:szCs w:val="24"/>
          <w:lang w:eastAsia="en-AU"/>
        </w:rPr>
        <w:t xml:space="preserve">is to continue to maintain an environmentally sustainable level of take while ensuring water is available for communities. </w:t>
      </w:r>
      <w:r w:rsidRPr="00F5115A">
        <w:rPr>
          <w:rFonts w:ascii="Times New Roman" w:hAnsi="Times New Roman"/>
          <w:sz w:val="24"/>
          <w:szCs w:val="24"/>
          <w:lang w:eastAsia="en-AU"/>
        </w:rPr>
        <w:t>This means managing the water resources in the Basin to meet the needs of all Australians, including Indigenous people, who use the Basin water resources for cultural, social, environmental, spiritual and economic purposes; farmers, who need reliable stock and</w:t>
      </w:r>
      <w:r w:rsidRPr="00515061">
        <w:rPr>
          <w:rFonts w:ascii="Times New Roman" w:hAnsi="Times New Roman"/>
          <w:sz w:val="24"/>
          <w:szCs w:val="24"/>
          <w:lang w:eastAsia="en-AU"/>
        </w:rPr>
        <w:t xml:space="preserve"> domestic supplies; tourism operators, rural and regional communities and cities, which need reliable, clean, drinking supplies. </w:t>
      </w:r>
    </w:p>
    <w:p w:rsidR="00D576A7" w:rsidRDefault="00D576A7" w:rsidP="00FD2AEE">
      <w:pPr>
        <w:spacing w:after="0"/>
        <w:rPr>
          <w:rFonts w:ascii="Times New Roman" w:hAnsi="Times New Roman"/>
          <w:sz w:val="24"/>
          <w:szCs w:val="24"/>
          <w:lang w:eastAsia="en-AU"/>
        </w:rPr>
      </w:pPr>
    </w:p>
    <w:p w:rsidR="00D576A7" w:rsidRPr="00515061" w:rsidRDefault="00D576A7" w:rsidP="00FD2AEE">
      <w:pPr>
        <w:spacing w:after="0"/>
        <w:rPr>
          <w:rFonts w:ascii="Times New Roman" w:hAnsi="Times New Roman"/>
          <w:sz w:val="24"/>
          <w:szCs w:val="24"/>
          <w:lang w:eastAsia="en-AU"/>
        </w:rPr>
      </w:pPr>
      <w:r>
        <w:rPr>
          <w:rFonts w:ascii="Times New Roman" w:hAnsi="Times New Roman"/>
          <w:sz w:val="24"/>
          <w:szCs w:val="24"/>
          <w:lang w:eastAsia="en-AU"/>
        </w:rPr>
        <w:t>The Amendment Instrument also supports Article 8</w:t>
      </w:r>
      <w:r w:rsidR="00AD1ADE">
        <w:rPr>
          <w:rFonts w:ascii="Times New Roman" w:hAnsi="Times New Roman"/>
          <w:sz w:val="24"/>
          <w:szCs w:val="24"/>
          <w:lang w:eastAsia="en-AU"/>
        </w:rPr>
        <w:t>(c)(d) and (</w:t>
      </w:r>
      <w:proofErr w:type="spellStart"/>
      <w:r w:rsidR="00AD1ADE">
        <w:rPr>
          <w:rFonts w:ascii="Times New Roman" w:hAnsi="Times New Roman"/>
          <w:sz w:val="24"/>
          <w:szCs w:val="24"/>
          <w:lang w:eastAsia="en-AU"/>
        </w:rPr>
        <w:t>i</w:t>
      </w:r>
      <w:proofErr w:type="spellEnd"/>
      <w:r w:rsidR="00AD1ADE">
        <w:rPr>
          <w:rFonts w:ascii="Times New Roman" w:hAnsi="Times New Roman"/>
          <w:sz w:val="24"/>
          <w:szCs w:val="24"/>
          <w:lang w:eastAsia="en-AU"/>
        </w:rPr>
        <w:t>)</w:t>
      </w:r>
      <w:r>
        <w:rPr>
          <w:rFonts w:ascii="Times New Roman" w:hAnsi="Times New Roman"/>
          <w:sz w:val="24"/>
          <w:szCs w:val="24"/>
          <w:lang w:eastAsia="en-AU"/>
        </w:rPr>
        <w:t xml:space="preserve"> of the Convention of Biological Diversity (CBD) through retaining an environmentally sustainable level of take in the Basin which </w:t>
      </w:r>
      <w:r w:rsidR="00AD1ADE">
        <w:rPr>
          <w:rFonts w:ascii="Times New Roman" w:hAnsi="Times New Roman"/>
          <w:sz w:val="24"/>
          <w:szCs w:val="24"/>
          <w:lang w:eastAsia="en-AU"/>
        </w:rPr>
        <w:t>regulates biological resources with a view to ensuring conservation and sustainable use; promoting</w:t>
      </w:r>
      <w:r>
        <w:rPr>
          <w:rFonts w:ascii="Times New Roman" w:hAnsi="Times New Roman"/>
          <w:sz w:val="24"/>
          <w:szCs w:val="24"/>
          <w:lang w:eastAsia="en-AU"/>
        </w:rPr>
        <w:t xml:space="preserve"> the protection of ecosystems, natural habitats and the maintenance of viable populations of species in natural surroundings; endeavouring to provide the conditions needed for compatibility between present uses and the conservation of biological diversity and the sustainable use of its components. The Amendment Instrument additionally supports Article 10(e) of the CBD by encouraging cooperation between governmental </w:t>
      </w:r>
      <w:r>
        <w:rPr>
          <w:rFonts w:ascii="Times New Roman" w:hAnsi="Times New Roman"/>
          <w:sz w:val="24"/>
          <w:szCs w:val="24"/>
          <w:lang w:eastAsia="en-AU"/>
        </w:rPr>
        <w:lastRenderedPageBreak/>
        <w:t xml:space="preserve">authorities and its private sector in developing methods for sustainable use of biological resources, by virtue of </w:t>
      </w:r>
      <w:r w:rsidR="00C569E6">
        <w:rPr>
          <w:rFonts w:ascii="Times New Roman" w:hAnsi="Times New Roman"/>
          <w:sz w:val="24"/>
          <w:szCs w:val="24"/>
          <w:lang w:eastAsia="en-AU"/>
        </w:rPr>
        <w:t>the consultative process required under the Water Act and Basin Plan to enable these amendments to be agreed</w:t>
      </w:r>
      <w:r w:rsidR="000C59EF">
        <w:rPr>
          <w:rFonts w:ascii="Times New Roman" w:hAnsi="Times New Roman"/>
          <w:sz w:val="24"/>
          <w:szCs w:val="24"/>
          <w:lang w:eastAsia="en-AU"/>
        </w:rPr>
        <w:t xml:space="preserve"> amongst Basin States</w:t>
      </w:r>
      <w:r w:rsidR="00C569E6">
        <w:rPr>
          <w:rFonts w:ascii="Times New Roman" w:hAnsi="Times New Roman"/>
          <w:sz w:val="24"/>
          <w:szCs w:val="24"/>
          <w:lang w:eastAsia="en-AU"/>
        </w:rPr>
        <w:t xml:space="preserve">. </w:t>
      </w:r>
    </w:p>
    <w:p w:rsidR="00FD2AEE" w:rsidRPr="005D1ABF" w:rsidRDefault="00FD2AEE" w:rsidP="005D1ABF">
      <w:pPr>
        <w:spacing w:after="0" w:line="240" w:lineRule="auto"/>
        <w:rPr>
          <w:rFonts w:ascii="Times New Roman" w:hAnsi="Times New Roman" w:cs="Times New Roman"/>
          <w:sz w:val="24"/>
          <w:szCs w:val="24"/>
        </w:rPr>
      </w:pPr>
    </w:p>
    <w:p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rsidR="00FD2AEE" w:rsidRDefault="00FD2AEE" w:rsidP="00FD2AEE">
      <w:pPr>
        <w:spacing w:after="0"/>
        <w:rPr>
          <w:rFonts w:ascii="Times New Roman" w:hAnsi="Times New Roman"/>
          <w:sz w:val="24"/>
          <w:szCs w:val="24"/>
        </w:rPr>
      </w:pPr>
    </w:p>
    <w:p w:rsidR="00FD2AEE" w:rsidRPr="00515061" w:rsidRDefault="00FD2AEE" w:rsidP="00FD2AEE">
      <w:pPr>
        <w:spacing w:after="0"/>
        <w:rPr>
          <w:rFonts w:ascii="Times New Roman" w:hAnsi="Times New Roman"/>
          <w:sz w:val="24"/>
          <w:szCs w:val="24"/>
        </w:rPr>
      </w:pPr>
      <w:r w:rsidRPr="00515061">
        <w:rPr>
          <w:rFonts w:ascii="Times New Roman" w:hAnsi="Times New Roman"/>
          <w:sz w:val="24"/>
          <w:szCs w:val="24"/>
        </w:rPr>
        <w:t>The Amendment Instrument is compatible with human rights because it advances the protection of human rights, specifically in relation to the right to an adequate standard of living and the right to the highest attainable level/standard of physical and mental health in the manner described.</w:t>
      </w:r>
    </w:p>
    <w:p w:rsidR="00FD2AEE" w:rsidRPr="00515061" w:rsidRDefault="00FD2AEE" w:rsidP="00FD2AEE">
      <w:pPr>
        <w:spacing w:after="0"/>
        <w:rPr>
          <w:rFonts w:ascii="Times New Roman" w:hAnsi="Times New Roman"/>
          <w:iCs/>
          <w:sz w:val="24"/>
          <w:szCs w:val="24"/>
        </w:rPr>
      </w:pPr>
    </w:p>
    <w:p w:rsidR="00FD2AEE" w:rsidRPr="00515061" w:rsidRDefault="00FD2AEE" w:rsidP="00FD2AEE">
      <w:pPr>
        <w:spacing w:after="0"/>
        <w:rPr>
          <w:rFonts w:ascii="Times New Roman" w:hAnsi="Times New Roman"/>
          <w:iCs/>
          <w:sz w:val="24"/>
          <w:szCs w:val="24"/>
        </w:rPr>
      </w:pPr>
      <w:r w:rsidRPr="00515061">
        <w:rPr>
          <w:rFonts w:ascii="Times New Roman" w:hAnsi="Times New Roman"/>
          <w:iCs/>
          <w:sz w:val="24"/>
          <w:szCs w:val="24"/>
        </w:rPr>
        <w:t>The Murray-Darling Basin Authority consulted with the Basin Officials Committee and other relevant stakeholders</w:t>
      </w:r>
      <w:r w:rsidR="007C2689">
        <w:rPr>
          <w:rFonts w:ascii="Times New Roman" w:hAnsi="Times New Roman"/>
          <w:iCs/>
          <w:sz w:val="24"/>
          <w:szCs w:val="24"/>
        </w:rPr>
        <w:t xml:space="preserve"> on documents</w:t>
      </w:r>
      <w:r w:rsidR="0013787A">
        <w:rPr>
          <w:rFonts w:ascii="Times New Roman" w:hAnsi="Times New Roman"/>
          <w:iCs/>
          <w:sz w:val="24"/>
          <w:szCs w:val="24"/>
        </w:rPr>
        <w:t>, including the Draft Determination Report,</w:t>
      </w:r>
      <w:r w:rsidR="007C2689">
        <w:rPr>
          <w:rFonts w:ascii="Times New Roman" w:hAnsi="Times New Roman"/>
          <w:iCs/>
          <w:sz w:val="24"/>
          <w:szCs w:val="24"/>
        </w:rPr>
        <w:t xml:space="preserve"> </w:t>
      </w:r>
      <w:r w:rsidR="0013787A">
        <w:rPr>
          <w:rFonts w:ascii="Times New Roman" w:hAnsi="Times New Roman"/>
          <w:iCs/>
          <w:sz w:val="24"/>
          <w:szCs w:val="24"/>
        </w:rPr>
        <w:t xml:space="preserve">required for the development of </w:t>
      </w:r>
      <w:r w:rsidR="007C2689">
        <w:rPr>
          <w:rFonts w:ascii="Times New Roman" w:hAnsi="Times New Roman"/>
          <w:iCs/>
          <w:sz w:val="24"/>
          <w:szCs w:val="24"/>
        </w:rPr>
        <w:t>this Amendment Instrument</w:t>
      </w:r>
      <w:r w:rsidR="0013787A">
        <w:rPr>
          <w:rFonts w:ascii="Times New Roman" w:hAnsi="Times New Roman"/>
          <w:iCs/>
          <w:sz w:val="24"/>
          <w:szCs w:val="24"/>
        </w:rPr>
        <w:t>. The consultation in preparing this Amendment Instrument</w:t>
      </w:r>
      <w:r w:rsidRPr="00515061">
        <w:rPr>
          <w:rFonts w:ascii="Times New Roman" w:hAnsi="Times New Roman"/>
          <w:iCs/>
          <w:sz w:val="24"/>
          <w:szCs w:val="24"/>
        </w:rPr>
        <w:t xml:space="preserve"> includ</w:t>
      </w:r>
      <w:r w:rsidR="0013787A">
        <w:rPr>
          <w:rFonts w:ascii="Times New Roman" w:hAnsi="Times New Roman"/>
          <w:iCs/>
          <w:sz w:val="24"/>
          <w:szCs w:val="24"/>
        </w:rPr>
        <w:t>ed</w:t>
      </w:r>
      <w:r w:rsidRPr="00515061">
        <w:rPr>
          <w:rFonts w:ascii="Times New Roman" w:hAnsi="Times New Roman"/>
          <w:iCs/>
          <w:sz w:val="24"/>
          <w:szCs w:val="24"/>
        </w:rPr>
        <w:t xml:space="preserve"> Basin communities and Indigenous stakeholders</w:t>
      </w:r>
      <w:r w:rsidR="00B33161">
        <w:rPr>
          <w:rFonts w:ascii="Times New Roman" w:hAnsi="Times New Roman"/>
          <w:iCs/>
          <w:sz w:val="24"/>
          <w:szCs w:val="24"/>
        </w:rPr>
        <w:t xml:space="preserve"> through the public submissions process</w:t>
      </w:r>
      <w:r w:rsidRPr="00515061">
        <w:rPr>
          <w:rFonts w:ascii="Times New Roman" w:hAnsi="Times New Roman"/>
          <w:iCs/>
          <w:sz w:val="24"/>
          <w:szCs w:val="24"/>
        </w:rPr>
        <w:t xml:space="preserve">. </w:t>
      </w:r>
    </w:p>
    <w:p w:rsidR="002B1DB3" w:rsidRPr="005D1ABF" w:rsidRDefault="002B1DB3" w:rsidP="005D1ABF">
      <w:pPr>
        <w:spacing w:after="0" w:line="240" w:lineRule="auto"/>
        <w:rPr>
          <w:rFonts w:ascii="Times New Roman" w:hAnsi="Times New Roman" w:cs="Times New Roman"/>
          <w:sz w:val="24"/>
          <w:szCs w:val="24"/>
        </w:rPr>
      </w:pPr>
    </w:p>
    <w:p w:rsidR="002B1DB3" w:rsidRPr="005D1ABF" w:rsidRDefault="002B1DB3" w:rsidP="005D1ABF">
      <w:pPr>
        <w:spacing w:after="0" w:line="240" w:lineRule="auto"/>
        <w:rPr>
          <w:rFonts w:ascii="Times New Roman" w:hAnsi="Times New Roman" w:cs="Times New Roman"/>
          <w:sz w:val="24"/>
          <w:szCs w:val="24"/>
        </w:rPr>
      </w:pPr>
    </w:p>
    <w:p w:rsidR="00FD2AEE" w:rsidRPr="00AD5797" w:rsidRDefault="00FD2AEE" w:rsidP="00FD2AEE">
      <w:pPr>
        <w:spacing w:after="0"/>
        <w:jc w:val="center"/>
        <w:rPr>
          <w:rFonts w:ascii="Times New Roman" w:hAnsi="Times New Roman" w:cs="Times New Roman"/>
          <w:i/>
          <w:color w:val="000000" w:themeColor="text1"/>
          <w:sz w:val="24"/>
          <w:szCs w:val="24"/>
          <w:u w:val="single"/>
        </w:rPr>
      </w:pPr>
    </w:p>
    <w:p w:rsidR="00FD2AEE" w:rsidRPr="00E45139" w:rsidRDefault="00FD2AEE" w:rsidP="00FD2AEE">
      <w:pPr>
        <w:spacing w:after="0"/>
        <w:jc w:val="center"/>
        <w:rPr>
          <w:rFonts w:ascii="Times New Roman" w:hAnsi="Times New Roman"/>
          <w:iCs/>
          <w:color w:val="000000" w:themeColor="text1"/>
          <w:sz w:val="24"/>
          <w:szCs w:val="24"/>
        </w:rPr>
      </w:pPr>
      <w:r w:rsidRPr="00E45139">
        <w:rPr>
          <w:rFonts w:ascii="Times New Roman" w:hAnsi="Times New Roman"/>
          <w:b/>
          <w:bCs/>
          <w:iCs/>
          <w:color w:val="000000" w:themeColor="text1"/>
          <w:sz w:val="24"/>
          <w:szCs w:val="24"/>
        </w:rPr>
        <w:t xml:space="preserve">The Hon. </w:t>
      </w:r>
      <w:r w:rsidR="00E45139" w:rsidRPr="00E45139">
        <w:rPr>
          <w:rFonts w:ascii="Times New Roman" w:hAnsi="Times New Roman"/>
          <w:b/>
          <w:bCs/>
          <w:iCs/>
          <w:color w:val="000000" w:themeColor="text1"/>
          <w:sz w:val="24"/>
          <w:szCs w:val="24"/>
        </w:rPr>
        <w:t>Barnaby Joyce</w:t>
      </w:r>
      <w:r w:rsidR="00A96DDA" w:rsidRPr="00E45139">
        <w:rPr>
          <w:rFonts w:ascii="Times New Roman" w:hAnsi="Times New Roman"/>
          <w:b/>
          <w:bCs/>
          <w:iCs/>
          <w:color w:val="000000" w:themeColor="text1"/>
          <w:sz w:val="24"/>
          <w:szCs w:val="24"/>
        </w:rPr>
        <w:t xml:space="preserve"> </w:t>
      </w:r>
      <w:r w:rsidRPr="00E45139">
        <w:rPr>
          <w:rFonts w:ascii="Times New Roman" w:hAnsi="Times New Roman"/>
          <w:b/>
          <w:bCs/>
          <w:iCs/>
          <w:color w:val="000000" w:themeColor="text1"/>
          <w:sz w:val="24"/>
          <w:szCs w:val="24"/>
        </w:rPr>
        <w:t>MP</w:t>
      </w:r>
    </w:p>
    <w:p w:rsidR="005C1AC3" w:rsidRPr="00450428" w:rsidRDefault="00450428" w:rsidP="005D1ABF">
      <w:pPr>
        <w:spacing w:after="0" w:line="240" w:lineRule="auto"/>
        <w:jc w:val="center"/>
        <w:rPr>
          <w:rFonts w:ascii="Times New Roman" w:hAnsi="Times New Roman" w:cs="Times New Roman"/>
          <w:b/>
          <w:sz w:val="24"/>
          <w:szCs w:val="24"/>
        </w:rPr>
      </w:pPr>
      <w:r w:rsidRPr="00450428">
        <w:rPr>
          <w:rFonts w:ascii="Times New Roman" w:hAnsi="Times New Roman" w:cs="Times New Roman"/>
          <w:b/>
          <w:sz w:val="24"/>
          <w:szCs w:val="24"/>
        </w:rPr>
        <w:t>Deputy Prime Minister and Minister for Agriculture and Water Resources</w:t>
      </w:r>
    </w:p>
    <w:p w:rsidR="00FA26FF" w:rsidRPr="005D1ABF" w:rsidRDefault="00FA26FF" w:rsidP="002B1DB3">
      <w:pPr>
        <w:rPr>
          <w:rFonts w:ascii="Times New Roman" w:hAnsi="Times New Roman" w:cs="Times New Roman"/>
          <w:sz w:val="24"/>
          <w:szCs w:val="24"/>
          <w:lang w:val="en-GB"/>
        </w:rPr>
      </w:pPr>
      <w:bookmarkStart w:id="0" w:name="_GoBack"/>
      <w:bookmarkEnd w:id="0"/>
    </w:p>
    <w:sectPr w:rsidR="00FA26FF" w:rsidRPr="005D1ABF" w:rsidSect="001C09FB">
      <w:footerReference w:type="default" r:id="rId11"/>
      <w:footerReference w:type="first" r:id="rId12"/>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492" w:rsidRDefault="00892492" w:rsidP="00151C54">
      <w:r>
        <w:separator/>
      </w:r>
    </w:p>
  </w:endnote>
  <w:endnote w:type="continuationSeparator" w:id="0">
    <w:p w:rsidR="00892492" w:rsidRDefault="00892492"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2"/>
      </w:rPr>
      <w:id w:val="-10688819"/>
      <w:docPartObj>
        <w:docPartGallery w:val="Page Numbers (Bottom of Page)"/>
        <w:docPartUnique/>
      </w:docPartObj>
    </w:sdtPr>
    <w:sdtEndPr>
      <w:rPr>
        <w:noProof/>
      </w:rPr>
    </w:sdtEndPr>
    <w:sdtContent>
      <w:p w:rsidR="00C21208" w:rsidRPr="0087686B" w:rsidRDefault="00C21208">
        <w:pPr>
          <w:pStyle w:val="Footer"/>
          <w:jc w:val="center"/>
          <w:rPr>
            <w:rFonts w:ascii="Times New Roman" w:hAnsi="Times New Roman" w:cs="Times New Roman"/>
            <w:sz w:val="22"/>
          </w:rPr>
        </w:pPr>
        <w:r w:rsidRPr="0087686B">
          <w:rPr>
            <w:rFonts w:ascii="Times New Roman" w:hAnsi="Times New Roman" w:cs="Times New Roman"/>
            <w:sz w:val="22"/>
          </w:rPr>
          <w:fldChar w:fldCharType="begin"/>
        </w:r>
        <w:r w:rsidRPr="0087686B">
          <w:rPr>
            <w:rFonts w:ascii="Times New Roman" w:hAnsi="Times New Roman" w:cs="Times New Roman"/>
            <w:sz w:val="22"/>
          </w:rPr>
          <w:instrText xml:space="preserve"> PAGE   \* MERGEFORMAT </w:instrText>
        </w:r>
        <w:r w:rsidRPr="0087686B">
          <w:rPr>
            <w:rFonts w:ascii="Times New Roman" w:hAnsi="Times New Roman" w:cs="Times New Roman"/>
            <w:sz w:val="22"/>
          </w:rPr>
          <w:fldChar w:fldCharType="separate"/>
        </w:r>
        <w:r w:rsidR="00450428">
          <w:rPr>
            <w:rFonts w:ascii="Times New Roman" w:hAnsi="Times New Roman" w:cs="Times New Roman"/>
            <w:noProof/>
            <w:sz w:val="22"/>
          </w:rPr>
          <w:t>18</w:t>
        </w:r>
        <w:r w:rsidRPr="0087686B">
          <w:rPr>
            <w:rFonts w:ascii="Times New Roman" w:hAnsi="Times New Roman" w:cs="Times New Roman"/>
            <w:noProof/>
            <w:sz w:val="22"/>
          </w:rPr>
          <w:fldChar w:fldCharType="end"/>
        </w:r>
      </w:p>
    </w:sdtContent>
  </w:sdt>
  <w:p w:rsidR="00C21208" w:rsidRPr="0087686B" w:rsidRDefault="00C21208">
    <w:pPr>
      <w:pStyle w:val="Footer"/>
      <w:rPr>
        <w:rFonts w:ascii="Times New Roman" w:hAnsi="Times New Roman" w:cs="Times New Roman"/>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209383"/>
      <w:docPartObj>
        <w:docPartGallery w:val="Page Numbers (Bottom of Page)"/>
        <w:docPartUnique/>
      </w:docPartObj>
    </w:sdtPr>
    <w:sdtEndPr>
      <w:rPr>
        <w:noProof/>
      </w:rPr>
    </w:sdtEndPr>
    <w:sdtContent>
      <w:p w:rsidR="00C21208" w:rsidRDefault="00C21208">
        <w:pPr>
          <w:pStyle w:val="Footer"/>
          <w:jc w:val="center"/>
        </w:pPr>
        <w:r>
          <w:fldChar w:fldCharType="begin"/>
        </w:r>
        <w:r>
          <w:instrText xml:space="preserve"> PAGE   \* MERGEFORMAT </w:instrText>
        </w:r>
        <w:r>
          <w:fldChar w:fldCharType="separate"/>
        </w:r>
        <w:r w:rsidR="00450428">
          <w:rPr>
            <w:noProof/>
          </w:rPr>
          <w:t>1</w:t>
        </w:r>
        <w:r>
          <w:rPr>
            <w:noProof/>
          </w:rPr>
          <w:fldChar w:fldCharType="end"/>
        </w:r>
      </w:p>
    </w:sdtContent>
  </w:sdt>
  <w:p w:rsidR="00C21208" w:rsidRPr="0087686B" w:rsidRDefault="00C21208" w:rsidP="00273C1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492" w:rsidRDefault="00892492" w:rsidP="00151C54">
      <w:r>
        <w:separator/>
      </w:r>
    </w:p>
  </w:footnote>
  <w:footnote w:type="continuationSeparator" w:id="0">
    <w:p w:rsidR="00892492" w:rsidRDefault="00892492" w:rsidP="00151C54">
      <w:r>
        <w:continuationSeparator/>
      </w:r>
    </w:p>
  </w:footnote>
  <w:footnote w:id="1">
    <w:p w:rsidR="00C21208" w:rsidRPr="00C4122D" w:rsidRDefault="00C21208">
      <w:pPr>
        <w:pStyle w:val="FootnoteText"/>
        <w:rPr>
          <w:rFonts w:ascii="Times New Roman" w:hAnsi="Times New Roman" w:cs="Times New Roman"/>
        </w:rPr>
      </w:pPr>
      <w:r w:rsidRPr="00C4122D">
        <w:rPr>
          <w:rStyle w:val="FootnoteReference"/>
          <w:rFonts w:ascii="Times New Roman" w:hAnsi="Times New Roman" w:cs="Times New Roman"/>
        </w:rPr>
        <w:footnoteRef/>
      </w:r>
      <w:r w:rsidRPr="00C4122D">
        <w:rPr>
          <w:rFonts w:ascii="Times New Roman" w:hAnsi="Times New Roman" w:cs="Times New Roman"/>
        </w:rPr>
        <w:t xml:space="preserve"> </w:t>
      </w:r>
      <w:r w:rsidRPr="00C4122D">
        <w:rPr>
          <w:rFonts w:ascii="Times New Roman" w:hAnsi="Times New Roman" w:cs="Times New Roman"/>
          <w:i/>
        </w:rPr>
        <w:t>Sustainable Diversion Limit Adjustment Mechanism: Draft Determination Report</w:t>
      </w:r>
      <w:r w:rsidRPr="00C4122D">
        <w:rPr>
          <w:rFonts w:ascii="Times New Roman" w:hAnsi="Times New Roman" w:cs="Times New Roman"/>
        </w:rPr>
        <w:t xml:space="preserve">, Murray-Darling Basin Authority, 2 October 2017, see Attachment C – Modelling Metrics </w:t>
      </w:r>
    </w:p>
  </w:footnote>
  <w:footnote w:id="2">
    <w:p w:rsidR="00C21208" w:rsidRPr="00C4122D" w:rsidRDefault="00C21208">
      <w:pPr>
        <w:pStyle w:val="FootnoteText"/>
      </w:pPr>
      <w:r w:rsidRPr="00C4122D">
        <w:rPr>
          <w:rStyle w:val="FootnoteReference"/>
        </w:rPr>
        <w:footnoteRef/>
      </w:r>
      <w:r w:rsidRPr="00C4122D">
        <w:t xml:space="preserve"> </w:t>
      </w:r>
      <w:r w:rsidRPr="00C4122D">
        <w:rPr>
          <w:rFonts w:ascii="Times New Roman" w:hAnsi="Times New Roman" w:cs="Times New Roman"/>
          <w:i/>
        </w:rPr>
        <w:t>The Convention on Wetlands of International Importance especially as Waterfowl Habitat</w:t>
      </w:r>
      <w:r w:rsidR="00C4122D">
        <w:rPr>
          <w:rFonts w:ascii="Times New Roman" w:hAnsi="Times New Roman" w:cs="Times New Roman"/>
        </w:rPr>
        <w:t>,</w:t>
      </w:r>
      <w:r w:rsidRPr="00C4122D">
        <w:rPr>
          <w:rFonts w:ascii="Times New Roman" w:hAnsi="Times New Roman" w:cs="Times New Roman"/>
        </w:rPr>
        <w:t xml:space="preserve"> agreed at </w:t>
      </w:r>
      <w:proofErr w:type="spellStart"/>
      <w:r w:rsidRPr="00C4122D">
        <w:rPr>
          <w:rFonts w:ascii="Times New Roman" w:hAnsi="Times New Roman" w:cs="Times New Roman"/>
        </w:rPr>
        <w:t>Ramsar</w:t>
      </w:r>
      <w:proofErr w:type="spellEnd"/>
      <w:r w:rsidRPr="00C4122D">
        <w:rPr>
          <w:rFonts w:ascii="Times New Roman" w:hAnsi="Times New Roman" w:cs="Times New Roman"/>
        </w:rPr>
        <w:t>, Iran on 2 February 1971.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41C96"/>
    <w:multiLevelType w:val="hybridMultilevel"/>
    <w:tmpl w:val="A5C04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9" w15:restartNumberingAfterBreak="0">
    <w:nsid w:val="3AC31952"/>
    <w:multiLevelType w:val="hybridMultilevel"/>
    <w:tmpl w:val="2BE66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1"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B9654C"/>
    <w:multiLevelType w:val="hybridMultilevel"/>
    <w:tmpl w:val="BB24F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19"/>
  </w:num>
  <w:num w:numId="3">
    <w:abstractNumId w:val="12"/>
  </w:num>
  <w:num w:numId="4">
    <w:abstractNumId w:val="3"/>
  </w:num>
  <w:num w:numId="5">
    <w:abstractNumId w:val="1"/>
  </w:num>
  <w:num w:numId="6">
    <w:abstractNumId w:val="7"/>
  </w:num>
  <w:num w:numId="7">
    <w:abstractNumId w:val="2"/>
  </w:num>
  <w:num w:numId="8">
    <w:abstractNumId w:val="5"/>
  </w:num>
  <w:num w:numId="9">
    <w:abstractNumId w:val="6"/>
  </w:num>
  <w:num w:numId="10">
    <w:abstractNumId w:val="15"/>
  </w:num>
  <w:num w:numId="11">
    <w:abstractNumId w:val="16"/>
  </w:num>
  <w:num w:numId="12">
    <w:abstractNumId w:val="10"/>
  </w:num>
  <w:num w:numId="13">
    <w:abstractNumId w:val="10"/>
    <w:lvlOverride w:ilvl="0">
      <w:startOverride w:val="1"/>
    </w:lvlOverride>
  </w:num>
  <w:num w:numId="14">
    <w:abstractNumId w:val="0"/>
  </w:num>
  <w:num w:numId="15">
    <w:abstractNumId w:val="14"/>
  </w:num>
  <w:num w:numId="16">
    <w:abstractNumId w:val="18"/>
  </w:num>
  <w:num w:numId="17">
    <w:abstractNumId w:val="13"/>
  </w:num>
  <w:num w:numId="18">
    <w:abstractNumId w:val="11"/>
  </w:num>
  <w:num w:numId="19">
    <w:abstractNumId w:val="9"/>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ctiveWritingStyle w:appName="MSWord" w:lang="en-GB" w:vendorID="64" w:dllVersion="131078" w:nlCheck="1" w:checkStyle="1"/>
  <w:activeWritingStyle w:appName="MSWord" w:lang="en-AU"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01BD"/>
    <w:rsid w:val="00000645"/>
    <w:rsid w:val="00001BAB"/>
    <w:rsid w:val="0001030F"/>
    <w:rsid w:val="000135E0"/>
    <w:rsid w:val="00015DB9"/>
    <w:rsid w:val="00016236"/>
    <w:rsid w:val="000223C5"/>
    <w:rsid w:val="000270F0"/>
    <w:rsid w:val="00033C6E"/>
    <w:rsid w:val="00033ED1"/>
    <w:rsid w:val="00035636"/>
    <w:rsid w:val="00037CDA"/>
    <w:rsid w:val="000434EF"/>
    <w:rsid w:val="00046F76"/>
    <w:rsid w:val="000503F4"/>
    <w:rsid w:val="00055EF3"/>
    <w:rsid w:val="00056AA2"/>
    <w:rsid w:val="000600E2"/>
    <w:rsid w:val="000629B8"/>
    <w:rsid w:val="000645AB"/>
    <w:rsid w:val="00081E70"/>
    <w:rsid w:val="00092F2C"/>
    <w:rsid w:val="000934B6"/>
    <w:rsid w:val="00094391"/>
    <w:rsid w:val="000962BA"/>
    <w:rsid w:val="000976DB"/>
    <w:rsid w:val="000A52A2"/>
    <w:rsid w:val="000A65F6"/>
    <w:rsid w:val="000B05BC"/>
    <w:rsid w:val="000B129E"/>
    <w:rsid w:val="000C1F06"/>
    <w:rsid w:val="000C2167"/>
    <w:rsid w:val="000C31B6"/>
    <w:rsid w:val="000C3693"/>
    <w:rsid w:val="000C59EF"/>
    <w:rsid w:val="000D07B5"/>
    <w:rsid w:val="000D78D6"/>
    <w:rsid w:val="000F08F2"/>
    <w:rsid w:val="000F39DF"/>
    <w:rsid w:val="00101E62"/>
    <w:rsid w:val="00102163"/>
    <w:rsid w:val="00110515"/>
    <w:rsid w:val="001125D9"/>
    <w:rsid w:val="00112708"/>
    <w:rsid w:val="00113C4E"/>
    <w:rsid w:val="0012062A"/>
    <w:rsid w:val="00123E65"/>
    <w:rsid w:val="00127498"/>
    <w:rsid w:val="0012775E"/>
    <w:rsid w:val="00127797"/>
    <w:rsid w:val="0013179D"/>
    <w:rsid w:val="00132737"/>
    <w:rsid w:val="00132D3C"/>
    <w:rsid w:val="001372D1"/>
    <w:rsid w:val="0013787A"/>
    <w:rsid w:val="00151C54"/>
    <w:rsid w:val="00153032"/>
    <w:rsid w:val="00161CE2"/>
    <w:rsid w:val="00163956"/>
    <w:rsid w:val="00165692"/>
    <w:rsid w:val="00165C4A"/>
    <w:rsid w:val="001669D6"/>
    <w:rsid w:val="001714BF"/>
    <w:rsid w:val="0017234B"/>
    <w:rsid w:val="001746B7"/>
    <w:rsid w:val="00175BD8"/>
    <w:rsid w:val="00176F18"/>
    <w:rsid w:val="00180DEF"/>
    <w:rsid w:val="001813AC"/>
    <w:rsid w:val="0018228A"/>
    <w:rsid w:val="00183D64"/>
    <w:rsid w:val="001912E7"/>
    <w:rsid w:val="00191D62"/>
    <w:rsid w:val="00193CF4"/>
    <w:rsid w:val="00193F45"/>
    <w:rsid w:val="001A05E6"/>
    <w:rsid w:val="001A4EAC"/>
    <w:rsid w:val="001A5CE3"/>
    <w:rsid w:val="001A7F89"/>
    <w:rsid w:val="001C09FB"/>
    <w:rsid w:val="001C1B07"/>
    <w:rsid w:val="001C2B4F"/>
    <w:rsid w:val="001C47B8"/>
    <w:rsid w:val="001C4C16"/>
    <w:rsid w:val="001C51B6"/>
    <w:rsid w:val="001D006D"/>
    <w:rsid w:val="001D65FC"/>
    <w:rsid w:val="001D77A6"/>
    <w:rsid w:val="001E1A14"/>
    <w:rsid w:val="001E6727"/>
    <w:rsid w:val="001E755E"/>
    <w:rsid w:val="001F31B4"/>
    <w:rsid w:val="001F47AF"/>
    <w:rsid w:val="001F52D2"/>
    <w:rsid w:val="001F5A48"/>
    <w:rsid w:val="00202A40"/>
    <w:rsid w:val="00203AAB"/>
    <w:rsid w:val="00215F72"/>
    <w:rsid w:val="00215F7E"/>
    <w:rsid w:val="002204D6"/>
    <w:rsid w:val="002240EC"/>
    <w:rsid w:val="00224D28"/>
    <w:rsid w:val="00231707"/>
    <w:rsid w:val="00243A93"/>
    <w:rsid w:val="00253D49"/>
    <w:rsid w:val="00264BAE"/>
    <w:rsid w:val="002669EB"/>
    <w:rsid w:val="00271818"/>
    <w:rsid w:val="00271C2E"/>
    <w:rsid w:val="002730CE"/>
    <w:rsid w:val="00273726"/>
    <w:rsid w:val="002737B5"/>
    <w:rsid w:val="00273B5C"/>
    <w:rsid w:val="00273C11"/>
    <w:rsid w:val="002801ED"/>
    <w:rsid w:val="00290533"/>
    <w:rsid w:val="0029393E"/>
    <w:rsid w:val="0029727D"/>
    <w:rsid w:val="00297BC7"/>
    <w:rsid w:val="002A08EC"/>
    <w:rsid w:val="002A274D"/>
    <w:rsid w:val="002A3DD1"/>
    <w:rsid w:val="002A42D8"/>
    <w:rsid w:val="002A500B"/>
    <w:rsid w:val="002A7E62"/>
    <w:rsid w:val="002B1DB3"/>
    <w:rsid w:val="002B2B54"/>
    <w:rsid w:val="002B7717"/>
    <w:rsid w:val="002C4471"/>
    <w:rsid w:val="002C57CD"/>
    <w:rsid w:val="002C6947"/>
    <w:rsid w:val="002D20D0"/>
    <w:rsid w:val="002D2972"/>
    <w:rsid w:val="002D3CE5"/>
    <w:rsid w:val="002D41BA"/>
    <w:rsid w:val="002D65F6"/>
    <w:rsid w:val="002E5878"/>
    <w:rsid w:val="002F2F4C"/>
    <w:rsid w:val="002F443B"/>
    <w:rsid w:val="002F678B"/>
    <w:rsid w:val="003015AF"/>
    <w:rsid w:val="003064B1"/>
    <w:rsid w:val="00311E6F"/>
    <w:rsid w:val="003228F6"/>
    <w:rsid w:val="00323626"/>
    <w:rsid w:val="00332B4E"/>
    <w:rsid w:val="00343096"/>
    <w:rsid w:val="00347E7B"/>
    <w:rsid w:val="00361EDD"/>
    <w:rsid w:val="0036434A"/>
    <w:rsid w:val="00364F12"/>
    <w:rsid w:val="00365372"/>
    <w:rsid w:val="003710C0"/>
    <w:rsid w:val="00372453"/>
    <w:rsid w:val="00375F5C"/>
    <w:rsid w:val="003822E9"/>
    <w:rsid w:val="003869BF"/>
    <w:rsid w:val="00387296"/>
    <w:rsid w:val="00391B04"/>
    <w:rsid w:val="00393D7F"/>
    <w:rsid w:val="003A2479"/>
    <w:rsid w:val="003A41F4"/>
    <w:rsid w:val="003A54AE"/>
    <w:rsid w:val="003A7398"/>
    <w:rsid w:val="003B621E"/>
    <w:rsid w:val="003C0058"/>
    <w:rsid w:val="003C065E"/>
    <w:rsid w:val="003C4DAD"/>
    <w:rsid w:val="003D6D6F"/>
    <w:rsid w:val="003E0906"/>
    <w:rsid w:val="003E38F8"/>
    <w:rsid w:val="003E5CA0"/>
    <w:rsid w:val="003E6A21"/>
    <w:rsid w:val="003E7EF3"/>
    <w:rsid w:val="003F0E8F"/>
    <w:rsid w:val="003F7F7C"/>
    <w:rsid w:val="00402F72"/>
    <w:rsid w:val="0040611B"/>
    <w:rsid w:val="00417598"/>
    <w:rsid w:val="004175E1"/>
    <w:rsid w:val="004223EC"/>
    <w:rsid w:val="0043577E"/>
    <w:rsid w:val="00435A8F"/>
    <w:rsid w:val="00440F71"/>
    <w:rsid w:val="00442785"/>
    <w:rsid w:val="00443491"/>
    <w:rsid w:val="00450428"/>
    <w:rsid w:val="004565E0"/>
    <w:rsid w:val="00460610"/>
    <w:rsid w:val="004607C8"/>
    <w:rsid w:val="00461420"/>
    <w:rsid w:val="00466045"/>
    <w:rsid w:val="004662C1"/>
    <w:rsid w:val="00466649"/>
    <w:rsid w:val="00470AE8"/>
    <w:rsid w:val="00474E67"/>
    <w:rsid w:val="00476254"/>
    <w:rsid w:val="00480EC1"/>
    <w:rsid w:val="004834C6"/>
    <w:rsid w:val="00483CF0"/>
    <w:rsid w:val="00484A34"/>
    <w:rsid w:val="00485C1E"/>
    <w:rsid w:val="00490CB8"/>
    <w:rsid w:val="004A0578"/>
    <w:rsid w:val="004A3A20"/>
    <w:rsid w:val="004B0DD7"/>
    <w:rsid w:val="004B57FD"/>
    <w:rsid w:val="004B71DF"/>
    <w:rsid w:val="004C0B41"/>
    <w:rsid w:val="004C276E"/>
    <w:rsid w:val="004C3111"/>
    <w:rsid w:val="004C5262"/>
    <w:rsid w:val="004C5892"/>
    <w:rsid w:val="004D257B"/>
    <w:rsid w:val="004E094A"/>
    <w:rsid w:val="004E317F"/>
    <w:rsid w:val="004F0776"/>
    <w:rsid w:val="004F2AF9"/>
    <w:rsid w:val="004F4401"/>
    <w:rsid w:val="004F76F2"/>
    <w:rsid w:val="0050279C"/>
    <w:rsid w:val="00503D6E"/>
    <w:rsid w:val="00516EA3"/>
    <w:rsid w:val="00522D5F"/>
    <w:rsid w:val="00524522"/>
    <w:rsid w:val="00524924"/>
    <w:rsid w:val="005300EA"/>
    <w:rsid w:val="005308D0"/>
    <w:rsid w:val="00535093"/>
    <w:rsid w:val="005430FD"/>
    <w:rsid w:val="00543544"/>
    <w:rsid w:val="0054738A"/>
    <w:rsid w:val="00547846"/>
    <w:rsid w:val="005505AB"/>
    <w:rsid w:val="0055166D"/>
    <w:rsid w:val="005664BC"/>
    <w:rsid w:val="00566B0F"/>
    <w:rsid w:val="00581B96"/>
    <w:rsid w:val="00581ECC"/>
    <w:rsid w:val="00582E28"/>
    <w:rsid w:val="00586142"/>
    <w:rsid w:val="00590687"/>
    <w:rsid w:val="005A2E03"/>
    <w:rsid w:val="005A3311"/>
    <w:rsid w:val="005A4A83"/>
    <w:rsid w:val="005A5E38"/>
    <w:rsid w:val="005B6B55"/>
    <w:rsid w:val="005B759C"/>
    <w:rsid w:val="005B7CE0"/>
    <w:rsid w:val="005C0358"/>
    <w:rsid w:val="005C1AC3"/>
    <w:rsid w:val="005C4468"/>
    <w:rsid w:val="005C4493"/>
    <w:rsid w:val="005C7337"/>
    <w:rsid w:val="005D1ABF"/>
    <w:rsid w:val="005D3F29"/>
    <w:rsid w:val="005D53EF"/>
    <w:rsid w:val="005D698C"/>
    <w:rsid w:val="005D7DD7"/>
    <w:rsid w:val="005E3D4B"/>
    <w:rsid w:val="005F34CC"/>
    <w:rsid w:val="005F56D2"/>
    <w:rsid w:val="005F66F2"/>
    <w:rsid w:val="006022C4"/>
    <w:rsid w:val="00602F30"/>
    <w:rsid w:val="00606CB7"/>
    <w:rsid w:val="006071E7"/>
    <w:rsid w:val="00611003"/>
    <w:rsid w:val="006247AD"/>
    <w:rsid w:val="0063098B"/>
    <w:rsid w:val="00630B52"/>
    <w:rsid w:val="006327D8"/>
    <w:rsid w:val="00633472"/>
    <w:rsid w:val="006400BC"/>
    <w:rsid w:val="006443EA"/>
    <w:rsid w:val="00644819"/>
    <w:rsid w:val="0064772B"/>
    <w:rsid w:val="00650566"/>
    <w:rsid w:val="00652426"/>
    <w:rsid w:val="00653C86"/>
    <w:rsid w:val="006553D3"/>
    <w:rsid w:val="006626F6"/>
    <w:rsid w:val="00662F3D"/>
    <w:rsid w:val="00674FDA"/>
    <w:rsid w:val="0067553D"/>
    <w:rsid w:val="00676940"/>
    <w:rsid w:val="00683A69"/>
    <w:rsid w:val="00690055"/>
    <w:rsid w:val="006A198F"/>
    <w:rsid w:val="006A320D"/>
    <w:rsid w:val="006A5AE5"/>
    <w:rsid w:val="006B7B7D"/>
    <w:rsid w:val="006C09E9"/>
    <w:rsid w:val="006C4192"/>
    <w:rsid w:val="006C4774"/>
    <w:rsid w:val="006D064E"/>
    <w:rsid w:val="006D0A12"/>
    <w:rsid w:val="006D0DE2"/>
    <w:rsid w:val="006D3EE5"/>
    <w:rsid w:val="006E5AF4"/>
    <w:rsid w:val="006E6178"/>
    <w:rsid w:val="00700F91"/>
    <w:rsid w:val="007041CF"/>
    <w:rsid w:val="007138E7"/>
    <w:rsid w:val="00713D8E"/>
    <w:rsid w:val="007164B8"/>
    <w:rsid w:val="00720AEC"/>
    <w:rsid w:val="00725DC1"/>
    <w:rsid w:val="00734682"/>
    <w:rsid w:val="00734BCB"/>
    <w:rsid w:val="007353C0"/>
    <w:rsid w:val="00745BFD"/>
    <w:rsid w:val="00751F85"/>
    <w:rsid w:val="00755623"/>
    <w:rsid w:val="007608B8"/>
    <w:rsid w:val="00761F7C"/>
    <w:rsid w:val="00767639"/>
    <w:rsid w:val="00767D95"/>
    <w:rsid w:val="007752E9"/>
    <w:rsid w:val="00784976"/>
    <w:rsid w:val="00787954"/>
    <w:rsid w:val="00787E0D"/>
    <w:rsid w:val="007926F6"/>
    <w:rsid w:val="00794F9C"/>
    <w:rsid w:val="00795B62"/>
    <w:rsid w:val="00796C39"/>
    <w:rsid w:val="007A004D"/>
    <w:rsid w:val="007A1EB1"/>
    <w:rsid w:val="007B1157"/>
    <w:rsid w:val="007B1EF1"/>
    <w:rsid w:val="007B35A8"/>
    <w:rsid w:val="007B3825"/>
    <w:rsid w:val="007B3C0B"/>
    <w:rsid w:val="007B3C56"/>
    <w:rsid w:val="007C1E99"/>
    <w:rsid w:val="007C2689"/>
    <w:rsid w:val="007C2CC6"/>
    <w:rsid w:val="007C38EB"/>
    <w:rsid w:val="007C45D8"/>
    <w:rsid w:val="007C5D26"/>
    <w:rsid w:val="007D64B5"/>
    <w:rsid w:val="007F21BF"/>
    <w:rsid w:val="007F35C7"/>
    <w:rsid w:val="008017E6"/>
    <w:rsid w:val="0081301F"/>
    <w:rsid w:val="00813B12"/>
    <w:rsid w:val="00820E53"/>
    <w:rsid w:val="00821AA9"/>
    <w:rsid w:val="008224BE"/>
    <w:rsid w:val="0082572E"/>
    <w:rsid w:val="008300B9"/>
    <w:rsid w:val="0083030C"/>
    <w:rsid w:val="00835D4D"/>
    <w:rsid w:val="00841053"/>
    <w:rsid w:val="0085100D"/>
    <w:rsid w:val="008570C8"/>
    <w:rsid w:val="00860793"/>
    <w:rsid w:val="00870516"/>
    <w:rsid w:val="00873A3F"/>
    <w:rsid w:val="0087686B"/>
    <w:rsid w:val="00877C5B"/>
    <w:rsid w:val="0088115E"/>
    <w:rsid w:val="00883770"/>
    <w:rsid w:val="0088391C"/>
    <w:rsid w:val="00892492"/>
    <w:rsid w:val="00896EBE"/>
    <w:rsid w:val="0089780D"/>
    <w:rsid w:val="008A0A74"/>
    <w:rsid w:val="008A2003"/>
    <w:rsid w:val="008B1196"/>
    <w:rsid w:val="008B370D"/>
    <w:rsid w:val="008B6CEB"/>
    <w:rsid w:val="008B6FEB"/>
    <w:rsid w:val="008B73F3"/>
    <w:rsid w:val="008C0D2B"/>
    <w:rsid w:val="008C0E1F"/>
    <w:rsid w:val="008C1C7B"/>
    <w:rsid w:val="008C3F1D"/>
    <w:rsid w:val="008C5770"/>
    <w:rsid w:val="008C5787"/>
    <w:rsid w:val="008D29F0"/>
    <w:rsid w:val="008D4378"/>
    <w:rsid w:val="008E11E2"/>
    <w:rsid w:val="008E2464"/>
    <w:rsid w:val="008E3EFC"/>
    <w:rsid w:val="008E61AE"/>
    <w:rsid w:val="008F195B"/>
    <w:rsid w:val="009025D1"/>
    <w:rsid w:val="009152CA"/>
    <w:rsid w:val="00922C40"/>
    <w:rsid w:val="00932D51"/>
    <w:rsid w:val="00940921"/>
    <w:rsid w:val="00942CA6"/>
    <w:rsid w:val="00943B74"/>
    <w:rsid w:val="00946671"/>
    <w:rsid w:val="00954B1A"/>
    <w:rsid w:val="00961FB9"/>
    <w:rsid w:val="00973468"/>
    <w:rsid w:val="00980A97"/>
    <w:rsid w:val="0098385C"/>
    <w:rsid w:val="009908D6"/>
    <w:rsid w:val="009914E9"/>
    <w:rsid w:val="00992814"/>
    <w:rsid w:val="00992863"/>
    <w:rsid w:val="00995D93"/>
    <w:rsid w:val="009A11A2"/>
    <w:rsid w:val="009A2864"/>
    <w:rsid w:val="009A38F6"/>
    <w:rsid w:val="009A7A61"/>
    <w:rsid w:val="009A7C23"/>
    <w:rsid w:val="009B3BDE"/>
    <w:rsid w:val="009B5F0B"/>
    <w:rsid w:val="009C6F8E"/>
    <w:rsid w:val="009D2DFD"/>
    <w:rsid w:val="009D40AF"/>
    <w:rsid w:val="009D7686"/>
    <w:rsid w:val="009E61C5"/>
    <w:rsid w:val="009E6A94"/>
    <w:rsid w:val="009F09DE"/>
    <w:rsid w:val="009F25AF"/>
    <w:rsid w:val="009F573B"/>
    <w:rsid w:val="00A00598"/>
    <w:rsid w:val="00A211A2"/>
    <w:rsid w:val="00A2235A"/>
    <w:rsid w:val="00A24D56"/>
    <w:rsid w:val="00A351C1"/>
    <w:rsid w:val="00A37FDF"/>
    <w:rsid w:val="00A426C7"/>
    <w:rsid w:val="00A51CCC"/>
    <w:rsid w:val="00A629BA"/>
    <w:rsid w:val="00A62ECC"/>
    <w:rsid w:val="00A633C9"/>
    <w:rsid w:val="00A65B6D"/>
    <w:rsid w:val="00A70FD6"/>
    <w:rsid w:val="00A733AC"/>
    <w:rsid w:val="00A77073"/>
    <w:rsid w:val="00A806A9"/>
    <w:rsid w:val="00A87DB6"/>
    <w:rsid w:val="00A90C20"/>
    <w:rsid w:val="00A92EDB"/>
    <w:rsid w:val="00A93678"/>
    <w:rsid w:val="00A96DDA"/>
    <w:rsid w:val="00A96FA6"/>
    <w:rsid w:val="00AA7D2F"/>
    <w:rsid w:val="00AA7F1D"/>
    <w:rsid w:val="00AC5FA5"/>
    <w:rsid w:val="00AC7335"/>
    <w:rsid w:val="00AD1ADE"/>
    <w:rsid w:val="00AD1FC6"/>
    <w:rsid w:val="00AD268D"/>
    <w:rsid w:val="00AD3C12"/>
    <w:rsid w:val="00AD4432"/>
    <w:rsid w:val="00AD5797"/>
    <w:rsid w:val="00AF7C96"/>
    <w:rsid w:val="00B030B7"/>
    <w:rsid w:val="00B074A0"/>
    <w:rsid w:val="00B07DCB"/>
    <w:rsid w:val="00B10B59"/>
    <w:rsid w:val="00B138E3"/>
    <w:rsid w:val="00B15769"/>
    <w:rsid w:val="00B15820"/>
    <w:rsid w:val="00B15986"/>
    <w:rsid w:val="00B20EBE"/>
    <w:rsid w:val="00B26C7F"/>
    <w:rsid w:val="00B33161"/>
    <w:rsid w:val="00B37AB7"/>
    <w:rsid w:val="00B4039A"/>
    <w:rsid w:val="00B41663"/>
    <w:rsid w:val="00B452D1"/>
    <w:rsid w:val="00B534E5"/>
    <w:rsid w:val="00B53960"/>
    <w:rsid w:val="00B57443"/>
    <w:rsid w:val="00B62553"/>
    <w:rsid w:val="00B649B0"/>
    <w:rsid w:val="00B65C14"/>
    <w:rsid w:val="00B66DFF"/>
    <w:rsid w:val="00B70B4D"/>
    <w:rsid w:val="00B80A1E"/>
    <w:rsid w:val="00B9790F"/>
    <w:rsid w:val="00BA0B39"/>
    <w:rsid w:val="00BA2DF4"/>
    <w:rsid w:val="00BB4AD3"/>
    <w:rsid w:val="00BB4CD3"/>
    <w:rsid w:val="00BB7041"/>
    <w:rsid w:val="00BC12A9"/>
    <w:rsid w:val="00BC6B2F"/>
    <w:rsid w:val="00BD0934"/>
    <w:rsid w:val="00BD34E3"/>
    <w:rsid w:val="00BD3594"/>
    <w:rsid w:val="00BD648A"/>
    <w:rsid w:val="00BE445C"/>
    <w:rsid w:val="00BE6861"/>
    <w:rsid w:val="00C002F6"/>
    <w:rsid w:val="00C05F7C"/>
    <w:rsid w:val="00C06F49"/>
    <w:rsid w:val="00C142FA"/>
    <w:rsid w:val="00C15499"/>
    <w:rsid w:val="00C154F5"/>
    <w:rsid w:val="00C15501"/>
    <w:rsid w:val="00C21208"/>
    <w:rsid w:val="00C23DC5"/>
    <w:rsid w:val="00C23F5A"/>
    <w:rsid w:val="00C26082"/>
    <w:rsid w:val="00C27C1E"/>
    <w:rsid w:val="00C32367"/>
    <w:rsid w:val="00C339B0"/>
    <w:rsid w:val="00C36CC7"/>
    <w:rsid w:val="00C37CE1"/>
    <w:rsid w:val="00C4122D"/>
    <w:rsid w:val="00C463C2"/>
    <w:rsid w:val="00C52CC5"/>
    <w:rsid w:val="00C55BA8"/>
    <w:rsid w:val="00C55E6F"/>
    <w:rsid w:val="00C569E6"/>
    <w:rsid w:val="00C57334"/>
    <w:rsid w:val="00C617D3"/>
    <w:rsid w:val="00C66A88"/>
    <w:rsid w:val="00C7080A"/>
    <w:rsid w:val="00C72BC1"/>
    <w:rsid w:val="00C72DAE"/>
    <w:rsid w:val="00C81402"/>
    <w:rsid w:val="00C84D89"/>
    <w:rsid w:val="00C86CCF"/>
    <w:rsid w:val="00C9470F"/>
    <w:rsid w:val="00C9474A"/>
    <w:rsid w:val="00CA491C"/>
    <w:rsid w:val="00CB1F2A"/>
    <w:rsid w:val="00CB26E2"/>
    <w:rsid w:val="00CB54E1"/>
    <w:rsid w:val="00CC11EB"/>
    <w:rsid w:val="00CC2054"/>
    <w:rsid w:val="00CD30FE"/>
    <w:rsid w:val="00CD7150"/>
    <w:rsid w:val="00CE72E2"/>
    <w:rsid w:val="00CE73AE"/>
    <w:rsid w:val="00CF1E27"/>
    <w:rsid w:val="00CF2006"/>
    <w:rsid w:val="00CF29F8"/>
    <w:rsid w:val="00CF6650"/>
    <w:rsid w:val="00CF7161"/>
    <w:rsid w:val="00CF7A0A"/>
    <w:rsid w:val="00D00E9D"/>
    <w:rsid w:val="00D0290F"/>
    <w:rsid w:val="00D03BEA"/>
    <w:rsid w:val="00D0550D"/>
    <w:rsid w:val="00D076DD"/>
    <w:rsid w:val="00D1012B"/>
    <w:rsid w:val="00D1185E"/>
    <w:rsid w:val="00D121A6"/>
    <w:rsid w:val="00D24E91"/>
    <w:rsid w:val="00D3081D"/>
    <w:rsid w:val="00D366A2"/>
    <w:rsid w:val="00D426B4"/>
    <w:rsid w:val="00D45E13"/>
    <w:rsid w:val="00D557BA"/>
    <w:rsid w:val="00D576A7"/>
    <w:rsid w:val="00D65654"/>
    <w:rsid w:val="00D65D5C"/>
    <w:rsid w:val="00D70F10"/>
    <w:rsid w:val="00D718D4"/>
    <w:rsid w:val="00D722CF"/>
    <w:rsid w:val="00D80A99"/>
    <w:rsid w:val="00D82BE9"/>
    <w:rsid w:val="00D93E42"/>
    <w:rsid w:val="00D95A81"/>
    <w:rsid w:val="00DA0212"/>
    <w:rsid w:val="00DA0BC0"/>
    <w:rsid w:val="00DA2671"/>
    <w:rsid w:val="00DA6396"/>
    <w:rsid w:val="00DB5B92"/>
    <w:rsid w:val="00DC5F09"/>
    <w:rsid w:val="00DD2C31"/>
    <w:rsid w:val="00DE12B2"/>
    <w:rsid w:val="00DE2764"/>
    <w:rsid w:val="00DE2F57"/>
    <w:rsid w:val="00DE43CB"/>
    <w:rsid w:val="00DE5BA6"/>
    <w:rsid w:val="00DE6B9D"/>
    <w:rsid w:val="00DF2A50"/>
    <w:rsid w:val="00DF2DEC"/>
    <w:rsid w:val="00DF3F6E"/>
    <w:rsid w:val="00DF473D"/>
    <w:rsid w:val="00DF6DE0"/>
    <w:rsid w:val="00E05F5D"/>
    <w:rsid w:val="00E06468"/>
    <w:rsid w:val="00E17A7C"/>
    <w:rsid w:val="00E27F41"/>
    <w:rsid w:val="00E34976"/>
    <w:rsid w:val="00E37FA6"/>
    <w:rsid w:val="00E41710"/>
    <w:rsid w:val="00E43369"/>
    <w:rsid w:val="00E445D4"/>
    <w:rsid w:val="00E45139"/>
    <w:rsid w:val="00E45E05"/>
    <w:rsid w:val="00E519EC"/>
    <w:rsid w:val="00E555F7"/>
    <w:rsid w:val="00E571FE"/>
    <w:rsid w:val="00E578A5"/>
    <w:rsid w:val="00E57D7B"/>
    <w:rsid w:val="00E6166F"/>
    <w:rsid w:val="00E638D9"/>
    <w:rsid w:val="00E70274"/>
    <w:rsid w:val="00E70884"/>
    <w:rsid w:val="00E711B4"/>
    <w:rsid w:val="00E73E85"/>
    <w:rsid w:val="00E766A8"/>
    <w:rsid w:val="00E76AB5"/>
    <w:rsid w:val="00E85B0B"/>
    <w:rsid w:val="00E922D3"/>
    <w:rsid w:val="00E9571B"/>
    <w:rsid w:val="00EA356D"/>
    <w:rsid w:val="00EA3A30"/>
    <w:rsid w:val="00EA7474"/>
    <w:rsid w:val="00EA7DE1"/>
    <w:rsid w:val="00EB1912"/>
    <w:rsid w:val="00EB3DC0"/>
    <w:rsid w:val="00EC4AD6"/>
    <w:rsid w:val="00EC65C3"/>
    <w:rsid w:val="00EC6FE6"/>
    <w:rsid w:val="00ED6CE3"/>
    <w:rsid w:val="00EE0A3F"/>
    <w:rsid w:val="00EE1D9B"/>
    <w:rsid w:val="00EF5400"/>
    <w:rsid w:val="00F072E6"/>
    <w:rsid w:val="00F07979"/>
    <w:rsid w:val="00F104FE"/>
    <w:rsid w:val="00F11BB3"/>
    <w:rsid w:val="00F12365"/>
    <w:rsid w:val="00F12512"/>
    <w:rsid w:val="00F1272A"/>
    <w:rsid w:val="00F23672"/>
    <w:rsid w:val="00F23684"/>
    <w:rsid w:val="00F3198D"/>
    <w:rsid w:val="00F32ADB"/>
    <w:rsid w:val="00F342C6"/>
    <w:rsid w:val="00F37860"/>
    <w:rsid w:val="00F46B5C"/>
    <w:rsid w:val="00F46C8C"/>
    <w:rsid w:val="00F50724"/>
    <w:rsid w:val="00F5115A"/>
    <w:rsid w:val="00F527FF"/>
    <w:rsid w:val="00F52E39"/>
    <w:rsid w:val="00F576C8"/>
    <w:rsid w:val="00F75A4E"/>
    <w:rsid w:val="00F85035"/>
    <w:rsid w:val="00F956B9"/>
    <w:rsid w:val="00F95723"/>
    <w:rsid w:val="00FA26FF"/>
    <w:rsid w:val="00FA4526"/>
    <w:rsid w:val="00FA65D3"/>
    <w:rsid w:val="00FB4763"/>
    <w:rsid w:val="00FB4B41"/>
    <w:rsid w:val="00FB6CC2"/>
    <w:rsid w:val="00FC3F22"/>
    <w:rsid w:val="00FD2A0A"/>
    <w:rsid w:val="00FD2AEE"/>
    <w:rsid w:val="00FD4DBB"/>
    <w:rsid w:val="00FE4D40"/>
    <w:rsid w:val="00FE64F7"/>
    <w:rsid w:val="00FF5A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FootnoteText">
    <w:name w:val="footnote text"/>
    <w:basedOn w:val="Normal"/>
    <w:link w:val="FootnoteTextChar"/>
    <w:uiPriority w:val="99"/>
    <w:semiHidden/>
    <w:unhideWhenUsed/>
    <w:rsid w:val="00E85B0B"/>
    <w:pPr>
      <w:spacing w:after="0" w:line="240" w:lineRule="auto"/>
    </w:pPr>
  </w:style>
  <w:style w:type="character" w:customStyle="1" w:styleId="FootnoteTextChar">
    <w:name w:val="Footnote Text Char"/>
    <w:basedOn w:val="DefaultParagraphFont"/>
    <w:link w:val="FootnoteText"/>
    <w:uiPriority w:val="99"/>
    <w:semiHidden/>
    <w:rsid w:val="00E85B0B"/>
  </w:style>
  <w:style w:type="character" w:styleId="FootnoteReference">
    <w:name w:val="footnote reference"/>
    <w:basedOn w:val="DefaultParagraphFont"/>
    <w:uiPriority w:val="99"/>
    <w:semiHidden/>
    <w:unhideWhenUsed/>
    <w:rsid w:val="00E85B0B"/>
    <w:rPr>
      <w:vertAlign w:val="superscript"/>
    </w:rPr>
  </w:style>
  <w:style w:type="character" w:styleId="FollowedHyperlink">
    <w:name w:val="FollowedHyperlink"/>
    <w:basedOn w:val="DefaultParagraphFont"/>
    <w:uiPriority w:val="99"/>
    <w:semiHidden/>
    <w:unhideWhenUsed/>
    <w:rsid w:val="004A05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ba.gov.au/sites/default/files/docs/171120-register-of-measur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ACT001CL08FS01\Home2$\Fitch%20Emma\My%20Documents\Offline%20Records%20(00)\SPIRE%20-%20Water%20-%20~%20GOVERNMENT%20RELATIONS%20-%20Legislation\mdba.gov.au\publications\mdba-reports\sustainable-diversion-limit-adjustment-mechanism-assessment-draft" TargetMode="External"/><Relationship Id="rId4" Type="http://schemas.openxmlformats.org/officeDocument/2006/relationships/settings" Target="settings.xml"/><Relationship Id="rId9" Type="http://schemas.openxmlformats.org/officeDocument/2006/relationships/hyperlink" Target="https://www.mdba.gov.au/publications/mdba-reports/sustainable-diversion-limit-adjustment-mechanism-assessment-draf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3E3A0-D27A-4B40-8D09-0C4B63A5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6237</Words>
  <Characters>35555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41709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FITCH EMMA</cp:lastModifiedBy>
  <cp:revision>30</cp:revision>
  <cp:lastPrinted>2017-12-03T21:28:00Z</cp:lastPrinted>
  <dcterms:created xsi:type="dcterms:W3CDTF">2017-12-04T23:18:00Z</dcterms:created>
  <dcterms:modified xsi:type="dcterms:W3CDTF">2017-12-06T21:39:00Z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ies>
</file>