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30" w:rsidRPr="00AA6D3C" w:rsidRDefault="006C4A30" w:rsidP="006C4A30">
      <w:pPr>
        <w:pStyle w:val="ttCrest"/>
        <w:rPr>
          <w:sz w:val="19"/>
        </w:rPr>
      </w:pPr>
      <w:bookmarkStart w:id="0" w:name="_Ref434580895"/>
      <w:r w:rsidRPr="00AA6D3C">
        <w:rPr>
          <w:noProof/>
          <w:lang w:eastAsia="en-AU"/>
        </w:rPr>
        <w:drawing>
          <wp:inline distT="0" distB="0" distL="0" distR="0" wp14:anchorId="167580F6" wp14:editId="167580F7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3149C" w:rsidRDefault="00EC474D" w:rsidP="00F669AD">
      <w:pPr>
        <w:pStyle w:val="ShortT"/>
        <w:rPr>
          <w:b w:val="0"/>
          <w:szCs w:val="40"/>
        </w:rPr>
      </w:pPr>
      <w:r>
        <w:t xml:space="preserve">Basin Plan Amendment </w:t>
      </w:r>
      <w:r w:rsidR="0013149C" w:rsidRPr="00A54C1E">
        <w:t>(</w:t>
      </w:r>
      <w:r w:rsidR="0013149C" w:rsidRPr="009E44AC">
        <w:rPr>
          <w:color w:val="000000" w:themeColor="text1"/>
        </w:rPr>
        <w:t xml:space="preserve">SDL </w:t>
      </w:r>
      <w:r w:rsidR="00A54C1E" w:rsidRPr="009E44AC">
        <w:rPr>
          <w:color w:val="000000" w:themeColor="text1"/>
        </w:rPr>
        <w:t>A</w:t>
      </w:r>
      <w:r w:rsidR="0013149C" w:rsidRPr="009E44AC">
        <w:rPr>
          <w:color w:val="000000" w:themeColor="text1"/>
        </w:rPr>
        <w:t>djustments</w:t>
      </w:r>
      <w:r w:rsidR="0013149C" w:rsidRPr="00A54C1E">
        <w:t xml:space="preserve">) </w:t>
      </w:r>
      <w:r w:rsidR="00FB09C1">
        <w:t>Instrument</w:t>
      </w:r>
      <w:r w:rsidR="00D44102">
        <w:t xml:space="preserve"> </w:t>
      </w:r>
      <w:r w:rsidR="00FB09C1">
        <w:t>2017</w:t>
      </w:r>
    </w:p>
    <w:p w:rsidR="00F81A21" w:rsidRPr="00AA6D3C" w:rsidRDefault="00F81A21" w:rsidP="00F81A21">
      <w:pPr>
        <w:pStyle w:val="SignCoverPageStart"/>
        <w:rPr>
          <w:szCs w:val="22"/>
        </w:rPr>
      </w:pPr>
      <w:r w:rsidRPr="00AA6D3C">
        <w:rPr>
          <w:szCs w:val="22"/>
        </w:rPr>
        <w:t xml:space="preserve">I, </w:t>
      </w:r>
      <w:r w:rsidR="0077374D" w:rsidRPr="0077374D">
        <w:t>Barnaby Joyce, Deputy Prime Minister and Minister for Agriculture and Water Resources</w:t>
      </w:r>
      <w:r w:rsidR="00E46BED" w:rsidRPr="0077374D">
        <w:t>,</w:t>
      </w:r>
      <w:r w:rsidRPr="0077374D">
        <w:t xml:space="preserve"> </w:t>
      </w:r>
      <w:r w:rsidR="00EC474D">
        <w:t>adopt</w:t>
      </w:r>
      <w:r w:rsidR="00EC474D" w:rsidRPr="00ED5EAC">
        <w:t xml:space="preserve"> this </w:t>
      </w:r>
      <w:r w:rsidR="00EC474D">
        <w:t xml:space="preserve">amendment to the </w:t>
      </w:r>
      <w:r w:rsidR="00EC474D" w:rsidRPr="0054052B">
        <w:rPr>
          <w:i/>
        </w:rPr>
        <w:t>Basin Plan 201</w:t>
      </w:r>
      <w:r w:rsidR="00EC474D">
        <w:rPr>
          <w:i/>
        </w:rPr>
        <w:t>2</w:t>
      </w:r>
      <w:r w:rsidR="00EC474D">
        <w:t xml:space="preserve"> under </w:t>
      </w:r>
      <w:r w:rsidR="00EC474D" w:rsidRPr="00ED5EAC">
        <w:t>section </w:t>
      </w:r>
      <w:r w:rsidR="00944B52">
        <w:t>23B</w:t>
      </w:r>
      <w:r w:rsidR="00EC474D" w:rsidRPr="00ED5EAC">
        <w:t xml:space="preserve"> of the</w:t>
      </w:r>
      <w:r w:rsidR="00EC474D">
        <w:t xml:space="preserve"> </w:t>
      </w:r>
      <w:r w:rsidR="00EC474D">
        <w:rPr>
          <w:i/>
        </w:rPr>
        <w:t>Water Act 2007.</w:t>
      </w:r>
    </w:p>
    <w:p w:rsidR="00F81A21" w:rsidRPr="00AA6D3C" w:rsidRDefault="00EB28AF" w:rsidP="00F81A2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19 December 2017</w:t>
      </w:r>
      <w:bookmarkStart w:id="1" w:name="_GoBack"/>
      <w:bookmarkEnd w:id="1"/>
      <w:r w:rsidR="00F81A21" w:rsidRPr="00AA6D3C">
        <w:rPr>
          <w:szCs w:val="22"/>
        </w:rPr>
        <w:tab/>
      </w:r>
      <w:r w:rsidR="00F81A21" w:rsidRPr="00AA6D3C">
        <w:rPr>
          <w:szCs w:val="22"/>
        </w:rPr>
        <w:tab/>
      </w:r>
      <w:bookmarkStart w:id="2" w:name="BKCheck15B_1"/>
      <w:bookmarkEnd w:id="2"/>
    </w:p>
    <w:p w:rsidR="00F81A21" w:rsidRPr="00AA6D3C" w:rsidRDefault="00F81A21" w:rsidP="009121A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:rsidR="00944B52" w:rsidRDefault="00944B52" w:rsidP="00944B52">
      <w:pPr>
        <w:keepNext/>
        <w:tabs>
          <w:tab w:val="left" w:pos="3402"/>
        </w:tabs>
        <w:ind w:right="397"/>
        <w:rPr>
          <w:szCs w:val="22"/>
        </w:rPr>
      </w:pPr>
    </w:p>
    <w:p w:rsidR="0077374D" w:rsidRDefault="0077374D" w:rsidP="0077374D">
      <w:pPr>
        <w:keepNext/>
        <w:tabs>
          <w:tab w:val="left" w:pos="3402"/>
        </w:tabs>
        <w:ind w:right="397"/>
        <w:rPr>
          <w:szCs w:val="22"/>
        </w:rPr>
      </w:pPr>
      <w:r>
        <w:rPr>
          <w:szCs w:val="22"/>
        </w:rPr>
        <w:t>Barnaby Joyce</w:t>
      </w:r>
    </w:p>
    <w:p w:rsidR="0077374D" w:rsidRDefault="0077374D" w:rsidP="0077374D">
      <w:pPr>
        <w:pStyle w:val="SignCoverPageEnd"/>
        <w:ind w:right="794"/>
        <w:rPr>
          <w:b/>
          <w:color w:val="0000FF"/>
          <w:szCs w:val="22"/>
        </w:rPr>
      </w:pPr>
      <w:r>
        <w:rPr>
          <w:szCs w:val="22"/>
        </w:rPr>
        <w:t>Deputy Prime Minister and Minister for Agriculture and Water Resources</w:t>
      </w:r>
    </w:p>
    <w:p w:rsidR="00F47AAB" w:rsidRPr="00AA6D3C" w:rsidRDefault="00F47AAB">
      <w:pPr>
        <w:spacing w:line="240" w:lineRule="auto"/>
      </w:pPr>
    </w:p>
    <w:p w:rsidR="00F81A21" w:rsidRPr="00AA6D3C" w:rsidRDefault="00F81A21" w:rsidP="00F81A21"/>
    <w:p w:rsidR="00F81A21" w:rsidRPr="00AA6D3C" w:rsidRDefault="00F81A21" w:rsidP="00F81A21">
      <w:pPr>
        <w:pStyle w:val="Header"/>
        <w:tabs>
          <w:tab w:val="clear" w:pos="4150"/>
          <w:tab w:val="clear" w:pos="8307"/>
        </w:tabs>
      </w:pPr>
      <w:r w:rsidRPr="00AA6D3C">
        <w:rPr>
          <w:rStyle w:val="CharChapNo"/>
        </w:rPr>
        <w:t xml:space="preserve"> </w:t>
      </w:r>
      <w:r w:rsidRPr="00AA6D3C">
        <w:rPr>
          <w:rStyle w:val="CharChapText"/>
        </w:rPr>
        <w:t xml:space="preserve"> </w:t>
      </w:r>
    </w:p>
    <w:p w:rsidR="00F47AAB" w:rsidRPr="00AA6D3C" w:rsidRDefault="00F47AAB" w:rsidP="00AD6371">
      <w:pPr>
        <w:pageBreakBefore/>
        <w:rPr>
          <w:sz w:val="36"/>
        </w:rPr>
      </w:pPr>
      <w:r w:rsidRPr="00AA6D3C">
        <w:rPr>
          <w:sz w:val="36"/>
        </w:rPr>
        <w:lastRenderedPageBreak/>
        <w:t>Contents</w:t>
      </w:r>
    </w:p>
    <w:bookmarkStart w:id="3" w:name="BKCheck15B_2"/>
    <w:bookmarkEnd w:id="3"/>
    <w:p w:rsidR="003F4939" w:rsidRDefault="006E0D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6D3C">
        <w:rPr>
          <w:sz w:val="24"/>
        </w:rPr>
        <w:fldChar w:fldCharType="begin"/>
      </w:r>
      <w:r w:rsidRPr="00AA6D3C">
        <w:instrText xml:space="preserve"> TOC \o1-9 </w:instrText>
      </w:r>
      <w:r w:rsidRPr="00AA6D3C">
        <w:rPr>
          <w:sz w:val="24"/>
        </w:rPr>
        <w:fldChar w:fldCharType="separate"/>
      </w:r>
      <w:r w:rsidR="003F4939">
        <w:rPr>
          <w:noProof/>
        </w:rPr>
        <w:t>1  Name</w:t>
      </w:r>
      <w:r w:rsidR="003F4939">
        <w:rPr>
          <w:noProof/>
        </w:rPr>
        <w:tab/>
      </w:r>
      <w:r w:rsidR="003F4939">
        <w:rPr>
          <w:noProof/>
        </w:rPr>
        <w:fldChar w:fldCharType="begin"/>
      </w:r>
      <w:r w:rsidR="003F4939">
        <w:rPr>
          <w:noProof/>
        </w:rPr>
        <w:instrText xml:space="preserve"> PAGEREF _Toc499707909 \h </w:instrText>
      </w:r>
      <w:r w:rsidR="003F4939">
        <w:rPr>
          <w:noProof/>
        </w:rPr>
      </w:r>
      <w:r w:rsidR="003F4939">
        <w:rPr>
          <w:noProof/>
        </w:rPr>
        <w:fldChar w:fldCharType="separate"/>
      </w:r>
      <w:r w:rsidR="00C60136">
        <w:rPr>
          <w:noProof/>
        </w:rPr>
        <w:t>3</w:t>
      </w:r>
      <w:r w:rsidR="003F4939">
        <w:rPr>
          <w:noProof/>
        </w:rPr>
        <w:fldChar w:fldCharType="end"/>
      </w:r>
    </w:p>
    <w:p w:rsidR="003F4939" w:rsidRDefault="003F49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_Toc499707910 \h </w:instrText>
      </w:r>
      <w:r>
        <w:rPr>
          <w:noProof/>
        </w:rPr>
      </w:r>
      <w:r>
        <w:rPr>
          <w:noProof/>
        </w:rPr>
        <w:fldChar w:fldCharType="separate"/>
      </w:r>
      <w:r w:rsidR="00C60136">
        <w:rPr>
          <w:noProof/>
        </w:rPr>
        <w:t>3</w:t>
      </w:r>
      <w:r>
        <w:rPr>
          <w:noProof/>
        </w:rPr>
        <w:fldChar w:fldCharType="end"/>
      </w:r>
    </w:p>
    <w:p w:rsidR="003F4939" w:rsidRDefault="003F49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_Toc499707911 \h </w:instrText>
      </w:r>
      <w:r>
        <w:rPr>
          <w:noProof/>
        </w:rPr>
      </w:r>
      <w:r>
        <w:rPr>
          <w:noProof/>
        </w:rPr>
        <w:fldChar w:fldCharType="separate"/>
      </w:r>
      <w:r w:rsidR="00C60136">
        <w:rPr>
          <w:noProof/>
        </w:rPr>
        <w:t>3</w:t>
      </w:r>
      <w:r>
        <w:rPr>
          <w:noProof/>
        </w:rPr>
        <w:fldChar w:fldCharType="end"/>
      </w:r>
    </w:p>
    <w:p w:rsidR="003F4939" w:rsidRDefault="003F49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_Toc499707912 \h </w:instrText>
      </w:r>
      <w:r>
        <w:rPr>
          <w:noProof/>
        </w:rPr>
      </w:r>
      <w:r>
        <w:rPr>
          <w:noProof/>
        </w:rPr>
        <w:fldChar w:fldCharType="separate"/>
      </w:r>
      <w:r w:rsidR="00C60136">
        <w:rPr>
          <w:noProof/>
        </w:rPr>
        <w:t>3</w:t>
      </w:r>
      <w:r>
        <w:rPr>
          <w:noProof/>
        </w:rPr>
        <w:fldChar w:fldCharType="end"/>
      </w:r>
    </w:p>
    <w:p w:rsidR="003F4939" w:rsidRDefault="003F493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>
        <w:rPr>
          <w:noProof/>
        </w:rPr>
        <w:t>Amendments to the Basin Plan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_Toc499707913 \h </w:instrText>
      </w:r>
      <w:r>
        <w:rPr>
          <w:noProof/>
        </w:rPr>
      </w:r>
      <w:r>
        <w:rPr>
          <w:noProof/>
        </w:rPr>
        <w:fldChar w:fldCharType="separate"/>
      </w:r>
      <w:r w:rsidR="00C60136">
        <w:rPr>
          <w:noProof/>
        </w:rPr>
        <w:t>4</w:t>
      </w:r>
      <w:r>
        <w:rPr>
          <w:noProof/>
        </w:rPr>
        <w:fldChar w:fldCharType="end"/>
      </w:r>
    </w:p>
    <w:p w:rsidR="00B82BF2" w:rsidRDefault="006E0D77" w:rsidP="00281E63">
      <w:pPr>
        <w:pStyle w:val="h5Section"/>
      </w:pPr>
      <w:r w:rsidRPr="00AA6D3C">
        <w:fldChar w:fldCharType="end"/>
      </w:r>
      <w:bookmarkStart w:id="4" w:name="_Toc405889305"/>
      <w:bookmarkStart w:id="5" w:name="_Toc423463481"/>
      <w:bookmarkStart w:id="6" w:name="_Toc444766534"/>
    </w:p>
    <w:p w:rsidR="00B82BF2" w:rsidRDefault="00B82BF2" w:rsidP="00281E63">
      <w:pPr>
        <w:pStyle w:val="h5Section"/>
        <w:sectPr w:rsidR="00B82BF2" w:rsidSect="00AA2D97">
          <w:footerReference w:type="default" r:id="rId13"/>
          <w:footerReference w:type="first" r:id="rId14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281E63" w:rsidRPr="002A0313" w:rsidRDefault="004353F6" w:rsidP="0013149C">
      <w:pPr>
        <w:pStyle w:val="h5Section"/>
      </w:pPr>
      <w:bookmarkStart w:id="7" w:name="_Toc488934053"/>
      <w:bookmarkStart w:id="8" w:name="_Toc499707909"/>
      <w:proofErr w:type="gramStart"/>
      <w:r>
        <w:lastRenderedPageBreak/>
        <w:t>1</w:t>
      </w:r>
      <w:r w:rsidR="0013149C">
        <w:t xml:space="preserve">  </w:t>
      </w:r>
      <w:r w:rsidR="00281E63" w:rsidRPr="002A0313">
        <w:t>Name</w:t>
      </w:r>
      <w:bookmarkEnd w:id="7"/>
      <w:bookmarkEnd w:id="8"/>
      <w:proofErr w:type="gramEnd"/>
    </w:p>
    <w:p w:rsidR="00EC474D" w:rsidRDefault="00C96C95" w:rsidP="00C96C95">
      <w:pPr>
        <w:pStyle w:val="tMain"/>
      </w:pPr>
      <w:r>
        <w:tab/>
      </w:r>
      <w:r>
        <w:tab/>
      </w:r>
      <w:r w:rsidR="00EC474D" w:rsidRPr="00632F5C">
        <w:t xml:space="preserve">This </w:t>
      </w:r>
      <w:r w:rsidR="00EC474D">
        <w:t xml:space="preserve">instrument </w:t>
      </w:r>
      <w:r w:rsidR="00EC474D" w:rsidRPr="00632F5C">
        <w:t>is the</w:t>
      </w:r>
      <w:r w:rsidR="00EC474D">
        <w:t xml:space="preserve"> </w:t>
      </w:r>
      <w:r w:rsidR="004353F6">
        <w:rPr>
          <w:i/>
          <w:noProof/>
        </w:rPr>
        <w:t>Basin Plan Amendment (SDL Adjustments) Instrument 2017</w:t>
      </w:r>
      <w:r w:rsidR="00EC474D">
        <w:t>.</w:t>
      </w:r>
    </w:p>
    <w:p w:rsidR="00281E63" w:rsidRPr="002A0313" w:rsidRDefault="004353F6" w:rsidP="0013149C">
      <w:pPr>
        <w:pStyle w:val="h5Section"/>
      </w:pPr>
      <w:bookmarkStart w:id="9" w:name="_Toc405889306"/>
      <w:bookmarkStart w:id="10" w:name="_Toc488934054"/>
      <w:bookmarkStart w:id="11" w:name="_Toc499707910"/>
      <w:proofErr w:type="gramStart"/>
      <w:r>
        <w:t>2</w:t>
      </w:r>
      <w:r w:rsidR="0013149C">
        <w:t xml:space="preserve">  </w:t>
      </w:r>
      <w:r w:rsidR="00281E63" w:rsidRPr="002A0313">
        <w:t>Commencement</w:t>
      </w:r>
      <w:bookmarkEnd w:id="9"/>
      <w:bookmarkEnd w:id="10"/>
      <w:bookmarkEnd w:id="11"/>
      <w:proofErr w:type="gramEnd"/>
    </w:p>
    <w:p w:rsidR="00952457" w:rsidRPr="00865FF7" w:rsidRDefault="0013149C" w:rsidP="0013149C">
      <w:pPr>
        <w:pStyle w:val="tMain"/>
        <w:spacing w:after="120"/>
      </w:pPr>
      <w:r>
        <w:tab/>
      </w:r>
      <w:r w:rsidR="004353F6">
        <w:t>(1)</w:t>
      </w:r>
      <w:r>
        <w:tab/>
      </w:r>
      <w:r w:rsidR="00952457" w:rsidRPr="00865FF7"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52457" w:rsidRPr="000B1ED1" w:rsidTr="00F905B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Headingth"/>
            </w:pPr>
            <w:r w:rsidRPr="00865FF7">
              <w:t>Commencement information</w:t>
            </w:r>
          </w:p>
        </w:tc>
      </w:tr>
      <w:tr w:rsidR="00952457" w:rsidRPr="000B1ED1" w:rsidTr="00F905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Headingth"/>
            </w:pPr>
            <w:r w:rsidRPr="00865FF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Headingth"/>
            </w:pPr>
            <w:r w:rsidRPr="00865FF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Headingth"/>
            </w:pPr>
            <w:r w:rsidRPr="00865FF7">
              <w:t>Column 3</w:t>
            </w:r>
          </w:p>
        </w:tc>
      </w:tr>
      <w:tr w:rsidR="00952457" w:rsidRPr="000B1ED1" w:rsidTr="00F905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Headingth"/>
            </w:pPr>
            <w:r w:rsidRPr="00865FF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Headingth"/>
            </w:pPr>
            <w:r w:rsidRPr="00865FF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Headingth"/>
            </w:pPr>
            <w:r w:rsidRPr="00865FF7">
              <w:t>Date/Details</w:t>
            </w:r>
          </w:p>
        </w:tc>
      </w:tr>
      <w:tr w:rsidR="00952457" w:rsidRPr="000B1ED1" w:rsidTr="00F905B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text"/>
            </w:pPr>
            <w:r w:rsidRPr="00865FF7">
              <w:t xml:space="preserve">1.  </w:t>
            </w:r>
            <w:r w:rsidRPr="0027475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52457" w:rsidRPr="00865FF7" w:rsidRDefault="00952457" w:rsidP="00F905B2">
            <w:pPr>
              <w:pStyle w:val="Tabletext"/>
            </w:pPr>
            <w:r w:rsidRPr="00865FF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52457" w:rsidRPr="00865FF7" w:rsidRDefault="00952457" w:rsidP="00F905B2">
            <w:pPr>
              <w:pStyle w:val="Tabletext"/>
            </w:pPr>
          </w:p>
        </w:tc>
      </w:tr>
    </w:tbl>
    <w:p w:rsidR="00952457" w:rsidRPr="00865FF7" w:rsidRDefault="00952457" w:rsidP="00952457">
      <w:pPr>
        <w:pStyle w:val="nMain"/>
      </w:pPr>
      <w:r w:rsidRPr="00865FF7">
        <w:rPr>
          <w:snapToGrid w:val="0"/>
          <w:lang w:eastAsia="en-US"/>
        </w:rPr>
        <w:t>Note:</w:t>
      </w:r>
      <w:r w:rsidRPr="00865FF7">
        <w:rPr>
          <w:snapToGrid w:val="0"/>
          <w:lang w:eastAsia="en-US"/>
        </w:rPr>
        <w:tab/>
        <w:t>This table relates only to the provisions of this instrument</w:t>
      </w:r>
      <w:r w:rsidRPr="00865FF7">
        <w:t xml:space="preserve"> </w:t>
      </w:r>
      <w:r w:rsidRPr="00865FF7">
        <w:rPr>
          <w:snapToGrid w:val="0"/>
          <w:lang w:eastAsia="en-US"/>
        </w:rPr>
        <w:t>as originally made. It will not be amended to deal with any later amendments of this instrument.</w:t>
      </w:r>
    </w:p>
    <w:p w:rsidR="00952457" w:rsidRPr="00865FF7" w:rsidRDefault="0013149C" w:rsidP="0013149C">
      <w:pPr>
        <w:pStyle w:val="tMain"/>
      </w:pPr>
      <w:r>
        <w:tab/>
      </w:r>
      <w:r w:rsidR="004353F6">
        <w:t>(2)</w:t>
      </w:r>
      <w:r>
        <w:tab/>
      </w:r>
      <w:r w:rsidR="00952457" w:rsidRPr="00865FF7">
        <w:t>Any information in column 3 of the table is not part of this instrument. Information may be inserted in this column, or information in it may be edited, in any published version of this instrument.</w:t>
      </w:r>
    </w:p>
    <w:p w:rsidR="00281E63" w:rsidRPr="002A0313" w:rsidRDefault="004353F6" w:rsidP="0013149C">
      <w:pPr>
        <w:pStyle w:val="h5Section"/>
      </w:pPr>
      <w:bookmarkStart w:id="12" w:name="_Toc405889307"/>
      <w:bookmarkStart w:id="13" w:name="_Toc488934055"/>
      <w:bookmarkStart w:id="14" w:name="_Toc499707911"/>
      <w:proofErr w:type="gramStart"/>
      <w:r>
        <w:t>3</w:t>
      </w:r>
      <w:r w:rsidR="0013149C">
        <w:t xml:space="preserve">  </w:t>
      </w:r>
      <w:r w:rsidR="00281E63" w:rsidRPr="002A0313">
        <w:t>Authority</w:t>
      </w:r>
      <w:bookmarkEnd w:id="12"/>
      <w:bookmarkEnd w:id="13"/>
      <w:bookmarkEnd w:id="14"/>
      <w:proofErr w:type="gramEnd"/>
    </w:p>
    <w:p w:rsidR="00C96C95" w:rsidRPr="00C96C95" w:rsidRDefault="00C96C95" w:rsidP="00C96C95">
      <w:pPr>
        <w:pStyle w:val="tMain"/>
      </w:pPr>
      <w:r>
        <w:tab/>
      </w:r>
      <w:r>
        <w:tab/>
        <w:t xml:space="preserve">This instrument is made under section 23B of the </w:t>
      </w:r>
      <w:r>
        <w:rPr>
          <w:i/>
        </w:rPr>
        <w:t>Water Act 2007</w:t>
      </w:r>
      <w:r>
        <w:t>.</w:t>
      </w:r>
    </w:p>
    <w:p w:rsidR="00EC474D" w:rsidRDefault="004353F6" w:rsidP="0013149C">
      <w:pPr>
        <w:pStyle w:val="h5Section"/>
      </w:pPr>
      <w:bookmarkStart w:id="15" w:name="_Toc499707912"/>
      <w:proofErr w:type="gramStart"/>
      <w:r>
        <w:t>4</w:t>
      </w:r>
      <w:r w:rsidR="0013149C">
        <w:t xml:space="preserve">  </w:t>
      </w:r>
      <w:r w:rsidR="00457F54">
        <w:t>Schedules</w:t>
      </w:r>
      <w:bookmarkEnd w:id="15"/>
      <w:proofErr w:type="gramEnd"/>
    </w:p>
    <w:p w:rsidR="00EC474D" w:rsidRDefault="00C96C95" w:rsidP="00C96C95">
      <w:pPr>
        <w:pStyle w:val="tMain"/>
      </w:pPr>
      <w:r>
        <w:tab/>
      </w:r>
      <w:r>
        <w:tab/>
      </w:r>
      <w:r w:rsidR="00457F54" w:rsidRPr="00457F5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C474D" w:rsidRDefault="00EC474D" w:rsidP="00EC474D">
      <w:pPr>
        <w:pStyle w:val="h2Part"/>
      </w:pPr>
    </w:p>
    <w:p w:rsidR="00EC474D" w:rsidRDefault="00EC474D" w:rsidP="00EC474D">
      <w:pPr>
        <w:pStyle w:val="h1Sch"/>
      </w:pPr>
      <w:bookmarkStart w:id="16" w:name="_Toc463792031"/>
      <w:bookmarkStart w:id="17" w:name="_Toc499707913"/>
      <w:bookmarkEnd w:id="4"/>
      <w:bookmarkEnd w:id="5"/>
      <w:bookmarkEnd w:id="6"/>
      <w:r>
        <w:t>Schedule 1</w:t>
      </w:r>
      <w:r>
        <w:tab/>
        <w:t>Amendments to the Basin Plan 2012</w:t>
      </w:r>
      <w:bookmarkEnd w:id="16"/>
      <w:bookmarkEnd w:id="17"/>
    </w:p>
    <w:p w:rsidR="00235C5E" w:rsidRPr="00361674" w:rsidRDefault="004353F6" w:rsidP="00235C5E">
      <w:pPr>
        <w:pStyle w:val="h5SchItem"/>
      </w:pPr>
      <w:r>
        <w:t>[1]</w:t>
      </w:r>
      <w:r w:rsidR="00235C5E" w:rsidRPr="00361674">
        <w:tab/>
        <w:t>Subsection 1.05(1) (after table item dealing with Schedule 6)</w:t>
      </w:r>
    </w:p>
    <w:p w:rsidR="00235C5E" w:rsidRPr="00361674" w:rsidRDefault="00235C5E" w:rsidP="00235C5E">
      <w:pPr>
        <w:pStyle w:val="tMain"/>
      </w:pPr>
      <w:r w:rsidRPr="00361674">
        <w:tab/>
      </w:r>
      <w:r w:rsidRPr="00361674">
        <w:tab/>
        <w:t>Insert:</w:t>
      </w:r>
    </w:p>
    <w:tbl>
      <w:tblPr>
        <w:tblW w:w="81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40"/>
        <w:gridCol w:w="4067"/>
      </w:tblGrid>
      <w:tr w:rsidR="00235C5E" w:rsidRPr="00361674" w:rsidTr="00CE5436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Pr="00361674" w:rsidRDefault="00235C5E" w:rsidP="00CE5436">
            <w:pPr>
              <w:pStyle w:val="TablePlainParagraph"/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Schedule 6A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Pr="00361674" w:rsidRDefault="00235C5E" w:rsidP="00CE5436">
            <w:pPr>
              <w:pStyle w:val="TablePlainParagraph"/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Calculation of SDL adjustment amounts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Pr="00361674" w:rsidRDefault="00235C5E" w:rsidP="00235C5E">
            <w:pPr>
              <w:pStyle w:val="TablePlainParagraph"/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Provisions for calculating SDL adjustment amounts for Part 2 of Chapter 6.</w:t>
            </w:r>
          </w:p>
        </w:tc>
      </w:tr>
    </w:tbl>
    <w:p w:rsidR="00A54F34" w:rsidRDefault="004353F6" w:rsidP="00A54F34">
      <w:pPr>
        <w:pStyle w:val="h5SchItem"/>
      </w:pPr>
      <w:r>
        <w:t>[2]</w:t>
      </w:r>
      <w:r w:rsidR="00A54F34">
        <w:tab/>
        <w:t>Subsection 1.07(1)</w:t>
      </w:r>
    </w:p>
    <w:p w:rsidR="00A54F34" w:rsidRDefault="00A54F34" w:rsidP="00A54F34">
      <w:pPr>
        <w:pStyle w:val="tMain"/>
      </w:pPr>
      <w:r>
        <w:tab/>
      </w:r>
      <w:r>
        <w:tab/>
        <w:t>Insert:</w:t>
      </w:r>
    </w:p>
    <w:p w:rsidR="00802854" w:rsidRDefault="00802854" w:rsidP="00802854">
      <w:pPr>
        <w:pStyle w:val="tDefn"/>
      </w:pPr>
      <w:proofErr w:type="gramStart"/>
      <w:r w:rsidRPr="00802854">
        <w:rPr>
          <w:b/>
          <w:i/>
        </w:rPr>
        <w:t>apportioned</w:t>
      </w:r>
      <w:proofErr w:type="gramEnd"/>
      <w:r w:rsidRPr="00802854">
        <w:rPr>
          <w:b/>
          <w:i/>
        </w:rPr>
        <w:t xml:space="preserve"> supply contribution</w:t>
      </w:r>
      <w:r>
        <w:t xml:space="preserve"> has the meaning given </w:t>
      </w:r>
      <w:r w:rsidR="00B53CFC">
        <w:t xml:space="preserve">by </w:t>
      </w:r>
      <w:r>
        <w:t>subsection </w:t>
      </w:r>
      <w:r w:rsidR="00816796">
        <w:t>S</w:t>
      </w:r>
      <w:r>
        <w:t>6A.0</w:t>
      </w:r>
      <w:r w:rsidR="004353F6">
        <w:t>2(1)</w:t>
      </w:r>
      <w:r>
        <w:t xml:space="preserve"> of Schedule 6</w:t>
      </w:r>
      <w:r w:rsidR="00816796">
        <w:t>A</w:t>
      </w:r>
      <w:r>
        <w:t>.</w:t>
      </w:r>
    </w:p>
    <w:p w:rsidR="00802854" w:rsidRDefault="00802854" w:rsidP="00802854">
      <w:pPr>
        <w:pStyle w:val="tDefn"/>
      </w:pPr>
      <w:proofErr w:type="gramStart"/>
      <w:r>
        <w:rPr>
          <w:b/>
          <w:i/>
        </w:rPr>
        <w:t>current</w:t>
      </w:r>
      <w:proofErr w:type="gramEnd"/>
      <w:r>
        <w:rPr>
          <w:b/>
          <w:i/>
        </w:rPr>
        <w:t xml:space="preserve"> efficiency contribution</w:t>
      </w:r>
      <w:r>
        <w:t xml:space="preserve"> has the meaning given </w:t>
      </w:r>
      <w:r w:rsidR="00B53CFC">
        <w:t xml:space="preserve">by </w:t>
      </w:r>
      <w:r>
        <w:t>subsection </w:t>
      </w:r>
      <w:r w:rsidR="00816796">
        <w:t>S</w:t>
      </w:r>
      <w:r>
        <w:t>6A.0</w:t>
      </w:r>
      <w:r w:rsidR="004353F6">
        <w:t>2(1)</w:t>
      </w:r>
      <w:r>
        <w:t xml:space="preserve"> of Schedule 6</w:t>
      </w:r>
      <w:r w:rsidR="00E76C09">
        <w:t>A</w:t>
      </w:r>
      <w:r>
        <w:t>.</w:t>
      </w:r>
    </w:p>
    <w:p w:rsidR="00802854" w:rsidRDefault="00802854" w:rsidP="00802854">
      <w:pPr>
        <w:pStyle w:val="tDefn"/>
      </w:pPr>
      <w:proofErr w:type="gramStart"/>
      <w:r>
        <w:rPr>
          <w:b/>
          <w:i/>
        </w:rPr>
        <w:t>net</w:t>
      </w:r>
      <w:proofErr w:type="gramEnd"/>
      <w:r>
        <w:rPr>
          <w:b/>
          <w:i/>
        </w:rPr>
        <w:t xml:space="preserve"> effect</w:t>
      </w:r>
      <w:r>
        <w:t xml:space="preserve"> has the meaning given </w:t>
      </w:r>
      <w:r w:rsidR="00B53CFC">
        <w:t>by</w:t>
      </w:r>
      <w:r w:rsidRPr="00802854">
        <w:t xml:space="preserve"> </w:t>
      </w:r>
      <w:r>
        <w:t>subsection </w:t>
      </w:r>
      <w:r w:rsidR="00816796">
        <w:t>S</w:t>
      </w:r>
      <w:r>
        <w:t>6A.0</w:t>
      </w:r>
      <w:r w:rsidR="004353F6">
        <w:t>4(2)</w:t>
      </w:r>
      <w:r>
        <w:t xml:space="preserve"> of Schedule 6</w:t>
      </w:r>
      <w:r w:rsidR="00E76C09">
        <w:t>A</w:t>
      </w:r>
      <w:r>
        <w:t>.</w:t>
      </w:r>
    </w:p>
    <w:p w:rsidR="003D4B69" w:rsidRDefault="003D4B69" w:rsidP="003D4B69">
      <w:pPr>
        <w:pStyle w:val="tDefn"/>
      </w:pPr>
      <w:proofErr w:type="gramStart"/>
      <w:r>
        <w:rPr>
          <w:b/>
          <w:i/>
        </w:rPr>
        <w:t>reduced</w:t>
      </w:r>
      <w:proofErr w:type="gramEnd"/>
      <w:r>
        <w:rPr>
          <w:b/>
          <w:i/>
        </w:rPr>
        <w:t xml:space="preserve"> supply contribution</w:t>
      </w:r>
      <w:r>
        <w:t xml:space="preserve"> has the meaning given </w:t>
      </w:r>
      <w:r w:rsidR="00B53CFC">
        <w:t>by</w:t>
      </w:r>
      <w:r w:rsidRPr="00802854">
        <w:t xml:space="preserve"> </w:t>
      </w:r>
      <w:r>
        <w:t>subsection S6A.0</w:t>
      </w:r>
      <w:r w:rsidR="004353F6">
        <w:t>5(3)</w:t>
      </w:r>
      <w:r>
        <w:t xml:space="preserve"> of Schedule 6A.</w:t>
      </w:r>
    </w:p>
    <w:p w:rsidR="003D4B69" w:rsidRDefault="003D4B69" w:rsidP="003D4B69">
      <w:pPr>
        <w:pStyle w:val="tDefn"/>
      </w:pPr>
      <w:r>
        <w:rPr>
          <w:b/>
          <w:i/>
        </w:rPr>
        <w:t>SDL adjustment amount</w:t>
      </w:r>
      <w:r>
        <w:t xml:space="preserve">, for a particular </w:t>
      </w:r>
      <w:r w:rsidRPr="00361674">
        <w:t xml:space="preserve">surface water </w:t>
      </w:r>
      <w:r>
        <w:t>SDL resource unit and for a particular water accounting period,</w:t>
      </w:r>
      <w:r w:rsidRPr="0008482A">
        <w:t xml:space="preserve"> </w:t>
      </w:r>
      <w:r>
        <w:t xml:space="preserve">has the meaning given by </w:t>
      </w:r>
      <w:r w:rsidRPr="00A54C1E">
        <w:t>section 6.05A</w:t>
      </w:r>
      <w:r>
        <w:t>.</w:t>
      </w:r>
    </w:p>
    <w:p w:rsidR="003D4B69" w:rsidRDefault="003D4B69" w:rsidP="003D4B69">
      <w:pPr>
        <w:pStyle w:val="nMain"/>
      </w:pPr>
      <w:r>
        <w:t>Note:</w:t>
      </w:r>
      <w:r>
        <w:tab/>
      </w:r>
      <w:r w:rsidRPr="00361674">
        <w:t>See s</w:t>
      </w:r>
      <w:r w:rsidRPr="00A54C1E">
        <w:t>ection 7.10 of the Basin Plan.</w:t>
      </w:r>
    </w:p>
    <w:p w:rsidR="00802854" w:rsidRDefault="00802854" w:rsidP="00802854">
      <w:pPr>
        <w:pStyle w:val="tDefn"/>
      </w:pPr>
      <w:proofErr w:type="gramStart"/>
      <w:r w:rsidRPr="00802854">
        <w:rPr>
          <w:b/>
          <w:i/>
        </w:rPr>
        <w:t>total</w:t>
      </w:r>
      <w:proofErr w:type="gramEnd"/>
      <w:r w:rsidRPr="00802854">
        <w:rPr>
          <w:b/>
          <w:i/>
        </w:rPr>
        <w:t xml:space="preserve"> current efficiency contribution</w:t>
      </w:r>
      <w:r>
        <w:t xml:space="preserve"> has the meaning given </w:t>
      </w:r>
      <w:r w:rsidR="00B53CFC">
        <w:t>by</w:t>
      </w:r>
      <w:r w:rsidRPr="00802854">
        <w:t xml:space="preserve"> </w:t>
      </w:r>
      <w:r>
        <w:t>subsection </w:t>
      </w:r>
      <w:r w:rsidR="00816796">
        <w:t>S</w:t>
      </w:r>
      <w:r>
        <w:t>6A.0</w:t>
      </w:r>
      <w:r w:rsidR="004353F6">
        <w:t>2(1)</w:t>
      </w:r>
      <w:r>
        <w:t xml:space="preserve"> of Schedule 6</w:t>
      </w:r>
      <w:r w:rsidR="00E76C09">
        <w:t>A</w:t>
      </w:r>
      <w:r>
        <w:t>.</w:t>
      </w:r>
    </w:p>
    <w:p w:rsidR="007E264F" w:rsidRPr="00467453" w:rsidRDefault="004353F6" w:rsidP="007E264F">
      <w:pPr>
        <w:pStyle w:val="h5SchItem"/>
      </w:pPr>
      <w:r>
        <w:t>[3]</w:t>
      </w:r>
      <w:r w:rsidR="007E264F" w:rsidRPr="00467453">
        <w:tab/>
      </w:r>
      <w:r w:rsidR="00130DD9" w:rsidRPr="00467453">
        <w:t>After section 6.05</w:t>
      </w:r>
    </w:p>
    <w:p w:rsidR="007E264F" w:rsidRPr="00467453" w:rsidRDefault="007E264F" w:rsidP="007E264F">
      <w:pPr>
        <w:pStyle w:val="tMain"/>
      </w:pPr>
      <w:r w:rsidRPr="00467453">
        <w:tab/>
      </w:r>
      <w:r w:rsidRPr="00467453">
        <w:tab/>
      </w:r>
      <w:r w:rsidR="00130DD9" w:rsidRPr="00467453">
        <w:t>Insert:</w:t>
      </w:r>
    </w:p>
    <w:p w:rsidR="00130DD9" w:rsidRPr="00467453" w:rsidRDefault="00130DD9" w:rsidP="00130DD9">
      <w:pPr>
        <w:pStyle w:val="h5Section"/>
      </w:pPr>
      <w:bookmarkStart w:id="18" w:name="_Toc499189401"/>
      <w:bookmarkStart w:id="19" w:name="_Toc499707914"/>
      <w:proofErr w:type="gramStart"/>
      <w:r w:rsidRPr="00467453">
        <w:t>6.05A  SDL</w:t>
      </w:r>
      <w:proofErr w:type="gramEnd"/>
      <w:r w:rsidRPr="00467453">
        <w:t xml:space="preserve"> adjustment amount</w:t>
      </w:r>
      <w:bookmarkEnd w:id="18"/>
      <w:bookmarkEnd w:id="19"/>
      <w:r w:rsidRPr="00467453">
        <w:t xml:space="preserve">  </w:t>
      </w:r>
    </w:p>
    <w:p w:rsidR="007E264F" w:rsidRPr="00467453" w:rsidRDefault="00130DD9" w:rsidP="00130DD9">
      <w:pPr>
        <w:pStyle w:val="tMain"/>
      </w:pPr>
      <w:r w:rsidRPr="00467453">
        <w:tab/>
      </w:r>
      <w:r w:rsidRPr="00467453">
        <w:tab/>
        <w:t>For column 2</w:t>
      </w:r>
      <w:r w:rsidR="008D64EE" w:rsidRPr="00467453">
        <w:t xml:space="preserve"> </w:t>
      </w:r>
      <w:r w:rsidRPr="00467453">
        <w:t xml:space="preserve">of the table in Schedule 2, the </w:t>
      </w:r>
      <w:r w:rsidRPr="00467453">
        <w:rPr>
          <w:b/>
          <w:i/>
        </w:rPr>
        <w:t xml:space="preserve">SDL adjustment amount </w:t>
      </w:r>
      <w:r w:rsidRPr="00467453">
        <w:t xml:space="preserve">for </w:t>
      </w:r>
      <w:r w:rsidR="008F478B" w:rsidRPr="00361674">
        <w:t xml:space="preserve">a surface water </w:t>
      </w:r>
      <w:r w:rsidRPr="00467453">
        <w:t xml:space="preserve">SDL resource unit </w:t>
      </w:r>
      <w:r w:rsidR="00A06C29" w:rsidRPr="00467453">
        <w:t xml:space="preserve">for a water accounting period </w:t>
      </w:r>
      <w:r w:rsidRPr="00467453">
        <w:t xml:space="preserve">is the amount, in GL per year, calculated in accordance with </w:t>
      </w:r>
      <w:r w:rsidR="00514951" w:rsidRPr="00467453">
        <w:t>Schedule 6A</w:t>
      </w:r>
      <w:r w:rsidR="00A06C29" w:rsidRPr="00467453">
        <w:t xml:space="preserve"> for the water accounting period</w:t>
      </w:r>
      <w:r w:rsidRPr="00467453">
        <w:t>.</w:t>
      </w:r>
    </w:p>
    <w:p w:rsidR="008D64EE" w:rsidRPr="00467453" w:rsidRDefault="008D64EE" w:rsidP="008D64EE">
      <w:pPr>
        <w:pStyle w:val="nMain"/>
      </w:pPr>
      <w:r w:rsidRPr="00467453">
        <w:t>Note:</w:t>
      </w:r>
      <w:r w:rsidRPr="00467453">
        <w:tab/>
      </w:r>
      <w:r w:rsidR="00A61089" w:rsidRPr="00361674">
        <w:t>See s</w:t>
      </w:r>
      <w:r w:rsidR="00765E05" w:rsidRPr="00467453">
        <w:t>ection 7.10 of the Basin Plan</w:t>
      </w:r>
      <w:r w:rsidRPr="00467453">
        <w:t>.</w:t>
      </w:r>
    </w:p>
    <w:p w:rsidR="0040281A" w:rsidRDefault="004353F6" w:rsidP="0040281A">
      <w:pPr>
        <w:pStyle w:val="h5SchItem"/>
      </w:pPr>
      <w:r>
        <w:t>[4]</w:t>
      </w:r>
      <w:r w:rsidR="0040281A">
        <w:tab/>
      </w:r>
      <w:r w:rsidR="00457F54">
        <w:t xml:space="preserve">Schedule 2, </w:t>
      </w:r>
      <w:r w:rsidR="00980EAD">
        <w:t>n</w:t>
      </w:r>
      <w:r w:rsidR="00457F54">
        <w:t>ote</w:t>
      </w:r>
    </w:p>
    <w:p w:rsidR="00A5365B" w:rsidRPr="009E44AC" w:rsidRDefault="00AC1C56" w:rsidP="00457F54">
      <w:pPr>
        <w:pStyle w:val="tMain"/>
        <w:rPr>
          <w:color w:val="000000" w:themeColor="text1"/>
        </w:rPr>
      </w:pPr>
      <w:r>
        <w:tab/>
      </w:r>
      <w:r>
        <w:tab/>
      </w:r>
      <w:r w:rsidR="00601C5E" w:rsidRPr="009E44AC">
        <w:rPr>
          <w:color w:val="000000" w:themeColor="text1"/>
        </w:rPr>
        <w:t>Repeal, substitute:</w:t>
      </w:r>
    </w:p>
    <w:p w:rsidR="00601C5E" w:rsidRPr="009E44AC" w:rsidRDefault="00601C5E" w:rsidP="00601C5E">
      <w:pPr>
        <w:pStyle w:val="ntoHeading"/>
        <w:rPr>
          <w:color w:val="000000" w:themeColor="text1"/>
        </w:rPr>
      </w:pPr>
      <w:r>
        <w:rPr>
          <w:shd w:val="clear" w:color="auto" w:fill="FFFFFF"/>
        </w:rPr>
        <w:t>Note 1:</w:t>
      </w:r>
      <w:r>
        <w:rPr>
          <w:shd w:val="clear" w:color="auto" w:fill="FFFFFF"/>
        </w:rPr>
        <w:tab/>
        <w:t>See sections 6.02, 6.04, 6.05, 6.05A, Schedule 3, Schedule 6A, the definition of BDL in section 1.07, and Part 3 of Chapter 10.</w:t>
      </w:r>
    </w:p>
    <w:p w:rsidR="00457F54" w:rsidRDefault="0061312C" w:rsidP="0061312C">
      <w:pPr>
        <w:pStyle w:val="ntoHeading"/>
      </w:pPr>
      <w:r>
        <w:t>Note 2:</w:t>
      </w:r>
      <w:r>
        <w:tab/>
      </w:r>
      <w:r w:rsidR="0042425D">
        <w:t>The SDL</w:t>
      </w:r>
      <w:r w:rsidR="002F29B6">
        <w:t xml:space="preserve"> for a particular</w:t>
      </w:r>
      <w:r w:rsidR="008F478B" w:rsidRPr="00361674">
        <w:t xml:space="preserve"> surface water</w:t>
      </w:r>
      <w:r w:rsidR="002F29B6">
        <w:t xml:space="preserve"> SDL</w:t>
      </w:r>
      <w:r w:rsidR="0042425D">
        <w:t xml:space="preserve"> </w:t>
      </w:r>
      <w:r w:rsidR="002F29B6">
        <w:t xml:space="preserve">resource unit </w:t>
      </w:r>
      <w:r w:rsidR="0042425D">
        <w:t xml:space="preserve">as set out in this Schedule can be expressed </w:t>
      </w:r>
      <w:r w:rsidR="002F29B6">
        <w:t xml:space="preserve">in terms of </w:t>
      </w:r>
      <w:r w:rsidR="0042425D">
        <w:t>the following formula:</w:t>
      </w:r>
    </w:p>
    <w:p w:rsidR="000A4457" w:rsidRPr="009E44AC" w:rsidRDefault="000A4457" w:rsidP="000A4457">
      <w:pPr>
        <w:pStyle w:val="nMain"/>
        <w:rPr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SDL=BDL-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000000" w:themeColor="text1"/>
                    </w:rPr>
                    <m:t xml:space="preserve">local 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000000" w:themeColor="text1"/>
                    </w:rPr>
                    <m:t>reduction</m:t>
                  </m:r>
                  <m:ctrlPr>
                    <w:rPr>
                      <w:rFonts w:ascii="Cambria Math" w:eastAsia="Cambria Math" w:hAnsi="Cambria Math" w:cs="Cambria Math"/>
                      <w:color w:val="000000" w:themeColor="text1"/>
                    </w:rPr>
                  </m:ctrlP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000000" w:themeColor="text1"/>
                    </w:rPr>
                    <m:t>amount</m:t>
                  </m:r>
                </m:e>
              </m:eqArr>
            </m:e>
          </m:d>
          <m:r>
            <w:rPr>
              <w:rFonts w:ascii="Cambria Math" w:hAnsi="Cambria Math"/>
              <w:color w:val="000000" w:themeColor="text1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000000" w:themeColor="text1"/>
                    </w:rPr>
                    <m:t>SDL resource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000000" w:themeColor="text1"/>
                    </w:rPr>
                    <m:t xml:space="preserve">unit shared </m:t>
                  </m:r>
                  <m:ctrlPr>
                    <w:rPr>
                      <w:rFonts w:ascii="Cambria Math" w:eastAsia="Cambria Math" w:hAnsi="Cambria Math" w:cs="Cambria Math"/>
                      <w:color w:val="000000" w:themeColor="text1"/>
                    </w:rPr>
                  </m:ctrlPr>
                </m:e>
                <m:e>
                  <m:r>
                    <m:rPr>
                      <m:nor/>
                    </m:rP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reduction amount</m:t>
                  </m:r>
                </m:e>
              </m:eqArr>
            </m:e>
          </m:d>
          <m:r>
            <w:rPr>
              <w:rFonts w:ascii="Cambria Math" w:hAnsi="Cambria Math"/>
              <w:color w:val="000000" w:themeColor="text1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000000" w:themeColor="text1"/>
                    </w:rPr>
                    <m:t>SDL adjustment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000000" w:themeColor="text1"/>
                    </w:rPr>
                    <m:t>amount</m:t>
                  </m:r>
                </m:e>
              </m:eqArr>
            </m:e>
          </m:d>
        </m:oMath>
      </m:oMathPara>
    </w:p>
    <w:p w:rsidR="00EB2FEA" w:rsidRDefault="00EB2FEA" w:rsidP="0061312C">
      <w:pPr>
        <w:pStyle w:val="ntoHeading"/>
      </w:pPr>
      <w:r>
        <w:lastRenderedPageBreak/>
        <w:tab/>
      </w:r>
      <w:proofErr w:type="gramStart"/>
      <w:r>
        <w:t>where</w:t>
      </w:r>
      <w:proofErr w:type="gramEnd"/>
      <w:r w:rsidR="00B26A8D">
        <w:t xml:space="preserve">, for the </w:t>
      </w:r>
      <w:r w:rsidR="008F478B" w:rsidRPr="00361674">
        <w:t xml:space="preserve">surface water </w:t>
      </w:r>
      <w:r w:rsidR="00B26A8D">
        <w:t>SDL resource unit</w:t>
      </w:r>
      <w:r>
        <w:t>:</w:t>
      </w:r>
    </w:p>
    <w:p w:rsidR="00EB2FEA" w:rsidRDefault="00EB2FEA" w:rsidP="0061312C">
      <w:pPr>
        <w:pStyle w:val="ntoHeading"/>
      </w:pPr>
      <w:r>
        <w:tab/>
      </w:r>
      <w:r>
        <w:rPr>
          <w:b/>
          <w:i/>
        </w:rPr>
        <w:t xml:space="preserve">BDL </w:t>
      </w:r>
      <w:r>
        <w:t xml:space="preserve">is the </w:t>
      </w:r>
      <w:r w:rsidR="002F29B6">
        <w:t>baseline diversion limit, as defined in section 1.07</w:t>
      </w:r>
      <w:r w:rsidR="00164956">
        <w:t xml:space="preserve">. For a surface water SDL resource unit, the BDL is the quantity of water calculated in accordance with column 2 of the table </w:t>
      </w:r>
      <w:r w:rsidR="002F29B6">
        <w:t>in Schedule 3</w:t>
      </w:r>
      <w:r w:rsidR="00506C88">
        <w:t xml:space="preserve"> for the SDL resource unit</w:t>
      </w:r>
      <w:r w:rsidR="00164956">
        <w:t>.</w:t>
      </w:r>
    </w:p>
    <w:p w:rsidR="00506C88" w:rsidRDefault="00EB2FEA" w:rsidP="0061312C">
      <w:pPr>
        <w:pStyle w:val="ntoHeading"/>
      </w:pPr>
      <w:r>
        <w:tab/>
      </w:r>
      <w:proofErr w:type="gramStart"/>
      <w:r>
        <w:rPr>
          <w:b/>
          <w:i/>
        </w:rPr>
        <w:t>local</w:t>
      </w:r>
      <w:proofErr w:type="gramEnd"/>
      <w:r>
        <w:rPr>
          <w:b/>
          <w:i/>
        </w:rPr>
        <w:t xml:space="preserve"> reduction amount </w:t>
      </w:r>
      <w:r>
        <w:t xml:space="preserve">is </w:t>
      </w:r>
      <w:r w:rsidR="002F29B6">
        <w:t xml:space="preserve">the local reduction amount for the </w:t>
      </w:r>
      <w:r w:rsidR="008F478B" w:rsidRPr="00361674">
        <w:t xml:space="preserve">surface water </w:t>
      </w:r>
      <w:r w:rsidR="002F29B6">
        <w:t>SDL resource unit as defined in section 1.07</w:t>
      </w:r>
      <w:r w:rsidR="00207528">
        <w:t>. Under that definition, the local reduction amount is</w:t>
      </w:r>
      <w:r w:rsidR="00506C88">
        <w:t>:</w:t>
      </w:r>
    </w:p>
    <w:p w:rsidR="00506C88" w:rsidRDefault="00506C88" w:rsidP="004D5664">
      <w:pPr>
        <w:pStyle w:val="nMain"/>
        <w:spacing w:before="40"/>
        <w:ind w:left="1135" w:hanging="284"/>
      </w:pPr>
      <w:r w:rsidRPr="00F92247">
        <w:rPr>
          <w:sz w:val="14"/>
        </w:rPr>
        <w:t>●</w:t>
      </w:r>
      <w:r>
        <w:tab/>
      </w:r>
      <w:proofErr w:type="gramStart"/>
      <w:r>
        <w:t>if</w:t>
      </w:r>
      <w:proofErr w:type="gramEnd"/>
      <w:r>
        <w:t xml:space="preserve"> a quantity of water is identified in column 2 of the table in this Schedule as the local reduction amount for the SDL resource unit—that amount; and</w:t>
      </w:r>
    </w:p>
    <w:p w:rsidR="00EB2FEA" w:rsidRDefault="00506C88" w:rsidP="004D5664">
      <w:pPr>
        <w:pStyle w:val="nMain"/>
        <w:spacing w:before="40"/>
        <w:ind w:left="1135" w:hanging="284"/>
      </w:pPr>
      <w:r w:rsidRPr="00F92247">
        <w:rPr>
          <w:sz w:val="14"/>
        </w:rPr>
        <w:t>●</w:t>
      </w:r>
      <w:r>
        <w:tab/>
      </w:r>
      <w:proofErr w:type="gramStart"/>
      <w:r>
        <w:t>if</w:t>
      </w:r>
      <w:proofErr w:type="gramEnd"/>
      <w:r>
        <w:t xml:space="preserve"> no quantity is </w:t>
      </w:r>
      <w:r w:rsidR="00207528">
        <w:t>identified</w:t>
      </w:r>
      <w:r>
        <w:t>—</w:t>
      </w:r>
      <w:r w:rsidR="00207528">
        <w:t>zero.</w:t>
      </w:r>
    </w:p>
    <w:p w:rsidR="000A4457" w:rsidRPr="009E44AC" w:rsidRDefault="000A4457" w:rsidP="0061312C">
      <w:pPr>
        <w:pStyle w:val="ntoHeading"/>
        <w:rPr>
          <w:color w:val="000000" w:themeColor="text1"/>
        </w:rPr>
      </w:pPr>
      <w:r w:rsidRPr="009E44AC">
        <w:rPr>
          <w:color w:val="000000" w:themeColor="text1"/>
        </w:rPr>
        <w:tab/>
      </w:r>
      <w:r w:rsidRPr="009E44AC">
        <w:rPr>
          <w:b/>
          <w:i/>
          <w:color w:val="000000" w:themeColor="text1"/>
        </w:rPr>
        <w:t xml:space="preserve">SDL resource unit shared reduction amount </w:t>
      </w:r>
      <w:r w:rsidRPr="009E44AC">
        <w:rPr>
          <w:color w:val="000000" w:themeColor="text1"/>
        </w:rPr>
        <w:t xml:space="preserve">is the SDL resource unit shared reduction amount as defined in section 1.07. The SDL resource unit shared reduction amount for a particular </w:t>
      </w:r>
      <w:r w:rsidR="008F478B" w:rsidRPr="00361674">
        <w:t xml:space="preserve">surface water </w:t>
      </w:r>
      <w:r w:rsidRPr="009E44AC">
        <w:rPr>
          <w:color w:val="000000" w:themeColor="text1"/>
        </w:rPr>
        <w:t>SDL resource unit is calculated in accordance with section 6.05</w:t>
      </w:r>
      <w:r w:rsidR="007E1BE1" w:rsidRPr="006872E2">
        <w:t xml:space="preserve"> </w:t>
      </w:r>
      <w:r w:rsidR="007E1BE1" w:rsidRPr="002B5C37">
        <w:t>and Chapter 7</w:t>
      </w:r>
      <w:r w:rsidRPr="009E44AC">
        <w:rPr>
          <w:color w:val="000000" w:themeColor="text1"/>
        </w:rPr>
        <w:t>.</w:t>
      </w:r>
    </w:p>
    <w:p w:rsidR="00EB2FEA" w:rsidRDefault="00EB2FEA" w:rsidP="0061312C">
      <w:pPr>
        <w:pStyle w:val="ntoHeading"/>
      </w:pPr>
      <w:r>
        <w:tab/>
      </w:r>
      <w:r>
        <w:rPr>
          <w:b/>
          <w:i/>
        </w:rPr>
        <w:t>SDL adjustment amount</w:t>
      </w:r>
      <w:r w:rsidR="00997843">
        <w:rPr>
          <w:b/>
          <w:i/>
        </w:rPr>
        <w:t xml:space="preserve"> </w:t>
      </w:r>
      <w:r>
        <w:t xml:space="preserve">is </w:t>
      </w:r>
      <w:r w:rsidR="00F6056B">
        <w:t xml:space="preserve">the adjustment </w:t>
      </w:r>
      <w:r w:rsidR="00B26A8D">
        <w:t xml:space="preserve">for the </w:t>
      </w:r>
      <w:r w:rsidR="008F478B" w:rsidRPr="00361674">
        <w:t xml:space="preserve">surface water </w:t>
      </w:r>
      <w:r w:rsidR="00B26A8D">
        <w:t xml:space="preserve">SDL resource unit </w:t>
      </w:r>
      <w:r w:rsidR="00DE75F4">
        <w:t xml:space="preserve">for the water accounting period, </w:t>
      </w:r>
      <w:r w:rsidR="002F43F1">
        <w:t xml:space="preserve">as defined in section 1.07. The SDL adjustment amount is given by </w:t>
      </w:r>
      <w:r w:rsidR="00C1604F" w:rsidRPr="00023889">
        <w:t>section 6.05A</w:t>
      </w:r>
      <w:r w:rsidR="00F6056B">
        <w:t xml:space="preserve">, and </w:t>
      </w:r>
      <w:r w:rsidR="00235394">
        <w:t>i</w:t>
      </w:r>
      <w:r w:rsidR="00F6056B">
        <w:t>s calculated in accordance with Schedule 6A.</w:t>
      </w:r>
    </w:p>
    <w:p w:rsidR="00CE1DFA" w:rsidRDefault="004353F6" w:rsidP="00CE1DFA">
      <w:pPr>
        <w:pStyle w:val="h5SchItem"/>
      </w:pPr>
      <w:r>
        <w:t>[5]</w:t>
      </w:r>
      <w:r w:rsidR="00CE1DFA">
        <w:tab/>
        <w:t>Amendments of listed provisions—Schedule 2, column 2 of the table, table items</w:t>
      </w:r>
    </w:p>
    <w:p w:rsidR="00CE1DFA" w:rsidRPr="000F3843" w:rsidRDefault="00CE1DFA" w:rsidP="00CE1DFA">
      <w:pPr>
        <w:pStyle w:val="tMain"/>
      </w:pPr>
      <w:r w:rsidRPr="000F3843">
        <w:tab/>
      </w:r>
      <w:r w:rsidRPr="000F3843">
        <w:tab/>
        <w:t>Insert “plus the SDL adjustment amount”:</w:t>
      </w:r>
    </w:p>
    <w:p w:rsidR="00CE1DFA" w:rsidRPr="000F3843" w:rsidRDefault="00CE1DFA" w:rsidP="00CE1DFA">
      <w:pPr>
        <w:pStyle w:val="tPara"/>
      </w:pPr>
      <w:r w:rsidRPr="000F3843">
        <w:tab/>
      </w:r>
      <w:r w:rsidR="006F4F2B" w:rsidRPr="000F3843">
        <w:t>(a)</w:t>
      </w:r>
      <w:r w:rsidRPr="000F3843">
        <w:tab/>
      </w:r>
      <w:proofErr w:type="gramStart"/>
      <w:r w:rsidRPr="000F3843">
        <w:t>in</w:t>
      </w:r>
      <w:proofErr w:type="gramEnd"/>
      <w:r w:rsidRPr="000F3843">
        <w:t xml:space="preserve"> items </w:t>
      </w:r>
      <w:r w:rsidR="00E17F85" w:rsidRPr="000F3843">
        <w:t xml:space="preserve">1 to 12, </w:t>
      </w:r>
      <w:r w:rsidRPr="000F3843">
        <w:t>14 to 23, 25, 27 and 29—after “SDL resource unit shared reduction amount”; and</w:t>
      </w:r>
    </w:p>
    <w:p w:rsidR="00CE1DFA" w:rsidRPr="000F3843" w:rsidRDefault="00CE1DFA" w:rsidP="00CE1DFA">
      <w:pPr>
        <w:pStyle w:val="tPara"/>
      </w:pPr>
      <w:r w:rsidRPr="000F3843">
        <w:tab/>
      </w:r>
      <w:r w:rsidR="006F4F2B" w:rsidRPr="000F3843">
        <w:t>(b)</w:t>
      </w:r>
      <w:r w:rsidRPr="000F3843">
        <w:tab/>
      </w:r>
      <w:proofErr w:type="gramStart"/>
      <w:r w:rsidRPr="000F3843">
        <w:t>in</w:t>
      </w:r>
      <w:proofErr w:type="gramEnd"/>
      <w:r w:rsidRPr="000F3843">
        <w:t xml:space="preserve"> items 13 and 24—after “(local reduction amount)”; and</w:t>
      </w:r>
    </w:p>
    <w:p w:rsidR="00CE1DFA" w:rsidRPr="000F3843" w:rsidRDefault="00CE1DFA" w:rsidP="00CE1DFA">
      <w:pPr>
        <w:pStyle w:val="tPara"/>
      </w:pPr>
      <w:r w:rsidRPr="000F3843">
        <w:tab/>
      </w:r>
      <w:r w:rsidR="006F4F2B" w:rsidRPr="000F3843">
        <w:t>(c)</w:t>
      </w:r>
      <w:r w:rsidRPr="000F3843">
        <w:tab/>
      </w:r>
      <w:proofErr w:type="gramStart"/>
      <w:r w:rsidRPr="000F3843">
        <w:t>in</w:t>
      </w:r>
      <w:proofErr w:type="gramEnd"/>
      <w:r w:rsidRPr="000F3843">
        <w:t xml:space="preserve"> items 26 and 28—after “BDL”.</w:t>
      </w:r>
    </w:p>
    <w:p w:rsidR="00CE1DFA" w:rsidRPr="000F3843" w:rsidRDefault="004353F6" w:rsidP="00CE1DFA">
      <w:pPr>
        <w:pStyle w:val="h5SchItem"/>
      </w:pPr>
      <w:r>
        <w:t>[6]</w:t>
      </w:r>
      <w:r w:rsidR="00CE1DFA" w:rsidRPr="000F3843">
        <w:tab/>
        <w:t>Amendments of listed provisions—Schedule 2, column 2 of the table, notes to table items</w:t>
      </w:r>
    </w:p>
    <w:p w:rsidR="00CE1DFA" w:rsidRPr="000F3843" w:rsidRDefault="00CE1DFA" w:rsidP="00CE1DFA">
      <w:pPr>
        <w:pStyle w:val="tMain"/>
      </w:pPr>
      <w:r w:rsidRPr="000F3843">
        <w:tab/>
      </w:r>
      <w:r w:rsidRPr="000F3843">
        <w:tab/>
        <w:t>Insert “plus the SDL adjustment amount”:</w:t>
      </w:r>
    </w:p>
    <w:p w:rsidR="00CE1DFA" w:rsidRPr="000F3843" w:rsidRDefault="00CE1DFA" w:rsidP="00CE1DFA">
      <w:pPr>
        <w:pStyle w:val="tPara"/>
      </w:pPr>
      <w:r w:rsidRPr="000F3843">
        <w:tab/>
      </w:r>
      <w:r w:rsidR="006F4F2B" w:rsidRPr="000F3843">
        <w:t>(a)</w:t>
      </w:r>
      <w:r w:rsidRPr="000F3843">
        <w:tab/>
      </w:r>
      <w:proofErr w:type="gramStart"/>
      <w:r w:rsidRPr="000F3843">
        <w:t>in</w:t>
      </w:r>
      <w:proofErr w:type="gramEnd"/>
      <w:r w:rsidRPr="000F3843">
        <w:t xml:space="preserve"> items </w:t>
      </w:r>
      <w:r w:rsidR="00E17F85" w:rsidRPr="000F3843">
        <w:t xml:space="preserve">1, </w:t>
      </w:r>
      <w:r w:rsidR="00F05993" w:rsidRPr="009E44AC">
        <w:rPr>
          <w:color w:val="000000" w:themeColor="text1"/>
        </w:rPr>
        <w:t xml:space="preserve">18, </w:t>
      </w:r>
      <w:r w:rsidRPr="000F3843">
        <w:t>19, 21</w:t>
      </w:r>
      <w:r w:rsidR="006D7371" w:rsidRPr="000F3843">
        <w:t xml:space="preserve"> and</w:t>
      </w:r>
      <w:r w:rsidRPr="000F3843">
        <w:t xml:space="preserve"> 2</w:t>
      </w:r>
      <w:r w:rsidR="006D7371" w:rsidRPr="000F3843">
        <w:t>6</w:t>
      </w:r>
      <w:r w:rsidRPr="000F3843">
        <w:t xml:space="preserve"> </w:t>
      </w:r>
      <w:r w:rsidR="00341688" w:rsidRPr="000F3843">
        <w:t>to</w:t>
      </w:r>
      <w:r w:rsidRPr="000F3843">
        <w:t xml:space="preserve"> 29—at the end of the </w:t>
      </w:r>
      <w:r w:rsidR="00980EAD" w:rsidRPr="00980EAD">
        <w:t>note</w:t>
      </w:r>
      <w:r w:rsidRPr="000F3843">
        <w:t>; and</w:t>
      </w:r>
    </w:p>
    <w:p w:rsidR="00CE1DFA" w:rsidRPr="000F3843" w:rsidRDefault="00CE1DFA" w:rsidP="00CE1DFA">
      <w:pPr>
        <w:pStyle w:val="tPara"/>
      </w:pPr>
      <w:r w:rsidRPr="000F3843">
        <w:tab/>
      </w:r>
      <w:r w:rsidR="006F4F2B" w:rsidRPr="000F3843">
        <w:t>(b)</w:t>
      </w:r>
      <w:r w:rsidRPr="000F3843">
        <w:tab/>
      </w:r>
      <w:proofErr w:type="gramStart"/>
      <w:r w:rsidRPr="000F3843">
        <w:t>in</w:t>
      </w:r>
      <w:proofErr w:type="gramEnd"/>
      <w:r w:rsidRPr="000F3843">
        <w:t xml:space="preserve"> items</w:t>
      </w:r>
      <w:r w:rsidR="0087215F" w:rsidRPr="000F3843">
        <w:t xml:space="preserve"> </w:t>
      </w:r>
      <w:r w:rsidR="00E17F85" w:rsidRPr="000F3843">
        <w:t xml:space="preserve">2 </w:t>
      </w:r>
      <w:r w:rsidR="00341688" w:rsidRPr="000F3843">
        <w:t>to</w:t>
      </w:r>
      <w:r w:rsidRPr="000F3843">
        <w:t xml:space="preserve"> </w:t>
      </w:r>
      <w:r w:rsidR="00F05993" w:rsidRPr="009E44AC">
        <w:rPr>
          <w:color w:val="000000" w:themeColor="text1"/>
        </w:rPr>
        <w:t>17</w:t>
      </w:r>
      <w:r w:rsidRPr="000F3843">
        <w:t>, 20</w:t>
      </w:r>
      <w:r w:rsidR="006D7371" w:rsidRPr="000F3843">
        <w:t xml:space="preserve"> and</w:t>
      </w:r>
      <w:r w:rsidRPr="000F3843">
        <w:t xml:space="preserve"> 22</w:t>
      </w:r>
      <w:r w:rsidR="006D7371" w:rsidRPr="000F3843">
        <w:t xml:space="preserve"> to 25—at the end of </w:t>
      </w:r>
      <w:r w:rsidR="00980EAD">
        <w:t>n</w:t>
      </w:r>
      <w:r w:rsidR="006D7371" w:rsidRPr="000F3843">
        <w:t>ote 1.</w:t>
      </w:r>
    </w:p>
    <w:p w:rsidR="00952457" w:rsidRPr="00BF634C" w:rsidRDefault="004353F6" w:rsidP="00952457">
      <w:pPr>
        <w:pStyle w:val="h5SchItem"/>
      </w:pPr>
      <w:r>
        <w:t>[7]</w:t>
      </w:r>
      <w:r w:rsidR="00BF634C">
        <w:tab/>
      </w:r>
      <w:r w:rsidR="00AE23D0">
        <w:t>After Schedule 6</w:t>
      </w:r>
    </w:p>
    <w:p w:rsidR="00BF634C" w:rsidRDefault="00AE23D0" w:rsidP="00AE23D0">
      <w:pPr>
        <w:pStyle w:val="tMain"/>
      </w:pPr>
      <w:r>
        <w:tab/>
      </w:r>
      <w:r>
        <w:tab/>
        <w:t>Insert:</w:t>
      </w:r>
    </w:p>
    <w:p w:rsidR="00AE23D0" w:rsidRPr="000F3843" w:rsidRDefault="00AE23D0" w:rsidP="00AE23D0">
      <w:pPr>
        <w:pStyle w:val="h1Chap"/>
        <w:pageBreakBefore w:val="0"/>
      </w:pPr>
      <w:bookmarkStart w:id="20" w:name="_Toc491442927"/>
      <w:bookmarkStart w:id="21" w:name="_Toc499189402"/>
      <w:bookmarkStart w:id="22" w:name="_Toc499707915"/>
      <w:r>
        <w:t>Schedule 6A—</w:t>
      </w:r>
      <w:r w:rsidR="00BF545E" w:rsidRPr="000F3843">
        <w:t xml:space="preserve">Calculation of </w:t>
      </w:r>
      <w:r w:rsidRPr="000F3843">
        <w:t>SDL adjustment amount</w:t>
      </w:r>
      <w:bookmarkEnd w:id="20"/>
      <w:r w:rsidR="007B2640" w:rsidRPr="000F3843">
        <w:t>s</w:t>
      </w:r>
      <w:bookmarkEnd w:id="21"/>
      <w:bookmarkEnd w:id="22"/>
    </w:p>
    <w:p w:rsidR="00AE23D0" w:rsidRPr="000F3843" w:rsidRDefault="00CE1DFA" w:rsidP="00CE1DFA">
      <w:pPr>
        <w:pStyle w:val="ntoHeading"/>
      </w:pPr>
      <w:r w:rsidRPr="000F3843">
        <w:t>Note:</w:t>
      </w:r>
      <w:r w:rsidRPr="000F3843">
        <w:tab/>
        <w:t>See Schedule 2</w:t>
      </w:r>
      <w:r w:rsidR="00112C88" w:rsidRPr="000F3843">
        <w:t>,</w:t>
      </w:r>
      <w:r w:rsidRPr="000F3843">
        <w:t xml:space="preserve"> and the definition of SDL</w:t>
      </w:r>
      <w:r w:rsidR="00C8215A" w:rsidRPr="000F3843">
        <w:t xml:space="preserve"> </w:t>
      </w:r>
      <w:r w:rsidRPr="000F3843">
        <w:t xml:space="preserve">adjustment amount in </w:t>
      </w:r>
      <w:r w:rsidR="00F448C4" w:rsidRPr="009E44AC">
        <w:rPr>
          <w:color w:val="000000" w:themeColor="text1"/>
        </w:rPr>
        <w:t>section 6.05A</w:t>
      </w:r>
      <w:r w:rsidRPr="000F3843">
        <w:t>.</w:t>
      </w:r>
    </w:p>
    <w:p w:rsidR="006040E4" w:rsidRDefault="004353F6" w:rsidP="00531529">
      <w:pPr>
        <w:pStyle w:val="h2Part"/>
        <w:pageBreakBefore w:val="0"/>
      </w:pPr>
      <w:bookmarkStart w:id="23" w:name="_Toc491442928"/>
      <w:bookmarkStart w:id="24" w:name="_Toc499189403"/>
      <w:bookmarkStart w:id="25" w:name="_Toc499707916"/>
      <w:r>
        <w:t>Part 1</w:t>
      </w:r>
      <w:r w:rsidR="00531529">
        <w:t>—</w:t>
      </w:r>
      <w:r w:rsidR="003A4D2D">
        <w:t>Preliminary</w:t>
      </w:r>
      <w:bookmarkEnd w:id="23"/>
      <w:bookmarkEnd w:id="24"/>
      <w:bookmarkEnd w:id="25"/>
    </w:p>
    <w:p w:rsidR="00CF7140" w:rsidRDefault="006743E2" w:rsidP="00531529">
      <w:pPr>
        <w:pStyle w:val="h5Section"/>
      </w:pPr>
      <w:bookmarkStart w:id="26" w:name="_Toc491442929"/>
      <w:bookmarkStart w:id="27" w:name="_Toc499189404"/>
      <w:bookmarkStart w:id="28" w:name="_Toc499707917"/>
      <w:proofErr w:type="gramStart"/>
      <w:r w:rsidRPr="00361674">
        <w:t>S6A.0</w:t>
      </w:r>
      <w:r w:rsidR="004353F6">
        <w:t>1</w:t>
      </w:r>
      <w:r w:rsidR="00531529">
        <w:t xml:space="preserve">  </w:t>
      </w:r>
      <w:r w:rsidR="003A4D2D">
        <w:t>Simplified</w:t>
      </w:r>
      <w:proofErr w:type="gramEnd"/>
      <w:r w:rsidR="003A4D2D">
        <w:t xml:space="preserve"> outline</w:t>
      </w:r>
      <w:r w:rsidR="00D6201D">
        <w:t xml:space="preserve"> of this Schedule</w:t>
      </w:r>
      <w:bookmarkEnd w:id="26"/>
      <w:bookmarkEnd w:id="27"/>
      <w:bookmarkEnd w:id="28"/>
    </w:p>
    <w:p w:rsidR="00CA7CA4" w:rsidRDefault="0035371E" w:rsidP="0035371E">
      <w:pPr>
        <w:pStyle w:val="SOText"/>
      </w:pPr>
      <w:r>
        <w:t xml:space="preserve">This </w:t>
      </w:r>
      <w:r w:rsidR="005E2714">
        <w:t xml:space="preserve">Schedule </w:t>
      </w:r>
      <w:r>
        <w:t xml:space="preserve">sets out how to calculate the SDL adjustment amount of each </w:t>
      </w:r>
      <w:r w:rsidR="006D7BCC" w:rsidRPr="00361674">
        <w:t xml:space="preserve">surface water </w:t>
      </w:r>
      <w:r>
        <w:t>SDL resource unit for each water accounting period.</w:t>
      </w:r>
      <w:r w:rsidR="00DA5065">
        <w:t xml:space="preserve"> </w:t>
      </w:r>
      <w:r w:rsidR="0052115C">
        <w:t xml:space="preserve">The SDL adjustment amount is used to calculate the </w:t>
      </w:r>
      <w:r w:rsidR="001A6EE1">
        <w:t xml:space="preserve">long term average sustainable diversion limit of each </w:t>
      </w:r>
      <w:r w:rsidR="006D7BCC" w:rsidRPr="00361674">
        <w:t xml:space="preserve">surface water </w:t>
      </w:r>
      <w:r w:rsidR="00DA5065">
        <w:t xml:space="preserve">SDL </w:t>
      </w:r>
      <w:r w:rsidR="001A6EE1">
        <w:t>resource unit</w:t>
      </w:r>
      <w:r w:rsidR="0052115C">
        <w:t xml:space="preserve">. See </w:t>
      </w:r>
      <w:r w:rsidR="001A6EE1">
        <w:t>subsection 6.04(3), column 2 of the table in Schedule 2, and the definition of “SDL adjustment amount” in section 6.05A.</w:t>
      </w:r>
    </w:p>
    <w:p w:rsidR="00CA7CA4" w:rsidRPr="00F05993" w:rsidRDefault="006C2620" w:rsidP="0035371E">
      <w:pPr>
        <w:pStyle w:val="SOText"/>
      </w:pPr>
      <w:r w:rsidRPr="00F05993">
        <w:t>The SDL adjustment amount is expected to vary between water accounting periods</w:t>
      </w:r>
      <w:r w:rsidR="00CA7CA4" w:rsidRPr="00F05993">
        <w:t>, as</w:t>
      </w:r>
      <w:r w:rsidR="00BD005C" w:rsidRPr="00F05993">
        <w:t>:</w:t>
      </w:r>
    </w:p>
    <w:p w:rsidR="00CA7CA4" w:rsidRPr="00F05993" w:rsidRDefault="00CA7CA4" w:rsidP="00CA7CA4">
      <w:pPr>
        <w:pStyle w:val="SOBullet"/>
        <w:spacing w:before="120"/>
      </w:pPr>
      <w:r w:rsidRPr="00F05993">
        <w:t>●</w:t>
      </w:r>
      <w:r w:rsidRPr="00F05993">
        <w:tab/>
      </w:r>
      <w:proofErr w:type="gramStart"/>
      <w:r w:rsidR="00024E97" w:rsidRPr="00F05993">
        <w:t>water</w:t>
      </w:r>
      <w:proofErr w:type="gramEnd"/>
      <w:r w:rsidR="00024E97" w:rsidRPr="00F05993">
        <w:t xml:space="preserve"> access entitlements are progressively acquired in conjunction with, or to take advantage of the water savings achieved by, notified efficiency measures</w:t>
      </w:r>
      <w:r w:rsidR="005662D2" w:rsidRPr="00F05993">
        <w:t xml:space="preserve">. </w:t>
      </w:r>
      <w:r w:rsidR="00603F41" w:rsidRPr="00F05993">
        <w:t xml:space="preserve">Such </w:t>
      </w:r>
      <w:r w:rsidR="00603F41" w:rsidRPr="00F05993">
        <w:lastRenderedPageBreak/>
        <w:t>acquisitions</w:t>
      </w:r>
      <w:r w:rsidR="005662D2" w:rsidRPr="00F05993">
        <w:t xml:space="preserve"> will </w:t>
      </w:r>
      <w:r w:rsidR="009B4F1F" w:rsidRPr="00361674">
        <w:t>be</w:t>
      </w:r>
      <w:r w:rsidR="00024E97" w:rsidRPr="00F05993">
        <w:t xml:space="preserve"> </w:t>
      </w:r>
      <w:r w:rsidRPr="00F05993">
        <w:t xml:space="preserve">efficiency </w:t>
      </w:r>
      <w:r w:rsidR="001427A1" w:rsidRPr="00F05993">
        <w:t xml:space="preserve">entitlements </w:t>
      </w:r>
      <w:r w:rsidRPr="00F05993">
        <w:t>in different</w:t>
      </w:r>
      <w:r w:rsidR="006D7BCC" w:rsidRPr="00361674">
        <w:t xml:space="preserve"> surface water</w:t>
      </w:r>
      <w:r w:rsidRPr="00F05993">
        <w:t xml:space="preserve"> SDL resource units</w:t>
      </w:r>
      <w:r w:rsidR="0098725B" w:rsidRPr="00F05993">
        <w:t xml:space="preserve">, </w:t>
      </w:r>
      <w:r w:rsidR="00AF4946" w:rsidRPr="00F05993">
        <w:t xml:space="preserve">increasing the </w:t>
      </w:r>
      <w:r w:rsidR="0098725B" w:rsidRPr="00F05993">
        <w:t>efficiency contributions</w:t>
      </w:r>
      <w:r w:rsidR="00482BEC" w:rsidRPr="00F05993">
        <w:t xml:space="preserve"> in affected units</w:t>
      </w:r>
      <w:r w:rsidRPr="00F05993">
        <w:t>; and</w:t>
      </w:r>
    </w:p>
    <w:p w:rsidR="00CA7CA4" w:rsidRPr="00F05993" w:rsidRDefault="00CA7CA4" w:rsidP="00CA7CA4">
      <w:pPr>
        <w:pStyle w:val="SOBullet"/>
        <w:spacing w:before="120"/>
      </w:pPr>
      <w:r w:rsidRPr="00F05993">
        <w:t>●</w:t>
      </w:r>
      <w:r w:rsidRPr="00F05993">
        <w:tab/>
      </w:r>
      <w:proofErr w:type="gramStart"/>
      <w:r w:rsidR="003E130C" w:rsidRPr="00361674">
        <w:t>the</w:t>
      </w:r>
      <w:proofErr w:type="gramEnd"/>
      <w:r w:rsidR="003E130C" w:rsidRPr="00361674">
        <w:t xml:space="preserve"> overall limitation on the size of adjustment amounts under </w:t>
      </w:r>
      <w:r w:rsidR="0009666A" w:rsidRPr="00F05993">
        <w:t xml:space="preserve">section 7.19 </w:t>
      </w:r>
      <w:r w:rsidR="003E130C" w:rsidRPr="00361674">
        <w:t>operates, if applicable</w:t>
      </w:r>
      <w:r w:rsidR="00A7134C" w:rsidRPr="00361674">
        <w:t>,</w:t>
      </w:r>
      <w:r w:rsidR="003E130C" w:rsidRPr="00361674">
        <w:t xml:space="preserve"> </w:t>
      </w:r>
      <w:r w:rsidR="00B44E55" w:rsidRPr="009E44AC">
        <w:rPr>
          <w:color w:val="000000" w:themeColor="text1"/>
        </w:rPr>
        <w:t>in relation to a particular water accounting period</w:t>
      </w:r>
      <w:r w:rsidR="0009666A" w:rsidRPr="00F05993">
        <w:t>.</w:t>
      </w:r>
    </w:p>
    <w:p w:rsidR="00DD63B3" w:rsidRDefault="0009666A" w:rsidP="005B6D96">
      <w:pPr>
        <w:pStyle w:val="SOText"/>
      </w:pPr>
      <w:r w:rsidRPr="00F05993">
        <w:t>Section 7.1</w:t>
      </w:r>
      <w:r w:rsidR="00D01480" w:rsidRPr="00F05993">
        <w:t>9</w:t>
      </w:r>
      <w:r w:rsidRPr="00F05993">
        <w:t xml:space="preserve"> applies</w:t>
      </w:r>
      <w:r w:rsidRPr="00F05993">
        <w:rPr>
          <w:szCs w:val="22"/>
          <w:shd w:val="clear" w:color="auto" w:fill="FFFFFF"/>
        </w:rPr>
        <w:t xml:space="preserve"> if</w:t>
      </w:r>
      <w:r w:rsidR="00D01480" w:rsidRPr="00F05993">
        <w:rPr>
          <w:szCs w:val="22"/>
          <w:shd w:val="clear" w:color="auto" w:fill="FFFFFF"/>
        </w:rPr>
        <w:t>,</w:t>
      </w:r>
      <w:r w:rsidR="00D01480" w:rsidRPr="009E44AC">
        <w:rPr>
          <w:color w:val="000000" w:themeColor="text1"/>
        </w:rPr>
        <w:t xml:space="preserve"> </w:t>
      </w:r>
      <w:r w:rsidR="00D01480" w:rsidRPr="00F05993">
        <w:t>at a particular time</w:t>
      </w:r>
      <w:r w:rsidR="00841120" w:rsidRPr="009E44AC">
        <w:rPr>
          <w:color w:val="000000" w:themeColor="text1"/>
        </w:rPr>
        <w:t>,</w:t>
      </w:r>
      <w:r w:rsidRPr="00F05993">
        <w:rPr>
          <w:szCs w:val="22"/>
          <w:shd w:val="clear" w:color="auto" w:fill="FFFFFF"/>
        </w:rPr>
        <w:t xml:space="preserve"> the net effect of the total supply contribution and the total efficiency contribution (referred to in this Schedule as the “net effect”)</w:t>
      </w:r>
      <w:r w:rsidRPr="00F05993">
        <w:t xml:space="preserve"> </w:t>
      </w:r>
      <w:r w:rsidRPr="00F05993">
        <w:rPr>
          <w:szCs w:val="22"/>
          <w:shd w:val="clear" w:color="auto" w:fill="FFFFFF"/>
        </w:rPr>
        <w:t>represents an increase or a decrease of more than</w:t>
      </w:r>
      <w:r w:rsidR="00F05993">
        <w:rPr>
          <w:szCs w:val="22"/>
          <w:shd w:val="clear" w:color="auto" w:fill="FFFFFF"/>
        </w:rPr>
        <w:t xml:space="preserve"> </w:t>
      </w:r>
      <w:r w:rsidR="00F05993" w:rsidRPr="009E44AC">
        <w:rPr>
          <w:color w:val="000000" w:themeColor="text1"/>
          <w:szCs w:val="22"/>
          <w:shd w:val="clear" w:color="auto" w:fill="FFFFFF"/>
        </w:rPr>
        <w:t>5% of the total surface water SDL for the Basin water resources as it stood at the reference time</w:t>
      </w:r>
      <w:r w:rsidR="005B6D96" w:rsidRPr="009E44AC">
        <w:rPr>
          <w:color w:val="000000" w:themeColor="text1"/>
          <w:szCs w:val="22"/>
          <w:shd w:val="clear" w:color="auto" w:fill="FFFFFF"/>
        </w:rPr>
        <w:t xml:space="preserve">. The total surface water SDL for the Basin water resources as it stood at the reference time is equal to </w:t>
      </w:r>
      <w:r w:rsidR="00E00517" w:rsidRPr="00361674">
        <w:rPr>
          <w:szCs w:val="22"/>
          <w:shd w:val="clear" w:color="auto" w:fill="FFFFFF"/>
        </w:rPr>
        <w:t xml:space="preserve">10,873 </w:t>
      </w:r>
      <w:r w:rsidR="005B6D96" w:rsidRPr="009E44AC">
        <w:rPr>
          <w:color w:val="000000" w:themeColor="text1"/>
          <w:szCs w:val="22"/>
          <w:shd w:val="clear" w:color="auto" w:fill="FFFFFF"/>
        </w:rPr>
        <w:t>GL per year, and 5% of that amount is equal to</w:t>
      </w:r>
      <w:r w:rsidR="005B6D96" w:rsidRPr="00F05993">
        <w:rPr>
          <w:szCs w:val="22"/>
          <w:shd w:val="clear" w:color="auto" w:fill="FFFFFF"/>
        </w:rPr>
        <w:t xml:space="preserve"> </w:t>
      </w:r>
      <w:r w:rsidR="006D7BCC" w:rsidRPr="00361674">
        <w:rPr>
          <w:szCs w:val="22"/>
          <w:shd w:val="clear" w:color="auto" w:fill="FFFFFF"/>
        </w:rPr>
        <w:t>543</w:t>
      </w:r>
      <w:r w:rsidR="006D7BCC">
        <w:rPr>
          <w:color w:val="000000" w:themeColor="text1"/>
        </w:rPr>
        <w:t xml:space="preserve"> </w:t>
      </w:r>
      <w:r w:rsidR="005B6D96" w:rsidRPr="009E44AC">
        <w:rPr>
          <w:color w:val="000000" w:themeColor="text1"/>
        </w:rPr>
        <w:t>GL per year</w:t>
      </w:r>
      <w:r w:rsidR="005B6D96">
        <w:t xml:space="preserve"> </w:t>
      </w:r>
      <w:r w:rsidR="005B6D96" w:rsidRPr="009E44AC">
        <w:rPr>
          <w:color w:val="000000" w:themeColor="text1"/>
        </w:rPr>
        <w:t xml:space="preserve">(when rounded </w:t>
      </w:r>
      <w:r w:rsidR="006D7BCC" w:rsidRPr="00361674">
        <w:t>down</w:t>
      </w:r>
      <w:r w:rsidR="005B6D96" w:rsidRPr="009E44AC">
        <w:rPr>
          <w:color w:val="000000" w:themeColor="text1"/>
        </w:rPr>
        <w:t>)</w:t>
      </w:r>
      <w:r w:rsidR="005B6D96">
        <w:t>.</w:t>
      </w:r>
    </w:p>
    <w:p w:rsidR="005B6D96" w:rsidRPr="00361674" w:rsidRDefault="005B6D96" w:rsidP="005B6D96">
      <w:pPr>
        <w:pStyle w:val="SOText"/>
        <w:rPr>
          <w:szCs w:val="22"/>
          <w:shd w:val="clear" w:color="auto" w:fill="FFFFFF"/>
        </w:rPr>
      </w:pPr>
      <w:r w:rsidRPr="009E44AC">
        <w:rPr>
          <w:color w:val="000000" w:themeColor="text1"/>
          <w:szCs w:val="22"/>
          <w:shd w:val="clear" w:color="auto" w:fill="FFFFFF"/>
        </w:rPr>
        <w:t xml:space="preserve">On the basis of the supply measures and efficiency measures that were notified to the Authority by 30 June 2017, the net effect will not </w:t>
      </w:r>
      <w:r w:rsidR="0032293F">
        <w:rPr>
          <w:color w:val="000000" w:themeColor="text1"/>
          <w:szCs w:val="22"/>
          <w:shd w:val="clear" w:color="auto" w:fill="FFFFFF"/>
        </w:rPr>
        <w:t xml:space="preserve">represent a decrease of </w:t>
      </w:r>
      <w:r w:rsidRPr="009E44AC">
        <w:rPr>
          <w:color w:val="000000" w:themeColor="text1"/>
          <w:szCs w:val="22"/>
          <w:shd w:val="clear" w:color="auto" w:fill="FFFFFF"/>
        </w:rPr>
        <w:t>more than 5% of this amount.</w:t>
      </w:r>
      <w:r w:rsidR="0032293F">
        <w:rPr>
          <w:color w:val="000000" w:themeColor="text1"/>
          <w:szCs w:val="22"/>
          <w:shd w:val="clear" w:color="auto" w:fill="FFFFFF"/>
        </w:rPr>
        <w:t xml:space="preserve"> </w:t>
      </w:r>
      <w:r w:rsidR="0032293F" w:rsidRPr="00361674">
        <w:rPr>
          <w:szCs w:val="22"/>
          <w:shd w:val="clear" w:color="auto" w:fill="FFFFFF"/>
        </w:rPr>
        <w:t>Accordingly, the formula set out in this Schedule provides for a reduction</w:t>
      </w:r>
      <w:r w:rsidR="00E32C81" w:rsidRPr="00361674">
        <w:rPr>
          <w:szCs w:val="22"/>
          <w:shd w:val="clear" w:color="auto" w:fill="FFFFFF"/>
        </w:rPr>
        <w:t xml:space="preserve"> only</w:t>
      </w:r>
      <w:r w:rsidR="0032293F" w:rsidRPr="00361674">
        <w:rPr>
          <w:szCs w:val="22"/>
          <w:shd w:val="clear" w:color="auto" w:fill="FFFFFF"/>
        </w:rPr>
        <w:t xml:space="preserve"> of </w:t>
      </w:r>
      <w:r w:rsidR="002C4DEF" w:rsidRPr="00361674">
        <w:rPr>
          <w:szCs w:val="22"/>
          <w:shd w:val="clear" w:color="auto" w:fill="FFFFFF"/>
        </w:rPr>
        <w:t xml:space="preserve">the </w:t>
      </w:r>
      <w:r w:rsidR="0032293F" w:rsidRPr="00361674">
        <w:rPr>
          <w:szCs w:val="22"/>
          <w:shd w:val="clear" w:color="auto" w:fill="FFFFFF"/>
        </w:rPr>
        <w:t>supply contribution</w:t>
      </w:r>
      <w:r w:rsidR="00DA64DD">
        <w:rPr>
          <w:szCs w:val="22"/>
          <w:shd w:val="clear" w:color="auto" w:fill="FFFFFF"/>
        </w:rPr>
        <w:t xml:space="preserve"> for affected units</w:t>
      </w:r>
      <w:r w:rsidR="0032293F" w:rsidRPr="00361674">
        <w:rPr>
          <w:szCs w:val="22"/>
          <w:shd w:val="clear" w:color="auto" w:fill="FFFFFF"/>
        </w:rPr>
        <w:t xml:space="preserve">, and not of </w:t>
      </w:r>
      <w:r w:rsidR="002C4DEF" w:rsidRPr="00361674">
        <w:rPr>
          <w:szCs w:val="22"/>
          <w:shd w:val="clear" w:color="auto" w:fill="FFFFFF"/>
        </w:rPr>
        <w:t xml:space="preserve">the </w:t>
      </w:r>
      <w:r w:rsidR="0032293F" w:rsidRPr="00361674">
        <w:rPr>
          <w:szCs w:val="22"/>
          <w:shd w:val="clear" w:color="auto" w:fill="FFFFFF"/>
        </w:rPr>
        <w:t>efficiency c</w:t>
      </w:r>
      <w:r w:rsidR="002C4DEF" w:rsidRPr="00361674">
        <w:rPr>
          <w:szCs w:val="22"/>
          <w:shd w:val="clear" w:color="auto" w:fill="FFFFFF"/>
        </w:rPr>
        <w:t>ontribution</w:t>
      </w:r>
      <w:r w:rsidR="00DA64DD">
        <w:rPr>
          <w:szCs w:val="22"/>
          <w:shd w:val="clear" w:color="auto" w:fill="FFFFFF"/>
        </w:rPr>
        <w:t>s</w:t>
      </w:r>
      <w:r w:rsidR="0032293F" w:rsidRPr="00361674">
        <w:rPr>
          <w:szCs w:val="22"/>
          <w:shd w:val="clear" w:color="auto" w:fill="FFFFFF"/>
        </w:rPr>
        <w:t>.</w:t>
      </w:r>
    </w:p>
    <w:p w:rsidR="003E18CA" w:rsidRPr="00F05993" w:rsidRDefault="0009666A" w:rsidP="003E18CA">
      <w:pPr>
        <w:pStyle w:val="SOText"/>
      </w:pPr>
      <w:r w:rsidRPr="00F05993">
        <w:t xml:space="preserve">As efficiency contributions are expected to vary </w:t>
      </w:r>
      <w:r w:rsidR="00841120" w:rsidRPr="00F05993">
        <w:t>over time</w:t>
      </w:r>
      <w:r w:rsidRPr="00F05993">
        <w:t>, the net effect is also expected to vary. Section </w:t>
      </w:r>
      <w:r w:rsidR="0062034C" w:rsidRPr="00361674">
        <w:t>S6A.0</w:t>
      </w:r>
      <w:r w:rsidR="004353F6">
        <w:t>4</w:t>
      </w:r>
      <w:r w:rsidRPr="00F05993">
        <w:t xml:space="preserve"> sets out how to assess the magnitude of the net effect.</w:t>
      </w:r>
    </w:p>
    <w:p w:rsidR="00DD63B3" w:rsidRPr="00DD63B3" w:rsidRDefault="00DD63B3" w:rsidP="0014138D">
      <w:pPr>
        <w:pStyle w:val="SOText"/>
        <w:rPr>
          <w:b/>
        </w:rPr>
      </w:pPr>
      <w:r>
        <w:rPr>
          <w:b/>
        </w:rPr>
        <w:t>Net effect greater than 543 GL per year</w:t>
      </w:r>
    </w:p>
    <w:p w:rsidR="0014138D" w:rsidRPr="00F05993" w:rsidRDefault="0014138D" w:rsidP="0014138D">
      <w:pPr>
        <w:pStyle w:val="SOText"/>
      </w:pPr>
      <w:r w:rsidRPr="00361674">
        <w:t xml:space="preserve">For water accounting periods for which </w:t>
      </w:r>
      <w:r w:rsidRPr="00F05993">
        <w:t xml:space="preserve">the net effect exceeds </w:t>
      </w:r>
      <w:r w:rsidRPr="00361674">
        <w:rPr>
          <w:szCs w:val="22"/>
          <w:shd w:val="clear" w:color="auto" w:fill="FFFFFF"/>
        </w:rPr>
        <w:t>543</w:t>
      </w:r>
      <w:r>
        <w:rPr>
          <w:color w:val="000000" w:themeColor="text1"/>
        </w:rPr>
        <w:t xml:space="preserve"> </w:t>
      </w:r>
      <w:r w:rsidRPr="00F05993">
        <w:t>GL per year, SDL adjustment amounts are calculated in accordance with section </w:t>
      </w:r>
      <w:r w:rsidR="0062034C" w:rsidRPr="00361674">
        <w:t>S6A.0</w:t>
      </w:r>
      <w:r w:rsidR="004353F6">
        <w:t>5</w:t>
      </w:r>
      <w:r>
        <w:t xml:space="preserve"> </w:t>
      </w:r>
      <w:r w:rsidRPr="00361674">
        <w:t>of this Schedule</w:t>
      </w:r>
      <w:r w:rsidRPr="00F05993">
        <w:t>.</w:t>
      </w:r>
      <w:r w:rsidR="00AC0A15" w:rsidRPr="00361674">
        <w:t xml:space="preserve"> For such water accounting periods, </w:t>
      </w:r>
      <w:r w:rsidR="00AC0A15" w:rsidRPr="00F05993">
        <w:t>the formula additionally reflects the operation of the overall limit on adjustments in section 7.19.</w:t>
      </w:r>
    </w:p>
    <w:p w:rsidR="00DD63B3" w:rsidRPr="00DD63B3" w:rsidRDefault="00DD63B3" w:rsidP="00DD63B3">
      <w:pPr>
        <w:pStyle w:val="SOText"/>
        <w:rPr>
          <w:b/>
        </w:rPr>
      </w:pPr>
      <w:r>
        <w:rPr>
          <w:b/>
        </w:rPr>
        <w:t>Net effect no greater than 543 GL per year</w:t>
      </w:r>
    </w:p>
    <w:p w:rsidR="0014138D" w:rsidRPr="00361674" w:rsidRDefault="0014138D" w:rsidP="00B04E85">
      <w:pPr>
        <w:pStyle w:val="SOText"/>
      </w:pPr>
      <w:r w:rsidRPr="00F05993">
        <w:t xml:space="preserve">If, however, for a particular water accounting period, </w:t>
      </w:r>
      <w:r w:rsidR="00B04E85" w:rsidRPr="00F05993">
        <w:t xml:space="preserve">the net effect does not exceed </w:t>
      </w:r>
      <w:r w:rsidR="006D7BCC" w:rsidRPr="00361674">
        <w:rPr>
          <w:szCs w:val="22"/>
          <w:shd w:val="clear" w:color="auto" w:fill="FFFFFF"/>
        </w:rPr>
        <w:t>543</w:t>
      </w:r>
      <w:r>
        <w:rPr>
          <w:color w:val="000000" w:themeColor="text1"/>
        </w:rPr>
        <w:t> </w:t>
      </w:r>
      <w:r w:rsidR="00B04E85" w:rsidRPr="00F05993">
        <w:t xml:space="preserve">GL per year, the SDL adjustment amount for each </w:t>
      </w:r>
      <w:r w:rsidR="006D7BCC" w:rsidRPr="00361674">
        <w:t xml:space="preserve">surface water </w:t>
      </w:r>
      <w:r w:rsidR="00B04E85" w:rsidRPr="00F05993">
        <w:t xml:space="preserve">SDL resource unit is </w:t>
      </w:r>
      <w:r w:rsidRPr="00361674">
        <w:t xml:space="preserve">instead </w:t>
      </w:r>
      <w:r w:rsidR="00B04E85" w:rsidRPr="00F05993">
        <w:t>calculated in accordance with section </w:t>
      </w:r>
      <w:r w:rsidR="0062034C" w:rsidRPr="00361674">
        <w:t>S6A.0</w:t>
      </w:r>
      <w:r w:rsidR="004353F6">
        <w:t>6</w:t>
      </w:r>
      <w:r>
        <w:t xml:space="preserve"> </w:t>
      </w:r>
      <w:r w:rsidRPr="00361674">
        <w:t>of this Schedule.</w:t>
      </w:r>
    </w:p>
    <w:p w:rsidR="0014138D" w:rsidRDefault="0014138D" w:rsidP="00B04E85">
      <w:pPr>
        <w:pStyle w:val="SOText"/>
      </w:pPr>
      <w:r w:rsidRPr="00F05993">
        <w:t>In</w:t>
      </w:r>
      <w:r>
        <w:t xml:space="preserve"> </w:t>
      </w:r>
      <w:r w:rsidRPr="00361674">
        <w:t>both cases, in</w:t>
      </w:r>
      <w:r w:rsidRPr="00F05993">
        <w:t xml:space="preserve"> accordance with paragraph 7.20(4</w:t>
      </w:r>
      <w:proofErr w:type="gramStart"/>
      <w:r w:rsidRPr="00F05993">
        <w:t>)(</w:t>
      </w:r>
      <w:proofErr w:type="gramEnd"/>
      <w:r w:rsidRPr="00F05993">
        <w:t xml:space="preserve">b), </w:t>
      </w:r>
      <w:r w:rsidRPr="00361674">
        <w:t xml:space="preserve">the adjustments are </w:t>
      </w:r>
      <w:r w:rsidRPr="00F05993">
        <w:t xml:space="preserve">expressed in the form of a formula as a function of time, changing at specified times (namely, at the </w:t>
      </w:r>
      <w:r w:rsidR="00C60136">
        <w:t xml:space="preserve">beginning </w:t>
      </w:r>
      <w:r w:rsidRPr="00F05993">
        <w:t>of each water accounting period), that reflects the changes up until 30 June 2024 of the relevant efficiency contributions.</w:t>
      </w:r>
    </w:p>
    <w:p w:rsidR="00294119" w:rsidRPr="00A07CEB" w:rsidRDefault="00773571" w:rsidP="00294119">
      <w:pPr>
        <w:pStyle w:val="h5Section"/>
      </w:pPr>
      <w:bookmarkStart w:id="29" w:name="_Toc499189405"/>
      <w:bookmarkStart w:id="30" w:name="_Toc499707918"/>
      <w:proofErr w:type="gramStart"/>
      <w:r w:rsidRPr="00361674">
        <w:t>S6A.0</w:t>
      </w:r>
      <w:r w:rsidR="004353F6">
        <w:t>2</w:t>
      </w:r>
      <w:r w:rsidR="00294119" w:rsidRPr="00A07CEB">
        <w:t xml:space="preserve">  Interpretation</w:t>
      </w:r>
      <w:bookmarkEnd w:id="29"/>
      <w:bookmarkEnd w:id="30"/>
      <w:proofErr w:type="gramEnd"/>
    </w:p>
    <w:p w:rsidR="00294119" w:rsidRDefault="00C41520" w:rsidP="00C41520">
      <w:pPr>
        <w:pStyle w:val="tMain"/>
      </w:pPr>
      <w:r>
        <w:tab/>
      </w:r>
      <w:r w:rsidR="004353F6">
        <w:t>(1)</w:t>
      </w:r>
      <w:r>
        <w:tab/>
      </w:r>
      <w:r w:rsidR="00294119" w:rsidRPr="00A07CEB">
        <w:t>In this Schedule:</w:t>
      </w:r>
    </w:p>
    <w:p w:rsidR="006A1622" w:rsidRDefault="006A1622" w:rsidP="00A07CEB">
      <w:pPr>
        <w:pStyle w:val="tDefn"/>
      </w:pPr>
      <w:proofErr w:type="gramStart"/>
      <w:r>
        <w:rPr>
          <w:b/>
          <w:i/>
        </w:rPr>
        <w:t>apportioned</w:t>
      </w:r>
      <w:proofErr w:type="gramEnd"/>
      <w:r>
        <w:rPr>
          <w:b/>
          <w:i/>
        </w:rPr>
        <w:t xml:space="preserve"> supply contribution</w:t>
      </w:r>
      <w:r>
        <w:t xml:space="preserve">, for a particular </w:t>
      </w:r>
      <w:r w:rsidR="006D7BCC" w:rsidRPr="00361674">
        <w:t xml:space="preserve">surface water </w:t>
      </w:r>
      <w:r>
        <w:t>SDL resource unit</w:t>
      </w:r>
      <w:r w:rsidR="00DE7F4C">
        <w:t>, means</w:t>
      </w:r>
      <w:r>
        <w:t>:</w:t>
      </w:r>
    </w:p>
    <w:p w:rsidR="006A1622" w:rsidRDefault="006A1622" w:rsidP="006A1622">
      <w:pPr>
        <w:pStyle w:val="tPara"/>
      </w:pPr>
      <w:r>
        <w:tab/>
        <w:t>(a)</w:t>
      </w:r>
      <w:r>
        <w:tab/>
      </w:r>
      <w:proofErr w:type="gramStart"/>
      <w:r>
        <w:t>for</w:t>
      </w:r>
      <w:proofErr w:type="gramEnd"/>
      <w:r>
        <w:t xml:space="preserve"> </w:t>
      </w:r>
      <w:r w:rsidR="006D7BCC" w:rsidRPr="00361674">
        <w:t>a surface water</w:t>
      </w:r>
      <w:r>
        <w:t xml:space="preserve"> SDL resource unit listed in the table to subsection </w:t>
      </w:r>
      <w:r w:rsidR="004353F6">
        <w:t>(2)</w:t>
      </w:r>
      <w:r>
        <w:t>—the amount</w:t>
      </w:r>
      <w:r w:rsidR="00806C9E">
        <w:t xml:space="preserve">, in GL per year, </w:t>
      </w:r>
      <w:r>
        <w:t>indicated in the table; and</w:t>
      </w:r>
    </w:p>
    <w:p w:rsidR="006A1622" w:rsidRDefault="006A1622" w:rsidP="006A1622">
      <w:pPr>
        <w:pStyle w:val="tPara"/>
      </w:pPr>
      <w:r>
        <w:tab/>
        <w:t>(b)</w:t>
      </w:r>
      <w:r>
        <w:tab/>
      </w:r>
      <w:proofErr w:type="gramStart"/>
      <w:r>
        <w:t>otherwise—</w:t>
      </w:r>
      <w:proofErr w:type="gramEnd"/>
      <w:r>
        <w:t>zero.</w:t>
      </w:r>
    </w:p>
    <w:p w:rsidR="00027784" w:rsidRDefault="00027784" w:rsidP="00027784">
      <w:pPr>
        <w:pStyle w:val="nMain"/>
      </w:pPr>
      <w:r>
        <w:t>Note 1:</w:t>
      </w:r>
      <w:r>
        <w:tab/>
        <w:t xml:space="preserve">The apportioned supply contribution for </w:t>
      </w:r>
      <w:r w:rsidR="006D7BCC" w:rsidRPr="00361674">
        <w:t>a surface water</w:t>
      </w:r>
      <w:r w:rsidR="006D7BCC">
        <w:t xml:space="preserve"> </w:t>
      </w:r>
      <w:r>
        <w:t>SDL resource unit is the amount of the total supply contribution</w:t>
      </w:r>
      <w:r w:rsidR="00E16D25">
        <w:t xml:space="preserve">, </w:t>
      </w:r>
      <w:r>
        <w:t>worked out in accordance with sections 7.15 and 7.17</w:t>
      </w:r>
      <w:r w:rsidR="00E16D25">
        <w:t>,</w:t>
      </w:r>
      <w:r>
        <w:t xml:space="preserve"> that was apportioned to the </w:t>
      </w:r>
      <w:r w:rsidR="006D7BCC" w:rsidRPr="00361674">
        <w:t>surface water</w:t>
      </w:r>
      <w:r w:rsidR="006D7BCC">
        <w:t xml:space="preserve"> </w:t>
      </w:r>
      <w:r>
        <w:t>SDL resource unit in accordance with section 7.18, disregarding the effect (if any) of section 7.19.</w:t>
      </w:r>
    </w:p>
    <w:p w:rsidR="007B2847" w:rsidRDefault="007B2847" w:rsidP="007B2847">
      <w:pPr>
        <w:pStyle w:val="nMain"/>
        <w:spacing w:after="120"/>
      </w:pPr>
      <w:r>
        <w:t>Note 2:</w:t>
      </w:r>
      <w:r>
        <w:tab/>
        <w:t xml:space="preserve">The apportioned supply contribution for each </w:t>
      </w:r>
      <w:r w:rsidR="006D7BCC" w:rsidRPr="00361674">
        <w:t>surface water</w:t>
      </w:r>
      <w:r w:rsidR="006D7BCC">
        <w:t xml:space="preserve"> </w:t>
      </w:r>
      <w:r>
        <w:t>SDL resource unit is the same for each water accounting period.</w:t>
      </w:r>
    </w:p>
    <w:p w:rsidR="000A163F" w:rsidRPr="00361674" w:rsidRDefault="001935B3" w:rsidP="001935B3">
      <w:pPr>
        <w:pStyle w:val="tDefn"/>
      </w:pPr>
      <w:r w:rsidRPr="00A44699">
        <w:rPr>
          <w:b/>
          <w:i/>
        </w:rPr>
        <w:lastRenderedPageBreak/>
        <w:t>current efficiency contribution</w:t>
      </w:r>
      <w:r w:rsidRPr="00A44699">
        <w:t>, for a particular</w:t>
      </w:r>
      <w:r w:rsidR="006D7BCC" w:rsidRPr="00A44699">
        <w:t xml:space="preserve"> </w:t>
      </w:r>
      <w:r w:rsidR="006D7BCC" w:rsidRPr="00361674">
        <w:t>surface water</w:t>
      </w:r>
      <w:r w:rsidRPr="00A44699">
        <w:t xml:space="preserve"> SDL resource unit and for a particular water accounting period, means</w:t>
      </w:r>
      <w:r w:rsidR="000A163F">
        <w:t xml:space="preserve"> </w:t>
      </w:r>
      <w:r w:rsidR="000A163F" w:rsidRPr="00361674">
        <w:t xml:space="preserve">the unit’s efficiency contribution </w:t>
      </w:r>
      <w:r w:rsidR="000716A8" w:rsidRPr="00361674">
        <w:t>(</w:t>
      </w:r>
      <w:r w:rsidR="000A163F" w:rsidRPr="00361674">
        <w:t>within the meaning of subsection 7.16(1)</w:t>
      </w:r>
      <w:r w:rsidR="000716A8" w:rsidRPr="00361674">
        <w:t>)</w:t>
      </w:r>
      <w:r w:rsidR="000A163F" w:rsidRPr="00361674">
        <w:t xml:space="preserve"> as at the end of the </w:t>
      </w:r>
      <w:r w:rsidR="007E1BE1" w:rsidRPr="002B5C37">
        <w:t xml:space="preserve">first day of the </w:t>
      </w:r>
      <w:r w:rsidR="000A163F" w:rsidRPr="00361674">
        <w:t>water accounting period</w:t>
      </w:r>
      <w:r w:rsidR="00DA2097" w:rsidRPr="00361674">
        <w:t xml:space="preserve">, </w:t>
      </w:r>
      <w:r w:rsidR="004F1341" w:rsidRPr="00361674">
        <w:t xml:space="preserve">disregarding </w:t>
      </w:r>
      <w:r w:rsidR="00DA2097" w:rsidRPr="00361674">
        <w:t xml:space="preserve">any efficiency entitlement that might be registered on the register maintained under section 7.13 </w:t>
      </w:r>
      <w:r w:rsidR="00F51E33" w:rsidRPr="00361674">
        <w:t>after 30 June 2024</w:t>
      </w:r>
      <w:r w:rsidR="00DA2097" w:rsidRPr="00361674">
        <w:t>.</w:t>
      </w:r>
    </w:p>
    <w:p w:rsidR="001935B3" w:rsidRDefault="001935B3" w:rsidP="001935B3">
      <w:pPr>
        <w:pStyle w:val="nMain"/>
      </w:pPr>
      <w:r>
        <w:t>Note:</w:t>
      </w:r>
      <w:r>
        <w:tab/>
        <w:t xml:space="preserve">The </w:t>
      </w:r>
      <w:r w:rsidR="00F448C4" w:rsidRPr="009E44AC">
        <w:rPr>
          <w:color w:val="000000" w:themeColor="text1"/>
        </w:rPr>
        <w:t>current</w:t>
      </w:r>
      <w:r>
        <w:t xml:space="preserve"> efficiency contribution for </w:t>
      </w:r>
      <w:r w:rsidR="006D7BCC" w:rsidRPr="00361674">
        <w:t>a surface water</w:t>
      </w:r>
      <w:r w:rsidR="006D7BCC">
        <w:t xml:space="preserve"> </w:t>
      </w:r>
      <w:r>
        <w:t xml:space="preserve">SDL resource unit might </w:t>
      </w:r>
      <w:r w:rsidR="00176244" w:rsidRPr="009E44AC">
        <w:rPr>
          <w:color w:val="000000" w:themeColor="text1"/>
        </w:rPr>
        <w:t>vary</w:t>
      </w:r>
      <w:r w:rsidR="00176244">
        <w:t xml:space="preserve"> </w:t>
      </w:r>
      <w:r>
        <w:t>between water accounting periods</w:t>
      </w:r>
      <w:r w:rsidR="00F448C4" w:rsidRPr="009E44AC">
        <w:rPr>
          <w:color w:val="000000" w:themeColor="text1"/>
        </w:rPr>
        <w:t xml:space="preserve">, as </w:t>
      </w:r>
      <w:r w:rsidR="003C33CE" w:rsidRPr="00361674">
        <w:t xml:space="preserve">relevant </w:t>
      </w:r>
      <w:r w:rsidR="00F448C4" w:rsidRPr="009E44AC">
        <w:rPr>
          <w:color w:val="000000" w:themeColor="text1"/>
        </w:rPr>
        <w:t xml:space="preserve">water access entitlements </w:t>
      </w:r>
      <w:r w:rsidR="003C33CE" w:rsidRPr="00361674">
        <w:t>are acquired</w:t>
      </w:r>
      <w:r>
        <w:t>.</w:t>
      </w:r>
    </w:p>
    <w:p w:rsidR="00260DAA" w:rsidRDefault="00260DAA" w:rsidP="00797552">
      <w:pPr>
        <w:pStyle w:val="tDefn"/>
      </w:pPr>
      <w:proofErr w:type="gramStart"/>
      <w:r>
        <w:rPr>
          <w:b/>
          <w:i/>
        </w:rPr>
        <w:t>net</w:t>
      </w:r>
      <w:proofErr w:type="gramEnd"/>
      <w:r>
        <w:rPr>
          <w:b/>
          <w:i/>
        </w:rPr>
        <w:t xml:space="preserve"> effect</w:t>
      </w:r>
      <w:r w:rsidR="00141451">
        <w:t>, for a particular water accounting period,</w:t>
      </w:r>
      <w:r>
        <w:t xml:space="preserve"> </w:t>
      </w:r>
      <w:r w:rsidR="00B04E85">
        <w:t xml:space="preserve">has the meaning given by </w:t>
      </w:r>
      <w:r w:rsidR="00F03572">
        <w:t>subsection </w:t>
      </w:r>
      <w:r w:rsidR="0062034C" w:rsidRPr="00361674">
        <w:t>S6A.0</w:t>
      </w:r>
      <w:r w:rsidR="004353F6">
        <w:t>4(2)</w:t>
      </w:r>
      <w:r>
        <w:t>.</w:t>
      </w:r>
    </w:p>
    <w:p w:rsidR="00B04E85" w:rsidRPr="00B04E85" w:rsidRDefault="00B04E85" w:rsidP="00260DAA">
      <w:pPr>
        <w:pStyle w:val="nMain"/>
      </w:pPr>
      <w:r>
        <w:t>Note 1:</w:t>
      </w:r>
      <w:r>
        <w:tab/>
        <w:t xml:space="preserve">The net effect is </w:t>
      </w:r>
      <w:r w:rsidRPr="00B04E85">
        <w:t xml:space="preserve">the difference between the total supply contribution and the total efficiency contribution for the water accounting period </w:t>
      </w:r>
      <w:r w:rsidRPr="00B04E85">
        <w:rPr>
          <w:szCs w:val="22"/>
          <w:shd w:val="clear" w:color="auto" w:fill="FFFFFF"/>
        </w:rPr>
        <w:t>under sections 7.15 to 7.17</w:t>
      </w:r>
      <w:r w:rsidRPr="00B04E85">
        <w:t>.</w:t>
      </w:r>
    </w:p>
    <w:p w:rsidR="00260DAA" w:rsidRDefault="00260DAA" w:rsidP="00260DAA">
      <w:pPr>
        <w:pStyle w:val="nMain"/>
      </w:pPr>
      <w:r>
        <w:t>Note</w:t>
      </w:r>
      <w:r w:rsidR="00B04E85">
        <w:t xml:space="preserve"> 2</w:t>
      </w:r>
      <w:r>
        <w:t>:</w:t>
      </w:r>
      <w:r>
        <w:tab/>
        <w:t xml:space="preserve">The net effect might </w:t>
      </w:r>
      <w:r w:rsidR="00176244" w:rsidRPr="009E44AC">
        <w:rPr>
          <w:color w:val="000000" w:themeColor="text1"/>
        </w:rPr>
        <w:t>vary</w:t>
      </w:r>
      <w:r w:rsidR="00176244">
        <w:t xml:space="preserve"> </w:t>
      </w:r>
      <w:r>
        <w:t>between water accounting periods</w:t>
      </w:r>
      <w:r w:rsidR="00674521">
        <w:t xml:space="preserve"> </w:t>
      </w:r>
      <w:r w:rsidR="00674521" w:rsidRPr="009E44AC">
        <w:rPr>
          <w:color w:val="000000" w:themeColor="text1"/>
        </w:rPr>
        <w:t>as the total efficiency contribution changes with time</w:t>
      </w:r>
      <w:r>
        <w:t>.</w:t>
      </w:r>
    </w:p>
    <w:p w:rsidR="000C12A6" w:rsidRDefault="000C12A6" w:rsidP="000C12A6">
      <w:pPr>
        <w:pStyle w:val="tDefn"/>
      </w:pPr>
      <w:proofErr w:type="gramStart"/>
      <w:r>
        <w:rPr>
          <w:b/>
          <w:i/>
        </w:rPr>
        <w:t>total</w:t>
      </w:r>
      <w:proofErr w:type="gramEnd"/>
      <w:r>
        <w:rPr>
          <w:b/>
          <w:i/>
        </w:rPr>
        <w:t xml:space="preserve"> current efficiency contribution</w:t>
      </w:r>
      <w:r w:rsidRPr="007A6197">
        <w:t>, for the water accounting period,</w:t>
      </w:r>
      <w:r>
        <w:rPr>
          <w:b/>
          <w:i/>
        </w:rPr>
        <w:t xml:space="preserve"> </w:t>
      </w:r>
      <w:r>
        <w:t>is equal to the sum of the current efficiency contributions of all surface water SDL resource units.</w:t>
      </w:r>
    </w:p>
    <w:p w:rsidR="00BF545E" w:rsidRDefault="00C35F9B" w:rsidP="0099003A">
      <w:pPr>
        <w:pStyle w:val="tMain"/>
        <w:spacing w:after="120"/>
      </w:pPr>
      <w:r>
        <w:tab/>
      </w:r>
      <w:r w:rsidR="004353F6">
        <w:t>(2)</w:t>
      </w:r>
      <w:r>
        <w:tab/>
      </w:r>
      <w:r w:rsidR="00B7325E">
        <w:t>For paragraph (a) of the definition of “apportioned supply contribution” in subsection </w:t>
      </w:r>
      <w:r w:rsidR="004353F6">
        <w:t>(1)</w:t>
      </w:r>
      <w:r w:rsidR="00B7325E">
        <w:t xml:space="preserve">, the </w:t>
      </w:r>
      <w:r w:rsidR="00BF545E">
        <w:t xml:space="preserve">table </w:t>
      </w:r>
      <w:r w:rsidR="00B7325E">
        <w:t>is the following</w:t>
      </w:r>
      <w:r w:rsidR="00BF545E">
        <w:t>:</w:t>
      </w:r>
    </w:p>
    <w:p w:rsidR="00F55F46" w:rsidRDefault="00F55F46" w:rsidP="0044535F">
      <w:pPr>
        <w:pStyle w:val="nMain"/>
        <w:spacing w:after="120"/>
      </w:pPr>
      <w:r>
        <w:t>Note:</w:t>
      </w:r>
      <w:r>
        <w:tab/>
        <w:t>The item numbers in the table correspond to those in Schedule 2.</w:t>
      </w:r>
    </w:p>
    <w:tbl>
      <w:tblPr>
        <w:tblW w:w="7938" w:type="dxa"/>
        <w:tblInd w:w="1134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487"/>
        <w:gridCol w:w="2835"/>
      </w:tblGrid>
      <w:tr w:rsidR="00D02A64" w:rsidRPr="00AF61FA" w:rsidTr="002058D3">
        <w:trPr>
          <w:trHeight w:val="274"/>
          <w:tblHeader/>
        </w:trPr>
        <w:tc>
          <w:tcPr>
            <w:tcW w:w="616" w:type="dxa"/>
            <w:tcBorders>
              <w:top w:val="single" w:sz="18" w:space="0" w:color="auto"/>
              <w:bottom w:val="single" w:sz="4" w:space="0" w:color="auto"/>
            </w:tcBorders>
          </w:tcPr>
          <w:p w:rsidR="00D02A64" w:rsidRPr="00AF61FA" w:rsidRDefault="00D02A64" w:rsidP="00034073">
            <w:pPr>
              <w:pStyle w:val="TablePlain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7" w:type="dxa"/>
            <w:tcBorders>
              <w:top w:val="single" w:sz="18" w:space="0" w:color="auto"/>
              <w:bottom w:val="single" w:sz="4" w:space="0" w:color="auto"/>
            </w:tcBorders>
          </w:tcPr>
          <w:p w:rsidR="00D02A64" w:rsidRPr="00AF61FA" w:rsidRDefault="00D02A64" w:rsidP="00034073">
            <w:pPr>
              <w:pStyle w:val="TablePlainParagraph"/>
              <w:rPr>
                <w:rFonts w:ascii="Times New Roman" w:hAnsi="Times New Roman" w:cs="Times New Roman"/>
                <w:b/>
              </w:rPr>
            </w:pPr>
            <w:r w:rsidRPr="00AF61FA">
              <w:rPr>
                <w:rFonts w:ascii="Times New Roman" w:hAnsi="Times New Roman" w:cs="Times New Roman"/>
                <w:b/>
              </w:rPr>
              <w:t>Column 1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D02A64" w:rsidRPr="00AF61FA" w:rsidRDefault="00D02A64" w:rsidP="00034073">
            <w:pPr>
              <w:pStyle w:val="TablePlain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Column 2</w:t>
            </w:r>
          </w:p>
        </w:tc>
      </w:tr>
      <w:tr w:rsidR="00D02A64" w:rsidRPr="00AF61FA" w:rsidTr="002058D3">
        <w:trPr>
          <w:trHeight w:val="390"/>
          <w:tblHeader/>
        </w:trPr>
        <w:tc>
          <w:tcPr>
            <w:tcW w:w="616" w:type="dxa"/>
            <w:tcBorders>
              <w:top w:val="single" w:sz="4" w:space="0" w:color="auto"/>
              <w:bottom w:val="single" w:sz="18" w:space="0" w:color="auto"/>
            </w:tcBorders>
          </w:tcPr>
          <w:p w:rsidR="00D02A64" w:rsidRPr="00AF61FA" w:rsidRDefault="00D02A64" w:rsidP="00034073">
            <w:pPr>
              <w:pStyle w:val="TablePlain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18" w:space="0" w:color="auto"/>
            </w:tcBorders>
          </w:tcPr>
          <w:p w:rsidR="00D02A64" w:rsidRPr="00AF61FA" w:rsidRDefault="00D02A64" w:rsidP="00034073">
            <w:pPr>
              <w:pStyle w:val="TablePlain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SDL resource </w:t>
            </w:r>
            <w:r w:rsidRPr="003F0994">
              <w:rPr>
                <w:rFonts w:ascii="Times New Roman" w:hAnsi="Times New Roman" w:cs="Times New Roman"/>
                <w:b/>
              </w:rPr>
              <w:t>unit</w:t>
            </w:r>
            <w:r w:rsidRPr="00AF61FA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D02A64" w:rsidRPr="00AF61FA" w:rsidRDefault="00D02A64" w:rsidP="00034073">
            <w:pPr>
              <w:pStyle w:val="TablePlain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Apportioned supply contribution  (GL/y)</w:t>
            </w:r>
          </w:p>
        </w:tc>
      </w:tr>
      <w:tr w:rsidR="009D3D09" w:rsidRPr="00361674" w:rsidTr="002058D3">
        <w:trPr>
          <w:trHeight w:val="281"/>
        </w:trPr>
        <w:tc>
          <w:tcPr>
            <w:tcW w:w="616" w:type="dxa"/>
          </w:tcPr>
          <w:p w:rsidR="009D3D09" w:rsidRPr="00361674" w:rsidRDefault="009D3D09" w:rsidP="00034073">
            <w:pPr>
              <w:pStyle w:val="TablePlainParagraph"/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7" w:type="dxa"/>
          </w:tcPr>
          <w:p w:rsidR="009D3D09" w:rsidRPr="00361674" w:rsidRDefault="009D3D09" w:rsidP="00034073">
            <w:pPr>
              <w:pStyle w:val="TablePlainParagraph"/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Lachlan (SS16)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9D3D09" w:rsidRPr="00361674" w:rsidRDefault="004F1341" w:rsidP="00034073">
            <w:pPr>
              <w:pStyle w:val="TablePlainParagraph"/>
              <w:ind w:left="709" w:hanging="720"/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0.0</w:t>
            </w:r>
          </w:p>
        </w:tc>
      </w:tr>
      <w:tr w:rsidR="002058D3" w:rsidRPr="00AF61FA" w:rsidTr="002058D3">
        <w:trPr>
          <w:trHeight w:val="281"/>
        </w:trPr>
        <w:tc>
          <w:tcPr>
            <w:tcW w:w="616" w:type="dxa"/>
          </w:tcPr>
          <w:p w:rsidR="002058D3" w:rsidRPr="00AF61FA" w:rsidRDefault="002058D3" w:rsidP="002058D3">
            <w:pPr>
              <w:pStyle w:val="TablePlainParagraph"/>
              <w:rPr>
                <w:rFonts w:ascii="Times New Roman" w:hAnsi="Times New Roman" w:cs="Times New Roman"/>
              </w:rPr>
            </w:pPr>
            <w:r w:rsidRPr="00AF61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87" w:type="dxa"/>
          </w:tcPr>
          <w:p w:rsidR="002058D3" w:rsidRPr="00AF61FA" w:rsidRDefault="002058D3" w:rsidP="002058D3">
            <w:pPr>
              <w:pStyle w:val="TablePlainParagraph"/>
              <w:rPr>
                <w:rFonts w:ascii="Times New Roman" w:hAnsi="Times New Roman" w:cs="Times New Roman"/>
              </w:rPr>
            </w:pPr>
            <w:r w:rsidRPr="00AF61FA">
              <w:rPr>
                <w:rFonts w:ascii="Times New Roman" w:hAnsi="Times New Roman" w:cs="Times New Roman"/>
              </w:rPr>
              <w:t>Murrumbidgee (SS15)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58D3" w:rsidRPr="00AF61FA" w:rsidRDefault="002058D3" w:rsidP="002058D3">
            <w:pPr>
              <w:pStyle w:val="Tabletext"/>
            </w:pPr>
            <w:r>
              <w:t>162.0</w:t>
            </w:r>
          </w:p>
        </w:tc>
      </w:tr>
      <w:tr w:rsidR="002058D3" w:rsidRPr="00AF61FA" w:rsidTr="002058D3">
        <w:trPr>
          <w:trHeight w:val="325"/>
        </w:trPr>
        <w:tc>
          <w:tcPr>
            <w:tcW w:w="616" w:type="dxa"/>
          </w:tcPr>
          <w:p w:rsidR="002058D3" w:rsidRPr="00AF61FA" w:rsidRDefault="002058D3" w:rsidP="002058D3">
            <w:pPr>
              <w:pStyle w:val="TablePlainParagraph"/>
              <w:rPr>
                <w:rFonts w:ascii="Times New Roman" w:hAnsi="Times New Roman" w:cs="Times New Roman"/>
              </w:rPr>
            </w:pPr>
            <w:r w:rsidRPr="00AF61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87" w:type="dxa"/>
          </w:tcPr>
          <w:p w:rsidR="002058D3" w:rsidRPr="00AF61FA" w:rsidRDefault="002058D3" w:rsidP="002058D3">
            <w:pPr>
              <w:pStyle w:val="TablePlainParagraph"/>
              <w:rPr>
                <w:rFonts w:ascii="Times New Roman" w:hAnsi="Times New Roman" w:cs="Times New Roman"/>
                <w:i/>
              </w:rPr>
            </w:pPr>
            <w:r w:rsidRPr="00AF61FA">
              <w:rPr>
                <w:rFonts w:ascii="Times New Roman" w:hAnsi="Times New Roman" w:cs="Times New Roman"/>
              </w:rPr>
              <w:t>New South Wales Murray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1FA">
              <w:rPr>
                <w:rFonts w:ascii="Times New Roman" w:hAnsi="Times New Roman" w:cs="Times New Roman"/>
              </w:rPr>
              <w:t>(SS14)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58D3" w:rsidRPr="00AF61FA" w:rsidRDefault="002058D3" w:rsidP="002058D3">
            <w:pPr>
              <w:pStyle w:val="Tabletext"/>
            </w:pPr>
            <w:r>
              <w:t>124.8</w:t>
            </w:r>
          </w:p>
        </w:tc>
      </w:tr>
      <w:tr w:rsidR="002058D3" w:rsidRPr="00AF61FA" w:rsidTr="002058D3">
        <w:trPr>
          <w:trHeight w:val="225"/>
        </w:trPr>
        <w:tc>
          <w:tcPr>
            <w:tcW w:w="616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16</w:t>
            </w:r>
          </w:p>
        </w:tc>
        <w:tc>
          <w:tcPr>
            <w:tcW w:w="4487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Lower Darling</w:t>
            </w:r>
            <w:r>
              <w:rPr>
                <w:sz w:val="20"/>
              </w:rPr>
              <w:t xml:space="preserve"> </w:t>
            </w:r>
            <w:r w:rsidRPr="00AF61FA">
              <w:rPr>
                <w:sz w:val="20"/>
              </w:rPr>
              <w:t>(SS18)</w:t>
            </w:r>
          </w:p>
        </w:tc>
        <w:tc>
          <w:tcPr>
            <w:tcW w:w="2835" w:type="dxa"/>
          </w:tcPr>
          <w:p w:rsidR="002058D3" w:rsidRPr="00AF61FA" w:rsidRDefault="002058D3" w:rsidP="002058D3">
            <w:pPr>
              <w:pStyle w:val="Tabletext"/>
            </w:pPr>
            <w:r>
              <w:t>0.0</w:t>
            </w:r>
          </w:p>
        </w:tc>
      </w:tr>
      <w:tr w:rsidR="002058D3" w:rsidRPr="00AF61FA" w:rsidTr="002058D3">
        <w:trPr>
          <w:trHeight w:val="306"/>
        </w:trPr>
        <w:tc>
          <w:tcPr>
            <w:tcW w:w="616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17</w:t>
            </w:r>
          </w:p>
        </w:tc>
        <w:tc>
          <w:tcPr>
            <w:tcW w:w="4487" w:type="dxa"/>
          </w:tcPr>
          <w:p w:rsidR="002058D3" w:rsidRPr="00AF61FA" w:rsidRDefault="002058D3" w:rsidP="002058D3">
            <w:r w:rsidRPr="00AF61FA">
              <w:rPr>
                <w:sz w:val="20"/>
              </w:rPr>
              <w:t>Victorian Murray</w:t>
            </w:r>
            <w:r>
              <w:rPr>
                <w:sz w:val="20"/>
              </w:rPr>
              <w:t xml:space="preserve"> </w:t>
            </w:r>
            <w:r w:rsidRPr="00AF61FA">
              <w:rPr>
                <w:sz w:val="20"/>
              </w:rPr>
              <w:t>(SS2)</w:t>
            </w:r>
          </w:p>
        </w:tc>
        <w:tc>
          <w:tcPr>
            <w:tcW w:w="2835" w:type="dxa"/>
          </w:tcPr>
          <w:p w:rsidR="002058D3" w:rsidRPr="00AF61FA" w:rsidRDefault="002058D3" w:rsidP="002058D3">
            <w:pPr>
              <w:pStyle w:val="Tabletext"/>
            </w:pPr>
            <w:r>
              <w:t>72.8</w:t>
            </w:r>
          </w:p>
        </w:tc>
      </w:tr>
      <w:tr w:rsidR="002058D3" w:rsidRPr="00AF61FA" w:rsidTr="002058D3">
        <w:trPr>
          <w:trHeight w:val="266"/>
        </w:trPr>
        <w:tc>
          <w:tcPr>
            <w:tcW w:w="616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18</w:t>
            </w:r>
          </w:p>
        </w:tc>
        <w:tc>
          <w:tcPr>
            <w:tcW w:w="4487" w:type="dxa"/>
          </w:tcPr>
          <w:p w:rsidR="002058D3" w:rsidRPr="0015261C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Kiewa</w:t>
            </w:r>
            <w:r>
              <w:rPr>
                <w:sz w:val="20"/>
              </w:rPr>
              <w:t xml:space="preserve"> </w:t>
            </w:r>
            <w:r w:rsidRPr="00AF61FA">
              <w:rPr>
                <w:sz w:val="20"/>
              </w:rPr>
              <w:t>(SS3)</w:t>
            </w:r>
          </w:p>
        </w:tc>
        <w:tc>
          <w:tcPr>
            <w:tcW w:w="2835" w:type="dxa"/>
          </w:tcPr>
          <w:p w:rsidR="002058D3" w:rsidRPr="00AF61FA" w:rsidRDefault="002058D3" w:rsidP="002058D3">
            <w:pPr>
              <w:pStyle w:val="Tabletext"/>
            </w:pPr>
            <w:r>
              <w:t>1.3</w:t>
            </w:r>
          </w:p>
        </w:tc>
      </w:tr>
      <w:tr w:rsidR="002058D3" w:rsidRPr="00AF61FA" w:rsidTr="002058D3">
        <w:trPr>
          <w:trHeight w:val="187"/>
        </w:trPr>
        <w:tc>
          <w:tcPr>
            <w:tcW w:w="616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19</w:t>
            </w:r>
          </w:p>
        </w:tc>
        <w:tc>
          <w:tcPr>
            <w:tcW w:w="4487" w:type="dxa"/>
          </w:tcPr>
          <w:p w:rsidR="002058D3" w:rsidRPr="00AF61FA" w:rsidRDefault="002058D3" w:rsidP="002058D3">
            <w:r w:rsidRPr="00AF61FA">
              <w:rPr>
                <w:sz w:val="20"/>
              </w:rPr>
              <w:t>Ovens</w:t>
            </w:r>
            <w:r>
              <w:rPr>
                <w:sz w:val="20"/>
              </w:rPr>
              <w:t xml:space="preserve"> </w:t>
            </w:r>
            <w:r w:rsidRPr="00AF61FA">
              <w:rPr>
                <w:sz w:val="20"/>
              </w:rPr>
              <w:t>(SS4)</w:t>
            </w:r>
          </w:p>
        </w:tc>
        <w:tc>
          <w:tcPr>
            <w:tcW w:w="2835" w:type="dxa"/>
          </w:tcPr>
          <w:p w:rsidR="002058D3" w:rsidRPr="004467EE" w:rsidRDefault="002058D3" w:rsidP="002058D3">
            <w:pPr>
              <w:pStyle w:val="Tabletext"/>
            </w:pPr>
            <w:r w:rsidRPr="004467EE">
              <w:t>3.0</w:t>
            </w:r>
          </w:p>
        </w:tc>
      </w:tr>
      <w:tr w:rsidR="002058D3" w:rsidRPr="00AF61FA" w:rsidTr="002058D3">
        <w:tc>
          <w:tcPr>
            <w:tcW w:w="616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20</w:t>
            </w:r>
          </w:p>
        </w:tc>
        <w:tc>
          <w:tcPr>
            <w:tcW w:w="4487" w:type="dxa"/>
          </w:tcPr>
          <w:p w:rsidR="002058D3" w:rsidRPr="00AF61FA" w:rsidRDefault="002058D3" w:rsidP="002058D3">
            <w:r w:rsidRPr="00AF61FA">
              <w:rPr>
                <w:sz w:val="20"/>
              </w:rPr>
              <w:t>Goulburn</w:t>
            </w:r>
            <w:r>
              <w:rPr>
                <w:sz w:val="20"/>
              </w:rPr>
              <w:t xml:space="preserve"> </w:t>
            </w:r>
            <w:r w:rsidRPr="00AF61FA">
              <w:rPr>
                <w:sz w:val="20"/>
              </w:rPr>
              <w:t>(SS6)</w:t>
            </w:r>
          </w:p>
        </w:tc>
        <w:tc>
          <w:tcPr>
            <w:tcW w:w="2835" w:type="dxa"/>
          </w:tcPr>
          <w:p w:rsidR="002058D3" w:rsidRPr="00AF61FA" w:rsidRDefault="002058D3" w:rsidP="002058D3">
            <w:pPr>
              <w:pStyle w:val="Tabletext"/>
            </w:pPr>
            <w:r>
              <w:t>174.5</w:t>
            </w:r>
          </w:p>
        </w:tc>
      </w:tr>
      <w:tr w:rsidR="002058D3" w:rsidRPr="00AF61FA" w:rsidTr="002058D3">
        <w:trPr>
          <w:trHeight w:val="297"/>
        </w:trPr>
        <w:tc>
          <w:tcPr>
            <w:tcW w:w="616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21</w:t>
            </w:r>
          </w:p>
        </w:tc>
        <w:tc>
          <w:tcPr>
            <w:tcW w:w="4487" w:type="dxa"/>
          </w:tcPr>
          <w:p w:rsidR="002058D3" w:rsidRPr="00AF61FA" w:rsidRDefault="002058D3" w:rsidP="002058D3">
            <w:r w:rsidRPr="00AF61FA">
              <w:rPr>
                <w:sz w:val="20"/>
              </w:rPr>
              <w:t>Broken</w:t>
            </w:r>
            <w:r>
              <w:rPr>
                <w:sz w:val="20"/>
              </w:rPr>
              <w:t xml:space="preserve"> </w:t>
            </w:r>
            <w:r w:rsidRPr="00AF61FA">
              <w:rPr>
                <w:sz w:val="20"/>
              </w:rPr>
              <w:t>(SS5)</w:t>
            </w:r>
          </w:p>
        </w:tc>
        <w:tc>
          <w:tcPr>
            <w:tcW w:w="2835" w:type="dxa"/>
          </w:tcPr>
          <w:p w:rsidR="002058D3" w:rsidRPr="00AF61FA" w:rsidRDefault="002058D3" w:rsidP="002058D3">
            <w:pPr>
              <w:pStyle w:val="Tabletext"/>
            </w:pPr>
            <w:r>
              <w:t>1.1</w:t>
            </w:r>
          </w:p>
        </w:tc>
      </w:tr>
      <w:tr w:rsidR="002058D3" w:rsidRPr="00AF61FA" w:rsidTr="002058D3">
        <w:trPr>
          <w:trHeight w:val="217"/>
        </w:trPr>
        <w:tc>
          <w:tcPr>
            <w:tcW w:w="616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22</w:t>
            </w:r>
          </w:p>
        </w:tc>
        <w:tc>
          <w:tcPr>
            <w:tcW w:w="4487" w:type="dxa"/>
          </w:tcPr>
          <w:p w:rsidR="002058D3" w:rsidRPr="0015261C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Campaspe</w:t>
            </w:r>
            <w:r>
              <w:rPr>
                <w:sz w:val="20"/>
              </w:rPr>
              <w:t xml:space="preserve"> </w:t>
            </w:r>
            <w:r w:rsidRPr="00AF61FA">
              <w:rPr>
                <w:sz w:val="20"/>
              </w:rPr>
              <w:t>(SS7)</w:t>
            </w:r>
          </w:p>
        </w:tc>
        <w:tc>
          <w:tcPr>
            <w:tcW w:w="2835" w:type="dxa"/>
          </w:tcPr>
          <w:p w:rsidR="002058D3" w:rsidRPr="004467EE" w:rsidRDefault="002058D3" w:rsidP="002058D3">
            <w:pPr>
              <w:pStyle w:val="Tabletext"/>
            </w:pPr>
            <w:r w:rsidRPr="004467EE">
              <w:t>2.6</w:t>
            </w:r>
          </w:p>
        </w:tc>
      </w:tr>
      <w:tr w:rsidR="002058D3" w:rsidRPr="00AF61FA" w:rsidTr="002058D3">
        <w:trPr>
          <w:trHeight w:val="265"/>
        </w:trPr>
        <w:tc>
          <w:tcPr>
            <w:tcW w:w="616" w:type="dxa"/>
          </w:tcPr>
          <w:p w:rsidR="002058D3" w:rsidRPr="00AF61FA" w:rsidRDefault="002058D3" w:rsidP="002058D3">
            <w:pPr>
              <w:rPr>
                <w:sz w:val="20"/>
              </w:rPr>
            </w:pPr>
            <w:r w:rsidRPr="00AF61FA">
              <w:rPr>
                <w:sz w:val="20"/>
              </w:rPr>
              <w:t>23</w:t>
            </w:r>
          </w:p>
        </w:tc>
        <w:tc>
          <w:tcPr>
            <w:tcW w:w="4487" w:type="dxa"/>
          </w:tcPr>
          <w:p w:rsidR="002058D3" w:rsidRPr="00AF61FA" w:rsidRDefault="002058D3" w:rsidP="002058D3">
            <w:r w:rsidRPr="00AF61FA">
              <w:rPr>
                <w:sz w:val="20"/>
              </w:rPr>
              <w:t>Loddon</w:t>
            </w:r>
            <w:r>
              <w:rPr>
                <w:sz w:val="20"/>
              </w:rPr>
              <w:t xml:space="preserve"> </w:t>
            </w:r>
            <w:r w:rsidRPr="00AF61FA">
              <w:rPr>
                <w:sz w:val="20"/>
              </w:rPr>
              <w:t>(SS8)</w:t>
            </w:r>
          </w:p>
        </w:tc>
        <w:tc>
          <w:tcPr>
            <w:tcW w:w="2835" w:type="dxa"/>
          </w:tcPr>
          <w:p w:rsidR="002058D3" w:rsidRPr="00AF61FA" w:rsidRDefault="002058D3" w:rsidP="002058D3">
            <w:pPr>
              <w:pStyle w:val="Tabletext"/>
            </w:pPr>
            <w:r>
              <w:t>10.9</w:t>
            </w:r>
          </w:p>
        </w:tc>
      </w:tr>
      <w:tr w:rsidR="002058D3" w:rsidRPr="009E44AC" w:rsidTr="002058D3">
        <w:trPr>
          <w:trHeight w:val="265"/>
        </w:trPr>
        <w:tc>
          <w:tcPr>
            <w:tcW w:w="616" w:type="dxa"/>
          </w:tcPr>
          <w:p w:rsidR="002058D3" w:rsidRPr="009E44AC" w:rsidRDefault="002058D3" w:rsidP="002058D3">
            <w:pPr>
              <w:rPr>
                <w:color w:val="000000" w:themeColor="text1"/>
                <w:sz w:val="20"/>
              </w:rPr>
            </w:pPr>
            <w:r w:rsidRPr="009E44AC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4487" w:type="dxa"/>
          </w:tcPr>
          <w:p w:rsidR="002058D3" w:rsidRPr="009E44AC" w:rsidRDefault="002058D3" w:rsidP="002058D3">
            <w:pPr>
              <w:rPr>
                <w:color w:val="000000" w:themeColor="text1"/>
                <w:sz w:val="20"/>
              </w:rPr>
            </w:pPr>
            <w:r w:rsidRPr="009E44AC">
              <w:rPr>
                <w:color w:val="000000" w:themeColor="text1"/>
                <w:sz w:val="20"/>
              </w:rPr>
              <w:t>Wimmera</w:t>
            </w:r>
            <w:r w:rsidRPr="009E44AC">
              <w:rPr>
                <w:color w:val="000000" w:themeColor="text1"/>
                <w:sz w:val="20"/>
              </w:rPr>
              <w:noBreakHyphen/>
              <w:t>Mallee (surface water) (SS9)</w:t>
            </w:r>
          </w:p>
        </w:tc>
        <w:tc>
          <w:tcPr>
            <w:tcW w:w="2835" w:type="dxa"/>
          </w:tcPr>
          <w:p w:rsidR="002058D3" w:rsidRPr="00AF61FA" w:rsidRDefault="002058D3" w:rsidP="002058D3">
            <w:pPr>
              <w:pStyle w:val="Tabletext"/>
            </w:pPr>
            <w:r>
              <w:t>0.0</w:t>
            </w:r>
          </w:p>
        </w:tc>
      </w:tr>
      <w:tr w:rsidR="002058D3" w:rsidRPr="00AF61FA" w:rsidTr="002058D3">
        <w:tc>
          <w:tcPr>
            <w:tcW w:w="616" w:type="dxa"/>
            <w:tcBorders>
              <w:bottom w:val="single" w:sz="4" w:space="0" w:color="auto"/>
            </w:tcBorders>
          </w:tcPr>
          <w:p w:rsidR="002058D3" w:rsidRPr="00AF61FA" w:rsidRDefault="002058D3" w:rsidP="002058D3">
            <w:pPr>
              <w:pStyle w:val="TablePlainParagraph"/>
              <w:rPr>
                <w:rFonts w:ascii="Times New Roman" w:hAnsi="Times New Roman" w:cs="Times New Roman"/>
              </w:rPr>
            </w:pPr>
            <w:r w:rsidRPr="00AF61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058D3" w:rsidRPr="00AF61FA" w:rsidRDefault="002058D3" w:rsidP="002058D3">
            <w:pPr>
              <w:pStyle w:val="TablePlainParagraph"/>
              <w:keepNext/>
              <w:rPr>
                <w:rFonts w:ascii="Times New Roman" w:hAnsi="Times New Roman" w:cs="Times New Roman"/>
              </w:rPr>
            </w:pPr>
            <w:r w:rsidRPr="00AF61FA">
              <w:rPr>
                <w:rFonts w:ascii="Times New Roman" w:hAnsi="Times New Roman" w:cs="Times New Roman"/>
              </w:rPr>
              <w:t>South Australian Murray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1FA">
              <w:rPr>
                <w:rFonts w:ascii="Times New Roman" w:hAnsi="Times New Roman" w:cs="Times New Roman"/>
              </w:rPr>
              <w:t>(SS11)</w:t>
            </w:r>
          </w:p>
        </w:tc>
        <w:tc>
          <w:tcPr>
            <w:tcW w:w="2835" w:type="dxa"/>
          </w:tcPr>
          <w:p w:rsidR="002058D3" w:rsidRPr="00AF61FA" w:rsidRDefault="002058D3" w:rsidP="002058D3">
            <w:pPr>
              <w:pStyle w:val="Tabletext"/>
            </w:pPr>
            <w:r>
              <w:t>52.0</w:t>
            </w:r>
          </w:p>
        </w:tc>
      </w:tr>
      <w:tr w:rsidR="002058D3" w:rsidRPr="009E44AC" w:rsidTr="003624E1">
        <w:tc>
          <w:tcPr>
            <w:tcW w:w="616" w:type="dxa"/>
            <w:tcBorders>
              <w:bottom w:val="single" w:sz="4" w:space="0" w:color="auto"/>
            </w:tcBorders>
          </w:tcPr>
          <w:p w:rsidR="002058D3" w:rsidRPr="009E44AC" w:rsidRDefault="002058D3" w:rsidP="002058D3">
            <w:pPr>
              <w:pStyle w:val="TablePlainParagraph"/>
              <w:rPr>
                <w:rFonts w:ascii="Times New Roman" w:hAnsi="Times New Roman" w:cs="Times New Roman"/>
                <w:color w:val="000000" w:themeColor="text1"/>
              </w:rPr>
            </w:pPr>
            <w:r w:rsidRPr="009E44AC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058D3" w:rsidRPr="009E44AC" w:rsidRDefault="002058D3" w:rsidP="002058D3">
            <w:pPr>
              <w:pStyle w:val="TablePlainParagraph"/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9E44AC">
              <w:rPr>
                <w:rFonts w:ascii="Times New Roman" w:hAnsi="Times New Roman" w:cs="Times New Roman"/>
                <w:color w:val="000000" w:themeColor="text1"/>
              </w:rPr>
              <w:t>South Australian Non-Prescribed Areas (SS10)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58D3" w:rsidRPr="00AF61FA" w:rsidRDefault="002058D3" w:rsidP="002058D3">
            <w:pPr>
              <w:pStyle w:val="Tabletext"/>
            </w:pPr>
            <w:r>
              <w:t>0.0</w:t>
            </w:r>
          </w:p>
        </w:tc>
      </w:tr>
      <w:tr w:rsidR="002058D3" w:rsidRPr="00AF61FA" w:rsidTr="003624E1">
        <w:trPr>
          <w:trHeight w:val="43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058D3" w:rsidRPr="00AF61FA" w:rsidRDefault="002058D3" w:rsidP="002058D3">
            <w:pPr>
              <w:pStyle w:val="TablePlainParagraph"/>
              <w:rPr>
                <w:rFonts w:ascii="Times New Roman" w:hAnsi="Times New Roman" w:cs="Times New Roman"/>
              </w:rPr>
            </w:pPr>
            <w:r w:rsidRPr="00AF61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058D3" w:rsidRPr="00AF61FA" w:rsidRDefault="002058D3" w:rsidP="002058D3">
            <w:pPr>
              <w:pStyle w:val="TablePlainParagraph"/>
              <w:rPr>
                <w:rFonts w:ascii="Times New Roman" w:hAnsi="Times New Roman" w:cs="Times New Roman"/>
              </w:rPr>
            </w:pPr>
            <w:r w:rsidRPr="00AF61FA">
              <w:rPr>
                <w:rFonts w:ascii="Times New Roman" w:hAnsi="Times New Roman" w:cs="Times New Roman"/>
              </w:rPr>
              <w:t>Eastern Mount Lofty Ranges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F61FA">
              <w:rPr>
                <w:rFonts w:ascii="Times New Roman" w:hAnsi="Times New Roman" w:cs="Times New Roman"/>
              </w:rPr>
              <w:t>SS13)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58D3" w:rsidRPr="00AF61FA" w:rsidRDefault="002058D3" w:rsidP="002058D3">
            <w:pPr>
              <w:pStyle w:val="Tabletext"/>
            </w:pPr>
            <w:r>
              <w:t>0.0</w:t>
            </w:r>
          </w:p>
        </w:tc>
      </w:tr>
      <w:tr w:rsidR="002058D3" w:rsidRPr="009E44AC" w:rsidTr="003624E1">
        <w:trPr>
          <w:trHeight w:val="43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058D3" w:rsidRPr="009E44AC" w:rsidRDefault="002058D3" w:rsidP="002058D3">
            <w:pPr>
              <w:pStyle w:val="TablePlainParagraph"/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9E44A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058D3" w:rsidRPr="009E44AC" w:rsidRDefault="002058D3" w:rsidP="002058D3">
            <w:pPr>
              <w:pStyle w:val="TablePlainParagraph"/>
              <w:keepNext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Marne-Saunders (SS12)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58D3" w:rsidRPr="00AF61FA" w:rsidRDefault="002058D3" w:rsidP="002058D3">
            <w:pPr>
              <w:pStyle w:val="Tabletext"/>
            </w:pPr>
            <w:r>
              <w:t>0.0</w:t>
            </w:r>
          </w:p>
        </w:tc>
      </w:tr>
      <w:tr w:rsidR="002058D3" w:rsidRPr="009E44AC" w:rsidTr="002058D3">
        <w:trPr>
          <w:trHeight w:val="431"/>
        </w:trPr>
        <w:tc>
          <w:tcPr>
            <w:tcW w:w="616" w:type="dxa"/>
            <w:tcBorders>
              <w:top w:val="single" w:sz="4" w:space="0" w:color="auto"/>
              <w:bottom w:val="single" w:sz="18" w:space="0" w:color="auto"/>
            </w:tcBorders>
          </w:tcPr>
          <w:p w:rsidR="002058D3" w:rsidRPr="009E44AC" w:rsidRDefault="002058D3" w:rsidP="002058D3">
            <w:pPr>
              <w:rPr>
                <w:color w:val="000000" w:themeColor="text1"/>
                <w:sz w:val="20"/>
              </w:rPr>
            </w:pPr>
            <w:r w:rsidRPr="009E44AC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18" w:space="0" w:color="auto"/>
            </w:tcBorders>
          </w:tcPr>
          <w:p w:rsidR="002058D3" w:rsidRPr="009E44AC" w:rsidRDefault="002058D3" w:rsidP="002058D3">
            <w:pPr>
              <w:rPr>
                <w:color w:val="000000" w:themeColor="text1"/>
                <w:sz w:val="20"/>
              </w:rPr>
            </w:pPr>
            <w:r w:rsidRPr="009E44AC">
              <w:rPr>
                <w:color w:val="000000" w:themeColor="text1"/>
                <w:sz w:val="20"/>
              </w:rPr>
              <w:t>Australian Capital Terr</w:t>
            </w:r>
            <w:r>
              <w:rPr>
                <w:color w:val="000000" w:themeColor="text1"/>
                <w:sz w:val="20"/>
              </w:rPr>
              <w:t>itory (surface water) (SS1)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058D3" w:rsidRPr="004467EE" w:rsidRDefault="002058D3" w:rsidP="002058D3">
            <w:pPr>
              <w:pStyle w:val="Tabletext"/>
            </w:pPr>
            <w:r w:rsidRPr="004467EE">
              <w:t>0.0</w:t>
            </w:r>
          </w:p>
        </w:tc>
      </w:tr>
    </w:tbl>
    <w:p w:rsidR="00CE5436" w:rsidRPr="00361674" w:rsidRDefault="0062034C" w:rsidP="00CE5436">
      <w:pPr>
        <w:pStyle w:val="h5Section"/>
      </w:pPr>
      <w:bookmarkStart w:id="31" w:name="_Toc499189406"/>
      <w:bookmarkStart w:id="32" w:name="_Toc499707919"/>
      <w:proofErr w:type="gramStart"/>
      <w:r w:rsidRPr="00361674">
        <w:t>S6A.0</w:t>
      </w:r>
      <w:r w:rsidR="004353F6">
        <w:t>3</w:t>
      </w:r>
      <w:r w:rsidR="00CE5436" w:rsidRPr="00361674">
        <w:t xml:space="preserve">  Proposed</w:t>
      </w:r>
      <w:proofErr w:type="gramEnd"/>
      <w:r w:rsidR="00CE5436" w:rsidRPr="00361674">
        <w:t xml:space="preserve"> plan area limits and proposed Basin limit</w:t>
      </w:r>
      <w:bookmarkEnd w:id="31"/>
      <w:bookmarkEnd w:id="32"/>
    </w:p>
    <w:p w:rsidR="00CE5436" w:rsidRPr="00361674" w:rsidRDefault="00CE5436" w:rsidP="00CE5436">
      <w:pPr>
        <w:pStyle w:val="tMain"/>
      </w:pPr>
      <w:r w:rsidRPr="00361674">
        <w:tab/>
      </w:r>
      <w:r w:rsidRPr="00361674">
        <w:tab/>
        <w:t xml:space="preserve">For subsection </w:t>
      </w:r>
      <w:proofErr w:type="gramStart"/>
      <w:r w:rsidRPr="00361674">
        <w:t>23B(</w:t>
      </w:r>
      <w:proofErr w:type="gramEnd"/>
      <w:r w:rsidRPr="00361674">
        <w:t>4) of the Act:</w:t>
      </w:r>
    </w:p>
    <w:p w:rsidR="00D76CDA" w:rsidRDefault="00CE5436" w:rsidP="00CE5436">
      <w:pPr>
        <w:pStyle w:val="tPara"/>
      </w:pPr>
      <w:r w:rsidRPr="00361674">
        <w:lastRenderedPageBreak/>
        <w:tab/>
      </w:r>
      <w:r w:rsidR="004353F6">
        <w:t>(a)</w:t>
      </w:r>
      <w:r w:rsidRPr="00361674">
        <w:tab/>
      </w:r>
      <w:proofErr w:type="gramStart"/>
      <w:r w:rsidRPr="00361674">
        <w:t>the</w:t>
      </w:r>
      <w:proofErr w:type="gramEnd"/>
      <w:r w:rsidRPr="00361674">
        <w:t xml:space="preserve"> </w:t>
      </w:r>
      <w:r w:rsidRPr="00361674">
        <w:rPr>
          <w:b/>
          <w:i/>
        </w:rPr>
        <w:t>proposed plan area limit</w:t>
      </w:r>
      <w:r w:rsidRPr="00361674">
        <w:t xml:space="preserve"> </w:t>
      </w:r>
      <w:r w:rsidR="000D2C9C" w:rsidRPr="00361674">
        <w:t xml:space="preserve">(within the meaning of subsection 23A(5) of the Act) </w:t>
      </w:r>
      <w:r w:rsidRPr="00361674">
        <w:t>for each surface water SDL resource unit is</w:t>
      </w:r>
      <w:r w:rsidR="00D76CDA">
        <w:t xml:space="preserve"> equal to the sum of:</w:t>
      </w:r>
    </w:p>
    <w:p w:rsidR="00CE5436" w:rsidRDefault="00D76CDA" w:rsidP="00D76CDA">
      <w:pPr>
        <w:pStyle w:val="tSubpara"/>
      </w:pPr>
      <w:r>
        <w:tab/>
      </w:r>
      <w:r w:rsidR="004353F6">
        <w:t>(</w:t>
      </w:r>
      <w:proofErr w:type="spellStart"/>
      <w:r w:rsidR="004353F6">
        <w:t>i</w:t>
      </w:r>
      <w:proofErr w:type="spellEnd"/>
      <w:r w:rsidR="004353F6">
        <w:t>)</w:t>
      </w:r>
      <w:r>
        <w:tab/>
      </w:r>
      <w:r w:rsidR="00CE5436" w:rsidRPr="00361674">
        <w:t>the long</w:t>
      </w:r>
      <w:r w:rsidR="00CE5436" w:rsidRPr="00361674">
        <w:noBreakHyphen/>
        <w:t xml:space="preserve">term average sustainable diversion limit </w:t>
      </w:r>
      <w:r w:rsidR="000D2C9C" w:rsidRPr="00361674">
        <w:t>for the surface water SDL resource unit given by Schedule 2</w:t>
      </w:r>
      <w:r>
        <w:t xml:space="preserve"> as in force when the Basin Plan first took effect</w:t>
      </w:r>
      <w:r w:rsidR="000D2C9C" w:rsidRPr="00361674">
        <w:t>; and</w:t>
      </w:r>
    </w:p>
    <w:p w:rsidR="00574E09" w:rsidRDefault="00574E09" w:rsidP="00574E09">
      <w:pPr>
        <w:pStyle w:val="nSubpara"/>
      </w:pPr>
      <w:r>
        <w:tab/>
        <w:t>Note:</w:t>
      </w:r>
      <w:r>
        <w:tab/>
        <w:t>The Basin Plan first took effect on 24 November 2012.</w:t>
      </w:r>
    </w:p>
    <w:p w:rsidR="00D76CDA" w:rsidRPr="00361674" w:rsidRDefault="00D76CDA" w:rsidP="00D76CDA">
      <w:pPr>
        <w:pStyle w:val="tSubpara"/>
      </w:pPr>
      <w:r>
        <w:tab/>
      </w:r>
      <w:r w:rsidR="004353F6">
        <w:t>(ii)</w:t>
      </w:r>
      <w:r>
        <w:tab/>
      </w:r>
      <w:proofErr w:type="gramStart"/>
      <w:r>
        <w:t>the</w:t>
      </w:r>
      <w:proofErr w:type="gramEnd"/>
      <w:r>
        <w:t xml:space="preserve"> SDL adjustment amount for the surface water SDL resource unit; and</w:t>
      </w:r>
    </w:p>
    <w:p w:rsidR="000D2C9C" w:rsidRPr="00361674" w:rsidRDefault="000D2C9C" w:rsidP="000D2C9C">
      <w:pPr>
        <w:pStyle w:val="tPara"/>
      </w:pPr>
      <w:r w:rsidRPr="00361674">
        <w:tab/>
      </w:r>
      <w:r w:rsidR="004353F6">
        <w:t>(b)</w:t>
      </w:r>
      <w:r w:rsidRPr="00361674">
        <w:tab/>
      </w:r>
      <w:proofErr w:type="gramStart"/>
      <w:r w:rsidRPr="00361674">
        <w:t>the</w:t>
      </w:r>
      <w:proofErr w:type="gramEnd"/>
      <w:r w:rsidRPr="00361674">
        <w:t xml:space="preserve"> </w:t>
      </w:r>
      <w:r w:rsidRPr="00361674">
        <w:rPr>
          <w:b/>
          <w:i/>
        </w:rPr>
        <w:t>proposed Basin limit</w:t>
      </w:r>
      <w:r w:rsidRPr="00361674">
        <w:t xml:space="preserve"> (within the meaning of subsection 23A(5) of the Act) is equal to the sum of:</w:t>
      </w:r>
    </w:p>
    <w:p w:rsidR="000D2C9C" w:rsidRPr="00361674" w:rsidRDefault="000D2C9C" w:rsidP="000D2C9C">
      <w:pPr>
        <w:pStyle w:val="tSubpara"/>
      </w:pPr>
      <w:r w:rsidRPr="00361674">
        <w:tab/>
      </w:r>
      <w:r w:rsidR="004353F6">
        <w:t>(</w:t>
      </w:r>
      <w:proofErr w:type="spellStart"/>
      <w:r w:rsidR="004353F6">
        <w:t>i</w:t>
      </w:r>
      <w:proofErr w:type="spellEnd"/>
      <w:r w:rsidR="004353F6">
        <w:t>)</w:t>
      </w:r>
      <w:r w:rsidRPr="00361674">
        <w:tab/>
        <w:t>the proposed plan area limits as referred to in paragraph </w:t>
      </w:r>
      <w:r w:rsidR="004353F6">
        <w:t>(a)</w:t>
      </w:r>
      <w:r w:rsidRPr="00361674">
        <w:t xml:space="preserve"> for all surface water SDL resource units; and</w:t>
      </w:r>
    </w:p>
    <w:p w:rsidR="000D2C9C" w:rsidRPr="00361674" w:rsidRDefault="000D2C9C" w:rsidP="000D2C9C">
      <w:pPr>
        <w:pStyle w:val="tSubpara"/>
      </w:pPr>
      <w:r w:rsidRPr="00361674">
        <w:tab/>
      </w:r>
      <w:r w:rsidR="004353F6">
        <w:t>(ii)</w:t>
      </w:r>
      <w:r w:rsidRPr="00361674">
        <w:tab/>
      </w:r>
      <w:proofErr w:type="gramStart"/>
      <w:r w:rsidRPr="00361674">
        <w:t>the</w:t>
      </w:r>
      <w:proofErr w:type="gramEnd"/>
      <w:r w:rsidRPr="00361674">
        <w:t xml:space="preserve"> SDLs for each groundwater SDL resource unit as at the</w:t>
      </w:r>
      <w:r w:rsidRPr="00361674">
        <w:rPr>
          <w:szCs w:val="22"/>
          <w:shd w:val="clear" w:color="auto" w:fill="FFFFFF"/>
        </w:rPr>
        <w:t xml:space="preserve"> time the Basin Plan first took effect</w:t>
      </w:r>
      <w:r w:rsidRPr="00361674">
        <w:t xml:space="preserve"> (see subsection 6.04(4)).</w:t>
      </w:r>
    </w:p>
    <w:p w:rsidR="00BF545E" w:rsidRDefault="004353F6" w:rsidP="00610051">
      <w:pPr>
        <w:pStyle w:val="h2Part"/>
        <w:pageBreakBefore w:val="0"/>
      </w:pPr>
      <w:bookmarkStart w:id="33" w:name="_Toc499189407"/>
      <w:bookmarkStart w:id="34" w:name="_Toc499707920"/>
      <w:r>
        <w:t>Part 2</w:t>
      </w:r>
      <w:r w:rsidR="00610051">
        <w:t>—Calculation of SDL adjustment amount</w:t>
      </w:r>
      <w:bookmarkEnd w:id="33"/>
      <w:bookmarkEnd w:id="34"/>
    </w:p>
    <w:p w:rsidR="00F512EB" w:rsidRDefault="0062034C" w:rsidP="00F512EB">
      <w:pPr>
        <w:pStyle w:val="h5Section"/>
      </w:pPr>
      <w:bookmarkStart w:id="35" w:name="_Toc499189408"/>
      <w:bookmarkStart w:id="36" w:name="_Toc499707921"/>
      <w:proofErr w:type="gramStart"/>
      <w:r w:rsidRPr="00361674">
        <w:t>S6A.0</w:t>
      </w:r>
      <w:r w:rsidR="004353F6">
        <w:t>4</w:t>
      </w:r>
      <w:r w:rsidR="00F512EB">
        <w:t xml:space="preserve">  Net</w:t>
      </w:r>
      <w:proofErr w:type="gramEnd"/>
      <w:r w:rsidR="00F512EB">
        <w:t xml:space="preserve"> effect </w:t>
      </w:r>
      <w:r w:rsidR="00F512EB" w:rsidRPr="00BB7E9D">
        <w:t>of the total supply contribution and the total efficiency contribution</w:t>
      </w:r>
      <w:bookmarkEnd w:id="35"/>
      <w:bookmarkEnd w:id="36"/>
    </w:p>
    <w:p w:rsidR="005D0DB9" w:rsidRDefault="00F512EB" w:rsidP="005D0DB9">
      <w:pPr>
        <w:pStyle w:val="tMain"/>
      </w:pPr>
      <w:r>
        <w:tab/>
      </w:r>
      <w:r w:rsidR="004353F6">
        <w:t>(1)</w:t>
      </w:r>
      <w:r>
        <w:tab/>
      </w:r>
      <w:r w:rsidR="005D0DB9">
        <w:t xml:space="preserve">The calculation of the SDL adjustment for each </w:t>
      </w:r>
      <w:r w:rsidR="006D7BCC" w:rsidRPr="00361674">
        <w:t>surface water</w:t>
      </w:r>
      <w:r w:rsidR="006D7BCC">
        <w:t xml:space="preserve"> </w:t>
      </w:r>
      <w:r w:rsidR="005D0DB9">
        <w:t xml:space="preserve">SDL resource unit </w:t>
      </w:r>
      <w:r w:rsidR="00A04B8E">
        <w:t xml:space="preserve">in a water accounting period </w:t>
      </w:r>
      <w:r w:rsidR="005D0DB9">
        <w:t xml:space="preserve">depends on whether </w:t>
      </w:r>
      <w:r w:rsidR="00947B86">
        <w:t>the net effect</w:t>
      </w:r>
      <w:r w:rsidR="008E3BE7">
        <w:t xml:space="preserve"> for that water accounting period</w:t>
      </w:r>
      <w:r w:rsidR="00947B86">
        <w:t xml:space="preserve"> </w:t>
      </w:r>
      <w:r w:rsidR="005D0DB9">
        <w:t>would represent an increase of more than 5% of the total surface water SDL for the Basin water resources as it stood at the reference time.</w:t>
      </w:r>
    </w:p>
    <w:p w:rsidR="00F512EB" w:rsidRDefault="00D46542" w:rsidP="00F512EB">
      <w:pPr>
        <w:pStyle w:val="nMain"/>
      </w:pPr>
      <w:r>
        <w:t>Note:</w:t>
      </w:r>
      <w:r>
        <w:tab/>
      </w:r>
      <w:r w:rsidR="00755F86">
        <w:t xml:space="preserve">The total surface water SDL for the Basin water resources as it stood at the reference time </w:t>
      </w:r>
      <w:r w:rsidR="00A477FE">
        <w:t>is</w:t>
      </w:r>
      <w:r w:rsidR="00755F86">
        <w:t xml:space="preserve"> 10,873 GL per year, and </w:t>
      </w:r>
      <w:r>
        <w:t>5</w:t>
      </w:r>
      <w:r w:rsidR="00F512EB">
        <w:t xml:space="preserve">% of </w:t>
      </w:r>
      <w:r w:rsidR="00755F86">
        <w:t>that amount</w:t>
      </w:r>
      <w:r w:rsidR="00EF7427">
        <w:t xml:space="preserve"> </w:t>
      </w:r>
      <w:r w:rsidR="00A477FE">
        <w:t>is</w:t>
      </w:r>
      <w:r w:rsidR="00755F86">
        <w:t xml:space="preserve"> </w:t>
      </w:r>
      <w:r w:rsidR="0043277B" w:rsidRPr="00361674">
        <w:rPr>
          <w:szCs w:val="22"/>
          <w:shd w:val="clear" w:color="auto" w:fill="FFFFFF"/>
        </w:rPr>
        <w:t>543</w:t>
      </w:r>
      <w:r w:rsidR="0043277B">
        <w:rPr>
          <w:color w:val="000000" w:themeColor="text1"/>
        </w:rPr>
        <w:t xml:space="preserve"> </w:t>
      </w:r>
      <w:r w:rsidR="00F512EB" w:rsidRPr="00327D52">
        <w:t>GL per year</w:t>
      </w:r>
      <w:r w:rsidR="00B26745">
        <w:t xml:space="preserve"> </w:t>
      </w:r>
      <w:r w:rsidR="00B26745" w:rsidRPr="009E44AC">
        <w:rPr>
          <w:color w:val="000000" w:themeColor="text1"/>
        </w:rPr>
        <w:t xml:space="preserve">(when rounded </w:t>
      </w:r>
      <w:r w:rsidR="0043277B" w:rsidRPr="00361674">
        <w:t>down</w:t>
      </w:r>
      <w:r w:rsidR="00B26745" w:rsidRPr="009E44AC">
        <w:rPr>
          <w:color w:val="000000" w:themeColor="text1"/>
        </w:rPr>
        <w:t>)</w:t>
      </w:r>
      <w:r w:rsidR="00F512EB">
        <w:t>.</w:t>
      </w:r>
    </w:p>
    <w:p w:rsidR="00F512EB" w:rsidRDefault="00F512EB" w:rsidP="00F512EB">
      <w:pPr>
        <w:pStyle w:val="tMain"/>
      </w:pPr>
      <w:r>
        <w:tab/>
      </w:r>
      <w:r w:rsidR="004353F6">
        <w:t>(2)</w:t>
      </w:r>
      <w:r>
        <w:tab/>
      </w:r>
      <w:r w:rsidR="006A3025">
        <w:t xml:space="preserve">For a particular water accounting period, </w:t>
      </w:r>
      <w:r>
        <w:t xml:space="preserve">the </w:t>
      </w:r>
      <w:r w:rsidRPr="00FE661F">
        <w:rPr>
          <w:b/>
          <w:i/>
        </w:rPr>
        <w:t>net effect</w:t>
      </w:r>
      <w:r w:rsidR="00AD376B">
        <w:t>, in GL per year,</w:t>
      </w:r>
      <w:r>
        <w:t xml:space="preserve"> </w:t>
      </w:r>
      <w:r w:rsidR="006A3025">
        <w:t xml:space="preserve">is calculated </w:t>
      </w:r>
      <w:r>
        <w:t>in accordance with the following formula:</w:t>
      </w:r>
    </w:p>
    <w:p w:rsidR="00F512EB" w:rsidRDefault="00F512EB" w:rsidP="00F512EB">
      <w:pPr>
        <w:pStyle w:val="tMain"/>
      </w:pPr>
    </w:p>
    <w:p w:rsidR="00F512EB" w:rsidRPr="00F905B2" w:rsidRDefault="00EB28AF" w:rsidP="00F512EB">
      <w:pPr>
        <w:pStyle w:val="tMain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</w:rPr>
                <m:t>net effect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605</m:t>
          </m:r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</w:rPr>
                <m:t>total current efficiency contribution</m:t>
              </m:r>
            </m:e>
          </m:d>
        </m:oMath>
      </m:oMathPara>
    </w:p>
    <w:p w:rsidR="00F512EB" w:rsidRDefault="00F512EB" w:rsidP="00F512EB">
      <w:pPr>
        <w:pStyle w:val="tMain"/>
      </w:pPr>
    </w:p>
    <w:p w:rsidR="00F512EB" w:rsidRDefault="00F512EB" w:rsidP="00F512EB">
      <w:pPr>
        <w:pStyle w:val="tMain"/>
      </w:pPr>
      <w:r>
        <w:tab/>
      </w:r>
      <w:r>
        <w:tab/>
      </w:r>
      <w:proofErr w:type="gramStart"/>
      <w:r>
        <w:t>where</w:t>
      </w:r>
      <w:proofErr w:type="gramEnd"/>
      <w:r>
        <w:t>:</w:t>
      </w:r>
    </w:p>
    <w:p w:rsidR="00727E6E" w:rsidRDefault="00F512EB" w:rsidP="000C12A6">
      <w:pPr>
        <w:pStyle w:val="tDefn"/>
      </w:pPr>
      <w:proofErr w:type="gramStart"/>
      <w:r>
        <w:rPr>
          <w:b/>
          <w:i/>
        </w:rPr>
        <w:t>total</w:t>
      </w:r>
      <w:proofErr w:type="gramEnd"/>
      <w:r>
        <w:rPr>
          <w:b/>
          <w:i/>
        </w:rPr>
        <w:t xml:space="preserve"> </w:t>
      </w:r>
      <w:r w:rsidR="00294D4E">
        <w:rPr>
          <w:b/>
          <w:i/>
        </w:rPr>
        <w:t xml:space="preserve">current </w:t>
      </w:r>
      <w:r>
        <w:rPr>
          <w:b/>
          <w:i/>
        </w:rPr>
        <w:t>efficiency contribution</w:t>
      </w:r>
      <w:r w:rsidR="000C12A6">
        <w:t xml:space="preserve"> </w:t>
      </w:r>
      <w:r w:rsidR="00727E6E">
        <w:t xml:space="preserve">has the meaning given </w:t>
      </w:r>
      <w:r w:rsidR="00B53CFC">
        <w:t>by</w:t>
      </w:r>
      <w:r w:rsidR="00727E6E">
        <w:t xml:space="preserve"> subsection </w:t>
      </w:r>
      <w:r w:rsidR="0062034C" w:rsidRPr="00361674">
        <w:t>S6A.0</w:t>
      </w:r>
      <w:r w:rsidR="004353F6">
        <w:t>2(1)</w:t>
      </w:r>
      <w:r w:rsidR="00727E6E">
        <w:t>.</w:t>
      </w:r>
    </w:p>
    <w:p w:rsidR="006D2FC4" w:rsidRPr="009E44AC" w:rsidRDefault="006D2FC4" w:rsidP="00727E6E">
      <w:pPr>
        <w:pStyle w:val="nMain"/>
        <w:rPr>
          <w:color w:val="000000" w:themeColor="text1"/>
        </w:rPr>
      </w:pPr>
      <w:r w:rsidRPr="009E44AC">
        <w:rPr>
          <w:color w:val="000000" w:themeColor="text1"/>
        </w:rPr>
        <w:t>N</w:t>
      </w:r>
      <w:r w:rsidR="000C12A6">
        <w:rPr>
          <w:color w:val="000000" w:themeColor="text1"/>
        </w:rPr>
        <w:t>ote</w:t>
      </w:r>
      <w:r w:rsidRPr="009E44AC">
        <w:rPr>
          <w:color w:val="000000" w:themeColor="text1"/>
        </w:rPr>
        <w:t xml:space="preserve">: </w:t>
      </w:r>
      <w:r w:rsidRPr="009E44AC">
        <w:rPr>
          <w:color w:val="000000" w:themeColor="text1"/>
        </w:rPr>
        <w:tab/>
        <w:t>The amount 605 GL per year is the total supply contribution.</w:t>
      </w:r>
    </w:p>
    <w:p w:rsidR="00176F27" w:rsidRDefault="0062034C" w:rsidP="00176F27">
      <w:pPr>
        <w:pStyle w:val="h5Section"/>
      </w:pPr>
      <w:bookmarkStart w:id="37" w:name="_Toc499189409"/>
      <w:bookmarkStart w:id="38" w:name="_Toc499707922"/>
      <w:proofErr w:type="gramStart"/>
      <w:r w:rsidRPr="00361674">
        <w:t>S6A.0</w:t>
      </w:r>
      <w:r w:rsidR="004353F6">
        <w:t>5</w:t>
      </w:r>
      <w:r w:rsidR="00176F27">
        <w:t xml:space="preserve">  Calculation</w:t>
      </w:r>
      <w:proofErr w:type="gramEnd"/>
      <w:r w:rsidR="00176F27">
        <w:t xml:space="preserve"> of SDL adjustment amounts—net effect greater than </w:t>
      </w:r>
      <w:r w:rsidR="0043277B" w:rsidRPr="00361674">
        <w:rPr>
          <w:szCs w:val="22"/>
          <w:shd w:val="clear" w:color="auto" w:fill="FFFFFF"/>
        </w:rPr>
        <w:t>543</w:t>
      </w:r>
      <w:r w:rsidR="0043277B">
        <w:rPr>
          <w:color w:val="000000" w:themeColor="text1"/>
        </w:rPr>
        <w:t xml:space="preserve"> </w:t>
      </w:r>
      <w:r w:rsidR="00176F27" w:rsidRPr="00327D52">
        <w:t>GL per year</w:t>
      </w:r>
      <w:bookmarkEnd w:id="37"/>
      <w:bookmarkEnd w:id="38"/>
    </w:p>
    <w:p w:rsidR="00176F27" w:rsidRDefault="00176F27" w:rsidP="00176F27">
      <w:pPr>
        <w:pStyle w:val="tMain"/>
      </w:pPr>
      <w:r>
        <w:tab/>
      </w:r>
      <w:r w:rsidR="004353F6">
        <w:t>(1)</w:t>
      </w:r>
      <w:r>
        <w:tab/>
        <w:t>This section applies if</w:t>
      </w:r>
      <w:r w:rsidR="00E45D20">
        <w:t>, for the water accounting period,</w:t>
      </w:r>
      <w:r>
        <w:t xml:space="preserve"> the net effect is </w:t>
      </w:r>
      <w:r w:rsidR="00EC3A46">
        <w:t xml:space="preserve">greater </w:t>
      </w:r>
      <w:r>
        <w:t xml:space="preserve">than </w:t>
      </w:r>
      <w:r w:rsidR="0043277B" w:rsidRPr="00361674">
        <w:rPr>
          <w:szCs w:val="22"/>
          <w:shd w:val="clear" w:color="auto" w:fill="FFFFFF"/>
        </w:rPr>
        <w:t>543</w:t>
      </w:r>
      <w:r w:rsidR="0043277B">
        <w:rPr>
          <w:color w:val="000000" w:themeColor="text1"/>
        </w:rPr>
        <w:t> </w:t>
      </w:r>
      <w:r w:rsidRPr="00327D52">
        <w:t>GL per year</w:t>
      </w:r>
      <w:r>
        <w:t>.</w:t>
      </w:r>
    </w:p>
    <w:p w:rsidR="00335C59" w:rsidRPr="00350B8B" w:rsidRDefault="00335C59" w:rsidP="00335C59">
      <w:pPr>
        <w:pStyle w:val="nMain"/>
      </w:pPr>
      <w:r w:rsidRPr="00350B8B">
        <w:t>Note:</w:t>
      </w:r>
      <w:r w:rsidRPr="00350B8B">
        <w:tab/>
        <w:t xml:space="preserve">The net effect will be greater than 543 GL per year only if the total current efficiency contribution is </w:t>
      </w:r>
      <w:r w:rsidR="00CB40B1" w:rsidRPr="00350B8B">
        <w:t>less</w:t>
      </w:r>
      <w:r w:rsidRPr="00350B8B">
        <w:t xml:space="preserve"> than 62 GL per year.</w:t>
      </w:r>
    </w:p>
    <w:p w:rsidR="00F85F58" w:rsidRDefault="00F85F58" w:rsidP="00F85F58">
      <w:pPr>
        <w:pStyle w:val="tMain"/>
      </w:pPr>
      <w:r>
        <w:tab/>
      </w:r>
      <w:r w:rsidR="004353F6">
        <w:t>(2)</w:t>
      </w:r>
      <w:r>
        <w:tab/>
        <w:t xml:space="preserve">The </w:t>
      </w:r>
      <w:r w:rsidRPr="00557CC6">
        <w:rPr>
          <w:b/>
          <w:i/>
        </w:rPr>
        <w:t>SDL adjustment amount</w:t>
      </w:r>
      <w:r>
        <w:t xml:space="preserve"> for a particular </w:t>
      </w:r>
      <w:r w:rsidR="006D7BCC" w:rsidRPr="00361674">
        <w:t>surface water</w:t>
      </w:r>
      <w:r w:rsidR="006D7BCC">
        <w:t xml:space="preserve"> </w:t>
      </w:r>
      <w:r>
        <w:t xml:space="preserve">SDL resource unit </w:t>
      </w:r>
      <w:r w:rsidR="001A76E3">
        <w:t xml:space="preserve">for the </w:t>
      </w:r>
      <w:r>
        <w:t>water accounting period, in GL per year, is calculated in accordance with the following formula:</w:t>
      </w:r>
    </w:p>
    <w:p w:rsidR="00F85F58" w:rsidRDefault="00F85F58" w:rsidP="00176F27">
      <w:pPr>
        <w:pStyle w:val="tMain"/>
      </w:pPr>
    </w:p>
    <w:p w:rsidR="00F85F58" w:rsidRPr="00F905B2" w:rsidRDefault="00EB28AF" w:rsidP="00F85F58">
      <w:pPr>
        <w:pStyle w:val="tMain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SDL adjustment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amount</m:t>
                  </m:r>
                </m:e>
              </m:eqAr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reduced supply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contribution</m:t>
                  </m:r>
                </m:e>
              </m:eqAr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current efficiency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contribution</m:t>
                  </m:r>
                </m:e>
              </m:eqArr>
            </m:e>
          </m:d>
        </m:oMath>
      </m:oMathPara>
    </w:p>
    <w:p w:rsidR="00F85F58" w:rsidRDefault="00F85F58" w:rsidP="00F85F58">
      <w:pPr>
        <w:pStyle w:val="tMain"/>
      </w:pPr>
    </w:p>
    <w:p w:rsidR="00F85F58" w:rsidRDefault="00F85F58" w:rsidP="00F85F58">
      <w:pPr>
        <w:pStyle w:val="tMain"/>
      </w:pPr>
      <w:r>
        <w:tab/>
      </w:r>
      <w:r>
        <w:tab/>
      </w:r>
      <w:proofErr w:type="gramStart"/>
      <w:r>
        <w:t>where</w:t>
      </w:r>
      <w:proofErr w:type="gramEnd"/>
      <w:r>
        <w:t>:</w:t>
      </w:r>
    </w:p>
    <w:p w:rsidR="00B04E85" w:rsidRPr="006A4DC8" w:rsidRDefault="001C2A2A" w:rsidP="00F85F58">
      <w:pPr>
        <w:pStyle w:val="tDefn"/>
      </w:pPr>
      <w:proofErr w:type="gramStart"/>
      <w:r>
        <w:rPr>
          <w:b/>
          <w:i/>
        </w:rPr>
        <w:t>reduced</w:t>
      </w:r>
      <w:proofErr w:type="gramEnd"/>
      <w:r w:rsidR="00F85F58">
        <w:rPr>
          <w:b/>
          <w:i/>
        </w:rPr>
        <w:t xml:space="preserve"> supply contribution</w:t>
      </w:r>
      <w:r w:rsidR="003F0D51">
        <w:t>, for the</w:t>
      </w:r>
      <w:r w:rsidR="006D7BCC" w:rsidRPr="00361674">
        <w:t xml:space="preserve"> surface water</w:t>
      </w:r>
      <w:r w:rsidR="003F0D51">
        <w:t xml:space="preserve"> </w:t>
      </w:r>
      <w:r w:rsidR="00F85F58">
        <w:t>SDL resource unit</w:t>
      </w:r>
      <w:r w:rsidR="003F0D51">
        <w:t xml:space="preserve"> and the water accounting period, </w:t>
      </w:r>
      <w:r w:rsidR="004E77A2" w:rsidRPr="006A4DC8">
        <w:t xml:space="preserve">means the amount calculated in accordance with </w:t>
      </w:r>
      <w:r w:rsidR="00D10D9F" w:rsidRPr="006A4DC8">
        <w:t>sub</w:t>
      </w:r>
      <w:r w:rsidR="004E77A2" w:rsidRPr="006A4DC8">
        <w:t>section </w:t>
      </w:r>
      <w:r w:rsidR="004353F6">
        <w:t>(3)</w:t>
      </w:r>
      <w:r w:rsidR="004E77A2" w:rsidRPr="006A4DC8">
        <w:t>.</w:t>
      </w:r>
    </w:p>
    <w:p w:rsidR="00FF0FC6" w:rsidRPr="006A4DC8" w:rsidRDefault="00FF0FC6" w:rsidP="00F85F58">
      <w:pPr>
        <w:pStyle w:val="tDefn"/>
      </w:pPr>
      <w:proofErr w:type="gramStart"/>
      <w:r w:rsidRPr="006A4DC8">
        <w:rPr>
          <w:b/>
          <w:i/>
        </w:rPr>
        <w:t>current</w:t>
      </w:r>
      <w:proofErr w:type="gramEnd"/>
      <w:r w:rsidRPr="006A4DC8">
        <w:rPr>
          <w:b/>
          <w:i/>
        </w:rPr>
        <w:t xml:space="preserve"> efficiency contribution</w:t>
      </w:r>
      <w:r w:rsidRPr="006A4DC8">
        <w:t xml:space="preserve">, for the </w:t>
      </w:r>
      <w:r w:rsidR="006D7BCC" w:rsidRPr="00361674">
        <w:t>surface water</w:t>
      </w:r>
      <w:r w:rsidR="006D7BCC">
        <w:t xml:space="preserve"> </w:t>
      </w:r>
      <w:r w:rsidRPr="006A4DC8">
        <w:t xml:space="preserve">SDL resource unit and the water accounting period, </w:t>
      </w:r>
      <w:r w:rsidR="00D10D9F" w:rsidRPr="006A4DC8">
        <w:t xml:space="preserve">has the meaning given </w:t>
      </w:r>
      <w:r w:rsidR="00B53CFC">
        <w:t>by</w:t>
      </w:r>
      <w:r w:rsidR="00D10D9F" w:rsidRPr="006A4DC8">
        <w:t xml:space="preserve"> subsection </w:t>
      </w:r>
      <w:r w:rsidR="0062034C" w:rsidRPr="00361674">
        <w:t>S6A.0</w:t>
      </w:r>
      <w:r w:rsidR="004353F6">
        <w:t>2(1)</w:t>
      </w:r>
      <w:r w:rsidR="00D10D9F" w:rsidRPr="006A4DC8">
        <w:t>.</w:t>
      </w:r>
    </w:p>
    <w:p w:rsidR="00675F3D" w:rsidRDefault="00294119" w:rsidP="00294119">
      <w:pPr>
        <w:pStyle w:val="tMain"/>
      </w:pPr>
      <w:r>
        <w:tab/>
      </w:r>
      <w:r w:rsidR="004353F6">
        <w:t>(3)</w:t>
      </w:r>
      <w:r>
        <w:tab/>
      </w:r>
      <w:r w:rsidR="00D10D9F" w:rsidRPr="006A4DC8">
        <w:t>For subsection </w:t>
      </w:r>
      <w:r w:rsidR="004353F6">
        <w:t>(2)</w:t>
      </w:r>
      <w:r w:rsidR="00D10D9F" w:rsidRPr="006A4DC8">
        <w:t xml:space="preserve">, the </w:t>
      </w:r>
      <w:r w:rsidR="006D7BCC" w:rsidRPr="00361674">
        <w:t>surface water</w:t>
      </w:r>
      <w:r w:rsidR="006D7BCC">
        <w:t xml:space="preserve"> </w:t>
      </w:r>
      <w:r w:rsidR="006B1CE8">
        <w:t xml:space="preserve">SDL resource unit’s </w:t>
      </w:r>
      <w:r w:rsidR="00675F3D" w:rsidRPr="006B1CE8">
        <w:rPr>
          <w:b/>
          <w:i/>
        </w:rPr>
        <w:t>reduced supply contribution</w:t>
      </w:r>
      <w:r>
        <w:t xml:space="preserve"> </w:t>
      </w:r>
      <w:r w:rsidR="006B1CE8">
        <w:t xml:space="preserve">for the water accounting period </w:t>
      </w:r>
      <w:r>
        <w:t xml:space="preserve">is calculated in accordance with </w:t>
      </w:r>
      <w:r w:rsidR="00675F3D">
        <w:t>the following formula:</w:t>
      </w:r>
    </w:p>
    <w:p w:rsidR="00294119" w:rsidRDefault="00294119" w:rsidP="00294119">
      <w:pPr>
        <w:pStyle w:val="tMain"/>
      </w:pPr>
    </w:p>
    <w:p w:rsidR="00294119" w:rsidRPr="00873FBF" w:rsidRDefault="00EB28AF" w:rsidP="00294119">
      <w:pPr>
        <w:pStyle w:val="tMain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reduced supply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contribution</m:t>
                  </m:r>
                </m:e>
              </m:eqArr>
            </m:e>
          </m:d>
          <m:r>
            <m:rPr>
              <m:nor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apportioned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supply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contribution</m:t>
                  </m:r>
                </m:e>
              </m:eqArr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</w:rPr>
                          </m:ctrlPr>
                        </m:eqArr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total current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efficiency contribution</m:t>
                          </m:r>
                        </m:e>
                      </m:eqAr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543</m:t>
                  </m:r>
                </m:num>
                <m:den>
                  <m:r>
                    <w:rPr>
                      <w:rFonts w:ascii="Cambria Math" w:hAnsi="Cambria Math"/>
                    </w:rPr>
                    <m:t>605</m:t>
                  </m:r>
                </m:den>
              </m:f>
            </m:e>
          </m:d>
        </m:oMath>
      </m:oMathPara>
    </w:p>
    <w:p w:rsidR="00294119" w:rsidRDefault="00294119" w:rsidP="00294119">
      <w:pPr>
        <w:pStyle w:val="tMain"/>
      </w:pPr>
    </w:p>
    <w:p w:rsidR="00294119" w:rsidRDefault="00294119" w:rsidP="00294119">
      <w:pPr>
        <w:pStyle w:val="tMain"/>
      </w:pPr>
      <w:r>
        <w:tab/>
      </w:r>
      <w:r>
        <w:tab/>
      </w:r>
      <w:proofErr w:type="gramStart"/>
      <w:r>
        <w:t>where</w:t>
      </w:r>
      <w:proofErr w:type="gramEnd"/>
      <w:r>
        <w:t>:</w:t>
      </w:r>
    </w:p>
    <w:p w:rsidR="000829AD" w:rsidRDefault="00294119" w:rsidP="000829AD">
      <w:pPr>
        <w:pStyle w:val="tDefn"/>
      </w:pPr>
      <w:proofErr w:type="gramStart"/>
      <w:r>
        <w:rPr>
          <w:b/>
          <w:i/>
        </w:rPr>
        <w:t>apportioned</w:t>
      </w:r>
      <w:proofErr w:type="gramEnd"/>
      <w:r>
        <w:rPr>
          <w:b/>
          <w:i/>
        </w:rPr>
        <w:t xml:space="preserve"> supply contribution</w:t>
      </w:r>
      <w:r w:rsidR="000829AD">
        <w:t xml:space="preserve">, for the </w:t>
      </w:r>
      <w:r w:rsidR="006D7BCC" w:rsidRPr="00361674">
        <w:t>surface water</w:t>
      </w:r>
      <w:r w:rsidR="006D7BCC">
        <w:t xml:space="preserve"> </w:t>
      </w:r>
      <w:r w:rsidR="000829AD">
        <w:t xml:space="preserve">SDL resource unit, has the meaning given </w:t>
      </w:r>
      <w:r w:rsidR="00B53CFC">
        <w:t>by</w:t>
      </w:r>
      <w:r w:rsidR="000829AD">
        <w:t xml:space="preserve"> subsection </w:t>
      </w:r>
      <w:r w:rsidR="0062034C" w:rsidRPr="00361674">
        <w:t>S6A.0</w:t>
      </w:r>
      <w:r w:rsidR="004353F6">
        <w:t>2(1)</w:t>
      </w:r>
      <w:r w:rsidR="000829AD">
        <w:t>.</w:t>
      </w:r>
    </w:p>
    <w:p w:rsidR="00F338EE" w:rsidRPr="00361674" w:rsidRDefault="00F338EE" w:rsidP="00F338EE">
      <w:pPr>
        <w:pStyle w:val="tDefn"/>
        <w:rPr>
          <w:bCs/>
          <w:iCs/>
          <w:u w:val="single"/>
        </w:rPr>
      </w:pPr>
      <w:proofErr w:type="gramStart"/>
      <w:r w:rsidRPr="00361674">
        <w:rPr>
          <w:b/>
          <w:bCs/>
          <w:i/>
          <w:iCs/>
        </w:rPr>
        <w:t>total</w:t>
      </w:r>
      <w:proofErr w:type="gramEnd"/>
      <w:r w:rsidRPr="00361674">
        <w:rPr>
          <w:b/>
          <w:bCs/>
          <w:i/>
          <w:iCs/>
        </w:rPr>
        <w:t xml:space="preserve"> current efficiency contribution </w:t>
      </w:r>
      <w:r w:rsidRPr="00361674">
        <w:rPr>
          <w:bCs/>
          <w:iCs/>
        </w:rPr>
        <w:t>has the same meaning as in subsection </w:t>
      </w:r>
      <w:r w:rsidR="0062034C" w:rsidRPr="00361674">
        <w:t>S6A.0</w:t>
      </w:r>
      <w:r w:rsidR="004353F6">
        <w:t>2(1)</w:t>
      </w:r>
      <w:r w:rsidRPr="00361674">
        <w:rPr>
          <w:bCs/>
          <w:iCs/>
        </w:rPr>
        <w:t>.</w:t>
      </w:r>
    </w:p>
    <w:p w:rsidR="00C450B8" w:rsidRPr="009E44AC" w:rsidRDefault="00C450B8" w:rsidP="00C450B8">
      <w:pPr>
        <w:pStyle w:val="nMain"/>
        <w:rPr>
          <w:color w:val="000000" w:themeColor="text1"/>
        </w:rPr>
      </w:pPr>
      <w:r w:rsidRPr="009E44AC">
        <w:rPr>
          <w:color w:val="000000" w:themeColor="text1"/>
        </w:rPr>
        <w:t>Note</w:t>
      </w:r>
      <w:r w:rsidR="0043277B">
        <w:rPr>
          <w:color w:val="000000" w:themeColor="text1"/>
        </w:rPr>
        <w:t xml:space="preserve"> </w:t>
      </w:r>
      <w:r w:rsidR="0043277B" w:rsidRPr="00361674">
        <w:t>1</w:t>
      </w:r>
      <w:r w:rsidRPr="009E44AC">
        <w:rPr>
          <w:color w:val="000000" w:themeColor="text1"/>
        </w:rPr>
        <w:t>:</w:t>
      </w:r>
      <w:r w:rsidRPr="009E44AC">
        <w:rPr>
          <w:color w:val="000000" w:themeColor="text1"/>
        </w:rPr>
        <w:tab/>
        <w:t xml:space="preserve">The amount </w:t>
      </w:r>
      <w:r w:rsidR="0043277B" w:rsidRPr="00361674">
        <w:rPr>
          <w:szCs w:val="22"/>
          <w:shd w:val="clear" w:color="auto" w:fill="FFFFFF"/>
        </w:rPr>
        <w:t>543</w:t>
      </w:r>
      <w:r w:rsidR="0043277B">
        <w:rPr>
          <w:color w:val="000000" w:themeColor="text1"/>
        </w:rPr>
        <w:t xml:space="preserve"> </w:t>
      </w:r>
      <w:r w:rsidRPr="009E44AC">
        <w:rPr>
          <w:color w:val="000000" w:themeColor="text1"/>
        </w:rPr>
        <w:t xml:space="preserve">GL per year is equal to 5% of the total surface water SDL for the Basin water resources as it stood at the reference time (that amount being 10,873 GL per year) (when rounded </w:t>
      </w:r>
      <w:r w:rsidR="0043277B" w:rsidRPr="00361674">
        <w:t>down</w:t>
      </w:r>
      <w:r w:rsidRPr="009E44AC">
        <w:rPr>
          <w:color w:val="000000" w:themeColor="text1"/>
        </w:rPr>
        <w:t>).</w:t>
      </w:r>
    </w:p>
    <w:p w:rsidR="00FD7662" w:rsidRDefault="00C450B8" w:rsidP="00601C5E">
      <w:pPr>
        <w:pStyle w:val="nMain"/>
        <w:rPr>
          <w:color w:val="000000" w:themeColor="text1"/>
        </w:rPr>
      </w:pPr>
      <w:r w:rsidRPr="009E44AC">
        <w:rPr>
          <w:color w:val="000000" w:themeColor="text1"/>
        </w:rPr>
        <w:t xml:space="preserve">Note </w:t>
      </w:r>
      <w:r w:rsidR="0043277B" w:rsidRPr="00361674">
        <w:t>2</w:t>
      </w:r>
      <w:r w:rsidRPr="009E44AC">
        <w:rPr>
          <w:color w:val="000000" w:themeColor="text1"/>
        </w:rPr>
        <w:t>:</w:t>
      </w:r>
      <w:r w:rsidRPr="009E44AC">
        <w:rPr>
          <w:color w:val="000000" w:themeColor="text1"/>
        </w:rPr>
        <w:tab/>
        <w:t>The amount 605 GL per year is the total supply contribution.</w:t>
      </w:r>
    </w:p>
    <w:p w:rsidR="0014138D" w:rsidRDefault="0062034C" w:rsidP="0014138D">
      <w:pPr>
        <w:pStyle w:val="h5Section"/>
      </w:pPr>
      <w:bookmarkStart w:id="39" w:name="_Toc499189410"/>
      <w:bookmarkStart w:id="40" w:name="_Toc499707923"/>
      <w:proofErr w:type="gramStart"/>
      <w:r w:rsidRPr="00361674">
        <w:t>S6A.0</w:t>
      </w:r>
      <w:r w:rsidR="004353F6">
        <w:t>6</w:t>
      </w:r>
      <w:r w:rsidR="0014138D">
        <w:t xml:space="preserve">  Calculation</w:t>
      </w:r>
      <w:proofErr w:type="gramEnd"/>
      <w:r w:rsidR="0014138D">
        <w:t xml:space="preserve"> of SDL adjustment amounts—net effect less than or equal to </w:t>
      </w:r>
      <w:r w:rsidR="0014138D" w:rsidRPr="00361674">
        <w:rPr>
          <w:szCs w:val="22"/>
          <w:shd w:val="clear" w:color="auto" w:fill="FFFFFF"/>
        </w:rPr>
        <w:t>543</w:t>
      </w:r>
      <w:r w:rsidR="0014138D">
        <w:rPr>
          <w:color w:val="000000" w:themeColor="text1"/>
        </w:rPr>
        <w:t xml:space="preserve"> </w:t>
      </w:r>
      <w:r w:rsidR="0014138D" w:rsidRPr="00327D52">
        <w:t>GL per year</w:t>
      </w:r>
      <w:bookmarkEnd w:id="39"/>
      <w:bookmarkEnd w:id="40"/>
    </w:p>
    <w:p w:rsidR="0014138D" w:rsidRDefault="0014138D" w:rsidP="0014138D">
      <w:pPr>
        <w:pStyle w:val="tMain"/>
      </w:pPr>
      <w:r>
        <w:tab/>
      </w:r>
      <w:r w:rsidR="004353F6">
        <w:t>(1)</w:t>
      </w:r>
      <w:r>
        <w:tab/>
        <w:t xml:space="preserve">This section applies if, for the water accounting period, the net effect is less than or equal to </w:t>
      </w:r>
      <w:r w:rsidRPr="00361674">
        <w:rPr>
          <w:szCs w:val="22"/>
          <w:shd w:val="clear" w:color="auto" w:fill="FFFFFF"/>
        </w:rPr>
        <w:t>543</w:t>
      </w:r>
      <w:r>
        <w:rPr>
          <w:color w:val="000000" w:themeColor="text1"/>
        </w:rPr>
        <w:t xml:space="preserve"> </w:t>
      </w:r>
      <w:r w:rsidRPr="00327D52">
        <w:t>GL per year</w:t>
      </w:r>
      <w:r>
        <w:t>.</w:t>
      </w:r>
    </w:p>
    <w:p w:rsidR="0014138D" w:rsidRDefault="0014138D" w:rsidP="0014138D">
      <w:pPr>
        <w:pStyle w:val="tMain"/>
      </w:pPr>
      <w:r>
        <w:tab/>
      </w:r>
      <w:r w:rsidR="004353F6">
        <w:t>(2)</w:t>
      </w:r>
      <w:r>
        <w:tab/>
        <w:t xml:space="preserve">The </w:t>
      </w:r>
      <w:r w:rsidRPr="00557CC6">
        <w:rPr>
          <w:b/>
          <w:i/>
        </w:rPr>
        <w:t>SDL adjustment amount</w:t>
      </w:r>
      <w:r>
        <w:t xml:space="preserve"> for a particular </w:t>
      </w:r>
      <w:r w:rsidRPr="00361674">
        <w:t>surface water</w:t>
      </w:r>
      <w:r>
        <w:t xml:space="preserve"> SDL resource unit for the water accounting period, in GL per year, is calculated in accordance with the following formula:</w:t>
      </w:r>
    </w:p>
    <w:p w:rsidR="0014138D" w:rsidRDefault="0014138D" w:rsidP="0014138D">
      <w:pPr>
        <w:pStyle w:val="tMain"/>
      </w:pPr>
    </w:p>
    <w:p w:rsidR="0014138D" w:rsidRPr="00F905B2" w:rsidRDefault="00EB28AF" w:rsidP="0014138D">
      <w:pPr>
        <w:pStyle w:val="tMain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SDL adjustment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amount</m:t>
                  </m:r>
                </m:e>
              </m:eqAr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apportioned supply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contribution</m:t>
                  </m:r>
                </m:e>
              </m:eqAr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current efficiency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contribution</m:t>
                  </m:r>
                </m:e>
              </m:eqArr>
            </m:e>
          </m:d>
        </m:oMath>
      </m:oMathPara>
    </w:p>
    <w:p w:rsidR="0014138D" w:rsidRDefault="0014138D" w:rsidP="0014138D">
      <w:pPr>
        <w:pStyle w:val="tMain"/>
      </w:pPr>
    </w:p>
    <w:p w:rsidR="0014138D" w:rsidRDefault="0014138D" w:rsidP="0014138D">
      <w:pPr>
        <w:pStyle w:val="tMain"/>
      </w:pPr>
      <w:r>
        <w:tab/>
      </w:r>
      <w:r>
        <w:tab/>
      </w:r>
      <w:proofErr w:type="gramStart"/>
      <w:r>
        <w:t>where</w:t>
      </w:r>
      <w:proofErr w:type="gramEnd"/>
      <w:r>
        <w:t>:</w:t>
      </w:r>
    </w:p>
    <w:p w:rsidR="0014138D" w:rsidRDefault="0014138D" w:rsidP="0014138D">
      <w:pPr>
        <w:pStyle w:val="tDefn"/>
      </w:pPr>
      <w:proofErr w:type="gramStart"/>
      <w:r>
        <w:rPr>
          <w:b/>
          <w:i/>
        </w:rPr>
        <w:t>apportioned</w:t>
      </w:r>
      <w:proofErr w:type="gramEnd"/>
      <w:r>
        <w:rPr>
          <w:b/>
          <w:i/>
        </w:rPr>
        <w:t xml:space="preserve"> supply contribution</w:t>
      </w:r>
      <w:r>
        <w:t>, for the</w:t>
      </w:r>
      <w:r w:rsidRPr="00361674">
        <w:t xml:space="preserve"> surface water</w:t>
      </w:r>
      <w:r>
        <w:t xml:space="preserve"> SDL resource unit, has the meaning given </w:t>
      </w:r>
      <w:r w:rsidR="00B53CFC">
        <w:t>by</w:t>
      </w:r>
      <w:r>
        <w:t xml:space="preserve"> subsection </w:t>
      </w:r>
      <w:r w:rsidR="0062034C" w:rsidRPr="00361674">
        <w:t>S6A.0</w:t>
      </w:r>
      <w:r w:rsidR="004353F6">
        <w:t>2(1)</w:t>
      </w:r>
      <w:r>
        <w:t>.</w:t>
      </w:r>
    </w:p>
    <w:p w:rsidR="0014138D" w:rsidRPr="009E44AC" w:rsidRDefault="0014138D" w:rsidP="00040227">
      <w:pPr>
        <w:pStyle w:val="tDefn"/>
        <w:rPr>
          <w:color w:val="000000" w:themeColor="text1"/>
        </w:rPr>
      </w:pPr>
      <w:proofErr w:type="gramStart"/>
      <w:r>
        <w:rPr>
          <w:b/>
          <w:i/>
        </w:rPr>
        <w:t>current</w:t>
      </w:r>
      <w:proofErr w:type="gramEnd"/>
      <w:r>
        <w:rPr>
          <w:b/>
          <w:i/>
        </w:rPr>
        <w:t xml:space="preserve"> efficiency contribution</w:t>
      </w:r>
      <w:r>
        <w:t xml:space="preserve">, for the </w:t>
      </w:r>
      <w:r w:rsidRPr="00361674">
        <w:t>surface water</w:t>
      </w:r>
      <w:r>
        <w:t xml:space="preserve"> SDL resource unit and the </w:t>
      </w:r>
      <w:r w:rsidRPr="0066736C">
        <w:t>water accounting period,</w:t>
      </w:r>
      <w:r>
        <w:rPr>
          <w:b/>
          <w:i/>
        </w:rPr>
        <w:t xml:space="preserve"> </w:t>
      </w:r>
      <w:r>
        <w:t xml:space="preserve">has the meaning given </w:t>
      </w:r>
      <w:r w:rsidR="00B53CFC">
        <w:t>by</w:t>
      </w:r>
      <w:r>
        <w:t xml:space="preserve"> subsection </w:t>
      </w:r>
      <w:r w:rsidR="0062034C" w:rsidRPr="00361674">
        <w:t>S6A.0</w:t>
      </w:r>
      <w:r w:rsidR="004353F6">
        <w:t>2(1)</w:t>
      </w:r>
      <w:r>
        <w:t>.</w:t>
      </w:r>
    </w:p>
    <w:sectPr w:rsidR="0014138D" w:rsidRPr="009E44AC" w:rsidSect="00AA2D97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E7" w:rsidRDefault="007464E7">
      <w:r>
        <w:separator/>
      </w:r>
    </w:p>
  </w:endnote>
  <w:endnote w:type="continuationSeparator" w:id="0">
    <w:p w:rsidR="007464E7" w:rsidRDefault="0074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025203"/>
      <w:docPartObj>
        <w:docPartGallery w:val="Page Numbers (Bottom of Page)"/>
        <w:docPartUnique/>
      </w:docPartObj>
    </w:sdtPr>
    <w:sdtEndPr/>
    <w:sdtContent>
      <w:p w:rsidR="00120C76" w:rsidRDefault="00120C76" w:rsidP="00983012">
        <w:pPr>
          <w:pStyle w:val="Footer"/>
          <w:pBdr>
            <w:top w:val="single" w:sz="4" w:space="1" w:color="auto"/>
          </w:pBdr>
          <w:jc w:val="right"/>
        </w:pPr>
        <w:r>
          <w:tab/>
        </w:r>
      </w:p>
    </w:sdtContent>
  </w:sdt>
  <w:p w:rsidR="00120C76" w:rsidRDefault="00120C76" w:rsidP="00DA24F9">
    <w:pPr>
      <w:pStyle w:val="Header"/>
      <w:rPr>
        <w:noProof/>
      </w:rPr>
    </w:pPr>
    <w:r w:rsidRPr="00DA24F9">
      <w:tab/>
    </w:r>
    <w:r w:rsidR="00EB28AF">
      <w:fldChar w:fldCharType="begin"/>
    </w:r>
    <w:r w:rsidR="00EB28AF">
      <w:instrText xml:space="preserve"> STYLEREF  ShortT  \* MERGEFORMAT </w:instrText>
    </w:r>
    <w:r w:rsidR="00EB28AF">
      <w:fldChar w:fldCharType="separate"/>
    </w:r>
    <w:r w:rsidR="00EB28AF" w:rsidRPr="00EB28AF">
      <w:rPr>
        <w:bCs/>
        <w:noProof/>
        <w:lang w:val="en-US"/>
      </w:rPr>
      <w:t xml:space="preserve">Basin Plan Amendment (SDL </w:t>
    </w:r>
    <w:r w:rsidR="00EB28AF">
      <w:rPr>
        <w:noProof/>
      </w:rPr>
      <w:t>Adjustments) Instrument 2017</w:t>
    </w:r>
    <w:r w:rsidR="00EB28AF">
      <w:rPr>
        <w:noProof/>
      </w:rPr>
      <w:fldChar w:fldCharType="end"/>
    </w:r>
    <w:r w:rsidRPr="00DA24F9">
      <w:rPr>
        <w:noProof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B28AF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13058"/>
      <w:docPartObj>
        <w:docPartGallery w:val="Page Numbers (Bottom of Page)"/>
        <w:docPartUnique/>
      </w:docPartObj>
    </w:sdtPr>
    <w:sdtEndPr/>
    <w:sdtContent>
      <w:p w:rsidR="00120C76" w:rsidRDefault="00120C76" w:rsidP="00983012">
        <w:pPr>
          <w:pStyle w:val="Footer"/>
          <w:pBdr>
            <w:top w:val="single" w:sz="4" w:space="1" w:color="auto"/>
          </w:pBdr>
          <w:jc w:val="right"/>
        </w:pPr>
        <w:r>
          <w:tab/>
        </w:r>
      </w:p>
    </w:sdtContent>
  </w:sdt>
  <w:p w:rsidR="00120C76" w:rsidRDefault="00120C76" w:rsidP="00983012">
    <w:pPr>
      <w:pStyle w:val="Header"/>
      <w:rPr>
        <w:noProof/>
      </w:rPr>
    </w:pPr>
    <w:r w:rsidRPr="00DA24F9">
      <w:tab/>
    </w:r>
    <w:r w:rsidR="00EB28AF">
      <w:fldChar w:fldCharType="begin"/>
    </w:r>
    <w:r w:rsidR="00EB28AF">
      <w:instrText xml:space="preserve"> STYLEREF  ShortT  \* MERGEFORMAT </w:instrText>
    </w:r>
    <w:r w:rsidR="00EB28AF">
      <w:fldChar w:fldCharType="separate"/>
    </w:r>
    <w:r w:rsidR="00EB28AF" w:rsidRPr="00EB28AF">
      <w:rPr>
        <w:bCs/>
        <w:noProof/>
        <w:lang w:val="en-US"/>
      </w:rPr>
      <w:t xml:space="preserve">Basin Plan Amendment (SDL </w:t>
    </w:r>
    <w:r w:rsidR="00EB28AF">
      <w:rPr>
        <w:noProof/>
      </w:rPr>
      <w:t>Adjustments) Instrument 2017</w:t>
    </w:r>
    <w:r w:rsidR="00EB28AF">
      <w:rPr>
        <w:noProof/>
      </w:rPr>
      <w:fldChar w:fldCharType="end"/>
    </w:r>
    <w:r w:rsidRPr="00DA24F9">
      <w:rPr>
        <w:noProof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B28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E7" w:rsidRDefault="007464E7">
      <w:r>
        <w:separator/>
      </w:r>
    </w:p>
  </w:footnote>
  <w:footnote w:type="continuationSeparator" w:id="0">
    <w:p w:rsidR="007464E7" w:rsidRDefault="0074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3" w15:restartNumberingAfterBreak="0">
    <w:nsid w:val="113019F4"/>
    <w:multiLevelType w:val="hybridMultilevel"/>
    <w:tmpl w:val="BA26D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AD5"/>
    <w:multiLevelType w:val="hybridMultilevel"/>
    <w:tmpl w:val="0546B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26565"/>
    <w:multiLevelType w:val="hybridMultilevel"/>
    <w:tmpl w:val="1B1EC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08A"/>
    <w:multiLevelType w:val="hybridMultilevel"/>
    <w:tmpl w:val="CD7A3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0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7537C8"/>
    <w:multiLevelType w:val="hybridMultilevel"/>
    <w:tmpl w:val="5400F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F70193"/>
    <w:multiLevelType w:val="hybridMultilevel"/>
    <w:tmpl w:val="389C1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7"/>
  </w:num>
  <w:num w:numId="5">
    <w:abstractNumId w:val="7"/>
  </w:num>
  <w:num w:numId="6">
    <w:abstractNumId w:val="13"/>
  </w:num>
  <w:num w:numId="7">
    <w:abstractNumId w:val="19"/>
  </w:num>
  <w:num w:numId="8">
    <w:abstractNumId w:val="16"/>
  </w:num>
  <w:num w:numId="9">
    <w:abstractNumId w:val="5"/>
  </w:num>
  <w:num w:numId="10">
    <w:abstractNumId w:val="21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045A"/>
    <w:rsid w:val="00000AA3"/>
    <w:rsid w:val="00000AF6"/>
    <w:rsid w:val="00000F0F"/>
    <w:rsid w:val="0000119E"/>
    <w:rsid w:val="00001306"/>
    <w:rsid w:val="0000156C"/>
    <w:rsid w:val="00002024"/>
    <w:rsid w:val="0000231A"/>
    <w:rsid w:val="00003511"/>
    <w:rsid w:val="000039D7"/>
    <w:rsid w:val="00004F9B"/>
    <w:rsid w:val="00005704"/>
    <w:rsid w:val="00005EE7"/>
    <w:rsid w:val="000062E0"/>
    <w:rsid w:val="00006713"/>
    <w:rsid w:val="00006E3F"/>
    <w:rsid w:val="000070DF"/>
    <w:rsid w:val="0000737B"/>
    <w:rsid w:val="000073C4"/>
    <w:rsid w:val="0000771B"/>
    <w:rsid w:val="0001034B"/>
    <w:rsid w:val="000103AE"/>
    <w:rsid w:val="00010DCB"/>
    <w:rsid w:val="00010FA1"/>
    <w:rsid w:val="0001129A"/>
    <w:rsid w:val="000117FD"/>
    <w:rsid w:val="00011857"/>
    <w:rsid w:val="00011972"/>
    <w:rsid w:val="00012088"/>
    <w:rsid w:val="000122BB"/>
    <w:rsid w:val="000129D3"/>
    <w:rsid w:val="00012A96"/>
    <w:rsid w:val="00012B72"/>
    <w:rsid w:val="00012EA1"/>
    <w:rsid w:val="00012EC0"/>
    <w:rsid w:val="00013EC2"/>
    <w:rsid w:val="00014257"/>
    <w:rsid w:val="00014770"/>
    <w:rsid w:val="000148A0"/>
    <w:rsid w:val="000153F7"/>
    <w:rsid w:val="00015BFC"/>
    <w:rsid w:val="00015E2D"/>
    <w:rsid w:val="00016A9C"/>
    <w:rsid w:val="00016E41"/>
    <w:rsid w:val="00017475"/>
    <w:rsid w:val="000175FE"/>
    <w:rsid w:val="00017823"/>
    <w:rsid w:val="000179F2"/>
    <w:rsid w:val="00020888"/>
    <w:rsid w:val="00021311"/>
    <w:rsid w:val="0002135D"/>
    <w:rsid w:val="0002143B"/>
    <w:rsid w:val="00021B09"/>
    <w:rsid w:val="000223F3"/>
    <w:rsid w:val="000224AE"/>
    <w:rsid w:val="00022662"/>
    <w:rsid w:val="00022B9C"/>
    <w:rsid w:val="0002300A"/>
    <w:rsid w:val="00023032"/>
    <w:rsid w:val="000232BF"/>
    <w:rsid w:val="0002384A"/>
    <w:rsid w:val="00023889"/>
    <w:rsid w:val="000248C7"/>
    <w:rsid w:val="00024E97"/>
    <w:rsid w:val="00025470"/>
    <w:rsid w:val="0002577D"/>
    <w:rsid w:val="000258A0"/>
    <w:rsid w:val="000258B9"/>
    <w:rsid w:val="000259DD"/>
    <w:rsid w:val="000266BF"/>
    <w:rsid w:val="000268CF"/>
    <w:rsid w:val="0002696E"/>
    <w:rsid w:val="00027642"/>
    <w:rsid w:val="00027784"/>
    <w:rsid w:val="00030155"/>
    <w:rsid w:val="000301DE"/>
    <w:rsid w:val="000302C0"/>
    <w:rsid w:val="00030FFB"/>
    <w:rsid w:val="00031189"/>
    <w:rsid w:val="00031663"/>
    <w:rsid w:val="00031B69"/>
    <w:rsid w:val="00031C81"/>
    <w:rsid w:val="00031F2E"/>
    <w:rsid w:val="000320F2"/>
    <w:rsid w:val="00032D52"/>
    <w:rsid w:val="0003322D"/>
    <w:rsid w:val="00033B42"/>
    <w:rsid w:val="00033DBB"/>
    <w:rsid w:val="00033E27"/>
    <w:rsid w:val="00034073"/>
    <w:rsid w:val="00034175"/>
    <w:rsid w:val="0003432F"/>
    <w:rsid w:val="00034718"/>
    <w:rsid w:val="000349DE"/>
    <w:rsid w:val="00034C58"/>
    <w:rsid w:val="0003522A"/>
    <w:rsid w:val="00035506"/>
    <w:rsid w:val="00035DFF"/>
    <w:rsid w:val="000363BF"/>
    <w:rsid w:val="00036984"/>
    <w:rsid w:val="00036C5A"/>
    <w:rsid w:val="00036CA6"/>
    <w:rsid w:val="00037231"/>
    <w:rsid w:val="0003757F"/>
    <w:rsid w:val="0003764D"/>
    <w:rsid w:val="00037B10"/>
    <w:rsid w:val="00037C78"/>
    <w:rsid w:val="00040227"/>
    <w:rsid w:val="000409D5"/>
    <w:rsid w:val="00041037"/>
    <w:rsid w:val="00041B8B"/>
    <w:rsid w:val="00041E62"/>
    <w:rsid w:val="00041FB6"/>
    <w:rsid w:val="000423E3"/>
    <w:rsid w:val="000427F9"/>
    <w:rsid w:val="00043379"/>
    <w:rsid w:val="00043659"/>
    <w:rsid w:val="0004373B"/>
    <w:rsid w:val="00043949"/>
    <w:rsid w:val="00043A40"/>
    <w:rsid w:val="00043E10"/>
    <w:rsid w:val="00044481"/>
    <w:rsid w:val="0004479F"/>
    <w:rsid w:val="00044D8C"/>
    <w:rsid w:val="00044FD4"/>
    <w:rsid w:val="0004504C"/>
    <w:rsid w:val="000453D0"/>
    <w:rsid w:val="00045666"/>
    <w:rsid w:val="000459D8"/>
    <w:rsid w:val="00045A0B"/>
    <w:rsid w:val="00045F7B"/>
    <w:rsid w:val="00046216"/>
    <w:rsid w:val="000466A8"/>
    <w:rsid w:val="00046950"/>
    <w:rsid w:val="00046B94"/>
    <w:rsid w:val="00050664"/>
    <w:rsid w:val="000507D1"/>
    <w:rsid w:val="00050DE4"/>
    <w:rsid w:val="00051826"/>
    <w:rsid w:val="0005192F"/>
    <w:rsid w:val="00051BE2"/>
    <w:rsid w:val="00051EA8"/>
    <w:rsid w:val="0005267B"/>
    <w:rsid w:val="00052837"/>
    <w:rsid w:val="000531DC"/>
    <w:rsid w:val="00053594"/>
    <w:rsid w:val="00053827"/>
    <w:rsid w:val="0005423E"/>
    <w:rsid w:val="00054631"/>
    <w:rsid w:val="000546C6"/>
    <w:rsid w:val="00054D60"/>
    <w:rsid w:val="00055A11"/>
    <w:rsid w:val="00055DCD"/>
    <w:rsid w:val="00056020"/>
    <w:rsid w:val="00057371"/>
    <w:rsid w:val="00057DAD"/>
    <w:rsid w:val="00060112"/>
    <w:rsid w:val="000601DE"/>
    <w:rsid w:val="00060287"/>
    <w:rsid w:val="00060411"/>
    <w:rsid w:val="0006100E"/>
    <w:rsid w:val="00061033"/>
    <w:rsid w:val="00062E12"/>
    <w:rsid w:val="00063441"/>
    <w:rsid w:val="00063C97"/>
    <w:rsid w:val="00063D62"/>
    <w:rsid w:val="0006445F"/>
    <w:rsid w:val="00064A67"/>
    <w:rsid w:val="00064DEB"/>
    <w:rsid w:val="00064F0B"/>
    <w:rsid w:val="00064F51"/>
    <w:rsid w:val="0006538D"/>
    <w:rsid w:val="000656C0"/>
    <w:rsid w:val="000662C7"/>
    <w:rsid w:val="00066802"/>
    <w:rsid w:val="00066A91"/>
    <w:rsid w:val="00066B1E"/>
    <w:rsid w:val="00066B2C"/>
    <w:rsid w:val="00066FC5"/>
    <w:rsid w:val="000670F5"/>
    <w:rsid w:val="00067264"/>
    <w:rsid w:val="00067425"/>
    <w:rsid w:val="0007054D"/>
    <w:rsid w:val="00070FFE"/>
    <w:rsid w:val="000716A8"/>
    <w:rsid w:val="00071A5F"/>
    <w:rsid w:val="00071D20"/>
    <w:rsid w:val="00071F78"/>
    <w:rsid w:val="000726DF"/>
    <w:rsid w:val="0007285F"/>
    <w:rsid w:val="00072A2F"/>
    <w:rsid w:val="000731B2"/>
    <w:rsid w:val="00073CDA"/>
    <w:rsid w:val="000743B9"/>
    <w:rsid w:val="000743C4"/>
    <w:rsid w:val="00074AB4"/>
    <w:rsid w:val="0007504A"/>
    <w:rsid w:val="000754F0"/>
    <w:rsid w:val="00075671"/>
    <w:rsid w:val="00075A56"/>
    <w:rsid w:val="00075EFC"/>
    <w:rsid w:val="000764BA"/>
    <w:rsid w:val="00076755"/>
    <w:rsid w:val="000769EB"/>
    <w:rsid w:val="000779A0"/>
    <w:rsid w:val="00077F68"/>
    <w:rsid w:val="000806DC"/>
    <w:rsid w:val="00080B24"/>
    <w:rsid w:val="00080D29"/>
    <w:rsid w:val="000810C2"/>
    <w:rsid w:val="00081251"/>
    <w:rsid w:val="000813F8"/>
    <w:rsid w:val="000816E6"/>
    <w:rsid w:val="00081733"/>
    <w:rsid w:val="00082064"/>
    <w:rsid w:val="000829AD"/>
    <w:rsid w:val="00082BCD"/>
    <w:rsid w:val="00082C9E"/>
    <w:rsid w:val="000832CF"/>
    <w:rsid w:val="000835F1"/>
    <w:rsid w:val="00083F3F"/>
    <w:rsid w:val="000842BC"/>
    <w:rsid w:val="0008440C"/>
    <w:rsid w:val="00084518"/>
    <w:rsid w:val="0008482A"/>
    <w:rsid w:val="00084E75"/>
    <w:rsid w:val="000850F4"/>
    <w:rsid w:val="0008571B"/>
    <w:rsid w:val="00085A8D"/>
    <w:rsid w:val="000860FD"/>
    <w:rsid w:val="000862A9"/>
    <w:rsid w:val="0008660C"/>
    <w:rsid w:val="00086957"/>
    <w:rsid w:val="0008700B"/>
    <w:rsid w:val="00087195"/>
    <w:rsid w:val="000877C1"/>
    <w:rsid w:val="0009013E"/>
    <w:rsid w:val="00090D8B"/>
    <w:rsid w:val="000914C1"/>
    <w:rsid w:val="00091EE8"/>
    <w:rsid w:val="00092A7B"/>
    <w:rsid w:val="00093144"/>
    <w:rsid w:val="00093C51"/>
    <w:rsid w:val="0009522F"/>
    <w:rsid w:val="000956A8"/>
    <w:rsid w:val="000958F3"/>
    <w:rsid w:val="000959A3"/>
    <w:rsid w:val="00095DC2"/>
    <w:rsid w:val="0009614D"/>
    <w:rsid w:val="0009618D"/>
    <w:rsid w:val="0009666A"/>
    <w:rsid w:val="000967FA"/>
    <w:rsid w:val="00096FA6"/>
    <w:rsid w:val="00097203"/>
    <w:rsid w:val="000974E1"/>
    <w:rsid w:val="000978C5"/>
    <w:rsid w:val="00097A24"/>
    <w:rsid w:val="000A03AD"/>
    <w:rsid w:val="000A0BD0"/>
    <w:rsid w:val="000A0C7D"/>
    <w:rsid w:val="000A163F"/>
    <w:rsid w:val="000A19EA"/>
    <w:rsid w:val="000A1B51"/>
    <w:rsid w:val="000A22B6"/>
    <w:rsid w:val="000A22D7"/>
    <w:rsid w:val="000A25C2"/>
    <w:rsid w:val="000A293F"/>
    <w:rsid w:val="000A3085"/>
    <w:rsid w:val="000A363F"/>
    <w:rsid w:val="000A429A"/>
    <w:rsid w:val="000A4314"/>
    <w:rsid w:val="000A4457"/>
    <w:rsid w:val="000A446C"/>
    <w:rsid w:val="000A45BB"/>
    <w:rsid w:val="000A4814"/>
    <w:rsid w:val="000A4A2C"/>
    <w:rsid w:val="000A4C63"/>
    <w:rsid w:val="000A4F9B"/>
    <w:rsid w:val="000A5380"/>
    <w:rsid w:val="000A5DBB"/>
    <w:rsid w:val="000A5E30"/>
    <w:rsid w:val="000A61D2"/>
    <w:rsid w:val="000A6DB8"/>
    <w:rsid w:val="000A70C0"/>
    <w:rsid w:val="000A71D4"/>
    <w:rsid w:val="000A77EA"/>
    <w:rsid w:val="000A7903"/>
    <w:rsid w:val="000A7DDC"/>
    <w:rsid w:val="000B024A"/>
    <w:rsid w:val="000B042A"/>
    <w:rsid w:val="000B0F36"/>
    <w:rsid w:val="000B1157"/>
    <w:rsid w:val="000B177D"/>
    <w:rsid w:val="000B2B15"/>
    <w:rsid w:val="000B44F4"/>
    <w:rsid w:val="000B4DA5"/>
    <w:rsid w:val="000B557E"/>
    <w:rsid w:val="000B5B1B"/>
    <w:rsid w:val="000B5DCB"/>
    <w:rsid w:val="000B619C"/>
    <w:rsid w:val="000B6C31"/>
    <w:rsid w:val="000B709F"/>
    <w:rsid w:val="000B75FE"/>
    <w:rsid w:val="000B7A79"/>
    <w:rsid w:val="000C05AE"/>
    <w:rsid w:val="000C06FD"/>
    <w:rsid w:val="000C07F0"/>
    <w:rsid w:val="000C097C"/>
    <w:rsid w:val="000C12A6"/>
    <w:rsid w:val="000C14BB"/>
    <w:rsid w:val="000C1E61"/>
    <w:rsid w:val="000C20C4"/>
    <w:rsid w:val="000C2287"/>
    <w:rsid w:val="000C2440"/>
    <w:rsid w:val="000C2DB3"/>
    <w:rsid w:val="000C3152"/>
    <w:rsid w:val="000C393C"/>
    <w:rsid w:val="000C3A00"/>
    <w:rsid w:val="000C3C60"/>
    <w:rsid w:val="000C3D94"/>
    <w:rsid w:val="000C4A3D"/>
    <w:rsid w:val="000C4D18"/>
    <w:rsid w:val="000C5119"/>
    <w:rsid w:val="000C5499"/>
    <w:rsid w:val="000C568C"/>
    <w:rsid w:val="000C61CF"/>
    <w:rsid w:val="000C6FDF"/>
    <w:rsid w:val="000C70ED"/>
    <w:rsid w:val="000C7536"/>
    <w:rsid w:val="000C7D8B"/>
    <w:rsid w:val="000D012A"/>
    <w:rsid w:val="000D04B3"/>
    <w:rsid w:val="000D0868"/>
    <w:rsid w:val="000D1290"/>
    <w:rsid w:val="000D2135"/>
    <w:rsid w:val="000D2731"/>
    <w:rsid w:val="000D2C9C"/>
    <w:rsid w:val="000D2D22"/>
    <w:rsid w:val="000D2FFA"/>
    <w:rsid w:val="000D3AB3"/>
    <w:rsid w:val="000D40E2"/>
    <w:rsid w:val="000D46C0"/>
    <w:rsid w:val="000D472F"/>
    <w:rsid w:val="000D4E2A"/>
    <w:rsid w:val="000D5008"/>
    <w:rsid w:val="000D5420"/>
    <w:rsid w:val="000D57E2"/>
    <w:rsid w:val="000D5CDF"/>
    <w:rsid w:val="000D5F02"/>
    <w:rsid w:val="000D628D"/>
    <w:rsid w:val="000D62A1"/>
    <w:rsid w:val="000D62C0"/>
    <w:rsid w:val="000D6CDC"/>
    <w:rsid w:val="000D7156"/>
    <w:rsid w:val="000D7205"/>
    <w:rsid w:val="000D736A"/>
    <w:rsid w:val="000D7653"/>
    <w:rsid w:val="000D7BEF"/>
    <w:rsid w:val="000E056F"/>
    <w:rsid w:val="000E0928"/>
    <w:rsid w:val="000E0BFF"/>
    <w:rsid w:val="000E11C3"/>
    <w:rsid w:val="000E1D0C"/>
    <w:rsid w:val="000E2406"/>
    <w:rsid w:val="000E2709"/>
    <w:rsid w:val="000E2823"/>
    <w:rsid w:val="000E2AF3"/>
    <w:rsid w:val="000E2E9E"/>
    <w:rsid w:val="000E341D"/>
    <w:rsid w:val="000E35EC"/>
    <w:rsid w:val="000E4D39"/>
    <w:rsid w:val="000E550A"/>
    <w:rsid w:val="000E562D"/>
    <w:rsid w:val="000E593A"/>
    <w:rsid w:val="000E6EB4"/>
    <w:rsid w:val="000E750C"/>
    <w:rsid w:val="000E7549"/>
    <w:rsid w:val="000E76E6"/>
    <w:rsid w:val="000E7763"/>
    <w:rsid w:val="000F0166"/>
    <w:rsid w:val="000F0319"/>
    <w:rsid w:val="000F058A"/>
    <w:rsid w:val="000F081D"/>
    <w:rsid w:val="000F0998"/>
    <w:rsid w:val="000F0D73"/>
    <w:rsid w:val="000F101F"/>
    <w:rsid w:val="000F184D"/>
    <w:rsid w:val="000F1C6A"/>
    <w:rsid w:val="000F1FDF"/>
    <w:rsid w:val="000F24B8"/>
    <w:rsid w:val="000F2B99"/>
    <w:rsid w:val="000F2DBD"/>
    <w:rsid w:val="000F2EBE"/>
    <w:rsid w:val="000F31F8"/>
    <w:rsid w:val="000F3843"/>
    <w:rsid w:val="000F39FE"/>
    <w:rsid w:val="000F43B3"/>
    <w:rsid w:val="000F517F"/>
    <w:rsid w:val="000F5A33"/>
    <w:rsid w:val="000F61CD"/>
    <w:rsid w:val="000F66DF"/>
    <w:rsid w:val="000F7224"/>
    <w:rsid w:val="000F7351"/>
    <w:rsid w:val="000F7515"/>
    <w:rsid w:val="000F7532"/>
    <w:rsid w:val="000F77E1"/>
    <w:rsid w:val="001005EB"/>
    <w:rsid w:val="001023F8"/>
    <w:rsid w:val="00102896"/>
    <w:rsid w:val="00102D23"/>
    <w:rsid w:val="00102D4E"/>
    <w:rsid w:val="00102F1B"/>
    <w:rsid w:val="00103022"/>
    <w:rsid w:val="00103508"/>
    <w:rsid w:val="00103865"/>
    <w:rsid w:val="001038B8"/>
    <w:rsid w:val="001043D3"/>
    <w:rsid w:val="00104A26"/>
    <w:rsid w:val="00104ECB"/>
    <w:rsid w:val="001053CD"/>
    <w:rsid w:val="0010552E"/>
    <w:rsid w:val="0010653D"/>
    <w:rsid w:val="00106902"/>
    <w:rsid w:val="00107825"/>
    <w:rsid w:val="00107E81"/>
    <w:rsid w:val="001104D5"/>
    <w:rsid w:val="00110976"/>
    <w:rsid w:val="00110C65"/>
    <w:rsid w:val="00110CAC"/>
    <w:rsid w:val="00110DBC"/>
    <w:rsid w:val="0011156B"/>
    <w:rsid w:val="00111685"/>
    <w:rsid w:val="00112C88"/>
    <w:rsid w:val="001132D7"/>
    <w:rsid w:val="0011343D"/>
    <w:rsid w:val="00114006"/>
    <w:rsid w:val="001146A2"/>
    <w:rsid w:val="00114B5C"/>
    <w:rsid w:val="00114E78"/>
    <w:rsid w:val="0011556B"/>
    <w:rsid w:val="00115775"/>
    <w:rsid w:val="0011614F"/>
    <w:rsid w:val="001162A0"/>
    <w:rsid w:val="00117981"/>
    <w:rsid w:val="00117D4F"/>
    <w:rsid w:val="00117DE7"/>
    <w:rsid w:val="00120735"/>
    <w:rsid w:val="00120C76"/>
    <w:rsid w:val="00120D73"/>
    <w:rsid w:val="00121859"/>
    <w:rsid w:val="00121964"/>
    <w:rsid w:val="00121A23"/>
    <w:rsid w:val="0012281C"/>
    <w:rsid w:val="00122F07"/>
    <w:rsid w:val="00123118"/>
    <w:rsid w:val="00124045"/>
    <w:rsid w:val="00124559"/>
    <w:rsid w:val="001245D0"/>
    <w:rsid w:val="00124A54"/>
    <w:rsid w:val="00124F41"/>
    <w:rsid w:val="00125F8F"/>
    <w:rsid w:val="00125FF1"/>
    <w:rsid w:val="001274C0"/>
    <w:rsid w:val="00127874"/>
    <w:rsid w:val="001300B0"/>
    <w:rsid w:val="00130695"/>
    <w:rsid w:val="00130735"/>
    <w:rsid w:val="00130B08"/>
    <w:rsid w:val="00130B27"/>
    <w:rsid w:val="00130DD9"/>
    <w:rsid w:val="0013149C"/>
    <w:rsid w:val="0013192D"/>
    <w:rsid w:val="0013249D"/>
    <w:rsid w:val="00132C8A"/>
    <w:rsid w:val="00133052"/>
    <w:rsid w:val="001335EB"/>
    <w:rsid w:val="001336F3"/>
    <w:rsid w:val="00133E5A"/>
    <w:rsid w:val="00133EF5"/>
    <w:rsid w:val="00134111"/>
    <w:rsid w:val="001341DD"/>
    <w:rsid w:val="001341EF"/>
    <w:rsid w:val="00134786"/>
    <w:rsid w:val="00135289"/>
    <w:rsid w:val="0013591C"/>
    <w:rsid w:val="00135F46"/>
    <w:rsid w:val="0013644C"/>
    <w:rsid w:val="0013694D"/>
    <w:rsid w:val="001369B9"/>
    <w:rsid w:val="00136BA9"/>
    <w:rsid w:val="00137A06"/>
    <w:rsid w:val="00137F8E"/>
    <w:rsid w:val="001407F6"/>
    <w:rsid w:val="00140ADF"/>
    <w:rsid w:val="00140AFA"/>
    <w:rsid w:val="00140EBC"/>
    <w:rsid w:val="00141313"/>
    <w:rsid w:val="0014138D"/>
    <w:rsid w:val="00141451"/>
    <w:rsid w:val="001422CC"/>
    <w:rsid w:val="00142569"/>
    <w:rsid w:val="001427A1"/>
    <w:rsid w:val="00142AF5"/>
    <w:rsid w:val="00142EC4"/>
    <w:rsid w:val="00142F5D"/>
    <w:rsid w:val="0014309F"/>
    <w:rsid w:val="001437BC"/>
    <w:rsid w:val="0014387D"/>
    <w:rsid w:val="001439A1"/>
    <w:rsid w:val="001443B4"/>
    <w:rsid w:val="00144917"/>
    <w:rsid w:val="00144E82"/>
    <w:rsid w:val="0014502F"/>
    <w:rsid w:val="00145702"/>
    <w:rsid w:val="001469BE"/>
    <w:rsid w:val="00146C71"/>
    <w:rsid w:val="00146F15"/>
    <w:rsid w:val="001473DE"/>
    <w:rsid w:val="00147404"/>
    <w:rsid w:val="00147422"/>
    <w:rsid w:val="001476F6"/>
    <w:rsid w:val="00147FED"/>
    <w:rsid w:val="00150CE8"/>
    <w:rsid w:val="0015240A"/>
    <w:rsid w:val="0015254E"/>
    <w:rsid w:val="0015261C"/>
    <w:rsid w:val="00152B45"/>
    <w:rsid w:val="00152DE0"/>
    <w:rsid w:val="001532D6"/>
    <w:rsid w:val="00153744"/>
    <w:rsid w:val="00153CFB"/>
    <w:rsid w:val="00153D71"/>
    <w:rsid w:val="00154AA1"/>
    <w:rsid w:val="00154DE1"/>
    <w:rsid w:val="001556A6"/>
    <w:rsid w:val="00155D59"/>
    <w:rsid w:val="0015681B"/>
    <w:rsid w:val="00156AC8"/>
    <w:rsid w:val="001572F8"/>
    <w:rsid w:val="00157919"/>
    <w:rsid w:val="00157C2D"/>
    <w:rsid w:val="00160032"/>
    <w:rsid w:val="001607C9"/>
    <w:rsid w:val="00160E62"/>
    <w:rsid w:val="00161138"/>
    <w:rsid w:val="001612D6"/>
    <w:rsid w:val="00161386"/>
    <w:rsid w:val="001615BB"/>
    <w:rsid w:val="00161A4E"/>
    <w:rsid w:val="00164805"/>
    <w:rsid w:val="00164956"/>
    <w:rsid w:val="00165145"/>
    <w:rsid w:val="00165647"/>
    <w:rsid w:val="00165677"/>
    <w:rsid w:val="0016575C"/>
    <w:rsid w:val="0016623A"/>
    <w:rsid w:val="001663C1"/>
    <w:rsid w:val="00166538"/>
    <w:rsid w:val="00167093"/>
    <w:rsid w:val="001679D6"/>
    <w:rsid w:val="00170286"/>
    <w:rsid w:val="00170675"/>
    <w:rsid w:val="0017069D"/>
    <w:rsid w:val="00170FC8"/>
    <w:rsid w:val="00171379"/>
    <w:rsid w:val="001716D4"/>
    <w:rsid w:val="0017199D"/>
    <w:rsid w:val="00171DB9"/>
    <w:rsid w:val="00171F73"/>
    <w:rsid w:val="001722AA"/>
    <w:rsid w:val="00172839"/>
    <w:rsid w:val="00173DC6"/>
    <w:rsid w:val="00174847"/>
    <w:rsid w:val="00174E99"/>
    <w:rsid w:val="0017505D"/>
    <w:rsid w:val="00175943"/>
    <w:rsid w:val="00175CD3"/>
    <w:rsid w:val="00176198"/>
    <w:rsid w:val="00176244"/>
    <w:rsid w:val="00176370"/>
    <w:rsid w:val="001765D6"/>
    <w:rsid w:val="001767EB"/>
    <w:rsid w:val="00176D10"/>
    <w:rsid w:val="00176F27"/>
    <w:rsid w:val="001775AA"/>
    <w:rsid w:val="001776B2"/>
    <w:rsid w:val="001806D9"/>
    <w:rsid w:val="001809C5"/>
    <w:rsid w:val="00180F57"/>
    <w:rsid w:val="001815E2"/>
    <w:rsid w:val="00182896"/>
    <w:rsid w:val="00182E3C"/>
    <w:rsid w:val="00182E6C"/>
    <w:rsid w:val="00183FE4"/>
    <w:rsid w:val="00184268"/>
    <w:rsid w:val="00184B5E"/>
    <w:rsid w:val="0018507D"/>
    <w:rsid w:val="001852C2"/>
    <w:rsid w:val="00185318"/>
    <w:rsid w:val="0018670D"/>
    <w:rsid w:val="00186AA4"/>
    <w:rsid w:val="0018742B"/>
    <w:rsid w:val="00187DBF"/>
    <w:rsid w:val="00190AB5"/>
    <w:rsid w:val="00190C6E"/>
    <w:rsid w:val="0019118E"/>
    <w:rsid w:val="00191464"/>
    <w:rsid w:val="00191652"/>
    <w:rsid w:val="00191BE3"/>
    <w:rsid w:val="00192243"/>
    <w:rsid w:val="0019234B"/>
    <w:rsid w:val="00192712"/>
    <w:rsid w:val="00192840"/>
    <w:rsid w:val="001935B3"/>
    <w:rsid w:val="00193A15"/>
    <w:rsid w:val="00193AF9"/>
    <w:rsid w:val="00194039"/>
    <w:rsid w:val="001940F0"/>
    <w:rsid w:val="0019432E"/>
    <w:rsid w:val="00194427"/>
    <w:rsid w:val="00195069"/>
    <w:rsid w:val="001959AC"/>
    <w:rsid w:val="00195BAC"/>
    <w:rsid w:val="00195DE0"/>
    <w:rsid w:val="001966CF"/>
    <w:rsid w:val="001968C7"/>
    <w:rsid w:val="00196A2C"/>
    <w:rsid w:val="00196CBA"/>
    <w:rsid w:val="00196DA5"/>
    <w:rsid w:val="001979DC"/>
    <w:rsid w:val="00197AFC"/>
    <w:rsid w:val="00197FDA"/>
    <w:rsid w:val="001A0DB9"/>
    <w:rsid w:val="001A0DE6"/>
    <w:rsid w:val="001A15AC"/>
    <w:rsid w:val="001A1826"/>
    <w:rsid w:val="001A1E0D"/>
    <w:rsid w:val="001A1F7B"/>
    <w:rsid w:val="001A2499"/>
    <w:rsid w:val="001A270D"/>
    <w:rsid w:val="001A2A69"/>
    <w:rsid w:val="001A2D26"/>
    <w:rsid w:val="001A2E28"/>
    <w:rsid w:val="001A31F0"/>
    <w:rsid w:val="001A3D70"/>
    <w:rsid w:val="001A41E1"/>
    <w:rsid w:val="001A4A17"/>
    <w:rsid w:val="001A4A33"/>
    <w:rsid w:val="001A4A4C"/>
    <w:rsid w:val="001A4AC3"/>
    <w:rsid w:val="001A4F45"/>
    <w:rsid w:val="001A562A"/>
    <w:rsid w:val="001A56D9"/>
    <w:rsid w:val="001A5AB0"/>
    <w:rsid w:val="001A5CB2"/>
    <w:rsid w:val="001A5D24"/>
    <w:rsid w:val="001A5EF9"/>
    <w:rsid w:val="001A6086"/>
    <w:rsid w:val="001A63E8"/>
    <w:rsid w:val="001A6760"/>
    <w:rsid w:val="001A67A2"/>
    <w:rsid w:val="001A6EE1"/>
    <w:rsid w:val="001A6F10"/>
    <w:rsid w:val="001A75E3"/>
    <w:rsid w:val="001A76E3"/>
    <w:rsid w:val="001B0571"/>
    <w:rsid w:val="001B0B41"/>
    <w:rsid w:val="001B1196"/>
    <w:rsid w:val="001B27B1"/>
    <w:rsid w:val="001B27CF"/>
    <w:rsid w:val="001B2B32"/>
    <w:rsid w:val="001B2D3E"/>
    <w:rsid w:val="001B2D72"/>
    <w:rsid w:val="001B2DC3"/>
    <w:rsid w:val="001B2F8B"/>
    <w:rsid w:val="001B3052"/>
    <w:rsid w:val="001B3359"/>
    <w:rsid w:val="001B3594"/>
    <w:rsid w:val="001B3977"/>
    <w:rsid w:val="001B3A03"/>
    <w:rsid w:val="001B3D62"/>
    <w:rsid w:val="001B4173"/>
    <w:rsid w:val="001B43CD"/>
    <w:rsid w:val="001B4624"/>
    <w:rsid w:val="001B5135"/>
    <w:rsid w:val="001B5B3D"/>
    <w:rsid w:val="001B644D"/>
    <w:rsid w:val="001B7250"/>
    <w:rsid w:val="001B73E3"/>
    <w:rsid w:val="001B76E6"/>
    <w:rsid w:val="001B7C15"/>
    <w:rsid w:val="001C0768"/>
    <w:rsid w:val="001C184C"/>
    <w:rsid w:val="001C1A73"/>
    <w:rsid w:val="001C21AF"/>
    <w:rsid w:val="001C21CB"/>
    <w:rsid w:val="001C2305"/>
    <w:rsid w:val="001C2A2A"/>
    <w:rsid w:val="001C3392"/>
    <w:rsid w:val="001C3788"/>
    <w:rsid w:val="001C4773"/>
    <w:rsid w:val="001C489F"/>
    <w:rsid w:val="001C4E00"/>
    <w:rsid w:val="001C4FCD"/>
    <w:rsid w:val="001C54FA"/>
    <w:rsid w:val="001C5754"/>
    <w:rsid w:val="001C575C"/>
    <w:rsid w:val="001C618F"/>
    <w:rsid w:val="001C631A"/>
    <w:rsid w:val="001C6605"/>
    <w:rsid w:val="001C6747"/>
    <w:rsid w:val="001C6A28"/>
    <w:rsid w:val="001C6AD2"/>
    <w:rsid w:val="001C73F7"/>
    <w:rsid w:val="001C76DF"/>
    <w:rsid w:val="001C7C68"/>
    <w:rsid w:val="001D00F3"/>
    <w:rsid w:val="001D07AE"/>
    <w:rsid w:val="001D0A5D"/>
    <w:rsid w:val="001D0F49"/>
    <w:rsid w:val="001D1289"/>
    <w:rsid w:val="001D1F4E"/>
    <w:rsid w:val="001D2284"/>
    <w:rsid w:val="001D248A"/>
    <w:rsid w:val="001D2BF6"/>
    <w:rsid w:val="001D2C25"/>
    <w:rsid w:val="001D2EDD"/>
    <w:rsid w:val="001D2F10"/>
    <w:rsid w:val="001D38A4"/>
    <w:rsid w:val="001D3CF2"/>
    <w:rsid w:val="001D4724"/>
    <w:rsid w:val="001D4848"/>
    <w:rsid w:val="001D488C"/>
    <w:rsid w:val="001D4A67"/>
    <w:rsid w:val="001D52E2"/>
    <w:rsid w:val="001D5E7C"/>
    <w:rsid w:val="001D7DD9"/>
    <w:rsid w:val="001D7EBF"/>
    <w:rsid w:val="001E0305"/>
    <w:rsid w:val="001E0528"/>
    <w:rsid w:val="001E0784"/>
    <w:rsid w:val="001E0960"/>
    <w:rsid w:val="001E0968"/>
    <w:rsid w:val="001E11EE"/>
    <w:rsid w:val="001E1B02"/>
    <w:rsid w:val="001E204F"/>
    <w:rsid w:val="001E2AD0"/>
    <w:rsid w:val="001E2CEE"/>
    <w:rsid w:val="001E30BC"/>
    <w:rsid w:val="001E3368"/>
    <w:rsid w:val="001E38DF"/>
    <w:rsid w:val="001E42A9"/>
    <w:rsid w:val="001E4824"/>
    <w:rsid w:val="001E4E50"/>
    <w:rsid w:val="001E637E"/>
    <w:rsid w:val="001E647F"/>
    <w:rsid w:val="001E6B25"/>
    <w:rsid w:val="001E6F77"/>
    <w:rsid w:val="001F044A"/>
    <w:rsid w:val="001F0684"/>
    <w:rsid w:val="001F09D9"/>
    <w:rsid w:val="001F0C8C"/>
    <w:rsid w:val="001F1C33"/>
    <w:rsid w:val="001F2723"/>
    <w:rsid w:val="001F2A78"/>
    <w:rsid w:val="001F2DF3"/>
    <w:rsid w:val="001F373E"/>
    <w:rsid w:val="001F3FA0"/>
    <w:rsid w:val="001F4338"/>
    <w:rsid w:val="001F43D4"/>
    <w:rsid w:val="001F50EC"/>
    <w:rsid w:val="001F5AF2"/>
    <w:rsid w:val="001F5EE6"/>
    <w:rsid w:val="001F652D"/>
    <w:rsid w:val="001F709D"/>
    <w:rsid w:val="001F70C3"/>
    <w:rsid w:val="001F722C"/>
    <w:rsid w:val="001F78AE"/>
    <w:rsid w:val="001F7B1F"/>
    <w:rsid w:val="00200525"/>
    <w:rsid w:val="002007B0"/>
    <w:rsid w:val="0020088C"/>
    <w:rsid w:val="00201539"/>
    <w:rsid w:val="00201A33"/>
    <w:rsid w:val="00201E6E"/>
    <w:rsid w:val="00202462"/>
    <w:rsid w:val="00202531"/>
    <w:rsid w:val="00202902"/>
    <w:rsid w:val="002030C6"/>
    <w:rsid w:val="00203355"/>
    <w:rsid w:val="00204052"/>
    <w:rsid w:val="0020416D"/>
    <w:rsid w:val="002044EA"/>
    <w:rsid w:val="00204868"/>
    <w:rsid w:val="0020493C"/>
    <w:rsid w:val="00204A33"/>
    <w:rsid w:val="002052B0"/>
    <w:rsid w:val="002052D8"/>
    <w:rsid w:val="002058D3"/>
    <w:rsid w:val="00205B2F"/>
    <w:rsid w:val="00205D7E"/>
    <w:rsid w:val="00206528"/>
    <w:rsid w:val="00206E71"/>
    <w:rsid w:val="002070DF"/>
    <w:rsid w:val="00207528"/>
    <w:rsid w:val="0021019F"/>
    <w:rsid w:val="00210227"/>
    <w:rsid w:val="0021026C"/>
    <w:rsid w:val="00210328"/>
    <w:rsid w:val="002104D7"/>
    <w:rsid w:val="00210C28"/>
    <w:rsid w:val="0021129D"/>
    <w:rsid w:val="0021133E"/>
    <w:rsid w:val="0021145F"/>
    <w:rsid w:val="00212133"/>
    <w:rsid w:val="002124B4"/>
    <w:rsid w:val="002129C0"/>
    <w:rsid w:val="00213788"/>
    <w:rsid w:val="002146BA"/>
    <w:rsid w:val="00214B7A"/>
    <w:rsid w:val="00214D04"/>
    <w:rsid w:val="002151A7"/>
    <w:rsid w:val="0021521A"/>
    <w:rsid w:val="00216364"/>
    <w:rsid w:val="00216BE9"/>
    <w:rsid w:val="002170B0"/>
    <w:rsid w:val="00217580"/>
    <w:rsid w:val="0021764C"/>
    <w:rsid w:val="00217A90"/>
    <w:rsid w:val="00217C89"/>
    <w:rsid w:val="00217D35"/>
    <w:rsid w:val="00217EB9"/>
    <w:rsid w:val="0022038B"/>
    <w:rsid w:val="002204CC"/>
    <w:rsid w:val="00220F1C"/>
    <w:rsid w:val="00221332"/>
    <w:rsid w:val="00221AB8"/>
    <w:rsid w:val="00221DC3"/>
    <w:rsid w:val="00221F62"/>
    <w:rsid w:val="002221BC"/>
    <w:rsid w:val="00223283"/>
    <w:rsid w:val="00223A01"/>
    <w:rsid w:val="00224F11"/>
    <w:rsid w:val="002254AD"/>
    <w:rsid w:val="00225D68"/>
    <w:rsid w:val="0022621E"/>
    <w:rsid w:val="00226304"/>
    <w:rsid w:val="002264B0"/>
    <w:rsid w:val="00226BFB"/>
    <w:rsid w:val="00226F47"/>
    <w:rsid w:val="002274CF"/>
    <w:rsid w:val="002309B3"/>
    <w:rsid w:val="00230FB6"/>
    <w:rsid w:val="002311F1"/>
    <w:rsid w:val="00231B1B"/>
    <w:rsid w:val="00231D89"/>
    <w:rsid w:val="00231F77"/>
    <w:rsid w:val="00232329"/>
    <w:rsid w:val="00232992"/>
    <w:rsid w:val="002334A7"/>
    <w:rsid w:val="00233667"/>
    <w:rsid w:val="0023377D"/>
    <w:rsid w:val="00233814"/>
    <w:rsid w:val="00233A18"/>
    <w:rsid w:val="00233BC0"/>
    <w:rsid w:val="00234173"/>
    <w:rsid w:val="00234F79"/>
    <w:rsid w:val="00235080"/>
    <w:rsid w:val="002352DA"/>
    <w:rsid w:val="00235394"/>
    <w:rsid w:val="00235C5E"/>
    <w:rsid w:val="00235E1E"/>
    <w:rsid w:val="00236199"/>
    <w:rsid w:val="002367E6"/>
    <w:rsid w:val="00237002"/>
    <w:rsid w:val="00237063"/>
    <w:rsid w:val="00237715"/>
    <w:rsid w:val="00237E66"/>
    <w:rsid w:val="00240A27"/>
    <w:rsid w:val="00240D58"/>
    <w:rsid w:val="00240E9E"/>
    <w:rsid w:val="00240FF8"/>
    <w:rsid w:val="0024112E"/>
    <w:rsid w:val="00241320"/>
    <w:rsid w:val="0024141F"/>
    <w:rsid w:val="0024155A"/>
    <w:rsid w:val="002415C3"/>
    <w:rsid w:val="00241798"/>
    <w:rsid w:val="002424F6"/>
    <w:rsid w:val="0024256A"/>
    <w:rsid w:val="002432A9"/>
    <w:rsid w:val="00243924"/>
    <w:rsid w:val="002446C5"/>
    <w:rsid w:val="002448F1"/>
    <w:rsid w:val="002449B5"/>
    <w:rsid w:val="00244A17"/>
    <w:rsid w:val="00244B5A"/>
    <w:rsid w:val="00244BF6"/>
    <w:rsid w:val="00244DCD"/>
    <w:rsid w:val="00245766"/>
    <w:rsid w:val="00245B37"/>
    <w:rsid w:val="00245F8E"/>
    <w:rsid w:val="002460A6"/>
    <w:rsid w:val="00246491"/>
    <w:rsid w:val="00246A83"/>
    <w:rsid w:val="00246C4C"/>
    <w:rsid w:val="00246FC5"/>
    <w:rsid w:val="0024723D"/>
    <w:rsid w:val="002472BC"/>
    <w:rsid w:val="00250494"/>
    <w:rsid w:val="00250F5E"/>
    <w:rsid w:val="002511E2"/>
    <w:rsid w:val="002512F9"/>
    <w:rsid w:val="002516F9"/>
    <w:rsid w:val="00251B07"/>
    <w:rsid w:val="00252C7B"/>
    <w:rsid w:val="0025380A"/>
    <w:rsid w:val="00253816"/>
    <w:rsid w:val="00253985"/>
    <w:rsid w:val="00253C39"/>
    <w:rsid w:val="00254316"/>
    <w:rsid w:val="00254817"/>
    <w:rsid w:val="00255070"/>
    <w:rsid w:val="0025583D"/>
    <w:rsid w:val="00255B64"/>
    <w:rsid w:val="00256688"/>
    <w:rsid w:val="00256971"/>
    <w:rsid w:val="002569D0"/>
    <w:rsid w:val="0025708A"/>
    <w:rsid w:val="00257151"/>
    <w:rsid w:val="00257896"/>
    <w:rsid w:val="00257B40"/>
    <w:rsid w:val="00257F6C"/>
    <w:rsid w:val="00260431"/>
    <w:rsid w:val="00260CFB"/>
    <w:rsid w:val="00260D0F"/>
    <w:rsid w:val="00260DAA"/>
    <w:rsid w:val="00260DB1"/>
    <w:rsid w:val="00261774"/>
    <w:rsid w:val="002621CB"/>
    <w:rsid w:val="002622DF"/>
    <w:rsid w:val="0026259D"/>
    <w:rsid w:val="00262E2F"/>
    <w:rsid w:val="002634A8"/>
    <w:rsid w:val="002635E0"/>
    <w:rsid w:val="002638E4"/>
    <w:rsid w:val="0026443F"/>
    <w:rsid w:val="002646BE"/>
    <w:rsid w:val="002649CA"/>
    <w:rsid w:val="00264D29"/>
    <w:rsid w:val="00264DE9"/>
    <w:rsid w:val="00265192"/>
    <w:rsid w:val="002655D6"/>
    <w:rsid w:val="00265691"/>
    <w:rsid w:val="00265878"/>
    <w:rsid w:val="002659DB"/>
    <w:rsid w:val="00265C65"/>
    <w:rsid w:val="00265D49"/>
    <w:rsid w:val="00266DC8"/>
    <w:rsid w:val="00266F02"/>
    <w:rsid w:val="002675CC"/>
    <w:rsid w:val="002678EB"/>
    <w:rsid w:val="00270650"/>
    <w:rsid w:val="00270D65"/>
    <w:rsid w:val="00271241"/>
    <w:rsid w:val="0027198B"/>
    <w:rsid w:val="00271DA1"/>
    <w:rsid w:val="00272487"/>
    <w:rsid w:val="00272542"/>
    <w:rsid w:val="00272B9A"/>
    <w:rsid w:val="0027340D"/>
    <w:rsid w:val="00273D30"/>
    <w:rsid w:val="0027450A"/>
    <w:rsid w:val="00274E2B"/>
    <w:rsid w:val="00275102"/>
    <w:rsid w:val="00275AAA"/>
    <w:rsid w:val="002760E9"/>
    <w:rsid w:val="00277D1E"/>
    <w:rsid w:val="00280950"/>
    <w:rsid w:val="00280B8E"/>
    <w:rsid w:val="00281844"/>
    <w:rsid w:val="002819E0"/>
    <w:rsid w:val="00281E63"/>
    <w:rsid w:val="002831E2"/>
    <w:rsid w:val="002832F4"/>
    <w:rsid w:val="00283352"/>
    <w:rsid w:val="00283782"/>
    <w:rsid w:val="00283D24"/>
    <w:rsid w:val="002841E2"/>
    <w:rsid w:val="002842D1"/>
    <w:rsid w:val="002845EC"/>
    <w:rsid w:val="00284F7F"/>
    <w:rsid w:val="0028502C"/>
    <w:rsid w:val="002851B2"/>
    <w:rsid w:val="00285E23"/>
    <w:rsid w:val="00285F86"/>
    <w:rsid w:val="00287EBA"/>
    <w:rsid w:val="00290085"/>
    <w:rsid w:val="002905CF"/>
    <w:rsid w:val="00290FDE"/>
    <w:rsid w:val="00291724"/>
    <w:rsid w:val="00292261"/>
    <w:rsid w:val="00293143"/>
    <w:rsid w:val="00293320"/>
    <w:rsid w:val="00294058"/>
    <w:rsid w:val="00294119"/>
    <w:rsid w:val="00294245"/>
    <w:rsid w:val="00294555"/>
    <w:rsid w:val="00294D4E"/>
    <w:rsid w:val="00294DE8"/>
    <w:rsid w:val="002959EE"/>
    <w:rsid w:val="002967F0"/>
    <w:rsid w:val="00296D0F"/>
    <w:rsid w:val="00296D6F"/>
    <w:rsid w:val="002974D9"/>
    <w:rsid w:val="00297573"/>
    <w:rsid w:val="00297D8B"/>
    <w:rsid w:val="002A0596"/>
    <w:rsid w:val="002A16FC"/>
    <w:rsid w:val="002A18C9"/>
    <w:rsid w:val="002A27F3"/>
    <w:rsid w:val="002A3071"/>
    <w:rsid w:val="002A318B"/>
    <w:rsid w:val="002A3283"/>
    <w:rsid w:val="002A3D52"/>
    <w:rsid w:val="002A4017"/>
    <w:rsid w:val="002A456A"/>
    <w:rsid w:val="002A509C"/>
    <w:rsid w:val="002A5322"/>
    <w:rsid w:val="002A61CE"/>
    <w:rsid w:val="002A6287"/>
    <w:rsid w:val="002A6992"/>
    <w:rsid w:val="002A7496"/>
    <w:rsid w:val="002A7537"/>
    <w:rsid w:val="002A7E6F"/>
    <w:rsid w:val="002B048E"/>
    <w:rsid w:val="002B0AE5"/>
    <w:rsid w:val="002B0BD6"/>
    <w:rsid w:val="002B0EAC"/>
    <w:rsid w:val="002B19B6"/>
    <w:rsid w:val="002B1E81"/>
    <w:rsid w:val="002B1ECA"/>
    <w:rsid w:val="002B2285"/>
    <w:rsid w:val="002B302B"/>
    <w:rsid w:val="002B31CD"/>
    <w:rsid w:val="002B3521"/>
    <w:rsid w:val="002B4127"/>
    <w:rsid w:val="002B490C"/>
    <w:rsid w:val="002B4A79"/>
    <w:rsid w:val="002B500D"/>
    <w:rsid w:val="002B540E"/>
    <w:rsid w:val="002B558A"/>
    <w:rsid w:val="002B5C37"/>
    <w:rsid w:val="002B6438"/>
    <w:rsid w:val="002B6588"/>
    <w:rsid w:val="002B68D8"/>
    <w:rsid w:val="002B6A22"/>
    <w:rsid w:val="002B6BDA"/>
    <w:rsid w:val="002B6D4E"/>
    <w:rsid w:val="002B734C"/>
    <w:rsid w:val="002B7FAE"/>
    <w:rsid w:val="002C0166"/>
    <w:rsid w:val="002C01CB"/>
    <w:rsid w:val="002C0AD5"/>
    <w:rsid w:val="002C0D41"/>
    <w:rsid w:val="002C1826"/>
    <w:rsid w:val="002C19BC"/>
    <w:rsid w:val="002C20ED"/>
    <w:rsid w:val="002C2958"/>
    <w:rsid w:val="002C30C7"/>
    <w:rsid w:val="002C31E1"/>
    <w:rsid w:val="002C3465"/>
    <w:rsid w:val="002C35BC"/>
    <w:rsid w:val="002C3D86"/>
    <w:rsid w:val="002C4701"/>
    <w:rsid w:val="002C498A"/>
    <w:rsid w:val="002C4A03"/>
    <w:rsid w:val="002C4B1F"/>
    <w:rsid w:val="002C4D9B"/>
    <w:rsid w:val="002C4DEF"/>
    <w:rsid w:val="002C534E"/>
    <w:rsid w:val="002C5C17"/>
    <w:rsid w:val="002C5F7E"/>
    <w:rsid w:val="002C6E85"/>
    <w:rsid w:val="002C76DB"/>
    <w:rsid w:val="002C7A59"/>
    <w:rsid w:val="002C7FA3"/>
    <w:rsid w:val="002D0378"/>
    <w:rsid w:val="002D0CFB"/>
    <w:rsid w:val="002D118F"/>
    <w:rsid w:val="002D244E"/>
    <w:rsid w:val="002D28D0"/>
    <w:rsid w:val="002D2DD9"/>
    <w:rsid w:val="002D31C6"/>
    <w:rsid w:val="002D33F7"/>
    <w:rsid w:val="002D3510"/>
    <w:rsid w:val="002D36EA"/>
    <w:rsid w:val="002D3E5C"/>
    <w:rsid w:val="002D4131"/>
    <w:rsid w:val="002D4500"/>
    <w:rsid w:val="002D5072"/>
    <w:rsid w:val="002D509B"/>
    <w:rsid w:val="002D5165"/>
    <w:rsid w:val="002D567D"/>
    <w:rsid w:val="002D603E"/>
    <w:rsid w:val="002D694A"/>
    <w:rsid w:val="002E00DA"/>
    <w:rsid w:val="002E010A"/>
    <w:rsid w:val="002E0143"/>
    <w:rsid w:val="002E06FC"/>
    <w:rsid w:val="002E0BE6"/>
    <w:rsid w:val="002E186B"/>
    <w:rsid w:val="002E21AD"/>
    <w:rsid w:val="002E2287"/>
    <w:rsid w:val="002E2453"/>
    <w:rsid w:val="002E24D8"/>
    <w:rsid w:val="002E2AB6"/>
    <w:rsid w:val="002E2E64"/>
    <w:rsid w:val="002E39E0"/>
    <w:rsid w:val="002E3F11"/>
    <w:rsid w:val="002E4E00"/>
    <w:rsid w:val="002E4F68"/>
    <w:rsid w:val="002E5395"/>
    <w:rsid w:val="002E597D"/>
    <w:rsid w:val="002E5996"/>
    <w:rsid w:val="002E5B1A"/>
    <w:rsid w:val="002E5DFA"/>
    <w:rsid w:val="002E68F6"/>
    <w:rsid w:val="002E6BAC"/>
    <w:rsid w:val="002E72D3"/>
    <w:rsid w:val="002E7868"/>
    <w:rsid w:val="002E7ACF"/>
    <w:rsid w:val="002E7EE0"/>
    <w:rsid w:val="002F0AA7"/>
    <w:rsid w:val="002F0C47"/>
    <w:rsid w:val="002F1BC0"/>
    <w:rsid w:val="002F201A"/>
    <w:rsid w:val="002F2149"/>
    <w:rsid w:val="002F2426"/>
    <w:rsid w:val="002F242B"/>
    <w:rsid w:val="002F29B6"/>
    <w:rsid w:val="002F2C74"/>
    <w:rsid w:val="002F305A"/>
    <w:rsid w:val="002F36A1"/>
    <w:rsid w:val="002F36BC"/>
    <w:rsid w:val="002F3709"/>
    <w:rsid w:val="002F41C9"/>
    <w:rsid w:val="002F43F1"/>
    <w:rsid w:val="002F48A9"/>
    <w:rsid w:val="002F4A68"/>
    <w:rsid w:val="002F5627"/>
    <w:rsid w:val="002F5A8A"/>
    <w:rsid w:val="002F6062"/>
    <w:rsid w:val="002F6519"/>
    <w:rsid w:val="002F664A"/>
    <w:rsid w:val="002F6E0E"/>
    <w:rsid w:val="002F7611"/>
    <w:rsid w:val="002F7882"/>
    <w:rsid w:val="002F78BD"/>
    <w:rsid w:val="002F7AB3"/>
    <w:rsid w:val="002F7D42"/>
    <w:rsid w:val="002F7F17"/>
    <w:rsid w:val="00300CF9"/>
    <w:rsid w:val="00301367"/>
    <w:rsid w:val="00301782"/>
    <w:rsid w:val="00301C0F"/>
    <w:rsid w:val="00301C22"/>
    <w:rsid w:val="00303971"/>
    <w:rsid w:val="003039C3"/>
    <w:rsid w:val="00303DA1"/>
    <w:rsid w:val="00303EBD"/>
    <w:rsid w:val="00304286"/>
    <w:rsid w:val="003043F0"/>
    <w:rsid w:val="0030451A"/>
    <w:rsid w:val="0030469E"/>
    <w:rsid w:val="00304A21"/>
    <w:rsid w:val="00304F19"/>
    <w:rsid w:val="00305423"/>
    <w:rsid w:val="00305565"/>
    <w:rsid w:val="00305BC0"/>
    <w:rsid w:val="00306011"/>
    <w:rsid w:val="00306DE4"/>
    <w:rsid w:val="00306EFA"/>
    <w:rsid w:val="00307169"/>
    <w:rsid w:val="0031028E"/>
    <w:rsid w:val="003105F9"/>
    <w:rsid w:val="0031117B"/>
    <w:rsid w:val="00312356"/>
    <w:rsid w:val="003127F8"/>
    <w:rsid w:val="003128F2"/>
    <w:rsid w:val="00314609"/>
    <w:rsid w:val="00316238"/>
    <w:rsid w:val="003162FB"/>
    <w:rsid w:val="0031649A"/>
    <w:rsid w:val="00316CA2"/>
    <w:rsid w:val="0031700A"/>
    <w:rsid w:val="003171EB"/>
    <w:rsid w:val="0031770C"/>
    <w:rsid w:val="00317F19"/>
    <w:rsid w:val="0032002D"/>
    <w:rsid w:val="00320C26"/>
    <w:rsid w:val="00320E2B"/>
    <w:rsid w:val="00320EA4"/>
    <w:rsid w:val="0032168A"/>
    <w:rsid w:val="00321884"/>
    <w:rsid w:val="00321C0C"/>
    <w:rsid w:val="00321D18"/>
    <w:rsid w:val="0032293F"/>
    <w:rsid w:val="00322C25"/>
    <w:rsid w:val="00322CCD"/>
    <w:rsid w:val="003232D0"/>
    <w:rsid w:val="003236A3"/>
    <w:rsid w:val="00323A75"/>
    <w:rsid w:val="00323ABD"/>
    <w:rsid w:val="00323B09"/>
    <w:rsid w:val="00324D38"/>
    <w:rsid w:val="00324D8C"/>
    <w:rsid w:val="003251B9"/>
    <w:rsid w:val="003257CA"/>
    <w:rsid w:val="0032598E"/>
    <w:rsid w:val="00325BF8"/>
    <w:rsid w:val="0032655C"/>
    <w:rsid w:val="00326A13"/>
    <w:rsid w:val="00326A16"/>
    <w:rsid w:val="003270B3"/>
    <w:rsid w:val="00327822"/>
    <w:rsid w:val="00327925"/>
    <w:rsid w:val="00327A9B"/>
    <w:rsid w:val="00327D52"/>
    <w:rsid w:val="0033133E"/>
    <w:rsid w:val="00331757"/>
    <w:rsid w:val="00331E29"/>
    <w:rsid w:val="0033258A"/>
    <w:rsid w:val="00332ABE"/>
    <w:rsid w:val="00332C68"/>
    <w:rsid w:val="00333A4F"/>
    <w:rsid w:val="00333F2B"/>
    <w:rsid w:val="003345AA"/>
    <w:rsid w:val="00334DCC"/>
    <w:rsid w:val="00335520"/>
    <w:rsid w:val="00335540"/>
    <w:rsid w:val="00335C59"/>
    <w:rsid w:val="00335FEB"/>
    <w:rsid w:val="0033679C"/>
    <w:rsid w:val="00336F1F"/>
    <w:rsid w:val="003404E7"/>
    <w:rsid w:val="00340AA4"/>
    <w:rsid w:val="00340CC2"/>
    <w:rsid w:val="00340CC3"/>
    <w:rsid w:val="00340D10"/>
    <w:rsid w:val="00340F5F"/>
    <w:rsid w:val="00341688"/>
    <w:rsid w:val="00341951"/>
    <w:rsid w:val="00342732"/>
    <w:rsid w:val="003429FB"/>
    <w:rsid w:val="00342F25"/>
    <w:rsid w:val="00343452"/>
    <w:rsid w:val="003436AC"/>
    <w:rsid w:val="003445C8"/>
    <w:rsid w:val="00345088"/>
    <w:rsid w:val="003454FD"/>
    <w:rsid w:val="00345C77"/>
    <w:rsid w:val="00346954"/>
    <w:rsid w:val="0034733D"/>
    <w:rsid w:val="0034760F"/>
    <w:rsid w:val="0034782A"/>
    <w:rsid w:val="00347C69"/>
    <w:rsid w:val="00347FC1"/>
    <w:rsid w:val="00350078"/>
    <w:rsid w:val="003502F5"/>
    <w:rsid w:val="003503C4"/>
    <w:rsid w:val="0035061E"/>
    <w:rsid w:val="00350B8B"/>
    <w:rsid w:val="0035122A"/>
    <w:rsid w:val="00351418"/>
    <w:rsid w:val="00351426"/>
    <w:rsid w:val="0035155A"/>
    <w:rsid w:val="0035186D"/>
    <w:rsid w:val="00351CFC"/>
    <w:rsid w:val="00351F2A"/>
    <w:rsid w:val="00352162"/>
    <w:rsid w:val="00352B83"/>
    <w:rsid w:val="003534B3"/>
    <w:rsid w:val="0035371E"/>
    <w:rsid w:val="00354512"/>
    <w:rsid w:val="00354E4F"/>
    <w:rsid w:val="00355B42"/>
    <w:rsid w:val="0035602A"/>
    <w:rsid w:val="00356067"/>
    <w:rsid w:val="00356B92"/>
    <w:rsid w:val="003573CC"/>
    <w:rsid w:val="00357D0B"/>
    <w:rsid w:val="00361034"/>
    <w:rsid w:val="00361674"/>
    <w:rsid w:val="00361A7E"/>
    <w:rsid w:val="00362027"/>
    <w:rsid w:val="003622C7"/>
    <w:rsid w:val="003624E1"/>
    <w:rsid w:val="003633B6"/>
    <w:rsid w:val="003644F0"/>
    <w:rsid w:val="00364922"/>
    <w:rsid w:val="003649AB"/>
    <w:rsid w:val="00364F25"/>
    <w:rsid w:val="00365A7B"/>
    <w:rsid w:val="00365B3C"/>
    <w:rsid w:val="00366000"/>
    <w:rsid w:val="003660E6"/>
    <w:rsid w:val="003665CD"/>
    <w:rsid w:val="00366B1E"/>
    <w:rsid w:val="003675D6"/>
    <w:rsid w:val="00370362"/>
    <w:rsid w:val="003708BF"/>
    <w:rsid w:val="00371247"/>
    <w:rsid w:val="00371447"/>
    <w:rsid w:val="003716DD"/>
    <w:rsid w:val="00371B07"/>
    <w:rsid w:val="00371CB8"/>
    <w:rsid w:val="00371E2D"/>
    <w:rsid w:val="00371F51"/>
    <w:rsid w:val="00372474"/>
    <w:rsid w:val="0037267D"/>
    <w:rsid w:val="00372A65"/>
    <w:rsid w:val="003738BE"/>
    <w:rsid w:val="00373A44"/>
    <w:rsid w:val="00373E1F"/>
    <w:rsid w:val="003744E0"/>
    <w:rsid w:val="0037509D"/>
    <w:rsid w:val="003779F3"/>
    <w:rsid w:val="00377A1D"/>
    <w:rsid w:val="00377DAC"/>
    <w:rsid w:val="0038012B"/>
    <w:rsid w:val="00380888"/>
    <w:rsid w:val="00380FB2"/>
    <w:rsid w:val="003814B4"/>
    <w:rsid w:val="003817EB"/>
    <w:rsid w:val="00381B23"/>
    <w:rsid w:val="00381F6D"/>
    <w:rsid w:val="00382276"/>
    <w:rsid w:val="003824E4"/>
    <w:rsid w:val="00383292"/>
    <w:rsid w:val="00383381"/>
    <w:rsid w:val="0038350B"/>
    <w:rsid w:val="0038377B"/>
    <w:rsid w:val="00383949"/>
    <w:rsid w:val="00384B2C"/>
    <w:rsid w:val="00384CF5"/>
    <w:rsid w:val="00385B78"/>
    <w:rsid w:val="00386681"/>
    <w:rsid w:val="003874E0"/>
    <w:rsid w:val="003877B4"/>
    <w:rsid w:val="00387D1A"/>
    <w:rsid w:val="0039016F"/>
    <w:rsid w:val="003901EE"/>
    <w:rsid w:val="00390A97"/>
    <w:rsid w:val="00390B03"/>
    <w:rsid w:val="00390C5B"/>
    <w:rsid w:val="00390D68"/>
    <w:rsid w:val="00390F5E"/>
    <w:rsid w:val="00391E37"/>
    <w:rsid w:val="0039221C"/>
    <w:rsid w:val="00392AB9"/>
    <w:rsid w:val="00392DF3"/>
    <w:rsid w:val="00393483"/>
    <w:rsid w:val="003938D3"/>
    <w:rsid w:val="003939A2"/>
    <w:rsid w:val="00393A78"/>
    <w:rsid w:val="00394808"/>
    <w:rsid w:val="00394B82"/>
    <w:rsid w:val="00395A33"/>
    <w:rsid w:val="00395BC4"/>
    <w:rsid w:val="00395C3D"/>
    <w:rsid w:val="00395E2E"/>
    <w:rsid w:val="00395F34"/>
    <w:rsid w:val="003970DB"/>
    <w:rsid w:val="0039749E"/>
    <w:rsid w:val="003974E2"/>
    <w:rsid w:val="00397B6C"/>
    <w:rsid w:val="003A080E"/>
    <w:rsid w:val="003A08D7"/>
    <w:rsid w:val="003A098F"/>
    <w:rsid w:val="003A1268"/>
    <w:rsid w:val="003A1579"/>
    <w:rsid w:val="003A1C0D"/>
    <w:rsid w:val="003A2E6F"/>
    <w:rsid w:val="003A34AE"/>
    <w:rsid w:val="003A3BE5"/>
    <w:rsid w:val="003A499D"/>
    <w:rsid w:val="003A4B4D"/>
    <w:rsid w:val="003A4CFF"/>
    <w:rsid w:val="003A4D2D"/>
    <w:rsid w:val="003A4D30"/>
    <w:rsid w:val="003A5465"/>
    <w:rsid w:val="003A5C70"/>
    <w:rsid w:val="003A5D9E"/>
    <w:rsid w:val="003A6158"/>
    <w:rsid w:val="003A644D"/>
    <w:rsid w:val="003A69FD"/>
    <w:rsid w:val="003A7151"/>
    <w:rsid w:val="003A72A8"/>
    <w:rsid w:val="003A7D77"/>
    <w:rsid w:val="003B01A7"/>
    <w:rsid w:val="003B0B74"/>
    <w:rsid w:val="003B1074"/>
    <w:rsid w:val="003B114C"/>
    <w:rsid w:val="003B23A6"/>
    <w:rsid w:val="003B379E"/>
    <w:rsid w:val="003B38B0"/>
    <w:rsid w:val="003B3DB9"/>
    <w:rsid w:val="003B4472"/>
    <w:rsid w:val="003B4E23"/>
    <w:rsid w:val="003B57A0"/>
    <w:rsid w:val="003B58CC"/>
    <w:rsid w:val="003B5948"/>
    <w:rsid w:val="003B59BF"/>
    <w:rsid w:val="003B5A6D"/>
    <w:rsid w:val="003B5CFE"/>
    <w:rsid w:val="003B70B5"/>
    <w:rsid w:val="003B7386"/>
    <w:rsid w:val="003B7543"/>
    <w:rsid w:val="003B777A"/>
    <w:rsid w:val="003B7FE8"/>
    <w:rsid w:val="003C02DA"/>
    <w:rsid w:val="003C0C01"/>
    <w:rsid w:val="003C142F"/>
    <w:rsid w:val="003C16A8"/>
    <w:rsid w:val="003C1BAA"/>
    <w:rsid w:val="003C1C73"/>
    <w:rsid w:val="003C1D89"/>
    <w:rsid w:val="003C1E61"/>
    <w:rsid w:val="003C2892"/>
    <w:rsid w:val="003C2D81"/>
    <w:rsid w:val="003C3290"/>
    <w:rsid w:val="003C32EE"/>
    <w:rsid w:val="003C33CE"/>
    <w:rsid w:val="003C343F"/>
    <w:rsid w:val="003C3B3B"/>
    <w:rsid w:val="003C44CC"/>
    <w:rsid w:val="003C452F"/>
    <w:rsid w:val="003C49DF"/>
    <w:rsid w:val="003C4BBB"/>
    <w:rsid w:val="003C4DA9"/>
    <w:rsid w:val="003C5605"/>
    <w:rsid w:val="003C59AB"/>
    <w:rsid w:val="003C5C3E"/>
    <w:rsid w:val="003C5D9F"/>
    <w:rsid w:val="003C6649"/>
    <w:rsid w:val="003C72E0"/>
    <w:rsid w:val="003C7504"/>
    <w:rsid w:val="003C79FB"/>
    <w:rsid w:val="003C7FAB"/>
    <w:rsid w:val="003D00FD"/>
    <w:rsid w:val="003D06D4"/>
    <w:rsid w:val="003D0A85"/>
    <w:rsid w:val="003D1111"/>
    <w:rsid w:val="003D1421"/>
    <w:rsid w:val="003D14D2"/>
    <w:rsid w:val="003D1DEE"/>
    <w:rsid w:val="003D1FE2"/>
    <w:rsid w:val="003D2C7F"/>
    <w:rsid w:val="003D2D57"/>
    <w:rsid w:val="003D2FAE"/>
    <w:rsid w:val="003D35A1"/>
    <w:rsid w:val="003D3A87"/>
    <w:rsid w:val="003D4503"/>
    <w:rsid w:val="003D4824"/>
    <w:rsid w:val="003D4896"/>
    <w:rsid w:val="003D4B69"/>
    <w:rsid w:val="003D59F5"/>
    <w:rsid w:val="003D5C25"/>
    <w:rsid w:val="003D5C93"/>
    <w:rsid w:val="003D5CBE"/>
    <w:rsid w:val="003D5CF5"/>
    <w:rsid w:val="003D686F"/>
    <w:rsid w:val="003D6CEE"/>
    <w:rsid w:val="003D6E81"/>
    <w:rsid w:val="003D7158"/>
    <w:rsid w:val="003D7A7A"/>
    <w:rsid w:val="003D7A88"/>
    <w:rsid w:val="003D7C75"/>
    <w:rsid w:val="003D7E7D"/>
    <w:rsid w:val="003E0184"/>
    <w:rsid w:val="003E03BF"/>
    <w:rsid w:val="003E05CC"/>
    <w:rsid w:val="003E069A"/>
    <w:rsid w:val="003E070B"/>
    <w:rsid w:val="003E0AF3"/>
    <w:rsid w:val="003E130C"/>
    <w:rsid w:val="003E160A"/>
    <w:rsid w:val="003E1765"/>
    <w:rsid w:val="003E1827"/>
    <w:rsid w:val="003E18CA"/>
    <w:rsid w:val="003E1CEF"/>
    <w:rsid w:val="003E1E1E"/>
    <w:rsid w:val="003E2526"/>
    <w:rsid w:val="003E2728"/>
    <w:rsid w:val="003E284A"/>
    <w:rsid w:val="003E2983"/>
    <w:rsid w:val="003E2AEC"/>
    <w:rsid w:val="003E2BE9"/>
    <w:rsid w:val="003E2DCB"/>
    <w:rsid w:val="003E3108"/>
    <w:rsid w:val="003E3162"/>
    <w:rsid w:val="003E336E"/>
    <w:rsid w:val="003E34E4"/>
    <w:rsid w:val="003E352A"/>
    <w:rsid w:val="003E382A"/>
    <w:rsid w:val="003E43B9"/>
    <w:rsid w:val="003E441B"/>
    <w:rsid w:val="003E48B4"/>
    <w:rsid w:val="003E492F"/>
    <w:rsid w:val="003E49CC"/>
    <w:rsid w:val="003E4E39"/>
    <w:rsid w:val="003E4F4A"/>
    <w:rsid w:val="003E58BE"/>
    <w:rsid w:val="003E58E2"/>
    <w:rsid w:val="003E5B16"/>
    <w:rsid w:val="003E5ECB"/>
    <w:rsid w:val="003E625F"/>
    <w:rsid w:val="003E6641"/>
    <w:rsid w:val="003E68D7"/>
    <w:rsid w:val="003E6A1B"/>
    <w:rsid w:val="003E7238"/>
    <w:rsid w:val="003E7A8D"/>
    <w:rsid w:val="003E7BF9"/>
    <w:rsid w:val="003F002A"/>
    <w:rsid w:val="003F0746"/>
    <w:rsid w:val="003F0994"/>
    <w:rsid w:val="003F0B6A"/>
    <w:rsid w:val="003F0D51"/>
    <w:rsid w:val="003F1BC2"/>
    <w:rsid w:val="003F21D0"/>
    <w:rsid w:val="003F22E7"/>
    <w:rsid w:val="003F24FA"/>
    <w:rsid w:val="003F277D"/>
    <w:rsid w:val="003F3269"/>
    <w:rsid w:val="003F4045"/>
    <w:rsid w:val="003F4192"/>
    <w:rsid w:val="003F4459"/>
    <w:rsid w:val="003F4939"/>
    <w:rsid w:val="003F58A1"/>
    <w:rsid w:val="003F6083"/>
    <w:rsid w:val="003F61C0"/>
    <w:rsid w:val="003F67BF"/>
    <w:rsid w:val="003F6A43"/>
    <w:rsid w:val="003F6FFF"/>
    <w:rsid w:val="003F71E6"/>
    <w:rsid w:val="003F7EF1"/>
    <w:rsid w:val="00400666"/>
    <w:rsid w:val="00400B8D"/>
    <w:rsid w:val="00400D18"/>
    <w:rsid w:val="0040162C"/>
    <w:rsid w:val="0040186F"/>
    <w:rsid w:val="00401B42"/>
    <w:rsid w:val="00402812"/>
    <w:rsid w:val="0040281A"/>
    <w:rsid w:val="00402AD3"/>
    <w:rsid w:val="00402E87"/>
    <w:rsid w:val="0040322E"/>
    <w:rsid w:val="00403686"/>
    <w:rsid w:val="00403925"/>
    <w:rsid w:val="004040B2"/>
    <w:rsid w:val="00404E41"/>
    <w:rsid w:val="00405300"/>
    <w:rsid w:val="00405A69"/>
    <w:rsid w:val="00405ED8"/>
    <w:rsid w:val="00405F11"/>
    <w:rsid w:val="0040665C"/>
    <w:rsid w:val="00406A91"/>
    <w:rsid w:val="00406C4A"/>
    <w:rsid w:val="00406DBF"/>
    <w:rsid w:val="004077A2"/>
    <w:rsid w:val="00407A73"/>
    <w:rsid w:val="00407D0F"/>
    <w:rsid w:val="00411281"/>
    <w:rsid w:val="004114FF"/>
    <w:rsid w:val="00411633"/>
    <w:rsid w:val="00411853"/>
    <w:rsid w:val="00412EE5"/>
    <w:rsid w:val="00412F1F"/>
    <w:rsid w:val="00413CFA"/>
    <w:rsid w:val="00413EFE"/>
    <w:rsid w:val="00414169"/>
    <w:rsid w:val="004150A9"/>
    <w:rsid w:val="004150D2"/>
    <w:rsid w:val="0041545F"/>
    <w:rsid w:val="004154EF"/>
    <w:rsid w:val="00416635"/>
    <w:rsid w:val="00416D15"/>
    <w:rsid w:val="0041720F"/>
    <w:rsid w:val="004175F9"/>
    <w:rsid w:val="004176BC"/>
    <w:rsid w:val="00417A14"/>
    <w:rsid w:val="004206B4"/>
    <w:rsid w:val="00420897"/>
    <w:rsid w:val="004209C2"/>
    <w:rsid w:val="00421335"/>
    <w:rsid w:val="004213D3"/>
    <w:rsid w:val="00421D7C"/>
    <w:rsid w:val="0042200F"/>
    <w:rsid w:val="0042267C"/>
    <w:rsid w:val="004226E3"/>
    <w:rsid w:val="004230A8"/>
    <w:rsid w:val="004233B2"/>
    <w:rsid w:val="00423B4F"/>
    <w:rsid w:val="00423DA5"/>
    <w:rsid w:val="0042425D"/>
    <w:rsid w:val="00424345"/>
    <w:rsid w:val="00424417"/>
    <w:rsid w:val="004244F5"/>
    <w:rsid w:val="004245FB"/>
    <w:rsid w:val="00424632"/>
    <w:rsid w:val="0042514B"/>
    <w:rsid w:val="004252AC"/>
    <w:rsid w:val="0042543A"/>
    <w:rsid w:val="0042544D"/>
    <w:rsid w:val="00425462"/>
    <w:rsid w:val="0042550E"/>
    <w:rsid w:val="00425B7E"/>
    <w:rsid w:val="00426ED5"/>
    <w:rsid w:val="00426FC3"/>
    <w:rsid w:val="00427033"/>
    <w:rsid w:val="004271EC"/>
    <w:rsid w:val="00427650"/>
    <w:rsid w:val="004276CB"/>
    <w:rsid w:val="004279E6"/>
    <w:rsid w:val="00427AAF"/>
    <w:rsid w:val="0043018F"/>
    <w:rsid w:val="00430542"/>
    <w:rsid w:val="004309A4"/>
    <w:rsid w:val="00430D5F"/>
    <w:rsid w:val="00430FFE"/>
    <w:rsid w:val="00431080"/>
    <w:rsid w:val="004323EA"/>
    <w:rsid w:val="0043277B"/>
    <w:rsid w:val="004327A6"/>
    <w:rsid w:val="00432AF2"/>
    <w:rsid w:val="0043316D"/>
    <w:rsid w:val="0043358E"/>
    <w:rsid w:val="00433AE2"/>
    <w:rsid w:val="00434FCE"/>
    <w:rsid w:val="004353F6"/>
    <w:rsid w:val="00435544"/>
    <w:rsid w:val="00435726"/>
    <w:rsid w:val="00435DA0"/>
    <w:rsid w:val="00436098"/>
    <w:rsid w:val="00436219"/>
    <w:rsid w:val="0043651C"/>
    <w:rsid w:val="00436838"/>
    <w:rsid w:val="00436C5C"/>
    <w:rsid w:val="00437F7F"/>
    <w:rsid w:val="0044058D"/>
    <w:rsid w:val="00440613"/>
    <w:rsid w:val="00440910"/>
    <w:rsid w:val="004412CC"/>
    <w:rsid w:val="00441379"/>
    <w:rsid w:val="0044215B"/>
    <w:rsid w:val="00442227"/>
    <w:rsid w:val="0044224A"/>
    <w:rsid w:val="00442831"/>
    <w:rsid w:val="004428F7"/>
    <w:rsid w:val="00442D45"/>
    <w:rsid w:val="00442E44"/>
    <w:rsid w:val="00442E66"/>
    <w:rsid w:val="00443463"/>
    <w:rsid w:val="00443487"/>
    <w:rsid w:val="00443769"/>
    <w:rsid w:val="004437C4"/>
    <w:rsid w:val="0044426A"/>
    <w:rsid w:val="004443EF"/>
    <w:rsid w:val="00444507"/>
    <w:rsid w:val="00444584"/>
    <w:rsid w:val="00444A4B"/>
    <w:rsid w:val="00444B34"/>
    <w:rsid w:val="00444CEA"/>
    <w:rsid w:val="0044501D"/>
    <w:rsid w:val="0044535F"/>
    <w:rsid w:val="0044548C"/>
    <w:rsid w:val="004455D0"/>
    <w:rsid w:val="00446340"/>
    <w:rsid w:val="00446B24"/>
    <w:rsid w:val="004473BF"/>
    <w:rsid w:val="004473EF"/>
    <w:rsid w:val="00447A8E"/>
    <w:rsid w:val="004501D6"/>
    <w:rsid w:val="004502E0"/>
    <w:rsid w:val="004503EC"/>
    <w:rsid w:val="00450773"/>
    <w:rsid w:val="00451554"/>
    <w:rsid w:val="004520D7"/>
    <w:rsid w:val="00452134"/>
    <w:rsid w:val="00452C13"/>
    <w:rsid w:val="004532FE"/>
    <w:rsid w:val="004535F7"/>
    <w:rsid w:val="00453E24"/>
    <w:rsid w:val="004545CF"/>
    <w:rsid w:val="0045522C"/>
    <w:rsid w:val="0045527C"/>
    <w:rsid w:val="004562CB"/>
    <w:rsid w:val="004569C6"/>
    <w:rsid w:val="00457ACC"/>
    <w:rsid w:val="00457CFA"/>
    <w:rsid w:val="00457F54"/>
    <w:rsid w:val="004606F5"/>
    <w:rsid w:val="00460902"/>
    <w:rsid w:val="00460B74"/>
    <w:rsid w:val="00460E6D"/>
    <w:rsid w:val="0046151F"/>
    <w:rsid w:val="00462005"/>
    <w:rsid w:val="00462013"/>
    <w:rsid w:val="00462A8C"/>
    <w:rsid w:val="00463E97"/>
    <w:rsid w:val="00464ADF"/>
    <w:rsid w:val="004651A8"/>
    <w:rsid w:val="00465E0E"/>
    <w:rsid w:val="004660DA"/>
    <w:rsid w:val="00466323"/>
    <w:rsid w:val="00466923"/>
    <w:rsid w:val="00466E42"/>
    <w:rsid w:val="00466E90"/>
    <w:rsid w:val="00467453"/>
    <w:rsid w:val="0046772A"/>
    <w:rsid w:val="00467876"/>
    <w:rsid w:val="00467F11"/>
    <w:rsid w:val="00470B9C"/>
    <w:rsid w:val="00470C93"/>
    <w:rsid w:val="00470FDA"/>
    <w:rsid w:val="00471B59"/>
    <w:rsid w:val="00471BA6"/>
    <w:rsid w:val="00472219"/>
    <w:rsid w:val="00472386"/>
    <w:rsid w:val="00472400"/>
    <w:rsid w:val="00472863"/>
    <w:rsid w:val="00472DF0"/>
    <w:rsid w:val="00473485"/>
    <w:rsid w:val="004734E4"/>
    <w:rsid w:val="00473E01"/>
    <w:rsid w:val="0047495C"/>
    <w:rsid w:val="00474C3E"/>
    <w:rsid w:val="00474F94"/>
    <w:rsid w:val="00475B64"/>
    <w:rsid w:val="00475CF2"/>
    <w:rsid w:val="00476141"/>
    <w:rsid w:val="00476C74"/>
    <w:rsid w:val="00476D86"/>
    <w:rsid w:val="00477BB5"/>
    <w:rsid w:val="004803D4"/>
    <w:rsid w:val="0048089C"/>
    <w:rsid w:val="00480B36"/>
    <w:rsid w:val="00480D08"/>
    <w:rsid w:val="00480D86"/>
    <w:rsid w:val="004811E4"/>
    <w:rsid w:val="004812F8"/>
    <w:rsid w:val="00482BEC"/>
    <w:rsid w:val="00482C1C"/>
    <w:rsid w:val="00483414"/>
    <w:rsid w:val="00483450"/>
    <w:rsid w:val="00484F05"/>
    <w:rsid w:val="00485355"/>
    <w:rsid w:val="004855CF"/>
    <w:rsid w:val="00485B58"/>
    <w:rsid w:val="00485CD4"/>
    <w:rsid w:val="00486527"/>
    <w:rsid w:val="00486A76"/>
    <w:rsid w:val="004871DC"/>
    <w:rsid w:val="00487580"/>
    <w:rsid w:val="004875AE"/>
    <w:rsid w:val="00487688"/>
    <w:rsid w:val="00487B34"/>
    <w:rsid w:val="004909AE"/>
    <w:rsid w:val="00490A65"/>
    <w:rsid w:val="00491433"/>
    <w:rsid w:val="00491532"/>
    <w:rsid w:val="00491DA1"/>
    <w:rsid w:val="0049210E"/>
    <w:rsid w:val="004921C3"/>
    <w:rsid w:val="00492780"/>
    <w:rsid w:val="00492ACD"/>
    <w:rsid w:val="00492DCB"/>
    <w:rsid w:val="0049366E"/>
    <w:rsid w:val="004938A3"/>
    <w:rsid w:val="00493F2A"/>
    <w:rsid w:val="00494348"/>
    <w:rsid w:val="004948A9"/>
    <w:rsid w:val="00495907"/>
    <w:rsid w:val="00496196"/>
    <w:rsid w:val="004971E4"/>
    <w:rsid w:val="004974D3"/>
    <w:rsid w:val="004977BA"/>
    <w:rsid w:val="00497907"/>
    <w:rsid w:val="00497A74"/>
    <w:rsid w:val="00497E5B"/>
    <w:rsid w:val="004A021A"/>
    <w:rsid w:val="004A05F0"/>
    <w:rsid w:val="004A0DDC"/>
    <w:rsid w:val="004A1856"/>
    <w:rsid w:val="004A1C56"/>
    <w:rsid w:val="004A20BA"/>
    <w:rsid w:val="004A2350"/>
    <w:rsid w:val="004A24B9"/>
    <w:rsid w:val="004A37E5"/>
    <w:rsid w:val="004A3A74"/>
    <w:rsid w:val="004A45A5"/>
    <w:rsid w:val="004A47F9"/>
    <w:rsid w:val="004A4B8B"/>
    <w:rsid w:val="004A53A1"/>
    <w:rsid w:val="004A54F3"/>
    <w:rsid w:val="004A5D24"/>
    <w:rsid w:val="004A660B"/>
    <w:rsid w:val="004A6885"/>
    <w:rsid w:val="004A6BB4"/>
    <w:rsid w:val="004A718D"/>
    <w:rsid w:val="004A74BC"/>
    <w:rsid w:val="004B0073"/>
    <w:rsid w:val="004B04B3"/>
    <w:rsid w:val="004B0D5C"/>
    <w:rsid w:val="004B1156"/>
    <w:rsid w:val="004B13C7"/>
    <w:rsid w:val="004B1715"/>
    <w:rsid w:val="004B198D"/>
    <w:rsid w:val="004B1B8E"/>
    <w:rsid w:val="004B1D9A"/>
    <w:rsid w:val="004B20AA"/>
    <w:rsid w:val="004B2598"/>
    <w:rsid w:val="004B3C72"/>
    <w:rsid w:val="004B4110"/>
    <w:rsid w:val="004B48EC"/>
    <w:rsid w:val="004B4EA7"/>
    <w:rsid w:val="004B4ECD"/>
    <w:rsid w:val="004B52A8"/>
    <w:rsid w:val="004B5469"/>
    <w:rsid w:val="004B5752"/>
    <w:rsid w:val="004B5B4A"/>
    <w:rsid w:val="004B644E"/>
    <w:rsid w:val="004B663D"/>
    <w:rsid w:val="004B6BA7"/>
    <w:rsid w:val="004B7218"/>
    <w:rsid w:val="004B7AC3"/>
    <w:rsid w:val="004B7C22"/>
    <w:rsid w:val="004C104E"/>
    <w:rsid w:val="004C1309"/>
    <w:rsid w:val="004C144E"/>
    <w:rsid w:val="004C19C3"/>
    <w:rsid w:val="004C1A87"/>
    <w:rsid w:val="004C1B81"/>
    <w:rsid w:val="004C1C66"/>
    <w:rsid w:val="004C1EE7"/>
    <w:rsid w:val="004C23B8"/>
    <w:rsid w:val="004C2E30"/>
    <w:rsid w:val="004C37FC"/>
    <w:rsid w:val="004C4ADA"/>
    <w:rsid w:val="004C4D93"/>
    <w:rsid w:val="004C4E38"/>
    <w:rsid w:val="004C4E3A"/>
    <w:rsid w:val="004C5080"/>
    <w:rsid w:val="004C5546"/>
    <w:rsid w:val="004C5AFE"/>
    <w:rsid w:val="004C6902"/>
    <w:rsid w:val="004C6D96"/>
    <w:rsid w:val="004C6FFA"/>
    <w:rsid w:val="004C796C"/>
    <w:rsid w:val="004D0B8B"/>
    <w:rsid w:val="004D12DE"/>
    <w:rsid w:val="004D191C"/>
    <w:rsid w:val="004D1AE0"/>
    <w:rsid w:val="004D1BAE"/>
    <w:rsid w:val="004D201F"/>
    <w:rsid w:val="004D21FB"/>
    <w:rsid w:val="004D256F"/>
    <w:rsid w:val="004D32CE"/>
    <w:rsid w:val="004D331A"/>
    <w:rsid w:val="004D3490"/>
    <w:rsid w:val="004D3EB5"/>
    <w:rsid w:val="004D4135"/>
    <w:rsid w:val="004D4738"/>
    <w:rsid w:val="004D4A42"/>
    <w:rsid w:val="004D5664"/>
    <w:rsid w:val="004D6CC3"/>
    <w:rsid w:val="004D7CD3"/>
    <w:rsid w:val="004E0074"/>
    <w:rsid w:val="004E096F"/>
    <w:rsid w:val="004E0A66"/>
    <w:rsid w:val="004E1067"/>
    <w:rsid w:val="004E1A3D"/>
    <w:rsid w:val="004E2155"/>
    <w:rsid w:val="004E286B"/>
    <w:rsid w:val="004E2AF6"/>
    <w:rsid w:val="004E2E57"/>
    <w:rsid w:val="004E2ECE"/>
    <w:rsid w:val="004E3529"/>
    <w:rsid w:val="004E4E91"/>
    <w:rsid w:val="004E50D9"/>
    <w:rsid w:val="004E51A9"/>
    <w:rsid w:val="004E557A"/>
    <w:rsid w:val="004E5709"/>
    <w:rsid w:val="004E646F"/>
    <w:rsid w:val="004E6489"/>
    <w:rsid w:val="004E7201"/>
    <w:rsid w:val="004E77A2"/>
    <w:rsid w:val="004F0029"/>
    <w:rsid w:val="004F0122"/>
    <w:rsid w:val="004F0381"/>
    <w:rsid w:val="004F0C70"/>
    <w:rsid w:val="004F0E34"/>
    <w:rsid w:val="004F0F6E"/>
    <w:rsid w:val="004F1180"/>
    <w:rsid w:val="004F1341"/>
    <w:rsid w:val="004F17F7"/>
    <w:rsid w:val="004F197B"/>
    <w:rsid w:val="004F1A6F"/>
    <w:rsid w:val="004F28FE"/>
    <w:rsid w:val="004F2FAE"/>
    <w:rsid w:val="004F3BB9"/>
    <w:rsid w:val="004F4476"/>
    <w:rsid w:val="004F470F"/>
    <w:rsid w:val="004F4B6B"/>
    <w:rsid w:val="004F4CBF"/>
    <w:rsid w:val="004F4DD3"/>
    <w:rsid w:val="004F4E84"/>
    <w:rsid w:val="004F5362"/>
    <w:rsid w:val="004F5F26"/>
    <w:rsid w:val="004F6005"/>
    <w:rsid w:val="004F68D4"/>
    <w:rsid w:val="004F68EA"/>
    <w:rsid w:val="00500012"/>
    <w:rsid w:val="0050089A"/>
    <w:rsid w:val="005009D3"/>
    <w:rsid w:val="005012AB"/>
    <w:rsid w:val="00501C12"/>
    <w:rsid w:val="00501E76"/>
    <w:rsid w:val="0050201F"/>
    <w:rsid w:val="005028CE"/>
    <w:rsid w:val="00502DD0"/>
    <w:rsid w:val="00503670"/>
    <w:rsid w:val="00503858"/>
    <w:rsid w:val="00503E44"/>
    <w:rsid w:val="0050437C"/>
    <w:rsid w:val="005044D1"/>
    <w:rsid w:val="00504C9D"/>
    <w:rsid w:val="00504D97"/>
    <w:rsid w:val="00505016"/>
    <w:rsid w:val="0050507F"/>
    <w:rsid w:val="00505FCA"/>
    <w:rsid w:val="005061A4"/>
    <w:rsid w:val="0050656A"/>
    <w:rsid w:val="00506620"/>
    <w:rsid w:val="00506931"/>
    <w:rsid w:val="00506C88"/>
    <w:rsid w:val="00506D0D"/>
    <w:rsid w:val="00507791"/>
    <w:rsid w:val="0051081A"/>
    <w:rsid w:val="00510980"/>
    <w:rsid w:val="00511CF4"/>
    <w:rsid w:val="00511EAF"/>
    <w:rsid w:val="005126DF"/>
    <w:rsid w:val="0051294E"/>
    <w:rsid w:val="0051392E"/>
    <w:rsid w:val="005142FE"/>
    <w:rsid w:val="00514461"/>
    <w:rsid w:val="00514951"/>
    <w:rsid w:val="00514C24"/>
    <w:rsid w:val="00514E8D"/>
    <w:rsid w:val="00515477"/>
    <w:rsid w:val="005161A6"/>
    <w:rsid w:val="005164A8"/>
    <w:rsid w:val="00516B5F"/>
    <w:rsid w:val="005178BC"/>
    <w:rsid w:val="00517D47"/>
    <w:rsid w:val="00517E97"/>
    <w:rsid w:val="0052115C"/>
    <w:rsid w:val="0052132D"/>
    <w:rsid w:val="0052149C"/>
    <w:rsid w:val="00521567"/>
    <w:rsid w:val="00521933"/>
    <w:rsid w:val="00521C07"/>
    <w:rsid w:val="005220B2"/>
    <w:rsid w:val="005227D7"/>
    <w:rsid w:val="005232A2"/>
    <w:rsid w:val="00523773"/>
    <w:rsid w:val="0052447B"/>
    <w:rsid w:val="005253C8"/>
    <w:rsid w:val="00526804"/>
    <w:rsid w:val="005268A5"/>
    <w:rsid w:val="00526CC3"/>
    <w:rsid w:val="005272D1"/>
    <w:rsid w:val="005276E4"/>
    <w:rsid w:val="00527862"/>
    <w:rsid w:val="005303ED"/>
    <w:rsid w:val="00530A21"/>
    <w:rsid w:val="00530DDD"/>
    <w:rsid w:val="00531529"/>
    <w:rsid w:val="005315F0"/>
    <w:rsid w:val="00531C0C"/>
    <w:rsid w:val="00532D74"/>
    <w:rsid w:val="00533B5E"/>
    <w:rsid w:val="00533F61"/>
    <w:rsid w:val="005340E2"/>
    <w:rsid w:val="0053523A"/>
    <w:rsid w:val="005352DD"/>
    <w:rsid w:val="0053585B"/>
    <w:rsid w:val="00535BB0"/>
    <w:rsid w:val="00536518"/>
    <w:rsid w:val="00536642"/>
    <w:rsid w:val="00536929"/>
    <w:rsid w:val="00536A8F"/>
    <w:rsid w:val="00537462"/>
    <w:rsid w:val="005375B8"/>
    <w:rsid w:val="00537B4E"/>
    <w:rsid w:val="00537CBD"/>
    <w:rsid w:val="00537FBD"/>
    <w:rsid w:val="00540465"/>
    <w:rsid w:val="005406DE"/>
    <w:rsid w:val="00541224"/>
    <w:rsid w:val="00541C47"/>
    <w:rsid w:val="00541E0A"/>
    <w:rsid w:val="00542492"/>
    <w:rsid w:val="00542B38"/>
    <w:rsid w:val="00543998"/>
    <w:rsid w:val="00543C41"/>
    <w:rsid w:val="00543D59"/>
    <w:rsid w:val="00544DB3"/>
    <w:rsid w:val="00544F66"/>
    <w:rsid w:val="00545074"/>
    <w:rsid w:val="005455A6"/>
    <w:rsid w:val="00545DB5"/>
    <w:rsid w:val="00546089"/>
    <w:rsid w:val="005461F7"/>
    <w:rsid w:val="00546526"/>
    <w:rsid w:val="00546E88"/>
    <w:rsid w:val="0054760B"/>
    <w:rsid w:val="005477EC"/>
    <w:rsid w:val="00547C7D"/>
    <w:rsid w:val="00547D1A"/>
    <w:rsid w:val="00547E30"/>
    <w:rsid w:val="00547F5F"/>
    <w:rsid w:val="00547F88"/>
    <w:rsid w:val="005506BC"/>
    <w:rsid w:val="00550776"/>
    <w:rsid w:val="0055116D"/>
    <w:rsid w:val="005512D6"/>
    <w:rsid w:val="00551B2B"/>
    <w:rsid w:val="00551E24"/>
    <w:rsid w:val="00552578"/>
    <w:rsid w:val="005529F3"/>
    <w:rsid w:val="00552C90"/>
    <w:rsid w:val="00552D23"/>
    <w:rsid w:val="0055370A"/>
    <w:rsid w:val="00553D5B"/>
    <w:rsid w:val="005542E2"/>
    <w:rsid w:val="005544AD"/>
    <w:rsid w:val="00554B06"/>
    <w:rsid w:val="0055533D"/>
    <w:rsid w:val="0055561B"/>
    <w:rsid w:val="005556A2"/>
    <w:rsid w:val="00555793"/>
    <w:rsid w:val="00556081"/>
    <w:rsid w:val="00556487"/>
    <w:rsid w:val="005565AB"/>
    <w:rsid w:val="00556644"/>
    <w:rsid w:val="00556A30"/>
    <w:rsid w:val="00556E8C"/>
    <w:rsid w:val="00557452"/>
    <w:rsid w:val="00557515"/>
    <w:rsid w:val="00557A2B"/>
    <w:rsid w:val="00557CC6"/>
    <w:rsid w:val="00557E9E"/>
    <w:rsid w:val="0056023A"/>
    <w:rsid w:val="00560E41"/>
    <w:rsid w:val="00560EE8"/>
    <w:rsid w:val="0056177B"/>
    <w:rsid w:val="00561B7B"/>
    <w:rsid w:val="005624D8"/>
    <w:rsid w:val="00562634"/>
    <w:rsid w:val="0056277F"/>
    <w:rsid w:val="0056388A"/>
    <w:rsid w:val="00564473"/>
    <w:rsid w:val="00564576"/>
    <w:rsid w:val="005653E1"/>
    <w:rsid w:val="00565831"/>
    <w:rsid w:val="0056606C"/>
    <w:rsid w:val="005662D2"/>
    <w:rsid w:val="00566697"/>
    <w:rsid w:val="00566AA3"/>
    <w:rsid w:val="00566FBC"/>
    <w:rsid w:val="0056706F"/>
    <w:rsid w:val="00567F58"/>
    <w:rsid w:val="00570590"/>
    <w:rsid w:val="00570848"/>
    <w:rsid w:val="00571ACA"/>
    <w:rsid w:val="00571EBC"/>
    <w:rsid w:val="00571F14"/>
    <w:rsid w:val="00572837"/>
    <w:rsid w:val="005736AE"/>
    <w:rsid w:val="00573C76"/>
    <w:rsid w:val="005741B7"/>
    <w:rsid w:val="00574452"/>
    <w:rsid w:val="00574D2B"/>
    <w:rsid w:val="00574E09"/>
    <w:rsid w:val="005759B6"/>
    <w:rsid w:val="005759CF"/>
    <w:rsid w:val="00575E75"/>
    <w:rsid w:val="00575FFC"/>
    <w:rsid w:val="00576305"/>
    <w:rsid w:val="00576DF8"/>
    <w:rsid w:val="005779A6"/>
    <w:rsid w:val="00577A3E"/>
    <w:rsid w:val="0058034C"/>
    <w:rsid w:val="00580578"/>
    <w:rsid w:val="00580912"/>
    <w:rsid w:val="00580CC7"/>
    <w:rsid w:val="00581554"/>
    <w:rsid w:val="00581B0B"/>
    <w:rsid w:val="005822B9"/>
    <w:rsid w:val="00582858"/>
    <w:rsid w:val="00582C28"/>
    <w:rsid w:val="00582D51"/>
    <w:rsid w:val="00583629"/>
    <w:rsid w:val="0058362A"/>
    <w:rsid w:val="005838C8"/>
    <w:rsid w:val="00583944"/>
    <w:rsid w:val="00583A7D"/>
    <w:rsid w:val="00583B15"/>
    <w:rsid w:val="005847CD"/>
    <w:rsid w:val="00584C49"/>
    <w:rsid w:val="00584F3F"/>
    <w:rsid w:val="00585248"/>
    <w:rsid w:val="0058653A"/>
    <w:rsid w:val="00586C23"/>
    <w:rsid w:val="0059043A"/>
    <w:rsid w:val="00590B31"/>
    <w:rsid w:val="00590C7C"/>
    <w:rsid w:val="005912A0"/>
    <w:rsid w:val="00591F86"/>
    <w:rsid w:val="00592607"/>
    <w:rsid w:val="005926A1"/>
    <w:rsid w:val="00592715"/>
    <w:rsid w:val="00592B86"/>
    <w:rsid w:val="00592C11"/>
    <w:rsid w:val="00592D82"/>
    <w:rsid w:val="0059318B"/>
    <w:rsid w:val="00593854"/>
    <w:rsid w:val="00593A8A"/>
    <w:rsid w:val="00593C2A"/>
    <w:rsid w:val="0059402E"/>
    <w:rsid w:val="00594061"/>
    <w:rsid w:val="00594437"/>
    <w:rsid w:val="00594537"/>
    <w:rsid w:val="00594A32"/>
    <w:rsid w:val="00594E18"/>
    <w:rsid w:val="005951CB"/>
    <w:rsid w:val="00595849"/>
    <w:rsid w:val="00597444"/>
    <w:rsid w:val="005976B2"/>
    <w:rsid w:val="00597987"/>
    <w:rsid w:val="00597D00"/>
    <w:rsid w:val="005A01B8"/>
    <w:rsid w:val="005A0240"/>
    <w:rsid w:val="005A0814"/>
    <w:rsid w:val="005A2066"/>
    <w:rsid w:val="005A2187"/>
    <w:rsid w:val="005A2C30"/>
    <w:rsid w:val="005A38E6"/>
    <w:rsid w:val="005A422E"/>
    <w:rsid w:val="005A4795"/>
    <w:rsid w:val="005A48F7"/>
    <w:rsid w:val="005A5B4A"/>
    <w:rsid w:val="005A60FC"/>
    <w:rsid w:val="005A6284"/>
    <w:rsid w:val="005A69E8"/>
    <w:rsid w:val="005A6EA9"/>
    <w:rsid w:val="005A6FB9"/>
    <w:rsid w:val="005A6FF1"/>
    <w:rsid w:val="005B07E9"/>
    <w:rsid w:val="005B0CBD"/>
    <w:rsid w:val="005B0E90"/>
    <w:rsid w:val="005B1AB8"/>
    <w:rsid w:val="005B1B77"/>
    <w:rsid w:val="005B1F37"/>
    <w:rsid w:val="005B2927"/>
    <w:rsid w:val="005B29AD"/>
    <w:rsid w:val="005B29F2"/>
    <w:rsid w:val="005B3CC5"/>
    <w:rsid w:val="005B40BC"/>
    <w:rsid w:val="005B42FE"/>
    <w:rsid w:val="005B4DFD"/>
    <w:rsid w:val="005B5048"/>
    <w:rsid w:val="005B52E3"/>
    <w:rsid w:val="005B5536"/>
    <w:rsid w:val="005B59AB"/>
    <w:rsid w:val="005B6129"/>
    <w:rsid w:val="005B63B2"/>
    <w:rsid w:val="005B65F3"/>
    <w:rsid w:val="005B6820"/>
    <w:rsid w:val="005B6D96"/>
    <w:rsid w:val="005B6EA9"/>
    <w:rsid w:val="005B7033"/>
    <w:rsid w:val="005B72A2"/>
    <w:rsid w:val="005B7681"/>
    <w:rsid w:val="005B78B3"/>
    <w:rsid w:val="005B798A"/>
    <w:rsid w:val="005B7BBB"/>
    <w:rsid w:val="005C0838"/>
    <w:rsid w:val="005C10D4"/>
    <w:rsid w:val="005C1370"/>
    <w:rsid w:val="005C19D0"/>
    <w:rsid w:val="005C1D0D"/>
    <w:rsid w:val="005C1FA4"/>
    <w:rsid w:val="005C2B40"/>
    <w:rsid w:val="005C2FC7"/>
    <w:rsid w:val="005C2FFA"/>
    <w:rsid w:val="005C3009"/>
    <w:rsid w:val="005C321B"/>
    <w:rsid w:val="005C3DB4"/>
    <w:rsid w:val="005C3DF7"/>
    <w:rsid w:val="005C446A"/>
    <w:rsid w:val="005C470B"/>
    <w:rsid w:val="005C49D2"/>
    <w:rsid w:val="005C4A28"/>
    <w:rsid w:val="005C5BBE"/>
    <w:rsid w:val="005C761A"/>
    <w:rsid w:val="005C7C4D"/>
    <w:rsid w:val="005C7EC2"/>
    <w:rsid w:val="005D0DB9"/>
    <w:rsid w:val="005D1AB3"/>
    <w:rsid w:val="005D1FCA"/>
    <w:rsid w:val="005D3005"/>
    <w:rsid w:val="005D33B5"/>
    <w:rsid w:val="005D34BD"/>
    <w:rsid w:val="005D3739"/>
    <w:rsid w:val="005D38F8"/>
    <w:rsid w:val="005D4919"/>
    <w:rsid w:val="005D4AE3"/>
    <w:rsid w:val="005D4CA5"/>
    <w:rsid w:val="005D5786"/>
    <w:rsid w:val="005D5CDE"/>
    <w:rsid w:val="005D5E77"/>
    <w:rsid w:val="005D5F4E"/>
    <w:rsid w:val="005D6185"/>
    <w:rsid w:val="005D6B05"/>
    <w:rsid w:val="005D7C25"/>
    <w:rsid w:val="005D7D8B"/>
    <w:rsid w:val="005D7E75"/>
    <w:rsid w:val="005E017E"/>
    <w:rsid w:val="005E0889"/>
    <w:rsid w:val="005E0910"/>
    <w:rsid w:val="005E1C57"/>
    <w:rsid w:val="005E2714"/>
    <w:rsid w:val="005E2B93"/>
    <w:rsid w:val="005E32D7"/>
    <w:rsid w:val="005E3567"/>
    <w:rsid w:val="005E4601"/>
    <w:rsid w:val="005E4824"/>
    <w:rsid w:val="005E4B92"/>
    <w:rsid w:val="005E5173"/>
    <w:rsid w:val="005E5BD2"/>
    <w:rsid w:val="005E61E9"/>
    <w:rsid w:val="005E6997"/>
    <w:rsid w:val="005E6A7C"/>
    <w:rsid w:val="005E736A"/>
    <w:rsid w:val="005E7FCC"/>
    <w:rsid w:val="005F076C"/>
    <w:rsid w:val="005F1314"/>
    <w:rsid w:val="005F1A9F"/>
    <w:rsid w:val="005F1D20"/>
    <w:rsid w:val="005F1DF4"/>
    <w:rsid w:val="005F253E"/>
    <w:rsid w:val="005F27EF"/>
    <w:rsid w:val="005F3166"/>
    <w:rsid w:val="005F3299"/>
    <w:rsid w:val="005F3A0C"/>
    <w:rsid w:val="005F42C8"/>
    <w:rsid w:val="005F4395"/>
    <w:rsid w:val="005F4981"/>
    <w:rsid w:val="005F52A1"/>
    <w:rsid w:val="005F5861"/>
    <w:rsid w:val="005F60DB"/>
    <w:rsid w:val="005F629C"/>
    <w:rsid w:val="005F62D7"/>
    <w:rsid w:val="005F6688"/>
    <w:rsid w:val="005F6984"/>
    <w:rsid w:val="005F6AC8"/>
    <w:rsid w:val="005F6E7D"/>
    <w:rsid w:val="005F6E8E"/>
    <w:rsid w:val="005F7028"/>
    <w:rsid w:val="005F7723"/>
    <w:rsid w:val="005F7935"/>
    <w:rsid w:val="005F79C9"/>
    <w:rsid w:val="005F7EB5"/>
    <w:rsid w:val="005F7F82"/>
    <w:rsid w:val="006006CF"/>
    <w:rsid w:val="00600ECC"/>
    <w:rsid w:val="00601C5E"/>
    <w:rsid w:val="00602287"/>
    <w:rsid w:val="006023E3"/>
    <w:rsid w:val="0060287A"/>
    <w:rsid w:val="00602E88"/>
    <w:rsid w:val="00602F2E"/>
    <w:rsid w:val="0060332C"/>
    <w:rsid w:val="006038B7"/>
    <w:rsid w:val="00603F41"/>
    <w:rsid w:val="00604002"/>
    <w:rsid w:val="006040E4"/>
    <w:rsid w:val="00604125"/>
    <w:rsid w:val="006046AE"/>
    <w:rsid w:val="00604755"/>
    <w:rsid w:val="006059E1"/>
    <w:rsid w:val="00605ADC"/>
    <w:rsid w:val="00606512"/>
    <w:rsid w:val="006067C5"/>
    <w:rsid w:val="00606ADD"/>
    <w:rsid w:val="00606C88"/>
    <w:rsid w:val="00606F86"/>
    <w:rsid w:val="00607890"/>
    <w:rsid w:val="00607C52"/>
    <w:rsid w:val="00610051"/>
    <w:rsid w:val="006102C6"/>
    <w:rsid w:val="006102ED"/>
    <w:rsid w:val="00610DA3"/>
    <w:rsid w:val="006121A5"/>
    <w:rsid w:val="006122E1"/>
    <w:rsid w:val="00612386"/>
    <w:rsid w:val="00612679"/>
    <w:rsid w:val="006127FE"/>
    <w:rsid w:val="00612C29"/>
    <w:rsid w:val="0061312C"/>
    <w:rsid w:val="0061322F"/>
    <w:rsid w:val="00613410"/>
    <w:rsid w:val="006139AA"/>
    <w:rsid w:val="00613C39"/>
    <w:rsid w:val="006147BE"/>
    <w:rsid w:val="00614F77"/>
    <w:rsid w:val="0061574C"/>
    <w:rsid w:val="00615DAF"/>
    <w:rsid w:val="00615F36"/>
    <w:rsid w:val="006161F8"/>
    <w:rsid w:val="0061630A"/>
    <w:rsid w:val="00616491"/>
    <w:rsid w:val="00616AA8"/>
    <w:rsid w:val="00616F61"/>
    <w:rsid w:val="0061746B"/>
    <w:rsid w:val="0061789E"/>
    <w:rsid w:val="00617F00"/>
    <w:rsid w:val="00617F83"/>
    <w:rsid w:val="0062034C"/>
    <w:rsid w:val="00620CD8"/>
    <w:rsid w:val="00620FF4"/>
    <w:rsid w:val="00622886"/>
    <w:rsid w:val="00622CD0"/>
    <w:rsid w:val="00622DCE"/>
    <w:rsid w:val="00622E50"/>
    <w:rsid w:val="00623E97"/>
    <w:rsid w:val="00623FA5"/>
    <w:rsid w:val="0062413F"/>
    <w:rsid w:val="0062440A"/>
    <w:rsid w:val="00624835"/>
    <w:rsid w:val="00624912"/>
    <w:rsid w:val="0062512C"/>
    <w:rsid w:val="006258DA"/>
    <w:rsid w:val="00625E6D"/>
    <w:rsid w:val="00625E71"/>
    <w:rsid w:val="00626666"/>
    <w:rsid w:val="00626812"/>
    <w:rsid w:val="0062698D"/>
    <w:rsid w:val="00626AB9"/>
    <w:rsid w:val="00626F11"/>
    <w:rsid w:val="00626FC8"/>
    <w:rsid w:val="00627275"/>
    <w:rsid w:val="00627BDB"/>
    <w:rsid w:val="00627BE7"/>
    <w:rsid w:val="00627F3F"/>
    <w:rsid w:val="00630005"/>
    <w:rsid w:val="00630628"/>
    <w:rsid w:val="00630DFF"/>
    <w:rsid w:val="00631190"/>
    <w:rsid w:val="006314E9"/>
    <w:rsid w:val="00631654"/>
    <w:rsid w:val="00632214"/>
    <w:rsid w:val="006329E2"/>
    <w:rsid w:val="00632DAD"/>
    <w:rsid w:val="0063355C"/>
    <w:rsid w:val="006335E3"/>
    <w:rsid w:val="006338AD"/>
    <w:rsid w:val="00633A08"/>
    <w:rsid w:val="00633B43"/>
    <w:rsid w:val="00633BD4"/>
    <w:rsid w:val="00633BFA"/>
    <w:rsid w:val="00634309"/>
    <w:rsid w:val="0063445A"/>
    <w:rsid w:val="00634471"/>
    <w:rsid w:val="006348A2"/>
    <w:rsid w:val="00635495"/>
    <w:rsid w:val="0063622A"/>
    <w:rsid w:val="006362B9"/>
    <w:rsid w:val="00636FED"/>
    <w:rsid w:val="006376CC"/>
    <w:rsid w:val="006379A7"/>
    <w:rsid w:val="00637B94"/>
    <w:rsid w:val="00637C84"/>
    <w:rsid w:val="00640284"/>
    <w:rsid w:val="00640B0E"/>
    <w:rsid w:val="00641007"/>
    <w:rsid w:val="006413DE"/>
    <w:rsid w:val="00641D4B"/>
    <w:rsid w:val="00641E36"/>
    <w:rsid w:val="0064205B"/>
    <w:rsid w:val="0064208A"/>
    <w:rsid w:val="0064229E"/>
    <w:rsid w:val="00642695"/>
    <w:rsid w:val="006428ED"/>
    <w:rsid w:val="00642C1E"/>
    <w:rsid w:val="00642FDE"/>
    <w:rsid w:val="006430E3"/>
    <w:rsid w:val="006439AD"/>
    <w:rsid w:val="006440B2"/>
    <w:rsid w:val="00644785"/>
    <w:rsid w:val="00644848"/>
    <w:rsid w:val="006448E4"/>
    <w:rsid w:val="00644FA5"/>
    <w:rsid w:val="0064512E"/>
    <w:rsid w:val="006452A4"/>
    <w:rsid w:val="006454D6"/>
    <w:rsid w:val="00645CD8"/>
    <w:rsid w:val="0064609E"/>
    <w:rsid w:val="0064647A"/>
    <w:rsid w:val="0064667D"/>
    <w:rsid w:val="00646AB9"/>
    <w:rsid w:val="00646D73"/>
    <w:rsid w:val="00647DED"/>
    <w:rsid w:val="00650874"/>
    <w:rsid w:val="006509B5"/>
    <w:rsid w:val="0065130D"/>
    <w:rsid w:val="0065163E"/>
    <w:rsid w:val="0065168A"/>
    <w:rsid w:val="006524A3"/>
    <w:rsid w:val="00652603"/>
    <w:rsid w:val="0065263B"/>
    <w:rsid w:val="0065288F"/>
    <w:rsid w:val="00652BBE"/>
    <w:rsid w:val="00653640"/>
    <w:rsid w:val="006538D7"/>
    <w:rsid w:val="00654019"/>
    <w:rsid w:val="0065413D"/>
    <w:rsid w:val="0065426B"/>
    <w:rsid w:val="006546CD"/>
    <w:rsid w:val="0065499C"/>
    <w:rsid w:val="00654F53"/>
    <w:rsid w:val="00655677"/>
    <w:rsid w:val="00655C87"/>
    <w:rsid w:val="006564EA"/>
    <w:rsid w:val="00656E62"/>
    <w:rsid w:val="0065738C"/>
    <w:rsid w:val="006574AB"/>
    <w:rsid w:val="006575FB"/>
    <w:rsid w:val="00657D51"/>
    <w:rsid w:val="00657F71"/>
    <w:rsid w:val="006602A0"/>
    <w:rsid w:val="006603BC"/>
    <w:rsid w:val="00660E14"/>
    <w:rsid w:val="00660F57"/>
    <w:rsid w:val="00662612"/>
    <w:rsid w:val="0066277B"/>
    <w:rsid w:val="00662B72"/>
    <w:rsid w:val="006633B0"/>
    <w:rsid w:val="00663ADA"/>
    <w:rsid w:val="00663C28"/>
    <w:rsid w:val="00665056"/>
    <w:rsid w:val="00665778"/>
    <w:rsid w:val="006657D3"/>
    <w:rsid w:val="00665AEC"/>
    <w:rsid w:val="006668F6"/>
    <w:rsid w:val="00666AB2"/>
    <w:rsid w:val="00666B19"/>
    <w:rsid w:val="0066733F"/>
    <w:rsid w:val="0066736C"/>
    <w:rsid w:val="00667788"/>
    <w:rsid w:val="00667E7A"/>
    <w:rsid w:val="00670415"/>
    <w:rsid w:val="00670576"/>
    <w:rsid w:val="006705C7"/>
    <w:rsid w:val="00670DDA"/>
    <w:rsid w:val="00671E6E"/>
    <w:rsid w:val="00672045"/>
    <w:rsid w:val="006738A8"/>
    <w:rsid w:val="00673F2A"/>
    <w:rsid w:val="006740DA"/>
    <w:rsid w:val="006743E2"/>
    <w:rsid w:val="00674521"/>
    <w:rsid w:val="00674FE1"/>
    <w:rsid w:val="00675213"/>
    <w:rsid w:val="0067575A"/>
    <w:rsid w:val="00675F3D"/>
    <w:rsid w:val="00676099"/>
    <w:rsid w:val="0067688E"/>
    <w:rsid w:val="006775C7"/>
    <w:rsid w:val="00680528"/>
    <w:rsid w:val="00680587"/>
    <w:rsid w:val="006808A5"/>
    <w:rsid w:val="00680A70"/>
    <w:rsid w:val="00680AFD"/>
    <w:rsid w:val="00680CD2"/>
    <w:rsid w:val="00680CE9"/>
    <w:rsid w:val="006810CE"/>
    <w:rsid w:val="00681713"/>
    <w:rsid w:val="00681BA8"/>
    <w:rsid w:val="00681D33"/>
    <w:rsid w:val="0068239C"/>
    <w:rsid w:val="0068275E"/>
    <w:rsid w:val="006829B7"/>
    <w:rsid w:val="00682EF2"/>
    <w:rsid w:val="00682EFF"/>
    <w:rsid w:val="00683228"/>
    <w:rsid w:val="00683622"/>
    <w:rsid w:val="00683985"/>
    <w:rsid w:val="00683D47"/>
    <w:rsid w:val="006840ED"/>
    <w:rsid w:val="0068442B"/>
    <w:rsid w:val="006847E7"/>
    <w:rsid w:val="00684F79"/>
    <w:rsid w:val="00685416"/>
    <w:rsid w:val="00685BAB"/>
    <w:rsid w:val="00685DC9"/>
    <w:rsid w:val="00686A5D"/>
    <w:rsid w:val="00686B37"/>
    <w:rsid w:val="00686F7B"/>
    <w:rsid w:val="0068728C"/>
    <w:rsid w:val="006872E2"/>
    <w:rsid w:val="00687B52"/>
    <w:rsid w:val="00687C46"/>
    <w:rsid w:val="0069021A"/>
    <w:rsid w:val="00690CF9"/>
    <w:rsid w:val="00690F7B"/>
    <w:rsid w:val="006912F8"/>
    <w:rsid w:val="00691697"/>
    <w:rsid w:val="00691720"/>
    <w:rsid w:val="00692417"/>
    <w:rsid w:val="00692892"/>
    <w:rsid w:val="00692BC6"/>
    <w:rsid w:val="006935F6"/>
    <w:rsid w:val="00693659"/>
    <w:rsid w:val="00693D6C"/>
    <w:rsid w:val="006941F7"/>
    <w:rsid w:val="006948D4"/>
    <w:rsid w:val="00694AC3"/>
    <w:rsid w:val="006950AD"/>
    <w:rsid w:val="00695C5F"/>
    <w:rsid w:val="00695DFE"/>
    <w:rsid w:val="00695F06"/>
    <w:rsid w:val="006961BC"/>
    <w:rsid w:val="006974F8"/>
    <w:rsid w:val="006A0205"/>
    <w:rsid w:val="006A0E83"/>
    <w:rsid w:val="006A1354"/>
    <w:rsid w:val="006A1622"/>
    <w:rsid w:val="006A1924"/>
    <w:rsid w:val="006A1F21"/>
    <w:rsid w:val="006A3025"/>
    <w:rsid w:val="006A37A5"/>
    <w:rsid w:val="006A3F8A"/>
    <w:rsid w:val="006A4078"/>
    <w:rsid w:val="006A44B5"/>
    <w:rsid w:val="006A45FF"/>
    <w:rsid w:val="006A4DC8"/>
    <w:rsid w:val="006A4EFE"/>
    <w:rsid w:val="006A5032"/>
    <w:rsid w:val="006A5B25"/>
    <w:rsid w:val="006A5C7C"/>
    <w:rsid w:val="006A63FA"/>
    <w:rsid w:val="006A6C56"/>
    <w:rsid w:val="006A7272"/>
    <w:rsid w:val="006A7ABE"/>
    <w:rsid w:val="006B14EE"/>
    <w:rsid w:val="006B15C8"/>
    <w:rsid w:val="006B17DB"/>
    <w:rsid w:val="006B1C55"/>
    <w:rsid w:val="006B1C87"/>
    <w:rsid w:val="006B1CE8"/>
    <w:rsid w:val="006B2090"/>
    <w:rsid w:val="006B238B"/>
    <w:rsid w:val="006B24FF"/>
    <w:rsid w:val="006B2863"/>
    <w:rsid w:val="006B2AA4"/>
    <w:rsid w:val="006B31F0"/>
    <w:rsid w:val="006B3AE0"/>
    <w:rsid w:val="006B404D"/>
    <w:rsid w:val="006B43DB"/>
    <w:rsid w:val="006B4769"/>
    <w:rsid w:val="006B49BE"/>
    <w:rsid w:val="006B5A1E"/>
    <w:rsid w:val="006B68AE"/>
    <w:rsid w:val="006B7B2E"/>
    <w:rsid w:val="006B7D8C"/>
    <w:rsid w:val="006C030F"/>
    <w:rsid w:val="006C1026"/>
    <w:rsid w:val="006C1176"/>
    <w:rsid w:val="006C1B3A"/>
    <w:rsid w:val="006C1EA8"/>
    <w:rsid w:val="006C2611"/>
    <w:rsid w:val="006C2620"/>
    <w:rsid w:val="006C2838"/>
    <w:rsid w:val="006C28FF"/>
    <w:rsid w:val="006C2984"/>
    <w:rsid w:val="006C2E53"/>
    <w:rsid w:val="006C305C"/>
    <w:rsid w:val="006C4072"/>
    <w:rsid w:val="006C43F0"/>
    <w:rsid w:val="006C4A30"/>
    <w:rsid w:val="006C4D01"/>
    <w:rsid w:val="006C4D24"/>
    <w:rsid w:val="006C53DB"/>
    <w:rsid w:val="006C59A6"/>
    <w:rsid w:val="006C619F"/>
    <w:rsid w:val="006C710B"/>
    <w:rsid w:val="006C7992"/>
    <w:rsid w:val="006C7C00"/>
    <w:rsid w:val="006C7EEA"/>
    <w:rsid w:val="006C7F2F"/>
    <w:rsid w:val="006D001F"/>
    <w:rsid w:val="006D03C2"/>
    <w:rsid w:val="006D0A68"/>
    <w:rsid w:val="006D0FEF"/>
    <w:rsid w:val="006D1FAD"/>
    <w:rsid w:val="006D24DF"/>
    <w:rsid w:val="006D26D7"/>
    <w:rsid w:val="006D2FC4"/>
    <w:rsid w:val="006D315F"/>
    <w:rsid w:val="006D3B66"/>
    <w:rsid w:val="006D43E7"/>
    <w:rsid w:val="006D44FC"/>
    <w:rsid w:val="006D4834"/>
    <w:rsid w:val="006D4DCF"/>
    <w:rsid w:val="006D5010"/>
    <w:rsid w:val="006D5693"/>
    <w:rsid w:val="006D6000"/>
    <w:rsid w:val="006D60B4"/>
    <w:rsid w:val="006D642B"/>
    <w:rsid w:val="006D6DE0"/>
    <w:rsid w:val="006D7021"/>
    <w:rsid w:val="006D7371"/>
    <w:rsid w:val="006D75D4"/>
    <w:rsid w:val="006D7611"/>
    <w:rsid w:val="006D7BCC"/>
    <w:rsid w:val="006E00BA"/>
    <w:rsid w:val="006E03B5"/>
    <w:rsid w:val="006E0D33"/>
    <w:rsid w:val="006E0D77"/>
    <w:rsid w:val="006E0EEC"/>
    <w:rsid w:val="006E12A9"/>
    <w:rsid w:val="006E16F0"/>
    <w:rsid w:val="006E1755"/>
    <w:rsid w:val="006E18B7"/>
    <w:rsid w:val="006E2406"/>
    <w:rsid w:val="006E297B"/>
    <w:rsid w:val="006E35CA"/>
    <w:rsid w:val="006E5AAB"/>
    <w:rsid w:val="006E5E0E"/>
    <w:rsid w:val="006E63E2"/>
    <w:rsid w:val="006E7D78"/>
    <w:rsid w:val="006F05FC"/>
    <w:rsid w:val="006F0DB4"/>
    <w:rsid w:val="006F166C"/>
    <w:rsid w:val="006F1BB4"/>
    <w:rsid w:val="006F1F74"/>
    <w:rsid w:val="006F20F5"/>
    <w:rsid w:val="006F335D"/>
    <w:rsid w:val="006F36E2"/>
    <w:rsid w:val="006F39FC"/>
    <w:rsid w:val="006F3F93"/>
    <w:rsid w:val="006F3F95"/>
    <w:rsid w:val="006F4450"/>
    <w:rsid w:val="006F4B37"/>
    <w:rsid w:val="006F4F2B"/>
    <w:rsid w:val="006F59B9"/>
    <w:rsid w:val="006F5DB2"/>
    <w:rsid w:val="006F676D"/>
    <w:rsid w:val="006F6CBF"/>
    <w:rsid w:val="006F6DE5"/>
    <w:rsid w:val="006F7592"/>
    <w:rsid w:val="006F759A"/>
    <w:rsid w:val="006F7EF6"/>
    <w:rsid w:val="0070003B"/>
    <w:rsid w:val="00700043"/>
    <w:rsid w:val="00700057"/>
    <w:rsid w:val="00700C4B"/>
    <w:rsid w:val="007010FF"/>
    <w:rsid w:val="00701361"/>
    <w:rsid w:val="007017E3"/>
    <w:rsid w:val="0070191F"/>
    <w:rsid w:val="00701FD7"/>
    <w:rsid w:val="00702A64"/>
    <w:rsid w:val="00702BB9"/>
    <w:rsid w:val="00702DB9"/>
    <w:rsid w:val="007042B4"/>
    <w:rsid w:val="00704417"/>
    <w:rsid w:val="00704704"/>
    <w:rsid w:val="00704F50"/>
    <w:rsid w:val="00704F76"/>
    <w:rsid w:val="007051A2"/>
    <w:rsid w:val="00705492"/>
    <w:rsid w:val="00705548"/>
    <w:rsid w:val="00705751"/>
    <w:rsid w:val="00705A91"/>
    <w:rsid w:val="00706091"/>
    <w:rsid w:val="00706166"/>
    <w:rsid w:val="007062FE"/>
    <w:rsid w:val="007063C6"/>
    <w:rsid w:val="007072C0"/>
    <w:rsid w:val="00707957"/>
    <w:rsid w:val="007079B5"/>
    <w:rsid w:val="00707B6B"/>
    <w:rsid w:val="00707D31"/>
    <w:rsid w:val="00710368"/>
    <w:rsid w:val="007103A6"/>
    <w:rsid w:val="00710A3E"/>
    <w:rsid w:val="0071133E"/>
    <w:rsid w:val="00711347"/>
    <w:rsid w:val="0071139D"/>
    <w:rsid w:val="00711C68"/>
    <w:rsid w:val="00711DAC"/>
    <w:rsid w:val="007120BB"/>
    <w:rsid w:val="00712103"/>
    <w:rsid w:val="0071213A"/>
    <w:rsid w:val="00713BF2"/>
    <w:rsid w:val="00713E33"/>
    <w:rsid w:val="0071414E"/>
    <w:rsid w:val="00715083"/>
    <w:rsid w:val="00715DFC"/>
    <w:rsid w:val="007178FF"/>
    <w:rsid w:val="00717BA0"/>
    <w:rsid w:val="00720759"/>
    <w:rsid w:val="00720B8F"/>
    <w:rsid w:val="00720E9A"/>
    <w:rsid w:val="00721FD9"/>
    <w:rsid w:val="00722E06"/>
    <w:rsid w:val="00723850"/>
    <w:rsid w:val="00723940"/>
    <w:rsid w:val="00723BCD"/>
    <w:rsid w:val="0072459D"/>
    <w:rsid w:val="007249E6"/>
    <w:rsid w:val="00724C0D"/>
    <w:rsid w:val="00724C87"/>
    <w:rsid w:val="00724E4C"/>
    <w:rsid w:val="00724E5F"/>
    <w:rsid w:val="00725359"/>
    <w:rsid w:val="0072651F"/>
    <w:rsid w:val="0072656B"/>
    <w:rsid w:val="00726745"/>
    <w:rsid w:val="0072734A"/>
    <w:rsid w:val="00727563"/>
    <w:rsid w:val="007275FE"/>
    <w:rsid w:val="00727A1C"/>
    <w:rsid w:val="00727DA2"/>
    <w:rsid w:val="00727E6E"/>
    <w:rsid w:val="0073065D"/>
    <w:rsid w:val="00730A10"/>
    <w:rsid w:val="00730B8A"/>
    <w:rsid w:val="00730DC0"/>
    <w:rsid w:val="00731A41"/>
    <w:rsid w:val="0073298A"/>
    <w:rsid w:val="007330A3"/>
    <w:rsid w:val="007332F2"/>
    <w:rsid w:val="00733826"/>
    <w:rsid w:val="00733BA1"/>
    <w:rsid w:val="00733CD8"/>
    <w:rsid w:val="007345B0"/>
    <w:rsid w:val="00734CD3"/>
    <w:rsid w:val="007351F3"/>
    <w:rsid w:val="0073547D"/>
    <w:rsid w:val="007358CB"/>
    <w:rsid w:val="00735E3F"/>
    <w:rsid w:val="00736AFA"/>
    <w:rsid w:val="00736C71"/>
    <w:rsid w:val="00736F58"/>
    <w:rsid w:val="00737741"/>
    <w:rsid w:val="00737B21"/>
    <w:rsid w:val="00740234"/>
    <w:rsid w:val="00740312"/>
    <w:rsid w:val="00740843"/>
    <w:rsid w:val="00740D58"/>
    <w:rsid w:val="00741738"/>
    <w:rsid w:val="00741787"/>
    <w:rsid w:val="00741E50"/>
    <w:rsid w:val="0074213A"/>
    <w:rsid w:val="00743169"/>
    <w:rsid w:val="007435E8"/>
    <w:rsid w:val="00743E24"/>
    <w:rsid w:val="00743EC5"/>
    <w:rsid w:val="00744B4C"/>
    <w:rsid w:val="00745085"/>
    <w:rsid w:val="007456BE"/>
    <w:rsid w:val="007456F3"/>
    <w:rsid w:val="007464E7"/>
    <w:rsid w:val="00746558"/>
    <w:rsid w:val="007467CE"/>
    <w:rsid w:val="00746DC8"/>
    <w:rsid w:val="007472EC"/>
    <w:rsid w:val="0074741B"/>
    <w:rsid w:val="007477C7"/>
    <w:rsid w:val="00747AD3"/>
    <w:rsid w:val="00750F03"/>
    <w:rsid w:val="007518B6"/>
    <w:rsid w:val="00751E81"/>
    <w:rsid w:val="00751FB5"/>
    <w:rsid w:val="0075381D"/>
    <w:rsid w:val="007538B5"/>
    <w:rsid w:val="0075391C"/>
    <w:rsid w:val="00753CC5"/>
    <w:rsid w:val="0075451A"/>
    <w:rsid w:val="00754549"/>
    <w:rsid w:val="00754E6A"/>
    <w:rsid w:val="007551B7"/>
    <w:rsid w:val="007557A9"/>
    <w:rsid w:val="007558F0"/>
    <w:rsid w:val="007559AD"/>
    <w:rsid w:val="00755DE4"/>
    <w:rsid w:val="00755F86"/>
    <w:rsid w:val="0075616B"/>
    <w:rsid w:val="0075626B"/>
    <w:rsid w:val="007562EC"/>
    <w:rsid w:val="007564D5"/>
    <w:rsid w:val="0075697C"/>
    <w:rsid w:val="007579E3"/>
    <w:rsid w:val="00757BFF"/>
    <w:rsid w:val="00757CD2"/>
    <w:rsid w:val="00760ABF"/>
    <w:rsid w:val="00760D5C"/>
    <w:rsid w:val="007617E3"/>
    <w:rsid w:val="00762AE7"/>
    <w:rsid w:val="00762EB7"/>
    <w:rsid w:val="00763A2E"/>
    <w:rsid w:val="00763D22"/>
    <w:rsid w:val="00764101"/>
    <w:rsid w:val="00764695"/>
    <w:rsid w:val="00764D01"/>
    <w:rsid w:val="00765E05"/>
    <w:rsid w:val="0076616F"/>
    <w:rsid w:val="007661CD"/>
    <w:rsid w:val="007663CD"/>
    <w:rsid w:val="00766B52"/>
    <w:rsid w:val="00766C18"/>
    <w:rsid w:val="007676D5"/>
    <w:rsid w:val="00767EF2"/>
    <w:rsid w:val="00767F90"/>
    <w:rsid w:val="00767F91"/>
    <w:rsid w:val="007701BF"/>
    <w:rsid w:val="00770AB1"/>
    <w:rsid w:val="00770C67"/>
    <w:rsid w:val="0077116C"/>
    <w:rsid w:val="007714B5"/>
    <w:rsid w:val="00772033"/>
    <w:rsid w:val="007722E9"/>
    <w:rsid w:val="0077304F"/>
    <w:rsid w:val="0077308C"/>
    <w:rsid w:val="007730DE"/>
    <w:rsid w:val="00773571"/>
    <w:rsid w:val="00773632"/>
    <w:rsid w:val="0077374D"/>
    <w:rsid w:val="00773A77"/>
    <w:rsid w:val="00774099"/>
    <w:rsid w:val="00774156"/>
    <w:rsid w:val="007741ED"/>
    <w:rsid w:val="007747B7"/>
    <w:rsid w:val="00775C14"/>
    <w:rsid w:val="00776076"/>
    <w:rsid w:val="007760FD"/>
    <w:rsid w:val="00776AEF"/>
    <w:rsid w:val="00777881"/>
    <w:rsid w:val="00777BB6"/>
    <w:rsid w:val="00777D5C"/>
    <w:rsid w:val="007802D2"/>
    <w:rsid w:val="00780C61"/>
    <w:rsid w:val="00780D18"/>
    <w:rsid w:val="00781272"/>
    <w:rsid w:val="0078334A"/>
    <w:rsid w:val="00784C34"/>
    <w:rsid w:val="0078516F"/>
    <w:rsid w:val="007851BA"/>
    <w:rsid w:val="00785326"/>
    <w:rsid w:val="00785341"/>
    <w:rsid w:val="007856AE"/>
    <w:rsid w:val="007856B2"/>
    <w:rsid w:val="00785C27"/>
    <w:rsid w:val="007860CB"/>
    <w:rsid w:val="00786FE6"/>
    <w:rsid w:val="00787676"/>
    <w:rsid w:val="0078770E"/>
    <w:rsid w:val="007906DA"/>
    <w:rsid w:val="00791244"/>
    <w:rsid w:val="00791A56"/>
    <w:rsid w:val="00791ED4"/>
    <w:rsid w:val="00792000"/>
    <w:rsid w:val="00792751"/>
    <w:rsid w:val="00792AB5"/>
    <w:rsid w:val="00792F0C"/>
    <w:rsid w:val="007933D7"/>
    <w:rsid w:val="0079346C"/>
    <w:rsid w:val="007934F1"/>
    <w:rsid w:val="00794E0A"/>
    <w:rsid w:val="007955FF"/>
    <w:rsid w:val="007956DF"/>
    <w:rsid w:val="007957B1"/>
    <w:rsid w:val="007963EC"/>
    <w:rsid w:val="00796A40"/>
    <w:rsid w:val="00796FEA"/>
    <w:rsid w:val="00796FF7"/>
    <w:rsid w:val="00797355"/>
    <w:rsid w:val="00797552"/>
    <w:rsid w:val="007A0125"/>
    <w:rsid w:val="007A04BF"/>
    <w:rsid w:val="007A0959"/>
    <w:rsid w:val="007A0FD7"/>
    <w:rsid w:val="007A15D9"/>
    <w:rsid w:val="007A1EF9"/>
    <w:rsid w:val="007A230B"/>
    <w:rsid w:val="007A2B63"/>
    <w:rsid w:val="007A337B"/>
    <w:rsid w:val="007A3430"/>
    <w:rsid w:val="007A380A"/>
    <w:rsid w:val="007A3F0B"/>
    <w:rsid w:val="007A4A5D"/>
    <w:rsid w:val="007A4C5E"/>
    <w:rsid w:val="007A5496"/>
    <w:rsid w:val="007A569A"/>
    <w:rsid w:val="007A5A4C"/>
    <w:rsid w:val="007A5B06"/>
    <w:rsid w:val="007A5EA4"/>
    <w:rsid w:val="007A6197"/>
    <w:rsid w:val="007A6397"/>
    <w:rsid w:val="007A6A3D"/>
    <w:rsid w:val="007A6FD4"/>
    <w:rsid w:val="007A730D"/>
    <w:rsid w:val="007B033B"/>
    <w:rsid w:val="007B0407"/>
    <w:rsid w:val="007B0486"/>
    <w:rsid w:val="007B09A9"/>
    <w:rsid w:val="007B0DAE"/>
    <w:rsid w:val="007B1945"/>
    <w:rsid w:val="007B1C64"/>
    <w:rsid w:val="007B1E27"/>
    <w:rsid w:val="007B2640"/>
    <w:rsid w:val="007B2847"/>
    <w:rsid w:val="007B2A8B"/>
    <w:rsid w:val="007B2DBD"/>
    <w:rsid w:val="007B351B"/>
    <w:rsid w:val="007B43F5"/>
    <w:rsid w:val="007B4DDC"/>
    <w:rsid w:val="007B4FBD"/>
    <w:rsid w:val="007B586D"/>
    <w:rsid w:val="007B5B4D"/>
    <w:rsid w:val="007B5D87"/>
    <w:rsid w:val="007B67C7"/>
    <w:rsid w:val="007B716E"/>
    <w:rsid w:val="007C0ED8"/>
    <w:rsid w:val="007C198D"/>
    <w:rsid w:val="007C1A28"/>
    <w:rsid w:val="007C1AAF"/>
    <w:rsid w:val="007C1C1D"/>
    <w:rsid w:val="007C1D5E"/>
    <w:rsid w:val="007C24BB"/>
    <w:rsid w:val="007C31C4"/>
    <w:rsid w:val="007C31EF"/>
    <w:rsid w:val="007C3A0F"/>
    <w:rsid w:val="007C5267"/>
    <w:rsid w:val="007C56F2"/>
    <w:rsid w:val="007C5D94"/>
    <w:rsid w:val="007C60C7"/>
    <w:rsid w:val="007C6315"/>
    <w:rsid w:val="007C6401"/>
    <w:rsid w:val="007C68EB"/>
    <w:rsid w:val="007C6C9E"/>
    <w:rsid w:val="007C6E3D"/>
    <w:rsid w:val="007C7031"/>
    <w:rsid w:val="007C7053"/>
    <w:rsid w:val="007C7331"/>
    <w:rsid w:val="007D042A"/>
    <w:rsid w:val="007D0485"/>
    <w:rsid w:val="007D0F5B"/>
    <w:rsid w:val="007D106C"/>
    <w:rsid w:val="007D233A"/>
    <w:rsid w:val="007D2C88"/>
    <w:rsid w:val="007D2F0A"/>
    <w:rsid w:val="007D303F"/>
    <w:rsid w:val="007D3D3B"/>
    <w:rsid w:val="007D4396"/>
    <w:rsid w:val="007D4AF2"/>
    <w:rsid w:val="007D4B61"/>
    <w:rsid w:val="007D52D2"/>
    <w:rsid w:val="007D631F"/>
    <w:rsid w:val="007D6E07"/>
    <w:rsid w:val="007D7127"/>
    <w:rsid w:val="007D729A"/>
    <w:rsid w:val="007D7349"/>
    <w:rsid w:val="007D798D"/>
    <w:rsid w:val="007D7E2E"/>
    <w:rsid w:val="007E0A00"/>
    <w:rsid w:val="007E1BE1"/>
    <w:rsid w:val="007E1E74"/>
    <w:rsid w:val="007E238A"/>
    <w:rsid w:val="007E2495"/>
    <w:rsid w:val="007E264F"/>
    <w:rsid w:val="007E2DDE"/>
    <w:rsid w:val="007E2EBF"/>
    <w:rsid w:val="007E4E9F"/>
    <w:rsid w:val="007E5307"/>
    <w:rsid w:val="007E5770"/>
    <w:rsid w:val="007E5AF7"/>
    <w:rsid w:val="007E61E7"/>
    <w:rsid w:val="007E68C2"/>
    <w:rsid w:val="007E6966"/>
    <w:rsid w:val="007E6BBE"/>
    <w:rsid w:val="007E753F"/>
    <w:rsid w:val="007F00BF"/>
    <w:rsid w:val="007F06F4"/>
    <w:rsid w:val="007F096A"/>
    <w:rsid w:val="007F0F4D"/>
    <w:rsid w:val="007F100E"/>
    <w:rsid w:val="007F11B3"/>
    <w:rsid w:val="007F1B11"/>
    <w:rsid w:val="007F1C52"/>
    <w:rsid w:val="007F1FF0"/>
    <w:rsid w:val="007F28A9"/>
    <w:rsid w:val="007F2C35"/>
    <w:rsid w:val="007F3A80"/>
    <w:rsid w:val="007F40AA"/>
    <w:rsid w:val="007F434A"/>
    <w:rsid w:val="007F4BA2"/>
    <w:rsid w:val="007F5300"/>
    <w:rsid w:val="007F54E2"/>
    <w:rsid w:val="007F58DF"/>
    <w:rsid w:val="007F5AC9"/>
    <w:rsid w:val="007F5B00"/>
    <w:rsid w:val="007F6111"/>
    <w:rsid w:val="007F630C"/>
    <w:rsid w:val="007F6529"/>
    <w:rsid w:val="007F6548"/>
    <w:rsid w:val="007F6671"/>
    <w:rsid w:val="0080020C"/>
    <w:rsid w:val="008002D2"/>
    <w:rsid w:val="00800BBF"/>
    <w:rsid w:val="00800D80"/>
    <w:rsid w:val="0080131F"/>
    <w:rsid w:val="00801762"/>
    <w:rsid w:val="008018A1"/>
    <w:rsid w:val="00801D13"/>
    <w:rsid w:val="00802854"/>
    <w:rsid w:val="00802EC5"/>
    <w:rsid w:val="00803130"/>
    <w:rsid w:val="00803852"/>
    <w:rsid w:val="00804884"/>
    <w:rsid w:val="00804CBE"/>
    <w:rsid w:val="008050DB"/>
    <w:rsid w:val="00805150"/>
    <w:rsid w:val="008052D9"/>
    <w:rsid w:val="0080541C"/>
    <w:rsid w:val="00805A7E"/>
    <w:rsid w:val="00806905"/>
    <w:rsid w:val="00806C9E"/>
    <w:rsid w:val="00806EEA"/>
    <w:rsid w:val="00807058"/>
    <w:rsid w:val="0080729B"/>
    <w:rsid w:val="0080763B"/>
    <w:rsid w:val="008077BA"/>
    <w:rsid w:val="00807E3C"/>
    <w:rsid w:val="008100D9"/>
    <w:rsid w:val="00810255"/>
    <w:rsid w:val="00811179"/>
    <w:rsid w:val="008113F3"/>
    <w:rsid w:val="008117DC"/>
    <w:rsid w:val="00811AAB"/>
    <w:rsid w:val="00811B06"/>
    <w:rsid w:val="008121BD"/>
    <w:rsid w:val="0081287B"/>
    <w:rsid w:val="00812F65"/>
    <w:rsid w:val="00812FCB"/>
    <w:rsid w:val="008134C5"/>
    <w:rsid w:val="008136BD"/>
    <w:rsid w:val="00813840"/>
    <w:rsid w:val="008145A8"/>
    <w:rsid w:val="0081483E"/>
    <w:rsid w:val="00814DB1"/>
    <w:rsid w:val="00814E2D"/>
    <w:rsid w:val="00815167"/>
    <w:rsid w:val="0081523E"/>
    <w:rsid w:val="0081568E"/>
    <w:rsid w:val="008159CA"/>
    <w:rsid w:val="00815D8F"/>
    <w:rsid w:val="00816521"/>
    <w:rsid w:val="00816796"/>
    <w:rsid w:val="00816DFC"/>
    <w:rsid w:val="0081779B"/>
    <w:rsid w:val="008205BA"/>
    <w:rsid w:val="008209F2"/>
    <w:rsid w:val="00821543"/>
    <w:rsid w:val="0082165A"/>
    <w:rsid w:val="0082171E"/>
    <w:rsid w:val="00821B91"/>
    <w:rsid w:val="00822056"/>
    <w:rsid w:val="00822242"/>
    <w:rsid w:val="00822521"/>
    <w:rsid w:val="008225C2"/>
    <w:rsid w:val="008228AF"/>
    <w:rsid w:val="0082419E"/>
    <w:rsid w:val="0082456C"/>
    <w:rsid w:val="00824B62"/>
    <w:rsid w:val="0082579E"/>
    <w:rsid w:val="0082672E"/>
    <w:rsid w:val="00826B74"/>
    <w:rsid w:val="008276D7"/>
    <w:rsid w:val="00827F26"/>
    <w:rsid w:val="0083032B"/>
    <w:rsid w:val="00830F92"/>
    <w:rsid w:val="00831176"/>
    <w:rsid w:val="00831BAE"/>
    <w:rsid w:val="00832221"/>
    <w:rsid w:val="008322B3"/>
    <w:rsid w:val="0083235A"/>
    <w:rsid w:val="00832BF7"/>
    <w:rsid w:val="00832DD4"/>
    <w:rsid w:val="00832EBC"/>
    <w:rsid w:val="0083314E"/>
    <w:rsid w:val="008345EA"/>
    <w:rsid w:val="008346AB"/>
    <w:rsid w:val="00834782"/>
    <w:rsid w:val="00834D11"/>
    <w:rsid w:val="00835202"/>
    <w:rsid w:val="008354B8"/>
    <w:rsid w:val="00835828"/>
    <w:rsid w:val="00835AC7"/>
    <w:rsid w:val="00835FE1"/>
    <w:rsid w:val="008361AD"/>
    <w:rsid w:val="00836A70"/>
    <w:rsid w:val="00836F56"/>
    <w:rsid w:val="008378AE"/>
    <w:rsid w:val="00837F29"/>
    <w:rsid w:val="0084020C"/>
    <w:rsid w:val="00840556"/>
    <w:rsid w:val="00840B02"/>
    <w:rsid w:val="00841120"/>
    <w:rsid w:val="0084146D"/>
    <w:rsid w:val="00841927"/>
    <w:rsid w:val="00842033"/>
    <w:rsid w:val="0084237E"/>
    <w:rsid w:val="00843606"/>
    <w:rsid w:val="00843927"/>
    <w:rsid w:val="00843EB4"/>
    <w:rsid w:val="008452AE"/>
    <w:rsid w:val="00845B2B"/>
    <w:rsid w:val="008467D4"/>
    <w:rsid w:val="008473AC"/>
    <w:rsid w:val="008477A7"/>
    <w:rsid w:val="0084780D"/>
    <w:rsid w:val="008500E2"/>
    <w:rsid w:val="00850794"/>
    <w:rsid w:val="00851720"/>
    <w:rsid w:val="008519A1"/>
    <w:rsid w:val="00851CB8"/>
    <w:rsid w:val="00851E2D"/>
    <w:rsid w:val="00852794"/>
    <w:rsid w:val="00852F56"/>
    <w:rsid w:val="0085302F"/>
    <w:rsid w:val="00853295"/>
    <w:rsid w:val="008534D8"/>
    <w:rsid w:val="008535FB"/>
    <w:rsid w:val="00853B61"/>
    <w:rsid w:val="008540E9"/>
    <w:rsid w:val="008542CD"/>
    <w:rsid w:val="00854C97"/>
    <w:rsid w:val="00855003"/>
    <w:rsid w:val="00855036"/>
    <w:rsid w:val="008551BA"/>
    <w:rsid w:val="00855C74"/>
    <w:rsid w:val="00855DE5"/>
    <w:rsid w:val="008565D2"/>
    <w:rsid w:val="0085663A"/>
    <w:rsid w:val="00856DB5"/>
    <w:rsid w:val="00856E2A"/>
    <w:rsid w:val="0085747E"/>
    <w:rsid w:val="0085785B"/>
    <w:rsid w:val="00857B4E"/>
    <w:rsid w:val="00857CF7"/>
    <w:rsid w:val="0086000F"/>
    <w:rsid w:val="00862BB2"/>
    <w:rsid w:val="00862F94"/>
    <w:rsid w:val="00863979"/>
    <w:rsid w:val="008645F2"/>
    <w:rsid w:val="00865074"/>
    <w:rsid w:val="00865859"/>
    <w:rsid w:val="00866271"/>
    <w:rsid w:val="00866BE8"/>
    <w:rsid w:val="00866E05"/>
    <w:rsid w:val="008671B1"/>
    <w:rsid w:val="00867429"/>
    <w:rsid w:val="008676FB"/>
    <w:rsid w:val="008678EB"/>
    <w:rsid w:val="00867946"/>
    <w:rsid w:val="00870824"/>
    <w:rsid w:val="008713F6"/>
    <w:rsid w:val="0087215F"/>
    <w:rsid w:val="00872312"/>
    <w:rsid w:val="00872A40"/>
    <w:rsid w:val="008732DB"/>
    <w:rsid w:val="008732EB"/>
    <w:rsid w:val="008734D2"/>
    <w:rsid w:val="008735E0"/>
    <w:rsid w:val="00873A28"/>
    <w:rsid w:val="00873A47"/>
    <w:rsid w:val="00873E84"/>
    <w:rsid w:val="00873FBF"/>
    <w:rsid w:val="00874241"/>
    <w:rsid w:val="00874397"/>
    <w:rsid w:val="008743BE"/>
    <w:rsid w:val="00875547"/>
    <w:rsid w:val="008764F5"/>
    <w:rsid w:val="00876AE2"/>
    <w:rsid w:val="00876E67"/>
    <w:rsid w:val="0087714C"/>
    <w:rsid w:val="00877754"/>
    <w:rsid w:val="0088040F"/>
    <w:rsid w:val="00880AB9"/>
    <w:rsid w:val="00880C69"/>
    <w:rsid w:val="0088113C"/>
    <w:rsid w:val="00881186"/>
    <w:rsid w:val="00881686"/>
    <w:rsid w:val="00882643"/>
    <w:rsid w:val="008827ED"/>
    <w:rsid w:val="0088367B"/>
    <w:rsid w:val="00883891"/>
    <w:rsid w:val="00883C75"/>
    <w:rsid w:val="008849F9"/>
    <w:rsid w:val="008858BF"/>
    <w:rsid w:val="008859B8"/>
    <w:rsid w:val="00885A30"/>
    <w:rsid w:val="00886D9E"/>
    <w:rsid w:val="00886DA5"/>
    <w:rsid w:val="008904F1"/>
    <w:rsid w:val="0089078C"/>
    <w:rsid w:val="0089110A"/>
    <w:rsid w:val="00891395"/>
    <w:rsid w:val="00891684"/>
    <w:rsid w:val="00891897"/>
    <w:rsid w:val="00891BED"/>
    <w:rsid w:val="00891D0F"/>
    <w:rsid w:val="00892942"/>
    <w:rsid w:val="008938D3"/>
    <w:rsid w:val="00895146"/>
    <w:rsid w:val="00895172"/>
    <w:rsid w:val="00895536"/>
    <w:rsid w:val="00895621"/>
    <w:rsid w:val="00895A75"/>
    <w:rsid w:val="00895CA9"/>
    <w:rsid w:val="008965C9"/>
    <w:rsid w:val="00896676"/>
    <w:rsid w:val="00896E64"/>
    <w:rsid w:val="008974C2"/>
    <w:rsid w:val="00897B18"/>
    <w:rsid w:val="00897D22"/>
    <w:rsid w:val="00897DB5"/>
    <w:rsid w:val="008A0422"/>
    <w:rsid w:val="008A06AB"/>
    <w:rsid w:val="008A10DD"/>
    <w:rsid w:val="008A1585"/>
    <w:rsid w:val="008A17E3"/>
    <w:rsid w:val="008A1942"/>
    <w:rsid w:val="008A28B4"/>
    <w:rsid w:val="008A2CEA"/>
    <w:rsid w:val="008A4262"/>
    <w:rsid w:val="008A43A2"/>
    <w:rsid w:val="008A462D"/>
    <w:rsid w:val="008A4694"/>
    <w:rsid w:val="008A58AC"/>
    <w:rsid w:val="008A5A99"/>
    <w:rsid w:val="008A660E"/>
    <w:rsid w:val="008A68D9"/>
    <w:rsid w:val="008A6987"/>
    <w:rsid w:val="008B003B"/>
    <w:rsid w:val="008B03B7"/>
    <w:rsid w:val="008B0926"/>
    <w:rsid w:val="008B097F"/>
    <w:rsid w:val="008B133F"/>
    <w:rsid w:val="008B163B"/>
    <w:rsid w:val="008B1704"/>
    <w:rsid w:val="008B1CD6"/>
    <w:rsid w:val="008B23EF"/>
    <w:rsid w:val="008B2D61"/>
    <w:rsid w:val="008B3176"/>
    <w:rsid w:val="008B347D"/>
    <w:rsid w:val="008B3541"/>
    <w:rsid w:val="008B3830"/>
    <w:rsid w:val="008B3BA5"/>
    <w:rsid w:val="008B3BAF"/>
    <w:rsid w:val="008B3D6B"/>
    <w:rsid w:val="008B4E3F"/>
    <w:rsid w:val="008B514B"/>
    <w:rsid w:val="008B59A3"/>
    <w:rsid w:val="008B5D95"/>
    <w:rsid w:val="008B6F14"/>
    <w:rsid w:val="008C0417"/>
    <w:rsid w:val="008C075B"/>
    <w:rsid w:val="008C0B97"/>
    <w:rsid w:val="008C0F9E"/>
    <w:rsid w:val="008C117A"/>
    <w:rsid w:val="008C134A"/>
    <w:rsid w:val="008C1638"/>
    <w:rsid w:val="008C189E"/>
    <w:rsid w:val="008C1F3C"/>
    <w:rsid w:val="008C1FC6"/>
    <w:rsid w:val="008C2B52"/>
    <w:rsid w:val="008C2F93"/>
    <w:rsid w:val="008C34C4"/>
    <w:rsid w:val="008C34E6"/>
    <w:rsid w:val="008C38DC"/>
    <w:rsid w:val="008C4770"/>
    <w:rsid w:val="008C4F09"/>
    <w:rsid w:val="008C54E6"/>
    <w:rsid w:val="008C63F8"/>
    <w:rsid w:val="008C6C01"/>
    <w:rsid w:val="008C6C78"/>
    <w:rsid w:val="008C703D"/>
    <w:rsid w:val="008C726B"/>
    <w:rsid w:val="008C72C7"/>
    <w:rsid w:val="008C7668"/>
    <w:rsid w:val="008C7B5C"/>
    <w:rsid w:val="008D070B"/>
    <w:rsid w:val="008D0E56"/>
    <w:rsid w:val="008D156C"/>
    <w:rsid w:val="008D1C80"/>
    <w:rsid w:val="008D2083"/>
    <w:rsid w:val="008D324D"/>
    <w:rsid w:val="008D3B2B"/>
    <w:rsid w:val="008D44BA"/>
    <w:rsid w:val="008D4711"/>
    <w:rsid w:val="008D4C26"/>
    <w:rsid w:val="008D4E6C"/>
    <w:rsid w:val="008D52E8"/>
    <w:rsid w:val="008D5E8D"/>
    <w:rsid w:val="008D5FD9"/>
    <w:rsid w:val="008D614D"/>
    <w:rsid w:val="008D6241"/>
    <w:rsid w:val="008D64EE"/>
    <w:rsid w:val="008D6654"/>
    <w:rsid w:val="008D66A4"/>
    <w:rsid w:val="008D6A9D"/>
    <w:rsid w:val="008D6CA2"/>
    <w:rsid w:val="008D6E66"/>
    <w:rsid w:val="008E0259"/>
    <w:rsid w:val="008E0757"/>
    <w:rsid w:val="008E0DC4"/>
    <w:rsid w:val="008E1C73"/>
    <w:rsid w:val="008E24DA"/>
    <w:rsid w:val="008E27D8"/>
    <w:rsid w:val="008E2842"/>
    <w:rsid w:val="008E2EFA"/>
    <w:rsid w:val="008E33BB"/>
    <w:rsid w:val="008E38D7"/>
    <w:rsid w:val="008E3B99"/>
    <w:rsid w:val="008E3BE7"/>
    <w:rsid w:val="008E3EDC"/>
    <w:rsid w:val="008E41C4"/>
    <w:rsid w:val="008E525C"/>
    <w:rsid w:val="008E5575"/>
    <w:rsid w:val="008E5718"/>
    <w:rsid w:val="008E572F"/>
    <w:rsid w:val="008E5D78"/>
    <w:rsid w:val="008E5EDB"/>
    <w:rsid w:val="008E62F6"/>
    <w:rsid w:val="008E63C5"/>
    <w:rsid w:val="008E63D9"/>
    <w:rsid w:val="008E63F9"/>
    <w:rsid w:val="008E6D7F"/>
    <w:rsid w:val="008E6DEB"/>
    <w:rsid w:val="008E6F4B"/>
    <w:rsid w:val="008E73AA"/>
    <w:rsid w:val="008E7FF0"/>
    <w:rsid w:val="008F08ED"/>
    <w:rsid w:val="008F0A21"/>
    <w:rsid w:val="008F100C"/>
    <w:rsid w:val="008F1B16"/>
    <w:rsid w:val="008F2CA2"/>
    <w:rsid w:val="008F3038"/>
    <w:rsid w:val="008F32B3"/>
    <w:rsid w:val="008F3A94"/>
    <w:rsid w:val="008F3D78"/>
    <w:rsid w:val="008F478B"/>
    <w:rsid w:val="008F49CB"/>
    <w:rsid w:val="008F4B90"/>
    <w:rsid w:val="008F4D72"/>
    <w:rsid w:val="008F4F68"/>
    <w:rsid w:val="008F528B"/>
    <w:rsid w:val="008F5297"/>
    <w:rsid w:val="008F571F"/>
    <w:rsid w:val="008F58D2"/>
    <w:rsid w:val="008F5929"/>
    <w:rsid w:val="008F6136"/>
    <w:rsid w:val="008F697E"/>
    <w:rsid w:val="008F7133"/>
    <w:rsid w:val="008F73AD"/>
    <w:rsid w:val="008F7D42"/>
    <w:rsid w:val="00900574"/>
    <w:rsid w:val="0090099A"/>
    <w:rsid w:val="00900A09"/>
    <w:rsid w:val="00900D47"/>
    <w:rsid w:val="009011FA"/>
    <w:rsid w:val="009012AB"/>
    <w:rsid w:val="00901BB3"/>
    <w:rsid w:val="00902A2B"/>
    <w:rsid w:val="00903370"/>
    <w:rsid w:val="009039A5"/>
    <w:rsid w:val="00904115"/>
    <w:rsid w:val="0090466A"/>
    <w:rsid w:val="00905441"/>
    <w:rsid w:val="009055AC"/>
    <w:rsid w:val="00905C68"/>
    <w:rsid w:val="00905EE7"/>
    <w:rsid w:val="00905FA1"/>
    <w:rsid w:val="0090612F"/>
    <w:rsid w:val="009069E5"/>
    <w:rsid w:val="00906B05"/>
    <w:rsid w:val="00906DED"/>
    <w:rsid w:val="009075FA"/>
    <w:rsid w:val="009078A2"/>
    <w:rsid w:val="00907D73"/>
    <w:rsid w:val="00910BCE"/>
    <w:rsid w:val="00910C30"/>
    <w:rsid w:val="00910CDE"/>
    <w:rsid w:val="00911A9F"/>
    <w:rsid w:val="00911AE5"/>
    <w:rsid w:val="00911E5B"/>
    <w:rsid w:val="009121A5"/>
    <w:rsid w:val="0091271B"/>
    <w:rsid w:val="00912807"/>
    <w:rsid w:val="00912938"/>
    <w:rsid w:val="00912F84"/>
    <w:rsid w:val="00913753"/>
    <w:rsid w:val="0091379A"/>
    <w:rsid w:val="00913CAD"/>
    <w:rsid w:val="00913D41"/>
    <w:rsid w:val="00913D7D"/>
    <w:rsid w:val="00913DC9"/>
    <w:rsid w:val="00914368"/>
    <w:rsid w:val="00914A96"/>
    <w:rsid w:val="009156D6"/>
    <w:rsid w:val="00915930"/>
    <w:rsid w:val="00915D39"/>
    <w:rsid w:val="0091668E"/>
    <w:rsid w:val="0091674D"/>
    <w:rsid w:val="0091691D"/>
    <w:rsid w:val="00916AF2"/>
    <w:rsid w:val="0091736D"/>
    <w:rsid w:val="00917469"/>
    <w:rsid w:val="00917AF1"/>
    <w:rsid w:val="00917C49"/>
    <w:rsid w:val="00917FFA"/>
    <w:rsid w:val="0092027C"/>
    <w:rsid w:val="00920A11"/>
    <w:rsid w:val="00921159"/>
    <w:rsid w:val="009218BA"/>
    <w:rsid w:val="009221F5"/>
    <w:rsid w:val="00922548"/>
    <w:rsid w:val="00922F5F"/>
    <w:rsid w:val="009230E8"/>
    <w:rsid w:val="0092348A"/>
    <w:rsid w:val="00923BA3"/>
    <w:rsid w:val="009244A7"/>
    <w:rsid w:val="0092459B"/>
    <w:rsid w:val="009249F0"/>
    <w:rsid w:val="00924B10"/>
    <w:rsid w:val="00924C36"/>
    <w:rsid w:val="00924C62"/>
    <w:rsid w:val="00924DB5"/>
    <w:rsid w:val="009256F3"/>
    <w:rsid w:val="009272C8"/>
    <w:rsid w:val="0093056E"/>
    <w:rsid w:val="009306A1"/>
    <w:rsid w:val="009309D9"/>
    <w:rsid w:val="00930CE6"/>
    <w:rsid w:val="00931772"/>
    <w:rsid w:val="009317A2"/>
    <w:rsid w:val="0093199E"/>
    <w:rsid w:val="009319D5"/>
    <w:rsid w:val="00932A6F"/>
    <w:rsid w:val="0093321C"/>
    <w:rsid w:val="0093353F"/>
    <w:rsid w:val="00933869"/>
    <w:rsid w:val="00933D15"/>
    <w:rsid w:val="00934D1A"/>
    <w:rsid w:val="009351B7"/>
    <w:rsid w:val="0093569B"/>
    <w:rsid w:val="009359F9"/>
    <w:rsid w:val="00935FDB"/>
    <w:rsid w:val="00936254"/>
    <w:rsid w:val="009369EC"/>
    <w:rsid w:val="00936F1C"/>
    <w:rsid w:val="00936FE0"/>
    <w:rsid w:val="009373B8"/>
    <w:rsid w:val="00937967"/>
    <w:rsid w:val="0094041D"/>
    <w:rsid w:val="009405EB"/>
    <w:rsid w:val="00940B5E"/>
    <w:rsid w:val="00941E0A"/>
    <w:rsid w:val="009428DF"/>
    <w:rsid w:val="00942977"/>
    <w:rsid w:val="00942C2B"/>
    <w:rsid w:val="0094452B"/>
    <w:rsid w:val="00944B52"/>
    <w:rsid w:val="00944CB6"/>
    <w:rsid w:val="009452C7"/>
    <w:rsid w:val="009452F4"/>
    <w:rsid w:val="00945645"/>
    <w:rsid w:val="009456E1"/>
    <w:rsid w:val="00945D30"/>
    <w:rsid w:val="009462F2"/>
    <w:rsid w:val="00947093"/>
    <w:rsid w:val="00947B86"/>
    <w:rsid w:val="009505D6"/>
    <w:rsid w:val="00950A31"/>
    <w:rsid w:val="00950B10"/>
    <w:rsid w:val="00951632"/>
    <w:rsid w:val="009516FF"/>
    <w:rsid w:val="00951D03"/>
    <w:rsid w:val="00951D7A"/>
    <w:rsid w:val="00951F5E"/>
    <w:rsid w:val="0095205E"/>
    <w:rsid w:val="00952109"/>
    <w:rsid w:val="009521A2"/>
    <w:rsid w:val="00952457"/>
    <w:rsid w:val="0095384A"/>
    <w:rsid w:val="00953859"/>
    <w:rsid w:val="00953ABB"/>
    <w:rsid w:val="00953FD6"/>
    <w:rsid w:val="0095419C"/>
    <w:rsid w:val="00954570"/>
    <w:rsid w:val="009556EC"/>
    <w:rsid w:val="00955981"/>
    <w:rsid w:val="009565DA"/>
    <w:rsid w:val="0095685D"/>
    <w:rsid w:val="00956E65"/>
    <w:rsid w:val="009578D2"/>
    <w:rsid w:val="00960194"/>
    <w:rsid w:val="009609F6"/>
    <w:rsid w:val="00960AF4"/>
    <w:rsid w:val="00961070"/>
    <w:rsid w:val="00961923"/>
    <w:rsid w:val="009622F0"/>
    <w:rsid w:val="00962A76"/>
    <w:rsid w:val="00963361"/>
    <w:rsid w:val="009633EB"/>
    <w:rsid w:val="009636C6"/>
    <w:rsid w:val="00963CDA"/>
    <w:rsid w:val="009640EB"/>
    <w:rsid w:val="00964492"/>
    <w:rsid w:val="009646BA"/>
    <w:rsid w:val="00964948"/>
    <w:rsid w:val="00964B9D"/>
    <w:rsid w:val="00965050"/>
    <w:rsid w:val="009650A7"/>
    <w:rsid w:val="009652F8"/>
    <w:rsid w:val="0096558F"/>
    <w:rsid w:val="0096593E"/>
    <w:rsid w:val="00965AA5"/>
    <w:rsid w:val="00965D8B"/>
    <w:rsid w:val="00966705"/>
    <w:rsid w:val="009667A8"/>
    <w:rsid w:val="00966CF2"/>
    <w:rsid w:val="009676EF"/>
    <w:rsid w:val="009679CE"/>
    <w:rsid w:val="00970390"/>
    <w:rsid w:val="00970488"/>
    <w:rsid w:val="0097181F"/>
    <w:rsid w:val="00971A97"/>
    <w:rsid w:val="00971B21"/>
    <w:rsid w:val="009722B8"/>
    <w:rsid w:val="00972A33"/>
    <w:rsid w:val="00972D48"/>
    <w:rsid w:val="00972F7D"/>
    <w:rsid w:val="00973030"/>
    <w:rsid w:val="00973051"/>
    <w:rsid w:val="00973315"/>
    <w:rsid w:val="00973645"/>
    <w:rsid w:val="009742AB"/>
    <w:rsid w:val="00974B86"/>
    <w:rsid w:val="00974EE4"/>
    <w:rsid w:val="00975282"/>
    <w:rsid w:val="009756C9"/>
    <w:rsid w:val="00975E37"/>
    <w:rsid w:val="0097613C"/>
    <w:rsid w:val="009761E8"/>
    <w:rsid w:val="009766DA"/>
    <w:rsid w:val="009768DD"/>
    <w:rsid w:val="00976C54"/>
    <w:rsid w:val="0097758B"/>
    <w:rsid w:val="009775E7"/>
    <w:rsid w:val="0097789E"/>
    <w:rsid w:val="009778BB"/>
    <w:rsid w:val="00977E45"/>
    <w:rsid w:val="009800AA"/>
    <w:rsid w:val="009801E7"/>
    <w:rsid w:val="00980215"/>
    <w:rsid w:val="00980EAD"/>
    <w:rsid w:val="009817E2"/>
    <w:rsid w:val="009818F6"/>
    <w:rsid w:val="00981B44"/>
    <w:rsid w:val="0098240F"/>
    <w:rsid w:val="00982983"/>
    <w:rsid w:val="00982D68"/>
    <w:rsid w:val="00983012"/>
    <w:rsid w:val="009830BE"/>
    <w:rsid w:val="00983516"/>
    <w:rsid w:val="00983604"/>
    <w:rsid w:val="00985437"/>
    <w:rsid w:val="0098596B"/>
    <w:rsid w:val="00985CA4"/>
    <w:rsid w:val="00985E9B"/>
    <w:rsid w:val="00986CA9"/>
    <w:rsid w:val="00986DC4"/>
    <w:rsid w:val="00986EA7"/>
    <w:rsid w:val="0098725B"/>
    <w:rsid w:val="0099003A"/>
    <w:rsid w:val="009904C5"/>
    <w:rsid w:val="00990817"/>
    <w:rsid w:val="0099099E"/>
    <w:rsid w:val="009917F3"/>
    <w:rsid w:val="00991A30"/>
    <w:rsid w:val="00991BDF"/>
    <w:rsid w:val="00991BE3"/>
    <w:rsid w:val="00992286"/>
    <w:rsid w:val="009928EA"/>
    <w:rsid w:val="00992914"/>
    <w:rsid w:val="00992BFB"/>
    <w:rsid w:val="00993854"/>
    <w:rsid w:val="00993ED7"/>
    <w:rsid w:val="009945EC"/>
    <w:rsid w:val="00994A8F"/>
    <w:rsid w:val="0099508F"/>
    <w:rsid w:val="0099581A"/>
    <w:rsid w:val="00995947"/>
    <w:rsid w:val="00995E9F"/>
    <w:rsid w:val="00995F66"/>
    <w:rsid w:val="00995F69"/>
    <w:rsid w:val="00995FF2"/>
    <w:rsid w:val="009960E7"/>
    <w:rsid w:val="00996158"/>
    <w:rsid w:val="00997843"/>
    <w:rsid w:val="009A006E"/>
    <w:rsid w:val="009A02DD"/>
    <w:rsid w:val="009A0F10"/>
    <w:rsid w:val="009A108A"/>
    <w:rsid w:val="009A1B7C"/>
    <w:rsid w:val="009A274B"/>
    <w:rsid w:val="009A2849"/>
    <w:rsid w:val="009A2AD5"/>
    <w:rsid w:val="009A2C04"/>
    <w:rsid w:val="009A3345"/>
    <w:rsid w:val="009A35C3"/>
    <w:rsid w:val="009A4848"/>
    <w:rsid w:val="009A4C87"/>
    <w:rsid w:val="009A4FD2"/>
    <w:rsid w:val="009A53D0"/>
    <w:rsid w:val="009A593B"/>
    <w:rsid w:val="009A65D4"/>
    <w:rsid w:val="009A692B"/>
    <w:rsid w:val="009B0A98"/>
    <w:rsid w:val="009B0B18"/>
    <w:rsid w:val="009B0B8D"/>
    <w:rsid w:val="009B0BA1"/>
    <w:rsid w:val="009B1346"/>
    <w:rsid w:val="009B1795"/>
    <w:rsid w:val="009B1E92"/>
    <w:rsid w:val="009B264F"/>
    <w:rsid w:val="009B2AEE"/>
    <w:rsid w:val="009B3672"/>
    <w:rsid w:val="009B36F4"/>
    <w:rsid w:val="009B3AD0"/>
    <w:rsid w:val="009B3E05"/>
    <w:rsid w:val="009B417B"/>
    <w:rsid w:val="009B4188"/>
    <w:rsid w:val="009B49E5"/>
    <w:rsid w:val="009B4AE6"/>
    <w:rsid w:val="009B4F1F"/>
    <w:rsid w:val="009B549F"/>
    <w:rsid w:val="009B5ACB"/>
    <w:rsid w:val="009B5B46"/>
    <w:rsid w:val="009B5B6E"/>
    <w:rsid w:val="009B60B4"/>
    <w:rsid w:val="009B642D"/>
    <w:rsid w:val="009B710F"/>
    <w:rsid w:val="009C062A"/>
    <w:rsid w:val="009C1469"/>
    <w:rsid w:val="009C1638"/>
    <w:rsid w:val="009C17C1"/>
    <w:rsid w:val="009C1C7C"/>
    <w:rsid w:val="009C1FAD"/>
    <w:rsid w:val="009C2745"/>
    <w:rsid w:val="009C27CC"/>
    <w:rsid w:val="009C312E"/>
    <w:rsid w:val="009C32F5"/>
    <w:rsid w:val="009C366A"/>
    <w:rsid w:val="009C3794"/>
    <w:rsid w:val="009C41EE"/>
    <w:rsid w:val="009C45BF"/>
    <w:rsid w:val="009C47A5"/>
    <w:rsid w:val="009C4983"/>
    <w:rsid w:val="009C4CDA"/>
    <w:rsid w:val="009C5626"/>
    <w:rsid w:val="009C5C2D"/>
    <w:rsid w:val="009C683D"/>
    <w:rsid w:val="009C6924"/>
    <w:rsid w:val="009C6A22"/>
    <w:rsid w:val="009C6B9B"/>
    <w:rsid w:val="009C6E8B"/>
    <w:rsid w:val="009C6F1A"/>
    <w:rsid w:val="009C7672"/>
    <w:rsid w:val="009D02FC"/>
    <w:rsid w:val="009D0342"/>
    <w:rsid w:val="009D0428"/>
    <w:rsid w:val="009D0815"/>
    <w:rsid w:val="009D0CD0"/>
    <w:rsid w:val="009D221D"/>
    <w:rsid w:val="009D268A"/>
    <w:rsid w:val="009D2882"/>
    <w:rsid w:val="009D2B02"/>
    <w:rsid w:val="009D2BA6"/>
    <w:rsid w:val="009D2CCC"/>
    <w:rsid w:val="009D3D09"/>
    <w:rsid w:val="009D3E17"/>
    <w:rsid w:val="009D535C"/>
    <w:rsid w:val="009D5B94"/>
    <w:rsid w:val="009D5C04"/>
    <w:rsid w:val="009D5C4B"/>
    <w:rsid w:val="009D606E"/>
    <w:rsid w:val="009D7788"/>
    <w:rsid w:val="009D7874"/>
    <w:rsid w:val="009D7DF2"/>
    <w:rsid w:val="009E012E"/>
    <w:rsid w:val="009E0F48"/>
    <w:rsid w:val="009E0F5A"/>
    <w:rsid w:val="009E0FBB"/>
    <w:rsid w:val="009E119C"/>
    <w:rsid w:val="009E1396"/>
    <w:rsid w:val="009E14F9"/>
    <w:rsid w:val="009E22C7"/>
    <w:rsid w:val="009E27A9"/>
    <w:rsid w:val="009E3217"/>
    <w:rsid w:val="009E329E"/>
    <w:rsid w:val="009E3520"/>
    <w:rsid w:val="009E44AC"/>
    <w:rsid w:val="009E46B0"/>
    <w:rsid w:val="009E4941"/>
    <w:rsid w:val="009E5A11"/>
    <w:rsid w:val="009E5AE6"/>
    <w:rsid w:val="009E5E53"/>
    <w:rsid w:val="009E5F58"/>
    <w:rsid w:val="009E60C4"/>
    <w:rsid w:val="009E63C1"/>
    <w:rsid w:val="009E7231"/>
    <w:rsid w:val="009E7992"/>
    <w:rsid w:val="009E7BC4"/>
    <w:rsid w:val="009E7EF3"/>
    <w:rsid w:val="009E7EF5"/>
    <w:rsid w:val="009F02DE"/>
    <w:rsid w:val="009F0CB2"/>
    <w:rsid w:val="009F0FBB"/>
    <w:rsid w:val="009F1A3D"/>
    <w:rsid w:val="009F396D"/>
    <w:rsid w:val="009F3A7A"/>
    <w:rsid w:val="009F3A92"/>
    <w:rsid w:val="009F41A6"/>
    <w:rsid w:val="009F4849"/>
    <w:rsid w:val="009F49DB"/>
    <w:rsid w:val="009F4B75"/>
    <w:rsid w:val="009F53B5"/>
    <w:rsid w:val="009F5E4E"/>
    <w:rsid w:val="009F64B3"/>
    <w:rsid w:val="009F67AD"/>
    <w:rsid w:val="009F6859"/>
    <w:rsid w:val="009F689E"/>
    <w:rsid w:val="009F6BF2"/>
    <w:rsid w:val="009F6F85"/>
    <w:rsid w:val="009F75F7"/>
    <w:rsid w:val="009F7BB1"/>
    <w:rsid w:val="00A00018"/>
    <w:rsid w:val="00A00342"/>
    <w:rsid w:val="00A00C96"/>
    <w:rsid w:val="00A00D49"/>
    <w:rsid w:val="00A00DAF"/>
    <w:rsid w:val="00A00F92"/>
    <w:rsid w:val="00A0100B"/>
    <w:rsid w:val="00A0120A"/>
    <w:rsid w:val="00A0132E"/>
    <w:rsid w:val="00A0253A"/>
    <w:rsid w:val="00A030B1"/>
    <w:rsid w:val="00A03D2A"/>
    <w:rsid w:val="00A03DC8"/>
    <w:rsid w:val="00A0442E"/>
    <w:rsid w:val="00A0495F"/>
    <w:rsid w:val="00A04B8E"/>
    <w:rsid w:val="00A04E06"/>
    <w:rsid w:val="00A04E51"/>
    <w:rsid w:val="00A050CE"/>
    <w:rsid w:val="00A052CD"/>
    <w:rsid w:val="00A054FC"/>
    <w:rsid w:val="00A061AC"/>
    <w:rsid w:val="00A0636B"/>
    <w:rsid w:val="00A0683A"/>
    <w:rsid w:val="00A06998"/>
    <w:rsid w:val="00A06C29"/>
    <w:rsid w:val="00A0768F"/>
    <w:rsid w:val="00A0773D"/>
    <w:rsid w:val="00A07CEB"/>
    <w:rsid w:val="00A102E1"/>
    <w:rsid w:val="00A10727"/>
    <w:rsid w:val="00A1077C"/>
    <w:rsid w:val="00A10B2C"/>
    <w:rsid w:val="00A10BE9"/>
    <w:rsid w:val="00A10C2D"/>
    <w:rsid w:val="00A11074"/>
    <w:rsid w:val="00A118B6"/>
    <w:rsid w:val="00A11AC7"/>
    <w:rsid w:val="00A11EA3"/>
    <w:rsid w:val="00A11FBB"/>
    <w:rsid w:val="00A1273F"/>
    <w:rsid w:val="00A1298D"/>
    <w:rsid w:val="00A12B56"/>
    <w:rsid w:val="00A134AB"/>
    <w:rsid w:val="00A13D63"/>
    <w:rsid w:val="00A1438A"/>
    <w:rsid w:val="00A14C78"/>
    <w:rsid w:val="00A14E59"/>
    <w:rsid w:val="00A1570F"/>
    <w:rsid w:val="00A16155"/>
    <w:rsid w:val="00A1643E"/>
    <w:rsid w:val="00A167F9"/>
    <w:rsid w:val="00A170DC"/>
    <w:rsid w:val="00A20C49"/>
    <w:rsid w:val="00A20F58"/>
    <w:rsid w:val="00A2115F"/>
    <w:rsid w:val="00A21179"/>
    <w:rsid w:val="00A2204F"/>
    <w:rsid w:val="00A22408"/>
    <w:rsid w:val="00A22771"/>
    <w:rsid w:val="00A22C2F"/>
    <w:rsid w:val="00A22FFB"/>
    <w:rsid w:val="00A237BA"/>
    <w:rsid w:val="00A2382C"/>
    <w:rsid w:val="00A238D8"/>
    <w:rsid w:val="00A23CA8"/>
    <w:rsid w:val="00A24756"/>
    <w:rsid w:val="00A24CF4"/>
    <w:rsid w:val="00A24E47"/>
    <w:rsid w:val="00A252F3"/>
    <w:rsid w:val="00A259CB"/>
    <w:rsid w:val="00A25D43"/>
    <w:rsid w:val="00A265A4"/>
    <w:rsid w:val="00A26D20"/>
    <w:rsid w:val="00A27520"/>
    <w:rsid w:val="00A275BA"/>
    <w:rsid w:val="00A27884"/>
    <w:rsid w:val="00A27D6F"/>
    <w:rsid w:val="00A27E99"/>
    <w:rsid w:val="00A30F51"/>
    <w:rsid w:val="00A3176C"/>
    <w:rsid w:val="00A31828"/>
    <w:rsid w:val="00A31944"/>
    <w:rsid w:val="00A319BB"/>
    <w:rsid w:val="00A32A71"/>
    <w:rsid w:val="00A32F7C"/>
    <w:rsid w:val="00A336D5"/>
    <w:rsid w:val="00A33D74"/>
    <w:rsid w:val="00A33F1C"/>
    <w:rsid w:val="00A34F14"/>
    <w:rsid w:val="00A3585A"/>
    <w:rsid w:val="00A35CB2"/>
    <w:rsid w:val="00A35DE9"/>
    <w:rsid w:val="00A362C4"/>
    <w:rsid w:val="00A3639A"/>
    <w:rsid w:val="00A36776"/>
    <w:rsid w:val="00A36E13"/>
    <w:rsid w:val="00A36E3E"/>
    <w:rsid w:val="00A36FB8"/>
    <w:rsid w:val="00A37A50"/>
    <w:rsid w:val="00A37E2B"/>
    <w:rsid w:val="00A40289"/>
    <w:rsid w:val="00A40357"/>
    <w:rsid w:val="00A40FEF"/>
    <w:rsid w:val="00A41D37"/>
    <w:rsid w:val="00A423C4"/>
    <w:rsid w:val="00A424BD"/>
    <w:rsid w:val="00A42666"/>
    <w:rsid w:val="00A42B99"/>
    <w:rsid w:val="00A42BBE"/>
    <w:rsid w:val="00A42F44"/>
    <w:rsid w:val="00A42F93"/>
    <w:rsid w:val="00A43161"/>
    <w:rsid w:val="00A433E5"/>
    <w:rsid w:val="00A444D0"/>
    <w:rsid w:val="00A44699"/>
    <w:rsid w:val="00A44758"/>
    <w:rsid w:val="00A44801"/>
    <w:rsid w:val="00A448B3"/>
    <w:rsid w:val="00A44DEA"/>
    <w:rsid w:val="00A44F3D"/>
    <w:rsid w:val="00A44F49"/>
    <w:rsid w:val="00A4537A"/>
    <w:rsid w:val="00A45FBD"/>
    <w:rsid w:val="00A460A1"/>
    <w:rsid w:val="00A462A1"/>
    <w:rsid w:val="00A4657D"/>
    <w:rsid w:val="00A46746"/>
    <w:rsid w:val="00A46763"/>
    <w:rsid w:val="00A46C64"/>
    <w:rsid w:val="00A46D59"/>
    <w:rsid w:val="00A477FE"/>
    <w:rsid w:val="00A47EBF"/>
    <w:rsid w:val="00A5028B"/>
    <w:rsid w:val="00A507A4"/>
    <w:rsid w:val="00A50835"/>
    <w:rsid w:val="00A50C06"/>
    <w:rsid w:val="00A50CC3"/>
    <w:rsid w:val="00A50F8F"/>
    <w:rsid w:val="00A51557"/>
    <w:rsid w:val="00A51923"/>
    <w:rsid w:val="00A52793"/>
    <w:rsid w:val="00A52B03"/>
    <w:rsid w:val="00A53079"/>
    <w:rsid w:val="00A5365B"/>
    <w:rsid w:val="00A53AA7"/>
    <w:rsid w:val="00A53F36"/>
    <w:rsid w:val="00A5426F"/>
    <w:rsid w:val="00A54C1E"/>
    <w:rsid w:val="00A54F34"/>
    <w:rsid w:val="00A550D9"/>
    <w:rsid w:val="00A557F2"/>
    <w:rsid w:val="00A5589C"/>
    <w:rsid w:val="00A55B8F"/>
    <w:rsid w:val="00A56253"/>
    <w:rsid w:val="00A5656D"/>
    <w:rsid w:val="00A56599"/>
    <w:rsid w:val="00A565EB"/>
    <w:rsid w:val="00A56B83"/>
    <w:rsid w:val="00A57338"/>
    <w:rsid w:val="00A5779C"/>
    <w:rsid w:val="00A577FA"/>
    <w:rsid w:val="00A57C7A"/>
    <w:rsid w:val="00A57E25"/>
    <w:rsid w:val="00A607E1"/>
    <w:rsid w:val="00A609C3"/>
    <w:rsid w:val="00A60A98"/>
    <w:rsid w:val="00A60D8B"/>
    <w:rsid w:val="00A61089"/>
    <w:rsid w:val="00A623DF"/>
    <w:rsid w:val="00A6251D"/>
    <w:rsid w:val="00A6255C"/>
    <w:rsid w:val="00A626FD"/>
    <w:rsid w:val="00A62B3C"/>
    <w:rsid w:val="00A631B5"/>
    <w:rsid w:val="00A63211"/>
    <w:rsid w:val="00A63620"/>
    <w:rsid w:val="00A637AF"/>
    <w:rsid w:val="00A63AC7"/>
    <w:rsid w:val="00A64991"/>
    <w:rsid w:val="00A64EAF"/>
    <w:rsid w:val="00A64FD5"/>
    <w:rsid w:val="00A652BA"/>
    <w:rsid w:val="00A656F6"/>
    <w:rsid w:val="00A6593B"/>
    <w:rsid w:val="00A65AFA"/>
    <w:rsid w:val="00A6607E"/>
    <w:rsid w:val="00A66511"/>
    <w:rsid w:val="00A6655E"/>
    <w:rsid w:val="00A67908"/>
    <w:rsid w:val="00A67E04"/>
    <w:rsid w:val="00A67FE0"/>
    <w:rsid w:val="00A7134C"/>
    <w:rsid w:val="00A71611"/>
    <w:rsid w:val="00A73674"/>
    <w:rsid w:val="00A7382A"/>
    <w:rsid w:val="00A73E02"/>
    <w:rsid w:val="00A754B2"/>
    <w:rsid w:val="00A7572D"/>
    <w:rsid w:val="00A76A50"/>
    <w:rsid w:val="00A76EA4"/>
    <w:rsid w:val="00A774CF"/>
    <w:rsid w:val="00A777D8"/>
    <w:rsid w:val="00A77A5B"/>
    <w:rsid w:val="00A77C5C"/>
    <w:rsid w:val="00A77EAA"/>
    <w:rsid w:val="00A80659"/>
    <w:rsid w:val="00A808FB"/>
    <w:rsid w:val="00A80E07"/>
    <w:rsid w:val="00A81153"/>
    <w:rsid w:val="00A81445"/>
    <w:rsid w:val="00A81C2C"/>
    <w:rsid w:val="00A81E46"/>
    <w:rsid w:val="00A820CD"/>
    <w:rsid w:val="00A822D0"/>
    <w:rsid w:val="00A823EF"/>
    <w:rsid w:val="00A828AD"/>
    <w:rsid w:val="00A82A10"/>
    <w:rsid w:val="00A82A9E"/>
    <w:rsid w:val="00A82DA0"/>
    <w:rsid w:val="00A8320B"/>
    <w:rsid w:val="00A83540"/>
    <w:rsid w:val="00A84236"/>
    <w:rsid w:val="00A84FD0"/>
    <w:rsid w:val="00A853AC"/>
    <w:rsid w:val="00A8563B"/>
    <w:rsid w:val="00A8595B"/>
    <w:rsid w:val="00A85E4F"/>
    <w:rsid w:val="00A869EF"/>
    <w:rsid w:val="00A87458"/>
    <w:rsid w:val="00A874C1"/>
    <w:rsid w:val="00A875B4"/>
    <w:rsid w:val="00A9024D"/>
    <w:rsid w:val="00A905E7"/>
    <w:rsid w:val="00A906E6"/>
    <w:rsid w:val="00A917FC"/>
    <w:rsid w:val="00A91DC4"/>
    <w:rsid w:val="00A91E87"/>
    <w:rsid w:val="00A920A8"/>
    <w:rsid w:val="00A92148"/>
    <w:rsid w:val="00A929F0"/>
    <w:rsid w:val="00A92B91"/>
    <w:rsid w:val="00A92F63"/>
    <w:rsid w:val="00A93C4A"/>
    <w:rsid w:val="00A94085"/>
    <w:rsid w:val="00A9450A"/>
    <w:rsid w:val="00A947D3"/>
    <w:rsid w:val="00A94A4D"/>
    <w:rsid w:val="00A96660"/>
    <w:rsid w:val="00A96759"/>
    <w:rsid w:val="00A96F87"/>
    <w:rsid w:val="00A97217"/>
    <w:rsid w:val="00A972A1"/>
    <w:rsid w:val="00A972F3"/>
    <w:rsid w:val="00A97523"/>
    <w:rsid w:val="00A97B98"/>
    <w:rsid w:val="00AA0FD8"/>
    <w:rsid w:val="00AA1056"/>
    <w:rsid w:val="00AA1086"/>
    <w:rsid w:val="00AA1674"/>
    <w:rsid w:val="00AA1B9A"/>
    <w:rsid w:val="00AA2530"/>
    <w:rsid w:val="00AA27E9"/>
    <w:rsid w:val="00AA2A1A"/>
    <w:rsid w:val="00AA2D97"/>
    <w:rsid w:val="00AA32C6"/>
    <w:rsid w:val="00AA46E6"/>
    <w:rsid w:val="00AA4819"/>
    <w:rsid w:val="00AA49C1"/>
    <w:rsid w:val="00AA4E72"/>
    <w:rsid w:val="00AA5463"/>
    <w:rsid w:val="00AA598C"/>
    <w:rsid w:val="00AA616A"/>
    <w:rsid w:val="00AA6AEB"/>
    <w:rsid w:val="00AA6D3C"/>
    <w:rsid w:val="00AA795C"/>
    <w:rsid w:val="00AA7F2E"/>
    <w:rsid w:val="00AB0E5C"/>
    <w:rsid w:val="00AB0ED3"/>
    <w:rsid w:val="00AB1135"/>
    <w:rsid w:val="00AB14B9"/>
    <w:rsid w:val="00AB16CC"/>
    <w:rsid w:val="00AB1741"/>
    <w:rsid w:val="00AB19DE"/>
    <w:rsid w:val="00AB1EAE"/>
    <w:rsid w:val="00AB20E2"/>
    <w:rsid w:val="00AB2206"/>
    <w:rsid w:val="00AB24D7"/>
    <w:rsid w:val="00AB2538"/>
    <w:rsid w:val="00AB2904"/>
    <w:rsid w:val="00AB2A6C"/>
    <w:rsid w:val="00AB2ADC"/>
    <w:rsid w:val="00AB2EB1"/>
    <w:rsid w:val="00AB32F5"/>
    <w:rsid w:val="00AB3306"/>
    <w:rsid w:val="00AB3467"/>
    <w:rsid w:val="00AB39B7"/>
    <w:rsid w:val="00AB3A76"/>
    <w:rsid w:val="00AB407D"/>
    <w:rsid w:val="00AB507F"/>
    <w:rsid w:val="00AB55B1"/>
    <w:rsid w:val="00AB5FB3"/>
    <w:rsid w:val="00AB6123"/>
    <w:rsid w:val="00AB62EC"/>
    <w:rsid w:val="00AB6589"/>
    <w:rsid w:val="00AB6725"/>
    <w:rsid w:val="00AB6836"/>
    <w:rsid w:val="00AB7103"/>
    <w:rsid w:val="00AB725B"/>
    <w:rsid w:val="00AB73F4"/>
    <w:rsid w:val="00AB74C5"/>
    <w:rsid w:val="00AB7FDA"/>
    <w:rsid w:val="00AC016B"/>
    <w:rsid w:val="00AC01D8"/>
    <w:rsid w:val="00AC0A15"/>
    <w:rsid w:val="00AC1195"/>
    <w:rsid w:val="00AC1677"/>
    <w:rsid w:val="00AC1C56"/>
    <w:rsid w:val="00AC24E7"/>
    <w:rsid w:val="00AC2A9A"/>
    <w:rsid w:val="00AC2F56"/>
    <w:rsid w:val="00AC3146"/>
    <w:rsid w:val="00AC31D2"/>
    <w:rsid w:val="00AC3396"/>
    <w:rsid w:val="00AC386C"/>
    <w:rsid w:val="00AC3981"/>
    <w:rsid w:val="00AC39D8"/>
    <w:rsid w:val="00AC3E2B"/>
    <w:rsid w:val="00AC3F64"/>
    <w:rsid w:val="00AC4663"/>
    <w:rsid w:val="00AC48F1"/>
    <w:rsid w:val="00AC490D"/>
    <w:rsid w:val="00AC5A0E"/>
    <w:rsid w:val="00AC5CE2"/>
    <w:rsid w:val="00AC6275"/>
    <w:rsid w:val="00AC643E"/>
    <w:rsid w:val="00AC6977"/>
    <w:rsid w:val="00AC6A7B"/>
    <w:rsid w:val="00AC6AE0"/>
    <w:rsid w:val="00AC6D5A"/>
    <w:rsid w:val="00AC7213"/>
    <w:rsid w:val="00AC7608"/>
    <w:rsid w:val="00AC7BB8"/>
    <w:rsid w:val="00AC7BFF"/>
    <w:rsid w:val="00AD012D"/>
    <w:rsid w:val="00AD03BD"/>
    <w:rsid w:val="00AD0B40"/>
    <w:rsid w:val="00AD1419"/>
    <w:rsid w:val="00AD1A1D"/>
    <w:rsid w:val="00AD1A2F"/>
    <w:rsid w:val="00AD2A73"/>
    <w:rsid w:val="00AD2D6F"/>
    <w:rsid w:val="00AD3227"/>
    <w:rsid w:val="00AD376B"/>
    <w:rsid w:val="00AD3D5A"/>
    <w:rsid w:val="00AD44AA"/>
    <w:rsid w:val="00AD4D39"/>
    <w:rsid w:val="00AD527A"/>
    <w:rsid w:val="00AD5E0F"/>
    <w:rsid w:val="00AD6263"/>
    <w:rsid w:val="00AD6371"/>
    <w:rsid w:val="00AD69C3"/>
    <w:rsid w:val="00AD6B86"/>
    <w:rsid w:val="00AD6E1C"/>
    <w:rsid w:val="00AD6E84"/>
    <w:rsid w:val="00AD709B"/>
    <w:rsid w:val="00AD7BE4"/>
    <w:rsid w:val="00AD7C65"/>
    <w:rsid w:val="00AE0494"/>
    <w:rsid w:val="00AE0499"/>
    <w:rsid w:val="00AE0530"/>
    <w:rsid w:val="00AE0766"/>
    <w:rsid w:val="00AE23D0"/>
    <w:rsid w:val="00AE243E"/>
    <w:rsid w:val="00AE252B"/>
    <w:rsid w:val="00AE28B3"/>
    <w:rsid w:val="00AE34CB"/>
    <w:rsid w:val="00AE36C8"/>
    <w:rsid w:val="00AE38CA"/>
    <w:rsid w:val="00AE399E"/>
    <w:rsid w:val="00AE3B1E"/>
    <w:rsid w:val="00AE3DB0"/>
    <w:rsid w:val="00AE47E7"/>
    <w:rsid w:val="00AE5361"/>
    <w:rsid w:val="00AE5711"/>
    <w:rsid w:val="00AE62FB"/>
    <w:rsid w:val="00AE644D"/>
    <w:rsid w:val="00AE650D"/>
    <w:rsid w:val="00AE7266"/>
    <w:rsid w:val="00AE727C"/>
    <w:rsid w:val="00AE74FA"/>
    <w:rsid w:val="00AE765D"/>
    <w:rsid w:val="00AF0593"/>
    <w:rsid w:val="00AF0943"/>
    <w:rsid w:val="00AF1272"/>
    <w:rsid w:val="00AF1458"/>
    <w:rsid w:val="00AF16E3"/>
    <w:rsid w:val="00AF1FE5"/>
    <w:rsid w:val="00AF241E"/>
    <w:rsid w:val="00AF2537"/>
    <w:rsid w:val="00AF2AD2"/>
    <w:rsid w:val="00AF2EE9"/>
    <w:rsid w:val="00AF40E3"/>
    <w:rsid w:val="00AF4878"/>
    <w:rsid w:val="00AF4946"/>
    <w:rsid w:val="00AF5C4D"/>
    <w:rsid w:val="00AF5FE5"/>
    <w:rsid w:val="00AF61A3"/>
    <w:rsid w:val="00AF6369"/>
    <w:rsid w:val="00AF6789"/>
    <w:rsid w:val="00AF6B2C"/>
    <w:rsid w:val="00AF6D72"/>
    <w:rsid w:val="00AF72CD"/>
    <w:rsid w:val="00AF761B"/>
    <w:rsid w:val="00AF7B2C"/>
    <w:rsid w:val="00AF7E95"/>
    <w:rsid w:val="00B00169"/>
    <w:rsid w:val="00B003BE"/>
    <w:rsid w:val="00B00A7B"/>
    <w:rsid w:val="00B010D8"/>
    <w:rsid w:val="00B022DE"/>
    <w:rsid w:val="00B02620"/>
    <w:rsid w:val="00B0289B"/>
    <w:rsid w:val="00B02B1D"/>
    <w:rsid w:val="00B02D73"/>
    <w:rsid w:val="00B0304D"/>
    <w:rsid w:val="00B035A6"/>
    <w:rsid w:val="00B035DD"/>
    <w:rsid w:val="00B03609"/>
    <w:rsid w:val="00B04097"/>
    <w:rsid w:val="00B041FA"/>
    <w:rsid w:val="00B04225"/>
    <w:rsid w:val="00B0477A"/>
    <w:rsid w:val="00B04E85"/>
    <w:rsid w:val="00B0502F"/>
    <w:rsid w:val="00B05243"/>
    <w:rsid w:val="00B06865"/>
    <w:rsid w:val="00B0700E"/>
    <w:rsid w:val="00B07066"/>
    <w:rsid w:val="00B07765"/>
    <w:rsid w:val="00B102C7"/>
    <w:rsid w:val="00B109BF"/>
    <w:rsid w:val="00B11161"/>
    <w:rsid w:val="00B117BD"/>
    <w:rsid w:val="00B11993"/>
    <w:rsid w:val="00B11AF5"/>
    <w:rsid w:val="00B11DFD"/>
    <w:rsid w:val="00B1217F"/>
    <w:rsid w:val="00B12B69"/>
    <w:rsid w:val="00B131A2"/>
    <w:rsid w:val="00B13564"/>
    <w:rsid w:val="00B14116"/>
    <w:rsid w:val="00B1483A"/>
    <w:rsid w:val="00B14C0F"/>
    <w:rsid w:val="00B151F2"/>
    <w:rsid w:val="00B15798"/>
    <w:rsid w:val="00B15839"/>
    <w:rsid w:val="00B173E4"/>
    <w:rsid w:val="00B1746B"/>
    <w:rsid w:val="00B17AC8"/>
    <w:rsid w:val="00B20109"/>
    <w:rsid w:val="00B2074F"/>
    <w:rsid w:val="00B20982"/>
    <w:rsid w:val="00B20B41"/>
    <w:rsid w:val="00B213B0"/>
    <w:rsid w:val="00B2144B"/>
    <w:rsid w:val="00B22855"/>
    <w:rsid w:val="00B22A23"/>
    <w:rsid w:val="00B22C5D"/>
    <w:rsid w:val="00B22D63"/>
    <w:rsid w:val="00B23EFD"/>
    <w:rsid w:val="00B242D8"/>
    <w:rsid w:val="00B244DA"/>
    <w:rsid w:val="00B253DB"/>
    <w:rsid w:val="00B25505"/>
    <w:rsid w:val="00B2580E"/>
    <w:rsid w:val="00B2607A"/>
    <w:rsid w:val="00B26285"/>
    <w:rsid w:val="00B26513"/>
    <w:rsid w:val="00B26745"/>
    <w:rsid w:val="00B26A8D"/>
    <w:rsid w:val="00B26FDC"/>
    <w:rsid w:val="00B27959"/>
    <w:rsid w:val="00B27D50"/>
    <w:rsid w:val="00B27F28"/>
    <w:rsid w:val="00B303CB"/>
    <w:rsid w:val="00B30778"/>
    <w:rsid w:val="00B30AE0"/>
    <w:rsid w:val="00B31D63"/>
    <w:rsid w:val="00B32EEA"/>
    <w:rsid w:val="00B3379C"/>
    <w:rsid w:val="00B337DD"/>
    <w:rsid w:val="00B34462"/>
    <w:rsid w:val="00B34972"/>
    <w:rsid w:val="00B34B31"/>
    <w:rsid w:val="00B352B5"/>
    <w:rsid w:val="00B35837"/>
    <w:rsid w:val="00B35D69"/>
    <w:rsid w:val="00B35DD0"/>
    <w:rsid w:val="00B35F0B"/>
    <w:rsid w:val="00B36796"/>
    <w:rsid w:val="00B3769C"/>
    <w:rsid w:val="00B379AA"/>
    <w:rsid w:val="00B37D25"/>
    <w:rsid w:val="00B37E0C"/>
    <w:rsid w:val="00B400DA"/>
    <w:rsid w:val="00B402F7"/>
    <w:rsid w:val="00B40B36"/>
    <w:rsid w:val="00B41142"/>
    <w:rsid w:val="00B4132D"/>
    <w:rsid w:val="00B413A7"/>
    <w:rsid w:val="00B41830"/>
    <w:rsid w:val="00B42629"/>
    <w:rsid w:val="00B427F4"/>
    <w:rsid w:val="00B429AE"/>
    <w:rsid w:val="00B42EE3"/>
    <w:rsid w:val="00B435E8"/>
    <w:rsid w:val="00B43A8C"/>
    <w:rsid w:val="00B43F5B"/>
    <w:rsid w:val="00B44E55"/>
    <w:rsid w:val="00B4554B"/>
    <w:rsid w:val="00B459DA"/>
    <w:rsid w:val="00B4661B"/>
    <w:rsid w:val="00B47B02"/>
    <w:rsid w:val="00B50554"/>
    <w:rsid w:val="00B50B6E"/>
    <w:rsid w:val="00B50EFC"/>
    <w:rsid w:val="00B515EC"/>
    <w:rsid w:val="00B52136"/>
    <w:rsid w:val="00B5243A"/>
    <w:rsid w:val="00B52652"/>
    <w:rsid w:val="00B526CF"/>
    <w:rsid w:val="00B52A7F"/>
    <w:rsid w:val="00B52B9D"/>
    <w:rsid w:val="00B53CFC"/>
    <w:rsid w:val="00B54681"/>
    <w:rsid w:val="00B54A7A"/>
    <w:rsid w:val="00B55276"/>
    <w:rsid w:val="00B5603D"/>
    <w:rsid w:val="00B563DB"/>
    <w:rsid w:val="00B57109"/>
    <w:rsid w:val="00B5775D"/>
    <w:rsid w:val="00B579F1"/>
    <w:rsid w:val="00B57BDA"/>
    <w:rsid w:val="00B57CBE"/>
    <w:rsid w:val="00B611EF"/>
    <w:rsid w:val="00B6160F"/>
    <w:rsid w:val="00B61D3E"/>
    <w:rsid w:val="00B61EB7"/>
    <w:rsid w:val="00B6212A"/>
    <w:rsid w:val="00B6227A"/>
    <w:rsid w:val="00B623FE"/>
    <w:rsid w:val="00B6302A"/>
    <w:rsid w:val="00B6384F"/>
    <w:rsid w:val="00B63899"/>
    <w:rsid w:val="00B63CFC"/>
    <w:rsid w:val="00B6417A"/>
    <w:rsid w:val="00B6436A"/>
    <w:rsid w:val="00B64493"/>
    <w:rsid w:val="00B6461D"/>
    <w:rsid w:val="00B64800"/>
    <w:rsid w:val="00B65044"/>
    <w:rsid w:val="00B65AD1"/>
    <w:rsid w:val="00B66073"/>
    <w:rsid w:val="00B662C3"/>
    <w:rsid w:val="00B66C5B"/>
    <w:rsid w:val="00B67118"/>
    <w:rsid w:val="00B675AC"/>
    <w:rsid w:val="00B67AB5"/>
    <w:rsid w:val="00B67F74"/>
    <w:rsid w:val="00B7068C"/>
    <w:rsid w:val="00B70898"/>
    <w:rsid w:val="00B71767"/>
    <w:rsid w:val="00B718A3"/>
    <w:rsid w:val="00B727BA"/>
    <w:rsid w:val="00B72C62"/>
    <w:rsid w:val="00B7325E"/>
    <w:rsid w:val="00B73456"/>
    <w:rsid w:val="00B73E21"/>
    <w:rsid w:val="00B740ED"/>
    <w:rsid w:val="00B744A6"/>
    <w:rsid w:val="00B74C48"/>
    <w:rsid w:val="00B74D97"/>
    <w:rsid w:val="00B7518B"/>
    <w:rsid w:val="00B757F5"/>
    <w:rsid w:val="00B75C37"/>
    <w:rsid w:val="00B7636B"/>
    <w:rsid w:val="00B763EB"/>
    <w:rsid w:val="00B766D5"/>
    <w:rsid w:val="00B77460"/>
    <w:rsid w:val="00B776A4"/>
    <w:rsid w:val="00B7793B"/>
    <w:rsid w:val="00B77AA5"/>
    <w:rsid w:val="00B8005B"/>
    <w:rsid w:val="00B8017F"/>
    <w:rsid w:val="00B80862"/>
    <w:rsid w:val="00B80BF0"/>
    <w:rsid w:val="00B8195A"/>
    <w:rsid w:val="00B81C43"/>
    <w:rsid w:val="00B81F73"/>
    <w:rsid w:val="00B82BF2"/>
    <w:rsid w:val="00B82D48"/>
    <w:rsid w:val="00B83263"/>
    <w:rsid w:val="00B83702"/>
    <w:rsid w:val="00B83D9B"/>
    <w:rsid w:val="00B83DEA"/>
    <w:rsid w:val="00B83E51"/>
    <w:rsid w:val="00B83F21"/>
    <w:rsid w:val="00B845FF"/>
    <w:rsid w:val="00B846BA"/>
    <w:rsid w:val="00B85353"/>
    <w:rsid w:val="00B85F75"/>
    <w:rsid w:val="00B863C1"/>
    <w:rsid w:val="00B8707D"/>
    <w:rsid w:val="00B870A4"/>
    <w:rsid w:val="00B87A1E"/>
    <w:rsid w:val="00B87D07"/>
    <w:rsid w:val="00B87FA8"/>
    <w:rsid w:val="00B90077"/>
    <w:rsid w:val="00B902CA"/>
    <w:rsid w:val="00B9050F"/>
    <w:rsid w:val="00B90929"/>
    <w:rsid w:val="00B91383"/>
    <w:rsid w:val="00B91FAE"/>
    <w:rsid w:val="00B92738"/>
    <w:rsid w:val="00B9286A"/>
    <w:rsid w:val="00B92CC8"/>
    <w:rsid w:val="00B9305A"/>
    <w:rsid w:val="00B9319C"/>
    <w:rsid w:val="00B93448"/>
    <w:rsid w:val="00B9396B"/>
    <w:rsid w:val="00B93F24"/>
    <w:rsid w:val="00B940C6"/>
    <w:rsid w:val="00B9411E"/>
    <w:rsid w:val="00B949E1"/>
    <w:rsid w:val="00B94BFD"/>
    <w:rsid w:val="00B94D0F"/>
    <w:rsid w:val="00B95048"/>
    <w:rsid w:val="00B95097"/>
    <w:rsid w:val="00B95B6A"/>
    <w:rsid w:val="00B95BF2"/>
    <w:rsid w:val="00B95E3B"/>
    <w:rsid w:val="00B96212"/>
    <w:rsid w:val="00B9645B"/>
    <w:rsid w:val="00B9648D"/>
    <w:rsid w:val="00B96564"/>
    <w:rsid w:val="00B96DA0"/>
    <w:rsid w:val="00B97DF0"/>
    <w:rsid w:val="00B97EC5"/>
    <w:rsid w:val="00B97ECB"/>
    <w:rsid w:val="00BA086C"/>
    <w:rsid w:val="00BA0BC5"/>
    <w:rsid w:val="00BA230E"/>
    <w:rsid w:val="00BA26D2"/>
    <w:rsid w:val="00BA3004"/>
    <w:rsid w:val="00BA317F"/>
    <w:rsid w:val="00BA3240"/>
    <w:rsid w:val="00BA36E4"/>
    <w:rsid w:val="00BA524B"/>
    <w:rsid w:val="00BA538F"/>
    <w:rsid w:val="00BA5665"/>
    <w:rsid w:val="00BA568F"/>
    <w:rsid w:val="00BA582E"/>
    <w:rsid w:val="00BA5962"/>
    <w:rsid w:val="00BA6922"/>
    <w:rsid w:val="00BA7379"/>
    <w:rsid w:val="00BA7EF8"/>
    <w:rsid w:val="00BB0081"/>
    <w:rsid w:val="00BB0257"/>
    <w:rsid w:val="00BB026E"/>
    <w:rsid w:val="00BB08CA"/>
    <w:rsid w:val="00BB0FC2"/>
    <w:rsid w:val="00BB1BBE"/>
    <w:rsid w:val="00BB2617"/>
    <w:rsid w:val="00BB35EA"/>
    <w:rsid w:val="00BB39EF"/>
    <w:rsid w:val="00BB54C6"/>
    <w:rsid w:val="00BB5A67"/>
    <w:rsid w:val="00BB5E9F"/>
    <w:rsid w:val="00BB5FA2"/>
    <w:rsid w:val="00BB61E9"/>
    <w:rsid w:val="00BB66BB"/>
    <w:rsid w:val="00BB6803"/>
    <w:rsid w:val="00BB6C06"/>
    <w:rsid w:val="00BB6D1B"/>
    <w:rsid w:val="00BB6EAC"/>
    <w:rsid w:val="00BB79E1"/>
    <w:rsid w:val="00BB7BE9"/>
    <w:rsid w:val="00BB7C9E"/>
    <w:rsid w:val="00BB7E9D"/>
    <w:rsid w:val="00BC0308"/>
    <w:rsid w:val="00BC08D8"/>
    <w:rsid w:val="00BC141A"/>
    <w:rsid w:val="00BC1869"/>
    <w:rsid w:val="00BC1CEF"/>
    <w:rsid w:val="00BC1FA1"/>
    <w:rsid w:val="00BC274E"/>
    <w:rsid w:val="00BC47B4"/>
    <w:rsid w:val="00BC4D5A"/>
    <w:rsid w:val="00BC5541"/>
    <w:rsid w:val="00BC575C"/>
    <w:rsid w:val="00BC5BAD"/>
    <w:rsid w:val="00BC5BB2"/>
    <w:rsid w:val="00BC5D29"/>
    <w:rsid w:val="00BC6EC1"/>
    <w:rsid w:val="00BC7A9C"/>
    <w:rsid w:val="00BD005C"/>
    <w:rsid w:val="00BD028E"/>
    <w:rsid w:val="00BD0568"/>
    <w:rsid w:val="00BD07FE"/>
    <w:rsid w:val="00BD1907"/>
    <w:rsid w:val="00BD1950"/>
    <w:rsid w:val="00BD1CC5"/>
    <w:rsid w:val="00BD1DEF"/>
    <w:rsid w:val="00BD21F4"/>
    <w:rsid w:val="00BD2F75"/>
    <w:rsid w:val="00BD39A4"/>
    <w:rsid w:val="00BD3EFC"/>
    <w:rsid w:val="00BD3F6C"/>
    <w:rsid w:val="00BD4404"/>
    <w:rsid w:val="00BD4771"/>
    <w:rsid w:val="00BD4A8C"/>
    <w:rsid w:val="00BD4BB9"/>
    <w:rsid w:val="00BD536E"/>
    <w:rsid w:val="00BD554A"/>
    <w:rsid w:val="00BD5B3A"/>
    <w:rsid w:val="00BD5BBC"/>
    <w:rsid w:val="00BD764A"/>
    <w:rsid w:val="00BD7A34"/>
    <w:rsid w:val="00BD7F31"/>
    <w:rsid w:val="00BE0520"/>
    <w:rsid w:val="00BE0E4A"/>
    <w:rsid w:val="00BE1286"/>
    <w:rsid w:val="00BE1474"/>
    <w:rsid w:val="00BE1AE8"/>
    <w:rsid w:val="00BE1C8A"/>
    <w:rsid w:val="00BE26F7"/>
    <w:rsid w:val="00BE2A01"/>
    <w:rsid w:val="00BE2F59"/>
    <w:rsid w:val="00BE33F1"/>
    <w:rsid w:val="00BE3518"/>
    <w:rsid w:val="00BE3866"/>
    <w:rsid w:val="00BE38D7"/>
    <w:rsid w:val="00BE3C22"/>
    <w:rsid w:val="00BE3E52"/>
    <w:rsid w:val="00BE43CE"/>
    <w:rsid w:val="00BE488D"/>
    <w:rsid w:val="00BE491D"/>
    <w:rsid w:val="00BE4AEA"/>
    <w:rsid w:val="00BE4B17"/>
    <w:rsid w:val="00BE4C10"/>
    <w:rsid w:val="00BE4D1D"/>
    <w:rsid w:val="00BE5C95"/>
    <w:rsid w:val="00BE5ECB"/>
    <w:rsid w:val="00BE603C"/>
    <w:rsid w:val="00BE6F98"/>
    <w:rsid w:val="00BE7303"/>
    <w:rsid w:val="00BE73A1"/>
    <w:rsid w:val="00BF00F0"/>
    <w:rsid w:val="00BF0309"/>
    <w:rsid w:val="00BF04B8"/>
    <w:rsid w:val="00BF0B49"/>
    <w:rsid w:val="00BF154F"/>
    <w:rsid w:val="00BF1ED2"/>
    <w:rsid w:val="00BF2412"/>
    <w:rsid w:val="00BF267A"/>
    <w:rsid w:val="00BF2A41"/>
    <w:rsid w:val="00BF2E4B"/>
    <w:rsid w:val="00BF3151"/>
    <w:rsid w:val="00BF3A6F"/>
    <w:rsid w:val="00BF435F"/>
    <w:rsid w:val="00BF51F9"/>
    <w:rsid w:val="00BF545E"/>
    <w:rsid w:val="00BF5892"/>
    <w:rsid w:val="00BF5A69"/>
    <w:rsid w:val="00BF634C"/>
    <w:rsid w:val="00BF666D"/>
    <w:rsid w:val="00BF760F"/>
    <w:rsid w:val="00BF7996"/>
    <w:rsid w:val="00BF7EE0"/>
    <w:rsid w:val="00C000B3"/>
    <w:rsid w:val="00C006AD"/>
    <w:rsid w:val="00C01342"/>
    <w:rsid w:val="00C015F9"/>
    <w:rsid w:val="00C016EE"/>
    <w:rsid w:val="00C018C0"/>
    <w:rsid w:val="00C01998"/>
    <w:rsid w:val="00C01D46"/>
    <w:rsid w:val="00C02197"/>
    <w:rsid w:val="00C022A4"/>
    <w:rsid w:val="00C0245B"/>
    <w:rsid w:val="00C0265A"/>
    <w:rsid w:val="00C0291C"/>
    <w:rsid w:val="00C032A8"/>
    <w:rsid w:val="00C03E27"/>
    <w:rsid w:val="00C04103"/>
    <w:rsid w:val="00C0452A"/>
    <w:rsid w:val="00C04943"/>
    <w:rsid w:val="00C04CAA"/>
    <w:rsid w:val="00C05606"/>
    <w:rsid w:val="00C05EEC"/>
    <w:rsid w:val="00C064FA"/>
    <w:rsid w:val="00C0669F"/>
    <w:rsid w:val="00C06A7F"/>
    <w:rsid w:val="00C071FA"/>
    <w:rsid w:val="00C074DC"/>
    <w:rsid w:val="00C10C98"/>
    <w:rsid w:val="00C10D9D"/>
    <w:rsid w:val="00C10FD0"/>
    <w:rsid w:val="00C1115B"/>
    <w:rsid w:val="00C11F0D"/>
    <w:rsid w:val="00C1214E"/>
    <w:rsid w:val="00C1237A"/>
    <w:rsid w:val="00C12734"/>
    <w:rsid w:val="00C12E47"/>
    <w:rsid w:val="00C12EE4"/>
    <w:rsid w:val="00C13764"/>
    <w:rsid w:val="00C13855"/>
    <w:rsid w:val="00C138BA"/>
    <w:rsid w:val="00C13F65"/>
    <w:rsid w:val="00C14F7B"/>
    <w:rsid w:val="00C1509A"/>
    <w:rsid w:val="00C15493"/>
    <w:rsid w:val="00C15E51"/>
    <w:rsid w:val="00C15EDE"/>
    <w:rsid w:val="00C1604F"/>
    <w:rsid w:val="00C16809"/>
    <w:rsid w:val="00C20471"/>
    <w:rsid w:val="00C20488"/>
    <w:rsid w:val="00C21499"/>
    <w:rsid w:val="00C2153B"/>
    <w:rsid w:val="00C21A34"/>
    <w:rsid w:val="00C2234F"/>
    <w:rsid w:val="00C22F49"/>
    <w:rsid w:val="00C2392B"/>
    <w:rsid w:val="00C23F99"/>
    <w:rsid w:val="00C24192"/>
    <w:rsid w:val="00C24200"/>
    <w:rsid w:val="00C24437"/>
    <w:rsid w:val="00C2479B"/>
    <w:rsid w:val="00C24E53"/>
    <w:rsid w:val="00C255FC"/>
    <w:rsid w:val="00C25DDA"/>
    <w:rsid w:val="00C26297"/>
    <w:rsid w:val="00C274FB"/>
    <w:rsid w:val="00C27A50"/>
    <w:rsid w:val="00C30B6A"/>
    <w:rsid w:val="00C30BB8"/>
    <w:rsid w:val="00C317DA"/>
    <w:rsid w:val="00C31CF7"/>
    <w:rsid w:val="00C31D39"/>
    <w:rsid w:val="00C31DBC"/>
    <w:rsid w:val="00C32253"/>
    <w:rsid w:val="00C3317E"/>
    <w:rsid w:val="00C335F5"/>
    <w:rsid w:val="00C336A5"/>
    <w:rsid w:val="00C33A4D"/>
    <w:rsid w:val="00C34693"/>
    <w:rsid w:val="00C34908"/>
    <w:rsid w:val="00C34947"/>
    <w:rsid w:val="00C35485"/>
    <w:rsid w:val="00C354F1"/>
    <w:rsid w:val="00C354F5"/>
    <w:rsid w:val="00C35B15"/>
    <w:rsid w:val="00C35D98"/>
    <w:rsid w:val="00C35F9B"/>
    <w:rsid w:val="00C36808"/>
    <w:rsid w:val="00C36CFA"/>
    <w:rsid w:val="00C376F1"/>
    <w:rsid w:val="00C378E1"/>
    <w:rsid w:val="00C37C56"/>
    <w:rsid w:val="00C402CC"/>
    <w:rsid w:val="00C405E5"/>
    <w:rsid w:val="00C411B4"/>
    <w:rsid w:val="00C41398"/>
    <w:rsid w:val="00C41520"/>
    <w:rsid w:val="00C41CE1"/>
    <w:rsid w:val="00C41F6D"/>
    <w:rsid w:val="00C4311A"/>
    <w:rsid w:val="00C4430E"/>
    <w:rsid w:val="00C448DB"/>
    <w:rsid w:val="00C450B8"/>
    <w:rsid w:val="00C454D9"/>
    <w:rsid w:val="00C45549"/>
    <w:rsid w:val="00C46122"/>
    <w:rsid w:val="00C46149"/>
    <w:rsid w:val="00C46172"/>
    <w:rsid w:val="00C4626A"/>
    <w:rsid w:val="00C462C0"/>
    <w:rsid w:val="00C463A7"/>
    <w:rsid w:val="00C46DB2"/>
    <w:rsid w:val="00C46F89"/>
    <w:rsid w:val="00C4706E"/>
    <w:rsid w:val="00C4756B"/>
    <w:rsid w:val="00C47D8D"/>
    <w:rsid w:val="00C47D9A"/>
    <w:rsid w:val="00C47FAA"/>
    <w:rsid w:val="00C507E2"/>
    <w:rsid w:val="00C50AA8"/>
    <w:rsid w:val="00C51168"/>
    <w:rsid w:val="00C51861"/>
    <w:rsid w:val="00C519D2"/>
    <w:rsid w:val="00C51C20"/>
    <w:rsid w:val="00C52022"/>
    <w:rsid w:val="00C52AAD"/>
    <w:rsid w:val="00C52B42"/>
    <w:rsid w:val="00C53AF7"/>
    <w:rsid w:val="00C541B9"/>
    <w:rsid w:val="00C55775"/>
    <w:rsid w:val="00C557D7"/>
    <w:rsid w:val="00C55A10"/>
    <w:rsid w:val="00C55AEA"/>
    <w:rsid w:val="00C55E70"/>
    <w:rsid w:val="00C56CC8"/>
    <w:rsid w:val="00C57B48"/>
    <w:rsid w:val="00C57B95"/>
    <w:rsid w:val="00C60136"/>
    <w:rsid w:val="00C6062F"/>
    <w:rsid w:val="00C60DC7"/>
    <w:rsid w:val="00C61C5E"/>
    <w:rsid w:val="00C61F72"/>
    <w:rsid w:val="00C6315C"/>
    <w:rsid w:val="00C63307"/>
    <w:rsid w:val="00C6374D"/>
    <w:rsid w:val="00C637FB"/>
    <w:rsid w:val="00C64677"/>
    <w:rsid w:val="00C64AED"/>
    <w:rsid w:val="00C64DF1"/>
    <w:rsid w:val="00C64E45"/>
    <w:rsid w:val="00C64EEC"/>
    <w:rsid w:val="00C65272"/>
    <w:rsid w:val="00C6579D"/>
    <w:rsid w:val="00C65A78"/>
    <w:rsid w:val="00C65CDD"/>
    <w:rsid w:val="00C65FFB"/>
    <w:rsid w:val="00C663F0"/>
    <w:rsid w:val="00C667A5"/>
    <w:rsid w:val="00C67098"/>
    <w:rsid w:val="00C675C2"/>
    <w:rsid w:val="00C67691"/>
    <w:rsid w:val="00C67710"/>
    <w:rsid w:val="00C6785A"/>
    <w:rsid w:val="00C67A9B"/>
    <w:rsid w:val="00C70056"/>
    <w:rsid w:val="00C70431"/>
    <w:rsid w:val="00C70485"/>
    <w:rsid w:val="00C70F97"/>
    <w:rsid w:val="00C71798"/>
    <w:rsid w:val="00C728A7"/>
    <w:rsid w:val="00C72AFE"/>
    <w:rsid w:val="00C72BDB"/>
    <w:rsid w:val="00C72D0A"/>
    <w:rsid w:val="00C72E3B"/>
    <w:rsid w:val="00C7411E"/>
    <w:rsid w:val="00C746A5"/>
    <w:rsid w:val="00C74906"/>
    <w:rsid w:val="00C749A1"/>
    <w:rsid w:val="00C749CD"/>
    <w:rsid w:val="00C74B04"/>
    <w:rsid w:val="00C74C84"/>
    <w:rsid w:val="00C75B77"/>
    <w:rsid w:val="00C75BDA"/>
    <w:rsid w:val="00C75C6C"/>
    <w:rsid w:val="00C760B7"/>
    <w:rsid w:val="00C76CAF"/>
    <w:rsid w:val="00C77514"/>
    <w:rsid w:val="00C77763"/>
    <w:rsid w:val="00C8007C"/>
    <w:rsid w:val="00C8102B"/>
    <w:rsid w:val="00C81181"/>
    <w:rsid w:val="00C81481"/>
    <w:rsid w:val="00C8215A"/>
    <w:rsid w:val="00C823A6"/>
    <w:rsid w:val="00C823F0"/>
    <w:rsid w:val="00C82810"/>
    <w:rsid w:val="00C83019"/>
    <w:rsid w:val="00C835B8"/>
    <w:rsid w:val="00C839AA"/>
    <w:rsid w:val="00C83A95"/>
    <w:rsid w:val="00C83BE1"/>
    <w:rsid w:val="00C83D68"/>
    <w:rsid w:val="00C84021"/>
    <w:rsid w:val="00C840BD"/>
    <w:rsid w:val="00C84119"/>
    <w:rsid w:val="00C84E88"/>
    <w:rsid w:val="00C857AB"/>
    <w:rsid w:val="00C85AA6"/>
    <w:rsid w:val="00C862BB"/>
    <w:rsid w:val="00C8643D"/>
    <w:rsid w:val="00C86826"/>
    <w:rsid w:val="00C868BA"/>
    <w:rsid w:val="00C8732D"/>
    <w:rsid w:val="00C875CC"/>
    <w:rsid w:val="00C87F87"/>
    <w:rsid w:val="00C901CC"/>
    <w:rsid w:val="00C9024F"/>
    <w:rsid w:val="00C90958"/>
    <w:rsid w:val="00C912C2"/>
    <w:rsid w:val="00C914B2"/>
    <w:rsid w:val="00C915DB"/>
    <w:rsid w:val="00C91CDE"/>
    <w:rsid w:val="00C927D8"/>
    <w:rsid w:val="00C928BE"/>
    <w:rsid w:val="00C93499"/>
    <w:rsid w:val="00C93F19"/>
    <w:rsid w:val="00C94796"/>
    <w:rsid w:val="00C94A67"/>
    <w:rsid w:val="00C9544E"/>
    <w:rsid w:val="00C958CD"/>
    <w:rsid w:val="00C966EF"/>
    <w:rsid w:val="00C96C95"/>
    <w:rsid w:val="00CA018A"/>
    <w:rsid w:val="00CA18FA"/>
    <w:rsid w:val="00CA2B30"/>
    <w:rsid w:val="00CA321B"/>
    <w:rsid w:val="00CA384C"/>
    <w:rsid w:val="00CA38F1"/>
    <w:rsid w:val="00CA3EBD"/>
    <w:rsid w:val="00CA43B4"/>
    <w:rsid w:val="00CA50AA"/>
    <w:rsid w:val="00CA5161"/>
    <w:rsid w:val="00CA51DF"/>
    <w:rsid w:val="00CA5636"/>
    <w:rsid w:val="00CA604C"/>
    <w:rsid w:val="00CA6168"/>
    <w:rsid w:val="00CA63C6"/>
    <w:rsid w:val="00CA64E1"/>
    <w:rsid w:val="00CA6694"/>
    <w:rsid w:val="00CA66F6"/>
    <w:rsid w:val="00CA7091"/>
    <w:rsid w:val="00CA72BF"/>
    <w:rsid w:val="00CA7321"/>
    <w:rsid w:val="00CA734F"/>
    <w:rsid w:val="00CA7792"/>
    <w:rsid w:val="00CA7912"/>
    <w:rsid w:val="00CA7B46"/>
    <w:rsid w:val="00CA7CA4"/>
    <w:rsid w:val="00CA7F00"/>
    <w:rsid w:val="00CB010F"/>
    <w:rsid w:val="00CB08A3"/>
    <w:rsid w:val="00CB0A24"/>
    <w:rsid w:val="00CB0DAA"/>
    <w:rsid w:val="00CB0EA2"/>
    <w:rsid w:val="00CB1636"/>
    <w:rsid w:val="00CB1664"/>
    <w:rsid w:val="00CB1905"/>
    <w:rsid w:val="00CB2AD1"/>
    <w:rsid w:val="00CB3639"/>
    <w:rsid w:val="00CB3827"/>
    <w:rsid w:val="00CB40B1"/>
    <w:rsid w:val="00CB47FF"/>
    <w:rsid w:val="00CB4BF8"/>
    <w:rsid w:val="00CB5128"/>
    <w:rsid w:val="00CB52AE"/>
    <w:rsid w:val="00CB59C2"/>
    <w:rsid w:val="00CB5DEE"/>
    <w:rsid w:val="00CB6981"/>
    <w:rsid w:val="00CC02FC"/>
    <w:rsid w:val="00CC0A47"/>
    <w:rsid w:val="00CC1713"/>
    <w:rsid w:val="00CC1840"/>
    <w:rsid w:val="00CC1C01"/>
    <w:rsid w:val="00CC1C36"/>
    <w:rsid w:val="00CC1D4C"/>
    <w:rsid w:val="00CC25A8"/>
    <w:rsid w:val="00CC260B"/>
    <w:rsid w:val="00CC321B"/>
    <w:rsid w:val="00CC3BDE"/>
    <w:rsid w:val="00CC4B9C"/>
    <w:rsid w:val="00CC4E26"/>
    <w:rsid w:val="00CC4FB2"/>
    <w:rsid w:val="00CC5038"/>
    <w:rsid w:val="00CC525F"/>
    <w:rsid w:val="00CC53A0"/>
    <w:rsid w:val="00CC5DBB"/>
    <w:rsid w:val="00CC6415"/>
    <w:rsid w:val="00CC66AF"/>
    <w:rsid w:val="00CC671B"/>
    <w:rsid w:val="00CC6A8E"/>
    <w:rsid w:val="00CC6C24"/>
    <w:rsid w:val="00CC6D4D"/>
    <w:rsid w:val="00CC7A76"/>
    <w:rsid w:val="00CC7C57"/>
    <w:rsid w:val="00CC7D50"/>
    <w:rsid w:val="00CD0615"/>
    <w:rsid w:val="00CD1831"/>
    <w:rsid w:val="00CD21FE"/>
    <w:rsid w:val="00CD334F"/>
    <w:rsid w:val="00CD339C"/>
    <w:rsid w:val="00CD3849"/>
    <w:rsid w:val="00CD3DE3"/>
    <w:rsid w:val="00CD415A"/>
    <w:rsid w:val="00CD41FC"/>
    <w:rsid w:val="00CD4887"/>
    <w:rsid w:val="00CD4F5C"/>
    <w:rsid w:val="00CD52AD"/>
    <w:rsid w:val="00CD5DE0"/>
    <w:rsid w:val="00CD5F06"/>
    <w:rsid w:val="00CD6742"/>
    <w:rsid w:val="00CD6CF5"/>
    <w:rsid w:val="00CD718B"/>
    <w:rsid w:val="00CD73E9"/>
    <w:rsid w:val="00CD7982"/>
    <w:rsid w:val="00CD7C51"/>
    <w:rsid w:val="00CE0E1B"/>
    <w:rsid w:val="00CE11FC"/>
    <w:rsid w:val="00CE165F"/>
    <w:rsid w:val="00CE1AC0"/>
    <w:rsid w:val="00CE1DFA"/>
    <w:rsid w:val="00CE2936"/>
    <w:rsid w:val="00CE45E2"/>
    <w:rsid w:val="00CE4770"/>
    <w:rsid w:val="00CE53C6"/>
    <w:rsid w:val="00CE5436"/>
    <w:rsid w:val="00CE5885"/>
    <w:rsid w:val="00CE61C2"/>
    <w:rsid w:val="00CE6461"/>
    <w:rsid w:val="00CE70C9"/>
    <w:rsid w:val="00CE7421"/>
    <w:rsid w:val="00CE748D"/>
    <w:rsid w:val="00CE796E"/>
    <w:rsid w:val="00CF0278"/>
    <w:rsid w:val="00CF059A"/>
    <w:rsid w:val="00CF0D0C"/>
    <w:rsid w:val="00CF1717"/>
    <w:rsid w:val="00CF3363"/>
    <w:rsid w:val="00CF3944"/>
    <w:rsid w:val="00CF3A0C"/>
    <w:rsid w:val="00CF3D28"/>
    <w:rsid w:val="00CF4263"/>
    <w:rsid w:val="00CF43EE"/>
    <w:rsid w:val="00CF5234"/>
    <w:rsid w:val="00CF5BFA"/>
    <w:rsid w:val="00CF68D0"/>
    <w:rsid w:val="00CF7140"/>
    <w:rsid w:val="00D00D07"/>
    <w:rsid w:val="00D01480"/>
    <w:rsid w:val="00D016E4"/>
    <w:rsid w:val="00D01796"/>
    <w:rsid w:val="00D02473"/>
    <w:rsid w:val="00D02818"/>
    <w:rsid w:val="00D028AC"/>
    <w:rsid w:val="00D02A64"/>
    <w:rsid w:val="00D02E6A"/>
    <w:rsid w:val="00D037C8"/>
    <w:rsid w:val="00D04196"/>
    <w:rsid w:val="00D043B1"/>
    <w:rsid w:val="00D04742"/>
    <w:rsid w:val="00D056F0"/>
    <w:rsid w:val="00D06999"/>
    <w:rsid w:val="00D07184"/>
    <w:rsid w:val="00D1085F"/>
    <w:rsid w:val="00D10991"/>
    <w:rsid w:val="00D10BBA"/>
    <w:rsid w:val="00D10D9F"/>
    <w:rsid w:val="00D10DD7"/>
    <w:rsid w:val="00D11105"/>
    <w:rsid w:val="00D11261"/>
    <w:rsid w:val="00D11416"/>
    <w:rsid w:val="00D1186A"/>
    <w:rsid w:val="00D11A7F"/>
    <w:rsid w:val="00D11A96"/>
    <w:rsid w:val="00D11BF0"/>
    <w:rsid w:val="00D11D31"/>
    <w:rsid w:val="00D12790"/>
    <w:rsid w:val="00D12E8C"/>
    <w:rsid w:val="00D130AB"/>
    <w:rsid w:val="00D131CF"/>
    <w:rsid w:val="00D133F0"/>
    <w:rsid w:val="00D14D2D"/>
    <w:rsid w:val="00D15268"/>
    <w:rsid w:val="00D15AF6"/>
    <w:rsid w:val="00D161EC"/>
    <w:rsid w:val="00D16266"/>
    <w:rsid w:val="00D1660C"/>
    <w:rsid w:val="00D16FAB"/>
    <w:rsid w:val="00D172C0"/>
    <w:rsid w:val="00D1743D"/>
    <w:rsid w:val="00D177DB"/>
    <w:rsid w:val="00D17BF2"/>
    <w:rsid w:val="00D17C79"/>
    <w:rsid w:val="00D200E1"/>
    <w:rsid w:val="00D20363"/>
    <w:rsid w:val="00D206D3"/>
    <w:rsid w:val="00D207B7"/>
    <w:rsid w:val="00D2170B"/>
    <w:rsid w:val="00D21B9B"/>
    <w:rsid w:val="00D22673"/>
    <w:rsid w:val="00D22A70"/>
    <w:rsid w:val="00D233AB"/>
    <w:rsid w:val="00D235ED"/>
    <w:rsid w:val="00D2495E"/>
    <w:rsid w:val="00D255AC"/>
    <w:rsid w:val="00D25A46"/>
    <w:rsid w:val="00D260BD"/>
    <w:rsid w:val="00D27187"/>
    <w:rsid w:val="00D27ACE"/>
    <w:rsid w:val="00D27AE6"/>
    <w:rsid w:val="00D30AAF"/>
    <w:rsid w:val="00D30EC0"/>
    <w:rsid w:val="00D313C4"/>
    <w:rsid w:val="00D314A0"/>
    <w:rsid w:val="00D31983"/>
    <w:rsid w:val="00D31DD9"/>
    <w:rsid w:val="00D34349"/>
    <w:rsid w:val="00D34433"/>
    <w:rsid w:val="00D3482D"/>
    <w:rsid w:val="00D35042"/>
    <w:rsid w:val="00D36752"/>
    <w:rsid w:val="00D36AFF"/>
    <w:rsid w:val="00D372AE"/>
    <w:rsid w:val="00D3782D"/>
    <w:rsid w:val="00D37B1F"/>
    <w:rsid w:val="00D40609"/>
    <w:rsid w:val="00D408CB"/>
    <w:rsid w:val="00D40B57"/>
    <w:rsid w:val="00D40E50"/>
    <w:rsid w:val="00D424B6"/>
    <w:rsid w:val="00D424EA"/>
    <w:rsid w:val="00D426A5"/>
    <w:rsid w:val="00D42FD1"/>
    <w:rsid w:val="00D433A5"/>
    <w:rsid w:val="00D43867"/>
    <w:rsid w:val="00D43B3B"/>
    <w:rsid w:val="00D44102"/>
    <w:rsid w:val="00D449A7"/>
    <w:rsid w:val="00D44E96"/>
    <w:rsid w:val="00D45207"/>
    <w:rsid w:val="00D45CD7"/>
    <w:rsid w:val="00D46293"/>
    <w:rsid w:val="00D46542"/>
    <w:rsid w:val="00D4677A"/>
    <w:rsid w:val="00D46A77"/>
    <w:rsid w:val="00D4709B"/>
    <w:rsid w:val="00D47D34"/>
    <w:rsid w:val="00D50091"/>
    <w:rsid w:val="00D50A89"/>
    <w:rsid w:val="00D512A1"/>
    <w:rsid w:val="00D518B9"/>
    <w:rsid w:val="00D522DE"/>
    <w:rsid w:val="00D528F3"/>
    <w:rsid w:val="00D53176"/>
    <w:rsid w:val="00D5358F"/>
    <w:rsid w:val="00D53633"/>
    <w:rsid w:val="00D5392A"/>
    <w:rsid w:val="00D53D52"/>
    <w:rsid w:val="00D5501F"/>
    <w:rsid w:val="00D55315"/>
    <w:rsid w:val="00D55F2D"/>
    <w:rsid w:val="00D5684B"/>
    <w:rsid w:val="00D56B0A"/>
    <w:rsid w:val="00D56BD3"/>
    <w:rsid w:val="00D56D04"/>
    <w:rsid w:val="00D57388"/>
    <w:rsid w:val="00D60130"/>
    <w:rsid w:val="00D6058F"/>
    <w:rsid w:val="00D60EFA"/>
    <w:rsid w:val="00D613F8"/>
    <w:rsid w:val="00D6201D"/>
    <w:rsid w:val="00D62499"/>
    <w:rsid w:val="00D62558"/>
    <w:rsid w:val="00D62A8F"/>
    <w:rsid w:val="00D630E0"/>
    <w:rsid w:val="00D6481D"/>
    <w:rsid w:val="00D65D0E"/>
    <w:rsid w:val="00D65D78"/>
    <w:rsid w:val="00D67024"/>
    <w:rsid w:val="00D670E8"/>
    <w:rsid w:val="00D67B29"/>
    <w:rsid w:val="00D67DD9"/>
    <w:rsid w:val="00D70D68"/>
    <w:rsid w:val="00D71798"/>
    <w:rsid w:val="00D7186D"/>
    <w:rsid w:val="00D71965"/>
    <w:rsid w:val="00D71A73"/>
    <w:rsid w:val="00D71EB3"/>
    <w:rsid w:val="00D72330"/>
    <w:rsid w:val="00D72655"/>
    <w:rsid w:val="00D7309F"/>
    <w:rsid w:val="00D73222"/>
    <w:rsid w:val="00D734D8"/>
    <w:rsid w:val="00D73834"/>
    <w:rsid w:val="00D73C78"/>
    <w:rsid w:val="00D74481"/>
    <w:rsid w:val="00D748CB"/>
    <w:rsid w:val="00D74CD2"/>
    <w:rsid w:val="00D758B8"/>
    <w:rsid w:val="00D768AD"/>
    <w:rsid w:val="00D76B53"/>
    <w:rsid w:val="00D76B71"/>
    <w:rsid w:val="00D76CDA"/>
    <w:rsid w:val="00D76EBA"/>
    <w:rsid w:val="00D7796F"/>
    <w:rsid w:val="00D77B2A"/>
    <w:rsid w:val="00D77D99"/>
    <w:rsid w:val="00D80172"/>
    <w:rsid w:val="00D802F0"/>
    <w:rsid w:val="00D80871"/>
    <w:rsid w:val="00D8144A"/>
    <w:rsid w:val="00D81904"/>
    <w:rsid w:val="00D82C4E"/>
    <w:rsid w:val="00D83110"/>
    <w:rsid w:val="00D83ACC"/>
    <w:rsid w:val="00D8431D"/>
    <w:rsid w:val="00D84377"/>
    <w:rsid w:val="00D843FA"/>
    <w:rsid w:val="00D8494C"/>
    <w:rsid w:val="00D84A8E"/>
    <w:rsid w:val="00D850FA"/>
    <w:rsid w:val="00D8533C"/>
    <w:rsid w:val="00D86754"/>
    <w:rsid w:val="00D86755"/>
    <w:rsid w:val="00D868F7"/>
    <w:rsid w:val="00D86E86"/>
    <w:rsid w:val="00D87C81"/>
    <w:rsid w:val="00D87DB1"/>
    <w:rsid w:val="00D87DC6"/>
    <w:rsid w:val="00D87E83"/>
    <w:rsid w:val="00D87F3A"/>
    <w:rsid w:val="00D87FA9"/>
    <w:rsid w:val="00D904C4"/>
    <w:rsid w:val="00D9094E"/>
    <w:rsid w:val="00D90B0C"/>
    <w:rsid w:val="00D91AFB"/>
    <w:rsid w:val="00D91CFA"/>
    <w:rsid w:val="00D94A32"/>
    <w:rsid w:val="00D95933"/>
    <w:rsid w:val="00D95B92"/>
    <w:rsid w:val="00D967E5"/>
    <w:rsid w:val="00D96D31"/>
    <w:rsid w:val="00D96D91"/>
    <w:rsid w:val="00D970AE"/>
    <w:rsid w:val="00DA041F"/>
    <w:rsid w:val="00DA1B9E"/>
    <w:rsid w:val="00DA1F9D"/>
    <w:rsid w:val="00DA2097"/>
    <w:rsid w:val="00DA24F9"/>
    <w:rsid w:val="00DA25C0"/>
    <w:rsid w:val="00DA2EEE"/>
    <w:rsid w:val="00DA375A"/>
    <w:rsid w:val="00DA3A17"/>
    <w:rsid w:val="00DA3ADC"/>
    <w:rsid w:val="00DA4052"/>
    <w:rsid w:val="00DA4A5A"/>
    <w:rsid w:val="00DA4C2D"/>
    <w:rsid w:val="00DA5061"/>
    <w:rsid w:val="00DA5065"/>
    <w:rsid w:val="00DA5696"/>
    <w:rsid w:val="00DA62DC"/>
    <w:rsid w:val="00DA63E5"/>
    <w:rsid w:val="00DA64DD"/>
    <w:rsid w:val="00DA6878"/>
    <w:rsid w:val="00DA741B"/>
    <w:rsid w:val="00DA793F"/>
    <w:rsid w:val="00DB0CDC"/>
    <w:rsid w:val="00DB1314"/>
    <w:rsid w:val="00DB1A19"/>
    <w:rsid w:val="00DB1FDE"/>
    <w:rsid w:val="00DB2042"/>
    <w:rsid w:val="00DB2742"/>
    <w:rsid w:val="00DB2745"/>
    <w:rsid w:val="00DB275F"/>
    <w:rsid w:val="00DB2D1C"/>
    <w:rsid w:val="00DB33AC"/>
    <w:rsid w:val="00DB4863"/>
    <w:rsid w:val="00DB4B1C"/>
    <w:rsid w:val="00DB510D"/>
    <w:rsid w:val="00DB51E8"/>
    <w:rsid w:val="00DB53F6"/>
    <w:rsid w:val="00DB624E"/>
    <w:rsid w:val="00DB628E"/>
    <w:rsid w:val="00DB62B3"/>
    <w:rsid w:val="00DB6787"/>
    <w:rsid w:val="00DB6A32"/>
    <w:rsid w:val="00DB71E7"/>
    <w:rsid w:val="00DC10CB"/>
    <w:rsid w:val="00DC10FD"/>
    <w:rsid w:val="00DC1DD3"/>
    <w:rsid w:val="00DC26AB"/>
    <w:rsid w:val="00DC32B6"/>
    <w:rsid w:val="00DC3FD9"/>
    <w:rsid w:val="00DC40CE"/>
    <w:rsid w:val="00DC41C7"/>
    <w:rsid w:val="00DC4CE9"/>
    <w:rsid w:val="00DC5014"/>
    <w:rsid w:val="00DC518B"/>
    <w:rsid w:val="00DC51B8"/>
    <w:rsid w:val="00DC5391"/>
    <w:rsid w:val="00DC68C9"/>
    <w:rsid w:val="00DC73A2"/>
    <w:rsid w:val="00DC7442"/>
    <w:rsid w:val="00DC7961"/>
    <w:rsid w:val="00DC7B5F"/>
    <w:rsid w:val="00DC7F39"/>
    <w:rsid w:val="00DD006D"/>
    <w:rsid w:val="00DD04FA"/>
    <w:rsid w:val="00DD0550"/>
    <w:rsid w:val="00DD064C"/>
    <w:rsid w:val="00DD0A3B"/>
    <w:rsid w:val="00DD1533"/>
    <w:rsid w:val="00DD179D"/>
    <w:rsid w:val="00DD1855"/>
    <w:rsid w:val="00DD19B7"/>
    <w:rsid w:val="00DD1E00"/>
    <w:rsid w:val="00DD1F1B"/>
    <w:rsid w:val="00DD1F6F"/>
    <w:rsid w:val="00DD2078"/>
    <w:rsid w:val="00DD2247"/>
    <w:rsid w:val="00DD2666"/>
    <w:rsid w:val="00DD320E"/>
    <w:rsid w:val="00DD409F"/>
    <w:rsid w:val="00DD4286"/>
    <w:rsid w:val="00DD436E"/>
    <w:rsid w:val="00DD4389"/>
    <w:rsid w:val="00DD450C"/>
    <w:rsid w:val="00DD4C82"/>
    <w:rsid w:val="00DD4D8F"/>
    <w:rsid w:val="00DD5F9B"/>
    <w:rsid w:val="00DD63B3"/>
    <w:rsid w:val="00DD6B90"/>
    <w:rsid w:val="00DD6C69"/>
    <w:rsid w:val="00DD7392"/>
    <w:rsid w:val="00DD795D"/>
    <w:rsid w:val="00DD79DB"/>
    <w:rsid w:val="00DD7FCE"/>
    <w:rsid w:val="00DE008E"/>
    <w:rsid w:val="00DE02DC"/>
    <w:rsid w:val="00DE0439"/>
    <w:rsid w:val="00DE0736"/>
    <w:rsid w:val="00DE1185"/>
    <w:rsid w:val="00DE14B1"/>
    <w:rsid w:val="00DE2037"/>
    <w:rsid w:val="00DE2861"/>
    <w:rsid w:val="00DE2A48"/>
    <w:rsid w:val="00DE398E"/>
    <w:rsid w:val="00DE4C06"/>
    <w:rsid w:val="00DE4D9D"/>
    <w:rsid w:val="00DE4F3A"/>
    <w:rsid w:val="00DE533B"/>
    <w:rsid w:val="00DE53EA"/>
    <w:rsid w:val="00DE54F4"/>
    <w:rsid w:val="00DE62B5"/>
    <w:rsid w:val="00DE642D"/>
    <w:rsid w:val="00DE6717"/>
    <w:rsid w:val="00DE69F2"/>
    <w:rsid w:val="00DE6D67"/>
    <w:rsid w:val="00DE70DE"/>
    <w:rsid w:val="00DE72E4"/>
    <w:rsid w:val="00DE73EF"/>
    <w:rsid w:val="00DE75F4"/>
    <w:rsid w:val="00DE781C"/>
    <w:rsid w:val="00DE7F4C"/>
    <w:rsid w:val="00DF0960"/>
    <w:rsid w:val="00DF11EF"/>
    <w:rsid w:val="00DF1453"/>
    <w:rsid w:val="00DF1CB7"/>
    <w:rsid w:val="00DF1D64"/>
    <w:rsid w:val="00DF1EDE"/>
    <w:rsid w:val="00DF2425"/>
    <w:rsid w:val="00DF305F"/>
    <w:rsid w:val="00DF3B8D"/>
    <w:rsid w:val="00DF4B1F"/>
    <w:rsid w:val="00DF52DC"/>
    <w:rsid w:val="00DF5D82"/>
    <w:rsid w:val="00DF5F38"/>
    <w:rsid w:val="00DF6B41"/>
    <w:rsid w:val="00DF6D02"/>
    <w:rsid w:val="00DF6DBA"/>
    <w:rsid w:val="00DF79B0"/>
    <w:rsid w:val="00E003FF"/>
    <w:rsid w:val="00E00517"/>
    <w:rsid w:val="00E01C28"/>
    <w:rsid w:val="00E01D77"/>
    <w:rsid w:val="00E01EB3"/>
    <w:rsid w:val="00E02AA5"/>
    <w:rsid w:val="00E03322"/>
    <w:rsid w:val="00E03555"/>
    <w:rsid w:val="00E04215"/>
    <w:rsid w:val="00E04859"/>
    <w:rsid w:val="00E04AB3"/>
    <w:rsid w:val="00E04AE8"/>
    <w:rsid w:val="00E04CC5"/>
    <w:rsid w:val="00E05CDC"/>
    <w:rsid w:val="00E06131"/>
    <w:rsid w:val="00E062EC"/>
    <w:rsid w:val="00E06D1C"/>
    <w:rsid w:val="00E071E3"/>
    <w:rsid w:val="00E078E7"/>
    <w:rsid w:val="00E111C3"/>
    <w:rsid w:val="00E1180C"/>
    <w:rsid w:val="00E11C7B"/>
    <w:rsid w:val="00E1234D"/>
    <w:rsid w:val="00E124D9"/>
    <w:rsid w:val="00E126A8"/>
    <w:rsid w:val="00E12867"/>
    <w:rsid w:val="00E12E7A"/>
    <w:rsid w:val="00E13375"/>
    <w:rsid w:val="00E13451"/>
    <w:rsid w:val="00E13475"/>
    <w:rsid w:val="00E1350C"/>
    <w:rsid w:val="00E14430"/>
    <w:rsid w:val="00E1547A"/>
    <w:rsid w:val="00E156B8"/>
    <w:rsid w:val="00E1628B"/>
    <w:rsid w:val="00E16396"/>
    <w:rsid w:val="00E1642F"/>
    <w:rsid w:val="00E16CEF"/>
    <w:rsid w:val="00E16D25"/>
    <w:rsid w:val="00E17388"/>
    <w:rsid w:val="00E17F85"/>
    <w:rsid w:val="00E208D6"/>
    <w:rsid w:val="00E208DC"/>
    <w:rsid w:val="00E21569"/>
    <w:rsid w:val="00E21916"/>
    <w:rsid w:val="00E21BBF"/>
    <w:rsid w:val="00E223E4"/>
    <w:rsid w:val="00E22EF4"/>
    <w:rsid w:val="00E24761"/>
    <w:rsid w:val="00E24A5D"/>
    <w:rsid w:val="00E24EB7"/>
    <w:rsid w:val="00E2567C"/>
    <w:rsid w:val="00E25BF0"/>
    <w:rsid w:val="00E2756B"/>
    <w:rsid w:val="00E3004D"/>
    <w:rsid w:val="00E3018C"/>
    <w:rsid w:val="00E30307"/>
    <w:rsid w:val="00E30879"/>
    <w:rsid w:val="00E30AA6"/>
    <w:rsid w:val="00E317E6"/>
    <w:rsid w:val="00E3185E"/>
    <w:rsid w:val="00E32C81"/>
    <w:rsid w:val="00E32E95"/>
    <w:rsid w:val="00E33750"/>
    <w:rsid w:val="00E337AE"/>
    <w:rsid w:val="00E35427"/>
    <w:rsid w:val="00E355A0"/>
    <w:rsid w:val="00E35AAD"/>
    <w:rsid w:val="00E36672"/>
    <w:rsid w:val="00E37748"/>
    <w:rsid w:val="00E37D42"/>
    <w:rsid w:val="00E40601"/>
    <w:rsid w:val="00E40D43"/>
    <w:rsid w:val="00E40FBF"/>
    <w:rsid w:val="00E415D2"/>
    <w:rsid w:val="00E41AC2"/>
    <w:rsid w:val="00E41C3F"/>
    <w:rsid w:val="00E4219D"/>
    <w:rsid w:val="00E4224E"/>
    <w:rsid w:val="00E4267C"/>
    <w:rsid w:val="00E43DA9"/>
    <w:rsid w:val="00E4525E"/>
    <w:rsid w:val="00E45647"/>
    <w:rsid w:val="00E456B7"/>
    <w:rsid w:val="00E45D20"/>
    <w:rsid w:val="00E45F93"/>
    <w:rsid w:val="00E46381"/>
    <w:rsid w:val="00E466BF"/>
    <w:rsid w:val="00E46871"/>
    <w:rsid w:val="00E46A67"/>
    <w:rsid w:val="00E46BED"/>
    <w:rsid w:val="00E46C63"/>
    <w:rsid w:val="00E47060"/>
    <w:rsid w:val="00E473E8"/>
    <w:rsid w:val="00E4776F"/>
    <w:rsid w:val="00E47C55"/>
    <w:rsid w:val="00E500A9"/>
    <w:rsid w:val="00E5024A"/>
    <w:rsid w:val="00E50347"/>
    <w:rsid w:val="00E507B5"/>
    <w:rsid w:val="00E5153D"/>
    <w:rsid w:val="00E51F57"/>
    <w:rsid w:val="00E52667"/>
    <w:rsid w:val="00E527FC"/>
    <w:rsid w:val="00E53091"/>
    <w:rsid w:val="00E5372E"/>
    <w:rsid w:val="00E53CF9"/>
    <w:rsid w:val="00E53EC1"/>
    <w:rsid w:val="00E54069"/>
    <w:rsid w:val="00E54856"/>
    <w:rsid w:val="00E54DE4"/>
    <w:rsid w:val="00E552A5"/>
    <w:rsid w:val="00E5569A"/>
    <w:rsid w:val="00E558C9"/>
    <w:rsid w:val="00E55FE7"/>
    <w:rsid w:val="00E56887"/>
    <w:rsid w:val="00E56D4A"/>
    <w:rsid w:val="00E5753B"/>
    <w:rsid w:val="00E57773"/>
    <w:rsid w:val="00E600C0"/>
    <w:rsid w:val="00E604B9"/>
    <w:rsid w:val="00E60D5B"/>
    <w:rsid w:val="00E6151D"/>
    <w:rsid w:val="00E61CF0"/>
    <w:rsid w:val="00E61DB3"/>
    <w:rsid w:val="00E631FA"/>
    <w:rsid w:val="00E643EC"/>
    <w:rsid w:val="00E64BA9"/>
    <w:rsid w:val="00E656EE"/>
    <w:rsid w:val="00E6575B"/>
    <w:rsid w:val="00E65A4C"/>
    <w:rsid w:val="00E66397"/>
    <w:rsid w:val="00E666C7"/>
    <w:rsid w:val="00E66C13"/>
    <w:rsid w:val="00E67459"/>
    <w:rsid w:val="00E675C1"/>
    <w:rsid w:val="00E676FC"/>
    <w:rsid w:val="00E67801"/>
    <w:rsid w:val="00E67CC1"/>
    <w:rsid w:val="00E67D61"/>
    <w:rsid w:val="00E704AB"/>
    <w:rsid w:val="00E70927"/>
    <w:rsid w:val="00E709BF"/>
    <w:rsid w:val="00E70AAB"/>
    <w:rsid w:val="00E70B25"/>
    <w:rsid w:val="00E70D20"/>
    <w:rsid w:val="00E71606"/>
    <w:rsid w:val="00E71FEB"/>
    <w:rsid w:val="00E721F7"/>
    <w:rsid w:val="00E72293"/>
    <w:rsid w:val="00E7254A"/>
    <w:rsid w:val="00E72B71"/>
    <w:rsid w:val="00E73677"/>
    <w:rsid w:val="00E751CC"/>
    <w:rsid w:val="00E751FA"/>
    <w:rsid w:val="00E75615"/>
    <w:rsid w:val="00E75A3F"/>
    <w:rsid w:val="00E75B09"/>
    <w:rsid w:val="00E75C0C"/>
    <w:rsid w:val="00E76311"/>
    <w:rsid w:val="00E76371"/>
    <w:rsid w:val="00E766AF"/>
    <w:rsid w:val="00E76B0C"/>
    <w:rsid w:val="00E76C09"/>
    <w:rsid w:val="00E76E58"/>
    <w:rsid w:val="00E771A8"/>
    <w:rsid w:val="00E77A18"/>
    <w:rsid w:val="00E81441"/>
    <w:rsid w:val="00E81651"/>
    <w:rsid w:val="00E81CAA"/>
    <w:rsid w:val="00E8288D"/>
    <w:rsid w:val="00E82D40"/>
    <w:rsid w:val="00E830A0"/>
    <w:rsid w:val="00E833EF"/>
    <w:rsid w:val="00E84313"/>
    <w:rsid w:val="00E84544"/>
    <w:rsid w:val="00E848F7"/>
    <w:rsid w:val="00E84E8F"/>
    <w:rsid w:val="00E85641"/>
    <w:rsid w:val="00E85790"/>
    <w:rsid w:val="00E85939"/>
    <w:rsid w:val="00E8596A"/>
    <w:rsid w:val="00E85A0C"/>
    <w:rsid w:val="00E85EFD"/>
    <w:rsid w:val="00E85FA0"/>
    <w:rsid w:val="00E86229"/>
    <w:rsid w:val="00E866C3"/>
    <w:rsid w:val="00E86792"/>
    <w:rsid w:val="00E86BC7"/>
    <w:rsid w:val="00E86D84"/>
    <w:rsid w:val="00E8705E"/>
    <w:rsid w:val="00E875EC"/>
    <w:rsid w:val="00E87CBD"/>
    <w:rsid w:val="00E90741"/>
    <w:rsid w:val="00E9075B"/>
    <w:rsid w:val="00E90B43"/>
    <w:rsid w:val="00E91055"/>
    <w:rsid w:val="00E91345"/>
    <w:rsid w:val="00E917BF"/>
    <w:rsid w:val="00E91979"/>
    <w:rsid w:val="00E919B1"/>
    <w:rsid w:val="00E91A6E"/>
    <w:rsid w:val="00E91BDA"/>
    <w:rsid w:val="00E91CA9"/>
    <w:rsid w:val="00E92534"/>
    <w:rsid w:val="00E9274B"/>
    <w:rsid w:val="00E929A7"/>
    <w:rsid w:val="00E92B52"/>
    <w:rsid w:val="00E93D2C"/>
    <w:rsid w:val="00E93E08"/>
    <w:rsid w:val="00E941A2"/>
    <w:rsid w:val="00E943C9"/>
    <w:rsid w:val="00E94E64"/>
    <w:rsid w:val="00E95288"/>
    <w:rsid w:val="00E95A42"/>
    <w:rsid w:val="00E95AD0"/>
    <w:rsid w:val="00E961C6"/>
    <w:rsid w:val="00E963B6"/>
    <w:rsid w:val="00E96A5D"/>
    <w:rsid w:val="00E96B99"/>
    <w:rsid w:val="00E96F0A"/>
    <w:rsid w:val="00E975A0"/>
    <w:rsid w:val="00EA1368"/>
    <w:rsid w:val="00EA1541"/>
    <w:rsid w:val="00EA179A"/>
    <w:rsid w:val="00EA1B1A"/>
    <w:rsid w:val="00EA1C40"/>
    <w:rsid w:val="00EA1C89"/>
    <w:rsid w:val="00EA22FE"/>
    <w:rsid w:val="00EA23D5"/>
    <w:rsid w:val="00EA2596"/>
    <w:rsid w:val="00EA2681"/>
    <w:rsid w:val="00EA340C"/>
    <w:rsid w:val="00EA3543"/>
    <w:rsid w:val="00EA35AE"/>
    <w:rsid w:val="00EA3BA6"/>
    <w:rsid w:val="00EA3FF2"/>
    <w:rsid w:val="00EA43C1"/>
    <w:rsid w:val="00EA5749"/>
    <w:rsid w:val="00EA62E9"/>
    <w:rsid w:val="00EA6968"/>
    <w:rsid w:val="00EA6DD4"/>
    <w:rsid w:val="00EA6EE9"/>
    <w:rsid w:val="00EA7331"/>
    <w:rsid w:val="00EA73A7"/>
    <w:rsid w:val="00EA7611"/>
    <w:rsid w:val="00EA7698"/>
    <w:rsid w:val="00EA7C49"/>
    <w:rsid w:val="00EB063F"/>
    <w:rsid w:val="00EB0D14"/>
    <w:rsid w:val="00EB1321"/>
    <w:rsid w:val="00EB14B6"/>
    <w:rsid w:val="00EB178F"/>
    <w:rsid w:val="00EB1D02"/>
    <w:rsid w:val="00EB28AF"/>
    <w:rsid w:val="00EB2FEA"/>
    <w:rsid w:val="00EB304C"/>
    <w:rsid w:val="00EB309A"/>
    <w:rsid w:val="00EB31FE"/>
    <w:rsid w:val="00EB34AD"/>
    <w:rsid w:val="00EB3E32"/>
    <w:rsid w:val="00EB3F21"/>
    <w:rsid w:val="00EB3F88"/>
    <w:rsid w:val="00EB4566"/>
    <w:rsid w:val="00EB46A7"/>
    <w:rsid w:val="00EB4CA9"/>
    <w:rsid w:val="00EB4F65"/>
    <w:rsid w:val="00EB4F76"/>
    <w:rsid w:val="00EB580C"/>
    <w:rsid w:val="00EB5A52"/>
    <w:rsid w:val="00EB5F3A"/>
    <w:rsid w:val="00EB6664"/>
    <w:rsid w:val="00EB6A21"/>
    <w:rsid w:val="00EB6AFE"/>
    <w:rsid w:val="00EB6B49"/>
    <w:rsid w:val="00EB704B"/>
    <w:rsid w:val="00EB7885"/>
    <w:rsid w:val="00EB7B3C"/>
    <w:rsid w:val="00EC0407"/>
    <w:rsid w:val="00EC0506"/>
    <w:rsid w:val="00EC0613"/>
    <w:rsid w:val="00EC0E9B"/>
    <w:rsid w:val="00EC1011"/>
    <w:rsid w:val="00EC1CDB"/>
    <w:rsid w:val="00EC1DDF"/>
    <w:rsid w:val="00EC29F0"/>
    <w:rsid w:val="00EC2E05"/>
    <w:rsid w:val="00EC2E1B"/>
    <w:rsid w:val="00EC3426"/>
    <w:rsid w:val="00EC34F5"/>
    <w:rsid w:val="00EC39B0"/>
    <w:rsid w:val="00EC3A46"/>
    <w:rsid w:val="00EC4093"/>
    <w:rsid w:val="00EC425C"/>
    <w:rsid w:val="00EC474D"/>
    <w:rsid w:val="00EC49E9"/>
    <w:rsid w:val="00EC4CA3"/>
    <w:rsid w:val="00EC4E1C"/>
    <w:rsid w:val="00EC4FD5"/>
    <w:rsid w:val="00EC5155"/>
    <w:rsid w:val="00EC522B"/>
    <w:rsid w:val="00EC59DF"/>
    <w:rsid w:val="00EC63EF"/>
    <w:rsid w:val="00EC697E"/>
    <w:rsid w:val="00EC69DE"/>
    <w:rsid w:val="00EC69E0"/>
    <w:rsid w:val="00EC754C"/>
    <w:rsid w:val="00EC7681"/>
    <w:rsid w:val="00ED0061"/>
    <w:rsid w:val="00ED045B"/>
    <w:rsid w:val="00ED05AC"/>
    <w:rsid w:val="00ED0D1E"/>
    <w:rsid w:val="00ED10D5"/>
    <w:rsid w:val="00ED1679"/>
    <w:rsid w:val="00ED234B"/>
    <w:rsid w:val="00ED3115"/>
    <w:rsid w:val="00ED3F58"/>
    <w:rsid w:val="00ED4C27"/>
    <w:rsid w:val="00ED5125"/>
    <w:rsid w:val="00ED526B"/>
    <w:rsid w:val="00ED5487"/>
    <w:rsid w:val="00ED58A1"/>
    <w:rsid w:val="00ED629C"/>
    <w:rsid w:val="00ED792B"/>
    <w:rsid w:val="00ED7A59"/>
    <w:rsid w:val="00ED7BEC"/>
    <w:rsid w:val="00EE0535"/>
    <w:rsid w:val="00EE0B66"/>
    <w:rsid w:val="00EE1382"/>
    <w:rsid w:val="00EE13AC"/>
    <w:rsid w:val="00EE1428"/>
    <w:rsid w:val="00EE1AD6"/>
    <w:rsid w:val="00EE208E"/>
    <w:rsid w:val="00EE21DA"/>
    <w:rsid w:val="00EE252D"/>
    <w:rsid w:val="00EE2A83"/>
    <w:rsid w:val="00EE2F93"/>
    <w:rsid w:val="00EE34C1"/>
    <w:rsid w:val="00EE37C1"/>
    <w:rsid w:val="00EE436F"/>
    <w:rsid w:val="00EE4ABB"/>
    <w:rsid w:val="00EE56C3"/>
    <w:rsid w:val="00EE5887"/>
    <w:rsid w:val="00EE5C5D"/>
    <w:rsid w:val="00EE5F3E"/>
    <w:rsid w:val="00EE680B"/>
    <w:rsid w:val="00EE7783"/>
    <w:rsid w:val="00EF0A0C"/>
    <w:rsid w:val="00EF0F1C"/>
    <w:rsid w:val="00EF0FA9"/>
    <w:rsid w:val="00EF158B"/>
    <w:rsid w:val="00EF1652"/>
    <w:rsid w:val="00EF18CB"/>
    <w:rsid w:val="00EF1C33"/>
    <w:rsid w:val="00EF2580"/>
    <w:rsid w:val="00EF2A67"/>
    <w:rsid w:val="00EF2D32"/>
    <w:rsid w:val="00EF34B6"/>
    <w:rsid w:val="00EF3798"/>
    <w:rsid w:val="00EF3A46"/>
    <w:rsid w:val="00EF3BBB"/>
    <w:rsid w:val="00EF3E4A"/>
    <w:rsid w:val="00EF3ED7"/>
    <w:rsid w:val="00EF473A"/>
    <w:rsid w:val="00EF4963"/>
    <w:rsid w:val="00EF49BF"/>
    <w:rsid w:val="00EF4F96"/>
    <w:rsid w:val="00EF53EA"/>
    <w:rsid w:val="00EF562B"/>
    <w:rsid w:val="00EF577F"/>
    <w:rsid w:val="00EF5784"/>
    <w:rsid w:val="00EF5B06"/>
    <w:rsid w:val="00EF6093"/>
    <w:rsid w:val="00EF6C76"/>
    <w:rsid w:val="00EF6DAA"/>
    <w:rsid w:val="00EF7231"/>
    <w:rsid w:val="00EF7427"/>
    <w:rsid w:val="00EF7B54"/>
    <w:rsid w:val="00F00132"/>
    <w:rsid w:val="00F00AF4"/>
    <w:rsid w:val="00F01417"/>
    <w:rsid w:val="00F01CF3"/>
    <w:rsid w:val="00F01ECD"/>
    <w:rsid w:val="00F02510"/>
    <w:rsid w:val="00F026E1"/>
    <w:rsid w:val="00F02887"/>
    <w:rsid w:val="00F028AA"/>
    <w:rsid w:val="00F02B51"/>
    <w:rsid w:val="00F02B7E"/>
    <w:rsid w:val="00F02D75"/>
    <w:rsid w:val="00F02F2A"/>
    <w:rsid w:val="00F0326E"/>
    <w:rsid w:val="00F03572"/>
    <w:rsid w:val="00F03629"/>
    <w:rsid w:val="00F036E7"/>
    <w:rsid w:val="00F041FE"/>
    <w:rsid w:val="00F045C0"/>
    <w:rsid w:val="00F04A55"/>
    <w:rsid w:val="00F04EC8"/>
    <w:rsid w:val="00F051D9"/>
    <w:rsid w:val="00F05772"/>
    <w:rsid w:val="00F05993"/>
    <w:rsid w:val="00F05AF8"/>
    <w:rsid w:val="00F06A8D"/>
    <w:rsid w:val="00F06AB0"/>
    <w:rsid w:val="00F06C5F"/>
    <w:rsid w:val="00F071AA"/>
    <w:rsid w:val="00F074D7"/>
    <w:rsid w:val="00F0785C"/>
    <w:rsid w:val="00F07B73"/>
    <w:rsid w:val="00F07F41"/>
    <w:rsid w:val="00F07FCE"/>
    <w:rsid w:val="00F1019A"/>
    <w:rsid w:val="00F109A9"/>
    <w:rsid w:val="00F10AF5"/>
    <w:rsid w:val="00F11AA5"/>
    <w:rsid w:val="00F12377"/>
    <w:rsid w:val="00F126EC"/>
    <w:rsid w:val="00F12995"/>
    <w:rsid w:val="00F12BFE"/>
    <w:rsid w:val="00F12D78"/>
    <w:rsid w:val="00F1324A"/>
    <w:rsid w:val="00F1338C"/>
    <w:rsid w:val="00F13A0B"/>
    <w:rsid w:val="00F13E31"/>
    <w:rsid w:val="00F147AE"/>
    <w:rsid w:val="00F1488A"/>
    <w:rsid w:val="00F148D1"/>
    <w:rsid w:val="00F14DD2"/>
    <w:rsid w:val="00F14FB4"/>
    <w:rsid w:val="00F1598B"/>
    <w:rsid w:val="00F15CBA"/>
    <w:rsid w:val="00F15DCB"/>
    <w:rsid w:val="00F16C50"/>
    <w:rsid w:val="00F17C8C"/>
    <w:rsid w:val="00F17D1B"/>
    <w:rsid w:val="00F17DBF"/>
    <w:rsid w:val="00F223F3"/>
    <w:rsid w:val="00F22747"/>
    <w:rsid w:val="00F23209"/>
    <w:rsid w:val="00F23456"/>
    <w:rsid w:val="00F2354A"/>
    <w:rsid w:val="00F23E79"/>
    <w:rsid w:val="00F23F95"/>
    <w:rsid w:val="00F23FDA"/>
    <w:rsid w:val="00F24565"/>
    <w:rsid w:val="00F24EA2"/>
    <w:rsid w:val="00F2552E"/>
    <w:rsid w:val="00F2574A"/>
    <w:rsid w:val="00F258D4"/>
    <w:rsid w:val="00F25A0E"/>
    <w:rsid w:val="00F25B30"/>
    <w:rsid w:val="00F2616A"/>
    <w:rsid w:val="00F26672"/>
    <w:rsid w:val="00F266DB"/>
    <w:rsid w:val="00F2696B"/>
    <w:rsid w:val="00F26A79"/>
    <w:rsid w:val="00F26C5F"/>
    <w:rsid w:val="00F26D24"/>
    <w:rsid w:val="00F26F5E"/>
    <w:rsid w:val="00F27A4B"/>
    <w:rsid w:val="00F30704"/>
    <w:rsid w:val="00F3099C"/>
    <w:rsid w:val="00F30F4C"/>
    <w:rsid w:val="00F3120D"/>
    <w:rsid w:val="00F316BC"/>
    <w:rsid w:val="00F31D0A"/>
    <w:rsid w:val="00F31E90"/>
    <w:rsid w:val="00F31EB5"/>
    <w:rsid w:val="00F324F7"/>
    <w:rsid w:val="00F32661"/>
    <w:rsid w:val="00F33301"/>
    <w:rsid w:val="00F338EE"/>
    <w:rsid w:val="00F33E87"/>
    <w:rsid w:val="00F33F69"/>
    <w:rsid w:val="00F3442A"/>
    <w:rsid w:val="00F346F5"/>
    <w:rsid w:val="00F35859"/>
    <w:rsid w:val="00F35ABB"/>
    <w:rsid w:val="00F363D1"/>
    <w:rsid w:val="00F36BF5"/>
    <w:rsid w:val="00F36BF7"/>
    <w:rsid w:val="00F37107"/>
    <w:rsid w:val="00F37C97"/>
    <w:rsid w:val="00F37EED"/>
    <w:rsid w:val="00F40893"/>
    <w:rsid w:val="00F41683"/>
    <w:rsid w:val="00F41B97"/>
    <w:rsid w:val="00F4212C"/>
    <w:rsid w:val="00F42D1E"/>
    <w:rsid w:val="00F43666"/>
    <w:rsid w:val="00F43BBC"/>
    <w:rsid w:val="00F448C4"/>
    <w:rsid w:val="00F44D60"/>
    <w:rsid w:val="00F44D62"/>
    <w:rsid w:val="00F44F07"/>
    <w:rsid w:val="00F4575C"/>
    <w:rsid w:val="00F46B75"/>
    <w:rsid w:val="00F47110"/>
    <w:rsid w:val="00F47267"/>
    <w:rsid w:val="00F4736C"/>
    <w:rsid w:val="00F4787A"/>
    <w:rsid w:val="00F47AAB"/>
    <w:rsid w:val="00F47E4B"/>
    <w:rsid w:val="00F500EC"/>
    <w:rsid w:val="00F50469"/>
    <w:rsid w:val="00F5095B"/>
    <w:rsid w:val="00F50B9E"/>
    <w:rsid w:val="00F512EB"/>
    <w:rsid w:val="00F517F1"/>
    <w:rsid w:val="00F51908"/>
    <w:rsid w:val="00F51E33"/>
    <w:rsid w:val="00F52683"/>
    <w:rsid w:val="00F52B99"/>
    <w:rsid w:val="00F534F5"/>
    <w:rsid w:val="00F53F72"/>
    <w:rsid w:val="00F54283"/>
    <w:rsid w:val="00F54777"/>
    <w:rsid w:val="00F547BE"/>
    <w:rsid w:val="00F54CFD"/>
    <w:rsid w:val="00F55476"/>
    <w:rsid w:val="00F5551A"/>
    <w:rsid w:val="00F5593D"/>
    <w:rsid w:val="00F55F46"/>
    <w:rsid w:val="00F56722"/>
    <w:rsid w:val="00F568F9"/>
    <w:rsid w:val="00F56B03"/>
    <w:rsid w:val="00F56B37"/>
    <w:rsid w:val="00F56FB4"/>
    <w:rsid w:val="00F575B0"/>
    <w:rsid w:val="00F576C2"/>
    <w:rsid w:val="00F577EC"/>
    <w:rsid w:val="00F57852"/>
    <w:rsid w:val="00F57C82"/>
    <w:rsid w:val="00F600C5"/>
    <w:rsid w:val="00F600F1"/>
    <w:rsid w:val="00F6056B"/>
    <w:rsid w:val="00F606EE"/>
    <w:rsid w:val="00F60757"/>
    <w:rsid w:val="00F60896"/>
    <w:rsid w:val="00F6143D"/>
    <w:rsid w:val="00F61C70"/>
    <w:rsid w:val="00F61D23"/>
    <w:rsid w:val="00F61EE5"/>
    <w:rsid w:val="00F61EFE"/>
    <w:rsid w:val="00F6285E"/>
    <w:rsid w:val="00F63565"/>
    <w:rsid w:val="00F63815"/>
    <w:rsid w:val="00F63CF4"/>
    <w:rsid w:val="00F640B1"/>
    <w:rsid w:val="00F642FC"/>
    <w:rsid w:val="00F648CF"/>
    <w:rsid w:val="00F64B17"/>
    <w:rsid w:val="00F65694"/>
    <w:rsid w:val="00F659F4"/>
    <w:rsid w:val="00F65C10"/>
    <w:rsid w:val="00F66209"/>
    <w:rsid w:val="00F66415"/>
    <w:rsid w:val="00F669AD"/>
    <w:rsid w:val="00F66CC9"/>
    <w:rsid w:val="00F672FA"/>
    <w:rsid w:val="00F67704"/>
    <w:rsid w:val="00F677AC"/>
    <w:rsid w:val="00F6784F"/>
    <w:rsid w:val="00F702D8"/>
    <w:rsid w:val="00F703DF"/>
    <w:rsid w:val="00F70555"/>
    <w:rsid w:val="00F707C4"/>
    <w:rsid w:val="00F7166E"/>
    <w:rsid w:val="00F71725"/>
    <w:rsid w:val="00F717AE"/>
    <w:rsid w:val="00F71BDA"/>
    <w:rsid w:val="00F71C56"/>
    <w:rsid w:val="00F72086"/>
    <w:rsid w:val="00F72871"/>
    <w:rsid w:val="00F728BF"/>
    <w:rsid w:val="00F72BBC"/>
    <w:rsid w:val="00F7326B"/>
    <w:rsid w:val="00F73CC3"/>
    <w:rsid w:val="00F747FA"/>
    <w:rsid w:val="00F74A75"/>
    <w:rsid w:val="00F74BFD"/>
    <w:rsid w:val="00F75A53"/>
    <w:rsid w:val="00F75E3A"/>
    <w:rsid w:val="00F75EAE"/>
    <w:rsid w:val="00F763F3"/>
    <w:rsid w:val="00F76440"/>
    <w:rsid w:val="00F768FE"/>
    <w:rsid w:val="00F76C66"/>
    <w:rsid w:val="00F76C83"/>
    <w:rsid w:val="00F808AC"/>
    <w:rsid w:val="00F81101"/>
    <w:rsid w:val="00F812F6"/>
    <w:rsid w:val="00F81A21"/>
    <w:rsid w:val="00F8212D"/>
    <w:rsid w:val="00F8292D"/>
    <w:rsid w:val="00F82930"/>
    <w:rsid w:val="00F82AEF"/>
    <w:rsid w:val="00F831BC"/>
    <w:rsid w:val="00F83279"/>
    <w:rsid w:val="00F83A6B"/>
    <w:rsid w:val="00F83B29"/>
    <w:rsid w:val="00F83D21"/>
    <w:rsid w:val="00F84194"/>
    <w:rsid w:val="00F8449C"/>
    <w:rsid w:val="00F844F6"/>
    <w:rsid w:val="00F845D0"/>
    <w:rsid w:val="00F84755"/>
    <w:rsid w:val="00F8522B"/>
    <w:rsid w:val="00F8563A"/>
    <w:rsid w:val="00F85F58"/>
    <w:rsid w:val="00F864FE"/>
    <w:rsid w:val="00F86D9C"/>
    <w:rsid w:val="00F86E27"/>
    <w:rsid w:val="00F874F7"/>
    <w:rsid w:val="00F87BB7"/>
    <w:rsid w:val="00F87CFE"/>
    <w:rsid w:val="00F87E5A"/>
    <w:rsid w:val="00F9005A"/>
    <w:rsid w:val="00F905B2"/>
    <w:rsid w:val="00F908E7"/>
    <w:rsid w:val="00F90D52"/>
    <w:rsid w:val="00F91213"/>
    <w:rsid w:val="00F91A77"/>
    <w:rsid w:val="00F91D73"/>
    <w:rsid w:val="00F91E13"/>
    <w:rsid w:val="00F921DA"/>
    <w:rsid w:val="00F92247"/>
    <w:rsid w:val="00F93455"/>
    <w:rsid w:val="00F935C4"/>
    <w:rsid w:val="00F93934"/>
    <w:rsid w:val="00F93988"/>
    <w:rsid w:val="00F93F42"/>
    <w:rsid w:val="00F95595"/>
    <w:rsid w:val="00F95678"/>
    <w:rsid w:val="00F95E93"/>
    <w:rsid w:val="00F9632B"/>
    <w:rsid w:val="00F96335"/>
    <w:rsid w:val="00F968AD"/>
    <w:rsid w:val="00F968BB"/>
    <w:rsid w:val="00F96C9B"/>
    <w:rsid w:val="00F9743A"/>
    <w:rsid w:val="00F9764D"/>
    <w:rsid w:val="00F97AE1"/>
    <w:rsid w:val="00FA07AA"/>
    <w:rsid w:val="00FA0851"/>
    <w:rsid w:val="00FA1046"/>
    <w:rsid w:val="00FA12C9"/>
    <w:rsid w:val="00FA1422"/>
    <w:rsid w:val="00FA1D42"/>
    <w:rsid w:val="00FA2381"/>
    <w:rsid w:val="00FA270F"/>
    <w:rsid w:val="00FA37FB"/>
    <w:rsid w:val="00FA3BBB"/>
    <w:rsid w:val="00FA4036"/>
    <w:rsid w:val="00FA4370"/>
    <w:rsid w:val="00FA4A64"/>
    <w:rsid w:val="00FA5074"/>
    <w:rsid w:val="00FA59B4"/>
    <w:rsid w:val="00FA59B5"/>
    <w:rsid w:val="00FA5BB2"/>
    <w:rsid w:val="00FA665B"/>
    <w:rsid w:val="00FA6A2A"/>
    <w:rsid w:val="00FA7291"/>
    <w:rsid w:val="00FA7BFC"/>
    <w:rsid w:val="00FA7E63"/>
    <w:rsid w:val="00FB0758"/>
    <w:rsid w:val="00FB0858"/>
    <w:rsid w:val="00FB0933"/>
    <w:rsid w:val="00FB09C1"/>
    <w:rsid w:val="00FB0A41"/>
    <w:rsid w:val="00FB1F0A"/>
    <w:rsid w:val="00FB1FC6"/>
    <w:rsid w:val="00FB20A6"/>
    <w:rsid w:val="00FB2103"/>
    <w:rsid w:val="00FB2137"/>
    <w:rsid w:val="00FB21F4"/>
    <w:rsid w:val="00FB2315"/>
    <w:rsid w:val="00FB45B4"/>
    <w:rsid w:val="00FB45CF"/>
    <w:rsid w:val="00FB4985"/>
    <w:rsid w:val="00FB503F"/>
    <w:rsid w:val="00FB56CB"/>
    <w:rsid w:val="00FB5AB0"/>
    <w:rsid w:val="00FB6195"/>
    <w:rsid w:val="00FB62A4"/>
    <w:rsid w:val="00FB6837"/>
    <w:rsid w:val="00FB7146"/>
    <w:rsid w:val="00FB7E6D"/>
    <w:rsid w:val="00FB7F28"/>
    <w:rsid w:val="00FC0259"/>
    <w:rsid w:val="00FC04D2"/>
    <w:rsid w:val="00FC04D7"/>
    <w:rsid w:val="00FC08C9"/>
    <w:rsid w:val="00FC0F31"/>
    <w:rsid w:val="00FC0F96"/>
    <w:rsid w:val="00FC10AD"/>
    <w:rsid w:val="00FC126D"/>
    <w:rsid w:val="00FC1809"/>
    <w:rsid w:val="00FC2581"/>
    <w:rsid w:val="00FC2832"/>
    <w:rsid w:val="00FC2C54"/>
    <w:rsid w:val="00FC3534"/>
    <w:rsid w:val="00FC35EB"/>
    <w:rsid w:val="00FC453A"/>
    <w:rsid w:val="00FC4E2F"/>
    <w:rsid w:val="00FC50D1"/>
    <w:rsid w:val="00FC535A"/>
    <w:rsid w:val="00FC57A7"/>
    <w:rsid w:val="00FC6116"/>
    <w:rsid w:val="00FC6D1C"/>
    <w:rsid w:val="00FC7604"/>
    <w:rsid w:val="00FC7871"/>
    <w:rsid w:val="00FC7B03"/>
    <w:rsid w:val="00FD0CD2"/>
    <w:rsid w:val="00FD17AA"/>
    <w:rsid w:val="00FD1853"/>
    <w:rsid w:val="00FD1BA2"/>
    <w:rsid w:val="00FD1C4E"/>
    <w:rsid w:val="00FD1F0B"/>
    <w:rsid w:val="00FD241A"/>
    <w:rsid w:val="00FD279E"/>
    <w:rsid w:val="00FD3244"/>
    <w:rsid w:val="00FD3A91"/>
    <w:rsid w:val="00FD3F90"/>
    <w:rsid w:val="00FD4197"/>
    <w:rsid w:val="00FD424B"/>
    <w:rsid w:val="00FD44D8"/>
    <w:rsid w:val="00FD4A9C"/>
    <w:rsid w:val="00FD5602"/>
    <w:rsid w:val="00FD5E99"/>
    <w:rsid w:val="00FD6158"/>
    <w:rsid w:val="00FD6428"/>
    <w:rsid w:val="00FD6C39"/>
    <w:rsid w:val="00FD703D"/>
    <w:rsid w:val="00FD7512"/>
    <w:rsid w:val="00FD7662"/>
    <w:rsid w:val="00FD7B5F"/>
    <w:rsid w:val="00FE005B"/>
    <w:rsid w:val="00FE0B36"/>
    <w:rsid w:val="00FE1A98"/>
    <w:rsid w:val="00FE27AC"/>
    <w:rsid w:val="00FE38C8"/>
    <w:rsid w:val="00FE3D14"/>
    <w:rsid w:val="00FE3F14"/>
    <w:rsid w:val="00FE4232"/>
    <w:rsid w:val="00FE4233"/>
    <w:rsid w:val="00FE445A"/>
    <w:rsid w:val="00FE48A9"/>
    <w:rsid w:val="00FE522A"/>
    <w:rsid w:val="00FE5486"/>
    <w:rsid w:val="00FE54BA"/>
    <w:rsid w:val="00FE576B"/>
    <w:rsid w:val="00FE5B25"/>
    <w:rsid w:val="00FE5FFE"/>
    <w:rsid w:val="00FE63E0"/>
    <w:rsid w:val="00FE63F0"/>
    <w:rsid w:val="00FE661F"/>
    <w:rsid w:val="00FE6AC6"/>
    <w:rsid w:val="00FE75B0"/>
    <w:rsid w:val="00FE78AA"/>
    <w:rsid w:val="00FF0C16"/>
    <w:rsid w:val="00FF0EE8"/>
    <w:rsid w:val="00FF0FC6"/>
    <w:rsid w:val="00FF11A3"/>
    <w:rsid w:val="00FF1438"/>
    <w:rsid w:val="00FF167D"/>
    <w:rsid w:val="00FF16C6"/>
    <w:rsid w:val="00FF1BE4"/>
    <w:rsid w:val="00FF1DDE"/>
    <w:rsid w:val="00FF1EB0"/>
    <w:rsid w:val="00FF2254"/>
    <w:rsid w:val="00FF2FDC"/>
    <w:rsid w:val="00FF34DD"/>
    <w:rsid w:val="00FF3C01"/>
    <w:rsid w:val="00FF496F"/>
    <w:rsid w:val="00FF5902"/>
    <w:rsid w:val="00FF617B"/>
    <w:rsid w:val="00FF6AAD"/>
    <w:rsid w:val="00FF6D5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4DC8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E919B1"/>
    <w:pPr>
      <w:pageBreakBefore/>
    </w:pPr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th">
    <w:name w:val="TableHeading_th"/>
    <w:basedOn w:val="OPCParaBase"/>
    <w:next w:val="Tabletext"/>
    <w:rsid w:val="00DB2042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7D0F5B"/>
    <w:pPr>
      <w:keepNext/>
      <w:keepLines/>
      <w:pageBreakBefore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7D0F5B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qFormat/>
    <w:rsid w:val="002F6519"/>
    <w:pPr>
      <w:keepNext/>
      <w:keepLines/>
      <w:spacing w:before="280" w:line="240" w:lineRule="auto"/>
      <w:ind w:left="964" w:hanging="96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qFormat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qFormat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6A4DC8"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BD7A34"/>
    <w:pPr>
      <w:tabs>
        <w:tab w:val="left" w:pos="170"/>
      </w:tabs>
      <w:spacing w:before="4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tMain"/>
    <w:locked/>
    <w:rsid w:val="003E58E2"/>
    <w:rPr>
      <w:sz w:val="22"/>
    </w:rPr>
  </w:style>
  <w:style w:type="paragraph" w:customStyle="1" w:styleId="EquationNote">
    <w:name w:val="EquationNote"/>
    <w:basedOn w:val="Normal"/>
    <w:link w:val="EquationNoteChar"/>
    <w:uiPriority w:val="99"/>
    <w:rsid w:val="003E58E2"/>
    <w:pPr>
      <w:tabs>
        <w:tab w:val="right" w:pos="9000"/>
      </w:tabs>
      <w:spacing w:before="60" w:line="240" w:lineRule="auto"/>
      <w:ind w:left="360" w:hanging="360"/>
    </w:pPr>
    <w:rPr>
      <w:rFonts w:ascii="Arial" w:eastAsia="Times New Roman" w:hAnsi="Arial" w:cs="Arial"/>
      <w:iCs/>
      <w:sz w:val="18"/>
    </w:rPr>
  </w:style>
  <w:style w:type="character" w:customStyle="1" w:styleId="EquationNoteChar">
    <w:name w:val="EquationNote Char"/>
    <w:basedOn w:val="DefaultParagraphFont"/>
    <w:link w:val="EquationNote"/>
    <w:uiPriority w:val="99"/>
    <w:locked/>
    <w:rsid w:val="003E58E2"/>
    <w:rPr>
      <w:rFonts w:ascii="Arial" w:hAnsi="Arial" w:cs="Arial"/>
      <w:iCs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58E2"/>
    <w:rPr>
      <w:sz w:val="16"/>
      <w:szCs w:val="16"/>
    </w:rPr>
  </w:style>
  <w:style w:type="paragraph" w:customStyle="1" w:styleId="HR">
    <w:name w:val="HR"/>
    <w:aliases w:val="Regulation Heading"/>
    <w:basedOn w:val="Normal"/>
    <w:next w:val="R1"/>
    <w:rsid w:val="003E58E2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3E58E2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3E58E2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h5section0">
    <w:name w:val="h5section"/>
    <w:basedOn w:val="Normal"/>
    <w:rsid w:val="003E58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main0">
    <w:name w:val="tmain"/>
    <w:basedOn w:val="Normal"/>
    <w:rsid w:val="003E58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h6subsec0">
    <w:name w:val="h6subsec"/>
    <w:basedOn w:val="Normal"/>
    <w:rsid w:val="003E58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para0">
    <w:name w:val="tpara"/>
    <w:basedOn w:val="Normal"/>
    <w:rsid w:val="003E58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nmain0">
    <w:name w:val="nmain"/>
    <w:basedOn w:val="Normal"/>
    <w:rsid w:val="003E58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defn0">
    <w:name w:val="tdefn"/>
    <w:basedOn w:val="Normal"/>
    <w:rsid w:val="003E58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subpara0">
    <w:name w:val="tsubpara"/>
    <w:basedOn w:val="Normal"/>
    <w:rsid w:val="003E58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tPara"/>
    <w:locked/>
    <w:rsid w:val="00ED1679"/>
    <w:rPr>
      <w:sz w:val="22"/>
    </w:rPr>
  </w:style>
  <w:style w:type="paragraph" w:customStyle="1" w:styleId="tabletext0">
    <w:name w:val="tabletext"/>
    <w:aliases w:val="subpara"/>
    <w:basedOn w:val="Tabletext"/>
    <w:rsid w:val="00275102"/>
    <w:pPr>
      <w:tabs>
        <w:tab w:val="right" w:pos="567"/>
      </w:tabs>
      <w:spacing w:before="40"/>
      <w:ind w:left="680" w:hanging="680"/>
    </w:pPr>
    <w:rPr>
      <w:rFonts w:eastAsia="Calibri"/>
    </w:rPr>
  </w:style>
  <w:style w:type="paragraph" w:customStyle="1" w:styleId="table">
    <w:name w:val="table"/>
    <w:aliases w:val="subsubara"/>
    <w:basedOn w:val="Tabletext"/>
    <w:rsid w:val="00275102"/>
    <w:pPr>
      <w:tabs>
        <w:tab w:val="right" w:pos="964"/>
      </w:tabs>
      <w:spacing w:before="40"/>
      <w:ind w:left="1077" w:hanging="1077"/>
    </w:pPr>
    <w:rPr>
      <w:rFonts w:eastAsia="Calibri"/>
    </w:rPr>
  </w:style>
  <w:style w:type="paragraph" w:customStyle="1" w:styleId="t1Main">
    <w:name w:val="t1_Main"/>
    <w:rsid w:val="00EC474D"/>
    <w:pPr>
      <w:tabs>
        <w:tab w:val="right" w:pos="851"/>
      </w:tabs>
      <w:spacing w:before="80" w:after="100" w:line="260" w:lineRule="exact"/>
      <w:ind w:left="964" w:hanging="964"/>
    </w:pPr>
    <w:rPr>
      <w:sz w:val="24"/>
      <w:szCs w:val="24"/>
    </w:rPr>
  </w:style>
  <w:style w:type="paragraph" w:customStyle="1" w:styleId="t2Para">
    <w:name w:val="t2_Para"/>
    <w:basedOn w:val="t1Main"/>
    <w:qFormat/>
    <w:rsid w:val="00EC474D"/>
    <w:pPr>
      <w:keepLines/>
      <w:tabs>
        <w:tab w:val="clear" w:pos="851"/>
        <w:tab w:val="right" w:pos="1531"/>
      </w:tabs>
      <w:spacing w:before="0"/>
      <w:ind w:left="1701" w:hanging="1701"/>
    </w:pPr>
  </w:style>
  <w:style w:type="paragraph" w:customStyle="1" w:styleId="t3Subpara">
    <w:name w:val="t3_Subpara"/>
    <w:basedOn w:val="t1Main"/>
    <w:qFormat/>
    <w:rsid w:val="00EC474D"/>
    <w:pPr>
      <w:keepLines/>
      <w:tabs>
        <w:tab w:val="clear" w:pos="851"/>
        <w:tab w:val="right" w:pos="2211"/>
      </w:tabs>
      <w:spacing w:before="0"/>
      <w:ind w:left="2410" w:hanging="2410"/>
    </w:pPr>
  </w:style>
  <w:style w:type="paragraph" w:customStyle="1" w:styleId="t1Amendingwords">
    <w:name w:val="t1_Amending_words"/>
    <w:basedOn w:val="t1Main"/>
    <w:qFormat/>
    <w:rsid w:val="00EC474D"/>
    <w:pPr>
      <w:keepNext/>
      <w:tabs>
        <w:tab w:val="clear" w:pos="851"/>
      </w:tabs>
      <w:ind w:firstLine="0"/>
    </w:pPr>
    <w:rPr>
      <w:i/>
    </w:rPr>
  </w:style>
  <w:style w:type="paragraph" w:customStyle="1" w:styleId="SubSectionNote">
    <w:name w:val="SubSection_Note"/>
    <w:basedOn w:val="Normal"/>
    <w:next w:val="Normal"/>
    <w:rsid w:val="00EC697E"/>
    <w:pPr>
      <w:tabs>
        <w:tab w:val="left" w:pos="2268"/>
      </w:tabs>
      <w:spacing w:after="60" w:line="240" w:lineRule="auto"/>
      <w:ind w:left="2269" w:hanging="851"/>
    </w:pPr>
    <w:rPr>
      <w:rFonts w:ascii="Arial" w:eastAsia="Times New Roman" w:hAnsi="Arial" w:cs="Arial"/>
      <w:bCs/>
      <w:sz w:val="20"/>
      <w:szCs w:val="26"/>
      <w:lang w:eastAsia="en-AU"/>
    </w:rPr>
  </w:style>
  <w:style w:type="paragraph" w:customStyle="1" w:styleId="TablePlainParagraph">
    <w:name w:val="Table: Plain Paragraph"/>
    <w:basedOn w:val="Normal"/>
    <w:rsid w:val="00EC697E"/>
    <w:pPr>
      <w:spacing w:before="60"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Paragraph">
    <w:name w:val="Table_Paragraph"/>
    <w:basedOn w:val="TablePlainParagraph"/>
    <w:rsid w:val="00EC697E"/>
    <w:pPr>
      <w:ind w:left="432" w:hanging="432"/>
    </w:pPr>
  </w:style>
  <w:style w:type="paragraph" w:customStyle="1" w:styleId="Notes-client">
    <w:name w:val="Notes - client"/>
    <w:basedOn w:val="Normal"/>
    <w:link w:val="Notes-clientChar"/>
    <w:rsid w:val="00437F7F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character" w:customStyle="1" w:styleId="Notes-clientChar">
    <w:name w:val="Notes - client Char"/>
    <w:link w:val="Notes-client"/>
    <w:rsid w:val="00437F7F"/>
    <w:rPr>
      <w:rFonts w:ascii="Arial" w:hAnsi="Arial" w:cs="Arial"/>
      <w:color w:val="0000FF"/>
      <w:sz w:val="22"/>
      <w:szCs w:val="22"/>
    </w:rPr>
  </w:style>
  <w:style w:type="paragraph" w:customStyle="1" w:styleId="TableNumberedLista">
    <w:name w:val="Table: Numbered List: a)"/>
    <w:basedOn w:val="TablePlainParagraph"/>
    <w:semiHidden/>
    <w:rsid w:val="00BC0308"/>
    <w:pPr>
      <w:numPr>
        <w:numId w:val="2"/>
      </w:numPr>
      <w:tabs>
        <w:tab w:val="clear" w:pos="283"/>
        <w:tab w:val="num" w:pos="0"/>
      </w:tabs>
      <w:spacing w:before="0"/>
      <w:ind w:left="0" w:hanging="709"/>
    </w:pPr>
  </w:style>
  <w:style w:type="paragraph" w:customStyle="1" w:styleId="TableNumberedLista1">
    <w:name w:val="Table: Numbered List: a) 1"/>
    <w:basedOn w:val="TablePlainParagraph"/>
    <w:rsid w:val="00BC0308"/>
    <w:pPr>
      <w:numPr>
        <w:ilvl w:val="1"/>
        <w:numId w:val="2"/>
      </w:numPr>
      <w:tabs>
        <w:tab w:val="clear" w:pos="283"/>
        <w:tab w:val="num" w:pos="0"/>
      </w:tabs>
      <w:spacing w:before="0"/>
      <w:ind w:left="0" w:hanging="709"/>
    </w:pPr>
  </w:style>
  <w:style w:type="paragraph" w:customStyle="1" w:styleId="TableNumberedLista2">
    <w:name w:val="Table: Numbered List: a) 2"/>
    <w:basedOn w:val="TablePlainParagraph"/>
    <w:semiHidden/>
    <w:rsid w:val="00BC0308"/>
    <w:pPr>
      <w:numPr>
        <w:ilvl w:val="2"/>
        <w:numId w:val="2"/>
      </w:numPr>
      <w:tabs>
        <w:tab w:val="clear" w:pos="567"/>
        <w:tab w:val="num" w:pos="0"/>
      </w:tabs>
      <w:spacing w:before="0"/>
      <w:ind w:left="0" w:hanging="709"/>
    </w:pPr>
  </w:style>
  <w:style w:type="paragraph" w:customStyle="1" w:styleId="TableNumberedLista3">
    <w:name w:val="Table: Numbered List: a) 3"/>
    <w:basedOn w:val="TablePlainParagraph"/>
    <w:semiHidden/>
    <w:rsid w:val="00BC0308"/>
    <w:pPr>
      <w:numPr>
        <w:ilvl w:val="3"/>
        <w:numId w:val="2"/>
      </w:numPr>
      <w:tabs>
        <w:tab w:val="clear" w:pos="850"/>
        <w:tab w:val="num" w:pos="425"/>
      </w:tabs>
      <w:spacing w:before="0"/>
      <w:ind w:left="425" w:hanging="425"/>
    </w:pPr>
  </w:style>
  <w:style w:type="paragraph" w:customStyle="1" w:styleId="TableNumberedLista4">
    <w:name w:val="Table: Numbered List: a) 4"/>
    <w:basedOn w:val="TablePlainParagraph"/>
    <w:semiHidden/>
    <w:rsid w:val="00BC0308"/>
    <w:pPr>
      <w:numPr>
        <w:ilvl w:val="4"/>
        <w:numId w:val="2"/>
      </w:numPr>
      <w:tabs>
        <w:tab w:val="clear" w:pos="1134"/>
        <w:tab w:val="num" w:pos="850"/>
      </w:tabs>
      <w:spacing w:before="0"/>
      <w:ind w:left="850" w:hanging="425"/>
    </w:pPr>
  </w:style>
  <w:style w:type="paragraph" w:customStyle="1" w:styleId="TableNumberedLista5">
    <w:name w:val="Table: Numbered List: a) 5"/>
    <w:basedOn w:val="TablePlainParagraph"/>
    <w:semiHidden/>
    <w:rsid w:val="00BC0308"/>
    <w:pPr>
      <w:numPr>
        <w:ilvl w:val="5"/>
        <w:numId w:val="2"/>
      </w:numPr>
      <w:tabs>
        <w:tab w:val="clear" w:pos="1417"/>
        <w:tab w:val="num" w:pos="1276"/>
      </w:tabs>
      <w:spacing w:before="0"/>
      <w:ind w:left="1276" w:hanging="426"/>
    </w:pPr>
  </w:style>
  <w:style w:type="paragraph" w:customStyle="1" w:styleId="TableNumberedLista6">
    <w:name w:val="Table: Numbered List: a) 6"/>
    <w:basedOn w:val="TablePlainParagraph"/>
    <w:semiHidden/>
    <w:rsid w:val="00BC0308"/>
    <w:pPr>
      <w:numPr>
        <w:ilvl w:val="6"/>
        <w:numId w:val="2"/>
      </w:numPr>
      <w:spacing w:before="0"/>
      <w:ind w:hanging="425"/>
    </w:pPr>
  </w:style>
  <w:style w:type="paragraph" w:customStyle="1" w:styleId="TableNumberedLista7">
    <w:name w:val="Table: Numbered List: a) 7"/>
    <w:basedOn w:val="TablePlainParagraph"/>
    <w:semiHidden/>
    <w:rsid w:val="00BC0308"/>
    <w:pPr>
      <w:numPr>
        <w:ilvl w:val="7"/>
        <w:numId w:val="2"/>
      </w:numPr>
      <w:tabs>
        <w:tab w:val="clear" w:pos="1984"/>
        <w:tab w:val="num" w:pos="2126"/>
      </w:tabs>
      <w:spacing w:before="0"/>
      <w:ind w:left="2126" w:hanging="425"/>
    </w:pPr>
  </w:style>
  <w:style w:type="paragraph" w:customStyle="1" w:styleId="TableNumberedLista8">
    <w:name w:val="Table: Numbered List: a) 8"/>
    <w:basedOn w:val="TablePlainParagraph"/>
    <w:semiHidden/>
    <w:rsid w:val="00BC0308"/>
    <w:pPr>
      <w:numPr>
        <w:ilvl w:val="8"/>
        <w:numId w:val="2"/>
      </w:numPr>
      <w:tabs>
        <w:tab w:val="clear" w:pos="2268"/>
        <w:tab w:val="num" w:pos="2551"/>
      </w:tabs>
      <w:spacing w:before="0"/>
      <w:ind w:left="2551" w:hanging="425"/>
    </w:pPr>
  </w:style>
  <w:style w:type="character" w:customStyle="1" w:styleId="notetextChar">
    <w:name w:val="note(text) Char"/>
    <w:aliases w:val="n Char"/>
    <w:link w:val="nMain"/>
    <w:rsid w:val="00952457"/>
    <w:rPr>
      <w:sz w:val="18"/>
    </w:rPr>
  </w:style>
  <w:style w:type="character" w:customStyle="1" w:styleId="SOTextChar">
    <w:name w:val="SO Text Char"/>
    <w:aliases w:val="sot Char"/>
    <w:link w:val="SOText"/>
    <w:rsid w:val="006A4DC8"/>
    <w:rPr>
      <w:rFonts w:eastAsia="Calibri"/>
      <w:sz w:val="22"/>
    </w:rPr>
  </w:style>
  <w:style w:type="paragraph" w:customStyle="1" w:styleId="definition">
    <w:name w:val="definition"/>
    <w:basedOn w:val="Normal"/>
    <w:rsid w:val="00206E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2">
    <w:name w:val="TableHeading_2"/>
    <w:basedOn w:val="TableHeadingth"/>
    <w:rsid w:val="00633BD4"/>
    <w:pPr>
      <w:spacing w:before="300" w:after="60"/>
    </w:pPr>
    <w:rPr>
      <w:i/>
      <w:shd w:val="clear" w:color="auto" w:fill="FFFFFF"/>
    </w:rPr>
  </w:style>
  <w:style w:type="paragraph" w:customStyle="1" w:styleId="tableheading1">
    <w:name w:val="tableheading_1"/>
    <w:basedOn w:val="TableHeadingth"/>
    <w:rsid w:val="00DB2042"/>
    <w:pPr>
      <w:spacing w:before="480"/>
    </w:pPr>
    <w:rPr>
      <w:shd w:val="clear" w:color="auto" w:fill="FFFFFF"/>
    </w:rPr>
  </w:style>
  <w:style w:type="paragraph" w:customStyle="1" w:styleId="Style1">
    <w:name w:val="Style1"/>
    <w:basedOn w:val="SOText"/>
    <w:rsid w:val="006A4DC8"/>
    <w:pPr>
      <w:spacing w:before="360"/>
    </w:pPr>
    <w:rPr>
      <w:b/>
    </w:rPr>
  </w:style>
  <w:style w:type="paragraph" w:customStyle="1" w:styleId="tableplainparagraph0">
    <w:name w:val="tableplainparagraph"/>
    <w:basedOn w:val="Normal"/>
    <w:rsid w:val="006935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2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92892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5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46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6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_x0020_Date xmlns="4d23dbb1-5de7-4336-8141-51d0d14df6ee" xsi:nil="true"/>
    <Branch xmlns="4d23dbb1-5de7-4336-8141-51d0d14df6ee">Eco-hydrology</Branch>
    <Assigned_x0020_to_x0020__x0028_Person_x0020_2_x0029_ xmlns="4d23dbb1-5de7-4336-8141-51d0d14df6ee">
      <UserInfo>
        <DisplayName/>
        <AccountId xsi:nil="true"/>
        <AccountType/>
      </UserInfo>
    </Assigned_x0020_to_x0020__x0028_Person_x0020_2_x0029_>
    <Division xmlns="4d23dbb1-5de7-4336-8141-51d0d14df6ee">Environmental Management</Division>
    <Committee xmlns="4d23dbb1-5de7-4336-8141-51d0d14df6ee">Authority</Committee>
    <_dlc_DocId xmlns="39fab476-99e4-494f-9cb2-fdc20c3296a4">2WYY7ZCY3WUE-514-5846</_dlc_DocId>
    <Current_x0020_Meeting xmlns="4d23dbb1-5de7-4336-8141-51d0d14df6ee">Current Meeting</Current_x0020_Meeting>
    <Status xmlns="4d23dbb1-5de7-4336-8141-51d0d14df6ee">Finalised</Status>
    <_dlc_DocIdUrl xmlns="39fab476-99e4-494f-9cb2-fdc20c3296a4">
      <Url>http://teams.prod.local/corporateservices/secretariat/_layouts/DocIdRedir.aspx?ID=2WYY7ZCY3WUE-514-5846</Url>
      <Description>2WYY7ZCY3WUE-514-5846</Description>
    </_dlc_DocIdUrl>
    <Document_x0020_Type xmlns="4d23dbb1-5de7-4336-8141-51d0d14df6ee">Attachment to Meeting Paper</Document_x0020_Type>
    <Comments xmlns="4d23dbb1-5de7-4336-8141-51d0d14df6ee" xsi:nil="true"/>
    <_x0023__x0020_of_x0020_Attachments xmlns="4d23dbb1-5de7-4336-8141-51d0d14df6ee" xsi:nil="true"/>
    <Assigned_x0020_to0 xmlns="4d23dbb1-5de7-4336-8141-51d0d14df6ee">
      <UserInfo>
        <DisplayName>Authority Secretariat</DisplayName>
        <AccountId>937</AccountId>
        <AccountType/>
      </UserInfo>
    </Assigned_x0020_to0>
    <Meeting_x0020_Number xmlns="4d23dbb1-5de7-4336-8141-51d0d14df6ee">116</Meeting_x0020_Number>
    <Notes0 xmlns="4d23dbb1-5de7-4336-8141-51d0d14df6ee">Cleared.</Notes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971B77F1AC4CA81A5F7FB481E425" ma:contentTypeVersion="20" ma:contentTypeDescription="Create a new document." ma:contentTypeScope="" ma:versionID="d82ff721444e5b72df37082021c05015">
  <xsd:schema xmlns:xsd="http://www.w3.org/2001/XMLSchema" xmlns:xs="http://www.w3.org/2001/XMLSchema" xmlns:p="http://schemas.microsoft.com/office/2006/metadata/properties" xmlns:ns2="4d23dbb1-5de7-4336-8141-51d0d14df6ee" xmlns:ns3="39fab476-99e4-494f-9cb2-fdc20c3296a4" targetNamespace="http://schemas.microsoft.com/office/2006/metadata/properties" ma:root="true" ma:fieldsID="8be2888a1700b5ed423b33fa35913972" ns2:_="" ns3:_="">
    <xsd:import namespace="4d23dbb1-5de7-4336-8141-51d0d14df6ee"/>
    <xsd:import namespace="39fab476-99e4-494f-9cb2-fdc20c3296a4"/>
    <xsd:element name="properties">
      <xsd:complexType>
        <xsd:sequence>
          <xsd:element name="documentManagement">
            <xsd:complexType>
              <xsd:all>
                <xsd:element ref="ns2:Committee"/>
                <xsd:element ref="ns2:Meeting_x0020_Number"/>
                <xsd:element ref="ns2:_x0023__x0020_of_x0020_Attachments" minOccurs="0"/>
                <xsd:element ref="ns2:Document_x0020_Type" minOccurs="0"/>
                <xsd:element ref="ns2:Division" minOccurs="0"/>
                <xsd:element ref="ns2:Branch" minOccurs="0"/>
                <xsd:element ref="ns2:Assigned_x0020_to0" minOccurs="0"/>
                <xsd:element ref="ns2:Status"/>
                <xsd:element ref="ns2:Current_x0020_Meeting" minOccurs="0"/>
                <xsd:element ref="ns2:Due_x0020_Date" minOccurs="0"/>
                <xsd:element ref="ns2:Notes0" minOccurs="0"/>
                <xsd:element ref="ns2:Comments" minOccurs="0"/>
                <xsd:element ref="ns3:_dlc_DocId" minOccurs="0"/>
                <xsd:element ref="ns3:_dlc_DocIdUrl" minOccurs="0"/>
                <xsd:element ref="ns3:_dlc_DocIdPersistId" minOccurs="0"/>
                <xsd:element ref="ns2:Assigned_x0020_to_x0020__x0028_Person_x0020_2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3dbb1-5de7-4336-8141-51d0d14df6ee" elementFormDefault="qualified">
    <xsd:import namespace="http://schemas.microsoft.com/office/2006/documentManagement/types"/>
    <xsd:import namespace="http://schemas.microsoft.com/office/infopath/2007/PartnerControls"/>
    <xsd:element name="Committee" ma:index="2" ma:displayName="Committee" ma:format="RadioButtons" ma:internalName="Committee">
      <xsd:simpleType>
        <xsd:restriction base="dms:Choice">
          <xsd:enumeration value="ACSEES"/>
          <xsd:enumeration value="Authority"/>
          <xsd:enumeration value="Authority Administration"/>
          <xsd:enumeration value="BCC"/>
          <xsd:enumeration value="BOC"/>
          <xsd:enumeration value="BOC Administration"/>
          <xsd:enumeration value="BPIC"/>
          <xsd:enumeration value="BPIC - EWWG"/>
          <xsd:enumeration value="BPIC - MEWG"/>
          <xsd:enumeration value="BPIC - WRPWG"/>
          <xsd:enumeration value="BPIC - WTWG"/>
          <xsd:enumeration value="MINCO"/>
          <xsd:enumeration value="MINCO HOSTING"/>
          <xsd:enumeration value="RMOC"/>
          <xsd:enumeration value="TLMC"/>
        </xsd:restriction>
      </xsd:simpleType>
    </xsd:element>
    <xsd:element name="Meeting_x0020_Number" ma:index="3" ma:displayName="Meeting#" ma:internalName="Meeting_x0020_Number" ma:percentage="FALSE">
      <xsd:simpleType>
        <xsd:restriction base="dms:Number"/>
      </xsd:simpleType>
    </xsd:element>
    <xsd:element name="_x0023__x0020_of_x0020_Attachments" ma:index="4" nillable="true" ma:displayName="#Att" ma:decimals="0" ma:internalName="_x0023__x0020_of_x0020_Attachments" ma:percentage="FALSE">
      <xsd:simpleType>
        <xsd:restriction base="dms:Number">
          <xsd:maxInclusive value="10"/>
          <xsd:minInclusive value="0"/>
        </xsd:restriction>
      </xsd:simpleType>
    </xsd:element>
    <xsd:element name="Document_x0020_Type" ma:index="5" nillable="true" ma:displayName="Document Type" ma:format="RadioButtons" ma:internalName="Document_x0020_Type">
      <xsd:simpleType>
        <xsd:restriction base="dms:Choice">
          <xsd:enumeration value="Agenda"/>
          <xsd:enumeration value="Meeting Paper"/>
          <xsd:enumeration value="Attachment to Meeting Paper"/>
          <xsd:enumeration value="Briefing Paper"/>
          <xsd:enumeration value="Minutes"/>
          <xsd:enumeration value="Rolling Actions List"/>
          <xsd:enumeration value="Decision Register"/>
          <xsd:enumeration value="Verbal Update"/>
          <xsd:enumeration value="Presentation"/>
          <xsd:enumeration value="Out of session"/>
        </xsd:restriction>
      </xsd:simpleType>
    </xsd:element>
    <xsd:element name="Division" ma:index="6" nillable="true" ma:displayName="Division" ma:format="Dropdown" ma:internalName="Division">
      <xsd:simpleType>
        <xsd:restriction base="dms:Choice">
          <xsd:enumeration value="Corporate"/>
          <xsd:enumeration value="Environmental Management"/>
          <xsd:enumeration value="Office of the CE"/>
          <xsd:enumeration value="Policy and Planning"/>
          <xsd:enumeration value="River Management"/>
          <xsd:enumeration value="Dept. of Agriculture and Water Resources"/>
          <xsd:enumeration value="Dept. of the Environment and Energy"/>
          <xsd:enumeration value="State Government"/>
        </xsd:restriction>
      </xsd:simpleType>
    </xsd:element>
    <xsd:element name="Branch" ma:index="7" nillable="true" ma:displayName="Branch" ma:format="Dropdown" ma:internalName="Branch">
      <xsd:simpleType>
        <xsd:restriction base="dms:Choice">
          <xsd:enumeration value="N/A"/>
          <xsd:enumeration value="Assets"/>
          <xsd:enumeration value="Basin wide Compliance Review"/>
          <xsd:enumeration value="Eco-hydrology"/>
          <xsd:enumeration value="Partnerships and Engagement"/>
          <xsd:enumeration value="Policy and Planning"/>
          <xsd:enumeration value="Water Policy"/>
          <xsd:enumeration value="Water Resource Planning"/>
          <xsd:enumeration value="State – ACT"/>
          <xsd:enumeration value="State – NSW"/>
          <xsd:enumeration value="State – QLD"/>
          <xsd:enumeration value="State – SA"/>
          <xsd:enumeration value="State – VIC"/>
        </xsd:restriction>
      </xsd:simpleType>
    </xsd:element>
    <xsd:element name="Assigned_x0020_to0" ma:index="8" nillable="true" ma:displayName="Assigned to" ma:list="UserInfo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ma:displayName="Status" ma:default="For Drafting" ma:description="Status Of Document" ma:format="Dropdown" ma:internalName="Status">
      <xsd:simpleType>
        <xsd:restriction base="dms:Choice">
          <xsd:enumeration value="For Allocation"/>
          <xsd:enumeration value="For Drafting"/>
          <xsd:enumeration value="For Review"/>
          <xsd:enumeration value="For Approval"/>
          <xsd:enumeration value="To Secretariat for QA"/>
          <xsd:enumeration value="For Final Approval"/>
          <xsd:enumeration value="For Chair Approval"/>
          <xsd:enumeration value="For Department Approval"/>
          <xsd:enumeration value="Finalised"/>
          <xsd:enumeration value="Archive"/>
        </xsd:restriction>
      </xsd:simpleType>
    </xsd:element>
    <xsd:element name="Current_x0020_Meeting" ma:index="11" nillable="true" ma:displayName="Current Meeting" ma:default="Current Meeting" ma:format="Dropdown" ma:internalName="Current_x0020_Meeting">
      <xsd:simpleType>
        <xsd:restriction base="dms:Choice">
          <xsd:enumeration value="Current Meeting"/>
          <xsd:enumeration value="Not Current Meeting"/>
        </xsd:restriction>
      </xsd:simpleType>
    </xsd:element>
    <xsd:element name="Due_x0020_Date" ma:index="12" nillable="true" ma:displayName="Due Date" ma:format="DateOnly" ma:internalName="Due_x0020_Date">
      <xsd:simpleType>
        <xsd:restriction base="dms:DateTime"/>
      </xsd:simpleType>
    </xsd:element>
    <xsd:element name="Notes0" ma:index="13" nillable="true" ma:displayName="Instructions" ma:internalName="Notes0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  <xsd:element name="Assigned_x0020_to_x0020__x0028_Person_x0020_2_x0029_" ma:index="25" nillable="true" ma:displayName="Assigned to (Person 2)" ma:list="UserInfo" ma:SearchPeopleOnly="false" ma:SharePointGroup="0" ma:internalName="Assigned_x0020_to_x0020__x0028_Person_x0020_2_x002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b476-99e4-494f-9cb2-fdc20c3296a4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0" ma:displayName="TRI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B6E84-5175-42E7-995C-598C4B52C6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15773F-6CDF-411F-A066-01A04ACF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6005C-7362-47F0-B5F6-70A4FB8DFED7}">
  <ds:schemaRefs>
    <ds:schemaRef ds:uri="http://schemas.microsoft.com/office/2006/metadata/properties"/>
    <ds:schemaRef ds:uri="http://schemas.microsoft.com/office/infopath/2007/PartnerControls"/>
    <ds:schemaRef ds:uri="4d23dbb1-5de7-4336-8141-51d0d14df6ee"/>
    <ds:schemaRef ds:uri="39fab476-99e4-494f-9cb2-fdc20c3296a4"/>
  </ds:schemaRefs>
</ds:datastoreItem>
</file>

<file path=customXml/itemProps4.xml><?xml version="1.0" encoding="utf-8"?>
<ds:datastoreItem xmlns:ds="http://schemas.openxmlformats.org/officeDocument/2006/customXml" ds:itemID="{8E96C18F-4535-486A-ACBB-6D442BE09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3dbb1-5de7-4336-8141-51d0d14df6ee"/>
    <ds:schemaRef ds:uri="39fab476-99e4-494f-9cb2-fdc20c329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7F321F-7AA6-4430-93AC-28939411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2017-12-06T03:41:00Z</dcterms:created>
  <dcterms:modified xsi:type="dcterms:W3CDTF">2018-01-02T01:20:00Z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22600290</vt:lpwstr>
  </property>
  <property fmtid="{D5CDD505-2E9C-101B-9397-08002B2CF9AE}" pid="7" name="ContentTypeId">
    <vt:lpwstr>0x010100BB40971B77F1AC4CA81A5F7FB481E425</vt:lpwstr>
  </property>
  <property fmtid="{D5CDD505-2E9C-101B-9397-08002B2CF9AE}" pid="8" name="_dlc_DocIdItemGuid">
    <vt:lpwstr>385a180b-4c28-4c37-90b9-fa691844b26e</vt:lpwstr>
  </property>
</Properties>
</file>