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85" w:rsidRPr="00164241" w:rsidRDefault="00002885" w:rsidP="00002885">
      <w:pPr>
        <w:ind w:left="1440" w:firstLine="720"/>
        <w:rPr>
          <w:b/>
          <w:u w:val="single"/>
        </w:rPr>
      </w:pPr>
      <w:bookmarkStart w:id="0" w:name="_GoBack"/>
      <w:bookmarkEnd w:id="0"/>
      <w:r w:rsidRPr="00164241">
        <w:rPr>
          <w:b/>
          <w:u w:val="single"/>
        </w:rPr>
        <w:t>EXPLANATORY STATEMENT</w:t>
      </w:r>
    </w:p>
    <w:p w:rsidR="00002885" w:rsidRPr="00164241" w:rsidRDefault="00002885" w:rsidP="00002885"/>
    <w:p w:rsidR="00002885" w:rsidRPr="00E10EE3" w:rsidRDefault="00002885" w:rsidP="00002885">
      <w:r w:rsidRPr="00E10EE3">
        <w:t xml:space="preserve">Subject:           </w:t>
      </w:r>
      <w:r w:rsidRPr="00E10EE3">
        <w:rPr>
          <w:i/>
        </w:rPr>
        <w:t>Therapeutic Goods Act 1989</w:t>
      </w:r>
    </w:p>
    <w:p w:rsidR="00002885" w:rsidRPr="00E10EE3" w:rsidRDefault="008B45FD" w:rsidP="00002885">
      <w:pPr>
        <w:ind w:left="720" w:firstLine="720"/>
        <w:rPr>
          <w:i/>
        </w:rPr>
      </w:pPr>
      <w:r>
        <w:rPr>
          <w:i/>
        </w:rPr>
        <w:t xml:space="preserve">Poisons </w:t>
      </w:r>
      <w:r w:rsidR="00016497">
        <w:rPr>
          <w:i/>
        </w:rPr>
        <w:t xml:space="preserve">Standard </w:t>
      </w:r>
      <w:r w:rsidR="00ED4603">
        <w:rPr>
          <w:i/>
        </w:rPr>
        <w:t>February 2018</w:t>
      </w:r>
    </w:p>
    <w:p w:rsidR="00002885" w:rsidRPr="00E10EE3" w:rsidRDefault="00002885" w:rsidP="00002885">
      <w:pPr>
        <w:rPr>
          <w:lang w:val="en-AU"/>
        </w:rPr>
      </w:pPr>
    </w:p>
    <w:p w:rsidR="00002885" w:rsidRPr="00C35036" w:rsidRDefault="00002885" w:rsidP="00002885">
      <w:r w:rsidRPr="00C35036">
        <w:t xml:space="preserve">The </w:t>
      </w:r>
      <w:r w:rsidRPr="00C35036">
        <w:rPr>
          <w:i/>
        </w:rPr>
        <w:t>Therapeutic Goods Act 1989</w:t>
      </w:r>
      <w:r w:rsidRPr="00C35036">
        <w:t xml:space="preserve"> (</w:t>
      </w:r>
      <w:r w:rsidRPr="00C35036">
        <w:rPr>
          <w:b/>
        </w:rPr>
        <w:t>the TG Act</w:t>
      </w:r>
      <w:r w:rsidRPr="00C35036">
        <w:t xml:space="preserve">) provides for the establishment and maintenance of a system of controls for the quality, safety, efficacy and timely availability of therapeutic goods that are used in Australia or exported from Australia. </w:t>
      </w:r>
      <w:r w:rsidR="00E43AFC" w:rsidRPr="00C35036">
        <w:t xml:space="preserve"> </w:t>
      </w:r>
      <w:r w:rsidRPr="00C35036">
        <w:t xml:space="preserve">The TG Act also provides for a framework for the state and territory governments to adopt a uniform approach to control the availability and accessibility, and to ensure the safe handling, of medicines and poisons in Australia. </w:t>
      </w:r>
      <w:r w:rsidR="00E43AFC" w:rsidRPr="00C35036">
        <w:t xml:space="preserve"> </w:t>
      </w:r>
      <w:r w:rsidRPr="00C35036">
        <w:t>The Therapeutic Goods Administration (</w:t>
      </w:r>
      <w:r w:rsidRPr="00C35036">
        <w:rPr>
          <w:b/>
        </w:rPr>
        <w:t>the TGA</w:t>
      </w:r>
      <w:r w:rsidRPr="00C35036">
        <w:t>), which is part of the Department of Health, is responsible for administering the TG Act.</w:t>
      </w:r>
    </w:p>
    <w:p w:rsidR="00002885" w:rsidRPr="00C35036" w:rsidRDefault="00002885" w:rsidP="00002885">
      <w:r w:rsidRPr="00C35036">
        <w:t>Part 6-3 of the TG Act provides the basis for a uniform system of access controls for goods containing scheduled substances.</w:t>
      </w:r>
      <w:r w:rsidR="00E43AFC" w:rsidRPr="00C35036">
        <w:t xml:space="preserve"> </w:t>
      </w:r>
      <w:r w:rsidRPr="00C35036">
        <w:t xml:space="preserve"> The scheduling of substances allows restrictions to be placed on their supply to the public, in the interests of public health and safety.</w:t>
      </w:r>
      <w:r w:rsidR="00E43AFC" w:rsidRPr="00C35036">
        <w:t xml:space="preserve"> </w:t>
      </w:r>
      <w:r w:rsidRPr="00C35036">
        <w:t xml:space="preserve"> The scheduling of substances is aimed at</w:t>
      </w:r>
      <w:r w:rsidRPr="00C35036">
        <w:rPr>
          <w:lang w:val="en-AU"/>
        </w:rPr>
        <w:t xml:space="preserve"> minimising</w:t>
      </w:r>
      <w:r w:rsidRPr="00C35036">
        <w:t xml:space="preserve"> the risks of poisoning from, and the misuse or abuse of, scheduled substances.</w:t>
      </w:r>
    </w:p>
    <w:p w:rsidR="00002885" w:rsidRPr="00C35036" w:rsidRDefault="00002885" w:rsidP="00002885">
      <w:r w:rsidRPr="00C35036">
        <w:t>Subsection 52D(2) of the TG Act</w:t>
      </w:r>
      <w:r w:rsidRPr="00C35036">
        <w:rPr>
          <w:lang w:val="en-AU"/>
        </w:rPr>
        <w:t xml:space="preserve"> (which is in Part 6-3) provides for</w:t>
      </w:r>
      <w:r w:rsidRPr="00C35036">
        <w:t xml:space="preserve"> the Secretary </w:t>
      </w:r>
      <w:r w:rsidR="00357B5C" w:rsidRPr="00C35036">
        <w:t>of</w:t>
      </w:r>
      <w:r w:rsidRPr="00C35036">
        <w:t xml:space="preserve"> the Department of Health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rsidR="00002885" w:rsidRPr="00C35036" w:rsidRDefault="00002885" w:rsidP="00002885">
      <w:r w:rsidRPr="00C35036">
        <w:t>The Poisons Standard consists of decisions of the Secretary regarding the classification of poisons into the different Schedules, signifying the degree of control recommended to be exercised over their availability to the public.</w:t>
      </w:r>
    </w:p>
    <w:p w:rsidR="00653930" w:rsidRPr="00653930" w:rsidRDefault="00002885" w:rsidP="0017322A">
      <w:r w:rsidRPr="00C35036">
        <w:t>The TG Act establishes two expert advisory committees, the Advisory Committee on Medicines Scheduling (the ACMS) (section 52B) and the Advisory Committee on Chemicals Scheduling (the ACCS) (section 52C), which provide advice and make recommendations to the Secretary on matters relating to medicines and chemicals scheduling decisions.</w:t>
      </w:r>
    </w:p>
    <w:p w:rsidR="00653930" w:rsidRPr="00653930" w:rsidRDefault="00653930" w:rsidP="0017322A">
      <w:pPr>
        <w:autoSpaceDE w:val="0"/>
        <w:autoSpaceDN w:val="0"/>
        <w:adjustRightInd w:val="0"/>
        <w:rPr>
          <w:rFonts w:eastAsiaTheme="minorHAnsi"/>
          <w:color w:val="000000"/>
          <w:lang w:val="en-AU"/>
        </w:rPr>
      </w:pPr>
      <w:r w:rsidRPr="00653930">
        <w:rPr>
          <w:rFonts w:eastAsiaTheme="minorHAnsi"/>
          <w:color w:val="000000"/>
          <w:lang w:val="en-AU"/>
        </w:rPr>
        <w:t xml:space="preserve">The Schedules contained in the Poisons Standard are referred to under state and territory legislation for regulatory purposes. This enables restrictions to be placed on the supply of scheduled substances to the public, according to the degree of risk associated with them and the degree of control over their availability, in the interest of public health and safety. </w:t>
      </w:r>
    </w:p>
    <w:p w:rsidR="00653930" w:rsidRPr="00C35036" w:rsidRDefault="00653930" w:rsidP="0017322A">
      <w:pPr>
        <w:rPr>
          <w:rFonts w:eastAsiaTheme="minorHAnsi"/>
          <w:color w:val="000000"/>
          <w:lang w:val="en-AU"/>
        </w:rPr>
      </w:pPr>
      <w:r w:rsidRPr="00C35036">
        <w:rPr>
          <w:rFonts w:eastAsiaTheme="minorHAnsi"/>
          <w:color w:val="000000"/>
          <w:lang w:val="en-AU"/>
        </w:rPr>
        <w:t>The Commonwealth also takes into account the scheduling and classification of substances in the Poisons Standard for regulatory and enforcement purposes under the TG Act.</w:t>
      </w:r>
    </w:p>
    <w:p w:rsidR="0017322A" w:rsidRPr="0017322A" w:rsidRDefault="0017322A" w:rsidP="0017322A">
      <w:pPr>
        <w:autoSpaceDE w:val="0"/>
        <w:autoSpaceDN w:val="0"/>
        <w:adjustRightInd w:val="0"/>
        <w:rPr>
          <w:rFonts w:eastAsiaTheme="minorHAnsi"/>
          <w:color w:val="000000"/>
          <w:lang w:val="en-AU"/>
        </w:rPr>
      </w:pPr>
      <w:r w:rsidRPr="0017322A">
        <w:rPr>
          <w:rFonts w:eastAsiaTheme="minorHAnsi"/>
          <w:color w:val="000000"/>
          <w:lang w:val="en-AU"/>
        </w:rPr>
        <w:t xml:space="preserve">For example, the TG Act prohibits the publication or broadcasting of advertisements to consumers about prescription medicines containing substances included in </w:t>
      </w:r>
      <w:r w:rsidRPr="0017322A">
        <w:rPr>
          <w:rFonts w:eastAsiaTheme="minorHAnsi"/>
          <w:color w:val="000000"/>
          <w:lang w:val="en-AU"/>
        </w:rPr>
        <w:lastRenderedPageBreak/>
        <w:t xml:space="preserve">Schedule 4 or </w:t>
      </w:r>
      <w:r w:rsidR="00050EB5">
        <w:rPr>
          <w:rFonts w:eastAsiaTheme="minorHAnsi"/>
          <w:color w:val="000000"/>
          <w:lang w:val="en-AU"/>
        </w:rPr>
        <w:t xml:space="preserve">Schedule </w:t>
      </w:r>
      <w:r w:rsidRPr="0017322A">
        <w:rPr>
          <w:rFonts w:eastAsiaTheme="minorHAnsi"/>
          <w:color w:val="000000"/>
          <w:lang w:val="en-AU"/>
        </w:rPr>
        <w:t xml:space="preserve">8 of the Poisons Standard, or over the counter medicines containing substances included in Schedule 3 and not included in Appendix H of the Poisons Standard. The advertising of substances included in Schedule 9 or Schedule 10 of the Poisons Standard is also prohibited. </w:t>
      </w:r>
    </w:p>
    <w:p w:rsidR="0017322A" w:rsidRPr="00C35036" w:rsidRDefault="0017322A" w:rsidP="00C35036">
      <w:pPr>
        <w:autoSpaceDE w:val="0"/>
        <w:autoSpaceDN w:val="0"/>
        <w:adjustRightInd w:val="0"/>
        <w:rPr>
          <w:rFonts w:eastAsiaTheme="minorHAnsi"/>
          <w:color w:val="0000FF"/>
          <w:lang w:val="en-AU"/>
        </w:rPr>
      </w:pPr>
      <w:r w:rsidRPr="0017322A">
        <w:rPr>
          <w:rFonts w:eastAsiaTheme="minorHAnsi"/>
          <w:color w:val="000000"/>
          <w:lang w:val="en-AU"/>
        </w:rPr>
        <w:t xml:space="preserve">The </w:t>
      </w:r>
      <w:r w:rsidRPr="0017322A">
        <w:rPr>
          <w:rFonts w:eastAsiaTheme="minorHAnsi"/>
          <w:i/>
          <w:iCs/>
          <w:color w:val="000000"/>
          <w:lang w:val="en-AU"/>
        </w:rPr>
        <w:t xml:space="preserve">Scheduling Policy Framework </w:t>
      </w:r>
      <w:r w:rsidRPr="0017322A">
        <w:rPr>
          <w:rFonts w:eastAsiaTheme="minorHAnsi"/>
          <w:color w:val="000000"/>
          <w:lang w:val="en-AU"/>
        </w:rPr>
        <w:t>(</w:t>
      </w:r>
      <w:r w:rsidRPr="0017322A">
        <w:rPr>
          <w:rFonts w:eastAsiaTheme="minorHAnsi"/>
          <w:b/>
          <w:bCs/>
          <w:color w:val="000000"/>
          <w:lang w:val="en-AU"/>
        </w:rPr>
        <w:t>the SPF</w:t>
      </w:r>
      <w:r w:rsidRPr="0017322A">
        <w:rPr>
          <w:rFonts w:eastAsiaTheme="minorHAnsi"/>
          <w:color w:val="000000"/>
          <w:lang w:val="en-AU"/>
        </w:rPr>
        <w:t xml:space="preserve">) provides guidance on whether a decision concerning the Poisons Standard would benefit from being referred to ACMS or ACCS for advice. A copy of the SPF can be found at </w:t>
      </w:r>
      <w:hyperlink r:id="rId9" w:history="1">
        <w:r w:rsidRPr="00C35036">
          <w:rPr>
            <w:rStyle w:val="Hyperlink"/>
            <w:rFonts w:eastAsiaTheme="minorHAnsi"/>
            <w:lang w:val="en-AU"/>
          </w:rPr>
          <w:t>https://www.tga.gov.au/publication/ahmac-scheduling-policy-framework-medicines-and-chemicals</w:t>
        </w:r>
      </w:hyperlink>
      <w:r w:rsidRPr="00C35036">
        <w:rPr>
          <w:rFonts w:eastAsiaTheme="minorHAnsi"/>
          <w:color w:val="0000FF"/>
          <w:lang w:val="en-AU"/>
        </w:rPr>
        <w:t>.</w:t>
      </w:r>
    </w:p>
    <w:p w:rsidR="003466A5" w:rsidRPr="003466A5" w:rsidRDefault="003466A5" w:rsidP="00C35036">
      <w:pPr>
        <w:autoSpaceDE w:val="0"/>
        <w:autoSpaceDN w:val="0"/>
        <w:adjustRightInd w:val="0"/>
        <w:rPr>
          <w:rFonts w:eastAsiaTheme="minorHAnsi"/>
          <w:color w:val="000000"/>
          <w:lang w:val="en-AU"/>
        </w:rPr>
      </w:pPr>
      <w:r w:rsidRPr="003466A5">
        <w:rPr>
          <w:rFonts w:eastAsiaTheme="minorHAnsi"/>
          <w:color w:val="000000"/>
          <w:lang w:val="en-AU"/>
        </w:rPr>
        <w:t xml:space="preserve">The purpose of this instrument is to make a new Poisons Standard (cited as the Poisons Standard </w:t>
      </w:r>
      <w:r w:rsidR="004215C5">
        <w:rPr>
          <w:rFonts w:eastAsiaTheme="minorHAnsi"/>
          <w:color w:val="000000"/>
          <w:lang w:val="en-AU"/>
        </w:rPr>
        <w:t>February</w:t>
      </w:r>
      <w:r w:rsidRPr="003466A5">
        <w:rPr>
          <w:rFonts w:eastAsiaTheme="minorHAnsi"/>
          <w:color w:val="000000"/>
          <w:lang w:val="en-AU"/>
        </w:rPr>
        <w:t xml:space="preserve"> 201</w:t>
      </w:r>
      <w:r w:rsidR="004215C5">
        <w:rPr>
          <w:rFonts w:eastAsiaTheme="minorHAnsi"/>
          <w:color w:val="000000"/>
          <w:lang w:val="en-AU"/>
        </w:rPr>
        <w:t>8</w:t>
      </w:r>
      <w:r w:rsidRPr="003466A5">
        <w:rPr>
          <w:rFonts w:eastAsiaTheme="minorHAnsi"/>
          <w:color w:val="000000"/>
          <w:lang w:val="en-AU"/>
        </w:rPr>
        <w:t xml:space="preserve">) in substitution for the previous Poisons Standard - the Poisons Standard </w:t>
      </w:r>
      <w:r w:rsidR="004215C5">
        <w:rPr>
          <w:rFonts w:eastAsiaTheme="minorHAnsi"/>
          <w:color w:val="000000"/>
          <w:lang w:val="en-AU"/>
        </w:rPr>
        <w:t>October</w:t>
      </w:r>
      <w:r w:rsidRPr="003466A5">
        <w:rPr>
          <w:rFonts w:eastAsiaTheme="minorHAnsi"/>
          <w:color w:val="000000"/>
          <w:lang w:val="en-AU"/>
        </w:rPr>
        <w:t xml:space="preserve"> 2017 (which commenced on 1 </w:t>
      </w:r>
      <w:r w:rsidR="004215C5">
        <w:rPr>
          <w:rFonts w:eastAsiaTheme="minorHAnsi"/>
          <w:color w:val="000000"/>
          <w:lang w:val="en-AU"/>
        </w:rPr>
        <w:t>October</w:t>
      </w:r>
      <w:r w:rsidRPr="003466A5">
        <w:rPr>
          <w:rFonts w:eastAsiaTheme="minorHAnsi"/>
          <w:color w:val="000000"/>
          <w:lang w:val="en-AU"/>
        </w:rPr>
        <w:t xml:space="preserve"> 2017). </w:t>
      </w:r>
    </w:p>
    <w:p w:rsidR="00083426" w:rsidRPr="003466A5" w:rsidRDefault="003466A5" w:rsidP="00C35036">
      <w:pPr>
        <w:autoSpaceDE w:val="0"/>
        <w:autoSpaceDN w:val="0"/>
        <w:adjustRightInd w:val="0"/>
        <w:rPr>
          <w:rFonts w:eastAsiaTheme="minorHAnsi"/>
          <w:color w:val="000000"/>
          <w:lang w:val="en-AU"/>
        </w:rPr>
      </w:pPr>
      <w:r w:rsidRPr="003466A5">
        <w:rPr>
          <w:rFonts w:eastAsiaTheme="minorHAnsi"/>
          <w:color w:val="000000"/>
          <w:lang w:val="en-AU"/>
        </w:rPr>
        <w:t xml:space="preserve">The Poisons Standard </w:t>
      </w:r>
      <w:r w:rsidR="004215C5">
        <w:rPr>
          <w:rFonts w:eastAsiaTheme="minorHAnsi"/>
          <w:color w:val="000000"/>
          <w:lang w:val="en-AU"/>
        </w:rPr>
        <w:t>February 2018</w:t>
      </w:r>
      <w:r w:rsidRPr="003466A5">
        <w:rPr>
          <w:rFonts w:eastAsiaTheme="minorHAnsi"/>
          <w:color w:val="000000"/>
          <w:lang w:val="en-AU"/>
        </w:rPr>
        <w:t xml:space="preserve"> incorporates a number of changes </w:t>
      </w:r>
      <w:r w:rsidR="007A1CE0">
        <w:rPr>
          <w:rFonts w:eastAsiaTheme="minorHAnsi"/>
          <w:color w:val="000000"/>
          <w:lang w:val="en-AU"/>
        </w:rPr>
        <w:t xml:space="preserve">compared </w:t>
      </w:r>
      <w:r w:rsidRPr="003466A5">
        <w:rPr>
          <w:rFonts w:eastAsiaTheme="minorHAnsi"/>
          <w:color w:val="000000"/>
          <w:lang w:val="en-AU"/>
        </w:rPr>
        <w:t xml:space="preserve">to the Poisons Standard </w:t>
      </w:r>
      <w:r w:rsidR="004215C5">
        <w:rPr>
          <w:rFonts w:eastAsiaTheme="minorHAnsi"/>
          <w:color w:val="000000"/>
          <w:lang w:val="en-AU"/>
        </w:rPr>
        <w:t>October</w:t>
      </w:r>
      <w:r w:rsidRPr="003466A5">
        <w:rPr>
          <w:rFonts w:eastAsiaTheme="minorHAnsi"/>
          <w:color w:val="000000"/>
          <w:lang w:val="en-AU"/>
        </w:rPr>
        <w:t xml:space="preserve"> 2017. These amendments principally involve changes to existing entries, and the inclusion of a number of specified substances in the Poisons Standard for the first time. A number of these changes were made following the provision of advice from the ACCS and/or the ACMS, in accordance with the procedures set out in Subdivision 3D.2 of Part 6 of the </w:t>
      </w:r>
      <w:r w:rsidRPr="004215C5">
        <w:rPr>
          <w:rFonts w:eastAsiaTheme="minorHAnsi"/>
          <w:i/>
          <w:color w:val="000000"/>
          <w:lang w:val="en-AU"/>
        </w:rPr>
        <w:t>Therapeutic Goods Regulations 1990</w:t>
      </w:r>
      <w:r w:rsidRPr="003466A5">
        <w:rPr>
          <w:rFonts w:eastAsiaTheme="minorHAnsi"/>
          <w:color w:val="000000"/>
          <w:lang w:val="en-AU"/>
        </w:rPr>
        <w:t xml:space="preserve"> for amending the Poisons Standard when a proposed amendment is referred to an expert advisory committee. </w:t>
      </w:r>
    </w:p>
    <w:p w:rsidR="00F06843" w:rsidRDefault="003466A5" w:rsidP="00BD7292">
      <w:pPr>
        <w:autoSpaceDE w:val="0"/>
        <w:autoSpaceDN w:val="0"/>
        <w:adjustRightInd w:val="0"/>
      </w:pPr>
      <w:r w:rsidRPr="00C35036">
        <w:t xml:space="preserve">Public comment was invited on matters referred to the </w:t>
      </w:r>
      <w:r w:rsidR="004148D3">
        <w:t>July 2015 ACMS</w:t>
      </w:r>
      <w:r w:rsidR="00213C33">
        <w:t>,</w:t>
      </w:r>
      <w:r w:rsidR="004148D3">
        <w:t xml:space="preserve"> March 2016 ACMS</w:t>
      </w:r>
      <w:r w:rsidR="00213C33">
        <w:t>,</w:t>
      </w:r>
      <w:r w:rsidR="004148D3">
        <w:t xml:space="preserve"> July 2016 ACMS</w:t>
      </w:r>
      <w:r w:rsidR="00213C33">
        <w:t>,</w:t>
      </w:r>
      <w:r w:rsidR="00ED4603">
        <w:t xml:space="preserve"> and </w:t>
      </w:r>
      <w:r w:rsidR="004215C5">
        <w:t xml:space="preserve">July </w:t>
      </w:r>
      <w:r w:rsidR="00C35036">
        <w:t>2017</w:t>
      </w:r>
      <w:r w:rsidRPr="00C35036">
        <w:t xml:space="preserve"> ACMS, ACCS </w:t>
      </w:r>
      <w:r w:rsidR="00213C33">
        <w:t>&amp;</w:t>
      </w:r>
      <w:r w:rsidRPr="00C35036">
        <w:t xml:space="preserve"> Joint ACCS-ACMS meetings</w:t>
      </w:r>
      <w:r w:rsidR="00213C33">
        <w:t xml:space="preserve"> as follows:</w:t>
      </w:r>
    </w:p>
    <w:p w:rsidR="005648B1" w:rsidRPr="00213C33" w:rsidRDefault="00083426" w:rsidP="00213C33">
      <w:pPr>
        <w:pStyle w:val="ListParagraph"/>
        <w:numPr>
          <w:ilvl w:val="0"/>
          <w:numId w:val="37"/>
        </w:numPr>
        <w:ind w:left="714" w:hanging="357"/>
        <w:contextualSpacing w:val="0"/>
        <w:rPr>
          <w:rFonts w:eastAsiaTheme="minorHAnsi"/>
        </w:rPr>
      </w:pPr>
      <w:r w:rsidRPr="00213C33">
        <w:rPr>
          <w:rFonts w:eastAsiaTheme="minorHAnsi"/>
        </w:rPr>
        <w:t>I</w:t>
      </w:r>
      <w:r w:rsidR="00ED4603" w:rsidRPr="00213C33">
        <w:rPr>
          <w:rFonts w:eastAsiaTheme="minorHAnsi"/>
        </w:rPr>
        <w:t>nvitation to comment in relation to codeine was advertised on the TGA website</w:t>
      </w:r>
      <w:r w:rsidR="003B2E72" w:rsidRPr="00213C33">
        <w:rPr>
          <w:rFonts w:eastAsiaTheme="minorHAnsi"/>
        </w:rPr>
        <w:t xml:space="preserve"> on two occasions:</w:t>
      </w:r>
      <w:r w:rsidR="0035375C" w:rsidRPr="00213C33">
        <w:rPr>
          <w:rFonts w:eastAsiaTheme="minorHAnsi"/>
        </w:rPr>
        <w:t xml:space="preserve"> </w:t>
      </w:r>
      <w:r w:rsidR="00ED4603" w:rsidRPr="00213C33">
        <w:rPr>
          <w:rFonts w:eastAsiaTheme="minorHAnsi"/>
        </w:rPr>
        <w:t>1</w:t>
      </w:r>
      <w:r w:rsidR="005648B1" w:rsidRPr="00213C33">
        <w:rPr>
          <w:rFonts w:eastAsiaTheme="minorHAnsi"/>
        </w:rPr>
        <w:t> </w:t>
      </w:r>
      <w:r w:rsidR="00ED4603" w:rsidRPr="00213C33">
        <w:rPr>
          <w:rFonts w:eastAsiaTheme="minorHAnsi"/>
        </w:rPr>
        <w:t>April 2015</w:t>
      </w:r>
      <w:r w:rsidR="003B2E72" w:rsidRPr="00213C33">
        <w:rPr>
          <w:rFonts w:eastAsiaTheme="minorHAnsi"/>
        </w:rPr>
        <w:t xml:space="preserve"> at </w:t>
      </w:r>
      <w:hyperlink r:id="rId10" w:history="1">
        <w:r w:rsidR="003B2E72" w:rsidRPr="00213C33">
          <w:rPr>
            <w:rStyle w:val="Hyperlink"/>
            <w:rFonts w:eastAsiaTheme="minorHAnsi"/>
            <w:lang w:val="en-AU"/>
          </w:rPr>
          <w:t>https://www.tga.gov.au/consultation-invitation/consultation-invitation-public-comment-acms-meeting-july-2015</w:t>
        </w:r>
      </w:hyperlink>
      <w:r w:rsidR="003B2E72" w:rsidRPr="00213C33">
        <w:rPr>
          <w:rFonts w:eastAsiaTheme="minorHAnsi"/>
        </w:rPr>
        <w:t xml:space="preserve"> with a closing date of 7 May 2015; and</w:t>
      </w:r>
      <w:r w:rsidR="0035375C" w:rsidRPr="00213C33">
        <w:rPr>
          <w:rFonts w:eastAsiaTheme="minorHAnsi"/>
        </w:rPr>
        <w:t xml:space="preserve"> </w:t>
      </w:r>
      <w:r w:rsidR="005648B1" w:rsidRPr="00213C33">
        <w:rPr>
          <w:rFonts w:eastAsiaTheme="minorHAnsi"/>
        </w:rPr>
        <w:t>10 December 2015</w:t>
      </w:r>
      <w:r w:rsidR="003B2E72" w:rsidRPr="00213C33">
        <w:rPr>
          <w:rFonts w:eastAsiaTheme="minorHAnsi"/>
        </w:rPr>
        <w:t xml:space="preserve"> at </w:t>
      </w:r>
      <w:hyperlink r:id="rId11" w:history="1">
        <w:r w:rsidR="003B2E72" w:rsidRPr="00213C33">
          <w:rPr>
            <w:rStyle w:val="Hyperlink"/>
            <w:rFonts w:eastAsiaTheme="minorHAnsi"/>
          </w:rPr>
          <w:t>https://www.tga.gov.au/consultation-invitation/consultation-proposed-amendments-poisons-standard-codeine</w:t>
        </w:r>
      </w:hyperlink>
      <w:r w:rsidR="003B2E72" w:rsidRPr="00213C33">
        <w:rPr>
          <w:rFonts w:eastAsiaTheme="minorHAnsi"/>
        </w:rPr>
        <w:t xml:space="preserve"> with a closing date of 29 January 2016.</w:t>
      </w:r>
    </w:p>
    <w:p w:rsidR="00ED4603" w:rsidRPr="003B2E72" w:rsidRDefault="003B2E72" w:rsidP="00213C33">
      <w:pPr>
        <w:pStyle w:val="ListParagraph"/>
        <w:numPr>
          <w:ilvl w:val="0"/>
          <w:numId w:val="37"/>
        </w:numPr>
        <w:ind w:left="714" w:hanging="357"/>
        <w:contextualSpacing w:val="0"/>
      </w:pPr>
      <w:r w:rsidRPr="003B2E72">
        <w:t>I</w:t>
      </w:r>
      <w:r w:rsidR="00ED4603" w:rsidRPr="003B2E72">
        <w:t xml:space="preserve">nvitation to comment in relation to ulipristal was advertised on the TGA website </w:t>
      </w:r>
      <w:r w:rsidRPr="003B2E72">
        <w:t xml:space="preserve">on 7 April 2016 at </w:t>
      </w:r>
      <w:hyperlink r:id="rId12" w:history="1">
        <w:r w:rsidR="00ED4603" w:rsidRPr="003B2E72">
          <w:rPr>
            <w:rStyle w:val="Hyperlink"/>
          </w:rPr>
          <w:t>https://www.tga.gov.au/consultation-invitation/consultation-proposed-amendments-poisons-standard-acms-meeting-july-2016</w:t>
        </w:r>
      </w:hyperlink>
      <w:r w:rsidR="00ED4603" w:rsidRPr="003B2E72">
        <w:t xml:space="preserve">) </w:t>
      </w:r>
      <w:r w:rsidRPr="003B2E72">
        <w:t xml:space="preserve">with a closing date of </w:t>
      </w:r>
      <w:r w:rsidR="00ED4603" w:rsidRPr="003B2E72">
        <w:t>6</w:t>
      </w:r>
      <w:r w:rsidRPr="003B2E72">
        <w:t> May </w:t>
      </w:r>
      <w:r w:rsidR="00ED4603" w:rsidRPr="003B2E72">
        <w:t>2016.</w:t>
      </w:r>
    </w:p>
    <w:p w:rsidR="00A41B89" w:rsidRPr="00213C33" w:rsidRDefault="003B2E72" w:rsidP="00213C33">
      <w:pPr>
        <w:pStyle w:val="ListParagraph"/>
        <w:numPr>
          <w:ilvl w:val="0"/>
          <w:numId w:val="37"/>
        </w:numPr>
        <w:ind w:left="714" w:hanging="357"/>
        <w:contextualSpacing w:val="0"/>
        <w:rPr>
          <w:rFonts w:eastAsiaTheme="minorHAnsi"/>
        </w:rPr>
      </w:pPr>
      <w:r w:rsidRPr="003B2E72">
        <w:t>I</w:t>
      </w:r>
      <w:r w:rsidR="00A41B89" w:rsidRPr="00213C33">
        <w:rPr>
          <w:rFonts w:eastAsiaTheme="minorHAnsi"/>
        </w:rPr>
        <w:t xml:space="preserve">nvitation to comment </w:t>
      </w:r>
      <w:r w:rsidR="00F06843" w:rsidRPr="003B2E72">
        <w:t>in relation to esomeprazole</w:t>
      </w:r>
      <w:r w:rsidRPr="003B2E72">
        <w:t>,</w:t>
      </w:r>
      <w:r w:rsidR="00F06843" w:rsidRPr="003B2E72">
        <w:t xml:space="preserve"> epidermal growth factor</w:t>
      </w:r>
      <w:r w:rsidRPr="003B2E72">
        <w:t>,</w:t>
      </w:r>
      <w:r w:rsidR="00F06843" w:rsidRPr="003B2E72">
        <w:t xml:space="preserve"> </w:t>
      </w:r>
      <w:r w:rsidRPr="003B2E72">
        <w:t>Stiripentol,</w:t>
      </w:r>
      <w:r w:rsidR="00F06843" w:rsidRPr="003B2E72">
        <w:t xml:space="preserve"> phenibut</w:t>
      </w:r>
      <w:r w:rsidRPr="003B2E72">
        <w:t>,</w:t>
      </w:r>
      <w:r w:rsidR="00F06843" w:rsidRPr="003B2E72">
        <w:t xml:space="preserve"> </w:t>
      </w:r>
      <w:r w:rsidR="001C0CF6" w:rsidRPr="003B2E72">
        <w:t>vaccines - p</w:t>
      </w:r>
      <w:r w:rsidR="00F06843" w:rsidRPr="003B2E72">
        <w:t>lasmid DNA</w:t>
      </w:r>
      <w:r w:rsidRPr="003B2E72">
        <w:t xml:space="preserve">, </w:t>
      </w:r>
      <w:r w:rsidR="00F06843" w:rsidRPr="003B2E72">
        <w:t>isofetamid</w:t>
      </w:r>
      <w:r w:rsidRPr="003B2E72">
        <w:t>,</w:t>
      </w:r>
      <w:r w:rsidR="00F06843" w:rsidRPr="003B2E72">
        <w:t xml:space="preserve"> pydiflumetofen</w:t>
      </w:r>
      <w:r w:rsidRPr="003B2E72">
        <w:t>,</w:t>
      </w:r>
      <w:r w:rsidR="00F06843" w:rsidRPr="003B2E72">
        <w:t xml:space="preserve"> </w:t>
      </w:r>
      <w:r w:rsidR="00F06843" w:rsidRPr="00213C33">
        <w:rPr>
          <w:i/>
        </w:rPr>
        <w:t>Duddingtonia flagrans</w:t>
      </w:r>
      <w:r w:rsidR="00F06843" w:rsidRPr="003B2E72">
        <w:t xml:space="preserve"> Strain IAH 1297</w:t>
      </w:r>
      <w:r w:rsidRPr="003B2E72">
        <w:t>,</w:t>
      </w:r>
      <w:r w:rsidR="00F06843" w:rsidRPr="003B2E72">
        <w:t xml:space="preserve"> lambda-cyhalothrin</w:t>
      </w:r>
      <w:r w:rsidRPr="003B2E72">
        <w:t>,</w:t>
      </w:r>
      <w:r w:rsidR="00F06843" w:rsidRPr="003B2E72">
        <w:t xml:space="preserve"> </w:t>
      </w:r>
      <w:r w:rsidR="00F06843" w:rsidRPr="00213C33">
        <w:rPr>
          <w:i/>
        </w:rPr>
        <w:t xml:space="preserve">Bacillus amyloliquefaciens </w:t>
      </w:r>
      <w:r w:rsidR="00F06843" w:rsidRPr="003B2E72">
        <w:t>Strain QST 713</w:t>
      </w:r>
      <w:r w:rsidRPr="003B2E72">
        <w:t>,</w:t>
      </w:r>
      <w:r w:rsidR="00F06843" w:rsidRPr="003B2E72">
        <w:t xml:space="preserve"> butyl benzyl phthalate and basic red 76 </w:t>
      </w:r>
      <w:r w:rsidR="00A41B89" w:rsidRPr="00213C33">
        <w:rPr>
          <w:rFonts w:eastAsiaTheme="minorHAnsi"/>
        </w:rPr>
        <w:t>was advertised on the TGA website</w:t>
      </w:r>
      <w:r w:rsidRPr="00213C33">
        <w:rPr>
          <w:rFonts w:eastAsiaTheme="minorHAnsi"/>
        </w:rPr>
        <w:t xml:space="preserve"> </w:t>
      </w:r>
      <w:r w:rsidR="00A41B89" w:rsidRPr="00213C33">
        <w:rPr>
          <w:rFonts w:eastAsiaTheme="minorHAnsi"/>
        </w:rPr>
        <w:t xml:space="preserve"> </w:t>
      </w:r>
      <w:r w:rsidRPr="00213C33">
        <w:rPr>
          <w:rFonts w:eastAsiaTheme="minorHAnsi"/>
        </w:rPr>
        <w:t xml:space="preserve">on 17 May 2017 at </w:t>
      </w:r>
      <w:hyperlink r:id="rId13" w:history="1">
        <w:r w:rsidRPr="00213C33">
          <w:rPr>
            <w:rStyle w:val="Hyperlink"/>
            <w:rFonts w:eastAsiaTheme="minorHAnsi"/>
            <w:lang w:val="en-AU"/>
          </w:rPr>
          <w:t>https://www.tga.gov.au/consultation-invitation/consultation-proposed-amendments-poisons-standard-accs-acms-and-joint-accsacms-meetings-july-2017</w:t>
        </w:r>
      </w:hyperlink>
      <w:r w:rsidRPr="00213C33">
        <w:rPr>
          <w:rFonts w:eastAsiaTheme="minorHAnsi"/>
          <w:lang w:val="en-AU"/>
        </w:rPr>
        <w:t xml:space="preserve"> </w:t>
      </w:r>
      <w:r w:rsidRPr="00213C33">
        <w:rPr>
          <w:rFonts w:eastAsiaTheme="minorHAnsi"/>
        </w:rPr>
        <w:t>with a closing date of 1</w:t>
      </w:r>
      <w:r w:rsidR="00A41B89" w:rsidRPr="00213C33">
        <w:rPr>
          <w:rFonts w:eastAsiaTheme="minorHAnsi"/>
        </w:rPr>
        <w:t>5 June 2017.</w:t>
      </w:r>
    </w:p>
    <w:p w:rsidR="00C35036" w:rsidRPr="00C46096" w:rsidRDefault="00C35036" w:rsidP="004E19E1">
      <w:pPr>
        <w:rPr>
          <w:rFonts w:eastAsiaTheme="minorHAnsi"/>
        </w:rPr>
      </w:pPr>
      <w:r w:rsidRPr="00C46096">
        <w:rPr>
          <w:rFonts w:eastAsiaTheme="minorHAnsi"/>
          <w:lang w:val="en-AU"/>
        </w:rPr>
        <w:t>Further public comment was subsequently invited on the delegates’ interim decisions on</w:t>
      </w:r>
      <w:r w:rsidR="00571FE7">
        <w:rPr>
          <w:rFonts w:eastAsiaTheme="minorHAnsi"/>
          <w:lang w:val="en-AU"/>
        </w:rPr>
        <w:t>:</w:t>
      </w:r>
      <w:r w:rsidRPr="00C46096">
        <w:rPr>
          <w:rFonts w:eastAsiaTheme="minorHAnsi"/>
          <w:lang w:val="en-AU"/>
        </w:rPr>
        <w:t xml:space="preserve"> </w:t>
      </w:r>
      <w:r w:rsidR="00C46096">
        <w:rPr>
          <w:rFonts w:eastAsiaTheme="minorHAnsi"/>
          <w:lang w:val="en-AU"/>
        </w:rPr>
        <w:t>1 October 2015</w:t>
      </w:r>
      <w:r w:rsidR="00571FE7">
        <w:rPr>
          <w:rFonts w:eastAsiaTheme="minorHAnsi"/>
          <w:lang w:val="en-AU"/>
        </w:rPr>
        <w:t xml:space="preserve"> at </w:t>
      </w:r>
      <w:hyperlink r:id="rId14" w:history="1">
        <w:r w:rsidR="00571FE7" w:rsidRPr="005A6035">
          <w:rPr>
            <w:rStyle w:val="Hyperlink"/>
            <w:rFonts w:eastAsiaTheme="minorHAnsi"/>
            <w:lang w:val="en-AU"/>
          </w:rPr>
          <w:t>https://www.tga.gov.au/scheduling-decision-</w:t>
        </w:r>
        <w:r w:rsidR="00571FE7" w:rsidRPr="005A6035">
          <w:rPr>
            <w:rStyle w:val="Hyperlink"/>
            <w:rFonts w:eastAsiaTheme="minorHAnsi"/>
            <w:lang w:val="en-AU"/>
          </w:rPr>
          <w:lastRenderedPageBreak/>
          <w:t>interim/scheduling-delegates-interim-decisions-and-invitation-further-comment-acms-october-2015</w:t>
        </w:r>
      </w:hyperlink>
      <w:r w:rsidR="00571FE7">
        <w:rPr>
          <w:rFonts w:eastAsiaTheme="minorHAnsi"/>
          <w:lang w:val="en-AU"/>
        </w:rPr>
        <w:t xml:space="preserve"> with a closing date of 15 October 2015; 15 September 2016 at </w:t>
      </w:r>
      <w:hyperlink r:id="rId15" w:history="1">
        <w:r w:rsidR="00571FE7" w:rsidRPr="005A6035">
          <w:rPr>
            <w:rStyle w:val="Hyperlink"/>
            <w:rFonts w:eastAsiaTheme="minorHAnsi"/>
            <w:lang w:val="en-AU"/>
          </w:rPr>
          <w:t>https://www.tga.gov.au/scheduling-decision-interim/scheduling-delegates-interim-decisions-and-invitation-further-comment-accsacms-july-2016</w:t>
        </w:r>
      </w:hyperlink>
      <w:r w:rsidR="00571FE7">
        <w:rPr>
          <w:rFonts w:eastAsiaTheme="minorHAnsi"/>
          <w:lang w:val="en-AU"/>
        </w:rPr>
        <w:t xml:space="preserve"> with a closing date of 29 September 2016; and </w:t>
      </w:r>
      <w:r w:rsidR="0035375C">
        <w:rPr>
          <w:rFonts w:eastAsiaTheme="minorHAnsi"/>
          <w:lang w:val="en-AU"/>
        </w:rPr>
        <w:t>15 September 2017</w:t>
      </w:r>
      <w:r w:rsidRPr="00C46096">
        <w:rPr>
          <w:rFonts w:eastAsiaTheme="minorHAnsi"/>
          <w:lang w:val="en-AU"/>
        </w:rPr>
        <w:t xml:space="preserve"> </w:t>
      </w:r>
      <w:r w:rsidR="00571FE7">
        <w:rPr>
          <w:rFonts w:eastAsiaTheme="minorHAnsi"/>
          <w:lang w:val="en-AU"/>
        </w:rPr>
        <w:t xml:space="preserve">at </w:t>
      </w:r>
      <w:hyperlink r:id="rId16" w:history="1">
        <w:r w:rsidR="00571FE7" w:rsidRPr="005A6035">
          <w:rPr>
            <w:rStyle w:val="Hyperlink"/>
            <w:rFonts w:eastAsiaTheme="minorHAnsi"/>
            <w:lang w:val="en-AU"/>
          </w:rPr>
          <w:t>https://www.tga.gov.au/scheduling-decision-interim/scheduling-delegates-interim-decisions-and-invitation-further-comment-accsacms-march-and-july-2017</w:t>
        </w:r>
      </w:hyperlink>
      <w:r w:rsidR="00571FE7">
        <w:rPr>
          <w:rFonts w:eastAsiaTheme="minorHAnsi"/>
          <w:lang w:val="en-AU"/>
        </w:rPr>
        <w:t xml:space="preserve"> </w:t>
      </w:r>
      <w:r w:rsidRPr="00C46096">
        <w:rPr>
          <w:rFonts w:eastAsiaTheme="minorHAnsi"/>
          <w:lang w:val="en-AU"/>
        </w:rPr>
        <w:t xml:space="preserve">with </w:t>
      </w:r>
      <w:r w:rsidR="00571FE7">
        <w:rPr>
          <w:rFonts w:eastAsiaTheme="minorHAnsi"/>
          <w:lang w:val="en-AU"/>
        </w:rPr>
        <w:t xml:space="preserve">a </w:t>
      </w:r>
      <w:r w:rsidRPr="00C46096">
        <w:rPr>
          <w:rFonts w:eastAsiaTheme="minorHAnsi"/>
          <w:lang w:val="en-AU"/>
        </w:rPr>
        <w:t>closing date</w:t>
      </w:r>
      <w:r w:rsidR="0035375C">
        <w:rPr>
          <w:rFonts w:eastAsiaTheme="minorHAnsi"/>
          <w:lang w:val="en-AU"/>
        </w:rPr>
        <w:t>s</w:t>
      </w:r>
      <w:r w:rsidRPr="00C46096">
        <w:rPr>
          <w:rFonts w:eastAsiaTheme="minorHAnsi"/>
          <w:lang w:val="en-AU"/>
        </w:rPr>
        <w:t xml:space="preserve"> of</w:t>
      </w:r>
      <w:r w:rsidR="00571FE7">
        <w:rPr>
          <w:rFonts w:eastAsiaTheme="minorHAnsi"/>
          <w:lang w:val="en-AU"/>
        </w:rPr>
        <w:t xml:space="preserve"> </w:t>
      </w:r>
      <w:r w:rsidR="00A41B89">
        <w:rPr>
          <w:rFonts w:eastAsiaTheme="minorHAnsi"/>
          <w:lang w:val="en-AU"/>
        </w:rPr>
        <w:t>3</w:t>
      </w:r>
      <w:r w:rsidR="00C46096">
        <w:rPr>
          <w:rFonts w:eastAsiaTheme="minorHAnsi"/>
          <w:lang w:val="en-AU"/>
        </w:rPr>
        <w:t xml:space="preserve"> </w:t>
      </w:r>
      <w:r w:rsidR="00A41B89">
        <w:rPr>
          <w:rFonts w:eastAsiaTheme="minorHAnsi"/>
          <w:lang w:val="en-AU"/>
        </w:rPr>
        <w:t>October</w:t>
      </w:r>
      <w:r w:rsidRPr="00C46096">
        <w:rPr>
          <w:rFonts w:eastAsiaTheme="minorHAnsi"/>
          <w:lang w:val="en-AU"/>
        </w:rPr>
        <w:t xml:space="preserve"> 2017.</w:t>
      </w:r>
    </w:p>
    <w:p w:rsidR="00C35036" w:rsidRDefault="00C35036" w:rsidP="004E19E1">
      <w:pPr>
        <w:rPr>
          <w:rFonts w:eastAsiaTheme="minorHAnsi"/>
          <w:lang w:val="en-AU"/>
        </w:rPr>
      </w:pPr>
      <w:r w:rsidRPr="00C46096">
        <w:rPr>
          <w:rFonts w:eastAsiaTheme="minorHAnsi"/>
          <w:lang w:val="en-AU"/>
        </w:rPr>
        <w:t xml:space="preserve">The delegates’ final decisions in relation to these matters were published on the TGA </w:t>
      </w:r>
      <w:r w:rsidRPr="00B8369D">
        <w:rPr>
          <w:rFonts w:eastAsiaTheme="minorHAnsi"/>
          <w:lang w:val="en-AU"/>
        </w:rPr>
        <w:t>website on</w:t>
      </w:r>
      <w:r w:rsidR="00B85810">
        <w:rPr>
          <w:rFonts w:eastAsiaTheme="minorHAnsi"/>
          <w:lang w:val="en-AU"/>
        </w:rPr>
        <w:t>:</w:t>
      </w:r>
      <w:r w:rsidRPr="00B8369D">
        <w:rPr>
          <w:rFonts w:eastAsiaTheme="minorHAnsi"/>
          <w:lang w:val="en-AU"/>
        </w:rPr>
        <w:t xml:space="preserve"> </w:t>
      </w:r>
      <w:r w:rsidR="00A41B89">
        <w:rPr>
          <w:rFonts w:eastAsiaTheme="minorHAnsi"/>
          <w:lang w:val="en-AU"/>
        </w:rPr>
        <w:t>20 December 2016</w:t>
      </w:r>
      <w:r w:rsidR="00B85810">
        <w:rPr>
          <w:rFonts w:eastAsiaTheme="minorHAnsi"/>
          <w:lang w:val="en-AU"/>
        </w:rPr>
        <w:t xml:space="preserve"> at </w:t>
      </w:r>
      <w:hyperlink r:id="rId17" w:history="1">
        <w:r w:rsidR="00B85810" w:rsidRPr="005A6035">
          <w:rPr>
            <w:rStyle w:val="Hyperlink"/>
            <w:rFonts w:eastAsiaTheme="minorHAnsi"/>
            <w:lang w:val="en-AU"/>
          </w:rPr>
          <w:t>https://www.tga.gov.au/scheduling-decision-final/scheduling-delegates-final-decision-codeine-december-2016</w:t>
        </w:r>
      </w:hyperlink>
      <w:r w:rsidR="00B85810">
        <w:rPr>
          <w:rFonts w:eastAsiaTheme="minorHAnsi"/>
          <w:lang w:val="en-AU"/>
        </w:rPr>
        <w:t xml:space="preserve">; </w:t>
      </w:r>
      <w:r w:rsidR="00A41B89">
        <w:rPr>
          <w:rFonts w:eastAsiaTheme="minorHAnsi"/>
          <w:lang w:val="en-AU"/>
        </w:rPr>
        <w:t>27 October 2016</w:t>
      </w:r>
      <w:r w:rsidR="00B85810">
        <w:rPr>
          <w:rFonts w:eastAsiaTheme="minorHAnsi"/>
          <w:lang w:val="en-AU"/>
        </w:rPr>
        <w:t xml:space="preserve"> at </w:t>
      </w:r>
      <w:hyperlink r:id="rId18" w:history="1">
        <w:r w:rsidR="00B85810" w:rsidRPr="005A6035">
          <w:rPr>
            <w:rStyle w:val="Hyperlink"/>
            <w:rFonts w:eastAsiaTheme="minorHAnsi"/>
            <w:lang w:val="en-AU"/>
          </w:rPr>
          <w:t>https://www.tga.gov.au/scheduling-decision-final/scheduling-delegates-final-decisions-july-2016</w:t>
        </w:r>
      </w:hyperlink>
      <w:r w:rsidR="00B85810">
        <w:rPr>
          <w:rFonts w:eastAsiaTheme="minorHAnsi"/>
          <w:lang w:val="en-AU"/>
        </w:rPr>
        <w:t>;</w:t>
      </w:r>
      <w:r w:rsidR="00A41B89">
        <w:rPr>
          <w:rFonts w:eastAsiaTheme="minorHAnsi"/>
          <w:lang w:val="en-AU"/>
        </w:rPr>
        <w:t xml:space="preserve"> and 31 October 2017</w:t>
      </w:r>
      <w:r w:rsidR="00B85810">
        <w:rPr>
          <w:rFonts w:eastAsiaTheme="minorHAnsi"/>
          <w:lang w:val="en-AU"/>
        </w:rPr>
        <w:t xml:space="preserve"> at </w:t>
      </w:r>
      <w:hyperlink r:id="rId19" w:history="1">
        <w:r w:rsidR="00B95B78" w:rsidRPr="005A6035">
          <w:rPr>
            <w:rStyle w:val="Hyperlink"/>
            <w:rFonts w:eastAsiaTheme="minorHAnsi"/>
            <w:lang w:val="en-AU"/>
          </w:rPr>
          <w:t>https://www.tga.gov.au/scheduling-decision-final/scheduling-delegates-final-decisions-october-2017</w:t>
        </w:r>
      </w:hyperlink>
      <w:r w:rsidR="00B85810">
        <w:rPr>
          <w:rFonts w:eastAsiaTheme="minorHAnsi"/>
          <w:lang w:val="en-AU"/>
        </w:rPr>
        <w:t>;</w:t>
      </w:r>
      <w:r w:rsidRPr="00B8369D">
        <w:rPr>
          <w:rFonts w:eastAsiaTheme="minorHAnsi"/>
          <w:lang w:val="en-AU"/>
        </w:rPr>
        <w:t xml:space="preserve"> with the delegate deciding that each of these decisions should be implemented from </w:t>
      </w:r>
      <w:r w:rsidR="00B32E0B" w:rsidRPr="00B8369D">
        <w:rPr>
          <w:rFonts w:eastAsiaTheme="minorHAnsi"/>
          <w:lang w:val="en-AU"/>
        </w:rPr>
        <w:t>1</w:t>
      </w:r>
      <w:r w:rsidR="00B32E0B">
        <w:rPr>
          <w:rFonts w:eastAsiaTheme="minorHAnsi"/>
          <w:lang w:val="en-AU"/>
        </w:rPr>
        <w:t> </w:t>
      </w:r>
      <w:r w:rsidR="00A41B89">
        <w:rPr>
          <w:rFonts w:eastAsiaTheme="minorHAnsi"/>
          <w:lang w:val="en-AU"/>
        </w:rPr>
        <w:t>February</w:t>
      </w:r>
      <w:r w:rsidRPr="00B8369D">
        <w:rPr>
          <w:rFonts w:eastAsiaTheme="minorHAnsi"/>
          <w:lang w:val="en-AU"/>
        </w:rPr>
        <w:t xml:space="preserve"> 201</w:t>
      </w:r>
      <w:r w:rsidR="00A41B89">
        <w:rPr>
          <w:rFonts w:eastAsiaTheme="minorHAnsi"/>
          <w:lang w:val="en-AU"/>
        </w:rPr>
        <w:t>8</w:t>
      </w:r>
      <w:r w:rsidRPr="00B8369D">
        <w:rPr>
          <w:rFonts w:eastAsiaTheme="minorHAnsi"/>
          <w:lang w:val="en-AU"/>
        </w:rPr>
        <w:t xml:space="preserve">. </w:t>
      </w:r>
    </w:p>
    <w:p w:rsidR="00204AB8" w:rsidRDefault="00C35036" w:rsidP="00F46EEC">
      <w:pPr>
        <w:rPr>
          <w:rFonts w:eastAsiaTheme="minorHAnsi"/>
          <w:lang w:val="en-AU"/>
        </w:rPr>
      </w:pPr>
      <w:r w:rsidRPr="00FA7893">
        <w:rPr>
          <w:rFonts w:eastAsiaTheme="minorHAnsi"/>
          <w:lang w:val="en-AU"/>
        </w:rPr>
        <w:t>Other amendments set out in this i</w:t>
      </w:r>
      <w:r w:rsidR="00B8369D" w:rsidRPr="00FA7893">
        <w:rPr>
          <w:rFonts w:eastAsiaTheme="minorHAnsi"/>
          <w:lang w:val="en-AU"/>
        </w:rPr>
        <w:t xml:space="preserve">nstrument added </w:t>
      </w:r>
      <w:r w:rsidR="00F53CEB" w:rsidRPr="00FA7893">
        <w:rPr>
          <w:rFonts w:eastAsiaTheme="minorHAnsi"/>
          <w:lang w:val="en-AU"/>
        </w:rPr>
        <w:t xml:space="preserve">a number of new substances to the Poisons Standard for the first time: </w:t>
      </w:r>
      <w:r w:rsidR="00716CBF" w:rsidRPr="00FA7893">
        <w:rPr>
          <w:rFonts w:eastAsiaTheme="minorHAnsi"/>
          <w:lang w:val="en-AU"/>
        </w:rPr>
        <w:t>alectinib</w:t>
      </w:r>
      <w:r w:rsidR="00716CBF">
        <w:rPr>
          <w:rFonts w:eastAsiaTheme="minorHAnsi"/>
          <w:lang w:val="en-AU"/>
        </w:rPr>
        <w:t xml:space="preserve">, </w:t>
      </w:r>
      <w:r w:rsidR="00716CBF" w:rsidRPr="00FA7893">
        <w:rPr>
          <w:rFonts w:eastAsiaTheme="minorHAnsi"/>
          <w:lang w:val="en-AU"/>
        </w:rPr>
        <w:t>bictegravir,</w:t>
      </w:r>
      <w:r w:rsidR="00716CBF">
        <w:rPr>
          <w:rFonts w:eastAsiaTheme="minorHAnsi"/>
          <w:lang w:val="en-AU"/>
        </w:rPr>
        <w:t xml:space="preserve"> </w:t>
      </w:r>
      <w:r w:rsidR="00716CBF" w:rsidRPr="00FA7893">
        <w:rPr>
          <w:rFonts w:eastAsiaTheme="minorHAnsi"/>
          <w:lang w:val="en-AU"/>
        </w:rPr>
        <w:t>binimetinib,</w:t>
      </w:r>
      <w:r w:rsidR="00716CBF" w:rsidRPr="00716CBF">
        <w:rPr>
          <w:rFonts w:eastAsiaTheme="minorHAnsi"/>
          <w:lang w:val="en-AU"/>
        </w:rPr>
        <w:t xml:space="preserve"> </w:t>
      </w:r>
      <w:r w:rsidR="00716CBF" w:rsidRPr="00FA7893">
        <w:rPr>
          <w:rFonts w:eastAsiaTheme="minorHAnsi"/>
          <w:lang w:val="en-AU"/>
        </w:rPr>
        <w:t>cabozantinib,</w:t>
      </w:r>
      <w:r w:rsidR="00716CBF" w:rsidRPr="00716CBF">
        <w:rPr>
          <w:rFonts w:eastAsiaTheme="minorHAnsi"/>
          <w:lang w:val="en-AU"/>
        </w:rPr>
        <w:t xml:space="preserve"> </w:t>
      </w:r>
      <w:r w:rsidR="00716CBF" w:rsidRPr="00FA7893">
        <w:rPr>
          <w:rFonts w:eastAsiaTheme="minorHAnsi"/>
          <w:lang w:val="en-AU"/>
        </w:rPr>
        <w:t>cinnarizine,</w:t>
      </w:r>
      <w:r w:rsidR="00716CBF">
        <w:rPr>
          <w:rFonts w:eastAsiaTheme="minorHAnsi"/>
          <w:lang w:val="en-AU"/>
        </w:rPr>
        <w:t xml:space="preserve"> </w:t>
      </w:r>
      <w:r w:rsidR="00716CBF" w:rsidRPr="00FA7893">
        <w:rPr>
          <w:rFonts w:eastAsiaTheme="minorHAnsi"/>
          <w:lang w:val="en-AU"/>
        </w:rPr>
        <w:t>encorafenib,erenumab, ertugliflozin, ferric derisomaltose</w:t>
      </w:r>
      <w:r w:rsidR="00716CBF">
        <w:rPr>
          <w:rFonts w:eastAsiaTheme="minorHAnsi"/>
          <w:lang w:val="en-AU"/>
        </w:rPr>
        <w:t>,</w:t>
      </w:r>
      <w:r w:rsidR="00716CBF" w:rsidRPr="00FA7893">
        <w:rPr>
          <w:rFonts w:eastAsiaTheme="minorHAnsi"/>
          <w:lang w:val="en-AU"/>
        </w:rPr>
        <w:t xml:space="preserve"> </w:t>
      </w:r>
      <w:r w:rsidR="00ED4603" w:rsidRPr="00FA7893">
        <w:rPr>
          <w:rFonts w:eastAsiaTheme="minorHAnsi"/>
          <w:lang w:val="en-AU"/>
        </w:rPr>
        <w:t>florpyrauxifen-benzyl</w:t>
      </w:r>
      <w:r w:rsidR="00F53CEB" w:rsidRPr="00FA7893">
        <w:rPr>
          <w:rFonts w:eastAsiaTheme="minorHAnsi"/>
          <w:lang w:val="en-AU"/>
        </w:rPr>
        <w:t xml:space="preserve">, </w:t>
      </w:r>
      <w:r w:rsidR="00716CBF" w:rsidRPr="00FA7893">
        <w:rPr>
          <w:rFonts w:eastAsiaTheme="minorHAnsi"/>
          <w:lang w:val="en-AU"/>
        </w:rPr>
        <w:t>insulin degludec, letermovir,</w:t>
      </w:r>
      <w:r w:rsidR="00716CBF">
        <w:rPr>
          <w:rFonts w:eastAsiaTheme="minorHAnsi"/>
          <w:lang w:val="en-AU"/>
        </w:rPr>
        <w:t xml:space="preserve"> </w:t>
      </w:r>
      <w:r w:rsidR="00716CBF" w:rsidRPr="00FA7893">
        <w:rPr>
          <w:rFonts w:eastAsiaTheme="minorHAnsi"/>
          <w:lang w:val="en-AU"/>
        </w:rPr>
        <w:t>lotilaner, nusinersen,</w:t>
      </w:r>
      <w:r w:rsidR="00716CBF">
        <w:rPr>
          <w:rFonts w:eastAsiaTheme="minorHAnsi"/>
          <w:lang w:val="en-AU"/>
        </w:rPr>
        <w:t xml:space="preserve"> </w:t>
      </w:r>
      <w:r w:rsidR="00716CBF" w:rsidRPr="00FA7893">
        <w:rPr>
          <w:rFonts w:eastAsiaTheme="minorHAnsi"/>
          <w:lang w:val="en-AU"/>
        </w:rPr>
        <w:t xml:space="preserve">patiromer sorbitex calcium, </w:t>
      </w:r>
      <w:proofErr w:type="spellStart"/>
      <w:r w:rsidR="00716CBF" w:rsidRPr="00FA7893">
        <w:rPr>
          <w:rFonts w:eastAsiaTheme="minorHAnsi"/>
          <w:lang w:val="en-AU"/>
        </w:rPr>
        <w:t>peramivir</w:t>
      </w:r>
      <w:proofErr w:type="spellEnd"/>
      <w:r w:rsidR="00716CBF" w:rsidRPr="00FA7893">
        <w:rPr>
          <w:rFonts w:eastAsiaTheme="minorHAnsi"/>
          <w:lang w:val="en-AU"/>
        </w:rPr>
        <w:t>,</w:t>
      </w:r>
      <w:r w:rsidR="00716CBF">
        <w:rPr>
          <w:rFonts w:eastAsiaTheme="minorHAnsi"/>
          <w:lang w:val="en-AU"/>
        </w:rPr>
        <w:t xml:space="preserve"> </w:t>
      </w:r>
      <w:proofErr w:type="spellStart"/>
      <w:r w:rsidR="00716CBF" w:rsidRPr="00FA7893">
        <w:rPr>
          <w:rFonts w:eastAsiaTheme="minorHAnsi"/>
          <w:lang w:val="en-AU"/>
        </w:rPr>
        <w:t>reslizumab</w:t>
      </w:r>
      <w:proofErr w:type="spellEnd"/>
      <w:r w:rsidR="00716CBF" w:rsidRPr="00FA7893">
        <w:rPr>
          <w:rFonts w:eastAsiaTheme="minorHAnsi"/>
          <w:lang w:val="en-AU"/>
        </w:rPr>
        <w:t xml:space="preserve">, </w:t>
      </w:r>
      <w:proofErr w:type="spellStart"/>
      <w:r w:rsidR="00716CBF" w:rsidRPr="00FA7893">
        <w:rPr>
          <w:rFonts w:eastAsiaTheme="minorHAnsi"/>
          <w:lang w:val="en-AU"/>
        </w:rPr>
        <w:t>ribociclib</w:t>
      </w:r>
      <w:proofErr w:type="spellEnd"/>
      <w:r w:rsidR="00716CBF" w:rsidRPr="00FA7893">
        <w:rPr>
          <w:rFonts w:eastAsiaTheme="minorHAnsi"/>
          <w:lang w:val="en-AU"/>
        </w:rPr>
        <w:t>,</w:t>
      </w:r>
      <w:r w:rsidR="00716CBF">
        <w:rPr>
          <w:rFonts w:eastAsiaTheme="minorHAnsi"/>
          <w:lang w:val="en-AU"/>
        </w:rPr>
        <w:t xml:space="preserve"> </w:t>
      </w:r>
      <w:proofErr w:type="spellStart"/>
      <w:r w:rsidR="004215C5" w:rsidRPr="00FA7893">
        <w:rPr>
          <w:rFonts w:eastAsiaTheme="minorHAnsi"/>
          <w:lang w:val="en-AU"/>
        </w:rPr>
        <w:t>s</w:t>
      </w:r>
      <w:r w:rsidR="00CF08F8" w:rsidRPr="00FA7893">
        <w:rPr>
          <w:rFonts w:eastAsiaTheme="minorHAnsi"/>
          <w:lang w:val="en-AU"/>
        </w:rPr>
        <w:t>tiripentol</w:t>
      </w:r>
      <w:proofErr w:type="spellEnd"/>
      <w:r w:rsidR="00CF08F8" w:rsidRPr="00FA7893">
        <w:rPr>
          <w:rFonts w:eastAsiaTheme="minorHAnsi"/>
          <w:lang w:val="en-AU"/>
        </w:rPr>
        <w:t xml:space="preserve">, </w:t>
      </w:r>
      <w:proofErr w:type="spellStart"/>
      <w:r w:rsidR="00716CBF" w:rsidRPr="00FA7893">
        <w:rPr>
          <w:rFonts w:eastAsiaTheme="minorHAnsi"/>
          <w:lang w:val="en-AU"/>
        </w:rPr>
        <w:t>tafenoquine</w:t>
      </w:r>
      <w:proofErr w:type="spellEnd"/>
      <w:r w:rsidR="00716CBF" w:rsidRPr="00FA7893">
        <w:rPr>
          <w:rFonts w:eastAsiaTheme="minorHAnsi"/>
          <w:lang w:val="en-AU"/>
        </w:rPr>
        <w:t xml:space="preserve"> succinate</w:t>
      </w:r>
      <w:r w:rsidR="00716CBF">
        <w:rPr>
          <w:rFonts w:eastAsiaTheme="minorHAnsi"/>
          <w:lang w:val="en-AU"/>
        </w:rPr>
        <w:t>,</w:t>
      </w:r>
      <w:r w:rsidR="00716CBF" w:rsidRPr="00FA7893">
        <w:rPr>
          <w:rFonts w:eastAsiaTheme="minorHAnsi"/>
          <w:lang w:val="en-AU"/>
        </w:rPr>
        <w:t xml:space="preserve"> </w:t>
      </w:r>
      <w:proofErr w:type="spellStart"/>
      <w:r w:rsidR="00716CBF" w:rsidRPr="00FA7893">
        <w:rPr>
          <w:rFonts w:eastAsiaTheme="minorHAnsi"/>
          <w:lang w:val="en-AU"/>
        </w:rPr>
        <w:t>telotristat</w:t>
      </w:r>
      <w:proofErr w:type="spellEnd"/>
      <w:r w:rsidR="00716CBF" w:rsidRPr="00FA7893">
        <w:rPr>
          <w:rFonts w:eastAsiaTheme="minorHAnsi"/>
          <w:lang w:val="en-AU"/>
        </w:rPr>
        <w:t xml:space="preserve"> ethyl, </w:t>
      </w:r>
      <w:proofErr w:type="spellStart"/>
      <w:r w:rsidR="00716CBF" w:rsidRPr="00FA7893">
        <w:rPr>
          <w:rFonts w:eastAsiaTheme="minorHAnsi"/>
          <w:lang w:val="en-AU"/>
        </w:rPr>
        <w:t>tipiracil</w:t>
      </w:r>
      <w:proofErr w:type="spellEnd"/>
      <w:r w:rsidR="00716CBF" w:rsidRPr="00FA7893">
        <w:rPr>
          <w:rFonts w:eastAsiaTheme="minorHAnsi"/>
          <w:lang w:val="en-AU"/>
        </w:rPr>
        <w:t>,</w:t>
      </w:r>
      <w:r w:rsidR="00FF75DF">
        <w:rPr>
          <w:rFonts w:eastAsiaTheme="minorHAnsi"/>
          <w:lang w:val="en-AU"/>
        </w:rPr>
        <w:t xml:space="preserve"> </w:t>
      </w:r>
      <w:proofErr w:type="spellStart"/>
      <w:r w:rsidR="00FF75DF">
        <w:rPr>
          <w:rFonts w:eastAsiaTheme="minorHAnsi"/>
          <w:lang w:val="en-AU"/>
        </w:rPr>
        <w:t>trifluridine</w:t>
      </w:r>
      <w:proofErr w:type="spellEnd"/>
      <w:r w:rsidR="00FF75DF">
        <w:rPr>
          <w:rFonts w:eastAsiaTheme="minorHAnsi"/>
          <w:lang w:val="en-AU"/>
        </w:rPr>
        <w:t xml:space="preserve">, </w:t>
      </w:r>
      <w:r w:rsidR="00716CBF" w:rsidRPr="00FA7893">
        <w:rPr>
          <w:rFonts w:eastAsiaTheme="minorHAnsi"/>
          <w:lang w:val="en-AU"/>
        </w:rPr>
        <w:t>recombinant varicella zoster virus glycoprotein E antigen</w:t>
      </w:r>
      <w:r w:rsidR="00FF75DF">
        <w:rPr>
          <w:rFonts w:eastAsiaTheme="minorHAnsi"/>
          <w:lang w:val="en-AU"/>
        </w:rPr>
        <w:t xml:space="preserve"> and </w:t>
      </w:r>
      <w:proofErr w:type="spellStart"/>
      <w:r w:rsidR="00FF75DF">
        <w:rPr>
          <w:rFonts w:eastAsiaTheme="minorHAnsi"/>
          <w:lang w:val="en-AU"/>
        </w:rPr>
        <w:t>apalutamide</w:t>
      </w:r>
      <w:proofErr w:type="spellEnd"/>
      <w:r w:rsidR="00716CBF">
        <w:rPr>
          <w:rFonts w:eastAsiaTheme="minorHAnsi"/>
          <w:lang w:val="en-AU"/>
        </w:rPr>
        <w:t>.</w:t>
      </w:r>
      <w:r w:rsidRPr="00FA7893">
        <w:rPr>
          <w:rFonts w:eastAsiaTheme="minorHAnsi"/>
          <w:lang w:val="en-AU"/>
        </w:rPr>
        <w:t xml:space="preserve"> These decisions were delegate-only decisions that were not open to public consultation, as they were considered </w:t>
      </w:r>
      <w:r w:rsidR="001963A6">
        <w:rPr>
          <w:rFonts w:eastAsiaTheme="minorHAnsi"/>
          <w:lang w:val="en-AU"/>
        </w:rPr>
        <w:t>in accordance with the SPF</w:t>
      </w:r>
      <w:r w:rsidRPr="00FA7893">
        <w:rPr>
          <w:rFonts w:eastAsiaTheme="minorHAnsi"/>
          <w:lang w:val="en-AU"/>
        </w:rPr>
        <w:t xml:space="preserve"> to be sufficiently straightforward as to not require public consultation.</w:t>
      </w:r>
      <w:r w:rsidRPr="00F46EEC">
        <w:rPr>
          <w:rFonts w:eastAsiaTheme="minorHAnsi"/>
          <w:lang w:val="en-AU"/>
        </w:rPr>
        <w:t xml:space="preserve"> </w:t>
      </w:r>
    </w:p>
    <w:p w:rsidR="00C35036" w:rsidRPr="00C35036" w:rsidRDefault="00C35036" w:rsidP="00B350FA">
      <w:pPr>
        <w:rPr>
          <w:rFonts w:eastAsiaTheme="minorHAnsi"/>
          <w:color w:val="000000"/>
          <w:sz w:val="23"/>
          <w:szCs w:val="23"/>
          <w:lang w:val="en-AU"/>
        </w:rPr>
      </w:pPr>
      <w:r w:rsidRPr="00B350FA">
        <w:rPr>
          <w:rFonts w:eastAsiaTheme="minorHAnsi"/>
        </w:rPr>
        <w:t xml:space="preserve">The Poisons Standard is a legislative instrument for the purposes of the </w:t>
      </w:r>
      <w:r w:rsidRPr="00280FDD">
        <w:rPr>
          <w:rFonts w:eastAsiaTheme="minorHAnsi"/>
          <w:i/>
        </w:rPr>
        <w:t>Legislation Act 2003</w:t>
      </w:r>
      <w:r w:rsidRPr="00B350FA">
        <w:rPr>
          <w:rFonts w:eastAsiaTheme="minorHAnsi"/>
        </w:rPr>
        <w:t xml:space="preserve"> (the LA). However, section 42 (disallowance) of the LA does not apply (refer to subsection 52D(4A) of the TG Act). Because it is not disallowable, subsection 9(1) of the </w:t>
      </w:r>
      <w:r w:rsidRPr="00280FDD">
        <w:rPr>
          <w:rFonts w:eastAsiaTheme="minorHAnsi"/>
          <w:i/>
        </w:rPr>
        <w:t>Human Rights (Parliamentary Scrutiny) Act 2011</w:t>
      </w:r>
      <w:r w:rsidRPr="00B350FA">
        <w:rPr>
          <w:rFonts w:eastAsiaTheme="minorHAnsi"/>
        </w:rPr>
        <w:t xml:space="preserve"> does not require that the instrument be accompanied by a statement of compatibility with the human rights recognised under that</w:t>
      </w:r>
      <w:r w:rsidRPr="00C35036">
        <w:rPr>
          <w:rFonts w:eastAsiaTheme="minorHAnsi"/>
          <w:color w:val="000000"/>
          <w:sz w:val="23"/>
          <w:szCs w:val="23"/>
          <w:lang w:val="en-AU"/>
        </w:rPr>
        <w:t xml:space="preserve"> Act. </w:t>
      </w:r>
    </w:p>
    <w:p w:rsidR="00C35036" w:rsidRPr="00C35036" w:rsidRDefault="00C35036" w:rsidP="00B350FA">
      <w:r w:rsidRPr="00C35036">
        <w:t xml:space="preserve">The instrument commences on 1 </w:t>
      </w:r>
      <w:r w:rsidR="00280FDD">
        <w:t>February</w:t>
      </w:r>
      <w:r w:rsidRPr="00C35036">
        <w:t xml:space="preserve"> 201</w:t>
      </w:r>
      <w:r w:rsidR="00280FDD">
        <w:t>8</w:t>
      </w:r>
      <w:r w:rsidRPr="00C35036">
        <w:t xml:space="preserve">, which means the Poisons Standard </w:t>
      </w:r>
      <w:r w:rsidR="00280FDD">
        <w:t>February</w:t>
      </w:r>
      <w:r w:rsidRPr="00C35036">
        <w:t xml:space="preserve"> 201</w:t>
      </w:r>
      <w:r w:rsidR="00280FDD">
        <w:t>8</w:t>
      </w:r>
      <w:r w:rsidRPr="00C35036">
        <w:t xml:space="preserve"> is effective on and from that day.</w:t>
      </w:r>
    </w:p>
    <w:p w:rsidR="00F15F2D" w:rsidRPr="00975799" w:rsidRDefault="00F15F2D" w:rsidP="00B350FA">
      <w:pPr>
        <w:rPr>
          <w:lang w:val="en-AU"/>
        </w:rPr>
      </w:pPr>
    </w:p>
    <w:sectPr w:rsidR="00F15F2D" w:rsidRPr="00975799" w:rsidSect="00872BB1">
      <w:footerReference w:type="default" r:id="rId20"/>
      <w:pgSz w:w="11906" w:h="16838" w:code="9"/>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78" w:rsidRDefault="00281B78" w:rsidP="00002885">
      <w:r>
        <w:separator/>
      </w:r>
    </w:p>
  </w:endnote>
  <w:endnote w:type="continuationSeparator" w:id="0">
    <w:p w:rsidR="00281B78" w:rsidRDefault="00281B78"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7469"/>
      <w:docPartObj>
        <w:docPartGallery w:val="Page Numbers (Bottom of Page)"/>
        <w:docPartUnique/>
      </w:docPartObj>
    </w:sdtPr>
    <w:sdtEndPr>
      <w:rPr>
        <w:noProof/>
      </w:rPr>
    </w:sdtEndPr>
    <w:sdtContent>
      <w:p w:rsidR="00117231" w:rsidRDefault="00117231">
        <w:pPr>
          <w:pStyle w:val="Footer"/>
          <w:jc w:val="center"/>
        </w:pPr>
        <w:r>
          <w:fldChar w:fldCharType="begin"/>
        </w:r>
        <w:r>
          <w:instrText xml:space="preserve"> PAGE   \* MERGEFORMAT </w:instrText>
        </w:r>
        <w:r>
          <w:fldChar w:fldCharType="separate"/>
        </w:r>
        <w:r w:rsidR="004F6243">
          <w:rPr>
            <w:noProof/>
          </w:rPr>
          <w:t>3</w:t>
        </w:r>
        <w:r>
          <w:rPr>
            <w:noProof/>
          </w:rPr>
          <w:fldChar w:fldCharType="end"/>
        </w:r>
      </w:p>
    </w:sdtContent>
  </w:sdt>
  <w:p w:rsidR="00117231" w:rsidRDefault="0011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78" w:rsidRDefault="00281B78" w:rsidP="00002885">
      <w:r>
        <w:separator/>
      </w:r>
    </w:p>
  </w:footnote>
  <w:footnote w:type="continuationSeparator" w:id="0">
    <w:p w:rsidR="00281B78" w:rsidRDefault="00281B78" w:rsidP="0000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22"/>
  </w:num>
  <w:num w:numId="3">
    <w:abstractNumId w:val="27"/>
  </w:num>
  <w:num w:numId="4">
    <w:abstractNumId w:val="12"/>
  </w:num>
  <w:num w:numId="5">
    <w:abstractNumId w:val="6"/>
  </w:num>
  <w:num w:numId="6">
    <w:abstractNumId w:val="32"/>
  </w:num>
  <w:num w:numId="7">
    <w:abstractNumId w:val="13"/>
  </w:num>
  <w:num w:numId="8">
    <w:abstractNumId w:val="25"/>
  </w:num>
  <w:num w:numId="9">
    <w:abstractNumId w:val="19"/>
  </w:num>
  <w:num w:numId="10">
    <w:abstractNumId w:val="1"/>
  </w:num>
  <w:num w:numId="11">
    <w:abstractNumId w:val="33"/>
  </w:num>
  <w:num w:numId="12">
    <w:abstractNumId w:val="7"/>
  </w:num>
  <w:num w:numId="13">
    <w:abstractNumId w:val="20"/>
  </w:num>
  <w:num w:numId="14">
    <w:abstractNumId w:val="23"/>
  </w:num>
  <w:num w:numId="15">
    <w:abstractNumId w:val="36"/>
  </w:num>
  <w:num w:numId="16">
    <w:abstractNumId w:val="21"/>
  </w:num>
  <w:num w:numId="17">
    <w:abstractNumId w:val="14"/>
  </w:num>
  <w:num w:numId="18">
    <w:abstractNumId w:val="0"/>
  </w:num>
  <w:num w:numId="19">
    <w:abstractNumId w:val="30"/>
  </w:num>
  <w:num w:numId="20">
    <w:abstractNumId w:val="3"/>
  </w:num>
  <w:num w:numId="21">
    <w:abstractNumId w:val="10"/>
  </w:num>
  <w:num w:numId="22">
    <w:abstractNumId w:val="35"/>
  </w:num>
  <w:num w:numId="23">
    <w:abstractNumId w:val="31"/>
  </w:num>
  <w:num w:numId="24">
    <w:abstractNumId w:val="15"/>
  </w:num>
  <w:num w:numId="25">
    <w:abstractNumId w:val="18"/>
  </w:num>
  <w:num w:numId="26">
    <w:abstractNumId w:val="29"/>
  </w:num>
  <w:num w:numId="27">
    <w:abstractNumId w:val="9"/>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34"/>
  </w:num>
  <w:num w:numId="31">
    <w:abstractNumId w:val="28"/>
  </w:num>
  <w:num w:numId="32">
    <w:abstractNumId w:val="16"/>
  </w:num>
  <w:num w:numId="33">
    <w:abstractNumId w:val="11"/>
  </w:num>
  <w:num w:numId="34">
    <w:abstractNumId w:val="8"/>
  </w:num>
  <w:num w:numId="35">
    <w:abstractNumId w:val="5"/>
  </w:num>
  <w:num w:numId="36">
    <w:abstractNumId w:val="17"/>
  </w:num>
  <w:num w:numId="3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02885"/>
    <w:rsid w:val="00011147"/>
    <w:rsid w:val="00011923"/>
    <w:rsid w:val="00013101"/>
    <w:rsid w:val="0001344B"/>
    <w:rsid w:val="0001557A"/>
    <w:rsid w:val="00015D91"/>
    <w:rsid w:val="00015F7D"/>
    <w:rsid w:val="000163D5"/>
    <w:rsid w:val="00016497"/>
    <w:rsid w:val="00020B01"/>
    <w:rsid w:val="0002378A"/>
    <w:rsid w:val="000245BC"/>
    <w:rsid w:val="00024DBC"/>
    <w:rsid w:val="000416AC"/>
    <w:rsid w:val="00044A0E"/>
    <w:rsid w:val="00047A51"/>
    <w:rsid w:val="00050EB5"/>
    <w:rsid w:val="00057A65"/>
    <w:rsid w:val="00060D54"/>
    <w:rsid w:val="000611B6"/>
    <w:rsid w:val="00065A55"/>
    <w:rsid w:val="000723FA"/>
    <w:rsid w:val="000810CF"/>
    <w:rsid w:val="00083426"/>
    <w:rsid w:val="00083B34"/>
    <w:rsid w:val="00085F57"/>
    <w:rsid w:val="0008693E"/>
    <w:rsid w:val="00090731"/>
    <w:rsid w:val="0009240B"/>
    <w:rsid w:val="00096CF4"/>
    <w:rsid w:val="00097388"/>
    <w:rsid w:val="000A26F2"/>
    <w:rsid w:val="000A30D2"/>
    <w:rsid w:val="000A433D"/>
    <w:rsid w:val="000A665B"/>
    <w:rsid w:val="000B5294"/>
    <w:rsid w:val="000C0B6E"/>
    <w:rsid w:val="000C1F50"/>
    <w:rsid w:val="000C6AC7"/>
    <w:rsid w:val="000D0790"/>
    <w:rsid w:val="000D07F2"/>
    <w:rsid w:val="000D1217"/>
    <w:rsid w:val="000D589B"/>
    <w:rsid w:val="000D5B0D"/>
    <w:rsid w:val="000D5C26"/>
    <w:rsid w:val="000D7D58"/>
    <w:rsid w:val="000E10D0"/>
    <w:rsid w:val="000E1A37"/>
    <w:rsid w:val="000E1D7F"/>
    <w:rsid w:val="000E2752"/>
    <w:rsid w:val="000F10CF"/>
    <w:rsid w:val="000F4187"/>
    <w:rsid w:val="000F46C6"/>
    <w:rsid w:val="000F5B73"/>
    <w:rsid w:val="000F66E3"/>
    <w:rsid w:val="00101113"/>
    <w:rsid w:val="00107427"/>
    <w:rsid w:val="00107A47"/>
    <w:rsid w:val="001100E5"/>
    <w:rsid w:val="00112C17"/>
    <w:rsid w:val="001147B1"/>
    <w:rsid w:val="00115C3B"/>
    <w:rsid w:val="00117231"/>
    <w:rsid w:val="001178E6"/>
    <w:rsid w:val="001247BF"/>
    <w:rsid w:val="001263E3"/>
    <w:rsid w:val="00131841"/>
    <w:rsid w:val="00133E6E"/>
    <w:rsid w:val="00136ECD"/>
    <w:rsid w:val="0013744B"/>
    <w:rsid w:val="00137A4D"/>
    <w:rsid w:val="0014023B"/>
    <w:rsid w:val="0015058D"/>
    <w:rsid w:val="00150B6E"/>
    <w:rsid w:val="00152DCA"/>
    <w:rsid w:val="00154877"/>
    <w:rsid w:val="00154F69"/>
    <w:rsid w:val="00160B52"/>
    <w:rsid w:val="00161FAA"/>
    <w:rsid w:val="00164241"/>
    <w:rsid w:val="001642AC"/>
    <w:rsid w:val="00164EBF"/>
    <w:rsid w:val="001671AC"/>
    <w:rsid w:val="00172990"/>
    <w:rsid w:val="0017322A"/>
    <w:rsid w:val="0017679F"/>
    <w:rsid w:val="00177D93"/>
    <w:rsid w:val="001816D7"/>
    <w:rsid w:val="0018373F"/>
    <w:rsid w:val="00184ED7"/>
    <w:rsid w:val="00192452"/>
    <w:rsid w:val="00195B6C"/>
    <w:rsid w:val="001963A6"/>
    <w:rsid w:val="001A1BAA"/>
    <w:rsid w:val="001A7ABF"/>
    <w:rsid w:val="001B2819"/>
    <w:rsid w:val="001B79E5"/>
    <w:rsid w:val="001C0CF6"/>
    <w:rsid w:val="001C2836"/>
    <w:rsid w:val="001C6BB5"/>
    <w:rsid w:val="001D0B9A"/>
    <w:rsid w:val="001D5F61"/>
    <w:rsid w:val="001E16D6"/>
    <w:rsid w:val="001E2BA3"/>
    <w:rsid w:val="001E3F97"/>
    <w:rsid w:val="001E5AF0"/>
    <w:rsid w:val="001E7A9B"/>
    <w:rsid w:val="001F2A71"/>
    <w:rsid w:val="001F75C8"/>
    <w:rsid w:val="00200F2D"/>
    <w:rsid w:val="00202E44"/>
    <w:rsid w:val="00202F89"/>
    <w:rsid w:val="00203D86"/>
    <w:rsid w:val="00204AB8"/>
    <w:rsid w:val="0020549C"/>
    <w:rsid w:val="00206991"/>
    <w:rsid w:val="002112E6"/>
    <w:rsid w:val="00213C33"/>
    <w:rsid w:val="00214730"/>
    <w:rsid w:val="00215C67"/>
    <w:rsid w:val="002167F3"/>
    <w:rsid w:val="002173F5"/>
    <w:rsid w:val="002244F4"/>
    <w:rsid w:val="002305C1"/>
    <w:rsid w:val="00231DF6"/>
    <w:rsid w:val="0023235D"/>
    <w:rsid w:val="00235B34"/>
    <w:rsid w:val="00237639"/>
    <w:rsid w:val="00240DB3"/>
    <w:rsid w:val="00245C64"/>
    <w:rsid w:val="00250856"/>
    <w:rsid w:val="0025421D"/>
    <w:rsid w:val="00260B7A"/>
    <w:rsid w:val="0026204F"/>
    <w:rsid w:val="00272528"/>
    <w:rsid w:val="00280FDD"/>
    <w:rsid w:val="00281B78"/>
    <w:rsid w:val="00283416"/>
    <w:rsid w:val="00283C62"/>
    <w:rsid w:val="0029630A"/>
    <w:rsid w:val="00296A3C"/>
    <w:rsid w:val="002A1A5D"/>
    <w:rsid w:val="002A39A8"/>
    <w:rsid w:val="002A39B3"/>
    <w:rsid w:val="002A5D82"/>
    <w:rsid w:val="002C2A05"/>
    <w:rsid w:val="002C3D2F"/>
    <w:rsid w:val="002C6882"/>
    <w:rsid w:val="002D3F55"/>
    <w:rsid w:val="002D4673"/>
    <w:rsid w:val="002D7553"/>
    <w:rsid w:val="002E232E"/>
    <w:rsid w:val="002E2BD8"/>
    <w:rsid w:val="002E4A7A"/>
    <w:rsid w:val="002E7354"/>
    <w:rsid w:val="002F3F6D"/>
    <w:rsid w:val="002F73CA"/>
    <w:rsid w:val="002F74C7"/>
    <w:rsid w:val="00300AA5"/>
    <w:rsid w:val="0030383A"/>
    <w:rsid w:val="00305CB9"/>
    <w:rsid w:val="003101C1"/>
    <w:rsid w:val="00313AAD"/>
    <w:rsid w:val="00330DF9"/>
    <w:rsid w:val="0033255C"/>
    <w:rsid w:val="00334356"/>
    <w:rsid w:val="00335590"/>
    <w:rsid w:val="00337BC6"/>
    <w:rsid w:val="003404D7"/>
    <w:rsid w:val="00341179"/>
    <w:rsid w:val="003415EF"/>
    <w:rsid w:val="0034329C"/>
    <w:rsid w:val="003466A5"/>
    <w:rsid w:val="00346FBD"/>
    <w:rsid w:val="00350A18"/>
    <w:rsid w:val="00350AD4"/>
    <w:rsid w:val="0035375C"/>
    <w:rsid w:val="00357276"/>
    <w:rsid w:val="003572D8"/>
    <w:rsid w:val="00357B5C"/>
    <w:rsid w:val="00366B0C"/>
    <w:rsid w:val="003715A7"/>
    <w:rsid w:val="00373423"/>
    <w:rsid w:val="00374974"/>
    <w:rsid w:val="00377F14"/>
    <w:rsid w:val="003806A8"/>
    <w:rsid w:val="003829DB"/>
    <w:rsid w:val="00383160"/>
    <w:rsid w:val="00384D93"/>
    <w:rsid w:val="00391AB4"/>
    <w:rsid w:val="003A3C28"/>
    <w:rsid w:val="003B2E72"/>
    <w:rsid w:val="003B5A6F"/>
    <w:rsid w:val="003C2E82"/>
    <w:rsid w:val="003C33DB"/>
    <w:rsid w:val="003C3801"/>
    <w:rsid w:val="003C5E79"/>
    <w:rsid w:val="003C777B"/>
    <w:rsid w:val="003D2B5B"/>
    <w:rsid w:val="003D34C8"/>
    <w:rsid w:val="003D3A8B"/>
    <w:rsid w:val="003D5C29"/>
    <w:rsid w:val="003D6ADB"/>
    <w:rsid w:val="003E3086"/>
    <w:rsid w:val="003E7057"/>
    <w:rsid w:val="003E7B33"/>
    <w:rsid w:val="003F692D"/>
    <w:rsid w:val="003F73B6"/>
    <w:rsid w:val="003F7446"/>
    <w:rsid w:val="004022F0"/>
    <w:rsid w:val="00405296"/>
    <w:rsid w:val="00406039"/>
    <w:rsid w:val="00410E46"/>
    <w:rsid w:val="0041139F"/>
    <w:rsid w:val="00414125"/>
    <w:rsid w:val="004148D3"/>
    <w:rsid w:val="004176E8"/>
    <w:rsid w:val="00420580"/>
    <w:rsid w:val="004215C5"/>
    <w:rsid w:val="00421ACA"/>
    <w:rsid w:val="004252A3"/>
    <w:rsid w:val="00426846"/>
    <w:rsid w:val="00427401"/>
    <w:rsid w:val="00431392"/>
    <w:rsid w:val="004320B6"/>
    <w:rsid w:val="00433C18"/>
    <w:rsid w:val="00435D1D"/>
    <w:rsid w:val="00436D9A"/>
    <w:rsid w:val="00436FDA"/>
    <w:rsid w:val="004414F1"/>
    <w:rsid w:val="00441682"/>
    <w:rsid w:val="004422DD"/>
    <w:rsid w:val="0044300D"/>
    <w:rsid w:val="00454A9A"/>
    <w:rsid w:val="0045536F"/>
    <w:rsid w:val="00455694"/>
    <w:rsid w:val="0045683A"/>
    <w:rsid w:val="004658E5"/>
    <w:rsid w:val="00472B86"/>
    <w:rsid w:val="0047404B"/>
    <w:rsid w:val="00474C57"/>
    <w:rsid w:val="004819F8"/>
    <w:rsid w:val="00483395"/>
    <w:rsid w:val="00484116"/>
    <w:rsid w:val="00490962"/>
    <w:rsid w:val="004A0446"/>
    <w:rsid w:val="004A465D"/>
    <w:rsid w:val="004A5607"/>
    <w:rsid w:val="004B5EB7"/>
    <w:rsid w:val="004C252D"/>
    <w:rsid w:val="004C39ED"/>
    <w:rsid w:val="004C4F67"/>
    <w:rsid w:val="004C6F14"/>
    <w:rsid w:val="004E19E1"/>
    <w:rsid w:val="004E3EF7"/>
    <w:rsid w:val="004E43B8"/>
    <w:rsid w:val="004E4891"/>
    <w:rsid w:val="004E4ABE"/>
    <w:rsid w:val="004F2DF2"/>
    <w:rsid w:val="004F6243"/>
    <w:rsid w:val="00501333"/>
    <w:rsid w:val="00503FCA"/>
    <w:rsid w:val="0050787F"/>
    <w:rsid w:val="00507EF5"/>
    <w:rsid w:val="00510AE8"/>
    <w:rsid w:val="00510AF0"/>
    <w:rsid w:val="00513ADE"/>
    <w:rsid w:val="005166A2"/>
    <w:rsid w:val="005177AA"/>
    <w:rsid w:val="005219A0"/>
    <w:rsid w:val="005275E7"/>
    <w:rsid w:val="0053185D"/>
    <w:rsid w:val="00532734"/>
    <w:rsid w:val="00533303"/>
    <w:rsid w:val="0053481F"/>
    <w:rsid w:val="00535D66"/>
    <w:rsid w:val="005442AA"/>
    <w:rsid w:val="00544A86"/>
    <w:rsid w:val="00556156"/>
    <w:rsid w:val="0055736A"/>
    <w:rsid w:val="005648B1"/>
    <w:rsid w:val="00571CFB"/>
    <w:rsid w:val="00571FE7"/>
    <w:rsid w:val="00573390"/>
    <w:rsid w:val="0057652A"/>
    <w:rsid w:val="0058128A"/>
    <w:rsid w:val="00581F00"/>
    <w:rsid w:val="00582C07"/>
    <w:rsid w:val="005841EF"/>
    <w:rsid w:val="005859B8"/>
    <w:rsid w:val="00585A4E"/>
    <w:rsid w:val="005863AE"/>
    <w:rsid w:val="005A0235"/>
    <w:rsid w:val="005A3441"/>
    <w:rsid w:val="005A48DF"/>
    <w:rsid w:val="005A5956"/>
    <w:rsid w:val="005A6755"/>
    <w:rsid w:val="005B105A"/>
    <w:rsid w:val="005B740C"/>
    <w:rsid w:val="005B78B8"/>
    <w:rsid w:val="005C0632"/>
    <w:rsid w:val="005C14D8"/>
    <w:rsid w:val="005C2846"/>
    <w:rsid w:val="005C291D"/>
    <w:rsid w:val="005C5A61"/>
    <w:rsid w:val="005C5F22"/>
    <w:rsid w:val="005D31AD"/>
    <w:rsid w:val="005D5CC9"/>
    <w:rsid w:val="005F03F6"/>
    <w:rsid w:val="005F11D2"/>
    <w:rsid w:val="005F19BF"/>
    <w:rsid w:val="005F28D9"/>
    <w:rsid w:val="005F3E4F"/>
    <w:rsid w:val="006027E8"/>
    <w:rsid w:val="00606156"/>
    <w:rsid w:val="00610B80"/>
    <w:rsid w:val="00610B92"/>
    <w:rsid w:val="00613493"/>
    <w:rsid w:val="006168B4"/>
    <w:rsid w:val="00617BC2"/>
    <w:rsid w:val="00624509"/>
    <w:rsid w:val="00626D35"/>
    <w:rsid w:val="00635828"/>
    <w:rsid w:val="00641497"/>
    <w:rsid w:val="00642AAD"/>
    <w:rsid w:val="00646A14"/>
    <w:rsid w:val="006516DC"/>
    <w:rsid w:val="00652C3D"/>
    <w:rsid w:val="00652DD6"/>
    <w:rsid w:val="00653930"/>
    <w:rsid w:val="00654054"/>
    <w:rsid w:val="00654789"/>
    <w:rsid w:val="00656D45"/>
    <w:rsid w:val="006619F5"/>
    <w:rsid w:val="006627BE"/>
    <w:rsid w:val="006634B6"/>
    <w:rsid w:val="006675BC"/>
    <w:rsid w:val="00667949"/>
    <w:rsid w:val="0067367E"/>
    <w:rsid w:val="00677858"/>
    <w:rsid w:val="00684FFC"/>
    <w:rsid w:val="00686402"/>
    <w:rsid w:val="00690EE6"/>
    <w:rsid w:val="00691169"/>
    <w:rsid w:val="00691AC4"/>
    <w:rsid w:val="006930BB"/>
    <w:rsid w:val="0069607D"/>
    <w:rsid w:val="006A17A3"/>
    <w:rsid w:val="006A5826"/>
    <w:rsid w:val="006A5A26"/>
    <w:rsid w:val="006B19FA"/>
    <w:rsid w:val="006B277A"/>
    <w:rsid w:val="006B7E6E"/>
    <w:rsid w:val="006B7EBA"/>
    <w:rsid w:val="006C079A"/>
    <w:rsid w:val="006C4875"/>
    <w:rsid w:val="006C5047"/>
    <w:rsid w:val="006C5FB1"/>
    <w:rsid w:val="006D5BBC"/>
    <w:rsid w:val="006E0D8F"/>
    <w:rsid w:val="006E5047"/>
    <w:rsid w:val="006F0BDB"/>
    <w:rsid w:val="006F3284"/>
    <w:rsid w:val="006F6B94"/>
    <w:rsid w:val="00701DAD"/>
    <w:rsid w:val="00705A13"/>
    <w:rsid w:val="00705C26"/>
    <w:rsid w:val="0071553E"/>
    <w:rsid w:val="00716CBF"/>
    <w:rsid w:val="00717E89"/>
    <w:rsid w:val="00722370"/>
    <w:rsid w:val="00724A06"/>
    <w:rsid w:val="007264AE"/>
    <w:rsid w:val="00731D65"/>
    <w:rsid w:val="007363BC"/>
    <w:rsid w:val="00741A10"/>
    <w:rsid w:val="00742626"/>
    <w:rsid w:val="00751790"/>
    <w:rsid w:val="00774020"/>
    <w:rsid w:val="007764BA"/>
    <w:rsid w:val="007812DD"/>
    <w:rsid w:val="00786F66"/>
    <w:rsid w:val="007905DA"/>
    <w:rsid w:val="007A1CE0"/>
    <w:rsid w:val="007A7E1A"/>
    <w:rsid w:val="007B0E29"/>
    <w:rsid w:val="007B7932"/>
    <w:rsid w:val="007C21EE"/>
    <w:rsid w:val="007C4FD6"/>
    <w:rsid w:val="007C618D"/>
    <w:rsid w:val="007D1171"/>
    <w:rsid w:val="007D7863"/>
    <w:rsid w:val="007E000E"/>
    <w:rsid w:val="007E171B"/>
    <w:rsid w:val="007E3722"/>
    <w:rsid w:val="007E37CC"/>
    <w:rsid w:val="007E78F5"/>
    <w:rsid w:val="007F0B79"/>
    <w:rsid w:val="007F2131"/>
    <w:rsid w:val="007F2B19"/>
    <w:rsid w:val="007F4E20"/>
    <w:rsid w:val="008006B0"/>
    <w:rsid w:val="008037F0"/>
    <w:rsid w:val="008068F0"/>
    <w:rsid w:val="008114DC"/>
    <w:rsid w:val="0081650B"/>
    <w:rsid w:val="00820F33"/>
    <w:rsid w:val="00822447"/>
    <w:rsid w:val="0082407F"/>
    <w:rsid w:val="00835916"/>
    <w:rsid w:val="008373D9"/>
    <w:rsid w:val="00840E77"/>
    <w:rsid w:val="00844FE2"/>
    <w:rsid w:val="00845076"/>
    <w:rsid w:val="0085088D"/>
    <w:rsid w:val="00854598"/>
    <w:rsid w:val="0086586C"/>
    <w:rsid w:val="00865A56"/>
    <w:rsid w:val="0087140C"/>
    <w:rsid w:val="00872BB1"/>
    <w:rsid w:val="00873E9D"/>
    <w:rsid w:val="008745CB"/>
    <w:rsid w:val="00876201"/>
    <w:rsid w:val="00884F67"/>
    <w:rsid w:val="008850E3"/>
    <w:rsid w:val="00891014"/>
    <w:rsid w:val="00894F11"/>
    <w:rsid w:val="008957C7"/>
    <w:rsid w:val="00896BD9"/>
    <w:rsid w:val="008A2541"/>
    <w:rsid w:val="008B45FD"/>
    <w:rsid w:val="008B6C25"/>
    <w:rsid w:val="008C17E6"/>
    <w:rsid w:val="008C3C3D"/>
    <w:rsid w:val="008D02D1"/>
    <w:rsid w:val="008D22F6"/>
    <w:rsid w:val="008D28A9"/>
    <w:rsid w:val="008D73F1"/>
    <w:rsid w:val="008E0492"/>
    <w:rsid w:val="008E45A8"/>
    <w:rsid w:val="008E5AE6"/>
    <w:rsid w:val="008F0EF8"/>
    <w:rsid w:val="008F1C3D"/>
    <w:rsid w:val="008F286C"/>
    <w:rsid w:val="008F6969"/>
    <w:rsid w:val="00901014"/>
    <w:rsid w:val="00910872"/>
    <w:rsid w:val="00913421"/>
    <w:rsid w:val="00931D18"/>
    <w:rsid w:val="009345CC"/>
    <w:rsid w:val="00941F86"/>
    <w:rsid w:val="00942C8E"/>
    <w:rsid w:val="009454E9"/>
    <w:rsid w:val="009466E7"/>
    <w:rsid w:val="00951EF4"/>
    <w:rsid w:val="009536FA"/>
    <w:rsid w:val="0095670F"/>
    <w:rsid w:val="0095778D"/>
    <w:rsid w:val="00957D58"/>
    <w:rsid w:val="0096156F"/>
    <w:rsid w:val="00963E74"/>
    <w:rsid w:val="009640DD"/>
    <w:rsid w:val="009701C7"/>
    <w:rsid w:val="00974E0D"/>
    <w:rsid w:val="00975799"/>
    <w:rsid w:val="00975E7E"/>
    <w:rsid w:val="00976823"/>
    <w:rsid w:val="00980DDF"/>
    <w:rsid w:val="0098658A"/>
    <w:rsid w:val="00987018"/>
    <w:rsid w:val="00992167"/>
    <w:rsid w:val="009A0C5C"/>
    <w:rsid w:val="009A5873"/>
    <w:rsid w:val="009B06E4"/>
    <w:rsid w:val="009B4CAD"/>
    <w:rsid w:val="009C6D2D"/>
    <w:rsid w:val="009C7D27"/>
    <w:rsid w:val="009D032D"/>
    <w:rsid w:val="009D12ED"/>
    <w:rsid w:val="009D3F95"/>
    <w:rsid w:val="009D4397"/>
    <w:rsid w:val="009E0D0D"/>
    <w:rsid w:val="009E3E4C"/>
    <w:rsid w:val="009E4F47"/>
    <w:rsid w:val="009E71A8"/>
    <w:rsid w:val="009F2D80"/>
    <w:rsid w:val="009F37AA"/>
    <w:rsid w:val="00A01AD4"/>
    <w:rsid w:val="00A02ADD"/>
    <w:rsid w:val="00A04832"/>
    <w:rsid w:val="00A0521D"/>
    <w:rsid w:val="00A07769"/>
    <w:rsid w:val="00A10F60"/>
    <w:rsid w:val="00A152AC"/>
    <w:rsid w:val="00A15A43"/>
    <w:rsid w:val="00A21AD4"/>
    <w:rsid w:val="00A23DF3"/>
    <w:rsid w:val="00A25937"/>
    <w:rsid w:val="00A3794D"/>
    <w:rsid w:val="00A41B89"/>
    <w:rsid w:val="00A45D17"/>
    <w:rsid w:val="00A45F20"/>
    <w:rsid w:val="00A46295"/>
    <w:rsid w:val="00A5277E"/>
    <w:rsid w:val="00A66966"/>
    <w:rsid w:val="00A669E6"/>
    <w:rsid w:val="00A673ED"/>
    <w:rsid w:val="00A70D69"/>
    <w:rsid w:val="00A72D44"/>
    <w:rsid w:val="00A7379F"/>
    <w:rsid w:val="00A739CD"/>
    <w:rsid w:val="00A752CC"/>
    <w:rsid w:val="00A933EE"/>
    <w:rsid w:val="00A93D87"/>
    <w:rsid w:val="00A95B55"/>
    <w:rsid w:val="00A97C8E"/>
    <w:rsid w:val="00AA24BD"/>
    <w:rsid w:val="00AA41BA"/>
    <w:rsid w:val="00AB7BEE"/>
    <w:rsid w:val="00AC68E0"/>
    <w:rsid w:val="00AD0D97"/>
    <w:rsid w:val="00AD4080"/>
    <w:rsid w:val="00AD5706"/>
    <w:rsid w:val="00AE6F29"/>
    <w:rsid w:val="00AE769C"/>
    <w:rsid w:val="00AF0581"/>
    <w:rsid w:val="00AF08DE"/>
    <w:rsid w:val="00AF2751"/>
    <w:rsid w:val="00AF678D"/>
    <w:rsid w:val="00B01BF2"/>
    <w:rsid w:val="00B03BC0"/>
    <w:rsid w:val="00B03D28"/>
    <w:rsid w:val="00B04122"/>
    <w:rsid w:val="00B04B79"/>
    <w:rsid w:val="00B04DCD"/>
    <w:rsid w:val="00B12ACE"/>
    <w:rsid w:val="00B1398E"/>
    <w:rsid w:val="00B147AF"/>
    <w:rsid w:val="00B21732"/>
    <w:rsid w:val="00B32E0B"/>
    <w:rsid w:val="00B350FA"/>
    <w:rsid w:val="00B47D2D"/>
    <w:rsid w:val="00B55E28"/>
    <w:rsid w:val="00B55FA4"/>
    <w:rsid w:val="00B60F34"/>
    <w:rsid w:val="00B612C5"/>
    <w:rsid w:val="00B61E27"/>
    <w:rsid w:val="00B73FA6"/>
    <w:rsid w:val="00B744FA"/>
    <w:rsid w:val="00B8213A"/>
    <w:rsid w:val="00B8369D"/>
    <w:rsid w:val="00B846D4"/>
    <w:rsid w:val="00B85810"/>
    <w:rsid w:val="00B9062C"/>
    <w:rsid w:val="00B90ED1"/>
    <w:rsid w:val="00B914EF"/>
    <w:rsid w:val="00B95B78"/>
    <w:rsid w:val="00B97687"/>
    <w:rsid w:val="00B97A05"/>
    <w:rsid w:val="00BA7B0F"/>
    <w:rsid w:val="00BB061C"/>
    <w:rsid w:val="00BB1719"/>
    <w:rsid w:val="00BB2A8F"/>
    <w:rsid w:val="00BB3EC1"/>
    <w:rsid w:val="00BB5C25"/>
    <w:rsid w:val="00BB6CE0"/>
    <w:rsid w:val="00BB770B"/>
    <w:rsid w:val="00BC0581"/>
    <w:rsid w:val="00BC211B"/>
    <w:rsid w:val="00BC3E69"/>
    <w:rsid w:val="00BC6C9E"/>
    <w:rsid w:val="00BD08E3"/>
    <w:rsid w:val="00BD25C3"/>
    <w:rsid w:val="00BD7292"/>
    <w:rsid w:val="00BE3859"/>
    <w:rsid w:val="00BE4750"/>
    <w:rsid w:val="00BE64EA"/>
    <w:rsid w:val="00BE6C5A"/>
    <w:rsid w:val="00BF02AC"/>
    <w:rsid w:val="00BF12D8"/>
    <w:rsid w:val="00BF2E43"/>
    <w:rsid w:val="00BF51CE"/>
    <w:rsid w:val="00BF5B86"/>
    <w:rsid w:val="00C00573"/>
    <w:rsid w:val="00C01184"/>
    <w:rsid w:val="00C06E4C"/>
    <w:rsid w:val="00C122E7"/>
    <w:rsid w:val="00C1277C"/>
    <w:rsid w:val="00C15631"/>
    <w:rsid w:val="00C1765E"/>
    <w:rsid w:val="00C21B5F"/>
    <w:rsid w:val="00C268A7"/>
    <w:rsid w:val="00C27263"/>
    <w:rsid w:val="00C35036"/>
    <w:rsid w:val="00C37534"/>
    <w:rsid w:val="00C41CB7"/>
    <w:rsid w:val="00C439EC"/>
    <w:rsid w:val="00C44B89"/>
    <w:rsid w:val="00C46096"/>
    <w:rsid w:val="00C5094E"/>
    <w:rsid w:val="00C5697D"/>
    <w:rsid w:val="00C5761D"/>
    <w:rsid w:val="00C57A06"/>
    <w:rsid w:val="00C614B5"/>
    <w:rsid w:val="00C62E4A"/>
    <w:rsid w:val="00C6436A"/>
    <w:rsid w:val="00C643FC"/>
    <w:rsid w:val="00C67E84"/>
    <w:rsid w:val="00C731D6"/>
    <w:rsid w:val="00C94C5D"/>
    <w:rsid w:val="00C95A45"/>
    <w:rsid w:val="00CA004A"/>
    <w:rsid w:val="00CA200C"/>
    <w:rsid w:val="00CA7590"/>
    <w:rsid w:val="00CB1879"/>
    <w:rsid w:val="00CB2C04"/>
    <w:rsid w:val="00CB46EF"/>
    <w:rsid w:val="00CB4ECE"/>
    <w:rsid w:val="00CB69F3"/>
    <w:rsid w:val="00CD116B"/>
    <w:rsid w:val="00CD15B8"/>
    <w:rsid w:val="00CD7DDE"/>
    <w:rsid w:val="00CE2276"/>
    <w:rsid w:val="00CF08F8"/>
    <w:rsid w:val="00CF3212"/>
    <w:rsid w:val="00CF46CD"/>
    <w:rsid w:val="00CF53E0"/>
    <w:rsid w:val="00CF763E"/>
    <w:rsid w:val="00D01F8F"/>
    <w:rsid w:val="00D0429E"/>
    <w:rsid w:val="00D04864"/>
    <w:rsid w:val="00D055BE"/>
    <w:rsid w:val="00D11BCB"/>
    <w:rsid w:val="00D12DE6"/>
    <w:rsid w:val="00D142C6"/>
    <w:rsid w:val="00D17AEF"/>
    <w:rsid w:val="00D21F88"/>
    <w:rsid w:val="00D2671C"/>
    <w:rsid w:val="00D26DAA"/>
    <w:rsid w:val="00D308CE"/>
    <w:rsid w:val="00D320D7"/>
    <w:rsid w:val="00D41FF8"/>
    <w:rsid w:val="00D430D5"/>
    <w:rsid w:val="00D45EC3"/>
    <w:rsid w:val="00D46429"/>
    <w:rsid w:val="00D4703A"/>
    <w:rsid w:val="00D476B4"/>
    <w:rsid w:val="00D47DB6"/>
    <w:rsid w:val="00D5187C"/>
    <w:rsid w:val="00D54FCC"/>
    <w:rsid w:val="00D558AC"/>
    <w:rsid w:val="00D60302"/>
    <w:rsid w:val="00D64960"/>
    <w:rsid w:val="00D71601"/>
    <w:rsid w:val="00D72E47"/>
    <w:rsid w:val="00D73DC3"/>
    <w:rsid w:val="00D746C8"/>
    <w:rsid w:val="00D74E66"/>
    <w:rsid w:val="00D74EC5"/>
    <w:rsid w:val="00D772C3"/>
    <w:rsid w:val="00D80BCB"/>
    <w:rsid w:val="00D80CB9"/>
    <w:rsid w:val="00D9082D"/>
    <w:rsid w:val="00D93FF8"/>
    <w:rsid w:val="00D95079"/>
    <w:rsid w:val="00D967AC"/>
    <w:rsid w:val="00DA44CD"/>
    <w:rsid w:val="00DA4825"/>
    <w:rsid w:val="00DA73DF"/>
    <w:rsid w:val="00DB25D2"/>
    <w:rsid w:val="00DB7345"/>
    <w:rsid w:val="00DC0D00"/>
    <w:rsid w:val="00DC4BA9"/>
    <w:rsid w:val="00DD0506"/>
    <w:rsid w:val="00DD5B84"/>
    <w:rsid w:val="00DD769D"/>
    <w:rsid w:val="00DE0A79"/>
    <w:rsid w:val="00DE1713"/>
    <w:rsid w:val="00DE7E47"/>
    <w:rsid w:val="00DF3F6E"/>
    <w:rsid w:val="00DF70A4"/>
    <w:rsid w:val="00E00574"/>
    <w:rsid w:val="00E01223"/>
    <w:rsid w:val="00E046EC"/>
    <w:rsid w:val="00E04D54"/>
    <w:rsid w:val="00E05A0A"/>
    <w:rsid w:val="00E06DC2"/>
    <w:rsid w:val="00E10EE3"/>
    <w:rsid w:val="00E172FE"/>
    <w:rsid w:val="00E24C18"/>
    <w:rsid w:val="00E27834"/>
    <w:rsid w:val="00E303FB"/>
    <w:rsid w:val="00E344E2"/>
    <w:rsid w:val="00E36723"/>
    <w:rsid w:val="00E43AFC"/>
    <w:rsid w:val="00E4549E"/>
    <w:rsid w:val="00E51EC9"/>
    <w:rsid w:val="00E53D6D"/>
    <w:rsid w:val="00E54684"/>
    <w:rsid w:val="00E562EA"/>
    <w:rsid w:val="00E56DEF"/>
    <w:rsid w:val="00E64E0D"/>
    <w:rsid w:val="00E70991"/>
    <w:rsid w:val="00E715EB"/>
    <w:rsid w:val="00E71B69"/>
    <w:rsid w:val="00E71EB8"/>
    <w:rsid w:val="00E767BF"/>
    <w:rsid w:val="00E76F77"/>
    <w:rsid w:val="00E800CA"/>
    <w:rsid w:val="00E812D4"/>
    <w:rsid w:val="00E84809"/>
    <w:rsid w:val="00E90B1F"/>
    <w:rsid w:val="00E9250B"/>
    <w:rsid w:val="00E925D0"/>
    <w:rsid w:val="00E93155"/>
    <w:rsid w:val="00E96CA2"/>
    <w:rsid w:val="00E96F43"/>
    <w:rsid w:val="00E9736D"/>
    <w:rsid w:val="00E97424"/>
    <w:rsid w:val="00EA065A"/>
    <w:rsid w:val="00EA5236"/>
    <w:rsid w:val="00EA69F9"/>
    <w:rsid w:val="00EB0B37"/>
    <w:rsid w:val="00EB25FB"/>
    <w:rsid w:val="00EB573E"/>
    <w:rsid w:val="00EB69DE"/>
    <w:rsid w:val="00EB6EA7"/>
    <w:rsid w:val="00EC7C04"/>
    <w:rsid w:val="00ED4603"/>
    <w:rsid w:val="00ED46A4"/>
    <w:rsid w:val="00EE5E9B"/>
    <w:rsid w:val="00EF0A4D"/>
    <w:rsid w:val="00EF2557"/>
    <w:rsid w:val="00EF4B08"/>
    <w:rsid w:val="00EF4C3B"/>
    <w:rsid w:val="00EF68C1"/>
    <w:rsid w:val="00EF6D47"/>
    <w:rsid w:val="00EF6DC9"/>
    <w:rsid w:val="00F06843"/>
    <w:rsid w:val="00F10F62"/>
    <w:rsid w:val="00F12898"/>
    <w:rsid w:val="00F148D3"/>
    <w:rsid w:val="00F14E11"/>
    <w:rsid w:val="00F15F2D"/>
    <w:rsid w:val="00F172C7"/>
    <w:rsid w:val="00F178D3"/>
    <w:rsid w:val="00F25789"/>
    <w:rsid w:val="00F44088"/>
    <w:rsid w:val="00F45316"/>
    <w:rsid w:val="00F461CE"/>
    <w:rsid w:val="00F46EEC"/>
    <w:rsid w:val="00F47DA1"/>
    <w:rsid w:val="00F5028D"/>
    <w:rsid w:val="00F52208"/>
    <w:rsid w:val="00F53CEB"/>
    <w:rsid w:val="00F553A9"/>
    <w:rsid w:val="00F63C7A"/>
    <w:rsid w:val="00F700C6"/>
    <w:rsid w:val="00F7033A"/>
    <w:rsid w:val="00F71948"/>
    <w:rsid w:val="00F721AC"/>
    <w:rsid w:val="00F743AC"/>
    <w:rsid w:val="00F7539B"/>
    <w:rsid w:val="00F772D9"/>
    <w:rsid w:val="00F8056E"/>
    <w:rsid w:val="00F81E5C"/>
    <w:rsid w:val="00F826B8"/>
    <w:rsid w:val="00F84A17"/>
    <w:rsid w:val="00F870FA"/>
    <w:rsid w:val="00F874A3"/>
    <w:rsid w:val="00F90D94"/>
    <w:rsid w:val="00F94C31"/>
    <w:rsid w:val="00FA5900"/>
    <w:rsid w:val="00FA7893"/>
    <w:rsid w:val="00FB0777"/>
    <w:rsid w:val="00FB1BCD"/>
    <w:rsid w:val="00FB3FA0"/>
    <w:rsid w:val="00FB7236"/>
    <w:rsid w:val="00FC116A"/>
    <w:rsid w:val="00FC3BA0"/>
    <w:rsid w:val="00FC60F7"/>
    <w:rsid w:val="00FD00DD"/>
    <w:rsid w:val="00FD04C0"/>
    <w:rsid w:val="00FD490F"/>
    <w:rsid w:val="00FD4F3B"/>
    <w:rsid w:val="00FD76BB"/>
    <w:rsid w:val="00FE19ED"/>
    <w:rsid w:val="00FF09BF"/>
    <w:rsid w:val="00FF2658"/>
    <w:rsid w:val="00FF2736"/>
    <w:rsid w:val="00FF5948"/>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consultation-invitation/consultation-proposed-amendments-poisons-standard-accs-acms-and-joint-accsacms-meetings-july-2017" TargetMode="External"/><Relationship Id="rId18" Type="http://schemas.openxmlformats.org/officeDocument/2006/relationships/hyperlink" Target="https://www.tga.gov.au/scheduling-decision-final/scheduling-delegates-final-decisions-july-2016" TargetMode="External"/><Relationship Id="rId3" Type="http://schemas.openxmlformats.org/officeDocument/2006/relationships/styles" Target="styles.xml"/><Relationship Id="rId21" Type="http://schemas.openxmlformats.org/officeDocument/2006/relationships/fontTable" Target="fontTable.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tga.gov.au/consultation-invitation/consultation-proposed-amendments-poisons-standard-acms-meeting-july-2016" TargetMode="External"/><Relationship Id="rId17" Type="http://schemas.openxmlformats.org/officeDocument/2006/relationships/hyperlink" Target="https://www.tga.gov.au/scheduling-decision-final/scheduling-delegates-final-decision-codeine-december-2016" TargetMode="External"/><Relationship Id="rId2" Type="http://schemas.openxmlformats.org/officeDocument/2006/relationships/numbering" Target="numbering.xml"/><Relationship Id="rId16" Type="http://schemas.openxmlformats.org/officeDocument/2006/relationships/hyperlink" Target="https://www.tga.gov.au/scheduling-decision-interim/scheduling-delegates-interim-decisions-and-invitation-further-comment-accsacms-march-and-july-2017" TargetMode="External"/><Relationship Id="rId20" Type="http://schemas.openxmlformats.org/officeDocument/2006/relationships/footer" Target="footer1.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consultation-invitation/consultation-proposed-amendments-poisons-standard-codeine" TargetMode="External"/><Relationship Id="rId5" Type="http://schemas.openxmlformats.org/officeDocument/2006/relationships/settings" Target="settings.xml"/><Relationship Id="rId15" Type="http://schemas.openxmlformats.org/officeDocument/2006/relationships/hyperlink" Target="https://www.tga.gov.au/scheduling-decision-interim/scheduling-delegates-interim-decisions-and-invitation-further-comment-accsacms-july-2016" TargetMode="External"/><Relationship Id="rId10" Type="http://schemas.openxmlformats.org/officeDocument/2006/relationships/hyperlink" Target="https://www.tga.gov.au/consultation-invitation/consultation-invitation-public-comment-acms-meeting-july-2015" TargetMode="External"/><Relationship Id="rId19" Type="http://schemas.openxmlformats.org/officeDocument/2006/relationships/hyperlink" Target="https://www.tga.gov.au/scheduling-decision-final/scheduling-delegates-final-decisions-october-2017" TargetMode="External"/><Relationship Id="rId4" Type="http://schemas.microsoft.com/office/2007/relationships/stylesWithEffects" Target="stylesWithEffects.xml"/><Relationship Id="rId9" Type="http://schemas.openxmlformats.org/officeDocument/2006/relationships/hyperlink" Target="https://www.tga.gov.au/publication/ahmac-scheduling-policy-framework-medicines-and-chemicals" TargetMode="External"/><Relationship Id="rId14" Type="http://schemas.openxmlformats.org/officeDocument/2006/relationships/hyperlink" Target="https://www.tga.gov.au/scheduling-decision-interim/scheduling-delegates-interim-decisions-and-invitation-further-comment-acms-october-20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2B0B365-02D0-47F4-833C-009A4346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3</cp:revision>
  <cp:lastPrinted>2017-12-06T00:35:00Z</cp:lastPrinted>
  <dcterms:created xsi:type="dcterms:W3CDTF">2018-01-12T03:17:00Z</dcterms:created>
  <dcterms:modified xsi:type="dcterms:W3CDTF">2018-01-12T03:56:00Z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