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D72FBC" w:rsidTr="00A22E0D">
        <w:tc>
          <w:tcPr>
            <w:tcW w:w="4661" w:type="dxa"/>
          </w:tcPr>
          <w:p w:rsidR="00090A6F" w:rsidRPr="00D72FBC" w:rsidRDefault="00364B30">
            <w:pPr>
              <w:pStyle w:val="CoverStandard"/>
            </w:pPr>
            <w:bookmarkStart w:id="0" w:name="_GoBack"/>
            <w:bookmarkEnd w:id="0"/>
            <w:r w:rsidRPr="00D72FBC">
              <w:t>AASB</w:t>
            </w:r>
            <w:r w:rsidR="00831497" w:rsidRPr="00D72FBC">
              <w:t xml:space="preserve"> Standard</w:t>
            </w:r>
          </w:p>
        </w:tc>
        <w:tc>
          <w:tcPr>
            <w:tcW w:w="4661" w:type="dxa"/>
          </w:tcPr>
          <w:p w:rsidR="00090A6F" w:rsidRPr="00D72FBC" w:rsidRDefault="00831497">
            <w:pPr>
              <w:pStyle w:val="CoverNumber"/>
            </w:pPr>
            <w:r w:rsidRPr="00D72FBC">
              <w:t>AASB</w:t>
            </w:r>
            <w:r w:rsidR="00D35A4F">
              <w:t> </w:t>
            </w:r>
            <w:bookmarkStart w:id="1" w:name="DocNo"/>
            <w:r w:rsidR="002310AB">
              <w:t>2017-7</w:t>
            </w:r>
            <w:bookmarkEnd w:id="1"/>
          </w:p>
          <w:p w:rsidR="00090A6F" w:rsidRPr="00D72FBC" w:rsidRDefault="002310AB">
            <w:pPr>
              <w:pStyle w:val="CoverDate"/>
            </w:pPr>
            <w:bookmarkStart w:id="2" w:name="DocDate"/>
            <w:r>
              <w:t>December 2017</w:t>
            </w:r>
            <w:bookmarkEnd w:id="2"/>
          </w:p>
        </w:tc>
      </w:tr>
    </w:tbl>
    <w:p w:rsidR="00090A6F" w:rsidRPr="00D72FBC" w:rsidRDefault="008807EC" w:rsidP="00BF798C">
      <w:pPr>
        <w:pStyle w:val="CoverTitle"/>
        <w:jc w:val="left"/>
      </w:pPr>
      <w:bookmarkStart w:id="3" w:name="DocTitle"/>
      <w:r w:rsidRPr="00D72FBC">
        <w:t>Amendments to Australian Accounting Standards – Long-term Interests in Associates and Joint Ventures</w:t>
      </w:r>
      <w:bookmarkEnd w:id="3"/>
    </w:p>
    <w:p w:rsidR="00C5022C" w:rsidRPr="00D72FBC" w:rsidRDefault="002B7803" w:rsidP="00C5022C">
      <w:pPr>
        <w:pStyle w:val="CoverSubtitle"/>
      </w:pPr>
      <w:r w:rsidRPr="00D72FBC">
        <w:t>[</w:t>
      </w:r>
      <w:bookmarkStart w:id="4" w:name="AmendingNos"/>
      <w:r w:rsidR="008807EC" w:rsidRPr="00D72FBC">
        <w:t>AASB 128</w:t>
      </w:r>
      <w:bookmarkEnd w:id="4"/>
      <w:r w:rsidRPr="00D72FBC">
        <w:t>]</w:t>
      </w:r>
    </w:p>
    <w:p w:rsidR="00737714" w:rsidRPr="00D72FBC" w:rsidRDefault="00737714" w:rsidP="00737714"/>
    <w:p w:rsidR="00090A6F" w:rsidRPr="00D72FBC" w:rsidRDefault="008B643A">
      <w:pPr>
        <w:sectPr w:rsidR="00090A6F" w:rsidRPr="00D72FBC" w:rsidSect="00D74C6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7" w:other="7"/>
          <w:cols w:space="720"/>
        </w:sectPr>
      </w:pPr>
      <w:r w:rsidRPr="00D72FBC">
        <w:rPr>
          <w:noProof/>
          <w:lang w:eastAsia="en-AU"/>
        </w:rPr>
        <w:drawing>
          <wp:anchor distT="0" distB="0" distL="114300" distR="114300" simplePos="0" relativeHeight="251657728" behindDoc="0" locked="1" layoutInCell="1" allowOverlap="1" wp14:anchorId="664C0B6A" wp14:editId="0E5EDDBE">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D72FBC" w:rsidRDefault="00737714" w:rsidP="00F13C5A">
      <w:pPr>
        <w:pStyle w:val="Heading1"/>
      </w:pPr>
      <w:r w:rsidRPr="00D72FBC">
        <w:lastRenderedPageBreak/>
        <w:t xml:space="preserve">Obtaining a </w:t>
      </w:r>
      <w:r w:rsidR="005655CE" w:rsidRPr="00D72FBC">
        <w:t>c</w:t>
      </w:r>
      <w:r w:rsidRPr="00D72FBC">
        <w:t xml:space="preserve">opy of this </w:t>
      </w:r>
      <w:r w:rsidR="00C5022C" w:rsidRPr="00D72FBC">
        <w:t>Accounting Standard</w:t>
      </w:r>
    </w:p>
    <w:p w:rsidR="00737714" w:rsidRPr="00D72FBC" w:rsidRDefault="00737714" w:rsidP="00895809">
      <w:pPr>
        <w:spacing w:after="200"/>
      </w:pPr>
      <w:r w:rsidRPr="00D72FBC">
        <w:t xml:space="preserve">This </w:t>
      </w:r>
      <w:r w:rsidR="00C5022C" w:rsidRPr="00D72FBC">
        <w:t>Standard</w:t>
      </w:r>
      <w:r w:rsidRPr="00D72FBC">
        <w:t xml:space="preserve"> is available o</w:t>
      </w:r>
      <w:r w:rsidR="00923261" w:rsidRPr="00D72FBC">
        <w:t>n the AASB website: www.aasb.gov</w:t>
      </w:r>
      <w:r w:rsidRPr="00D72FBC">
        <w:t>.au.</w:t>
      </w:r>
    </w:p>
    <w:p w:rsidR="00895809" w:rsidRPr="00D72FBC" w:rsidRDefault="00895809" w:rsidP="00895809">
      <w:r w:rsidRPr="00D72FBC">
        <w:t>Australian Accounting Standards Board</w:t>
      </w:r>
    </w:p>
    <w:p w:rsidR="00895809" w:rsidRPr="00D72FBC" w:rsidRDefault="00895809" w:rsidP="00895809">
      <w:r w:rsidRPr="00D72FBC">
        <w:t>PO Box 204</w:t>
      </w:r>
    </w:p>
    <w:p w:rsidR="00895809" w:rsidRPr="00D72FBC" w:rsidRDefault="00895809" w:rsidP="00895809">
      <w:r w:rsidRPr="00D72FBC">
        <w:t>Collins Street West</w:t>
      </w:r>
    </w:p>
    <w:p w:rsidR="00895809" w:rsidRPr="00D72FBC" w:rsidRDefault="00895809" w:rsidP="00895809">
      <w:r w:rsidRPr="00D72FBC">
        <w:t>Victoria   8007</w:t>
      </w:r>
    </w:p>
    <w:p w:rsidR="00895809" w:rsidRPr="00D72FBC" w:rsidRDefault="00895809" w:rsidP="00895809">
      <w:pPr>
        <w:pStyle w:val="CoverContact"/>
        <w:spacing w:after="200"/>
      </w:pPr>
      <w:r w:rsidRPr="00D72FBC">
        <w:t>AUSTRALIA</w:t>
      </w:r>
    </w:p>
    <w:p w:rsidR="00737714" w:rsidRPr="00D72FBC" w:rsidRDefault="00DB00CD" w:rsidP="00B82F15">
      <w:pPr>
        <w:pStyle w:val="CoverContact"/>
      </w:pPr>
      <w:r w:rsidRPr="00D72FBC">
        <w:t>Phone:</w:t>
      </w:r>
      <w:r w:rsidRPr="00D72FBC">
        <w:tab/>
        <w:t>(03) 9617 76</w:t>
      </w:r>
      <w:r w:rsidR="005932BF">
        <w:t>00</w:t>
      </w:r>
    </w:p>
    <w:p w:rsidR="00E96D45" w:rsidRPr="00D72FBC" w:rsidRDefault="00DB00CD" w:rsidP="00DB00CD">
      <w:pPr>
        <w:pStyle w:val="CoverContact"/>
      </w:pPr>
      <w:r w:rsidRPr="00D72FBC">
        <w:t>E-mail:</w:t>
      </w:r>
      <w:r w:rsidRPr="00D72FBC">
        <w:tab/>
      </w:r>
      <w:r w:rsidR="005932BF">
        <w:t>standard</w:t>
      </w:r>
      <w:r w:rsidRPr="00D72FBC">
        <w:t>@aasb.gov.au</w:t>
      </w:r>
    </w:p>
    <w:p w:rsidR="00E96D45" w:rsidRPr="00D72FBC" w:rsidRDefault="00DB00CD" w:rsidP="00DB00CD">
      <w:pPr>
        <w:pStyle w:val="CoverContact"/>
        <w:spacing w:after="240"/>
      </w:pPr>
      <w:r w:rsidRPr="00D72FBC">
        <w:t>Website:</w:t>
      </w:r>
      <w:r w:rsidRPr="00D72FBC">
        <w:tab/>
        <w:t>www.aasb.gov.au</w:t>
      </w:r>
    </w:p>
    <w:p w:rsidR="00090A6F" w:rsidRPr="00D72FBC" w:rsidRDefault="00090A6F" w:rsidP="00F13C5A">
      <w:pPr>
        <w:pStyle w:val="Heading1"/>
      </w:pPr>
      <w:r w:rsidRPr="00D72FBC">
        <w:t xml:space="preserve">Other </w:t>
      </w:r>
      <w:r w:rsidR="005655CE" w:rsidRPr="00D72FBC">
        <w:t>enquiries</w:t>
      </w:r>
    </w:p>
    <w:p w:rsidR="00090A6F" w:rsidRPr="00D72FBC" w:rsidRDefault="00090A6F" w:rsidP="00B82F15">
      <w:pPr>
        <w:pStyle w:val="CoverContact"/>
      </w:pPr>
      <w:r w:rsidRPr="00D72FBC">
        <w:t>Phone:</w:t>
      </w:r>
      <w:r w:rsidRPr="00D72FBC">
        <w:tab/>
        <w:t>(03) 9617 7600</w:t>
      </w:r>
    </w:p>
    <w:p w:rsidR="00090A6F" w:rsidRPr="00D72FBC" w:rsidRDefault="00923261">
      <w:pPr>
        <w:pStyle w:val="CoverContact"/>
      </w:pPr>
      <w:r w:rsidRPr="00D72FBC">
        <w:t>E-mail:</w:t>
      </w:r>
      <w:r w:rsidRPr="00D72FBC">
        <w:tab/>
        <w:t>standard@aasb.gov</w:t>
      </w:r>
      <w:r w:rsidR="00090A6F" w:rsidRPr="00D72FBC">
        <w:t>.au</w:t>
      </w:r>
    </w:p>
    <w:p w:rsidR="00276BC5" w:rsidRPr="00D72FBC" w:rsidRDefault="00276BC5" w:rsidP="00895809">
      <w:pPr>
        <w:pStyle w:val="NoNumPlain1"/>
        <w:spacing w:before="6240"/>
      </w:pPr>
      <w:r w:rsidRPr="00D72FBC">
        <w:t>COPYRIGHT</w:t>
      </w:r>
    </w:p>
    <w:p w:rsidR="00276BC5" w:rsidRPr="00D72FBC" w:rsidRDefault="00276BC5" w:rsidP="00276BC5">
      <w:pPr>
        <w:pStyle w:val="NoNumPlain1"/>
      </w:pPr>
      <w:r w:rsidRPr="00D72FBC">
        <w:t xml:space="preserve">© Commonwealth of Australia </w:t>
      </w:r>
      <w:bookmarkStart w:id="5" w:name="Year"/>
      <w:r w:rsidR="008807EC" w:rsidRPr="00D72FBC">
        <w:t>2017</w:t>
      </w:r>
      <w:bookmarkEnd w:id="5"/>
    </w:p>
    <w:p w:rsidR="00276BC5" w:rsidRPr="00D72FBC" w:rsidRDefault="00276BC5" w:rsidP="00276BC5">
      <w:pPr>
        <w:pStyle w:val="NoNumPlain1"/>
      </w:pPr>
      <w:r w:rsidRPr="00D72FBC">
        <w:t>This AASB Standard contains IFRS Foundation copyright material.  Reproduction within Australia in unaltered form (retaining this notice) is permitted for personal and non</w:t>
      </w:r>
      <w:r w:rsidR="00895809" w:rsidRPr="00D72FBC">
        <w:t>-</w:t>
      </w:r>
      <w:r w:rsidRPr="00D72FBC">
        <w:t xml:space="preserve">commercial use subject to the inclusion of an acknowledgment of the source.  Requests and enquiries concerning reproduction and rights for commercial purposes within Australia should be addressed to The </w:t>
      </w:r>
      <w:r w:rsidR="009C0635">
        <w:t xml:space="preserve">National </w:t>
      </w:r>
      <w:r w:rsidRPr="00D72FBC">
        <w:t xml:space="preserve">Director, Australian Accounting Standards Board, </w:t>
      </w:r>
      <w:r w:rsidR="00895809" w:rsidRPr="00D72FBC">
        <w:t>PO Box </w:t>
      </w:r>
      <w:r w:rsidRPr="00D72FBC">
        <w:t>204, Collins Street West, Victoria 8007.</w:t>
      </w:r>
    </w:p>
    <w:p w:rsidR="00276BC5" w:rsidRPr="00D72FBC" w:rsidRDefault="00276BC5" w:rsidP="00895809">
      <w:pPr>
        <w:spacing w:after="200"/>
      </w:pPr>
      <w:r w:rsidRPr="00D72FBC">
        <w:t>All existing rights in this material are reserved outside Australia.</w:t>
      </w:r>
      <w:r w:rsidR="00895809" w:rsidRPr="00D72FBC">
        <w:t xml:space="preserve">  </w:t>
      </w:r>
      <w:r w:rsidRPr="00D72FBC">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455F0" w:rsidRPr="00D72FBC" w:rsidRDefault="006D4700" w:rsidP="006D4700">
      <w:r w:rsidRPr="00D72FBC">
        <w:t xml:space="preserve">ISSN </w:t>
      </w:r>
      <w:bookmarkStart w:id="6" w:name="ISSN"/>
      <w:r w:rsidR="008807EC" w:rsidRPr="00D72FBC">
        <w:t>1036-4803</w:t>
      </w:r>
      <w:bookmarkEnd w:id="6"/>
    </w:p>
    <w:p w:rsidR="00090A6F" w:rsidRPr="00D72FBC" w:rsidRDefault="00090A6F">
      <w:pPr>
        <w:sectPr w:rsidR="00090A6F" w:rsidRPr="00D72FBC" w:rsidSect="00D74C6A">
          <w:footerReference w:type="default" r:id="rId15"/>
          <w:pgSz w:w="11907" w:h="16840" w:code="9"/>
          <w:pgMar w:top="1418" w:right="1418" w:bottom="1418" w:left="1418" w:header="709" w:footer="709" w:gutter="0"/>
          <w:paperSrc w:first="7" w:other="7"/>
          <w:cols w:space="720"/>
        </w:sectPr>
      </w:pPr>
    </w:p>
    <w:p w:rsidR="00090A6F" w:rsidRPr="00D72FBC" w:rsidRDefault="005655CE">
      <w:pPr>
        <w:pStyle w:val="Heading1"/>
      </w:pPr>
      <w:r w:rsidRPr="00D72FBC">
        <w:lastRenderedPageBreak/>
        <w:t>Contents</w:t>
      </w:r>
    </w:p>
    <w:p w:rsidR="00090A6F" w:rsidRPr="009C0635" w:rsidRDefault="00090A6F">
      <w:pPr>
        <w:pStyle w:val="ContentsCapsPlain"/>
        <w:rPr>
          <w:caps/>
        </w:rPr>
      </w:pPr>
      <w:r w:rsidRPr="009C0635">
        <w:rPr>
          <w:caps/>
        </w:rPr>
        <w:t>Preface</w:t>
      </w:r>
    </w:p>
    <w:p w:rsidR="00090A6F" w:rsidRPr="009C0635" w:rsidRDefault="00090A6F">
      <w:pPr>
        <w:pStyle w:val="ContentsCapsBold"/>
        <w:rPr>
          <w:caps/>
        </w:rPr>
      </w:pPr>
      <w:r w:rsidRPr="009C0635">
        <w:rPr>
          <w:caps/>
        </w:rPr>
        <w:t>Accounting Standard</w:t>
      </w:r>
    </w:p>
    <w:p w:rsidR="00090A6F" w:rsidRPr="009C0635" w:rsidRDefault="00090A6F">
      <w:pPr>
        <w:pStyle w:val="ContentsCapsBold"/>
        <w:rPr>
          <w:i/>
          <w:iCs/>
          <w:caps/>
        </w:rPr>
      </w:pPr>
      <w:r w:rsidRPr="009C0635">
        <w:rPr>
          <w:caps/>
        </w:rPr>
        <w:t>AASB</w:t>
      </w:r>
      <w:r w:rsidR="00D35A4F" w:rsidRPr="009C0635">
        <w:rPr>
          <w:caps/>
        </w:rPr>
        <w:t> </w:t>
      </w:r>
      <w:r w:rsidR="009C2479" w:rsidRPr="009C0635">
        <w:rPr>
          <w:iCs/>
          <w:caps/>
        </w:rPr>
        <w:fldChar w:fldCharType="begin" w:fldLock="1"/>
      </w:r>
      <w:r w:rsidR="009C2479" w:rsidRPr="009C0635">
        <w:rPr>
          <w:iCs/>
          <w:caps/>
        </w:rPr>
        <w:instrText xml:space="preserve"> REF DocNo \* charformat </w:instrText>
      </w:r>
      <w:r w:rsidR="009C0635">
        <w:rPr>
          <w:iCs/>
          <w:caps/>
        </w:rPr>
        <w:instrText xml:space="preserve"> \* MERGEFORMAT </w:instrText>
      </w:r>
      <w:r w:rsidR="009C2479" w:rsidRPr="009C0635">
        <w:rPr>
          <w:iCs/>
          <w:caps/>
        </w:rPr>
        <w:fldChar w:fldCharType="separate"/>
      </w:r>
      <w:r w:rsidR="00D33158" w:rsidRPr="00D33158">
        <w:rPr>
          <w:iCs/>
          <w:caps/>
        </w:rPr>
        <w:t>2017-7</w:t>
      </w:r>
      <w:r w:rsidR="009C2479" w:rsidRPr="009C0635">
        <w:rPr>
          <w:iCs/>
          <w:caps/>
        </w:rPr>
        <w:fldChar w:fldCharType="end"/>
      </w:r>
      <w:r w:rsidRPr="009C0635">
        <w:rPr>
          <w:caps/>
        </w:rPr>
        <w:t xml:space="preserve"> </w:t>
      </w:r>
      <w:r w:rsidR="00CC1DF4" w:rsidRPr="009C0635">
        <w:rPr>
          <w:i/>
          <w:caps/>
        </w:rPr>
        <w:fldChar w:fldCharType="begin" w:fldLock="1"/>
      </w:r>
      <w:r w:rsidR="00CC1DF4" w:rsidRPr="009C0635">
        <w:rPr>
          <w:i/>
          <w:caps/>
        </w:rPr>
        <w:instrText xml:space="preserve"> REF DocTitle \* charformat </w:instrText>
      </w:r>
      <w:r w:rsidR="009C0635">
        <w:rPr>
          <w:i/>
          <w:caps/>
        </w:rPr>
        <w:instrText xml:space="preserve"> \* MERGEFORMAT </w:instrText>
      </w:r>
      <w:r w:rsidR="00CC1DF4" w:rsidRPr="009C0635">
        <w:rPr>
          <w:i/>
          <w:caps/>
        </w:rPr>
        <w:fldChar w:fldCharType="separate"/>
      </w:r>
      <w:r w:rsidR="00D33158" w:rsidRPr="00D33158">
        <w:rPr>
          <w:i/>
          <w:caps/>
        </w:rPr>
        <w:t>Amendments to Australian Accounting Standards – Long-term Interests in Associates and Joint Ventures</w:t>
      </w:r>
      <w:r w:rsidR="00CC1DF4" w:rsidRPr="009C0635">
        <w:rPr>
          <w:i/>
          <w:caps/>
        </w:rPr>
        <w:fldChar w:fldCharType="end"/>
      </w:r>
    </w:p>
    <w:p w:rsidR="002B7803" w:rsidRPr="00D72FBC" w:rsidRDefault="002B7803" w:rsidP="002B7803"/>
    <w:p w:rsidR="00090A6F" w:rsidRPr="00D72FBC" w:rsidRDefault="009965BA">
      <w:pPr>
        <w:pStyle w:val="ContentsParaHead"/>
      </w:pPr>
      <w:r w:rsidRPr="00D72FBC">
        <w:t>from page</w:t>
      </w:r>
    </w:p>
    <w:p w:rsidR="001E02CB" w:rsidRPr="009C0635" w:rsidRDefault="001E02CB" w:rsidP="001E02CB">
      <w:pPr>
        <w:pStyle w:val="ContentsLevel1"/>
        <w:rPr>
          <w:b/>
          <w:caps/>
        </w:rPr>
      </w:pPr>
      <w:bookmarkStart w:id="7" w:name="TOCRange"/>
      <w:r w:rsidRPr="009C0635">
        <w:rPr>
          <w:b/>
          <w:caps/>
        </w:rPr>
        <w:t>Objective</w:t>
      </w:r>
      <w:r w:rsidRPr="009C0635">
        <w:rPr>
          <w:b/>
          <w:caps/>
        </w:rPr>
        <w:tab/>
        <w:t>5</w:t>
      </w:r>
    </w:p>
    <w:p w:rsidR="001E02CB" w:rsidRPr="009C0635" w:rsidRDefault="001E02CB" w:rsidP="001E02CB">
      <w:pPr>
        <w:pStyle w:val="ContentsLevel1"/>
        <w:rPr>
          <w:b/>
          <w:caps/>
        </w:rPr>
      </w:pPr>
      <w:r w:rsidRPr="009C0635">
        <w:rPr>
          <w:b/>
          <w:caps/>
        </w:rPr>
        <w:t>Application</w:t>
      </w:r>
      <w:r w:rsidRPr="009C0635">
        <w:rPr>
          <w:b/>
          <w:caps/>
        </w:rPr>
        <w:tab/>
        <w:t>5</w:t>
      </w:r>
    </w:p>
    <w:p w:rsidR="001E02CB" w:rsidRPr="009C0635" w:rsidRDefault="001E02CB" w:rsidP="001E02CB">
      <w:pPr>
        <w:pStyle w:val="ContentsLevel1"/>
        <w:rPr>
          <w:b/>
          <w:caps/>
        </w:rPr>
      </w:pPr>
      <w:r w:rsidRPr="009C0635">
        <w:rPr>
          <w:b/>
          <w:caps/>
        </w:rPr>
        <w:t>Amendments to AASB 128</w:t>
      </w:r>
      <w:r w:rsidRPr="009C0635">
        <w:rPr>
          <w:b/>
          <w:caps/>
        </w:rPr>
        <w:tab/>
        <w:t>5</w:t>
      </w:r>
    </w:p>
    <w:p w:rsidR="001E02CB" w:rsidRPr="009C0635" w:rsidRDefault="001E02CB" w:rsidP="001E02CB">
      <w:pPr>
        <w:pStyle w:val="ContentsLevel1"/>
        <w:rPr>
          <w:b/>
          <w:caps/>
        </w:rPr>
      </w:pPr>
      <w:r w:rsidRPr="009C0635">
        <w:rPr>
          <w:b/>
          <w:caps/>
        </w:rPr>
        <w:t>Commencement of the legislative instrument</w:t>
      </w:r>
      <w:r w:rsidRPr="009C0635">
        <w:rPr>
          <w:b/>
          <w:caps/>
        </w:rPr>
        <w:tab/>
        <w:t>6</w:t>
      </w:r>
    </w:p>
    <w:p w:rsidR="009C0635" w:rsidRPr="009C0635" w:rsidRDefault="009C0635" w:rsidP="001E02CB">
      <w:pPr>
        <w:pStyle w:val="ContentsLevel1"/>
        <w:rPr>
          <w:b/>
          <w:caps/>
        </w:rPr>
      </w:pPr>
    </w:p>
    <w:p w:rsidR="009C0635" w:rsidRPr="009C0635" w:rsidRDefault="009C0635" w:rsidP="001E02CB">
      <w:pPr>
        <w:pStyle w:val="ContentsLevel1"/>
        <w:rPr>
          <w:b/>
          <w:caps/>
        </w:rPr>
      </w:pPr>
      <w:r w:rsidRPr="009C0635">
        <w:rPr>
          <w:b/>
          <w:caps/>
        </w:rPr>
        <w:t>Available on the AASB website</w:t>
      </w:r>
    </w:p>
    <w:p w:rsidR="000C56CD" w:rsidRPr="009C0635" w:rsidRDefault="000C56CD" w:rsidP="000C56CD">
      <w:pPr>
        <w:pStyle w:val="ContentsLevel1"/>
        <w:rPr>
          <w:b/>
        </w:rPr>
      </w:pPr>
      <w:r w:rsidRPr="009C0635">
        <w:rPr>
          <w:b/>
        </w:rPr>
        <w:t xml:space="preserve">Illustrative </w:t>
      </w:r>
      <w:r>
        <w:rPr>
          <w:b/>
        </w:rPr>
        <w:t>e</w:t>
      </w:r>
      <w:r w:rsidRPr="009C0635">
        <w:rPr>
          <w:b/>
        </w:rPr>
        <w:t>xam</w:t>
      </w:r>
      <w:r>
        <w:rPr>
          <w:b/>
        </w:rPr>
        <w:t xml:space="preserve">ple </w:t>
      </w:r>
      <w:r w:rsidR="009A0274">
        <w:rPr>
          <w:b/>
        </w:rPr>
        <w:t>for</w:t>
      </w:r>
      <w:r>
        <w:rPr>
          <w:b/>
        </w:rPr>
        <w:t xml:space="preserve"> IAS 28</w:t>
      </w:r>
    </w:p>
    <w:p w:rsidR="009C0635" w:rsidRPr="009C0635" w:rsidRDefault="009C0635" w:rsidP="001E02CB">
      <w:pPr>
        <w:pStyle w:val="ContentsLevel1"/>
        <w:rPr>
          <w:b/>
        </w:rPr>
      </w:pPr>
      <w:r w:rsidRPr="009C0635">
        <w:rPr>
          <w:b/>
        </w:rPr>
        <w:t>Basis for Conclusions on IAS 28 – Amendments</w:t>
      </w:r>
    </w:p>
    <w:p w:rsidR="009C0635" w:rsidRDefault="009C0635" w:rsidP="001E02CB">
      <w:pPr>
        <w:pStyle w:val="ContentsLevel1"/>
      </w:pPr>
    </w:p>
    <w:p w:rsidR="00BD3341" w:rsidRDefault="00BD3341" w:rsidP="001E02CB">
      <w:pPr>
        <w:pStyle w:val="ContentsLevel1"/>
      </w:pPr>
    </w:p>
    <w:bookmarkEnd w:id="7"/>
    <w:p w:rsidR="00090A6F" w:rsidRPr="00D72FBC" w:rsidRDefault="00090A6F">
      <w:pPr>
        <w:pStyle w:val="ContentsBox"/>
      </w:pPr>
      <w:r w:rsidRPr="00D72FBC">
        <w:t>Australian Accounting Standard AASB</w:t>
      </w:r>
      <w:r w:rsidR="00D35A4F">
        <w:t> </w:t>
      </w:r>
      <w:r w:rsidR="00BC0D5D" w:rsidRPr="00D72FBC">
        <w:rPr>
          <w:iCs/>
        </w:rPr>
        <w:fldChar w:fldCharType="begin" w:fldLock="1"/>
      </w:r>
      <w:r w:rsidR="00BC0D5D" w:rsidRPr="00D72FBC">
        <w:rPr>
          <w:iCs/>
        </w:rPr>
        <w:instrText xml:space="preserve"> REF </w:instrText>
      </w:r>
      <w:r w:rsidR="009C2479" w:rsidRPr="00D72FBC">
        <w:rPr>
          <w:iCs/>
        </w:rPr>
        <w:instrText>Doc</w:instrText>
      </w:r>
      <w:r w:rsidR="00BC0D5D" w:rsidRPr="00D72FBC">
        <w:rPr>
          <w:iCs/>
        </w:rPr>
        <w:instrText xml:space="preserve">No \* charformat </w:instrText>
      </w:r>
      <w:r w:rsidR="00BC0D5D" w:rsidRPr="00D72FBC">
        <w:rPr>
          <w:iCs/>
        </w:rPr>
        <w:fldChar w:fldCharType="separate"/>
      </w:r>
      <w:r w:rsidR="00D33158" w:rsidRPr="00D33158">
        <w:rPr>
          <w:iCs/>
        </w:rPr>
        <w:t>2017-7</w:t>
      </w:r>
      <w:r w:rsidR="00BC0D5D" w:rsidRPr="00D72FBC">
        <w:rPr>
          <w:iCs/>
        </w:rPr>
        <w:fldChar w:fldCharType="end"/>
      </w:r>
      <w:r w:rsidRPr="00D72FBC">
        <w:t xml:space="preserve"> </w:t>
      </w:r>
      <w:r w:rsidR="00CC1DF4" w:rsidRPr="00D72FBC">
        <w:rPr>
          <w:i/>
        </w:rPr>
        <w:fldChar w:fldCharType="begin" w:fldLock="1"/>
      </w:r>
      <w:r w:rsidR="00CC1DF4" w:rsidRPr="00D72FBC">
        <w:rPr>
          <w:i/>
        </w:rPr>
        <w:instrText xml:space="preserve"> REF DocTitle \* charformat </w:instrText>
      </w:r>
      <w:r w:rsidR="00CC1DF4" w:rsidRPr="00D72FBC">
        <w:rPr>
          <w:i/>
        </w:rPr>
        <w:fldChar w:fldCharType="separate"/>
      </w:r>
      <w:r w:rsidR="00D33158" w:rsidRPr="00D33158">
        <w:rPr>
          <w:i/>
        </w:rPr>
        <w:t>Amendments to Australian Accounting Standards – Long-term Interests in Associates and Joint Ventures</w:t>
      </w:r>
      <w:r w:rsidR="00CC1DF4" w:rsidRPr="00D72FBC">
        <w:rPr>
          <w:i/>
        </w:rPr>
        <w:fldChar w:fldCharType="end"/>
      </w:r>
      <w:r w:rsidRPr="00D72FBC">
        <w:rPr>
          <w:i/>
          <w:iCs/>
        </w:rPr>
        <w:t xml:space="preserve"> </w:t>
      </w:r>
      <w:r w:rsidRPr="00D72FBC">
        <w:t xml:space="preserve">is set out </w:t>
      </w:r>
      <w:r w:rsidR="005655CE" w:rsidRPr="00D72FBC">
        <w:t>o</w:t>
      </w:r>
      <w:r w:rsidRPr="00D72FBC">
        <w:t xml:space="preserve">n </w:t>
      </w:r>
      <w:r w:rsidR="005655CE" w:rsidRPr="00D72FBC">
        <w:t>pages</w:t>
      </w:r>
      <w:r w:rsidRPr="00D72FBC">
        <w:t xml:space="preserve"> </w:t>
      </w:r>
      <w:r w:rsidR="001E02CB">
        <w:t>5 – 6</w:t>
      </w:r>
      <w:r w:rsidRPr="00D72FBC">
        <w:t>. All the pa</w:t>
      </w:r>
      <w:r w:rsidR="009C2479" w:rsidRPr="00D72FBC">
        <w:t>ragraphs have equal authority.</w:t>
      </w:r>
    </w:p>
    <w:p w:rsidR="00090A6F" w:rsidRPr="00D72FBC" w:rsidRDefault="00090A6F">
      <w:pPr>
        <w:pStyle w:val="ContentsBox"/>
        <w:pBdr>
          <w:top w:val="none" w:sz="0" w:space="0" w:color="auto"/>
          <w:left w:val="none" w:sz="0" w:space="0" w:color="auto"/>
          <w:bottom w:val="none" w:sz="0" w:space="0" w:color="auto"/>
          <w:right w:val="none" w:sz="0" w:space="0" w:color="auto"/>
        </w:pBdr>
      </w:pPr>
    </w:p>
    <w:p w:rsidR="00090A6F" w:rsidRPr="00D72FBC" w:rsidRDefault="00090A6F">
      <w:pPr>
        <w:sectPr w:rsidR="00090A6F" w:rsidRPr="00D72FBC" w:rsidSect="00D74C6A">
          <w:footerReference w:type="default" r:id="rId16"/>
          <w:pgSz w:w="11907" w:h="16840" w:code="9"/>
          <w:pgMar w:top="1418" w:right="1418" w:bottom="1418" w:left="1418" w:header="709" w:footer="709" w:gutter="0"/>
          <w:paperSrc w:first="7" w:other="7"/>
          <w:cols w:space="720"/>
        </w:sectPr>
      </w:pPr>
    </w:p>
    <w:p w:rsidR="00090A6F" w:rsidRPr="00D72FBC" w:rsidRDefault="00090A6F">
      <w:pPr>
        <w:pStyle w:val="Heading1"/>
      </w:pPr>
      <w:r w:rsidRPr="00D72FBC">
        <w:lastRenderedPageBreak/>
        <w:t>Preface</w:t>
      </w:r>
    </w:p>
    <w:p w:rsidR="000F64CC" w:rsidRPr="00D72FBC" w:rsidRDefault="00CA61C5">
      <w:pPr>
        <w:pStyle w:val="Heading2"/>
      </w:pPr>
      <w:r w:rsidRPr="00D72FBC">
        <w:t>Standards amended by AASB</w:t>
      </w:r>
      <w:r w:rsidR="00D35A4F">
        <w:t> </w:t>
      </w:r>
      <w:r w:rsidRPr="00D72FBC">
        <w:fldChar w:fldCharType="begin" w:fldLock="1"/>
      </w:r>
      <w:r w:rsidRPr="00D72FBC">
        <w:instrText xml:space="preserve"> REF DocNo \* charformat</w:instrText>
      </w:r>
      <w:r w:rsidRPr="00D72FBC">
        <w:fldChar w:fldCharType="separate"/>
      </w:r>
      <w:r w:rsidR="00D33158">
        <w:t>2017-7</w:t>
      </w:r>
      <w:r w:rsidRPr="00D72FBC">
        <w:fldChar w:fldCharType="end"/>
      </w:r>
    </w:p>
    <w:p w:rsidR="008A16EB" w:rsidRPr="00D72FBC" w:rsidRDefault="009C2479" w:rsidP="005A2514">
      <w:pPr>
        <w:pStyle w:val="NoNumPlain1"/>
      </w:pPr>
      <w:r w:rsidRPr="00D72FBC">
        <w:t xml:space="preserve">This Standard makes amendments to </w:t>
      </w:r>
      <w:r w:rsidR="00BF798C" w:rsidRPr="00D72FBC">
        <w:t xml:space="preserve">AASB 128 </w:t>
      </w:r>
      <w:r w:rsidR="00BF798C" w:rsidRPr="00D72FBC">
        <w:rPr>
          <w:i/>
        </w:rPr>
        <w:t>Investments in Associates and Joint Ventures</w:t>
      </w:r>
      <w:r w:rsidR="00EC525D">
        <w:t xml:space="preserve"> (August 2015)</w:t>
      </w:r>
      <w:r w:rsidR="005A2514" w:rsidRPr="00D72FBC">
        <w:t>.</w:t>
      </w:r>
    </w:p>
    <w:p w:rsidR="008A16EB" w:rsidRPr="00D72FBC" w:rsidRDefault="00401ECA" w:rsidP="00401ECA">
      <w:pPr>
        <w:pStyle w:val="NoNumPlain1"/>
      </w:pPr>
      <w:r w:rsidRPr="00D72FBC">
        <w:t xml:space="preserve">These </w:t>
      </w:r>
      <w:r w:rsidR="00460FBB" w:rsidRPr="00D72FBC">
        <w:t>a</w:t>
      </w:r>
      <w:r w:rsidRPr="00D72FBC">
        <w:t>mendments arise from</w:t>
      </w:r>
      <w:r w:rsidR="00D00FD5" w:rsidRPr="00D72FBC">
        <w:t xml:space="preserve"> the issuance of </w:t>
      </w:r>
      <w:r w:rsidR="008A16EB" w:rsidRPr="00D72FBC">
        <w:t xml:space="preserve">International Financial Reporting Standard </w:t>
      </w:r>
      <w:bookmarkStart w:id="8" w:name="ArisingTitle"/>
      <w:r w:rsidR="009C0635" w:rsidRPr="009C0635">
        <w:rPr>
          <w:i/>
        </w:rPr>
        <w:t xml:space="preserve">Long-term Interests in Associates and Joint Ventures </w:t>
      </w:r>
      <w:r w:rsidR="009C0635" w:rsidRPr="00A64DD5">
        <w:t>(Amendments to IAS 28)</w:t>
      </w:r>
      <w:bookmarkEnd w:id="8"/>
      <w:r w:rsidR="008A16EB" w:rsidRPr="00D72FBC">
        <w:t xml:space="preserve"> by the International Accounting Standards Board (IASB) in </w:t>
      </w:r>
      <w:bookmarkStart w:id="9" w:name="ArisingDate"/>
      <w:r w:rsidR="008807EC" w:rsidRPr="00D72FBC">
        <w:t>October 2017</w:t>
      </w:r>
      <w:bookmarkEnd w:id="9"/>
      <w:r w:rsidR="008A16EB" w:rsidRPr="00D72FBC">
        <w:t>.</w:t>
      </w:r>
    </w:p>
    <w:p w:rsidR="00090A6F" w:rsidRPr="00D72FBC" w:rsidRDefault="00F22AF2" w:rsidP="00F22AF2">
      <w:pPr>
        <w:pStyle w:val="Heading2"/>
      </w:pPr>
      <w:r w:rsidRPr="00D72FBC">
        <w:t>Main features of this Standard</w:t>
      </w:r>
    </w:p>
    <w:p w:rsidR="00F22AF2" w:rsidRPr="00D72FBC" w:rsidRDefault="00F22AF2" w:rsidP="00F22AF2">
      <w:pPr>
        <w:pStyle w:val="Heading2Indent1"/>
      </w:pPr>
      <w:r w:rsidRPr="00D72FBC">
        <w:t>Main requirements</w:t>
      </w:r>
    </w:p>
    <w:p w:rsidR="004C0DDC" w:rsidRDefault="004C0DDC" w:rsidP="00F22AF2">
      <w:pPr>
        <w:pStyle w:val="NoNumPlain1"/>
      </w:pPr>
      <w:r>
        <w:t xml:space="preserve">This Standard amends AASB 128 to clarify that an entity is required to account for long-term interests in an associate or joint venture, which in substance form part of the net investment in the associate or joint venture but to which the equity method is not applied, using AASB 9 </w:t>
      </w:r>
      <w:r>
        <w:rPr>
          <w:i/>
        </w:rPr>
        <w:t>Financial Instruments</w:t>
      </w:r>
      <w:r>
        <w:t xml:space="preserve"> before applying the loss allocation and impairment requirements in AASB 128.</w:t>
      </w:r>
    </w:p>
    <w:p w:rsidR="00F22AF2" w:rsidRPr="00D72FBC" w:rsidRDefault="00F22AF2" w:rsidP="00F22AF2">
      <w:pPr>
        <w:pStyle w:val="Heading2Indent1"/>
      </w:pPr>
      <w:r w:rsidRPr="00D72FBC">
        <w:t>Application date</w:t>
      </w:r>
    </w:p>
    <w:p w:rsidR="00F22AF2" w:rsidRPr="00D72FBC" w:rsidRDefault="00B16904" w:rsidP="00F22AF2">
      <w:pPr>
        <w:pStyle w:val="NoNumPlain1"/>
      </w:pPr>
      <w:r w:rsidRPr="00D72FBC">
        <w:t xml:space="preserve">This Standard applies to annual periods </w:t>
      </w:r>
      <w:bookmarkStart w:id="10" w:name="ApplyText"/>
      <w:r w:rsidRPr="00D72FBC">
        <w:t>beginning</w:t>
      </w:r>
      <w:bookmarkEnd w:id="10"/>
      <w:r w:rsidRPr="00D72FBC">
        <w:t xml:space="preserve"> on or after</w:t>
      </w:r>
      <w:r w:rsidR="00867FB0" w:rsidRPr="00D72FBC">
        <w:t xml:space="preserve"> </w:t>
      </w:r>
      <w:bookmarkStart w:id="11" w:name="ApplyDate"/>
      <w:r w:rsidR="008807EC" w:rsidRPr="00D72FBC">
        <w:t>1 January 2019</w:t>
      </w:r>
      <w:bookmarkEnd w:id="11"/>
      <w:r w:rsidRPr="00D72FBC">
        <w:t>.  Earlier application is permitted.</w:t>
      </w:r>
    </w:p>
    <w:p w:rsidR="00F22AF2" w:rsidRPr="00D72FBC" w:rsidRDefault="00F22AF2"/>
    <w:p w:rsidR="00090A6F" w:rsidRPr="00D72FBC" w:rsidRDefault="00090A6F">
      <w:pPr>
        <w:sectPr w:rsidR="00090A6F" w:rsidRPr="00D72FBC" w:rsidSect="00D74C6A">
          <w:footerReference w:type="default" r:id="rId17"/>
          <w:pgSz w:w="11907" w:h="16840" w:code="9"/>
          <w:pgMar w:top="1418" w:right="1418" w:bottom="1418" w:left="1418" w:header="709" w:footer="709" w:gutter="0"/>
          <w:paperSrc w:first="7" w:other="7"/>
          <w:cols w:space="720"/>
        </w:sectPr>
      </w:pPr>
    </w:p>
    <w:p w:rsidR="001662B8" w:rsidRPr="00D72FBC" w:rsidRDefault="00F13C5A" w:rsidP="001662B8">
      <w:pPr>
        <w:pStyle w:val="Heading1"/>
      </w:pPr>
      <w:r w:rsidRPr="00D72FBC">
        <w:lastRenderedPageBreak/>
        <w:t xml:space="preserve">Accounting Standard </w:t>
      </w:r>
      <w:r w:rsidR="001662B8" w:rsidRPr="00D72FBC">
        <w:t>AASB</w:t>
      </w:r>
      <w:r w:rsidR="00D35A4F">
        <w:t> </w:t>
      </w:r>
      <w:r w:rsidR="001662B8" w:rsidRPr="00D72FBC">
        <w:rPr>
          <w:iCs/>
        </w:rPr>
        <w:fldChar w:fldCharType="begin" w:fldLock="1"/>
      </w:r>
      <w:r w:rsidR="001662B8" w:rsidRPr="00D72FBC">
        <w:rPr>
          <w:iCs/>
        </w:rPr>
        <w:instrText xml:space="preserve"> REF DocNo \* charformat </w:instrText>
      </w:r>
      <w:r w:rsidR="001662B8" w:rsidRPr="00D72FBC">
        <w:rPr>
          <w:iCs/>
        </w:rPr>
        <w:fldChar w:fldCharType="separate"/>
      </w:r>
      <w:r w:rsidR="00D33158" w:rsidRPr="00D33158">
        <w:rPr>
          <w:iCs/>
        </w:rPr>
        <w:t>2017-7</w:t>
      </w:r>
      <w:r w:rsidR="001662B8" w:rsidRPr="00D72FBC">
        <w:rPr>
          <w:iCs/>
        </w:rPr>
        <w:fldChar w:fldCharType="end"/>
      </w:r>
    </w:p>
    <w:p w:rsidR="001662B8" w:rsidRPr="00D72FBC" w:rsidRDefault="001662B8" w:rsidP="003E1900">
      <w:pPr>
        <w:pStyle w:val="NoNumPlain1"/>
      </w:pPr>
      <w:r w:rsidRPr="00D72FBC">
        <w:t>The Australian Accounting Standards Board makes Accounting Standard AASB </w:t>
      </w:r>
      <w:r w:rsidR="00796024">
        <w:fldChar w:fldCharType="begin" w:fldLock="1"/>
      </w:r>
      <w:r w:rsidR="00796024">
        <w:instrText xml:space="preserve"> REF DocNo  \* charformat </w:instrText>
      </w:r>
      <w:r w:rsidR="00796024">
        <w:fldChar w:fldCharType="separate"/>
      </w:r>
      <w:r w:rsidR="00D33158">
        <w:t>2017-7</w:t>
      </w:r>
      <w:r w:rsidR="00796024">
        <w:fldChar w:fldCharType="end"/>
      </w:r>
      <w:r w:rsidRPr="00D72FBC">
        <w:t xml:space="preserve"> </w:t>
      </w:r>
      <w:r w:rsidR="00CC1DF4" w:rsidRPr="00D72FBC">
        <w:rPr>
          <w:i/>
        </w:rPr>
        <w:fldChar w:fldCharType="begin" w:fldLock="1"/>
      </w:r>
      <w:r w:rsidR="00CC1DF4" w:rsidRPr="00D72FBC">
        <w:rPr>
          <w:i/>
        </w:rPr>
        <w:instrText xml:space="preserve"> REF DocTitle \* charformat </w:instrText>
      </w:r>
      <w:r w:rsidR="00CC1DF4" w:rsidRPr="00D72FBC">
        <w:rPr>
          <w:i/>
        </w:rPr>
        <w:fldChar w:fldCharType="separate"/>
      </w:r>
      <w:r w:rsidR="00D33158" w:rsidRPr="00D33158">
        <w:rPr>
          <w:i/>
        </w:rPr>
        <w:t>Amendments to Australian Accounting Standards – Long-term Interests in Associates and Joint Ventures</w:t>
      </w:r>
      <w:r w:rsidR="00CC1DF4" w:rsidRPr="00D72FBC">
        <w:rPr>
          <w:i/>
        </w:rPr>
        <w:fldChar w:fldCharType="end"/>
      </w:r>
      <w:bookmarkStart w:id="12" w:name="CorpsAct"/>
      <w:r w:rsidR="002B7803" w:rsidRPr="00D72FBC">
        <w:rPr>
          <w:i/>
          <w:iCs/>
        </w:rPr>
        <w:t xml:space="preserve"> </w:t>
      </w:r>
      <w:r w:rsidRPr="00D72FBC">
        <w:t xml:space="preserve">under section 334 of the </w:t>
      </w:r>
      <w:r w:rsidRPr="00D72FBC">
        <w:rPr>
          <w:i/>
          <w:iCs/>
        </w:rPr>
        <w:t>Corporations Act 2001</w:t>
      </w:r>
      <w:bookmarkEnd w:id="12"/>
      <w:r w:rsidRPr="00D72FBC">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D72FBC" w:rsidTr="008C1C4A">
        <w:tc>
          <w:tcPr>
            <w:tcW w:w="4361" w:type="dxa"/>
          </w:tcPr>
          <w:p w:rsidR="00C03C7B" w:rsidRPr="00D72FBC" w:rsidRDefault="00C03C7B" w:rsidP="0048155F"/>
        </w:tc>
        <w:tc>
          <w:tcPr>
            <w:tcW w:w="4961" w:type="dxa"/>
          </w:tcPr>
          <w:p w:rsidR="00C03C7B" w:rsidRPr="00D72FBC" w:rsidRDefault="008F3EBA" w:rsidP="0048155F">
            <w:pPr>
              <w:jc w:val="right"/>
            </w:pPr>
            <w:r w:rsidRPr="00D72FBC">
              <w:t>Kris Peach</w:t>
            </w:r>
          </w:p>
        </w:tc>
      </w:tr>
      <w:tr w:rsidR="00C03C7B" w:rsidRPr="00D72FBC" w:rsidTr="008C1C4A">
        <w:tc>
          <w:tcPr>
            <w:tcW w:w="4361" w:type="dxa"/>
          </w:tcPr>
          <w:p w:rsidR="00C03C7B" w:rsidRPr="00D72FBC" w:rsidRDefault="00C03C7B" w:rsidP="0048155F">
            <w:r w:rsidRPr="00D72FBC">
              <w:t xml:space="preserve">Dated </w:t>
            </w:r>
            <w:bookmarkStart w:id="13" w:name="DateSigned"/>
            <w:r w:rsidR="00D33158">
              <w:t>12 December 2017</w:t>
            </w:r>
            <w:bookmarkEnd w:id="13"/>
          </w:p>
        </w:tc>
        <w:tc>
          <w:tcPr>
            <w:tcW w:w="4961" w:type="dxa"/>
          </w:tcPr>
          <w:p w:rsidR="00C03C7B" w:rsidRPr="00D72FBC" w:rsidRDefault="00C03C7B" w:rsidP="0048155F">
            <w:pPr>
              <w:jc w:val="right"/>
            </w:pPr>
            <w:r w:rsidRPr="00D72FBC">
              <w:t>Chair – AASB</w:t>
            </w:r>
          </w:p>
        </w:tc>
      </w:tr>
    </w:tbl>
    <w:p w:rsidR="00090A6F" w:rsidRPr="00D72FBC" w:rsidRDefault="00F13C5A" w:rsidP="00867FB0">
      <w:pPr>
        <w:pStyle w:val="Heading1"/>
        <w:spacing w:after="0"/>
      </w:pPr>
      <w:r w:rsidRPr="00D72FBC">
        <w:t xml:space="preserve">Accounting Standard </w:t>
      </w:r>
      <w:r w:rsidR="00090A6F" w:rsidRPr="00D72FBC">
        <w:t>AASB</w:t>
      </w:r>
      <w:r w:rsidR="00D35A4F">
        <w:t> </w:t>
      </w:r>
      <w:r w:rsidR="00BC0D5D" w:rsidRPr="00D72FBC">
        <w:rPr>
          <w:iCs/>
        </w:rPr>
        <w:fldChar w:fldCharType="begin" w:fldLock="1"/>
      </w:r>
      <w:r w:rsidR="00BC0D5D" w:rsidRPr="00D72FBC">
        <w:rPr>
          <w:iCs/>
        </w:rPr>
        <w:instrText xml:space="preserve"> REF </w:instrText>
      </w:r>
      <w:r w:rsidR="001662B8" w:rsidRPr="00D72FBC">
        <w:rPr>
          <w:iCs/>
        </w:rPr>
        <w:instrText>Doc</w:instrText>
      </w:r>
      <w:r w:rsidR="00BC0D5D" w:rsidRPr="00D72FBC">
        <w:rPr>
          <w:iCs/>
        </w:rPr>
        <w:instrText xml:space="preserve">No \* charformat </w:instrText>
      </w:r>
      <w:r w:rsidR="00BC0D5D" w:rsidRPr="00D72FBC">
        <w:rPr>
          <w:iCs/>
        </w:rPr>
        <w:fldChar w:fldCharType="separate"/>
      </w:r>
      <w:r w:rsidR="00D33158" w:rsidRPr="00D33158">
        <w:rPr>
          <w:iCs/>
        </w:rPr>
        <w:t>2017-7</w:t>
      </w:r>
      <w:r w:rsidR="00BC0D5D" w:rsidRPr="00D72FBC">
        <w:rPr>
          <w:iCs/>
        </w:rPr>
        <w:fldChar w:fldCharType="end"/>
      </w:r>
    </w:p>
    <w:p w:rsidR="00090A6F" w:rsidRPr="00D72FBC" w:rsidRDefault="00CC1DF4" w:rsidP="003E1900">
      <w:pPr>
        <w:pStyle w:val="Heading1Italic"/>
        <w:spacing w:before="0"/>
      </w:pPr>
      <w:r w:rsidRPr="00D72FBC">
        <w:fldChar w:fldCharType="begin" w:fldLock="1"/>
      </w:r>
      <w:r w:rsidRPr="00D72FBC">
        <w:instrText xml:space="preserve"> REF DocTitle \* charformat</w:instrText>
      </w:r>
      <w:r w:rsidRPr="00D72FBC">
        <w:fldChar w:fldCharType="separate"/>
      </w:r>
      <w:r w:rsidR="00D33158" w:rsidRPr="00D72FBC">
        <w:t>Amendments to Australian Accounting Standards – Long-term Interests in Associates and Joint Ventures</w:t>
      </w:r>
      <w:r w:rsidRPr="00D72FBC">
        <w:fldChar w:fldCharType="end"/>
      </w:r>
    </w:p>
    <w:p w:rsidR="00090A6F" w:rsidRPr="00D72FBC" w:rsidRDefault="00090A6F" w:rsidP="00FC30DA">
      <w:pPr>
        <w:pStyle w:val="Heading2"/>
      </w:pPr>
      <w:bookmarkStart w:id="14" w:name="TOCStart"/>
      <w:bookmarkEnd w:id="14"/>
      <w:r w:rsidRPr="00D72FBC">
        <w:t>Objective</w:t>
      </w:r>
    </w:p>
    <w:p w:rsidR="001662B8" w:rsidRPr="00D72FBC" w:rsidRDefault="00867FB0" w:rsidP="005A6AC7">
      <w:pPr>
        <w:pStyle w:val="NoNumPlain1"/>
      </w:pPr>
      <w:r w:rsidRPr="00D72FBC">
        <w:t>This</w:t>
      </w:r>
      <w:r w:rsidR="001662B8" w:rsidRPr="00D72FBC">
        <w:t xml:space="preserve"> Standard </w:t>
      </w:r>
      <w:r w:rsidRPr="00D72FBC">
        <w:t>amends</w:t>
      </w:r>
      <w:r w:rsidR="00BF798C" w:rsidRPr="00D72FBC">
        <w:t xml:space="preserve"> </w:t>
      </w:r>
      <w:r w:rsidR="00115C6A">
        <w:t xml:space="preserve">Australian Accounting Standard </w:t>
      </w:r>
      <w:r w:rsidR="008807EC" w:rsidRPr="00D72FBC">
        <w:t xml:space="preserve">AASB 128 </w:t>
      </w:r>
      <w:r w:rsidR="008807EC" w:rsidRPr="00D72FBC">
        <w:rPr>
          <w:i/>
        </w:rPr>
        <w:t>Investments in Associates and Joint Ventures</w:t>
      </w:r>
      <w:r w:rsidR="00BF798C" w:rsidRPr="00D72FBC">
        <w:t xml:space="preserve"> </w:t>
      </w:r>
      <w:r w:rsidR="00172023">
        <w:t xml:space="preserve">(August 2015) </w:t>
      </w:r>
      <w:r w:rsidR="001662B8" w:rsidRPr="00D72FBC">
        <w:t>a</w:t>
      </w:r>
      <w:bookmarkStart w:id="15" w:name="StndObj"/>
      <w:bookmarkEnd w:id="15"/>
      <w:r w:rsidR="001662B8" w:rsidRPr="00D72FBC">
        <w:t>s a consequence of the issuance of</w:t>
      </w:r>
      <w:r w:rsidRPr="00D72FBC">
        <w:t xml:space="preserve"> International Financial Reporting Standard</w:t>
      </w:r>
      <w:r w:rsidR="001662B8" w:rsidRPr="00D72FBC">
        <w:t xml:space="preserve"> </w:t>
      </w:r>
      <w:r w:rsidRPr="00172023">
        <w:fldChar w:fldCharType="begin" w:fldLock="1"/>
      </w:r>
      <w:r w:rsidRPr="00172023">
        <w:instrText xml:space="preserve"> REF ArisingTitle \* charformat</w:instrText>
      </w:r>
      <w:r w:rsidR="00172023">
        <w:instrText xml:space="preserve"> \* MERGEFORMAT </w:instrText>
      </w:r>
      <w:r w:rsidRPr="00172023">
        <w:fldChar w:fldCharType="separate"/>
      </w:r>
      <w:r w:rsidR="00D33158" w:rsidRPr="00D33158">
        <w:rPr>
          <w:i/>
        </w:rPr>
        <w:t>Long-term Interests in Associates and Joint Ventures</w:t>
      </w:r>
      <w:r w:rsidR="00D33158" w:rsidRPr="00D33158">
        <w:t xml:space="preserve"> </w:t>
      </w:r>
      <w:r w:rsidR="00D33158" w:rsidRPr="00A64DD5">
        <w:t>(Amendments to IAS 28)</w:t>
      </w:r>
      <w:r w:rsidRPr="00172023">
        <w:fldChar w:fldCharType="end"/>
      </w:r>
      <w:r w:rsidR="001662B8" w:rsidRPr="00D72FBC">
        <w:t xml:space="preserve"> </w:t>
      </w:r>
      <w:r w:rsidRPr="00D72FBC">
        <w:t xml:space="preserve">by the International Accounting Standards Board </w:t>
      </w:r>
      <w:r w:rsidR="001662B8" w:rsidRPr="00D72FBC">
        <w:t>in</w:t>
      </w:r>
      <w:r w:rsidR="00742E4B" w:rsidRPr="00D72FBC">
        <w:t xml:space="preserve"> </w:t>
      </w:r>
      <w:r w:rsidRPr="00D72FBC">
        <w:fldChar w:fldCharType="begin" w:fldLock="1"/>
      </w:r>
      <w:r w:rsidRPr="00D72FBC">
        <w:instrText xml:space="preserve"> REF ArisingDate \* charformat</w:instrText>
      </w:r>
      <w:r w:rsidRPr="00D72FBC">
        <w:fldChar w:fldCharType="separate"/>
      </w:r>
      <w:r w:rsidR="00D33158" w:rsidRPr="00D72FBC">
        <w:t>October 2017</w:t>
      </w:r>
      <w:r w:rsidRPr="00D72FBC">
        <w:fldChar w:fldCharType="end"/>
      </w:r>
      <w:r w:rsidR="001662B8" w:rsidRPr="00D72FBC">
        <w:t>.</w:t>
      </w:r>
    </w:p>
    <w:p w:rsidR="00090A6F" w:rsidRPr="00D72FBC" w:rsidRDefault="00090A6F">
      <w:pPr>
        <w:pStyle w:val="Heading2"/>
      </w:pPr>
      <w:r w:rsidRPr="00D72FBC">
        <w:t>Application</w:t>
      </w:r>
    </w:p>
    <w:p w:rsidR="005A6AC7" w:rsidRPr="00D72FBC" w:rsidRDefault="005A6AC7" w:rsidP="005A6AC7">
      <w:pPr>
        <w:pStyle w:val="NoNumPlain1"/>
        <w:rPr>
          <w:i/>
        </w:rPr>
      </w:pPr>
      <w:r w:rsidRPr="00D72FBC">
        <w:t xml:space="preserve">The amendments set out in this Standard apply to entities and financial statements in accordance with the application of </w:t>
      </w:r>
      <w:r w:rsidR="00172023">
        <w:t>AASB 128</w:t>
      </w:r>
      <w:r w:rsidRPr="00D72FBC">
        <w:t xml:space="preserve"> set out in AASB</w:t>
      </w:r>
      <w:r w:rsidR="004D2930">
        <w:t> </w:t>
      </w:r>
      <w:r w:rsidRPr="00D72FBC">
        <w:t xml:space="preserve">1057 </w:t>
      </w:r>
      <w:r w:rsidRPr="00D72FBC">
        <w:rPr>
          <w:i/>
        </w:rPr>
        <w:t>Application of Australian Accounting Standards</w:t>
      </w:r>
      <w:r w:rsidRPr="00D72FBC">
        <w:t xml:space="preserve"> (as amended)</w:t>
      </w:r>
      <w:r w:rsidRPr="00D72FBC">
        <w:rPr>
          <w:i/>
        </w:rPr>
        <w:t>.</w:t>
      </w:r>
    </w:p>
    <w:p w:rsidR="00090A6F" w:rsidRPr="00D72FBC" w:rsidRDefault="00090A6F" w:rsidP="005A6AC7">
      <w:pPr>
        <w:pStyle w:val="NoNumPlain1"/>
      </w:pPr>
      <w:r w:rsidRPr="00D72FBC">
        <w:t xml:space="preserve">This Standard applies to annual periods </w:t>
      </w:r>
      <w:r w:rsidR="005A6AC7" w:rsidRPr="00D72FBC">
        <w:fldChar w:fldCharType="begin" w:fldLock="1"/>
      </w:r>
      <w:r w:rsidR="005A6AC7" w:rsidRPr="00D72FBC">
        <w:instrText xml:space="preserve"> REF ApplyText \* charformat</w:instrText>
      </w:r>
      <w:r w:rsidR="005A6AC7" w:rsidRPr="00D72FBC">
        <w:fldChar w:fldCharType="separate"/>
      </w:r>
      <w:r w:rsidR="00D33158" w:rsidRPr="00D72FBC">
        <w:t>beginning</w:t>
      </w:r>
      <w:r w:rsidR="005A6AC7" w:rsidRPr="00D72FBC">
        <w:fldChar w:fldCharType="end"/>
      </w:r>
      <w:r w:rsidRPr="00D72FBC">
        <w:t xml:space="preserve"> on or after </w:t>
      </w:r>
      <w:r w:rsidR="005A6AC7" w:rsidRPr="00D72FBC">
        <w:fldChar w:fldCharType="begin" w:fldLock="1"/>
      </w:r>
      <w:r w:rsidR="005A6AC7" w:rsidRPr="00D72FBC">
        <w:instrText xml:space="preserve"> REF ApplyDate \* charformat</w:instrText>
      </w:r>
      <w:r w:rsidR="005A6AC7" w:rsidRPr="00D72FBC">
        <w:fldChar w:fldCharType="separate"/>
      </w:r>
      <w:r w:rsidR="00D33158" w:rsidRPr="00D72FBC">
        <w:t>1 January 2019</w:t>
      </w:r>
      <w:r w:rsidR="005A6AC7" w:rsidRPr="00D72FBC">
        <w:fldChar w:fldCharType="end"/>
      </w:r>
      <w:r w:rsidRPr="00D72FBC">
        <w:t>.</w:t>
      </w:r>
    </w:p>
    <w:p w:rsidR="00090A6F" w:rsidRPr="00D72FBC" w:rsidRDefault="00090A6F" w:rsidP="005A6AC7">
      <w:pPr>
        <w:pStyle w:val="NoNumPlain1"/>
      </w:pPr>
      <w:bookmarkStart w:id="16" w:name="EarlyYesPara"/>
      <w:r w:rsidRPr="00D72FBC">
        <w:t xml:space="preserve">This Standard may be applied to annual periods </w:t>
      </w:r>
      <w:bookmarkStart w:id="17" w:name="EarlyText"/>
      <w:r w:rsidR="00E839DA" w:rsidRPr="00D72FBC">
        <w:t>beginning</w:t>
      </w:r>
      <w:bookmarkEnd w:id="17"/>
      <w:r w:rsidRPr="00D72FBC">
        <w:t xml:space="preserve"> </w:t>
      </w:r>
      <w:r w:rsidR="0078116B" w:rsidRPr="00D72FBC">
        <w:t xml:space="preserve">before </w:t>
      </w:r>
      <w:r w:rsidR="00796024">
        <w:fldChar w:fldCharType="begin" w:fldLock="1"/>
      </w:r>
      <w:r w:rsidR="00796024">
        <w:instrText xml:space="preserve"> REF ApplyDate  \* charformat  </w:instrText>
      </w:r>
      <w:r w:rsidR="00796024">
        <w:fldChar w:fldCharType="separate"/>
      </w:r>
      <w:r w:rsidR="00D33158" w:rsidRPr="00D72FBC">
        <w:t>1 January 2019</w:t>
      </w:r>
      <w:r w:rsidR="00796024">
        <w:fldChar w:fldCharType="end"/>
      </w:r>
      <w:r w:rsidRPr="00D72FBC">
        <w:t xml:space="preserve">.  When an entity applies this Standard to </w:t>
      </w:r>
      <w:r w:rsidR="00590051" w:rsidRPr="00D72FBC">
        <w:t xml:space="preserve">such </w:t>
      </w:r>
      <w:r w:rsidRPr="00D72FBC">
        <w:t>an annual period</w:t>
      </w:r>
      <w:r w:rsidR="00590051" w:rsidRPr="00D72FBC">
        <w:t>,</w:t>
      </w:r>
      <w:r w:rsidRPr="00D72FBC">
        <w:t xml:space="preserve"> it shall disclose that fact.</w:t>
      </w:r>
    </w:p>
    <w:bookmarkEnd w:id="16"/>
    <w:p w:rsidR="00090A6F" w:rsidRPr="00D72FBC" w:rsidRDefault="0048155F" w:rsidP="005A6AC7">
      <w:pPr>
        <w:pStyle w:val="NoNumPlain1"/>
      </w:pPr>
      <w:r w:rsidRPr="00D72FBC">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RPr="00D72FBC">
        <w:t xml:space="preserve"> other typographical material.</w:t>
      </w:r>
      <w:r w:rsidR="00254B16" w:rsidRPr="00D72FBC">
        <w:t xml:space="preserve">  Ellipses (…) are used to help provide the context within which amendments are made and also to indicate text that is not amended.</w:t>
      </w:r>
    </w:p>
    <w:p w:rsidR="008807EC" w:rsidRPr="00D72FBC" w:rsidRDefault="008807EC">
      <w:pPr>
        <w:pStyle w:val="Heading2"/>
      </w:pPr>
      <w:r w:rsidRPr="00D72FBC">
        <w:t xml:space="preserve">Amendments to </w:t>
      </w:r>
      <w:bookmarkStart w:id="18" w:name="StndNo2"/>
      <w:r w:rsidRPr="00D72FBC">
        <w:t>AASB 128</w:t>
      </w:r>
      <w:bookmarkEnd w:id="18"/>
    </w:p>
    <w:tbl>
      <w:tblPr>
        <w:tblW w:w="0" w:type="auto"/>
        <w:tblLayout w:type="fixed"/>
        <w:tblLook w:val="0000" w:firstRow="0" w:lastRow="0" w:firstColumn="0" w:lastColumn="0" w:noHBand="0" w:noVBand="0"/>
        <w:tblCaption w:val="Amendment 1"/>
        <w:tblDescription w:val="Amendments to Application Guidance."/>
      </w:tblPr>
      <w:tblGrid>
        <w:gridCol w:w="9208"/>
      </w:tblGrid>
      <w:tr w:rsidR="00D72FBC" w:rsidRPr="00D72FBC" w:rsidTr="00AC42F6">
        <w:trPr>
          <w:cantSplit/>
        </w:trPr>
        <w:tc>
          <w:tcPr>
            <w:tcW w:w="9208" w:type="dxa"/>
            <w:tcBorders>
              <w:top w:val="single" w:sz="4" w:space="0" w:color="auto"/>
              <w:left w:val="single" w:sz="4" w:space="0" w:color="auto"/>
              <w:bottom w:val="single" w:sz="4" w:space="0" w:color="auto"/>
              <w:right w:val="single" w:sz="4" w:space="0" w:color="auto"/>
            </w:tcBorders>
            <w:vAlign w:val="bottom"/>
          </w:tcPr>
          <w:p w:rsidR="00D72FBC" w:rsidRPr="00D72FBC" w:rsidRDefault="00D72FBC" w:rsidP="004933A4">
            <w:pPr>
              <w:pStyle w:val="IASBTableArial"/>
              <w:spacing w:before="100"/>
              <w:rPr>
                <w:lang w:val="en-AU"/>
              </w:rPr>
            </w:pPr>
            <w:r w:rsidRPr="00D72FBC">
              <w:rPr>
                <w:lang w:val="en-AU"/>
              </w:rPr>
              <w:t>Paragraphs 14A and 45</w:t>
            </w:r>
            <w:r w:rsidR="004933A4">
              <w:rPr>
                <w:lang w:val="en-AU"/>
              </w:rPr>
              <w:t>G</w:t>
            </w:r>
            <w:r w:rsidRPr="00D72FBC">
              <w:rPr>
                <w:lang w:val="en-AU"/>
              </w:rPr>
              <w:t>–45</w:t>
            </w:r>
            <w:r w:rsidR="004933A4">
              <w:rPr>
                <w:lang w:val="en-AU"/>
              </w:rPr>
              <w:t>K</w:t>
            </w:r>
            <w:r w:rsidRPr="00D72FBC">
              <w:rPr>
                <w:lang w:val="en-AU"/>
              </w:rPr>
              <w:t xml:space="preserve"> are added and paragraph 41 is deleted. Deleted text is struck through.</w:t>
            </w:r>
          </w:p>
        </w:tc>
      </w:tr>
    </w:tbl>
    <w:p w:rsidR="00D72FBC" w:rsidRPr="00D72FBC" w:rsidRDefault="00D72FBC" w:rsidP="00D72FBC">
      <w:pPr>
        <w:pStyle w:val="IASBSectionTitle1NonInd"/>
        <w:rPr>
          <w:lang w:val="en-AU"/>
        </w:rPr>
      </w:pPr>
      <w:bookmarkStart w:id="19" w:name="F62013425"/>
      <w:r w:rsidRPr="00D72FBC">
        <w:rPr>
          <w:lang w:val="en-AU"/>
        </w:rPr>
        <w:t>Equity method</w:t>
      </w:r>
      <w:bookmarkEnd w:id="19"/>
    </w:p>
    <w:p w:rsidR="00D72FBC" w:rsidRPr="00D72FBC" w:rsidRDefault="00D72FBC" w:rsidP="00D72FBC">
      <w:pPr>
        <w:pStyle w:val="IASBNormalnpara"/>
        <w:rPr>
          <w:lang w:val="en-AU"/>
        </w:rPr>
      </w:pPr>
      <w:r w:rsidRPr="00D72FBC">
        <w:rPr>
          <w:lang w:val="en-AU"/>
        </w:rPr>
        <w:t>…</w:t>
      </w:r>
    </w:p>
    <w:p w:rsidR="00D72FBC" w:rsidRPr="00D72FBC" w:rsidRDefault="00D72FBC" w:rsidP="00D72FBC">
      <w:pPr>
        <w:pStyle w:val="IASBNormalnpara"/>
        <w:rPr>
          <w:lang w:val="en-AU"/>
        </w:rPr>
      </w:pPr>
      <w:r w:rsidRPr="00D72FBC">
        <w:rPr>
          <w:lang w:val="en-AU"/>
        </w:rPr>
        <w:t>14A</w:t>
      </w:r>
      <w:r w:rsidRPr="00D72FBC">
        <w:rPr>
          <w:lang w:val="en-AU"/>
        </w:rPr>
        <w:tab/>
      </w:r>
      <w:bookmarkStart w:id="20" w:name="F62013427"/>
      <w:r w:rsidRPr="00D72FBC">
        <w:rPr>
          <w:lang w:val="en-AU"/>
        </w:rPr>
        <w:t xml:space="preserve">An entity also applies </w:t>
      </w:r>
      <w:r>
        <w:rPr>
          <w:lang w:val="en-AU"/>
        </w:rPr>
        <w:t>AASB </w:t>
      </w:r>
      <w:r w:rsidRPr="00D72FBC">
        <w:rPr>
          <w:lang w:val="en-AU"/>
        </w:rPr>
        <w:t xml:space="preserve">9 to other financial instruments in an associate or joint venture to which the equity method is not applied. These include long-term interests that, in substance, form part of the entity’s net investment in an associate or joint venture (see paragraph 38). An entity applies </w:t>
      </w:r>
      <w:r>
        <w:rPr>
          <w:lang w:val="en-AU"/>
        </w:rPr>
        <w:t>AASB </w:t>
      </w:r>
      <w:r w:rsidRPr="00D72FBC">
        <w:rPr>
          <w:lang w:val="en-AU"/>
        </w:rPr>
        <w:t xml:space="preserve">9 to such long-term interests before it applies paragraph 38 and paragraphs 40–43 of this Standard. In applying </w:t>
      </w:r>
      <w:r>
        <w:rPr>
          <w:lang w:val="en-AU"/>
        </w:rPr>
        <w:t>AASB </w:t>
      </w:r>
      <w:r w:rsidRPr="00D72FBC">
        <w:rPr>
          <w:lang w:val="en-AU"/>
        </w:rPr>
        <w:t>9, the entity does not take account of any adjustments to the carrying amount of long-term interests that arise from applying this Standard.</w:t>
      </w:r>
      <w:bookmarkEnd w:id="20"/>
    </w:p>
    <w:p w:rsidR="00D72FBC" w:rsidRPr="00D72FBC" w:rsidRDefault="00D72FBC" w:rsidP="00D72FBC">
      <w:pPr>
        <w:pStyle w:val="IASBNormalnpara"/>
        <w:rPr>
          <w:lang w:val="en-AU"/>
        </w:rPr>
      </w:pPr>
      <w:r w:rsidRPr="00D72FBC">
        <w:rPr>
          <w:lang w:val="en-AU"/>
        </w:rPr>
        <w:t>…</w:t>
      </w:r>
    </w:p>
    <w:p w:rsidR="00D72FBC" w:rsidRPr="00D72FBC" w:rsidRDefault="00D72FBC" w:rsidP="00D72FBC">
      <w:pPr>
        <w:pStyle w:val="IASBSectionTitle1NonInd"/>
        <w:rPr>
          <w:lang w:val="en-AU"/>
        </w:rPr>
      </w:pPr>
      <w:bookmarkStart w:id="21" w:name="F62013430"/>
      <w:r w:rsidRPr="00D72FBC">
        <w:rPr>
          <w:lang w:val="en-AU"/>
        </w:rPr>
        <w:t>Application of the equity method</w:t>
      </w:r>
      <w:bookmarkEnd w:id="21"/>
    </w:p>
    <w:p w:rsidR="00D72FBC" w:rsidRPr="00D72FBC" w:rsidRDefault="00D72FBC" w:rsidP="00D72FBC">
      <w:pPr>
        <w:pStyle w:val="IASBNormalnpara"/>
        <w:rPr>
          <w:lang w:val="en-AU"/>
        </w:rPr>
      </w:pPr>
      <w:r w:rsidRPr="00D72FBC">
        <w:rPr>
          <w:lang w:val="en-AU"/>
        </w:rPr>
        <w:tab/>
      </w:r>
      <w:bookmarkStart w:id="22" w:name="F62013431"/>
      <w:r w:rsidRPr="00D72FBC">
        <w:rPr>
          <w:lang w:val="en-AU"/>
        </w:rPr>
        <w:t>…</w:t>
      </w:r>
      <w:bookmarkEnd w:id="22"/>
    </w:p>
    <w:p w:rsidR="00D72FBC" w:rsidRPr="00D72FBC" w:rsidRDefault="00D72FBC" w:rsidP="00D72FBC">
      <w:pPr>
        <w:pStyle w:val="IASBNormalnpara"/>
        <w:rPr>
          <w:lang w:val="en-AU"/>
        </w:rPr>
      </w:pPr>
      <w:r w:rsidRPr="00D72FBC">
        <w:rPr>
          <w:lang w:val="en-AU"/>
        </w:rPr>
        <w:lastRenderedPageBreak/>
        <w:t>41</w:t>
      </w:r>
      <w:r w:rsidRPr="00D72FBC">
        <w:rPr>
          <w:lang w:val="en-AU"/>
        </w:rPr>
        <w:tab/>
      </w:r>
      <w:bookmarkStart w:id="23" w:name="F62013432"/>
      <w:r w:rsidRPr="00D72FBC">
        <w:rPr>
          <w:u w:val="single"/>
          <w:lang w:val="en-AU"/>
        </w:rPr>
        <w:t>[Deleted]</w:t>
      </w:r>
      <w:r w:rsidRPr="00D72FBC">
        <w:rPr>
          <w:lang w:val="en-AU"/>
        </w:rPr>
        <w:t xml:space="preserve"> </w:t>
      </w:r>
      <w:r w:rsidRPr="00D72FBC">
        <w:rPr>
          <w:strike/>
          <w:lang w:val="en-AU"/>
        </w:rPr>
        <w:t xml:space="preserve">The entity applies the impairment requirements in </w:t>
      </w:r>
      <w:r>
        <w:rPr>
          <w:strike/>
          <w:lang w:val="en-AU"/>
        </w:rPr>
        <w:t>AASB </w:t>
      </w:r>
      <w:r w:rsidRPr="00D72FBC">
        <w:rPr>
          <w:strike/>
          <w:lang w:val="en-AU"/>
        </w:rPr>
        <w:t xml:space="preserve">9 to its other interests in the associate or joint venture that are in the scope of </w:t>
      </w:r>
      <w:r>
        <w:rPr>
          <w:strike/>
          <w:lang w:val="en-AU"/>
        </w:rPr>
        <w:t>AASB </w:t>
      </w:r>
      <w:r w:rsidRPr="00D72FBC">
        <w:rPr>
          <w:strike/>
          <w:lang w:val="en-AU"/>
        </w:rPr>
        <w:t>9 and that do not constitute part of the net investment.</w:t>
      </w:r>
      <w:bookmarkEnd w:id="23"/>
    </w:p>
    <w:p w:rsidR="00D72FBC" w:rsidRPr="00D72FBC" w:rsidRDefault="00D72FBC" w:rsidP="00D72FBC">
      <w:pPr>
        <w:pStyle w:val="IASBNormalnpara"/>
        <w:rPr>
          <w:lang w:val="en-AU"/>
        </w:rPr>
      </w:pPr>
      <w:r w:rsidRPr="00D72FBC">
        <w:rPr>
          <w:lang w:val="en-AU"/>
        </w:rPr>
        <w:tab/>
      </w:r>
      <w:bookmarkStart w:id="24" w:name="F62013433"/>
      <w:r w:rsidRPr="00D72FBC">
        <w:rPr>
          <w:lang w:val="en-AU"/>
        </w:rPr>
        <w:t>…</w:t>
      </w:r>
      <w:bookmarkEnd w:id="24"/>
    </w:p>
    <w:p w:rsidR="00D72FBC" w:rsidRPr="00D72FBC" w:rsidRDefault="00D72FBC" w:rsidP="00D72FBC">
      <w:pPr>
        <w:pStyle w:val="IASBSectionTitle1NonInd"/>
        <w:rPr>
          <w:lang w:val="en-AU"/>
        </w:rPr>
      </w:pPr>
      <w:bookmarkStart w:id="25" w:name="F62013435"/>
      <w:r w:rsidRPr="00D72FBC">
        <w:rPr>
          <w:lang w:val="en-AU"/>
        </w:rPr>
        <w:t>Effective date and transition</w:t>
      </w:r>
      <w:bookmarkEnd w:id="25"/>
    </w:p>
    <w:p w:rsidR="00D72FBC" w:rsidRPr="00D72FBC" w:rsidRDefault="00D72FBC" w:rsidP="00D72FBC">
      <w:pPr>
        <w:pStyle w:val="IASBNormalnpara"/>
        <w:rPr>
          <w:lang w:val="en-AU"/>
        </w:rPr>
      </w:pPr>
      <w:r w:rsidRPr="00D72FBC">
        <w:rPr>
          <w:lang w:val="en-AU"/>
        </w:rPr>
        <w:tab/>
      </w:r>
      <w:bookmarkStart w:id="26" w:name="F62013436"/>
      <w:r w:rsidRPr="00D72FBC">
        <w:rPr>
          <w:lang w:val="en-AU"/>
        </w:rPr>
        <w:t>…</w:t>
      </w:r>
      <w:bookmarkEnd w:id="26"/>
    </w:p>
    <w:p w:rsidR="00D72FBC" w:rsidRPr="00D72FBC" w:rsidRDefault="00D72FBC" w:rsidP="00D72FBC">
      <w:pPr>
        <w:pStyle w:val="IASBNormalnpara"/>
        <w:rPr>
          <w:lang w:val="en-AU"/>
        </w:rPr>
      </w:pPr>
      <w:r w:rsidRPr="00D72FBC">
        <w:rPr>
          <w:lang w:val="en-AU"/>
        </w:rPr>
        <w:t>45</w:t>
      </w:r>
      <w:r w:rsidR="004933A4">
        <w:rPr>
          <w:lang w:val="en-AU"/>
        </w:rPr>
        <w:t>G</w:t>
      </w:r>
      <w:r w:rsidRPr="00D72FBC">
        <w:rPr>
          <w:lang w:val="en-AU"/>
        </w:rPr>
        <w:tab/>
      </w:r>
      <w:bookmarkStart w:id="27" w:name="F62013437"/>
      <w:r>
        <w:rPr>
          <w:lang w:val="en-AU"/>
        </w:rPr>
        <w:t>AASB </w:t>
      </w:r>
      <w:r w:rsidRPr="0014228E">
        <w:rPr>
          <w:lang w:val="en-AU"/>
        </w:rPr>
        <w:t>2017-</w:t>
      </w:r>
      <w:r w:rsidR="002310AB">
        <w:rPr>
          <w:lang w:val="en-AU"/>
        </w:rPr>
        <w:t>7</w:t>
      </w:r>
      <w:r>
        <w:rPr>
          <w:lang w:val="en-AU"/>
        </w:rPr>
        <w:t xml:space="preserve"> </w:t>
      </w:r>
      <w:r>
        <w:rPr>
          <w:i/>
          <w:lang w:val="en-AU"/>
        </w:rPr>
        <w:t xml:space="preserve">Amendments to Australian Accounting Standards – </w:t>
      </w:r>
      <w:r w:rsidRPr="00D72FBC">
        <w:rPr>
          <w:i/>
          <w:lang w:val="en-AU"/>
        </w:rPr>
        <w:t>Long-term Interests in Associates and Joint Ventures</w:t>
      </w:r>
      <w:r w:rsidRPr="00D72FBC">
        <w:rPr>
          <w:lang w:val="en-AU"/>
        </w:rPr>
        <w:t xml:space="preserve">, issued in </w:t>
      </w:r>
      <w:r w:rsidR="002310AB">
        <w:rPr>
          <w:lang w:val="en-AU"/>
        </w:rPr>
        <w:t>December</w:t>
      </w:r>
      <w:r w:rsidRPr="00D72FBC">
        <w:rPr>
          <w:lang w:val="en-AU"/>
        </w:rPr>
        <w:t xml:space="preserve"> 2017, added paragraph 14A and deleted paragraph 41. An entity shall apply those amendments retrospectively in accordance with </w:t>
      </w:r>
      <w:r>
        <w:rPr>
          <w:lang w:val="en-AU"/>
        </w:rPr>
        <w:t>AASB 108</w:t>
      </w:r>
      <w:r w:rsidRPr="00D72FBC">
        <w:rPr>
          <w:lang w:val="en-AU"/>
        </w:rPr>
        <w:t xml:space="preserve"> for annual reporting periods beginning on or after 1 January 2019, excep</w:t>
      </w:r>
      <w:r w:rsidR="004933A4">
        <w:rPr>
          <w:lang w:val="en-AU"/>
        </w:rPr>
        <w:t>t as specified in paragraphs 45H</w:t>
      </w:r>
      <w:r w:rsidRPr="00D72FBC">
        <w:rPr>
          <w:lang w:val="en-AU"/>
        </w:rPr>
        <w:t>–45</w:t>
      </w:r>
      <w:r w:rsidR="004933A4">
        <w:rPr>
          <w:lang w:val="en-AU"/>
        </w:rPr>
        <w:t>K</w:t>
      </w:r>
      <w:r w:rsidRPr="00D72FBC">
        <w:rPr>
          <w:lang w:val="en-AU"/>
        </w:rPr>
        <w:t>. Earlier application is permitted. If an entity applies those amendments earlier, it shall disclose that fact.</w:t>
      </w:r>
      <w:bookmarkEnd w:id="27"/>
    </w:p>
    <w:p w:rsidR="00D72FBC" w:rsidRPr="00D72FBC" w:rsidRDefault="004933A4" w:rsidP="00D72FBC">
      <w:pPr>
        <w:pStyle w:val="IASBNormalnpara"/>
        <w:rPr>
          <w:lang w:val="en-AU"/>
        </w:rPr>
      </w:pPr>
      <w:r>
        <w:rPr>
          <w:lang w:val="en-AU"/>
        </w:rPr>
        <w:t>45H</w:t>
      </w:r>
      <w:r w:rsidR="00D72FBC" w:rsidRPr="00D72FBC">
        <w:rPr>
          <w:lang w:val="en-AU"/>
        </w:rPr>
        <w:tab/>
      </w:r>
      <w:bookmarkStart w:id="28" w:name="F62013439"/>
      <w:r w:rsidR="00D72FBC" w:rsidRPr="00D72FBC">
        <w:rPr>
          <w:lang w:val="en-AU"/>
        </w:rPr>
        <w:t>An entity that first applies the amendments in paragraph 45</w:t>
      </w:r>
      <w:r>
        <w:rPr>
          <w:lang w:val="en-AU"/>
        </w:rPr>
        <w:t>G</w:t>
      </w:r>
      <w:r w:rsidR="00D72FBC" w:rsidRPr="00D72FBC">
        <w:rPr>
          <w:lang w:val="en-AU"/>
        </w:rPr>
        <w:t xml:space="preserve"> at the same time it first applies </w:t>
      </w:r>
      <w:r w:rsidR="00D72FBC">
        <w:rPr>
          <w:lang w:val="en-AU"/>
        </w:rPr>
        <w:t>AASB </w:t>
      </w:r>
      <w:r w:rsidR="00D72FBC" w:rsidRPr="00D72FBC">
        <w:rPr>
          <w:lang w:val="en-AU"/>
        </w:rPr>
        <w:t xml:space="preserve">9 shall apply the transition requirements in </w:t>
      </w:r>
      <w:r w:rsidR="00D72FBC">
        <w:rPr>
          <w:lang w:val="en-AU"/>
        </w:rPr>
        <w:t>AASB </w:t>
      </w:r>
      <w:r w:rsidR="00D72FBC" w:rsidRPr="00D72FBC">
        <w:rPr>
          <w:lang w:val="en-AU"/>
        </w:rPr>
        <w:t xml:space="preserve">9 to the long-term interests described in paragraph 14A. </w:t>
      </w:r>
      <w:bookmarkEnd w:id="28"/>
    </w:p>
    <w:p w:rsidR="00D72FBC" w:rsidRPr="00D72FBC" w:rsidRDefault="004933A4" w:rsidP="00D72FBC">
      <w:pPr>
        <w:pStyle w:val="IASBNormalnpara"/>
        <w:rPr>
          <w:lang w:val="en-AU"/>
        </w:rPr>
      </w:pPr>
      <w:r>
        <w:rPr>
          <w:lang w:val="en-AU"/>
        </w:rPr>
        <w:t>45I</w:t>
      </w:r>
      <w:r w:rsidR="00D72FBC" w:rsidRPr="00D72FBC">
        <w:rPr>
          <w:lang w:val="en-AU"/>
        </w:rPr>
        <w:tab/>
      </w:r>
      <w:bookmarkStart w:id="29" w:name="F62013440"/>
      <w:r w:rsidR="00D72FBC" w:rsidRPr="00D72FBC">
        <w:rPr>
          <w:lang w:val="en-AU"/>
        </w:rPr>
        <w:t>An entity that first applies the amendments in paragraph 45</w:t>
      </w:r>
      <w:r>
        <w:rPr>
          <w:lang w:val="en-AU"/>
        </w:rPr>
        <w:t>G</w:t>
      </w:r>
      <w:r w:rsidR="00D72FBC" w:rsidRPr="00D72FBC">
        <w:rPr>
          <w:lang w:val="en-AU"/>
        </w:rPr>
        <w:t xml:space="preserve"> after it first applies </w:t>
      </w:r>
      <w:r w:rsidR="00D72FBC">
        <w:rPr>
          <w:lang w:val="en-AU"/>
        </w:rPr>
        <w:t>AASB </w:t>
      </w:r>
      <w:r w:rsidR="00D72FBC" w:rsidRPr="00D72FBC">
        <w:rPr>
          <w:lang w:val="en-AU"/>
        </w:rPr>
        <w:t xml:space="preserve">9 shall apply the transition requirements in </w:t>
      </w:r>
      <w:r w:rsidR="00D72FBC">
        <w:rPr>
          <w:lang w:val="en-AU"/>
        </w:rPr>
        <w:t>AASB </w:t>
      </w:r>
      <w:r w:rsidR="00D72FBC" w:rsidRPr="00D72FBC">
        <w:rPr>
          <w:lang w:val="en-AU"/>
        </w:rPr>
        <w:t xml:space="preserve">9 necessary for applying the requirements set out in paragraph 14A to long-term interests. For that purpose, references to the date of initial application in </w:t>
      </w:r>
      <w:r w:rsidR="00D72FBC">
        <w:rPr>
          <w:lang w:val="en-AU"/>
        </w:rPr>
        <w:t>AASB </w:t>
      </w:r>
      <w:r w:rsidR="00D72FBC" w:rsidRPr="00D72FBC">
        <w:rPr>
          <w:lang w:val="en-AU"/>
        </w:rPr>
        <w:t xml:space="preserve">9 shall be read as referring to the beginning of the annual reporting period in which the entity first applies the amendments (the date of initial application of the amendments). The entity is not required to restate prior periods to reflect the application of the amendments. The entity may restate prior periods only if it is possible without the use of hindsight. </w:t>
      </w:r>
      <w:bookmarkEnd w:id="29"/>
    </w:p>
    <w:p w:rsidR="00D72FBC" w:rsidRPr="00D72FBC" w:rsidRDefault="004933A4" w:rsidP="00D72FBC">
      <w:pPr>
        <w:pStyle w:val="IASBNormalnpara"/>
        <w:rPr>
          <w:lang w:val="en-AU"/>
        </w:rPr>
      </w:pPr>
      <w:r>
        <w:rPr>
          <w:lang w:val="en-AU"/>
        </w:rPr>
        <w:t>45J</w:t>
      </w:r>
      <w:r w:rsidR="00D72FBC" w:rsidRPr="00D72FBC">
        <w:rPr>
          <w:lang w:val="en-AU"/>
        </w:rPr>
        <w:tab/>
      </w:r>
      <w:bookmarkStart w:id="30" w:name="F62013441"/>
      <w:r w:rsidR="00D72FBC" w:rsidRPr="00D72FBC">
        <w:rPr>
          <w:lang w:val="en-AU"/>
        </w:rPr>
        <w:t>When first applying the amendments in paragraph 45</w:t>
      </w:r>
      <w:r>
        <w:rPr>
          <w:lang w:val="en-AU"/>
        </w:rPr>
        <w:t>G</w:t>
      </w:r>
      <w:r w:rsidR="00D72FBC" w:rsidRPr="00D72FBC">
        <w:rPr>
          <w:lang w:val="en-AU"/>
        </w:rPr>
        <w:t xml:space="preserve">, an entity that applies the temporary exemption from </w:t>
      </w:r>
      <w:r w:rsidR="00D72FBC">
        <w:rPr>
          <w:lang w:val="en-AU"/>
        </w:rPr>
        <w:t>AASB </w:t>
      </w:r>
      <w:r w:rsidR="00D72FBC" w:rsidRPr="00D72FBC">
        <w:rPr>
          <w:lang w:val="en-AU"/>
        </w:rPr>
        <w:t xml:space="preserve">9 in accordance with </w:t>
      </w:r>
      <w:r w:rsidR="00D72FBC">
        <w:rPr>
          <w:lang w:val="en-AU"/>
        </w:rPr>
        <w:t>AASB </w:t>
      </w:r>
      <w:r w:rsidR="00D72FBC" w:rsidRPr="00D72FBC">
        <w:rPr>
          <w:lang w:val="en-AU"/>
        </w:rPr>
        <w:t xml:space="preserve">4 </w:t>
      </w:r>
      <w:r w:rsidR="00D72FBC" w:rsidRPr="00D72FBC">
        <w:rPr>
          <w:i/>
          <w:lang w:val="en-AU"/>
        </w:rPr>
        <w:t>Insurance Contracts</w:t>
      </w:r>
      <w:r w:rsidR="00D72FBC" w:rsidRPr="00D72FBC">
        <w:rPr>
          <w:lang w:val="en-AU"/>
        </w:rPr>
        <w:t xml:space="preserve"> is not required to restate prior periods to reflect the application of the amendments. The entity may restate prior periods only if it is possible without the use of hindsight. </w:t>
      </w:r>
      <w:bookmarkEnd w:id="30"/>
    </w:p>
    <w:p w:rsidR="00D72FBC" w:rsidRPr="00D72FBC" w:rsidRDefault="004933A4" w:rsidP="00D72FBC">
      <w:pPr>
        <w:pStyle w:val="IASBNormalnpara"/>
        <w:rPr>
          <w:lang w:val="en-AU"/>
        </w:rPr>
      </w:pPr>
      <w:r>
        <w:rPr>
          <w:lang w:val="en-AU"/>
        </w:rPr>
        <w:t>45K</w:t>
      </w:r>
      <w:r w:rsidR="00D72FBC" w:rsidRPr="00D72FBC">
        <w:rPr>
          <w:lang w:val="en-AU"/>
        </w:rPr>
        <w:tab/>
      </w:r>
      <w:bookmarkStart w:id="31" w:name="F62013443"/>
      <w:r w:rsidR="00D72FBC" w:rsidRPr="00D72FBC">
        <w:rPr>
          <w:lang w:val="en-AU"/>
        </w:rPr>
        <w:t>If an entity does not restate prior periods applying paragraph 45</w:t>
      </w:r>
      <w:r>
        <w:rPr>
          <w:lang w:val="en-AU"/>
        </w:rPr>
        <w:t>I</w:t>
      </w:r>
      <w:r w:rsidR="00D72FBC" w:rsidRPr="00D72FBC">
        <w:rPr>
          <w:lang w:val="en-AU"/>
        </w:rPr>
        <w:t xml:space="preserve"> or paragraph 45</w:t>
      </w:r>
      <w:r>
        <w:rPr>
          <w:lang w:val="en-AU"/>
        </w:rPr>
        <w:t>J</w:t>
      </w:r>
      <w:r w:rsidR="00D72FBC" w:rsidRPr="00D72FBC">
        <w:rPr>
          <w:lang w:val="en-AU"/>
        </w:rPr>
        <w:t>, at the date of initial application of the amendments it shall recognise in the opening retained earnings (or other component of equity, as appropriate) any difference between:</w:t>
      </w:r>
      <w:bookmarkEnd w:id="31"/>
    </w:p>
    <w:p w:rsidR="00D72FBC" w:rsidRPr="00D72FBC" w:rsidRDefault="00D72FBC" w:rsidP="00D72FBC">
      <w:pPr>
        <w:pStyle w:val="IASBNormalnparaL1"/>
        <w:rPr>
          <w:lang w:val="en-AU"/>
        </w:rPr>
      </w:pPr>
      <w:r w:rsidRPr="00D72FBC">
        <w:rPr>
          <w:lang w:val="en-AU"/>
        </w:rPr>
        <w:t>(a)</w:t>
      </w:r>
      <w:r w:rsidRPr="00D72FBC">
        <w:rPr>
          <w:lang w:val="en-AU"/>
        </w:rPr>
        <w:tab/>
      </w:r>
      <w:bookmarkStart w:id="32" w:name="F62013446"/>
      <w:r w:rsidRPr="00D72FBC">
        <w:rPr>
          <w:lang w:val="en-AU"/>
        </w:rPr>
        <w:t>the previous carrying amount of long-term interests described in paragraph 14A at that date; and</w:t>
      </w:r>
      <w:bookmarkEnd w:id="32"/>
    </w:p>
    <w:p w:rsidR="00D72FBC" w:rsidRPr="00D72FBC" w:rsidRDefault="00D72FBC" w:rsidP="00D72FBC">
      <w:pPr>
        <w:pStyle w:val="IASBNormalnparaL1"/>
        <w:rPr>
          <w:lang w:val="en-AU"/>
        </w:rPr>
      </w:pPr>
      <w:r w:rsidRPr="00D72FBC">
        <w:rPr>
          <w:lang w:val="en-AU"/>
        </w:rPr>
        <w:t>(b)</w:t>
      </w:r>
      <w:r w:rsidRPr="00D72FBC">
        <w:rPr>
          <w:lang w:val="en-AU"/>
        </w:rPr>
        <w:tab/>
      </w:r>
      <w:bookmarkStart w:id="33" w:name="F62013448"/>
      <w:r w:rsidRPr="00D72FBC">
        <w:rPr>
          <w:lang w:val="en-AU"/>
        </w:rPr>
        <w:t>the carrying amount of those long-term interests at that date.</w:t>
      </w:r>
      <w:bookmarkEnd w:id="33"/>
    </w:p>
    <w:p w:rsidR="008807EC" w:rsidRPr="00D72FBC" w:rsidRDefault="008807EC">
      <w:pPr>
        <w:pStyle w:val="Heading2"/>
      </w:pPr>
      <w:r w:rsidRPr="00D72FBC">
        <w:t>Commencement of the legislative instrument</w:t>
      </w:r>
    </w:p>
    <w:p w:rsidR="008807EC" w:rsidRPr="00D72FBC" w:rsidRDefault="008807EC" w:rsidP="00BC0794">
      <w:pPr>
        <w:pStyle w:val="NoNumPlain1"/>
      </w:pPr>
      <w:r w:rsidRPr="00D72FBC">
        <w:t xml:space="preserve">For legal purposes, this legislative instrument commences on </w:t>
      </w:r>
      <w:bookmarkStart w:id="34" w:name="CommenceDate"/>
      <w:r w:rsidRPr="00D72FBC">
        <w:t>31 December 2018</w:t>
      </w:r>
      <w:bookmarkEnd w:id="34"/>
      <w:r w:rsidRPr="00D72FBC">
        <w:t>.</w:t>
      </w:r>
    </w:p>
    <w:sectPr w:rsidR="008807EC" w:rsidRPr="00D72FBC" w:rsidSect="00D74C6A">
      <w:footerReference w:type="default" r:id="rId18"/>
      <w:headerReference w:type="first" r:id="rId19"/>
      <w:footerReference w:type="first" r:id="rId20"/>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EC" w:rsidRDefault="008807EC">
      <w:r>
        <w:separator/>
      </w:r>
    </w:p>
  </w:endnote>
  <w:endnote w:type="continuationSeparator" w:id="0">
    <w:p w:rsidR="008807EC" w:rsidRDefault="0088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D35A4F">
      <w:rPr>
        <w:b/>
      </w:rPr>
      <w:t> </w:t>
    </w:r>
    <w:r>
      <w:rPr>
        <w:b/>
      </w:rPr>
      <w:fldChar w:fldCharType="begin" w:fldLock="1"/>
    </w:r>
    <w:r>
      <w:rPr>
        <w:b/>
      </w:rPr>
      <w:instrText xml:space="preserve"> REF DocNo  \* charformat </w:instrText>
    </w:r>
    <w:r>
      <w:rPr>
        <w:b/>
      </w:rPr>
      <w:fldChar w:fldCharType="separate"/>
    </w:r>
    <w:r w:rsidR="00D33158" w:rsidRPr="00D33158">
      <w:rPr>
        <w:b/>
      </w:rPr>
      <w:t>2017-7</w:t>
    </w:r>
    <w:r>
      <w:rPr>
        <w:b/>
      </w:rPr>
      <w:fldChar w:fldCharType="end"/>
    </w:r>
    <w:r>
      <w:rPr>
        <w:b/>
      </w:rPr>
      <w:tab/>
    </w:r>
    <w:r>
      <w:fldChar w:fldCharType="begin"/>
    </w:r>
    <w:r>
      <w:instrText>PAGE</w:instrText>
    </w:r>
    <w:r>
      <w:fldChar w:fldCharType="separate"/>
    </w:r>
    <w:r w:rsidR="00796024">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D35A4F">
      <w:rPr>
        <w:b/>
      </w:rPr>
      <w:t> </w:t>
    </w:r>
    <w:r>
      <w:rPr>
        <w:b/>
      </w:rPr>
      <w:fldChar w:fldCharType="begin" w:fldLock="1"/>
    </w:r>
    <w:r>
      <w:rPr>
        <w:b/>
      </w:rPr>
      <w:instrText xml:space="preserve"> REF DocNo  \* charformat </w:instrText>
    </w:r>
    <w:r>
      <w:rPr>
        <w:b/>
      </w:rPr>
      <w:fldChar w:fldCharType="separate"/>
    </w:r>
    <w:r w:rsidR="00D33158" w:rsidRPr="00D33158">
      <w:rPr>
        <w:b/>
      </w:rPr>
      <w:t>2017-7</w:t>
    </w:r>
    <w:r>
      <w:rPr>
        <w:b/>
      </w:rPr>
      <w:fldChar w:fldCharType="end"/>
    </w:r>
    <w:r>
      <w:rPr>
        <w:b/>
      </w:rPr>
      <w:tab/>
    </w:r>
    <w:r>
      <w:fldChar w:fldCharType="begin"/>
    </w:r>
    <w:r>
      <w:instrText>PAGE</w:instrText>
    </w:r>
    <w:r>
      <w:fldChar w:fldCharType="separate"/>
    </w:r>
    <w:r w:rsidR="00796024">
      <w:rPr>
        <w:noProof/>
      </w:rPr>
      <w:t>3</w:t>
    </w:r>
    <w:r>
      <w:fldChar w:fldCharType="end"/>
    </w:r>
    <w:r>
      <w:tab/>
    </w:r>
    <w:r>
      <w:rPr>
        <w:b/>
        <w:bCs/>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D35A4F">
      <w:rPr>
        <w:b/>
      </w:rPr>
      <w:t> </w:t>
    </w:r>
    <w:r>
      <w:rPr>
        <w:b/>
      </w:rPr>
      <w:fldChar w:fldCharType="begin" w:fldLock="1"/>
    </w:r>
    <w:r>
      <w:rPr>
        <w:b/>
      </w:rPr>
      <w:instrText xml:space="preserve"> REF DocNo  \* charformat </w:instrText>
    </w:r>
    <w:r>
      <w:rPr>
        <w:b/>
      </w:rPr>
      <w:fldChar w:fldCharType="separate"/>
    </w:r>
    <w:r w:rsidR="00D33158" w:rsidRPr="00D33158">
      <w:rPr>
        <w:b/>
      </w:rPr>
      <w:t>2017-7</w:t>
    </w:r>
    <w:r>
      <w:rPr>
        <w:b/>
      </w:rPr>
      <w:fldChar w:fldCharType="end"/>
    </w:r>
    <w:r>
      <w:rPr>
        <w:b/>
      </w:rPr>
      <w:tab/>
    </w:r>
    <w:r>
      <w:fldChar w:fldCharType="begin"/>
    </w:r>
    <w:r>
      <w:instrText>PAGE</w:instrText>
    </w:r>
    <w:r>
      <w:fldChar w:fldCharType="separate"/>
    </w:r>
    <w:r w:rsidR="00796024">
      <w:rPr>
        <w:noProof/>
      </w:rPr>
      <w:t>4</w:t>
    </w:r>
    <w:r>
      <w:fldChar w:fldCharType="end"/>
    </w:r>
    <w:r>
      <w:tab/>
    </w:r>
    <w:r>
      <w:rPr>
        <w:b/>
        <w:bCs/>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D35A4F">
      <w:rPr>
        <w:b/>
      </w:rPr>
      <w:t> </w:t>
    </w:r>
    <w:r>
      <w:rPr>
        <w:b/>
      </w:rPr>
      <w:fldChar w:fldCharType="begin" w:fldLock="1"/>
    </w:r>
    <w:r>
      <w:rPr>
        <w:b/>
      </w:rPr>
      <w:instrText xml:space="preserve"> REF DocNo  \* charformat </w:instrText>
    </w:r>
    <w:r>
      <w:rPr>
        <w:b/>
      </w:rPr>
      <w:fldChar w:fldCharType="separate"/>
    </w:r>
    <w:r w:rsidR="00D33158" w:rsidRPr="00D33158">
      <w:rPr>
        <w:b/>
      </w:rPr>
      <w:t>2017-7</w:t>
    </w:r>
    <w:r>
      <w:rPr>
        <w:b/>
      </w:rPr>
      <w:fldChar w:fldCharType="end"/>
    </w:r>
    <w:r>
      <w:rPr>
        <w:b/>
      </w:rPr>
      <w:tab/>
    </w:r>
    <w:r>
      <w:fldChar w:fldCharType="begin"/>
    </w:r>
    <w:r>
      <w:instrText>PAGE</w:instrText>
    </w:r>
    <w:r>
      <w:fldChar w:fldCharType="separate"/>
    </w:r>
    <w:r w:rsidR="00796024">
      <w:rPr>
        <w:noProof/>
      </w:rPr>
      <w:t>6</w:t>
    </w:r>
    <w:r>
      <w:fldChar w:fldCharType="end"/>
    </w:r>
    <w:r>
      <w:tab/>
    </w:r>
    <w:r>
      <w:rPr>
        <w:b/>
        <w:bCs/>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EC" w:rsidRDefault="008807EC">
      <w:r>
        <w:separator/>
      </w:r>
    </w:p>
  </w:footnote>
  <w:footnote w:type="continuationSeparator" w:id="0">
    <w:p w:rsidR="008807EC" w:rsidRDefault="0088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58" w:rsidRDefault="00D331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276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EC"/>
    <w:rsid w:val="0000292B"/>
    <w:rsid w:val="00027E8B"/>
    <w:rsid w:val="0004455B"/>
    <w:rsid w:val="000625F2"/>
    <w:rsid w:val="00074133"/>
    <w:rsid w:val="000812F8"/>
    <w:rsid w:val="00090A6F"/>
    <w:rsid w:val="00096027"/>
    <w:rsid w:val="000B733C"/>
    <w:rsid w:val="000C3EB0"/>
    <w:rsid w:val="000C56CD"/>
    <w:rsid w:val="000D7B40"/>
    <w:rsid w:val="000F64CC"/>
    <w:rsid w:val="00110B96"/>
    <w:rsid w:val="00115C6A"/>
    <w:rsid w:val="001162C5"/>
    <w:rsid w:val="001206CF"/>
    <w:rsid w:val="0014228E"/>
    <w:rsid w:val="001662B8"/>
    <w:rsid w:val="00171F51"/>
    <w:rsid w:val="00172023"/>
    <w:rsid w:val="001761C6"/>
    <w:rsid w:val="001864D4"/>
    <w:rsid w:val="0019286F"/>
    <w:rsid w:val="001B33A5"/>
    <w:rsid w:val="001C225F"/>
    <w:rsid w:val="001E02CB"/>
    <w:rsid w:val="001F78DF"/>
    <w:rsid w:val="00201D0E"/>
    <w:rsid w:val="0022022E"/>
    <w:rsid w:val="002310AB"/>
    <w:rsid w:val="00254B16"/>
    <w:rsid w:val="00276BC5"/>
    <w:rsid w:val="0028086D"/>
    <w:rsid w:val="00283482"/>
    <w:rsid w:val="0029647E"/>
    <w:rsid w:val="002A201D"/>
    <w:rsid w:val="002B7803"/>
    <w:rsid w:val="002E1793"/>
    <w:rsid w:val="002F1CD0"/>
    <w:rsid w:val="00307F26"/>
    <w:rsid w:val="003251D8"/>
    <w:rsid w:val="0033581C"/>
    <w:rsid w:val="00364B30"/>
    <w:rsid w:val="00367DC9"/>
    <w:rsid w:val="00377B8D"/>
    <w:rsid w:val="00382796"/>
    <w:rsid w:val="0039009E"/>
    <w:rsid w:val="003A488F"/>
    <w:rsid w:val="003B0CAA"/>
    <w:rsid w:val="003B0E71"/>
    <w:rsid w:val="003B6633"/>
    <w:rsid w:val="003D1DD4"/>
    <w:rsid w:val="003E0A68"/>
    <w:rsid w:val="003E1900"/>
    <w:rsid w:val="003F7CF0"/>
    <w:rsid w:val="00401ECA"/>
    <w:rsid w:val="004150BD"/>
    <w:rsid w:val="00422E4D"/>
    <w:rsid w:val="00426876"/>
    <w:rsid w:val="00434D86"/>
    <w:rsid w:val="00436A2D"/>
    <w:rsid w:val="0044702C"/>
    <w:rsid w:val="00460FBB"/>
    <w:rsid w:val="00470CE9"/>
    <w:rsid w:val="0047683E"/>
    <w:rsid w:val="0048155F"/>
    <w:rsid w:val="00487CF6"/>
    <w:rsid w:val="004933A4"/>
    <w:rsid w:val="004961F8"/>
    <w:rsid w:val="004A417F"/>
    <w:rsid w:val="004B038C"/>
    <w:rsid w:val="004B736C"/>
    <w:rsid w:val="004C0DDC"/>
    <w:rsid w:val="004C1FD8"/>
    <w:rsid w:val="004C5BDE"/>
    <w:rsid w:val="004D07C1"/>
    <w:rsid w:val="004D2930"/>
    <w:rsid w:val="004D3809"/>
    <w:rsid w:val="004D4D1C"/>
    <w:rsid w:val="004F55FE"/>
    <w:rsid w:val="00500E80"/>
    <w:rsid w:val="00511C34"/>
    <w:rsid w:val="005166B2"/>
    <w:rsid w:val="0053452C"/>
    <w:rsid w:val="00535EC5"/>
    <w:rsid w:val="0056274D"/>
    <w:rsid w:val="005655CE"/>
    <w:rsid w:val="00577065"/>
    <w:rsid w:val="0058004D"/>
    <w:rsid w:val="00580BC4"/>
    <w:rsid w:val="00590051"/>
    <w:rsid w:val="005932BF"/>
    <w:rsid w:val="005A2514"/>
    <w:rsid w:val="005A6AC7"/>
    <w:rsid w:val="005B146F"/>
    <w:rsid w:val="005E6BE4"/>
    <w:rsid w:val="00602261"/>
    <w:rsid w:val="00641282"/>
    <w:rsid w:val="00652DF8"/>
    <w:rsid w:val="006A3AE9"/>
    <w:rsid w:val="006A40E5"/>
    <w:rsid w:val="006B0CD6"/>
    <w:rsid w:val="006C2E37"/>
    <w:rsid w:val="006D055E"/>
    <w:rsid w:val="006D134A"/>
    <w:rsid w:val="006D4700"/>
    <w:rsid w:val="006D7679"/>
    <w:rsid w:val="006E2C39"/>
    <w:rsid w:val="006E3F1B"/>
    <w:rsid w:val="00714340"/>
    <w:rsid w:val="007219F7"/>
    <w:rsid w:val="007333C2"/>
    <w:rsid w:val="00737714"/>
    <w:rsid w:val="00742E4B"/>
    <w:rsid w:val="007455F0"/>
    <w:rsid w:val="00751F6A"/>
    <w:rsid w:val="007554ED"/>
    <w:rsid w:val="00755E40"/>
    <w:rsid w:val="00756FF6"/>
    <w:rsid w:val="0076127E"/>
    <w:rsid w:val="0078116B"/>
    <w:rsid w:val="00796024"/>
    <w:rsid w:val="007A6BC3"/>
    <w:rsid w:val="007C0096"/>
    <w:rsid w:val="007F1D3D"/>
    <w:rsid w:val="007F69D2"/>
    <w:rsid w:val="00812637"/>
    <w:rsid w:val="00813227"/>
    <w:rsid w:val="00820794"/>
    <w:rsid w:val="00831497"/>
    <w:rsid w:val="008459E8"/>
    <w:rsid w:val="00864ADE"/>
    <w:rsid w:val="00867FB0"/>
    <w:rsid w:val="00871A12"/>
    <w:rsid w:val="008807EC"/>
    <w:rsid w:val="00881BBE"/>
    <w:rsid w:val="00883275"/>
    <w:rsid w:val="00895809"/>
    <w:rsid w:val="008A16EB"/>
    <w:rsid w:val="008A6182"/>
    <w:rsid w:val="008B1D94"/>
    <w:rsid w:val="008B4C8D"/>
    <w:rsid w:val="008B643A"/>
    <w:rsid w:val="008C1C4A"/>
    <w:rsid w:val="008C60B1"/>
    <w:rsid w:val="008C6BD0"/>
    <w:rsid w:val="008D2EBD"/>
    <w:rsid w:val="008F0A81"/>
    <w:rsid w:val="008F3EBA"/>
    <w:rsid w:val="008F4AC5"/>
    <w:rsid w:val="008F5963"/>
    <w:rsid w:val="00923261"/>
    <w:rsid w:val="009256B7"/>
    <w:rsid w:val="00970C7A"/>
    <w:rsid w:val="009721DB"/>
    <w:rsid w:val="00972BFA"/>
    <w:rsid w:val="009965BA"/>
    <w:rsid w:val="009A0274"/>
    <w:rsid w:val="009B6535"/>
    <w:rsid w:val="009C0635"/>
    <w:rsid w:val="009C2479"/>
    <w:rsid w:val="009D06F8"/>
    <w:rsid w:val="009D73F1"/>
    <w:rsid w:val="009F4B4F"/>
    <w:rsid w:val="00A05041"/>
    <w:rsid w:val="00A13F82"/>
    <w:rsid w:val="00A16664"/>
    <w:rsid w:val="00A22E0D"/>
    <w:rsid w:val="00A41ED3"/>
    <w:rsid w:val="00A47FA2"/>
    <w:rsid w:val="00A51A7E"/>
    <w:rsid w:val="00A55F4F"/>
    <w:rsid w:val="00A64DD5"/>
    <w:rsid w:val="00A748BA"/>
    <w:rsid w:val="00A83862"/>
    <w:rsid w:val="00A8486C"/>
    <w:rsid w:val="00A96702"/>
    <w:rsid w:val="00A97EB2"/>
    <w:rsid w:val="00AA14A9"/>
    <w:rsid w:val="00AB4298"/>
    <w:rsid w:val="00AB780A"/>
    <w:rsid w:val="00AC4315"/>
    <w:rsid w:val="00AD42DA"/>
    <w:rsid w:val="00AF61B8"/>
    <w:rsid w:val="00B110AD"/>
    <w:rsid w:val="00B16904"/>
    <w:rsid w:val="00B271BA"/>
    <w:rsid w:val="00B3429E"/>
    <w:rsid w:val="00B74237"/>
    <w:rsid w:val="00B82F15"/>
    <w:rsid w:val="00BA3AB4"/>
    <w:rsid w:val="00BA4622"/>
    <w:rsid w:val="00BB4C9F"/>
    <w:rsid w:val="00BC0794"/>
    <w:rsid w:val="00BC0D5D"/>
    <w:rsid w:val="00BD3341"/>
    <w:rsid w:val="00BE2F68"/>
    <w:rsid w:val="00BE38FC"/>
    <w:rsid w:val="00BF798C"/>
    <w:rsid w:val="00C03C7B"/>
    <w:rsid w:val="00C3493B"/>
    <w:rsid w:val="00C37458"/>
    <w:rsid w:val="00C438DD"/>
    <w:rsid w:val="00C43CD1"/>
    <w:rsid w:val="00C45020"/>
    <w:rsid w:val="00C5022C"/>
    <w:rsid w:val="00C552FD"/>
    <w:rsid w:val="00C63573"/>
    <w:rsid w:val="00C95D8A"/>
    <w:rsid w:val="00CA61C5"/>
    <w:rsid w:val="00CB719A"/>
    <w:rsid w:val="00CC1DF4"/>
    <w:rsid w:val="00CC6FCD"/>
    <w:rsid w:val="00CD5D1C"/>
    <w:rsid w:val="00CE2F8C"/>
    <w:rsid w:val="00CF75CA"/>
    <w:rsid w:val="00CF7B67"/>
    <w:rsid w:val="00D00FD5"/>
    <w:rsid w:val="00D33158"/>
    <w:rsid w:val="00D35A4F"/>
    <w:rsid w:val="00D52086"/>
    <w:rsid w:val="00D54F5C"/>
    <w:rsid w:val="00D67336"/>
    <w:rsid w:val="00D72FBC"/>
    <w:rsid w:val="00D74038"/>
    <w:rsid w:val="00D74C6A"/>
    <w:rsid w:val="00D942EB"/>
    <w:rsid w:val="00D96A64"/>
    <w:rsid w:val="00DA2A7B"/>
    <w:rsid w:val="00DB00CD"/>
    <w:rsid w:val="00DC7E1B"/>
    <w:rsid w:val="00DD1DDC"/>
    <w:rsid w:val="00DD7E7A"/>
    <w:rsid w:val="00DF39E3"/>
    <w:rsid w:val="00E033B7"/>
    <w:rsid w:val="00E06C2F"/>
    <w:rsid w:val="00E24399"/>
    <w:rsid w:val="00E274C6"/>
    <w:rsid w:val="00E41399"/>
    <w:rsid w:val="00E63279"/>
    <w:rsid w:val="00E74BD5"/>
    <w:rsid w:val="00E7592A"/>
    <w:rsid w:val="00E839DA"/>
    <w:rsid w:val="00E90B4F"/>
    <w:rsid w:val="00E915E3"/>
    <w:rsid w:val="00E94DA2"/>
    <w:rsid w:val="00E96D45"/>
    <w:rsid w:val="00E97B4B"/>
    <w:rsid w:val="00EB4197"/>
    <w:rsid w:val="00EB4756"/>
    <w:rsid w:val="00EC4AFD"/>
    <w:rsid w:val="00EC525D"/>
    <w:rsid w:val="00ED0067"/>
    <w:rsid w:val="00ED06E4"/>
    <w:rsid w:val="00EE2509"/>
    <w:rsid w:val="00EE3D03"/>
    <w:rsid w:val="00EE740D"/>
    <w:rsid w:val="00F13C5A"/>
    <w:rsid w:val="00F14BDB"/>
    <w:rsid w:val="00F22AF2"/>
    <w:rsid w:val="00F2677A"/>
    <w:rsid w:val="00F27D29"/>
    <w:rsid w:val="00F424C9"/>
    <w:rsid w:val="00F66B41"/>
    <w:rsid w:val="00F70811"/>
    <w:rsid w:val="00F82A0E"/>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silver,#eaeaea"/>
    </o:shapedefaults>
    <o:shapelayout v:ext="edit">
      <o:idmap v:ext="edit" data="1"/>
    </o:shapelayout>
  </w:shapeDefaults>
  <w:decimalSymbol w:val="."/>
  <w:listSeparator w:val=","/>
  <w15:docId w15:val="{683E6F5A-57CE-4E0F-A64F-9796971F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A64DD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D72FBC"/>
    <w:pPr>
      <w:spacing w:before="100"/>
      <w:ind w:left="782" w:hanging="782"/>
    </w:pPr>
    <w:rPr>
      <w:lang w:val="en-US"/>
    </w:rPr>
  </w:style>
  <w:style w:type="paragraph" w:customStyle="1" w:styleId="IASBSectionTitle1NonInd">
    <w:name w:val="IASB Section Title 1 NonInd"/>
    <w:basedOn w:val="Normal"/>
    <w:rsid w:val="00D72FBC"/>
    <w:pPr>
      <w:keepNext/>
      <w:keepLines/>
      <w:pBdr>
        <w:bottom w:val="single" w:sz="4" w:space="0" w:color="auto"/>
      </w:pBdr>
      <w:spacing w:before="400" w:after="200"/>
      <w:jc w:val="left"/>
    </w:pPr>
    <w:rPr>
      <w:rFonts w:ascii="Arial" w:hAnsi="Arial" w:cs="Arial"/>
      <w:b/>
      <w:sz w:val="26"/>
      <w:lang w:val="en-US"/>
    </w:rPr>
  </w:style>
  <w:style w:type="paragraph" w:customStyle="1" w:styleId="IASBNormalnparaL1">
    <w:name w:val="IASB Normal nparaL1"/>
    <w:basedOn w:val="IASBNormalnpara"/>
    <w:rsid w:val="00D72FBC"/>
    <w:pPr>
      <w:ind w:left="1564"/>
    </w:pPr>
  </w:style>
  <w:style w:type="paragraph" w:customStyle="1" w:styleId="IASBTableArial">
    <w:name w:val="IASB Table Arial"/>
    <w:basedOn w:val="Normal"/>
    <w:rsid w:val="00D72FBC"/>
    <w:pPr>
      <w:spacing w:before="120"/>
      <w:jc w:val="left"/>
    </w:pPr>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44E9-5A34-48A3-810B-494537C0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45</TotalTime>
  <Pages>6</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AASB 2017-7 Amendments to Australian Accounting Standards – Long-term Interests in Associates and Joint Ventures</vt:lpstr>
    </vt:vector>
  </TitlesOfParts>
  <Company>Australian Accounting Standards Board</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2017-7 Amendments to Australian Accounting Standards – Long-term Interests in Associates and Joint Ventures</dc:title>
  <dc:creator>Valuckas, Danielius</dc:creator>
  <cp:lastModifiedBy>Boudaher, Amanda</cp:lastModifiedBy>
  <cp:revision>31</cp:revision>
  <cp:lastPrinted>2017-12-20T23:38:00Z</cp:lastPrinted>
  <dcterms:created xsi:type="dcterms:W3CDTF">2017-10-19T06:11:00Z</dcterms:created>
  <dcterms:modified xsi:type="dcterms:W3CDTF">2017-12-20T23:38:00Z</dcterms:modified>
</cp:coreProperties>
</file>