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A16" w:rsidRPr="00352A69" w:rsidRDefault="001F2A16" w:rsidP="0027569A">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0" w:name="FDocName"/>
      <w:r w:rsidRPr="00352A69">
        <w:rPr>
          <w:rFonts w:ascii="Arial" w:hAnsi="Arial" w:cs="Arial"/>
          <w:sz w:val="34"/>
          <w:szCs w:val="34"/>
        </w:rPr>
        <w:t>Explanatory Statement</w:t>
      </w:r>
    </w:p>
    <w:p w:rsidR="001F2A16" w:rsidRDefault="001F2A16" w:rsidP="0027569A">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rsidR="007871D6" w:rsidRDefault="00E17A65" w:rsidP="0027569A">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Pr>
          <w:rFonts w:ascii="Arial" w:hAnsi="Arial" w:cs="Arial"/>
          <w:sz w:val="34"/>
          <w:szCs w:val="34"/>
        </w:rPr>
        <w:t xml:space="preserve">Goods and Services Tax: </w:t>
      </w:r>
      <w:r w:rsidR="002B1385">
        <w:rPr>
          <w:rFonts w:ascii="Arial" w:hAnsi="Arial" w:cs="Arial"/>
          <w:sz w:val="34"/>
          <w:szCs w:val="34"/>
        </w:rPr>
        <w:t>Valuable Metals Market Value</w:t>
      </w:r>
      <w:r>
        <w:rPr>
          <w:rFonts w:ascii="Arial" w:hAnsi="Arial" w:cs="Arial"/>
          <w:sz w:val="34"/>
          <w:szCs w:val="34"/>
        </w:rPr>
        <w:t xml:space="preserve"> Determination 20</w:t>
      </w:r>
      <w:r w:rsidR="00CD6FB0">
        <w:rPr>
          <w:rFonts w:ascii="Arial" w:hAnsi="Arial" w:cs="Arial"/>
          <w:sz w:val="34"/>
          <w:szCs w:val="34"/>
        </w:rPr>
        <w:t>18</w:t>
      </w:r>
    </w:p>
    <w:p w:rsidR="007234C3" w:rsidRPr="00D036DF" w:rsidRDefault="007234C3" w:rsidP="0027569A">
      <w:pPr>
        <w:jc w:val="center"/>
        <w:rPr>
          <w:rFonts w:ascii="Arial" w:hAnsi="Arial" w:cs="Arial"/>
          <w:i/>
          <w:iCs/>
          <w:sz w:val="22"/>
          <w:szCs w:val="22"/>
        </w:rPr>
      </w:pPr>
    </w:p>
    <w:p w:rsidR="00011847" w:rsidRPr="00D036DF" w:rsidRDefault="00011847" w:rsidP="0027569A">
      <w:pPr>
        <w:jc w:val="center"/>
        <w:rPr>
          <w:rFonts w:ascii="Arial" w:hAnsi="Arial" w:cs="Arial"/>
          <w:i/>
          <w:iCs/>
          <w:sz w:val="22"/>
          <w:szCs w:val="22"/>
        </w:rPr>
      </w:pPr>
    </w:p>
    <w:p w:rsidR="00486653" w:rsidRPr="00D036DF" w:rsidRDefault="005A5199" w:rsidP="0027569A">
      <w:pPr>
        <w:pStyle w:val="Heading2"/>
        <w:keepLines/>
        <w:rPr>
          <w:rFonts w:eastAsiaTheme="majorEastAsia" w:cs="Arial"/>
          <w:bCs/>
          <w:szCs w:val="22"/>
        </w:rPr>
      </w:pPr>
      <w:bookmarkStart w:id="1" w:name="EDisclaimer"/>
      <w:bookmarkStart w:id="2" w:name="HBody"/>
      <w:bookmarkStart w:id="3" w:name="LReferences"/>
      <w:bookmarkStart w:id="4" w:name="NRulingRef"/>
      <w:bookmarkStart w:id="5" w:name="OSubjectRef"/>
      <w:bookmarkStart w:id="6" w:name="PLegrefText"/>
      <w:bookmarkStart w:id="7" w:name="QLegref"/>
      <w:bookmarkStart w:id="8" w:name="RCaseRefText"/>
      <w:bookmarkStart w:id="9" w:name="SCaseRef"/>
      <w:bookmarkStart w:id="10" w:name="VISSN"/>
      <w:bookmarkEnd w:id="0"/>
      <w:bookmarkEnd w:id="1"/>
      <w:bookmarkEnd w:id="2"/>
      <w:bookmarkEnd w:id="3"/>
      <w:bookmarkEnd w:id="4"/>
      <w:bookmarkEnd w:id="5"/>
      <w:bookmarkEnd w:id="6"/>
      <w:bookmarkEnd w:id="7"/>
      <w:bookmarkEnd w:id="8"/>
      <w:bookmarkEnd w:id="9"/>
      <w:bookmarkEnd w:id="10"/>
      <w:r w:rsidRPr="00D036DF">
        <w:rPr>
          <w:rFonts w:eastAsiaTheme="majorEastAsia" w:cs="Arial"/>
          <w:bCs/>
          <w:szCs w:val="22"/>
        </w:rPr>
        <w:t>General o</w:t>
      </w:r>
      <w:r w:rsidR="00486653" w:rsidRPr="00D036DF">
        <w:rPr>
          <w:rFonts w:eastAsiaTheme="majorEastAsia" w:cs="Arial"/>
          <w:bCs/>
          <w:szCs w:val="22"/>
        </w:rPr>
        <w:t xml:space="preserve">utline of </w:t>
      </w:r>
      <w:r w:rsidRPr="00D036DF">
        <w:rPr>
          <w:rFonts w:eastAsiaTheme="majorEastAsia" w:cs="Arial"/>
          <w:bCs/>
          <w:szCs w:val="22"/>
        </w:rPr>
        <w:t>i</w:t>
      </w:r>
      <w:r w:rsidR="00486653" w:rsidRPr="00D036DF">
        <w:rPr>
          <w:rFonts w:eastAsiaTheme="majorEastAsia" w:cs="Arial"/>
          <w:bCs/>
          <w:szCs w:val="22"/>
        </w:rPr>
        <w:t>nstrument</w:t>
      </w:r>
    </w:p>
    <w:p w:rsidR="007822CF" w:rsidRPr="00D036DF" w:rsidRDefault="007822CF" w:rsidP="006E6D93">
      <w:pPr>
        <w:numPr>
          <w:ilvl w:val="0"/>
          <w:numId w:val="1"/>
        </w:numPr>
        <w:spacing w:after="120"/>
        <w:ind w:left="709" w:hanging="709"/>
        <w:rPr>
          <w:rFonts w:ascii="Arial" w:hAnsi="Arial" w:cs="Arial"/>
          <w:sz w:val="22"/>
          <w:szCs w:val="22"/>
        </w:rPr>
      </w:pPr>
      <w:bookmarkStart w:id="11" w:name="IComments"/>
      <w:r w:rsidRPr="00D036DF">
        <w:rPr>
          <w:rFonts w:ascii="Arial" w:hAnsi="Arial" w:cs="Arial"/>
          <w:sz w:val="22"/>
          <w:szCs w:val="22"/>
        </w:rPr>
        <w:t xml:space="preserve">This instrument is made under subsection </w:t>
      </w:r>
      <w:r w:rsidR="002B1385" w:rsidRPr="00D036DF">
        <w:rPr>
          <w:rFonts w:ascii="Arial" w:hAnsi="Arial" w:cs="Arial"/>
          <w:sz w:val="22"/>
          <w:szCs w:val="22"/>
        </w:rPr>
        <w:t>86-10(3)</w:t>
      </w:r>
      <w:r w:rsidRPr="00D036DF">
        <w:rPr>
          <w:rFonts w:ascii="Arial" w:hAnsi="Arial" w:cs="Arial"/>
          <w:sz w:val="22"/>
          <w:szCs w:val="22"/>
        </w:rPr>
        <w:t xml:space="preserve"> of the </w:t>
      </w:r>
      <w:r w:rsidRPr="00D036DF">
        <w:rPr>
          <w:rFonts w:ascii="Arial" w:hAnsi="Arial" w:cs="Arial"/>
          <w:i/>
          <w:iCs/>
          <w:sz w:val="22"/>
          <w:szCs w:val="22"/>
        </w:rPr>
        <w:t>A New Tax System (Goods and Services Tax) Act 1999</w:t>
      </w:r>
      <w:r w:rsidRPr="00D036DF">
        <w:rPr>
          <w:rFonts w:ascii="Arial" w:hAnsi="Arial" w:cs="Arial"/>
          <w:sz w:val="22"/>
          <w:szCs w:val="22"/>
        </w:rPr>
        <w:t xml:space="preserve"> (the GST Act).</w:t>
      </w:r>
    </w:p>
    <w:p w:rsidR="007822CF" w:rsidRPr="00D036DF" w:rsidRDefault="007822CF" w:rsidP="006E6D93">
      <w:pPr>
        <w:numPr>
          <w:ilvl w:val="0"/>
          <w:numId w:val="1"/>
        </w:numPr>
        <w:spacing w:after="120"/>
        <w:ind w:left="709" w:hanging="709"/>
        <w:rPr>
          <w:rFonts w:ascii="Arial" w:hAnsi="Arial" w:cs="Arial"/>
          <w:sz w:val="22"/>
          <w:szCs w:val="22"/>
        </w:rPr>
      </w:pPr>
      <w:r w:rsidRPr="00D036DF">
        <w:rPr>
          <w:rFonts w:ascii="Arial" w:hAnsi="Arial" w:cs="Arial"/>
          <w:sz w:val="22"/>
          <w:szCs w:val="22"/>
        </w:rPr>
        <w:t xml:space="preserve">This </w:t>
      </w:r>
      <w:r w:rsidR="007234C3" w:rsidRPr="00D036DF">
        <w:rPr>
          <w:rFonts w:ascii="Arial" w:hAnsi="Arial" w:cs="Arial"/>
          <w:sz w:val="22"/>
          <w:szCs w:val="22"/>
        </w:rPr>
        <w:t>instrument</w:t>
      </w:r>
      <w:r w:rsidRPr="00D036DF">
        <w:rPr>
          <w:rFonts w:ascii="Arial" w:hAnsi="Arial" w:cs="Arial"/>
          <w:sz w:val="22"/>
          <w:szCs w:val="22"/>
        </w:rPr>
        <w:t xml:space="preserve"> sets out the method to</w:t>
      </w:r>
      <w:r w:rsidR="00FB7A91" w:rsidRPr="00D036DF">
        <w:rPr>
          <w:rFonts w:ascii="Arial" w:hAnsi="Arial" w:cs="Arial"/>
          <w:sz w:val="22"/>
          <w:szCs w:val="22"/>
        </w:rPr>
        <w:t xml:space="preserve"> calculate the market value of valuable metal </w:t>
      </w:r>
      <w:r w:rsidRPr="00D036DF">
        <w:rPr>
          <w:rFonts w:ascii="Arial" w:hAnsi="Arial" w:cs="Arial"/>
          <w:sz w:val="22"/>
          <w:szCs w:val="22"/>
        </w:rPr>
        <w:t xml:space="preserve">for the purposes of working out </w:t>
      </w:r>
      <w:r w:rsidR="00B5517E" w:rsidRPr="00D036DF">
        <w:rPr>
          <w:rFonts w:ascii="Arial" w:hAnsi="Arial" w:cs="Arial"/>
          <w:sz w:val="22"/>
          <w:szCs w:val="22"/>
        </w:rPr>
        <w:t xml:space="preserve">whether the market value of </w:t>
      </w:r>
      <w:r w:rsidRPr="00D036DF">
        <w:rPr>
          <w:rFonts w:ascii="Arial" w:hAnsi="Arial" w:cs="Arial"/>
          <w:sz w:val="22"/>
          <w:szCs w:val="22"/>
        </w:rPr>
        <w:t>a taxable supply</w:t>
      </w:r>
      <w:r w:rsidR="00B5517E" w:rsidRPr="00D036DF">
        <w:rPr>
          <w:rFonts w:ascii="Arial" w:hAnsi="Arial" w:cs="Arial"/>
          <w:sz w:val="22"/>
          <w:szCs w:val="22"/>
        </w:rPr>
        <w:t xml:space="preserve"> exceeds the valuable metal threshold</w:t>
      </w:r>
      <w:r w:rsidRPr="00D036DF">
        <w:rPr>
          <w:rFonts w:ascii="Arial" w:hAnsi="Arial" w:cs="Arial"/>
          <w:sz w:val="22"/>
          <w:szCs w:val="22"/>
        </w:rPr>
        <w:t>.</w:t>
      </w:r>
    </w:p>
    <w:p w:rsidR="000B5D34" w:rsidRPr="00D036DF" w:rsidRDefault="007822CF" w:rsidP="006E6D93">
      <w:pPr>
        <w:numPr>
          <w:ilvl w:val="0"/>
          <w:numId w:val="1"/>
        </w:numPr>
        <w:spacing w:after="120"/>
        <w:ind w:left="709" w:hanging="709"/>
        <w:rPr>
          <w:rFonts w:ascii="Arial" w:hAnsi="Arial" w:cs="Arial"/>
          <w:sz w:val="22"/>
          <w:szCs w:val="22"/>
        </w:rPr>
      </w:pPr>
      <w:r w:rsidRPr="00D036DF">
        <w:rPr>
          <w:rFonts w:ascii="Arial" w:hAnsi="Arial" w:cs="Arial"/>
          <w:sz w:val="22"/>
          <w:szCs w:val="22"/>
        </w:rPr>
        <w:t>Th</w:t>
      </w:r>
      <w:r w:rsidR="0038173B" w:rsidRPr="00D036DF">
        <w:rPr>
          <w:rFonts w:ascii="Arial" w:hAnsi="Arial" w:cs="Arial"/>
          <w:sz w:val="22"/>
          <w:szCs w:val="22"/>
        </w:rPr>
        <w:t>is</w:t>
      </w:r>
      <w:r w:rsidRPr="00D036DF">
        <w:rPr>
          <w:rFonts w:ascii="Arial" w:hAnsi="Arial" w:cs="Arial"/>
          <w:sz w:val="22"/>
          <w:szCs w:val="22"/>
        </w:rPr>
        <w:t xml:space="preserve"> instrument is a legislative instrument for the purposes of the </w:t>
      </w:r>
      <w:r w:rsidR="00F05A9C" w:rsidRPr="00D036DF">
        <w:rPr>
          <w:rFonts w:ascii="Arial" w:hAnsi="Arial" w:cs="Arial"/>
          <w:i/>
          <w:sz w:val="22"/>
          <w:szCs w:val="22"/>
        </w:rPr>
        <w:t>Legislati</w:t>
      </w:r>
      <w:r w:rsidR="00531E6A" w:rsidRPr="00D036DF">
        <w:rPr>
          <w:rFonts w:ascii="Arial" w:hAnsi="Arial" w:cs="Arial"/>
          <w:i/>
          <w:sz w:val="22"/>
          <w:szCs w:val="22"/>
        </w:rPr>
        <w:t>on</w:t>
      </w:r>
      <w:r w:rsidR="009C4A82" w:rsidRPr="00D036DF">
        <w:rPr>
          <w:rFonts w:ascii="Arial" w:hAnsi="Arial" w:cs="Arial"/>
          <w:i/>
          <w:sz w:val="22"/>
          <w:szCs w:val="22"/>
        </w:rPr>
        <w:t xml:space="preserve"> </w:t>
      </w:r>
      <w:r w:rsidRPr="00D036DF">
        <w:rPr>
          <w:rFonts w:ascii="Arial" w:hAnsi="Arial" w:cs="Arial"/>
          <w:i/>
          <w:sz w:val="22"/>
          <w:szCs w:val="22"/>
        </w:rPr>
        <w:t>Act 2003</w:t>
      </w:r>
      <w:r w:rsidRPr="00D036DF">
        <w:rPr>
          <w:rFonts w:ascii="Arial" w:hAnsi="Arial" w:cs="Arial"/>
          <w:sz w:val="22"/>
          <w:szCs w:val="22"/>
        </w:rPr>
        <w:t>.</w:t>
      </w:r>
    </w:p>
    <w:p w:rsidR="00F05A9C" w:rsidRPr="00D036DF" w:rsidRDefault="00F05A9C" w:rsidP="006E6D93">
      <w:pPr>
        <w:numPr>
          <w:ilvl w:val="0"/>
          <w:numId w:val="1"/>
        </w:numPr>
        <w:spacing w:after="120"/>
        <w:ind w:left="709" w:hanging="709"/>
        <w:rPr>
          <w:rFonts w:ascii="Arial" w:hAnsi="Arial" w:cs="Arial"/>
          <w:sz w:val="22"/>
          <w:szCs w:val="22"/>
        </w:rPr>
      </w:pPr>
      <w:r w:rsidRPr="00D036DF">
        <w:rPr>
          <w:rFonts w:ascii="Arial" w:hAnsi="Arial" w:cs="Arial"/>
          <w:sz w:val="22"/>
          <w:szCs w:val="22"/>
        </w:rPr>
        <w:t xml:space="preserve">Under subsection 33(3) of the </w:t>
      </w:r>
      <w:r w:rsidRPr="00D036DF">
        <w:rPr>
          <w:rFonts w:ascii="Arial" w:hAnsi="Arial" w:cs="Arial"/>
          <w:i/>
          <w:sz w:val="22"/>
          <w:szCs w:val="22"/>
        </w:rPr>
        <w:t>Acts Interpretation Act 1901</w:t>
      </w:r>
      <w:r w:rsidRPr="00D036DF">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bookmarkEnd w:id="11"/>
    <w:p w:rsidR="00486653" w:rsidRPr="00D036DF" w:rsidRDefault="00486653" w:rsidP="0027569A">
      <w:pPr>
        <w:pStyle w:val="Heading2"/>
        <w:keepLines/>
        <w:rPr>
          <w:rFonts w:eastAsiaTheme="majorEastAsia" w:cs="Arial"/>
          <w:bCs/>
          <w:szCs w:val="22"/>
        </w:rPr>
      </w:pPr>
      <w:r w:rsidRPr="00D036DF">
        <w:rPr>
          <w:rFonts w:eastAsiaTheme="majorEastAsia" w:cs="Arial"/>
          <w:bCs/>
          <w:szCs w:val="22"/>
        </w:rPr>
        <w:t>Date of effect</w:t>
      </w:r>
    </w:p>
    <w:p w:rsidR="00C822F6" w:rsidRPr="00D036DF" w:rsidRDefault="00380CC4" w:rsidP="006E6D93">
      <w:pPr>
        <w:numPr>
          <w:ilvl w:val="0"/>
          <w:numId w:val="1"/>
        </w:numPr>
        <w:spacing w:after="120"/>
        <w:ind w:left="709" w:hanging="709"/>
        <w:rPr>
          <w:rFonts w:ascii="Arial" w:hAnsi="Arial" w:cs="Arial"/>
          <w:sz w:val="22"/>
          <w:szCs w:val="22"/>
        </w:rPr>
      </w:pPr>
      <w:r w:rsidRPr="00D036DF">
        <w:rPr>
          <w:rFonts w:ascii="Arial" w:hAnsi="Arial" w:cs="Arial"/>
          <w:sz w:val="22"/>
          <w:szCs w:val="22"/>
        </w:rPr>
        <w:t>Th</w:t>
      </w:r>
      <w:r w:rsidR="0038173B" w:rsidRPr="00D036DF">
        <w:rPr>
          <w:rFonts w:ascii="Arial" w:hAnsi="Arial" w:cs="Arial"/>
          <w:sz w:val="22"/>
          <w:szCs w:val="22"/>
        </w:rPr>
        <w:t>is</w:t>
      </w:r>
      <w:r w:rsidRPr="00D036DF">
        <w:rPr>
          <w:rFonts w:ascii="Arial" w:hAnsi="Arial" w:cs="Arial"/>
          <w:sz w:val="22"/>
          <w:szCs w:val="22"/>
        </w:rPr>
        <w:t xml:space="preserve"> instrument is taken to have commenced on </w:t>
      </w:r>
      <w:r w:rsidR="007822CF" w:rsidRPr="00D036DF">
        <w:rPr>
          <w:rFonts w:ascii="Arial" w:hAnsi="Arial" w:cs="Arial"/>
          <w:sz w:val="22"/>
          <w:szCs w:val="22"/>
        </w:rPr>
        <w:t>the day after it is registered.</w:t>
      </w:r>
    </w:p>
    <w:p w:rsidR="00486653" w:rsidRPr="00D036DF" w:rsidRDefault="00486653" w:rsidP="0027569A">
      <w:pPr>
        <w:pStyle w:val="Heading2"/>
        <w:keepLines/>
        <w:rPr>
          <w:rFonts w:eastAsiaTheme="majorEastAsia" w:cs="Arial"/>
          <w:bCs/>
          <w:szCs w:val="22"/>
        </w:rPr>
      </w:pPr>
      <w:r w:rsidRPr="00D036DF">
        <w:rPr>
          <w:rFonts w:eastAsiaTheme="majorEastAsia" w:cs="Arial"/>
          <w:bCs/>
          <w:szCs w:val="22"/>
        </w:rPr>
        <w:t>What is this instrument about</w:t>
      </w:r>
    </w:p>
    <w:p w:rsidR="007871D6" w:rsidRPr="00D036DF" w:rsidRDefault="00BA79EC" w:rsidP="006E6D93">
      <w:pPr>
        <w:numPr>
          <w:ilvl w:val="0"/>
          <w:numId w:val="1"/>
        </w:numPr>
        <w:spacing w:after="120"/>
        <w:ind w:left="709" w:hanging="709"/>
        <w:rPr>
          <w:rFonts w:ascii="Arial" w:hAnsi="Arial" w:cs="Arial"/>
          <w:sz w:val="22"/>
          <w:szCs w:val="22"/>
        </w:rPr>
      </w:pPr>
      <w:r w:rsidRPr="00D036DF">
        <w:rPr>
          <w:rFonts w:ascii="Arial" w:hAnsi="Arial" w:cs="Arial"/>
          <w:sz w:val="22"/>
          <w:szCs w:val="22"/>
        </w:rPr>
        <w:t>Division 86 of the GST Act requires that</w:t>
      </w:r>
      <w:r w:rsidR="00BD3D64" w:rsidRPr="00D036DF">
        <w:rPr>
          <w:rFonts w:ascii="Arial" w:hAnsi="Arial" w:cs="Arial"/>
          <w:sz w:val="22"/>
          <w:szCs w:val="22"/>
        </w:rPr>
        <w:t>,</w:t>
      </w:r>
      <w:r w:rsidRPr="00D036DF">
        <w:rPr>
          <w:rFonts w:ascii="Arial" w:hAnsi="Arial" w:cs="Arial"/>
          <w:sz w:val="22"/>
          <w:szCs w:val="22"/>
        </w:rPr>
        <w:t xml:space="preserve"> under certain circumstances</w:t>
      </w:r>
      <w:r w:rsidR="00BD3D64" w:rsidRPr="00D036DF">
        <w:rPr>
          <w:rFonts w:ascii="Arial" w:hAnsi="Arial" w:cs="Arial"/>
          <w:sz w:val="22"/>
          <w:szCs w:val="22"/>
        </w:rPr>
        <w:t>,</w:t>
      </w:r>
      <w:r w:rsidRPr="00D036DF">
        <w:rPr>
          <w:rFonts w:ascii="Arial" w:hAnsi="Arial" w:cs="Arial"/>
          <w:sz w:val="22"/>
          <w:szCs w:val="22"/>
        </w:rPr>
        <w:t xml:space="preserve"> the GST on a </w:t>
      </w:r>
      <w:r w:rsidR="005A5199" w:rsidRPr="00D036DF">
        <w:rPr>
          <w:rFonts w:ascii="Arial" w:hAnsi="Arial" w:cs="Arial"/>
          <w:sz w:val="22"/>
          <w:szCs w:val="22"/>
        </w:rPr>
        <w:t xml:space="preserve">taxable </w:t>
      </w:r>
      <w:r w:rsidRPr="00D036DF">
        <w:rPr>
          <w:rFonts w:ascii="Arial" w:hAnsi="Arial" w:cs="Arial"/>
          <w:sz w:val="22"/>
          <w:szCs w:val="22"/>
        </w:rPr>
        <w:t>supply of goods consisting wholly or partly of gold, silver or platinum is “reverse charged” so that the recipient of the supply is liable for the GST on the supply instead of the supplier.</w:t>
      </w:r>
    </w:p>
    <w:p w:rsidR="00BA79EC" w:rsidRPr="00D036DF" w:rsidRDefault="005A5199" w:rsidP="006E6D93">
      <w:pPr>
        <w:numPr>
          <w:ilvl w:val="0"/>
          <w:numId w:val="1"/>
        </w:numPr>
        <w:spacing w:after="120"/>
        <w:ind w:left="709" w:hanging="709"/>
        <w:rPr>
          <w:rFonts w:ascii="Arial" w:hAnsi="Arial" w:cs="Arial"/>
          <w:sz w:val="22"/>
          <w:szCs w:val="22"/>
        </w:rPr>
      </w:pPr>
      <w:r w:rsidRPr="00D036DF">
        <w:rPr>
          <w:rFonts w:ascii="Arial" w:hAnsi="Arial" w:cs="Arial"/>
          <w:sz w:val="22"/>
          <w:szCs w:val="22"/>
        </w:rPr>
        <w:t>However</w:t>
      </w:r>
      <w:r w:rsidR="00AB2732">
        <w:rPr>
          <w:rFonts w:ascii="Arial" w:hAnsi="Arial" w:cs="Arial"/>
          <w:sz w:val="22"/>
          <w:szCs w:val="22"/>
        </w:rPr>
        <w:t>,</w:t>
      </w:r>
      <w:r w:rsidRPr="00D036DF">
        <w:rPr>
          <w:rFonts w:ascii="Arial" w:hAnsi="Arial" w:cs="Arial"/>
          <w:sz w:val="22"/>
          <w:szCs w:val="22"/>
        </w:rPr>
        <w:t xml:space="preserve"> if the market value of the supply of goods exceeds the market value of any valuable metal contained in the goods by 10 percent or more at the time of the supply, the reverse charge may not apply.  In these circumstances the supplier and the recipient can agree to voluntarily reverse charge the supply to avoid having to undertake the market value calculation.</w:t>
      </w:r>
    </w:p>
    <w:p w:rsidR="002F051E" w:rsidRPr="00D036DF" w:rsidRDefault="002F051E" w:rsidP="006E6D93">
      <w:pPr>
        <w:numPr>
          <w:ilvl w:val="0"/>
          <w:numId w:val="1"/>
        </w:numPr>
        <w:spacing w:after="120"/>
        <w:ind w:left="709" w:hanging="709"/>
        <w:rPr>
          <w:rFonts w:ascii="Arial" w:hAnsi="Arial" w:cs="Arial"/>
          <w:sz w:val="22"/>
          <w:szCs w:val="22"/>
        </w:rPr>
      </w:pPr>
      <w:r w:rsidRPr="00D036DF">
        <w:rPr>
          <w:rFonts w:ascii="Arial" w:hAnsi="Arial" w:cs="Arial"/>
          <w:sz w:val="22"/>
          <w:szCs w:val="22"/>
        </w:rPr>
        <w:t xml:space="preserve">The definition of “second-hand goods” in section 195-1 of the GST Act excludes goods to the extent that they consist of gold, silver or platinum unless the goods are “incidental valuable metal goods”. This term is defined in section 195-1 to include goods where the market value of the goods exceeds the market value of any valuable metal contained in the goods by 10 percent or more at the time of the acquisition.  </w:t>
      </w:r>
    </w:p>
    <w:p w:rsidR="007822CF" w:rsidRPr="00D036DF" w:rsidRDefault="007822CF" w:rsidP="006E6D93">
      <w:pPr>
        <w:numPr>
          <w:ilvl w:val="0"/>
          <w:numId w:val="1"/>
        </w:numPr>
        <w:spacing w:after="120"/>
        <w:ind w:left="709" w:hanging="709"/>
        <w:rPr>
          <w:rFonts w:ascii="Arial" w:hAnsi="Arial" w:cs="Arial"/>
          <w:sz w:val="22"/>
          <w:szCs w:val="22"/>
        </w:rPr>
      </w:pPr>
      <w:r w:rsidRPr="00D036DF">
        <w:rPr>
          <w:rFonts w:ascii="Arial" w:hAnsi="Arial" w:cs="Arial"/>
          <w:sz w:val="22"/>
          <w:szCs w:val="22"/>
        </w:rPr>
        <w:t xml:space="preserve">In </w:t>
      </w:r>
      <w:r w:rsidR="009B6DAA" w:rsidRPr="00D036DF">
        <w:rPr>
          <w:rFonts w:ascii="Arial" w:hAnsi="Arial" w:cs="Arial"/>
          <w:sz w:val="22"/>
          <w:szCs w:val="22"/>
        </w:rPr>
        <w:t xml:space="preserve">this instrument, </w:t>
      </w:r>
      <w:r w:rsidRPr="00D036DF">
        <w:rPr>
          <w:rFonts w:ascii="Arial" w:hAnsi="Arial" w:cs="Arial"/>
          <w:sz w:val="22"/>
          <w:szCs w:val="22"/>
        </w:rPr>
        <w:t xml:space="preserve">the Commissioner sets out </w:t>
      </w:r>
      <w:r w:rsidR="0038173B" w:rsidRPr="00D036DF">
        <w:rPr>
          <w:rFonts w:ascii="Arial" w:hAnsi="Arial" w:cs="Arial"/>
          <w:sz w:val="22"/>
          <w:szCs w:val="22"/>
        </w:rPr>
        <w:t>the</w:t>
      </w:r>
      <w:r w:rsidRPr="00D036DF">
        <w:rPr>
          <w:rFonts w:ascii="Arial" w:hAnsi="Arial" w:cs="Arial"/>
          <w:sz w:val="22"/>
          <w:szCs w:val="22"/>
        </w:rPr>
        <w:t xml:space="preserve"> method </w:t>
      </w:r>
      <w:r w:rsidR="002F051E" w:rsidRPr="00D036DF">
        <w:rPr>
          <w:rFonts w:ascii="Arial" w:hAnsi="Arial" w:cs="Arial"/>
          <w:sz w:val="22"/>
          <w:szCs w:val="22"/>
        </w:rPr>
        <w:t xml:space="preserve">taxpayers </w:t>
      </w:r>
      <w:r w:rsidRPr="00D036DF">
        <w:rPr>
          <w:rFonts w:ascii="Arial" w:hAnsi="Arial" w:cs="Arial"/>
          <w:sz w:val="22"/>
          <w:szCs w:val="22"/>
        </w:rPr>
        <w:t xml:space="preserve">must use to </w:t>
      </w:r>
      <w:r w:rsidR="00B5517E" w:rsidRPr="00D036DF">
        <w:rPr>
          <w:rFonts w:ascii="Arial" w:hAnsi="Arial" w:cs="Arial"/>
          <w:sz w:val="22"/>
          <w:szCs w:val="22"/>
        </w:rPr>
        <w:t>calculate the market value of valuable metal for the purposes of the valuable metal threshold</w:t>
      </w:r>
      <w:r w:rsidR="005A5199" w:rsidRPr="00D036DF">
        <w:rPr>
          <w:rFonts w:ascii="Arial" w:hAnsi="Arial" w:cs="Arial"/>
          <w:sz w:val="22"/>
          <w:szCs w:val="22"/>
        </w:rPr>
        <w:t xml:space="preserve"> test</w:t>
      </w:r>
      <w:r w:rsidRPr="00D036DF">
        <w:rPr>
          <w:rFonts w:ascii="Arial" w:hAnsi="Arial" w:cs="Arial"/>
          <w:sz w:val="22"/>
          <w:szCs w:val="22"/>
        </w:rPr>
        <w:t>.</w:t>
      </w:r>
    </w:p>
    <w:p w:rsidR="00486653" w:rsidRPr="00D036DF" w:rsidRDefault="00486653" w:rsidP="0027569A">
      <w:pPr>
        <w:pStyle w:val="Heading2"/>
        <w:keepLines/>
        <w:rPr>
          <w:rFonts w:eastAsiaTheme="majorEastAsia" w:cs="Arial"/>
          <w:bCs/>
          <w:szCs w:val="22"/>
        </w:rPr>
      </w:pPr>
      <w:r w:rsidRPr="00D036DF">
        <w:rPr>
          <w:rFonts w:eastAsiaTheme="majorEastAsia" w:cs="Arial"/>
          <w:bCs/>
          <w:szCs w:val="22"/>
        </w:rPr>
        <w:t>What is the effect of this instrument</w:t>
      </w:r>
    </w:p>
    <w:p w:rsidR="00C822F6" w:rsidRPr="00D036DF" w:rsidRDefault="00B5517E" w:rsidP="006E6D93">
      <w:pPr>
        <w:numPr>
          <w:ilvl w:val="0"/>
          <w:numId w:val="1"/>
        </w:numPr>
        <w:spacing w:after="120"/>
        <w:ind w:left="709" w:hanging="709"/>
        <w:rPr>
          <w:rFonts w:ascii="Arial" w:hAnsi="Arial" w:cs="Arial"/>
          <w:sz w:val="22"/>
          <w:szCs w:val="22"/>
        </w:rPr>
      </w:pPr>
      <w:r w:rsidRPr="00D036DF">
        <w:rPr>
          <w:rFonts w:ascii="Arial" w:hAnsi="Arial" w:cs="Arial"/>
          <w:sz w:val="22"/>
          <w:szCs w:val="22"/>
        </w:rPr>
        <w:t>A</w:t>
      </w:r>
      <w:r w:rsidR="00AE0EAA" w:rsidRPr="00D036DF">
        <w:rPr>
          <w:rFonts w:ascii="Arial" w:hAnsi="Arial" w:cs="Arial"/>
          <w:sz w:val="22"/>
          <w:szCs w:val="22"/>
        </w:rPr>
        <w:t xml:space="preserve"> supplier </w:t>
      </w:r>
      <w:r w:rsidRPr="00D036DF">
        <w:rPr>
          <w:rFonts w:ascii="Arial" w:hAnsi="Arial" w:cs="Arial"/>
          <w:sz w:val="22"/>
          <w:szCs w:val="22"/>
        </w:rPr>
        <w:t xml:space="preserve">must use the following method to </w:t>
      </w:r>
      <w:r w:rsidR="007822CF" w:rsidRPr="00D036DF">
        <w:rPr>
          <w:rFonts w:ascii="Arial" w:hAnsi="Arial" w:cs="Arial"/>
          <w:sz w:val="22"/>
          <w:szCs w:val="22"/>
        </w:rPr>
        <w:t xml:space="preserve">work out the </w:t>
      </w:r>
      <w:r w:rsidRPr="00D036DF">
        <w:rPr>
          <w:rFonts w:ascii="Arial" w:hAnsi="Arial" w:cs="Arial"/>
          <w:sz w:val="22"/>
          <w:szCs w:val="22"/>
        </w:rPr>
        <w:t xml:space="preserve">market value of the valuable metal contained in a good on the date of </w:t>
      </w:r>
      <w:r w:rsidR="00427EB2" w:rsidRPr="00D036DF">
        <w:rPr>
          <w:rFonts w:ascii="Arial" w:hAnsi="Arial" w:cs="Arial"/>
          <w:sz w:val="22"/>
          <w:szCs w:val="22"/>
        </w:rPr>
        <w:t>the supply</w:t>
      </w:r>
      <w:r w:rsidR="007822CF" w:rsidRPr="00D036DF">
        <w:rPr>
          <w:rFonts w:ascii="Arial" w:hAnsi="Arial" w:cs="Arial"/>
          <w:sz w:val="22"/>
          <w:szCs w:val="22"/>
        </w:rPr>
        <w:t>:</w:t>
      </w:r>
    </w:p>
    <w:p w:rsidR="00C822F6" w:rsidRPr="00D036DF" w:rsidRDefault="000770B2" w:rsidP="0027569A">
      <w:pPr>
        <w:spacing w:after="120"/>
        <w:ind w:left="360"/>
        <w:jc w:val="center"/>
        <w:rPr>
          <w:rFonts w:ascii="Arial" w:hAnsi="Arial" w:cs="Arial"/>
          <w:sz w:val="22"/>
          <w:szCs w:val="22"/>
        </w:rPr>
      </w:pPr>
      <w:r w:rsidRPr="00D036DF">
        <w:rPr>
          <w:rFonts w:ascii="Arial" w:hAnsi="Arial" w:cs="Arial"/>
          <w:sz w:val="22"/>
          <w:szCs w:val="22"/>
        </w:rPr>
        <w:lastRenderedPageBreak/>
        <w:t>(</w:t>
      </w:r>
      <w:r w:rsidR="00B5517E" w:rsidRPr="00D036DF">
        <w:rPr>
          <w:rFonts w:ascii="Arial" w:hAnsi="Arial" w:cs="Arial"/>
          <w:sz w:val="22"/>
          <w:szCs w:val="22"/>
        </w:rPr>
        <w:t>Weight of valuable metal</w:t>
      </w:r>
      <w:r w:rsidR="000234A1" w:rsidRPr="00D036DF">
        <w:rPr>
          <w:rFonts w:ascii="Arial" w:hAnsi="Arial" w:cs="Arial"/>
          <w:sz w:val="22"/>
          <w:szCs w:val="22"/>
        </w:rPr>
        <w:t>)</w:t>
      </w:r>
      <w:r w:rsidR="007822CF" w:rsidRPr="00D036DF">
        <w:rPr>
          <w:rFonts w:ascii="Arial" w:hAnsi="Arial" w:cs="Arial"/>
          <w:sz w:val="22"/>
          <w:szCs w:val="22"/>
        </w:rPr>
        <w:t xml:space="preserve"> </w:t>
      </w:r>
      <w:r w:rsidR="001B23B2" w:rsidRPr="00D036DF">
        <w:rPr>
          <w:rFonts w:ascii="Arial" w:hAnsi="Arial" w:cs="Arial"/>
          <w:sz w:val="22"/>
          <w:szCs w:val="22"/>
        </w:rPr>
        <w:t>x</w:t>
      </w:r>
      <w:r w:rsidR="007822CF" w:rsidRPr="00D036DF">
        <w:rPr>
          <w:rFonts w:ascii="Arial" w:hAnsi="Arial" w:cs="Arial"/>
          <w:sz w:val="22"/>
          <w:szCs w:val="22"/>
        </w:rPr>
        <w:t xml:space="preserve"> (</w:t>
      </w:r>
      <w:r w:rsidR="00CE4E4F" w:rsidRPr="00D036DF">
        <w:rPr>
          <w:rFonts w:ascii="Arial" w:hAnsi="Arial" w:cs="Arial"/>
          <w:sz w:val="22"/>
          <w:szCs w:val="22"/>
        </w:rPr>
        <w:t>S</w:t>
      </w:r>
      <w:r w:rsidR="00B5517E" w:rsidRPr="00D036DF">
        <w:rPr>
          <w:rFonts w:ascii="Arial" w:hAnsi="Arial" w:cs="Arial"/>
          <w:sz w:val="22"/>
          <w:szCs w:val="22"/>
        </w:rPr>
        <w:t xml:space="preserve">pot price of </w:t>
      </w:r>
      <w:r w:rsidR="009D43E2" w:rsidRPr="00D036DF">
        <w:rPr>
          <w:rFonts w:ascii="Arial" w:hAnsi="Arial" w:cs="Arial"/>
          <w:sz w:val="22"/>
          <w:szCs w:val="22"/>
        </w:rPr>
        <w:t xml:space="preserve">the valuable </w:t>
      </w:r>
      <w:r w:rsidR="00B5517E" w:rsidRPr="00D036DF">
        <w:rPr>
          <w:rFonts w:ascii="Arial" w:hAnsi="Arial" w:cs="Arial"/>
          <w:sz w:val="22"/>
          <w:szCs w:val="22"/>
        </w:rPr>
        <w:t xml:space="preserve">metal </w:t>
      </w:r>
      <w:r w:rsidR="006F3EED" w:rsidRPr="00D036DF">
        <w:rPr>
          <w:rFonts w:ascii="Arial" w:hAnsi="Arial" w:cs="Arial"/>
          <w:sz w:val="22"/>
          <w:szCs w:val="22"/>
        </w:rPr>
        <w:t>on that date</w:t>
      </w:r>
      <w:r w:rsidR="007822CF" w:rsidRPr="00D036DF">
        <w:rPr>
          <w:rFonts w:ascii="Arial" w:hAnsi="Arial" w:cs="Arial"/>
          <w:sz w:val="22"/>
          <w:szCs w:val="22"/>
        </w:rPr>
        <w:t>)</w:t>
      </w:r>
    </w:p>
    <w:p w:rsidR="00C822F6" w:rsidRPr="00D036DF" w:rsidRDefault="007822CF" w:rsidP="0027569A">
      <w:pPr>
        <w:keepNext/>
        <w:spacing w:after="120"/>
        <w:ind w:firstLine="720"/>
        <w:rPr>
          <w:rFonts w:ascii="Arial" w:hAnsi="Arial" w:cs="Arial"/>
          <w:sz w:val="22"/>
          <w:szCs w:val="22"/>
        </w:rPr>
      </w:pPr>
      <w:r w:rsidRPr="00D036DF">
        <w:rPr>
          <w:rFonts w:ascii="Arial" w:hAnsi="Arial" w:cs="Arial"/>
          <w:sz w:val="22"/>
          <w:szCs w:val="22"/>
        </w:rPr>
        <w:t>where,</w:t>
      </w:r>
    </w:p>
    <w:p w:rsidR="008A2656" w:rsidRPr="00D036DF" w:rsidRDefault="00B5517E" w:rsidP="0027569A">
      <w:pPr>
        <w:spacing w:after="120"/>
        <w:ind w:left="709"/>
        <w:rPr>
          <w:rFonts w:ascii="Arial" w:hAnsi="Arial" w:cs="Arial"/>
          <w:bCs/>
          <w:color w:val="000000"/>
          <w:sz w:val="22"/>
          <w:szCs w:val="22"/>
        </w:rPr>
      </w:pPr>
      <w:r w:rsidRPr="00D036DF">
        <w:rPr>
          <w:rFonts w:ascii="Arial" w:hAnsi="Arial" w:cs="Arial"/>
          <w:b/>
          <w:sz w:val="22"/>
          <w:szCs w:val="22"/>
        </w:rPr>
        <w:t>Weight of valuable metal</w:t>
      </w:r>
      <w:r w:rsidR="008A2656" w:rsidRPr="00D036DF">
        <w:rPr>
          <w:rFonts w:ascii="Arial" w:hAnsi="Arial" w:cs="Arial"/>
          <w:b/>
          <w:bCs/>
          <w:color w:val="000000"/>
          <w:sz w:val="22"/>
          <w:szCs w:val="22"/>
        </w:rPr>
        <w:t xml:space="preserve"> </w:t>
      </w:r>
      <w:r w:rsidR="006F3EED" w:rsidRPr="00D036DF">
        <w:rPr>
          <w:rFonts w:ascii="Arial" w:hAnsi="Arial" w:cs="Arial"/>
          <w:bCs/>
          <w:color w:val="000000"/>
          <w:sz w:val="22"/>
          <w:szCs w:val="22"/>
        </w:rPr>
        <w:t xml:space="preserve">is the weight in troy ounces of the valuable metal </w:t>
      </w:r>
      <w:r w:rsidR="008A2656" w:rsidRPr="00D036DF">
        <w:rPr>
          <w:rFonts w:ascii="Arial" w:hAnsi="Arial" w:cs="Arial"/>
          <w:bCs/>
          <w:color w:val="000000"/>
          <w:sz w:val="22"/>
          <w:szCs w:val="22"/>
        </w:rPr>
        <w:t>in the good</w:t>
      </w:r>
    </w:p>
    <w:p w:rsidR="006F3EED" w:rsidRPr="00D036DF" w:rsidRDefault="00CE4E4F" w:rsidP="0027569A">
      <w:pPr>
        <w:spacing w:after="120"/>
        <w:ind w:left="709"/>
        <w:rPr>
          <w:rFonts w:ascii="Arial" w:hAnsi="Arial" w:cs="Arial"/>
          <w:color w:val="000000"/>
          <w:sz w:val="22"/>
          <w:szCs w:val="22"/>
        </w:rPr>
      </w:pPr>
      <w:r w:rsidRPr="00D036DF">
        <w:rPr>
          <w:rFonts w:ascii="Arial" w:hAnsi="Arial" w:cs="Arial"/>
          <w:b/>
          <w:bCs/>
          <w:color w:val="000000"/>
          <w:sz w:val="22"/>
          <w:szCs w:val="22"/>
        </w:rPr>
        <w:t>S</w:t>
      </w:r>
      <w:r w:rsidR="008A2656" w:rsidRPr="00D036DF">
        <w:rPr>
          <w:rFonts w:ascii="Arial" w:hAnsi="Arial" w:cs="Arial"/>
          <w:b/>
          <w:bCs/>
          <w:color w:val="000000"/>
          <w:sz w:val="22"/>
          <w:szCs w:val="22"/>
        </w:rPr>
        <w:t xml:space="preserve">pot price of </w:t>
      </w:r>
      <w:r w:rsidR="00BD3D8B" w:rsidRPr="00D036DF">
        <w:rPr>
          <w:rFonts w:ascii="Arial" w:hAnsi="Arial" w:cs="Arial"/>
          <w:b/>
          <w:bCs/>
          <w:color w:val="000000"/>
          <w:sz w:val="22"/>
          <w:szCs w:val="22"/>
        </w:rPr>
        <w:t>valuable</w:t>
      </w:r>
      <w:r w:rsidR="008A2656" w:rsidRPr="00D036DF">
        <w:rPr>
          <w:rFonts w:ascii="Arial" w:hAnsi="Arial" w:cs="Arial"/>
          <w:b/>
          <w:bCs/>
          <w:color w:val="000000"/>
          <w:sz w:val="22"/>
          <w:szCs w:val="22"/>
        </w:rPr>
        <w:t xml:space="preserve"> metal</w:t>
      </w:r>
      <w:r w:rsidR="008A2656" w:rsidRPr="00D036DF">
        <w:rPr>
          <w:rFonts w:ascii="Arial" w:hAnsi="Arial" w:cs="Arial"/>
          <w:color w:val="000000"/>
          <w:sz w:val="22"/>
          <w:szCs w:val="22"/>
        </w:rPr>
        <w:t xml:space="preserve"> </w:t>
      </w:r>
      <w:r w:rsidR="006F3EED" w:rsidRPr="00D036DF">
        <w:rPr>
          <w:rFonts w:ascii="Arial" w:hAnsi="Arial" w:cs="Arial"/>
          <w:color w:val="000000"/>
          <w:sz w:val="22"/>
          <w:szCs w:val="22"/>
        </w:rPr>
        <w:t>on th</w:t>
      </w:r>
      <w:r w:rsidR="00BD3D64" w:rsidRPr="00D036DF">
        <w:rPr>
          <w:rFonts w:ascii="Arial" w:hAnsi="Arial" w:cs="Arial"/>
          <w:color w:val="000000"/>
          <w:sz w:val="22"/>
          <w:szCs w:val="22"/>
        </w:rPr>
        <w:t>e</w:t>
      </w:r>
      <w:r w:rsidR="006F3EED" w:rsidRPr="00D036DF">
        <w:rPr>
          <w:rFonts w:ascii="Arial" w:hAnsi="Arial" w:cs="Arial"/>
          <w:color w:val="000000"/>
          <w:sz w:val="22"/>
          <w:szCs w:val="22"/>
        </w:rPr>
        <w:t xml:space="preserve"> date </w:t>
      </w:r>
      <w:r w:rsidR="00BD3D64" w:rsidRPr="00D036DF">
        <w:rPr>
          <w:rFonts w:ascii="Arial" w:hAnsi="Arial" w:cs="Arial"/>
          <w:color w:val="000000"/>
          <w:sz w:val="22"/>
          <w:szCs w:val="22"/>
        </w:rPr>
        <w:t xml:space="preserve">of the supply </w:t>
      </w:r>
      <w:r w:rsidR="006F3EED" w:rsidRPr="00D036DF">
        <w:rPr>
          <w:rFonts w:ascii="Arial" w:hAnsi="Arial" w:cs="Arial"/>
          <w:color w:val="000000"/>
          <w:sz w:val="22"/>
          <w:szCs w:val="22"/>
        </w:rPr>
        <w:t>is whichever of the following you choose:</w:t>
      </w:r>
    </w:p>
    <w:p w:rsidR="007871D6" w:rsidRPr="00D036DF" w:rsidRDefault="006F3EED" w:rsidP="006E6D93">
      <w:pPr>
        <w:pStyle w:val="ListParagraph"/>
        <w:numPr>
          <w:ilvl w:val="0"/>
          <w:numId w:val="2"/>
        </w:numPr>
        <w:spacing w:after="120" w:line="240" w:lineRule="auto"/>
        <w:ind w:left="1418" w:hanging="709"/>
        <w:rPr>
          <w:rFonts w:ascii="Arial" w:hAnsi="Arial" w:cs="Arial"/>
          <w:color w:val="000000"/>
        </w:rPr>
      </w:pPr>
      <w:r w:rsidRPr="00D036DF">
        <w:rPr>
          <w:rFonts w:ascii="Arial" w:hAnsi="Arial" w:cs="Arial"/>
          <w:color w:val="000000"/>
        </w:rPr>
        <w:t>one of the published rates for that date provided by an Australian entity recognised as a member of the London Bullion Market,</w:t>
      </w:r>
    </w:p>
    <w:p w:rsidR="006F3EED" w:rsidRPr="00D036DF" w:rsidRDefault="006F3EED" w:rsidP="006E6D93">
      <w:pPr>
        <w:pStyle w:val="ListParagraph"/>
        <w:numPr>
          <w:ilvl w:val="0"/>
          <w:numId w:val="2"/>
        </w:numPr>
        <w:spacing w:after="120" w:line="240" w:lineRule="auto"/>
        <w:ind w:left="1418" w:hanging="709"/>
        <w:rPr>
          <w:rFonts w:ascii="Arial" w:hAnsi="Arial" w:cs="Arial"/>
          <w:color w:val="000000"/>
        </w:rPr>
      </w:pPr>
      <w:r w:rsidRPr="00D036DF">
        <w:rPr>
          <w:rFonts w:ascii="Arial" w:hAnsi="Arial" w:cs="Arial"/>
          <w:color w:val="000000"/>
        </w:rPr>
        <w:t>one of the published Australian rates for that date reported by the London Bullion Market Authority (LBMA),</w:t>
      </w:r>
      <w:r w:rsidR="00BD3D64" w:rsidRPr="00D036DF">
        <w:rPr>
          <w:rFonts w:ascii="Arial" w:hAnsi="Arial" w:cs="Arial"/>
          <w:color w:val="000000"/>
        </w:rPr>
        <w:t xml:space="preserve"> or</w:t>
      </w:r>
    </w:p>
    <w:p w:rsidR="008A2656" w:rsidRPr="00D036DF" w:rsidRDefault="00A83F27" w:rsidP="006E6D93">
      <w:pPr>
        <w:pStyle w:val="ListParagraph"/>
        <w:numPr>
          <w:ilvl w:val="0"/>
          <w:numId w:val="2"/>
        </w:numPr>
        <w:spacing w:after="120" w:line="240" w:lineRule="auto"/>
        <w:ind w:left="1418" w:hanging="709"/>
        <w:rPr>
          <w:rFonts w:ascii="Arial" w:hAnsi="Arial" w:cs="Arial"/>
          <w:color w:val="000000"/>
        </w:rPr>
      </w:pPr>
      <w:r w:rsidRPr="00D036DF">
        <w:rPr>
          <w:rFonts w:ascii="Arial" w:hAnsi="Arial" w:cs="Arial"/>
          <w:color w:val="000000"/>
        </w:rPr>
        <w:t>o</w:t>
      </w:r>
      <w:r w:rsidR="006F3EED" w:rsidRPr="00D036DF">
        <w:rPr>
          <w:rFonts w:ascii="Arial" w:hAnsi="Arial" w:cs="Arial"/>
          <w:color w:val="000000"/>
        </w:rPr>
        <w:t xml:space="preserve">ne of the published Australian </w:t>
      </w:r>
      <w:r w:rsidRPr="00D036DF">
        <w:rPr>
          <w:rFonts w:ascii="Arial" w:hAnsi="Arial" w:cs="Arial"/>
          <w:color w:val="000000"/>
        </w:rPr>
        <w:t>rates</w:t>
      </w:r>
      <w:r w:rsidR="006F3EED" w:rsidRPr="00D036DF">
        <w:rPr>
          <w:rFonts w:ascii="Arial" w:hAnsi="Arial" w:cs="Arial"/>
          <w:color w:val="000000"/>
        </w:rPr>
        <w:t xml:space="preserve"> for that date provided by a commercially recognised authoritative provider of spot price data</w:t>
      </w:r>
      <w:r w:rsidR="00BD3D64" w:rsidRPr="00D036DF">
        <w:rPr>
          <w:rFonts w:ascii="Arial" w:hAnsi="Arial" w:cs="Arial"/>
          <w:color w:val="000000"/>
        </w:rPr>
        <w:t>.</w:t>
      </w:r>
    </w:p>
    <w:p w:rsidR="00254E50" w:rsidRPr="00D036DF" w:rsidRDefault="00254E50" w:rsidP="006E6D93">
      <w:pPr>
        <w:numPr>
          <w:ilvl w:val="0"/>
          <w:numId w:val="1"/>
        </w:numPr>
        <w:spacing w:after="120"/>
        <w:ind w:left="709" w:hanging="709"/>
        <w:rPr>
          <w:rFonts w:ascii="Arial" w:hAnsi="Arial" w:cs="Arial"/>
          <w:sz w:val="22"/>
          <w:szCs w:val="22"/>
        </w:rPr>
      </w:pPr>
      <w:r w:rsidRPr="00D036DF">
        <w:rPr>
          <w:rFonts w:ascii="Arial" w:hAnsi="Arial" w:cs="Arial"/>
          <w:sz w:val="22"/>
          <w:szCs w:val="22"/>
        </w:rPr>
        <w:t>For the purposes</w:t>
      </w:r>
      <w:r w:rsidR="00581330" w:rsidRPr="00D036DF">
        <w:rPr>
          <w:rFonts w:ascii="Arial" w:hAnsi="Arial" w:cs="Arial"/>
          <w:sz w:val="22"/>
          <w:szCs w:val="22"/>
        </w:rPr>
        <w:t xml:space="preserve"> </w:t>
      </w:r>
      <w:r w:rsidR="00581330" w:rsidRPr="00D036DF">
        <w:rPr>
          <w:rFonts w:ascii="Arial" w:hAnsi="Arial" w:cs="Arial"/>
          <w:color w:val="000000"/>
          <w:sz w:val="22"/>
          <w:szCs w:val="22"/>
        </w:rPr>
        <w:t xml:space="preserve">of paragraph </w:t>
      </w:r>
      <w:r w:rsidR="005A5199" w:rsidRPr="00D036DF">
        <w:rPr>
          <w:rFonts w:ascii="Arial" w:hAnsi="Arial" w:cs="Arial"/>
          <w:color w:val="000000"/>
          <w:sz w:val="22"/>
          <w:szCs w:val="22"/>
        </w:rPr>
        <w:t>10</w:t>
      </w:r>
      <w:r w:rsidR="00581330" w:rsidRPr="00D036DF">
        <w:rPr>
          <w:rFonts w:ascii="Arial" w:hAnsi="Arial" w:cs="Arial"/>
          <w:color w:val="000000"/>
          <w:sz w:val="22"/>
          <w:szCs w:val="22"/>
        </w:rPr>
        <w:t xml:space="preserve">b above, the </w:t>
      </w:r>
      <w:r w:rsidR="00581330" w:rsidRPr="00D036DF">
        <w:rPr>
          <w:rFonts w:ascii="Arial" w:hAnsi="Arial" w:cs="Arial"/>
          <w:b/>
          <w:bCs/>
          <w:color w:val="000000"/>
          <w:sz w:val="22"/>
          <w:szCs w:val="22"/>
        </w:rPr>
        <w:t xml:space="preserve">LBMA spot price </w:t>
      </w:r>
      <w:r w:rsidR="00581330" w:rsidRPr="00D036DF">
        <w:rPr>
          <w:rFonts w:ascii="Arial" w:hAnsi="Arial" w:cs="Arial"/>
          <w:bCs/>
          <w:color w:val="000000"/>
          <w:sz w:val="22"/>
          <w:szCs w:val="22"/>
        </w:rPr>
        <w:t>is reported</w:t>
      </w:r>
      <w:r w:rsidR="00581330" w:rsidRPr="00D036DF">
        <w:rPr>
          <w:rFonts w:ascii="Arial" w:hAnsi="Arial" w:cs="Arial"/>
          <w:b/>
          <w:bCs/>
          <w:color w:val="000000"/>
          <w:sz w:val="22"/>
          <w:szCs w:val="22"/>
        </w:rPr>
        <w:t xml:space="preserve"> </w:t>
      </w:r>
      <w:r w:rsidR="00581330" w:rsidRPr="00D036DF">
        <w:rPr>
          <w:rFonts w:ascii="Arial" w:hAnsi="Arial" w:cs="Arial"/>
          <w:bCs/>
          <w:color w:val="000000"/>
          <w:sz w:val="22"/>
          <w:szCs w:val="22"/>
        </w:rPr>
        <w:t xml:space="preserve">twice daily at 10.30 and 15.00 and is reported in US dollars per fine troy ounce for gold.  Other precious metal prices are also listed.  The LBMA publish the spot price in Australian dollars on the </w:t>
      </w:r>
      <w:hyperlink r:id="rId15" w:history="1">
        <w:r w:rsidR="00581330" w:rsidRPr="00D036DF">
          <w:rPr>
            <w:rStyle w:val="Hyperlink"/>
            <w:rFonts w:ascii="Arial" w:hAnsi="Arial" w:cs="Arial"/>
            <w:bCs/>
            <w:sz w:val="22"/>
            <w:szCs w:val="22"/>
          </w:rPr>
          <w:t>lbma.org.uk</w:t>
        </w:r>
      </w:hyperlink>
      <w:r w:rsidR="00581330" w:rsidRPr="00D036DF">
        <w:rPr>
          <w:rFonts w:ascii="Arial" w:hAnsi="Arial" w:cs="Arial"/>
          <w:bCs/>
          <w:color w:val="000000"/>
          <w:sz w:val="22"/>
          <w:szCs w:val="22"/>
        </w:rPr>
        <w:t xml:space="preserve"> </w:t>
      </w:r>
      <w:r w:rsidR="00581330" w:rsidRPr="00D036DF">
        <w:rPr>
          <w:rFonts w:ascii="Arial" w:hAnsi="Arial" w:cs="Arial"/>
          <w:sz w:val="22"/>
          <w:szCs w:val="22"/>
        </w:rPr>
        <w:t>website.</w:t>
      </w:r>
      <w:r w:rsidR="005A5199" w:rsidRPr="00D036DF">
        <w:rPr>
          <w:rFonts w:ascii="Arial" w:hAnsi="Arial" w:cs="Arial"/>
          <w:sz w:val="22"/>
          <w:szCs w:val="22"/>
        </w:rPr>
        <w:t xml:space="preserve"> This website is available at all reasonable times and at no cost to the user.</w:t>
      </w:r>
    </w:p>
    <w:p w:rsidR="003537F4" w:rsidRPr="00D036DF" w:rsidRDefault="003537F4" w:rsidP="006E6D93">
      <w:pPr>
        <w:numPr>
          <w:ilvl w:val="0"/>
          <w:numId w:val="1"/>
        </w:numPr>
        <w:spacing w:after="120"/>
        <w:ind w:left="709" w:hanging="709"/>
        <w:rPr>
          <w:rFonts w:ascii="Arial" w:hAnsi="Arial" w:cs="Arial"/>
          <w:sz w:val="22"/>
          <w:szCs w:val="22"/>
        </w:rPr>
      </w:pPr>
      <w:r w:rsidRPr="00D036DF">
        <w:rPr>
          <w:rFonts w:ascii="Arial" w:hAnsi="Arial" w:cs="Arial"/>
          <w:color w:val="000000"/>
          <w:sz w:val="22"/>
          <w:szCs w:val="22"/>
        </w:rPr>
        <w:t xml:space="preserve">A description of the good </w:t>
      </w:r>
      <w:r w:rsidR="005A5199" w:rsidRPr="00D036DF">
        <w:rPr>
          <w:rFonts w:ascii="Arial" w:hAnsi="Arial" w:cs="Arial"/>
          <w:color w:val="000000"/>
          <w:sz w:val="22"/>
          <w:szCs w:val="22"/>
        </w:rPr>
        <w:t xml:space="preserve">must </w:t>
      </w:r>
      <w:r w:rsidRPr="00D036DF">
        <w:rPr>
          <w:rFonts w:ascii="Arial" w:hAnsi="Arial" w:cs="Arial"/>
          <w:color w:val="000000"/>
          <w:sz w:val="22"/>
          <w:szCs w:val="22"/>
        </w:rPr>
        <w:t>accompany the market valuation of the good, along with a breakdown of the metals contained in the good.</w:t>
      </w:r>
    </w:p>
    <w:p w:rsidR="005A5199" w:rsidRPr="00D036DF" w:rsidRDefault="005A5199" w:rsidP="006E6D93">
      <w:pPr>
        <w:numPr>
          <w:ilvl w:val="0"/>
          <w:numId w:val="1"/>
        </w:numPr>
        <w:spacing w:after="120"/>
        <w:ind w:left="709" w:hanging="709"/>
        <w:rPr>
          <w:rFonts w:ascii="Arial" w:hAnsi="Arial" w:cs="Arial"/>
          <w:sz w:val="22"/>
          <w:szCs w:val="22"/>
        </w:rPr>
      </w:pPr>
      <w:r w:rsidRPr="00D036DF">
        <w:rPr>
          <w:rFonts w:ascii="Arial" w:hAnsi="Arial" w:cs="Arial"/>
          <w:sz w:val="22"/>
          <w:szCs w:val="22"/>
        </w:rPr>
        <w:t xml:space="preserve">Sales of precious metals in the Australian precious metals market generally occur at prices reflecting one of the three published rates prescribed in this instrument.  The nature of the precious metals market is such that the market value of the precious metals is not static, which is reflected in a </w:t>
      </w:r>
      <w:r w:rsidRPr="00D036DF">
        <w:rPr>
          <w:rFonts w:ascii="Arial" w:hAnsi="Arial" w:cs="Arial"/>
          <w:color w:val="000000"/>
          <w:sz w:val="22"/>
          <w:szCs w:val="22"/>
        </w:rPr>
        <w:t>constantly</w:t>
      </w:r>
      <w:r w:rsidRPr="00D036DF">
        <w:rPr>
          <w:rFonts w:ascii="Arial" w:hAnsi="Arial" w:cs="Arial"/>
          <w:sz w:val="22"/>
          <w:szCs w:val="22"/>
        </w:rPr>
        <w:t xml:space="preserve"> changing spot price.  Incorporating the relevant spot price on the date of supply is therefore necessary to ensure that the valuable metal threshold calculation reflects an accurate market value for the constituent precious metal in the goods at that date. Referring to the spot price announced or reported by an exchange or other entity on the particular date allows the spot price to be determined for that date as a matter of objective fact which can be verified by the taxpayer and the Commissioner as required.  </w:t>
      </w:r>
    </w:p>
    <w:p w:rsidR="005A5199" w:rsidRPr="00D036DF" w:rsidRDefault="005A5199" w:rsidP="006E6D93">
      <w:pPr>
        <w:numPr>
          <w:ilvl w:val="0"/>
          <w:numId w:val="1"/>
        </w:numPr>
        <w:spacing w:after="120"/>
        <w:ind w:left="709" w:hanging="709"/>
        <w:rPr>
          <w:rFonts w:ascii="Arial" w:hAnsi="Arial" w:cs="Arial"/>
          <w:sz w:val="22"/>
          <w:szCs w:val="22"/>
        </w:rPr>
      </w:pPr>
      <w:r w:rsidRPr="00D036DF">
        <w:rPr>
          <w:rFonts w:ascii="Arial" w:hAnsi="Arial" w:cs="Arial"/>
          <w:sz w:val="22"/>
          <w:szCs w:val="22"/>
        </w:rPr>
        <w:t xml:space="preserve">The approach </w:t>
      </w:r>
      <w:r w:rsidRPr="00D036DF">
        <w:rPr>
          <w:rFonts w:ascii="Arial" w:hAnsi="Arial" w:cs="Arial"/>
          <w:color w:val="000000"/>
          <w:sz w:val="22"/>
          <w:szCs w:val="22"/>
        </w:rPr>
        <w:t>adopted</w:t>
      </w:r>
      <w:r w:rsidRPr="00D036DF">
        <w:rPr>
          <w:rFonts w:ascii="Arial" w:hAnsi="Arial" w:cs="Arial"/>
          <w:sz w:val="22"/>
          <w:szCs w:val="22"/>
        </w:rPr>
        <w:t xml:space="preserve"> in the instrument is consistent with the clear requirements in the legislation to determine the market value of valuable metal as at a particular date. It also accords with the approach outlined in the Explanatory Memorandum to the </w:t>
      </w:r>
      <w:r w:rsidRPr="00D036DF">
        <w:rPr>
          <w:rFonts w:ascii="Arial" w:hAnsi="Arial" w:cs="Arial"/>
          <w:i/>
          <w:sz w:val="22"/>
          <w:szCs w:val="22"/>
        </w:rPr>
        <w:t>Treasury Laws Amendment (GST Integrity) Bill 2017 (</w:t>
      </w:r>
      <w:r w:rsidRPr="00D036DF">
        <w:rPr>
          <w:rFonts w:ascii="Arial" w:hAnsi="Arial" w:cs="Arial"/>
          <w:sz w:val="22"/>
          <w:szCs w:val="22"/>
        </w:rPr>
        <w:t>EM).  In discussing subsection 86-10(3) the EM states that: “…the Commissioner is expected to provide instructions on how to determine the market value by reference to the fineness of the metal and the prices available on particular metal exchange markets, as well as specific instruments about the time for assessing the market value”.</w:t>
      </w:r>
    </w:p>
    <w:p w:rsidR="005A5199" w:rsidRPr="00D036DF" w:rsidRDefault="005A5199" w:rsidP="006E6D93">
      <w:pPr>
        <w:numPr>
          <w:ilvl w:val="0"/>
          <w:numId w:val="1"/>
        </w:numPr>
        <w:spacing w:after="120"/>
        <w:ind w:left="709" w:hanging="709"/>
        <w:rPr>
          <w:rFonts w:ascii="Arial" w:hAnsi="Arial" w:cs="Arial"/>
          <w:color w:val="000000"/>
          <w:sz w:val="22"/>
          <w:szCs w:val="22"/>
        </w:rPr>
      </w:pPr>
      <w:r w:rsidRPr="00D036DF">
        <w:rPr>
          <w:rFonts w:ascii="Arial" w:hAnsi="Arial" w:cs="Arial"/>
          <w:color w:val="000000"/>
          <w:sz w:val="22"/>
          <w:szCs w:val="22"/>
        </w:rPr>
        <w:t xml:space="preserve">Compliance cost impact: Minor - there will be no or minimal impacts for both implementation and ongoing compliance costs. This determination is minor or machinery in nature. </w:t>
      </w:r>
    </w:p>
    <w:p w:rsidR="00581330" w:rsidRPr="00D036DF" w:rsidRDefault="00581330" w:rsidP="0027569A">
      <w:pPr>
        <w:pStyle w:val="Heading2"/>
        <w:keepLines/>
        <w:rPr>
          <w:rFonts w:eastAsiaTheme="majorEastAsia" w:cs="Arial"/>
          <w:bCs/>
          <w:szCs w:val="22"/>
        </w:rPr>
      </w:pPr>
      <w:r w:rsidRPr="00D036DF">
        <w:rPr>
          <w:rFonts w:eastAsiaTheme="majorEastAsia" w:cs="Arial"/>
          <w:bCs/>
          <w:szCs w:val="22"/>
        </w:rPr>
        <w:t>Background</w:t>
      </w:r>
    </w:p>
    <w:p w:rsidR="007871D6" w:rsidRPr="00D036DF" w:rsidRDefault="00DB0DD8" w:rsidP="006E6D93">
      <w:pPr>
        <w:numPr>
          <w:ilvl w:val="0"/>
          <w:numId w:val="1"/>
        </w:numPr>
        <w:spacing w:after="120"/>
        <w:ind w:left="709" w:hanging="709"/>
        <w:rPr>
          <w:rFonts w:ascii="Arial" w:hAnsi="Arial" w:cs="Arial"/>
          <w:sz w:val="22"/>
          <w:szCs w:val="22"/>
        </w:rPr>
      </w:pPr>
      <w:r w:rsidRPr="00D036DF">
        <w:rPr>
          <w:rFonts w:ascii="Arial" w:hAnsi="Arial" w:cs="Arial"/>
          <w:sz w:val="22"/>
          <w:szCs w:val="22"/>
        </w:rPr>
        <w:t xml:space="preserve">This determination </w:t>
      </w:r>
      <w:r w:rsidR="000770B2" w:rsidRPr="00D036DF">
        <w:rPr>
          <w:rFonts w:ascii="Arial" w:hAnsi="Arial" w:cs="Arial"/>
          <w:sz w:val="22"/>
          <w:szCs w:val="22"/>
        </w:rPr>
        <w:t>explains</w:t>
      </w:r>
      <w:r w:rsidRPr="00D036DF">
        <w:rPr>
          <w:rFonts w:ascii="Arial" w:hAnsi="Arial" w:cs="Arial"/>
          <w:sz w:val="22"/>
          <w:szCs w:val="22"/>
        </w:rPr>
        <w:t xml:space="preserve"> the method that entities must use to </w:t>
      </w:r>
      <w:r w:rsidR="004F0CA2" w:rsidRPr="00D036DF">
        <w:rPr>
          <w:rFonts w:ascii="Arial" w:hAnsi="Arial" w:cs="Arial"/>
          <w:sz w:val="22"/>
          <w:szCs w:val="22"/>
        </w:rPr>
        <w:t>work out the market value of valuable metal contained in a good for the purposes of the valuable metal threshold.</w:t>
      </w:r>
    </w:p>
    <w:p w:rsidR="004557A3" w:rsidRPr="00D036DF" w:rsidRDefault="00961041" w:rsidP="006E6D93">
      <w:pPr>
        <w:numPr>
          <w:ilvl w:val="0"/>
          <w:numId w:val="1"/>
        </w:numPr>
        <w:tabs>
          <w:tab w:val="left" w:pos="1560"/>
        </w:tabs>
        <w:spacing w:after="120"/>
        <w:ind w:left="709" w:hanging="709"/>
        <w:rPr>
          <w:rFonts w:ascii="Arial" w:hAnsi="Arial" w:cs="Arial"/>
          <w:sz w:val="22"/>
          <w:szCs w:val="22"/>
        </w:rPr>
      </w:pPr>
      <w:r w:rsidRPr="00D036DF">
        <w:rPr>
          <w:rFonts w:ascii="Arial" w:hAnsi="Arial" w:cs="Arial"/>
          <w:sz w:val="22"/>
          <w:szCs w:val="22"/>
        </w:rPr>
        <w:lastRenderedPageBreak/>
        <w:t xml:space="preserve">Where a good consists wholly or partly of valuable metal, </w:t>
      </w:r>
      <w:r w:rsidR="004F0CA2" w:rsidRPr="00D036DF">
        <w:rPr>
          <w:rFonts w:ascii="Arial" w:hAnsi="Arial" w:cs="Arial"/>
          <w:sz w:val="22"/>
          <w:szCs w:val="22"/>
        </w:rPr>
        <w:t xml:space="preserve">section 86-5 of the GST Act makes the recipient </w:t>
      </w:r>
      <w:r w:rsidR="004557A3" w:rsidRPr="00D036DF">
        <w:rPr>
          <w:rFonts w:ascii="Arial" w:hAnsi="Arial" w:cs="Arial"/>
          <w:sz w:val="22"/>
          <w:szCs w:val="22"/>
        </w:rPr>
        <w:t>and not the supplier</w:t>
      </w:r>
      <w:r w:rsidR="00CE4E4F" w:rsidRPr="00D036DF">
        <w:rPr>
          <w:rFonts w:ascii="Arial" w:hAnsi="Arial" w:cs="Arial"/>
          <w:sz w:val="22"/>
          <w:szCs w:val="22"/>
        </w:rPr>
        <w:t>,</w:t>
      </w:r>
      <w:r w:rsidR="004557A3" w:rsidRPr="00D036DF">
        <w:rPr>
          <w:rFonts w:ascii="Arial" w:hAnsi="Arial" w:cs="Arial"/>
          <w:sz w:val="22"/>
          <w:szCs w:val="22"/>
        </w:rPr>
        <w:t xml:space="preserve"> </w:t>
      </w:r>
      <w:r w:rsidR="004F0CA2" w:rsidRPr="00D036DF">
        <w:rPr>
          <w:rFonts w:ascii="Arial" w:hAnsi="Arial" w:cs="Arial"/>
          <w:sz w:val="22"/>
          <w:szCs w:val="22"/>
        </w:rPr>
        <w:t>liable for the GST on the supply of that good</w:t>
      </w:r>
      <w:r w:rsidR="004557A3" w:rsidRPr="00D036DF">
        <w:rPr>
          <w:rFonts w:ascii="Arial" w:hAnsi="Arial" w:cs="Arial"/>
          <w:sz w:val="22"/>
          <w:szCs w:val="22"/>
        </w:rPr>
        <w:t xml:space="preserve"> through a “reverse charge” mechanism if:</w:t>
      </w:r>
    </w:p>
    <w:p w:rsidR="004557A3" w:rsidRPr="00D036DF" w:rsidRDefault="004557A3" w:rsidP="006E6D93">
      <w:pPr>
        <w:pStyle w:val="ListParagraph"/>
        <w:numPr>
          <w:ilvl w:val="0"/>
          <w:numId w:val="3"/>
        </w:numPr>
        <w:spacing w:after="120" w:line="240" w:lineRule="auto"/>
        <w:ind w:left="1418" w:hanging="709"/>
        <w:rPr>
          <w:rFonts w:ascii="Arial" w:hAnsi="Arial" w:cs="Arial"/>
        </w:rPr>
      </w:pPr>
      <w:r w:rsidRPr="00D036DF">
        <w:rPr>
          <w:rFonts w:ascii="Arial" w:hAnsi="Arial" w:cs="Arial"/>
        </w:rPr>
        <w:t>the goods consist wholly or partly of a valuable metal, and</w:t>
      </w:r>
    </w:p>
    <w:p w:rsidR="004557A3" w:rsidRPr="00D036DF" w:rsidRDefault="004557A3" w:rsidP="006E6D93">
      <w:pPr>
        <w:pStyle w:val="ListParagraph"/>
        <w:numPr>
          <w:ilvl w:val="0"/>
          <w:numId w:val="3"/>
        </w:numPr>
        <w:spacing w:after="120" w:line="240" w:lineRule="auto"/>
        <w:ind w:left="1418" w:hanging="709"/>
        <w:rPr>
          <w:rFonts w:ascii="Arial" w:hAnsi="Arial" w:cs="Arial"/>
        </w:rPr>
      </w:pPr>
      <w:r w:rsidRPr="00D036DF">
        <w:rPr>
          <w:rFonts w:ascii="Arial" w:hAnsi="Arial" w:cs="Arial"/>
        </w:rPr>
        <w:t>the recipient is registered or required to be registered, and</w:t>
      </w:r>
    </w:p>
    <w:p w:rsidR="007871D6" w:rsidRPr="00D036DF" w:rsidRDefault="004557A3" w:rsidP="006E6D93">
      <w:pPr>
        <w:pStyle w:val="ListParagraph"/>
        <w:numPr>
          <w:ilvl w:val="0"/>
          <w:numId w:val="3"/>
        </w:numPr>
        <w:spacing w:after="120" w:line="240" w:lineRule="auto"/>
        <w:ind w:left="1418" w:hanging="709"/>
        <w:rPr>
          <w:rFonts w:ascii="Arial" w:hAnsi="Arial" w:cs="Arial"/>
        </w:rPr>
      </w:pPr>
      <w:r w:rsidRPr="00D036DF">
        <w:rPr>
          <w:rFonts w:ascii="Arial" w:hAnsi="Arial" w:cs="Arial"/>
        </w:rPr>
        <w:t>either</w:t>
      </w:r>
      <w:r w:rsidR="00531E6A" w:rsidRPr="00D036DF">
        <w:rPr>
          <w:rFonts w:ascii="Arial" w:hAnsi="Arial" w:cs="Arial"/>
        </w:rPr>
        <w:t>:</w:t>
      </w:r>
    </w:p>
    <w:p w:rsidR="00961041" w:rsidRPr="00D036DF" w:rsidRDefault="00961041" w:rsidP="006E6D93">
      <w:pPr>
        <w:pStyle w:val="ListParagraph"/>
        <w:numPr>
          <w:ilvl w:val="1"/>
          <w:numId w:val="4"/>
        </w:numPr>
        <w:spacing w:after="120" w:line="240" w:lineRule="auto"/>
        <w:ind w:left="2127" w:hanging="709"/>
        <w:rPr>
          <w:rFonts w:ascii="Arial" w:hAnsi="Arial" w:cs="Arial"/>
        </w:rPr>
      </w:pPr>
      <w:r w:rsidRPr="00D036DF">
        <w:rPr>
          <w:rFonts w:ascii="Arial" w:hAnsi="Arial" w:cs="Arial"/>
        </w:rPr>
        <w:t xml:space="preserve">the market value of the good </w:t>
      </w:r>
      <w:r w:rsidR="00531E6A" w:rsidRPr="00D036DF">
        <w:rPr>
          <w:rFonts w:ascii="Arial" w:hAnsi="Arial" w:cs="Arial"/>
        </w:rPr>
        <w:t xml:space="preserve">does not </w:t>
      </w:r>
      <w:r w:rsidRPr="00D036DF">
        <w:rPr>
          <w:rFonts w:ascii="Arial" w:hAnsi="Arial" w:cs="Arial"/>
        </w:rPr>
        <w:t xml:space="preserve">exceed the market value of any valuable metal contained in the good by 10 percent or </w:t>
      </w:r>
      <w:r w:rsidR="00936D9C" w:rsidRPr="00D036DF">
        <w:rPr>
          <w:rFonts w:ascii="Arial" w:hAnsi="Arial" w:cs="Arial"/>
        </w:rPr>
        <w:t>more at the time of the supply, or</w:t>
      </w:r>
    </w:p>
    <w:p w:rsidR="004557A3" w:rsidRPr="00D036DF" w:rsidRDefault="004557A3" w:rsidP="006E6D93">
      <w:pPr>
        <w:pStyle w:val="ListParagraph"/>
        <w:numPr>
          <w:ilvl w:val="1"/>
          <w:numId w:val="4"/>
        </w:numPr>
        <w:spacing w:after="120" w:line="240" w:lineRule="auto"/>
        <w:ind w:left="2127" w:hanging="709"/>
        <w:rPr>
          <w:rFonts w:ascii="Arial" w:hAnsi="Arial" w:cs="Arial"/>
        </w:rPr>
      </w:pPr>
      <w:r w:rsidRPr="00D036DF">
        <w:rPr>
          <w:rFonts w:ascii="Arial" w:hAnsi="Arial" w:cs="Arial"/>
        </w:rPr>
        <w:t>the supplier and the recipient agree that the recipient will pay the GST on the supply of the good.</w:t>
      </w:r>
    </w:p>
    <w:p w:rsidR="005A5199" w:rsidRPr="00D036DF" w:rsidRDefault="005A5199" w:rsidP="006E6D93">
      <w:pPr>
        <w:numPr>
          <w:ilvl w:val="0"/>
          <w:numId w:val="1"/>
        </w:numPr>
        <w:spacing w:after="120"/>
        <w:ind w:left="709" w:hanging="709"/>
        <w:rPr>
          <w:rFonts w:ascii="Arial" w:hAnsi="Arial" w:cs="Arial"/>
          <w:sz w:val="22"/>
          <w:szCs w:val="22"/>
        </w:rPr>
      </w:pPr>
      <w:r w:rsidRPr="00D036DF">
        <w:rPr>
          <w:rFonts w:ascii="Arial" w:hAnsi="Arial" w:cs="Arial"/>
          <w:sz w:val="22"/>
          <w:szCs w:val="22"/>
        </w:rPr>
        <w:t>In addition, goods may be “incidental valuable metal goods” and therefore second-hand goods where the market value of the goods exceeds the market value of any valuable metal contained in the goods by 10 percent or more at the time of the acquisition.</w:t>
      </w:r>
    </w:p>
    <w:p w:rsidR="007871D6" w:rsidRPr="00D036DF" w:rsidRDefault="005A5199" w:rsidP="006E6D93">
      <w:pPr>
        <w:numPr>
          <w:ilvl w:val="0"/>
          <w:numId w:val="1"/>
        </w:numPr>
        <w:spacing w:after="120"/>
        <w:ind w:left="709" w:hanging="709"/>
        <w:rPr>
          <w:rFonts w:ascii="Arial" w:hAnsi="Arial" w:cs="Arial"/>
          <w:sz w:val="22"/>
          <w:szCs w:val="22"/>
        </w:rPr>
      </w:pPr>
      <w:r w:rsidRPr="00D036DF">
        <w:rPr>
          <w:rFonts w:ascii="Arial" w:hAnsi="Arial" w:cs="Arial"/>
          <w:sz w:val="22"/>
          <w:szCs w:val="22"/>
        </w:rPr>
        <w:t>The method set out in this instrument must be used by the supplier in working out whether the market value of the supply of a good exceeds the valuable metal threshold at the date of the supply. The method must also be used by second</w:t>
      </w:r>
      <w:r w:rsidRPr="00D036DF">
        <w:rPr>
          <w:rFonts w:ascii="Arial" w:hAnsi="Arial" w:cs="Arial"/>
          <w:sz w:val="22"/>
          <w:szCs w:val="22"/>
        </w:rPr>
        <w:noBreakHyphen/>
        <w:t>hand goods dealers at the time they acquire goods where they need to work out whether the market value of those goods exceeds the valuable metal threshold.</w:t>
      </w:r>
    </w:p>
    <w:p w:rsidR="007871D6" w:rsidRPr="00D036DF" w:rsidRDefault="000E18D0" w:rsidP="006E6D93">
      <w:pPr>
        <w:numPr>
          <w:ilvl w:val="0"/>
          <w:numId w:val="1"/>
        </w:numPr>
        <w:spacing w:after="120"/>
        <w:ind w:left="709" w:hanging="709"/>
        <w:rPr>
          <w:rFonts w:ascii="Arial" w:hAnsi="Arial" w:cs="Arial"/>
          <w:sz w:val="22"/>
          <w:szCs w:val="22"/>
        </w:rPr>
      </w:pPr>
      <w:r w:rsidRPr="00D036DF">
        <w:rPr>
          <w:rFonts w:ascii="Arial" w:hAnsi="Arial" w:cs="Arial"/>
          <w:sz w:val="22"/>
          <w:szCs w:val="22"/>
        </w:rPr>
        <w:t>The</w:t>
      </w:r>
      <w:r w:rsidR="004F2204" w:rsidRPr="00D036DF">
        <w:rPr>
          <w:rFonts w:ascii="Arial" w:hAnsi="Arial" w:cs="Arial"/>
          <w:sz w:val="22"/>
          <w:szCs w:val="22"/>
        </w:rPr>
        <w:t xml:space="preserve"> </w:t>
      </w:r>
      <w:r w:rsidRPr="00D036DF">
        <w:rPr>
          <w:rFonts w:ascii="Arial" w:hAnsi="Arial" w:cs="Arial"/>
          <w:sz w:val="22"/>
          <w:szCs w:val="22"/>
        </w:rPr>
        <w:t xml:space="preserve">spot rate of </w:t>
      </w:r>
      <w:r w:rsidR="00BD3D8B" w:rsidRPr="00D036DF">
        <w:rPr>
          <w:rFonts w:ascii="Arial" w:hAnsi="Arial" w:cs="Arial"/>
          <w:sz w:val="22"/>
          <w:szCs w:val="22"/>
        </w:rPr>
        <w:t>valuable</w:t>
      </w:r>
      <w:r w:rsidRPr="00D036DF">
        <w:rPr>
          <w:rFonts w:ascii="Arial" w:hAnsi="Arial" w:cs="Arial"/>
          <w:sz w:val="22"/>
          <w:szCs w:val="22"/>
        </w:rPr>
        <w:t xml:space="preserve"> metal on the date of </w:t>
      </w:r>
      <w:r w:rsidR="00427EB2" w:rsidRPr="00D036DF">
        <w:rPr>
          <w:rFonts w:ascii="Arial" w:hAnsi="Arial" w:cs="Arial"/>
          <w:sz w:val="22"/>
          <w:szCs w:val="22"/>
        </w:rPr>
        <w:t xml:space="preserve">the supply </w:t>
      </w:r>
      <w:r w:rsidRPr="00D036DF">
        <w:rPr>
          <w:rFonts w:ascii="Arial" w:hAnsi="Arial" w:cs="Arial"/>
          <w:sz w:val="22"/>
          <w:szCs w:val="22"/>
        </w:rPr>
        <w:t>can be either a published rate provided by an Australian entity recognised as a member of the London Bullion Market,</w:t>
      </w:r>
      <w:r w:rsidR="00B57E92" w:rsidRPr="00D036DF">
        <w:rPr>
          <w:rFonts w:ascii="Arial" w:hAnsi="Arial" w:cs="Arial"/>
          <w:sz w:val="22"/>
          <w:szCs w:val="22"/>
        </w:rPr>
        <w:t xml:space="preserve"> the published Australian rate reported by the LBM</w:t>
      </w:r>
      <w:r w:rsidR="006F3EED" w:rsidRPr="00D036DF">
        <w:rPr>
          <w:rFonts w:ascii="Arial" w:hAnsi="Arial" w:cs="Arial"/>
          <w:sz w:val="22"/>
          <w:szCs w:val="22"/>
        </w:rPr>
        <w:t xml:space="preserve">A, </w:t>
      </w:r>
      <w:r w:rsidR="00BD3D8B" w:rsidRPr="00D036DF">
        <w:rPr>
          <w:rFonts w:ascii="Arial" w:hAnsi="Arial" w:cs="Arial"/>
          <w:sz w:val="22"/>
          <w:szCs w:val="22"/>
        </w:rPr>
        <w:t xml:space="preserve">or one of the published Australian </w:t>
      </w:r>
      <w:r w:rsidR="00A83F27" w:rsidRPr="00D036DF">
        <w:rPr>
          <w:rFonts w:ascii="Arial" w:hAnsi="Arial" w:cs="Arial"/>
          <w:sz w:val="22"/>
          <w:szCs w:val="22"/>
        </w:rPr>
        <w:t>rates</w:t>
      </w:r>
      <w:r w:rsidR="00BD3D8B" w:rsidRPr="00D036DF">
        <w:rPr>
          <w:rFonts w:ascii="Arial" w:hAnsi="Arial" w:cs="Arial"/>
          <w:sz w:val="22"/>
          <w:szCs w:val="22"/>
        </w:rPr>
        <w:t xml:space="preserve"> provided by a commercially recognised authoritative provider of spot price data</w:t>
      </w:r>
      <w:r w:rsidR="00B57E92" w:rsidRPr="00D036DF">
        <w:rPr>
          <w:rFonts w:ascii="Arial" w:hAnsi="Arial" w:cs="Arial"/>
          <w:sz w:val="22"/>
          <w:szCs w:val="22"/>
        </w:rPr>
        <w:t xml:space="preserve">. </w:t>
      </w:r>
      <w:r w:rsidR="006F3EED" w:rsidRPr="00D036DF">
        <w:rPr>
          <w:rFonts w:ascii="Arial" w:hAnsi="Arial" w:cs="Arial"/>
          <w:sz w:val="22"/>
          <w:szCs w:val="22"/>
        </w:rPr>
        <w:t>This should enable taxpayers to choose a rate in a manner that is consistent with their business systems.</w:t>
      </w:r>
    </w:p>
    <w:p w:rsidR="00C822F6" w:rsidRPr="00D036DF" w:rsidRDefault="00B57E92" w:rsidP="006E6D93">
      <w:pPr>
        <w:numPr>
          <w:ilvl w:val="0"/>
          <w:numId w:val="1"/>
        </w:numPr>
        <w:spacing w:after="120"/>
        <w:ind w:left="709" w:hanging="709"/>
        <w:rPr>
          <w:rFonts w:ascii="Arial" w:hAnsi="Arial" w:cs="Arial"/>
          <w:sz w:val="22"/>
          <w:szCs w:val="22"/>
        </w:rPr>
      </w:pPr>
      <w:r w:rsidRPr="00D036DF">
        <w:rPr>
          <w:rFonts w:ascii="Arial" w:hAnsi="Arial" w:cs="Arial"/>
          <w:sz w:val="22"/>
          <w:szCs w:val="22"/>
        </w:rPr>
        <w:t>T</w:t>
      </w:r>
      <w:r w:rsidR="00DB0DD8" w:rsidRPr="00D036DF">
        <w:rPr>
          <w:rFonts w:ascii="Arial" w:hAnsi="Arial" w:cs="Arial"/>
          <w:sz w:val="22"/>
          <w:szCs w:val="22"/>
        </w:rPr>
        <w:t xml:space="preserve">he </w:t>
      </w:r>
      <w:r w:rsidRPr="00D036DF">
        <w:rPr>
          <w:rFonts w:ascii="Arial" w:hAnsi="Arial" w:cs="Arial"/>
          <w:sz w:val="22"/>
          <w:szCs w:val="22"/>
        </w:rPr>
        <w:t>spot</w:t>
      </w:r>
      <w:r w:rsidR="00DB0DD8" w:rsidRPr="00D036DF">
        <w:rPr>
          <w:rFonts w:ascii="Arial" w:hAnsi="Arial" w:cs="Arial"/>
          <w:sz w:val="22"/>
          <w:szCs w:val="22"/>
        </w:rPr>
        <w:t xml:space="preserve"> rate </w:t>
      </w:r>
      <w:r w:rsidRPr="00D036DF">
        <w:rPr>
          <w:rFonts w:ascii="Arial" w:hAnsi="Arial" w:cs="Arial"/>
          <w:sz w:val="22"/>
          <w:szCs w:val="22"/>
        </w:rPr>
        <w:t xml:space="preserve">of </w:t>
      </w:r>
      <w:r w:rsidR="00BD3D8B" w:rsidRPr="00D036DF">
        <w:rPr>
          <w:rFonts w:ascii="Arial" w:hAnsi="Arial" w:cs="Arial"/>
          <w:sz w:val="22"/>
          <w:szCs w:val="22"/>
        </w:rPr>
        <w:t>valuable</w:t>
      </w:r>
      <w:r w:rsidRPr="00D036DF">
        <w:rPr>
          <w:rFonts w:ascii="Arial" w:hAnsi="Arial" w:cs="Arial"/>
          <w:sz w:val="22"/>
          <w:szCs w:val="22"/>
        </w:rPr>
        <w:t xml:space="preserve"> metal </w:t>
      </w:r>
      <w:r w:rsidR="00DB0DD8" w:rsidRPr="00D036DF">
        <w:rPr>
          <w:rFonts w:ascii="Arial" w:hAnsi="Arial" w:cs="Arial"/>
          <w:sz w:val="22"/>
          <w:szCs w:val="22"/>
        </w:rPr>
        <w:t xml:space="preserve">chosen by the </w:t>
      </w:r>
      <w:r w:rsidR="00443FC3" w:rsidRPr="00D036DF">
        <w:rPr>
          <w:rFonts w:ascii="Arial" w:hAnsi="Arial" w:cs="Arial"/>
          <w:sz w:val="22"/>
          <w:szCs w:val="22"/>
        </w:rPr>
        <w:t>supplier</w:t>
      </w:r>
      <w:r w:rsidR="00DB0DD8" w:rsidRPr="00D036DF">
        <w:rPr>
          <w:rFonts w:ascii="Arial" w:hAnsi="Arial" w:cs="Arial"/>
          <w:sz w:val="22"/>
          <w:szCs w:val="22"/>
        </w:rPr>
        <w:t xml:space="preserve"> should be used consistently</w:t>
      </w:r>
      <w:r w:rsidR="00F108DD" w:rsidRPr="00D036DF">
        <w:rPr>
          <w:rFonts w:ascii="Arial" w:hAnsi="Arial" w:cs="Arial"/>
          <w:sz w:val="22"/>
          <w:szCs w:val="22"/>
        </w:rPr>
        <w:t xml:space="preserve"> for GST purposes</w:t>
      </w:r>
      <w:r w:rsidRPr="00D036DF">
        <w:rPr>
          <w:rFonts w:ascii="Arial" w:hAnsi="Arial" w:cs="Arial"/>
          <w:sz w:val="22"/>
          <w:szCs w:val="22"/>
        </w:rPr>
        <w:t xml:space="preserve"> and may only be changed if </w:t>
      </w:r>
      <w:r w:rsidR="00FD4253" w:rsidRPr="00D036DF">
        <w:rPr>
          <w:rFonts w:ascii="Arial" w:hAnsi="Arial" w:cs="Arial"/>
          <w:sz w:val="22"/>
          <w:szCs w:val="22"/>
        </w:rPr>
        <w:t>a</w:t>
      </w:r>
      <w:r w:rsidR="00443FC3" w:rsidRPr="00D036DF">
        <w:rPr>
          <w:rFonts w:ascii="Arial" w:hAnsi="Arial" w:cs="Arial"/>
          <w:sz w:val="22"/>
          <w:szCs w:val="22"/>
        </w:rPr>
        <w:t xml:space="preserve"> supplier </w:t>
      </w:r>
      <w:r w:rsidR="00FD4253" w:rsidRPr="00D036DF">
        <w:rPr>
          <w:rFonts w:ascii="Arial" w:hAnsi="Arial" w:cs="Arial"/>
          <w:sz w:val="22"/>
          <w:szCs w:val="22"/>
        </w:rPr>
        <w:t xml:space="preserve">has sound commercial reasons for doing so. </w:t>
      </w:r>
      <w:r w:rsidR="009B6DAA" w:rsidRPr="00D036DF">
        <w:rPr>
          <w:rFonts w:ascii="Arial" w:hAnsi="Arial" w:cs="Arial"/>
          <w:sz w:val="22"/>
          <w:szCs w:val="22"/>
        </w:rPr>
        <w:t>A</w:t>
      </w:r>
      <w:r w:rsidR="00443FC3" w:rsidRPr="00D036DF">
        <w:rPr>
          <w:rFonts w:ascii="Arial" w:hAnsi="Arial" w:cs="Arial"/>
          <w:sz w:val="22"/>
          <w:szCs w:val="22"/>
        </w:rPr>
        <w:t xml:space="preserve"> supplier </w:t>
      </w:r>
      <w:r w:rsidR="00FD4253" w:rsidRPr="00D036DF">
        <w:rPr>
          <w:rFonts w:ascii="Arial" w:hAnsi="Arial" w:cs="Arial"/>
          <w:sz w:val="22"/>
          <w:szCs w:val="22"/>
        </w:rPr>
        <w:t xml:space="preserve">that alternates between rates with a view to reducing its GST liability has used its rate inconsistently and has not followed the </w:t>
      </w:r>
      <w:r w:rsidR="005A5199" w:rsidRPr="00D036DF">
        <w:rPr>
          <w:rFonts w:ascii="Arial" w:hAnsi="Arial" w:cs="Arial"/>
          <w:sz w:val="22"/>
          <w:szCs w:val="22"/>
        </w:rPr>
        <w:t>approach set out in this instrument.</w:t>
      </w:r>
    </w:p>
    <w:p w:rsidR="0027569A" w:rsidRDefault="0027569A" w:rsidP="0027569A">
      <w:pPr>
        <w:pStyle w:val="Heading2"/>
        <w:rPr>
          <w:rFonts w:cs="Arial"/>
          <w:szCs w:val="22"/>
        </w:rPr>
      </w:pPr>
      <w:r w:rsidRPr="00D036DF">
        <w:rPr>
          <w:rFonts w:cs="Arial"/>
          <w:szCs w:val="22"/>
        </w:rPr>
        <w:t>Consultation</w:t>
      </w:r>
    </w:p>
    <w:p w:rsidR="00CE717D" w:rsidRDefault="00CE717D" w:rsidP="00CE717D">
      <w:pPr>
        <w:numPr>
          <w:ilvl w:val="0"/>
          <w:numId w:val="1"/>
        </w:numPr>
        <w:spacing w:after="120"/>
        <w:ind w:left="709" w:hanging="709"/>
        <w:rPr>
          <w:rFonts w:ascii="Arial" w:hAnsi="Arial" w:cs="Arial"/>
          <w:sz w:val="22"/>
          <w:szCs w:val="22"/>
        </w:rPr>
      </w:pPr>
      <w:r w:rsidRPr="00CE717D">
        <w:rPr>
          <w:rFonts w:ascii="Arial" w:hAnsi="Arial" w:cs="Arial"/>
          <w:sz w:val="22"/>
          <w:szCs w:val="22"/>
        </w:rPr>
        <w:t xml:space="preserve">Subsection 17(1) of the </w:t>
      </w:r>
      <w:r w:rsidRPr="000A2ACB">
        <w:rPr>
          <w:rFonts w:ascii="Arial" w:hAnsi="Arial" w:cs="Arial"/>
          <w:i/>
          <w:sz w:val="22"/>
          <w:szCs w:val="22"/>
        </w:rPr>
        <w:t>Legislation Act 2003</w:t>
      </w:r>
      <w:r w:rsidRPr="00CE717D">
        <w:rPr>
          <w:rFonts w:ascii="Arial" w:hAnsi="Arial" w:cs="Arial"/>
          <w:sz w:val="22"/>
          <w:szCs w:val="22"/>
        </w:rPr>
        <w:t xml:space="preserve"> requires, before the making of a determination, that the rule-maker is satisfied that appropriate and reasonably practicable consultation has been undertaken.</w:t>
      </w:r>
    </w:p>
    <w:p w:rsidR="002A43BC" w:rsidRPr="002A43BC" w:rsidRDefault="002A43BC" w:rsidP="00814093">
      <w:pPr>
        <w:numPr>
          <w:ilvl w:val="0"/>
          <w:numId w:val="1"/>
        </w:numPr>
        <w:spacing w:after="120"/>
        <w:ind w:left="709" w:hanging="709"/>
        <w:rPr>
          <w:rFonts w:ascii="Arial" w:hAnsi="Arial" w:cs="Arial"/>
          <w:sz w:val="22"/>
          <w:szCs w:val="22"/>
        </w:rPr>
      </w:pPr>
      <w:r w:rsidRPr="002A43BC">
        <w:rPr>
          <w:rFonts w:ascii="Arial" w:hAnsi="Arial" w:cs="Arial"/>
          <w:sz w:val="22"/>
          <w:szCs w:val="22"/>
        </w:rPr>
        <w:t xml:space="preserve">A draft version of the Determination </w:t>
      </w:r>
      <w:r>
        <w:rPr>
          <w:rFonts w:ascii="Arial" w:hAnsi="Arial" w:cs="Arial"/>
          <w:sz w:val="22"/>
          <w:szCs w:val="22"/>
        </w:rPr>
        <w:t xml:space="preserve">and explanatory statement </w:t>
      </w:r>
      <w:r w:rsidRPr="002A43BC">
        <w:rPr>
          <w:rFonts w:ascii="Arial" w:hAnsi="Arial" w:cs="Arial"/>
          <w:sz w:val="22"/>
          <w:szCs w:val="22"/>
        </w:rPr>
        <w:t>was provided to a group of five taxpayers and taxpayer representatives for targeted consultation. Each participant separately provided feedback by telephone over the two days 25 and 26 May 2017, and some chose to provide follow-up comments in writing.</w:t>
      </w:r>
    </w:p>
    <w:p w:rsidR="002A43BC" w:rsidRDefault="002A43BC" w:rsidP="00814093">
      <w:pPr>
        <w:numPr>
          <w:ilvl w:val="0"/>
          <w:numId w:val="1"/>
        </w:numPr>
        <w:spacing w:after="120"/>
        <w:ind w:left="709" w:hanging="709"/>
        <w:rPr>
          <w:rFonts w:ascii="Arial" w:hAnsi="Arial" w:cs="Arial"/>
          <w:sz w:val="22"/>
          <w:szCs w:val="22"/>
        </w:rPr>
      </w:pPr>
      <w:r w:rsidRPr="002A43BC">
        <w:rPr>
          <w:rFonts w:ascii="Arial" w:hAnsi="Arial" w:cs="Arial"/>
          <w:sz w:val="22"/>
          <w:szCs w:val="22"/>
        </w:rPr>
        <w:t>Feedback received during the targeted consultation was considered by the ATO.</w:t>
      </w:r>
    </w:p>
    <w:p w:rsidR="00CE717D" w:rsidRPr="00CE717D" w:rsidRDefault="00CE717D" w:rsidP="00CE717D">
      <w:pPr>
        <w:numPr>
          <w:ilvl w:val="0"/>
          <w:numId w:val="1"/>
        </w:numPr>
        <w:spacing w:after="120"/>
        <w:ind w:left="709" w:hanging="709"/>
        <w:rPr>
          <w:rFonts w:ascii="Arial" w:hAnsi="Arial" w:cs="Arial"/>
          <w:sz w:val="22"/>
          <w:szCs w:val="22"/>
        </w:rPr>
      </w:pPr>
      <w:r w:rsidRPr="00CE717D">
        <w:rPr>
          <w:rFonts w:ascii="Arial" w:hAnsi="Arial" w:cs="Arial"/>
          <w:sz w:val="22"/>
          <w:szCs w:val="22"/>
        </w:rPr>
        <w:t xml:space="preserve">A draft of the Determination and explanatory statement was </w:t>
      </w:r>
      <w:r w:rsidR="002A43BC">
        <w:rPr>
          <w:rFonts w:ascii="Arial" w:hAnsi="Arial" w:cs="Arial"/>
          <w:sz w:val="22"/>
          <w:szCs w:val="22"/>
        </w:rPr>
        <w:t xml:space="preserve">then </w:t>
      </w:r>
      <w:r w:rsidRPr="00CE717D">
        <w:rPr>
          <w:rFonts w:ascii="Arial" w:hAnsi="Arial" w:cs="Arial"/>
          <w:sz w:val="22"/>
          <w:szCs w:val="22"/>
        </w:rPr>
        <w:t xml:space="preserve">published on the ATO Legal Database at ato.gov.au on </w:t>
      </w:r>
      <w:r>
        <w:rPr>
          <w:rFonts w:ascii="Arial" w:hAnsi="Arial" w:cs="Arial"/>
          <w:sz w:val="22"/>
          <w:szCs w:val="22"/>
        </w:rPr>
        <w:t>12 July 2017</w:t>
      </w:r>
      <w:r w:rsidRPr="00CE717D">
        <w:rPr>
          <w:rFonts w:ascii="Arial" w:hAnsi="Arial" w:cs="Arial"/>
          <w:sz w:val="22"/>
          <w:szCs w:val="22"/>
        </w:rPr>
        <w:t xml:space="preserve"> to </w:t>
      </w:r>
      <w:r>
        <w:rPr>
          <w:rFonts w:ascii="Arial" w:hAnsi="Arial" w:cs="Arial"/>
          <w:sz w:val="22"/>
          <w:szCs w:val="22"/>
        </w:rPr>
        <w:t>26 July 2017</w:t>
      </w:r>
      <w:r w:rsidRPr="00CE717D">
        <w:rPr>
          <w:rFonts w:ascii="Arial" w:hAnsi="Arial" w:cs="Arial"/>
          <w:sz w:val="22"/>
          <w:szCs w:val="22"/>
        </w:rPr>
        <w:t>, seeking feedback and comments. The ATO Legal Database sends emails and news feeds to direct subscribers such as tax professionals and other industry stakeholders. </w:t>
      </w:r>
    </w:p>
    <w:p w:rsidR="00CE717D" w:rsidRPr="00CE717D" w:rsidRDefault="00CE717D" w:rsidP="00CE717D">
      <w:pPr>
        <w:numPr>
          <w:ilvl w:val="0"/>
          <w:numId w:val="1"/>
        </w:numPr>
        <w:spacing w:after="120"/>
        <w:ind w:left="709" w:hanging="709"/>
        <w:rPr>
          <w:rFonts w:ascii="Arial" w:hAnsi="Arial" w:cs="Arial"/>
          <w:sz w:val="22"/>
          <w:szCs w:val="22"/>
        </w:rPr>
      </w:pPr>
      <w:r w:rsidRPr="00CE717D">
        <w:rPr>
          <w:rFonts w:ascii="Arial" w:hAnsi="Arial" w:cs="Arial"/>
          <w:sz w:val="22"/>
          <w:szCs w:val="22"/>
        </w:rPr>
        <w:lastRenderedPageBreak/>
        <w:t xml:space="preserve">The consultation process was announced on “What we are consulting about” at ato.gov.au. In addition, we notified the GST Stewardship Group members of the opportunity to be involved in the consultation. The members of the GST Stewardship Group comprises of senior Australian Taxation officers and external members from business, academic and professional bodies. </w:t>
      </w:r>
    </w:p>
    <w:p w:rsidR="00CE717D" w:rsidRPr="00BF13F7" w:rsidRDefault="00432086" w:rsidP="00CE717D">
      <w:pPr>
        <w:numPr>
          <w:ilvl w:val="0"/>
          <w:numId w:val="1"/>
        </w:numPr>
        <w:spacing w:after="120"/>
        <w:ind w:left="709" w:hanging="709"/>
        <w:rPr>
          <w:rFonts w:ascii="Arial" w:hAnsi="Arial" w:cs="Arial"/>
          <w:sz w:val="22"/>
          <w:szCs w:val="22"/>
        </w:rPr>
      </w:pPr>
      <w:r w:rsidRPr="00BF13F7">
        <w:rPr>
          <w:rFonts w:ascii="Arial" w:hAnsi="Arial" w:cs="Arial"/>
          <w:sz w:val="22"/>
          <w:szCs w:val="22"/>
        </w:rPr>
        <w:t xml:space="preserve">We received one response from the consultation process by telephone a short time after the closing date for feedback and comments. This response was from a professional tax consulting firm seeking to discuss some concerns relating to the application of the Determination to second hand goods dealers. The ATO considered the issue raised, however, we reached the view that it was outside the scope of the instrument. The Determination was therefore made with no </w:t>
      </w:r>
      <w:r w:rsidR="00BF13F7">
        <w:rPr>
          <w:rFonts w:ascii="Arial" w:hAnsi="Arial" w:cs="Arial"/>
          <w:sz w:val="22"/>
          <w:szCs w:val="22"/>
        </w:rPr>
        <w:t xml:space="preserve">material </w:t>
      </w:r>
      <w:r w:rsidRPr="00BF13F7">
        <w:rPr>
          <w:rFonts w:ascii="Arial" w:hAnsi="Arial" w:cs="Arial"/>
          <w:sz w:val="22"/>
          <w:szCs w:val="22"/>
        </w:rPr>
        <w:t>changes from the draft instrument.</w:t>
      </w:r>
      <w:r w:rsidRPr="00BF13F7">
        <w:rPr>
          <w:rFonts w:ascii="Arial" w:hAnsi="Arial" w:cs="Arial"/>
        </w:rPr>
        <w:t xml:space="preserve"> </w:t>
      </w:r>
    </w:p>
    <w:p w:rsidR="00011847" w:rsidRPr="00D036DF" w:rsidRDefault="00011847" w:rsidP="0027569A">
      <w:pPr>
        <w:ind w:left="1700"/>
        <w:rPr>
          <w:rFonts w:ascii="Arial" w:hAnsi="Arial" w:cs="Arial"/>
          <w:sz w:val="22"/>
          <w:szCs w:val="22"/>
        </w:rPr>
      </w:pPr>
    </w:p>
    <w:p w:rsidR="00011847" w:rsidRPr="00D036DF" w:rsidRDefault="00011847" w:rsidP="0027569A">
      <w:pPr>
        <w:spacing w:after="60"/>
        <w:rPr>
          <w:rFonts w:ascii="Arial" w:hAnsi="Arial" w:cs="Arial"/>
          <w:b/>
          <w:sz w:val="22"/>
          <w:szCs w:val="22"/>
        </w:rPr>
      </w:pPr>
      <w:r w:rsidRPr="00D036DF">
        <w:rPr>
          <w:rFonts w:ascii="Arial" w:hAnsi="Arial" w:cs="Arial"/>
          <w:b/>
          <w:sz w:val="22"/>
          <w:szCs w:val="22"/>
        </w:rPr>
        <w:t>Legislative references:</w:t>
      </w:r>
    </w:p>
    <w:p w:rsidR="000770B2" w:rsidRPr="00D036DF" w:rsidRDefault="000770B2" w:rsidP="0027569A">
      <w:pPr>
        <w:spacing w:after="120"/>
        <w:rPr>
          <w:rFonts w:ascii="Arial" w:hAnsi="Arial" w:cs="Arial"/>
          <w:i/>
          <w:sz w:val="22"/>
          <w:szCs w:val="22"/>
        </w:rPr>
      </w:pPr>
      <w:r w:rsidRPr="00D036DF">
        <w:rPr>
          <w:rFonts w:ascii="Arial" w:hAnsi="Arial" w:cs="Arial"/>
          <w:i/>
          <w:sz w:val="22"/>
          <w:szCs w:val="22"/>
        </w:rPr>
        <w:t>Acts Interpretation Act 1901</w:t>
      </w:r>
    </w:p>
    <w:p w:rsidR="00011847" w:rsidRPr="00D036DF" w:rsidRDefault="00011847" w:rsidP="0027569A">
      <w:pPr>
        <w:spacing w:after="120"/>
        <w:rPr>
          <w:rFonts w:ascii="Arial" w:hAnsi="Arial" w:cs="Arial"/>
          <w:b/>
          <w:i/>
          <w:sz w:val="22"/>
          <w:szCs w:val="22"/>
        </w:rPr>
      </w:pPr>
      <w:r w:rsidRPr="00D036DF">
        <w:rPr>
          <w:rFonts w:ascii="Arial" w:hAnsi="Arial" w:cs="Arial"/>
          <w:i/>
          <w:sz w:val="22"/>
          <w:szCs w:val="22"/>
        </w:rPr>
        <w:t>A New Tax System (Goods and Services Tax) Act 1999</w:t>
      </w:r>
    </w:p>
    <w:p w:rsidR="00011847" w:rsidRPr="00D036DF" w:rsidRDefault="00011847" w:rsidP="0027569A">
      <w:pPr>
        <w:spacing w:after="120"/>
        <w:rPr>
          <w:rFonts w:ascii="Arial" w:hAnsi="Arial" w:cs="Arial"/>
          <w:b/>
          <w:i/>
          <w:sz w:val="22"/>
          <w:szCs w:val="22"/>
        </w:rPr>
      </w:pPr>
      <w:r w:rsidRPr="00D036DF">
        <w:rPr>
          <w:rFonts w:ascii="Arial" w:hAnsi="Arial" w:cs="Arial"/>
          <w:i/>
          <w:sz w:val="22"/>
          <w:szCs w:val="22"/>
        </w:rPr>
        <w:t>Human Rights (Parliamentary Scrutiny) Act 2011</w:t>
      </w:r>
    </w:p>
    <w:p w:rsidR="00011847" w:rsidRPr="006E6D93" w:rsidRDefault="00011847" w:rsidP="006E6D93">
      <w:pPr>
        <w:spacing w:after="120"/>
        <w:rPr>
          <w:rFonts w:ascii="Arial" w:hAnsi="Arial" w:cs="Arial"/>
          <w:i/>
          <w:sz w:val="22"/>
          <w:szCs w:val="22"/>
        </w:rPr>
      </w:pPr>
      <w:r w:rsidRPr="00D036DF">
        <w:rPr>
          <w:rFonts w:ascii="Arial" w:hAnsi="Arial" w:cs="Arial"/>
          <w:i/>
          <w:sz w:val="22"/>
          <w:szCs w:val="22"/>
        </w:rPr>
        <w:t>Legisla</w:t>
      </w:r>
      <w:r w:rsidR="006E6D93">
        <w:rPr>
          <w:rFonts w:ascii="Arial" w:hAnsi="Arial" w:cs="Arial"/>
          <w:i/>
          <w:sz w:val="22"/>
          <w:szCs w:val="22"/>
        </w:rPr>
        <w:t xml:space="preserve">tion </w:t>
      </w:r>
      <w:r w:rsidRPr="00D036DF">
        <w:rPr>
          <w:rFonts w:ascii="Arial" w:hAnsi="Arial" w:cs="Arial"/>
          <w:i/>
          <w:sz w:val="22"/>
          <w:szCs w:val="22"/>
        </w:rPr>
        <w:t>Act 2003</w:t>
      </w:r>
    </w:p>
    <w:p w:rsidR="006E6D93" w:rsidRDefault="006E6D93">
      <w:pPr>
        <w:rPr>
          <w:rFonts w:ascii="Arial" w:eastAsiaTheme="majorEastAsia" w:hAnsi="Arial" w:cs="Arial"/>
          <w:b/>
          <w:bCs/>
          <w:sz w:val="22"/>
          <w:szCs w:val="22"/>
        </w:rPr>
      </w:pPr>
      <w:r>
        <w:rPr>
          <w:rFonts w:ascii="Arial" w:hAnsi="Arial" w:cs="Arial"/>
          <w:sz w:val="22"/>
          <w:szCs w:val="22"/>
        </w:rPr>
        <w:br w:type="page"/>
      </w:r>
    </w:p>
    <w:p w:rsidR="00C822F6" w:rsidRPr="006E6D93" w:rsidRDefault="006E6D93" w:rsidP="0027569A">
      <w:pPr>
        <w:pStyle w:val="Heading1"/>
        <w:spacing w:before="0" w:after="240"/>
        <w:jc w:val="center"/>
        <w:rPr>
          <w:rFonts w:ascii="Arial" w:hAnsi="Arial" w:cs="Arial"/>
          <w:color w:val="auto"/>
          <w:sz w:val="24"/>
          <w:szCs w:val="24"/>
        </w:rPr>
      </w:pPr>
      <w:r w:rsidRPr="006E6D93">
        <w:rPr>
          <w:rFonts w:ascii="Arial" w:hAnsi="Arial" w:cs="Arial"/>
          <w:color w:val="auto"/>
          <w:sz w:val="24"/>
          <w:szCs w:val="24"/>
        </w:rPr>
        <w:lastRenderedPageBreak/>
        <w:t>Statement of c</w:t>
      </w:r>
      <w:r w:rsidR="00011847" w:rsidRPr="006E6D93">
        <w:rPr>
          <w:rFonts w:ascii="Arial" w:hAnsi="Arial" w:cs="Arial"/>
          <w:color w:val="auto"/>
          <w:sz w:val="24"/>
          <w:szCs w:val="24"/>
        </w:rPr>
        <w:t>ompatibility with Human Rights</w:t>
      </w:r>
    </w:p>
    <w:p w:rsidR="00011847" w:rsidRPr="00D036DF" w:rsidRDefault="00011847" w:rsidP="0027569A">
      <w:pPr>
        <w:spacing w:after="120"/>
        <w:rPr>
          <w:rFonts w:ascii="Arial" w:hAnsi="Arial" w:cs="Arial"/>
          <w:sz w:val="22"/>
          <w:szCs w:val="22"/>
        </w:rPr>
      </w:pPr>
      <w:r w:rsidRPr="00D036DF">
        <w:rPr>
          <w:rFonts w:ascii="Arial" w:hAnsi="Arial" w:cs="Arial"/>
          <w:sz w:val="22"/>
          <w:szCs w:val="22"/>
        </w:rPr>
        <w:t xml:space="preserve">Prepared in accordance with Part 3 of the </w:t>
      </w:r>
      <w:r w:rsidRPr="00D036DF">
        <w:rPr>
          <w:rFonts w:ascii="Arial" w:hAnsi="Arial" w:cs="Arial"/>
          <w:i/>
          <w:sz w:val="22"/>
          <w:szCs w:val="22"/>
        </w:rPr>
        <w:t>Human Rights (Parliamentary Scrutiny) Act 2011</w:t>
      </w:r>
      <w:r w:rsidRPr="00D036DF">
        <w:rPr>
          <w:rFonts w:ascii="Arial" w:hAnsi="Arial" w:cs="Arial"/>
          <w:sz w:val="22"/>
          <w:szCs w:val="22"/>
        </w:rPr>
        <w:t>.</w:t>
      </w:r>
    </w:p>
    <w:p w:rsidR="00C822F6" w:rsidRPr="00D036DF" w:rsidRDefault="00C822F6" w:rsidP="0027569A">
      <w:pPr>
        <w:spacing w:after="120"/>
        <w:rPr>
          <w:rFonts w:ascii="Arial" w:hAnsi="Arial" w:cs="Arial"/>
          <w:sz w:val="22"/>
          <w:szCs w:val="22"/>
        </w:rPr>
      </w:pPr>
    </w:p>
    <w:p w:rsidR="00C822F6" w:rsidRPr="00D036DF" w:rsidRDefault="00561D96" w:rsidP="0027569A">
      <w:pPr>
        <w:pStyle w:val="Heading2"/>
        <w:rPr>
          <w:rFonts w:cs="Arial"/>
          <w:szCs w:val="22"/>
        </w:rPr>
      </w:pPr>
      <w:r w:rsidRPr="00561D96">
        <w:rPr>
          <w:rFonts w:cs="Arial"/>
          <w:szCs w:val="22"/>
        </w:rPr>
        <w:t>Goods and Services Tax: Valuable Metals Market Value Determination 201</w:t>
      </w:r>
      <w:r w:rsidR="00CD6FB0">
        <w:rPr>
          <w:rFonts w:cs="Arial"/>
          <w:szCs w:val="22"/>
        </w:rPr>
        <w:t>8</w:t>
      </w:r>
      <w:bookmarkStart w:id="12" w:name="_GoBack"/>
      <w:bookmarkEnd w:id="12"/>
    </w:p>
    <w:p w:rsidR="00C822F6" w:rsidRPr="00D036DF" w:rsidRDefault="00011847" w:rsidP="0027569A">
      <w:pPr>
        <w:spacing w:after="120"/>
        <w:rPr>
          <w:rFonts w:ascii="Arial" w:hAnsi="Arial" w:cs="Arial"/>
          <w:sz w:val="22"/>
          <w:szCs w:val="22"/>
        </w:rPr>
      </w:pPr>
      <w:r w:rsidRPr="00D036DF">
        <w:rPr>
          <w:rFonts w:ascii="Arial" w:hAnsi="Arial" w:cs="Arial"/>
          <w:bCs/>
          <w:sz w:val="22"/>
          <w:szCs w:val="22"/>
        </w:rPr>
        <w:t>This Legislative</w:t>
      </w:r>
      <w:r w:rsidRPr="00D036DF">
        <w:rPr>
          <w:rFonts w:ascii="Arial" w:hAnsi="Arial" w:cs="Arial"/>
          <w:sz w:val="22"/>
          <w:szCs w:val="22"/>
        </w:rPr>
        <w:t xml:space="preserve"> Instrument is compatible with the human rights and freedoms recognised or declared in the international instruments listed in section 3 of the </w:t>
      </w:r>
      <w:r w:rsidRPr="00D036DF">
        <w:rPr>
          <w:rFonts w:ascii="Arial" w:hAnsi="Arial" w:cs="Arial"/>
          <w:i/>
          <w:iCs/>
          <w:sz w:val="22"/>
          <w:szCs w:val="22"/>
        </w:rPr>
        <w:t>Human Rights (Parliamentary Scrutiny) Act 2011.</w:t>
      </w:r>
    </w:p>
    <w:p w:rsidR="00011847" w:rsidRPr="00D036DF" w:rsidRDefault="00011847" w:rsidP="0027569A">
      <w:pPr>
        <w:spacing w:after="120"/>
        <w:rPr>
          <w:rFonts w:ascii="Arial" w:hAnsi="Arial" w:cs="Arial"/>
          <w:sz w:val="22"/>
          <w:szCs w:val="22"/>
        </w:rPr>
      </w:pPr>
    </w:p>
    <w:p w:rsidR="00C822F6" w:rsidRPr="00D036DF" w:rsidRDefault="00011847" w:rsidP="0027569A">
      <w:pPr>
        <w:pStyle w:val="Heading2"/>
        <w:rPr>
          <w:rFonts w:cs="Arial"/>
          <w:szCs w:val="22"/>
        </w:rPr>
      </w:pPr>
      <w:r w:rsidRPr="00D036DF">
        <w:rPr>
          <w:rFonts w:cs="Arial"/>
          <w:szCs w:val="22"/>
        </w:rPr>
        <w:t>Overview of the Legislative Instrument</w:t>
      </w:r>
    </w:p>
    <w:p w:rsidR="00561D96" w:rsidRDefault="00561D96" w:rsidP="00561D96">
      <w:pPr>
        <w:rPr>
          <w:rFonts w:ascii="Arial" w:hAnsi="Arial" w:cs="Arial"/>
          <w:sz w:val="22"/>
          <w:szCs w:val="22"/>
        </w:rPr>
      </w:pPr>
      <w:r>
        <w:rPr>
          <w:rFonts w:ascii="Arial" w:hAnsi="Arial" w:cs="Arial"/>
          <w:sz w:val="22"/>
          <w:szCs w:val="22"/>
        </w:rPr>
        <w:t xml:space="preserve">This instrument sets out the method to calculate the market value of valuable metal for the purposes of working out whether the market value of a taxable supply exceeds the valuable metal threshold, for the purposes of subsection 86-10(3) of </w:t>
      </w:r>
      <w:proofErr w:type="gramStart"/>
      <w:r>
        <w:rPr>
          <w:rFonts w:ascii="Arial" w:hAnsi="Arial" w:cs="Arial"/>
          <w:sz w:val="22"/>
          <w:szCs w:val="22"/>
        </w:rPr>
        <w:t>the  GST</w:t>
      </w:r>
      <w:proofErr w:type="gramEnd"/>
      <w:r>
        <w:rPr>
          <w:rFonts w:ascii="Arial" w:hAnsi="Arial" w:cs="Arial"/>
          <w:sz w:val="22"/>
          <w:szCs w:val="22"/>
        </w:rPr>
        <w:t xml:space="preserve"> Act.</w:t>
      </w:r>
    </w:p>
    <w:p w:rsidR="00011847" w:rsidRPr="00D036DF" w:rsidRDefault="00011847" w:rsidP="0027569A">
      <w:pPr>
        <w:spacing w:after="120"/>
        <w:rPr>
          <w:rFonts w:ascii="Arial" w:hAnsi="Arial" w:cs="Arial"/>
          <w:sz w:val="22"/>
          <w:szCs w:val="22"/>
        </w:rPr>
      </w:pPr>
    </w:p>
    <w:p w:rsidR="00C822F6" w:rsidRPr="00D036DF" w:rsidRDefault="00011847" w:rsidP="0027569A">
      <w:pPr>
        <w:pStyle w:val="Heading2"/>
        <w:rPr>
          <w:rFonts w:cs="Arial"/>
          <w:szCs w:val="22"/>
        </w:rPr>
      </w:pPr>
      <w:r w:rsidRPr="00D036DF">
        <w:rPr>
          <w:rFonts w:cs="Arial"/>
          <w:szCs w:val="22"/>
        </w:rPr>
        <w:t>Human rights implications</w:t>
      </w:r>
    </w:p>
    <w:p w:rsidR="00C822F6" w:rsidRPr="00D036DF" w:rsidRDefault="00011847" w:rsidP="0027569A">
      <w:pPr>
        <w:spacing w:after="120"/>
        <w:rPr>
          <w:rFonts w:ascii="Arial" w:hAnsi="Arial" w:cs="Arial"/>
          <w:sz w:val="22"/>
          <w:szCs w:val="22"/>
        </w:rPr>
      </w:pPr>
      <w:r w:rsidRPr="00D036DF">
        <w:rPr>
          <w:rFonts w:ascii="Arial" w:hAnsi="Arial" w:cs="Arial"/>
          <w:sz w:val="22"/>
          <w:szCs w:val="22"/>
        </w:rPr>
        <w:t>This Legislative Instrument does not engage any of the applicable rights or freedoms</w:t>
      </w:r>
      <w:r w:rsidR="00561D96">
        <w:rPr>
          <w:rFonts w:ascii="Arial" w:hAnsi="Arial" w:cs="Arial"/>
          <w:sz w:val="22"/>
          <w:szCs w:val="22"/>
        </w:rPr>
        <w:t>.</w:t>
      </w:r>
    </w:p>
    <w:p w:rsidR="00011847" w:rsidRPr="00D036DF" w:rsidRDefault="00011847" w:rsidP="0027569A">
      <w:pPr>
        <w:spacing w:after="120"/>
        <w:rPr>
          <w:rFonts w:ascii="Arial" w:hAnsi="Arial" w:cs="Arial"/>
          <w:sz w:val="22"/>
          <w:szCs w:val="22"/>
        </w:rPr>
      </w:pPr>
    </w:p>
    <w:p w:rsidR="00C822F6" w:rsidRPr="00D036DF" w:rsidRDefault="00011847" w:rsidP="0027569A">
      <w:pPr>
        <w:pStyle w:val="Heading2"/>
        <w:rPr>
          <w:rFonts w:cs="Arial"/>
          <w:szCs w:val="22"/>
        </w:rPr>
      </w:pPr>
      <w:r w:rsidRPr="00D036DF">
        <w:rPr>
          <w:rFonts w:cs="Arial"/>
          <w:szCs w:val="22"/>
        </w:rPr>
        <w:t>Conclusion</w:t>
      </w:r>
    </w:p>
    <w:p w:rsidR="00C822F6" w:rsidRPr="00D036DF" w:rsidRDefault="00011847" w:rsidP="0027569A">
      <w:pPr>
        <w:spacing w:after="120"/>
        <w:rPr>
          <w:rFonts w:ascii="Arial" w:hAnsi="Arial" w:cs="Arial"/>
          <w:sz w:val="22"/>
          <w:szCs w:val="22"/>
        </w:rPr>
      </w:pPr>
      <w:r w:rsidRPr="00D036DF">
        <w:rPr>
          <w:rFonts w:ascii="Arial" w:hAnsi="Arial" w:cs="Arial"/>
          <w:sz w:val="22"/>
          <w:szCs w:val="22"/>
        </w:rPr>
        <w:t>This Legislative Instrument is compatible with human rights as it does not raise any human rights issues.</w:t>
      </w:r>
    </w:p>
    <w:sectPr w:rsidR="00C822F6" w:rsidRPr="00D036DF" w:rsidSect="00146ED8">
      <w:headerReference w:type="even" r:id="rId16"/>
      <w:headerReference w:type="default" r:id="rId17"/>
      <w:headerReference w:type="first" r:id="rId18"/>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F2E" w:rsidRDefault="004D1F2E">
      <w:r>
        <w:separator/>
      </w:r>
    </w:p>
  </w:endnote>
  <w:endnote w:type="continuationSeparator" w:id="0">
    <w:p w:rsidR="004D1F2E" w:rsidRDefault="004D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F2E" w:rsidRDefault="004D1F2E">
      <w:r>
        <w:separator/>
      </w:r>
    </w:p>
  </w:footnote>
  <w:footnote w:type="continuationSeparator" w:id="0">
    <w:p w:rsidR="004D1F2E" w:rsidRDefault="004D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Pr="0067541C" w:rsidRDefault="00587C50">
    <w:pPr>
      <w:pStyle w:val="Header"/>
      <w:rPr>
        <w:rFonts w:ascii="Arial" w:hAnsi="Arial" w:cs="Arial"/>
        <w:sz w:val="52"/>
      </w:rPr>
    </w:pPr>
    <w:r w:rsidRPr="0067541C">
      <w:rPr>
        <w:rFonts w:ascii="Arial" w:hAnsi="Arial" w:cs="Arial"/>
        <w:sz w:val="20"/>
      </w:rPr>
      <w:t>Taxation Determination</w:t>
    </w:r>
  </w:p>
  <w:p w:rsidR="00C822F6" w:rsidRDefault="00587C50">
    <w:pPr>
      <w:pStyle w:val="Header"/>
      <w:rPr>
        <w:rFonts w:ascii="Arial" w:hAnsi="Arial" w:cs="Arial"/>
        <w:b/>
        <w:sz w:val="52"/>
      </w:rPr>
    </w:pPr>
    <w:r w:rsidRPr="0067541C">
      <w:rPr>
        <w:rFonts w:ascii="Arial" w:hAnsi="Arial" w:cs="Arial"/>
        <w:b/>
        <w:sz w:val="52"/>
      </w:rPr>
      <w:t>TD</w:t>
    </w:r>
  </w:p>
  <w:p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C3179B">
      <w:rPr>
        <w:rFonts w:ascii="Arial" w:hAnsi="Arial" w:cs="Arial"/>
        <w:noProof/>
        <w:snapToGrid w:val="0"/>
        <w:sz w:val="20"/>
        <w:lang w:eastAsia="en-US"/>
      </w:rPr>
      <w:t>4</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D8" w:rsidRPr="00333FE9"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jc w:val="center"/>
      <w:rPr>
        <w:rFonts w:ascii="Arial" w:hAnsi="Arial" w:cs="Arial"/>
        <w:sz w:val="20"/>
      </w:rPr>
    </w:pPr>
    <w:bookmarkStart w:id="13" w:name="AType"/>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rsidR="00146ED8" w:rsidRPr="00146ED8"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rPr>
        <w:rFonts w:ascii="Arial" w:hAnsi="Arial" w:cs="Arial"/>
        <w:sz w:val="28"/>
        <w:szCs w:val="28"/>
      </w:rPr>
    </w:pPr>
    <w:bookmarkStart w:id="14" w:name="BPrefix"/>
    <w:bookmarkEnd w:id="13"/>
    <w:r>
      <w:rPr>
        <w:rFonts w:ascii="Arial" w:hAnsi="Arial" w:cs="Arial"/>
        <w:b/>
        <w:sz w:val="32"/>
        <w:szCs w:val="32"/>
      </w:rPr>
      <w:t xml:space="preserve">  </w:t>
    </w:r>
    <w:r w:rsidRPr="00146ED8">
      <w:rPr>
        <w:rFonts w:ascii="Arial" w:hAnsi="Arial" w:cs="Arial"/>
        <w:b/>
        <w:sz w:val="28"/>
        <w:szCs w:val="28"/>
      </w:rPr>
      <w:t>Inst</w:t>
    </w:r>
    <w:bookmarkStart w:id="15" w:name="CDocnum"/>
    <w:bookmarkEnd w:id="14"/>
    <w:bookmarkEnd w:id="15"/>
    <w:r w:rsidRPr="00146ED8">
      <w:rPr>
        <w:rFonts w:ascii="Arial" w:hAnsi="Arial" w:cs="Arial"/>
        <w:b/>
        <w:sz w:val="28"/>
        <w:szCs w:val="28"/>
      </w:rPr>
      <w:t xml:space="preserve">rument ID: </w:t>
    </w:r>
    <w:r w:rsidR="00CD6FB0" w:rsidRPr="00011847">
      <w:rPr>
        <w:rFonts w:ascii="Arial" w:hAnsi="Arial" w:cs="Arial"/>
        <w:b/>
        <w:sz w:val="28"/>
        <w:szCs w:val="28"/>
      </w:rPr>
      <w:t>20</w:t>
    </w:r>
    <w:r w:rsidR="00CD6FB0">
      <w:rPr>
        <w:rFonts w:ascii="Arial" w:hAnsi="Arial" w:cs="Arial"/>
        <w:b/>
        <w:sz w:val="28"/>
        <w:szCs w:val="28"/>
      </w:rPr>
      <w:t>1</w:t>
    </w:r>
    <w:r w:rsidR="00CD6FB0">
      <w:rPr>
        <w:rFonts w:ascii="Arial" w:hAnsi="Arial" w:cs="Arial"/>
        <w:b/>
        <w:sz w:val="28"/>
        <w:szCs w:val="28"/>
      </w:rPr>
      <w:t>8</w:t>
    </w:r>
    <w:r w:rsidR="00011847" w:rsidRPr="00011847">
      <w:rPr>
        <w:rFonts w:ascii="Arial" w:hAnsi="Arial" w:cs="Arial"/>
        <w:b/>
        <w:sz w:val="28"/>
        <w:szCs w:val="28"/>
      </w:rPr>
      <w:t>/ITX/</w:t>
    </w:r>
    <w:r w:rsidR="00CD6FB0" w:rsidRPr="00011847">
      <w:rPr>
        <w:rFonts w:ascii="Arial" w:hAnsi="Arial" w:cs="Arial"/>
        <w:b/>
        <w:sz w:val="28"/>
        <w:szCs w:val="28"/>
      </w:rPr>
      <w:t>00</w:t>
    </w:r>
    <w:r w:rsidR="00CD6FB0">
      <w:rPr>
        <w:rFonts w:ascii="Arial" w:hAnsi="Arial" w:cs="Arial"/>
        <w:b/>
        <w:sz w:val="28"/>
        <w:szCs w:val="28"/>
      </w:rPr>
      <w:t>02</w:t>
    </w:r>
  </w:p>
  <w:p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40A295DE" wp14:editId="385C434F">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C3903"/>
    <w:multiLevelType w:val="hybridMultilevel"/>
    <w:tmpl w:val="19320EFC"/>
    <w:lvl w:ilvl="0" w:tplc="43C0689A">
      <w:start w:val="1"/>
      <w:numFmt w:val="decimal"/>
      <w:lvlText w:val="%1."/>
      <w:lvlJc w:val="left"/>
      <w:pPr>
        <w:tabs>
          <w:tab w:val="num" w:pos="720"/>
        </w:tabs>
        <w:ind w:left="720" w:hanging="360"/>
      </w:pPr>
      <w:rPr>
        <w:rFonts w:ascii="Arial" w:hAnsi="Arial" w:cs="Arial"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5EE13285"/>
    <w:multiLevelType w:val="hybridMultilevel"/>
    <w:tmpl w:val="93AA762A"/>
    <w:lvl w:ilvl="0" w:tplc="0C090019">
      <w:start w:val="1"/>
      <w:numFmt w:val="lowerLetter"/>
      <w:lvlText w:val="%1."/>
      <w:lvlJc w:val="left"/>
      <w:pPr>
        <w:ind w:left="1069" w:hanging="360"/>
      </w:pPr>
      <w:rPr>
        <w:rFonts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
    <w:nsid w:val="660C1E78"/>
    <w:multiLevelType w:val="hybridMultilevel"/>
    <w:tmpl w:val="8FF67D58"/>
    <w:lvl w:ilvl="0" w:tplc="0C090001">
      <w:start w:val="1"/>
      <w:numFmt w:val="bullet"/>
      <w:lvlText w:val=""/>
      <w:lvlJc w:val="left"/>
      <w:pPr>
        <w:ind w:left="1069" w:hanging="360"/>
      </w:pPr>
      <w:rPr>
        <w:rFonts w:ascii="Symbol" w:hAnsi="Symbol" w:hint="default"/>
      </w:rPr>
    </w:lvl>
    <w:lvl w:ilvl="1" w:tplc="062408D0">
      <w:start w:val="1"/>
      <w:numFmt w:val="lowerRoman"/>
      <w:lvlText w:val="%2."/>
      <w:lvlJc w:val="left"/>
      <w:pPr>
        <w:ind w:left="1789" w:hanging="360"/>
      </w:pPr>
      <w:rPr>
        <w:rFonts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nsid w:val="7C2D1A04"/>
    <w:multiLevelType w:val="hybridMultilevel"/>
    <w:tmpl w:val="60DA0EC4"/>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18"/>
    <w:rsid w:val="0000694E"/>
    <w:rsid w:val="00006F04"/>
    <w:rsid w:val="000117B2"/>
    <w:rsid w:val="00011847"/>
    <w:rsid w:val="0001796D"/>
    <w:rsid w:val="00017BF0"/>
    <w:rsid w:val="000234A1"/>
    <w:rsid w:val="0002568B"/>
    <w:rsid w:val="00043FA7"/>
    <w:rsid w:val="000544D7"/>
    <w:rsid w:val="000552E8"/>
    <w:rsid w:val="00056585"/>
    <w:rsid w:val="0005674F"/>
    <w:rsid w:val="00065C6E"/>
    <w:rsid w:val="00073F1B"/>
    <w:rsid w:val="00075B58"/>
    <w:rsid w:val="000770B2"/>
    <w:rsid w:val="000A2ACB"/>
    <w:rsid w:val="000B11DD"/>
    <w:rsid w:val="000B304D"/>
    <w:rsid w:val="000B5D34"/>
    <w:rsid w:val="000C390A"/>
    <w:rsid w:val="000C3B94"/>
    <w:rsid w:val="000C6067"/>
    <w:rsid w:val="000C77DD"/>
    <w:rsid w:val="000D7AEF"/>
    <w:rsid w:val="000E18D0"/>
    <w:rsid w:val="000E295B"/>
    <w:rsid w:val="000E45A0"/>
    <w:rsid w:val="000F37D9"/>
    <w:rsid w:val="000F3A04"/>
    <w:rsid w:val="00107460"/>
    <w:rsid w:val="00112415"/>
    <w:rsid w:val="001364BE"/>
    <w:rsid w:val="0013678D"/>
    <w:rsid w:val="00140A34"/>
    <w:rsid w:val="001456A8"/>
    <w:rsid w:val="00146ED8"/>
    <w:rsid w:val="00147993"/>
    <w:rsid w:val="0015154F"/>
    <w:rsid w:val="00154C0E"/>
    <w:rsid w:val="00167202"/>
    <w:rsid w:val="00172893"/>
    <w:rsid w:val="001828A4"/>
    <w:rsid w:val="001A3BE2"/>
    <w:rsid w:val="001B23B2"/>
    <w:rsid w:val="001C35E7"/>
    <w:rsid w:val="001C4578"/>
    <w:rsid w:val="001F28A6"/>
    <w:rsid w:val="001F2A16"/>
    <w:rsid w:val="001F6921"/>
    <w:rsid w:val="001F7C3E"/>
    <w:rsid w:val="00201969"/>
    <w:rsid w:val="00213FA5"/>
    <w:rsid w:val="00214040"/>
    <w:rsid w:val="0023733A"/>
    <w:rsid w:val="0024044F"/>
    <w:rsid w:val="00245D00"/>
    <w:rsid w:val="00254E50"/>
    <w:rsid w:val="00257F2D"/>
    <w:rsid w:val="00262F9F"/>
    <w:rsid w:val="00266D2D"/>
    <w:rsid w:val="0027331F"/>
    <w:rsid w:val="0027569A"/>
    <w:rsid w:val="00285E76"/>
    <w:rsid w:val="002949C3"/>
    <w:rsid w:val="002A10A4"/>
    <w:rsid w:val="002A26FE"/>
    <w:rsid w:val="002A43BC"/>
    <w:rsid w:val="002B1385"/>
    <w:rsid w:val="002B1423"/>
    <w:rsid w:val="002B1AA2"/>
    <w:rsid w:val="002C6D20"/>
    <w:rsid w:val="002E1EB4"/>
    <w:rsid w:val="002F051E"/>
    <w:rsid w:val="002F1257"/>
    <w:rsid w:val="00305E2D"/>
    <w:rsid w:val="00310C61"/>
    <w:rsid w:val="003171B3"/>
    <w:rsid w:val="003227D5"/>
    <w:rsid w:val="0032559D"/>
    <w:rsid w:val="00325C9A"/>
    <w:rsid w:val="00344575"/>
    <w:rsid w:val="00345B61"/>
    <w:rsid w:val="003466ED"/>
    <w:rsid w:val="0035113C"/>
    <w:rsid w:val="00352A69"/>
    <w:rsid w:val="003531F9"/>
    <w:rsid w:val="003537F4"/>
    <w:rsid w:val="00354525"/>
    <w:rsid w:val="00371394"/>
    <w:rsid w:val="00380CC4"/>
    <w:rsid w:val="0038173B"/>
    <w:rsid w:val="00382CBE"/>
    <w:rsid w:val="003A0004"/>
    <w:rsid w:val="003C0686"/>
    <w:rsid w:val="003D08CF"/>
    <w:rsid w:val="003D0CBA"/>
    <w:rsid w:val="003D0F6A"/>
    <w:rsid w:val="003D4BA8"/>
    <w:rsid w:val="003E5269"/>
    <w:rsid w:val="003E5749"/>
    <w:rsid w:val="0040405F"/>
    <w:rsid w:val="00405394"/>
    <w:rsid w:val="004066E4"/>
    <w:rsid w:val="0040680B"/>
    <w:rsid w:val="00407361"/>
    <w:rsid w:val="00417C55"/>
    <w:rsid w:val="00424A7B"/>
    <w:rsid w:val="00427EB2"/>
    <w:rsid w:val="00432086"/>
    <w:rsid w:val="004343AF"/>
    <w:rsid w:val="00443FC3"/>
    <w:rsid w:val="004447C1"/>
    <w:rsid w:val="004557A3"/>
    <w:rsid w:val="00460673"/>
    <w:rsid w:val="0046211F"/>
    <w:rsid w:val="0046787B"/>
    <w:rsid w:val="00484A09"/>
    <w:rsid w:val="00486653"/>
    <w:rsid w:val="004A5FDA"/>
    <w:rsid w:val="004B0148"/>
    <w:rsid w:val="004D098C"/>
    <w:rsid w:val="004D1F2E"/>
    <w:rsid w:val="004D24A9"/>
    <w:rsid w:val="004E5357"/>
    <w:rsid w:val="004F0CA2"/>
    <w:rsid w:val="004F2204"/>
    <w:rsid w:val="004F4A07"/>
    <w:rsid w:val="004F5EB1"/>
    <w:rsid w:val="004F6887"/>
    <w:rsid w:val="005030AD"/>
    <w:rsid w:val="0051249C"/>
    <w:rsid w:val="005176E7"/>
    <w:rsid w:val="00520330"/>
    <w:rsid w:val="00524B6B"/>
    <w:rsid w:val="00530754"/>
    <w:rsid w:val="00531E6A"/>
    <w:rsid w:val="005413EE"/>
    <w:rsid w:val="00561D96"/>
    <w:rsid w:val="00581330"/>
    <w:rsid w:val="00584BF5"/>
    <w:rsid w:val="00587443"/>
    <w:rsid w:val="00587C50"/>
    <w:rsid w:val="005917F3"/>
    <w:rsid w:val="005A5199"/>
    <w:rsid w:val="005B0ACD"/>
    <w:rsid w:val="005B28AE"/>
    <w:rsid w:val="005B50A2"/>
    <w:rsid w:val="005C12D3"/>
    <w:rsid w:val="005C3408"/>
    <w:rsid w:val="005D611B"/>
    <w:rsid w:val="005E2C00"/>
    <w:rsid w:val="005F1ACE"/>
    <w:rsid w:val="005F256D"/>
    <w:rsid w:val="006013F5"/>
    <w:rsid w:val="0060183A"/>
    <w:rsid w:val="00603110"/>
    <w:rsid w:val="00611C8E"/>
    <w:rsid w:val="00631F30"/>
    <w:rsid w:val="00633DFF"/>
    <w:rsid w:val="00642420"/>
    <w:rsid w:val="00645578"/>
    <w:rsid w:val="00646158"/>
    <w:rsid w:val="0066622C"/>
    <w:rsid w:val="00666487"/>
    <w:rsid w:val="00673B37"/>
    <w:rsid w:val="006945EA"/>
    <w:rsid w:val="006A0F5B"/>
    <w:rsid w:val="006B5470"/>
    <w:rsid w:val="006B5C39"/>
    <w:rsid w:val="006C021A"/>
    <w:rsid w:val="006D0138"/>
    <w:rsid w:val="006D66F3"/>
    <w:rsid w:val="006D6F52"/>
    <w:rsid w:val="006E6D93"/>
    <w:rsid w:val="006F08F2"/>
    <w:rsid w:val="006F3EED"/>
    <w:rsid w:val="00701718"/>
    <w:rsid w:val="00706AFF"/>
    <w:rsid w:val="00710359"/>
    <w:rsid w:val="00712015"/>
    <w:rsid w:val="00712FFF"/>
    <w:rsid w:val="00722DBF"/>
    <w:rsid w:val="007234C3"/>
    <w:rsid w:val="007269B8"/>
    <w:rsid w:val="00735157"/>
    <w:rsid w:val="007412CC"/>
    <w:rsid w:val="00775490"/>
    <w:rsid w:val="007822CF"/>
    <w:rsid w:val="007871D6"/>
    <w:rsid w:val="00795D0C"/>
    <w:rsid w:val="007A55BA"/>
    <w:rsid w:val="007A76BD"/>
    <w:rsid w:val="007A7914"/>
    <w:rsid w:val="007C187C"/>
    <w:rsid w:val="007C1FBD"/>
    <w:rsid w:val="007E22F5"/>
    <w:rsid w:val="007E4588"/>
    <w:rsid w:val="007F25F3"/>
    <w:rsid w:val="007F4901"/>
    <w:rsid w:val="00814093"/>
    <w:rsid w:val="00816D7B"/>
    <w:rsid w:val="00836B02"/>
    <w:rsid w:val="008467D4"/>
    <w:rsid w:val="00850FB0"/>
    <w:rsid w:val="0085238E"/>
    <w:rsid w:val="008540EA"/>
    <w:rsid w:val="00863898"/>
    <w:rsid w:val="00866A00"/>
    <w:rsid w:val="008702A6"/>
    <w:rsid w:val="008757CE"/>
    <w:rsid w:val="0088392C"/>
    <w:rsid w:val="00893AE3"/>
    <w:rsid w:val="00894A93"/>
    <w:rsid w:val="00897C0E"/>
    <w:rsid w:val="00897E31"/>
    <w:rsid w:val="008A046F"/>
    <w:rsid w:val="008A2656"/>
    <w:rsid w:val="008A405A"/>
    <w:rsid w:val="008A6A6A"/>
    <w:rsid w:val="008B650A"/>
    <w:rsid w:val="008B6576"/>
    <w:rsid w:val="008B787C"/>
    <w:rsid w:val="008C1E0A"/>
    <w:rsid w:val="008C3898"/>
    <w:rsid w:val="008C66CC"/>
    <w:rsid w:val="008E1085"/>
    <w:rsid w:val="008E5EBC"/>
    <w:rsid w:val="008F483C"/>
    <w:rsid w:val="008F5D6B"/>
    <w:rsid w:val="0090129A"/>
    <w:rsid w:val="00912D61"/>
    <w:rsid w:val="009146CF"/>
    <w:rsid w:val="009322D7"/>
    <w:rsid w:val="00932BDE"/>
    <w:rsid w:val="0093489D"/>
    <w:rsid w:val="00936D9C"/>
    <w:rsid w:val="0095053A"/>
    <w:rsid w:val="00952090"/>
    <w:rsid w:val="00961041"/>
    <w:rsid w:val="00967725"/>
    <w:rsid w:val="009902F8"/>
    <w:rsid w:val="00993BB8"/>
    <w:rsid w:val="0099555F"/>
    <w:rsid w:val="00997559"/>
    <w:rsid w:val="009A22A1"/>
    <w:rsid w:val="009B3A1B"/>
    <w:rsid w:val="009B6332"/>
    <w:rsid w:val="009B6DAA"/>
    <w:rsid w:val="009C0912"/>
    <w:rsid w:val="009C4387"/>
    <w:rsid w:val="009C4A82"/>
    <w:rsid w:val="009D43E2"/>
    <w:rsid w:val="009D6232"/>
    <w:rsid w:val="009D6694"/>
    <w:rsid w:val="009F0300"/>
    <w:rsid w:val="00A03859"/>
    <w:rsid w:val="00A14ABC"/>
    <w:rsid w:val="00A167A8"/>
    <w:rsid w:val="00A21F0A"/>
    <w:rsid w:val="00A26011"/>
    <w:rsid w:val="00A506C2"/>
    <w:rsid w:val="00A604A4"/>
    <w:rsid w:val="00A623B9"/>
    <w:rsid w:val="00A62886"/>
    <w:rsid w:val="00A63855"/>
    <w:rsid w:val="00A74C38"/>
    <w:rsid w:val="00A77D24"/>
    <w:rsid w:val="00A83F27"/>
    <w:rsid w:val="00A8572F"/>
    <w:rsid w:val="00A93E07"/>
    <w:rsid w:val="00A95170"/>
    <w:rsid w:val="00A979CF"/>
    <w:rsid w:val="00AA4DF8"/>
    <w:rsid w:val="00AB2732"/>
    <w:rsid w:val="00AB780C"/>
    <w:rsid w:val="00AD5ADE"/>
    <w:rsid w:val="00AE0EAA"/>
    <w:rsid w:val="00AE7138"/>
    <w:rsid w:val="00AF4CAF"/>
    <w:rsid w:val="00B039F2"/>
    <w:rsid w:val="00B117BA"/>
    <w:rsid w:val="00B20D87"/>
    <w:rsid w:val="00B5517E"/>
    <w:rsid w:val="00B578AC"/>
    <w:rsid w:val="00B57E92"/>
    <w:rsid w:val="00B6433F"/>
    <w:rsid w:val="00B64CF5"/>
    <w:rsid w:val="00B70663"/>
    <w:rsid w:val="00B71E6F"/>
    <w:rsid w:val="00B7259D"/>
    <w:rsid w:val="00B76C9B"/>
    <w:rsid w:val="00B823A1"/>
    <w:rsid w:val="00B8428B"/>
    <w:rsid w:val="00B96786"/>
    <w:rsid w:val="00B968A4"/>
    <w:rsid w:val="00BA41F5"/>
    <w:rsid w:val="00BA4E39"/>
    <w:rsid w:val="00BA79EC"/>
    <w:rsid w:val="00BB3C9C"/>
    <w:rsid w:val="00BC0133"/>
    <w:rsid w:val="00BC69AB"/>
    <w:rsid w:val="00BD3D64"/>
    <w:rsid w:val="00BD3D8B"/>
    <w:rsid w:val="00BF129A"/>
    <w:rsid w:val="00BF13F7"/>
    <w:rsid w:val="00BF4822"/>
    <w:rsid w:val="00C01D22"/>
    <w:rsid w:val="00C104B6"/>
    <w:rsid w:val="00C10F02"/>
    <w:rsid w:val="00C114F4"/>
    <w:rsid w:val="00C11D03"/>
    <w:rsid w:val="00C15A79"/>
    <w:rsid w:val="00C309E4"/>
    <w:rsid w:val="00C3179B"/>
    <w:rsid w:val="00C31967"/>
    <w:rsid w:val="00C32955"/>
    <w:rsid w:val="00C371DE"/>
    <w:rsid w:val="00C409AE"/>
    <w:rsid w:val="00C42D50"/>
    <w:rsid w:val="00C54DF8"/>
    <w:rsid w:val="00C60B49"/>
    <w:rsid w:val="00C61B75"/>
    <w:rsid w:val="00C726B3"/>
    <w:rsid w:val="00C7440A"/>
    <w:rsid w:val="00C822F6"/>
    <w:rsid w:val="00C865ED"/>
    <w:rsid w:val="00C8775A"/>
    <w:rsid w:val="00CA0818"/>
    <w:rsid w:val="00CA0877"/>
    <w:rsid w:val="00CA6B59"/>
    <w:rsid w:val="00CB187E"/>
    <w:rsid w:val="00CB3B6C"/>
    <w:rsid w:val="00CC1833"/>
    <w:rsid w:val="00CC189F"/>
    <w:rsid w:val="00CC3368"/>
    <w:rsid w:val="00CD3FF2"/>
    <w:rsid w:val="00CD6FB0"/>
    <w:rsid w:val="00CD70AE"/>
    <w:rsid w:val="00CE4E4F"/>
    <w:rsid w:val="00CE717D"/>
    <w:rsid w:val="00CF19C4"/>
    <w:rsid w:val="00D036DF"/>
    <w:rsid w:val="00D13BD1"/>
    <w:rsid w:val="00D13C04"/>
    <w:rsid w:val="00D20A78"/>
    <w:rsid w:val="00D278BA"/>
    <w:rsid w:val="00D31F35"/>
    <w:rsid w:val="00D40454"/>
    <w:rsid w:val="00D4059C"/>
    <w:rsid w:val="00D53D8F"/>
    <w:rsid w:val="00D61C76"/>
    <w:rsid w:val="00D77015"/>
    <w:rsid w:val="00D92B48"/>
    <w:rsid w:val="00DB0DD8"/>
    <w:rsid w:val="00DB1693"/>
    <w:rsid w:val="00DB6DC9"/>
    <w:rsid w:val="00DC0F75"/>
    <w:rsid w:val="00DC31E1"/>
    <w:rsid w:val="00DC4895"/>
    <w:rsid w:val="00DD5B07"/>
    <w:rsid w:val="00DE130D"/>
    <w:rsid w:val="00DE5398"/>
    <w:rsid w:val="00DE6821"/>
    <w:rsid w:val="00DF2022"/>
    <w:rsid w:val="00DF34BE"/>
    <w:rsid w:val="00DF5D59"/>
    <w:rsid w:val="00E00524"/>
    <w:rsid w:val="00E17A65"/>
    <w:rsid w:val="00E239E4"/>
    <w:rsid w:val="00E3260D"/>
    <w:rsid w:val="00E36A38"/>
    <w:rsid w:val="00E36BA5"/>
    <w:rsid w:val="00E53399"/>
    <w:rsid w:val="00E740A9"/>
    <w:rsid w:val="00E77995"/>
    <w:rsid w:val="00E87099"/>
    <w:rsid w:val="00EA28E6"/>
    <w:rsid w:val="00EB63A9"/>
    <w:rsid w:val="00EC104D"/>
    <w:rsid w:val="00EF78C4"/>
    <w:rsid w:val="00F04CD7"/>
    <w:rsid w:val="00F05A9C"/>
    <w:rsid w:val="00F108DD"/>
    <w:rsid w:val="00F21172"/>
    <w:rsid w:val="00F23E15"/>
    <w:rsid w:val="00F244A2"/>
    <w:rsid w:val="00F35064"/>
    <w:rsid w:val="00F35290"/>
    <w:rsid w:val="00F374D8"/>
    <w:rsid w:val="00F5684D"/>
    <w:rsid w:val="00F57AB6"/>
    <w:rsid w:val="00F6480F"/>
    <w:rsid w:val="00F679B5"/>
    <w:rsid w:val="00F84E43"/>
    <w:rsid w:val="00F86713"/>
    <w:rsid w:val="00F904D7"/>
    <w:rsid w:val="00F92C0A"/>
    <w:rsid w:val="00F932E0"/>
    <w:rsid w:val="00F934AA"/>
    <w:rsid w:val="00FB7701"/>
    <w:rsid w:val="00FB7A91"/>
    <w:rsid w:val="00FC40F0"/>
    <w:rsid w:val="00FC6D3B"/>
    <w:rsid w:val="00FD0129"/>
    <w:rsid w:val="00FD4253"/>
    <w:rsid w:val="00FE1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1">
    <w:name w:val="heading 1"/>
    <w:basedOn w:val="Normal"/>
    <w:next w:val="Normal"/>
    <w:link w:val="Heading1Char"/>
    <w:qFormat/>
    <w:rsid w:val="00C822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styleId="HTMLCode">
    <w:name w:val="HTML Code"/>
    <w:basedOn w:val="DefaultParagraphFont"/>
    <w:uiPriority w:val="99"/>
    <w:unhideWhenUsed/>
    <w:rsid w:val="007822CF"/>
    <w:rPr>
      <w:rFonts w:ascii="Courier" w:eastAsia="Times New Roman" w:hAnsi="Courier" w:cs="Courier New" w:hint="default"/>
      <w:color w:val="000000"/>
      <w:sz w:val="20"/>
      <w:szCs w:val="20"/>
    </w:rPr>
  </w:style>
  <w:style w:type="character" w:customStyle="1" w:styleId="Heading2Char">
    <w:name w:val="Heading 2 Char"/>
    <w:basedOn w:val="DefaultParagraphFont"/>
    <w:link w:val="Heading2"/>
    <w:rsid w:val="00352A69"/>
    <w:rPr>
      <w:rFonts w:ascii="Arial" w:hAnsi="Arial"/>
      <w:b/>
      <w:sz w:val="22"/>
    </w:rPr>
  </w:style>
  <w:style w:type="character" w:customStyle="1" w:styleId="Heading1Char">
    <w:name w:val="Heading 1 Char"/>
    <w:basedOn w:val="DefaultParagraphFont"/>
    <w:link w:val="Heading1"/>
    <w:rsid w:val="00C822F6"/>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rsid w:val="002756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1">
    <w:name w:val="heading 1"/>
    <w:basedOn w:val="Normal"/>
    <w:next w:val="Normal"/>
    <w:link w:val="Heading1Char"/>
    <w:qFormat/>
    <w:rsid w:val="00C822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styleId="HTMLCode">
    <w:name w:val="HTML Code"/>
    <w:basedOn w:val="DefaultParagraphFont"/>
    <w:uiPriority w:val="99"/>
    <w:unhideWhenUsed/>
    <w:rsid w:val="007822CF"/>
    <w:rPr>
      <w:rFonts w:ascii="Courier" w:eastAsia="Times New Roman" w:hAnsi="Courier" w:cs="Courier New" w:hint="default"/>
      <w:color w:val="000000"/>
      <w:sz w:val="20"/>
      <w:szCs w:val="20"/>
    </w:rPr>
  </w:style>
  <w:style w:type="character" w:customStyle="1" w:styleId="Heading2Char">
    <w:name w:val="Heading 2 Char"/>
    <w:basedOn w:val="DefaultParagraphFont"/>
    <w:link w:val="Heading2"/>
    <w:rsid w:val="00352A69"/>
    <w:rPr>
      <w:rFonts w:ascii="Arial" w:hAnsi="Arial"/>
      <w:b/>
      <w:sz w:val="22"/>
    </w:rPr>
  </w:style>
  <w:style w:type="character" w:customStyle="1" w:styleId="Heading1Char">
    <w:name w:val="Heading 1 Char"/>
    <w:basedOn w:val="DefaultParagraphFont"/>
    <w:link w:val="Heading1"/>
    <w:rsid w:val="00C822F6"/>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rsid w:val="002756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3421">
      <w:bodyDiv w:val="1"/>
      <w:marLeft w:val="75"/>
      <w:marRight w:val="75"/>
      <w:marTop w:val="75"/>
      <w:marBottom w:val="75"/>
      <w:divBdr>
        <w:top w:val="none" w:sz="0" w:space="0" w:color="auto"/>
        <w:left w:val="none" w:sz="0" w:space="0" w:color="auto"/>
        <w:bottom w:val="none" w:sz="0" w:space="0" w:color="auto"/>
        <w:right w:val="none" w:sz="0" w:space="0" w:color="auto"/>
      </w:divBdr>
    </w:div>
    <w:div w:id="233662652">
      <w:bodyDiv w:val="1"/>
      <w:marLeft w:val="0"/>
      <w:marRight w:val="0"/>
      <w:marTop w:val="0"/>
      <w:marBottom w:val="0"/>
      <w:divBdr>
        <w:top w:val="none" w:sz="0" w:space="0" w:color="auto"/>
        <w:left w:val="none" w:sz="0" w:space="0" w:color="auto"/>
        <w:bottom w:val="none" w:sz="0" w:space="0" w:color="auto"/>
        <w:right w:val="none" w:sz="0" w:space="0" w:color="auto"/>
      </w:divBdr>
    </w:div>
    <w:div w:id="281041773">
      <w:bodyDiv w:val="1"/>
      <w:marLeft w:val="0"/>
      <w:marRight w:val="0"/>
      <w:marTop w:val="0"/>
      <w:marBottom w:val="0"/>
      <w:divBdr>
        <w:top w:val="none" w:sz="0" w:space="0" w:color="auto"/>
        <w:left w:val="none" w:sz="0" w:space="0" w:color="auto"/>
        <w:bottom w:val="none" w:sz="0" w:space="0" w:color="auto"/>
        <w:right w:val="none" w:sz="0" w:space="0" w:color="auto"/>
      </w:divBdr>
      <w:divsChild>
        <w:div w:id="1427312371">
          <w:marLeft w:val="0"/>
          <w:marRight w:val="0"/>
          <w:marTop w:val="0"/>
          <w:marBottom w:val="0"/>
          <w:divBdr>
            <w:top w:val="none" w:sz="0" w:space="0" w:color="auto"/>
            <w:left w:val="none" w:sz="0" w:space="0" w:color="auto"/>
            <w:bottom w:val="none" w:sz="0" w:space="0" w:color="auto"/>
            <w:right w:val="none" w:sz="0" w:space="0" w:color="auto"/>
          </w:divBdr>
          <w:divsChild>
            <w:div w:id="276377859">
              <w:marLeft w:val="0"/>
              <w:marRight w:val="0"/>
              <w:marTop w:val="0"/>
              <w:marBottom w:val="0"/>
              <w:divBdr>
                <w:top w:val="none" w:sz="0" w:space="0" w:color="auto"/>
                <w:left w:val="none" w:sz="0" w:space="0" w:color="auto"/>
                <w:bottom w:val="none" w:sz="0" w:space="0" w:color="auto"/>
                <w:right w:val="none" w:sz="0" w:space="0" w:color="auto"/>
              </w:divBdr>
              <w:divsChild>
                <w:div w:id="1854152703">
                  <w:marLeft w:val="0"/>
                  <w:marRight w:val="0"/>
                  <w:marTop w:val="0"/>
                  <w:marBottom w:val="0"/>
                  <w:divBdr>
                    <w:top w:val="none" w:sz="0" w:space="0" w:color="auto"/>
                    <w:left w:val="none" w:sz="0" w:space="0" w:color="auto"/>
                    <w:bottom w:val="none" w:sz="0" w:space="0" w:color="auto"/>
                    <w:right w:val="none" w:sz="0" w:space="0" w:color="auto"/>
                  </w:divBdr>
                  <w:divsChild>
                    <w:div w:id="1522862594">
                      <w:marLeft w:val="0"/>
                      <w:marRight w:val="0"/>
                      <w:marTop w:val="0"/>
                      <w:marBottom w:val="0"/>
                      <w:divBdr>
                        <w:top w:val="none" w:sz="0" w:space="0" w:color="auto"/>
                        <w:left w:val="none" w:sz="0" w:space="0" w:color="auto"/>
                        <w:bottom w:val="none" w:sz="0" w:space="0" w:color="auto"/>
                        <w:right w:val="none" w:sz="0" w:space="0" w:color="auto"/>
                      </w:divBdr>
                      <w:divsChild>
                        <w:div w:id="1311522656">
                          <w:marLeft w:val="0"/>
                          <w:marRight w:val="0"/>
                          <w:marTop w:val="0"/>
                          <w:marBottom w:val="0"/>
                          <w:divBdr>
                            <w:top w:val="none" w:sz="0" w:space="0" w:color="auto"/>
                            <w:left w:val="none" w:sz="0" w:space="0" w:color="auto"/>
                            <w:bottom w:val="none" w:sz="0" w:space="0" w:color="auto"/>
                            <w:right w:val="none" w:sz="0" w:space="0" w:color="auto"/>
                          </w:divBdr>
                          <w:divsChild>
                            <w:div w:id="1561206011">
                              <w:marLeft w:val="0"/>
                              <w:marRight w:val="0"/>
                              <w:marTop w:val="0"/>
                              <w:marBottom w:val="0"/>
                              <w:divBdr>
                                <w:top w:val="none" w:sz="0" w:space="0" w:color="auto"/>
                                <w:left w:val="none" w:sz="0" w:space="0" w:color="auto"/>
                                <w:bottom w:val="none" w:sz="0" w:space="0" w:color="auto"/>
                                <w:right w:val="none" w:sz="0" w:space="0" w:color="auto"/>
                              </w:divBdr>
                              <w:divsChild>
                                <w:div w:id="992871393">
                                  <w:marLeft w:val="0"/>
                                  <w:marRight w:val="0"/>
                                  <w:marTop w:val="0"/>
                                  <w:marBottom w:val="0"/>
                                  <w:divBdr>
                                    <w:top w:val="none" w:sz="0" w:space="0" w:color="auto"/>
                                    <w:left w:val="none" w:sz="0" w:space="0" w:color="auto"/>
                                    <w:bottom w:val="none" w:sz="0" w:space="0" w:color="auto"/>
                                    <w:right w:val="none" w:sz="0" w:space="0" w:color="auto"/>
                                  </w:divBdr>
                                  <w:divsChild>
                                    <w:div w:id="1869440926">
                                      <w:marLeft w:val="0"/>
                                      <w:marRight w:val="0"/>
                                      <w:marTop w:val="0"/>
                                      <w:marBottom w:val="0"/>
                                      <w:divBdr>
                                        <w:top w:val="none" w:sz="0" w:space="0" w:color="auto"/>
                                        <w:left w:val="none" w:sz="0" w:space="0" w:color="auto"/>
                                        <w:bottom w:val="none" w:sz="0" w:space="0" w:color="auto"/>
                                        <w:right w:val="none" w:sz="0" w:space="0" w:color="auto"/>
                                      </w:divBdr>
                                      <w:divsChild>
                                        <w:div w:id="1338846210">
                                          <w:marLeft w:val="0"/>
                                          <w:marRight w:val="0"/>
                                          <w:marTop w:val="0"/>
                                          <w:marBottom w:val="0"/>
                                          <w:divBdr>
                                            <w:top w:val="none" w:sz="0" w:space="0" w:color="auto"/>
                                            <w:left w:val="none" w:sz="0" w:space="0" w:color="auto"/>
                                            <w:bottom w:val="none" w:sz="0" w:space="0" w:color="auto"/>
                                            <w:right w:val="none" w:sz="0" w:space="0" w:color="auto"/>
                                          </w:divBdr>
                                          <w:divsChild>
                                            <w:div w:id="11496204">
                                              <w:marLeft w:val="0"/>
                                              <w:marRight w:val="0"/>
                                              <w:marTop w:val="0"/>
                                              <w:marBottom w:val="0"/>
                                              <w:divBdr>
                                                <w:top w:val="none" w:sz="0" w:space="0" w:color="auto"/>
                                                <w:left w:val="none" w:sz="0" w:space="0" w:color="auto"/>
                                                <w:bottom w:val="none" w:sz="0" w:space="0" w:color="auto"/>
                                                <w:right w:val="none" w:sz="0" w:space="0" w:color="auto"/>
                                              </w:divBdr>
                                              <w:divsChild>
                                                <w:div w:id="1968076395">
                                                  <w:marLeft w:val="0"/>
                                                  <w:marRight w:val="0"/>
                                                  <w:marTop w:val="0"/>
                                                  <w:marBottom w:val="0"/>
                                                  <w:divBdr>
                                                    <w:top w:val="none" w:sz="0" w:space="0" w:color="auto"/>
                                                    <w:left w:val="none" w:sz="0" w:space="0" w:color="auto"/>
                                                    <w:bottom w:val="none" w:sz="0" w:space="0" w:color="auto"/>
                                                    <w:right w:val="none" w:sz="0" w:space="0" w:color="auto"/>
                                                  </w:divBdr>
                                                  <w:divsChild>
                                                    <w:div w:id="2146972238">
                                                      <w:marLeft w:val="0"/>
                                                      <w:marRight w:val="0"/>
                                                      <w:marTop w:val="0"/>
                                                      <w:marBottom w:val="0"/>
                                                      <w:divBdr>
                                                        <w:top w:val="none" w:sz="0" w:space="0" w:color="auto"/>
                                                        <w:left w:val="none" w:sz="0" w:space="0" w:color="auto"/>
                                                        <w:bottom w:val="none" w:sz="0" w:space="0" w:color="auto"/>
                                                        <w:right w:val="none" w:sz="0" w:space="0" w:color="auto"/>
                                                      </w:divBdr>
                                                      <w:divsChild>
                                                        <w:div w:id="3925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3024324">
      <w:bodyDiv w:val="1"/>
      <w:marLeft w:val="0"/>
      <w:marRight w:val="0"/>
      <w:marTop w:val="0"/>
      <w:marBottom w:val="0"/>
      <w:divBdr>
        <w:top w:val="none" w:sz="0" w:space="0" w:color="auto"/>
        <w:left w:val="none" w:sz="0" w:space="0" w:color="auto"/>
        <w:bottom w:val="none" w:sz="0" w:space="0" w:color="auto"/>
        <w:right w:val="none" w:sz="0" w:space="0" w:color="auto"/>
      </w:divBdr>
    </w:div>
    <w:div w:id="641467596">
      <w:bodyDiv w:val="1"/>
      <w:marLeft w:val="0"/>
      <w:marRight w:val="0"/>
      <w:marTop w:val="0"/>
      <w:marBottom w:val="0"/>
      <w:divBdr>
        <w:top w:val="none" w:sz="0" w:space="0" w:color="auto"/>
        <w:left w:val="none" w:sz="0" w:space="0" w:color="auto"/>
        <w:bottom w:val="none" w:sz="0" w:space="0" w:color="auto"/>
        <w:right w:val="none" w:sz="0" w:space="0" w:color="auto"/>
      </w:divBdr>
    </w:div>
    <w:div w:id="708064451">
      <w:bodyDiv w:val="1"/>
      <w:marLeft w:val="0"/>
      <w:marRight w:val="0"/>
      <w:marTop w:val="0"/>
      <w:marBottom w:val="0"/>
      <w:divBdr>
        <w:top w:val="none" w:sz="0" w:space="0" w:color="auto"/>
        <w:left w:val="none" w:sz="0" w:space="0" w:color="auto"/>
        <w:bottom w:val="none" w:sz="0" w:space="0" w:color="auto"/>
        <w:right w:val="none" w:sz="0" w:space="0" w:color="auto"/>
      </w:divBdr>
    </w:div>
    <w:div w:id="746851216">
      <w:bodyDiv w:val="1"/>
      <w:marLeft w:val="0"/>
      <w:marRight w:val="0"/>
      <w:marTop w:val="0"/>
      <w:marBottom w:val="0"/>
      <w:divBdr>
        <w:top w:val="none" w:sz="0" w:space="0" w:color="auto"/>
        <w:left w:val="none" w:sz="0" w:space="0" w:color="auto"/>
        <w:bottom w:val="none" w:sz="0" w:space="0" w:color="auto"/>
        <w:right w:val="none" w:sz="0" w:space="0" w:color="auto"/>
      </w:divBdr>
    </w:div>
    <w:div w:id="892888556">
      <w:bodyDiv w:val="1"/>
      <w:marLeft w:val="0"/>
      <w:marRight w:val="0"/>
      <w:marTop w:val="0"/>
      <w:marBottom w:val="0"/>
      <w:divBdr>
        <w:top w:val="none" w:sz="0" w:space="0" w:color="auto"/>
        <w:left w:val="none" w:sz="0" w:space="0" w:color="auto"/>
        <w:bottom w:val="none" w:sz="0" w:space="0" w:color="auto"/>
        <w:right w:val="none" w:sz="0" w:space="0" w:color="auto"/>
      </w:divBdr>
    </w:div>
    <w:div w:id="1057170337">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96583756">
      <w:bodyDiv w:val="1"/>
      <w:marLeft w:val="0"/>
      <w:marRight w:val="0"/>
      <w:marTop w:val="0"/>
      <w:marBottom w:val="0"/>
      <w:divBdr>
        <w:top w:val="none" w:sz="0" w:space="0" w:color="auto"/>
        <w:left w:val="none" w:sz="0" w:space="0" w:color="auto"/>
        <w:bottom w:val="none" w:sz="0" w:space="0" w:color="auto"/>
        <w:right w:val="none" w:sz="0" w:space="0" w:color="auto"/>
      </w:divBdr>
    </w:div>
    <w:div w:id="1408844395">
      <w:bodyDiv w:val="1"/>
      <w:marLeft w:val="0"/>
      <w:marRight w:val="0"/>
      <w:marTop w:val="0"/>
      <w:marBottom w:val="0"/>
      <w:divBdr>
        <w:top w:val="none" w:sz="0" w:space="0" w:color="auto"/>
        <w:left w:val="none" w:sz="0" w:space="0" w:color="auto"/>
        <w:bottom w:val="none" w:sz="0" w:space="0" w:color="auto"/>
        <w:right w:val="none" w:sz="0" w:space="0" w:color="auto"/>
      </w:divBdr>
    </w:div>
    <w:div w:id="1434935377">
      <w:bodyDiv w:val="1"/>
      <w:marLeft w:val="0"/>
      <w:marRight w:val="0"/>
      <w:marTop w:val="0"/>
      <w:marBottom w:val="0"/>
      <w:divBdr>
        <w:top w:val="none" w:sz="0" w:space="0" w:color="auto"/>
        <w:left w:val="none" w:sz="0" w:space="0" w:color="auto"/>
        <w:bottom w:val="none" w:sz="0" w:space="0" w:color="auto"/>
        <w:right w:val="none" w:sz="0" w:space="0" w:color="auto"/>
      </w:divBdr>
    </w:div>
    <w:div w:id="1504277931">
      <w:bodyDiv w:val="1"/>
      <w:marLeft w:val="75"/>
      <w:marRight w:val="75"/>
      <w:marTop w:val="75"/>
      <w:marBottom w:val="75"/>
      <w:divBdr>
        <w:top w:val="none" w:sz="0" w:space="0" w:color="auto"/>
        <w:left w:val="none" w:sz="0" w:space="0" w:color="auto"/>
        <w:bottom w:val="none" w:sz="0" w:space="0" w:color="auto"/>
        <w:right w:val="none" w:sz="0" w:space="0" w:color="auto"/>
      </w:divBdr>
    </w:div>
    <w:div w:id="1552419717">
      <w:bodyDiv w:val="1"/>
      <w:marLeft w:val="0"/>
      <w:marRight w:val="0"/>
      <w:marTop w:val="0"/>
      <w:marBottom w:val="0"/>
      <w:divBdr>
        <w:top w:val="none" w:sz="0" w:space="0" w:color="auto"/>
        <w:left w:val="none" w:sz="0" w:space="0" w:color="auto"/>
        <w:bottom w:val="none" w:sz="0" w:space="0" w:color="auto"/>
        <w:right w:val="none" w:sz="0" w:space="0" w:color="auto"/>
      </w:divBdr>
    </w:div>
    <w:div w:id="1654139100">
      <w:bodyDiv w:val="1"/>
      <w:marLeft w:val="0"/>
      <w:marRight w:val="0"/>
      <w:marTop w:val="0"/>
      <w:marBottom w:val="0"/>
      <w:divBdr>
        <w:top w:val="none" w:sz="0" w:space="0" w:color="auto"/>
        <w:left w:val="none" w:sz="0" w:space="0" w:color="auto"/>
        <w:bottom w:val="none" w:sz="0" w:space="0" w:color="auto"/>
        <w:right w:val="none" w:sz="0" w:space="0" w:color="auto"/>
      </w:divBdr>
    </w:div>
    <w:div w:id="2101681970">
      <w:bodyDiv w:val="1"/>
      <w:marLeft w:val="75"/>
      <w:marRight w:val="75"/>
      <w:marTop w:val="75"/>
      <w:marBottom w:val="75"/>
      <w:divBdr>
        <w:top w:val="none" w:sz="0" w:space="0" w:color="auto"/>
        <w:left w:val="none" w:sz="0" w:space="0" w:color="auto"/>
        <w:bottom w:val="none" w:sz="0" w:space="0" w:color="auto"/>
        <w:right w:val="none" w:sz="0" w:space="0" w:color="auto"/>
      </w:divBdr>
      <w:divsChild>
        <w:div w:id="2114087980">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lbma.org.uk" TargetMode="Externa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2.xml><?xml version="1.0" encoding="utf-8"?>
<?mso-contentType ?>
<customXsn xmlns="http://schemas.microsoft.com/office/2006/metadata/customXsn">
  <xsnLocation/>
  <cached>True</cached>
  <openByDefault>False</openByDefault>
  <xsnScope>http://sharepoint</xsnScope>
</customXsn>
</file>

<file path=customXml/item3.xml><?xml version="1.0" encoding="utf-8"?>
<ct:contentTypeSchema xmlns:ct="http://schemas.microsoft.com/office/2006/metadata/contentType" xmlns:ma="http://schemas.microsoft.com/office/2006/metadata/properties/metaAttributes" ct:_="" ma:_="" ma:contentTypeName="Word" ma:contentTypeID="0x010100A64679C44DADA04984EEB770C4791873006B50A42D46FE94428A184B3B20B7217F" ma:contentTypeVersion="35" ma:contentTypeDescription="" ma:contentTypeScope="" ma:versionID="e773647e27c0f1d9ab2830c763788f1d">
  <xsd:schema xmlns:xsd="http://www.w3.org/2001/XMLSchema" xmlns:xs="http://www.w3.org/2001/XMLSchema" xmlns:p="http://schemas.microsoft.com/office/2006/metadata/properties" xmlns:ns1="http://schemas.microsoft.com/sharepoint/v3" xmlns:ns2="5e039acd-daf0-4ba3-b421-e9b9ae1a3620" xmlns:ns3="c65f9449-2a65-4a94-823f-6ddb40b10aaa" targetNamespace="http://schemas.microsoft.com/office/2006/metadata/properties" ma:root="true" ma:fieldsID="1597e6db0912cf2de84e230bc53b01cd" ns1:_="" ns2:_="" ns3:_="">
    <xsd:import namespace="http://schemas.microsoft.com/sharepoint/v3"/>
    <xsd:import namespace="5e039acd-daf0-4ba3-b421-e9b9ae1a3620"/>
    <xsd:import namespace="c65f9449-2a65-4a94-823f-6ddb40b10aaa"/>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Branch" minOccurs="0"/>
                <xsd:element ref="ns3:Category"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fieldId="{23f27201-bee3-471e-b2e7-b64fd8b7ca38}" ma:taxonomyMulti="true" ma:sspId="552124a6-5639-4054-9398-f49b47b0070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5f9449-2a65-4a94-823f-6ddb40b10aaa" elementFormDefault="qualified">
    <xsd:import namespace="http://schemas.microsoft.com/office/2006/documentManagement/types"/>
    <xsd:import namespace="http://schemas.microsoft.com/office/infopath/2007/PartnerControls"/>
    <xsd:element name="Branch" ma:index="18" nillable="true" ma:displayName="Branch" ma:format="Dropdown" ma:internalName="Branch">
      <xsd:simpleType>
        <xsd:restriction base="dms:Choice">
          <xsd:enumeration value="Revenue Analysis Branch"/>
          <xsd:enumeration value="Law Design &amp; Governance"/>
          <xsd:enumeration value="ATO Design &amp; Innovation"/>
          <xsd:enumeration value="ATO Policy Integration"/>
          <xsd:enumeration value="ITD Business Management"/>
        </xsd:restriction>
      </xsd:simpleType>
    </xsd:element>
    <xsd:element name="Category" ma:index="19" nillable="true" ma:displayName="Category" ma:internalName="Category" ma:requiredMultiChoice="true">
      <xsd:complexType>
        <xsd:complexContent>
          <xsd:extension base="dms:MultiChoice">
            <xsd:sequence>
              <xsd:element name="Value" maxOccurs="unbounded" minOccurs="0" nillable="true">
                <xsd:simpleType>
                  <xsd:restriction base="dms:Choice">
                    <xsd:enumeration value="ITD Talks"/>
                    <xsd:enumeration value="ITD Forum"/>
                    <xsd:enumeration value="Policy Advice"/>
                    <xsd:enumeration value="Data analysis"/>
                    <xsd:enumeration value="Tax Reviews"/>
                    <xsd:enumeration value="Early engagement"/>
                    <xsd:enumeration value="Government relations"/>
                    <xsd:enumeration value="Costings"/>
                    <xsd:enumeration value="ITD Matters"/>
                    <xsd:enumeration value="How to guides"/>
                    <xsd:enumeration value="Governance"/>
                    <xsd:enumeration value="Stakeholder engagement"/>
                    <xsd:enumeration value="Risk management"/>
                    <xsd:enumeration value="Technical advice"/>
                    <xsd:enumeration value="Secondments"/>
                    <xsd:enumeration value="Rotations"/>
                    <xsd:enumeration value="Graduates"/>
                    <xsd:enumeration value="L&amp;D"/>
                    <xsd:enumeration value="Project management"/>
                    <xsd:enumeration value="Technology"/>
                    <xsd:enumeration value="Capability plan"/>
                    <xsd:enumeration value="Innovation"/>
                    <xsd:enumeration value="Support"/>
                    <xsd:enumeration value="Self Service Framework"/>
                    <xsd:enumeration value="Design groups"/>
                    <xsd:enumeration value="Branch Pla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Category xmlns="c65f9449-2a65-4a94-823f-6ddb40b10aaa">
      <Value>Governance</Value>
    </Category>
    <TaxKeywordTaxHTField xmlns="5e039acd-daf0-4ba3-b421-e9b9ae1a3620">
      <Terms xmlns="http://schemas.microsoft.com/office/infopath/2007/PartnerControls"/>
    </TaxKeywordTaxHTField>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Branch xmlns="c65f9449-2a65-4a94-823f-6ddb40b10aaa">Law Design &amp; Governance</Branch>
    <TaxCatchAll xmlns="5e039acd-daf0-4ba3-b421-e9b9ae1a3620">
      <Value>1</Value>
    </TaxCatchAll>
    <_dlc_ExpireDateSaved xmlns="http://schemas.microsoft.com/sharepoint/v3" xsi:nil="true"/>
    <_dlc_ExpireDate xmlns="http://schemas.microsoft.com/sharepoint/v3">2025-09-30T01:55:37+00:00</_dlc_ExpireDate>
    <_dlc_DocId xmlns="5e039acd-daf0-4ba3-b421-e9b9ae1a3620">5YHNKJZSV77T-1853-1466</_dlc_DocId>
    <_dlc_DocIdUrl xmlns="5e039acd-daf0-4ba3-b421-e9b9ae1a3620">
      <Url>http://sharepoint/GASites/IntegratedTaxDesign/_layouts/DocIdRedir.aspx?ID=5YHNKJZSV77T-1853-1466</Url>
      <Description>5YHNKJZSV77T-1853-1466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F1B00-FC19-4B1C-9D8B-7145DEC969EB}">
  <ds:schemaRefs>
    <ds:schemaRef ds:uri="http://schemas.microsoft.com/sharepoint/events"/>
  </ds:schemaRefs>
</ds:datastoreItem>
</file>

<file path=customXml/itemProps2.xml><?xml version="1.0" encoding="utf-8"?>
<ds:datastoreItem xmlns:ds="http://schemas.openxmlformats.org/officeDocument/2006/customXml" ds:itemID="{D3BF56F5-71FC-48FA-B98E-E9A58F8032CA}">
  <ds:schemaRefs>
    <ds:schemaRef ds:uri="http://schemas.microsoft.com/office/2006/metadata/customXsn"/>
  </ds:schemaRefs>
</ds:datastoreItem>
</file>

<file path=customXml/itemProps3.xml><?xml version="1.0" encoding="utf-8"?>
<ds:datastoreItem xmlns:ds="http://schemas.openxmlformats.org/officeDocument/2006/customXml" ds:itemID="{95D88B28-DE47-49D5-A4AD-DA3E31832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c65f9449-2a65-4a94-823f-6ddb40b10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5.xml><?xml version="1.0" encoding="utf-8"?>
<ds:datastoreItem xmlns:ds="http://schemas.openxmlformats.org/officeDocument/2006/customXml" ds:itemID="{9092B523-521B-4F01-8DAB-0EC284B7888D}">
  <ds:schemaRefs>
    <ds:schemaRef ds:uri="office.server.policy"/>
  </ds:schemaRefs>
</ds:datastoreItem>
</file>

<file path=customXml/itemProps6.xml><?xml version="1.0" encoding="utf-8"?>
<ds:datastoreItem xmlns:ds="http://schemas.openxmlformats.org/officeDocument/2006/customXml" ds:itemID="{2CD597C1-B965-4E1A-A465-326C0C3A3173}">
  <ds:schemaRefs>
    <ds:schemaRef ds:uri="http://schemas.microsoft.com/office/2006/metadata/properties"/>
    <ds:schemaRef ds:uri="http://schemas.microsoft.com/office/infopath/2007/PartnerControls"/>
    <ds:schemaRef ds:uri="c65f9449-2a65-4a94-823f-6ddb40b10aaa"/>
    <ds:schemaRef ds:uri="5e039acd-daf0-4ba3-b421-e9b9ae1a3620"/>
    <ds:schemaRef ds:uri="http://schemas.microsoft.com/sharepoint/v3"/>
  </ds:schemaRefs>
</ds:datastoreItem>
</file>

<file path=customXml/itemProps7.xml><?xml version="1.0" encoding="utf-8"?>
<ds:datastoreItem xmlns:ds="http://schemas.openxmlformats.org/officeDocument/2006/customXml" ds:itemID="{640D6262-D360-4CB5-AB11-CC5E930BC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[INSERT HERE THE TITLE OF THE INSTRUMENT] Legislative Instrument 200X</vt:lpstr>
    </vt:vector>
  </TitlesOfParts>
  <Company>Australian Taxation Office</Company>
  <LinksUpToDate>false</LinksUpToDate>
  <CharactersWithSpaces>10461</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TITLE OF THE INSTRUMENT] Legislative Instrument 200X</dc:title>
  <dc:creator>ubafu</dc:creator>
  <cp:lastModifiedBy>Bounds, Alexander</cp:lastModifiedBy>
  <cp:revision>2</cp:revision>
  <cp:lastPrinted>2017-06-16T01:08:00Z</cp:lastPrinted>
  <dcterms:created xsi:type="dcterms:W3CDTF">2018-02-06T02:31:00Z</dcterms:created>
  <dcterms:modified xsi:type="dcterms:W3CDTF">2018-02-06T02:31:00Z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0x010100A64679C44DADA04984EEB770C4791873006B50A42D46FE94428A184B3B20B7217F</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b7595fec-83a9-468b-b75f-c1145ef2e88e</vt:lpwstr>
  </property>
  <property fmtid="{D5CDD505-2E9C-101B-9397-08002B2CF9AE}" pid="6" name="TaxKeyword">
    <vt:lpwstr/>
  </property>
  <property fmtid="{D5CDD505-2E9C-101B-9397-08002B2CF9AE}" pid="7" name="Security Classification">
    <vt:lpwstr>1;#UNCLASSIFIED|1bbb598d-ed8e-4faa-b9b5-c952cc7313f8</vt:lpwstr>
  </property>
</Properties>
</file>