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EC170" w14:textId="2FCA24E8" w:rsidR="00074425" w:rsidRPr="004579C9" w:rsidRDefault="00074425" w:rsidP="00074425">
      <w:pPr>
        <w:jc w:val="center"/>
        <w:rPr>
          <w:rFonts w:ascii="Times New Roman" w:hAnsi="Times New Roman"/>
          <w:b/>
          <w:sz w:val="24"/>
          <w:szCs w:val="24"/>
          <w:u w:val="single"/>
        </w:rPr>
      </w:pPr>
      <w:bookmarkStart w:id="0" w:name="_GoBack"/>
      <w:bookmarkEnd w:id="0"/>
      <w:r w:rsidRPr="004579C9">
        <w:rPr>
          <w:rFonts w:ascii="Times New Roman" w:hAnsi="Times New Roman"/>
          <w:b/>
          <w:sz w:val="24"/>
          <w:szCs w:val="24"/>
          <w:u w:val="single"/>
        </w:rPr>
        <w:t xml:space="preserve">EXPLANATORY </w:t>
      </w:r>
      <w:r w:rsidR="00A11039" w:rsidRPr="004579C9">
        <w:rPr>
          <w:rFonts w:ascii="Times New Roman" w:hAnsi="Times New Roman"/>
          <w:b/>
          <w:sz w:val="24"/>
          <w:szCs w:val="24"/>
          <w:u w:val="single"/>
        </w:rPr>
        <w:t>STATEMENT</w:t>
      </w:r>
    </w:p>
    <w:p w14:paraId="2A2FA980" w14:textId="77777777" w:rsidR="00074425" w:rsidRPr="004579C9" w:rsidRDefault="00074425" w:rsidP="00074425">
      <w:pPr>
        <w:rPr>
          <w:rFonts w:ascii="Times New Roman" w:hAnsi="Times New Roman"/>
          <w:sz w:val="24"/>
          <w:szCs w:val="24"/>
          <w:u w:val="single"/>
        </w:rPr>
      </w:pPr>
    </w:p>
    <w:p w14:paraId="1993FD05" w14:textId="2A508D40" w:rsidR="00074425" w:rsidRPr="004579C9" w:rsidRDefault="00A11039" w:rsidP="00A11039">
      <w:pPr>
        <w:jc w:val="center"/>
        <w:rPr>
          <w:rFonts w:ascii="Times New Roman" w:hAnsi="Times New Roman"/>
          <w:sz w:val="24"/>
          <w:szCs w:val="24"/>
          <w:u w:val="single"/>
        </w:rPr>
      </w:pPr>
      <w:r w:rsidRPr="004579C9">
        <w:rPr>
          <w:rFonts w:ascii="Times New Roman" w:hAnsi="Times New Roman"/>
          <w:sz w:val="24"/>
          <w:szCs w:val="24"/>
          <w:u w:val="single"/>
        </w:rPr>
        <w:t xml:space="preserve">Select Legislative Instrument No. </w:t>
      </w:r>
      <w:r w:rsidR="00074425" w:rsidRPr="004579C9">
        <w:rPr>
          <w:rFonts w:ascii="Times New Roman" w:hAnsi="Times New Roman"/>
          <w:sz w:val="24"/>
          <w:szCs w:val="24"/>
          <w:u w:val="single"/>
        </w:rPr>
        <w:t xml:space="preserve">        of 201</w:t>
      </w:r>
      <w:r w:rsidR="004579C9" w:rsidRPr="004579C9">
        <w:rPr>
          <w:rFonts w:ascii="Times New Roman" w:hAnsi="Times New Roman"/>
          <w:sz w:val="24"/>
          <w:szCs w:val="24"/>
          <w:u w:val="single"/>
        </w:rPr>
        <w:t>8</w:t>
      </w:r>
    </w:p>
    <w:p w14:paraId="73777E62" w14:textId="77777777" w:rsidR="00A11039" w:rsidRPr="004579C9" w:rsidRDefault="00A11039" w:rsidP="00A11039">
      <w:pPr>
        <w:jc w:val="center"/>
        <w:rPr>
          <w:rFonts w:ascii="Times New Roman" w:hAnsi="Times New Roman"/>
          <w:sz w:val="24"/>
          <w:szCs w:val="24"/>
          <w:u w:val="single"/>
        </w:rPr>
      </w:pPr>
    </w:p>
    <w:p w14:paraId="4A386D90" w14:textId="71CFFFCE" w:rsidR="00A11039" w:rsidRPr="004579C9" w:rsidRDefault="00A11039" w:rsidP="00A11039">
      <w:pPr>
        <w:jc w:val="center"/>
        <w:rPr>
          <w:rFonts w:ascii="Times New Roman" w:hAnsi="Times New Roman"/>
          <w:sz w:val="24"/>
          <w:szCs w:val="24"/>
        </w:rPr>
      </w:pPr>
      <w:r w:rsidRPr="004579C9">
        <w:rPr>
          <w:rFonts w:ascii="Times New Roman" w:hAnsi="Times New Roman"/>
          <w:sz w:val="24"/>
          <w:szCs w:val="24"/>
        </w:rPr>
        <w:t>Issued by authority of the Minister for the Environment and Energy</w:t>
      </w:r>
    </w:p>
    <w:p w14:paraId="0DFE650E" w14:textId="77777777" w:rsidR="00A11039" w:rsidRPr="004579C9" w:rsidRDefault="00A11039" w:rsidP="00A11039">
      <w:pPr>
        <w:jc w:val="center"/>
        <w:rPr>
          <w:rFonts w:ascii="Times New Roman" w:hAnsi="Times New Roman"/>
          <w:sz w:val="24"/>
          <w:szCs w:val="24"/>
        </w:rPr>
      </w:pPr>
    </w:p>
    <w:p w14:paraId="27E9B0BC" w14:textId="7C061953" w:rsidR="00B55335" w:rsidRPr="004579C9" w:rsidRDefault="00224156" w:rsidP="00B55335">
      <w:pPr>
        <w:ind w:left="993" w:hanging="993"/>
        <w:rPr>
          <w:rFonts w:ascii="Times New Roman" w:hAnsi="Times New Roman"/>
          <w:i/>
          <w:sz w:val="24"/>
          <w:szCs w:val="24"/>
        </w:rPr>
      </w:pPr>
      <w:r w:rsidRPr="004579C9">
        <w:rPr>
          <w:rFonts w:ascii="Times New Roman" w:hAnsi="Times New Roman"/>
          <w:sz w:val="24"/>
          <w:szCs w:val="24"/>
        </w:rPr>
        <w:t xml:space="preserve">Subject – </w:t>
      </w:r>
      <w:r w:rsidR="001A7720" w:rsidRPr="004579C9">
        <w:rPr>
          <w:rFonts w:ascii="Times New Roman" w:hAnsi="Times New Roman"/>
          <w:sz w:val="24"/>
          <w:szCs w:val="24"/>
        </w:rPr>
        <w:tab/>
      </w:r>
      <w:r w:rsidR="001A7720" w:rsidRPr="004579C9">
        <w:rPr>
          <w:rFonts w:ascii="Times New Roman" w:hAnsi="Times New Roman"/>
          <w:sz w:val="24"/>
          <w:szCs w:val="24"/>
        </w:rPr>
        <w:tab/>
      </w:r>
      <w:r w:rsidR="00B55335" w:rsidRPr="004579C9">
        <w:rPr>
          <w:rFonts w:ascii="Times New Roman" w:hAnsi="Times New Roman"/>
          <w:i/>
          <w:sz w:val="24"/>
          <w:szCs w:val="24"/>
        </w:rPr>
        <w:t>Ozone Protection and Synthetic Greenhouse Gas Management Act 1989</w:t>
      </w:r>
    </w:p>
    <w:p w14:paraId="0BF8F6EF" w14:textId="77777777" w:rsidR="00B55335" w:rsidRPr="004579C9" w:rsidRDefault="00B55335" w:rsidP="00B55335">
      <w:pPr>
        <w:rPr>
          <w:rFonts w:ascii="Times New Roman" w:hAnsi="Times New Roman"/>
          <w:i/>
          <w:sz w:val="24"/>
          <w:szCs w:val="24"/>
        </w:rPr>
      </w:pPr>
      <w:r w:rsidRPr="004579C9">
        <w:rPr>
          <w:rFonts w:ascii="Times New Roman" w:hAnsi="Times New Roman"/>
          <w:i/>
          <w:sz w:val="24"/>
          <w:szCs w:val="24"/>
        </w:rPr>
        <w:tab/>
      </w:r>
    </w:p>
    <w:p w14:paraId="6925DEED" w14:textId="29E5889E" w:rsidR="00B55335" w:rsidRPr="004579C9" w:rsidRDefault="00B55335" w:rsidP="0088295C">
      <w:pPr>
        <w:ind w:left="1440"/>
        <w:rPr>
          <w:rFonts w:ascii="Times New Roman" w:hAnsi="Times New Roman"/>
          <w:i/>
          <w:sz w:val="24"/>
          <w:szCs w:val="24"/>
        </w:rPr>
      </w:pPr>
      <w:r w:rsidRPr="004579C9">
        <w:rPr>
          <w:rFonts w:ascii="Times New Roman" w:hAnsi="Times New Roman"/>
          <w:i/>
          <w:sz w:val="24"/>
          <w:szCs w:val="24"/>
        </w:rPr>
        <w:t xml:space="preserve">Ozone Protection and Synthetic Greenhouse Gas Management </w:t>
      </w:r>
      <w:r w:rsidR="00B02F22" w:rsidRPr="004579C9">
        <w:rPr>
          <w:rFonts w:ascii="Times New Roman" w:hAnsi="Times New Roman"/>
          <w:i/>
          <w:sz w:val="24"/>
          <w:szCs w:val="24"/>
        </w:rPr>
        <w:t>Amendment (</w:t>
      </w:r>
      <w:r w:rsidR="004579C9" w:rsidRPr="004579C9">
        <w:rPr>
          <w:rFonts w:ascii="Times New Roman" w:hAnsi="Times New Roman"/>
          <w:i/>
          <w:sz w:val="24"/>
          <w:szCs w:val="24"/>
        </w:rPr>
        <w:t>Application Fees) Regulations 2018</w:t>
      </w:r>
    </w:p>
    <w:p w14:paraId="3719DDF7" w14:textId="77777777" w:rsidR="005B44A3" w:rsidRPr="003B0E4D" w:rsidRDefault="005B44A3" w:rsidP="005B44A3">
      <w:pPr>
        <w:tabs>
          <w:tab w:val="left" w:pos="993"/>
        </w:tabs>
        <w:rPr>
          <w:rFonts w:ascii="Times New Roman" w:hAnsi="Times New Roman"/>
          <w:color w:val="FF0000"/>
          <w:sz w:val="24"/>
          <w:szCs w:val="24"/>
        </w:rPr>
      </w:pPr>
    </w:p>
    <w:p w14:paraId="5599054C" w14:textId="77777777" w:rsidR="004C7D27" w:rsidRPr="00A63B3F" w:rsidRDefault="004C7D27" w:rsidP="004C7D27">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The </w:t>
      </w:r>
      <w:r w:rsidRPr="00181C3C">
        <w:rPr>
          <w:rFonts w:ascii="Times New Roman" w:hAnsi="Times New Roman"/>
          <w:i/>
          <w:sz w:val="24"/>
          <w:szCs w:val="24"/>
        </w:rPr>
        <w:t>Ozone Protection and Synthetic Greenhouse Gas Management Act 1989</w:t>
      </w:r>
      <w:r>
        <w:rPr>
          <w:rFonts w:ascii="Times New Roman" w:eastAsia="Times New Roman" w:hAnsi="Times New Roman"/>
          <w:sz w:val="24"/>
          <w:szCs w:val="24"/>
        </w:rPr>
        <w:t xml:space="preserve"> (OPSGGM Act)</w:t>
      </w:r>
      <w:r w:rsidRPr="00782472">
        <w:rPr>
          <w:rFonts w:ascii="Times New Roman" w:eastAsia="Times New Roman" w:hAnsi="Times New Roman"/>
          <w:sz w:val="24"/>
          <w:szCs w:val="24"/>
        </w:rPr>
        <w:t xml:space="preserve"> </w:t>
      </w:r>
      <w:r w:rsidRPr="00AF3819">
        <w:rPr>
          <w:rFonts w:ascii="Times New Roman" w:eastAsia="Times New Roman" w:hAnsi="Times New Roman"/>
          <w:sz w:val="24"/>
          <w:szCs w:val="24"/>
        </w:rPr>
        <w:t>implements Australia’s international obligations under</w:t>
      </w:r>
      <w:r>
        <w:rPr>
          <w:rFonts w:ascii="Times New Roman" w:eastAsia="Times New Roman" w:hAnsi="Times New Roman"/>
          <w:sz w:val="24"/>
          <w:szCs w:val="24"/>
        </w:rPr>
        <w:t>:</w:t>
      </w:r>
      <w:r w:rsidRPr="00AF3819">
        <w:rPr>
          <w:rFonts w:ascii="Times New Roman" w:eastAsia="Times New Roman" w:hAnsi="Times New Roman"/>
          <w:sz w:val="24"/>
          <w:szCs w:val="24"/>
        </w:rPr>
        <w:t xml:space="preserve"> the Vienna Convention</w:t>
      </w:r>
      <w:r>
        <w:rPr>
          <w:rFonts w:ascii="Times New Roman" w:eastAsia="Times New Roman" w:hAnsi="Times New Roman"/>
          <w:sz w:val="24"/>
          <w:szCs w:val="24"/>
        </w:rPr>
        <w:t xml:space="preserve"> for the Protection of the Ozone Layer and the associated </w:t>
      </w:r>
      <w:r w:rsidRPr="00AF3819">
        <w:rPr>
          <w:rFonts w:ascii="Times New Roman" w:eastAsia="Times New Roman" w:hAnsi="Times New Roman"/>
          <w:sz w:val="24"/>
          <w:szCs w:val="24"/>
        </w:rPr>
        <w:t>Montreal Protocol</w:t>
      </w:r>
      <w:r>
        <w:rPr>
          <w:rFonts w:ascii="Times New Roman" w:eastAsia="Times New Roman" w:hAnsi="Times New Roman"/>
          <w:sz w:val="24"/>
          <w:szCs w:val="24"/>
        </w:rPr>
        <w:t xml:space="preserve"> on Substances that Deplete the Ozone Layer; and t</w:t>
      </w:r>
      <w:r w:rsidRPr="00AF3819">
        <w:rPr>
          <w:rFonts w:ascii="Times New Roman" w:eastAsia="Times New Roman" w:hAnsi="Times New Roman"/>
          <w:sz w:val="24"/>
          <w:szCs w:val="24"/>
        </w:rPr>
        <w:t>he U</w:t>
      </w:r>
      <w:r>
        <w:rPr>
          <w:rFonts w:ascii="Times New Roman" w:eastAsia="Times New Roman" w:hAnsi="Times New Roman"/>
          <w:sz w:val="24"/>
          <w:szCs w:val="24"/>
        </w:rPr>
        <w:t xml:space="preserve">nited </w:t>
      </w:r>
      <w:r w:rsidRPr="00AF3819">
        <w:rPr>
          <w:rFonts w:ascii="Times New Roman" w:eastAsia="Times New Roman" w:hAnsi="Times New Roman"/>
          <w:sz w:val="24"/>
          <w:szCs w:val="24"/>
        </w:rPr>
        <w:t>N</w:t>
      </w:r>
      <w:r>
        <w:rPr>
          <w:rFonts w:ascii="Times New Roman" w:eastAsia="Times New Roman" w:hAnsi="Times New Roman"/>
          <w:sz w:val="24"/>
          <w:szCs w:val="24"/>
        </w:rPr>
        <w:t xml:space="preserve">ations </w:t>
      </w:r>
      <w:r w:rsidRPr="00AF3819">
        <w:rPr>
          <w:rFonts w:ascii="Times New Roman" w:eastAsia="Times New Roman" w:hAnsi="Times New Roman"/>
          <w:sz w:val="24"/>
          <w:szCs w:val="24"/>
        </w:rPr>
        <w:t>F</w:t>
      </w:r>
      <w:r>
        <w:rPr>
          <w:rFonts w:ascii="Times New Roman" w:eastAsia="Times New Roman" w:hAnsi="Times New Roman"/>
          <w:sz w:val="24"/>
          <w:szCs w:val="24"/>
        </w:rPr>
        <w:t xml:space="preserve">ramework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onvention on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limate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hange </w:t>
      </w:r>
      <w:r w:rsidRPr="00AF3819">
        <w:rPr>
          <w:rFonts w:ascii="Times New Roman" w:eastAsia="Times New Roman" w:hAnsi="Times New Roman"/>
          <w:sz w:val="24"/>
          <w:szCs w:val="24"/>
        </w:rPr>
        <w:t>and</w:t>
      </w:r>
      <w:r>
        <w:rPr>
          <w:rFonts w:ascii="Times New Roman" w:eastAsia="Times New Roman" w:hAnsi="Times New Roman"/>
          <w:sz w:val="24"/>
          <w:szCs w:val="24"/>
        </w:rPr>
        <w:t xml:space="preserve"> the associated </w:t>
      </w:r>
      <w:r w:rsidRPr="00AF3819">
        <w:rPr>
          <w:rFonts w:ascii="Times New Roman" w:eastAsia="Times New Roman" w:hAnsi="Times New Roman"/>
          <w:sz w:val="24"/>
          <w:szCs w:val="24"/>
        </w:rPr>
        <w:t>Kyoto Protocol</w:t>
      </w:r>
      <w:r w:rsidRPr="00181C3C">
        <w:rPr>
          <w:rFonts w:ascii="Times New Roman" w:eastAsia="Times New Roman" w:hAnsi="Times New Roman"/>
          <w:sz w:val="24"/>
          <w:szCs w:val="24"/>
        </w:rPr>
        <w:t xml:space="preserve">. </w:t>
      </w:r>
    </w:p>
    <w:p w14:paraId="6A6D1BEF" w14:textId="77777777" w:rsidR="004C7D27" w:rsidRPr="00181C3C" w:rsidRDefault="004C7D27" w:rsidP="004C7D27">
      <w:pPr>
        <w:shd w:val="clear" w:color="auto" w:fill="FFFFFF"/>
        <w:spacing w:line="260" w:lineRule="atLeast"/>
        <w:rPr>
          <w:rFonts w:ascii="Times New Roman" w:eastAsia="Times New Roman" w:hAnsi="Times New Roman"/>
        </w:rPr>
      </w:pPr>
    </w:p>
    <w:p w14:paraId="76D58C2B" w14:textId="77777777" w:rsidR="004C7D27" w:rsidRDefault="004C7D27" w:rsidP="004C7D27">
      <w:pPr>
        <w:tabs>
          <w:tab w:val="left" w:pos="4536"/>
        </w:tabs>
        <w:rPr>
          <w:rFonts w:ascii="Times New Roman" w:hAnsi="Times New Roman"/>
          <w:sz w:val="24"/>
          <w:szCs w:val="24"/>
        </w:rPr>
      </w:pPr>
      <w:r w:rsidRPr="00181C3C">
        <w:rPr>
          <w:rFonts w:ascii="Times New Roman" w:hAnsi="Times New Roman"/>
          <w:sz w:val="24"/>
          <w:szCs w:val="24"/>
        </w:rPr>
        <w:t>Section 70 of the OPSGGM Act provides for the Governor-General to make regulations required or permitted by the OPSGGM Act or necessary or convenient for giving effect to that Act.</w:t>
      </w:r>
    </w:p>
    <w:p w14:paraId="796F407C" w14:textId="77777777" w:rsidR="004C7D27" w:rsidRDefault="004C7D27" w:rsidP="004C7D27">
      <w:pPr>
        <w:tabs>
          <w:tab w:val="left" w:pos="4536"/>
        </w:tabs>
        <w:rPr>
          <w:rFonts w:ascii="Times New Roman" w:hAnsi="Times New Roman"/>
          <w:sz w:val="24"/>
          <w:szCs w:val="24"/>
        </w:rPr>
      </w:pPr>
    </w:p>
    <w:p w14:paraId="3C09C06B" w14:textId="77777777" w:rsidR="004C7D27" w:rsidRPr="00DF3AF6" w:rsidRDefault="004C7D27" w:rsidP="004C7D27">
      <w:pPr>
        <w:jc w:val="both"/>
        <w:rPr>
          <w:rFonts w:ascii="Times New Roman" w:eastAsia="Times New Roman" w:hAnsi="Times New Roman"/>
          <w:sz w:val="24"/>
          <w:szCs w:val="24"/>
        </w:rPr>
      </w:pPr>
      <w:r w:rsidRPr="00DF3AF6">
        <w:rPr>
          <w:rFonts w:ascii="Times New Roman" w:eastAsia="Times New Roman" w:hAnsi="Times New Roman"/>
          <w:sz w:val="24"/>
          <w:szCs w:val="24"/>
        </w:rPr>
        <w:t>Subsection 45A(1) of the OPSGGM Act provides, in part, that regulations may be made that:</w:t>
      </w:r>
    </w:p>
    <w:p w14:paraId="5D27ADF3" w14:textId="77777777" w:rsidR="004C7D27" w:rsidRPr="00DF3AF6" w:rsidRDefault="004C7D27" w:rsidP="004C7D27">
      <w:pPr>
        <w:numPr>
          <w:ilvl w:val="0"/>
          <w:numId w:val="13"/>
        </w:numPr>
        <w:rPr>
          <w:rFonts w:ascii="Helvetica Neue" w:eastAsia="Times New Roman" w:hAnsi="Helvetica Neue"/>
          <w:sz w:val="19"/>
          <w:szCs w:val="19"/>
        </w:rPr>
      </w:pPr>
      <w:r w:rsidRPr="00DF3AF6">
        <w:rPr>
          <w:rFonts w:ascii="Times New Roman" w:eastAsia="Times New Roman" w:hAnsi="Times New Roman"/>
          <w:sz w:val="24"/>
          <w:szCs w:val="24"/>
        </w:rPr>
        <w:t xml:space="preserve">regulate the sale, purchase, acquisition and disposal of scheduled substances; </w:t>
      </w:r>
    </w:p>
    <w:p w14:paraId="56491E64" w14:textId="77777777" w:rsidR="004C7D27" w:rsidRPr="00DF3AF6" w:rsidRDefault="004C7D27" w:rsidP="004C7D27">
      <w:pPr>
        <w:numPr>
          <w:ilvl w:val="0"/>
          <w:numId w:val="13"/>
        </w:numPr>
        <w:spacing w:before="100" w:beforeAutospacing="1"/>
        <w:rPr>
          <w:rFonts w:ascii="Helvetica Neue" w:eastAsia="Times New Roman" w:hAnsi="Helvetica Neue"/>
          <w:sz w:val="19"/>
          <w:szCs w:val="19"/>
        </w:rPr>
      </w:pPr>
      <w:r w:rsidRPr="00DF3AF6">
        <w:rPr>
          <w:rFonts w:ascii="Times New Roman" w:eastAsia="Times New Roman" w:hAnsi="Times New Roman"/>
          <w:sz w:val="24"/>
          <w:szCs w:val="24"/>
        </w:rPr>
        <w:t>regulate the storage, use or handling of scheduled substances; and</w:t>
      </w:r>
      <w:r w:rsidRPr="00DF3AF6">
        <w:rPr>
          <w:rFonts w:ascii="Helvetica Neue" w:eastAsia="Times New Roman" w:hAnsi="Helvetica Neue"/>
          <w:sz w:val="19"/>
          <w:szCs w:val="19"/>
        </w:rPr>
        <w:t xml:space="preserve"> </w:t>
      </w:r>
    </w:p>
    <w:p w14:paraId="4E1FB75F" w14:textId="77777777" w:rsidR="004C7D27" w:rsidRDefault="004C7D27" w:rsidP="004C7D27">
      <w:pPr>
        <w:numPr>
          <w:ilvl w:val="0"/>
          <w:numId w:val="13"/>
        </w:numPr>
        <w:spacing w:before="100" w:beforeAutospacing="1"/>
        <w:rPr>
          <w:rFonts w:ascii="Helvetica Neue" w:eastAsia="Times New Roman" w:hAnsi="Helvetica Neue"/>
          <w:sz w:val="19"/>
          <w:szCs w:val="19"/>
        </w:rPr>
      </w:pPr>
      <w:r w:rsidRPr="00DF3AF6">
        <w:rPr>
          <w:rFonts w:ascii="Times New Roman" w:eastAsia="Times New Roman" w:hAnsi="Times New Roman"/>
          <w:sz w:val="24"/>
          <w:szCs w:val="24"/>
        </w:rPr>
        <w:t>matters incidental to these matters.</w:t>
      </w:r>
      <w:r w:rsidRPr="00DF3AF6">
        <w:rPr>
          <w:rFonts w:ascii="Helvetica Neue" w:eastAsia="Times New Roman" w:hAnsi="Helvetica Neue"/>
          <w:sz w:val="19"/>
          <w:szCs w:val="19"/>
        </w:rPr>
        <w:t xml:space="preserve"> </w:t>
      </w:r>
    </w:p>
    <w:p w14:paraId="31CA9792" w14:textId="77777777" w:rsidR="004C7D27" w:rsidRDefault="004C7D27" w:rsidP="004C7D27">
      <w:pPr>
        <w:shd w:val="clear" w:color="auto" w:fill="FFFFFF"/>
        <w:spacing w:line="260" w:lineRule="atLeast"/>
        <w:rPr>
          <w:rFonts w:ascii="Times New Roman" w:eastAsia="Times New Roman" w:hAnsi="Times New Roman"/>
          <w:sz w:val="24"/>
          <w:szCs w:val="24"/>
        </w:rPr>
      </w:pPr>
    </w:p>
    <w:p w14:paraId="442590A2" w14:textId="77777777" w:rsidR="004C7D27" w:rsidRPr="00AC5AD9" w:rsidRDefault="004C7D27" w:rsidP="004C7D27">
      <w:pPr>
        <w:shd w:val="clear" w:color="auto" w:fill="FFFFFF"/>
        <w:spacing w:line="260" w:lineRule="atLeast"/>
        <w:rPr>
          <w:rFonts w:ascii="Helvetica Neue" w:eastAsia="Times New Roman" w:hAnsi="Helvetica Neue"/>
          <w:sz w:val="19"/>
          <w:szCs w:val="19"/>
        </w:rPr>
      </w:pPr>
      <w:r w:rsidRPr="00AC5AD9">
        <w:rPr>
          <w:rFonts w:ascii="Times New Roman" w:eastAsia="Times New Roman" w:hAnsi="Times New Roman"/>
          <w:sz w:val="24"/>
          <w:szCs w:val="24"/>
        </w:rPr>
        <w:t>The review of the Ozone Protection and Synthetic Greenhouse Gas Program (the Review), completed in 2016, identified a range of measures to improve the effectiveness and efficiency of the Ozone Protection and Synthetic Greenhouse Gas Program (the Program)</w:t>
      </w:r>
      <w:r>
        <w:rPr>
          <w:rFonts w:ascii="Times New Roman" w:eastAsia="Times New Roman" w:hAnsi="Times New Roman"/>
          <w:sz w:val="24"/>
          <w:szCs w:val="24"/>
        </w:rPr>
        <w:t>, which is administered under the OPSGGM Act</w:t>
      </w:r>
      <w:r w:rsidRPr="00AC5AD9">
        <w:rPr>
          <w:rFonts w:ascii="Times New Roman" w:eastAsia="Times New Roman" w:hAnsi="Times New Roman"/>
          <w:sz w:val="24"/>
          <w:szCs w:val="24"/>
        </w:rPr>
        <w:t>.</w:t>
      </w:r>
      <w:r>
        <w:rPr>
          <w:rFonts w:ascii="Times New Roman" w:eastAsia="Times New Roman" w:hAnsi="Times New Roman"/>
          <w:sz w:val="24"/>
          <w:szCs w:val="24"/>
        </w:rPr>
        <w:t xml:space="preserve"> The Review</w:t>
      </w:r>
      <w:r w:rsidRPr="00181C3C">
        <w:rPr>
          <w:rFonts w:ascii="Times New Roman" w:eastAsia="Times New Roman" w:hAnsi="Times New Roman"/>
          <w:sz w:val="24"/>
          <w:szCs w:val="24"/>
        </w:rPr>
        <w:t xml:space="preserve"> also </w:t>
      </w:r>
      <w:r w:rsidRPr="00181C3C">
        <w:rPr>
          <w:rFonts w:ascii="Times New Roman" w:hAnsi="Times New Roman"/>
          <w:sz w:val="24"/>
          <w:szCs w:val="24"/>
          <w:lang w:val="en"/>
        </w:rPr>
        <w:t>identified opportunities to</w:t>
      </w:r>
      <w:r w:rsidRPr="00782472">
        <w:rPr>
          <w:rFonts w:ascii="Times New Roman" w:eastAsia="Times New Roman" w:hAnsi="Times New Roman"/>
          <w:sz w:val="24"/>
          <w:szCs w:val="24"/>
        </w:rPr>
        <w:t xml:space="preserve"> </w:t>
      </w:r>
      <w:r w:rsidRPr="006E1259">
        <w:rPr>
          <w:rFonts w:ascii="Times New Roman" w:eastAsia="Times New Roman" w:hAnsi="Times New Roman"/>
          <w:sz w:val="24"/>
          <w:szCs w:val="24"/>
        </w:rPr>
        <w:t>further reduce emissions of ozone depleting substances and synthetic greenhouse gases</w:t>
      </w:r>
      <w:r>
        <w:rPr>
          <w:rFonts w:ascii="Times New Roman" w:eastAsia="Times New Roman" w:hAnsi="Times New Roman"/>
          <w:sz w:val="24"/>
          <w:szCs w:val="24"/>
        </w:rPr>
        <w:t xml:space="preserve"> and</w:t>
      </w:r>
      <w:r w:rsidRPr="00181C3C">
        <w:rPr>
          <w:rFonts w:ascii="Times New Roman" w:hAnsi="Times New Roman"/>
          <w:sz w:val="24"/>
          <w:szCs w:val="24"/>
          <w:lang w:val="en"/>
        </w:rPr>
        <w:t xml:space="preserve"> improve and streamline the operation of the Program, including reducing regulatory compliance costs</w:t>
      </w:r>
      <w:r>
        <w:rPr>
          <w:rFonts w:ascii="Times New Roman" w:hAnsi="Times New Roman"/>
          <w:sz w:val="24"/>
          <w:szCs w:val="24"/>
          <w:lang w:val="en"/>
        </w:rPr>
        <w:t xml:space="preserve"> and burden on business</w:t>
      </w:r>
      <w:r w:rsidRPr="00181C3C">
        <w:rPr>
          <w:rFonts w:ascii="Times New Roman" w:hAnsi="Times New Roman"/>
          <w:sz w:val="24"/>
          <w:szCs w:val="24"/>
          <w:lang w:val="en"/>
        </w:rPr>
        <w:t>.</w:t>
      </w:r>
      <w:r w:rsidRPr="00181C3C">
        <w:rPr>
          <w:rFonts w:ascii="Times New Roman" w:eastAsia="Times New Roman" w:hAnsi="Times New Roman"/>
          <w:sz w:val="24"/>
          <w:szCs w:val="24"/>
        </w:rPr>
        <w:t xml:space="preserve"> The Australian Government agreed to all 60 of the recommendations and measures on 5 May 2016.</w:t>
      </w:r>
    </w:p>
    <w:p w14:paraId="702A7376" w14:textId="77777777" w:rsidR="004C7D27" w:rsidRPr="00D92950" w:rsidRDefault="004C7D27" w:rsidP="004C7D27">
      <w:pPr>
        <w:spacing w:before="100" w:beforeAutospacing="1"/>
        <w:rPr>
          <w:rFonts w:ascii="Helvetica Neue" w:eastAsia="Times New Roman" w:hAnsi="Helvetica Neue"/>
          <w:sz w:val="19"/>
          <w:szCs w:val="19"/>
        </w:rPr>
      </w:pPr>
      <w:r w:rsidRPr="00DF3AF6">
        <w:rPr>
          <w:rFonts w:ascii="Times New Roman" w:eastAsia="Times New Roman" w:hAnsi="Times New Roman"/>
          <w:sz w:val="24"/>
          <w:szCs w:val="24"/>
        </w:rPr>
        <w:t xml:space="preserve">The </w:t>
      </w:r>
      <w:r w:rsidRPr="00DF3AF6">
        <w:rPr>
          <w:rFonts w:ascii="Times New Roman" w:eastAsia="Times New Roman" w:hAnsi="Times New Roman"/>
          <w:i/>
          <w:iCs/>
          <w:sz w:val="24"/>
          <w:szCs w:val="24"/>
        </w:rPr>
        <w:t xml:space="preserve">Ozone Protection and Synthetic Greenhouse Gas Management Regulations 1995 </w:t>
      </w:r>
      <w:r w:rsidRPr="00DF3AF6">
        <w:rPr>
          <w:rFonts w:ascii="Times New Roman" w:eastAsia="Times New Roman" w:hAnsi="Times New Roman"/>
          <w:sz w:val="24"/>
          <w:szCs w:val="24"/>
        </w:rPr>
        <w:t xml:space="preserve">(the Principal Regulations) require persons taking certain actions with respect to substances listed under Schedule 1 of the </w:t>
      </w:r>
      <w:r>
        <w:rPr>
          <w:rFonts w:ascii="Times New Roman" w:eastAsia="Times New Roman" w:hAnsi="Times New Roman"/>
          <w:sz w:val="24"/>
          <w:szCs w:val="24"/>
        </w:rPr>
        <w:t xml:space="preserve">OPSGGM </w:t>
      </w:r>
      <w:r w:rsidRPr="00DF3AF6">
        <w:rPr>
          <w:rFonts w:ascii="Times New Roman" w:eastAsia="Times New Roman" w:hAnsi="Times New Roman"/>
          <w:sz w:val="24"/>
          <w:szCs w:val="24"/>
        </w:rPr>
        <w:t>Act, or with respect to refrigeration and air conditioning or fire protection equipment containing these substances, to hold</w:t>
      </w:r>
      <w:r>
        <w:rPr>
          <w:rFonts w:ascii="Times New Roman" w:eastAsia="Times New Roman" w:hAnsi="Times New Roman"/>
          <w:sz w:val="24"/>
          <w:szCs w:val="24"/>
        </w:rPr>
        <w:t xml:space="preserve"> a</w:t>
      </w:r>
      <w:r w:rsidRPr="00DF3AF6">
        <w:rPr>
          <w:rFonts w:ascii="Times New Roman" w:eastAsia="Times New Roman" w:hAnsi="Times New Roman"/>
          <w:sz w:val="24"/>
          <w:szCs w:val="24"/>
        </w:rPr>
        <w:t xml:space="preserve"> </w:t>
      </w:r>
      <w:r>
        <w:rPr>
          <w:rFonts w:ascii="Times New Roman" w:eastAsia="Times New Roman" w:hAnsi="Times New Roman"/>
          <w:sz w:val="24"/>
          <w:szCs w:val="24"/>
        </w:rPr>
        <w:t>permit</w:t>
      </w:r>
      <w:r w:rsidRPr="00DF3AF6">
        <w:rPr>
          <w:rFonts w:ascii="Times New Roman" w:eastAsia="Times New Roman" w:hAnsi="Times New Roman"/>
          <w:sz w:val="24"/>
          <w:szCs w:val="24"/>
        </w:rPr>
        <w:t xml:space="preserve">. The Principal Regulations specify fees to accompany applications for these </w:t>
      </w:r>
      <w:r>
        <w:rPr>
          <w:rFonts w:ascii="Times New Roman" w:eastAsia="Times New Roman" w:hAnsi="Times New Roman"/>
          <w:sz w:val="24"/>
          <w:szCs w:val="24"/>
        </w:rPr>
        <w:t>permits</w:t>
      </w:r>
      <w:r w:rsidRPr="00DF3AF6">
        <w:rPr>
          <w:rFonts w:ascii="Times New Roman" w:eastAsia="Times New Roman" w:hAnsi="Times New Roman"/>
          <w:sz w:val="24"/>
          <w:szCs w:val="24"/>
        </w:rPr>
        <w:t xml:space="preserve">. These fees </w:t>
      </w:r>
      <w:r>
        <w:rPr>
          <w:rFonts w:ascii="Times New Roman" w:eastAsia="Times New Roman" w:hAnsi="Times New Roman"/>
          <w:sz w:val="24"/>
          <w:szCs w:val="24"/>
        </w:rPr>
        <w:t>were set in 2013 at amounts that reflected the costs of administering the permits</w:t>
      </w:r>
      <w:r w:rsidRPr="00DF3AF6">
        <w:rPr>
          <w:rFonts w:ascii="Times New Roman" w:eastAsia="Times New Roman" w:hAnsi="Times New Roman"/>
          <w:sz w:val="24"/>
          <w:szCs w:val="24"/>
        </w:rPr>
        <w:t>.</w:t>
      </w:r>
      <w:r>
        <w:rPr>
          <w:rFonts w:ascii="Times New Roman" w:eastAsia="Times New Roman" w:hAnsi="Times New Roman"/>
          <w:sz w:val="24"/>
          <w:szCs w:val="24"/>
        </w:rPr>
        <w:t xml:space="preserve"> Fees have increased annually, in line with the Wage Price Index (WPI).</w:t>
      </w:r>
    </w:p>
    <w:p w14:paraId="279C6330" w14:textId="2A8173AA" w:rsidR="004C7D27" w:rsidRDefault="004C7D27" w:rsidP="004C7D27">
      <w:pPr>
        <w:spacing w:before="240"/>
        <w:rPr>
          <w:rFonts w:ascii="Times New Roman" w:hAnsi="Times New Roman"/>
          <w:iCs/>
          <w:sz w:val="24"/>
          <w:szCs w:val="24"/>
          <w:shd w:val="clear" w:color="auto" w:fill="FFFFFF"/>
        </w:rPr>
      </w:pPr>
      <w:r w:rsidRPr="00181C3C">
        <w:rPr>
          <w:rFonts w:ascii="Times New Roman" w:hAnsi="Times New Roman"/>
          <w:sz w:val="24"/>
          <w:szCs w:val="24"/>
        </w:rPr>
        <w:t xml:space="preserve">The purpose of the </w:t>
      </w:r>
      <w:r w:rsidRPr="00181C3C">
        <w:rPr>
          <w:rFonts w:ascii="Times New Roman" w:hAnsi="Times New Roman"/>
          <w:i/>
          <w:sz w:val="24"/>
          <w:szCs w:val="24"/>
        </w:rPr>
        <w:t>Ozone Protection and Synthetic Green</w:t>
      </w:r>
      <w:r>
        <w:rPr>
          <w:rFonts w:ascii="Times New Roman" w:hAnsi="Times New Roman"/>
          <w:i/>
          <w:sz w:val="24"/>
          <w:szCs w:val="24"/>
        </w:rPr>
        <w:t>house Gas Management</w:t>
      </w:r>
      <w:r w:rsidRPr="00181C3C">
        <w:rPr>
          <w:rFonts w:ascii="Times New Roman" w:hAnsi="Times New Roman"/>
          <w:i/>
          <w:sz w:val="24"/>
          <w:szCs w:val="24"/>
        </w:rPr>
        <w:t xml:space="preserve"> Amendment (Application Fees) Regulations 2018 </w:t>
      </w:r>
      <w:r w:rsidRPr="00181C3C">
        <w:rPr>
          <w:rFonts w:ascii="Times New Roman" w:hAnsi="Times New Roman"/>
          <w:sz w:val="24"/>
          <w:szCs w:val="24"/>
        </w:rPr>
        <w:t>(</w:t>
      </w:r>
      <w:r>
        <w:rPr>
          <w:rFonts w:ascii="Times New Roman" w:hAnsi="Times New Roman"/>
          <w:sz w:val="24"/>
          <w:szCs w:val="24"/>
        </w:rPr>
        <w:t xml:space="preserve">the Regulations) </w:t>
      </w:r>
      <w:r w:rsidR="008906CD">
        <w:rPr>
          <w:rFonts w:ascii="Times New Roman" w:hAnsi="Times New Roman"/>
          <w:sz w:val="24"/>
          <w:szCs w:val="24"/>
        </w:rPr>
        <w:t>is to apply</w:t>
      </w:r>
      <w:r w:rsidRPr="00D173DD">
        <w:rPr>
          <w:rFonts w:ascii="Times New Roman" w:hAnsi="Times New Roman"/>
          <w:sz w:val="24"/>
          <w:szCs w:val="24"/>
        </w:rPr>
        <w:t xml:space="preserve"> </w:t>
      </w:r>
      <w:r>
        <w:rPr>
          <w:rFonts w:ascii="Times New Roman" w:hAnsi="Times New Roman"/>
          <w:sz w:val="24"/>
          <w:szCs w:val="24"/>
        </w:rPr>
        <w:t xml:space="preserve">permit </w:t>
      </w:r>
      <w:r w:rsidRPr="00D173DD">
        <w:rPr>
          <w:rFonts w:ascii="Times New Roman" w:hAnsi="Times New Roman"/>
          <w:sz w:val="24"/>
          <w:szCs w:val="24"/>
        </w:rPr>
        <w:t xml:space="preserve">application fees pertaining to </w:t>
      </w:r>
      <w:r>
        <w:rPr>
          <w:rFonts w:ascii="Times New Roman" w:hAnsi="Times New Roman"/>
          <w:sz w:val="24"/>
          <w:szCs w:val="24"/>
        </w:rPr>
        <w:t>permits of 12, 24 or 36 months in duration</w:t>
      </w:r>
      <w:r w:rsidRPr="00D173DD">
        <w:rPr>
          <w:rFonts w:ascii="Times New Roman" w:hAnsi="Times New Roman"/>
          <w:iCs/>
          <w:sz w:val="24"/>
          <w:szCs w:val="24"/>
          <w:shd w:val="clear" w:color="auto" w:fill="FFFFFF"/>
        </w:rPr>
        <w:t xml:space="preserve">. </w:t>
      </w:r>
      <w:r>
        <w:rPr>
          <w:rFonts w:ascii="Times New Roman" w:hAnsi="Times New Roman"/>
          <w:iCs/>
          <w:sz w:val="24"/>
          <w:szCs w:val="24"/>
          <w:shd w:val="clear" w:color="auto" w:fill="FFFFFF"/>
        </w:rPr>
        <w:t>Specifically, this amendment allow</w:t>
      </w:r>
      <w:r w:rsidR="00033739">
        <w:rPr>
          <w:rFonts w:ascii="Times New Roman" w:hAnsi="Times New Roman"/>
          <w:iCs/>
          <w:sz w:val="24"/>
          <w:szCs w:val="24"/>
          <w:shd w:val="clear" w:color="auto" w:fill="FFFFFF"/>
        </w:rPr>
        <w:t>s</w:t>
      </w:r>
      <w:r>
        <w:rPr>
          <w:rFonts w:ascii="Times New Roman" w:hAnsi="Times New Roman"/>
          <w:iCs/>
          <w:sz w:val="24"/>
          <w:szCs w:val="24"/>
          <w:shd w:val="clear" w:color="auto" w:fill="FFFFFF"/>
        </w:rPr>
        <w:t xml:space="preserve"> application fees to be applied for permits having a maximum duration of 36 months. Permits with a duration of 36 months came into effect on 1 January 2018. </w:t>
      </w:r>
    </w:p>
    <w:p w14:paraId="359602E0" w14:textId="550DCE8C" w:rsidR="004C7D27" w:rsidRPr="005A4C48" w:rsidRDefault="004C7D27" w:rsidP="004C7D27">
      <w:pPr>
        <w:spacing w:before="240"/>
        <w:rPr>
          <w:rFonts w:ascii="Times New Roman" w:hAnsi="Times New Roman"/>
          <w:iCs/>
          <w:sz w:val="24"/>
          <w:szCs w:val="24"/>
          <w:shd w:val="clear" w:color="auto" w:fill="FFFFFF"/>
        </w:rPr>
      </w:pPr>
      <w:r w:rsidRPr="00D173DD">
        <w:rPr>
          <w:rFonts w:ascii="Times New Roman" w:hAnsi="Times New Roman"/>
          <w:iCs/>
          <w:sz w:val="24"/>
          <w:szCs w:val="24"/>
          <w:shd w:val="clear" w:color="auto" w:fill="FFFFFF"/>
        </w:rPr>
        <w:t xml:space="preserve">This </w:t>
      </w:r>
      <w:r w:rsidR="00033739">
        <w:rPr>
          <w:rFonts w:ascii="Times New Roman" w:hAnsi="Times New Roman"/>
          <w:iCs/>
          <w:sz w:val="24"/>
          <w:szCs w:val="24"/>
          <w:shd w:val="clear" w:color="auto" w:fill="FFFFFF"/>
        </w:rPr>
        <w:t>is</w:t>
      </w:r>
      <w:r w:rsidRPr="00D173DD">
        <w:rPr>
          <w:rFonts w:ascii="Times New Roman" w:hAnsi="Times New Roman"/>
          <w:iCs/>
          <w:sz w:val="24"/>
          <w:szCs w:val="24"/>
          <w:shd w:val="clear" w:color="auto" w:fill="FFFFFF"/>
        </w:rPr>
        <w:t xml:space="preserve"> a consequential amendment </w:t>
      </w:r>
      <w:r>
        <w:rPr>
          <w:rFonts w:ascii="Times New Roman" w:hAnsi="Times New Roman"/>
          <w:iCs/>
          <w:sz w:val="24"/>
          <w:szCs w:val="24"/>
          <w:shd w:val="clear" w:color="auto" w:fill="FFFFFF"/>
        </w:rPr>
        <w:t xml:space="preserve">to amendments that gave effect to a recommendation of the Review to extend permit durations. Amendments to the Principal Regulations extending permit durations </w:t>
      </w:r>
      <w:r w:rsidRPr="00D173DD">
        <w:rPr>
          <w:rFonts w:ascii="Times New Roman" w:hAnsi="Times New Roman"/>
          <w:iCs/>
          <w:sz w:val="24"/>
          <w:szCs w:val="24"/>
          <w:shd w:val="clear" w:color="auto" w:fill="FFFFFF"/>
        </w:rPr>
        <w:t xml:space="preserve">commenced </w:t>
      </w:r>
      <w:r>
        <w:rPr>
          <w:rFonts w:ascii="Times New Roman" w:hAnsi="Times New Roman"/>
          <w:iCs/>
          <w:sz w:val="24"/>
          <w:szCs w:val="24"/>
          <w:shd w:val="clear" w:color="auto" w:fill="FFFFFF"/>
        </w:rPr>
        <w:t>on</w:t>
      </w:r>
      <w:r w:rsidRPr="00D173DD">
        <w:rPr>
          <w:rFonts w:ascii="Times New Roman" w:hAnsi="Times New Roman"/>
          <w:iCs/>
          <w:sz w:val="24"/>
          <w:szCs w:val="24"/>
          <w:shd w:val="clear" w:color="auto" w:fill="FFFFFF"/>
        </w:rPr>
        <w:t xml:space="preserve"> 1 January 2018</w:t>
      </w:r>
      <w:r>
        <w:rPr>
          <w:rFonts w:ascii="Times New Roman" w:hAnsi="Times New Roman"/>
          <w:iCs/>
          <w:sz w:val="24"/>
          <w:szCs w:val="24"/>
          <w:shd w:val="clear" w:color="auto" w:fill="FFFFFF"/>
        </w:rPr>
        <w:t xml:space="preserve">. </w:t>
      </w:r>
      <w:r w:rsidR="00033739">
        <w:rPr>
          <w:rFonts w:ascii="Times New Roman" w:hAnsi="Times New Roman"/>
          <w:iCs/>
          <w:sz w:val="24"/>
          <w:szCs w:val="24"/>
          <w:shd w:val="clear" w:color="auto" w:fill="FFFFFF"/>
        </w:rPr>
        <w:t>The Regulations</w:t>
      </w:r>
      <w:r>
        <w:rPr>
          <w:rFonts w:ascii="Times New Roman" w:hAnsi="Times New Roman"/>
          <w:iCs/>
          <w:sz w:val="24"/>
          <w:szCs w:val="24"/>
          <w:shd w:val="clear" w:color="auto" w:fill="FFFFFF"/>
        </w:rPr>
        <w:t xml:space="preserve"> enable a fee to be charged for a permit of 36 months duration in line with the cost of administering the permit. The fee</w:t>
      </w:r>
      <w:r w:rsidR="008906CD">
        <w:rPr>
          <w:rFonts w:ascii="Times New Roman" w:hAnsi="Times New Roman"/>
          <w:iCs/>
          <w:sz w:val="24"/>
          <w:szCs w:val="24"/>
          <w:shd w:val="clear" w:color="auto" w:fill="FFFFFF"/>
        </w:rPr>
        <w:t>s</w:t>
      </w:r>
      <w:r>
        <w:rPr>
          <w:rFonts w:ascii="Times New Roman" w:hAnsi="Times New Roman"/>
          <w:iCs/>
          <w:sz w:val="24"/>
          <w:szCs w:val="24"/>
          <w:shd w:val="clear" w:color="auto" w:fill="FFFFFF"/>
        </w:rPr>
        <w:t xml:space="preserve"> apply prospectively from the date on which the</w:t>
      </w:r>
      <w:r w:rsidR="00033739">
        <w:rPr>
          <w:rFonts w:ascii="Times New Roman" w:hAnsi="Times New Roman"/>
          <w:iCs/>
          <w:sz w:val="24"/>
          <w:szCs w:val="24"/>
          <w:shd w:val="clear" w:color="auto" w:fill="FFFFFF"/>
        </w:rPr>
        <w:t xml:space="preserve">se </w:t>
      </w:r>
      <w:r>
        <w:rPr>
          <w:rFonts w:ascii="Times New Roman" w:hAnsi="Times New Roman"/>
          <w:iCs/>
          <w:sz w:val="24"/>
          <w:szCs w:val="24"/>
          <w:shd w:val="clear" w:color="auto" w:fill="FFFFFF"/>
        </w:rPr>
        <w:t>Regulations come into effect</w:t>
      </w:r>
      <w:r w:rsidRPr="00D173DD">
        <w:rPr>
          <w:rFonts w:ascii="Times New Roman" w:hAnsi="Times New Roman"/>
          <w:iCs/>
          <w:sz w:val="24"/>
          <w:szCs w:val="24"/>
          <w:shd w:val="clear" w:color="auto" w:fill="FFFFFF"/>
        </w:rPr>
        <w:t>.</w:t>
      </w:r>
      <w:r>
        <w:rPr>
          <w:rFonts w:ascii="Times New Roman" w:hAnsi="Times New Roman"/>
          <w:iCs/>
          <w:sz w:val="24"/>
          <w:szCs w:val="24"/>
          <w:shd w:val="clear" w:color="auto" w:fill="FFFFFF"/>
        </w:rPr>
        <w:t xml:space="preserve"> </w:t>
      </w:r>
    </w:p>
    <w:p w14:paraId="56F92E6E" w14:textId="7C8126A5" w:rsidR="004C7D27" w:rsidRDefault="004C7D27" w:rsidP="004C7D27">
      <w:pPr>
        <w:spacing w:before="240"/>
        <w:rPr>
          <w:rFonts w:ascii="Times New Roman" w:hAnsi="Times New Roman"/>
          <w:iCs/>
          <w:sz w:val="24"/>
          <w:szCs w:val="24"/>
          <w:shd w:val="clear" w:color="auto" w:fill="FFFFFF"/>
        </w:rPr>
      </w:pPr>
      <w:r w:rsidRPr="00F51DDB">
        <w:rPr>
          <w:rFonts w:ascii="Times New Roman" w:hAnsi="Times New Roman"/>
          <w:iCs/>
          <w:sz w:val="24"/>
          <w:szCs w:val="24"/>
          <w:shd w:val="clear" w:color="auto" w:fill="FFFFFF"/>
        </w:rPr>
        <w:lastRenderedPageBreak/>
        <w:t xml:space="preserve">The fees reflect the current costs associated with administering the </w:t>
      </w:r>
      <w:r>
        <w:rPr>
          <w:rFonts w:ascii="Times New Roman" w:hAnsi="Times New Roman"/>
          <w:iCs/>
          <w:sz w:val="24"/>
          <w:szCs w:val="24"/>
          <w:shd w:val="clear" w:color="auto" w:fill="FFFFFF"/>
        </w:rPr>
        <w:t xml:space="preserve">permit </w:t>
      </w:r>
      <w:r w:rsidRPr="00F51DDB">
        <w:rPr>
          <w:rFonts w:ascii="Times New Roman" w:hAnsi="Times New Roman"/>
          <w:iCs/>
          <w:sz w:val="24"/>
          <w:szCs w:val="24"/>
          <w:shd w:val="clear" w:color="auto" w:fill="FFFFFF"/>
        </w:rPr>
        <w:t xml:space="preserve">scheme and are consistent with the </w:t>
      </w:r>
      <w:r w:rsidRPr="00E16078">
        <w:rPr>
          <w:rFonts w:ascii="Times New Roman" w:eastAsia="Times New Roman" w:hAnsi="Times New Roman"/>
          <w:i/>
          <w:iCs/>
          <w:sz w:val="24"/>
          <w:szCs w:val="24"/>
        </w:rPr>
        <w:t>Ozone Protection and Synthetic Greenhouse Gas Management Program – Cost Recovery Implementation Statement</w:t>
      </w:r>
      <w:r w:rsidRPr="00E16078">
        <w:rPr>
          <w:rFonts w:ascii="Times New Roman" w:eastAsia="Times New Roman" w:hAnsi="Times New Roman"/>
          <w:sz w:val="24"/>
          <w:szCs w:val="24"/>
        </w:rPr>
        <w:t xml:space="preserve"> </w:t>
      </w:r>
      <w:r w:rsidRPr="00505F82">
        <w:rPr>
          <w:rFonts w:ascii="Times New Roman" w:eastAsia="Times New Roman" w:hAnsi="Times New Roman"/>
          <w:i/>
          <w:sz w:val="24"/>
          <w:szCs w:val="24"/>
        </w:rPr>
        <w:t>2016-17</w:t>
      </w:r>
      <w:r>
        <w:rPr>
          <w:rFonts w:ascii="Times New Roman" w:eastAsia="Times New Roman" w:hAnsi="Times New Roman"/>
          <w:sz w:val="24"/>
          <w:szCs w:val="24"/>
        </w:rPr>
        <w:t>.</w:t>
      </w:r>
      <w:r w:rsidRPr="00F51DDB">
        <w:rPr>
          <w:rFonts w:ascii="Times New Roman" w:hAnsi="Times New Roman"/>
          <w:sz w:val="24"/>
          <w:szCs w:val="24"/>
        </w:rPr>
        <w:t xml:space="preserve"> </w:t>
      </w:r>
      <w:r w:rsidRPr="00F91336">
        <w:rPr>
          <w:rFonts w:ascii="Times New Roman" w:hAnsi="Times New Roman"/>
          <w:iCs/>
          <w:sz w:val="24"/>
          <w:szCs w:val="24"/>
          <w:shd w:val="clear" w:color="auto" w:fill="FFFFFF"/>
        </w:rPr>
        <w:t xml:space="preserve">Under the full cost recovery model, application fees paid by permit holders represent the cost of administering </w:t>
      </w:r>
      <w:r>
        <w:rPr>
          <w:rFonts w:ascii="Times New Roman" w:hAnsi="Times New Roman"/>
          <w:iCs/>
          <w:sz w:val="24"/>
          <w:szCs w:val="24"/>
          <w:shd w:val="clear" w:color="auto" w:fill="FFFFFF"/>
        </w:rPr>
        <w:t xml:space="preserve">a </w:t>
      </w:r>
      <w:r w:rsidRPr="00F91336">
        <w:rPr>
          <w:rFonts w:ascii="Times New Roman" w:hAnsi="Times New Roman"/>
          <w:iCs/>
          <w:sz w:val="24"/>
          <w:szCs w:val="24"/>
          <w:shd w:val="clear" w:color="auto" w:fill="FFFFFF"/>
        </w:rPr>
        <w:t xml:space="preserve">permit for </w:t>
      </w:r>
      <w:r>
        <w:rPr>
          <w:rFonts w:ascii="Times New Roman" w:hAnsi="Times New Roman"/>
          <w:iCs/>
          <w:sz w:val="24"/>
          <w:szCs w:val="24"/>
          <w:shd w:val="clear" w:color="auto" w:fill="FFFFFF"/>
        </w:rPr>
        <w:t>its</w:t>
      </w:r>
      <w:r w:rsidRPr="00F91336">
        <w:rPr>
          <w:rFonts w:ascii="Times New Roman" w:hAnsi="Times New Roman"/>
          <w:iCs/>
          <w:sz w:val="24"/>
          <w:szCs w:val="24"/>
          <w:shd w:val="clear" w:color="auto" w:fill="FFFFFF"/>
        </w:rPr>
        <w:t xml:space="preserve"> full duration. Administration includes the cost of receiving and assessing applications, liaising with applicants, granting permits, conducting communication activities to assist the regulated community to understand their obligations under the permit schemes and for monitoring and compliance activities.</w:t>
      </w:r>
      <w:r>
        <w:rPr>
          <w:rFonts w:ascii="Times New Roman" w:hAnsi="Times New Roman"/>
          <w:iCs/>
          <w:sz w:val="24"/>
          <w:szCs w:val="24"/>
          <w:shd w:val="clear" w:color="auto" w:fill="FFFFFF"/>
        </w:rPr>
        <w:t xml:space="preserve"> </w:t>
      </w:r>
    </w:p>
    <w:p w14:paraId="307710BF" w14:textId="374CDBCF" w:rsidR="004C7D27" w:rsidRPr="00EA7C4A" w:rsidRDefault="004C7D27" w:rsidP="004C7D27">
      <w:pPr>
        <w:spacing w:before="240"/>
        <w:rPr>
          <w:rFonts w:ascii="Times New Roman" w:eastAsia="Times New Roman" w:hAnsi="Times New Roman"/>
          <w:sz w:val="24"/>
          <w:szCs w:val="24"/>
        </w:rPr>
      </w:pPr>
      <w:r>
        <w:rPr>
          <w:rFonts w:ascii="Times New Roman" w:eastAsia="Times New Roman" w:hAnsi="Times New Roman"/>
          <w:sz w:val="24"/>
          <w:szCs w:val="24"/>
        </w:rPr>
        <w:t>The Principal Regulations provide for a</w:t>
      </w:r>
      <w:r w:rsidRPr="00EA7C4A">
        <w:rPr>
          <w:rFonts w:ascii="Times New Roman" w:eastAsia="Times New Roman" w:hAnsi="Times New Roman"/>
          <w:sz w:val="24"/>
          <w:szCs w:val="24"/>
        </w:rPr>
        <w:t>n annual fee increase consistent with</w:t>
      </w:r>
      <w:r>
        <w:rPr>
          <w:rFonts w:ascii="Times New Roman" w:eastAsia="Times New Roman" w:hAnsi="Times New Roman"/>
          <w:sz w:val="24"/>
          <w:szCs w:val="24"/>
        </w:rPr>
        <w:t xml:space="preserve"> the WPI to</w:t>
      </w:r>
      <w:r w:rsidRPr="00EA7C4A">
        <w:rPr>
          <w:rFonts w:ascii="Times New Roman" w:eastAsia="Times New Roman" w:hAnsi="Times New Roman"/>
          <w:sz w:val="24"/>
          <w:szCs w:val="24"/>
        </w:rPr>
        <w:t xml:space="preserve"> occur on 1 January each year. Th</w:t>
      </w:r>
      <w:r>
        <w:rPr>
          <w:rFonts w:ascii="Times New Roman" w:eastAsia="Times New Roman" w:hAnsi="Times New Roman"/>
          <w:sz w:val="24"/>
          <w:szCs w:val="24"/>
        </w:rPr>
        <w:t xml:space="preserve">is ensures the fees continue to reflect </w:t>
      </w:r>
      <w:r w:rsidRPr="00EA7C4A">
        <w:rPr>
          <w:rFonts w:ascii="Times New Roman" w:eastAsia="Times New Roman" w:hAnsi="Times New Roman"/>
          <w:sz w:val="24"/>
          <w:szCs w:val="24"/>
        </w:rPr>
        <w:t xml:space="preserve">the majority of expenses that make up the cost of assessing and processing the licences </w:t>
      </w:r>
      <w:r>
        <w:rPr>
          <w:rFonts w:ascii="Times New Roman" w:eastAsia="Times New Roman" w:hAnsi="Times New Roman"/>
          <w:sz w:val="24"/>
          <w:szCs w:val="24"/>
        </w:rPr>
        <w:t xml:space="preserve">which </w:t>
      </w:r>
      <w:r w:rsidRPr="00EA7C4A">
        <w:rPr>
          <w:rFonts w:ascii="Times New Roman" w:eastAsia="Times New Roman" w:hAnsi="Times New Roman"/>
          <w:sz w:val="24"/>
          <w:szCs w:val="24"/>
        </w:rPr>
        <w:t xml:space="preserve">are labour and on-costs. </w:t>
      </w:r>
      <w:r w:rsidRPr="00787E7C">
        <w:rPr>
          <w:rFonts w:ascii="Times New Roman" w:eastAsia="Times New Roman" w:hAnsi="Times New Roman"/>
          <w:sz w:val="24"/>
          <w:szCs w:val="24"/>
        </w:rPr>
        <w:t xml:space="preserve">The annual fee increase consistent with the WPI </w:t>
      </w:r>
      <w:r w:rsidR="00033739">
        <w:rPr>
          <w:rFonts w:ascii="Times New Roman" w:eastAsia="Times New Roman" w:hAnsi="Times New Roman"/>
          <w:sz w:val="24"/>
          <w:szCs w:val="24"/>
        </w:rPr>
        <w:t>are</w:t>
      </w:r>
      <w:r w:rsidRPr="00787E7C">
        <w:rPr>
          <w:rFonts w:ascii="Times New Roman" w:eastAsia="Times New Roman" w:hAnsi="Times New Roman"/>
          <w:sz w:val="24"/>
          <w:szCs w:val="24"/>
        </w:rPr>
        <w:t xml:space="preserve"> retained by the</w:t>
      </w:r>
      <w:r w:rsidRPr="00787E7C">
        <w:rPr>
          <w:rFonts w:ascii="Times New Roman" w:hAnsi="Times New Roman"/>
          <w:sz w:val="24"/>
          <w:szCs w:val="24"/>
        </w:rPr>
        <w:t xml:space="preserve"> Regulations and applied to application fees for permits of all durations.</w:t>
      </w:r>
      <w:r>
        <w:rPr>
          <w:rFonts w:ascii="Times New Roman" w:hAnsi="Times New Roman"/>
          <w:sz w:val="24"/>
          <w:szCs w:val="24"/>
        </w:rPr>
        <w:t xml:space="preserve">  </w:t>
      </w:r>
    </w:p>
    <w:p w14:paraId="62CA409B" w14:textId="77777777" w:rsidR="004C7D27" w:rsidRPr="007B4FB0" w:rsidRDefault="004C7D27" w:rsidP="004C7D27">
      <w:pPr>
        <w:spacing w:before="240"/>
        <w:rPr>
          <w:rFonts w:ascii="Times New Roman" w:hAnsi="Times New Roman"/>
          <w:sz w:val="24"/>
          <w:szCs w:val="24"/>
          <w:shd w:val="clear" w:color="auto" w:fill="FFFFFF"/>
        </w:rPr>
      </w:pPr>
      <w:r>
        <w:rPr>
          <w:rFonts w:ascii="Times New Roman" w:hAnsi="Times New Roman"/>
          <w:sz w:val="24"/>
          <w:szCs w:val="24"/>
          <w:shd w:val="clear" w:color="auto" w:fill="FFFFFF"/>
        </w:rPr>
        <w:t>Between 2014-2016 extensive targeted c</w:t>
      </w:r>
      <w:r w:rsidRPr="007B4FB0">
        <w:rPr>
          <w:rFonts w:ascii="Times New Roman" w:hAnsi="Times New Roman"/>
          <w:sz w:val="24"/>
          <w:szCs w:val="24"/>
          <w:shd w:val="clear" w:color="auto" w:fill="FFFFFF"/>
        </w:rPr>
        <w:t xml:space="preserve">onsultation </w:t>
      </w:r>
      <w:r>
        <w:rPr>
          <w:rFonts w:ascii="Times New Roman" w:hAnsi="Times New Roman"/>
          <w:sz w:val="24"/>
          <w:szCs w:val="24"/>
          <w:shd w:val="clear" w:color="auto" w:fill="FFFFFF"/>
        </w:rPr>
        <w:t xml:space="preserve">on increasing permit durations and associated application fees </w:t>
      </w:r>
      <w:r w:rsidRPr="007B4FB0">
        <w:rPr>
          <w:rFonts w:ascii="Times New Roman" w:hAnsi="Times New Roman"/>
          <w:sz w:val="24"/>
          <w:szCs w:val="24"/>
          <w:shd w:val="clear" w:color="auto" w:fill="FFFFFF"/>
        </w:rPr>
        <w:t xml:space="preserve">was undertaken through meetings with </w:t>
      </w:r>
      <w:r>
        <w:rPr>
          <w:rFonts w:ascii="Times New Roman" w:hAnsi="Times New Roman"/>
          <w:sz w:val="24"/>
          <w:szCs w:val="24"/>
          <w:shd w:val="clear" w:color="auto" w:fill="FFFFFF"/>
        </w:rPr>
        <w:t xml:space="preserve">representative industry groups including </w:t>
      </w:r>
      <w:r w:rsidRPr="007B4FB0">
        <w:rPr>
          <w:rFonts w:ascii="Times New Roman" w:hAnsi="Times New Roman"/>
          <w:sz w:val="24"/>
          <w:szCs w:val="24"/>
          <w:shd w:val="clear" w:color="auto" w:fill="FFFFFF"/>
        </w:rPr>
        <w:t xml:space="preserve">Refrigerants Australia, the Air Conditioning and Refrigeration Equipment Manufacturers Association of Australia, and the administrators of the current permit schemes: the Refrigeration and Air Conditioning (RAC) Industry Board and the Fire Protection Industry Board. </w:t>
      </w:r>
    </w:p>
    <w:p w14:paraId="041D769E" w14:textId="77777777" w:rsidR="004C7D27" w:rsidRDefault="004C7D27" w:rsidP="004C7D27">
      <w:pPr>
        <w:spacing w:before="240"/>
        <w:rPr>
          <w:rFonts w:ascii="Times New Roman" w:hAnsi="Times New Roman"/>
          <w:sz w:val="24"/>
          <w:szCs w:val="24"/>
        </w:rPr>
      </w:pPr>
      <w:r w:rsidRPr="00051ACC">
        <w:rPr>
          <w:rFonts w:ascii="Times New Roman" w:hAnsi="Times New Roman"/>
          <w:sz w:val="24"/>
          <w:szCs w:val="24"/>
        </w:rPr>
        <w:t>All stakeholders who commented on th</w:t>
      </w:r>
      <w:r>
        <w:rPr>
          <w:rFonts w:ascii="Times New Roman" w:hAnsi="Times New Roman"/>
          <w:sz w:val="24"/>
          <w:szCs w:val="24"/>
        </w:rPr>
        <w:t>is</w:t>
      </w:r>
      <w:r w:rsidRPr="00051ACC">
        <w:rPr>
          <w:rFonts w:ascii="Times New Roman" w:hAnsi="Times New Roman"/>
          <w:sz w:val="24"/>
          <w:szCs w:val="24"/>
        </w:rPr>
        <w:t xml:space="preserve"> measure were generally supportive, however some Directors of the Refrigeration and Air Conditioning </w:t>
      </w:r>
      <w:r>
        <w:rPr>
          <w:rFonts w:ascii="Times New Roman" w:hAnsi="Times New Roman"/>
          <w:sz w:val="24"/>
          <w:szCs w:val="24"/>
        </w:rPr>
        <w:t>I</w:t>
      </w:r>
      <w:r w:rsidRPr="00051ACC">
        <w:rPr>
          <w:rFonts w:ascii="Times New Roman" w:hAnsi="Times New Roman"/>
          <w:sz w:val="24"/>
          <w:szCs w:val="24"/>
        </w:rPr>
        <w:t>n</w:t>
      </w:r>
      <w:r>
        <w:rPr>
          <w:rFonts w:ascii="Times New Roman" w:hAnsi="Times New Roman"/>
          <w:sz w:val="24"/>
          <w:szCs w:val="24"/>
        </w:rPr>
        <w:t>dustry B</w:t>
      </w:r>
      <w:r w:rsidRPr="00051ACC">
        <w:rPr>
          <w:rFonts w:ascii="Times New Roman" w:hAnsi="Times New Roman"/>
          <w:sz w:val="24"/>
          <w:szCs w:val="24"/>
        </w:rPr>
        <w:t xml:space="preserve">oard raised concerns regarding </w:t>
      </w:r>
      <w:r>
        <w:rPr>
          <w:rFonts w:ascii="Times New Roman" w:hAnsi="Times New Roman"/>
          <w:sz w:val="24"/>
          <w:szCs w:val="24"/>
        </w:rPr>
        <w:t xml:space="preserve">potential </w:t>
      </w:r>
      <w:r w:rsidRPr="00051ACC">
        <w:rPr>
          <w:rFonts w:ascii="Times New Roman" w:hAnsi="Times New Roman"/>
          <w:sz w:val="24"/>
          <w:szCs w:val="24"/>
        </w:rPr>
        <w:t xml:space="preserve">changes to the application fees. Their concern was that the extension of permit durations may be accompanied by a disproportionate increase in permit application fees. Stakeholders were assured that permit application fees will continue to be set in accordance with the Australian Government’s Cost Recovery Guidelines and that the </w:t>
      </w:r>
      <w:r w:rsidRPr="0016580B">
        <w:rPr>
          <w:rFonts w:ascii="Times New Roman" w:hAnsi="Times New Roman"/>
          <w:sz w:val="24"/>
          <w:szCs w:val="24"/>
        </w:rPr>
        <w:t>corresponding application fees</w:t>
      </w:r>
      <w:r>
        <w:rPr>
          <w:rFonts w:ascii="Times New Roman" w:hAnsi="Times New Roman"/>
          <w:sz w:val="24"/>
          <w:szCs w:val="24"/>
        </w:rPr>
        <w:t xml:space="preserve"> for the extended permit durations of 36 months would be set on a pro rata basis based on the existing fees (that is, </w:t>
      </w:r>
      <w:r w:rsidRPr="0016580B">
        <w:rPr>
          <w:rFonts w:ascii="Times New Roman" w:hAnsi="Times New Roman"/>
          <w:sz w:val="24"/>
          <w:szCs w:val="24"/>
        </w:rPr>
        <w:t xml:space="preserve">the </w:t>
      </w:r>
      <w:r>
        <w:rPr>
          <w:rFonts w:ascii="Times New Roman" w:hAnsi="Times New Roman"/>
          <w:sz w:val="24"/>
          <w:szCs w:val="24"/>
        </w:rPr>
        <w:t>12 month</w:t>
      </w:r>
      <w:r w:rsidRPr="0016580B">
        <w:rPr>
          <w:rFonts w:ascii="Times New Roman" w:hAnsi="Times New Roman"/>
          <w:sz w:val="24"/>
          <w:szCs w:val="24"/>
        </w:rPr>
        <w:t xml:space="preserve"> fee will be multiplied by three to </w:t>
      </w:r>
      <w:r>
        <w:rPr>
          <w:rFonts w:ascii="Times New Roman" w:hAnsi="Times New Roman"/>
          <w:sz w:val="24"/>
          <w:szCs w:val="24"/>
        </w:rPr>
        <w:t xml:space="preserve">calculate the fee for a </w:t>
      </w:r>
      <w:r w:rsidRPr="0016580B">
        <w:rPr>
          <w:rFonts w:ascii="Times New Roman" w:hAnsi="Times New Roman"/>
          <w:sz w:val="24"/>
          <w:szCs w:val="24"/>
        </w:rPr>
        <w:t>3</w:t>
      </w:r>
      <w:r>
        <w:rPr>
          <w:rFonts w:ascii="Times New Roman" w:hAnsi="Times New Roman"/>
          <w:sz w:val="24"/>
          <w:szCs w:val="24"/>
        </w:rPr>
        <w:t>6 month</w:t>
      </w:r>
      <w:r w:rsidRPr="0016580B">
        <w:rPr>
          <w:rFonts w:ascii="Times New Roman" w:hAnsi="Times New Roman"/>
          <w:sz w:val="24"/>
          <w:szCs w:val="24"/>
        </w:rPr>
        <w:t xml:space="preserve"> permit</w:t>
      </w:r>
      <w:r>
        <w:rPr>
          <w:rFonts w:ascii="Times New Roman" w:hAnsi="Times New Roman"/>
          <w:sz w:val="24"/>
          <w:szCs w:val="24"/>
        </w:rPr>
        <w:t>)</w:t>
      </w:r>
      <w:r w:rsidRPr="00051ACC">
        <w:rPr>
          <w:rFonts w:ascii="Times New Roman" w:hAnsi="Times New Roman"/>
          <w:sz w:val="24"/>
          <w:szCs w:val="24"/>
        </w:rPr>
        <w:t>. Following this assurance, they were supportive of the measures</w:t>
      </w:r>
      <w:r>
        <w:rPr>
          <w:rFonts w:ascii="Times New Roman" w:hAnsi="Times New Roman"/>
          <w:sz w:val="24"/>
          <w:szCs w:val="24"/>
        </w:rPr>
        <w:t>.</w:t>
      </w:r>
      <w:r w:rsidRPr="00175957">
        <w:rPr>
          <w:rFonts w:ascii="Times New Roman" w:hAnsi="Times New Roman"/>
          <w:sz w:val="24"/>
          <w:szCs w:val="24"/>
        </w:rPr>
        <w:t xml:space="preserve"> </w:t>
      </w:r>
      <w:r>
        <w:rPr>
          <w:rFonts w:ascii="Times New Roman" w:hAnsi="Times New Roman"/>
          <w:sz w:val="24"/>
          <w:szCs w:val="24"/>
        </w:rPr>
        <w:t xml:space="preserve"> </w:t>
      </w:r>
    </w:p>
    <w:p w14:paraId="795C4BFC" w14:textId="1A9956F7" w:rsidR="004C7D27" w:rsidRPr="00466674" w:rsidRDefault="004C7D27" w:rsidP="004C7D27">
      <w:pPr>
        <w:spacing w:before="240"/>
        <w:rPr>
          <w:rFonts w:ascii="Times New Roman" w:hAnsi="Times New Roman"/>
          <w:sz w:val="24"/>
          <w:szCs w:val="24"/>
        </w:rPr>
      </w:pPr>
      <w:r w:rsidRPr="00466674">
        <w:rPr>
          <w:rFonts w:ascii="Times New Roman" w:hAnsi="Times New Roman"/>
          <w:sz w:val="24"/>
          <w:szCs w:val="24"/>
        </w:rPr>
        <w:t xml:space="preserve">Details of the Regulations are set out in the </w:t>
      </w:r>
      <w:r w:rsidRPr="00466674">
        <w:rPr>
          <w:rFonts w:ascii="Times New Roman" w:hAnsi="Times New Roman"/>
          <w:sz w:val="24"/>
          <w:szCs w:val="24"/>
          <w:u w:val="single"/>
        </w:rPr>
        <w:t>Attachment</w:t>
      </w:r>
      <w:r w:rsidRPr="00466674">
        <w:rPr>
          <w:rFonts w:ascii="Times New Roman" w:hAnsi="Times New Roman"/>
          <w:sz w:val="24"/>
          <w:szCs w:val="24"/>
        </w:rPr>
        <w:t xml:space="preserve">. </w:t>
      </w:r>
    </w:p>
    <w:p w14:paraId="64DBF26A" w14:textId="77777777" w:rsidR="004C7D27" w:rsidRPr="00F32028" w:rsidRDefault="004C7D27" w:rsidP="004C7D27">
      <w:pPr>
        <w:rPr>
          <w:color w:val="FF0000"/>
          <w:sz w:val="24"/>
          <w:szCs w:val="24"/>
        </w:rPr>
      </w:pPr>
    </w:p>
    <w:p w14:paraId="64EFADB0" w14:textId="07A9EF24" w:rsidR="004C7D27" w:rsidRPr="00466674" w:rsidRDefault="004C7D27" w:rsidP="004C7D27">
      <w:pPr>
        <w:rPr>
          <w:rFonts w:ascii="Times New Roman" w:hAnsi="Times New Roman"/>
          <w:sz w:val="24"/>
          <w:szCs w:val="24"/>
        </w:rPr>
      </w:pPr>
      <w:r w:rsidRPr="00466674">
        <w:rPr>
          <w:rFonts w:ascii="Times New Roman" w:hAnsi="Times New Roman"/>
          <w:sz w:val="24"/>
          <w:szCs w:val="24"/>
        </w:rPr>
        <w:t>The Act specifies no conditions that need to be satisfied before the power to make the Regulations may be exercised.</w:t>
      </w:r>
    </w:p>
    <w:p w14:paraId="59E72954" w14:textId="77777777" w:rsidR="004C7D27" w:rsidRPr="00F32028" w:rsidRDefault="004C7D27" w:rsidP="004C7D27">
      <w:pPr>
        <w:tabs>
          <w:tab w:val="left" w:pos="993"/>
        </w:tabs>
        <w:rPr>
          <w:rFonts w:ascii="Times New Roman" w:hAnsi="Times New Roman"/>
          <w:color w:val="FF0000"/>
          <w:sz w:val="24"/>
          <w:szCs w:val="24"/>
        </w:rPr>
      </w:pPr>
    </w:p>
    <w:p w14:paraId="1429670A" w14:textId="6B91B357" w:rsidR="004C7D27" w:rsidRPr="00466674" w:rsidRDefault="004C7D27" w:rsidP="004C7D27">
      <w:pPr>
        <w:tabs>
          <w:tab w:val="left" w:pos="993"/>
        </w:tabs>
        <w:rPr>
          <w:rFonts w:ascii="Times New Roman" w:hAnsi="Times New Roman"/>
          <w:sz w:val="24"/>
          <w:szCs w:val="24"/>
        </w:rPr>
      </w:pPr>
      <w:r w:rsidRPr="00466674">
        <w:rPr>
          <w:rFonts w:ascii="Times New Roman" w:hAnsi="Times New Roman"/>
          <w:sz w:val="24"/>
          <w:szCs w:val="24"/>
        </w:rPr>
        <w:t xml:space="preserve">The Regulations </w:t>
      </w:r>
      <w:r w:rsidR="008335DA">
        <w:rPr>
          <w:rFonts w:ascii="Times New Roman" w:hAnsi="Times New Roman"/>
          <w:sz w:val="24"/>
          <w:szCs w:val="24"/>
        </w:rPr>
        <w:t>are</w:t>
      </w:r>
      <w:r w:rsidRPr="00466674">
        <w:rPr>
          <w:rFonts w:ascii="Times New Roman" w:hAnsi="Times New Roman"/>
          <w:sz w:val="24"/>
          <w:szCs w:val="24"/>
        </w:rPr>
        <w:t xml:space="preserve"> a legislative instrument for the purposes of the </w:t>
      </w:r>
      <w:r w:rsidRPr="00466674">
        <w:rPr>
          <w:rFonts w:ascii="Times New Roman" w:hAnsi="Times New Roman"/>
          <w:i/>
          <w:sz w:val="24"/>
          <w:szCs w:val="24"/>
        </w:rPr>
        <w:t>Legislation Act 2003</w:t>
      </w:r>
      <w:r w:rsidRPr="00466674">
        <w:rPr>
          <w:rFonts w:ascii="Times New Roman" w:hAnsi="Times New Roman"/>
          <w:sz w:val="24"/>
          <w:szCs w:val="24"/>
        </w:rPr>
        <w:t>.</w:t>
      </w:r>
    </w:p>
    <w:p w14:paraId="1362B736" w14:textId="77777777" w:rsidR="004C7D27" w:rsidRPr="00F32028" w:rsidRDefault="004C7D27" w:rsidP="004C7D27">
      <w:pPr>
        <w:tabs>
          <w:tab w:val="left" w:pos="993"/>
        </w:tabs>
        <w:rPr>
          <w:rFonts w:ascii="Times New Roman" w:hAnsi="Times New Roman"/>
          <w:color w:val="FF0000"/>
          <w:sz w:val="24"/>
          <w:szCs w:val="24"/>
        </w:rPr>
      </w:pPr>
    </w:p>
    <w:p w14:paraId="4D1B5E85" w14:textId="63F9AD27" w:rsidR="004C7D27" w:rsidRPr="00466674" w:rsidRDefault="004C7D27" w:rsidP="004C7D27">
      <w:pPr>
        <w:tabs>
          <w:tab w:val="left" w:pos="993"/>
        </w:tabs>
        <w:rPr>
          <w:rFonts w:ascii="Times New Roman" w:hAnsi="Times New Roman"/>
          <w:sz w:val="24"/>
          <w:szCs w:val="24"/>
        </w:rPr>
      </w:pPr>
      <w:r w:rsidRPr="00466674">
        <w:rPr>
          <w:rFonts w:ascii="Times New Roman" w:hAnsi="Times New Roman"/>
          <w:sz w:val="24"/>
          <w:szCs w:val="24"/>
        </w:rPr>
        <w:t xml:space="preserve">The </w:t>
      </w:r>
      <w:r>
        <w:rPr>
          <w:rFonts w:ascii="Times New Roman" w:hAnsi="Times New Roman"/>
          <w:sz w:val="24"/>
          <w:szCs w:val="24"/>
        </w:rPr>
        <w:t>Regulations</w:t>
      </w:r>
      <w:r w:rsidRPr="00466674">
        <w:rPr>
          <w:rFonts w:ascii="Times New Roman" w:hAnsi="Times New Roman"/>
          <w:sz w:val="24"/>
          <w:szCs w:val="24"/>
        </w:rPr>
        <w:t xml:space="preserve"> commence the day after </w:t>
      </w:r>
      <w:r>
        <w:rPr>
          <w:rFonts w:ascii="Times New Roman" w:hAnsi="Times New Roman"/>
          <w:sz w:val="24"/>
          <w:szCs w:val="24"/>
        </w:rPr>
        <w:t xml:space="preserve">it is </w:t>
      </w:r>
      <w:r w:rsidRPr="00466674">
        <w:rPr>
          <w:rFonts w:ascii="Times New Roman" w:hAnsi="Times New Roman"/>
          <w:sz w:val="24"/>
          <w:szCs w:val="24"/>
        </w:rPr>
        <w:t xml:space="preserve">registered on the Federal Register of Legislation. </w:t>
      </w:r>
    </w:p>
    <w:p w14:paraId="2E05EE3B" w14:textId="77777777" w:rsidR="004C7D27" w:rsidRPr="00466674" w:rsidRDefault="004C7D27" w:rsidP="004C7D27">
      <w:pPr>
        <w:tabs>
          <w:tab w:val="left" w:pos="993"/>
        </w:tabs>
        <w:rPr>
          <w:rFonts w:ascii="Times New Roman" w:hAnsi="Times New Roman"/>
          <w:sz w:val="24"/>
          <w:szCs w:val="24"/>
        </w:rPr>
      </w:pPr>
    </w:p>
    <w:p w14:paraId="3F6E7C2C" w14:textId="77777777" w:rsidR="004C7D27" w:rsidRPr="00466674" w:rsidRDefault="004C7D27" w:rsidP="004C7D27">
      <w:pPr>
        <w:tabs>
          <w:tab w:val="left" w:pos="4536"/>
        </w:tabs>
        <w:ind w:left="4536" w:hanging="1275"/>
        <w:rPr>
          <w:rFonts w:ascii="Times New Roman" w:hAnsi="Times New Roman"/>
          <w:sz w:val="24"/>
          <w:szCs w:val="24"/>
          <w:u w:val="single"/>
        </w:rPr>
      </w:pPr>
    </w:p>
    <w:p w14:paraId="0C9E7296" w14:textId="77777777" w:rsidR="004C7D27" w:rsidRPr="00466674" w:rsidRDefault="004C7D27" w:rsidP="004C7D27">
      <w:pPr>
        <w:tabs>
          <w:tab w:val="left" w:pos="4536"/>
        </w:tabs>
        <w:ind w:left="4536" w:hanging="1275"/>
        <w:rPr>
          <w:rFonts w:ascii="Times New Roman" w:hAnsi="Times New Roman"/>
          <w:sz w:val="24"/>
          <w:szCs w:val="24"/>
        </w:rPr>
      </w:pPr>
      <w:r w:rsidRPr="00466674">
        <w:rPr>
          <w:rFonts w:ascii="Times New Roman" w:hAnsi="Times New Roman"/>
          <w:sz w:val="24"/>
          <w:szCs w:val="24"/>
          <w:u w:val="single"/>
        </w:rPr>
        <w:t>Authority</w:t>
      </w:r>
      <w:r w:rsidRPr="00466674">
        <w:rPr>
          <w:rFonts w:ascii="Times New Roman" w:hAnsi="Times New Roman"/>
          <w:sz w:val="24"/>
          <w:szCs w:val="24"/>
        </w:rPr>
        <w:t xml:space="preserve">: </w:t>
      </w:r>
      <w:r w:rsidRPr="00466674">
        <w:rPr>
          <w:rFonts w:ascii="Times New Roman" w:hAnsi="Times New Roman"/>
          <w:sz w:val="24"/>
          <w:szCs w:val="24"/>
        </w:rPr>
        <w:tab/>
        <w:t xml:space="preserve">Section 70 of the </w:t>
      </w:r>
      <w:r w:rsidRPr="00466674">
        <w:rPr>
          <w:rFonts w:ascii="Times New Roman" w:hAnsi="Times New Roman"/>
          <w:i/>
          <w:sz w:val="24"/>
          <w:szCs w:val="24"/>
        </w:rPr>
        <w:t>Ozone Protection and Synthetic Greenhouse Gas Management Act 1989</w:t>
      </w:r>
    </w:p>
    <w:p w14:paraId="2D166F84" w14:textId="77777777" w:rsidR="00B55335" w:rsidRPr="003B0E4D" w:rsidRDefault="00B55335" w:rsidP="00B55335">
      <w:pPr>
        <w:tabs>
          <w:tab w:val="left" w:pos="993"/>
        </w:tabs>
        <w:rPr>
          <w:rFonts w:ascii="Times New Roman" w:hAnsi="Times New Roman"/>
          <w:color w:val="FF0000"/>
          <w:sz w:val="24"/>
          <w:szCs w:val="24"/>
        </w:rPr>
      </w:pPr>
    </w:p>
    <w:p w14:paraId="3C7E022F" w14:textId="077A72C4" w:rsidR="00A511A0" w:rsidRPr="00AE1840" w:rsidRDefault="00A249EE" w:rsidP="00A511A0">
      <w:pPr>
        <w:spacing w:before="120" w:after="120"/>
        <w:jc w:val="center"/>
        <w:rPr>
          <w:rFonts w:ascii="Times New Roman" w:hAnsi="Times New Roman"/>
          <w:b/>
          <w:sz w:val="24"/>
          <w:szCs w:val="24"/>
        </w:rPr>
      </w:pPr>
      <w:r w:rsidRPr="003B0E4D">
        <w:rPr>
          <w:rFonts w:ascii="Times New Roman" w:hAnsi="Times New Roman"/>
          <w:b/>
          <w:color w:val="FF0000"/>
          <w:sz w:val="24"/>
          <w:szCs w:val="24"/>
          <w:u w:val="single"/>
        </w:rPr>
        <w:br w:type="page"/>
      </w:r>
      <w:r w:rsidR="00A511A0" w:rsidRPr="00AE1840">
        <w:rPr>
          <w:rFonts w:ascii="Times New Roman" w:hAnsi="Times New Roman"/>
          <w:b/>
          <w:iCs/>
          <w:sz w:val="24"/>
          <w:szCs w:val="24"/>
        </w:rPr>
        <w:lastRenderedPageBreak/>
        <w:t>Statement of Compatibility with Human Rights</w:t>
      </w:r>
    </w:p>
    <w:p w14:paraId="492687AF" w14:textId="77777777" w:rsidR="00A511A0" w:rsidRPr="00AE1840" w:rsidRDefault="00A511A0" w:rsidP="00A511A0">
      <w:pPr>
        <w:spacing w:before="120" w:after="120"/>
        <w:jc w:val="center"/>
        <w:rPr>
          <w:rFonts w:ascii="Times New Roman" w:hAnsi="Times New Roman"/>
          <w:i/>
          <w:sz w:val="24"/>
          <w:szCs w:val="24"/>
        </w:rPr>
      </w:pPr>
    </w:p>
    <w:p w14:paraId="4FA9E2DF" w14:textId="77777777" w:rsidR="00B86F2E" w:rsidRPr="00AE1840" w:rsidRDefault="00B86F2E" w:rsidP="00B86F2E">
      <w:pPr>
        <w:spacing w:before="120" w:after="120"/>
        <w:jc w:val="center"/>
        <w:rPr>
          <w:rFonts w:ascii="Times New Roman" w:hAnsi="Times New Roman"/>
          <w:sz w:val="24"/>
          <w:szCs w:val="24"/>
        </w:rPr>
      </w:pPr>
      <w:r w:rsidRPr="00AE1840">
        <w:rPr>
          <w:rFonts w:ascii="Times New Roman" w:hAnsi="Times New Roman"/>
          <w:i/>
          <w:sz w:val="24"/>
          <w:szCs w:val="24"/>
        </w:rPr>
        <w:t>Prepared in accordance with Part 3 of the Human Rights (Parliamentary Scrutiny) Act 2011</w:t>
      </w:r>
    </w:p>
    <w:p w14:paraId="43715E2D" w14:textId="4E9F6B30" w:rsidR="00B86F2E" w:rsidRPr="00AE1840" w:rsidRDefault="00B86F2E" w:rsidP="00B86F2E">
      <w:pPr>
        <w:jc w:val="center"/>
        <w:rPr>
          <w:rFonts w:ascii="Times New Roman" w:hAnsi="Times New Roman"/>
          <w:b/>
          <w:i/>
          <w:sz w:val="24"/>
          <w:szCs w:val="24"/>
        </w:rPr>
      </w:pPr>
      <w:r w:rsidRPr="00AE1840">
        <w:rPr>
          <w:rFonts w:ascii="Times New Roman" w:hAnsi="Times New Roman"/>
          <w:b/>
          <w:i/>
          <w:sz w:val="24"/>
          <w:szCs w:val="24"/>
        </w:rPr>
        <w:t>Ozone Protection and Synthetic Greenh</w:t>
      </w:r>
      <w:r w:rsidR="00103182">
        <w:rPr>
          <w:rFonts w:ascii="Times New Roman" w:hAnsi="Times New Roman"/>
          <w:b/>
          <w:i/>
          <w:sz w:val="24"/>
          <w:szCs w:val="24"/>
        </w:rPr>
        <w:t xml:space="preserve">ouse Gas Management </w:t>
      </w:r>
      <w:r w:rsidRPr="00AE1840">
        <w:rPr>
          <w:rFonts w:ascii="Times New Roman" w:hAnsi="Times New Roman"/>
          <w:b/>
          <w:i/>
          <w:sz w:val="24"/>
          <w:szCs w:val="24"/>
        </w:rPr>
        <w:t>Amendment (</w:t>
      </w:r>
      <w:r w:rsidR="00AE1840" w:rsidRPr="00AE1840">
        <w:rPr>
          <w:rFonts w:ascii="Times New Roman" w:hAnsi="Times New Roman"/>
          <w:b/>
          <w:i/>
          <w:sz w:val="24"/>
          <w:szCs w:val="24"/>
        </w:rPr>
        <w:t>Application Fees) Regulations 2018</w:t>
      </w:r>
    </w:p>
    <w:p w14:paraId="6F36C407" w14:textId="77777777" w:rsidR="00B86F2E" w:rsidRPr="003B0E4D" w:rsidRDefault="00B86F2E" w:rsidP="00B86F2E">
      <w:pPr>
        <w:jc w:val="center"/>
        <w:rPr>
          <w:rFonts w:ascii="Times New Roman" w:hAnsi="Times New Roman"/>
          <w:b/>
          <w:color w:val="FF0000"/>
          <w:sz w:val="24"/>
          <w:szCs w:val="24"/>
        </w:rPr>
      </w:pPr>
    </w:p>
    <w:p w14:paraId="230B3F06" w14:textId="77777777" w:rsidR="00B86F2E" w:rsidRPr="00AE1840" w:rsidRDefault="00B86F2E" w:rsidP="00B86F2E">
      <w:pPr>
        <w:jc w:val="center"/>
        <w:rPr>
          <w:rFonts w:ascii="Times New Roman" w:hAnsi="Times New Roman"/>
          <w:sz w:val="24"/>
          <w:szCs w:val="24"/>
        </w:rPr>
      </w:pPr>
      <w:r w:rsidRPr="00AE1840">
        <w:rPr>
          <w:rFonts w:ascii="Times New Roman" w:hAnsi="Times New Roman"/>
          <w:sz w:val="24"/>
          <w:szCs w:val="24"/>
        </w:rPr>
        <w:t xml:space="preserve">The Regulations are compatible with the human rights and freedoms recognised or declared in the international instruments listed in section 3 of the </w:t>
      </w:r>
      <w:r w:rsidRPr="00AE1840">
        <w:rPr>
          <w:rFonts w:ascii="Times New Roman" w:hAnsi="Times New Roman"/>
          <w:i/>
          <w:sz w:val="24"/>
          <w:szCs w:val="24"/>
        </w:rPr>
        <w:t>Human Rights (Parliamentary Scrutiny) Act 2011</w:t>
      </w:r>
      <w:r w:rsidRPr="00AE1840">
        <w:rPr>
          <w:rFonts w:ascii="Times New Roman" w:hAnsi="Times New Roman"/>
          <w:sz w:val="24"/>
          <w:szCs w:val="24"/>
        </w:rPr>
        <w:t>.</w:t>
      </w:r>
    </w:p>
    <w:p w14:paraId="017D940A" w14:textId="77777777" w:rsidR="00B86F2E" w:rsidRPr="00AE1840" w:rsidRDefault="00B86F2E" w:rsidP="00B86F2E">
      <w:pPr>
        <w:spacing w:before="120" w:after="120"/>
        <w:jc w:val="both"/>
        <w:rPr>
          <w:rFonts w:ascii="Times New Roman" w:hAnsi="Times New Roman"/>
          <w:b/>
          <w:sz w:val="24"/>
          <w:szCs w:val="24"/>
        </w:rPr>
      </w:pPr>
      <w:r w:rsidRPr="00AE1840">
        <w:rPr>
          <w:rFonts w:ascii="Times New Roman" w:hAnsi="Times New Roman"/>
          <w:b/>
          <w:sz w:val="24"/>
          <w:szCs w:val="24"/>
        </w:rPr>
        <w:t>Overview of the Legislative Instrument</w:t>
      </w:r>
    </w:p>
    <w:p w14:paraId="49A4E25A" w14:textId="5911E43E" w:rsidR="00B86F2E" w:rsidRPr="00AE1840" w:rsidRDefault="00B86F2E" w:rsidP="00B86F2E">
      <w:pPr>
        <w:shd w:val="clear" w:color="auto" w:fill="FFFFFF"/>
        <w:spacing w:line="260" w:lineRule="atLeast"/>
        <w:rPr>
          <w:rFonts w:ascii="Times New Roman" w:eastAsia="Times New Roman" w:hAnsi="Times New Roman"/>
          <w:sz w:val="24"/>
          <w:szCs w:val="24"/>
        </w:rPr>
      </w:pPr>
      <w:r w:rsidRPr="00AE1840">
        <w:rPr>
          <w:rFonts w:ascii="Times New Roman" w:eastAsia="Times New Roman" w:hAnsi="Times New Roman"/>
          <w:sz w:val="24"/>
          <w:szCs w:val="24"/>
        </w:rPr>
        <w:t xml:space="preserve">A review of the Ozone Protection and Synthetic Greenhouse Gas Program, completed in 2016, identified a range of measures to improve the effectiveness and efficiency of the Program and further reduce emissions of </w:t>
      </w:r>
      <w:r w:rsidR="00B17562" w:rsidRPr="00AE1840">
        <w:rPr>
          <w:rFonts w:ascii="Times New Roman" w:eastAsia="Times New Roman" w:hAnsi="Times New Roman"/>
          <w:sz w:val="24"/>
          <w:szCs w:val="24"/>
        </w:rPr>
        <w:t xml:space="preserve">ozone depleting substances </w:t>
      </w:r>
      <w:r w:rsidRPr="00AE1840">
        <w:rPr>
          <w:rFonts w:ascii="Times New Roman" w:eastAsia="Times New Roman" w:hAnsi="Times New Roman"/>
          <w:sz w:val="24"/>
          <w:szCs w:val="24"/>
        </w:rPr>
        <w:t xml:space="preserve">and </w:t>
      </w:r>
      <w:r w:rsidR="00B17562" w:rsidRPr="00AE1840">
        <w:rPr>
          <w:rFonts w:ascii="Times New Roman" w:eastAsia="Times New Roman" w:hAnsi="Times New Roman"/>
          <w:sz w:val="24"/>
          <w:szCs w:val="24"/>
        </w:rPr>
        <w:t>synthetic greenhouse gases</w:t>
      </w:r>
      <w:r w:rsidRPr="00AE1840">
        <w:rPr>
          <w:rFonts w:ascii="Times New Roman" w:eastAsia="Times New Roman" w:hAnsi="Times New Roman"/>
          <w:sz w:val="24"/>
          <w:szCs w:val="24"/>
        </w:rPr>
        <w:t xml:space="preserve">. The Australian Government agreed to all </w:t>
      </w:r>
      <w:r w:rsidR="003C307C">
        <w:rPr>
          <w:rFonts w:ascii="Times New Roman" w:eastAsia="Times New Roman" w:hAnsi="Times New Roman"/>
          <w:sz w:val="24"/>
          <w:szCs w:val="24"/>
        </w:rPr>
        <w:t xml:space="preserve">60 of the </w:t>
      </w:r>
      <w:r w:rsidRPr="00AE1840">
        <w:rPr>
          <w:rFonts w:ascii="Times New Roman" w:eastAsia="Times New Roman" w:hAnsi="Times New Roman"/>
          <w:sz w:val="24"/>
          <w:szCs w:val="24"/>
        </w:rPr>
        <w:t xml:space="preserve">recommended measures </w:t>
      </w:r>
      <w:r w:rsidR="003C307C">
        <w:rPr>
          <w:rFonts w:ascii="Times New Roman" w:eastAsia="Times New Roman" w:hAnsi="Times New Roman"/>
          <w:sz w:val="24"/>
          <w:szCs w:val="24"/>
        </w:rPr>
        <w:t>o</w:t>
      </w:r>
      <w:r w:rsidRPr="00AE1840">
        <w:rPr>
          <w:rFonts w:ascii="Times New Roman" w:eastAsia="Times New Roman" w:hAnsi="Times New Roman"/>
          <w:sz w:val="24"/>
          <w:szCs w:val="24"/>
        </w:rPr>
        <w:t xml:space="preserve">n </w:t>
      </w:r>
      <w:r w:rsidR="003C307C">
        <w:rPr>
          <w:rFonts w:ascii="Times New Roman" w:eastAsia="Times New Roman" w:hAnsi="Times New Roman"/>
          <w:sz w:val="24"/>
          <w:szCs w:val="24"/>
        </w:rPr>
        <w:t xml:space="preserve">5 May </w:t>
      </w:r>
      <w:r w:rsidRPr="00AE1840">
        <w:rPr>
          <w:rFonts w:ascii="Times New Roman" w:eastAsia="Times New Roman" w:hAnsi="Times New Roman"/>
          <w:sz w:val="24"/>
          <w:szCs w:val="24"/>
        </w:rPr>
        <w:t>2016.</w:t>
      </w:r>
    </w:p>
    <w:p w14:paraId="449DA944" w14:textId="437AA12C" w:rsidR="009C0D1B" w:rsidRDefault="00B86F2E" w:rsidP="005510EC">
      <w:pPr>
        <w:tabs>
          <w:tab w:val="left" w:pos="993"/>
        </w:tabs>
        <w:spacing w:before="240"/>
        <w:rPr>
          <w:rFonts w:ascii="Times New Roman" w:hAnsi="Times New Roman"/>
          <w:iCs/>
          <w:color w:val="FF0000"/>
          <w:sz w:val="24"/>
          <w:szCs w:val="24"/>
          <w:shd w:val="clear" w:color="auto" w:fill="FFFFFF"/>
        </w:rPr>
      </w:pPr>
      <w:r w:rsidRPr="00AE1840">
        <w:rPr>
          <w:rFonts w:ascii="Times New Roman" w:hAnsi="Times New Roman"/>
          <w:sz w:val="24"/>
          <w:szCs w:val="24"/>
        </w:rPr>
        <w:t xml:space="preserve">The purpose of the </w:t>
      </w:r>
      <w:r w:rsidRPr="00AE1840">
        <w:rPr>
          <w:rFonts w:ascii="Times New Roman" w:hAnsi="Times New Roman"/>
          <w:i/>
          <w:sz w:val="24"/>
          <w:szCs w:val="24"/>
        </w:rPr>
        <w:t>Ozone Protection and Synthetic Green</w:t>
      </w:r>
      <w:r w:rsidR="00103182">
        <w:rPr>
          <w:rFonts w:ascii="Times New Roman" w:hAnsi="Times New Roman"/>
          <w:i/>
          <w:sz w:val="24"/>
          <w:szCs w:val="24"/>
        </w:rPr>
        <w:t>house Gas Management</w:t>
      </w:r>
      <w:r w:rsidRPr="00AE1840">
        <w:rPr>
          <w:rFonts w:ascii="Times New Roman" w:hAnsi="Times New Roman"/>
          <w:i/>
          <w:sz w:val="24"/>
          <w:szCs w:val="24"/>
        </w:rPr>
        <w:t xml:space="preserve"> Amendment (</w:t>
      </w:r>
      <w:r w:rsidR="00AE1840" w:rsidRPr="00AE1840">
        <w:rPr>
          <w:rFonts w:ascii="Times New Roman" w:hAnsi="Times New Roman"/>
          <w:i/>
          <w:sz w:val="24"/>
          <w:szCs w:val="24"/>
        </w:rPr>
        <w:t>Application Fees) Regulations 2018</w:t>
      </w:r>
      <w:r w:rsidRPr="00AE1840">
        <w:rPr>
          <w:rFonts w:ascii="Times New Roman" w:hAnsi="Times New Roman"/>
          <w:sz w:val="24"/>
          <w:szCs w:val="24"/>
        </w:rPr>
        <w:t xml:space="preserve"> (the Regulations) </w:t>
      </w:r>
      <w:r w:rsidR="000363F0" w:rsidRPr="00AE1840">
        <w:rPr>
          <w:rFonts w:ascii="Times New Roman" w:hAnsi="Times New Roman"/>
          <w:sz w:val="24"/>
          <w:szCs w:val="24"/>
        </w:rPr>
        <w:t xml:space="preserve">is </w:t>
      </w:r>
      <w:r w:rsidR="00F74B77">
        <w:rPr>
          <w:rFonts w:ascii="Times New Roman" w:hAnsi="Times New Roman"/>
          <w:sz w:val="24"/>
          <w:szCs w:val="24"/>
        </w:rPr>
        <w:t xml:space="preserve">a consequential amendment that </w:t>
      </w:r>
      <w:r w:rsidR="000363F0" w:rsidRPr="00AE1840">
        <w:rPr>
          <w:rFonts w:ascii="Times New Roman" w:hAnsi="Times New Roman"/>
          <w:sz w:val="24"/>
          <w:szCs w:val="24"/>
        </w:rPr>
        <w:t>give</w:t>
      </w:r>
      <w:r w:rsidR="00F74B77">
        <w:rPr>
          <w:rFonts w:ascii="Times New Roman" w:hAnsi="Times New Roman"/>
          <w:sz w:val="24"/>
          <w:szCs w:val="24"/>
        </w:rPr>
        <w:t>s</w:t>
      </w:r>
      <w:r w:rsidR="000363F0" w:rsidRPr="00AE1840">
        <w:rPr>
          <w:rFonts w:ascii="Times New Roman" w:hAnsi="Times New Roman"/>
          <w:sz w:val="24"/>
          <w:szCs w:val="24"/>
        </w:rPr>
        <w:t xml:space="preserve"> </w:t>
      </w:r>
      <w:r w:rsidRPr="00AE1840">
        <w:rPr>
          <w:rFonts w:ascii="Times New Roman" w:hAnsi="Times New Roman"/>
          <w:sz w:val="24"/>
          <w:szCs w:val="24"/>
        </w:rPr>
        <w:t xml:space="preserve">effect to a recommendation of </w:t>
      </w:r>
      <w:r w:rsidR="003B7608" w:rsidRPr="00AE1840">
        <w:rPr>
          <w:rFonts w:ascii="Times New Roman" w:hAnsi="Times New Roman"/>
          <w:sz w:val="24"/>
          <w:szCs w:val="24"/>
        </w:rPr>
        <w:t>the Review</w:t>
      </w:r>
      <w:r w:rsidR="00F74B77">
        <w:rPr>
          <w:rFonts w:ascii="Times New Roman" w:hAnsi="Times New Roman"/>
          <w:sz w:val="24"/>
          <w:szCs w:val="24"/>
        </w:rPr>
        <w:t xml:space="preserve"> to extend </w:t>
      </w:r>
      <w:r w:rsidR="00BD6ACE">
        <w:rPr>
          <w:rFonts w:ascii="Times New Roman" w:hAnsi="Times New Roman"/>
          <w:sz w:val="24"/>
          <w:szCs w:val="24"/>
        </w:rPr>
        <w:t xml:space="preserve">licence and </w:t>
      </w:r>
      <w:r w:rsidR="00F74B77">
        <w:rPr>
          <w:rFonts w:ascii="Times New Roman" w:hAnsi="Times New Roman"/>
          <w:sz w:val="24"/>
          <w:szCs w:val="24"/>
        </w:rPr>
        <w:t>permit durations</w:t>
      </w:r>
      <w:r w:rsidR="003B7608" w:rsidRPr="00AE1840">
        <w:rPr>
          <w:rFonts w:ascii="Times New Roman" w:hAnsi="Times New Roman"/>
          <w:sz w:val="24"/>
          <w:szCs w:val="24"/>
        </w:rPr>
        <w:t xml:space="preserve">. </w:t>
      </w:r>
      <w:r w:rsidRPr="00AE1840">
        <w:rPr>
          <w:rFonts w:ascii="Times New Roman" w:hAnsi="Times New Roman"/>
          <w:sz w:val="24"/>
          <w:szCs w:val="24"/>
        </w:rPr>
        <w:t>The measu</w:t>
      </w:r>
      <w:r w:rsidR="00AE1840" w:rsidRPr="00AE1840">
        <w:rPr>
          <w:rFonts w:ascii="Times New Roman" w:hAnsi="Times New Roman"/>
          <w:sz w:val="24"/>
          <w:szCs w:val="24"/>
        </w:rPr>
        <w:t>re</w:t>
      </w:r>
      <w:r w:rsidR="005510EC">
        <w:rPr>
          <w:rFonts w:ascii="Times New Roman" w:hAnsi="Times New Roman"/>
          <w:sz w:val="24"/>
          <w:szCs w:val="24"/>
        </w:rPr>
        <w:t xml:space="preserve"> will </w:t>
      </w:r>
      <w:r w:rsidR="003D3DF3">
        <w:rPr>
          <w:rFonts w:ascii="Times New Roman" w:hAnsi="Times New Roman"/>
          <w:sz w:val="24"/>
          <w:szCs w:val="24"/>
        </w:rPr>
        <w:t xml:space="preserve">clarify and </w:t>
      </w:r>
      <w:r w:rsidR="005510EC" w:rsidRPr="005510EC">
        <w:rPr>
          <w:rFonts w:ascii="Times New Roman" w:hAnsi="Times New Roman"/>
          <w:sz w:val="24"/>
          <w:szCs w:val="24"/>
        </w:rPr>
        <w:t>update the application fees pertaining to</w:t>
      </w:r>
      <w:r w:rsidR="00BD6ACE">
        <w:rPr>
          <w:rFonts w:ascii="Times New Roman" w:hAnsi="Times New Roman"/>
          <w:sz w:val="24"/>
          <w:szCs w:val="24"/>
        </w:rPr>
        <w:t xml:space="preserve"> </w:t>
      </w:r>
      <w:r w:rsidR="00CA3D38">
        <w:rPr>
          <w:rFonts w:ascii="Times New Roman" w:hAnsi="Times New Roman"/>
          <w:sz w:val="24"/>
          <w:szCs w:val="24"/>
        </w:rPr>
        <w:t xml:space="preserve">12, 24 and 36 month </w:t>
      </w:r>
      <w:r w:rsidR="00BD6ACE">
        <w:rPr>
          <w:rFonts w:ascii="Times New Roman" w:hAnsi="Times New Roman"/>
          <w:sz w:val="24"/>
          <w:szCs w:val="24"/>
        </w:rPr>
        <w:t xml:space="preserve">licences and permits </w:t>
      </w:r>
      <w:r w:rsidR="00604E3F">
        <w:rPr>
          <w:rFonts w:ascii="Times New Roman" w:hAnsi="Times New Roman"/>
          <w:sz w:val="24"/>
          <w:szCs w:val="24"/>
        </w:rPr>
        <w:t>grant</w:t>
      </w:r>
      <w:r w:rsidR="00216180">
        <w:rPr>
          <w:rFonts w:ascii="Times New Roman" w:hAnsi="Times New Roman"/>
          <w:sz w:val="24"/>
          <w:szCs w:val="24"/>
        </w:rPr>
        <w:t>ed by</w:t>
      </w:r>
      <w:r w:rsidR="005510EC" w:rsidRPr="005510EC">
        <w:rPr>
          <w:rFonts w:ascii="Times New Roman" w:hAnsi="Times New Roman"/>
          <w:sz w:val="24"/>
          <w:szCs w:val="24"/>
        </w:rPr>
        <w:t xml:space="preserve"> the</w:t>
      </w:r>
      <w:r w:rsidR="005510EC" w:rsidRPr="005510EC">
        <w:rPr>
          <w:rFonts w:ascii="Times New Roman" w:hAnsi="Times New Roman"/>
          <w:iCs/>
          <w:sz w:val="24"/>
          <w:szCs w:val="24"/>
          <w:shd w:val="clear" w:color="auto" w:fill="FFFFFF"/>
        </w:rPr>
        <w:t xml:space="preserve"> refrigeration and air conditioning and fire protection industr</w:t>
      </w:r>
      <w:r w:rsidR="009E4AB5">
        <w:rPr>
          <w:rFonts w:ascii="Times New Roman" w:hAnsi="Times New Roman"/>
          <w:iCs/>
          <w:sz w:val="24"/>
          <w:szCs w:val="24"/>
          <w:shd w:val="clear" w:color="auto" w:fill="FFFFFF"/>
        </w:rPr>
        <w:t>y boards</w:t>
      </w:r>
      <w:r w:rsidR="005510EC">
        <w:rPr>
          <w:rFonts w:ascii="Times New Roman" w:hAnsi="Times New Roman"/>
          <w:iCs/>
          <w:color w:val="FF0000"/>
          <w:sz w:val="24"/>
          <w:szCs w:val="24"/>
          <w:shd w:val="clear" w:color="auto" w:fill="FFFFFF"/>
        </w:rPr>
        <w:t>.</w:t>
      </w:r>
      <w:r w:rsidR="00ED3728">
        <w:rPr>
          <w:rFonts w:ascii="Times New Roman" w:hAnsi="Times New Roman"/>
          <w:iCs/>
          <w:color w:val="FF0000"/>
          <w:sz w:val="24"/>
          <w:szCs w:val="24"/>
          <w:shd w:val="clear" w:color="auto" w:fill="FFFFFF"/>
        </w:rPr>
        <w:t xml:space="preserve"> </w:t>
      </w:r>
    </w:p>
    <w:p w14:paraId="72B2EFB3" w14:textId="55A2AC86" w:rsidR="0006027F" w:rsidRDefault="0006027F" w:rsidP="0006027F">
      <w:pPr>
        <w:spacing w:before="240"/>
        <w:rPr>
          <w:rFonts w:ascii="Times New Roman" w:eastAsia="Times New Roman" w:hAnsi="Times New Roman"/>
          <w:sz w:val="24"/>
          <w:szCs w:val="24"/>
        </w:rPr>
      </w:pPr>
      <w:r w:rsidRPr="00F51DDB">
        <w:rPr>
          <w:rFonts w:ascii="Times New Roman" w:hAnsi="Times New Roman"/>
          <w:iCs/>
          <w:sz w:val="24"/>
          <w:szCs w:val="24"/>
          <w:shd w:val="clear" w:color="auto" w:fill="FFFFFF"/>
        </w:rPr>
        <w:t xml:space="preserve">The updated fees reflect the current costs associated with administering the licensing scheme by the relevant industry boards, and are consistent with the </w:t>
      </w:r>
      <w:r w:rsidRPr="00E16078">
        <w:rPr>
          <w:rFonts w:ascii="Times New Roman" w:eastAsia="Times New Roman" w:hAnsi="Times New Roman"/>
          <w:i/>
          <w:iCs/>
          <w:sz w:val="24"/>
          <w:szCs w:val="24"/>
        </w:rPr>
        <w:t>Ozone Protection and Synthetic Greenhouse Gas Management Program – Cost Recovery Implementation Statement</w:t>
      </w:r>
      <w:r w:rsidRPr="00E16078">
        <w:rPr>
          <w:rFonts w:ascii="Times New Roman" w:eastAsia="Times New Roman" w:hAnsi="Times New Roman"/>
          <w:sz w:val="24"/>
          <w:szCs w:val="24"/>
        </w:rPr>
        <w:t xml:space="preserve"> </w:t>
      </w:r>
      <w:r w:rsidRPr="00505F82">
        <w:rPr>
          <w:rFonts w:ascii="Times New Roman" w:eastAsia="Times New Roman" w:hAnsi="Times New Roman"/>
          <w:i/>
          <w:sz w:val="24"/>
          <w:szCs w:val="24"/>
        </w:rPr>
        <w:t>2016-17</w:t>
      </w:r>
      <w:r>
        <w:rPr>
          <w:rFonts w:ascii="Times New Roman" w:eastAsia="Times New Roman" w:hAnsi="Times New Roman"/>
          <w:sz w:val="24"/>
          <w:szCs w:val="24"/>
        </w:rPr>
        <w:t>.</w:t>
      </w:r>
      <w:r w:rsidRPr="00F51DDB">
        <w:rPr>
          <w:rFonts w:ascii="Times New Roman" w:hAnsi="Times New Roman"/>
          <w:sz w:val="24"/>
          <w:szCs w:val="24"/>
        </w:rPr>
        <w:t xml:space="preserve"> </w:t>
      </w:r>
    </w:p>
    <w:p w14:paraId="638AD3DD" w14:textId="77777777" w:rsidR="00B86F2E" w:rsidRPr="003B0E4D" w:rsidRDefault="00B86F2E" w:rsidP="00B86F2E">
      <w:pPr>
        <w:pStyle w:val="ListNumber"/>
        <w:numPr>
          <w:ilvl w:val="0"/>
          <w:numId w:val="0"/>
        </w:numPr>
        <w:rPr>
          <w:iCs/>
          <w:color w:val="FF0000"/>
          <w:szCs w:val="24"/>
          <w:shd w:val="clear" w:color="auto" w:fill="FFFFFF"/>
        </w:rPr>
      </w:pPr>
    </w:p>
    <w:p w14:paraId="63E7B76E" w14:textId="77777777" w:rsidR="00B86F2E" w:rsidRPr="00EC2197" w:rsidRDefault="00B86F2E" w:rsidP="00B86F2E">
      <w:pPr>
        <w:spacing w:before="120" w:after="120"/>
        <w:rPr>
          <w:rFonts w:ascii="Times New Roman" w:hAnsi="Times New Roman"/>
          <w:b/>
          <w:sz w:val="24"/>
          <w:szCs w:val="24"/>
        </w:rPr>
      </w:pPr>
      <w:r w:rsidRPr="00EC2197">
        <w:rPr>
          <w:rFonts w:ascii="Times New Roman" w:hAnsi="Times New Roman"/>
          <w:b/>
          <w:sz w:val="24"/>
          <w:szCs w:val="24"/>
        </w:rPr>
        <w:t>Human rights implications</w:t>
      </w:r>
    </w:p>
    <w:p w14:paraId="4B74D273" w14:textId="77777777" w:rsidR="00B86F2E" w:rsidRPr="00EC2197" w:rsidRDefault="00B86F2E" w:rsidP="00B86F2E">
      <w:pPr>
        <w:spacing w:before="120" w:after="120"/>
        <w:rPr>
          <w:rFonts w:ascii="Times New Roman" w:hAnsi="Times New Roman"/>
          <w:iCs/>
          <w:sz w:val="24"/>
          <w:szCs w:val="24"/>
          <w:shd w:val="clear" w:color="auto" w:fill="FFFFFF"/>
        </w:rPr>
      </w:pPr>
      <w:r w:rsidRPr="00EC2197">
        <w:rPr>
          <w:rFonts w:ascii="Times New Roman" w:hAnsi="Times New Roman"/>
          <w:iCs/>
          <w:sz w:val="24"/>
          <w:szCs w:val="24"/>
          <w:shd w:val="clear" w:color="auto" w:fill="FFFFFF"/>
        </w:rPr>
        <w:t xml:space="preserve">The Regulations do not engage with any of the applicable rights or freedoms.  </w:t>
      </w:r>
    </w:p>
    <w:p w14:paraId="5BBA574C" w14:textId="77777777" w:rsidR="00B86F2E" w:rsidRPr="00274571" w:rsidRDefault="00B86F2E" w:rsidP="00B86F2E">
      <w:pPr>
        <w:spacing w:before="120" w:after="120"/>
        <w:rPr>
          <w:rFonts w:ascii="Times New Roman" w:hAnsi="Times New Roman"/>
          <w:b/>
          <w:iCs/>
          <w:sz w:val="24"/>
          <w:szCs w:val="24"/>
          <w:shd w:val="clear" w:color="auto" w:fill="FFFFFF"/>
        </w:rPr>
      </w:pPr>
      <w:r w:rsidRPr="00274571">
        <w:rPr>
          <w:rFonts w:ascii="Times New Roman" w:hAnsi="Times New Roman"/>
          <w:b/>
          <w:iCs/>
          <w:sz w:val="24"/>
          <w:szCs w:val="24"/>
          <w:shd w:val="clear" w:color="auto" w:fill="FFFFFF"/>
        </w:rPr>
        <w:t>Conclusion</w:t>
      </w:r>
    </w:p>
    <w:p w14:paraId="16B3F06E" w14:textId="77777777" w:rsidR="00B86F2E" w:rsidRPr="00274571" w:rsidRDefault="00B86F2E" w:rsidP="00B86F2E">
      <w:pPr>
        <w:spacing w:before="120" w:after="120"/>
        <w:rPr>
          <w:rFonts w:ascii="Times New Roman" w:hAnsi="Times New Roman"/>
          <w:iCs/>
          <w:sz w:val="24"/>
          <w:szCs w:val="24"/>
          <w:shd w:val="clear" w:color="auto" w:fill="FFFFFF"/>
        </w:rPr>
      </w:pPr>
      <w:r w:rsidRPr="00274571">
        <w:rPr>
          <w:rFonts w:ascii="Times New Roman" w:hAnsi="Times New Roman"/>
          <w:iCs/>
          <w:sz w:val="24"/>
          <w:szCs w:val="24"/>
          <w:shd w:val="clear" w:color="auto" w:fill="FFFFFF"/>
        </w:rPr>
        <w:t xml:space="preserve">The Regulations are compatible with human rights as they do not raise any human rights issues. </w:t>
      </w:r>
    </w:p>
    <w:p w14:paraId="5BC60856" w14:textId="77777777" w:rsidR="00A511A0" w:rsidRPr="000E27EE" w:rsidRDefault="00A511A0" w:rsidP="00A511A0">
      <w:pPr>
        <w:spacing w:before="120" w:after="120"/>
        <w:rPr>
          <w:rFonts w:ascii="Times New Roman" w:hAnsi="Times New Roman"/>
          <w:sz w:val="24"/>
          <w:szCs w:val="24"/>
        </w:rPr>
      </w:pPr>
    </w:p>
    <w:p w14:paraId="573AB5DD" w14:textId="77777777" w:rsidR="00A511A0" w:rsidRDefault="00A511A0" w:rsidP="00A511A0">
      <w:pPr>
        <w:spacing w:before="120" w:after="120"/>
        <w:jc w:val="center"/>
        <w:rPr>
          <w:rFonts w:ascii="Times New Roman" w:hAnsi="Times New Roman"/>
          <w:sz w:val="24"/>
          <w:szCs w:val="24"/>
        </w:rPr>
      </w:pPr>
      <w:r w:rsidRPr="000E27EE">
        <w:rPr>
          <w:rFonts w:ascii="Times New Roman" w:hAnsi="Times New Roman"/>
          <w:b/>
          <w:sz w:val="24"/>
          <w:szCs w:val="24"/>
        </w:rPr>
        <w:t>The Hon Josh Frydenberg MP, Minister for the Environment and Energy</w:t>
      </w:r>
    </w:p>
    <w:p w14:paraId="22362C17" w14:textId="3DAC291B" w:rsidR="00A511A0" w:rsidRDefault="00A511A0">
      <w:pPr>
        <w:rPr>
          <w:rFonts w:ascii="Times New Roman" w:hAnsi="Times New Roman"/>
          <w:b/>
          <w:sz w:val="24"/>
          <w:szCs w:val="24"/>
          <w:u w:val="single"/>
        </w:rPr>
      </w:pPr>
    </w:p>
    <w:p w14:paraId="10B1C70E" w14:textId="77777777" w:rsidR="00A249EE" w:rsidRDefault="00A249EE">
      <w:pPr>
        <w:rPr>
          <w:rFonts w:ascii="Times New Roman" w:hAnsi="Times New Roman"/>
          <w:b/>
          <w:sz w:val="24"/>
          <w:szCs w:val="24"/>
          <w:u w:val="single"/>
        </w:rPr>
      </w:pPr>
    </w:p>
    <w:p w14:paraId="79558C67" w14:textId="599FA6DA" w:rsidR="00074425" w:rsidRPr="00A52610" w:rsidRDefault="00A511A0" w:rsidP="000E27EE">
      <w:pPr>
        <w:jc w:val="right"/>
        <w:rPr>
          <w:rFonts w:ascii="Times New Roman" w:hAnsi="Times New Roman"/>
          <w:b/>
          <w:sz w:val="24"/>
          <w:szCs w:val="24"/>
          <w:u w:val="single"/>
        </w:rPr>
      </w:pPr>
      <w:r>
        <w:rPr>
          <w:rFonts w:ascii="Times New Roman" w:hAnsi="Times New Roman"/>
          <w:b/>
          <w:sz w:val="24"/>
          <w:szCs w:val="24"/>
          <w:u w:val="single"/>
        </w:rPr>
        <w:br w:type="page"/>
      </w:r>
      <w:r w:rsidR="00074425" w:rsidRPr="00A52610">
        <w:rPr>
          <w:rFonts w:ascii="Times New Roman" w:hAnsi="Times New Roman"/>
          <w:b/>
          <w:sz w:val="24"/>
          <w:szCs w:val="24"/>
          <w:u w:val="single"/>
        </w:rPr>
        <w:lastRenderedPageBreak/>
        <w:t>ATTACHMENT</w:t>
      </w:r>
    </w:p>
    <w:p w14:paraId="61F84E77" w14:textId="77777777" w:rsidR="00074425" w:rsidRPr="00A52610" w:rsidRDefault="00074425" w:rsidP="00074425">
      <w:pPr>
        <w:jc w:val="right"/>
        <w:rPr>
          <w:rFonts w:ascii="Times New Roman" w:hAnsi="Times New Roman"/>
          <w:b/>
          <w:sz w:val="24"/>
          <w:szCs w:val="24"/>
          <w:u w:val="single"/>
        </w:rPr>
      </w:pPr>
    </w:p>
    <w:p w14:paraId="0DE71F99" w14:textId="318C4ACB" w:rsidR="00074425" w:rsidRPr="00AE1840" w:rsidRDefault="00074425" w:rsidP="00074425">
      <w:pPr>
        <w:tabs>
          <w:tab w:val="left" w:pos="993"/>
          <w:tab w:val="left" w:pos="4536"/>
          <w:tab w:val="left" w:pos="5670"/>
        </w:tabs>
        <w:rPr>
          <w:rFonts w:ascii="Times New Roman" w:hAnsi="Times New Roman"/>
          <w:b/>
          <w:sz w:val="24"/>
          <w:szCs w:val="24"/>
          <w:u w:val="single"/>
        </w:rPr>
      </w:pPr>
      <w:r w:rsidRPr="00AE1840">
        <w:rPr>
          <w:rFonts w:ascii="Times New Roman" w:hAnsi="Times New Roman"/>
          <w:b/>
          <w:sz w:val="24"/>
          <w:szCs w:val="24"/>
          <w:u w:val="single"/>
        </w:rPr>
        <w:t>Details of the</w:t>
      </w:r>
      <w:r w:rsidR="000F0EAD" w:rsidRPr="00AE1840">
        <w:rPr>
          <w:rFonts w:ascii="Times New Roman" w:hAnsi="Times New Roman"/>
          <w:b/>
          <w:sz w:val="24"/>
          <w:szCs w:val="24"/>
          <w:u w:val="single"/>
        </w:rPr>
        <w:t xml:space="preserve"> </w:t>
      </w:r>
      <w:r w:rsidR="00F71D2C" w:rsidRPr="00AE1840">
        <w:rPr>
          <w:rFonts w:ascii="Times New Roman" w:hAnsi="Times New Roman"/>
          <w:b/>
          <w:i/>
          <w:sz w:val="24"/>
          <w:szCs w:val="24"/>
          <w:u w:val="single"/>
        </w:rPr>
        <w:t xml:space="preserve">Ozone Protection and Synthetic Greenhouse Gas Management </w:t>
      </w:r>
      <w:r w:rsidR="00104519" w:rsidRPr="00AE1840">
        <w:rPr>
          <w:rFonts w:ascii="Times New Roman" w:hAnsi="Times New Roman"/>
          <w:b/>
          <w:i/>
          <w:sz w:val="24"/>
          <w:szCs w:val="24"/>
          <w:u w:val="single"/>
        </w:rPr>
        <w:t>Amendment (</w:t>
      </w:r>
      <w:r w:rsidR="00AE1840" w:rsidRPr="00AE1840">
        <w:rPr>
          <w:rFonts w:ascii="Times New Roman" w:hAnsi="Times New Roman"/>
          <w:b/>
          <w:i/>
          <w:sz w:val="24"/>
          <w:szCs w:val="24"/>
          <w:u w:val="single"/>
        </w:rPr>
        <w:t>Application Fees) Regulations 2018</w:t>
      </w:r>
    </w:p>
    <w:p w14:paraId="1C6EC7DA" w14:textId="77777777" w:rsidR="005B44A3" w:rsidRPr="00AE1840" w:rsidRDefault="005B44A3" w:rsidP="005B44A3">
      <w:pPr>
        <w:tabs>
          <w:tab w:val="left" w:pos="993"/>
          <w:tab w:val="left" w:pos="4536"/>
          <w:tab w:val="left" w:pos="5670"/>
        </w:tabs>
        <w:rPr>
          <w:rFonts w:ascii="Times New Roman" w:hAnsi="Times New Roman"/>
          <w:sz w:val="24"/>
          <w:szCs w:val="24"/>
          <w:u w:val="single"/>
        </w:rPr>
      </w:pPr>
    </w:p>
    <w:p w14:paraId="75C341EA" w14:textId="77777777" w:rsidR="00F0194D" w:rsidRPr="00E9467B" w:rsidRDefault="00F0194D" w:rsidP="00F0194D">
      <w:pPr>
        <w:tabs>
          <w:tab w:val="left" w:pos="993"/>
          <w:tab w:val="left" w:pos="4536"/>
          <w:tab w:val="left" w:pos="5670"/>
        </w:tabs>
        <w:rPr>
          <w:rFonts w:ascii="Times New Roman" w:hAnsi="Times New Roman"/>
          <w:sz w:val="24"/>
          <w:szCs w:val="24"/>
          <w:u w:val="single"/>
        </w:rPr>
      </w:pPr>
      <w:r w:rsidRPr="00E9467B">
        <w:rPr>
          <w:rFonts w:ascii="Times New Roman" w:hAnsi="Times New Roman"/>
          <w:sz w:val="24"/>
          <w:szCs w:val="24"/>
          <w:u w:val="single"/>
        </w:rPr>
        <w:t xml:space="preserve">Section 1 – Name </w:t>
      </w:r>
    </w:p>
    <w:p w14:paraId="5EC4976E" w14:textId="77777777" w:rsidR="00F0194D" w:rsidRPr="00E9467B" w:rsidRDefault="00F0194D" w:rsidP="00F0194D">
      <w:pPr>
        <w:tabs>
          <w:tab w:val="left" w:pos="993"/>
          <w:tab w:val="left" w:pos="4536"/>
          <w:tab w:val="left" w:pos="5670"/>
        </w:tabs>
        <w:rPr>
          <w:rFonts w:ascii="Times New Roman" w:hAnsi="Times New Roman"/>
          <w:sz w:val="24"/>
          <w:szCs w:val="24"/>
          <w:u w:val="single"/>
        </w:rPr>
      </w:pPr>
    </w:p>
    <w:p w14:paraId="36F246AE" w14:textId="20406D60" w:rsidR="00F0194D" w:rsidRPr="00E105D7" w:rsidRDefault="00F0194D" w:rsidP="00F0194D">
      <w:pPr>
        <w:pStyle w:val="ListNumber"/>
        <w:numPr>
          <w:ilvl w:val="0"/>
          <w:numId w:val="8"/>
        </w:numPr>
        <w:spacing w:after="240"/>
        <w:ind w:left="567" w:hanging="567"/>
        <w:rPr>
          <w:szCs w:val="24"/>
        </w:rPr>
      </w:pPr>
      <w:r w:rsidRPr="00E9467B">
        <w:rPr>
          <w:szCs w:val="24"/>
        </w:rPr>
        <w:t>This section provide</w:t>
      </w:r>
      <w:r>
        <w:rPr>
          <w:szCs w:val="24"/>
        </w:rPr>
        <w:t>s</w:t>
      </w:r>
      <w:r w:rsidRPr="00E9467B">
        <w:rPr>
          <w:szCs w:val="24"/>
        </w:rPr>
        <w:t xml:space="preserve"> that the title of the Regulations is the </w:t>
      </w:r>
      <w:r w:rsidRPr="00E9467B">
        <w:rPr>
          <w:i/>
          <w:szCs w:val="24"/>
        </w:rPr>
        <w:t xml:space="preserve">Ozone Protection and Synthetic Greenhouse Gas Management Amendment (Application Fees) </w:t>
      </w:r>
      <w:r w:rsidRPr="00E105D7">
        <w:rPr>
          <w:i/>
          <w:szCs w:val="24"/>
        </w:rPr>
        <w:t xml:space="preserve">Regulations 2018 </w:t>
      </w:r>
      <w:r w:rsidRPr="00E105D7">
        <w:rPr>
          <w:szCs w:val="24"/>
        </w:rPr>
        <w:t>(the Regulations).</w:t>
      </w:r>
    </w:p>
    <w:p w14:paraId="078E5463" w14:textId="77777777" w:rsidR="00F0194D" w:rsidRPr="00E105D7" w:rsidRDefault="00F0194D" w:rsidP="00F0194D">
      <w:pPr>
        <w:tabs>
          <w:tab w:val="left" w:pos="993"/>
          <w:tab w:val="left" w:pos="4536"/>
          <w:tab w:val="left" w:pos="5670"/>
        </w:tabs>
        <w:rPr>
          <w:rFonts w:ascii="Times New Roman" w:hAnsi="Times New Roman"/>
          <w:sz w:val="24"/>
          <w:szCs w:val="24"/>
          <w:u w:val="single"/>
        </w:rPr>
      </w:pPr>
      <w:r w:rsidRPr="00E105D7">
        <w:rPr>
          <w:rFonts w:ascii="Times New Roman" w:hAnsi="Times New Roman"/>
          <w:sz w:val="24"/>
          <w:szCs w:val="24"/>
          <w:u w:val="single"/>
        </w:rPr>
        <w:t>Section 2 – Commencement</w:t>
      </w:r>
    </w:p>
    <w:p w14:paraId="7A47FEE7" w14:textId="77777777" w:rsidR="00F0194D" w:rsidRPr="00E105D7" w:rsidRDefault="00F0194D" w:rsidP="00F0194D">
      <w:pPr>
        <w:tabs>
          <w:tab w:val="left" w:pos="993"/>
          <w:tab w:val="left" w:pos="4536"/>
          <w:tab w:val="left" w:pos="5670"/>
        </w:tabs>
        <w:rPr>
          <w:rFonts w:ascii="Times New Roman" w:hAnsi="Times New Roman"/>
          <w:sz w:val="24"/>
          <w:szCs w:val="24"/>
          <w:u w:val="single"/>
        </w:rPr>
      </w:pPr>
    </w:p>
    <w:p w14:paraId="370AD2D0" w14:textId="2F60A013" w:rsidR="00F0194D" w:rsidRPr="00E105D7" w:rsidRDefault="00F0194D" w:rsidP="00F0194D">
      <w:pPr>
        <w:pStyle w:val="ListNumber"/>
        <w:numPr>
          <w:ilvl w:val="0"/>
          <w:numId w:val="8"/>
        </w:numPr>
        <w:spacing w:after="240"/>
        <w:ind w:left="567" w:hanging="567"/>
        <w:rPr>
          <w:szCs w:val="24"/>
        </w:rPr>
      </w:pPr>
      <w:r w:rsidRPr="00E105D7">
        <w:rPr>
          <w:szCs w:val="24"/>
        </w:rPr>
        <w:t>The table in this section provide</w:t>
      </w:r>
      <w:r>
        <w:rPr>
          <w:szCs w:val="24"/>
        </w:rPr>
        <w:t>s</w:t>
      </w:r>
      <w:r w:rsidRPr="00E105D7">
        <w:rPr>
          <w:szCs w:val="24"/>
        </w:rPr>
        <w:t xml:space="preserve"> for the commencement of the Regulations. </w:t>
      </w:r>
    </w:p>
    <w:p w14:paraId="354648CF" w14:textId="13A916DE" w:rsidR="00F0194D" w:rsidRPr="00E105D7" w:rsidRDefault="00F0194D" w:rsidP="00F0194D">
      <w:pPr>
        <w:pStyle w:val="ListNumber"/>
        <w:numPr>
          <w:ilvl w:val="0"/>
          <w:numId w:val="8"/>
        </w:numPr>
        <w:spacing w:after="240"/>
        <w:ind w:left="567" w:hanging="567"/>
        <w:rPr>
          <w:szCs w:val="24"/>
        </w:rPr>
      </w:pPr>
      <w:r>
        <w:rPr>
          <w:szCs w:val="24"/>
        </w:rPr>
        <w:t>The whole of the Regulations</w:t>
      </w:r>
      <w:r w:rsidRPr="00E105D7">
        <w:rPr>
          <w:szCs w:val="24"/>
        </w:rPr>
        <w:t xml:space="preserve"> commence on the day after the instrument is registered.</w:t>
      </w:r>
    </w:p>
    <w:p w14:paraId="6463FF78" w14:textId="77777777" w:rsidR="00F0194D" w:rsidRPr="00E105D7" w:rsidRDefault="00F0194D" w:rsidP="00F0194D">
      <w:pPr>
        <w:tabs>
          <w:tab w:val="left" w:pos="993"/>
          <w:tab w:val="left" w:pos="4536"/>
          <w:tab w:val="left" w:pos="5670"/>
        </w:tabs>
        <w:rPr>
          <w:rFonts w:ascii="Times New Roman" w:hAnsi="Times New Roman"/>
          <w:sz w:val="24"/>
          <w:szCs w:val="24"/>
          <w:u w:val="single"/>
        </w:rPr>
      </w:pPr>
      <w:r w:rsidRPr="00E105D7">
        <w:rPr>
          <w:rFonts w:ascii="Times New Roman" w:hAnsi="Times New Roman"/>
          <w:sz w:val="24"/>
          <w:szCs w:val="24"/>
          <w:u w:val="single"/>
        </w:rPr>
        <w:t>Section 3 – Authority</w:t>
      </w:r>
    </w:p>
    <w:p w14:paraId="6B4C895D" w14:textId="77777777" w:rsidR="00F0194D" w:rsidRPr="00E105D7" w:rsidRDefault="00F0194D" w:rsidP="00F0194D">
      <w:pPr>
        <w:tabs>
          <w:tab w:val="left" w:pos="993"/>
          <w:tab w:val="left" w:pos="4536"/>
          <w:tab w:val="left" w:pos="5670"/>
        </w:tabs>
        <w:rPr>
          <w:rFonts w:ascii="Times New Roman" w:hAnsi="Times New Roman"/>
          <w:sz w:val="24"/>
          <w:szCs w:val="24"/>
          <w:u w:val="single"/>
        </w:rPr>
      </w:pPr>
    </w:p>
    <w:p w14:paraId="723EAEC4" w14:textId="7E1EC993" w:rsidR="00F0194D" w:rsidRPr="00E105D7" w:rsidRDefault="00F0194D" w:rsidP="00F0194D">
      <w:pPr>
        <w:pStyle w:val="ListNumber"/>
        <w:numPr>
          <w:ilvl w:val="0"/>
          <w:numId w:val="8"/>
        </w:numPr>
        <w:spacing w:after="240"/>
        <w:ind w:left="567" w:hanging="567"/>
        <w:rPr>
          <w:szCs w:val="24"/>
        </w:rPr>
      </w:pPr>
      <w:r w:rsidRPr="00E105D7">
        <w:rPr>
          <w:szCs w:val="24"/>
        </w:rPr>
        <w:t>This section provide</w:t>
      </w:r>
      <w:r>
        <w:rPr>
          <w:szCs w:val="24"/>
        </w:rPr>
        <w:t>s</w:t>
      </w:r>
      <w:r w:rsidRPr="00E105D7">
        <w:rPr>
          <w:szCs w:val="24"/>
        </w:rPr>
        <w:t xml:space="preserve"> that the Regulations are made under the </w:t>
      </w:r>
      <w:r w:rsidRPr="00E105D7">
        <w:rPr>
          <w:i/>
          <w:szCs w:val="24"/>
        </w:rPr>
        <w:t>Ozone Protection and Synthetic Greenhouse Gas Management Act 1989</w:t>
      </w:r>
      <w:r w:rsidRPr="00E105D7">
        <w:rPr>
          <w:szCs w:val="24"/>
        </w:rPr>
        <w:t xml:space="preserve"> (the OPSGGM Act). </w:t>
      </w:r>
    </w:p>
    <w:p w14:paraId="69C38A50" w14:textId="77777777" w:rsidR="00F0194D" w:rsidRPr="00E105D7" w:rsidRDefault="00F0194D" w:rsidP="00F0194D">
      <w:pPr>
        <w:tabs>
          <w:tab w:val="left" w:pos="993"/>
          <w:tab w:val="left" w:pos="4536"/>
          <w:tab w:val="left" w:pos="5670"/>
        </w:tabs>
        <w:rPr>
          <w:rFonts w:ascii="Times New Roman" w:hAnsi="Times New Roman"/>
          <w:sz w:val="24"/>
          <w:szCs w:val="24"/>
          <w:u w:val="single"/>
        </w:rPr>
      </w:pPr>
      <w:r w:rsidRPr="00E105D7">
        <w:rPr>
          <w:rFonts w:ascii="Times New Roman" w:hAnsi="Times New Roman"/>
          <w:sz w:val="24"/>
          <w:szCs w:val="24"/>
          <w:u w:val="single"/>
        </w:rPr>
        <w:t>Section 4 – Schedules</w:t>
      </w:r>
    </w:p>
    <w:p w14:paraId="0D9E1BAC" w14:textId="77777777" w:rsidR="00F0194D" w:rsidRPr="00E105D7" w:rsidRDefault="00F0194D" w:rsidP="00F0194D">
      <w:pPr>
        <w:tabs>
          <w:tab w:val="left" w:pos="993"/>
          <w:tab w:val="left" w:pos="4536"/>
          <w:tab w:val="left" w:pos="5670"/>
        </w:tabs>
        <w:rPr>
          <w:rFonts w:ascii="Times New Roman" w:hAnsi="Times New Roman"/>
          <w:sz w:val="24"/>
          <w:szCs w:val="24"/>
          <w:u w:val="single"/>
        </w:rPr>
      </w:pPr>
    </w:p>
    <w:p w14:paraId="05984B96" w14:textId="6307F627" w:rsidR="00F0194D" w:rsidRDefault="00F0194D" w:rsidP="00F0194D">
      <w:pPr>
        <w:pStyle w:val="ListNumber"/>
        <w:numPr>
          <w:ilvl w:val="0"/>
          <w:numId w:val="8"/>
        </w:numPr>
        <w:spacing w:after="240"/>
        <w:ind w:left="567" w:hanging="567"/>
        <w:rPr>
          <w:szCs w:val="24"/>
        </w:rPr>
      </w:pPr>
      <w:r w:rsidRPr="00E105D7">
        <w:rPr>
          <w:szCs w:val="24"/>
        </w:rPr>
        <w:t>This section provide</w:t>
      </w:r>
      <w:r>
        <w:rPr>
          <w:szCs w:val="24"/>
        </w:rPr>
        <w:t>s</w:t>
      </w:r>
      <w:r w:rsidRPr="00E105D7">
        <w:rPr>
          <w:szCs w:val="24"/>
        </w:rPr>
        <w:t xml:space="preserve"> that each instrument specified in a Schedule to the Regulations is amended or repealed as set out in the applicable terms in the Schedule concerned, and any other item in a Schedule to this instrument has effect according to its terms. </w:t>
      </w:r>
    </w:p>
    <w:p w14:paraId="3E987283" w14:textId="77777777" w:rsidR="00F0194D" w:rsidRPr="0007195E" w:rsidRDefault="00F0194D" w:rsidP="00F0194D">
      <w:pPr>
        <w:rPr>
          <w:rFonts w:ascii="Times New Roman" w:hAnsi="Times New Roman"/>
          <w:sz w:val="24"/>
          <w:szCs w:val="24"/>
          <w:u w:val="single"/>
        </w:rPr>
      </w:pPr>
      <w:r w:rsidRPr="0007195E">
        <w:rPr>
          <w:rFonts w:ascii="Times New Roman" w:hAnsi="Times New Roman"/>
          <w:sz w:val="24"/>
          <w:szCs w:val="24"/>
          <w:u w:val="single"/>
        </w:rPr>
        <w:t>Schedule 1 – Amendments</w:t>
      </w:r>
    </w:p>
    <w:p w14:paraId="796DEE31" w14:textId="77777777" w:rsidR="00F0194D" w:rsidRDefault="00F0194D" w:rsidP="00F0194D">
      <w:pPr>
        <w:rPr>
          <w:rFonts w:ascii="Times New Roman" w:hAnsi="Times New Roman"/>
          <w:sz w:val="24"/>
          <w:szCs w:val="24"/>
        </w:rPr>
      </w:pPr>
    </w:p>
    <w:p w14:paraId="0957CF81" w14:textId="77777777" w:rsidR="00F0194D" w:rsidRPr="00145F95" w:rsidRDefault="00F0194D" w:rsidP="00F0194D">
      <w:pPr>
        <w:rPr>
          <w:rFonts w:ascii="Times New Roman" w:hAnsi="Times New Roman"/>
          <w:b/>
          <w:sz w:val="24"/>
          <w:szCs w:val="24"/>
        </w:rPr>
      </w:pPr>
      <w:r w:rsidRPr="00145F95">
        <w:rPr>
          <w:rFonts w:ascii="Times New Roman" w:hAnsi="Times New Roman"/>
          <w:b/>
          <w:sz w:val="24"/>
          <w:szCs w:val="24"/>
        </w:rPr>
        <w:t>Item 1</w:t>
      </w:r>
    </w:p>
    <w:p w14:paraId="08C04B87" w14:textId="658ED276" w:rsidR="00F0194D" w:rsidRPr="00145F95" w:rsidRDefault="00F0194D" w:rsidP="00F0194D">
      <w:pPr>
        <w:pStyle w:val="ListNumber"/>
        <w:numPr>
          <w:ilvl w:val="0"/>
          <w:numId w:val="8"/>
        </w:numPr>
        <w:tabs>
          <w:tab w:val="left" w:pos="567"/>
        </w:tabs>
        <w:spacing w:after="240"/>
        <w:ind w:left="567" w:hanging="567"/>
        <w:rPr>
          <w:szCs w:val="24"/>
        </w:rPr>
      </w:pPr>
      <w:r w:rsidRPr="00145F95">
        <w:rPr>
          <w:szCs w:val="24"/>
        </w:rPr>
        <w:t>Item 1 repeal</w:t>
      </w:r>
      <w:r>
        <w:rPr>
          <w:szCs w:val="24"/>
        </w:rPr>
        <w:t>s</w:t>
      </w:r>
      <w:r w:rsidRPr="00145F95">
        <w:rPr>
          <w:szCs w:val="24"/>
        </w:rPr>
        <w:t xml:space="preserve"> r</w:t>
      </w:r>
      <w:r>
        <w:rPr>
          <w:szCs w:val="24"/>
        </w:rPr>
        <w:t xml:space="preserve">egulations 343 and 344 </w:t>
      </w:r>
      <w:r w:rsidRPr="00145F95">
        <w:rPr>
          <w:szCs w:val="24"/>
        </w:rPr>
        <w:t>and substitute</w:t>
      </w:r>
      <w:r>
        <w:rPr>
          <w:szCs w:val="24"/>
        </w:rPr>
        <w:t>s</w:t>
      </w:r>
      <w:r w:rsidRPr="00145F95">
        <w:rPr>
          <w:szCs w:val="24"/>
        </w:rPr>
        <w:t xml:space="preserve"> new provisions </w:t>
      </w:r>
      <w:r>
        <w:rPr>
          <w:szCs w:val="24"/>
        </w:rPr>
        <w:t>which specif</w:t>
      </w:r>
      <w:r w:rsidR="008906CD">
        <w:rPr>
          <w:szCs w:val="24"/>
        </w:rPr>
        <w:t>y</w:t>
      </w:r>
      <w:r>
        <w:rPr>
          <w:szCs w:val="24"/>
        </w:rPr>
        <w:t xml:space="preserve"> </w:t>
      </w:r>
      <w:r w:rsidRPr="00145F95">
        <w:rPr>
          <w:szCs w:val="24"/>
        </w:rPr>
        <w:t>application fees for refrigeration and air-conditioning (RAC)</w:t>
      </w:r>
      <w:r>
        <w:rPr>
          <w:szCs w:val="24"/>
        </w:rPr>
        <w:t xml:space="preserve"> and </w:t>
      </w:r>
      <w:r w:rsidRPr="00145F95">
        <w:rPr>
          <w:szCs w:val="24"/>
        </w:rPr>
        <w:t>fire protection (FP) permits</w:t>
      </w:r>
      <w:r>
        <w:rPr>
          <w:szCs w:val="24"/>
        </w:rPr>
        <w:t>.</w:t>
      </w:r>
      <w:r w:rsidRPr="00145F95">
        <w:rPr>
          <w:szCs w:val="24"/>
        </w:rPr>
        <w:t xml:space="preserve"> </w:t>
      </w:r>
    </w:p>
    <w:p w14:paraId="541E2E58" w14:textId="77777777" w:rsidR="00F0194D" w:rsidRPr="00145F95" w:rsidRDefault="00F0194D" w:rsidP="00F0194D">
      <w:pPr>
        <w:pStyle w:val="ListNumber"/>
        <w:numPr>
          <w:ilvl w:val="0"/>
          <w:numId w:val="0"/>
        </w:numPr>
        <w:spacing w:after="240"/>
        <w:rPr>
          <w:i/>
          <w:szCs w:val="24"/>
        </w:rPr>
      </w:pPr>
      <w:r w:rsidRPr="00145F95">
        <w:rPr>
          <w:i/>
          <w:szCs w:val="24"/>
        </w:rPr>
        <w:t>Regulation 343 – RAC industry permit application fees</w:t>
      </w:r>
    </w:p>
    <w:p w14:paraId="24E4B791" w14:textId="0432E60A" w:rsidR="00F0194D" w:rsidRPr="00145F95" w:rsidRDefault="00F0194D" w:rsidP="00F0194D">
      <w:pPr>
        <w:pStyle w:val="ListNumber"/>
        <w:numPr>
          <w:ilvl w:val="0"/>
          <w:numId w:val="8"/>
        </w:numPr>
        <w:spacing w:after="240"/>
        <w:ind w:left="567" w:hanging="567"/>
        <w:rPr>
          <w:i/>
          <w:szCs w:val="24"/>
        </w:rPr>
      </w:pPr>
      <w:r w:rsidRPr="00145F95">
        <w:rPr>
          <w:szCs w:val="24"/>
        </w:rPr>
        <w:t xml:space="preserve">For the purposes of paragraph 121(1)(c) of the Principal Regulations, the table under subsection 343(1) </w:t>
      </w:r>
      <w:r>
        <w:rPr>
          <w:szCs w:val="24"/>
        </w:rPr>
        <w:t xml:space="preserve">specifies </w:t>
      </w:r>
      <w:r w:rsidRPr="00145F95">
        <w:rPr>
          <w:szCs w:val="24"/>
        </w:rPr>
        <w:t xml:space="preserve">the types of </w:t>
      </w:r>
      <w:r>
        <w:rPr>
          <w:szCs w:val="24"/>
        </w:rPr>
        <w:t xml:space="preserve">licences and </w:t>
      </w:r>
      <w:r w:rsidRPr="00145F95">
        <w:rPr>
          <w:szCs w:val="24"/>
        </w:rPr>
        <w:t xml:space="preserve">permits available under the RAC industry scheme and the </w:t>
      </w:r>
      <w:r>
        <w:rPr>
          <w:szCs w:val="24"/>
        </w:rPr>
        <w:t>relevant</w:t>
      </w:r>
      <w:r w:rsidRPr="00145F95">
        <w:rPr>
          <w:szCs w:val="24"/>
        </w:rPr>
        <w:t xml:space="preserve"> application fee depending on the permit duration. </w:t>
      </w:r>
    </w:p>
    <w:p w14:paraId="75630818" w14:textId="77777777" w:rsidR="00F0194D" w:rsidRPr="00145F95" w:rsidRDefault="00F0194D" w:rsidP="00F0194D">
      <w:pPr>
        <w:pStyle w:val="ListNumber"/>
        <w:numPr>
          <w:ilvl w:val="0"/>
          <w:numId w:val="8"/>
        </w:numPr>
        <w:spacing w:after="240"/>
        <w:ind w:left="567" w:hanging="567"/>
        <w:rPr>
          <w:i/>
          <w:szCs w:val="24"/>
        </w:rPr>
      </w:pPr>
      <w:r>
        <w:rPr>
          <w:szCs w:val="24"/>
        </w:rPr>
        <w:t xml:space="preserve">Permit </w:t>
      </w:r>
      <w:r w:rsidRPr="00145F95">
        <w:rPr>
          <w:szCs w:val="24"/>
        </w:rPr>
        <w:t>durations are available for</w:t>
      </w:r>
      <w:r>
        <w:rPr>
          <w:szCs w:val="24"/>
        </w:rPr>
        <w:t>:</w:t>
      </w:r>
      <w:r w:rsidRPr="00145F95">
        <w:rPr>
          <w:szCs w:val="24"/>
        </w:rPr>
        <w:t xml:space="preserve"> 12 months or less (one year permit),</w:t>
      </w:r>
      <w:r>
        <w:rPr>
          <w:szCs w:val="24"/>
        </w:rPr>
        <w:t xml:space="preserve"> between </w:t>
      </w:r>
      <w:r w:rsidRPr="00145F95">
        <w:rPr>
          <w:szCs w:val="24"/>
        </w:rPr>
        <w:t xml:space="preserve">12 </w:t>
      </w:r>
      <w:r>
        <w:rPr>
          <w:szCs w:val="24"/>
        </w:rPr>
        <w:t>and</w:t>
      </w:r>
      <w:r w:rsidRPr="00145F95">
        <w:rPr>
          <w:szCs w:val="24"/>
        </w:rPr>
        <w:t xml:space="preserve"> 24 months (two year</w:t>
      </w:r>
      <w:r>
        <w:rPr>
          <w:szCs w:val="24"/>
        </w:rPr>
        <w:t xml:space="preserve"> </w:t>
      </w:r>
      <w:r w:rsidRPr="00145F95">
        <w:rPr>
          <w:szCs w:val="24"/>
        </w:rPr>
        <w:t>permit)</w:t>
      </w:r>
      <w:r>
        <w:rPr>
          <w:szCs w:val="24"/>
        </w:rPr>
        <w:t>,</w:t>
      </w:r>
      <w:r w:rsidRPr="00145F95">
        <w:rPr>
          <w:szCs w:val="24"/>
        </w:rPr>
        <w:t xml:space="preserve"> and for </w:t>
      </w:r>
      <w:r>
        <w:rPr>
          <w:szCs w:val="24"/>
        </w:rPr>
        <w:t>between</w:t>
      </w:r>
      <w:r w:rsidRPr="00145F95">
        <w:rPr>
          <w:szCs w:val="24"/>
        </w:rPr>
        <w:t xml:space="preserve"> 24 </w:t>
      </w:r>
      <w:r>
        <w:rPr>
          <w:szCs w:val="24"/>
        </w:rPr>
        <w:t>and</w:t>
      </w:r>
      <w:r w:rsidRPr="0027577A">
        <w:rPr>
          <w:szCs w:val="24"/>
        </w:rPr>
        <w:t xml:space="preserve"> 36 months (three year</w:t>
      </w:r>
      <w:r>
        <w:rPr>
          <w:szCs w:val="24"/>
        </w:rPr>
        <w:t xml:space="preserve"> </w:t>
      </w:r>
      <w:r w:rsidRPr="00145F95">
        <w:rPr>
          <w:szCs w:val="24"/>
        </w:rPr>
        <w:t>permit</w:t>
      </w:r>
      <w:r w:rsidRPr="0027577A">
        <w:rPr>
          <w:szCs w:val="24"/>
        </w:rPr>
        <w:t>).</w:t>
      </w:r>
      <w:r w:rsidRPr="00145F95">
        <w:rPr>
          <w:szCs w:val="24"/>
        </w:rPr>
        <w:t xml:space="preserve"> </w:t>
      </w:r>
      <w:r>
        <w:rPr>
          <w:szCs w:val="24"/>
        </w:rPr>
        <w:t>Maximum p</w:t>
      </w:r>
      <w:r w:rsidRPr="00AF6D5A">
        <w:rPr>
          <w:szCs w:val="24"/>
        </w:rPr>
        <w:t xml:space="preserve">ermit durations </w:t>
      </w:r>
      <w:r>
        <w:rPr>
          <w:szCs w:val="24"/>
        </w:rPr>
        <w:t>were</w:t>
      </w:r>
      <w:r w:rsidRPr="00AF6D5A">
        <w:rPr>
          <w:szCs w:val="24"/>
        </w:rPr>
        <w:t xml:space="preserve"> increased </w:t>
      </w:r>
      <w:r>
        <w:rPr>
          <w:szCs w:val="24"/>
        </w:rPr>
        <w:t xml:space="preserve">from 24 </w:t>
      </w:r>
      <w:r w:rsidRPr="00AF6D5A">
        <w:rPr>
          <w:szCs w:val="24"/>
        </w:rPr>
        <w:t xml:space="preserve">to 36 months in the Principal Regulations </w:t>
      </w:r>
      <w:r>
        <w:rPr>
          <w:szCs w:val="24"/>
        </w:rPr>
        <w:t xml:space="preserve">by </w:t>
      </w:r>
      <w:r w:rsidRPr="00AF6D5A">
        <w:rPr>
          <w:szCs w:val="24"/>
        </w:rPr>
        <w:t xml:space="preserve">amendments made under the </w:t>
      </w:r>
      <w:r w:rsidRPr="00AF6D5A">
        <w:rPr>
          <w:i/>
          <w:szCs w:val="24"/>
        </w:rPr>
        <w:t>Ozone Protection and Synthetic Greenhouse Gas Management Legislation Amendment (2017 Measures No.2) Regulations 2017</w:t>
      </w:r>
      <w:r w:rsidRPr="00AF6D5A">
        <w:rPr>
          <w:szCs w:val="24"/>
        </w:rPr>
        <w:t>.</w:t>
      </w:r>
    </w:p>
    <w:p w14:paraId="733A796D" w14:textId="77777777" w:rsidR="00F0194D" w:rsidRPr="00145F95" w:rsidRDefault="00F0194D" w:rsidP="00F0194D">
      <w:pPr>
        <w:pStyle w:val="ListNumber"/>
        <w:numPr>
          <w:ilvl w:val="0"/>
          <w:numId w:val="8"/>
        </w:numPr>
        <w:spacing w:after="240"/>
        <w:ind w:left="567" w:hanging="567"/>
        <w:rPr>
          <w:i/>
          <w:szCs w:val="24"/>
        </w:rPr>
      </w:pPr>
      <w:r>
        <w:rPr>
          <w:szCs w:val="24"/>
        </w:rPr>
        <w:t>T</w:t>
      </w:r>
      <w:r w:rsidRPr="00145F95">
        <w:rPr>
          <w:szCs w:val="24"/>
        </w:rPr>
        <w:t xml:space="preserve">he fee specified in </w:t>
      </w:r>
      <w:r>
        <w:rPr>
          <w:szCs w:val="24"/>
        </w:rPr>
        <w:t>paragraph</w:t>
      </w:r>
      <w:r w:rsidRPr="00145F95">
        <w:rPr>
          <w:szCs w:val="24"/>
        </w:rPr>
        <w:t xml:space="preserve"> (a) of each item of the table is</w:t>
      </w:r>
      <w:r>
        <w:rPr>
          <w:szCs w:val="24"/>
        </w:rPr>
        <w:t xml:space="preserve"> the application fee for a one year permit in 2018.</w:t>
      </w:r>
      <w:r w:rsidRPr="00145F95">
        <w:rPr>
          <w:szCs w:val="24"/>
        </w:rPr>
        <w:t xml:space="preserve"> </w:t>
      </w:r>
      <w:r>
        <w:rPr>
          <w:szCs w:val="24"/>
        </w:rPr>
        <w:t>It is intended that the one year permit fee also represents a</w:t>
      </w:r>
      <w:r w:rsidRPr="00145F95">
        <w:rPr>
          <w:szCs w:val="24"/>
        </w:rPr>
        <w:t xml:space="preserve"> </w:t>
      </w:r>
      <w:r>
        <w:rPr>
          <w:szCs w:val="24"/>
        </w:rPr>
        <w:t>“</w:t>
      </w:r>
      <w:r w:rsidRPr="00145F95">
        <w:rPr>
          <w:szCs w:val="24"/>
        </w:rPr>
        <w:t>ba</w:t>
      </w:r>
      <w:r>
        <w:rPr>
          <w:szCs w:val="24"/>
        </w:rPr>
        <w:t>se application fee” which can be used to calculate fees for applications for other permits (of the same permit type) of longer durations</w:t>
      </w:r>
      <w:r w:rsidRPr="00145F95">
        <w:rPr>
          <w:szCs w:val="24"/>
        </w:rPr>
        <w:t>. To calculate</w:t>
      </w:r>
      <w:r>
        <w:rPr>
          <w:szCs w:val="24"/>
        </w:rPr>
        <w:t xml:space="preserve"> fees for </w:t>
      </w:r>
      <w:r w:rsidRPr="00145F95">
        <w:rPr>
          <w:szCs w:val="24"/>
        </w:rPr>
        <w:t xml:space="preserve">permit of </w:t>
      </w:r>
      <w:r>
        <w:rPr>
          <w:szCs w:val="24"/>
        </w:rPr>
        <w:t xml:space="preserve">a </w:t>
      </w:r>
      <w:r w:rsidRPr="00145F95">
        <w:rPr>
          <w:szCs w:val="24"/>
        </w:rPr>
        <w:t xml:space="preserve">longer duration in 2018, the base fee under </w:t>
      </w:r>
      <w:r>
        <w:rPr>
          <w:szCs w:val="24"/>
        </w:rPr>
        <w:t>paragraph</w:t>
      </w:r>
      <w:r w:rsidRPr="00145F95">
        <w:rPr>
          <w:szCs w:val="24"/>
        </w:rPr>
        <w:t xml:space="preserve"> (a) would be multiplied</w:t>
      </w:r>
      <w:r>
        <w:rPr>
          <w:szCs w:val="24"/>
        </w:rPr>
        <w:t xml:space="preserve"> by two to calculate the fee for a permit with a two year duration</w:t>
      </w:r>
      <w:r w:rsidRPr="00145F95">
        <w:rPr>
          <w:szCs w:val="24"/>
        </w:rPr>
        <w:t xml:space="preserve">, </w:t>
      </w:r>
      <w:r>
        <w:rPr>
          <w:szCs w:val="24"/>
        </w:rPr>
        <w:t>or</w:t>
      </w:r>
      <w:r w:rsidRPr="00145F95">
        <w:rPr>
          <w:szCs w:val="24"/>
        </w:rPr>
        <w:t xml:space="preserve"> similarly multiplied by three to determine </w:t>
      </w:r>
      <w:r>
        <w:rPr>
          <w:szCs w:val="24"/>
        </w:rPr>
        <w:t>the fee for a permit with a three year duration</w:t>
      </w:r>
      <w:r w:rsidRPr="00145F95">
        <w:rPr>
          <w:szCs w:val="24"/>
        </w:rPr>
        <w:t>.</w:t>
      </w:r>
      <w:r w:rsidRPr="00145F95">
        <w:rPr>
          <w:i/>
          <w:szCs w:val="24"/>
        </w:rPr>
        <w:t xml:space="preserve"> </w:t>
      </w:r>
    </w:p>
    <w:p w14:paraId="25513C6A" w14:textId="026559CF" w:rsidR="00F0194D" w:rsidRPr="00145F95" w:rsidRDefault="00F0194D" w:rsidP="00F0194D">
      <w:pPr>
        <w:pStyle w:val="ListNumber"/>
        <w:numPr>
          <w:ilvl w:val="0"/>
          <w:numId w:val="8"/>
        </w:numPr>
        <w:spacing w:after="240"/>
        <w:ind w:left="567" w:hanging="567"/>
        <w:rPr>
          <w:i/>
          <w:szCs w:val="24"/>
        </w:rPr>
      </w:pPr>
      <w:r>
        <w:rPr>
          <w:szCs w:val="24"/>
        </w:rPr>
        <w:lastRenderedPageBreak/>
        <w:t>S</w:t>
      </w:r>
      <w:r w:rsidRPr="00145F95">
        <w:rPr>
          <w:szCs w:val="24"/>
        </w:rPr>
        <w:t>ub</w:t>
      </w:r>
      <w:r>
        <w:rPr>
          <w:szCs w:val="24"/>
        </w:rPr>
        <w:t>regulation</w:t>
      </w:r>
      <w:r w:rsidRPr="00145F95">
        <w:rPr>
          <w:szCs w:val="24"/>
        </w:rPr>
        <w:t xml:space="preserve"> 343(2) provide</w:t>
      </w:r>
      <w:r>
        <w:rPr>
          <w:szCs w:val="24"/>
        </w:rPr>
        <w:t>s</w:t>
      </w:r>
      <w:r w:rsidRPr="00145F95">
        <w:rPr>
          <w:szCs w:val="24"/>
        </w:rPr>
        <w:t xml:space="preserve"> that, </w:t>
      </w:r>
      <w:r>
        <w:rPr>
          <w:szCs w:val="24"/>
        </w:rPr>
        <w:t xml:space="preserve">if an amount of a fee specified in paragraph (a) of an item in the table in subregulation (1) is increased under regulation 346, the increased fee is to be used in working out the amount of the fee payable for two and three year permits, under paragraphs (b) and (c) respectively, of that item. </w:t>
      </w:r>
      <w:r w:rsidRPr="00145F95">
        <w:rPr>
          <w:szCs w:val="24"/>
        </w:rPr>
        <w:t xml:space="preserve">This increased amount </w:t>
      </w:r>
      <w:r>
        <w:rPr>
          <w:szCs w:val="24"/>
        </w:rPr>
        <w:t xml:space="preserve">under paragraph (a) </w:t>
      </w:r>
      <w:r w:rsidRPr="00145F95">
        <w:rPr>
          <w:szCs w:val="24"/>
        </w:rPr>
        <w:t xml:space="preserve">would then become the new base amount for that year used to calculate the fees payable for </w:t>
      </w:r>
      <w:r>
        <w:rPr>
          <w:szCs w:val="24"/>
        </w:rPr>
        <w:t>two and three year permits</w:t>
      </w:r>
      <w:r w:rsidRPr="00145F95">
        <w:rPr>
          <w:szCs w:val="24"/>
        </w:rPr>
        <w:t>.</w:t>
      </w:r>
      <w:r w:rsidRPr="00145F95">
        <w:rPr>
          <w:i/>
          <w:szCs w:val="24"/>
        </w:rPr>
        <w:t xml:space="preserve"> </w:t>
      </w:r>
    </w:p>
    <w:p w14:paraId="3887850D" w14:textId="77777777" w:rsidR="00F0194D" w:rsidRDefault="00F0194D" w:rsidP="00F0194D">
      <w:pPr>
        <w:pStyle w:val="ListNumber"/>
        <w:numPr>
          <w:ilvl w:val="0"/>
          <w:numId w:val="0"/>
        </w:numPr>
        <w:spacing w:after="240"/>
        <w:ind w:left="873"/>
        <w:rPr>
          <w:szCs w:val="24"/>
        </w:rPr>
      </w:pPr>
      <w:r w:rsidRPr="002D1689">
        <w:rPr>
          <w:szCs w:val="24"/>
        </w:rPr>
        <w:t>For example</w:t>
      </w:r>
      <w:r>
        <w:rPr>
          <w:szCs w:val="24"/>
        </w:rPr>
        <w:t>, the application fee for a</w:t>
      </w:r>
      <w:r w:rsidRPr="002D1689">
        <w:rPr>
          <w:szCs w:val="24"/>
        </w:rPr>
        <w:t xml:space="preserve"> for a two year</w:t>
      </w:r>
      <w:r>
        <w:rPr>
          <w:szCs w:val="24"/>
        </w:rPr>
        <w:t xml:space="preserve"> permit in 2019</w:t>
      </w:r>
      <w:r w:rsidRPr="002D1689">
        <w:rPr>
          <w:szCs w:val="24"/>
        </w:rPr>
        <w:t xml:space="preserve">, </w:t>
      </w:r>
      <w:r>
        <w:rPr>
          <w:szCs w:val="24"/>
        </w:rPr>
        <w:t xml:space="preserve">would be calculated by increasing the </w:t>
      </w:r>
      <w:r w:rsidRPr="002D1689">
        <w:rPr>
          <w:szCs w:val="24"/>
        </w:rPr>
        <w:t>one year</w:t>
      </w:r>
      <w:r>
        <w:rPr>
          <w:szCs w:val="24"/>
        </w:rPr>
        <w:t xml:space="preserve"> permit </w:t>
      </w:r>
      <w:r w:rsidRPr="002D1689">
        <w:rPr>
          <w:szCs w:val="24"/>
        </w:rPr>
        <w:t>fee</w:t>
      </w:r>
      <w:r>
        <w:rPr>
          <w:szCs w:val="24"/>
        </w:rPr>
        <w:t xml:space="preserve"> specified in (a) of the relevant item of the table by the Wage Price Index (WPI) formula under </w:t>
      </w:r>
      <w:r w:rsidRPr="002D1689">
        <w:rPr>
          <w:szCs w:val="24"/>
        </w:rPr>
        <w:t xml:space="preserve">regulation 346, </w:t>
      </w:r>
      <w:r>
        <w:rPr>
          <w:szCs w:val="24"/>
        </w:rPr>
        <w:t>and then multiply the result</w:t>
      </w:r>
      <w:r w:rsidRPr="002D1689">
        <w:rPr>
          <w:szCs w:val="24"/>
        </w:rPr>
        <w:t xml:space="preserve"> by two. Note that the resulting fee amount for a two year </w:t>
      </w:r>
      <w:r>
        <w:rPr>
          <w:szCs w:val="24"/>
        </w:rPr>
        <w:t>permit w</w:t>
      </w:r>
      <w:r w:rsidRPr="002D1689">
        <w:rPr>
          <w:szCs w:val="24"/>
        </w:rPr>
        <w:t xml:space="preserve">ould not then also be subject to regulation 346 (only the fees for a one year </w:t>
      </w:r>
      <w:r>
        <w:rPr>
          <w:szCs w:val="24"/>
        </w:rPr>
        <w:t>permit</w:t>
      </w:r>
      <w:r w:rsidRPr="002D1689">
        <w:rPr>
          <w:szCs w:val="24"/>
        </w:rPr>
        <w:t xml:space="preserve">, listed under each item in </w:t>
      </w:r>
      <w:r>
        <w:rPr>
          <w:szCs w:val="24"/>
        </w:rPr>
        <w:t>paragraph</w:t>
      </w:r>
      <w:r w:rsidRPr="002D1689">
        <w:rPr>
          <w:szCs w:val="24"/>
        </w:rPr>
        <w:t xml:space="preserve"> (a), </w:t>
      </w:r>
      <w:r>
        <w:rPr>
          <w:szCs w:val="24"/>
        </w:rPr>
        <w:t>w</w:t>
      </w:r>
      <w:r w:rsidRPr="002D1689">
        <w:rPr>
          <w:szCs w:val="24"/>
        </w:rPr>
        <w:t>ould be subject to regulation 346).</w:t>
      </w:r>
      <w:r>
        <w:rPr>
          <w:szCs w:val="24"/>
        </w:rPr>
        <w:t xml:space="preserve"> </w:t>
      </w:r>
    </w:p>
    <w:p w14:paraId="420815B2" w14:textId="77777777" w:rsidR="00F0194D" w:rsidRPr="00A8254B" w:rsidRDefault="00F0194D" w:rsidP="00F0194D">
      <w:pPr>
        <w:pStyle w:val="ListNumber"/>
        <w:numPr>
          <w:ilvl w:val="0"/>
          <w:numId w:val="0"/>
        </w:numPr>
        <w:spacing w:after="240"/>
        <w:rPr>
          <w:i/>
          <w:szCs w:val="24"/>
        </w:rPr>
      </w:pPr>
      <w:r w:rsidRPr="00A8254B">
        <w:rPr>
          <w:i/>
          <w:szCs w:val="24"/>
        </w:rPr>
        <w:t>Regulation 344 – FP industry permit application fees</w:t>
      </w:r>
    </w:p>
    <w:p w14:paraId="4B351C90" w14:textId="6043F74E" w:rsidR="00F0194D" w:rsidRPr="00933523" w:rsidRDefault="00F0194D" w:rsidP="00F0194D">
      <w:pPr>
        <w:pStyle w:val="ListNumber"/>
        <w:numPr>
          <w:ilvl w:val="0"/>
          <w:numId w:val="8"/>
        </w:numPr>
        <w:spacing w:after="240"/>
        <w:ind w:left="567" w:hanging="567"/>
        <w:rPr>
          <w:i/>
          <w:szCs w:val="24"/>
        </w:rPr>
      </w:pPr>
      <w:r w:rsidRPr="00933523">
        <w:rPr>
          <w:szCs w:val="24"/>
        </w:rPr>
        <w:t xml:space="preserve">For the purposes of paragraph 313(1)(b) of the Principal Regulations, the table under </w:t>
      </w:r>
      <w:r>
        <w:rPr>
          <w:szCs w:val="24"/>
        </w:rPr>
        <w:t>subsection 344</w:t>
      </w:r>
      <w:r w:rsidRPr="00933523">
        <w:rPr>
          <w:szCs w:val="24"/>
        </w:rPr>
        <w:t>(1) specif</w:t>
      </w:r>
      <w:r>
        <w:rPr>
          <w:szCs w:val="24"/>
        </w:rPr>
        <w:t>ies</w:t>
      </w:r>
      <w:r w:rsidRPr="00933523">
        <w:rPr>
          <w:szCs w:val="24"/>
        </w:rPr>
        <w:t xml:space="preserve"> the types of permits available under the FP ind</w:t>
      </w:r>
      <w:r>
        <w:rPr>
          <w:szCs w:val="24"/>
        </w:rPr>
        <w:t xml:space="preserve">ustry scheme and the relevant </w:t>
      </w:r>
      <w:r w:rsidRPr="00933523">
        <w:rPr>
          <w:szCs w:val="24"/>
        </w:rPr>
        <w:t xml:space="preserve">application fee depending on the permit duration. </w:t>
      </w:r>
    </w:p>
    <w:p w14:paraId="4F95A46B" w14:textId="77777777" w:rsidR="00F0194D" w:rsidRPr="00F91A57" w:rsidRDefault="00F0194D" w:rsidP="00F0194D">
      <w:pPr>
        <w:pStyle w:val="ListNumber"/>
        <w:numPr>
          <w:ilvl w:val="0"/>
          <w:numId w:val="8"/>
        </w:numPr>
        <w:spacing w:after="240"/>
        <w:ind w:left="567" w:hanging="567"/>
        <w:rPr>
          <w:i/>
          <w:szCs w:val="24"/>
        </w:rPr>
      </w:pPr>
      <w:r>
        <w:rPr>
          <w:szCs w:val="24"/>
        </w:rPr>
        <w:t>P</w:t>
      </w:r>
      <w:r w:rsidRPr="00145F95">
        <w:rPr>
          <w:szCs w:val="24"/>
        </w:rPr>
        <w:t>ermit durations are available for</w:t>
      </w:r>
      <w:r>
        <w:rPr>
          <w:szCs w:val="24"/>
        </w:rPr>
        <w:t>:</w:t>
      </w:r>
      <w:r w:rsidRPr="00145F95">
        <w:rPr>
          <w:szCs w:val="24"/>
        </w:rPr>
        <w:t xml:space="preserve"> 12 months or less (one year permit),</w:t>
      </w:r>
      <w:r>
        <w:rPr>
          <w:szCs w:val="24"/>
        </w:rPr>
        <w:t xml:space="preserve"> between </w:t>
      </w:r>
      <w:r w:rsidRPr="00145F95">
        <w:rPr>
          <w:szCs w:val="24"/>
        </w:rPr>
        <w:t xml:space="preserve">12 </w:t>
      </w:r>
      <w:r>
        <w:rPr>
          <w:szCs w:val="24"/>
        </w:rPr>
        <w:t>and</w:t>
      </w:r>
      <w:r w:rsidRPr="00145F95">
        <w:rPr>
          <w:szCs w:val="24"/>
        </w:rPr>
        <w:t xml:space="preserve"> 24 months (two year permit)</w:t>
      </w:r>
      <w:r>
        <w:rPr>
          <w:szCs w:val="24"/>
        </w:rPr>
        <w:t>,</w:t>
      </w:r>
      <w:r w:rsidRPr="00145F95">
        <w:rPr>
          <w:szCs w:val="24"/>
        </w:rPr>
        <w:t xml:space="preserve"> and for </w:t>
      </w:r>
      <w:r>
        <w:rPr>
          <w:szCs w:val="24"/>
        </w:rPr>
        <w:t>between</w:t>
      </w:r>
      <w:r w:rsidRPr="00145F95">
        <w:rPr>
          <w:szCs w:val="24"/>
        </w:rPr>
        <w:t xml:space="preserve"> 24 </w:t>
      </w:r>
      <w:r>
        <w:rPr>
          <w:szCs w:val="24"/>
        </w:rPr>
        <w:t>and</w:t>
      </w:r>
      <w:r w:rsidRPr="0027577A">
        <w:rPr>
          <w:szCs w:val="24"/>
        </w:rPr>
        <w:t xml:space="preserve"> 36 months (three year </w:t>
      </w:r>
      <w:r w:rsidRPr="00145F95">
        <w:rPr>
          <w:szCs w:val="24"/>
        </w:rPr>
        <w:t>permit</w:t>
      </w:r>
      <w:r w:rsidRPr="0027577A">
        <w:rPr>
          <w:szCs w:val="24"/>
        </w:rPr>
        <w:t>).</w:t>
      </w:r>
      <w:r w:rsidRPr="00145F95">
        <w:rPr>
          <w:szCs w:val="24"/>
        </w:rPr>
        <w:t xml:space="preserve"> </w:t>
      </w:r>
      <w:r>
        <w:rPr>
          <w:szCs w:val="24"/>
        </w:rPr>
        <w:t>Maximum p</w:t>
      </w:r>
      <w:r w:rsidRPr="00AF6D5A">
        <w:rPr>
          <w:szCs w:val="24"/>
        </w:rPr>
        <w:t xml:space="preserve">ermit durations </w:t>
      </w:r>
      <w:r>
        <w:rPr>
          <w:szCs w:val="24"/>
        </w:rPr>
        <w:t>were</w:t>
      </w:r>
      <w:r w:rsidRPr="00AF6D5A">
        <w:rPr>
          <w:szCs w:val="24"/>
        </w:rPr>
        <w:t xml:space="preserve"> increased </w:t>
      </w:r>
      <w:r>
        <w:rPr>
          <w:szCs w:val="24"/>
        </w:rPr>
        <w:t xml:space="preserve">from 24 </w:t>
      </w:r>
      <w:r w:rsidRPr="00AF6D5A">
        <w:rPr>
          <w:szCs w:val="24"/>
        </w:rPr>
        <w:t xml:space="preserve">to 36 months in the Principal Regulations </w:t>
      </w:r>
      <w:r>
        <w:rPr>
          <w:szCs w:val="24"/>
        </w:rPr>
        <w:t xml:space="preserve">by </w:t>
      </w:r>
      <w:r w:rsidRPr="00AF6D5A">
        <w:rPr>
          <w:szCs w:val="24"/>
        </w:rPr>
        <w:t xml:space="preserve">amendments made under the </w:t>
      </w:r>
      <w:r w:rsidRPr="00AF6D5A">
        <w:rPr>
          <w:i/>
          <w:szCs w:val="24"/>
        </w:rPr>
        <w:t>Ozone Protection and Synthetic Greenhouse Gas Management Legislation Amendment (2017 Measures No.2) Regulations 2017</w:t>
      </w:r>
      <w:r w:rsidRPr="00AF6D5A">
        <w:rPr>
          <w:szCs w:val="24"/>
        </w:rPr>
        <w:t>.</w:t>
      </w:r>
    </w:p>
    <w:p w14:paraId="3AD16A1F" w14:textId="77777777" w:rsidR="00F0194D" w:rsidRPr="00F91A57" w:rsidRDefault="00F0194D" w:rsidP="00F0194D">
      <w:pPr>
        <w:pStyle w:val="ListNumber"/>
        <w:numPr>
          <w:ilvl w:val="0"/>
          <w:numId w:val="8"/>
        </w:numPr>
        <w:spacing w:after="240"/>
        <w:ind w:left="567" w:hanging="567"/>
        <w:rPr>
          <w:i/>
          <w:szCs w:val="24"/>
        </w:rPr>
      </w:pPr>
      <w:r>
        <w:rPr>
          <w:szCs w:val="24"/>
        </w:rPr>
        <w:t>T</w:t>
      </w:r>
      <w:r w:rsidRPr="00145F95">
        <w:rPr>
          <w:szCs w:val="24"/>
        </w:rPr>
        <w:t xml:space="preserve">he fee specified in </w:t>
      </w:r>
      <w:r>
        <w:rPr>
          <w:szCs w:val="24"/>
        </w:rPr>
        <w:t>paragraph</w:t>
      </w:r>
      <w:r w:rsidRPr="00145F95">
        <w:rPr>
          <w:szCs w:val="24"/>
        </w:rPr>
        <w:t xml:space="preserve"> (a) of each item of the table is</w:t>
      </w:r>
      <w:r>
        <w:rPr>
          <w:szCs w:val="24"/>
        </w:rPr>
        <w:t xml:space="preserve"> the application fee for a one year permit in 2018. It is intended that the one year permit fee also represents a</w:t>
      </w:r>
      <w:r w:rsidRPr="00145F95">
        <w:rPr>
          <w:szCs w:val="24"/>
        </w:rPr>
        <w:t xml:space="preserve"> </w:t>
      </w:r>
      <w:r>
        <w:rPr>
          <w:szCs w:val="24"/>
        </w:rPr>
        <w:t>“</w:t>
      </w:r>
      <w:r w:rsidRPr="00145F95">
        <w:rPr>
          <w:szCs w:val="24"/>
        </w:rPr>
        <w:t>ba</w:t>
      </w:r>
      <w:r>
        <w:rPr>
          <w:szCs w:val="24"/>
        </w:rPr>
        <w:t>se application fee” which can be used to calculate fees for applications for other permits (of the same permit type) of longer durations</w:t>
      </w:r>
      <w:r w:rsidRPr="00145F95">
        <w:rPr>
          <w:szCs w:val="24"/>
        </w:rPr>
        <w:t>. To calculate</w:t>
      </w:r>
      <w:r>
        <w:rPr>
          <w:szCs w:val="24"/>
        </w:rPr>
        <w:t xml:space="preserve"> fees for a</w:t>
      </w:r>
      <w:r w:rsidRPr="00145F95">
        <w:rPr>
          <w:szCs w:val="24"/>
        </w:rPr>
        <w:t xml:space="preserve"> permit of </w:t>
      </w:r>
      <w:r>
        <w:rPr>
          <w:szCs w:val="24"/>
        </w:rPr>
        <w:t xml:space="preserve">a </w:t>
      </w:r>
      <w:r w:rsidRPr="00145F95">
        <w:rPr>
          <w:szCs w:val="24"/>
        </w:rPr>
        <w:t xml:space="preserve">longer duration in 2018, the base fee under </w:t>
      </w:r>
      <w:r>
        <w:rPr>
          <w:szCs w:val="24"/>
        </w:rPr>
        <w:t>paragraph</w:t>
      </w:r>
      <w:r w:rsidRPr="00145F95">
        <w:rPr>
          <w:szCs w:val="24"/>
        </w:rPr>
        <w:t xml:space="preserve"> (a) would be multiplied</w:t>
      </w:r>
      <w:r>
        <w:rPr>
          <w:szCs w:val="24"/>
        </w:rPr>
        <w:t xml:space="preserve"> by two to calculate the fee for a permit with a two year duration</w:t>
      </w:r>
      <w:r w:rsidRPr="00145F95">
        <w:rPr>
          <w:szCs w:val="24"/>
        </w:rPr>
        <w:t xml:space="preserve">, </w:t>
      </w:r>
      <w:r>
        <w:rPr>
          <w:szCs w:val="24"/>
        </w:rPr>
        <w:t>or</w:t>
      </w:r>
      <w:r w:rsidRPr="00145F95">
        <w:rPr>
          <w:szCs w:val="24"/>
        </w:rPr>
        <w:t xml:space="preserve"> similarly multiplied by three to determine </w:t>
      </w:r>
      <w:r>
        <w:rPr>
          <w:szCs w:val="24"/>
        </w:rPr>
        <w:t>the fee for a permit with a three year duration</w:t>
      </w:r>
      <w:r w:rsidRPr="00145F95">
        <w:rPr>
          <w:szCs w:val="24"/>
        </w:rPr>
        <w:t>.</w:t>
      </w:r>
      <w:r w:rsidRPr="00145F95">
        <w:rPr>
          <w:i/>
          <w:szCs w:val="24"/>
        </w:rPr>
        <w:t xml:space="preserve"> </w:t>
      </w:r>
    </w:p>
    <w:p w14:paraId="0EE10B85" w14:textId="2504BBF8" w:rsidR="00F0194D" w:rsidRPr="00145F95" w:rsidRDefault="00F0194D" w:rsidP="00F0194D">
      <w:pPr>
        <w:pStyle w:val="ListNumber"/>
        <w:numPr>
          <w:ilvl w:val="0"/>
          <w:numId w:val="8"/>
        </w:numPr>
        <w:spacing w:after="240"/>
        <w:ind w:left="567" w:hanging="567"/>
        <w:rPr>
          <w:i/>
          <w:szCs w:val="24"/>
        </w:rPr>
      </w:pPr>
      <w:r>
        <w:rPr>
          <w:szCs w:val="24"/>
        </w:rPr>
        <w:t>S</w:t>
      </w:r>
      <w:r w:rsidRPr="00145F95">
        <w:rPr>
          <w:szCs w:val="24"/>
        </w:rPr>
        <w:t>ub</w:t>
      </w:r>
      <w:r>
        <w:rPr>
          <w:szCs w:val="24"/>
        </w:rPr>
        <w:t>regulation</w:t>
      </w:r>
      <w:r w:rsidRPr="00145F95">
        <w:rPr>
          <w:szCs w:val="24"/>
        </w:rPr>
        <w:t xml:space="preserve"> </w:t>
      </w:r>
      <w:r>
        <w:rPr>
          <w:szCs w:val="24"/>
        </w:rPr>
        <w:t>344</w:t>
      </w:r>
      <w:r w:rsidRPr="00145F95">
        <w:rPr>
          <w:szCs w:val="24"/>
        </w:rPr>
        <w:t>(2) provide</w:t>
      </w:r>
      <w:r w:rsidR="004B5C1E">
        <w:rPr>
          <w:szCs w:val="24"/>
        </w:rPr>
        <w:t>s</w:t>
      </w:r>
      <w:r w:rsidRPr="00145F95">
        <w:rPr>
          <w:szCs w:val="24"/>
        </w:rPr>
        <w:t xml:space="preserve"> that, </w:t>
      </w:r>
      <w:r>
        <w:rPr>
          <w:szCs w:val="24"/>
        </w:rPr>
        <w:t xml:space="preserve">if an amount of a fee specified in paragraph (a) of an item in the table in subregulation (1) is increased under regulation 346, the increased fee is to be used in working out the amount of the fee payable for two and three year permits, under paragraphs (b) and (c) respectively, of that item. </w:t>
      </w:r>
      <w:r w:rsidRPr="00145F95">
        <w:rPr>
          <w:szCs w:val="24"/>
        </w:rPr>
        <w:t xml:space="preserve">This increased amount </w:t>
      </w:r>
      <w:r>
        <w:rPr>
          <w:szCs w:val="24"/>
        </w:rPr>
        <w:t xml:space="preserve">under paragraph (a) </w:t>
      </w:r>
      <w:r w:rsidRPr="00145F95">
        <w:rPr>
          <w:szCs w:val="24"/>
        </w:rPr>
        <w:t xml:space="preserve">would then become the new base amount for that year used to calculate the fees payable for </w:t>
      </w:r>
      <w:r>
        <w:rPr>
          <w:szCs w:val="24"/>
        </w:rPr>
        <w:t>two and three year permits</w:t>
      </w:r>
      <w:r w:rsidRPr="00145F95">
        <w:rPr>
          <w:szCs w:val="24"/>
        </w:rPr>
        <w:t>.</w:t>
      </w:r>
      <w:r w:rsidRPr="00145F95">
        <w:rPr>
          <w:i/>
          <w:szCs w:val="24"/>
        </w:rPr>
        <w:t xml:space="preserve"> </w:t>
      </w:r>
    </w:p>
    <w:p w14:paraId="6A83A223" w14:textId="77777777" w:rsidR="00F0194D" w:rsidRDefault="00F0194D" w:rsidP="00F0194D">
      <w:pPr>
        <w:pStyle w:val="ListNumber"/>
        <w:numPr>
          <w:ilvl w:val="0"/>
          <w:numId w:val="0"/>
        </w:numPr>
        <w:spacing w:after="240"/>
        <w:ind w:left="873"/>
        <w:rPr>
          <w:szCs w:val="24"/>
        </w:rPr>
      </w:pPr>
      <w:r w:rsidRPr="002D1689">
        <w:rPr>
          <w:szCs w:val="24"/>
        </w:rPr>
        <w:t>For example</w:t>
      </w:r>
      <w:r>
        <w:rPr>
          <w:szCs w:val="24"/>
        </w:rPr>
        <w:t>, the application fee for a three</w:t>
      </w:r>
      <w:r w:rsidRPr="002D1689">
        <w:rPr>
          <w:szCs w:val="24"/>
        </w:rPr>
        <w:t xml:space="preserve"> year</w:t>
      </w:r>
      <w:r>
        <w:rPr>
          <w:szCs w:val="24"/>
        </w:rPr>
        <w:t xml:space="preserve"> permit in 2019</w:t>
      </w:r>
      <w:r w:rsidRPr="002D1689">
        <w:rPr>
          <w:szCs w:val="24"/>
        </w:rPr>
        <w:t xml:space="preserve">, </w:t>
      </w:r>
      <w:r>
        <w:rPr>
          <w:szCs w:val="24"/>
        </w:rPr>
        <w:t xml:space="preserve">would be calculated by increasing the </w:t>
      </w:r>
      <w:r w:rsidRPr="002D1689">
        <w:rPr>
          <w:szCs w:val="24"/>
        </w:rPr>
        <w:t>one year</w:t>
      </w:r>
      <w:r>
        <w:rPr>
          <w:szCs w:val="24"/>
        </w:rPr>
        <w:t xml:space="preserve"> permit </w:t>
      </w:r>
      <w:r w:rsidRPr="002D1689">
        <w:rPr>
          <w:szCs w:val="24"/>
        </w:rPr>
        <w:t>fee</w:t>
      </w:r>
      <w:r>
        <w:rPr>
          <w:szCs w:val="24"/>
        </w:rPr>
        <w:t xml:space="preserve"> specified in (a) of the relevant item of the table by the WPI formula under </w:t>
      </w:r>
      <w:r w:rsidRPr="002D1689">
        <w:rPr>
          <w:szCs w:val="24"/>
        </w:rPr>
        <w:t xml:space="preserve">regulation 346, </w:t>
      </w:r>
      <w:r>
        <w:rPr>
          <w:szCs w:val="24"/>
        </w:rPr>
        <w:t>and then multiply the result by three</w:t>
      </w:r>
      <w:r w:rsidRPr="002D1689">
        <w:rPr>
          <w:szCs w:val="24"/>
        </w:rPr>
        <w:t>. Note that th</w:t>
      </w:r>
      <w:r>
        <w:rPr>
          <w:szCs w:val="24"/>
        </w:rPr>
        <w:t>e resulting fee amount for a three</w:t>
      </w:r>
      <w:r w:rsidRPr="002D1689">
        <w:rPr>
          <w:szCs w:val="24"/>
        </w:rPr>
        <w:t xml:space="preserve"> year </w:t>
      </w:r>
      <w:r>
        <w:rPr>
          <w:szCs w:val="24"/>
        </w:rPr>
        <w:t>permit w</w:t>
      </w:r>
      <w:r w:rsidRPr="002D1689">
        <w:rPr>
          <w:szCs w:val="24"/>
        </w:rPr>
        <w:t xml:space="preserve">ould not then also be subject to regulation 346 (only the fees for a one year </w:t>
      </w:r>
      <w:r>
        <w:rPr>
          <w:szCs w:val="24"/>
        </w:rPr>
        <w:t>permit</w:t>
      </w:r>
      <w:r w:rsidRPr="002D1689">
        <w:rPr>
          <w:szCs w:val="24"/>
        </w:rPr>
        <w:t xml:space="preserve">, listed under each item in </w:t>
      </w:r>
      <w:r>
        <w:rPr>
          <w:szCs w:val="24"/>
        </w:rPr>
        <w:t>paragraph</w:t>
      </w:r>
      <w:r w:rsidRPr="002D1689">
        <w:rPr>
          <w:szCs w:val="24"/>
        </w:rPr>
        <w:t xml:space="preserve"> (a), </w:t>
      </w:r>
      <w:r>
        <w:rPr>
          <w:szCs w:val="24"/>
        </w:rPr>
        <w:t>w</w:t>
      </w:r>
      <w:r w:rsidRPr="002D1689">
        <w:rPr>
          <w:szCs w:val="24"/>
        </w:rPr>
        <w:t>ould be subject to regulation 346).</w:t>
      </w:r>
      <w:r>
        <w:rPr>
          <w:szCs w:val="24"/>
        </w:rPr>
        <w:t xml:space="preserve"> </w:t>
      </w:r>
    </w:p>
    <w:p w14:paraId="56F01B17" w14:textId="77777777" w:rsidR="00F0194D" w:rsidRPr="00DA3B29" w:rsidRDefault="00F0194D" w:rsidP="00F0194D">
      <w:pPr>
        <w:rPr>
          <w:rFonts w:ascii="Times New Roman" w:hAnsi="Times New Roman"/>
          <w:b/>
          <w:sz w:val="24"/>
          <w:szCs w:val="24"/>
        </w:rPr>
      </w:pPr>
      <w:r w:rsidRPr="00DA3B29">
        <w:rPr>
          <w:rFonts w:ascii="Times New Roman" w:hAnsi="Times New Roman"/>
          <w:b/>
          <w:sz w:val="24"/>
          <w:szCs w:val="24"/>
        </w:rPr>
        <w:t>Item 2</w:t>
      </w:r>
    </w:p>
    <w:p w14:paraId="544C1D4B" w14:textId="340F185A" w:rsidR="00F0194D" w:rsidRDefault="00F0194D" w:rsidP="00F0194D">
      <w:pPr>
        <w:pStyle w:val="ListParagraph"/>
        <w:numPr>
          <w:ilvl w:val="0"/>
          <w:numId w:val="8"/>
        </w:numPr>
        <w:ind w:left="653" w:hanging="720"/>
        <w:rPr>
          <w:rFonts w:ascii="Times New Roman" w:hAnsi="Times New Roman"/>
          <w:sz w:val="24"/>
        </w:rPr>
      </w:pPr>
      <w:r>
        <w:rPr>
          <w:rFonts w:ascii="Times New Roman" w:hAnsi="Times New Roman"/>
          <w:sz w:val="24"/>
        </w:rPr>
        <w:t>Item 2 repeal</w:t>
      </w:r>
      <w:r w:rsidR="008E564D">
        <w:rPr>
          <w:rFonts w:ascii="Times New Roman" w:hAnsi="Times New Roman"/>
          <w:sz w:val="24"/>
        </w:rPr>
        <w:t>s</w:t>
      </w:r>
      <w:r>
        <w:rPr>
          <w:rFonts w:ascii="Times New Roman" w:hAnsi="Times New Roman"/>
          <w:sz w:val="24"/>
        </w:rPr>
        <w:t xml:space="preserve"> subregulation 346(1) and replace</w:t>
      </w:r>
      <w:r w:rsidR="008E564D">
        <w:rPr>
          <w:rFonts w:ascii="Times New Roman" w:hAnsi="Times New Roman"/>
          <w:sz w:val="24"/>
        </w:rPr>
        <w:t>s</w:t>
      </w:r>
      <w:r>
        <w:rPr>
          <w:rFonts w:ascii="Times New Roman" w:hAnsi="Times New Roman"/>
          <w:sz w:val="24"/>
        </w:rPr>
        <w:t xml:space="preserve"> it with a new provision. This provision state</w:t>
      </w:r>
      <w:r w:rsidR="008E564D">
        <w:rPr>
          <w:rFonts w:ascii="Times New Roman" w:hAnsi="Times New Roman"/>
          <w:sz w:val="24"/>
        </w:rPr>
        <w:t>s</w:t>
      </w:r>
      <w:r>
        <w:rPr>
          <w:rFonts w:ascii="Times New Roman" w:hAnsi="Times New Roman"/>
          <w:sz w:val="24"/>
        </w:rPr>
        <w:t xml:space="preserve"> that regulation 346 applies to a fee that is specified in paragraph (a) of an item of the table in subregulations 343(1) and 344(1), and that is in force on 30 September of a calendar year. The provision also state</w:t>
      </w:r>
      <w:r w:rsidR="008E564D">
        <w:rPr>
          <w:rFonts w:ascii="Times New Roman" w:hAnsi="Times New Roman"/>
          <w:sz w:val="24"/>
        </w:rPr>
        <w:t>s</w:t>
      </w:r>
      <w:r>
        <w:rPr>
          <w:rFonts w:ascii="Times New Roman" w:hAnsi="Times New Roman"/>
          <w:sz w:val="24"/>
        </w:rPr>
        <w:t xml:space="preserve"> that regulation 346 applies to an increase in that fee that takes effect on or after 1 January 2019. </w:t>
      </w:r>
    </w:p>
    <w:p w14:paraId="070C9B38" w14:textId="77777777" w:rsidR="00F0194D" w:rsidRDefault="00F0194D" w:rsidP="00F0194D">
      <w:pPr>
        <w:pStyle w:val="ListParagraph"/>
        <w:numPr>
          <w:ilvl w:val="0"/>
          <w:numId w:val="0"/>
        </w:numPr>
        <w:ind w:left="720"/>
        <w:rPr>
          <w:rFonts w:ascii="Times New Roman" w:hAnsi="Times New Roman"/>
          <w:sz w:val="24"/>
        </w:rPr>
      </w:pPr>
    </w:p>
    <w:p w14:paraId="09AB6613" w14:textId="36A08360" w:rsidR="00F0194D" w:rsidRPr="004778EA" w:rsidRDefault="00F0194D" w:rsidP="00F0194D">
      <w:pPr>
        <w:pStyle w:val="ListParagraph"/>
        <w:numPr>
          <w:ilvl w:val="0"/>
          <w:numId w:val="8"/>
        </w:numPr>
        <w:ind w:left="653" w:hanging="720"/>
        <w:rPr>
          <w:rFonts w:ascii="Times New Roman" w:hAnsi="Times New Roman"/>
          <w:sz w:val="24"/>
        </w:rPr>
      </w:pPr>
      <w:r>
        <w:rPr>
          <w:rFonts w:ascii="Times New Roman" w:hAnsi="Times New Roman"/>
          <w:sz w:val="24"/>
        </w:rPr>
        <w:t>This regulation ha</w:t>
      </w:r>
      <w:r w:rsidR="008E564D">
        <w:rPr>
          <w:rFonts w:ascii="Times New Roman" w:hAnsi="Times New Roman"/>
          <w:sz w:val="24"/>
        </w:rPr>
        <w:t>s</w:t>
      </w:r>
      <w:r>
        <w:rPr>
          <w:rFonts w:ascii="Times New Roman" w:hAnsi="Times New Roman"/>
          <w:sz w:val="24"/>
        </w:rPr>
        <w:t xml:space="preserve"> the effect that only the fees specified in paragraph (a) of the tables specified in subregulations 343(1) and 344(1) </w:t>
      </w:r>
      <w:r w:rsidR="008E564D">
        <w:rPr>
          <w:rFonts w:ascii="Times New Roman" w:hAnsi="Times New Roman"/>
          <w:sz w:val="24"/>
        </w:rPr>
        <w:t>are</w:t>
      </w:r>
      <w:r>
        <w:rPr>
          <w:rFonts w:ascii="Times New Roman" w:hAnsi="Times New Roman"/>
          <w:sz w:val="24"/>
        </w:rPr>
        <w:t xml:space="preserve"> subject to the application of the WPI formula under regulation 346. Currently</w:t>
      </w:r>
      <w:r w:rsidRPr="004778EA">
        <w:rPr>
          <w:rFonts w:ascii="Times New Roman" w:hAnsi="Times New Roman"/>
          <w:sz w:val="24"/>
        </w:rPr>
        <w:t xml:space="preserve"> </w:t>
      </w:r>
      <w:r>
        <w:rPr>
          <w:rFonts w:ascii="Times New Roman" w:hAnsi="Times New Roman"/>
          <w:sz w:val="24"/>
        </w:rPr>
        <w:t>regulation 346 applies to all application fees specified under regulations 343 and 344, meaning that both one year permit application fees and two year permit application fees are subject to the WPI increase formula under regulation 346</w:t>
      </w:r>
      <w:r w:rsidRPr="004778EA">
        <w:rPr>
          <w:rFonts w:ascii="Times New Roman" w:hAnsi="Times New Roman"/>
          <w:sz w:val="24"/>
        </w:rPr>
        <w:t xml:space="preserve">. </w:t>
      </w:r>
      <w:r>
        <w:rPr>
          <w:rFonts w:ascii="Times New Roman" w:hAnsi="Times New Roman"/>
          <w:sz w:val="24"/>
        </w:rPr>
        <w:t xml:space="preserve">This has meant that fee amounts are not exact multiples of each other. </w:t>
      </w:r>
    </w:p>
    <w:p w14:paraId="0F779942" w14:textId="77777777" w:rsidR="00F0194D" w:rsidRDefault="00F0194D" w:rsidP="00F0194D">
      <w:pPr>
        <w:pStyle w:val="ListParagraph"/>
        <w:numPr>
          <w:ilvl w:val="0"/>
          <w:numId w:val="0"/>
        </w:numPr>
        <w:ind w:left="720"/>
        <w:rPr>
          <w:rFonts w:ascii="Times New Roman" w:hAnsi="Times New Roman"/>
          <w:sz w:val="24"/>
        </w:rPr>
      </w:pPr>
    </w:p>
    <w:p w14:paraId="7A3F2ED9" w14:textId="2432C2E1" w:rsidR="00F0194D" w:rsidRPr="00A87D7C" w:rsidRDefault="00F0194D" w:rsidP="00F0194D">
      <w:pPr>
        <w:pStyle w:val="ListParagraph"/>
        <w:numPr>
          <w:ilvl w:val="0"/>
          <w:numId w:val="8"/>
        </w:numPr>
        <w:ind w:left="653" w:hanging="720"/>
        <w:rPr>
          <w:rFonts w:ascii="Times New Roman" w:hAnsi="Times New Roman"/>
          <w:sz w:val="24"/>
        </w:rPr>
      </w:pPr>
      <w:r>
        <w:rPr>
          <w:rFonts w:ascii="Times New Roman" w:hAnsi="Times New Roman"/>
          <w:sz w:val="24"/>
        </w:rPr>
        <w:t xml:space="preserve">The amendment to subregulation 346(1) </w:t>
      </w:r>
      <w:r w:rsidRPr="00A87D7C">
        <w:rPr>
          <w:rFonts w:ascii="Times New Roman" w:hAnsi="Times New Roman"/>
          <w:sz w:val="24"/>
        </w:rPr>
        <w:t>ensure</w:t>
      </w:r>
      <w:r w:rsidR="008E564D">
        <w:rPr>
          <w:rFonts w:ascii="Times New Roman" w:hAnsi="Times New Roman"/>
          <w:sz w:val="24"/>
        </w:rPr>
        <w:t>s</w:t>
      </w:r>
      <w:r w:rsidRPr="00A87D7C">
        <w:rPr>
          <w:rFonts w:ascii="Times New Roman" w:hAnsi="Times New Roman"/>
          <w:sz w:val="24"/>
        </w:rPr>
        <w:t xml:space="preserve"> t</w:t>
      </w:r>
      <w:r>
        <w:rPr>
          <w:rFonts w:ascii="Times New Roman" w:hAnsi="Times New Roman"/>
          <w:sz w:val="24"/>
        </w:rPr>
        <w:t>hat t</w:t>
      </w:r>
      <w:r w:rsidRPr="00A87D7C">
        <w:rPr>
          <w:rFonts w:ascii="Times New Roman" w:hAnsi="Times New Roman"/>
          <w:sz w:val="24"/>
        </w:rPr>
        <w:t>he</w:t>
      </w:r>
      <w:r>
        <w:rPr>
          <w:rFonts w:ascii="Times New Roman" w:hAnsi="Times New Roman"/>
          <w:sz w:val="24"/>
        </w:rPr>
        <w:t xml:space="preserve"> two and three year application</w:t>
      </w:r>
      <w:r w:rsidRPr="00A87D7C">
        <w:rPr>
          <w:rFonts w:ascii="Times New Roman" w:hAnsi="Times New Roman"/>
          <w:sz w:val="24"/>
        </w:rPr>
        <w:t xml:space="preserve"> fee </w:t>
      </w:r>
      <w:r>
        <w:rPr>
          <w:rFonts w:ascii="Times New Roman" w:hAnsi="Times New Roman"/>
          <w:sz w:val="24"/>
        </w:rPr>
        <w:t>amounts</w:t>
      </w:r>
      <w:r w:rsidRPr="00A87D7C">
        <w:rPr>
          <w:rFonts w:ascii="Times New Roman" w:hAnsi="Times New Roman"/>
          <w:sz w:val="24"/>
        </w:rPr>
        <w:t xml:space="preserve"> </w:t>
      </w:r>
      <w:r>
        <w:rPr>
          <w:rFonts w:ascii="Times New Roman" w:hAnsi="Times New Roman"/>
          <w:sz w:val="24"/>
        </w:rPr>
        <w:t>are</w:t>
      </w:r>
      <w:r w:rsidRPr="00A87D7C">
        <w:rPr>
          <w:rFonts w:ascii="Times New Roman" w:hAnsi="Times New Roman"/>
          <w:sz w:val="24"/>
        </w:rPr>
        <w:t xml:space="preserve"> exact multiples of </w:t>
      </w:r>
      <w:r>
        <w:rPr>
          <w:rFonts w:ascii="Times New Roman" w:hAnsi="Times New Roman"/>
          <w:sz w:val="24"/>
        </w:rPr>
        <w:t>the one year licence and permit application fees</w:t>
      </w:r>
      <w:r w:rsidRPr="00A87D7C">
        <w:rPr>
          <w:rFonts w:ascii="Times New Roman" w:hAnsi="Times New Roman"/>
          <w:sz w:val="24"/>
        </w:rPr>
        <w:t>, which make</w:t>
      </w:r>
      <w:r w:rsidR="00840CF0">
        <w:rPr>
          <w:rFonts w:ascii="Times New Roman" w:hAnsi="Times New Roman"/>
          <w:sz w:val="24"/>
        </w:rPr>
        <w:t>s</w:t>
      </w:r>
      <w:r w:rsidRPr="00A87D7C">
        <w:rPr>
          <w:rFonts w:ascii="Times New Roman" w:hAnsi="Times New Roman"/>
          <w:sz w:val="24"/>
        </w:rPr>
        <w:t xml:space="preserve"> the fee structure more understandable and transparent to applicants. </w:t>
      </w:r>
      <w:r>
        <w:rPr>
          <w:rFonts w:ascii="Times New Roman" w:hAnsi="Times New Roman"/>
          <w:sz w:val="24"/>
        </w:rPr>
        <w:t>This change</w:t>
      </w:r>
      <w:r w:rsidRPr="00A87D7C">
        <w:rPr>
          <w:rFonts w:ascii="Times New Roman" w:hAnsi="Times New Roman"/>
          <w:sz w:val="24"/>
        </w:rPr>
        <w:t xml:space="preserve"> </w:t>
      </w:r>
      <w:r>
        <w:rPr>
          <w:rFonts w:ascii="Times New Roman" w:hAnsi="Times New Roman"/>
          <w:sz w:val="24"/>
        </w:rPr>
        <w:t xml:space="preserve">also </w:t>
      </w:r>
      <w:r w:rsidRPr="00A87D7C">
        <w:rPr>
          <w:rFonts w:ascii="Times New Roman" w:hAnsi="Times New Roman"/>
          <w:sz w:val="24"/>
        </w:rPr>
        <w:t>simplif</w:t>
      </w:r>
      <w:r w:rsidR="00840CF0">
        <w:rPr>
          <w:rFonts w:ascii="Times New Roman" w:hAnsi="Times New Roman"/>
          <w:sz w:val="24"/>
        </w:rPr>
        <w:t>ies</w:t>
      </w:r>
      <w:r w:rsidRPr="00A87D7C">
        <w:rPr>
          <w:rFonts w:ascii="Times New Roman" w:hAnsi="Times New Roman"/>
          <w:sz w:val="24"/>
        </w:rPr>
        <w:t xml:space="preserve"> the administrative application of the WPI calculation. </w:t>
      </w:r>
    </w:p>
    <w:p w14:paraId="64F52BAC" w14:textId="77777777" w:rsidR="00F0194D" w:rsidRPr="00225311" w:rsidRDefault="00F0194D" w:rsidP="00F0194D">
      <w:pPr>
        <w:rPr>
          <w:rFonts w:ascii="Times New Roman" w:hAnsi="Times New Roman"/>
          <w:sz w:val="24"/>
        </w:rPr>
      </w:pPr>
    </w:p>
    <w:p w14:paraId="2C99549B" w14:textId="77777777" w:rsidR="00F0194D" w:rsidRPr="00DA3B29" w:rsidRDefault="00F0194D" w:rsidP="00F0194D">
      <w:pPr>
        <w:rPr>
          <w:rFonts w:ascii="Times New Roman" w:hAnsi="Times New Roman"/>
          <w:b/>
          <w:sz w:val="24"/>
          <w:szCs w:val="24"/>
        </w:rPr>
      </w:pPr>
      <w:r w:rsidRPr="00DA3B29">
        <w:rPr>
          <w:rFonts w:ascii="Times New Roman" w:hAnsi="Times New Roman"/>
          <w:b/>
          <w:sz w:val="24"/>
          <w:szCs w:val="24"/>
        </w:rPr>
        <w:t>Item 3</w:t>
      </w:r>
    </w:p>
    <w:p w14:paraId="114F8019" w14:textId="53FAE00B" w:rsidR="00F0194D" w:rsidRPr="003F65E7" w:rsidRDefault="00F0194D" w:rsidP="00F0194D">
      <w:pPr>
        <w:pStyle w:val="ListParagraph"/>
        <w:numPr>
          <w:ilvl w:val="0"/>
          <w:numId w:val="8"/>
        </w:numPr>
        <w:ind w:left="653" w:hanging="720"/>
        <w:rPr>
          <w:rFonts w:ascii="Times New Roman" w:hAnsi="Times New Roman"/>
          <w:sz w:val="24"/>
        </w:rPr>
      </w:pPr>
      <w:r w:rsidRPr="003F65E7">
        <w:rPr>
          <w:rFonts w:ascii="Times New Roman" w:hAnsi="Times New Roman"/>
          <w:sz w:val="24"/>
        </w:rPr>
        <w:t>Item 3</w:t>
      </w:r>
      <w:r w:rsidR="00840CF0">
        <w:rPr>
          <w:rFonts w:ascii="Times New Roman" w:hAnsi="Times New Roman"/>
          <w:sz w:val="24"/>
        </w:rPr>
        <w:t xml:space="preserve"> </w:t>
      </w:r>
      <w:r w:rsidRPr="003F65E7">
        <w:rPr>
          <w:rFonts w:ascii="Times New Roman" w:hAnsi="Times New Roman"/>
          <w:sz w:val="24"/>
        </w:rPr>
        <w:t>insert</w:t>
      </w:r>
      <w:r w:rsidR="00840CF0">
        <w:rPr>
          <w:rFonts w:ascii="Times New Roman" w:hAnsi="Times New Roman"/>
          <w:sz w:val="24"/>
        </w:rPr>
        <w:t>s</w:t>
      </w:r>
      <w:r w:rsidRPr="003F65E7">
        <w:rPr>
          <w:rFonts w:ascii="Times New Roman" w:hAnsi="Times New Roman"/>
          <w:sz w:val="24"/>
        </w:rPr>
        <w:t xml:space="preserve"> into Part 10 of the Principal Regulations an application provision which clarif</w:t>
      </w:r>
      <w:r w:rsidR="003314B2">
        <w:rPr>
          <w:rFonts w:ascii="Times New Roman" w:hAnsi="Times New Roman"/>
          <w:sz w:val="24"/>
        </w:rPr>
        <w:t>ies</w:t>
      </w:r>
      <w:r w:rsidRPr="003F65E7">
        <w:rPr>
          <w:rFonts w:ascii="Times New Roman" w:hAnsi="Times New Roman"/>
          <w:sz w:val="24"/>
        </w:rPr>
        <w:t xml:space="preserve"> that the Regulations only apply to applicants who have submitted an application on or after the date of commencement of the Regulations. </w:t>
      </w:r>
      <w:r>
        <w:rPr>
          <w:rFonts w:ascii="Times New Roman" w:hAnsi="Times New Roman"/>
          <w:sz w:val="24"/>
        </w:rPr>
        <w:t xml:space="preserve">The </w:t>
      </w:r>
      <w:r w:rsidRPr="00E338D8">
        <w:rPr>
          <w:rFonts w:ascii="Times New Roman" w:hAnsi="Times New Roman"/>
          <w:sz w:val="24"/>
        </w:rPr>
        <w:t xml:space="preserve">Regulations </w:t>
      </w:r>
      <w:r w:rsidR="003314B2">
        <w:rPr>
          <w:rFonts w:ascii="Times New Roman" w:hAnsi="Times New Roman"/>
          <w:sz w:val="24"/>
        </w:rPr>
        <w:t>do</w:t>
      </w:r>
      <w:r w:rsidR="003314B2" w:rsidRPr="00E338D8">
        <w:rPr>
          <w:rFonts w:ascii="Times New Roman" w:hAnsi="Times New Roman"/>
          <w:sz w:val="24"/>
        </w:rPr>
        <w:t xml:space="preserve"> </w:t>
      </w:r>
      <w:r w:rsidRPr="00E338D8">
        <w:rPr>
          <w:rFonts w:ascii="Times New Roman" w:hAnsi="Times New Roman"/>
          <w:sz w:val="24"/>
        </w:rPr>
        <w:t xml:space="preserve">not apply to applications that have already been made (and the accompanying fee paid) in the period between 1 January 2018 and the commencement of the Regulations. Only applications made after the Regulations commence </w:t>
      </w:r>
      <w:r w:rsidR="003314B2">
        <w:rPr>
          <w:rFonts w:ascii="Times New Roman" w:hAnsi="Times New Roman"/>
          <w:sz w:val="24"/>
        </w:rPr>
        <w:t>are</w:t>
      </w:r>
      <w:r w:rsidRPr="00E338D8">
        <w:rPr>
          <w:rFonts w:ascii="Times New Roman" w:hAnsi="Times New Roman"/>
          <w:sz w:val="24"/>
        </w:rPr>
        <w:t xml:space="preserve"> subject to the new fee amounts. </w:t>
      </w:r>
    </w:p>
    <w:p w14:paraId="31F204FE" w14:textId="77777777" w:rsidR="00F0194D" w:rsidRDefault="00F0194D" w:rsidP="00F0194D">
      <w:pPr>
        <w:pStyle w:val="ListNumber"/>
        <w:numPr>
          <w:ilvl w:val="0"/>
          <w:numId w:val="0"/>
        </w:numPr>
        <w:spacing w:after="240"/>
        <w:ind w:left="369" w:hanging="369"/>
        <w:rPr>
          <w:szCs w:val="24"/>
        </w:rPr>
      </w:pPr>
    </w:p>
    <w:p w14:paraId="2CB649CF" w14:textId="77777777" w:rsidR="00F0194D" w:rsidRPr="00E105D7" w:rsidRDefault="00F0194D" w:rsidP="00F0194D">
      <w:pPr>
        <w:pStyle w:val="ListNumber"/>
        <w:numPr>
          <w:ilvl w:val="0"/>
          <w:numId w:val="0"/>
        </w:numPr>
        <w:spacing w:after="240"/>
        <w:ind w:left="369" w:hanging="369"/>
        <w:rPr>
          <w:szCs w:val="24"/>
        </w:rPr>
      </w:pPr>
    </w:p>
    <w:p w14:paraId="2FDC0F07" w14:textId="63C732EA" w:rsidR="002F5DD1" w:rsidRDefault="002F5DD1" w:rsidP="008906CD">
      <w:pPr>
        <w:pStyle w:val="ListNumber"/>
        <w:numPr>
          <w:ilvl w:val="0"/>
          <w:numId w:val="0"/>
        </w:numPr>
        <w:spacing w:after="240"/>
        <w:ind w:left="369" w:hanging="369"/>
        <w:rPr>
          <w:rFonts w:eastAsia="Times New Roman"/>
          <w:szCs w:val="24"/>
        </w:rPr>
      </w:pPr>
    </w:p>
    <w:sectPr w:rsidR="002F5DD1"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608EF" w14:textId="77777777" w:rsidR="00F40B3F" w:rsidRDefault="00F40B3F" w:rsidP="00A60185">
      <w:r>
        <w:separator/>
      </w:r>
    </w:p>
  </w:endnote>
  <w:endnote w:type="continuationSeparator" w:id="0">
    <w:p w14:paraId="7C568301" w14:textId="77777777" w:rsidR="00F40B3F" w:rsidRDefault="00F40B3F"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FA3E" w14:textId="77777777" w:rsidR="003932F3" w:rsidRDefault="00393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1FBB03A2" w14:textId="2556D682" w:rsidR="00F40B3F" w:rsidRDefault="00F40B3F">
        <w:pPr>
          <w:pStyle w:val="Footer"/>
          <w:jc w:val="center"/>
        </w:pPr>
        <w:r w:rsidRPr="00507CB8">
          <w:rPr>
            <w:rFonts w:ascii="Times New Roman" w:hAnsi="Times New Roman"/>
            <w:sz w:val="24"/>
            <w:szCs w:val="24"/>
          </w:rPr>
          <w:fldChar w:fldCharType="begin"/>
        </w:r>
        <w:r w:rsidRPr="00507CB8">
          <w:rPr>
            <w:rFonts w:ascii="Times New Roman" w:hAnsi="Times New Roman"/>
            <w:sz w:val="24"/>
            <w:szCs w:val="24"/>
          </w:rPr>
          <w:instrText xml:space="preserve"> PAGE   \* MERGEFORMAT </w:instrText>
        </w:r>
        <w:r w:rsidRPr="00507CB8">
          <w:rPr>
            <w:rFonts w:ascii="Times New Roman" w:hAnsi="Times New Roman"/>
            <w:sz w:val="24"/>
            <w:szCs w:val="24"/>
          </w:rPr>
          <w:fldChar w:fldCharType="separate"/>
        </w:r>
        <w:r w:rsidR="003932F3">
          <w:rPr>
            <w:rFonts w:ascii="Times New Roman" w:hAnsi="Times New Roman"/>
            <w:noProof/>
            <w:sz w:val="24"/>
            <w:szCs w:val="24"/>
          </w:rPr>
          <w:t>2</w:t>
        </w:r>
        <w:r w:rsidRPr="00507CB8">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C942" w14:textId="77777777" w:rsidR="003932F3" w:rsidRDefault="00393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E0288" w14:textId="77777777" w:rsidR="00F40B3F" w:rsidRDefault="00F40B3F" w:rsidP="00A60185">
      <w:r>
        <w:separator/>
      </w:r>
    </w:p>
  </w:footnote>
  <w:footnote w:type="continuationSeparator" w:id="0">
    <w:p w14:paraId="6E353650" w14:textId="77777777" w:rsidR="00F40B3F" w:rsidRDefault="00F40B3F"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E9B2" w14:textId="77777777" w:rsidR="003932F3" w:rsidRDefault="00393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5BC7" w14:textId="77777777" w:rsidR="003932F3" w:rsidRDefault="00393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0398" w14:textId="77777777" w:rsidR="003932F3" w:rsidRDefault="00393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DF21A5"/>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7BF7606"/>
    <w:multiLevelType w:val="hybridMultilevel"/>
    <w:tmpl w:val="F8E6564C"/>
    <w:lvl w:ilvl="0" w:tplc="2196DD74">
      <w:start w:val="1"/>
      <w:numFmt w:val="lowerLetter"/>
      <w:lvlText w:val="(%1)"/>
      <w:lvlJc w:val="left"/>
      <w:pPr>
        <w:ind w:left="360" w:hanging="360"/>
      </w:pPr>
      <w:rPr>
        <w:rFonts w:ascii="Times New Roman" w:hAnsi="Times New Roman" w:cs="Times New Roman"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BC7611"/>
    <w:multiLevelType w:val="hybridMultilevel"/>
    <w:tmpl w:val="66C8664E"/>
    <w:lvl w:ilvl="0" w:tplc="0C09001B">
      <w:start w:val="1"/>
      <w:numFmt w:val="lowerRoman"/>
      <w:lvlText w:val="%1."/>
      <w:lvlJc w:val="righ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9244AE0C"/>
    <w:lvl w:ilvl="0">
      <w:start w:val="6"/>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2BF512B"/>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8FA4F8C"/>
    <w:multiLevelType w:val="multilevel"/>
    <w:tmpl w:val="CA2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6"/>
  </w:num>
  <w:num w:numId="4">
    <w:abstractNumId w:val="5"/>
  </w:num>
  <w:num w:numId="5">
    <w:abstractNumId w:val="8"/>
  </w:num>
  <w:num w:numId="6">
    <w:abstractNumId w:val="3"/>
    <w:lvlOverride w:ilvl="0">
      <w:lvl w:ilvl="0">
        <w:start w:val="1"/>
        <w:numFmt w:val="bullet"/>
        <w:pStyle w:val="ListBullet"/>
        <w:lvlText w:val=""/>
        <w:lvlJc w:val="left"/>
        <w:pPr>
          <w:ind w:left="369" w:hanging="369"/>
        </w:pPr>
        <w:rPr>
          <w:rFonts w:ascii="Symbol" w:hAnsi="Symbol" w:hint="default"/>
        </w:rPr>
      </w:lvl>
    </w:lvlOverride>
  </w:num>
  <w:num w:numId="7">
    <w:abstractNumId w:val="9"/>
  </w:num>
  <w:num w:numId="8">
    <w:abstractNumId w:val="2"/>
  </w:num>
  <w:num w:numId="9">
    <w:abstractNumId w:val="5"/>
  </w:num>
  <w:num w:numId="10">
    <w:abstractNumId w:val="1"/>
  </w:num>
  <w:num w:numId="11">
    <w:abstractNumId w:val="7"/>
  </w:num>
  <w:num w:numId="12">
    <w:abstractNumId w:val="4"/>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77"/>
    <w:rsid w:val="00004485"/>
    <w:rsid w:val="00004AEE"/>
    <w:rsid w:val="00005CAA"/>
    <w:rsid w:val="00010210"/>
    <w:rsid w:val="000118CA"/>
    <w:rsid w:val="00011E6B"/>
    <w:rsid w:val="00011FA3"/>
    <w:rsid w:val="00012D66"/>
    <w:rsid w:val="00013BE4"/>
    <w:rsid w:val="000140DF"/>
    <w:rsid w:val="00015344"/>
    <w:rsid w:val="00015ADA"/>
    <w:rsid w:val="00016E1A"/>
    <w:rsid w:val="000177E2"/>
    <w:rsid w:val="000208CE"/>
    <w:rsid w:val="00020C99"/>
    <w:rsid w:val="00021864"/>
    <w:rsid w:val="000230EB"/>
    <w:rsid w:val="0002321C"/>
    <w:rsid w:val="0002707B"/>
    <w:rsid w:val="00027187"/>
    <w:rsid w:val="00027550"/>
    <w:rsid w:val="00030BCF"/>
    <w:rsid w:val="00030D2B"/>
    <w:rsid w:val="000311D7"/>
    <w:rsid w:val="000320B2"/>
    <w:rsid w:val="00032392"/>
    <w:rsid w:val="0003302D"/>
    <w:rsid w:val="000334CD"/>
    <w:rsid w:val="00033739"/>
    <w:rsid w:val="000363F0"/>
    <w:rsid w:val="00040283"/>
    <w:rsid w:val="00040864"/>
    <w:rsid w:val="000413A8"/>
    <w:rsid w:val="0005148E"/>
    <w:rsid w:val="00051ACC"/>
    <w:rsid w:val="00052731"/>
    <w:rsid w:val="000528DC"/>
    <w:rsid w:val="0005343C"/>
    <w:rsid w:val="000537C5"/>
    <w:rsid w:val="00053B64"/>
    <w:rsid w:val="000552C6"/>
    <w:rsid w:val="000577FA"/>
    <w:rsid w:val="0006027F"/>
    <w:rsid w:val="00063894"/>
    <w:rsid w:val="00063DE2"/>
    <w:rsid w:val="00064B1B"/>
    <w:rsid w:val="00066CA4"/>
    <w:rsid w:val="00067D9D"/>
    <w:rsid w:val="00072C5A"/>
    <w:rsid w:val="000738A6"/>
    <w:rsid w:val="00073DC4"/>
    <w:rsid w:val="00073EA3"/>
    <w:rsid w:val="00074425"/>
    <w:rsid w:val="00074DC6"/>
    <w:rsid w:val="000759E5"/>
    <w:rsid w:val="00075D05"/>
    <w:rsid w:val="00076109"/>
    <w:rsid w:val="0007697C"/>
    <w:rsid w:val="00076CC3"/>
    <w:rsid w:val="00077DC2"/>
    <w:rsid w:val="000820DB"/>
    <w:rsid w:val="0008393C"/>
    <w:rsid w:val="00084AC6"/>
    <w:rsid w:val="00085323"/>
    <w:rsid w:val="00086390"/>
    <w:rsid w:val="000868B8"/>
    <w:rsid w:val="00090F9E"/>
    <w:rsid w:val="00091608"/>
    <w:rsid w:val="0009333C"/>
    <w:rsid w:val="000936FC"/>
    <w:rsid w:val="00094063"/>
    <w:rsid w:val="00094619"/>
    <w:rsid w:val="0009704F"/>
    <w:rsid w:val="00097CED"/>
    <w:rsid w:val="00097E42"/>
    <w:rsid w:val="000A0F11"/>
    <w:rsid w:val="000A125A"/>
    <w:rsid w:val="000A1519"/>
    <w:rsid w:val="000A57CD"/>
    <w:rsid w:val="000A78C2"/>
    <w:rsid w:val="000B23B3"/>
    <w:rsid w:val="000B3272"/>
    <w:rsid w:val="000B3758"/>
    <w:rsid w:val="000B4CBA"/>
    <w:rsid w:val="000B7681"/>
    <w:rsid w:val="000B7B42"/>
    <w:rsid w:val="000C02B7"/>
    <w:rsid w:val="000C02D7"/>
    <w:rsid w:val="000C4E17"/>
    <w:rsid w:val="000C5100"/>
    <w:rsid w:val="000C5342"/>
    <w:rsid w:val="000C706A"/>
    <w:rsid w:val="000D0968"/>
    <w:rsid w:val="000D1163"/>
    <w:rsid w:val="000D2887"/>
    <w:rsid w:val="000D2A3B"/>
    <w:rsid w:val="000D5DE1"/>
    <w:rsid w:val="000D6D63"/>
    <w:rsid w:val="000D761A"/>
    <w:rsid w:val="000E0081"/>
    <w:rsid w:val="000E07CF"/>
    <w:rsid w:val="000E12D3"/>
    <w:rsid w:val="000E15BE"/>
    <w:rsid w:val="000E27EE"/>
    <w:rsid w:val="000E296C"/>
    <w:rsid w:val="000E31C1"/>
    <w:rsid w:val="000E7D9B"/>
    <w:rsid w:val="000F0D34"/>
    <w:rsid w:val="000F0EAD"/>
    <w:rsid w:val="000F1E0F"/>
    <w:rsid w:val="000F2CF2"/>
    <w:rsid w:val="000F3DEC"/>
    <w:rsid w:val="000F793F"/>
    <w:rsid w:val="00100BD1"/>
    <w:rsid w:val="00100BEF"/>
    <w:rsid w:val="001029B8"/>
    <w:rsid w:val="00103182"/>
    <w:rsid w:val="0010375E"/>
    <w:rsid w:val="00104519"/>
    <w:rsid w:val="0010646B"/>
    <w:rsid w:val="00107A02"/>
    <w:rsid w:val="00111326"/>
    <w:rsid w:val="00113ECE"/>
    <w:rsid w:val="0011498E"/>
    <w:rsid w:val="00115E67"/>
    <w:rsid w:val="001162DC"/>
    <w:rsid w:val="00117996"/>
    <w:rsid w:val="00117A45"/>
    <w:rsid w:val="00121081"/>
    <w:rsid w:val="001224AE"/>
    <w:rsid w:val="00122854"/>
    <w:rsid w:val="001247AC"/>
    <w:rsid w:val="00132576"/>
    <w:rsid w:val="00133226"/>
    <w:rsid w:val="001337D4"/>
    <w:rsid w:val="0013517E"/>
    <w:rsid w:val="00135D9D"/>
    <w:rsid w:val="00137725"/>
    <w:rsid w:val="001445EA"/>
    <w:rsid w:val="00144677"/>
    <w:rsid w:val="00144A70"/>
    <w:rsid w:val="00146954"/>
    <w:rsid w:val="00146F6B"/>
    <w:rsid w:val="00147C12"/>
    <w:rsid w:val="00151FA3"/>
    <w:rsid w:val="001527A1"/>
    <w:rsid w:val="001530DC"/>
    <w:rsid w:val="0015345A"/>
    <w:rsid w:val="00154989"/>
    <w:rsid w:val="00155A9F"/>
    <w:rsid w:val="00160262"/>
    <w:rsid w:val="001616B7"/>
    <w:rsid w:val="00161B25"/>
    <w:rsid w:val="001627F1"/>
    <w:rsid w:val="00164914"/>
    <w:rsid w:val="00165D04"/>
    <w:rsid w:val="0016780A"/>
    <w:rsid w:val="00170800"/>
    <w:rsid w:val="001713FA"/>
    <w:rsid w:val="00173EBF"/>
    <w:rsid w:val="001747BF"/>
    <w:rsid w:val="00174F9D"/>
    <w:rsid w:val="00175890"/>
    <w:rsid w:val="00175ED3"/>
    <w:rsid w:val="001813B9"/>
    <w:rsid w:val="0018152C"/>
    <w:rsid w:val="00181F79"/>
    <w:rsid w:val="001842A2"/>
    <w:rsid w:val="001849B8"/>
    <w:rsid w:val="00184E40"/>
    <w:rsid w:val="001864B1"/>
    <w:rsid w:val="00186D11"/>
    <w:rsid w:val="00187FA8"/>
    <w:rsid w:val="001907FF"/>
    <w:rsid w:val="00192BFE"/>
    <w:rsid w:val="00192F5E"/>
    <w:rsid w:val="00194F36"/>
    <w:rsid w:val="00195825"/>
    <w:rsid w:val="00197472"/>
    <w:rsid w:val="00197772"/>
    <w:rsid w:val="001A3A78"/>
    <w:rsid w:val="001A4B71"/>
    <w:rsid w:val="001A51C8"/>
    <w:rsid w:val="001A59CC"/>
    <w:rsid w:val="001A6BB4"/>
    <w:rsid w:val="001A7331"/>
    <w:rsid w:val="001A7720"/>
    <w:rsid w:val="001A7ED3"/>
    <w:rsid w:val="001B4CA8"/>
    <w:rsid w:val="001B5668"/>
    <w:rsid w:val="001B5E10"/>
    <w:rsid w:val="001B5EA1"/>
    <w:rsid w:val="001C4331"/>
    <w:rsid w:val="001C4F3D"/>
    <w:rsid w:val="001C75FB"/>
    <w:rsid w:val="001C776A"/>
    <w:rsid w:val="001D0C15"/>
    <w:rsid w:val="001D0CDC"/>
    <w:rsid w:val="001D1D82"/>
    <w:rsid w:val="001D28E7"/>
    <w:rsid w:val="001D43E7"/>
    <w:rsid w:val="001D628D"/>
    <w:rsid w:val="001D73E8"/>
    <w:rsid w:val="001E1182"/>
    <w:rsid w:val="001E33B7"/>
    <w:rsid w:val="001E3806"/>
    <w:rsid w:val="001E3AFE"/>
    <w:rsid w:val="001E41BF"/>
    <w:rsid w:val="001E50AE"/>
    <w:rsid w:val="001F04D8"/>
    <w:rsid w:val="001F1431"/>
    <w:rsid w:val="001F23C8"/>
    <w:rsid w:val="00202C90"/>
    <w:rsid w:val="00203FFB"/>
    <w:rsid w:val="00204D77"/>
    <w:rsid w:val="00212871"/>
    <w:rsid w:val="0021358B"/>
    <w:rsid w:val="00213A5A"/>
    <w:rsid w:val="00213DE8"/>
    <w:rsid w:val="00213F73"/>
    <w:rsid w:val="00216118"/>
    <w:rsid w:val="00216180"/>
    <w:rsid w:val="002164A1"/>
    <w:rsid w:val="00216DEE"/>
    <w:rsid w:val="002209AB"/>
    <w:rsid w:val="00220AF4"/>
    <w:rsid w:val="0022287A"/>
    <w:rsid w:val="00223912"/>
    <w:rsid w:val="00224156"/>
    <w:rsid w:val="00224959"/>
    <w:rsid w:val="00225158"/>
    <w:rsid w:val="002251E3"/>
    <w:rsid w:val="002257C1"/>
    <w:rsid w:val="00225F43"/>
    <w:rsid w:val="00226B6F"/>
    <w:rsid w:val="00226D1E"/>
    <w:rsid w:val="00227A95"/>
    <w:rsid w:val="00230B53"/>
    <w:rsid w:val="002316BD"/>
    <w:rsid w:val="00232E6F"/>
    <w:rsid w:val="00242A68"/>
    <w:rsid w:val="00242C2A"/>
    <w:rsid w:val="002473FC"/>
    <w:rsid w:val="00250DCF"/>
    <w:rsid w:val="002510E2"/>
    <w:rsid w:val="002526CB"/>
    <w:rsid w:val="00252D58"/>
    <w:rsid w:val="00252E3C"/>
    <w:rsid w:val="00252F21"/>
    <w:rsid w:val="00255CBB"/>
    <w:rsid w:val="00260296"/>
    <w:rsid w:val="002607BD"/>
    <w:rsid w:val="00260D92"/>
    <w:rsid w:val="00261B10"/>
    <w:rsid w:val="00262198"/>
    <w:rsid w:val="00262B77"/>
    <w:rsid w:val="00262E30"/>
    <w:rsid w:val="00272970"/>
    <w:rsid w:val="00273559"/>
    <w:rsid w:val="00274571"/>
    <w:rsid w:val="00275F8F"/>
    <w:rsid w:val="00276F34"/>
    <w:rsid w:val="00283DE0"/>
    <w:rsid w:val="0028554F"/>
    <w:rsid w:val="00285832"/>
    <w:rsid w:val="00285857"/>
    <w:rsid w:val="00285ADA"/>
    <w:rsid w:val="00285F1B"/>
    <w:rsid w:val="00287CA6"/>
    <w:rsid w:val="002917F2"/>
    <w:rsid w:val="00291A87"/>
    <w:rsid w:val="00292B81"/>
    <w:rsid w:val="00295B42"/>
    <w:rsid w:val="002A17D6"/>
    <w:rsid w:val="002A2972"/>
    <w:rsid w:val="002A46C9"/>
    <w:rsid w:val="002A4D0A"/>
    <w:rsid w:val="002A52C0"/>
    <w:rsid w:val="002A55B4"/>
    <w:rsid w:val="002A7013"/>
    <w:rsid w:val="002B0661"/>
    <w:rsid w:val="002B18AE"/>
    <w:rsid w:val="002B224B"/>
    <w:rsid w:val="002B687A"/>
    <w:rsid w:val="002C1968"/>
    <w:rsid w:val="002C1C93"/>
    <w:rsid w:val="002C5066"/>
    <w:rsid w:val="002C5813"/>
    <w:rsid w:val="002C7AB8"/>
    <w:rsid w:val="002D0EA8"/>
    <w:rsid w:val="002D36A7"/>
    <w:rsid w:val="002D407D"/>
    <w:rsid w:val="002D499A"/>
    <w:rsid w:val="002D4AAC"/>
    <w:rsid w:val="002D5098"/>
    <w:rsid w:val="002D76B5"/>
    <w:rsid w:val="002D78D3"/>
    <w:rsid w:val="002E108B"/>
    <w:rsid w:val="002E11D2"/>
    <w:rsid w:val="002E1FD8"/>
    <w:rsid w:val="002E5249"/>
    <w:rsid w:val="002E5777"/>
    <w:rsid w:val="002E5EC0"/>
    <w:rsid w:val="002E7AE1"/>
    <w:rsid w:val="002E7C87"/>
    <w:rsid w:val="002E7FF3"/>
    <w:rsid w:val="002F045A"/>
    <w:rsid w:val="002F3190"/>
    <w:rsid w:val="002F3BBC"/>
    <w:rsid w:val="002F3C9A"/>
    <w:rsid w:val="002F5DD1"/>
    <w:rsid w:val="002F7791"/>
    <w:rsid w:val="002F78A2"/>
    <w:rsid w:val="0030003C"/>
    <w:rsid w:val="0030039D"/>
    <w:rsid w:val="00300F63"/>
    <w:rsid w:val="00303120"/>
    <w:rsid w:val="00303143"/>
    <w:rsid w:val="0030326F"/>
    <w:rsid w:val="003041AA"/>
    <w:rsid w:val="00305388"/>
    <w:rsid w:val="00305FC2"/>
    <w:rsid w:val="00306305"/>
    <w:rsid w:val="00310701"/>
    <w:rsid w:val="00310C8A"/>
    <w:rsid w:val="003140B5"/>
    <w:rsid w:val="00315980"/>
    <w:rsid w:val="00316F7F"/>
    <w:rsid w:val="003218E8"/>
    <w:rsid w:val="00322407"/>
    <w:rsid w:val="00322479"/>
    <w:rsid w:val="003238C7"/>
    <w:rsid w:val="003245E4"/>
    <w:rsid w:val="00325E34"/>
    <w:rsid w:val="003265D5"/>
    <w:rsid w:val="00330DCE"/>
    <w:rsid w:val="003314B2"/>
    <w:rsid w:val="00331E11"/>
    <w:rsid w:val="00334761"/>
    <w:rsid w:val="00334EE0"/>
    <w:rsid w:val="00337EBC"/>
    <w:rsid w:val="00341DCD"/>
    <w:rsid w:val="00343D0B"/>
    <w:rsid w:val="0034563E"/>
    <w:rsid w:val="0034623C"/>
    <w:rsid w:val="00346AD2"/>
    <w:rsid w:val="00346F33"/>
    <w:rsid w:val="00346F48"/>
    <w:rsid w:val="003518D2"/>
    <w:rsid w:val="003518D6"/>
    <w:rsid w:val="00352255"/>
    <w:rsid w:val="0035460C"/>
    <w:rsid w:val="003556BD"/>
    <w:rsid w:val="00357CA8"/>
    <w:rsid w:val="00365147"/>
    <w:rsid w:val="00366AC1"/>
    <w:rsid w:val="003672A5"/>
    <w:rsid w:val="0037016E"/>
    <w:rsid w:val="00371672"/>
    <w:rsid w:val="00371D54"/>
    <w:rsid w:val="003724B1"/>
    <w:rsid w:val="00372754"/>
    <w:rsid w:val="00372908"/>
    <w:rsid w:val="00372E18"/>
    <w:rsid w:val="00373868"/>
    <w:rsid w:val="0037770C"/>
    <w:rsid w:val="0038047B"/>
    <w:rsid w:val="00382902"/>
    <w:rsid w:val="00382BB8"/>
    <w:rsid w:val="00383020"/>
    <w:rsid w:val="00383801"/>
    <w:rsid w:val="00384032"/>
    <w:rsid w:val="003840AB"/>
    <w:rsid w:val="00384304"/>
    <w:rsid w:val="00386AA2"/>
    <w:rsid w:val="003932F3"/>
    <w:rsid w:val="00394D7E"/>
    <w:rsid w:val="003973AC"/>
    <w:rsid w:val="003975FD"/>
    <w:rsid w:val="003A018E"/>
    <w:rsid w:val="003A513B"/>
    <w:rsid w:val="003A60C4"/>
    <w:rsid w:val="003A775A"/>
    <w:rsid w:val="003B057D"/>
    <w:rsid w:val="003B09D4"/>
    <w:rsid w:val="003B0E4D"/>
    <w:rsid w:val="003B1D76"/>
    <w:rsid w:val="003B60CC"/>
    <w:rsid w:val="003B6945"/>
    <w:rsid w:val="003B7608"/>
    <w:rsid w:val="003C10D3"/>
    <w:rsid w:val="003C1280"/>
    <w:rsid w:val="003C1B25"/>
    <w:rsid w:val="003C2443"/>
    <w:rsid w:val="003C307C"/>
    <w:rsid w:val="003C326A"/>
    <w:rsid w:val="003C5DA3"/>
    <w:rsid w:val="003D2AD9"/>
    <w:rsid w:val="003D3B02"/>
    <w:rsid w:val="003D3DF3"/>
    <w:rsid w:val="003D460B"/>
    <w:rsid w:val="003D4BCD"/>
    <w:rsid w:val="003D6C2B"/>
    <w:rsid w:val="003E01D8"/>
    <w:rsid w:val="003E0452"/>
    <w:rsid w:val="003E0FD4"/>
    <w:rsid w:val="003E2100"/>
    <w:rsid w:val="003E21C9"/>
    <w:rsid w:val="003E56DD"/>
    <w:rsid w:val="003F624F"/>
    <w:rsid w:val="003F6F5B"/>
    <w:rsid w:val="00400F4D"/>
    <w:rsid w:val="004023DA"/>
    <w:rsid w:val="00402FCE"/>
    <w:rsid w:val="004030A7"/>
    <w:rsid w:val="0040342D"/>
    <w:rsid w:val="00411571"/>
    <w:rsid w:val="0041192D"/>
    <w:rsid w:val="00411E9C"/>
    <w:rsid w:val="00413EE1"/>
    <w:rsid w:val="00417866"/>
    <w:rsid w:val="0042128E"/>
    <w:rsid w:val="004221DC"/>
    <w:rsid w:val="00426415"/>
    <w:rsid w:val="00426F88"/>
    <w:rsid w:val="00430240"/>
    <w:rsid w:val="004302A9"/>
    <w:rsid w:val="00432B60"/>
    <w:rsid w:val="00437287"/>
    <w:rsid w:val="004403B2"/>
    <w:rsid w:val="00440698"/>
    <w:rsid w:val="0044116E"/>
    <w:rsid w:val="00442A95"/>
    <w:rsid w:val="00444949"/>
    <w:rsid w:val="004455AF"/>
    <w:rsid w:val="00450634"/>
    <w:rsid w:val="004540E2"/>
    <w:rsid w:val="00454454"/>
    <w:rsid w:val="004561EE"/>
    <w:rsid w:val="004579C9"/>
    <w:rsid w:val="00461201"/>
    <w:rsid w:val="0046345D"/>
    <w:rsid w:val="00467735"/>
    <w:rsid w:val="00467924"/>
    <w:rsid w:val="004701E6"/>
    <w:rsid w:val="004712A5"/>
    <w:rsid w:val="00471658"/>
    <w:rsid w:val="0047266F"/>
    <w:rsid w:val="00472EF0"/>
    <w:rsid w:val="00473C45"/>
    <w:rsid w:val="00475DB6"/>
    <w:rsid w:val="00476D6B"/>
    <w:rsid w:val="004776E5"/>
    <w:rsid w:val="00480C94"/>
    <w:rsid w:val="00480D0A"/>
    <w:rsid w:val="00481FE5"/>
    <w:rsid w:val="00482405"/>
    <w:rsid w:val="00487C17"/>
    <w:rsid w:val="00491694"/>
    <w:rsid w:val="00491C88"/>
    <w:rsid w:val="00492AD6"/>
    <w:rsid w:val="00492C16"/>
    <w:rsid w:val="00493305"/>
    <w:rsid w:val="0049353C"/>
    <w:rsid w:val="00496EBA"/>
    <w:rsid w:val="00497CBF"/>
    <w:rsid w:val="004A0678"/>
    <w:rsid w:val="004A234E"/>
    <w:rsid w:val="004A48A3"/>
    <w:rsid w:val="004B0D92"/>
    <w:rsid w:val="004B0EC0"/>
    <w:rsid w:val="004B33A7"/>
    <w:rsid w:val="004B5C1E"/>
    <w:rsid w:val="004B66F1"/>
    <w:rsid w:val="004B67E8"/>
    <w:rsid w:val="004C2066"/>
    <w:rsid w:val="004C3C88"/>
    <w:rsid w:val="004C3EA0"/>
    <w:rsid w:val="004C4916"/>
    <w:rsid w:val="004C66D4"/>
    <w:rsid w:val="004C739F"/>
    <w:rsid w:val="004C7D27"/>
    <w:rsid w:val="004D00DC"/>
    <w:rsid w:val="004D1F02"/>
    <w:rsid w:val="004D5C3C"/>
    <w:rsid w:val="004E08C1"/>
    <w:rsid w:val="004E2313"/>
    <w:rsid w:val="004E3A26"/>
    <w:rsid w:val="004E6B6B"/>
    <w:rsid w:val="004E7370"/>
    <w:rsid w:val="004E7BE3"/>
    <w:rsid w:val="004F04C6"/>
    <w:rsid w:val="004F3EAC"/>
    <w:rsid w:val="004F42E6"/>
    <w:rsid w:val="004F5427"/>
    <w:rsid w:val="004F6301"/>
    <w:rsid w:val="004F7169"/>
    <w:rsid w:val="00500D66"/>
    <w:rsid w:val="005045BB"/>
    <w:rsid w:val="00507CB8"/>
    <w:rsid w:val="00511BC0"/>
    <w:rsid w:val="00513DB2"/>
    <w:rsid w:val="0051464B"/>
    <w:rsid w:val="00514C88"/>
    <w:rsid w:val="00514C8E"/>
    <w:rsid w:val="00523171"/>
    <w:rsid w:val="005257B7"/>
    <w:rsid w:val="005260AF"/>
    <w:rsid w:val="00527C82"/>
    <w:rsid w:val="00530931"/>
    <w:rsid w:val="00531DBF"/>
    <w:rsid w:val="00534DFC"/>
    <w:rsid w:val="0053552C"/>
    <w:rsid w:val="00535A98"/>
    <w:rsid w:val="00536EF9"/>
    <w:rsid w:val="00537CD2"/>
    <w:rsid w:val="005431DB"/>
    <w:rsid w:val="00543395"/>
    <w:rsid w:val="00543420"/>
    <w:rsid w:val="00545759"/>
    <w:rsid w:val="00545BE0"/>
    <w:rsid w:val="00546930"/>
    <w:rsid w:val="00547887"/>
    <w:rsid w:val="00547E3E"/>
    <w:rsid w:val="00550B91"/>
    <w:rsid w:val="00550E02"/>
    <w:rsid w:val="005510EC"/>
    <w:rsid w:val="00551E0E"/>
    <w:rsid w:val="005535E1"/>
    <w:rsid w:val="00554C6A"/>
    <w:rsid w:val="00555F73"/>
    <w:rsid w:val="0056168A"/>
    <w:rsid w:val="00562282"/>
    <w:rsid w:val="00562312"/>
    <w:rsid w:val="0056287E"/>
    <w:rsid w:val="00562E85"/>
    <w:rsid w:val="0056332F"/>
    <w:rsid w:val="00563BCA"/>
    <w:rsid w:val="005661AD"/>
    <w:rsid w:val="00567C54"/>
    <w:rsid w:val="005719B3"/>
    <w:rsid w:val="0057295E"/>
    <w:rsid w:val="00572C4D"/>
    <w:rsid w:val="005731A7"/>
    <w:rsid w:val="0057368D"/>
    <w:rsid w:val="00574C21"/>
    <w:rsid w:val="00576432"/>
    <w:rsid w:val="00577B25"/>
    <w:rsid w:val="00581C39"/>
    <w:rsid w:val="00582E26"/>
    <w:rsid w:val="005830A6"/>
    <w:rsid w:val="005861F5"/>
    <w:rsid w:val="00586266"/>
    <w:rsid w:val="0058784B"/>
    <w:rsid w:val="005902FA"/>
    <w:rsid w:val="005903B6"/>
    <w:rsid w:val="0059677A"/>
    <w:rsid w:val="005A0247"/>
    <w:rsid w:val="005A0720"/>
    <w:rsid w:val="005A0CE8"/>
    <w:rsid w:val="005A126E"/>
    <w:rsid w:val="005A1CFB"/>
    <w:rsid w:val="005A452F"/>
    <w:rsid w:val="005A4B64"/>
    <w:rsid w:val="005A4DB4"/>
    <w:rsid w:val="005B140D"/>
    <w:rsid w:val="005B2AA4"/>
    <w:rsid w:val="005B3AEF"/>
    <w:rsid w:val="005B44A3"/>
    <w:rsid w:val="005B59B1"/>
    <w:rsid w:val="005B69C4"/>
    <w:rsid w:val="005B6A4B"/>
    <w:rsid w:val="005B6AFC"/>
    <w:rsid w:val="005C1FEA"/>
    <w:rsid w:val="005C3495"/>
    <w:rsid w:val="005D167C"/>
    <w:rsid w:val="005E3DFC"/>
    <w:rsid w:val="005E5942"/>
    <w:rsid w:val="005E60AF"/>
    <w:rsid w:val="005E7CE5"/>
    <w:rsid w:val="005F115B"/>
    <w:rsid w:val="005F1DEA"/>
    <w:rsid w:val="005F2055"/>
    <w:rsid w:val="005F2339"/>
    <w:rsid w:val="005F2705"/>
    <w:rsid w:val="005F3517"/>
    <w:rsid w:val="005F7A66"/>
    <w:rsid w:val="0060156E"/>
    <w:rsid w:val="00604E3F"/>
    <w:rsid w:val="00606EB4"/>
    <w:rsid w:val="00607FC9"/>
    <w:rsid w:val="00621BF2"/>
    <w:rsid w:val="00621E1F"/>
    <w:rsid w:val="00622FE1"/>
    <w:rsid w:val="0062521C"/>
    <w:rsid w:val="0062541E"/>
    <w:rsid w:val="00630250"/>
    <w:rsid w:val="00630A2B"/>
    <w:rsid w:val="00630AD5"/>
    <w:rsid w:val="00631911"/>
    <w:rsid w:val="00632DC7"/>
    <w:rsid w:val="006344B9"/>
    <w:rsid w:val="006357FB"/>
    <w:rsid w:val="00637424"/>
    <w:rsid w:val="006406FC"/>
    <w:rsid w:val="00640708"/>
    <w:rsid w:val="00640E1D"/>
    <w:rsid w:val="00640E57"/>
    <w:rsid w:val="006414BB"/>
    <w:rsid w:val="0064163F"/>
    <w:rsid w:val="006416C8"/>
    <w:rsid w:val="00641FF2"/>
    <w:rsid w:val="00645C7E"/>
    <w:rsid w:val="00646122"/>
    <w:rsid w:val="00651B2E"/>
    <w:rsid w:val="00653B76"/>
    <w:rsid w:val="00653E16"/>
    <w:rsid w:val="006565CD"/>
    <w:rsid w:val="00657220"/>
    <w:rsid w:val="00657362"/>
    <w:rsid w:val="0066104B"/>
    <w:rsid w:val="00662E9D"/>
    <w:rsid w:val="006651A3"/>
    <w:rsid w:val="006655EE"/>
    <w:rsid w:val="00665F5E"/>
    <w:rsid w:val="00667C10"/>
    <w:rsid w:val="00667EF4"/>
    <w:rsid w:val="00671FC5"/>
    <w:rsid w:val="006764FC"/>
    <w:rsid w:val="00676FCA"/>
    <w:rsid w:val="00677177"/>
    <w:rsid w:val="0068612E"/>
    <w:rsid w:val="00686401"/>
    <w:rsid w:val="00687508"/>
    <w:rsid w:val="00687C92"/>
    <w:rsid w:val="0069060F"/>
    <w:rsid w:val="00694647"/>
    <w:rsid w:val="00694A71"/>
    <w:rsid w:val="0069534E"/>
    <w:rsid w:val="006953A7"/>
    <w:rsid w:val="0069669C"/>
    <w:rsid w:val="006978E3"/>
    <w:rsid w:val="006A1200"/>
    <w:rsid w:val="006A218C"/>
    <w:rsid w:val="006A4E3F"/>
    <w:rsid w:val="006A4F4E"/>
    <w:rsid w:val="006A6C23"/>
    <w:rsid w:val="006A7D9E"/>
    <w:rsid w:val="006B14DB"/>
    <w:rsid w:val="006B21C4"/>
    <w:rsid w:val="006B3816"/>
    <w:rsid w:val="006B54EE"/>
    <w:rsid w:val="006B6727"/>
    <w:rsid w:val="006B703E"/>
    <w:rsid w:val="006B79F0"/>
    <w:rsid w:val="006B7F1D"/>
    <w:rsid w:val="006C4A1A"/>
    <w:rsid w:val="006C4A31"/>
    <w:rsid w:val="006C5155"/>
    <w:rsid w:val="006D0393"/>
    <w:rsid w:val="006D1A83"/>
    <w:rsid w:val="006D2168"/>
    <w:rsid w:val="006D2241"/>
    <w:rsid w:val="006E1CFE"/>
    <w:rsid w:val="006E1DD8"/>
    <w:rsid w:val="006E39F8"/>
    <w:rsid w:val="006E615C"/>
    <w:rsid w:val="006E7AA2"/>
    <w:rsid w:val="006F10C4"/>
    <w:rsid w:val="006F40E9"/>
    <w:rsid w:val="006F5603"/>
    <w:rsid w:val="006F607C"/>
    <w:rsid w:val="006F64D2"/>
    <w:rsid w:val="006F7461"/>
    <w:rsid w:val="006F7B87"/>
    <w:rsid w:val="00701400"/>
    <w:rsid w:val="00702F96"/>
    <w:rsid w:val="007037CF"/>
    <w:rsid w:val="00705034"/>
    <w:rsid w:val="00707CF7"/>
    <w:rsid w:val="00711728"/>
    <w:rsid w:val="00712AD1"/>
    <w:rsid w:val="00713E09"/>
    <w:rsid w:val="00714D16"/>
    <w:rsid w:val="00716572"/>
    <w:rsid w:val="007167C0"/>
    <w:rsid w:val="00717557"/>
    <w:rsid w:val="007201B6"/>
    <w:rsid w:val="00720481"/>
    <w:rsid w:val="007204AF"/>
    <w:rsid w:val="007221EF"/>
    <w:rsid w:val="007233D9"/>
    <w:rsid w:val="00724D96"/>
    <w:rsid w:val="00726D19"/>
    <w:rsid w:val="00726D21"/>
    <w:rsid w:val="00730844"/>
    <w:rsid w:val="00733193"/>
    <w:rsid w:val="007349D8"/>
    <w:rsid w:val="00736B0C"/>
    <w:rsid w:val="00744474"/>
    <w:rsid w:val="00744862"/>
    <w:rsid w:val="00744DDA"/>
    <w:rsid w:val="007459F3"/>
    <w:rsid w:val="00745E03"/>
    <w:rsid w:val="00746D3C"/>
    <w:rsid w:val="0074781C"/>
    <w:rsid w:val="007524D2"/>
    <w:rsid w:val="00753887"/>
    <w:rsid w:val="00755688"/>
    <w:rsid w:val="0075732A"/>
    <w:rsid w:val="0075737F"/>
    <w:rsid w:val="007600F8"/>
    <w:rsid w:val="00760262"/>
    <w:rsid w:val="00762033"/>
    <w:rsid w:val="0076310C"/>
    <w:rsid w:val="007650DD"/>
    <w:rsid w:val="0076744F"/>
    <w:rsid w:val="00767BCE"/>
    <w:rsid w:val="00767EFC"/>
    <w:rsid w:val="007707DE"/>
    <w:rsid w:val="00770B5D"/>
    <w:rsid w:val="00770DFA"/>
    <w:rsid w:val="007720C5"/>
    <w:rsid w:val="007732D7"/>
    <w:rsid w:val="00774A32"/>
    <w:rsid w:val="007752F1"/>
    <w:rsid w:val="00776768"/>
    <w:rsid w:val="00777D2D"/>
    <w:rsid w:val="00780775"/>
    <w:rsid w:val="007812DB"/>
    <w:rsid w:val="0078187A"/>
    <w:rsid w:val="00783AFE"/>
    <w:rsid w:val="00787CEC"/>
    <w:rsid w:val="007927BC"/>
    <w:rsid w:val="0079496C"/>
    <w:rsid w:val="00794ED8"/>
    <w:rsid w:val="00795944"/>
    <w:rsid w:val="00795DC2"/>
    <w:rsid w:val="00797855"/>
    <w:rsid w:val="007A2573"/>
    <w:rsid w:val="007A535A"/>
    <w:rsid w:val="007A60CE"/>
    <w:rsid w:val="007B0FFD"/>
    <w:rsid w:val="007B106C"/>
    <w:rsid w:val="007B1A4E"/>
    <w:rsid w:val="007B3D05"/>
    <w:rsid w:val="007B4FB0"/>
    <w:rsid w:val="007B5503"/>
    <w:rsid w:val="007B5D8D"/>
    <w:rsid w:val="007C179C"/>
    <w:rsid w:val="007C666B"/>
    <w:rsid w:val="007C6BB3"/>
    <w:rsid w:val="007D14B4"/>
    <w:rsid w:val="007D160A"/>
    <w:rsid w:val="007D1879"/>
    <w:rsid w:val="007D2220"/>
    <w:rsid w:val="007D3AD7"/>
    <w:rsid w:val="007D7155"/>
    <w:rsid w:val="007D7EB9"/>
    <w:rsid w:val="007E0728"/>
    <w:rsid w:val="007E0B47"/>
    <w:rsid w:val="007E24F6"/>
    <w:rsid w:val="007E50C1"/>
    <w:rsid w:val="007E756C"/>
    <w:rsid w:val="007F08E9"/>
    <w:rsid w:val="007F1E99"/>
    <w:rsid w:val="007F1F8B"/>
    <w:rsid w:val="007F496B"/>
    <w:rsid w:val="007F5FC5"/>
    <w:rsid w:val="007F6594"/>
    <w:rsid w:val="007F6C9D"/>
    <w:rsid w:val="00800E1A"/>
    <w:rsid w:val="00800F64"/>
    <w:rsid w:val="00801050"/>
    <w:rsid w:val="00802D8C"/>
    <w:rsid w:val="00802F0B"/>
    <w:rsid w:val="00802F68"/>
    <w:rsid w:val="00810A67"/>
    <w:rsid w:val="00814806"/>
    <w:rsid w:val="00815601"/>
    <w:rsid w:val="0081648B"/>
    <w:rsid w:val="00822AE0"/>
    <w:rsid w:val="0083288F"/>
    <w:rsid w:val="00832F2A"/>
    <w:rsid w:val="008335DA"/>
    <w:rsid w:val="00833CF7"/>
    <w:rsid w:val="00834CDE"/>
    <w:rsid w:val="00835158"/>
    <w:rsid w:val="0083700A"/>
    <w:rsid w:val="00840CF0"/>
    <w:rsid w:val="00842464"/>
    <w:rsid w:val="00843C93"/>
    <w:rsid w:val="00845601"/>
    <w:rsid w:val="008463FF"/>
    <w:rsid w:val="00846B99"/>
    <w:rsid w:val="00847911"/>
    <w:rsid w:val="008532A5"/>
    <w:rsid w:val="00855987"/>
    <w:rsid w:val="00855C5C"/>
    <w:rsid w:val="00861932"/>
    <w:rsid w:val="00861D86"/>
    <w:rsid w:val="00862EA3"/>
    <w:rsid w:val="008632BA"/>
    <w:rsid w:val="00864F00"/>
    <w:rsid w:val="008656B0"/>
    <w:rsid w:val="008662DF"/>
    <w:rsid w:val="0087265C"/>
    <w:rsid w:val="00873CC7"/>
    <w:rsid w:val="00874CF4"/>
    <w:rsid w:val="00880513"/>
    <w:rsid w:val="0088056D"/>
    <w:rsid w:val="0088295C"/>
    <w:rsid w:val="008841EF"/>
    <w:rsid w:val="00886668"/>
    <w:rsid w:val="00887C3C"/>
    <w:rsid w:val="008906CD"/>
    <w:rsid w:val="008A04CE"/>
    <w:rsid w:val="008A3C96"/>
    <w:rsid w:val="008A55B2"/>
    <w:rsid w:val="008A5662"/>
    <w:rsid w:val="008A59C2"/>
    <w:rsid w:val="008A6851"/>
    <w:rsid w:val="008A6D30"/>
    <w:rsid w:val="008A71FE"/>
    <w:rsid w:val="008B0BDB"/>
    <w:rsid w:val="008B201F"/>
    <w:rsid w:val="008B3513"/>
    <w:rsid w:val="008B4019"/>
    <w:rsid w:val="008B4116"/>
    <w:rsid w:val="008B5087"/>
    <w:rsid w:val="008B65C9"/>
    <w:rsid w:val="008C0AE4"/>
    <w:rsid w:val="008C0E04"/>
    <w:rsid w:val="008C2D4A"/>
    <w:rsid w:val="008C41BA"/>
    <w:rsid w:val="008C631E"/>
    <w:rsid w:val="008C68DE"/>
    <w:rsid w:val="008C6CFB"/>
    <w:rsid w:val="008D3900"/>
    <w:rsid w:val="008D3D9A"/>
    <w:rsid w:val="008D450B"/>
    <w:rsid w:val="008D6E1D"/>
    <w:rsid w:val="008D7DC0"/>
    <w:rsid w:val="008E2D4D"/>
    <w:rsid w:val="008E420B"/>
    <w:rsid w:val="008E5360"/>
    <w:rsid w:val="008E564D"/>
    <w:rsid w:val="008F0404"/>
    <w:rsid w:val="008F39B4"/>
    <w:rsid w:val="008F4162"/>
    <w:rsid w:val="008F7FEC"/>
    <w:rsid w:val="00901FAF"/>
    <w:rsid w:val="009023A4"/>
    <w:rsid w:val="00902F52"/>
    <w:rsid w:val="00903E02"/>
    <w:rsid w:val="00911D71"/>
    <w:rsid w:val="00913175"/>
    <w:rsid w:val="00916EDB"/>
    <w:rsid w:val="00920861"/>
    <w:rsid w:val="00922B13"/>
    <w:rsid w:val="00922BC9"/>
    <w:rsid w:val="009242EF"/>
    <w:rsid w:val="00924655"/>
    <w:rsid w:val="00924F1E"/>
    <w:rsid w:val="009256AB"/>
    <w:rsid w:val="00926C33"/>
    <w:rsid w:val="00926DE7"/>
    <w:rsid w:val="00926FED"/>
    <w:rsid w:val="00932291"/>
    <w:rsid w:val="00932861"/>
    <w:rsid w:val="00932D18"/>
    <w:rsid w:val="0093348A"/>
    <w:rsid w:val="0093408E"/>
    <w:rsid w:val="00934B5D"/>
    <w:rsid w:val="00934FD7"/>
    <w:rsid w:val="00935D0E"/>
    <w:rsid w:val="009361AE"/>
    <w:rsid w:val="00937B2F"/>
    <w:rsid w:val="00940BDC"/>
    <w:rsid w:val="00943882"/>
    <w:rsid w:val="009443C6"/>
    <w:rsid w:val="00944650"/>
    <w:rsid w:val="009454EB"/>
    <w:rsid w:val="0094634C"/>
    <w:rsid w:val="00950DB8"/>
    <w:rsid w:val="00951807"/>
    <w:rsid w:val="00952584"/>
    <w:rsid w:val="0095273C"/>
    <w:rsid w:val="00952DDF"/>
    <w:rsid w:val="00955646"/>
    <w:rsid w:val="009610A3"/>
    <w:rsid w:val="00962F77"/>
    <w:rsid w:val="00963B6A"/>
    <w:rsid w:val="00964460"/>
    <w:rsid w:val="009673D1"/>
    <w:rsid w:val="009676E0"/>
    <w:rsid w:val="009677D2"/>
    <w:rsid w:val="00967D8E"/>
    <w:rsid w:val="00970950"/>
    <w:rsid w:val="00974ED5"/>
    <w:rsid w:val="00976E4C"/>
    <w:rsid w:val="009807C8"/>
    <w:rsid w:val="009812D4"/>
    <w:rsid w:val="009825A4"/>
    <w:rsid w:val="00982AE2"/>
    <w:rsid w:val="009842A7"/>
    <w:rsid w:val="0098750B"/>
    <w:rsid w:val="00990990"/>
    <w:rsid w:val="00990C3A"/>
    <w:rsid w:val="009920D8"/>
    <w:rsid w:val="0099281F"/>
    <w:rsid w:val="009928DF"/>
    <w:rsid w:val="00994090"/>
    <w:rsid w:val="009952F5"/>
    <w:rsid w:val="0099596B"/>
    <w:rsid w:val="009A6048"/>
    <w:rsid w:val="009A6DB7"/>
    <w:rsid w:val="009B38BE"/>
    <w:rsid w:val="009B3EE6"/>
    <w:rsid w:val="009B49D4"/>
    <w:rsid w:val="009B5195"/>
    <w:rsid w:val="009B5A33"/>
    <w:rsid w:val="009C09CC"/>
    <w:rsid w:val="009C0D1B"/>
    <w:rsid w:val="009C3D0F"/>
    <w:rsid w:val="009D2FA8"/>
    <w:rsid w:val="009D3056"/>
    <w:rsid w:val="009D395E"/>
    <w:rsid w:val="009D4737"/>
    <w:rsid w:val="009D6AC9"/>
    <w:rsid w:val="009D77CB"/>
    <w:rsid w:val="009E1375"/>
    <w:rsid w:val="009E1B19"/>
    <w:rsid w:val="009E200A"/>
    <w:rsid w:val="009E4AB5"/>
    <w:rsid w:val="009E5F81"/>
    <w:rsid w:val="009E7165"/>
    <w:rsid w:val="009F00A8"/>
    <w:rsid w:val="009F2C30"/>
    <w:rsid w:val="009F35E2"/>
    <w:rsid w:val="009F65F9"/>
    <w:rsid w:val="009F68BA"/>
    <w:rsid w:val="009F7450"/>
    <w:rsid w:val="00A00361"/>
    <w:rsid w:val="00A05186"/>
    <w:rsid w:val="00A06277"/>
    <w:rsid w:val="00A079DC"/>
    <w:rsid w:val="00A11039"/>
    <w:rsid w:val="00A111C2"/>
    <w:rsid w:val="00A16E85"/>
    <w:rsid w:val="00A17B6F"/>
    <w:rsid w:val="00A22FD1"/>
    <w:rsid w:val="00A249EE"/>
    <w:rsid w:val="00A278A6"/>
    <w:rsid w:val="00A31AAF"/>
    <w:rsid w:val="00A31FCC"/>
    <w:rsid w:val="00A33071"/>
    <w:rsid w:val="00A338E7"/>
    <w:rsid w:val="00A3412C"/>
    <w:rsid w:val="00A35CAA"/>
    <w:rsid w:val="00A35FCB"/>
    <w:rsid w:val="00A36E7F"/>
    <w:rsid w:val="00A4055F"/>
    <w:rsid w:val="00A40CEA"/>
    <w:rsid w:val="00A411D7"/>
    <w:rsid w:val="00A41E65"/>
    <w:rsid w:val="00A42CF7"/>
    <w:rsid w:val="00A43C02"/>
    <w:rsid w:val="00A43E0A"/>
    <w:rsid w:val="00A44F92"/>
    <w:rsid w:val="00A463EF"/>
    <w:rsid w:val="00A4694D"/>
    <w:rsid w:val="00A50036"/>
    <w:rsid w:val="00A50BC5"/>
    <w:rsid w:val="00A51010"/>
    <w:rsid w:val="00A511A0"/>
    <w:rsid w:val="00A52610"/>
    <w:rsid w:val="00A52A86"/>
    <w:rsid w:val="00A530C7"/>
    <w:rsid w:val="00A55F5B"/>
    <w:rsid w:val="00A60185"/>
    <w:rsid w:val="00A62BA0"/>
    <w:rsid w:val="00A661EA"/>
    <w:rsid w:val="00A742DE"/>
    <w:rsid w:val="00A7538E"/>
    <w:rsid w:val="00A75413"/>
    <w:rsid w:val="00A830E5"/>
    <w:rsid w:val="00A84844"/>
    <w:rsid w:val="00A87135"/>
    <w:rsid w:val="00A93280"/>
    <w:rsid w:val="00A9498A"/>
    <w:rsid w:val="00A951EA"/>
    <w:rsid w:val="00A958C2"/>
    <w:rsid w:val="00AA025F"/>
    <w:rsid w:val="00AA2548"/>
    <w:rsid w:val="00AA370E"/>
    <w:rsid w:val="00AA4CBB"/>
    <w:rsid w:val="00AA51FA"/>
    <w:rsid w:val="00AA56D0"/>
    <w:rsid w:val="00AA58C4"/>
    <w:rsid w:val="00AA5C63"/>
    <w:rsid w:val="00AA614F"/>
    <w:rsid w:val="00AA6CB9"/>
    <w:rsid w:val="00AA7003"/>
    <w:rsid w:val="00AB0294"/>
    <w:rsid w:val="00AB045B"/>
    <w:rsid w:val="00AB11C8"/>
    <w:rsid w:val="00AB1621"/>
    <w:rsid w:val="00AB36F7"/>
    <w:rsid w:val="00AB3DF8"/>
    <w:rsid w:val="00AB4541"/>
    <w:rsid w:val="00AB557F"/>
    <w:rsid w:val="00AB749F"/>
    <w:rsid w:val="00AB7D13"/>
    <w:rsid w:val="00AB7D6D"/>
    <w:rsid w:val="00AC06FF"/>
    <w:rsid w:val="00AC08A8"/>
    <w:rsid w:val="00AC0A74"/>
    <w:rsid w:val="00AC0AC1"/>
    <w:rsid w:val="00AC20B4"/>
    <w:rsid w:val="00AC2263"/>
    <w:rsid w:val="00AC250A"/>
    <w:rsid w:val="00AC3C5F"/>
    <w:rsid w:val="00AC3FA0"/>
    <w:rsid w:val="00AC43AB"/>
    <w:rsid w:val="00AC5200"/>
    <w:rsid w:val="00AC5949"/>
    <w:rsid w:val="00AC7689"/>
    <w:rsid w:val="00AC7FF6"/>
    <w:rsid w:val="00AD0D65"/>
    <w:rsid w:val="00AD4CFD"/>
    <w:rsid w:val="00AD56C8"/>
    <w:rsid w:val="00AD58F2"/>
    <w:rsid w:val="00AD7157"/>
    <w:rsid w:val="00AD78D9"/>
    <w:rsid w:val="00AE0765"/>
    <w:rsid w:val="00AE1840"/>
    <w:rsid w:val="00AE1FAF"/>
    <w:rsid w:val="00AE25A7"/>
    <w:rsid w:val="00AF0231"/>
    <w:rsid w:val="00AF1C42"/>
    <w:rsid w:val="00AF23FE"/>
    <w:rsid w:val="00AF2CAE"/>
    <w:rsid w:val="00AF3805"/>
    <w:rsid w:val="00AF3819"/>
    <w:rsid w:val="00AF4AAE"/>
    <w:rsid w:val="00AF4E13"/>
    <w:rsid w:val="00B002E5"/>
    <w:rsid w:val="00B00FF3"/>
    <w:rsid w:val="00B01C42"/>
    <w:rsid w:val="00B0275F"/>
    <w:rsid w:val="00B02F22"/>
    <w:rsid w:val="00B04A5D"/>
    <w:rsid w:val="00B0512A"/>
    <w:rsid w:val="00B0529F"/>
    <w:rsid w:val="00B05E8D"/>
    <w:rsid w:val="00B07FA8"/>
    <w:rsid w:val="00B137EF"/>
    <w:rsid w:val="00B1418B"/>
    <w:rsid w:val="00B148C0"/>
    <w:rsid w:val="00B17562"/>
    <w:rsid w:val="00B21195"/>
    <w:rsid w:val="00B24B22"/>
    <w:rsid w:val="00B24F09"/>
    <w:rsid w:val="00B25310"/>
    <w:rsid w:val="00B2573D"/>
    <w:rsid w:val="00B271C5"/>
    <w:rsid w:val="00B3171E"/>
    <w:rsid w:val="00B31D38"/>
    <w:rsid w:val="00B31E74"/>
    <w:rsid w:val="00B32A40"/>
    <w:rsid w:val="00B32F8F"/>
    <w:rsid w:val="00B333B1"/>
    <w:rsid w:val="00B3492A"/>
    <w:rsid w:val="00B34DB7"/>
    <w:rsid w:val="00B35659"/>
    <w:rsid w:val="00B36636"/>
    <w:rsid w:val="00B40C50"/>
    <w:rsid w:val="00B411F3"/>
    <w:rsid w:val="00B44B7F"/>
    <w:rsid w:val="00B4694D"/>
    <w:rsid w:val="00B46EEA"/>
    <w:rsid w:val="00B51273"/>
    <w:rsid w:val="00B54DE9"/>
    <w:rsid w:val="00B55335"/>
    <w:rsid w:val="00B553EC"/>
    <w:rsid w:val="00B55E3F"/>
    <w:rsid w:val="00B568AD"/>
    <w:rsid w:val="00B63C1E"/>
    <w:rsid w:val="00B640B5"/>
    <w:rsid w:val="00B648F3"/>
    <w:rsid w:val="00B64B0C"/>
    <w:rsid w:val="00B66C7F"/>
    <w:rsid w:val="00B67B4C"/>
    <w:rsid w:val="00B70B6B"/>
    <w:rsid w:val="00B70F42"/>
    <w:rsid w:val="00B7396E"/>
    <w:rsid w:val="00B8075A"/>
    <w:rsid w:val="00B83CC9"/>
    <w:rsid w:val="00B84C54"/>
    <w:rsid w:val="00B864D5"/>
    <w:rsid w:val="00B86F2E"/>
    <w:rsid w:val="00B873B6"/>
    <w:rsid w:val="00B92DA0"/>
    <w:rsid w:val="00B93DD0"/>
    <w:rsid w:val="00B94A9F"/>
    <w:rsid w:val="00B96B7E"/>
    <w:rsid w:val="00B97732"/>
    <w:rsid w:val="00B97A20"/>
    <w:rsid w:val="00BA1D6E"/>
    <w:rsid w:val="00BA638E"/>
    <w:rsid w:val="00BA65A8"/>
    <w:rsid w:val="00BA6D19"/>
    <w:rsid w:val="00BA7461"/>
    <w:rsid w:val="00BA7DA9"/>
    <w:rsid w:val="00BB162E"/>
    <w:rsid w:val="00BB384B"/>
    <w:rsid w:val="00BC2AD7"/>
    <w:rsid w:val="00BC34DD"/>
    <w:rsid w:val="00BC4215"/>
    <w:rsid w:val="00BD05E4"/>
    <w:rsid w:val="00BD1A6F"/>
    <w:rsid w:val="00BD3B20"/>
    <w:rsid w:val="00BD423F"/>
    <w:rsid w:val="00BD4561"/>
    <w:rsid w:val="00BD56BF"/>
    <w:rsid w:val="00BD6676"/>
    <w:rsid w:val="00BD6ACE"/>
    <w:rsid w:val="00BE46D4"/>
    <w:rsid w:val="00BE5AA4"/>
    <w:rsid w:val="00BE5B45"/>
    <w:rsid w:val="00BE6D3C"/>
    <w:rsid w:val="00BE6FD0"/>
    <w:rsid w:val="00BE7852"/>
    <w:rsid w:val="00BF3458"/>
    <w:rsid w:val="00BF4714"/>
    <w:rsid w:val="00BF7CEE"/>
    <w:rsid w:val="00C007F4"/>
    <w:rsid w:val="00C010FA"/>
    <w:rsid w:val="00C03880"/>
    <w:rsid w:val="00C0402F"/>
    <w:rsid w:val="00C07919"/>
    <w:rsid w:val="00C11A37"/>
    <w:rsid w:val="00C12636"/>
    <w:rsid w:val="00C13497"/>
    <w:rsid w:val="00C135CF"/>
    <w:rsid w:val="00C147F3"/>
    <w:rsid w:val="00C15E24"/>
    <w:rsid w:val="00C169BC"/>
    <w:rsid w:val="00C2215C"/>
    <w:rsid w:val="00C2683F"/>
    <w:rsid w:val="00C27046"/>
    <w:rsid w:val="00C27BDE"/>
    <w:rsid w:val="00C3032C"/>
    <w:rsid w:val="00C3184D"/>
    <w:rsid w:val="00C3300D"/>
    <w:rsid w:val="00C3528B"/>
    <w:rsid w:val="00C435DF"/>
    <w:rsid w:val="00C448BF"/>
    <w:rsid w:val="00C460C7"/>
    <w:rsid w:val="00C461DB"/>
    <w:rsid w:val="00C4714E"/>
    <w:rsid w:val="00C51CCA"/>
    <w:rsid w:val="00C54602"/>
    <w:rsid w:val="00C5504F"/>
    <w:rsid w:val="00C57B55"/>
    <w:rsid w:val="00C63376"/>
    <w:rsid w:val="00C63E6D"/>
    <w:rsid w:val="00C6644A"/>
    <w:rsid w:val="00C67679"/>
    <w:rsid w:val="00C679F2"/>
    <w:rsid w:val="00C67D2A"/>
    <w:rsid w:val="00C71550"/>
    <w:rsid w:val="00C74F97"/>
    <w:rsid w:val="00C7658A"/>
    <w:rsid w:val="00C7683B"/>
    <w:rsid w:val="00C80EA6"/>
    <w:rsid w:val="00C8276E"/>
    <w:rsid w:val="00C82B73"/>
    <w:rsid w:val="00C842AC"/>
    <w:rsid w:val="00C902EC"/>
    <w:rsid w:val="00C928ED"/>
    <w:rsid w:val="00C95858"/>
    <w:rsid w:val="00C96111"/>
    <w:rsid w:val="00C96688"/>
    <w:rsid w:val="00C96F35"/>
    <w:rsid w:val="00CA0723"/>
    <w:rsid w:val="00CA3D38"/>
    <w:rsid w:val="00CA7C99"/>
    <w:rsid w:val="00CB1690"/>
    <w:rsid w:val="00CB7492"/>
    <w:rsid w:val="00CC21B2"/>
    <w:rsid w:val="00CC4365"/>
    <w:rsid w:val="00CC4E4B"/>
    <w:rsid w:val="00CC7013"/>
    <w:rsid w:val="00CD11B0"/>
    <w:rsid w:val="00CD207B"/>
    <w:rsid w:val="00CD2316"/>
    <w:rsid w:val="00CD2DBF"/>
    <w:rsid w:val="00CD3904"/>
    <w:rsid w:val="00CD555F"/>
    <w:rsid w:val="00CD5B7E"/>
    <w:rsid w:val="00CE1B23"/>
    <w:rsid w:val="00CE1DCD"/>
    <w:rsid w:val="00CE3006"/>
    <w:rsid w:val="00CE3BB0"/>
    <w:rsid w:val="00CE3FFA"/>
    <w:rsid w:val="00CE71C2"/>
    <w:rsid w:val="00CF0266"/>
    <w:rsid w:val="00CF055A"/>
    <w:rsid w:val="00CF0F34"/>
    <w:rsid w:val="00CF19E5"/>
    <w:rsid w:val="00CF24C3"/>
    <w:rsid w:val="00CF2DE9"/>
    <w:rsid w:val="00CF34E9"/>
    <w:rsid w:val="00CF3700"/>
    <w:rsid w:val="00CF42D5"/>
    <w:rsid w:val="00CF4EDA"/>
    <w:rsid w:val="00CF5AF2"/>
    <w:rsid w:val="00CF659F"/>
    <w:rsid w:val="00CF6952"/>
    <w:rsid w:val="00D021CB"/>
    <w:rsid w:val="00D03E3D"/>
    <w:rsid w:val="00D0611B"/>
    <w:rsid w:val="00D10F1A"/>
    <w:rsid w:val="00D116F8"/>
    <w:rsid w:val="00D1385E"/>
    <w:rsid w:val="00D156E9"/>
    <w:rsid w:val="00D1747C"/>
    <w:rsid w:val="00D17596"/>
    <w:rsid w:val="00D21D54"/>
    <w:rsid w:val="00D22640"/>
    <w:rsid w:val="00D26D3A"/>
    <w:rsid w:val="00D30817"/>
    <w:rsid w:val="00D332D8"/>
    <w:rsid w:val="00D346EF"/>
    <w:rsid w:val="00D35533"/>
    <w:rsid w:val="00D37B86"/>
    <w:rsid w:val="00D37D3D"/>
    <w:rsid w:val="00D44E70"/>
    <w:rsid w:val="00D45D99"/>
    <w:rsid w:val="00D45EE3"/>
    <w:rsid w:val="00D46C08"/>
    <w:rsid w:val="00D47A15"/>
    <w:rsid w:val="00D50618"/>
    <w:rsid w:val="00D509E9"/>
    <w:rsid w:val="00D526EB"/>
    <w:rsid w:val="00D53B1C"/>
    <w:rsid w:val="00D54F8B"/>
    <w:rsid w:val="00D552C8"/>
    <w:rsid w:val="00D55EA0"/>
    <w:rsid w:val="00D57296"/>
    <w:rsid w:val="00D60824"/>
    <w:rsid w:val="00D63E79"/>
    <w:rsid w:val="00D65132"/>
    <w:rsid w:val="00D653C7"/>
    <w:rsid w:val="00D77788"/>
    <w:rsid w:val="00D82A19"/>
    <w:rsid w:val="00D82EBA"/>
    <w:rsid w:val="00D8455C"/>
    <w:rsid w:val="00D95B03"/>
    <w:rsid w:val="00D95CFD"/>
    <w:rsid w:val="00D96C0E"/>
    <w:rsid w:val="00D97050"/>
    <w:rsid w:val="00DA1B12"/>
    <w:rsid w:val="00DA1EB7"/>
    <w:rsid w:val="00DA4EFB"/>
    <w:rsid w:val="00DA54C9"/>
    <w:rsid w:val="00DA6739"/>
    <w:rsid w:val="00DA6CAE"/>
    <w:rsid w:val="00DA7EF0"/>
    <w:rsid w:val="00DB134D"/>
    <w:rsid w:val="00DB1A9E"/>
    <w:rsid w:val="00DB2B73"/>
    <w:rsid w:val="00DB31D6"/>
    <w:rsid w:val="00DB3886"/>
    <w:rsid w:val="00DB4005"/>
    <w:rsid w:val="00DB4216"/>
    <w:rsid w:val="00DB4970"/>
    <w:rsid w:val="00DB4B0E"/>
    <w:rsid w:val="00DC1E73"/>
    <w:rsid w:val="00DC34EB"/>
    <w:rsid w:val="00DC5BFF"/>
    <w:rsid w:val="00DD02B2"/>
    <w:rsid w:val="00DD1157"/>
    <w:rsid w:val="00DD1D46"/>
    <w:rsid w:val="00DD2EA6"/>
    <w:rsid w:val="00DD5558"/>
    <w:rsid w:val="00DD673C"/>
    <w:rsid w:val="00DD70ED"/>
    <w:rsid w:val="00DD777F"/>
    <w:rsid w:val="00DE0FF0"/>
    <w:rsid w:val="00DE4C89"/>
    <w:rsid w:val="00DE56C6"/>
    <w:rsid w:val="00DE7541"/>
    <w:rsid w:val="00DF1E5B"/>
    <w:rsid w:val="00DF2275"/>
    <w:rsid w:val="00DF3F5E"/>
    <w:rsid w:val="00DF41E5"/>
    <w:rsid w:val="00DF4FA0"/>
    <w:rsid w:val="00DF5653"/>
    <w:rsid w:val="00DF5F8B"/>
    <w:rsid w:val="00E0596E"/>
    <w:rsid w:val="00E06F66"/>
    <w:rsid w:val="00E12CB9"/>
    <w:rsid w:val="00E12E18"/>
    <w:rsid w:val="00E13682"/>
    <w:rsid w:val="00E13BE8"/>
    <w:rsid w:val="00E1493B"/>
    <w:rsid w:val="00E14E4B"/>
    <w:rsid w:val="00E17457"/>
    <w:rsid w:val="00E27E73"/>
    <w:rsid w:val="00E308A9"/>
    <w:rsid w:val="00E3140B"/>
    <w:rsid w:val="00E32F61"/>
    <w:rsid w:val="00E336B2"/>
    <w:rsid w:val="00E356E5"/>
    <w:rsid w:val="00E36F81"/>
    <w:rsid w:val="00E3785E"/>
    <w:rsid w:val="00E42077"/>
    <w:rsid w:val="00E4210E"/>
    <w:rsid w:val="00E430AC"/>
    <w:rsid w:val="00E45765"/>
    <w:rsid w:val="00E4661E"/>
    <w:rsid w:val="00E46E2B"/>
    <w:rsid w:val="00E5098C"/>
    <w:rsid w:val="00E514B2"/>
    <w:rsid w:val="00E53327"/>
    <w:rsid w:val="00E60213"/>
    <w:rsid w:val="00E6258B"/>
    <w:rsid w:val="00E64BE8"/>
    <w:rsid w:val="00E65835"/>
    <w:rsid w:val="00E661B2"/>
    <w:rsid w:val="00E67864"/>
    <w:rsid w:val="00E72CB4"/>
    <w:rsid w:val="00E73722"/>
    <w:rsid w:val="00E74D29"/>
    <w:rsid w:val="00E80022"/>
    <w:rsid w:val="00E81AD1"/>
    <w:rsid w:val="00E82F62"/>
    <w:rsid w:val="00E83C74"/>
    <w:rsid w:val="00E83CEE"/>
    <w:rsid w:val="00E87E40"/>
    <w:rsid w:val="00E91F18"/>
    <w:rsid w:val="00E9226D"/>
    <w:rsid w:val="00E94C41"/>
    <w:rsid w:val="00E950A9"/>
    <w:rsid w:val="00E95C64"/>
    <w:rsid w:val="00E962D8"/>
    <w:rsid w:val="00EA416C"/>
    <w:rsid w:val="00EA5941"/>
    <w:rsid w:val="00EA747A"/>
    <w:rsid w:val="00EB01E3"/>
    <w:rsid w:val="00EB378B"/>
    <w:rsid w:val="00EB60CE"/>
    <w:rsid w:val="00EB6417"/>
    <w:rsid w:val="00EB7962"/>
    <w:rsid w:val="00EB7D53"/>
    <w:rsid w:val="00EC13F1"/>
    <w:rsid w:val="00EC2197"/>
    <w:rsid w:val="00EC2F35"/>
    <w:rsid w:val="00EC6901"/>
    <w:rsid w:val="00EC7537"/>
    <w:rsid w:val="00ED287E"/>
    <w:rsid w:val="00ED3728"/>
    <w:rsid w:val="00ED452F"/>
    <w:rsid w:val="00ED564F"/>
    <w:rsid w:val="00ED6CAB"/>
    <w:rsid w:val="00ED734A"/>
    <w:rsid w:val="00EE208B"/>
    <w:rsid w:val="00EE3146"/>
    <w:rsid w:val="00EE3B54"/>
    <w:rsid w:val="00EE41A6"/>
    <w:rsid w:val="00EE5902"/>
    <w:rsid w:val="00EF2D7C"/>
    <w:rsid w:val="00EF33EC"/>
    <w:rsid w:val="00EF33F7"/>
    <w:rsid w:val="00EF50BB"/>
    <w:rsid w:val="00EF53FF"/>
    <w:rsid w:val="00F00192"/>
    <w:rsid w:val="00F0194D"/>
    <w:rsid w:val="00F01DF6"/>
    <w:rsid w:val="00F0340D"/>
    <w:rsid w:val="00F059A6"/>
    <w:rsid w:val="00F05AC9"/>
    <w:rsid w:val="00F07723"/>
    <w:rsid w:val="00F12842"/>
    <w:rsid w:val="00F131AD"/>
    <w:rsid w:val="00F158DD"/>
    <w:rsid w:val="00F16554"/>
    <w:rsid w:val="00F17107"/>
    <w:rsid w:val="00F23756"/>
    <w:rsid w:val="00F2523A"/>
    <w:rsid w:val="00F25FFA"/>
    <w:rsid w:val="00F27EEB"/>
    <w:rsid w:val="00F310D2"/>
    <w:rsid w:val="00F336A1"/>
    <w:rsid w:val="00F33B0E"/>
    <w:rsid w:val="00F369E1"/>
    <w:rsid w:val="00F36F3D"/>
    <w:rsid w:val="00F40B3F"/>
    <w:rsid w:val="00F43CBD"/>
    <w:rsid w:val="00F4746A"/>
    <w:rsid w:val="00F477BD"/>
    <w:rsid w:val="00F50452"/>
    <w:rsid w:val="00F51DDB"/>
    <w:rsid w:val="00F51F67"/>
    <w:rsid w:val="00F52647"/>
    <w:rsid w:val="00F526AF"/>
    <w:rsid w:val="00F53491"/>
    <w:rsid w:val="00F5501D"/>
    <w:rsid w:val="00F63D56"/>
    <w:rsid w:val="00F64A75"/>
    <w:rsid w:val="00F65A1C"/>
    <w:rsid w:val="00F66A86"/>
    <w:rsid w:val="00F66F50"/>
    <w:rsid w:val="00F6737A"/>
    <w:rsid w:val="00F71D2C"/>
    <w:rsid w:val="00F71FDF"/>
    <w:rsid w:val="00F73BA6"/>
    <w:rsid w:val="00F74B77"/>
    <w:rsid w:val="00F8239D"/>
    <w:rsid w:val="00F824C6"/>
    <w:rsid w:val="00F825D6"/>
    <w:rsid w:val="00F82E37"/>
    <w:rsid w:val="00F82FF8"/>
    <w:rsid w:val="00F8330D"/>
    <w:rsid w:val="00F83A47"/>
    <w:rsid w:val="00F84305"/>
    <w:rsid w:val="00F8449E"/>
    <w:rsid w:val="00F8485C"/>
    <w:rsid w:val="00F848A4"/>
    <w:rsid w:val="00F87149"/>
    <w:rsid w:val="00F876AF"/>
    <w:rsid w:val="00F87FFE"/>
    <w:rsid w:val="00F90477"/>
    <w:rsid w:val="00F90A6A"/>
    <w:rsid w:val="00F913C7"/>
    <w:rsid w:val="00F91885"/>
    <w:rsid w:val="00F93644"/>
    <w:rsid w:val="00F954C9"/>
    <w:rsid w:val="00F96DD8"/>
    <w:rsid w:val="00FA1E56"/>
    <w:rsid w:val="00FA1F66"/>
    <w:rsid w:val="00FA2C25"/>
    <w:rsid w:val="00FA2F43"/>
    <w:rsid w:val="00FA3109"/>
    <w:rsid w:val="00FA4614"/>
    <w:rsid w:val="00FA4CF0"/>
    <w:rsid w:val="00FA61AA"/>
    <w:rsid w:val="00FA69A4"/>
    <w:rsid w:val="00FB1279"/>
    <w:rsid w:val="00FB1495"/>
    <w:rsid w:val="00FB4D07"/>
    <w:rsid w:val="00FB5806"/>
    <w:rsid w:val="00FB669F"/>
    <w:rsid w:val="00FB7E06"/>
    <w:rsid w:val="00FC1AC3"/>
    <w:rsid w:val="00FC53E7"/>
    <w:rsid w:val="00FC6A66"/>
    <w:rsid w:val="00FD1431"/>
    <w:rsid w:val="00FD1694"/>
    <w:rsid w:val="00FD3584"/>
    <w:rsid w:val="00FD64B9"/>
    <w:rsid w:val="00FD6B46"/>
    <w:rsid w:val="00FD7636"/>
    <w:rsid w:val="00FE3229"/>
    <w:rsid w:val="00FE4F77"/>
    <w:rsid w:val="00FE5FB1"/>
    <w:rsid w:val="00FE6E46"/>
    <w:rsid w:val="00FE74C3"/>
    <w:rsid w:val="00FE77FA"/>
    <w:rsid w:val="00FF0AAC"/>
    <w:rsid w:val="00FF0C55"/>
    <w:rsid w:val="00FF1623"/>
    <w:rsid w:val="00FF215C"/>
    <w:rsid w:val="00FF2906"/>
    <w:rsid w:val="00FF359A"/>
    <w:rsid w:val="00FF49E8"/>
    <w:rsid w:val="00FF666D"/>
    <w:rsid w:val="00FF672F"/>
    <w:rsid w:val="00FF6E6E"/>
    <w:rsid w:val="00FF7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6B2"/>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932D18"/>
    <w:pPr>
      <w:numPr>
        <w:numId w:val="5"/>
      </w:numPr>
    </w:pPr>
    <w:rPr>
      <w:rFonts w:ascii="Times New Roman" w:hAnsi="Times New Roman"/>
      <w:sz w:val="24"/>
    </w:r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976E4C"/>
    <w:pPr>
      <w:autoSpaceDE w:val="0"/>
      <w:autoSpaceDN w:val="0"/>
      <w:adjustRightInd w:val="0"/>
    </w:pPr>
    <w:rPr>
      <w:rFonts w:ascii="Times New Roman" w:hAnsi="Times New Roman"/>
      <w:color w:val="000000"/>
      <w:sz w:val="24"/>
      <w:szCs w:val="24"/>
    </w:rPr>
  </w:style>
  <w:style w:type="paragraph" w:customStyle="1" w:styleId="subsection">
    <w:name w:val="subsection"/>
    <w:aliases w:val="ss"/>
    <w:basedOn w:val="Normal"/>
    <w:rsid w:val="00CF6952"/>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F23FE"/>
    <w:rPr>
      <w:sz w:val="16"/>
      <w:szCs w:val="16"/>
    </w:rPr>
  </w:style>
  <w:style w:type="paragraph" w:styleId="CommentText">
    <w:name w:val="annotation text"/>
    <w:basedOn w:val="Normal"/>
    <w:link w:val="CommentTextChar"/>
    <w:uiPriority w:val="99"/>
    <w:unhideWhenUsed/>
    <w:rsid w:val="00AF23FE"/>
    <w:rPr>
      <w:sz w:val="20"/>
      <w:szCs w:val="20"/>
    </w:rPr>
  </w:style>
  <w:style w:type="character" w:customStyle="1" w:styleId="CommentTextChar">
    <w:name w:val="Comment Text Char"/>
    <w:basedOn w:val="DefaultParagraphFont"/>
    <w:link w:val="CommentText"/>
    <w:uiPriority w:val="99"/>
    <w:rsid w:val="00AF23FE"/>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F23FE"/>
    <w:rPr>
      <w:b/>
      <w:bCs/>
    </w:rPr>
  </w:style>
  <w:style w:type="character" w:customStyle="1" w:styleId="CommentSubjectChar">
    <w:name w:val="Comment Subject Char"/>
    <w:basedOn w:val="CommentTextChar"/>
    <w:link w:val="CommentSubject"/>
    <w:uiPriority w:val="99"/>
    <w:semiHidden/>
    <w:rsid w:val="00AF23FE"/>
    <w:rPr>
      <w:rFonts w:ascii="Calibri" w:eastAsiaTheme="minorHAnsi" w:hAnsi="Calibri"/>
      <w:b/>
      <w:bCs/>
    </w:rPr>
  </w:style>
  <w:style w:type="paragraph" w:styleId="FootnoteText">
    <w:name w:val="footnote text"/>
    <w:basedOn w:val="Normal"/>
    <w:link w:val="FootnoteTextChar"/>
    <w:uiPriority w:val="99"/>
    <w:semiHidden/>
    <w:unhideWhenUsed/>
    <w:rsid w:val="00461201"/>
    <w:rPr>
      <w:sz w:val="20"/>
      <w:szCs w:val="20"/>
    </w:rPr>
  </w:style>
  <w:style w:type="character" w:customStyle="1" w:styleId="FootnoteTextChar">
    <w:name w:val="Footnote Text Char"/>
    <w:basedOn w:val="DefaultParagraphFont"/>
    <w:link w:val="FootnoteText"/>
    <w:uiPriority w:val="99"/>
    <w:semiHidden/>
    <w:rsid w:val="00461201"/>
    <w:rPr>
      <w:rFonts w:ascii="Calibri" w:eastAsiaTheme="minorHAnsi" w:hAnsi="Calibri"/>
    </w:rPr>
  </w:style>
  <w:style w:type="character" w:styleId="FootnoteReference">
    <w:name w:val="footnote reference"/>
    <w:basedOn w:val="DefaultParagraphFont"/>
    <w:uiPriority w:val="99"/>
    <w:semiHidden/>
    <w:unhideWhenUsed/>
    <w:rsid w:val="00461201"/>
    <w:rPr>
      <w:vertAlign w:val="superscript"/>
    </w:rPr>
  </w:style>
  <w:style w:type="numbering" w:customStyle="1" w:styleId="KeyPoints1">
    <w:name w:val="Key Points1"/>
    <w:basedOn w:val="NoList"/>
    <w:uiPriority w:val="99"/>
    <w:rsid w:val="00815601"/>
  </w:style>
  <w:style w:type="character" w:customStyle="1" w:styleId="apple-converted-space">
    <w:name w:val="apple-converted-space"/>
    <w:basedOn w:val="DefaultParagraphFont"/>
    <w:rsid w:val="00AF3819"/>
  </w:style>
  <w:style w:type="paragraph" w:customStyle="1" w:styleId="emclauseheading">
    <w:name w:val="emclauseheading"/>
    <w:basedOn w:val="Normal"/>
    <w:rsid w:val="002B224B"/>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BF3458"/>
    <w:pPr>
      <w:spacing w:before="100" w:beforeAutospacing="1" w:after="100" w:afterAutospacing="1"/>
    </w:pPr>
    <w:rPr>
      <w:rFonts w:ascii="Times New Roman" w:eastAsia="Times New Roman" w:hAnsi="Times New Roman"/>
      <w:sz w:val="24"/>
      <w:szCs w:val="24"/>
    </w:rPr>
  </w:style>
  <w:style w:type="paragraph" w:customStyle="1" w:styleId="subsection2">
    <w:name w:val="subsection2"/>
    <w:basedOn w:val="Normal"/>
    <w:rsid w:val="00BF3458"/>
    <w:pPr>
      <w:spacing w:before="100" w:beforeAutospacing="1" w:after="100" w:afterAutospacing="1"/>
    </w:pPr>
    <w:rPr>
      <w:rFonts w:ascii="Times New Roman" w:eastAsia="Times New Roman" w:hAnsi="Times New Roman"/>
      <w:sz w:val="24"/>
      <w:szCs w:val="24"/>
    </w:rPr>
  </w:style>
  <w:style w:type="paragraph" w:customStyle="1" w:styleId="notetext">
    <w:name w:val="notetext"/>
    <w:basedOn w:val="Normal"/>
    <w:rsid w:val="00BF3458"/>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BB162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B162E"/>
    <w:rPr>
      <w:b/>
      <w:bCs/>
    </w:rPr>
  </w:style>
  <w:style w:type="paragraph" w:customStyle="1" w:styleId="EMclauseheading0">
    <w:name w:val="EM clause heading"/>
    <w:basedOn w:val="Normal"/>
    <w:qFormat/>
    <w:rsid w:val="005F7A66"/>
    <w:pPr>
      <w:spacing w:after="200" w:line="276" w:lineRule="auto"/>
    </w:pPr>
    <w:rPr>
      <w:rFonts w:ascii="Arial" w:hAnsi="Arial" w:cs="Arial"/>
      <w:b/>
      <w:lang w:eastAsia="en-US"/>
    </w:rPr>
  </w:style>
  <w:style w:type="paragraph" w:customStyle="1" w:styleId="subsectionhead">
    <w:name w:val="subsectionhead"/>
    <w:basedOn w:val="Normal"/>
    <w:rsid w:val="00FF6E6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8F0404"/>
    <w:rPr>
      <w:color w:val="0000FF" w:themeColor="hyperlink"/>
      <w:u w:val="single"/>
    </w:rPr>
  </w:style>
  <w:style w:type="paragraph" w:customStyle="1" w:styleId="paragraphsub">
    <w:name w:val="paragraphsub"/>
    <w:basedOn w:val="Normal"/>
    <w:rsid w:val="00450634"/>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1B5E10"/>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555">
      <w:bodyDiv w:val="1"/>
      <w:marLeft w:val="0"/>
      <w:marRight w:val="0"/>
      <w:marTop w:val="0"/>
      <w:marBottom w:val="0"/>
      <w:divBdr>
        <w:top w:val="none" w:sz="0" w:space="0" w:color="auto"/>
        <w:left w:val="none" w:sz="0" w:space="0" w:color="auto"/>
        <w:bottom w:val="none" w:sz="0" w:space="0" w:color="auto"/>
        <w:right w:val="none" w:sz="0" w:space="0" w:color="auto"/>
      </w:divBdr>
    </w:div>
    <w:div w:id="63334293">
      <w:bodyDiv w:val="1"/>
      <w:marLeft w:val="0"/>
      <w:marRight w:val="0"/>
      <w:marTop w:val="0"/>
      <w:marBottom w:val="0"/>
      <w:divBdr>
        <w:top w:val="none" w:sz="0" w:space="0" w:color="auto"/>
        <w:left w:val="none" w:sz="0" w:space="0" w:color="auto"/>
        <w:bottom w:val="none" w:sz="0" w:space="0" w:color="auto"/>
        <w:right w:val="none" w:sz="0" w:space="0" w:color="auto"/>
      </w:divBdr>
      <w:divsChild>
        <w:div w:id="1595821548">
          <w:marLeft w:val="0"/>
          <w:marRight w:val="0"/>
          <w:marTop w:val="0"/>
          <w:marBottom w:val="0"/>
          <w:divBdr>
            <w:top w:val="none" w:sz="0" w:space="0" w:color="auto"/>
            <w:left w:val="none" w:sz="0" w:space="0" w:color="auto"/>
            <w:bottom w:val="none" w:sz="0" w:space="0" w:color="auto"/>
            <w:right w:val="none" w:sz="0" w:space="0" w:color="auto"/>
          </w:divBdr>
          <w:divsChild>
            <w:div w:id="1719471251">
              <w:marLeft w:val="0"/>
              <w:marRight w:val="0"/>
              <w:marTop w:val="0"/>
              <w:marBottom w:val="0"/>
              <w:divBdr>
                <w:top w:val="none" w:sz="0" w:space="0" w:color="auto"/>
                <w:left w:val="none" w:sz="0" w:space="0" w:color="auto"/>
                <w:bottom w:val="none" w:sz="0" w:space="0" w:color="auto"/>
                <w:right w:val="none" w:sz="0" w:space="0" w:color="auto"/>
              </w:divBdr>
              <w:divsChild>
                <w:div w:id="1105686358">
                  <w:marLeft w:val="0"/>
                  <w:marRight w:val="0"/>
                  <w:marTop w:val="0"/>
                  <w:marBottom w:val="0"/>
                  <w:divBdr>
                    <w:top w:val="none" w:sz="0" w:space="0" w:color="auto"/>
                    <w:left w:val="none" w:sz="0" w:space="0" w:color="auto"/>
                    <w:bottom w:val="none" w:sz="0" w:space="0" w:color="auto"/>
                    <w:right w:val="none" w:sz="0" w:space="0" w:color="auto"/>
                  </w:divBdr>
                  <w:divsChild>
                    <w:div w:id="563567697">
                      <w:marLeft w:val="0"/>
                      <w:marRight w:val="0"/>
                      <w:marTop w:val="0"/>
                      <w:marBottom w:val="0"/>
                      <w:divBdr>
                        <w:top w:val="none" w:sz="0" w:space="0" w:color="auto"/>
                        <w:left w:val="none" w:sz="0" w:space="0" w:color="auto"/>
                        <w:bottom w:val="none" w:sz="0" w:space="0" w:color="auto"/>
                        <w:right w:val="none" w:sz="0" w:space="0" w:color="auto"/>
                      </w:divBdr>
                      <w:divsChild>
                        <w:div w:id="1502965178">
                          <w:marLeft w:val="0"/>
                          <w:marRight w:val="0"/>
                          <w:marTop w:val="0"/>
                          <w:marBottom w:val="0"/>
                          <w:divBdr>
                            <w:top w:val="none" w:sz="0" w:space="0" w:color="auto"/>
                            <w:left w:val="none" w:sz="0" w:space="0" w:color="auto"/>
                            <w:bottom w:val="none" w:sz="0" w:space="0" w:color="auto"/>
                            <w:right w:val="none" w:sz="0" w:space="0" w:color="auto"/>
                          </w:divBdr>
                          <w:divsChild>
                            <w:div w:id="2084721175">
                              <w:marLeft w:val="0"/>
                              <w:marRight w:val="0"/>
                              <w:marTop w:val="0"/>
                              <w:marBottom w:val="0"/>
                              <w:divBdr>
                                <w:top w:val="none" w:sz="0" w:space="0" w:color="auto"/>
                                <w:left w:val="none" w:sz="0" w:space="0" w:color="auto"/>
                                <w:bottom w:val="none" w:sz="0" w:space="0" w:color="auto"/>
                                <w:right w:val="none" w:sz="0" w:space="0" w:color="auto"/>
                              </w:divBdr>
                              <w:divsChild>
                                <w:div w:id="711543706">
                                  <w:marLeft w:val="0"/>
                                  <w:marRight w:val="0"/>
                                  <w:marTop w:val="0"/>
                                  <w:marBottom w:val="0"/>
                                  <w:divBdr>
                                    <w:top w:val="none" w:sz="0" w:space="0" w:color="auto"/>
                                    <w:left w:val="none" w:sz="0" w:space="0" w:color="auto"/>
                                    <w:bottom w:val="none" w:sz="0" w:space="0" w:color="auto"/>
                                    <w:right w:val="none" w:sz="0" w:space="0" w:color="auto"/>
                                  </w:divBdr>
                                  <w:divsChild>
                                    <w:div w:id="844587906">
                                      <w:marLeft w:val="0"/>
                                      <w:marRight w:val="0"/>
                                      <w:marTop w:val="0"/>
                                      <w:marBottom w:val="0"/>
                                      <w:divBdr>
                                        <w:top w:val="none" w:sz="0" w:space="0" w:color="auto"/>
                                        <w:left w:val="none" w:sz="0" w:space="0" w:color="auto"/>
                                        <w:bottom w:val="none" w:sz="0" w:space="0" w:color="auto"/>
                                        <w:right w:val="none" w:sz="0" w:space="0" w:color="auto"/>
                                      </w:divBdr>
                                      <w:divsChild>
                                        <w:div w:id="798958265">
                                          <w:marLeft w:val="0"/>
                                          <w:marRight w:val="0"/>
                                          <w:marTop w:val="0"/>
                                          <w:marBottom w:val="0"/>
                                          <w:divBdr>
                                            <w:top w:val="none" w:sz="0" w:space="0" w:color="auto"/>
                                            <w:left w:val="none" w:sz="0" w:space="0" w:color="auto"/>
                                            <w:bottom w:val="none" w:sz="0" w:space="0" w:color="auto"/>
                                            <w:right w:val="none" w:sz="0" w:space="0" w:color="auto"/>
                                          </w:divBdr>
                                          <w:divsChild>
                                            <w:div w:id="894393078">
                                              <w:marLeft w:val="0"/>
                                              <w:marRight w:val="0"/>
                                              <w:marTop w:val="0"/>
                                              <w:marBottom w:val="0"/>
                                              <w:divBdr>
                                                <w:top w:val="none" w:sz="0" w:space="0" w:color="auto"/>
                                                <w:left w:val="none" w:sz="0" w:space="0" w:color="auto"/>
                                                <w:bottom w:val="none" w:sz="0" w:space="0" w:color="auto"/>
                                                <w:right w:val="none" w:sz="0" w:space="0" w:color="auto"/>
                                              </w:divBdr>
                                              <w:divsChild>
                                                <w:div w:id="894198916">
                                                  <w:marLeft w:val="0"/>
                                                  <w:marRight w:val="0"/>
                                                  <w:marTop w:val="0"/>
                                                  <w:marBottom w:val="0"/>
                                                  <w:divBdr>
                                                    <w:top w:val="none" w:sz="0" w:space="0" w:color="auto"/>
                                                    <w:left w:val="none" w:sz="0" w:space="0" w:color="auto"/>
                                                    <w:bottom w:val="none" w:sz="0" w:space="0" w:color="auto"/>
                                                    <w:right w:val="none" w:sz="0" w:space="0" w:color="auto"/>
                                                  </w:divBdr>
                                                  <w:divsChild>
                                                    <w:div w:id="2039305804">
                                                      <w:marLeft w:val="0"/>
                                                      <w:marRight w:val="0"/>
                                                      <w:marTop w:val="0"/>
                                                      <w:marBottom w:val="0"/>
                                                      <w:divBdr>
                                                        <w:top w:val="none" w:sz="0" w:space="0" w:color="auto"/>
                                                        <w:left w:val="none" w:sz="0" w:space="0" w:color="auto"/>
                                                        <w:bottom w:val="none" w:sz="0" w:space="0" w:color="auto"/>
                                                        <w:right w:val="none" w:sz="0" w:space="0" w:color="auto"/>
                                                      </w:divBdr>
                                                      <w:divsChild>
                                                        <w:div w:id="177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01263">
      <w:bodyDiv w:val="1"/>
      <w:marLeft w:val="0"/>
      <w:marRight w:val="0"/>
      <w:marTop w:val="0"/>
      <w:marBottom w:val="0"/>
      <w:divBdr>
        <w:top w:val="none" w:sz="0" w:space="0" w:color="auto"/>
        <w:left w:val="none" w:sz="0" w:space="0" w:color="auto"/>
        <w:bottom w:val="none" w:sz="0" w:space="0" w:color="auto"/>
        <w:right w:val="none" w:sz="0" w:space="0" w:color="auto"/>
      </w:divBdr>
    </w:div>
    <w:div w:id="84038457">
      <w:bodyDiv w:val="1"/>
      <w:marLeft w:val="0"/>
      <w:marRight w:val="0"/>
      <w:marTop w:val="0"/>
      <w:marBottom w:val="0"/>
      <w:divBdr>
        <w:top w:val="none" w:sz="0" w:space="0" w:color="auto"/>
        <w:left w:val="none" w:sz="0" w:space="0" w:color="auto"/>
        <w:bottom w:val="none" w:sz="0" w:space="0" w:color="auto"/>
        <w:right w:val="none" w:sz="0" w:space="0" w:color="auto"/>
      </w:divBdr>
    </w:div>
    <w:div w:id="196165853">
      <w:bodyDiv w:val="1"/>
      <w:marLeft w:val="0"/>
      <w:marRight w:val="0"/>
      <w:marTop w:val="0"/>
      <w:marBottom w:val="0"/>
      <w:divBdr>
        <w:top w:val="none" w:sz="0" w:space="0" w:color="auto"/>
        <w:left w:val="none" w:sz="0" w:space="0" w:color="auto"/>
        <w:bottom w:val="none" w:sz="0" w:space="0" w:color="auto"/>
        <w:right w:val="none" w:sz="0" w:space="0" w:color="auto"/>
      </w:divBdr>
    </w:div>
    <w:div w:id="231618847">
      <w:bodyDiv w:val="1"/>
      <w:marLeft w:val="0"/>
      <w:marRight w:val="0"/>
      <w:marTop w:val="0"/>
      <w:marBottom w:val="0"/>
      <w:divBdr>
        <w:top w:val="none" w:sz="0" w:space="0" w:color="auto"/>
        <w:left w:val="none" w:sz="0" w:space="0" w:color="auto"/>
        <w:bottom w:val="none" w:sz="0" w:space="0" w:color="auto"/>
        <w:right w:val="none" w:sz="0" w:space="0" w:color="auto"/>
      </w:divBdr>
    </w:div>
    <w:div w:id="260374857">
      <w:bodyDiv w:val="1"/>
      <w:marLeft w:val="0"/>
      <w:marRight w:val="0"/>
      <w:marTop w:val="0"/>
      <w:marBottom w:val="0"/>
      <w:divBdr>
        <w:top w:val="none" w:sz="0" w:space="0" w:color="auto"/>
        <w:left w:val="none" w:sz="0" w:space="0" w:color="auto"/>
        <w:bottom w:val="none" w:sz="0" w:space="0" w:color="auto"/>
        <w:right w:val="none" w:sz="0" w:space="0" w:color="auto"/>
      </w:divBdr>
    </w:div>
    <w:div w:id="320043567">
      <w:bodyDiv w:val="1"/>
      <w:marLeft w:val="0"/>
      <w:marRight w:val="0"/>
      <w:marTop w:val="0"/>
      <w:marBottom w:val="0"/>
      <w:divBdr>
        <w:top w:val="none" w:sz="0" w:space="0" w:color="auto"/>
        <w:left w:val="none" w:sz="0" w:space="0" w:color="auto"/>
        <w:bottom w:val="none" w:sz="0" w:space="0" w:color="auto"/>
        <w:right w:val="none" w:sz="0" w:space="0" w:color="auto"/>
      </w:divBdr>
    </w:div>
    <w:div w:id="336883975">
      <w:bodyDiv w:val="1"/>
      <w:marLeft w:val="0"/>
      <w:marRight w:val="0"/>
      <w:marTop w:val="0"/>
      <w:marBottom w:val="0"/>
      <w:divBdr>
        <w:top w:val="none" w:sz="0" w:space="0" w:color="auto"/>
        <w:left w:val="none" w:sz="0" w:space="0" w:color="auto"/>
        <w:bottom w:val="none" w:sz="0" w:space="0" w:color="auto"/>
        <w:right w:val="none" w:sz="0" w:space="0" w:color="auto"/>
      </w:divBdr>
    </w:div>
    <w:div w:id="354385784">
      <w:bodyDiv w:val="1"/>
      <w:marLeft w:val="0"/>
      <w:marRight w:val="0"/>
      <w:marTop w:val="0"/>
      <w:marBottom w:val="0"/>
      <w:divBdr>
        <w:top w:val="none" w:sz="0" w:space="0" w:color="auto"/>
        <w:left w:val="none" w:sz="0" w:space="0" w:color="auto"/>
        <w:bottom w:val="none" w:sz="0" w:space="0" w:color="auto"/>
        <w:right w:val="none" w:sz="0" w:space="0" w:color="auto"/>
      </w:divBdr>
    </w:div>
    <w:div w:id="457453039">
      <w:bodyDiv w:val="1"/>
      <w:marLeft w:val="0"/>
      <w:marRight w:val="0"/>
      <w:marTop w:val="0"/>
      <w:marBottom w:val="0"/>
      <w:divBdr>
        <w:top w:val="none" w:sz="0" w:space="0" w:color="auto"/>
        <w:left w:val="none" w:sz="0" w:space="0" w:color="auto"/>
        <w:bottom w:val="none" w:sz="0" w:space="0" w:color="auto"/>
        <w:right w:val="none" w:sz="0" w:space="0" w:color="auto"/>
      </w:divBdr>
    </w:div>
    <w:div w:id="546181853">
      <w:bodyDiv w:val="1"/>
      <w:marLeft w:val="0"/>
      <w:marRight w:val="0"/>
      <w:marTop w:val="0"/>
      <w:marBottom w:val="0"/>
      <w:divBdr>
        <w:top w:val="none" w:sz="0" w:space="0" w:color="auto"/>
        <w:left w:val="none" w:sz="0" w:space="0" w:color="auto"/>
        <w:bottom w:val="none" w:sz="0" w:space="0" w:color="auto"/>
        <w:right w:val="none" w:sz="0" w:space="0" w:color="auto"/>
      </w:divBdr>
    </w:div>
    <w:div w:id="708997001">
      <w:bodyDiv w:val="1"/>
      <w:marLeft w:val="0"/>
      <w:marRight w:val="0"/>
      <w:marTop w:val="0"/>
      <w:marBottom w:val="0"/>
      <w:divBdr>
        <w:top w:val="none" w:sz="0" w:space="0" w:color="auto"/>
        <w:left w:val="none" w:sz="0" w:space="0" w:color="auto"/>
        <w:bottom w:val="none" w:sz="0" w:space="0" w:color="auto"/>
        <w:right w:val="none" w:sz="0" w:space="0" w:color="auto"/>
      </w:divBdr>
    </w:div>
    <w:div w:id="764153032">
      <w:bodyDiv w:val="1"/>
      <w:marLeft w:val="0"/>
      <w:marRight w:val="0"/>
      <w:marTop w:val="0"/>
      <w:marBottom w:val="0"/>
      <w:divBdr>
        <w:top w:val="none" w:sz="0" w:space="0" w:color="auto"/>
        <w:left w:val="none" w:sz="0" w:space="0" w:color="auto"/>
        <w:bottom w:val="none" w:sz="0" w:space="0" w:color="auto"/>
        <w:right w:val="none" w:sz="0" w:space="0" w:color="auto"/>
      </w:divBdr>
    </w:div>
    <w:div w:id="1114984503">
      <w:bodyDiv w:val="1"/>
      <w:marLeft w:val="0"/>
      <w:marRight w:val="0"/>
      <w:marTop w:val="0"/>
      <w:marBottom w:val="0"/>
      <w:divBdr>
        <w:top w:val="none" w:sz="0" w:space="0" w:color="auto"/>
        <w:left w:val="none" w:sz="0" w:space="0" w:color="auto"/>
        <w:bottom w:val="none" w:sz="0" w:space="0" w:color="auto"/>
        <w:right w:val="none" w:sz="0" w:space="0" w:color="auto"/>
      </w:divBdr>
    </w:div>
    <w:div w:id="1182430515">
      <w:bodyDiv w:val="1"/>
      <w:marLeft w:val="0"/>
      <w:marRight w:val="0"/>
      <w:marTop w:val="0"/>
      <w:marBottom w:val="0"/>
      <w:divBdr>
        <w:top w:val="none" w:sz="0" w:space="0" w:color="auto"/>
        <w:left w:val="none" w:sz="0" w:space="0" w:color="auto"/>
        <w:bottom w:val="none" w:sz="0" w:space="0" w:color="auto"/>
        <w:right w:val="none" w:sz="0" w:space="0" w:color="auto"/>
      </w:divBdr>
    </w:div>
    <w:div w:id="1304460491">
      <w:bodyDiv w:val="1"/>
      <w:marLeft w:val="0"/>
      <w:marRight w:val="0"/>
      <w:marTop w:val="0"/>
      <w:marBottom w:val="0"/>
      <w:divBdr>
        <w:top w:val="none" w:sz="0" w:space="0" w:color="auto"/>
        <w:left w:val="none" w:sz="0" w:space="0" w:color="auto"/>
        <w:bottom w:val="none" w:sz="0" w:space="0" w:color="auto"/>
        <w:right w:val="none" w:sz="0" w:space="0" w:color="auto"/>
      </w:divBdr>
    </w:div>
    <w:div w:id="1338656071">
      <w:bodyDiv w:val="1"/>
      <w:marLeft w:val="0"/>
      <w:marRight w:val="0"/>
      <w:marTop w:val="0"/>
      <w:marBottom w:val="0"/>
      <w:divBdr>
        <w:top w:val="none" w:sz="0" w:space="0" w:color="auto"/>
        <w:left w:val="none" w:sz="0" w:space="0" w:color="auto"/>
        <w:bottom w:val="none" w:sz="0" w:space="0" w:color="auto"/>
        <w:right w:val="none" w:sz="0" w:space="0" w:color="auto"/>
      </w:divBdr>
    </w:div>
    <w:div w:id="1343095032">
      <w:bodyDiv w:val="1"/>
      <w:marLeft w:val="0"/>
      <w:marRight w:val="0"/>
      <w:marTop w:val="0"/>
      <w:marBottom w:val="0"/>
      <w:divBdr>
        <w:top w:val="none" w:sz="0" w:space="0" w:color="auto"/>
        <w:left w:val="none" w:sz="0" w:space="0" w:color="auto"/>
        <w:bottom w:val="none" w:sz="0" w:space="0" w:color="auto"/>
        <w:right w:val="none" w:sz="0" w:space="0" w:color="auto"/>
      </w:divBdr>
    </w:div>
    <w:div w:id="1429621941">
      <w:bodyDiv w:val="1"/>
      <w:marLeft w:val="0"/>
      <w:marRight w:val="0"/>
      <w:marTop w:val="0"/>
      <w:marBottom w:val="0"/>
      <w:divBdr>
        <w:top w:val="none" w:sz="0" w:space="0" w:color="auto"/>
        <w:left w:val="none" w:sz="0" w:space="0" w:color="auto"/>
        <w:bottom w:val="none" w:sz="0" w:space="0" w:color="auto"/>
        <w:right w:val="none" w:sz="0" w:space="0" w:color="auto"/>
      </w:divBdr>
    </w:div>
    <w:div w:id="1600142508">
      <w:bodyDiv w:val="1"/>
      <w:marLeft w:val="0"/>
      <w:marRight w:val="0"/>
      <w:marTop w:val="0"/>
      <w:marBottom w:val="0"/>
      <w:divBdr>
        <w:top w:val="none" w:sz="0" w:space="0" w:color="auto"/>
        <w:left w:val="none" w:sz="0" w:space="0" w:color="auto"/>
        <w:bottom w:val="none" w:sz="0" w:space="0" w:color="auto"/>
        <w:right w:val="none" w:sz="0" w:space="0" w:color="auto"/>
      </w:divBdr>
    </w:div>
    <w:div w:id="1639988333">
      <w:bodyDiv w:val="1"/>
      <w:marLeft w:val="0"/>
      <w:marRight w:val="0"/>
      <w:marTop w:val="0"/>
      <w:marBottom w:val="0"/>
      <w:divBdr>
        <w:top w:val="none" w:sz="0" w:space="0" w:color="auto"/>
        <w:left w:val="none" w:sz="0" w:space="0" w:color="auto"/>
        <w:bottom w:val="none" w:sz="0" w:space="0" w:color="auto"/>
        <w:right w:val="none" w:sz="0" w:space="0" w:color="auto"/>
      </w:divBdr>
    </w:div>
    <w:div w:id="1752847634">
      <w:bodyDiv w:val="1"/>
      <w:marLeft w:val="0"/>
      <w:marRight w:val="0"/>
      <w:marTop w:val="0"/>
      <w:marBottom w:val="0"/>
      <w:divBdr>
        <w:top w:val="none" w:sz="0" w:space="0" w:color="auto"/>
        <w:left w:val="none" w:sz="0" w:space="0" w:color="auto"/>
        <w:bottom w:val="none" w:sz="0" w:space="0" w:color="auto"/>
        <w:right w:val="none" w:sz="0" w:space="0" w:color="auto"/>
      </w:divBdr>
    </w:div>
    <w:div w:id="1826050366">
      <w:bodyDiv w:val="1"/>
      <w:marLeft w:val="0"/>
      <w:marRight w:val="0"/>
      <w:marTop w:val="0"/>
      <w:marBottom w:val="0"/>
      <w:divBdr>
        <w:top w:val="none" w:sz="0" w:space="0" w:color="auto"/>
        <w:left w:val="none" w:sz="0" w:space="0" w:color="auto"/>
        <w:bottom w:val="none" w:sz="0" w:space="0" w:color="auto"/>
        <w:right w:val="none" w:sz="0" w:space="0" w:color="auto"/>
      </w:divBdr>
    </w:div>
    <w:div w:id="1849295837">
      <w:bodyDiv w:val="1"/>
      <w:marLeft w:val="0"/>
      <w:marRight w:val="0"/>
      <w:marTop w:val="0"/>
      <w:marBottom w:val="0"/>
      <w:divBdr>
        <w:top w:val="none" w:sz="0" w:space="0" w:color="auto"/>
        <w:left w:val="none" w:sz="0" w:space="0" w:color="auto"/>
        <w:bottom w:val="none" w:sz="0" w:space="0" w:color="auto"/>
        <w:right w:val="none" w:sz="0" w:space="0" w:color="auto"/>
      </w:divBdr>
    </w:div>
    <w:div w:id="1862431668">
      <w:bodyDiv w:val="1"/>
      <w:marLeft w:val="0"/>
      <w:marRight w:val="0"/>
      <w:marTop w:val="0"/>
      <w:marBottom w:val="0"/>
      <w:divBdr>
        <w:top w:val="none" w:sz="0" w:space="0" w:color="auto"/>
        <w:left w:val="none" w:sz="0" w:space="0" w:color="auto"/>
        <w:bottom w:val="none" w:sz="0" w:space="0" w:color="auto"/>
        <w:right w:val="none" w:sz="0" w:space="0" w:color="auto"/>
      </w:divBdr>
    </w:div>
    <w:div w:id="1906529334">
      <w:bodyDiv w:val="1"/>
      <w:marLeft w:val="0"/>
      <w:marRight w:val="0"/>
      <w:marTop w:val="0"/>
      <w:marBottom w:val="0"/>
      <w:divBdr>
        <w:top w:val="none" w:sz="0" w:space="0" w:color="auto"/>
        <w:left w:val="none" w:sz="0" w:space="0" w:color="auto"/>
        <w:bottom w:val="none" w:sz="0" w:space="0" w:color="auto"/>
        <w:right w:val="none" w:sz="0" w:space="0" w:color="auto"/>
      </w:divBdr>
    </w:div>
    <w:div w:id="1920214798">
      <w:bodyDiv w:val="1"/>
      <w:marLeft w:val="0"/>
      <w:marRight w:val="0"/>
      <w:marTop w:val="0"/>
      <w:marBottom w:val="0"/>
      <w:divBdr>
        <w:top w:val="none" w:sz="0" w:space="0" w:color="auto"/>
        <w:left w:val="none" w:sz="0" w:space="0" w:color="auto"/>
        <w:bottom w:val="none" w:sz="0" w:space="0" w:color="auto"/>
        <w:right w:val="none" w:sz="0" w:space="0" w:color="auto"/>
      </w:divBdr>
    </w:div>
    <w:div w:id="19534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55D3-5CBF-4BC2-A9FC-A5C34B8F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F24728B9.dotm</Template>
  <TotalTime>0</TotalTime>
  <Pages>6</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2018-02-08T02:23:00Z</dcterms:created>
  <dcterms:modified xsi:type="dcterms:W3CDTF">2018-02-08T02:23:00Z</dcterms:modified>
</cp:coreProperties>
</file>