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A8FD9" w14:textId="77777777" w:rsidR="00C63C44" w:rsidRPr="001F6C80" w:rsidRDefault="00C63C44" w:rsidP="00E818EB">
      <w:pPr>
        <w:pStyle w:val="Heading2"/>
        <w:spacing w:before="120" w:after="120" w:line="240" w:lineRule="atLeast"/>
        <w:jc w:val="center"/>
        <w:rPr>
          <w:i w:val="0"/>
          <w:sz w:val="20"/>
          <w:szCs w:val="20"/>
        </w:rPr>
      </w:pPr>
      <w:r w:rsidRPr="001F6C80">
        <w:rPr>
          <w:i w:val="0"/>
          <w:sz w:val="20"/>
          <w:szCs w:val="20"/>
        </w:rPr>
        <w:t>EXPLANATORY STATEMENT</w:t>
      </w:r>
    </w:p>
    <w:p w14:paraId="6C0D49A7" w14:textId="77777777" w:rsidR="00E818EB" w:rsidRPr="001F6C80" w:rsidRDefault="00E818EB" w:rsidP="00E818EB">
      <w:pPr>
        <w:spacing w:before="120" w:after="120" w:line="240" w:lineRule="atLeast"/>
        <w:jc w:val="center"/>
        <w:rPr>
          <w:rFonts w:cs="Arial"/>
          <w:b/>
          <w:color w:val="262626"/>
          <w:lang w:eastAsia="en-AU" w:bidi="ar-SA"/>
        </w:rPr>
      </w:pPr>
      <w:r w:rsidRPr="001F6C80">
        <w:rPr>
          <w:rFonts w:cs="Arial"/>
          <w:b/>
          <w:color w:val="262626"/>
          <w:lang w:eastAsia="en-AU" w:bidi="ar-SA"/>
        </w:rPr>
        <w:t>Issued by the Australian Communications and Media Authority</w:t>
      </w:r>
    </w:p>
    <w:p w14:paraId="54CF72FE" w14:textId="58F1F9BE" w:rsidR="00C63C44" w:rsidRPr="001F6C80" w:rsidRDefault="00C63C44" w:rsidP="00174D6B">
      <w:pPr>
        <w:spacing w:before="120" w:after="120" w:line="240" w:lineRule="atLeast"/>
        <w:jc w:val="center"/>
        <w:rPr>
          <w:rFonts w:cs="Arial"/>
          <w:b/>
          <w:i/>
        </w:rPr>
      </w:pPr>
      <w:r w:rsidRPr="001F6C80">
        <w:rPr>
          <w:rFonts w:cs="Arial"/>
          <w:b/>
          <w:i/>
        </w:rPr>
        <w:t xml:space="preserve">Radiocommunications (Transmitter Licence Tax) Amendment Determination </w:t>
      </w:r>
      <w:r w:rsidR="0061517D" w:rsidRPr="001F6C80">
        <w:rPr>
          <w:rFonts w:cs="Arial"/>
          <w:b/>
          <w:i/>
        </w:rPr>
        <w:t>201</w:t>
      </w:r>
      <w:r w:rsidR="001F6C80" w:rsidRPr="001F6C80">
        <w:rPr>
          <w:rFonts w:cs="Arial"/>
          <w:b/>
          <w:i/>
        </w:rPr>
        <w:t>8</w:t>
      </w:r>
      <w:r w:rsidRPr="001F6C80">
        <w:rPr>
          <w:rFonts w:cs="Arial"/>
          <w:b/>
          <w:i/>
        </w:rPr>
        <w:t xml:space="preserve"> (No. </w:t>
      </w:r>
      <w:r w:rsidR="0012135E" w:rsidRPr="001F6C80">
        <w:rPr>
          <w:rFonts w:cs="Arial"/>
          <w:b/>
          <w:i/>
        </w:rPr>
        <w:t>1</w:t>
      </w:r>
      <w:r w:rsidRPr="001F6C80">
        <w:rPr>
          <w:rFonts w:cs="Arial"/>
          <w:b/>
          <w:i/>
        </w:rPr>
        <w:t>)</w:t>
      </w:r>
    </w:p>
    <w:p w14:paraId="357B66B2" w14:textId="67B16B2F" w:rsidR="00E818EB" w:rsidRPr="001F6C80" w:rsidRDefault="00E818EB" w:rsidP="00174D6B">
      <w:pPr>
        <w:pStyle w:val="Subtitle"/>
        <w:spacing w:after="80"/>
        <w:rPr>
          <w:b/>
          <w:i/>
          <w:color w:val="262626"/>
          <w:sz w:val="20"/>
          <w:szCs w:val="20"/>
        </w:rPr>
      </w:pPr>
      <w:r w:rsidRPr="001F6C80">
        <w:rPr>
          <w:b/>
          <w:i/>
          <w:color w:val="262626"/>
          <w:sz w:val="20"/>
          <w:szCs w:val="20"/>
        </w:rPr>
        <w:t xml:space="preserve">Radiocommunications </w:t>
      </w:r>
      <w:r w:rsidR="008D66AD">
        <w:rPr>
          <w:b/>
          <w:i/>
          <w:color w:val="262626"/>
          <w:sz w:val="20"/>
          <w:szCs w:val="20"/>
        </w:rPr>
        <w:t xml:space="preserve">(Transmitter Licence Tax) </w:t>
      </w:r>
      <w:r w:rsidRPr="001F6C80">
        <w:rPr>
          <w:b/>
          <w:i/>
          <w:color w:val="262626"/>
          <w:sz w:val="20"/>
          <w:szCs w:val="20"/>
        </w:rPr>
        <w:t>Act 19</w:t>
      </w:r>
      <w:r w:rsidR="008D66AD">
        <w:rPr>
          <w:b/>
          <w:i/>
          <w:color w:val="262626"/>
          <w:sz w:val="20"/>
          <w:szCs w:val="20"/>
        </w:rPr>
        <w:t>83</w:t>
      </w:r>
    </w:p>
    <w:p w14:paraId="5A1F8E22" w14:textId="77777777" w:rsidR="00E818EB" w:rsidRPr="001F6C80" w:rsidRDefault="00E818EB" w:rsidP="00E818EB">
      <w:pPr>
        <w:pStyle w:val="Heading2"/>
        <w:rPr>
          <w:i w:val="0"/>
          <w:sz w:val="20"/>
          <w:szCs w:val="20"/>
        </w:rPr>
      </w:pPr>
      <w:r w:rsidRPr="001F6C80">
        <w:rPr>
          <w:i w:val="0"/>
          <w:sz w:val="20"/>
          <w:szCs w:val="20"/>
        </w:rPr>
        <w:t>Purpose</w:t>
      </w:r>
    </w:p>
    <w:p w14:paraId="079C9588" w14:textId="3B536F6D" w:rsidR="00E818EB" w:rsidRPr="001F6C80" w:rsidRDefault="00E818EB" w:rsidP="00E818EB">
      <w:pPr>
        <w:rPr>
          <w:rFonts w:cs="Arial"/>
        </w:rPr>
      </w:pPr>
      <w:r w:rsidRPr="001F6C80">
        <w:rPr>
          <w:rFonts w:cs="Arial"/>
        </w:rPr>
        <w:t xml:space="preserve">The </w:t>
      </w:r>
      <w:r w:rsidRPr="001F6C80">
        <w:rPr>
          <w:rFonts w:cs="Arial"/>
          <w:i/>
        </w:rPr>
        <w:t xml:space="preserve">Radiocommunications (Transmitter Licence Tax) Amendment Determination </w:t>
      </w:r>
      <w:r w:rsidR="001F6C80" w:rsidRPr="001F6C80">
        <w:rPr>
          <w:rFonts w:cs="Arial"/>
          <w:i/>
        </w:rPr>
        <w:t>2018</w:t>
      </w:r>
      <w:r w:rsidRPr="001F6C80">
        <w:rPr>
          <w:rFonts w:cs="Arial"/>
          <w:i/>
        </w:rPr>
        <w:t xml:space="preserve"> (No. </w:t>
      </w:r>
      <w:r w:rsidR="00D01D7D" w:rsidRPr="001F6C80">
        <w:rPr>
          <w:rFonts w:cs="Arial"/>
          <w:i/>
        </w:rPr>
        <w:t>1</w:t>
      </w:r>
      <w:r w:rsidRPr="001F6C80">
        <w:rPr>
          <w:rFonts w:cs="Arial"/>
          <w:i/>
        </w:rPr>
        <w:t>)</w:t>
      </w:r>
      <w:r w:rsidRPr="001F6C80">
        <w:rPr>
          <w:rFonts w:cs="Arial"/>
        </w:rPr>
        <w:t xml:space="preserve"> (the </w:t>
      </w:r>
      <w:r w:rsidRPr="000A1051">
        <w:rPr>
          <w:rFonts w:cs="Arial"/>
          <w:b/>
        </w:rPr>
        <w:t>Amendment Determination</w:t>
      </w:r>
      <w:r w:rsidRPr="001F6C80">
        <w:rPr>
          <w:rFonts w:cs="Arial"/>
        </w:rPr>
        <w:t xml:space="preserve">) amends the </w:t>
      </w:r>
      <w:r w:rsidRPr="001F6C80">
        <w:rPr>
          <w:rFonts w:cs="Arial"/>
          <w:i/>
        </w:rPr>
        <w:t xml:space="preserve">Radiocommunications (Transmitter Licence Tax) Determination </w:t>
      </w:r>
      <w:r w:rsidR="001F6C80" w:rsidRPr="001F6C80">
        <w:rPr>
          <w:rFonts w:cs="Arial"/>
          <w:i/>
        </w:rPr>
        <w:t>201</w:t>
      </w:r>
      <w:r w:rsidR="00FB3E0F">
        <w:rPr>
          <w:rFonts w:cs="Arial"/>
          <w:i/>
        </w:rPr>
        <w:t>5</w:t>
      </w:r>
      <w:r w:rsidRPr="001F6C80">
        <w:rPr>
          <w:rFonts w:cs="Arial"/>
          <w:i/>
        </w:rPr>
        <w:t xml:space="preserve"> </w:t>
      </w:r>
      <w:r w:rsidRPr="001F6C80">
        <w:rPr>
          <w:rFonts w:cs="Arial"/>
        </w:rPr>
        <w:t xml:space="preserve">(the </w:t>
      </w:r>
      <w:r w:rsidRPr="000A1051">
        <w:rPr>
          <w:rFonts w:cs="Arial"/>
          <w:b/>
        </w:rPr>
        <w:t>Determination</w:t>
      </w:r>
      <w:r w:rsidRPr="001F6C80">
        <w:rPr>
          <w:rFonts w:cs="Arial"/>
        </w:rPr>
        <w:t>).</w:t>
      </w:r>
    </w:p>
    <w:p w14:paraId="1D213A74" w14:textId="77777777" w:rsidR="00C63C44" w:rsidRPr="001F6C80" w:rsidRDefault="00C63C44" w:rsidP="00C63C44">
      <w:pPr>
        <w:pStyle w:val="Heading2"/>
        <w:rPr>
          <w:i w:val="0"/>
          <w:sz w:val="20"/>
          <w:szCs w:val="20"/>
        </w:rPr>
      </w:pPr>
      <w:r w:rsidRPr="001F6C80">
        <w:rPr>
          <w:i w:val="0"/>
          <w:sz w:val="20"/>
          <w:szCs w:val="20"/>
        </w:rPr>
        <w:t>Legislative Provisions</w:t>
      </w:r>
    </w:p>
    <w:p w14:paraId="1ECC48E3" w14:textId="699CABB6" w:rsidR="00C63C44" w:rsidRPr="001F6C80" w:rsidRDefault="00C63C44" w:rsidP="00C63C44">
      <w:pPr>
        <w:rPr>
          <w:rFonts w:cs="Arial"/>
        </w:rPr>
      </w:pPr>
      <w:r w:rsidRPr="001F6C80">
        <w:rPr>
          <w:rFonts w:cs="Arial"/>
        </w:rPr>
        <w:t xml:space="preserve">The Determination and Amendment Determination are both made under subsection 7(1) of the </w:t>
      </w:r>
      <w:r w:rsidRPr="001F6C80">
        <w:rPr>
          <w:rFonts w:cs="Arial"/>
          <w:i/>
        </w:rPr>
        <w:t>Radiocommunications (Transmitter Licence Tax) Act 1983</w:t>
      </w:r>
      <w:r w:rsidRPr="001F6C80">
        <w:rPr>
          <w:rFonts w:cs="Arial"/>
        </w:rPr>
        <w:t xml:space="preserve"> </w:t>
      </w:r>
      <w:r w:rsidR="00A20488">
        <w:rPr>
          <w:rFonts w:cs="Arial"/>
        </w:rPr>
        <w:t xml:space="preserve">(the </w:t>
      </w:r>
      <w:r w:rsidR="00A20488" w:rsidRPr="000A1051">
        <w:rPr>
          <w:rFonts w:cs="Arial"/>
          <w:b/>
        </w:rPr>
        <w:t>Tax Act</w:t>
      </w:r>
      <w:r w:rsidR="00A20488">
        <w:rPr>
          <w:rFonts w:cs="Arial"/>
        </w:rPr>
        <w:t xml:space="preserve">) </w:t>
      </w:r>
      <w:r w:rsidRPr="001F6C80">
        <w:rPr>
          <w:rFonts w:cs="Arial"/>
        </w:rPr>
        <w:t>which provides that the Australian Communications and Media Authority (</w:t>
      </w:r>
      <w:r w:rsidR="00AF6AE2" w:rsidRPr="001F6C80">
        <w:rPr>
          <w:rFonts w:cs="Arial"/>
        </w:rPr>
        <w:t xml:space="preserve">the </w:t>
      </w:r>
      <w:r w:rsidRPr="000A1051">
        <w:rPr>
          <w:rFonts w:cs="Arial"/>
          <w:b/>
        </w:rPr>
        <w:t>ACMA</w:t>
      </w:r>
      <w:r w:rsidRPr="001F6C80">
        <w:rPr>
          <w:rFonts w:cs="Arial"/>
        </w:rPr>
        <w:t>) may determine the amount of tax in respect of:</w:t>
      </w:r>
    </w:p>
    <w:p w14:paraId="1E14F0A7" w14:textId="77777777" w:rsidR="00C63C44" w:rsidRPr="001F6C80" w:rsidRDefault="00C63C44" w:rsidP="00C63C44">
      <w:pPr>
        <w:pStyle w:val="Dotpoints"/>
        <w:tabs>
          <w:tab w:val="clear" w:pos="720"/>
        </w:tabs>
        <w:spacing w:before="120"/>
        <w:ind w:left="360"/>
        <w:rPr>
          <w:rFonts w:ascii="Arial" w:hAnsi="Arial" w:cs="Arial"/>
          <w:sz w:val="20"/>
          <w:szCs w:val="20"/>
          <w:lang w:eastAsia="en-US" w:bidi="he-IL"/>
        </w:rPr>
      </w:pPr>
      <w:r w:rsidRPr="001F6C80">
        <w:rPr>
          <w:rFonts w:ascii="Arial" w:hAnsi="Arial" w:cs="Arial"/>
          <w:sz w:val="20"/>
          <w:szCs w:val="20"/>
          <w:lang w:eastAsia="en-US" w:bidi="he-IL"/>
        </w:rPr>
        <w:t>the issue of a transmitter licence;</w:t>
      </w:r>
    </w:p>
    <w:p w14:paraId="2460F563" w14:textId="77777777" w:rsidR="00C63C44" w:rsidRPr="001F6C80" w:rsidRDefault="00C63C44" w:rsidP="00C63C44">
      <w:pPr>
        <w:pStyle w:val="Dotpoints"/>
        <w:tabs>
          <w:tab w:val="clear" w:pos="720"/>
        </w:tabs>
        <w:ind w:left="357" w:hanging="357"/>
        <w:rPr>
          <w:rFonts w:ascii="Arial" w:hAnsi="Arial" w:cs="Arial"/>
          <w:sz w:val="20"/>
          <w:szCs w:val="20"/>
          <w:lang w:eastAsia="en-US" w:bidi="he-IL"/>
        </w:rPr>
      </w:pPr>
      <w:r w:rsidRPr="001F6C80">
        <w:rPr>
          <w:rFonts w:ascii="Arial" w:hAnsi="Arial" w:cs="Arial"/>
          <w:sz w:val="20"/>
          <w:szCs w:val="20"/>
          <w:lang w:eastAsia="en-US" w:bidi="he-IL"/>
        </w:rPr>
        <w:t xml:space="preserve">the anniversary of a transmitter licence coming into force; and </w:t>
      </w:r>
    </w:p>
    <w:p w14:paraId="36B28BB7" w14:textId="77777777" w:rsidR="00C63C44" w:rsidRPr="001F6C80" w:rsidRDefault="00C63C44" w:rsidP="00C63C44">
      <w:pPr>
        <w:pStyle w:val="Dotpoints"/>
        <w:tabs>
          <w:tab w:val="clear" w:pos="720"/>
        </w:tabs>
        <w:ind w:left="357" w:hanging="357"/>
        <w:rPr>
          <w:rFonts w:ascii="Arial" w:hAnsi="Arial" w:cs="Arial"/>
          <w:sz w:val="20"/>
          <w:szCs w:val="20"/>
          <w:lang w:eastAsia="en-US" w:bidi="he-IL"/>
        </w:rPr>
      </w:pPr>
      <w:proofErr w:type="gramStart"/>
      <w:r w:rsidRPr="001F6C80">
        <w:rPr>
          <w:rFonts w:ascii="Arial" w:hAnsi="Arial" w:cs="Arial"/>
          <w:sz w:val="20"/>
          <w:szCs w:val="20"/>
          <w:lang w:eastAsia="en-US" w:bidi="he-IL"/>
        </w:rPr>
        <w:t>the</w:t>
      </w:r>
      <w:proofErr w:type="gramEnd"/>
      <w:r w:rsidRPr="001F6C80">
        <w:rPr>
          <w:rFonts w:ascii="Arial" w:hAnsi="Arial" w:cs="Arial"/>
          <w:sz w:val="20"/>
          <w:szCs w:val="20"/>
          <w:lang w:eastAsia="en-US" w:bidi="he-IL"/>
        </w:rPr>
        <w:t xml:space="preserve"> holding of a transmitter licence.</w:t>
      </w:r>
    </w:p>
    <w:p w14:paraId="7AA6C085" w14:textId="77777777" w:rsidR="00732CBF" w:rsidRPr="001F6C80" w:rsidRDefault="00732CBF" w:rsidP="00732CBF">
      <w:pPr>
        <w:pStyle w:val="Dotpoints"/>
        <w:numPr>
          <w:ilvl w:val="0"/>
          <w:numId w:val="0"/>
        </w:numPr>
        <w:rPr>
          <w:rFonts w:ascii="Arial" w:hAnsi="Arial" w:cs="Arial"/>
          <w:i/>
          <w:sz w:val="20"/>
          <w:szCs w:val="20"/>
          <w:lang w:eastAsia="en-US" w:bidi="he-IL"/>
        </w:rPr>
      </w:pPr>
    </w:p>
    <w:p w14:paraId="6A34B4BC" w14:textId="77777777" w:rsidR="00732CBF" w:rsidRDefault="00732CBF" w:rsidP="00732CBF">
      <w:pPr>
        <w:rPr>
          <w:rFonts w:cs="Arial"/>
        </w:rPr>
      </w:pPr>
      <w:r w:rsidRPr="001F6C80">
        <w:rPr>
          <w:rFonts w:cs="Arial"/>
        </w:rPr>
        <w:t xml:space="preserve">Subsection 33(3) of the </w:t>
      </w:r>
      <w:r w:rsidRPr="001F6C80">
        <w:rPr>
          <w:rFonts w:cs="Arial"/>
          <w:i/>
        </w:rPr>
        <w:t>Acts Interpretation Act 1901</w:t>
      </w:r>
      <w:r w:rsidRPr="001F6C80">
        <w:rPr>
          <w:rFonts w:cs="Arial"/>
        </w:rPr>
        <w:t xml:space="preserve"> provides that when an Act confers a power to make an instrument, that power shall, unless the contrary intention appears, be construed as including a power exercisable in a like manner and subject to like conditions, to amend that instrument.</w:t>
      </w:r>
    </w:p>
    <w:p w14:paraId="5CE7B5F8" w14:textId="77777777" w:rsidR="00FB3E0F" w:rsidRDefault="00FB3E0F" w:rsidP="00732CBF">
      <w:pPr>
        <w:rPr>
          <w:rFonts w:cs="Arial"/>
        </w:rPr>
      </w:pPr>
    </w:p>
    <w:p w14:paraId="403CE155" w14:textId="78B040C9" w:rsidR="00FB3E0F" w:rsidRPr="00174D6B" w:rsidRDefault="00FB3E0F" w:rsidP="00732CBF">
      <w:pPr>
        <w:rPr>
          <w:rFonts w:cs="Arial"/>
          <w:i/>
        </w:rPr>
      </w:pPr>
      <w:r>
        <w:rPr>
          <w:rFonts w:cs="Arial"/>
        </w:rPr>
        <w:t xml:space="preserve">The Amendment Determination is a disallowable legislative instrument </w:t>
      </w:r>
      <w:r w:rsidR="001A099E">
        <w:rPr>
          <w:rFonts w:cs="Arial"/>
        </w:rPr>
        <w:t>under</w:t>
      </w:r>
      <w:r>
        <w:rPr>
          <w:rFonts w:cs="Arial"/>
        </w:rPr>
        <w:t xml:space="preserve"> </w:t>
      </w:r>
      <w:r w:rsidR="009F5847">
        <w:rPr>
          <w:rFonts w:cs="Arial"/>
        </w:rPr>
        <w:t xml:space="preserve">section 42 of </w:t>
      </w:r>
      <w:r>
        <w:rPr>
          <w:rFonts w:cs="Arial"/>
        </w:rPr>
        <w:t xml:space="preserve">the </w:t>
      </w:r>
      <w:r>
        <w:rPr>
          <w:rFonts w:cs="Arial"/>
          <w:i/>
        </w:rPr>
        <w:t xml:space="preserve">Legislation Act 2003. </w:t>
      </w:r>
    </w:p>
    <w:p w14:paraId="03068B68" w14:textId="77777777" w:rsidR="00C63C44" w:rsidRPr="001F6C80" w:rsidRDefault="00C63C44" w:rsidP="00C63C44">
      <w:pPr>
        <w:pStyle w:val="Heading2"/>
        <w:rPr>
          <w:i w:val="0"/>
          <w:sz w:val="20"/>
          <w:szCs w:val="20"/>
        </w:rPr>
      </w:pPr>
      <w:r w:rsidRPr="001F6C80">
        <w:rPr>
          <w:i w:val="0"/>
          <w:sz w:val="20"/>
          <w:szCs w:val="20"/>
        </w:rPr>
        <w:t>Background</w:t>
      </w:r>
    </w:p>
    <w:p w14:paraId="2D1ED8F8" w14:textId="77777777" w:rsidR="00C63C44" w:rsidRPr="001F6C80" w:rsidRDefault="00C63C44" w:rsidP="00C63C44">
      <w:pPr>
        <w:rPr>
          <w:rFonts w:cs="Arial"/>
        </w:rPr>
      </w:pPr>
      <w:r w:rsidRPr="001F6C80">
        <w:rPr>
          <w:rFonts w:cs="Arial"/>
        </w:rPr>
        <w:t xml:space="preserve">Under the </w:t>
      </w:r>
      <w:r w:rsidRPr="001F6C80">
        <w:rPr>
          <w:rFonts w:cs="Arial"/>
          <w:i/>
        </w:rPr>
        <w:t>Radiocommunications Act 1992</w:t>
      </w:r>
      <w:r w:rsidRPr="001F6C80">
        <w:rPr>
          <w:rFonts w:cs="Arial"/>
        </w:rPr>
        <w:t>, the ACMA is responsible for maintaining an efficient, equitable and transparent system of charging for the use of spectrum. The annual tax levied on apparatus licences</w:t>
      </w:r>
      <w:r w:rsidR="00DC5ADF" w:rsidRPr="001F6C80">
        <w:rPr>
          <w:rFonts w:cs="Arial"/>
        </w:rPr>
        <w:t xml:space="preserve"> </w:t>
      </w:r>
      <w:r w:rsidRPr="001F6C80">
        <w:rPr>
          <w:rFonts w:cs="Arial"/>
        </w:rPr>
        <w:t>allows the ACMA to create economic incentives for efficient use of the spectrum. It encourages licensees to use the minimum amount of bandwidth for their needs, move to less congested bands, and surrender licences that are no longer needed.</w:t>
      </w:r>
    </w:p>
    <w:p w14:paraId="137660D0" w14:textId="77777777" w:rsidR="00C63C44" w:rsidRPr="001F6C80" w:rsidRDefault="00C63C44" w:rsidP="00C63C44">
      <w:pPr>
        <w:rPr>
          <w:rFonts w:cs="Arial"/>
        </w:rPr>
      </w:pPr>
    </w:p>
    <w:p w14:paraId="3F6CD751" w14:textId="74045F41" w:rsidR="00C63C44" w:rsidRPr="001F6C80" w:rsidRDefault="00D01D7D" w:rsidP="00C63C44">
      <w:pPr>
        <w:rPr>
          <w:rFonts w:cs="Arial"/>
        </w:rPr>
      </w:pPr>
      <w:r w:rsidRPr="001F6C80">
        <w:rPr>
          <w:rFonts w:cs="Arial"/>
        </w:rPr>
        <w:t>T</w:t>
      </w:r>
      <w:r w:rsidR="00C63C44" w:rsidRPr="001F6C80">
        <w:rPr>
          <w:rFonts w:cs="Arial"/>
        </w:rPr>
        <w:t xml:space="preserve">he ACMA </w:t>
      </w:r>
      <w:r w:rsidR="00A42A7D">
        <w:rPr>
          <w:rFonts w:cs="Arial"/>
        </w:rPr>
        <w:t xml:space="preserve">generally </w:t>
      </w:r>
      <w:r w:rsidR="00C63C44" w:rsidRPr="001F6C80">
        <w:rPr>
          <w:rFonts w:cs="Arial"/>
        </w:rPr>
        <w:t xml:space="preserve">seeks to ensure efficient use of spectrum by allocating channels to licensees with the greatest willingness to pay. If a tax is too low, licensees with </w:t>
      </w:r>
      <w:r w:rsidRPr="001F6C80">
        <w:rPr>
          <w:rFonts w:cs="Arial"/>
        </w:rPr>
        <w:t xml:space="preserve">low value uses can viably occupy </w:t>
      </w:r>
      <w:r w:rsidR="00FF04F3" w:rsidRPr="001F6C80">
        <w:rPr>
          <w:rFonts w:cs="Arial"/>
        </w:rPr>
        <w:t xml:space="preserve">channels excluding </w:t>
      </w:r>
      <w:r w:rsidR="00C63C44" w:rsidRPr="001F6C80">
        <w:rPr>
          <w:rFonts w:cs="Arial"/>
        </w:rPr>
        <w:t>more economically efficient uses.</w:t>
      </w:r>
    </w:p>
    <w:p w14:paraId="4D8D0A67" w14:textId="77777777" w:rsidR="00E818EB" w:rsidRPr="001F6C80" w:rsidRDefault="00E818EB" w:rsidP="00C63C44">
      <w:pPr>
        <w:rPr>
          <w:rFonts w:cs="Arial"/>
        </w:rPr>
      </w:pPr>
    </w:p>
    <w:p w14:paraId="36D4F24D" w14:textId="77777777" w:rsidR="00E818EB" w:rsidRPr="001F6C80" w:rsidRDefault="00E818EB" w:rsidP="00C63C44">
      <w:pPr>
        <w:rPr>
          <w:rFonts w:cs="Arial"/>
        </w:rPr>
      </w:pPr>
      <w:r w:rsidRPr="001F6C80">
        <w:rPr>
          <w:rFonts w:cs="Arial"/>
        </w:rPr>
        <w:t xml:space="preserve">The Determination sets out the </w:t>
      </w:r>
      <w:r w:rsidR="00DC5ADF" w:rsidRPr="001F6C80">
        <w:rPr>
          <w:rFonts w:cs="Arial"/>
        </w:rPr>
        <w:t xml:space="preserve">different </w:t>
      </w:r>
      <w:r w:rsidRPr="001F6C80">
        <w:rPr>
          <w:rFonts w:cs="Arial"/>
        </w:rPr>
        <w:t>amount</w:t>
      </w:r>
      <w:r w:rsidR="00DC5ADF" w:rsidRPr="001F6C80">
        <w:rPr>
          <w:rFonts w:cs="Arial"/>
        </w:rPr>
        <w:t>s</w:t>
      </w:r>
      <w:r w:rsidRPr="001F6C80">
        <w:rPr>
          <w:rFonts w:cs="Arial"/>
        </w:rPr>
        <w:t xml:space="preserve"> of transmitter licence tax that </w:t>
      </w:r>
      <w:r w:rsidR="00DC5ADF" w:rsidRPr="001F6C80">
        <w:rPr>
          <w:rFonts w:cs="Arial"/>
        </w:rPr>
        <w:t>the ACMA has determined</w:t>
      </w:r>
      <w:r w:rsidR="000044EB" w:rsidRPr="001F6C80">
        <w:rPr>
          <w:rFonts w:cs="Arial"/>
        </w:rPr>
        <w:t xml:space="preserve"> and </w:t>
      </w:r>
      <w:r w:rsidRPr="001F6C80">
        <w:rPr>
          <w:rFonts w:cs="Arial"/>
        </w:rPr>
        <w:t xml:space="preserve">is payable by </w:t>
      </w:r>
      <w:r w:rsidR="00DC5ADF" w:rsidRPr="001F6C80">
        <w:rPr>
          <w:rFonts w:cs="Arial"/>
        </w:rPr>
        <w:t>licensees of particular apparatus licences.</w:t>
      </w:r>
    </w:p>
    <w:p w14:paraId="2260487E" w14:textId="77777777" w:rsidR="00C63C44" w:rsidRPr="001F6C80" w:rsidRDefault="00C63C44" w:rsidP="00C63C44">
      <w:pPr>
        <w:pStyle w:val="Heading2"/>
        <w:rPr>
          <w:i w:val="0"/>
          <w:sz w:val="20"/>
          <w:szCs w:val="20"/>
        </w:rPr>
      </w:pPr>
      <w:r w:rsidRPr="001F6C80">
        <w:rPr>
          <w:i w:val="0"/>
          <w:sz w:val="20"/>
          <w:szCs w:val="20"/>
        </w:rPr>
        <w:t>Operation</w:t>
      </w:r>
    </w:p>
    <w:p w14:paraId="62C9DF6A" w14:textId="407E8519" w:rsidR="00EA05D0" w:rsidRPr="001F6C80" w:rsidRDefault="00C63C44" w:rsidP="00C63C44">
      <w:pPr>
        <w:rPr>
          <w:rFonts w:cs="Arial"/>
        </w:rPr>
      </w:pPr>
      <w:r w:rsidRPr="001F6C80">
        <w:rPr>
          <w:rFonts w:cs="Arial"/>
        </w:rPr>
        <w:t xml:space="preserve">The Amendment Determination amends the taxing regime for radiocommunications transmitter licences to adjust all taxes by a </w:t>
      </w:r>
      <w:r w:rsidR="0061517D" w:rsidRPr="001F6C80">
        <w:rPr>
          <w:rFonts w:cs="Arial"/>
        </w:rPr>
        <w:t>1</w:t>
      </w:r>
      <w:r w:rsidR="00F05308" w:rsidRPr="001F6C80">
        <w:rPr>
          <w:rFonts w:cs="Arial"/>
        </w:rPr>
        <w:t>.</w:t>
      </w:r>
      <w:r w:rsidR="00860E45">
        <w:rPr>
          <w:rFonts w:cs="Arial"/>
        </w:rPr>
        <w:t>9</w:t>
      </w:r>
      <w:r w:rsidR="00F05308" w:rsidRPr="001F6C80">
        <w:rPr>
          <w:rFonts w:cs="Arial"/>
        </w:rPr>
        <w:t xml:space="preserve"> percent</w:t>
      </w:r>
      <w:r w:rsidRPr="001F6C80">
        <w:rPr>
          <w:rFonts w:cs="Arial"/>
        </w:rPr>
        <w:t xml:space="preserve"> </w:t>
      </w:r>
      <w:r w:rsidR="00BA4F01" w:rsidRPr="001F6C80">
        <w:rPr>
          <w:rFonts w:cs="Arial"/>
        </w:rPr>
        <w:t xml:space="preserve">increase </w:t>
      </w:r>
      <w:r w:rsidRPr="001F6C80">
        <w:rPr>
          <w:rFonts w:cs="Arial"/>
        </w:rPr>
        <w:t xml:space="preserve">based on the </w:t>
      </w:r>
      <w:r w:rsidR="00FF04F3" w:rsidRPr="001F6C80">
        <w:rPr>
          <w:rFonts w:cs="Arial"/>
        </w:rPr>
        <w:t xml:space="preserve">increase in the </w:t>
      </w:r>
      <w:r w:rsidR="00FF0F4F" w:rsidRPr="001F6C80">
        <w:rPr>
          <w:rFonts w:cs="Arial"/>
        </w:rPr>
        <w:t xml:space="preserve">consumer price </w:t>
      </w:r>
      <w:r w:rsidR="00EC3106" w:rsidRPr="001F6C80">
        <w:rPr>
          <w:rFonts w:cs="Arial"/>
        </w:rPr>
        <w:t xml:space="preserve">index </w:t>
      </w:r>
      <w:r w:rsidR="00FF0F4F" w:rsidRPr="001F6C80">
        <w:rPr>
          <w:rFonts w:cs="Arial"/>
        </w:rPr>
        <w:t>(</w:t>
      </w:r>
      <w:r w:rsidRPr="000A1051">
        <w:rPr>
          <w:rFonts w:cs="Arial"/>
          <w:b/>
        </w:rPr>
        <w:t>CPI</w:t>
      </w:r>
      <w:r w:rsidR="00FF0F4F" w:rsidRPr="001F6C80">
        <w:rPr>
          <w:rFonts w:cs="Arial"/>
        </w:rPr>
        <w:t>)</w:t>
      </w:r>
      <w:r w:rsidRPr="001F6C80">
        <w:rPr>
          <w:rFonts w:cs="Arial"/>
        </w:rPr>
        <w:t xml:space="preserve"> </w:t>
      </w:r>
      <w:r w:rsidR="00FF04F3" w:rsidRPr="001F6C80">
        <w:rPr>
          <w:rFonts w:cs="Arial"/>
          <w:color w:val="000000"/>
        </w:rPr>
        <w:t xml:space="preserve">over the year to June </w:t>
      </w:r>
      <w:r w:rsidR="001F6C80" w:rsidRPr="001F6C80">
        <w:rPr>
          <w:rFonts w:cs="Arial"/>
          <w:color w:val="000000"/>
        </w:rPr>
        <w:t>201</w:t>
      </w:r>
      <w:r w:rsidR="00860E45">
        <w:rPr>
          <w:rFonts w:cs="Arial"/>
          <w:color w:val="000000"/>
        </w:rPr>
        <w:t>7</w:t>
      </w:r>
      <w:r w:rsidR="0061517D" w:rsidRPr="001F6C80">
        <w:rPr>
          <w:rStyle w:val="FootnoteReference"/>
          <w:rFonts w:cs="Arial"/>
          <w:color w:val="000000"/>
        </w:rPr>
        <w:footnoteReference w:id="1"/>
      </w:r>
      <w:r w:rsidR="0061517D" w:rsidRPr="001F6C80">
        <w:rPr>
          <w:rFonts w:cs="Arial"/>
          <w:color w:val="000000"/>
        </w:rPr>
        <w:t>.</w:t>
      </w:r>
      <w:r w:rsidR="00732CBF" w:rsidRPr="001F6C80">
        <w:rPr>
          <w:rFonts w:cs="Arial"/>
        </w:rPr>
        <w:t xml:space="preserve"> </w:t>
      </w:r>
      <w:r w:rsidR="00EA05D0" w:rsidRPr="001F6C80">
        <w:rPr>
          <w:rFonts w:cs="Arial"/>
        </w:rPr>
        <w:t>In real terms there is no effect on businesses, as the nominal dollar increase</w:t>
      </w:r>
      <w:r w:rsidR="006C28A9" w:rsidRPr="001F6C80">
        <w:rPr>
          <w:rFonts w:cs="Arial"/>
        </w:rPr>
        <w:t>s</w:t>
      </w:r>
      <w:r w:rsidR="00EA05D0" w:rsidRPr="001F6C80">
        <w:rPr>
          <w:rFonts w:cs="Arial"/>
        </w:rPr>
        <w:t xml:space="preserve"> merely preserve the value of the licence taxes</w:t>
      </w:r>
      <w:r w:rsidR="00FF04F3" w:rsidRPr="001F6C80">
        <w:rPr>
          <w:rFonts w:cs="Arial"/>
        </w:rPr>
        <w:t xml:space="preserve"> (and therefore the incentives toward efficient use of spectrum)</w:t>
      </w:r>
      <w:r w:rsidR="00EA05D0" w:rsidRPr="001F6C80">
        <w:rPr>
          <w:rFonts w:cs="Arial"/>
        </w:rPr>
        <w:t xml:space="preserve"> </w:t>
      </w:r>
      <w:r w:rsidR="007F0D4D" w:rsidRPr="001F6C80">
        <w:rPr>
          <w:rFonts w:cs="Arial"/>
        </w:rPr>
        <w:t>against erosion by</w:t>
      </w:r>
      <w:r w:rsidR="006C28A9" w:rsidRPr="001F6C80">
        <w:rPr>
          <w:rFonts w:cs="Arial"/>
        </w:rPr>
        <w:t xml:space="preserve"> inflation.</w:t>
      </w:r>
    </w:p>
    <w:p w14:paraId="758CD6F2" w14:textId="77777777" w:rsidR="00EA05D0" w:rsidRPr="001F6C80" w:rsidRDefault="00EA05D0" w:rsidP="00C63C44">
      <w:pPr>
        <w:rPr>
          <w:rFonts w:cs="Arial"/>
        </w:rPr>
      </w:pPr>
    </w:p>
    <w:p w14:paraId="371F0244" w14:textId="075ACF69" w:rsidR="0055220B" w:rsidRPr="00A42A7D" w:rsidRDefault="00860E45" w:rsidP="0055220B">
      <w:pPr>
        <w:rPr>
          <w:rFonts w:cs="Arial"/>
        </w:rPr>
      </w:pPr>
      <w:r>
        <w:rPr>
          <w:rFonts w:cs="Arial"/>
        </w:rPr>
        <w:t xml:space="preserve">The only exception to </w:t>
      </w:r>
      <w:r w:rsidR="0055220B" w:rsidRPr="001F6C80">
        <w:rPr>
          <w:rFonts w:cs="Arial"/>
        </w:rPr>
        <w:t xml:space="preserve">CPI </w:t>
      </w:r>
      <w:r w:rsidR="00FF04F3" w:rsidRPr="001F6C80">
        <w:rPr>
          <w:rFonts w:cs="Arial"/>
        </w:rPr>
        <w:t xml:space="preserve">escalation </w:t>
      </w:r>
      <w:r w:rsidR="0055220B" w:rsidRPr="001F6C80">
        <w:rPr>
          <w:rFonts w:cs="Arial"/>
        </w:rPr>
        <w:t xml:space="preserve">is that the Amendment Determination also continues the freeze, in dollar amounts, of taxes levied on point to point and point to multi-point fixed wireless </w:t>
      </w:r>
      <w:r w:rsidR="0055220B" w:rsidRPr="001F6C80">
        <w:rPr>
          <w:rFonts w:cs="Arial"/>
        </w:rPr>
        <w:lastRenderedPageBreak/>
        <w:t xml:space="preserve">access services below 960 MHz in remote density areas at their 2008 levels. </w:t>
      </w:r>
      <w:r w:rsidR="00A42A7D">
        <w:rPr>
          <w:rFonts w:cs="Arial"/>
        </w:rPr>
        <w:t xml:space="preserve">The ACMA will consider whether to continue this practice once it has completed its review of the 900 MHz band. </w:t>
      </w:r>
    </w:p>
    <w:p w14:paraId="3BA6CA63" w14:textId="77777777" w:rsidR="00A406B6" w:rsidRPr="001F6C80" w:rsidRDefault="00A406B6" w:rsidP="00A406B6">
      <w:pPr>
        <w:rPr>
          <w:rFonts w:cs="Arial"/>
        </w:rPr>
      </w:pPr>
    </w:p>
    <w:p w14:paraId="0A82DBC6" w14:textId="41D39F40" w:rsidR="00647006" w:rsidRPr="00860E45" w:rsidRDefault="00647006" w:rsidP="00647006">
      <w:pPr>
        <w:rPr>
          <w:rFonts w:cs="Arial"/>
          <w:color w:val="000000"/>
        </w:rPr>
      </w:pPr>
      <w:r w:rsidRPr="00860E45">
        <w:rPr>
          <w:rFonts w:cs="Arial"/>
          <w:color w:val="000000"/>
        </w:rPr>
        <w:t xml:space="preserve">The Amendment </w:t>
      </w:r>
      <w:r w:rsidR="00637E01" w:rsidRPr="00860E45">
        <w:rPr>
          <w:rFonts w:cs="Arial"/>
          <w:color w:val="000000"/>
        </w:rPr>
        <w:t>D</w:t>
      </w:r>
      <w:r w:rsidRPr="00860E45">
        <w:rPr>
          <w:rFonts w:cs="Arial"/>
          <w:color w:val="000000"/>
        </w:rPr>
        <w:t>etermination also</w:t>
      </w:r>
      <w:r w:rsidR="00860E45" w:rsidRPr="00860E45">
        <w:rPr>
          <w:rFonts w:cs="Arial"/>
          <w:color w:val="000000"/>
        </w:rPr>
        <w:t xml:space="preserve"> </w:t>
      </w:r>
      <w:r w:rsidR="00860E45" w:rsidRPr="00860E45">
        <w:rPr>
          <w:rFonts w:cs="Arial"/>
          <w:snapToGrid w:val="0"/>
        </w:rPr>
        <w:t xml:space="preserve">updates the population information in the Determination resulting from the 2016 Census for taxes for PMTS Class B licences and </w:t>
      </w:r>
      <w:r w:rsidR="008D66AD">
        <w:rPr>
          <w:rFonts w:cs="Arial"/>
          <w:snapToGrid w:val="0"/>
        </w:rPr>
        <w:t xml:space="preserve">to </w:t>
      </w:r>
      <w:r w:rsidR="00860E45" w:rsidRPr="00860E45">
        <w:rPr>
          <w:rFonts w:cs="Arial"/>
          <w:snapToGrid w:val="0"/>
        </w:rPr>
        <w:t>clarify the taxes imposed on PMTS Class B licences where those licences authorise the operation of transmitters in areas which are not covered by the Australian Spectrum Map Grid (</w:t>
      </w:r>
      <w:r w:rsidR="00860E45" w:rsidRPr="000A1051">
        <w:rPr>
          <w:rFonts w:cs="Arial"/>
          <w:b/>
          <w:snapToGrid w:val="0"/>
        </w:rPr>
        <w:t>ASMG</w:t>
      </w:r>
      <w:r w:rsidR="00860E45" w:rsidRPr="00860E45">
        <w:rPr>
          <w:rFonts w:cs="Arial"/>
          <w:snapToGrid w:val="0"/>
        </w:rPr>
        <w:t>)</w:t>
      </w:r>
      <w:r w:rsidR="00860E45" w:rsidRPr="00860E45">
        <w:rPr>
          <w:rFonts w:cs="Arial"/>
          <w:snapToGrid w:val="0"/>
          <w:vertAlign w:val="superscript"/>
        </w:rPr>
        <w:footnoteReference w:id="2"/>
      </w:r>
      <w:r w:rsidRPr="00860E45">
        <w:rPr>
          <w:rFonts w:cs="Arial"/>
          <w:color w:val="000000"/>
        </w:rPr>
        <w:t>.</w:t>
      </w:r>
    </w:p>
    <w:p w14:paraId="0A69F909" w14:textId="77777777" w:rsidR="00647006" w:rsidRPr="001F6C80" w:rsidRDefault="00647006" w:rsidP="00A406B6">
      <w:pPr>
        <w:rPr>
          <w:rFonts w:cs="Arial"/>
        </w:rPr>
      </w:pPr>
    </w:p>
    <w:p w14:paraId="1E8390BC" w14:textId="74E2C376" w:rsidR="00647006" w:rsidRDefault="00637E01" w:rsidP="00A406B6">
      <w:pPr>
        <w:rPr>
          <w:rFonts w:cs="Arial"/>
          <w:snapToGrid w:val="0"/>
        </w:rPr>
      </w:pPr>
      <w:r w:rsidRPr="00860E45">
        <w:rPr>
          <w:rFonts w:cs="Arial"/>
        </w:rPr>
        <w:t xml:space="preserve">The Amendment Determination also </w:t>
      </w:r>
      <w:r w:rsidR="00860E45" w:rsidRPr="00860E45">
        <w:rPr>
          <w:rFonts w:cs="Arial"/>
        </w:rPr>
        <w:t xml:space="preserve">includes </w:t>
      </w:r>
      <w:r w:rsidR="00860E45" w:rsidRPr="00860E45">
        <w:rPr>
          <w:rFonts w:cs="Arial"/>
          <w:snapToGrid w:val="0"/>
        </w:rPr>
        <w:t xml:space="preserve">consequential amendments </w:t>
      </w:r>
      <w:r w:rsidR="008D66AD">
        <w:rPr>
          <w:rFonts w:cs="Arial"/>
          <w:snapToGrid w:val="0"/>
        </w:rPr>
        <w:t>to the</w:t>
      </w:r>
      <w:r w:rsidR="00860E45" w:rsidRPr="00860E45">
        <w:rPr>
          <w:rFonts w:cs="Arial"/>
          <w:snapToGrid w:val="0"/>
        </w:rPr>
        <w:t xml:space="preserve"> Determination resulting from changes to the </w:t>
      </w:r>
      <w:r w:rsidR="008D66AD">
        <w:rPr>
          <w:rFonts w:cs="Arial"/>
          <w:snapToGrid w:val="0"/>
        </w:rPr>
        <w:t>Tax Act</w:t>
      </w:r>
      <w:r w:rsidR="00860E45" w:rsidRPr="00174D6B">
        <w:rPr>
          <w:rFonts w:cs="Arial"/>
          <w:i/>
          <w:snapToGrid w:val="0"/>
        </w:rPr>
        <w:t xml:space="preserve"> </w:t>
      </w:r>
      <w:r w:rsidR="00860E45" w:rsidRPr="00860E45">
        <w:rPr>
          <w:rFonts w:cs="Arial"/>
          <w:snapToGrid w:val="0"/>
        </w:rPr>
        <w:t xml:space="preserve">to provide that transmitter licences associated with a commercial broadcasting licence are not subject to tax imposed by the </w:t>
      </w:r>
      <w:r w:rsidR="00732A17">
        <w:rPr>
          <w:rFonts w:cs="Arial"/>
          <w:snapToGrid w:val="0"/>
        </w:rPr>
        <w:t>Tax</w:t>
      </w:r>
      <w:r w:rsidR="00860E45" w:rsidRPr="00860E45">
        <w:rPr>
          <w:rFonts w:cs="Arial"/>
          <w:snapToGrid w:val="0"/>
        </w:rPr>
        <w:t xml:space="preserve"> Act.</w:t>
      </w:r>
    </w:p>
    <w:p w14:paraId="728186C3" w14:textId="77777777" w:rsidR="001A099E" w:rsidRDefault="001A099E" w:rsidP="00A406B6">
      <w:pPr>
        <w:rPr>
          <w:rFonts w:cs="Arial"/>
          <w:snapToGrid w:val="0"/>
        </w:rPr>
      </w:pPr>
    </w:p>
    <w:p w14:paraId="6E1BD282" w14:textId="3E4964BE" w:rsidR="001A099E" w:rsidRDefault="001A099E" w:rsidP="00C20416">
      <w:pPr>
        <w:spacing w:after="60"/>
        <w:rPr>
          <w:rFonts w:cs="Arial"/>
          <w:b/>
          <w:snapToGrid w:val="0"/>
        </w:rPr>
      </w:pPr>
      <w:r>
        <w:rPr>
          <w:rFonts w:cs="Arial"/>
          <w:b/>
          <w:snapToGrid w:val="0"/>
        </w:rPr>
        <w:t xml:space="preserve">Documents incorporated </w:t>
      </w:r>
      <w:r w:rsidR="001B77C1">
        <w:rPr>
          <w:rFonts w:cs="Arial"/>
          <w:b/>
          <w:snapToGrid w:val="0"/>
        </w:rPr>
        <w:t>by reference</w:t>
      </w:r>
    </w:p>
    <w:p w14:paraId="20AAA1C5" w14:textId="7E53802E" w:rsidR="001B77C1" w:rsidRPr="00174D6B" w:rsidRDefault="001B77C1" w:rsidP="00A406B6">
      <w:pPr>
        <w:rPr>
          <w:rFonts w:cs="Arial"/>
          <w:snapToGrid w:val="0"/>
        </w:rPr>
      </w:pPr>
      <w:r>
        <w:rPr>
          <w:rFonts w:cs="Arial"/>
          <w:snapToGrid w:val="0"/>
        </w:rPr>
        <w:t>The Amendment Determination incorporates the following document:</w:t>
      </w:r>
    </w:p>
    <w:p w14:paraId="3C67C62E" w14:textId="77777777" w:rsidR="001A099E" w:rsidRDefault="001A099E" w:rsidP="00A406B6">
      <w:pPr>
        <w:rPr>
          <w:rFonts w:cs="Arial"/>
          <w:b/>
          <w:snapToGrid w:val="0"/>
        </w:rPr>
      </w:pPr>
    </w:p>
    <w:p w14:paraId="77CDF845" w14:textId="077432B9" w:rsidR="001A099E" w:rsidRDefault="001A099E" w:rsidP="00174D6B">
      <w:pPr>
        <w:pStyle w:val="ListParagraph"/>
        <w:numPr>
          <w:ilvl w:val="0"/>
          <w:numId w:val="54"/>
        </w:numPr>
        <w:rPr>
          <w:rFonts w:cs="Arial"/>
        </w:rPr>
      </w:pPr>
      <w:r>
        <w:rPr>
          <w:rFonts w:cs="Arial"/>
        </w:rPr>
        <w:t xml:space="preserve">The </w:t>
      </w:r>
      <w:r>
        <w:rPr>
          <w:rFonts w:cs="Arial"/>
          <w:i/>
        </w:rPr>
        <w:t xml:space="preserve">Hierarchical Cell Identification Scheme (HCIS) – List of Population Data </w:t>
      </w:r>
      <w:r>
        <w:rPr>
          <w:rFonts w:cs="Arial"/>
        </w:rPr>
        <w:t xml:space="preserve">published by the ACMA and available on the ACMA website at: </w:t>
      </w:r>
      <w:hyperlink r:id="rId11" w:history="1">
        <w:r w:rsidRPr="00145143">
          <w:rPr>
            <w:rStyle w:val="Hyperlink"/>
            <w:rFonts w:cs="Arial"/>
          </w:rPr>
          <w:t>www.acma.gov.au</w:t>
        </w:r>
      </w:hyperlink>
      <w:r>
        <w:rPr>
          <w:rFonts w:cs="Arial"/>
        </w:rPr>
        <w:t xml:space="preserve">. </w:t>
      </w:r>
    </w:p>
    <w:p w14:paraId="64696177" w14:textId="77777777" w:rsidR="001B77C1" w:rsidRDefault="001B77C1" w:rsidP="001B77C1">
      <w:pPr>
        <w:rPr>
          <w:rFonts w:cs="Arial"/>
        </w:rPr>
      </w:pPr>
    </w:p>
    <w:p w14:paraId="2C59BEE6" w14:textId="5CE12E56" w:rsidR="001B77C1" w:rsidRDefault="001B77C1" w:rsidP="001B77C1">
      <w:pPr>
        <w:rPr>
          <w:rFonts w:cs="Arial"/>
        </w:rPr>
      </w:pPr>
      <w:r>
        <w:rPr>
          <w:rFonts w:cs="Arial"/>
        </w:rPr>
        <w:t xml:space="preserve">The document is incorporated as in existence at the time Schedule 2 of the Amendment Determination commences. </w:t>
      </w:r>
    </w:p>
    <w:p w14:paraId="09FD584C" w14:textId="77777777" w:rsidR="001B77C1" w:rsidRPr="001B77C1" w:rsidRDefault="001B77C1" w:rsidP="001B77C1">
      <w:pPr>
        <w:rPr>
          <w:rFonts w:cs="Arial"/>
        </w:rPr>
      </w:pPr>
    </w:p>
    <w:p w14:paraId="08AF1016" w14:textId="77777777" w:rsidR="00C63C44" w:rsidRPr="001F6C80" w:rsidRDefault="00C63C44" w:rsidP="00C63C44">
      <w:pPr>
        <w:pStyle w:val="Heading2"/>
        <w:spacing w:before="120"/>
        <w:rPr>
          <w:i w:val="0"/>
          <w:sz w:val="20"/>
          <w:szCs w:val="20"/>
        </w:rPr>
      </w:pPr>
      <w:r w:rsidRPr="001F6C80">
        <w:rPr>
          <w:i w:val="0"/>
          <w:sz w:val="20"/>
          <w:szCs w:val="20"/>
        </w:rPr>
        <w:t>Consultation</w:t>
      </w:r>
    </w:p>
    <w:p w14:paraId="5DF07093" w14:textId="674CCD84" w:rsidR="00860E45" w:rsidRDefault="00A42A7D" w:rsidP="00860E45">
      <w:pPr>
        <w:rPr>
          <w:rFonts w:cs="Arial"/>
          <w:snapToGrid w:val="0"/>
          <w:color w:val="000000" w:themeColor="text1"/>
        </w:rPr>
      </w:pPr>
      <w:r>
        <w:rPr>
          <w:rFonts w:cs="Arial"/>
          <w:snapToGrid w:val="0"/>
          <w:color w:val="000000" w:themeColor="text1"/>
        </w:rPr>
        <w:t>The</w:t>
      </w:r>
      <w:r w:rsidR="00860E45" w:rsidRPr="007159CE">
        <w:rPr>
          <w:rFonts w:cs="Arial"/>
          <w:snapToGrid w:val="0"/>
          <w:color w:val="000000" w:themeColor="text1"/>
        </w:rPr>
        <w:t xml:space="preserve"> ACMA consulted with stakeholders </w:t>
      </w:r>
      <w:r w:rsidR="007C58CA">
        <w:rPr>
          <w:rFonts w:cs="Arial"/>
          <w:snapToGrid w:val="0"/>
          <w:color w:val="000000" w:themeColor="text1"/>
        </w:rPr>
        <w:t>(</w:t>
      </w:r>
      <w:r w:rsidR="00860E45">
        <w:rPr>
          <w:rFonts w:cs="Arial"/>
          <w:snapToGrid w:val="0"/>
          <w:color w:val="000000" w:themeColor="text1"/>
        </w:rPr>
        <w:t>from 6 December 2017 to 9 February 2018</w:t>
      </w:r>
      <w:r w:rsidR="007C58CA">
        <w:rPr>
          <w:rFonts w:cs="Arial"/>
          <w:snapToGrid w:val="0"/>
          <w:color w:val="000000" w:themeColor="text1"/>
        </w:rPr>
        <w:t>)</w:t>
      </w:r>
      <w:r>
        <w:rPr>
          <w:rFonts w:cs="Arial"/>
          <w:snapToGrid w:val="0"/>
          <w:color w:val="000000" w:themeColor="text1"/>
        </w:rPr>
        <w:t xml:space="preserve"> by releasing a consultation paper outlining the proposed amendments on its website</w:t>
      </w:r>
      <w:r w:rsidR="00860E45">
        <w:rPr>
          <w:rFonts w:cs="Arial"/>
          <w:snapToGrid w:val="0"/>
          <w:color w:val="000000" w:themeColor="text1"/>
        </w:rPr>
        <w:t xml:space="preserve">. </w:t>
      </w:r>
      <w:r w:rsidR="00D74E9C" w:rsidRPr="00C20416">
        <w:rPr>
          <w:rFonts w:cs="Arial"/>
          <w:snapToGrid w:val="0"/>
          <w:color w:val="000000" w:themeColor="text1"/>
        </w:rPr>
        <w:t>The ACMA received on</w:t>
      </w:r>
      <w:r w:rsidR="00174D6B" w:rsidRPr="00C20416">
        <w:rPr>
          <w:rFonts w:cs="Arial"/>
          <w:snapToGrid w:val="0"/>
          <w:color w:val="000000" w:themeColor="text1"/>
        </w:rPr>
        <w:t>e</w:t>
      </w:r>
      <w:r w:rsidR="00D74E9C" w:rsidRPr="00C20416">
        <w:rPr>
          <w:rFonts w:cs="Arial"/>
          <w:snapToGrid w:val="0"/>
          <w:color w:val="000000" w:themeColor="text1"/>
        </w:rPr>
        <w:t xml:space="preserve"> comment from Telstra Corporation noting that </w:t>
      </w:r>
      <w:r>
        <w:rPr>
          <w:rFonts w:cs="Arial"/>
          <w:snapToGrid w:val="0"/>
          <w:color w:val="000000" w:themeColor="text1"/>
        </w:rPr>
        <w:t>it was</w:t>
      </w:r>
      <w:r w:rsidR="00D74E9C" w:rsidRPr="00C20416">
        <w:rPr>
          <w:rFonts w:cs="Arial"/>
          <w:snapToGrid w:val="0"/>
          <w:color w:val="000000" w:themeColor="text1"/>
        </w:rPr>
        <w:t xml:space="preserve"> comfortable with the amendments proposed by the ACMA.</w:t>
      </w:r>
    </w:p>
    <w:p w14:paraId="20D9E8B5" w14:textId="77777777" w:rsidR="00FF04F3" w:rsidRPr="001F6C80" w:rsidRDefault="00FF04F3" w:rsidP="00E54B3A">
      <w:pPr>
        <w:rPr>
          <w:rFonts w:cs="Arial"/>
        </w:rPr>
      </w:pPr>
    </w:p>
    <w:p w14:paraId="24728392" w14:textId="77777777" w:rsidR="00141D1B" w:rsidRPr="001F6C80" w:rsidRDefault="00141D1B" w:rsidP="00141D1B">
      <w:pPr>
        <w:pStyle w:val="ACMANumberedList"/>
        <w:numPr>
          <w:ilvl w:val="0"/>
          <w:numId w:val="0"/>
        </w:numPr>
        <w:rPr>
          <w:rFonts w:ascii="Arial" w:hAnsi="Arial" w:cs="Arial"/>
          <w:b/>
          <w:color w:val="262626"/>
          <w:sz w:val="20"/>
        </w:rPr>
      </w:pPr>
      <w:r w:rsidRPr="001F6C80">
        <w:rPr>
          <w:rFonts w:ascii="Arial" w:hAnsi="Arial" w:cs="Arial"/>
          <w:b/>
          <w:color w:val="262626"/>
          <w:sz w:val="20"/>
        </w:rPr>
        <w:t>Regulatory Impact</w:t>
      </w:r>
    </w:p>
    <w:p w14:paraId="6EC014A5" w14:textId="132F45C7" w:rsidR="002476EE" w:rsidRPr="00943D9A" w:rsidRDefault="002476EE" w:rsidP="002476EE">
      <w:pPr>
        <w:contextualSpacing/>
        <w:rPr>
          <w:rFonts w:cs="Arial"/>
        </w:rPr>
      </w:pPr>
      <w:r w:rsidRPr="00943D9A">
        <w:rPr>
          <w:rFonts w:cs="Arial"/>
        </w:rPr>
        <w:t>The Office of Best Practice Regulation (</w:t>
      </w:r>
      <w:r w:rsidRPr="000A1051">
        <w:rPr>
          <w:rFonts w:cs="Arial"/>
          <w:b/>
        </w:rPr>
        <w:t>OBPR</w:t>
      </w:r>
      <w:r w:rsidRPr="00943D9A">
        <w:rPr>
          <w:rFonts w:cs="Arial"/>
        </w:rPr>
        <w:t>) has considered the routine annual escalation of licence tax rates by CPI</w:t>
      </w:r>
      <w:r>
        <w:rPr>
          <w:rFonts w:cs="Arial"/>
        </w:rPr>
        <w:t xml:space="preserve"> and </w:t>
      </w:r>
      <w:r w:rsidR="00A42A7D">
        <w:rPr>
          <w:rFonts w:cs="Arial"/>
        </w:rPr>
        <w:t xml:space="preserve">the </w:t>
      </w:r>
      <w:r>
        <w:rPr>
          <w:rFonts w:cs="Arial"/>
        </w:rPr>
        <w:t xml:space="preserve">other changes </w:t>
      </w:r>
      <w:r w:rsidR="00A42A7D">
        <w:rPr>
          <w:rFonts w:cs="Arial"/>
        </w:rPr>
        <w:t xml:space="preserve">affected by the Amendment Determination </w:t>
      </w:r>
      <w:r w:rsidRPr="00943D9A">
        <w:rPr>
          <w:rFonts w:cs="Arial"/>
        </w:rPr>
        <w:t xml:space="preserve">and formed the opinion that no regulatory impact analysis is required. The OBPR reference number is </w:t>
      </w:r>
      <w:r>
        <w:rPr>
          <w:rFonts w:cs="Arial"/>
        </w:rPr>
        <w:t>23113.</w:t>
      </w:r>
    </w:p>
    <w:p w14:paraId="63F86B77" w14:textId="77777777" w:rsidR="00C747E9" w:rsidRPr="001F6C80" w:rsidRDefault="00C747E9" w:rsidP="00C747E9">
      <w:pPr>
        <w:spacing w:before="240" w:after="120" w:line="280" w:lineRule="atLeast"/>
        <w:rPr>
          <w:rFonts w:cs="Arial"/>
          <w:b/>
          <w:color w:val="262626"/>
        </w:rPr>
      </w:pPr>
      <w:r w:rsidRPr="001F6C80">
        <w:rPr>
          <w:rFonts w:cs="Arial"/>
          <w:b/>
          <w:color w:val="262626"/>
        </w:rPr>
        <w:t>Statement of Compatibility with Human Rights</w:t>
      </w:r>
    </w:p>
    <w:p w14:paraId="0002E306" w14:textId="3A717DE7" w:rsidR="001B77C1" w:rsidRDefault="001B77C1" w:rsidP="0061517D">
      <w:pPr>
        <w:spacing w:after="240"/>
        <w:jc w:val="both"/>
        <w:rPr>
          <w:rFonts w:cs="Arial"/>
          <w:lang w:eastAsia="en-AU"/>
        </w:rPr>
      </w:pPr>
      <w:r>
        <w:rPr>
          <w:rFonts w:cs="Arial"/>
          <w:lang w:eastAsia="en-AU"/>
        </w:rPr>
        <w:t xml:space="preserve">Subsection 9(1) of the </w:t>
      </w:r>
      <w:r>
        <w:rPr>
          <w:rFonts w:cs="Arial"/>
          <w:i/>
          <w:lang w:eastAsia="en-AU"/>
        </w:rPr>
        <w:t xml:space="preserve">Human Rights (Parliamentary Scrutiny) Act 2011 </w:t>
      </w:r>
      <w:r>
        <w:rPr>
          <w:rFonts w:cs="Arial"/>
          <w:lang w:eastAsia="en-AU"/>
        </w:rPr>
        <w:t xml:space="preserve">requires a rule maker in relation to a legislative instrument to which section 42 (disallowance) of the </w:t>
      </w:r>
      <w:r w:rsidR="008D66AD">
        <w:rPr>
          <w:rFonts w:cs="Arial"/>
          <w:i/>
          <w:lang w:eastAsia="en-AU"/>
        </w:rPr>
        <w:t xml:space="preserve">Legislation Act 2003 </w:t>
      </w:r>
      <w:r>
        <w:rPr>
          <w:rFonts w:cs="Arial"/>
          <w:lang w:eastAsia="en-AU"/>
        </w:rPr>
        <w:t xml:space="preserve"> applies, to cause a statement of compatibility with human rights to be prepared in respect of that legislative instrument. </w:t>
      </w:r>
    </w:p>
    <w:p w14:paraId="4C3F97A9" w14:textId="00D0ECE8" w:rsidR="0061517D" w:rsidRPr="001F6C80" w:rsidRDefault="001B77C1" w:rsidP="0061517D">
      <w:pPr>
        <w:spacing w:after="240"/>
        <w:jc w:val="both"/>
        <w:rPr>
          <w:rFonts w:cs="Arial"/>
          <w:lang w:eastAsia="en-AU"/>
        </w:rPr>
      </w:pPr>
      <w:r>
        <w:rPr>
          <w:rFonts w:cs="Arial"/>
          <w:lang w:eastAsia="en-AU"/>
        </w:rPr>
        <w:t xml:space="preserve">This statement has been prepared in accordance with Part 3 of the </w:t>
      </w:r>
      <w:r>
        <w:rPr>
          <w:rFonts w:cs="Arial"/>
          <w:i/>
          <w:lang w:eastAsia="en-AU"/>
        </w:rPr>
        <w:t xml:space="preserve">Human Rights (Parliamentary Scrutiny) Act 2011. </w:t>
      </w:r>
      <w:r>
        <w:rPr>
          <w:rFonts w:cs="Arial"/>
          <w:lang w:eastAsia="en-AU"/>
        </w:rPr>
        <w:t xml:space="preserve">The </w:t>
      </w:r>
      <w:r w:rsidR="009F5847">
        <w:rPr>
          <w:rFonts w:cs="Arial"/>
          <w:lang w:eastAsia="en-AU"/>
        </w:rPr>
        <w:t>Amendment</w:t>
      </w:r>
      <w:r>
        <w:rPr>
          <w:rFonts w:cs="Arial"/>
          <w:lang w:eastAsia="en-AU"/>
        </w:rPr>
        <w:t xml:space="preserve"> Determination made under subsection 7(1) of the Tax Act amends the Determination which specifies the tax applicable to certain transmitter licences. </w:t>
      </w:r>
      <w:r w:rsidR="0061517D" w:rsidRPr="001F6C80">
        <w:rPr>
          <w:rFonts w:cs="Arial"/>
          <w:lang w:eastAsia="en-AU"/>
        </w:rPr>
        <w:t xml:space="preserve">The ACMA has considered whether the </w:t>
      </w:r>
      <w:r w:rsidR="00F3479F">
        <w:rPr>
          <w:rFonts w:cs="Arial"/>
          <w:lang w:eastAsia="en-AU"/>
        </w:rPr>
        <w:t xml:space="preserve">Amendment </w:t>
      </w:r>
      <w:r w:rsidR="0061517D" w:rsidRPr="001F6C80">
        <w:rPr>
          <w:rFonts w:cs="Arial"/>
          <w:lang w:eastAsia="en-AU"/>
        </w:rPr>
        <w:t xml:space="preserve">Determination engages any applicable human rights or freedoms and has formed the view that it does not.  The </w:t>
      </w:r>
      <w:r w:rsidR="00F3479F">
        <w:rPr>
          <w:rFonts w:cs="Arial"/>
          <w:lang w:eastAsia="en-AU"/>
        </w:rPr>
        <w:t xml:space="preserve">Amendment </w:t>
      </w:r>
      <w:r w:rsidR="0061517D" w:rsidRPr="001F6C80">
        <w:rPr>
          <w:rFonts w:cs="Arial"/>
          <w:lang w:eastAsia="en-AU"/>
        </w:rPr>
        <w:t>Determination is compatible with human rights as it does not raise any human rights issues.</w:t>
      </w:r>
    </w:p>
    <w:p w14:paraId="758A3A31" w14:textId="77777777" w:rsidR="001B77C1" w:rsidRPr="001F6C80" w:rsidRDefault="001B77C1" w:rsidP="001B77C1">
      <w:pPr>
        <w:spacing w:before="240" w:after="120" w:line="280" w:lineRule="atLeast"/>
        <w:rPr>
          <w:rFonts w:cs="Arial"/>
          <w:b/>
          <w:color w:val="262626"/>
        </w:rPr>
      </w:pPr>
      <w:r w:rsidRPr="001F6C80">
        <w:rPr>
          <w:rFonts w:cs="Arial"/>
          <w:b/>
          <w:color w:val="262626"/>
        </w:rPr>
        <w:t>Amendment Determination Details</w:t>
      </w:r>
      <w:bookmarkStart w:id="0" w:name="_GoBack"/>
      <w:bookmarkEnd w:id="0"/>
    </w:p>
    <w:p w14:paraId="3EAA09A8" w14:textId="3808D0DA" w:rsidR="00C747E9" w:rsidRPr="001F6C80" w:rsidRDefault="001B77C1" w:rsidP="005B787B">
      <w:pPr>
        <w:spacing w:before="80" w:after="120" w:line="280" w:lineRule="atLeast"/>
        <w:rPr>
          <w:rFonts w:cs="Arial"/>
          <w:color w:val="262626"/>
        </w:rPr>
      </w:pPr>
      <w:r w:rsidRPr="001F6C80">
        <w:rPr>
          <w:rFonts w:cs="Arial"/>
          <w:color w:val="262626"/>
        </w:rPr>
        <w:t xml:space="preserve">Details of the Amendment Determination are provided in </w:t>
      </w:r>
      <w:r w:rsidRPr="001F6C80">
        <w:rPr>
          <w:rFonts w:cs="Arial"/>
          <w:b/>
          <w:color w:val="262626"/>
        </w:rPr>
        <w:t>Attachment 1</w:t>
      </w:r>
      <w:r w:rsidRPr="001F6C80">
        <w:rPr>
          <w:rFonts w:cs="Arial"/>
          <w:color w:val="262626"/>
        </w:rPr>
        <w:t>.</w:t>
      </w:r>
    </w:p>
    <w:p w14:paraId="1C415504" w14:textId="77777777" w:rsidR="00C63C44" w:rsidRPr="001F6C80" w:rsidRDefault="00C63C44" w:rsidP="005B787B">
      <w:pPr>
        <w:jc w:val="right"/>
        <w:rPr>
          <w:rFonts w:cs="Arial"/>
          <w:b/>
        </w:rPr>
      </w:pPr>
      <w:r w:rsidRPr="001F6C80">
        <w:rPr>
          <w:rFonts w:cs="Arial"/>
        </w:rPr>
        <w:br w:type="page"/>
      </w:r>
      <w:r w:rsidRPr="001F6C80">
        <w:rPr>
          <w:rFonts w:cs="Arial"/>
          <w:b/>
        </w:rPr>
        <w:lastRenderedPageBreak/>
        <w:t>ATTACHMENT</w:t>
      </w:r>
      <w:r w:rsidR="00C747E9" w:rsidRPr="001F6C80">
        <w:rPr>
          <w:rFonts w:cs="Arial"/>
          <w:b/>
        </w:rPr>
        <w:t xml:space="preserve"> 1</w:t>
      </w:r>
      <w:r w:rsidRPr="001F6C80">
        <w:rPr>
          <w:rFonts w:cs="Arial"/>
          <w:b/>
        </w:rPr>
        <w:t xml:space="preserve"> </w:t>
      </w:r>
    </w:p>
    <w:p w14:paraId="11672BE9" w14:textId="77777777" w:rsidR="00C63C44" w:rsidRPr="001F6C80" w:rsidRDefault="00C63C44" w:rsidP="00C63C44">
      <w:pPr>
        <w:rPr>
          <w:rFonts w:cs="Arial"/>
          <w:b/>
        </w:rPr>
      </w:pPr>
    </w:p>
    <w:p w14:paraId="3E0C38A0" w14:textId="77777777" w:rsidR="00C63C44" w:rsidRPr="001F6C80" w:rsidRDefault="00C63C44" w:rsidP="00C63C44">
      <w:pPr>
        <w:rPr>
          <w:rFonts w:cs="Arial"/>
          <w:b/>
        </w:rPr>
      </w:pPr>
      <w:r w:rsidRPr="001F6C80">
        <w:rPr>
          <w:rFonts w:cs="Arial"/>
          <w:b/>
        </w:rPr>
        <w:t>N</w:t>
      </w:r>
      <w:r w:rsidR="005B787B" w:rsidRPr="001F6C80">
        <w:rPr>
          <w:rFonts w:cs="Arial"/>
          <w:b/>
        </w:rPr>
        <w:t>OTES ON SECTIONS</w:t>
      </w:r>
    </w:p>
    <w:p w14:paraId="75E527B1" w14:textId="77777777" w:rsidR="00C63C44" w:rsidRPr="001F6C80" w:rsidRDefault="00C63C44" w:rsidP="00C63C44">
      <w:pPr>
        <w:rPr>
          <w:rFonts w:cs="Arial"/>
          <w:b/>
        </w:rPr>
      </w:pPr>
    </w:p>
    <w:p w14:paraId="73309BC5" w14:textId="1794A60F" w:rsidR="00C63C44" w:rsidRPr="001F6C80" w:rsidRDefault="00CE4A8A" w:rsidP="00C63C44">
      <w:pPr>
        <w:pStyle w:val="Heading2"/>
        <w:rPr>
          <w:sz w:val="20"/>
          <w:szCs w:val="20"/>
        </w:rPr>
      </w:pPr>
      <w:bookmarkStart w:id="1" w:name="_Toc78106018"/>
      <w:r w:rsidRPr="001F6C80">
        <w:rPr>
          <w:sz w:val="20"/>
          <w:szCs w:val="20"/>
        </w:rPr>
        <w:t>Section 1</w:t>
      </w:r>
      <w:r w:rsidRPr="001F6C80">
        <w:rPr>
          <w:sz w:val="20"/>
          <w:szCs w:val="20"/>
        </w:rPr>
        <w:tab/>
      </w:r>
      <w:r w:rsidRPr="001F6C80">
        <w:rPr>
          <w:sz w:val="20"/>
          <w:szCs w:val="20"/>
        </w:rPr>
        <w:tab/>
      </w:r>
      <w:r w:rsidR="00C63C44" w:rsidRPr="001F6C80">
        <w:rPr>
          <w:sz w:val="20"/>
          <w:szCs w:val="20"/>
        </w:rPr>
        <w:t xml:space="preserve">Name </w:t>
      </w:r>
      <w:bookmarkEnd w:id="1"/>
    </w:p>
    <w:p w14:paraId="2AD4D91E" w14:textId="77777777" w:rsidR="00C63C44" w:rsidRPr="001F6C80" w:rsidRDefault="00C63C44" w:rsidP="00C63C44">
      <w:pPr>
        <w:rPr>
          <w:rFonts w:cs="Arial"/>
        </w:rPr>
      </w:pPr>
      <w:r w:rsidRPr="001F6C80">
        <w:rPr>
          <w:rFonts w:cs="Arial"/>
        </w:rPr>
        <w:t>Section 1 provides the name of the Amendment Determination.</w:t>
      </w:r>
    </w:p>
    <w:p w14:paraId="429A13D0" w14:textId="77777777" w:rsidR="00C63C44" w:rsidRPr="001F6C80" w:rsidRDefault="00C63C44" w:rsidP="00C63C44">
      <w:pPr>
        <w:pStyle w:val="Heading2"/>
        <w:rPr>
          <w:sz w:val="20"/>
          <w:szCs w:val="20"/>
        </w:rPr>
      </w:pPr>
      <w:bookmarkStart w:id="2" w:name="_Toc78106019"/>
      <w:r w:rsidRPr="001F6C80">
        <w:rPr>
          <w:sz w:val="20"/>
          <w:szCs w:val="20"/>
        </w:rPr>
        <w:t>Section 2</w:t>
      </w:r>
      <w:r w:rsidR="00CE4A8A" w:rsidRPr="001F6C80">
        <w:rPr>
          <w:rStyle w:val="CharSectno"/>
          <w:sz w:val="20"/>
          <w:szCs w:val="20"/>
        </w:rPr>
        <w:tab/>
      </w:r>
      <w:r w:rsidR="00CE4A8A" w:rsidRPr="001F6C80">
        <w:rPr>
          <w:rStyle w:val="CharSectno"/>
          <w:sz w:val="20"/>
          <w:szCs w:val="20"/>
        </w:rPr>
        <w:tab/>
      </w:r>
      <w:r w:rsidRPr="001F6C80">
        <w:rPr>
          <w:sz w:val="20"/>
          <w:szCs w:val="20"/>
        </w:rPr>
        <w:t>Commencement</w:t>
      </w:r>
      <w:bookmarkEnd w:id="2"/>
    </w:p>
    <w:p w14:paraId="2BF6EA15" w14:textId="5B85BCAE" w:rsidR="00C63C44" w:rsidRDefault="00C63C44" w:rsidP="00C63C44">
      <w:pPr>
        <w:rPr>
          <w:rFonts w:cs="Arial"/>
          <w:lang w:val="en-US"/>
        </w:rPr>
      </w:pPr>
      <w:r w:rsidRPr="001F6C80">
        <w:rPr>
          <w:rFonts w:cs="Arial"/>
          <w:lang w:val="en-US"/>
        </w:rPr>
        <w:t>Section 2 provides that</w:t>
      </w:r>
      <w:r w:rsidR="00F3479F">
        <w:rPr>
          <w:rFonts w:cs="Arial"/>
          <w:lang w:val="en-US"/>
        </w:rPr>
        <w:t xml:space="preserve"> subsection 4(2) and Schedule 2 of the Amendment Determination commence on 5 April 2018, and the rest of</w:t>
      </w:r>
      <w:r w:rsidRPr="001F6C80">
        <w:rPr>
          <w:rFonts w:cs="Arial"/>
          <w:lang w:val="en-US"/>
        </w:rPr>
        <w:t xml:space="preserve"> the Amendment Determination commence on the day after it is registered.</w:t>
      </w:r>
    </w:p>
    <w:p w14:paraId="0889D656" w14:textId="77777777" w:rsidR="002476EE" w:rsidRPr="00943D9A" w:rsidRDefault="002476EE" w:rsidP="002476EE">
      <w:pPr>
        <w:pStyle w:val="Heading2"/>
        <w:rPr>
          <w:sz w:val="20"/>
          <w:szCs w:val="20"/>
        </w:rPr>
      </w:pPr>
      <w:r w:rsidRPr="00943D9A">
        <w:rPr>
          <w:sz w:val="20"/>
          <w:szCs w:val="20"/>
        </w:rPr>
        <w:t xml:space="preserve">Section </w:t>
      </w:r>
      <w:r>
        <w:rPr>
          <w:sz w:val="20"/>
          <w:szCs w:val="20"/>
        </w:rPr>
        <w:t>3</w:t>
      </w:r>
      <w:r w:rsidRPr="00943D9A">
        <w:rPr>
          <w:sz w:val="20"/>
          <w:szCs w:val="20"/>
        </w:rPr>
        <w:tab/>
      </w:r>
      <w:r>
        <w:rPr>
          <w:sz w:val="20"/>
          <w:szCs w:val="20"/>
        </w:rPr>
        <w:t>Authority</w:t>
      </w:r>
    </w:p>
    <w:p w14:paraId="2AF05971" w14:textId="34A43621" w:rsidR="002476EE" w:rsidRDefault="002476EE" w:rsidP="002476EE">
      <w:r w:rsidRPr="00943D9A">
        <w:rPr>
          <w:rFonts w:cs="Arial"/>
          <w:lang w:val="en-US"/>
        </w:rPr>
        <w:t xml:space="preserve">Section </w:t>
      </w:r>
      <w:r w:rsidR="00F3479F">
        <w:rPr>
          <w:rFonts w:cs="Arial"/>
          <w:lang w:val="en-US"/>
        </w:rPr>
        <w:t>3</w:t>
      </w:r>
      <w:r w:rsidRPr="00943D9A">
        <w:rPr>
          <w:rFonts w:cs="Arial"/>
          <w:lang w:val="en-US"/>
        </w:rPr>
        <w:t xml:space="preserve"> provides that the Amendment Determination </w:t>
      </w:r>
      <w:r>
        <w:t xml:space="preserve">is made under subsection 7(1) of the </w:t>
      </w:r>
      <w:r>
        <w:rPr>
          <w:i/>
        </w:rPr>
        <w:t>Radiocommunications (Transmitter Licence Tax) Act 1983</w:t>
      </w:r>
      <w:r>
        <w:t>.</w:t>
      </w:r>
    </w:p>
    <w:p w14:paraId="13824B27" w14:textId="77777777" w:rsidR="002476EE" w:rsidRPr="001F6C80" w:rsidRDefault="002476EE" w:rsidP="00C63C44">
      <w:pPr>
        <w:rPr>
          <w:rFonts w:cs="Arial"/>
          <w:lang w:val="en-US"/>
        </w:rPr>
      </w:pPr>
    </w:p>
    <w:p w14:paraId="3A7EE119" w14:textId="42E5C03F" w:rsidR="00C63C44" w:rsidRPr="001F6C80" w:rsidRDefault="00C63C44" w:rsidP="00C63C44">
      <w:pPr>
        <w:pStyle w:val="Heading2"/>
        <w:rPr>
          <w:rStyle w:val="CharSectno"/>
          <w:sz w:val="20"/>
          <w:szCs w:val="20"/>
        </w:rPr>
      </w:pPr>
      <w:bookmarkStart w:id="3" w:name="_Toc78106021"/>
      <w:r w:rsidRPr="001F6C80">
        <w:rPr>
          <w:sz w:val="20"/>
          <w:szCs w:val="20"/>
        </w:rPr>
        <w:t xml:space="preserve">Section </w:t>
      </w:r>
      <w:r w:rsidR="00D90354">
        <w:rPr>
          <w:sz w:val="20"/>
          <w:szCs w:val="20"/>
        </w:rPr>
        <w:t>4</w:t>
      </w:r>
      <w:bookmarkEnd w:id="3"/>
      <w:r w:rsidR="00CE4A8A" w:rsidRPr="001F6C80">
        <w:rPr>
          <w:rStyle w:val="CharSectno"/>
          <w:sz w:val="20"/>
          <w:szCs w:val="20"/>
        </w:rPr>
        <w:tab/>
      </w:r>
      <w:r w:rsidR="00CE4A8A" w:rsidRPr="001F6C80">
        <w:rPr>
          <w:rStyle w:val="CharSectno"/>
          <w:sz w:val="20"/>
          <w:szCs w:val="20"/>
        </w:rPr>
        <w:tab/>
      </w:r>
      <w:r w:rsidRPr="001F6C80">
        <w:rPr>
          <w:sz w:val="20"/>
          <w:szCs w:val="20"/>
        </w:rPr>
        <w:t>Amendment</w:t>
      </w:r>
      <w:r w:rsidR="00A42A7D">
        <w:rPr>
          <w:sz w:val="20"/>
          <w:szCs w:val="20"/>
        </w:rPr>
        <w:t>s</w:t>
      </w:r>
    </w:p>
    <w:p w14:paraId="78EEAB58" w14:textId="237070DA" w:rsidR="0061664C" w:rsidRPr="001F6C80" w:rsidRDefault="00A42A7D" w:rsidP="00C63C44">
      <w:pPr>
        <w:rPr>
          <w:rFonts w:cs="Arial"/>
        </w:rPr>
      </w:pPr>
      <w:r>
        <w:rPr>
          <w:rFonts w:cs="Arial"/>
        </w:rPr>
        <w:t>Section 4</w:t>
      </w:r>
      <w:r w:rsidR="0061664C" w:rsidRPr="001F6C80">
        <w:rPr>
          <w:rFonts w:cs="Arial"/>
        </w:rPr>
        <w:t xml:space="preserve"> </w:t>
      </w:r>
      <w:r w:rsidR="00C63C44" w:rsidRPr="001F6C80">
        <w:rPr>
          <w:rFonts w:cs="Arial"/>
        </w:rPr>
        <w:t>provides that Schedule</w:t>
      </w:r>
      <w:r>
        <w:rPr>
          <w:rFonts w:cs="Arial"/>
        </w:rPr>
        <w:t>s</w:t>
      </w:r>
      <w:r w:rsidR="00C63C44" w:rsidRPr="001F6C80">
        <w:rPr>
          <w:rFonts w:cs="Arial"/>
        </w:rPr>
        <w:t xml:space="preserve"> 1 </w:t>
      </w:r>
      <w:r>
        <w:rPr>
          <w:rFonts w:cs="Arial"/>
        </w:rPr>
        <w:t xml:space="preserve">and 2 </w:t>
      </w:r>
      <w:r w:rsidR="00C63C44" w:rsidRPr="001F6C80">
        <w:rPr>
          <w:rFonts w:cs="Arial"/>
        </w:rPr>
        <w:t xml:space="preserve">of the Amendment Determination amend the </w:t>
      </w:r>
      <w:r w:rsidR="00C63C44" w:rsidRPr="001F6C80">
        <w:rPr>
          <w:rFonts w:cs="Arial"/>
          <w:i/>
        </w:rPr>
        <w:t xml:space="preserve">Radiocommunications (Transmitter Licence Tax) Determination </w:t>
      </w:r>
      <w:r w:rsidR="001F6C80" w:rsidRPr="001F6C80">
        <w:rPr>
          <w:rFonts w:cs="Arial"/>
          <w:i/>
        </w:rPr>
        <w:t>201</w:t>
      </w:r>
      <w:r w:rsidR="002476EE">
        <w:rPr>
          <w:rFonts w:cs="Arial"/>
          <w:i/>
        </w:rPr>
        <w:t>5</w:t>
      </w:r>
      <w:r w:rsidR="00C63C44" w:rsidRPr="001F6C80">
        <w:rPr>
          <w:rFonts w:cs="Arial"/>
        </w:rPr>
        <w:t>.</w:t>
      </w:r>
      <w:r w:rsidR="00D90354">
        <w:rPr>
          <w:rFonts w:cs="Arial"/>
        </w:rPr>
        <w:t xml:space="preserve"> </w:t>
      </w:r>
    </w:p>
    <w:p w14:paraId="77305A42" w14:textId="77777777" w:rsidR="0061664C" w:rsidRPr="001F6C80" w:rsidRDefault="0061664C" w:rsidP="00C63C44">
      <w:pPr>
        <w:rPr>
          <w:rFonts w:cs="Arial"/>
        </w:rPr>
      </w:pPr>
    </w:p>
    <w:p w14:paraId="6F631424" w14:textId="77777777" w:rsidR="00826554" w:rsidRPr="001F6C80" w:rsidRDefault="00826554" w:rsidP="00C63C44">
      <w:pPr>
        <w:rPr>
          <w:rFonts w:cs="Arial"/>
        </w:rPr>
      </w:pPr>
    </w:p>
    <w:p w14:paraId="47089D97" w14:textId="370F5BD2" w:rsidR="00C63C44" w:rsidRPr="000A1051" w:rsidRDefault="00CE4A8A" w:rsidP="00C63C44">
      <w:pPr>
        <w:pStyle w:val="Heading2"/>
        <w:rPr>
          <w:b w:val="0"/>
          <w:sz w:val="20"/>
          <w:szCs w:val="20"/>
        </w:rPr>
      </w:pPr>
      <w:r w:rsidRPr="001F6C80">
        <w:rPr>
          <w:sz w:val="20"/>
          <w:szCs w:val="20"/>
        </w:rPr>
        <w:t xml:space="preserve">Schedule </w:t>
      </w:r>
      <w:r w:rsidR="00CA173B">
        <w:rPr>
          <w:sz w:val="20"/>
          <w:szCs w:val="20"/>
        </w:rPr>
        <w:t>1</w:t>
      </w:r>
      <w:r w:rsidRPr="001F6C80">
        <w:rPr>
          <w:sz w:val="20"/>
          <w:szCs w:val="20"/>
        </w:rPr>
        <w:tab/>
      </w:r>
      <w:r w:rsidR="00A85A06" w:rsidRPr="00174D6B">
        <w:rPr>
          <w:sz w:val="20"/>
          <w:szCs w:val="20"/>
        </w:rPr>
        <w:t xml:space="preserve">Amendments to the Radiocommunications (Transmitter Licence Tax) Determination 2015 </w:t>
      </w:r>
      <w:r w:rsidR="00A85A06" w:rsidRPr="000A1051">
        <w:rPr>
          <w:b w:val="0"/>
          <w:sz w:val="20"/>
          <w:szCs w:val="20"/>
        </w:rPr>
        <w:t>(</w:t>
      </w:r>
      <w:r w:rsidR="00A85A06" w:rsidRPr="00A42A7D">
        <w:rPr>
          <w:rStyle w:val="legsubtitle1"/>
          <w:b/>
          <w:sz w:val="20"/>
          <w:szCs w:val="20"/>
        </w:rPr>
        <w:t>F2015L00322) (</w:t>
      </w:r>
      <w:r w:rsidR="00604091">
        <w:rPr>
          <w:rStyle w:val="legsubtitle1"/>
          <w:b/>
          <w:sz w:val="20"/>
          <w:szCs w:val="20"/>
        </w:rPr>
        <w:t>c</w:t>
      </w:r>
      <w:r w:rsidR="00A85A06" w:rsidRPr="00604091">
        <w:rPr>
          <w:rStyle w:val="legsubtitle1"/>
          <w:b/>
          <w:sz w:val="20"/>
          <w:szCs w:val="20"/>
        </w:rPr>
        <w:t>onsumer price index</w:t>
      </w:r>
      <w:r w:rsidR="00604091">
        <w:rPr>
          <w:rStyle w:val="legsubtitle1"/>
          <w:b/>
          <w:sz w:val="20"/>
          <w:szCs w:val="20"/>
        </w:rPr>
        <w:t xml:space="preserve"> increase and other amendments</w:t>
      </w:r>
      <w:r w:rsidR="00A85A06" w:rsidRPr="00604091">
        <w:rPr>
          <w:rStyle w:val="legsubtitle1"/>
          <w:b/>
          <w:sz w:val="20"/>
          <w:szCs w:val="20"/>
        </w:rPr>
        <w:t>)</w:t>
      </w:r>
    </w:p>
    <w:p w14:paraId="30929514" w14:textId="52AB0A57" w:rsidR="00C63C44" w:rsidRPr="007B5580" w:rsidRDefault="00C63C44" w:rsidP="00C63C44">
      <w:pPr>
        <w:pStyle w:val="Heading3"/>
        <w:rPr>
          <w:sz w:val="20"/>
          <w:szCs w:val="20"/>
        </w:rPr>
      </w:pPr>
      <w:r w:rsidRPr="00604091">
        <w:rPr>
          <w:sz w:val="20"/>
          <w:szCs w:val="20"/>
        </w:rPr>
        <w:t>Item 1</w:t>
      </w:r>
    </w:p>
    <w:p w14:paraId="2ABAFDFA" w14:textId="63426912" w:rsidR="007B5580" w:rsidRPr="005A1010" w:rsidRDefault="00A20488">
      <w:pPr>
        <w:pStyle w:val="ACMANumberedList"/>
        <w:numPr>
          <w:ilvl w:val="0"/>
          <w:numId w:val="0"/>
        </w:numPr>
        <w:rPr>
          <w:rFonts w:ascii="Arial" w:hAnsi="Arial" w:cs="Arial"/>
          <w:sz w:val="20"/>
        </w:rPr>
      </w:pPr>
      <w:r w:rsidRPr="00C20416">
        <w:rPr>
          <w:rFonts w:ascii="Arial" w:hAnsi="Arial" w:cs="Arial"/>
          <w:sz w:val="20"/>
        </w:rPr>
        <w:t>Item 1 inserts new section 1.4 into the Determination. Subs</w:t>
      </w:r>
      <w:r w:rsidR="00CA173B" w:rsidRPr="00C20416">
        <w:rPr>
          <w:rFonts w:ascii="Arial" w:hAnsi="Arial" w:cs="Arial"/>
          <w:sz w:val="20"/>
        </w:rPr>
        <w:t xml:space="preserve">ection 1.4 (1) provides </w:t>
      </w:r>
      <w:r w:rsidR="005A1010">
        <w:rPr>
          <w:rFonts w:ascii="Arial" w:hAnsi="Arial" w:cs="Arial"/>
          <w:sz w:val="20"/>
        </w:rPr>
        <w:t xml:space="preserve">that </w:t>
      </w:r>
      <w:r w:rsidRPr="00C20416">
        <w:rPr>
          <w:rFonts w:ascii="Arial" w:hAnsi="Arial" w:cs="Arial"/>
          <w:sz w:val="20"/>
        </w:rPr>
        <w:t xml:space="preserve">the Determination </w:t>
      </w:r>
      <w:r w:rsidR="0068475A" w:rsidRPr="00C20416">
        <w:rPr>
          <w:rFonts w:ascii="Arial" w:hAnsi="Arial" w:cs="Arial"/>
          <w:sz w:val="20"/>
        </w:rPr>
        <w:t>does not apply to a transmitter licence</w:t>
      </w:r>
      <w:r w:rsidR="0068475A" w:rsidRPr="00C20416">
        <w:rPr>
          <w:rFonts w:ascii="Arial" w:hAnsi="Arial" w:cs="Arial"/>
          <w:b/>
          <w:i/>
          <w:sz w:val="20"/>
        </w:rPr>
        <w:t xml:space="preserve"> associated with a commercial broadcasting licence</w:t>
      </w:r>
      <w:r w:rsidRPr="00C20416">
        <w:rPr>
          <w:rFonts w:ascii="Arial" w:hAnsi="Arial" w:cs="Arial"/>
          <w:sz w:val="20"/>
        </w:rPr>
        <w:t xml:space="preserve">, and subsection 1.4(2) </w:t>
      </w:r>
      <w:r w:rsidR="00CA173B" w:rsidRPr="005A1010">
        <w:rPr>
          <w:rFonts w:ascii="Arial" w:hAnsi="Arial" w:cs="Arial"/>
          <w:sz w:val="20"/>
        </w:rPr>
        <w:t xml:space="preserve">provides that </w:t>
      </w:r>
      <w:r w:rsidRPr="005A1010">
        <w:rPr>
          <w:rFonts w:ascii="Arial" w:hAnsi="Arial" w:cs="Arial"/>
          <w:sz w:val="20"/>
        </w:rPr>
        <w:t xml:space="preserve">for </w:t>
      </w:r>
      <w:r w:rsidR="0068475A" w:rsidRPr="005A1010">
        <w:rPr>
          <w:rFonts w:ascii="Arial" w:hAnsi="Arial" w:cs="Arial"/>
          <w:sz w:val="20"/>
        </w:rPr>
        <w:t>the purposes of th</w:t>
      </w:r>
      <w:r w:rsidR="00C36EC5">
        <w:rPr>
          <w:rFonts w:ascii="Arial" w:hAnsi="Arial" w:cs="Arial"/>
          <w:sz w:val="20"/>
        </w:rPr>
        <w:t>e</w:t>
      </w:r>
      <w:r w:rsidR="0068475A" w:rsidRPr="005A1010">
        <w:rPr>
          <w:rFonts w:ascii="Arial" w:hAnsi="Arial" w:cs="Arial"/>
          <w:sz w:val="20"/>
        </w:rPr>
        <w:t xml:space="preserve"> Determination, the question whether a transmitter licence is </w:t>
      </w:r>
      <w:r w:rsidR="0068475A" w:rsidRPr="00F87473">
        <w:rPr>
          <w:rFonts w:ascii="Arial" w:hAnsi="Arial" w:cs="Arial"/>
          <w:b/>
          <w:bCs/>
          <w:i/>
          <w:iCs/>
          <w:sz w:val="20"/>
        </w:rPr>
        <w:t>associated with a commercial broadcasting licence</w:t>
      </w:r>
      <w:r w:rsidR="0068475A" w:rsidRPr="005A1010">
        <w:rPr>
          <w:rFonts w:ascii="Arial" w:hAnsi="Arial" w:cs="Arial"/>
          <w:sz w:val="20"/>
        </w:rPr>
        <w:t xml:space="preserve"> is to be determined in the same manner as that question is determined for the purposes of the </w:t>
      </w:r>
      <w:r w:rsidR="0068475A" w:rsidRPr="005A1010">
        <w:rPr>
          <w:rFonts w:ascii="Arial" w:hAnsi="Arial" w:cs="Arial"/>
          <w:i/>
          <w:iCs/>
          <w:sz w:val="20"/>
        </w:rPr>
        <w:t>Commercial Broadcasting (Tax) Act 2017</w:t>
      </w:r>
      <w:r w:rsidR="0068475A" w:rsidRPr="005A1010">
        <w:rPr>
          <w:rFonts w:ascii="Arial" w:hAnsi="Arial" w:cs="Arial"/>
          <w:sz w:val="20"/>
        </w:rPr>
        <w:t>.</w:t>
      </w:r>
      <w:r w:rsidRPr="005A1010">
        <w:rPr>
          <w:rFonts w:ascii="Arial" w:hAnsi="Arial" w:cs="Arial"/>
          <w:sz w:val="20"/>
        </w:rPr>
        <w:t xml:space="preserve"> </w:t>
      </w:r>
      <w:r w:rsidR="007B5580" w:rsidRPr="005A1010">
        <w:rPr>
          <w:rFonts w:ascii="Arial" w:hAnsi="Arial" w:cs="Arial"/>
          <w:sz w:val="20"/>
        </w:rPr>
        <w:t xml:space="preserve">The </w:t>
      </w:r>
      <w:r w:rsidR="007B5580" w:rsidRPr="005A1010">
        <w:rPr>
          <w:rFonts w:ascii="Arial" w:hAnsi="Arial" w:cs="Arial"/>
          <w:i/>
          <w:sz w:val="20"/>
        </w:rPr>
        <w:t>Broadcasting Legislation Amendment (Broadcasting Reform) Act 2017</w:t>
      </w:r>
      <w:r w:rsidR="007B5580" w:rsidRPr="005A1010">
        <w:rPr>
          <w:rFonts w:ascii="Arial" w:hAnsi="Arial" w:cs="Arial"/>
          <w:sz w:val="20"/>
        </w:rPr>
        <w:t xml:space="preserve"> amended the </w:t>
      </w:r>
      <w:r w:rsidR="007B5580" w:rsidRPr="005A1010">
        <w:rPr>
          <w:rFonts w:ascii="Arial" w:hAnsi="Arial" w:cs="Arial"/>
          <w:snapToGrid w:val="0"/>
          <w:sz w:val="20"/>
        </w:rPr>
        <w:t>Tax Act</w:t>
      </w:r>
      <w:r w:rsidR="007B5580" w:rsidRPr="005A1010" w:rsidDel="00392C93">
        <w:rPr>
          <w:rFonts w:ascii="Arial" w:hAnsi="Arial" w:cs="Arial"/>
          <w:sz w:val="20"/>
        </w:rPr>
        <w:t xml:space="preserve"> </w:t>
      </w:r>
      <w:r w:rsidR="007B5580" w:rsidRPr="005A1010">
        <w:rPr>
          <w:rFonts w:ascii="Arial" w:hAnsi="Arial" w:cs="Arial"/>
          <w:sz w:val="20"/>
        </w:rPr>
        <w:t xml:space="preserve">to provide that the </w:t>
      </w:r>
      <w:r w:rsidR="007B5580" w:rsidRPr="005A1010">
        <w:rPr>
          <w:rFonts w:ascii="Arial" w:hAnsi="Arial" w:cs="Arial"/>
          <w:snapToGrid w:val="0"/>
          <w:sz w:val="20"/>
        </w:rPr>
        <w:t>Tax Act</w:t>
      </w:r>
      <w:r w:rsidR="007B5580" w:rsidRPr="005A1010" w:rsidDel="00392C93">
        <w:rPr>
          <w:rFonts w:ascii="Arial" w:hAnsi="Arial" w:cs="Arial"/>
          <w:sz w:val="20"/>
        </w:rPr>
        <w:t xml:space="preserve"> </w:t>
      </w:r>
      <w:r w:rsidR="007B5580" w:rsidRPr="005A1010">
        <w:rPr>
          <w:rFonts w:ascii="Arial" w:hAnsi="Arial" w:cs="Arial"/>
          <w:sz w:val="20"/>
        </w:rPr>
        <w:t xml:space="preserve">no longer applies to transmitter licences associated with commercial broadcasting licences.  Transmitters associated with a commercial broadcasting licence are now subject to a new transmitter licence tax under the </w:t>
      </w:r>
      <w:r w:rsidR="007B5580" w:rsidRPr="005A1010">
        <w:rPr>
          <w:rFonts w:ascii="Arial" w:hAnsi="Arial" w:cs="Arial"/>
          <w:i/>
          <w:sz w:val="20"/>
        </w:rPr>
        <w:t>Commercial Broadcasting (Tax) Act 2017</w:t>
      </w:r>
      <w:r w:rsidR="007B5580" w:rsidRPr="005A1010">
        <w:rPr>
          <w:rFonts w:ascii="Arial" w:hAnsi="Arial" w:cs="Arial"/>
          <w:sz w:val="20"/>
        </w:rPr>
        <w:t xml:space="preserve">. </w:t>
      </w:r>
    </w:p>
    <w:p w14:paraId="50612E73" w14:textId="77777777" w:rsidR="0068475A" w:rsidRPr="005A1010" w:rsidRDefault="0068475A" w:rsidP="0068475A">
      <w:pPr>
        <w:pStyle w:val="Heading3"/>
        <w:rPr>
          <w:sz w:val="20"/>
          <w:szCs w:val="20"/>
        </w:rPr>
      </w:pPr>
      <w:r w:rsidRPr="005A1010">
        <w:rPr>
          <w:sz w:val="20"/>
          <w:szCs w:val="20"/>
        </w:rPr>
        <w:t>Item 2</w:t>
      </w:r>
    </w:p>
    <w:p w14:paraId="026DF756" w14:textId="39575B9D" w:rsidR="00C63C44" w:rsidRPr="001F6C80" w:rsidRDefault="00C63C44" w:rsidP="00C63C44">
      <w:pPr>
        <w:rPr>
          <w:rFonts w:cs="Arial"/>
          <w:snapToGrid w:val="0"/>
        </w:rPr>
      </w:pPr>
      <w:r w:rsidRPr="001F6C80">
        <w:rPr>
          <w:rFonts w:cs="Arial"/>
        </w:rPr>
        <w:t xml:space="preserve">Item </w:t>
      </w:r>
      <w:r w:rsidR="0068475A">
        <w:rPr>
          <w:rFonts w:cs="Arial"/>
        </w:rPr>
        <w:t>2</w:t>
      </w:r>
      <w:r w:rsidRPr="001F6C80">
        <w:rPr>
          <w:rFonts w:cs="Arial"/>
        </w:rPr>
        <w:t xml:space="preserve"> </w:t>
      </w:r>
      <w:r w:rsidR="00267F89" w:rsidRPr="001F6C80">
        <w:rPr>
          <w:rFonts w:cs="Arial"/>
        </w:rPr>
        <w:t xml:space="preserve">substitutes Part </w:t>
      </w:r>
      <w:r w:rsidR="00FF04F3" w:rsidRPr="001F6C80">
        <w:rPr>
          <w:rFonts w:cs="Arial"/>
        </w:rPr>
        <w:t>3</w:t>
      </w:r>
      <w:r w:rsidR="00267F89" w:rsidRPr="001F6C80">
        <w:rPr>
          <w:rFonts w:cs="Arial"/>
        </w:rPr>
        <w:t xml:space="preserve"> of the Determination to introduce new transitional arrangements</w:t>
      </w:r>
      <w:r w:rsidR="003879C0">
        <w:rPr>
          <w:rFonts w:cs="Arial"/>
        </w:rPr>
        <w:t xml:space="preserve"> relating to the annual increases in tax for inflation</w:t>
      </w:r>
      <w:r w:rsidR="00267F89" w:rsidRPr="001F6C80">
        <w:rPr>
          <w:rFonts w:cs="Arial"/>
        </w:rPr>
        <w:t xml:space="preserve">.  New section </w:t>
      </w:r>
      <w:r w:rsidR="00FF04F3" w:rsidRPr="001F6C80">
        <w:rPr>
          <w:rFonts w:cs="Arial"/>
        </w:rPr>
        <w:t>3</w:t>
      </w:r>
      <w:r w:rsidRPr="001F6C80">
        <w:rPr>
          <w:rFonts w:cs="Arial"/>
        </w:rPr>
        <w:t xml:space="preserve">.1 of </w:t>
      </w:r>
      <w:r w:rsidR="00267F89" w:rsidRPr="001F6C80">
        <w:rPr>
          <w:rFonts w:cs="Arial"/>
        </w:rPr>
        <w:t>the Determination</w:t>
      </w:r>
      <w:r w:rsidRPr="001F6C80">
        <w:rPr>
          <w:rFonts w:cs="Arial"/>
        </w:rPr>
        <w:t xml:space="preserve"> sets out the relevant definitions</w:t>
      </w:r>
      <w:r w:rsidR="00981532" w:rsidRPr="001F6C80">
        <w:rPr>
          <w:rFonts w:cs="Arial"/>
        </w:rPr>
        <w:t xml:space="preserve"> and section </w:t>
      </w:r>
      <w:r w:rsidR="0068475A">
        <w:rPr>
          <w:rFonts w:cs="Arial"/>
        </w:rPr>
        <w:t>3</w:t>
      </w:r>
      <w:r w:rsidR="00981532" w:rsidRPr="001F6C80">
        <w:rPr>
          <w:rFonts w:cs="Arial"/>
        </w:rPr>
        <w:t xml:space="preserve">.2 provides </w:t>
      </w:r>
      <w:r w:rsidR="0068475A">
        <w:rPr>
          <w:rFonts w:cs="Arial"/>
        </w:rPr>
        <w:t>the</w:t>
      </w:r>
      <w:r w:rsidR="00981532" w:rsidRPr="001F6C80">
        <w:rPr>
          <w:rFonts w:cs="Arial"/>
        </w:rPr>
        <w:t xml:space="preserve"> transitional arrangements for the implementation of </w:t>
      </w:r>
      <w:r w:rsidR="004D64B7" w:rsidRPr="001F6C80">
        <w:rPr>
          <w:rFonts w:cs="Arial"/>
        </w:rPr>
        <w:t>transmitter</w:t>
      </w:r>
      <w:r w:rsidR="00981532" w:rsidRPr="001F6C80">
        <w:rPr>
          <w:rFonts w:cs="Arial"/>
        </w:rPr>
        <w:t xml:space="preserve"> licence tax increases made by the Amendment Determination</w:t>
      </w:r>
      <w:r w:rsidRPr="001F6C80">
        <w:rPr>
          <w:rFonts w:cs="Arial"/>
          <w:snapToGrid w:val="0"/>
        </w:rPr>
        <w:t>.</w:t>
      </w:r>
      <w:r w:rsidR="003879C0">
        <w:rPr>
          <w:rFonts w:cs="Arial"/>
          <w:snapToGrid w:val="0"/>
        </w:rPr>
        <w:t xml:space="preserve"> </w:t>
      </w:r>
    </w:p>
    <w:p w14:paraId="4FB65444" w14:textId="77777777" w:rsidR="00C63C44" w:rsidRPr="001F6C80" w:rsidRDefault="00C63C44" w:rsidP="00C63C44">
      <w:pPr>
        <w:rPr>
          <w:rFonts w:cs="Arial"/>
        </w:rPr>
      </w:pPr>
    </w:p>
    <w:p w14:paraId="20CB8D20" w14:textId="180B9C31" w:rsidR="00C63C44" w:rsidRPr="001F6C80" w:rsidRDefault="00C63C44" w:rsidP="00C63C44">
      <w:pPr>
        <w:rPr>
          <w:rFonts w:cs="Arial"/>
        </w:rPr>
      </w:pPr>
      <w:r w:rsidRPr="001F6C80">
        <w:rPr>
          <w:rFonts w:cs="Arial"/>
        </w:rPr>
        <w:t>Although</w:t>
      </w:r>
      <w:r w:rsidR="003879C0">
        <w:rPr>
          <w:rFonts w:cs="Arial"/>
        </w:rPr>
        <w:t xml:space="preserve"> Schedule 1 of</w:t>
      </w:r>
      <w:r w:rsidRPr="001F6C80">
        <w:rPr>
          <w:rFonts w:cs="Arial"/>
        </w:rPr>
        <w:t xml:space="preserve"> the Amendment Determination commences on the day after registration, </w:t>
      </w:r>
      <w:r w:rsidR="003879C0">
        <w:rPr>
          <w:rFonts w:cs="Arial"/>
        </w:rPr>
        <w:t>the increase in tax by the Consumer Price Index (CPI) does not take effect until 5 April 2018. I</w:t>
      </w:r>
      <w:r w:rsidRPr="001F6C80">
        <w:rPr>
          <w:rFonts w:cs="Arial"/>
        </w:rPr>
        <w:t xml:space="preserve">n instances where the tax is payable after </w:t>
      </w:r>
      <w:r w:rsidR="003879C0">
        <w:rPr>
          <w:rFonts w:cs="Arial"/>
        </w:rPr>
        <w:t>the date Schedule 1 commences but before 5 April 2018</w:t>
      </w:r>
      <w:r w:rsidRPr="001F6C80">
        <w:rPr>
          <w:rFonts w:cs="Arial"/>
        </w:rPr>
        <w:t xml:space="preserve">, the amount of tax will continue to be based on the </w:t>
      </w:r>
      <w:r w:rsidR="002164BE">
        <w:rPr>
          <w:rFonts w:cs="Arial"/>
        </w:rPr>
        <w:t xml:space="preserve">Determination </w:t>
      </w:r>
      <w:r w:rsidRPr="001F6C80">
        <w:rPr>
          <w:rFonts w:cs="Arial"/>
        </w:rPr>
        <w:t xml:space="preserve">as in force immediately before the commencement of </w:t>
      </w:r>
      <w:r w:rsidR="002164BE">
        <w:rPr>
          <w:rFonts w:cs="Arial"/>
        </w:rPr>
        <w:t xml:space="preserve">Schedule 1 of </w:t>
      </w:r>
      <w:r w:rsidRPr="001F6C80">
        <w:rPr>
          <w:rFonts w:cs="Arial"/>
        </w:rPr>
        <w:t>the Amendment Determination. The purpose of these transitional arrangements is to allow the amount of tax shown on renewal notices and instalment notices sent out prior to the commencement of the Amendment Determination, but payable after the commencement of the Amendment Determination, to continue to be valid.</w:t>
      </w:r>
    </w:p>
    <w:p w14:paraId="3BF1B5A1" w14:textId="1C787B49" w:rsidR="00C63C44" w:rsidRPr="001F6C80" w:rsidRDefault="00C63C44" w:rsidP="00C63C44">
      <w:pPr>
        <w:pStyle w:val="Heading3"/>
        <w:rPr>
          <w:sz w:val="20"/>
          <w:szCs w:val="20"/>
        </w:rPr>
      </w:pPr>
      <w:r w:rsidRPr="001F6C80">
        <w:rPr>
          <w:sz w:val="20"/>
          <w:szCs w:val="20"/>
        </w:rPr>
        <w:lastRenderedPageBreak/>
        <w:t xml:space="preserve">Item </w:t>
      </w:r>
      <w:r w:rsidR="0068475A">
        <w:rPr>
          <w:sz w:val="20"/>
          <w:szCs w:val="20"/>
        </w:rPr>
        <w:t>3</w:t>
      </w:r>
    </w:p>
    <w:p w14:paraId="42D1B363" w14:textId="797A83FB" w:rsidR="00C63C44" w:rsidRPr="001F6C80" w:rsidRDefault="00C63C44" w:rsidP="00C63C44">
      <w:pPr>
        <w:pStyle w:val="ACMABodyText"/>
        <w:spacing w:before="0" w:after="0" w:line="240" w:lineRule="auto"/>
        <w:rPr>
          <w:rFonts w:ascii="Arial" w:hAnsi="Arial" w:cs="Arial"/>
          <w:sz w:val="20"/>
        </w:rPr>
      </w:pPr>
      <w:r w:rsidRPr="001F6C80">
        <w:rPr>
          <w:rFonts w:ascii="Arial" w:hAnsi="Arial" w:cs="Arial"/>
          <w:sz w:val="20"/>
        </w:rPr>
        <w:t xml:space="preserve">Item </w:t>
      </w:r>
      <w:r w:rsidR="00FF120C">
        <w:rPr>
          <w:rFonts w:ascii="Arial" w:hAnsi="Arial" w:cs="Arial"/>
          <w:sz w:val="20"/>
        </w:rPr>
        <w:t>3</w:t>
      </w:r>
      <w:r w:rsidRPr="001F6C80">
        <w:rPr>
          <w:rFonts w:ascii="Arial" w:hAnsi="Arial" w:cs="Arial"/>
          <w:sz w:val="20"/>
        </w:rPr>
        <w:t xml:space="preserve"> substitutes a new table 202 (and accompanying note) which sets out the amount of tax for each kHz of bandwidth for the licensing options specified in Part </w:t>
      </w:r>
      <w:r w:rsidR="005C6D07">
        <w:rPr>
          <w:rFonts w:ascii="Arial" w:hAnsi="Arial" w:cs="Arial"/>
          <w:sz w:val="20"/>
        </w:rPr>
        <w:t>2</w:t>
      </w:r>
      <w:r w:rsidRPr="001F6C80">
        <w:rPr>
          <w:rFonts w:ascii="Arial" w:hAnsi="Arial" w:cs="Arial"/>
          <w:sz w:val="20"/>
        </w:rPr>
        <w:t xml:space="preserve"> of Schedule 2</w:t>
      </w:r>
      <w:r w:rsidR="00756B73" w:rsidRPr="001F6C80">
        <w:rPr>
          <w:rFonts w:ascii="Arial" w:hAnsi="Arial" w:cs="Arial"/>
          <w:sz w:val="20"/>
        </w:rPr>
        <w:t xml:space="preserve"> (assigned licences)</w:t>
      </w:r>
      <w:r w:rsidR="00402A68" w:rsidRPr="001F6C80">
        <w:rPr>
          <w:rFonts w:ascii="Arial" w:hAnsi="Arial" w:cs="Arial"/>
          <w:sz w:val="20"/>
        </w:rPr>
        <w:t xml:space="preserve"> of the Determination</w:t>
      </w:r>
      <w:r w:rsidRPr="001F6C80">
        <w:rPr>
          <w:rFonts w:ascii="Arial" w:hAnsi="Arial" w:cs="Arial"/>
          <w:sz w:val="20"/>
        </w:rPr>
        <w:t xml:space="preserve">. The amount of tax varies with frequency range and </w:t>
      </w:r>
      <w:r w:rsidR="00466E73" w:rsidRPr="001F6C80">
        <w:rPr>
          <w:rFonts w:ascii="Arial" w:hAnsi="Arial" w:cs="Arial"/>
          <w:sz w:val="20"/>
        </w:rPr>
        <w:t xml:space="preserve">area density </w:t>
      </w:r>
      <w:r w:rsidRPr="001F6C80">
        <w:rPr>
          <w:rFonts w:ascii="Arial" w:hAnsi="Arial" w:cs="Arial"/>
          <w:sz w:val="20"/>
        </w:rPr>
        <w:t xml:space="preserve">of the spectrum access. All amounts have been raised by the adjustment of </w:t>
      </w:r>
      <w:r w:rsidR="006C657E" w:rsidRPr="001F6C80">
        <w:rPr>
          <w:rFonts w:ascii="Arial" w:hAnsi="Arial" w:cs="Arial"/>
          <w:sz w:val="20"/>
        </w:rPr>
        <w:t>1</w:t>
      </w:r>
      <w:r w:rsidR="003544CC" w:rsidRPr="001F6C80">
        <w:rPr>
          <w:rFonts w:ascii="Arial" w:hAnsi="Arial" w:cs="Arial"/>
          <w:sz w:val="20"/>
        </w:rPr>
        <w:t>.</w:t>
      </w:r>
      <w:r w:rsidR="00CA173B">
        <w:rPr>
          <w:rFonts w:ascii="Arial" w:hAnsi="Arial" w:cs="Arial"/>
          <w:sz w:val="20"/>
        </w:rPr>
        <w:t>9</w:t>
      </w:r>
      <w:r w:rsidR="003544CC" w:rsidRPr="001F6C80">
        <w:rPr>
          <w:rFonts w:ascii="Arial" w:hAnsi="Arial" w:cs="Arial"/>
          <w:sz w:val="20"/>
        </w:rPr>
        <w:t xml:space="preserve"> percent</w:t>
      </w:r>
      <w:r w:rsidR="002164BE">
        <w:rPr>
          <w:rFonts w:ascii="Arial" w:hAnsi="Arial" w:cs="Arial"/>
          <w:sz w:val="20"/>
        </w:rPr>
        <w:t xml:space="preserve"> in line with the CPI</w:t>
      </w:r>
      <w:r w:rsidRPr="001F6C80">
        <w:rPr>
          <w:rFonts w:ascii="Arial" w:hAnsi="Arial" w:cs="Arial"/>
          <w:sz w:val="20"/>
        </w:rPr>
        <w:t>.</w:t>
      </w:r>
      <w:r w:rsidR="006C5323" w:rsidRPr="001F6C80">
        <w:rPr>
          <w:rFonts w:ascii="Arial" w:hAnsi="Arial" w:cs="Arial"/>
          <w:sz w:val="20"/>
        </w:rPr>
        <w:t xml:space="preserve"> </w:t>
      </w:r>
    </w:p>
    <w:p w14:paraId="01DBA4E6" w14:textId="07E9EC3C" w:rsidR="00C63C44" w:rsidRPr="001F6C80" w:rsidRDefault="00C63C44" w:rsidP="00C63C44">
      <w:pPr>
        <w:pStyle w:val="Heading3"/>
        <w:rPr>
          <w:sz w:val="20"/>
          <w:szCs w:val="20"/>
        </w:rPr>
      </w:pPr>
      <w:r w:rsidRPr="001F6C80">
        <w:rPr>
          <w:sz w:val="20"/>
          <w:szCs w:val="20"/>
        </w:rPr>
        <w:t xml:space="preserve">Item </w:t>
      </w:r>
      <w:r w:rsidR="0068475A">
        <w:rPr>
          <w:sz w:val="20"/>
          <w:szCs w:val="20"/>
        </w:rPr>
        <w:t>4</w:t>
      </w:r>
    </w:p>
    <w:p w14:paraId="6251CD6A" w14:textId="69D30EC0" w:rsidR="00C63C44" w:rsidRPr="001F6C80" w:rsidRDefault="00402A68" w:rsidP="00C63C44">
      <w:pPr>
        <w:pStyle w:val="ACMABodyText"/>
        <w:spacing w:before="0" w:after="0" w:line="240" w:lineRule="auto"/>
        <w:rPr>
          <w:rFonts w:ascii="Arial" w:hAnsi="Arial" w:cs="Arial"/>
          <w:sz w:val="20"/>
        </w:rPr>
      </w:pPr>
      <w:r w:rsidRPr="001F6C80">
        <w:rPr>
          <w:rFonts w:ascii="Arial" w:hAnsi="Arial" w:cs="Arial"/>
          <w:sz w:val="20"/>
        </w:rPr>
        <w:t xml:space="preserve">Item </w:t>
      </w:r>
      <w:r w:rsidR="00FF120C">
        <w:rPr>
          <w:rFonts w:ascii="Arial" w:hAnsi="Arial" w:cs="Arial"/>
          <w:sz w:val="20"/>
        </w:rPr>
        <w:t>4</w:t>
      </w:r>
      <w:r w:rsidRPr="001F6C80">
        <w:rPr>
          <w:rFonts w:ascii="Arial" w:hAnsi="Arial" w:cs="Arial"/>
          <w:sz w:val="20"/>
        </w:rPr>
        <w:t xml:space="preserve"> substitutes </w:t>
      </w:r>
      <w:r w:rsidR="003464FF">
        <w:rPr>
          <w:rFonts w:ascii="Arial" w:hAnsi="Arial" w:cs="Arial"/>
          <w:sz w:val="20"/>
        </w:rPr>
        <w:t xml:space="preserve">a new </w:t>
      </w:r>
      <w:r w:rsidRPr="001F6C80">
        <w:rPr>
          <w:rFonts w:ascii="Arial" w:hAnsi="Arial" w:cs="Arial"/>
          <w:sz w:val="20"/>
        </w:rPr>
        <w:t>t</w:t>
      </w:r>
      <w:r w:rsidR="00C63C44" w:rsidRPr="001F6C80">
        <w:rPr>
          <w:rFonts w:ascii="Arial" w:hAnsi="Arial" w:cs="Arial"/>
          <w:sz w:val="20"/>
        </w:rPr>
        <w:t xml:space="preserve">able </w:t>
      </w:r>
      <w:r w:rsidR="003464FF">
        <w:rPr>
          <w:rFonts w:ascii="Arial" w:hAnsi="Arial" w:cs="Arial"/>
          <w:sz w:val="20"/>
        </w:rPr>
        <w:t>206</w:t>
      </w:r>
      <w:r w:rsidR="00C63C44" w:rsidRPr="001F6C80">
        <w:rPr>
          <w:rFonts w:ascii="Arial" w:hAnsi="Arial" w:cs="Arial"/>
          <w:sz w:val="20"/>
        </w:rPr>
        <w:t xml:space="preserve"> </w:t>
      </w:r>
      <w:r w:rsidRPr="001F6C80">
        <w:rPr>
          <w:rFonts w:ascii="Arial" w:hAnsi="Arial" w:cs="Arial"/>
          <w:sz w:val="20"/>
        </w:rPr>
        <w:t xml:space="preserve">(and accompanying note) </w:t>
      </w:r>
      <w:r w:rsidR="00C63C44" w:rsidRPr="001F6C80">
        <w:rPr>
          <w:rFonts w:ascii="Arial" w:hAnsi="Arial" w:cs="Arial"/>
          <w:sz w:val="20"/>
        </w:rPr>
        <w:t xml:space="preserve">in Part </w:t>
      </w:r>
      <w:r w:rsidR="006654EF">
        <w:rPr>
          <w:rFonts w:ascii="Arial" w:hAnsi="Arial" w:cs="Arial"/>
          <w:sz w:val="20"/>
        </w:rPr>
        <w:t>2</w:t>
      </w:r>
      <w:r w:rsidR="000201C4">
        <w:rPr>
          <w:rFonts w:ascii="Arial" w:hAnsi="Arial" w:cs="Arial"/>
          <w:sz w:val="20"/>
        </w:rPr>
        <w:t>A</w:t>
      </w:r>
      <w:r w:rsidR="00C63C44" w:rsidRPr="001F6C80">
        <w:rPr>
          <w:rFonts w:ascii="Arial" w:hAnsi="Arial" w:cs="Arial"/>
          <w:sz w:val="20"/>
        </w:rPr>
        <w:t xml:space="preserve"> of Schedule 2 (</w:t>
      </w:r>
      <w:r w:rsidR="000201C4">
        <w:rPr>
          <w:rFonts w:ascii="Arial" w:hAnsi="Arial" w:cs="Arial"/>
          <w:sz w:val="20"/>
        </w:rPr>
        <w:t>scientific</w:t>
      </w:r>
      <w:r w:rsidR="000201C4" w:rsidRPr="001F6C80">
        <w:rPr>
          <w:rFonts w:ascii="Arial" w:hAnsi="Arial" w:cs="Arial"/>
          <w:sz w:val="20"/>
        </w:rPr>
        <w:t xml:space="preserve"> </w:t>
      </w:r>
      <w:r w:rsidR="00C63C44" w:rsidRPr="001F6C80">
        <w:rPr>
          <w:rFonts w:ascii="Arial" w:hAnsi="Arial" w:cs="Arial"/>
          <w:sz w:val="20"/>
        </w:rPr>
        <w:t xml:space="preserve">licences) </w:t>
      </w:r>
      <w:r w:rsidRPr="001F6C80">
        <w:rPr>
          <w:rFonts w:ascii="Arial" w:hAnsi="Arial" w:cs="Arial"/>
          <w:sz w:val="20"/>
        </w:rPr>
        <w:t>of the Determination</w:t>
      </w:r>
      <w:r w:rsidR="00520589" w:rsidRPr="001F6C80">
        <w:rPr>
          <w:rFonts w:ascii="Arial" w:hAnsi="Arial" w:cs="Arial"/>
          <w:sz w:val="20"/>
        </w:rPr>
        <w:t>, which</w:t>
      </w:r>
      <w:r w:rsidRPr="001F6C80">
        <w:rPr>
          <w:rFonts w:ascii="Arial" w:hAnsi="Arial" w:cs="Arial"/>
          <w:sz w:val="20"/>
        </w:rPr>
        <w:t xml:space="preserve"> </w:t>
      </w:r>
      <w:r w:rsidR="00C63C44" w:rsidRPr="001F6C80">
        <w:rPr>
          <w:rFonts w:ascii="Arial" w:hAnsi="Arial" w:cs="Arial"/>
          <w:sz w:val="20"/>
        </w:rPr>
        <w:t>sets out the amount of tax for each kHz of bandwidth for the licensing options</w:t>
      </w:r>
      <w:r w:rsidR="00053536" w:rsidRPr="001F6C80">
        <w:rPr>
          <w:rFonts w:ascii="Arial" w:hAnsi="Arial" w:cs="Arial"/>
          <w:sz w:val="20"/>
        </w:rPr>
        <w:t xml:space="preserve"> specified in </w:t>
      </w:r>
      <w:r w:rsidR="00C36EC5">
        <w:rPr>
          <w:rFonts w:ascii="Arial" w:hAnsi="Arial" w:cs="Arial"/>
          <w:sz w:val="20"/>
        </w:rPr>
        <w:t xml:space="preserve">that </w:t>
      </w:r>
      <w:r w:rsidR="00053536" w:rsidRPr="001F6C80">
        <w:rPr>
          <w:rFonts w:ascii="Arial" w:hAnsi="Arial" w:cs="Arial"/>
          <w:sz w:val="20"/>
        </w:rPr>
        <w:t>Part</w:t>
      </w:r>
      <w:r w:rsidR="00C36EC5">
        <w:rPr>
          <w:rFonts w:ascii="Arial" w:hAnsi="Arial" w:cs="Arial"/>
          <w:sz w:val="20"/>
        </w:rPr>
        <w:t xml:space="preserve">. </w:t>
      </w:r>
      <w:r w:rsidR="00053536" w:rsidRPr="001F6C80">
        <w:rPr>
          <w:rFonts w:ascii="Arial" w:hAnsi="Arial" w:cs="Arial"/>
          <w:sz w:val="20"/>
        </w:rPr>
        <w:t xml:space="preserve"> </w:t>
      </w:r>
      <w:r w:rsidR="00C63C44" w:rsidRPr="001F6C80">
        <w:rPr>
          <w:rFonts w:ascii="Arial" w:hAnsi="Arial" w:cs="Arial"/>
          <w:sz w:val="20"/>
        </w:rPr>
        <w:t xml:space="preserve"> The amount of tax varies with frequency range and </w:t>
      </w:r>
      <w:r w:rsidR="00C74AF0" w:rsidRPr="001F6C80">
        <w:rPr>
          <w:rFonts w:ascii="Arial" w:hAnsi="Arial" w:cs="Arial"/>
          <w:sz w:val="20"/>
        </w:rPr>
        <w:t xml:space="preserve">area </w:t>
      </w:r>
      <w:r w:rsidR="00C63C44" w:rsidRPr="001F6C80">
        <w:rPr>
          <w:rFonts w:ascii="Arial" w:hAnsi="Arial" w:cs="Arial"/>
          <w:sz w:val="20"/>
        </w:rPr>
        <w:t>density of the spectrum access. All amounts have be</w:t>
      </w:r>
      <w:r w:rsidR="003544CC" w:rsidRPr="001F6C80">
        <w:rPr>
          <w:rFonts w:ascii="Arial" w:hAnsi="Arial" w:cs="Arial"/>
          <w:sz w:val="20"/>
        </w:rPr>
        <w:t xml:space="preserve">en raised by the adjustment of </w:t>
      </w:r>
      <w:r w:rsidR="006C657E" w:rsidRPr="001F6C80">
        <w:rPr>
          <w:rFonts w:ascii="Arial" w:hAnsi="Arial" w:cs="Arial"/>
          <w:sz w:val="20"/>
        </w:rPr>
        <w:t>1.</w:t>
      </w:r>
      <w:r w:rsidR="00CA173B">
        <w:rPr>
          <w:rFonts w:ascii="Arial" w:hAnsi="Arial" w:cs="Arial"/>
          <w:sz w:val="20"/>
        </w:rPr>
        <w:t>9</w:t>
      </w:r>
      <w:r w:rsidR="003544CC" w:rsidRPr="001F6C80">
        <w:rPr>
          <w:rFonts w:ascii="Arial" w:hAnsi="Arial" w:cs="Arial"/>
          <w:sz w:val="20"/>
        </w:rPr>
        <w:t xml:space="preserve"> percent</w:t>
      </w:r>
      <w:r w:rsidR="000201C4">
        <w:rPr>
          <w:rFonts w:ascii="Arial" w:hAnsi="Arial" w:cs="Arial"/>
          <w:sz w:val="20"/>
        </w:rPr>
        <w:t xml:space="preserve"> in line with the CPI</w:t>
      </w:r>
      <w:r w:rsidR="000201C4" w:rsidRPr="001F6C80">
        <w:rPr>
          <w:rFonts w:ascii="Arial" w:hAnsi="Arial" w:cs="Arial"/>
          <w:sz w:val="20"/>
        </w:rPr>
        <w:t>.</w:t>
      </w:r>
      <w:r w:rsidR="006C5323" w:rsidRPr="001F6C80">
        <w:rPr>
          <w:rFonts w:ascii="Arial" w:hAnsi="Arial" w:cs="Arial"/>
          <w:sz w:val="20"/>
        </w:rPr>
        <w:t xml:space="preserve"> </w:t>
      </w:r>
    </w:p>
    <w:p w14:paraId="77424EBF" w14:textId="27CBCC1D" w:rsidR="00C63C44" w:rsidRPr="001F6C80" w:rsidRDefault="00C63C44" w:rsidP="00C63C44">
      <w:pPr>
        <w:pStyle w:val="Heading3"/>
        <w:rPr>
          <w:sz w:val="20"/>
          <w:szCs w:val="20"/>
        </w:rPr>
      </w:pPr>
      <w:r w:rsidRPr="001F6C80">
        <w:rPr>
          <w:sz w:val="20"/>
          <w:szCs w:val="20"/>
        </w:rPr>
        <w:t xml:space="preserve">Item </w:t>
      </w:r>
      <w:r w:rsidR="0068475A">
        <w:rPr>
          <w:sz w:val="20"/>
          <w:szCs w:val="20"/>
        </w:rPr>
        <w:t>5</w:t>
      </w:r>
    </w:p>
    <w:p w14:paraId="45D3F42A" w14:textId="6858EDF6" w:rsidR="00C63C44" w:rsidRDefault="001A6A2D" w:rsidP="00C63C44">
      <w:pPr>
        <w:rPr>
          <w:rFonts w:cs="Arial"/>
        </w:rPr>
      </w:pPr>
      <w:r w:rsidRPr="001F6C80">
        <w:rPr>
          <w:rFonts w:cs="Arial"/>
        </w:rPr>
        <w:t xml:space="preserve">Item </w:t>
      </w:r>
      <w:r w:rsidR="00FF120C">
        <w:rPr>
          <w:rFonts w:cs="Arial"/>
        </w:rPr>
        <w:t>5</w:t>
      </w:r>
      <w:r w:rsidRPr="001F6C80">
        <w:rPr>
          <w:rFonts w:cs="Arial"/>
        </w:rPr>
        <w:t xml:space="preserve"> substitutes a new t</w:t>
      </w:r>
      <w:r w:rsidR="00C63C44" w:rsidRPr="001F6C80">
        <w:rPr>
          <w:rFonts w:cs="Arial"/>
        </w:rPr>
        <w:t xml:space="preserve">able </w:t>
      </w:r>
      <w:r w:rsidR="003464FF">
        <w:rPr>
          <w:rFonts w:cs="Arial"/>
        </w:rPr>
        <w:t>3</w:t>
      </w:r>
      <w:r w:rsidR="00C63C44" w:rsidRPr="001F6C80">
        <w:rPr>
          <w:rFonts w:cs="Arial"/>
        </w:rPr>
        <w:t xml:space="preserve">02 </w:t>
      </w:r>
      <w:r w:rsidR="00E9510C" w:rsidRPr="001F6C80">
        <w:rPr>
          <w:rFonts w:cs="Arial"/>
        </w:rPr>
        <w:t xml:space="preserve">(and accompanying note) </w:t>
      </w:r>
      <w:r w:rsidR="00C63C44" w:rsidRPr="001F6C80">
        <w:rPr>
          <w:rFonts w:cs="Arial"/>
        </w:rPr>
        <w:t xml:space="preserve">in Part </w:t>
      </w:r>
      <w:r w:rsidR="006654EF">
        <w:rPr>
          <w:rFonts w:cs="Arial"/>
        </w:rPr>
        <w:t>3</w:t>
      </w:r>
      <w:r w:rsidR="00C63C44" w:rsidRPr="001F6C80">
        <w:rPr>
          <w:rFonts w:cs="Arial"/>
        </w:rPr>
        <w:t xml:space="preserve"> of Schedule 2 (assigned licences</w:t>
      </w:r>
      <w:r w:rsidR="0066423C">
        <w:rPr>
          <w:rFonts w:cs="Arial"/>
        </w:rPr>
        <w:t xml:space="preserve"> in high demand frequency bands</w:t>
      </w:r>
      <w:r w:rsidR="00C63C44" w:rsidRPr="001F6C80">
        <w:rPr>
          <w:rFonts w:cs="Arial"/>
        </w:rPr>
        <w:t xml:space="preserve">) </w:t>
      </w:r>
      <w:r w:rsidRPr="001F6C80">
        <w:rPr>
          <w:rFonts w:cs="Arial"/>
        </w:rPr>
        <w:t>of the Determination, which sets out the amount of</w:t>
      </w:r>
      <w:r w:rsidR="00C63C44" w:rsidRPr="001F6C80">
        <w:rPr>
          <w:rFonts w:cs="Arial"/>
        </w:rPr>
        <w:t xml:space="preserve"> tax for each kHz of bandwidth for the licensing options</w:t>
      </w:r>
      <w:r w:rsidRPr="001F6C80">
        <w:rPr>
          <w:rFonts w:cs="Arial"/>
        </w:rPr>
        <w:t xml:space="preserve"> specified in </w:t>
      </w:r>
      <w:r w:rsidR="00C36EC5">
        <w:rPr>
          <w:rFonts w:cs="Arial"/>
        </w:rPr>
        <w:t xml:space="preserve">that </w:t>
      </w:r>
      <w:r w:rsidRPr="001F6C80">
        <w:rPr>
          <w:rFonts w:cs="Arial"/>
        </w:rPr>
        <w:t>Part</w:t>
      </w:r>
      <w:r w:rsidR="00C36EC5">
        <w:rPr>
          <w:rFonts w:cs="Arial"/>
        </w:rPr>
        <w:t>.</w:t>
      </w:r>
      <w:r w:rsidRPr="001F6C80">
        <w:rPr>
          <w:rFonts w:cs="Arial"/>
        </w:rPr>
        <w:t xml:space="preserve"> </w:t>
      </w:r>
      <w:r w:rsidR="00C63C44" w:rsidRPr="001F6C80">
        <w:rPr>
          <w:rFonts w:cs="Arial"/>
        </w:rPr>
        <w:t xml:space="preserve"> </w:t>
      </w:r>
      <w:bookmarkStart w:id="4" w:name="OLE_LINK8"/>
      <w:bookmarkStart w:id="5" w:name="OLE_LINK9"/>
      <w:r w:rsidR="00C63C44" w:rsidRPr="001F6C80">
        <w:rPr>
          <w:rFonts w:cs="Arial"/>
        </w:rPr>
        <w:t xml:space="preserve">All amounts have been raised by the adjustment of </w:t>
      </w:r>
      <w:r w:rsidR="006C657E" w:rsidRPr="001F6C80">
        <w:rPr>
          <w:rFonts w:cs="Arial"/>
        </w:rPr>
        <w:t>1.</w:t>
      </w:r>
      <w:r w:rsidR="00CA173B">
        <w:rPr>
          <w:rFonts w:cs="Arial"/>
        </w:rPr>
        <w:t>9</w:t>
      </w:r>
      <w:r w:rsidR="00476CF6" w:rsidRPr="001F6C80">
        <w:rPr>
          <w:rFonts w:cs="Arial"/>
        </w:rPr>
        <w:t xml:space="preserve"> percent</w:t>
      </w:r>
      <w:r w:rsidR="00C63C44" w:rsidRPr="001F6C80">
        <w:rPr>
          <w:rFonts w:cs="Arial"/>
        </w:rPr>
        <w:t xml:space="preserve"> except for frequency bands below 960 MHz in remote density areas</w:t>
      </w:r>
      <w:r w:rsidR="00E67ADB" w:rsidRPr="001F6C80">
        <w:rPr>
          <w:rFonts w:cs="Arial"/>
        </w:rPr>
        <w:t>,</w:t>
      </w:r>
      <w:r w:rsidR="00C63C44" w:rsidRPr="001F6C80">
        <w:rPr>
          <w:rFonts w:cs="Arial"/>
        </w:rPr>
        <w:t xml:space="preserve"> where the amount of tax remain</w:t>
      </w:r>
      <w:r w:rsidR="00742778" w:rsidRPr="001F6C80">
        <w:rPr>
          <w:rFonts w:cs="Arial"/>
        </w:rPr>
        <w:t>s</w:t>
      </w:r>
      <w:r w:rsidR="00C63C44" w:rsidRPr="001F6C80">
        <w:rPr>
          <w:rFonts w:cs="Arial"/>
        </w:rPr>
        <w:t xml:space="preserve"> set at the 2008 level</w:t>
      </w:r>
      <w:bookmarkEnd w:id="4"/>
      <w:bookmarkEnd w:id="5"/>
      <w:r w:rsidR="00C63C44" w:rsidRPr="001F6C80">
        <w:rPr>
          <w:rFonts w:cs="Arial"/>
        </w:rPr>
        <w:t>.</w:t>
      </w:r>
      <w:r w:rsidR="006C5323" w:rsidRPr="001F6C80">
        <w:rPr>
          <w:rFonts w:cs="Arial"/>
        </w:rPr>
        <w:t xml:space="preserve"> </w:t>
      </w:r>
    </w:p>
    <w:p w14:paraId="48295AAF" w14:textId="6A4C2091" w:rsidR="00FF120C" w:rsidRPr="001F6C80" w:rsidRDefault="00FF120C" w:rsidP="00FF120C">
      <w:pPr>
        <w:pStyle w:val="Heading3"/>
        <w:rPr>
          <w:sz w:val="20"/>
          <w:szCs w:val="20"/>
        </w:rPr>
      </w:pPr>
      <w:r w:rsidRPr="001F6C80">
        <w:rPr>
          <w:sz w:val="20"/>
          <w:szCs w:val="20"/>
        </w:rPr>
        <w:t xml:space="preserve">Item </w:t>
      </w:r>
      <w:r>
        <w:rPr>
          <w:sz w:val="20"/>
          <w:szCs w:val="20"/>
        </w:rPr>
        <w:t>6</w:t>
      </w:r>
    </w:p>
    <w:p w14:paraId="7588C1AA" w14:textId="36ADD8C0" w:rsidR="00FF120C" w:rsidRPr="001F6C80" w:rsidRDefault="00FF120C" w:rsidP="00FF120C">
      <w:pPr>
        <w:rPr>
          <w:rFonts w:cs="Arial"/>
        </w:rPr>
      </w:pPr>
      <w:r w:rsidRPr="001F6C80">
        <w:rPr>
          <w:rFonts w:cs="Arial"/>
        </w:rPr>
        <w:t xml:space="preserve">Item </w:t>
      </w:r>
      <w:r>
        <w:rPr>
          <w:rFonts w:cs="Arial"/>
        </w:rPr>
        <w:t>6</w:t>
      </w:r>
      <w:r w:rsidRPr="001F6C80">
        <w:rPr>
          <w:rFonts w:cs="Arial"/>
        </w:rPr>
        <w:t xml:space="preserve"> </w:t>
      </w:r>
      <w:r>
        <w:rPr>
          <w:rFonts w:cs="Arial"/>
        </w:rPr>
        <w:t>repe</w:t>
      </w:r>
      <w:r w:rsidR="0018616D">
        <w:rPr>
          <w:rFonts w:cs="Arial"/>
        </w:rPr>
        <w:t>a</w:t>
      </w:r>
      <w:r>
        <w:rPr>
          <w:rFonts w:cs="Arial"/>
        </w:rPr>
        <w:t>l</w:t>
      </w:r>
      <w:r w:rsidRPr="001F6C80">
        <w:rPr>
          <w:rFonts w:cs="Arial"/>
        </w:rPr>
        <w:t xml:space="preserve">s table </w:t>
      </w:r>
      <w:r>
        <w:rPr>
          <w:rFonts w:cs="Arial"/>
        </w:rPr>
        <w:t>3</w:t>
      </w:r>
      <w:r w:rsidRPr="001F6C80">
        <w:rPr>
          <w:rFonts w:cs="Arial"/>
        </w:rPr>
        <w:t>0</w:t>
      </w:r>
      <w:r>
        <w:rPr>
          <w:rFonts w:cs="Arial"/>
        </w:rPr>
        <w:t>4A</w:t>
      </w:r>
      <w:r w:rsidRPr="001F6C80">
        <w:rPr>
          <w:rFonts w:cs="Arial"/>
        </w:rPr>
        <w:t xml:space="preserve"> (and accompanying note) in Part </w:t>
      </w:r>
      <w:r w:rsidR="006654EF">
        <w:rPr>
          <w:rFonts w:cs="Arial"/>
        </w:rPr>
        <w:t>3</w:t>
      </w:r>
      <w:r w:rsidR="00F64277">
        <w:rPr>
          <w:rFonts w:cs="Arial"/>
        </w:rPr>
        <w:t>A</w:t>
      </w:r>
      <w:r w:rsidRPr="001F6C80">
        <w:rPr>
          <w:rFonts w:cs="Arial"/>
        </w:rPr>
        <w:t xml:space="preserve"> of Schedule 2</w:t>
      </w:r>
      <w:r w:rsidR="0066423C">
        <w:rPr>
          <w:rFonts w:cs="Arial"/>
        </w:rPr>
        <w:t xml:space="preserve"> </w:t>
      </w:r>
      <w:r w:rsidR="0066423C" w:rsidRPr="001F6C80">
        <w:rPr>
          <w:rFonts w:cs="Arial"/>
        </w:rPr>
        <w:t>(</w:t>
      </w:r>
      <w:r w:rsidR="00F64277">
        <w:rPr>
          <w:rFonts w:cs="Arial"/>
        </w:rPr>
        <w:t>Harmonised government spectrum area licences</w:t>
      </w:r>
      <w:r w:rsidR="0066423C" w:rsidRPr="001F6C80">
        <w:rPr>
          <w:rFonts w:cs="Arial"/>
        </w:rPr>
        <w:t>) of the Determination</w:t>
      </w:r>
      <w:r w:rsidR="0066423C">
        <w:rPr>
          <w:rFonts w:cs="Arial"/>
        </w:rPr>
        <w:t>.</w:t>
      </w:r>
      <w:r w:rsidRPr="001F6C80">
        <w:rPr>
          <w:rFonts w:cs="Arial"/>
        </w:rPr>
        <w:t xml:space="preserve"> </w:t>
      </w:r>
      <w:r w:rsidR="000201C4">
        <w:rPr>
          <w:rFonts w:cs="Arial"/>
        </w:rPr>
        <w:t>Table 304A related to taxes</w:t>
      </w:r>
      <w:r w:rsidR="00C36EC5">
        <w:rPr>
          <w:rFonts w:cs="Arial"/>
        </w:rPr>
        <w:t xml:space="preserve"> </w:t>
      </w:r>
      <w:r w:rsidR="000201C4">
        <w:rPr>
          <w:rFonts w:cs="Arial"/>
        </w:rPr>
        <w:t xml:space="preserve">which are no longer applicable.  </w:t>
      </w:r>
    </w:p>
    <w:p w14:paraId="18DBEB84" w14:textId="6CCF1572" w:rsidR="00FF120C" w:rsidRPr="001F6C80" w:rsidRDefault="00FF120C" w:rsidP="00FF120C">
      <w:pPr>
        <w:pStyle w:val="Heading3"/>
        <w:rPr>
          <w:sz w:val="20"/>
          <w:szCs w:val="20"/>
        </w:rPr>
      </w:pPr>
      <w:r w:rsidRPr="001F6C80">
        <w:rPr>
          <w:sz w:val="20"/>
          <w:szCs w:val="20"/>
        </w:rPr>
        <w:t xml:space="preserve">Item </w:t>
      </w:r>
      <w:r>
        <w:rPr>
          <w:sz w:val="20"/>
          <w:szCs w:val="20"/>
        </w:rPr>
        <w:t>7</w:t>
      </w:r>
    </w:p>
    <w:p w14:paraId="47E6D9AE" w14:textId="54756D4F" w:rsidR="00FF120C" w:rsidRPr="001F6C80" w:rsidRDefault="00FF120C" w:rsidP="00FF120C">
      <w:pPr>
        <w:rPr>
          <w:rFonts w:cs="Arial"/>
        </w:rPr>
      </w:pPr>
      <w:r w:rsidRPr="001F6C80">
        <w:rPr>
          <w:rFonts w:cs="Arial"/>
        </w:rPr>
        <w:t xml:space="preserve">Item </w:t>
      </w:r>
      <w:r>
        <w:rPr>
          <w:rFonts w:cs="Arial"/>
        </w:rPr>
        <w:t>7</w:t>
      </w:r>
      <w:r w:rsidRPr="001F6C80">
        <w:rPr>
          <w:rFonts w:cs="Arial"/>
        </w:rPr>
        <w:t xml:space="preserve"> substitutes a new table </w:t>
      </w:r>
      <w:r>
        <w:rPr>
          <w:rFonts w:cs="Arial"/>
        </w:rPr>
        <w:t>3</w:t>
      </w:r>
      <w:r w:rsidRPr="001F6C80">
        <w:rPr>
          <w:rFonts w:cs="Arial"/>
        </w:rPr>
        <w:t>0</w:t>
      </w:r>
      <w:r>
        <w:rPr>
          <w:rFonts w:cs="Arial"/>
        </w:rPr>
        <w:t>5A</w:t>
      </w:r>
      <w:r w:rsidRPr="001F6C80">
        <w:rPr>
          <w:rFonts w:cs="Arial"/>
        </w:rPr>
        <w:t xml:space="preserve"> (and accompanying note) in Part </w:t>
      </w:r>
      <w:r w:rsidR="006654EF">
        <w:rPr>
          <w:rFonts w:cs="Arial"/>
        </w:rPr>
        <w:t>3</w:t>
      </w:r>
      <w:r w:rsidR="006E6AE8">
        <w:rPr>
          <w:rFonts w:cs="Arial"/>
        </w:rPr>
        <w:t>A</w:t>
      </w:r>
      <w:r w:rsidRPr="001F6C80">
        <w:rPr>
          <w:rFonts w:cs="Arial"/>
        </w:rPr>
        <w:t xml:space="preserve"> of Schedule 2 (</w:t>
      </w:r>
      <w:r w:rsidR="006E6AE8">
        <w:rPr>
          <w:rFonts w:cs="Arial"/>
        </w:rPr>
        <w:t>Harmonised government spectrum area licences</w:t>
      </w:r>
      <w:r w:rsidRPr="001F6C80">
        <w:rPr>
          <w:rFonts w:cs="Arial"/>
        </w:rPr>
        <w:t>) of the Determination</w:t>
      </w:r>
      <w:r w:rsidR="000201C4">
        <w:rPr>
          <w:rFonts w:cs="Arial"/>
        </w:rPr>
        <w:t xml:space="preserve">. Item 305A specifies that the </w:t>
      </w:r>
      <w:r w:rsidR="000201C4">
        <w:rPr>
          <w:rFonts w:cs="Arial"/>
          <w:b/>
          <w:i/>
        </w:rPr>
        <w:t xml:space="preserve">base amount </w:t>
      </w:r>
      <w:r w:rsidR="000201C4">
        <w:rPr>
          <w:rFonts w:cs="Arial"/>
        </w:rPr>
        <w:t xml:space="preserve">of tax for a licence to which Part 3A applies for 2018 and subsequent years, is determined by multiplying the bandwidth (in MHz) authorised for use by a transmitter under the licence by the tax rate in column 2 of Table 305A for the State or Territory of the licence. All amounts in Table 305A </w:t>
      </w:r>
      <w:r w:rsidRPr="001F6C80">
        <w:rPr>
          <w:rFonts w:cs="Arial"/>
        </w:rPr>
        <w:t>have been raised by the adjustment of 1.</w:t>
      </w:r>
      <w:r>
        <w:rPr>
          <w:rFonts w:cs="Arial"/>
        </w:rPr>
        <w:t>9</w:t>
      </w:r>
      <w:r w:rsidRPr="001F6C80">
        <w:rPr>
          <w:rFonts w:cs="Arial"/>
        </w:rPr>
        <w:t xml:space="preserve"> percent</w:t>
      </w:r>
      <w:r w:rsidR="000201C4">
        <w:rPr>
          <w:rFonts w:cs="Arial"/>
        </w:rPr>
        <w:t xml:space="preserve"> in line with the CPI</w:t>
      </w:r>
      <w:r w:rsidRPr="001F6C80">
        <w:rPr>
          <w:rFonts w:cs="Arial"/>
        </w:rPr>
        <w:t>.</w:t>
      </w:r>
    </w:p>
    <w:p w14:paraId="6F4AD5FB" w14:textId="4B73B54D" w:rsidR="00C63C44" w:rsidRPr="001F6C80" w:rsidRDefault="00C63C44" w:rsidP="00C63C44">
      <w:pPr>
        <w:pStyle w:val="Heading3"/>
        <w:rPr>
          <w:sz w:val="20"/>
          <w:szCs w:val="20"/>
        </w:rPr>
      </w:pPr>
      <w:bookmarkStart w:id="6" w:name="OLE_LINK7"/>
      <w:r w:rsidRPr="001F6C80">
        <w:rPr>
          <w:sz w:val="20"/>
          <w:szCs w:val="20"/>
        </w:rPr>
        <w:t xml:space="preserve">Item </w:t>
      </w:r>
      <w:r w:rsidR="00FF120C">
        <w:rPr>
          <w:sz w:val="20"/>
          <w:szCs w:val="20"/>
        </w:rPr>
        <w:t>8</w:t>
      </w:r>
    </w:p>
    <w:bookmarkEnd w:id="6"/>
    <w:p w14:paraId="24FFFF83" w14:textId="41E66BC0" w:rsidR="00C63C44" w:rsidRPr="001F6C80" w:rsidRDefault="00A42805" w:rsidP="00C63C44">
      <w:pPr>
        <w:rPr>
          <w:rFonts w:cs="Arial"/>
        </w:rPr>
      </w:pPr>
      <w:r w:rsidRPr="001F6C80">
        <w:rPr>
          <w:rFonts w:cs="Arial"/>
        </w:rPr>
        <w:t xml:space="preserve">Item </w:t>
      </w:r>
      <w:r w:rsidR="00FF120C">
        <w:rPr>
          <w:rFonts w:cs="Arial"/>
        </w:rPr>
        <w:t>8</w:t>
      </w:r>
      <w:r w:rsidRPr="001F6C80">
        <w:rPr>
          <w:rFonts w:cs="Arial"/>
        </w:rPr>
        <w:t xml:space="preserve"> substitutes a new t</w:t>
      </w:r>
      <w:r w:rsidR="00C63C44" w:rsidRPr="001F6C80">
        <w:rPr>
          <w:rFonts w:cs="Arial"/>
        </w:rPr>
        <w:t xml:space="preserve">able </w:t>
      </w:r>
      <w:r w:rsidR="00FF120C">
        <w:rPr>
          <w:rFonts w:cs="Arial"/>
        </w:rPr>
        <w:t>4</w:t>
      </w:r>
      <w:r w:rsidR="00C63C44" w:rsidRPr="001F6C80">
        <w:rPr>
          <w:rFonts w:cs="Arial"/>
        </w:rPr>
        <w:t xml:space="preserve">02 </w:t>
      </w:r>
      <w:r w:rsidRPr="001F6C80">
        <w:rPr>
          <w:rFonts w:cs="Arial"/>
        </w:rPr>
        <w:t xml:space="preserve">(and accompanying note) </w:t>
      </w:r>
      <w:r w:rsidR="00FF120C">
        <w:rPr>
          <w:rFonts w:cs="Arial"/>
        </w:rPr>
        <w:t xml:space="preserve">in Part </w:t>
      </w:r>
      <w:r w:rsidR="0066423C">
        <w:rPr>
          <w:rFonts w:cs="Arial"/>
        </w:rPr>
        <w:t>4</w:t>
      </w:r>
      <w:r w:rsidR="00C63C44" w:rsidRPr="001F6C80">
        <w:rPr>
          <w:rFonts w:cs="Arial"/>
        </w:rPr>
        <w:t xml:space="preserve"> of Schedule 2 (assigned fixed point to point licences)</w:t>
      </w:r>
      <w:r w:rsidR="00A61A5B" w:rsidRPr="001F6C80">
        <w:rPr>
          <w:rFonts w:cs="Arial"/>
        </w:rPr>
        <w:t xml:space="preserve"> of the Determination, which sets out the amount of</w:t>
      </w:r>
      <w:r w:rsidR="00C63C44" w:rsidRPr="001F6C80">
        <w:rPr>
          <w:rFonts w:cs="Arial"/>
        </w:rPr>
        <w:t xml:space="preserve"> tax for each kHz of bandwidth for the licensing options</w:t>
      </w:r>
      <w:r w:rsidR="00C508F2" w:rsidRPr="001F6C80">
        <w:rPr>
          <w:rFonts w:cs="Arial"/>
        </w:rPr>
        <w:t xml:space="preserve"> specified in </w:t>
      </w:r>
      <w:r w:rsidR="00C36EC5">
        <w:rPr>
          <w:rFonts w:cs="Arial"/>
        </w:rPr>
        <w:t xml:space="preserve">that </w:t>
      </w:r>
      <w:r w:rsidR="00C508F2" w:rsidRPr="001F6C80">
        <w:rPr>
          <w:rFonts w:cs="Arial"/>
        </w:rPr>
        <w:t>Part</w:t>
      </w:r>
      <w:r w:rsidR="00C36EC5">
        <w:rPr>
          <w:rFonts w:cs="Arial"/>
        </w:rPr>
        <w:t>.</w:t>
      </w:r>
      <w:r w:rsidR="00C508F2" w:rsidRPr="001F6C80">
        <w:rPr>
          <w:rFonts w:cs="Arial"/>
        </w:rPr>
        <w:t xml:space="preserve"> </w:t>
      </w:r>
      <w:r w:rsidR="00C63C44" w:rsidRPr="001F6C80">
        <w:rPr>
          <w:rFonts w:cs="Arial"/>
        </w:rPr>
        <w:t xml:space="preserve"> All amounts have been raised by the adjustment of </w:t>
      </w:r>
      <w:r w:rsidR="006C657E" w:rsidRPr="001F6C80">
        <w:rPr>
          <w:rFonts w:cs="Arial"/>
        </w:rPr>
        <w:t>1.</w:t>
      </w:r>
      <w:r w:rsidR="00CA173B">
        <w:rPr>
          <w:rFonts w:cs="Arial"/>
        </w:rPr>
        <w:t>9</w:t>
      </w:r>
      <w:r w:rsidR="0085459C" w:rsidRPr="001F6C80">
        <w:rPr>
          <w:rFonts w:cs="Arial"/>
        </w:rPr>
        <w:t xml:space="preserve"> percent</w:t>
      </w:r>
      <w:r w:rsidR="00C63C44" w:rsidRPr="001F6C80">
        <w:rPr>
          <w:rFonts w:cs="Arial"/>
        </w:rPr>
        <w:t xml:space="preserve"> except for frequency bands below 960 MHz in remote density areas</w:t>
      </w:r>
      <w:r w:rsidR="00E67ADB" w:rsidRPr="001F6C80">
        <w:rPr>
          <w:rFonts w:cs="Arial"/>
        </w:rPr>
        <w:t>,</w:t>
      </w:r>
      <w:r w:rsidR="00C63C44" w:rsidRPr="001F6C80">
        <w:rPr>
          <w:rFonts w:cs="Arial"/>
        </w:rPr>
        <w:t xml:space="preserve"> where the amount of tax remain</w:t>
      </w:r>
      <w:r w:rsidR="00742778" w:rsidRPr="001F6C80">
        <w:rPr>
          <w:rFonts w:cs="Arial"/>
        </w:rPr>
        <w:t>s</w:t>
      </w:r>
      <w:r w:rsidR="00C63C44" w:rsidRPr="001F6C80">
        <w:rPr>
          <w:rFonts w:cs="Arial"/>
        </w:rPr>
        <w:t xml:space="preserve"> set at the 2008 level.</w:t>
      </w:r>
      <w:r w:rsidR="006C5323" w:rsidRPr="001F6C80">
        <w:rPr>
          <w:rFonts w:cs="Arial"/>
        </w:rPr>
        <w:t xml:space="preserve"> </w:t>
      </w:r>
    </w:p>
    <w:p w14:paraId="0BFA0BDA" w14:textId="2DB5D7D7" w:rsidR="00C63C44" w:rsidRPr="001F6C80" w:rsidRDefault="00C63C44" w:rsidP="00C63C44">
      <w:pPr>
        <w:pStyle w:val="Heading3"/>
        <w:rPr>
          <w:sz w:val="20"/>
          <w:szCs w:val="20"/>
        </w:rPr>
      </w:pPr>
      <w:r w:rsidRPr="001F6C80">
        <w:rPr>
          <w:sz w:val="20"/>
          <w:szCs w:val="20"/>
        </w:rPr>
        <w:t xml:space="preserve">Item </w:t>
      </w:r>
      <w:r w:rsidR="00FF120C">
        <w:rPr>
          <w:sz w:val="20"/>
          <w:szCs w:val="20"/>
        </w:rPr>
        <w:t>9</w:t>
      </w:r>
    </w:p>
    <w:p w14:paraId="12A553B5" w14:textId="7DED9DFC" w:rsidR="00C63C44" w:rsidRPr="001F6C80" w:rsidRDefault="00A42805" w:rsidP="00C63C44">
      <w:pPr>
        <w:rPr>
          <w:rFonts w:cs="Arial"/>
        </w:rPr>
      </w:pPr>
      <w:r w:rsidRPr="001F6C80">
        <w:rPr>
          <w:rFonts w:cs="Arial"/>
        </w:rPr>
        <w:t xml:space="preserve">Item </w:t>
      </w:r>
      <w:r w:rsidR="00FF120C">
        <w:rPr>
          <w:rFonts w:cs="Arial"/>
        </w:rPr>
        <w:t>9</w:t>
      </w:r>
      <w:r w:rsidRPr="001F6C80">
        <w:rPr>
          <w:rFonts w:cs="Arial"/>
        </w:rPr>
        <w:t xml:space="preserve"> substitutes a new t</w:t>
      </w:r>
      <w:r w:rsidR="00FF120C">
        <w:rPr>
          <w:rFonts w:cs="Arial"/>
        </w:rPr>
        <w:t>able 5</w:t>
      </w:r>
      <w:r w:rsidR="00C63C44" w:rsidRPr="001F6C80">
        <w:rPr>
          <w:rFonts w:cs="Arial"/>
        </w:rPr>
        <w:t xml:space="preserve">02 </w:t>
      </w:r>
      <w:r w:rsidRPr="001F6C80">
        <w:rPr>
          <w:rFonts w:cs="Arial"/>
        </w:rPr>
        <w:t xml:space="preserve">(and accompanying note) </w:t>
      </w:r>
      <w:r w:rsidR="00C63C44" w:rsidRPr="001F6C80">
        <w:rPr>
          <w:rFonts w:cs="Arial"/>
        </w:rPr>
        <w:t xml:space="preserve">in Part </w:t>
      </w:r>
      <w:r w:rsidR="0066423C">
        <w:rPr>
          <w:rFonts w:cs="Arial"/>
        </w:rPr>
        <w:t>5</w:t>
      </w:r>
      <w:r w:rsidR="00C63C44" w:rsidRPr="001F6C80">
        <w:rPr>
          <w:rFonts w:cs="Arial"/>
        </w:rPr>
        <w:t xml:space="preserve"> of Schedule 2 (</w:t>
      </w:r>
      <w:r w:rsidR="0066423C" w:rsidRPr="001F6C80">
        <w:rPr>
          <w:rFonts w:cs="Arial"/>
        </w:rPr>
        <w:t xml:space="preserve">assigned fixed point to </w:t>
      </w:r>
      <w:r w:rsidR="00C36EC5">
        <w:rPr>
          <w:rFonts w:cs="Arial"/>
        </w:rPr>
        <w:t>m</w:t>
      </w:r>
      <w:r w:rsidR="0066423C">
        <w:rPr>
          <w:rFonts w:cs="Arial"/>
        </w:rPr>
        <w:t>ulti</w:t>
      </w:r>
      <w:r w:rsidR="0066423C" w:rsidRPr="001F6C80">
        <w:rPr>
          <w:rFonts w:cs="Arial"/>
        </w:rPr>
        <w:t>point licences</w:t>
      </w:r>
      <w:r w:rsidR="00C63C44" w:rsidRPr="001F6C80">
        <w:rPr>
          <w:rFonts w:cs="Arial"/>
        </w:rPr>
        <w:t>)</w:t>
      </w:r>
      <w:r w:rsidR="00A61A5B" w:rsidRPr="001F6C80">
        <w:rPr>
          <w:rFonts w:cs="Arial"/>
        </w:rPr>
        <w:t xml:space="preserve"> of the Determination, which</w:t>
      </w:r>
      <w:r w:rsidR="00C63C44" w:rsidRPr="001F6C80">
        <w:rPr>
          <w:rFonts w:cs="Arial"/>
        </w:rPr>
        <w:t xml:space="preserve"> sets out the amount of tax for each kHz of bandwidth for the licensing options</w:t>
      </w:r>
      <w:r w:rsidR="00C508F2" w:rsidRPr="001F6C80">
        <w:rPr>
          <w:rFonts w:cs="Arial"/>
        </w:rPr>
        <w:t xml:space="preserve"> specified in </w:t>
      </w:r>
      <w:r w:rsidR="00C36EC5">
        <w:rPr>
          <w:rFonts w:cs="Arial"/>
        </w:rPr>
        <w:t xml:space="preserve">that </w:t>
      </w:r>
      <w:r w:rsidR="00C508F2" w:rsidRPr="001F6C80">
        <w:rPr>
          <w:rFonts w:cs="Arial"/>
        </w:rPr>
        <w:t>Part</w:t>
      </w:r>
      <w:r w:rsidR="00C36EC5">
        <w:rPr>
          <w:rFonts w:cs="Arial"/>
        </w:rPr>
        <w:t>.</w:t>
      </w:r>
      <w:r w:rsidR="00C508F2" w:rsidRPr="001F6C80">
        <w:rPr>
          <w:rFonts w:cs="Arial"/>
        </w:rPr>
        <w:t xml:space="preserve"> </w:t>
      </w:r>
      <w:r w:rsidR="00C63C44" w:rsidRPr="001F6C80">
        <w:rPr>
          <w:rFonts w:cs="Arial"/>
        </w:rPr>
        <w:t xml:space="preserve">. The amount of tax varies with frequency range and </w:t>
      </w:r>
      <w:r w:rsidR="000F2081" w:rsidRPr="001F6C80">
        <w:rPr>
          <w:rFonts w:cs="Arial"/>
        </w:rPr>
        <w:t xml:space="preserve">area density </w:t>
      </w:r>
      <w:r w:rsidR="00C63C44" w:rsidRPr="001F6C80">
        <w:rPr>
          <w:rFonts w:cs="Arial"/>
        </w:rPr>
        <w:t xml:space="preserve">of the spectrum access. All amounts have been raised by the adjustment of </w:t>
      </w:r>
      <w:r w:rsidR="006C657E" w:rsidRPr="001F6C80">
        <w:rPr>
          <w:rFonts w:cs="Arial"/>
        </w:rPr>
        <w:t>1.</w:t>
      </w:r>
      <w:r w:rsidR="00CA173B">
        <w:rPr>
          <w:rFonts w:cs="Arial"/>
        </w:rPr>
        <w:t>9</w:t>
      </w:r>
      <w:r w:rsidR="0085459C" w:rsidRPr="001F6C80">
        <w:rPr>
          <w:rFonts w:cs="Arial"/>
        </w:rPr>
        <w:t xml:space="preserve"> percent</w:t>
      </w:r>
      <w:r w:rsidR="000120BB">
        <w:rPr>
          <w:rFonts w:cs="Arial"/>
        </w:rPr>
        <w:t xml:space="preserve"> in line with the CPI</w:t>
      </w:r>
      <w:r w:rsidR="00C63C44" w:rsidRPr="001F6C80">
        <w:rPr>
          <w:rFonts w:cs="Arial"/>
        </w:rPr>
        <w:t>.</w:t>
      </w:r>
    </w:p>
    <w:p w14:paraId="6B89125B" w14:textId="35B42750" w:rsidR="00C63C44" w:rsidRPr="001F6C80" w:rsidRDefault="0068475A" w:rsidP="00C63C44">
      <w:pPr>
        <w:pStyle w:val="Heading3"/>
        <w:rPr>
          <w:sz w:val="20"/>
          <w:szCs w:val="20"/>
        </w:rPr>
      </w:pPr>
      <w:r>
        <w:rPr>
          <w:sz w:val="20"/>
          <w:szCs w:val="20"/>
        </w:rPr>
        <w:t xml:space="preserve">Item </w:t>
      </w:r>
      <w:r w:rsidR="00FF120C">
        <w:rPr>
          <w:sz w:val="20"/>
          <w:szCs w:val="20"/>
        </w:rPr>
        <w:t>10</w:t>
      </w:r>
    </w:p>
    <w:p w14:paraId="04921177" w14:textId="1A7555EE" w:rsidR="00C63C44" w:rsidRPr="001F6C80" w:rsidRDefault="00A42805" w:rsidP="00C63C44">
      <w:pPr>
        <w:rPr>
          <w:rFonts w:cs="Arial"/>
        </w:rPr>
      </w:pPr>
      <w:r w:rsidRPr="001F6C80">
        <w:rPr>
          <w:rFonts w:cs="Arial"/>
        </w:rPr>
        <w:t xml:space="preserve">Item </w:t>
      </w:r>
      <w:r w:rsidR="00FF120C">
        <w:rPr>
          <w:rFonts w:cs="Arial"/>
        </w:rPr>
        <w:t>10</w:t>
      </w:r>
      <w:r w:rsidRPr="001F6C80">
        <w:rPr>
          <w:rFonts w:cs="Arial"/>
        </w:rPr>
        <w:t xml:space="preserve"> substitutes a new t</w:t>
      </w:r>
      <w:r w:rsidR="00FF120C">
        <w:rPr>
          <w:rFonts w:cs="Arial"/>
        </w:rPr>
        <w:t xml:space="preserve">able </w:t>
      </w:r>
      <w:r w:rsidR="004D5AD0">
        <w:rPr>
          <w:rFonts w:cs="Arial"/>
        </w:rPr>
        <w:t>6</w:t>
      </w:r>
      <w:r w:rsidR="00C63C44" w:rsidRPr="001F6C80">
        <w:rPr>
          <w:rFonts w:cs="Arial"/>
        </w:rPr>
        <w:t xml:space="preserve">02 </w:t>
      </w:r>
      <w:r w:rsidRPr="001F6C80">
        <w:rPr>
          <w:rFonts w:cs="Arial"/>
        </w:rPr>
        <w:t xml:space="preserve">(and accompanying note) </w:t>
      </w:r>
      <w:r w:rsidR="00C63C44" w:rsidRPr="001F6C80">
        <w:rPr>
          <w:rFonts w:cs="Arial"/>
        </w:rPr>
        <w:t xml:space="preserve">in Part </w:t>
      </w:r>
      <w:r w:rsidR="004D5AD0">
        <w:rPr>
          <w:rFonts w:cs="Arial"/>
        </w:rPr>
        <w:t>6</w:t>
      </w:r>
      <w:r w:rsidR="00C63C44" w:rsidRPr="001F6C80">
        <w:rPr>
          <w:rFonts w:cs="Arial"/>
        </w:rPr>
        <w:t xml:space="preserve"> of Schedule 2 (</w:t>
      </w:r>
      <w:r w:rsidR="004D5AD0">
        <w:rPr>
          <w:rFonts w:cs="Arial"/>
        </w:rPr>
        <w:t>Fixed television outside broadcast station</w:t>
      </w:r>
      <w:r w:rsidR="00C63C44" w:rsidRPr="001F6C80">
        <w:rPr>
          <w:rFonts w:cs="Arial"/>
        </w:rPr>
        <w:t>)</w:t>
      </w:r>
      <w:r w:rsidR="00A61A5B" w:rsidRPr="001F6C80">
        <w:rPr>
          <w:rFonts w:cs="Arial"/>
        </w:rPr>
        <w:t xml:space="preserve"> of the Determination, which</w:t>
      </w:r>
      <w:r w:rsidR="00C63C44" w:rsidRPr="001F6C80">
        <w:rPr>
          <w:rFonts w:cs="Arial"/>
        </w:rPr>
        <w:t xml:space="preserve"> sets out the amount of tax for the licensing options</w:t>
      </w:r>
      <w:r w:rsidR="00C508F2" w:rsidRPr="001F6C80">
        <w:rPr>
          <w:rFonts w:cs="Arial"/>
        </w:rPr>
        <w:t xml:space="preserve"> specified in </w:t>
      </w:r>
      <w:r w:rsidR="00C36EC5">
        <w:rPr>
          <w:rFonts w:cs="Arial"/>
        </w:rPr>
        <w:t xml:space="preserve">that </w:t>
      </w:r>
      <w:r w:rsidR="00C508F2" w:rsidRPr="001F6C80">
        <w:rPr>
          <w:rFonts w:cs="Arial"/>
        </w:rPr>
        <w:t>Part</w:t>
      </w:r>
      <w:r w:rsidR="00C36EC5">
        <w:rPr>
          <w:rFonts w:cs="Arial"/>
        </w:rPr>
        <w:t>.</w:t>
      </w:r>
      <w:r w:rsidR="00C508F2" w:rsidRPr="001F6C80">
        <w:rPr>
          <w:rFonts w:cs="Arial"/>
        </w:rPr>
        <w:t xml:space="preserve"> </w:t>
      </w:r>
      <w:r w:rsidR="00C63C44" w:rsidRPr="001F6C80">
        <w:rPr>
          <w:rFonts w:cs="Arial"/>
        </w:rPr>
        <w:t xml:space="preserve"> All amounts have been raised by the adjustment of</w:t>
      </w:r>
      <w:r w:rsidR="00A61E82" w:rsidRPr="001F6C80">
        <w:rPr>
          <w:rFonts w:cs="Arial"/>
        </w:rPr>
        <w:t xml:space="preserve"> </w:t>
      </w:r>
      <w:r w:rsidR="006C657E" w:rsidRPr="001F6C80">
        <w:rPr>
          <w:rFonts w:cs="Arial"/>
        </w:rPr>
        <w:t>1.</w:t>
      </w:r>
      <w:r w:rsidR="00CA173B">
        <w:rPr>
          <w:rFonts w:cs="Arial"/>
        </w:rPr>
        <w:t>9</w:t>
      </w:r>
      <w:r w:rsidR="0085459C" w:rsidRPr="001F6C80">
        <w:rPr>
          <w:rFonts w:cs="Arial"/>
        </w:rPr>
        <w:t xml:space="preserve"> percent</w:t>
      </w:r>
      <w:r w:rsidR="000120BB">
        <w:rPr>
          <w:rFonts w:cs="Arial"/>
        </w:rPr>
        <w:t xml:space="preserve"> in line with the CPI</w:t>
      </w:r>
      <w:r w:rsidR="00C63C44" w:rsidRPr="001F6C80">
        <w:rPr>
          <w:rFonts w:cs="Arial"/>
        </w:rPr>
        <w:t>.</w:t>
      </w:r>
    </w:p>
    <w:p w14:paraId="72B4C4FD" w14:textId="2421DC32" w:rsidR="00C63C44" w:rsidRPr="001F6C80" w:rsidRDefault="0068475A" w:rsidP="00C63C44">
      <w:pPr>
        <w:pStyle w:val="Heading3"/>
        <w:rPr>
          <w:sz w:val="20"/>
          <w:szCs w:val="20"/>
        </w:rPr>
      </w:pPr>
      <w:r>
        <w:rPr>
          <w:sz w:val="20"/>
          <w:szCs w:val="20"/>
        </w:rPr>
        <w:lastRenderedPageBreak/>
        <w:t xml:space="preserve">Item </w:t>
      </w:r>
      <w:r w:rsidR="00FF120C">
        <w:rPr>
          <w:sz w:val="20"/>
          <w:szCs w:val="20"/>
        </w:rPr>
        <w:t>11</w:t>
      </w:r>
    </w:p>
    <w:p w14:paraId="1BF6180C" w14:textId="35C98F86" w:rsidR="00C63C44" w:rsidRPr="00174D6B" w:rsidRDefault="00A42805" w:rsidP="00C63C44">
      <w:pPr>
        <w:rPr>
          <w:rFonts w:cs="Arial"/>
          <w:i/>
        </w:rPr>
      </w:pPr>
      <w:r w:rsidRPr="001F6C80">
        <w:rPr>
          <w:rFonts w:cs="Arial"/>
        </w:rPr>
        <w:t xml:space="preserve">Item </w:t>
      </w:r>
      <w:r w:rsidR="00FF120C">
        <w:rPr>
          <w:rFonts w:cs="Arial"/>
        </w:rPr>
        <w:t>11</w:t>
      </w:r>
      <w:r w:rsidRPr="001F6C80">
        <w:rPr>
          <w:rFonts w:cs="Arial"/>
        </w:rPr>
        <w:t xml:space="preserve"> substitutes a new t</w:t>
      </w:r>
      <w:r w:rsidR="00C63C44" w:rsidRPr="001F6C80">
        <w:rPr>
          <w:rFonts w:cs="Arial"/>
        </w:rPr>
        <w:t xml:space="preserve">able </w:t>
      </w:r>
      <w:r w:rsidR="00FF120C">
        <w:rPr>
          <w:rFonts w:cs="Arial"/>
        </w:rPr>
        <w:t>7</w:t>
      </w:r>
      <w:r w:rsidR="00C63C44" w:rsidRPr="001F6C80">
        <w:rPr>
          <w:rFonts w:cs="Arial"/>
        </w:rPr>
        <w:t>02</w:t>
      </w:r>
      <w:r w:rsidRPr="001F6C80">
        <w:rPr>
          <w:rFonts w:cs="Arial"/>
        </w:rPr>
        <w:t xml:space="preserve"> </w:t>
      </w:r>
      <w:r w:rsidR="00FF120C">
        <w:rPr>
          <w:rFonts w:cs="Arial"/>
        </w:rPr>
        <w:t xml:space="preserve">in Part </w:t>
      </w:r>
      <w:r w:rsidR="004D5AD0">
        <w:rPr>
          <w:rFonts w:cs="Arial"/>
        </w:rPr>
        <w:t>7</w:t>
      </w:r>
      <w:r w:rsidR="00C63C44" w:rsidRPr="001F6C80">
        <w:rPr>
          <w:rFonts w:cs="Arial"/>
        </w:rPr>
        <w:t xml:space="preserve"> of Schedule 2 </w:t>
      </w:r>
      <w:r w:rsidR="00756B73" w:rsidRPr="001F6C80">
        <w:rPr>
          <w:rFonts w:cs="Arial"/>
        </w:rPr>
        <w:t>(</w:t>
      </w:r>
      <w:r w:rsidR="006E6AE8">
        <w:rPr>
          <w:rFonts w:cs="Arial"/>
        </w:rPr>
        <w:t>a</w:t>
      </w:r>
      <w:r w:rsidR="004D5AD0" w:rsidRPr="001F6C80">
        <w:rPr>
          <w:rFonts w:cs="Arial"/>
        </w:rPr>
        <w:t xml:space="preserve">ssigned licences subject to a </w:t>
      </w:r>
      <w:r w:rsidR="006E6AE8">
        <w:rPr>
          <w:rFonts w:cs="Arial"/>
        </w:rPr>
        <w:t xml:space="preserve">fixed </w:t>
      </w:r>
      <w:r w:rsidR="004D5AD0">
        <w:rPr>
          <w:rFonts w:cs="Arial"/>
        </w:rPr>
        <w:t xml:space="preserve">annual </w:t>
      </w:r>
      <w:r w:rsidR="004D5AD0" w:rsidRPr="001F6C80">
        <w:rPr>
          <w:rFonts w:cs="Arial"/>
        </w:rPr>
        <w:t>tax</w:t>
      </w:r>
      <w:r w:rsidR="00756B73" w:rsidRPr="001F6C80">
        <w:rPr>
          <w:rFonts w:cs="Arial"/>
        </w:rPr>
        <w:t>)</w:t>
      </w:r>
      <w:r w:rsidR="00C97F10" w:rsidRPr="001F6C80">
        <w:rPr>
          <w:rFonts w:cs="Arial"/>
        </w:rPr>
        <w:t xml:space="preserve"> of the Determination, which</w:t>
      </w:r>
      <w:r w:rsidR="00756B73" w:rsidRPr="001F6C80">
        <w:rPr>
          <w:rFonts w:cs="Arial"/>
        </w:rPr>
        <w:t xml:space="preserve"> </w:t>
      </w:r>
      <w:r w:rsidR="00C63C44" w:rsidRPr="001F6C80">
        <w:rPr>
          <w:rFonts w:cs="Arial"/>
        </w:rPr>
        <w:t xml:space="preserve">sets out the amount of tax for certain </w:t>
      </w:r>
      <w:r w:rsidR="00E96374" w:rsidRPr="001F6C80">
        <w:rPr>
          <w:rFonts w:cs="Arial"/>
        </w:rPr>
        <w:t xml:space="preserve">assigned licences subject to a </w:t>
      </w:r>
      <w:r w:rsidR="009436EC">
        <w:rPr>
          <w:rFonts w:cs="Arial"/>
        </w:rPr>
        <w:t>fixed</w:t>
      </w:r>
      <w:r w:rsidR="00E96374">
        <w:rPr>
          <w:rFonts w:cs="Arial"/>
        </w:rPr>
        <w:t xml:space="preserve"> annual </w:t>
      </w:r>
      <w:r w:rsidR="00E96374" w:rsidRPr="001F6C80">
        <w:rPr>
          <w:rFonts w:cs="Arial"/>
        </w:rPr>
        <w:t>tax</w:t>
      </w:r>
      <w:r w:rsidR="00C63C44" w:rsidRPr="001F6C80">
        <w:rPr>
          <w:rFonts w:cs="Arial"/>
        </w:rPr>
        <w:t xml:space="preserve">. All amounts have been raised by the adjustment of </w:t>
      </w:r>
      <w:r w:rsidR="006C657E" w:rsidRPr="001F6C80">
        <w:rPr>
          <w:rFonts w:cs="Arial"/>
        </w:rPr>
        <w:t>1.</w:t>
      </w:r>
      <w:r w:rsidR="00CA173B">
        <w:rPr>
          <w:rFonts w:cs="Arial"/>
        </w:rPr>
        <w:t>9</w:t>
      </w:r>
      <w:r w:rsidR="0085459C" w:rsidRPr="001F6C80">
        <w:rPr>
          <w:rFonts w:cs="Arial"/>
        </w:rPr>
        <w:t xml:space="preserve"> percent</w:t>
      </w:r>
      <w:r w:rsidR="000120BB">
        <w:rPr>
          <w:rFonts w:cs="Arial"/>
        </w:rPr>
        <w:t xml:space="preserve"> in line with the CPI</w:t>
      </w:r>
      <w:r w:rsidR="00C63C44" w:rsidRPr="001F6C80">
        <w:rPr>
          <w:rFonts w:cs="Arial"/>
        </w:rPr>
        <w:t>.</w:t>
      </w:r>
      <w:r w:rsidR="009436EC">
        <w:rPr>
          <w:rFonts w:cs="Arial"/>
        </w:rPr>
        <w:t xml:space="preserve"> Item 11 also inserts a </w:t>
      </w:r>
      <w:r w:rsidR="00D23F55">
        <w:rPr>
          <w:rFonts w:cs="Arial"/>
        </w:rPr>
        <w:t xml:space="preserve">note which clarifies that the Determination does not apply to </w:t>
      </w:r>
      <w:r w:rsidR="009436EC">
        <w:rPr>
          <w:rFonts w:cs="Arial"/>
        </w:rPr>
        <w:t xml:space="preserve">broadcasting licences </w:t>
      </w:r>
      <w:r w:rsidR="00D23F55">
        <w:rPr>
          <w:rFonts w:cs="Arial"/>
        </w:rPr>
        <w:t xml:space="preserve">that are transmitter licences associated with a commercial broadcasting licence. </w:t>
      </w:r>
      <w:r w:rsidR="009436EC">
        <w:rPr>
          <w:rFonts w:cs="Arial"/>
          <w:i/>
        </w:rPr>
        <w:t xml:space="preserve"> </w:t>
      </w:r>
    </w:p>
    <w:p w14:paraId="4B053AD5" w14:textId="3DA268A7" w:rsidR="00C63C44" w:rsidRPr="001F6C80" w:rsidRDefault="00C63C44" w:rsidP="00C63C44">
      <w:pPr>
        <w:pStyle w:val="Heading3"/>
        <w:rPr>
          <w:sz w:val="20"/>
          <w:szCs w:val="20"/>
        </w:rPr>
      </w:pPr>
      <w:r w:rsidRPr="001F6C80">
        <w:rPr>
          <w:sz w:val="20"/>
          <w:szCs w:val="20"/>
        </w:rPr>
        <w:t xml:space="preserve">Item </w:t>
      </w:r>
      <w:r w:rsidR="0068475A">
        <w:rPr>
          <w:sz w:val="20"/>
          <w:szCs w:val="20"/>
        </w:rPr>
        <w:t>1</w:t>
      </w:r>
      <w:r w:rsidR="00FF120C">
        <w:rPr>
          <w:sz w:val="20"/>
          <w:szCs w:val="20"/>
        </w:rPr>
        <w:t>2</w:t>
      </w:r>
    </w:p>
    <w:p w14:paraId="22AED93E" w14:textId="3B6482AF" w:rsidR="00C63C44" w:rsidRPr="001F6C80" w:rsidRDefault="00A42805" w:rsidP="00C63C44">
      <w:pPr>
        <w:rPr>
          <w:rFonts w:cs="Arial"/>
        </w:rPr>
      </w:pPr>
      <w:r w:rsidRPr="001F6C80">
        <w:rPr>
          <w:rFonts w:cs="Arial"/>
        </w:rPr>
        <w:t xml:space="preserve">Item </w:t>
      </w:r>
      <w:r w:rsidR="008F71A8">
        <w:rPr>
          <w:rFonts w:cs="Arial"/>
        </w:rPr>
        <w:t xml:space="preserve">12 </w:t>
      </w:r>
      <w:r w:rsidRPr="001F6C80">
        <w:rPr>
          <w:rFonts w:cs="Arial"/>
        </w:rPr>
        <w:t>substitutes a new</w:t>
      </w:r>
      <w:r w:rsidR="008F71A8">
        <w:rPr>
          <w:rFonts w:cs="Arial"/>
        </w:rPr>
        <w:t xml:space="preserve"> sub-item </w:t>
      </w:r>
      <w:r w:rsidR="00E96374">
        <w:rPr>
          <w:rFonts w:cs="Arial"/>
        </w:rPr>
        <w:t xml:space="preserve">3 of </w:t>
      </w:r>
      <w:r w:rsidR="005A1010">
        <w:rPr>
          <w:rFonts w:cs="Arial"/>
        </w:rPr>
        <w:t xml:space="preserve">item </w:t>
      </w:r>
      <w:r w:rsidR="008F71A8">
        <w:rPr>
          <w:rFonts w:cs="Arial"/>
        </w:rPr>
        <w:t>704A</w:t>
      </w:r>
      <w:r w:rsidR="00C63C44" w:rsidRPr="001F6C80">
        <w:rPr>
          <w:rFonts w:cs="Arial"/>
        </w:rPr>
        <w:t xml:space="preserve"> in Part </w:t>
      </w:r>
      <w:r w:rsidR="004D5AD0">
        <w:rPr>
          <w:rFonts w:cs="Arial"/>
        </w:rPr>
        <w:t>7A</w:t>
      </w:r>
      <w:r w:rsidR="00C63C44" w:rsidRPr="001F6C80">
        <w:rPr>
          <w:rFonts w:cs="Arial"/>
        </w:rPr>
        <w:t xml:space="preserve"> of Schedule 2</w:t>
      </w:r>
      <w:r w:rsidR="00D95A3B" w:rsidRPr="001F6C80">
        <w:rPr>
          <w:rFonts w:cs="Arial"/>
        </w:rPr>
        <w:t xml:space="preserve">, which </w:t>
      </w:r>
      <w:r w:rsidR="00C63C44" w:rsidRPr="001F6C80">
        <w:rPr>
          <w:rFonts w:cs="Arial"/>
        </w:rPr>
        <w:t xml:space="preserve">sets out the </w:t>
      </w:r>
      <w:r w:rsidR="00E96374">
        <w:rPr>
          <w:rFonts w:cs="Arial"/>
        </w:rPr>
        <w:t xml:space="preserve">annual </w:t>
      </w:r>
      <w:r w:rsidR="00C63C44" w:rsidRPr="001F6C80">
        <w:rPr>
          <w:rFonts w:cs="Arial"/>
        </w:rPr>
        <w:t>amount of tax</w:t>
      </w:r>
      <w:r w:rsidR="00E96374">
        <w:rPr>
          <w:rFonts w:cs="Arial"/>
        </w:rPr>
        <w:t xml:space="preserve"> for</w:t>
      </w:r>
      <w:r w:rsidR="00D74AB2">
        <w:rPr>
          <w:rFonts w:cs="Arial"/>
        </w:rPr>
        <w:t xml:space="preserve"> </w:t>
      </w:r>
      <w:r w:rsidR="006E6AE8">
        <w:rPr>
          <w:rFonts w:cs="Arial"/>
        </w:rPr>
        <w:t>a</w:t>
      </w:r>
      <w:r w:rsidR="006E6AE8" w:rsidRPr="001F6C80">
        <w:rPr>
          <w:rFonts w:cs="Arial"/>
        </w:rPr>
        <w:t xml:space="preserve">ssigned licences subject to a </w:t>
      </w:r>
      <w:r w:rsidR="006E6AE8">
        <w:rPr>
          <w:rFonts w:cs="Arial"/>
        </w:rPr>
        <w:t xml:space="preserve">population based annual </w:t>
      </w:r>
      <w:r w:rsidR="006E6AE8" w:rsidRPr="001F6C80">
        <w:rPr>
          <w:rFonts w:cs="Arial"/>
        </w:rPr>
        <w:t>tax</w:t>
      </w:r>
      <w:r w:rsidR="00C63C44" w:rsidRPr="001F6C80">
        <w:rPr>
          <w:rFonts w:cs="Arial"/>
        </w:rPr>
        <w:t xml:space="preserve">. </w:t>
      </w:r>
      <w:r w:rsidR="00E96374">
        <w:rPr>
          <w:rFonts w:cs="Arial"/>
        </w:rPr>
        <w:t>The annual tax</w:t>
      </w:r>
      <w:r w:rsidR="00C63C44" w:rsidRPr="001F6C80">
        <w:rPr>
          <w:rFonts w:cs="Arial"/>
        </w:rPr>
        <w:t xml:space="preserve"> amount ha</w:t>
      </w:r>
      <w:r w:rsidR="00E96374">
        <w:rPr>
          <w:rFonts w:cs="Arial"/>
        </w:rPr>
        <w:t>s</w:t>
      </w:r>
      <w:r w:rsidR="00C63C44" w:rsidRPr="001F6C80">
        <w:rPr>
          <w:rFonts w:cs="Arial"/>
        </w:rPr>
        <w:t xml:space="preserve"> been raised by the adjustment of </w:t>
      </w:r>
      <w:r w:rsidR="006C657E" w:rsidRPr="001F6C80">
        <w:rPr>
          <w:rFonts w:cs="Arial"/>
        </w:rPr>
        <w:t>1.</w:t>
      </w:r>
      <w:r w:rsidR="00CA173B">
        <w:rPr>
          <w:rFonts w:cs="Arial"/>
        </w:rPr>
        <w:t>9</w:t>
      </w:r>
      <w:r w:rsidR="0085459C" w:rsidRPr="001F6C80">
        <w:rPr>
          <w:rFonts w:cs="Arial"/>
        </w:rPr>
        <w:t xml:space="preserve"> percent</w:t>
      </w:r>
      <w:r w:rsidR="000120BB">
        <w:rPr>
          <w:rFonts w:cs="Arial"/>
        </w:rPr>
        <w:t xml:space="preserve"> in line with the CPI</w:t>
      </w:r>
      <w:r w:rsidR="00317D50">
        <w:rPr>
          <w:rFonts w:cs="Arial"/>
        </w:rPr>
        <w:t>.</w:t>
      </w:r>
    </w:p>
    <w:p w14:paraId="7AB462E3" w14:textId="44D7B3CF" w:rsidR="00D01D7D" w:rsidRPr="001F6C80" w:rsidRDefault="00D01D7D" w:rsidP="00D01D7D">
      <w:pPr>
        <w:pStyle w:val="Heading3"/>
        <w:rPr>
          <w:sz w:val="20"/>
          <w:szCs w:val="20"/>
        </w:rPr>
      </w:pPr>
      <w:r w:rsidRPr="001F6C80">
        <w:rPr>
          <w:sz w:val="20"/>
          <w:szCs w:val="20"/>
        </w:rPr>
        <w:t>Item 1</w:t>
      </w:r>
      <w:r w:rsidR="008F71A8">
        <w:rPr>
          <w:sz w:val="20"/>
          <w:szCs w:val="20"/>
        </w:rPr>
        <w:t>3</w:t>
      </w:r>
    </w:p>
    <w:p w14:paraId="62E36A41" w14:textId="1AD3AE42" w:rsidR="008F71A8" w:rsidRPr="001F6C80" w:rsidRDefault="008F71A8" w:rsidP="008F71A8">
      <w:pPr>
        <w:rPr>
          <w:rFonts w:cs="Arial"/>
        </w:rPr>
      </w:pPr>
      <w:r w:rsidRPr="001F6C80">
        <w:rPr>
          <w:rFonts w:cs="Arial"/>
        </w:rPr>
        <w:t xml:space="preserve">Item </w:t>
      </w:r>
      <w:r>
        <w:rPr>
          <w:rFonts w:cs="Arial"/>
        </w:rPr>
        <w:t>13</w:t>
      </w:r>
      <w:r w:rsidRPr="001F6C80">
        <w:rPr>
          <w:rFonts w:cs="Arial"/>
        </w:rPr>
        <w:t xml:space="preserve"> substitutes a new t</w:t>
      </w:r>
      <w:r>
        <w:rPr>
          <w:rFonts w:cs="Arial"/>
        </w:rPr>
        <w:t>able 8</w:t>
      </w:r>
      <w:r w:rsidRPr="001F6C80">
        <w:rPr>
          <w:rFonts w:cs="Arial"/>
        </w:rPr>
        <w:t xml:space="preserve">02 (and accompanying note) in Part </w:t>
      </w:r>
      <w:r w:rsidR="00E96374">
        <w:rPr>
          <w:rFonts w:cs="Arial"/>
        </w:rPr>
        <w:t>8</w:t>
      </w:r>
      <w:r w:rsidRPr="001F6C80">
        <w:rPr>
          <w:rFonts w:cs="Arial"/>
        </w:rPr>
        <w:t xml:space="preserve"> of Schedule 2 (</w:t>
      </w:r>
      <w:r w:rsidR="00E96374">
        <w:rPr>
          <w:rFonts w:cs="Arial"/>
        </w:rPr>
        <w:t>High power open narrowcasting service broadcasting licences</w:t>
      </w:r>
      <w:r w:rsidRPr="001F6C80">
        <w:rPr>
          <w:rFonts w:cs="Arial"/>
        </w:rPr>
        <w:t xml:space="preserve">) of the Determination, which sets out the amount of tax for the licensing options specified in </w:t>
      </w:r>
      <w:r w:rsidR="00C36EC5">
        <w:rPr>
          <w:rFonts w:cs="Arial"/>
        </w:rPr>
        <w:t xml:space="preserve">that </w:t>
      </w:r>
      <w:r w:rsidRPr="001F6C80">
        <w:rPr>
          <w:rFonts w:cs="Arial"/>
        </w:rPr>
        <w:t>Part</w:t>
      </w:r>
      <w:r w:rsidR="00C36EC5">
        <w:rPr>
          <w:rFonts w:cs="Arial"/>
        </w:rPr>
        <w:t>.</w:t>
      </w:r>
      <w:r w:rsidRPr="001F6C80">
        <w:rPr>
          <w:rFonts w:cs="Arial"/>
        </w:rPr>
        <w:t xml:space="preserve"> All amounts have been raised by the adjustment of 1.</w:t>
      </w:r>
      <w:r>
        <w:rPr>
          <w:rFonts w:cs="Arial"/>
        </w:rPr>
        <w:t>9</w:t>
      </w:r>
      <w:r w:rsidRPr="001F6C80">
        <w:rPr>
          <w:rFonts w:cs="Arial"/>
        </w:rPr>
        <w:t xml:space="preserve"> percent</w:t>
      </w:r>
      <w:r w:rsidR="000120BB">
        <w:rPr>
          <w:rFonts w:cs="Arial"/>
        </w:rPr>
        <w:t xml:space="preserve"> in line with the CPI</w:t>
      </w:r>
      <w:r w:rsidRPr="001F6C80">
        <w:rPr>
          <w:rFonts w:cs="Arial"/>
        </w:rPr>
        <w:t>.</w:t>
      </w:r>
    </w:p>
    <w:p w14:paraId="4D2B42C6" w14:textId="22961439" w:rsidR="008F71A8" w:rsidRPr="001F6C80" w:rsidRDefault="008F71A8" w:rsidP="008F71A8">
      <w:pPr>
        <w:pStyle w:val="Heading3"/>
        <w:rPr>
          <w:sz w:val="20"/>
          <w:szCs w:val="20"/>
        </w:rPr>
      </w:pPr>
      <w:r w:rsidRPr="001F6C80">
        <w:rPr>
          <w:sz w:val="20"/>
          <w:szCs w:val="20"/>
        </w:rPr>
        <w:t>Item 1</w:t>
      </w:r>
      <w:r>
        <w:rPr>
          <w:sz w:val="20"/>
          <w:szCs w:val="20"/>
        </w:rPr>
        <w:t>4</w:t>
      </w:r>
    </w:p>
    <w:p w14:paraId="0FAD7B34" w14:textId="77AE5E11" w:rsidR="008F71A8" w:rsidRPr="001F6C80" w:rsidRDefault="008F71A8" w:rsidP="008F71A8">
      <w:pPr>
        <w:rPr>
          <w:rFonts w:cs="Arial"/>
        </w:rPr>
      </w:pPr>
      <w:r w:rsidRPr="001F6C80">
        <w:rPr>
          <w:rFonts w:cs="Arial"/>
        </w:rPr>
        <w:t xml:space="preserve">Item </w:t>
      </w:r>
      <w:r>
        <w:rPr>
          <w:rFonts w:cs="Arial"/>
        </w:rPr>
        <w:t>14</w:t>
      </w:r>
      <w:r w:rsidRPr="001F6C80">
        <w:rPr>
          <w:rFonts w:cs="Arial"/>
        </w:rPr>
        <w:t xml:space="preserve"> substitutes a new t</w:t>
      </w:r>
      <w:r>
        <w:rPr>
          <w:rFonts w:cs="Arial"/>
        </w:rPr>
        <w:t>able 8</w:t>
      </w:r>
      <w:r w:rsidRPr="001F6C80">
        <w:rPr>
          <w:rFonts w:cs="Arial"/>
        </w:rPr>
        <w:t>02</w:t>
      </w:r>
      <w:r>
        <w:rPr>
          <w:rFonts w:cs="Arial"/>
        </w:rPr>
        <w:t>A</w:t>
      </w:r>
      <w:r w:rsidRPr="001F6C80">
        <w:rPr>
          <w:rFonts w:cs="Arial"/>
        </w:rPr>
        <w:t xml:space="preserve"> (and accompanying note) in Part </w:t>
      </w:r>
      <w:r w:rsidR="00E96374">
        <w:rPr>
          <w:rFonts w:cs="Arial"/>
        </w:rPr>
        <w:t>8</w:t>
      </w:r>
      <w:r w:rsidR="00F64277">
        <w:rPr>
          <w:rFonts w:cs="Arial"/>
        </w:rPr>
        <w:t>A</w:t>
      </w:r>
      <w:r w:rsidRPr="001F6C80">
        <w:rPr>
          <w:rFonts w:cs="Arial"/>
        </w:rPr>
        <w:t xml:space="preserve"> of Schedule 2 (</w:t>
      </w:r>
      <w:r w:rsidR="00F64277">
        <w:rPr>
          <w:rFonts w:cs="Arial"/>
        </w:rPr>
        <w:t>Space system licences)</w:t>
      </w:r>
      <w:r w:rsidRPr="001F6C80">
        <w:rPr>
          <w:rFonts w:cs="Arial"/>
        </w:rPr>
        <w:t xml:space="preserve"> of the Determination, which sets out the amount of tax for the licensing options specified in </w:t>
      </w:r>
      <w:r w:rsidR="00C36EC5">
        <w:rPr>
          <w:rFonts w:cs="Arial"/>
        </w:rPr>
        <w:t xml:space="preserve">that </w:t>
      </w:r>
      <w:r w:rsidRPr="001F6C80">
        <w:rPr>
          <w:rFonts w:cs="Arial"/>
        </w:rPr>
        <w:t>Part</w:t>
      </w:r>
      <w:r w:rsidR="00C36EC5">
        <w:rPr>
          <w:rFonts w:cs="Arial"/>
        </w:rPr>
        <w:t>.</w:t>
      </w:r>
      <w:r w:rsidRPr="001F6C80">
        <w:rPr>
          <w:rFonts w:cs="Arial"/>
        </w:rPr>
        <w:t xml:space="preserve">  All amounts have been raised by the adjustment of 1.</w:t>
      </w:r>
      <w:r>
        <w:rPr>
          <w:rFonts w:cs="Arial"/>
        </w:rPr>
        <w:t>9</w:t>
      </w:r>
      <w:r w:rsidRPr="001F6C80">
        <w:rPr>
          <w:rFonts w:cs="Arial"/>
        </w:rPr>
        <w:t xml:space="preserve"> percent</w:t>
      </w:r>
      <w:r w:rsidR="000120BB">
        <w:rPr>
          <w:rFonts w:cs="Arial"/>
        </w:rPr>
        <w:t xml:space="preserve"> in line with the CPI</w:t>
      </w:r>
      <w:r w:rsidR="000120BB" w:rsidRPr="001F6C80">
        <w:rPr>
          <w:rFonts w:cs="Arial"/>
        </w:rPr>
        <w:t>.</w:t>
      </w:r>
    </w:p>
    <w:p w14:paraId="28D0ED87" w14:textId="0A6956E8" w:rsidR="00C63C44" w:rsidRPr="001F6C80" w:rsidRDefault="00C63C44" w:rsidP="00C63C44">
      <w:pPr>
        <w:pStyle w:val="Heading3"/>
        <w:rPr>
          <w:sz w:val="20"/>
          <w:szCs w:val="20"/>
        </w:rPr>
      </w:pPr>
      <w:r w:rsidRPr="001F6C80">
        <w:rPr>
          <w:sz w:val="20"/>
          <w:szCs w:val="20"/>
        </w:rPr>
        <w:t>Item 1</w:t>
      </w:r>
      <w:r w:rsidR="008F71A8">
        <w:rPr>
          <w:sz w:val="20"/>
          <w:szCs w:val="20"/>
        </w:rPr>
        <w:t>5</w:t>
      </w:r>
    </w:p>
    <w:p w14:paraId="72350AE3" w14:textId="775BA87C" w:rsidR="00C63C44" w:rsidRPr="001F6C80" w:rsidRDefault="00C63C44" w:rsidP="00C63C44">
      <w:pPr>
        <w:rPr>
          <w:rFonts w:cs="Arial"/>
        </w:rPr>
      </w:pPr>
      <w:r w:rsidRPr="001F6C80">
        <w:rPr>
          <w:rFonts w:cs="Arial"/>
        </w:rPr>
        <w:t>Item 1</w:t>
      </w:r>
      <w:r w:rsidR="008F71A8">
        <w:rPr>
          <w:rFonts w:cs="Arial"/>
        </w:rPr>
        <w:t>5</w:t>
      </w:r>
      <w:r w:rsidRPr="001F6C80">
        <w:rPr>
          <w:rFonts w:cs="Arial"/>
        </w:rPr>
        <w:t xml:space="preserve"> </w:t>
      </w:r>
      <w:r w:rsidR="00732652" w:rsidRPr="001F6C80">
        <w:rPr>
          <w:rFonts w:cs="Arial"/>
        </w:rPr>
        <w:t xml:space="preserve">substitutes a new table </w:t>
      </w:r>
      <w:r w:rsidR="008F71A8">
        <w:rPr>
          <w:rFonts w:cs="Arial"/>
        </w:rPr>
        <w:t>9</w:t>
      </w:r>
      <w:r w:rsidR="00732652" w:rsidRPr="001F6C80">
        <w:rPr>
          <w:rFonts w:cs="Arial"/>
        </w:rPr>
        <w:t xml:space="preserve">02 in Part </w:t>
      </w:r>
      <w:r w:rsidR="00F64277">
        <w:rPr>
          <w:rFonts w:cs="Arial"/>
        </w:rPr>
        <w:t>9</w:t>
      </w:r>
      <w:r w:rsidR="00732652" w:rsidRPr="001F6C80">
        <w:rPr>
          <w:rFonts w:cs="Arial"/>
        </w:rPr>
        <w:t xml:space="preserve"> of Schedule 2 (non-assigned licences) of the Determination, which </w:t>
      </w:r>
      <w:r w:rsidRPr="001F6C80">
        <w:rPr>
          <w:rFonts w:cs="Arial"/>
        </w:rPr>
        <w:t xml:space="preserve">sets out the amount of tax for the licensing options specified in </w:t>
      </w:r>
      <w:r w:rsidR="00D245B3">
        <w:rPr>
          <w:rFonts w:cs="Arial"/>
        </w:rPr>
        <w:t xml:space="preserve">that </w:t>
      </w:r>
      <w:r w:rsidRPr="001F6C80">
        <w:rPr>
          <w:rFonts w:cs="Arial"/>
        </w:rPr>
        <w:t xml:space="preserve">Part </w:t>
      </w:r>
      <w:r w:rsidR="00F64277">
        <w:rPr>
          <w:rFonts w:cs="Arial"/>
        </w:rPr>
        <w:t>9</w:t>
      </w:r>
      <w:r w:rsidR="00D245B3">
        <w:rPr>
          <w:rFonts w:cs="Arial"/>
        </w:rPr>
        <w:t>.</w:t>
      </w:r>
      <w:r w:rsidRPr="001F6C80">
        <w:rPr>
          <w:rFonts w:cs="Arial"/>
        </w:rPr>
        <w:t xml:space="preserve"> All amounts have been raised by the adjustment of </w:t>
      </w:r>
      <w:r w:rsidR="006C657E" w:rsidRPr="001F6C80">
        <w:rPr>
          <w:rFonts w:cs="Arial"/>
        </w:rPr>
        <w:t>1.</w:t>
      </w:r>
      <w:r w:rsidR="008F71A8">
        <w:rPr>
          <w:rFonts w:cs="Arial"/>
        </w:rPr>
        <w:t>9</w:t>
      </w:r>
      <w:r w:rsidR="0085459C" w:rsidRPr="001F6C80">
        <w:rPr>
          <w:rFonts w:cs="Arial"/>
        </w:rPr>
        <w:t xml:space="preserve"> percent</w:t>
      </w:r>
      <w:r w:rsidR="000120BB">
        <w:rPr>
          <w:rFonts w:cs="Arial"/>
        </w:rPr>
        <w:t xml:space="preserve"> in line with the CPI</w:t>
      </w:r>
      <w:r w:rsidRPr="001F6C80">
        <w:rPr>
          <w:rFonts w:cs="Arial"/>
        </w:rPr>
        <w:t>.</w:t>
      </w:r>
    </w:p>
    <w:p w14:paraId="77EFA52A" w14:textId="208FB8CF" w:rsidR="00C63C44" w:rsidRPr="001F6C80" w:rsidRDefault="00C63C44" w:rsidP="00C63C44">
      <w:pPr>
        <w:pStyle w:val="Heading3"/>
        <w:rPr>
          <w:sz w:val="20"/>
          <w:szCs w:val="20"/>
        </w:rPr>
      </w:pPr>
      <w:r w:rsidRPr="001F6C80">
        <w:rPr>
          <w:sz w:val="20"/>
          <w:szCs w:val="20"/>
        </w:rPr>
        <w:t>Item 1</w:t>
      </w:r>
      <w:r w:rsidR="008F71A8">
        <w:rPr>
          <w:sz w:val="20"/>
          <w:szCs w:val="20"/>
        </w:rPr>
        <w:t>6</w:t>
      </w:r>
    </w:p>
    <w:p w14:paraId="60F8AD6C" w14:textId="256F499B" w:rsidR="008F71A8" w:rsidRPr="00D245B3" w:rsidRDefault="008F71A8" w:rsidP="008F71A8">
      <w:pPr>
        <w:pStyle w:val="Heading3"/>
        <w:rPr>
          <w:b w:val="0"/>
          <w:sz w:val="20"/>
          <w:szCs w:val="20"/>
        </w:rPr>
      </w:pPr>
      <w:r w:rsidRPr="008F71A8">
        <w:rPr>
          <w:b w:val="0"/>
          <w:sz w:val="20"/>
          <w:szCs w:val="20"/>
        </w:rPr>
        <w:t xml:space="preserve">Item 16 amends the definition of the </w:t>
      </w:r>
      <w:r w:rsidRPr="00174D6B">
        <w:rPr>
          <w:i/>
          <w:sz w:val="20"/>
          <w:szCs w:val="20"/>
        </w:rPr>
        <w:t xml:space="preserve">minimum annual amount </w:t>
      </w:r>
      <w:r w:rsidR="00D245B3" w:rsidRPr="000A1051">
        <w:rPr>
          <w:b w:val="0"/>
          <w:sz w:val="20"/>
          <w:szCs w:val="20"/>
        </w:rPr>
        <w:t>by omitting $39.57 and substituting $40.32.</w:t>
      </w:r>
      <w:r w:rsidR="00D245B3">
        <w:rPr>
          <w:b w:val="0"/>
          <w:sz w:val="20"/>
          <w:szCs w:val="20"/>
        </w:rPr>
        <w:t xml:space="preserve"> This raises the minimum annual amount of tax by 1.9 per cent, the increase in the CPI. </w:t>
      </w:r>
    </w:p>
    <w:p w14:paraId="5FDA6156" w14:textId="49E3AB83" w:rsidR="00CA173B" w:rsidRPr="001F6C80" w:rsidRDefault="00CA173B" w:rsidP="00CA173B">
      <w:pPr>
        <w:pStyle w:val="Heading2"/>
        <w:rPr>
          <w:sz w:val="20"/>
          <w:szCs w:val="20"/>
        </w:rPr>
      </w:pPr>
      <w:r w:rsidRPr="001F6C80">
        <w:rPr>
          <w:sz w:val="20"/>
          <w:szCs w:val="20"/>
        </w:rPr>
        <w:t xml:space="preserve">Schedule </w:t>
      </w:r>
      <w:r w:rsidR="008F71A8">
        <w:rPr>
          <w:sz w:val="20"/>
          <w:szCs w:val="20"/>
        </w:rPr>
        <w:t>2</w:t>
      </w:r>
      <w:r w:rsidRPr="001F6C80">
        <w:rPr>
          <w:sz w:val="20"/>
          <w:szCs w:val="20"/>
        </w:rPr>
        <w:tab/>
      </w:r>
      <w:r w:rsidR="00D61E83" w:rsidRPr="00475478">
        <w:rPr>
          <w:sz w:val="20"/>
          <w:szCs w:val="20"/>
        </w:rPr>
        <w:t>Amendments to the Radiocommunications (Transmitter Licence Tax) Determination 2015 (</w:t>
      </w:r>
      <w:r w:rsidR="00D61E83" w:rsidRPr="00475478">
        <w:rPr>
          <w:rStyle w:val="legsubtitle1"/>
          <w:b/>
          <w:sz w:val="20"/>
          <w:szCs w:val="20"/>
        </w:rPr>
        <w:t>F2015L00322) (</w:t>
      </w:r>
      <w:r w:rsidR="00475478" w:rsidRPr="00475478">
        <w:rPr>
          <w:rStyle w:val="legsubtitle1"/>
          <w:b/>
          <w:sz w:val="20"/>
          <w:szCs w:val="20"/>
        </w:rPr>
        <w:t>Amendments to Part 7A</w:t>
      </w:r>
      <w:r w:rsidR="00D61E83" w:rsidRPr="00475478">
        <w:rPr>
          <w:rStyle w:val="legsubtitle1"/>
          <w:b/>
          <w:sz w:val="20"/>
          <w:szCs w:val="20"/>
        </w:rPr>
        <w:t>)</w:t>
      </w:r>
    </w:p>
    <w:p w14:paraId="57D509AA" w14:textId="77777777" w:rsidR="00CA173B" w:rsidRPr="001F6C80" w:rsidRDefault="00CA173B" w:rsidP="00CA173B">
      <w:pPr>
        <w:pStyle w:val="Heading3"/>
        <w:rPr>
          <w:sz w:val="20"/>
          <w:szCs w:val="20"/>
        </w:rPr>
      </w:pPr>
      <w:r w:rsidRPr="001F6C80">
        <w:rPr>
          <w:sz w:val="20"/>
          <w:szCs w:val="20"/>
        </w:rPr>
        <w:t>Item 1</w:t>
      </w:r>
    </w:p>
    <w:p w14:paraId="22E0AE67" w14:textId="5E18A872" w:rsidR="00CA173B" w:rsidRPr="001F6C80" w:rsidRDefault="00CA173B" w:rsidP="00CA173B">
      <w:pPr>
        <w:rPr>
          <w:rFonts w:cs="Arial"/>
        </w:rPr>
      </w:pPr>
      <w:r w:rsidRPr="001F6C80">
        <w:rPr>
          <w:rFonts w:cs="Arial"/>
        </w:rPr>
        <w:t xml:space="preserve">Item 1 amends </w:t>
      </w:r>
      <w:r w:rsidR="0018616D">
        <w:rPr>
          <w:rFonts w:cs="Arial"/>
        </w:rPr>
        <w:t>item 702A</w:t>
      </w:r>
      <w:r w:rsidR="00475478">
        <w:rPr>
          <w:rFonts w:cs="Arial"/>
        </w:rPr>
        <w:t xml:space="preserve"> by substituting a new definition of </w:t>
      </w:r>
      <w:r w:rsidR="00475478">
        <w:rPr>
          <w:rFonts w:cs="Arial"/>
          <w:b/>
          <w:i/>
        </w:rPr>
        <w:t xml:space="preserve">population of an HCIS block </w:t>
      </w:r>
      <w:r w:rsidR="001A099E">
        <w:rPr>
          <w:rFonts w:cs="Arial"/>
        </w:rPr>
        <w:t xml:space="preserve">and accompanying note. The ACMA has updated the </w:t>
      </w:r>
      <w:r w:rsidR="001A099E">
        <w:rPr>
          <w:rFonts w:cs="Arial"/>
          <w:i/>
        </w:rPr>
        <w:t>Hierarchical Cell Identification Scheme</w:t>
      </w:r>
      <w:r w:rsidR="00631C08">
        <w:rPr>
          <w:rFonts w:cs="Arial"/>
          <w:i/>
        </w:rPr>
        <w:t xml:space="preserve"> – Population Data </w:t>
      </w:r>
      <w:r w:rsidR="00631C08">
        <w:rPr>
          <w:rFonts w:cs="Arial"/>
        </w:rPr>
        <w:t>(</w:t>
      </w:r>
      <w:r w:rsidR="00631C08" w:rsidRPr="000A1051">
        <w:rPr>
          <w:rFonts w:cs="Arial"/>
          <w:b/>
        </w:rPr>
        <w:t>Population Document</w:t>
      </w:r>
      <w:r w:rsidR="00631C08">
        <w:rPr>
          <w:rFonts w:cs="Arial"/>
        </w:rPr>
        <w:t>)</w:t>
      </w:r>
      <w:r w:rsidR="00631C08">
        <w:rPr>
          <w:rFonts w:cs="Arial"/>
          <w:i/>
        </w:rPr>
        <w:t xml:space="preserve"> </w:t>
      </w:r>
      <w:r w:rsidR="00631C08">
        <w:rPr>
          <w:rFonts w:cs="Arial"/>
        </w:rPr>
        <w:t xml:space="preserve">to reflect the population figures published by the Australian Bureau of Statistics in the 2016 Census. Previously, the population data in the Population Document was based on the 2011 Census. The Population Document is incorporated as in existence at the time Schedule 2 of the Amendment Determination commences - that is, 5 April 2018. The population data is used to determine the tax for Public Mobile Telecommunications </w:t>
      </w:r>
      <w:r w:rsidR="009F5847">
        <w:rPr>
          <w:rFonts w:cs="Arial"/>
        </w:rPr>
        <w:t>Service (</w:t>
      </w:r>
      <w:r w:rsidR="00631C08">
        <w:rPr>
          <w:rFonts w:cs="Arial"/>
        </w:rPr>
        <w:t>Class B</w:t>
      </w:r>
      <w:r w:rsidR="009F5847">
        <w:rPr>
          <w:rFonts w:cs="Arial"/>
        </w:rPr>
        <w:t>)</w:t>
      </w:r>
      <w:r w:rsidR="00631C08">
        <w:rPr>
          <w:rFonts w:cs="Arial"/>
        </w:rPr>
        <w:t xml:space="preserve"> licences covered by Part 7A of Schedule 2 to the Determination. </w:t>
      </w:r>
      <w:r w:rsidR="001A099E">
        <w:rPr>
          <w:rFonts w:cs="Arial"/>
          <w:i/>
        </w:rPr>
        <w:t xml:space="preserve"> </w:t>
      </w:r>
    </w:p>
    <w:p w14:paraId="3A06B030" w14:textId="0F1C16DF" w:rsidR="00CA173B" w:rsidRPr="001F6C80" w:rsidRDefault="00CA173B" w:rsidP="00CA173B">
      <w:pPr>
        <w:pStyle w:val="Heading3"/>
        <w:rPr>
          <w:sz w:val="20"/>
          <w:szCs w:val="20"/>
        </w:rPr>
      </w:pPr>
      <w:r w:rsidRPr="001F6C80">
        <w:rPr>
          <w:sz w:val="20"/>
          <w:szCs w:val="20"/>
        </w:rPr>
        <w:t>Item</w:t>
      </w:r>
      <w:r w:rsidR="007A0D80">
        <w:rPr>
          <w:sz w:val="20"/>
          <w:szCs w:val="20"/>
        </w:rPr>
        <w:t>s</w:t>
      </w:r>
      <w:r w:rsidRPr="001F6C80">
        <w:rPr>
          <w:sz w:val="20"/>
          <w:szCs w:val="20"/>
        </w:rPr>
        <w:t xml:space="preserve"> 2</w:t>
      </w:r>
      <w:r w:rsidR="007A0D80">
        <w:rPr>
          <w:sz w:val="20"/>
          <w:szCs w:val="20"/>
        </w:rPr>
        <w:t xml:space="preserve"> and 3</w:t>
      </w:r>
    </w:p>
    <w:p w14:paraId="01C6D9B2" w14:textId="43A62900" w:rsidR="0009663F" w:rsidRPr="004D683A" w:rsidRDefault="00CA173B" w:rsidP="00CA173B">
      <w:pPr>
        <w:rPr>
          <w:rFonts w:cs="Arial"/>
        </w:rPr>
      </w:pPr>
      <w:r w:rsidRPr="004D683A">
        <w:rPr>
          <w:rFonts w:cs="Arial"/>
        </w:rPr>
        <w:t xml:space="preserve">Item 2 amends </w:t>
      </w:r>
      <w:r w:rsidR="0018616D" w:rsidRPr="00821105">
        <w:rPr>
          <w:rFonts w:cs="Arial"/>
        </w:rPr>
        <w:t>paragraph 703A (b)</w:t>
      </w:r>
      <w:r w:rsidR="009F5847" w:rsidRPr="00821105">
        <w:rPr>
          <w:rFonts w:cs="Arial"/>
        </w:rPr>
        <w:t xml:space="preserve"> of Part 7A of Schedule 2 to the Determination by inserting the words </w:t>
      </w:r>
      <w:r w:rsidR="009F5847" w:rsidRPr="004D683A">
        <w:rPr>
          <w:rFonts w:cs="Arial"/>
        </w:rPr>
        <w:t xml:space="preserve">‘subject to sub-item </w:t>
      </w:r>
      <w:proofErr w:type="gramStart"/>
      <w:r w:rsidR="009F5847" w:rsidRPr="004D683A">
        <w:rPr>
          <w:rFonts w:cs="Arial"/>
        </w:rPr>
        <w:t>705A(</w:t>
      </w:r>
      <w:proofErr w:type="gramEnd"/>
      <w:r w:rsidR="009F5847" w:rsidRPr="004D683A">
        <w:rPr>
          <w:rFonts w:cs="Arial"/>
        </w:rPr>
        <w:t>2)’</w:t>
      </w:r>
      <w:r w:rsidRPr="004D683A">
        <w:rPr>
          <w:rFonts w:cs="Arial"/>
        </w:rPr>
        <w:t>.</w:t>
      </w:r>
      <w:r w:rsidR="009F5847" w:rsidRPr="004D683A">
        <w:rPr>
          <w:rFonts w:cs="Arial"/>
        </w:rPr>
        <w:t xml:space="preserve"> </w:t>
      </w:r>
      <w:r w:rsidR="007A0D80" w:rsidRPr="004D683A">
        <w:rPr>
          <w:rFonts w:cs="Arial"/>
        </w:rPr>
        <w:t xml:space="preserve">Item 3 substitutes new item 705A which includes a new sub-item </w:t>
      </w:r>
      <w:proofErr w:type="gramStart"/>
      <w:r w:rsidR="007A0D80" w:rsidRPr="004D683A">
        <w:rPr>
          <w:rFonts w:cs="Arial"/>
        </w:rPr>
        <w:t>705A(</w:t>
      </w:r>
      <w:proofErr w:type="gramEnd"/>
      <w:r w:rsidR="007A0D80" w:rsidRPr="004D683A">
        <w:rPr>
          <w:rFonts w:cs="Arial"/>
        </w:rPr>
        <w:t xml:space="preserve">2). </w:t>
      </w:r>
    </w:p>
    <w:p w14:paraId="6BC18E91" w14:textId="77777777" w:rsidR="0009663F" w:rsidRPr="004D683A" w:rsidRDefault="0009663F" w:rsidP="00CA173B">
      <w:pPr>
        <w:rPr>
          <w:rFonts w:cs="Arial"/>
        </w:rPr>
      </w:pPr>
    </w:p>
    <w:p w14:paraId="7B874F60" w14:textId="43DB0AD1" w:rsidR="0009663F" w:rsidRPr="004D683A" w:rsidRDefault="0009663F" w:rsidP="00CA173B">
      <w:pPr>
        <w:rPr>
          <w:rFonts w:cs="Arial"/>
        </w:rPr>
      </w:pPr>
      <w:r w:rsidRPr="004D683A">
        <w:rPr>
          <w:rFonts w:cs="Arial"/>
        </w:rPr>
        <w:t xml:space="preserve">The amount of tax payable in respect of each spectrum access under a licence to which Part 7A applies is calculated as set out in item 703A. </w:t>
      </w:r>
      <w:r w:rsidR="00D11B53" w:rsidRPr="004D683A">
        <w:rPr>
          <w:rFonts w:cs="Arial"/>
        </w:rPr>
        <w:t xml:space="preserve">The formula specified in paragraphs (a) and (b) require the identification of the population of </w:t>
      </w:r>
      <w:proofErr w:type="gramStart"/>
      <w:r w:rsidR="00D11B53" w:rsidRPr="004D683A">
        <w:rPr>
          <w:rFonts w:cs="Arial"/>
        </w:rPr>
        <w:t>an</w:t>
      </w:r>
      <w:proofErr w:type="gramEnd"/>
      <w:r w:rsidR="00D11B53" w:rsidRPr="004D683A">
        <w:rPr>
          <w:rFonts w:cs="Arial"/>
        </w:rPr>
        <w:t xml:space="preserve"> Hierarchical Cell Identification Scheme (HCIS) block.   HCIS blocks and cells are used to identify areas within the Australian Spectrum Map Grid (ASMG). </w:t>
      </w:r>
      <w:r w:rsidRPr="004D683A">
        <w:rPr>
          <w:rFonts w:cs="Arial"/>
        </w:rPr>
        <w:t xml:space="preserve">The </w:t>
      </w:r>
      <w:r w:rsidRPr="004D683A">
        <w:rPr>
          <w:rFonts w:cs="Arial"/>
          <w:b/>
          <w:i/>
        </w:rPr>
        <w:t xml:space="preserve">population of an HCIS block </w:t>
      </w:r>
      <w:r w:rsidRPr="004D683A">
        <w:rPr>
          <w:rFonts w:cs="Arial"/>
        </w:rPr>
        <w:t xml:space="preserve">is defined in item 702A as the population of the HCIS block listed in the Population Document. </w:t>
      </w:r>
    </w:p>
    <w:p w14:paraId="10FD1C13" w14:textId="77777777" w:rsidR="0009663F" w:rsidRPr="004D683A" w:rsidRDefault="0009663F" w:rsidP="00CA173B">
      <w:pPr>
        <w:rPr>
          <w:rFonts w:cs="Arial"/>
        </w:rPr>
      </w:pPr>
    </w:p>
    <w:p w14:paraId="42336AF6" w14:textId="77777777" w:rsidR="00FD49D8" w:rsidRDefault="009F5847" w:rsidP="00174D6B">
      <w:pPr>
        <w:rPr>
          <w:rFonts w:cs="Arial"/>
        </w:rPr>
      </w:pPr>
      <w:r w:rsidRPr="00D90354">
        <w:rPr>
          <w:rFonts w:cs="Arial"/>
        </w:rPr>
        <w:t xml:space="preserve">Paragraph </w:t>
      </w:r>
      <w:proofErr w:type="gramStart"/>
      <w:r w:rsidRPr="00D90354">
        <w:rPr>
          <w:rFonts w:cs="Arial"/>
        </w:rPr>
        <w:t>703A(</w:t>
      </w:r>
      <w:proofErr w:type="gramEnd"/>
      <w:r w:rsidRPr="00D90354">
        <w:rPr>
          <w:rFonts w:cs="Arial"/>
        </w:rPr>
        <w:t xml:space="preserve">b) sets out the method for </w:t>
      </w:r>
      <w:r w:rsidR="0009663F" w:rsidRPr="00D90354">
        <w:rPr>
          <w:rFonts w:cs="Arial"/>
        </w:rPr>
        <w:t xml:space="preserve">calculating the tax in circumstances where the licence does not specify any </w:t>
      </w:r>
      <w:r w:rsidR="007A0D80" w:rsidRPr="00FE2BE8">
        <w:rPr>
          <w:rFonts w:cs="Arial"/>
        </w:rPr>
        <w:t>HCIS</w:t>
      </w:r>
      <w:r w:rsidR="0009663F" w:rsidRPr="00FE2BE8">
        <w:rPr>
          <w:rFonts w:cs="Arial"/>
        </w:rPr>
        <w:t xml:space="preserve"> blocks. This paragraph is now subject to sub-item </w:t>
      </w:r>
      <w:proofErr w:type="gramStart"/>
      <w:r w:rsidR="0009663F" w:rsidRPr="00FE2BE8">
        <w:rPr>
          <w:rFonts w:cs="Arial"/>
        </w:rPr>
        <w:t>705A(</w:t>
      </w:r>
      <w:proofErr w:type="gramEnd"/>
      <w:r w:rsidR="0009663F" w:rsidRPr="00FE2BE8">
        <w:rPr>
          <w:rFonts w:cs="Arial"/>
        </w:rPr>
        <w:t xml:space="preserve">2) which provides that if the </w:t>
      </w:r>
      <w:r w:rsidR="0009663F" w:rsidRPr="00174D6B">
        <w:rPr>
          <w:rFonts w:cs="Arial"/>
          <w:b/>
          <w:i/>
        </w:rPr>
        <w:t>HCIS area of a licence</w:t>
      </w:r>
      <w:r w:rsidR="0009663F" w:rsidRPr="00821105">
        <w:rPr>
          <w:rFonts w:cs="Arial"/>
        </w:rPr>
        <w:t xml:space="preserve"> </w:t>
      </w:r>
      <w:r w:rsidR="007A0D80" w:rsidRPr="00821105">
        <w:rPr>
          <w:rFonts w:cs="Arial"/>
        </w:rPr>
        <w:t xml:space="preserve">(a term defined in item 702A) </w:t>
      </w:r>
      <w:r w:rsidR="0009663F" w:rsidRPr="00821105">
        <w:rPr>
          <w:rFonts w:cs="Arial"/>
        </w:rPr>
        <w:t xml:space="preserve">does not include any Level 2 HCIS blocks the amount of tax in respect of each spectrum access under the licence is taken to be the minimum annual amount. </w:t>
      </w:r>
      <w:r w:rsidR="00FD49D8">
        <w:rPr>
          <w:rFonts w:cs="Arial"/>
        </w:rPr>
        <w:t xml:space="preserve"> </w:t>
      </w:r>
    </w:p>
    <w:p w14:paraId="2C1212A4" w14:textId="77777777" w:rsidR="00F87473" w:rsidRDefault="00F87473" w:rsidP="00174D6B">
      <w:pPr>
        <w:rPr>
          <w:rFonts w:cs="Arial"/>
        </w:rPr>
      </w:pPr>
    </w:p>
    <w:p w14:paraId="463D4130" w14:textId="39679793" w:rsidR="00FD49D8" w:rsidRDefault="00062F86" w:rsidP="00174D6B">
      <w:pPr>
        <w:rPr>
          <w:rFonts w:cs="Arial"/>
        </w:rPr>
      </w:pPr>
      <w:r>
        <w:rPr>
          <w:rFonts w:cs="Arial"/>
        </w:rPr>
        <w:t>The amendments affect a small number of PMTS Class B</w:t>
      </w:r>
      <w:r w:rsidR="00FD49D8">
        <w:rPr>
          <w:rFonts w:cs="Arial"/>
        </w:rPr>
        <w:t xml:space="preserve"> licences to which Part 7A applies</w:t>
      </w:r>
      <w:r>
        <w:rPr>
          <w:rFonts w:cs="Arial"/>
        </w:rPr>
        <w:t xml:space="preserve"> </w:t>
      </w:r>
      <w:r w:rsidR="00FD49D8">
        <w:rPr>
          <w:rFonts w:cs="Arial"/>
        </w:rPr>
        <w:t xml:space="preserve">and </w:t>
      </w:r>
      <w:r>
        <w:rPr>
          <w:rFonts w:cs="Arial"/>
        </w:rPr>
        <w:t>which authorise the operation of transmitters in geographic areas outside the ASMG</w:t>
      </w:r>
      <w:r w:rsidR="00FD49D8">
        <w:rPr>
          <w:rFonts w:cs="Arial"/>
        </w:rPr>
        <w:t xml:space="preserve"> that are a part of Australia. (The ASMG does not include external territories of Australia, such as the Torres Strait.)  Given that the geographic area is outside the ASMG, the population of the area cannot be determined using the ASMG. </w:t>
      </w:r>
      <w:r w:rsidR="004F6A3D">
        <w:rPr>
          <w:rFonts w:cs="Arial"/>
        </w:rPr>
        <w:t xml:space="preserve">The ACMA currently determines the tax payable in relation to these licences by applying the formula specified and inserting the value ‘zero’ for the population component. The tax payable is the minimum annual amount of tax (given that the amount of tax worked out is below the minimum annual amount).  </w:t>
      </w:r>
    </w:p>
    <w:p w14:paraId="4C61D733" w14:textId="77777777" w:rsidR="00F87473" w:rsidRDefault="00F87473" w:rsidP="00174D6B">
      <w:pPr>
        <w:rPr>
          <w:rFonts w:cs="Arial"/>
        </w:rPr>
      </w:pPr>
    </w:p>
    <w:p w14:paraId="69197A2F" w14:textId="4C9F8792" w:rsidR="009F5847" w:rsidRPr="00174D6B" w:rsidRDefault="00FD49D8" w:rsidP="00174D6B">
      <w:pPr>
        <w:rPr>
          <w:rFonts w:cs="Arial"/>
        </w:rPr>
      </w:pPr>
      <w:r>
        <w:rPr>
          <w:rFonts w:cs="Arial"/>
        </w:rPr>
        <w:t xml:space="preserve">Sub-item </w:t>
      </w:r>
      <w:proofErr w:type="gramStart"/>
      <w:r>
        <w:rPr>
          <w:rFonts w:cs="Arial"/>
        </w:rPr>
        <w:t>705A(</w:t>
      </w:r>
      <w:proofErr w:type="gramEnd"/>
      <w:r>
        <w:rPr>
          <w:rFonts w:cs="Arial"/>
        </w:rPr>
        <w:t xml:space="preserve">2) </w:t>
      </w:r>
      <w:r w:rsidR="004F6A3D">
        <w:rPr>
          <w:rFonts w:cs="Arial"/>
        </w:rPr>
        <w:t xml:space="preserve">clarifies </w:t>
      </w:r>
      <w:r>
        <w:rPr>
          <w:rFonts w:cs="Arial"/>
        </w:rPr>
        <w:t xml:space="preserve">that where </w:t>
      </w:r>
      <w:r w:rsidR="009F5847" w:rsidRPr="00174D6B">
        <w:rPr>
          <w:rFonts w:cs="Arial"/>
        </w:rPr>
        <w:t xml:space="preserve">the licence does not specify HCIS blocks or HCIS cells </w:t>
      </w:r>
      <w:r>
        <w:rPr>
          <w:rFonts w:cs="Arial"/>
        </w:rPr>
        <w:t xml:space="preserve">and the HCIS area of the licence does not include any Level 2 HCIS blocks, </w:t>
      </w:r>
      <w:r w:rsidR="009F5847" w:rsidRPr="00174D6B">
        <w:rPr>
          <w:rFonts w:cs="Arial"/>
        </w:rPr>
        <w:t xml:space="preserve">and </w:t>
      </w:r>
      <w:r>
        <w:rPr>
          <w:rFonts w:cs="Arial"/>
        </w:rPr>
        <w:t xml:space="preserve">hence </w:t>
      </w:r>
      <w:r w:rsidR="009F5847" w:rsidRPr="00174D6B">
        <w:rPr>
          <w:rFonts w:cs="Arial"/>
        </w:rPr>
        <w:t xml:space="preserve">the population cannot be determined using the ASMG and HCIS blocks, the amount of tax for a spectrum access under the licence is the minimum annual amount of tax. </w:t>
      </w:r>
      <w:r>
        <w:rPr>
          <w:rFonts w:cs="Arial"/>
        </w:rPr>
        <w:t xml:space="preserve"> </w:t>
      </w:r>
    </w:p>
    <w:p w14:paraId="0DB11EAA" w14:textId="77777777" w:rsidR="009F5847" w:rsidRPr="001F6C80" w:rsidRDefault="009F5847" w:rsidP="00CA173B">
      <w:pPr>
        <w:rPr>
          <w:rFonts w:cs="Arial"/>
        </w:rPr>
      </w:pPr>
    </w:p>
    <w:p w14:paraId="41FCBB4C" w14:textId="1F3E9E8B" w:rsidR="00D74AB2" w:rsidRPr="001F6C80" w:rsidRDefault="00D74AB2" w:rsidP="009F5847">
      <w:pPr>
        <w:rPr>
          <w:rFonts w:cs="Arial"/>
        </w:rPr>
      </w:pPr>
    </w:p>
    <w:sectPr w:rsidR="00D74AB2" w:rsidRPr="001F6C80" w:rsidSect="003B56C1">
      <w:headerReference w:type="even" r:id="rId12"/>
      <w:footerReference w:type="default" r:id="rId13"/>
      <w:headerReference w:type="first" r:id="rId14"/>
      <w:type w:val="continuous"/>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EF478" w14:textId="77777777" w:rsidR="00560D26" w:rsidRDefault="00560D26">
      <w:r>
        <w:separator/>
      </w:r>
    </w:p>
  </w:endnote>
  <w:endnote w:type="continuationSeparator" w:id="0">
    <w:p w14:paraId="3A74F3EB" w14:textId="77777777" w:rsidR="00560D26" w:rsidRDefault="0056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867480"/>
      <w:docPartObj>
        <w:docPartGallery w:val="Page Numbers (Bottom of Page)"/>
        <w:docPartUnique/>
      </w:docPartObj>
    </w:sdtPr>
    <w:sdtEndPr>
      <w:rPr>
        <w:noProof/>
      </w:rPr>
    </w:sdtEndPr>
    <w:sdtContent>
      <w:p w14:paraId="2BFE3730" w14:textId="2BB474CC" w:rsidR="00F87473" w:rsidRDefault="00F87473">
        <w:pPr>
          <w:pStyle w:val="Footer"/>
          <w:jc w:val="right"/>
        </w:pPr>
        <w:r>
          <w:fldChar w:fldCharType="begin"/>
        </w:r>
        <w:r>
          <w:instrText xml:space="preserve"> PAGE   \* MERGEFORMAT </w:instrText>
        </w:r>
        <w:r>
          <w:fldChar w:fldCharType="separate"/>
        </w:r>
        <w:r w:rsidR="00DD39E4">
          <w:rPr>
            <w:noProof/>
          </w:rPr>
          <w:t>4</w:t>
        </w:r>
        <w:r>
          <w:rPr>
            <w:noProof/>
          </w:rPr>
          <w:fldChar w:fldCharType="end"/>
        </w:r>
      </w:p>
    </w:sdtContent>
  </w:sdt>
  <w:p w14:paraId="4D6CB95E" w14:textId="77777777" w:rsidR="00B127F9" w:rsidRPr="00B127F9" w:rsidRDefault="00B127F9" w:rsidP="00B12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61E30" w14:textId="77777777" w:rsidR="00560D26" w:rsidRDefault="00560D26">
      <w:r>
        <w:separator/>
      </w:r>
    </w:p>
  </w:footnote>
  <w:footnote w:type="continuationSeparator" w:id="0">
    <w:p w14:paraId="74B0EDD8" w14:textId="77777777" w:rsidR="00560D26" w:rsidRDefault="00560D26">
      <w:r>
        <w:continuationSeparator/>
      </w:r>
    </w:p>
  </w:footnote>
  <w:footnote w:id="1">
    <w:p w14:paraId="6208A4D9" w14:textId="31CA5F9E" w:rsidR="0061517D" w:rsidRPr="00240968" w:rsidRDefault="0061517D" w:rsidP="0061517D">
      <w:pPr>
        <w:pStyle w:val="FootnoteText"/>
        <w:rPr>
          <w:rFonts w:ascii="Arial" w:hAnsi="Arial" w:cs="Arial"/>
          <w:sz w:val="16"/>
          <w:szCs w:val="16"/>
        </w:rPr>
      </w:pPr>
      <w:r w:rsidRPr="00240968">
        <w:rPr>
          <w:rStyle w:val="FootnoteReference"/>
          <w:rFonts w:ascii="Arial" w:hAnsi="Arial" w:cs="Arial"/>
          <w:sz w:val="16"/>
          <w:szCs w:val="16"/>
        </w:rPr>
        <w:footnoteRef/>
      </w:r>
      <w:r w:rsidRPr="00240968">
        <w:rPr>
          <w:rFonts w:ascii="Arial" w:hAnsi="Arial" w:cs="Arial"/>
          <w:sz w:val="16"/>
          <w:szCs w:val="16"/>
        </w:rPr>
        <w:t xml:space="preserve"> Australian Bureau of Statistics, Catalogue 6401.0, Consumer Price Index, June Quarter </w:t>
      </w:r>
      <w:r w:rsidR="001F6C80">
        <w:rPr>
          <w:rFonts w:ascii="Arial" w:hAnsi="Arial" w:cs="Arial"/>
          <w:sz w:val="16"/>
          <w:szCs w:val="16"/>
        </w:rPr>
        <w:t>201</w:t>
      </w:r>
      <w:r w:rsidR="00860E45">
        <w:rPr>
          <w:rFonts w:ascii="Arial" w:hAnsi="Arial" w:cs="Arial"/>
          <w:sz w:val="16"/>
          <w:szCs w:val="16"/>
        </w:rPr>
        <w:t>7</w:t>
      </w:r>
    </w:p>
  </w:footnote>
  <w:footnote w:id="2">
    <w:p w14:paraId="489BD029" w14:textId="6FCE195B" w:rsidR="00EE39B9" w:rsidRPr="000A1051" w:rsidRDefault="00860E45" w:rsidP="00EE39B9">
      <w:pPr>
        <w:pStyle w:val="FootnoteText"/>
        <w:rPr>
          <w:rFonts w:ascii="Arial" w:hAnsi="Arial" w:cs="Arial"/>
          <w:sz w:val="16"/>
          <w:szCs w:val="16"/>
        </w:rPr>
      </w:pPr>
      <w:r>
        <w:rPr>
          <w:rStyle w:val="FootnoteReference"/>
        </w:rPr>
        <w:footnoteRef/>
      </w:r>
      <w:r>
        <w:t xml:space="preserve"> </w:t>
      </w:r>
      <w:r w:rsidR="00EE39B9" w:rsidRPr="000A1051">
        <w:rPr>
          <w:rFonts w:ascii="Arial" w:hAnsi="Arial" w:cs="Arial"/>
          <w:sz w:val="16"/>
          <w:szCs w:val="16"/>
        </w:rPr>
        <w:t xml:space="preserve">Further information about the ASMG and the HCIS scheme </w:t>
      </w:r>
      <w:r w:rsidRPr="000A1051">
        <w:rPr>
          <w:rFonts w:ascii="Arial" w:hAnsi="Arial" w:cs="Arial"/>
          <w:sz w:val="16"/>
          <w:szCs w:val="16"/>
        </w:rPr>
        <w:t>can be foun</w:t>
      </w:r>
      <w:r w:rsidR="00A661F6" w:rsidRPr="000A1051">
        <w:rPr>
          <w:rFonts w:ascii="Arial" w:hAnsi="Arial" w:cs="Arial"/>
          <w:sz w:val="16"/>
          <w:szCs w:val="16"/>
        </w:rPr>
        <w:t xml:space="preserve">d at </w:t>
      </w:r>
      <w:r w:rsidR="00D57600" w:rsidRPr="000A1051">
        <w:rPr>
          <w:rFonts w:ascii="Arial" w:hAnsi="Arial" w:cs="Arial"/>
          <w:sz w:val="16"/>
          <w:szCs w:val="16"/>
        </w:rPr>
        <w:t>https://acma.gov.au/-/media/Spectrum-Engineering/Information/Word-Document/The-Australian-spectrum-map-grid-2012.DOCX?la=en</w:t>
      </w:r>
    </w:p>
    <w:p w14:paraId="6DA65F7D" w14:textId="4ABDD217" w:rsidR="00860E45" w:rsidRDefault="00860E45" w:rsidP="00860E4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63D2" w14:textId="77777777" w:rsidR="00560D26" w:rsidRDefault="00DD39E4">
    <w:pPr>
      <w:pStyle w:val="Header"/>
    </w:pPr>
    <w:r>
      <w:rPr>
        <w:noProof/>
        <w:lang w:eastAsia="en-AU" w:bidi="ar-SA"/>
      </w:rPr>
      <w:pict w14:anchorId="120EE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199" type="#_x0000_t75" style="position:absolute;margin-left:0;margin-top:0;width:431.85pt;height:482pt;z-index:-25165875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341D" w14:textId="77777777" w:rsidR="00560D26" w:rsidRDefault="00560D26" w:rsidP="008A0882">
    <w:pPr>
      <w:pStyle w:val="Header"/>
      <w:tabs>
        <w:tab w:val="left" w:pos="7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415656"/>
    <w:multiLevelType w:val="hybridMultilevel"/>
    <w:tmpl w:val="4F724142"/>
    <w:lvl w:ilvl="0" w:tplc="D67CDDC8">
      <w:start w:val="1"/>
      <w:numFmt w:val="decimal"/>
      <w:lvlText w:val="%1."/>
      <w:lvlJc w:val="left"/>
      <w:pPr>
        <w:ind w:left="360" w:hanging="360"/>
      </w:pPr>
      <w:rPr>
        <w:rFonts w:ascii="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E3986"/>
    <w:multiLevelType w:val="hybridMultilevel"/>
    <w:tmpl w:val="03D8CC6A"/>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905DF"/>
    <w:multiLevelType w:val="hybridMultilevel"/>
    <w:tmpl w:val="67245B28"/>
    <w:lvl w:ilvl="0" w:tplc="290619C0">
      <w:start w:val="50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3F2134"/>
    <w:multiLevelType w:val="hybridMultilevel"/>
    <w:tmpl w:val="32CC0E72"/>
    <w:lvl w:ilvl="0" w:tplc="290619C0">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DD1552F"/>
    <w:multiLevelType w:val="hybridMultilevel"/>
    <w:tmpl w:val="BE66CA56"/>
    <w:lvl w:ilvl="0" w:tplc="55C016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1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DCF5F66"/>
    <w:multiLevelType w:val="hybridMultilevel"/>
    <w:tmpl w:val="308A6A02"/>
    <w:lvl w:ilvl="0" w:tplc="44583D5C">
      <w:start w:val="1"/>
      <w:numFmt w:val="decimal"/>
      <w:lvlText w:val="%1."/>
      <w:lvlJc w:val="left"/>
      <w:pPr>
        <w:tabs>
          <w:tab w:val="num" w:pos="717"/>
        </w:tabs>
        <w:ind w:left="717" w:hanging="360"/>
      </w:pPr>
      <w:rPr>
        <w:rFonts w:ascii="Arial" w:hAnsi="Arial" w:cs="Arial" w:hint="default"/>
      </w:rPr>
    </w:lvl>
    <w:lvl w:ilvl="1" w:tplc="0C09000B">
      <w:start w:val="1"/>
      <w:numFmt w:val="bullet"/>
      <w:lvlText w:val=""/>
      <w:lvlJc w:val="left"/>
      <w:pPr>
        <w:tabs>
          <w:tab w:val="num" w:pos="1437"/>
        </w:tabs>
        <w:ind w:left="1437" w:hanging="360"/>
      </w:pPr>
      <w:rPr>
        <w:rFonts w:ascii="Wingdings" w:hAnsi="Wingdings" w:hint="default"/>
      </w:rPr>
    </w:lvl>
    <w:lvl w:ilvl="2" w:tplc="C9F4220A">
      <w:numFmt w:val="bullet"/>
      <w:lvlText w:val="-"/>
      <w:lvlJc w:val="left"/>
      <w:pPr>
        <w:ind w:left="2337" w:hanging="360"/>
      </w:pPr>
      <w:rPr>
        <w:rFonts w:ascii="Arial" w:eastAsia="Times New Roman" w:hAnsi="Arial" w:cs="Arial" w:hint="default"/>
        <w:i/>
      </w:rPr>
    </w:lvl>
    <w:lvl w:ilvl="3" w:tplc="0C09000F">
      <w:start w:val="1"/>
      <w:numFmt w:val="decimal"/>
      <w:lvlText w:val="%4."/>
      <w:lvlJc w:val="left"/>
      <w:pPr>
        <w:tabs>
          <w:tab w:val="num" w:pos="2877"/>
        </w:tabs>
        <w:ind w:left="2877" w:hanging="360"/>
      </w:pPr>
    </w:lvl>
    <w:lvl w:ilvl="4" w:tplc="0C090019">
      <w:start w:val="1"/>
      <w:numFmt w:val="lowerLetter"/>
      <w:lvlText w:val="%5."/>
      <w:lvlJc w:val="left"/>
      <w:pPr>
        <w:tabs>
          <w:tab w:val="num" w:pos="3597"/>
        </w:tabs>
        <w:ind w:left="3597" w:hanging="360"/>
      </w:pPr>
    </w:lvl>
    <w:lvl w:ilvl="5" w:tplc="0C09001B">
      <w:start w:val="1"/>
      <w:numFmt w:val="lowerRoman"/>
      <w:lvlText w:val="%6."/>
      <w:lvlJc w:val="right"/>
      <w:pPr>
        <w:tabs>
          <w:tab w:val="num" w:pos="4317"/>
        </w:tabs>
        <w:ind w:left="4317" w:hanging="180"/>
      </w:pPr>
    </w:lvl>
    <w:lvl w:ilvl="6" w:tplc="0C09000F">
      <w:start w:val="1"/>
      <w:numFmt w:val="decimal"/>
      <w:lvlText w:val="%7."/>
      <w:lvlJc w:val="left"/>
      <w:pPr>
        <w:tabs>
          <w:tab w:val="num" w:pos="5037"/>
        </w:tabs>
        <w:ind w:left="5037" w:hanging="360"/>
      </w:pPr>
    </w:lvl>
    <w:lvl w:ilvl="7" w:tplc="0C090019">
      <w:start w:val="1"/>
      <w:numFmt w:val="lowerLetter"/>
      <w:lvlText w:val="%8."/>
      <w:lvlJc w:val="left"/>
      <w:pPr>
        <w:tabs>
          <w:tab w:val="num" w:pos="5757"/>
        </w:tabs>
        <w:ind w:left="5757" w:hanging="360"/>
      </w:pPr>
    </w:lvl>
    <w:lvl w:ilvl="8" w:tplc="0C09001B">
      <w:start w:val="1"/>
      <w:numFmt w:val="lowerRoman"/>
      <w:lvlText w:val="%9."/>
      <w:lvlJc w:val="right"/>
      <w:pPr>
        <w:tabs>
          <w:tab w:val="num" w:pos="6477"/>
        </w:tabs>
        <w:ind w:left="6477" w:hanging="180"/>
      </w:pPr>
    </w:lvl>
  </w:abstractNum>
  <w:abstractNum w:abstractNumId="16">
    <w:nsid w:val="4E0A0FBC"/>
    <w:multiLevelType w:val="multilevel"/>
    <w:tmpl w:val="28EEB31C"/>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5"/>
      <w:numFmt w:val="none"/>
      <w:lvlText w:val="(a)"/>
      <w:lvlJc w:val="left"/>
      <w:pPr>
        <w:tabs>
          <w:tab w:val="num" w:pos="1980"/>
        </w:tabs>
        <w:ind w:left="1980" w:hanging="360"/>
      </w:pPr>
      <w:rPr>
        <w:rFonts w:ascii="Times New (W1)" w:hAnsi="Times New (W1)" w:hint="default"/>
        <w:b w:val="0"/>
        <w:i w:val="0"/>
        <w:szCs w:val="24"/>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1F02E5C"/>
    <w:multiLevelType w:val="hybridMultilevel"/>
    <w:tmpl w:val="6246804A"/>
    <w:lvl w:ilvl="0" w:tplc="7B9A2048">
      <w:start w:val="1"/>
      <w:numFmt w:val="bullet"/>
      <w:lvlText w:val=""/>
      <w:lvlJc w:val="left"/>
      <w:pPr>
        <w:tabs>
          <w:tab w:val="num" w:pos="177"/>
        </w:tabs>
        <w:ind w:left="540" w:hanging="360"/>
      </w:pPr>
      <w:rPr>
        <w:rFonts w:ascii="Symbol" w:hAnsi="Symbo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51F43DDF"/>
    <w:multiLevelType w:val="hybridMultilevel"/>
    <w:tmpl w:val="A9E669B6"/>
    <w:lvl w:ilvl="0" w:tplc="7B9A2048">
      <w:start w:val="1"/>
      <w:numFmt w:val="bullet"/>
      <w:lvlText w:val=""/>
      <w:lvlJc w:val="left"/>
      <w:pPr>
        <w:tabs>
          <w:tab w:val="num" w:pos="177"/>
        </w:tabs>
        <w:ind w:left="540" w:hanging="360"/>
      </w:pPr>
      <w:rPr>
        <w:rFonts w:ascii="Symbol" w:hAnsi="Symbo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21">
    <w:nsid w:val="5DD27D42"/>
    <w:multiLevelType w:val="hybridMultilevel"/>
    <w:tmpl w:val="4824E59C"/>
    <w:lvl w:ilvl="0" w:tplc="791CA622">
      <w:start w:val="1"/>
      <w:numFmt w:val="bullet"/>
      <w:lvlText w:val="o"/>
      <w:lvlJc w:val="left"/>
      <w:pPr>
        <w:tabs>
          <w:tab w:val="num" w:pos="644"/>
        </w:tabs>
        <w:ind w:left="644" w:hanging="360"/>
      </w:pPr>
      <w:rPr>
        <w:rFonts w:ascii="Courier New" w:hAnsi="Courier New"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2">
    <w:nsid w:val="61C45538"/>
    <w:multiLevelType w:val="hybridMultilevel"/>
    <w:tmpl w:val="4494452A"/>
    <w:lvl w:ilvl="0" w:tplc="D9E0DDEC">
      <w:start w:val="1"/>
      <w:numFmt w:val="lowerLetter"/>
      <w:lvlText w:val="%1."/>
      <w:lvlJc w:val="left"/>
      <w:pPr>
        <w:tabs>
          <w:tab w:val="num" w:pos="720"/>
        </w:tabs>
        <w:ind w:left="720" w:hanging="360"/>
      </w:pPr>
      <w:rPr>
        <w:rFonts w:ascii="Arial" w:hAnsi="Arial" w:cs="Arial" w:hint="default"/>
        <w:b/>
      </w:r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D3B526B"/>
    <w:multiLevelType w:val="hybridMultilevel"/>
    <w:tmpl w:val="251AA0A6"/>
    <w:lvl w:ilvl="0" w:tplc="7F9CF1C8">
      <w:start w:val="1"/>
      <w:numFmt w:val="decimal"/>
      <w:lvlText w:val="%1."/>
      <w:lvlJc w:val="left"/>
      <w:pPr>
        <w:tabs>
          <w:tab w:val="num" w:pos="540"/>
        </w:tabs>
        <w:ind w:left="540" w:hanging="360"/>
      </w:pPr>
      <w:rPr>
        <w:rFonts w:ascii="Arial" w:hAnsi="Arial" w:cs="Aria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5">
    <w:nsid w:val="71CB48D1"/>
    <w:multiLevelType w:val="hybridMultilevel"/>
    <w:tmpl w:val="70BC52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lvlOverride w:ilvl="0">
      <w:startOverride w:val="1"/>
    </w:lvlOverride>
  </w:num>
  <w:num w:numId="4">
    <w:abstractNumId w:val="2"/>
  </w:num>
  <w:num w:numId="5">
    <w:abstractNumId w:val="2"/>
  </w:num>
  <w:num w:numId="6">
    <w:abstractNumId w:val="2"/>
  </w:num>
  <w:num w:numId="7">
    <w:abstractNumId w:val="12"/>
  </w:num>
  <w:num w:numId="8">
    <w:abstractNumId w:val="7"/>
  </w:num>
  <w:num w:numId="9">
    <w:abstractNumId w:val="4"/>
  </w:num>
  <w:num w:numId="10">
    <w:abstractNumId w:val="22"/>
  </w:num>
  <w:num w:numId="11">
    <w:abstractNumId w:val="23"/>
  </w:num>
  <w:num w:numId="12">
    <w:abstractNumId w:val="3"/>
  </w:num>
  <w:num w:numId="13">
    <w:abstractNumId w:val="18"/>
  </w:num>
  <w:num w:numId="14">
    <w:abstractNumId w:val="17"/>
  </w:num>
  <w:num w:numId="15">
    <w:abstractNumId w:val="19"/>
  </w:num>
  <w:num w:numId="16">
    <w:abstractNumId w:val="6"/>
  </w:num>
  <w:num w:numId="17">
    <w:abstractNumId w:val="24"/>
  </w:num>
  <w:num w:numId="18">
    <w:abstractNumId w:val="10"/>
  </w:num>
  <w:num w:numId="19">
    <w:abstractNumId w:val="20"/>
  </w:num>
  <w:num w:numId="20">
    <w:abstractNumId w:val="21"/>
  </w:num>
  <w:num w:numId="21">
    <w:abstractNumId w:val="9"/>
  </w:num>
  <w:num w:numId="22">
    <w:abstractNumId w:val="9"/>
  </w:num>
  <w:num w:numId="23">
    <w:abstractNumId w:val="9"/>
  </w:num>
  <w:num w:numId="24">
    <w:abstractNumId w:val="25"/>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0"/>
  </w:num>
  <w:num w:numId="42">
    <w:abstractNumId w:val="8"/>
  </w:num>
  <w:num w:numId="43">
    <w:abstractNumId w:val="14"/>
  </w:num>
  <w:num w:numId="44">
    <w:abstractNumId w:val="19"/>
  </w:num>
  <w:num w:numId="45">
    <w:abstractNumId w:val="19"/>
  </w:num>
  <w:num w:numId="46">
    <w:abstractNumId w:val="19"/>
  </w:num>
  <w:num w:numId="47">
    <w:abstractNumId w:val="19"/>
  </w:num>
  <w:num w:numId="48">
    <w:abstractNumId w:val="16"/>
  </w:num>
  <w:num w:numId="49">
    <w:abstractNumId w:val="13"/>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20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2B"/>
    <w:rsid w:val="000044EB"/>
    <w:rsid w:val="000058EC"/>
    <w:rsid w:val="000068D3"/>
    <w:rsid w:val="000120BB"/>
    <w:rsid w:val="000201C4"/>
    <w:rsid w:val="000304E5"/>
    <w:rsid w:val="00030F70"/>
    <w:rsid w:val="000317D0"/>
    <w:rsid w:val="00034EAB"/>
    <w:rsid w:val="0004699B"/>
    <w:rsid w:val="00053536"/>
    <w:rsid w:val="00054094"/>
    <w:rsid w:val="00055867"/>
    <w:rsid w:val="000566A9"/>
    <w:rsid w:val="00056FCC"/>
    <w:rsid w:val="00061825"/>
    <w:rsid w:val="00062F86"/>
    <w:rsid w:val="000718BC"/>
    <w:rsid w:val="00073FFB"/>
    <w:rsid w:val="00075E72"/>
    <w:rsid w:val="000770E9"/>
    <w:rsid w:val="0008434F"/>
    <w:rsid w:val="00086FE0"/>
    <w:rsid w:val="00087CCE"/>
    <w:rsid w:val="0009466A"/>
    <w:rsid w:val="0009663F"/>
    <w:rsid w:val="000A1051"/>
    <w:rsid w:val="000A27B6"/>
    <w:rsid w:val="000B011A"/>
    <w:rsid w:val="000B3F02"/>
    <w:rsid w:val="000B7DBE"/>
    <w:rsid w:val="000C0128"/>
    <w:rsid w:val="000C1989"/>
    <w:rsid w:val="000C2CB2"/>
    <w:rsid w:val="000C3F7E"/>
    <w:rsid w:val="000E3AD3"/>
    <w:rsid w:val="000E3AE1"/>
    <w:rsid w:val="000E3BC4"/>
    <w:rsid w:val="000F0E1E"/>
    <w:rsid w:val="000F1573"/>
    <w:rsid w:val="000F2081"/>
    <w:rsid w:val="000F42F1"/>
    <w:rsid w:val="000F575A"/>
    <w:rsid w:val="0010149B"/>
    <w:rsid w:val="00102A94"/>
    <w:rsid w:val="00105847"/>
    <w:rsid w:val="00114026"/>
    <w:rsid w:val="00114926"/>
    <w:rsid w:val="00114EAB"/>
    <w:rsid w:val="0012135E"/>
    <w:rsid w:val="00136A8B"/>
    <w:rsid w:val="00141D1B"/>
    <w:rsid w:val="00144C8B"/>
    <w:rsid w:val="00147870"/>
    <w:rsid w:val="00147D64"/>
    <w:rsid w:val="00151062"/>
    <w:rsid w:val="00152414"/>
    <w:rsid w:val="0017028D"/>
    <w:rsid w:val="001708B3"/>
    <w:rsid w:val="00171C26"/>
    <w:rsid w:val="001743AC"/>
    <w:rsid w:val="00174B77"/>
    <w:rsid w:val="00174D6B"/>
    <w:rsid w:val="00177DB7"/>
    <w:rsid w:val="0018616D"/>
    <w:rsid w:val="00186375"/>
    <w:rsid w:val="00194E86"/>
    <w:rsid w:val="001A099E"/>
    <w:rsid w:val="001A1963"/>
    <w:rsid w:val="001A63A9"/>
    <w:rsid w:val="001A6A2D"/>
    <w:rsid w:val="001A70BF"/>
    <w:rsid w:val="001B530E"/>
    <w:rsid w:val="001B6B1D"/>
    <w:rsid w:val="001B77C1"/>
    <w:rsid w:val="001C01F2"/>
    <w:rsid w:val="001C2A3A"/>
    <w:rsid w:val="001C5671"/>
    <w:rsid w:val="001D2F2B"/>
    <w:rsid w:val="001D59FE"/>
    <w:rsid w:val="001D5B7F"/>
    <w:rsid w:val="001D6810"/>
    <w:rsid w:val="001E55CF"/>
    <w:rsid w:val="001F0ED7"/>
    <w:rsid w:val="001F10E3"/>
    <w:rsid w:val="001F11C5"/>
    <w:rsid w:val="001F2542"/>
    <w:rsid w:val="001F2C5C"/>
    <w:rsid w:val="001F6C80"/>
    <w:rsid w:val="002017C9"/>
    <w:rsid w:val="002017FD"/>
    <w:rsid w:val="00202956"/>
    <w:rsid w:val="002029C4"/>
    <w:rsid w:val="002030CA"/>
    <w:rsid w:val="002032CA"/>
    <w:rsid w:val="00205965"/>
    <w:rsid w:val="002164BE"/>
    <w:rsid w:val="002177C1"/>
    <w:rsid w:val="002223DE"/>
    <w:rsid w:val="00230F8E"/>
    <w:rsid w:val="00232F58"/>
    <w:rsid w:val="00237A5A"/>
    <w:rsid w:val="002453C2"/>
    <w:rsid w:val="002476EE"/>
    <w:rsid w:val="0025082B"/>
    <w:rsid w:val="00255D57"/>
    <w:rsid w:val="00264E3F"/>
    <w:rsid w:val="00264F37"/>
    <w:rsid w:val="00264F85"/>
    <w:rsid w:val="00267F89"/>
    <w:rsid w:val="00276372"/>
    <w:rsid w:val="0028076F"/>
    <w:rsid w:val="00281DE3"/>
    <w:rsid w:val="0028397A"/>
    <w:rsid w:val="00285445"/>
    <w:rsid w:val="002912E2"/>
    <w:rsid w:val="002A0817"/>
    <w:rsid w:val="002A0EA6"/>
    <w:rsid w:val="002A226E"/>
    <w:rsid w:val="002A7C02"/>
    <w:rsid w:val="002B7F5F"/>
    <w:rsid w:val="002C1152"/>
    <w:rsid w:val="002C351E"/>
    <w:rsid w:val="002C47D7"/>
    <w:rsid w:val="002D1862"/>
    <w:rsid w:val="002D1A5D"/>
    <w:rsid w:val="002D36A4"/>
    <w:rsid w:val="002D74FC"/>
    <w:rsid w:val="002E28F2"/>
    <w:rsid w:val="002E3EF1"/>
    <w:rsid w:val="002E43B2"/>
    <w:rsid w:val="002F0DBF"/>
    <w:rsid w:val="002F3DF0"/>
    <w:rsid w:val="002F5489"/>
    <w:rsid w:val="00304672"/>
    <w:rsid w:val="00304E43"/>
    <w:rsid w:val="00306402"/>
    <w:rsid w:val="0031114A"/>
    <w:rsid w:val="00313C79"/>
    <w:rsid w:val="0031583E"/>
    <w:rsid w:val="00317D50"/>
    <w:rsid w:val="003204F7"/>
    <w:rsid w:val="00326C79"/>
    <w:rsid w:val="00333057"/>
    <w:rsid w:val="003415C1"/>
    <w:rsid w:val="003464FF"/>
    <w:rsid w:val="00351C42"/>
    <w:rsid w:val="003544CC"/>
    <w:rsid w:val="00363D79"/>
    <w:rsid w:val="00365DE9"/>
    <w:rsid w:val="003673B6"/>
    <w:rsid w:val="00367420"/>
    <w:rsid w:val="003709F7"/>
    <w:rsid w:val="00375C2C"/>
    <w:rsid w:val="003761E3"/>
    <w:rsid w:val="00377546"/>
    <w:rsid w:val="003807FA"/>
    <w:rsid w:val="00382385"/>
    <w:rsid w:val="00383B2D"/>
    <w:rsid w:val="003867BD"/>
    <w:rsid w:val="003879C0"/>
    <w:rsid w:val="00390021"/>
    <w:rsid w:val="003910C5"/>
    <w:rsid w:val="003918D9"/>
    <w:rsid w:val="00392B0D"/>
    <w:rsid w:val="003A1530"/>
    <w:rsid w:val="003A4B7C"/>
    <w:rsid w:val="003B56C1"/>
    <w:rsid w:val="003C0079"/>
    <w:rsid w:val="003C0F58"/>
    <w:rsid w:val="003D56D1"/>
    <w:rsid w:val="003D5FB5"/>
    <w:rsid w:val="003E2851"/>
    <w:rsid w:val="003E2C81"/>
    <w:rsid w:val="003E36FE"/>
    <w:rsid w:val="003E4AEE"/>
    <w:rsid w:val="003F14F4"/>
    <w:rsid w:val="00402A68"/>
    <w:rsid w:val="00404C9E"/>
    <w:rsid w:val="004069F6"/>
    <w:rsid w:val="004106A3"/>
    <w:rsid w:val="004151B3"/>
    <w:rsid w:val="004316FE"/>
    <w:rsid w:val="004349C5"/>
    <w:rsid w:val="004434DF"/>
    <w:rsid w:val="00443BE3"/>
    <w:rsid w:val="00445BB2"/>
    <w:rsid w:val="004502A4"/>
    <w:rsid w:val="00456F71"/>
    <w:rsid w:val="00460058"/>
    <w:rsid w:val="00461A7D"/>
    <w:rsid w:val="00466E73"/>
    <w:rsid w:val="00470367"/>
    <w:rsid w:val="004730CC"/>
    <w:rsid w:val="00475478"/>
    <w:rsid w:val="00476CF6"/>
    <w:rsid w:val="00485A08"/>
    <w:rsid w:val="00487ABB"/>
    <w:rsid w:val="004927F4"/>
    <w:rsid w:val="004B289C"/>
    <w:rsid w:val="004B56EF"/>
    <w:rsid w:val="004B5D92"/>
    <w:rsid w:val="004B6682"/>
    <w:rsid w:val="004C51BC"/>
    <w:rsid w:val="004C60E0"/>
    <w:rsid w:val="004D5AD0"/>
    <w:rsid w:val="004D5E83"/>
    <w:rsid w:val="004D64B7"/>
    <w:rsid w:val="004D683A"/>
    <w:rsid w:val="004E06BC"/>
    <w:rsid w:val="004E7A86"/>
    <w:rsid w:val="004F053D"/>
    <w:rsid w:val="004F12D3"/>
    <w:rsid w:val="004F61AF"/>
    <w:rsid w:val="004F6A3D"/>
    <w:rsid w:val="00502741"/>
    <w:rsid w:val="00515E77"/>
    <w:rsid w:val="00520589"/>
    <w:rsid w:val="005252D5"/>
    <w:rsid w:val="00527681"/>
    <w:rsid w:val="0053030C"/>
    <w:rsid w:val="00533F75"/>
    <w:rsid w:val="00535E5B"/>
    <w:rsid w:val="00543B21"/>
    <w:rsid w:val="00544B0B"/>
    <w:rsid w:val="00547AD5"/>
    <w:rsid w:val="0055220B"/>
    <w:rsid w:val="005529DD"/>
    <w:rsid w:val="00557869"/>
    <w:rsid w:val="00560D26"/>
    <w:rsid w:val="00562C02"/>
    <w:rsid w:val="005645D1"/>
    <w:rsid w:val="005708D2"/>
    <w:rsid w:val="00571D21"/>
    <w:rsid w:val="00577F00"/>
    <w:rsid w:val="00592B40"/>
    <w:rsid w:val="00596EE1"/>
    <w:rsid w:val="005A0C09"/>
    <w:rsid w:val="005A1010"/>
    <w:rsid w:val="005A4B1F"/>
    <w:rsid w:val="005A5266"/>
    <w:rsid w:val="005A6AEA"/>
    <w:rsid w:val="005B4AB2"/>
    <w:rsid w:val="005B787B"/>
    <w:rsid w:val="005C32BB"/>
    <w:rsid w:val="005C4239"/>
    <w:rsid w:val="005C4C0D"/>
    <w:rsid w:val="005C6D07"/>
    <w:rsid w:val="005C6E09"/>
    <w:rsid w:val="005C7BCB"/>
    <w:rsid w:val="005D4AE7"/>
    <w:rsid w:val="005E3FEC"/>
    <w:rsid w:val="005F0E30"/>
    <w:rsid w:val="005F3A8E"/>
    <w:rsid w:val="005F4163"/>
    <w:rsid w:val="005F6357"/>
    <w:rsid w:val="00604091"/>
    <w:rsid w:val="006052D6"/>
    <w:rsid w:val="00611405"/>
    <w:rsid w:val="0061517D"/>
    <w:rsid w:val="0061664C"/>
    <w:rsid w:val="006177AF"/>
    <w:rsid w:val="00620BC4"/>
    <w:rsid w:val="00621A6D"/>
    <w:rsid w:val="006262A8"/>
    <w:rsid w:val="00631C08"/>
    <w:rsid w:val="0063399E"/>
    <w:rsid w:val="0063556E"/>
    <w:rsid w:val="00635A5F"/>
    <w:rsid w:val="00637E01"/>
    <w:rsid w:val="00641D8C"/>
    <w:rsid w:val="00647006"/>
    <w:rsid w:val="00650735"/>
    <w:rsid w:val="006521AA"/>
    <w:rsid w:val="006557E6"/>
    <w:rsid w:val="0066423C"/>
    <w:rsid w:val="006654EF"/>
    <w:rsid w:val="0068252D"/>
    <w:rsid w:val="0068475A"/>
    <w:rsid w:val="006872B0"/>
    <w:rsid w:val="00690982"/>
    <w:rsid w:val="00692DD3"/>
    <w:rsid w:val="00695235"/>
    <w:rsid w:val="00697F58"/>
    <w:rsid w:val="006A273B"/>
    <w:rsid w:val="006A4E87"/>
    <w:rsid w:val="006A58DD"/>
    <w:rsid w:val="006A725F"/>
    <w:rsid w:val="006B31FA"/>
    <w:rsid w:val="006B531D"/>
    <w:rsid w:val="006C2778"/>
    <w:rsid w:val="006C28A9"/>
    <w:rsid w:val="006C294F"/>
    <w:rsid w:val="006C5323"/>
    <w:rsid w:val="006C657E"/>
    <w:rsid w:val="006C77B5"/>
    <w:rsid w:val="006D0602"/>
    <w:rsid w:val="006D5420"/>
    <w:rsid w:val="006D5C9C"/>
    <w:rsid w:val="006E09C2"/>
    <w:rsid w:val="006E6AE8"/>
    <w:rsid w:val="006F17E9"/>
    <w:rsid w:val="006F34F1"/>
    <w:rsid w:val="006F59D7"/>
    <w:rsid w:val="006F6966"/>
    <w:rsid w:val="006F6F5B"/>
    <w:rsid w:val="00703B01"/>
    <w:rsid w:val="00705314"/>
    <w:rsid w:val="0071396B"/>
    <w:rsid w:val="007226E9"/>
    <w:rsid w:val="007259CD"/>
    <w:rsid w:val="00732652"/>
    <w:rsid w:val="00732A17"/>
    <w:rsid w:val="00732CBF"/>
    <w:rsid w:val="00734CEE"/>
    <w:rsid w:val="007408E4"/>
    <w:rsid w:val="0074112E"/>
    <w:rsid w:val="00742778"/>
    <w:rsid w:val="00750856"/>
    <w:rsid w:val="00752D6F"/>
    <w:rsid w:val="00752F6D"/>
    <w:rsid w:val="00753E66"/>
    <w:rsid w:val="00756B73"/>
    <w:rsid w:val="0076218C"/>
    <w:rsid w:val="00767722"/>
    <w:rsid w:val="0077028A"/>
    <w:rsid w:val="00786386"/>
    <w:rsid w:val="007A0D80"/>
    <w:rsid w:val="007B0D1D"/>
    <w:rsid w:val="007B2A25"/>
    <w:rsid w:val="007B5580"/>
    <w:rsid w:val="007C3C0E"/>
    <w:rsid w:val="007C58CA"/>
    <w:rsid w:val="007C5BD9"/>
    <w:rsid w:val="007D0DB5"/>
    <w:rsid w:val="007E070F"/>
    <w:rsid w:val="007F0D4D"/>
    <w:rsid w:val="007F0F1E"/>
    <w:rsid w:val="007F2CA4"/>
    <w:rsid w:val="007F56E8"/>
    <w:rsid w:val="00803A10"/>
    <w:rsid w:val="00821105"/>
    <w:rsid w:val="00821892"/>
    <w:rsid w:val="00821DCA"/>
    <w:rsid w:val="00825672"/>
    <w:rsid w:val="00826554"/>
    <w:rsid w:val="00826947"/>
    <w:rsid w:val="00834DB5"/>
    <w:rsid w:val="008362DE"/>
    <w:rsid w:val="008366C3"/>
    <w:rsid w:val="00842BE2"/>
    <w:rsid w:val="0084385C"/>
    <w:rsid w:val="00844468"/>
    <w:rsid w:val="00852F1D"/>
    <w:rsid w:val="0085459C"/>
    <w:rsid w:val="0085469D"/>
    <w:rsid w:val="00860E45"/>
    <w:rsid w:val="00866ECC"/>
    <w:rsid w:val="0087410A"/>
    <w:rsid w:val="0088239E"/>
    <w:rsid w:val="00883B39"/>
    <w:rsid w:val="0088460E"/>
    <w:rsid w:val="00886F42"/>
    <w:rsid w:val="008A0882"/>
    <w:rsid w:val="008A4353"/>
    <w:rsid w:val="008A4471"/>
    <w:rsid w:val="008A45F1"/>
    <w:rsid w:val="008A68DC"/>
    <w:rsid w:val="008B094B"/>
    <w:rsid w:val="008B3984"/>
    <w:rsid w:val="008B4825"/>
    <w:rsid w:val="008C7D8D"/>
    <w:rsid w:val="008D3B84"/>
    <w:rsid w:val="008D66AD"/>
    <w:rsid w:val="008E7375"/>
    <w:rsid w:val="008E7396"/>
    <w:rsid w:val="008F234A"/>
    <w:rsid w:val="008F71A8"/>
    <w:rsid w:val="009040D0"/>
    <w:rsid w:val="00915BFE"/>
    <w:rsid w:val="00915CEC"/>
    <w:rsid w:val="00916D9D"/>
    <w:rsid w:val="00922A37"/>
    <w:rsid w:val="009338F9"/>
    <w:rsid w:val="009359AB"/>
    <w:rsid w:val="009436EC"/>
    <w:rsid w:val="00945744"/>
    <w:rsid w:val="00947D61"/>
    <w:rsid w:val="00950DEB"/>
    <w:rsid w:val="00952814"/>
    <w:rsid w:val="009745AF"/>
    <w:rsid w:val="00981532"/>
    <w:rsid w:val="009C2535"/>
    <w:rsid w:val="009C33F8"/>
    <w:rsid w:val="009C473A"/>
    <w:rsid w:val="009C5367"/>
    <w:rsid w:val="009D5303"/>
    <w:rsid w:val="009F35EA"/>
    <w:rsid w:val="009F5847"/>
    <w:rsid w:val="00A03570"/>
    <w:rsid w:val="00A0692B"/>
    <w:rsid w:val="00A06D43"/>
    <w:rsid w:val="00A10FC4"/>
    <w:rsid w:val="00A15CC4"/>
    <w:rsid w:val="00A20488"/>
    <w:rsid w:val="00A2132C"/>
    <w:rsid w:val="00A2153B"/>
    <w:rsid w:val="00A22359"/>
    <w:rsid w:val="00A23CEE"/>
    <w:rsid w:val="00A25259"/>
    <w:rsid w:val="00A25C0F"/>
    <w:rsid w:val="00A37078"/>
    <w:rsid w:val="00A406B6"/>
    <w:rsid w:val="00A42805"/>
    <w:rsid w:val="00A42A7D"/>
    <w:rsid w:val="00A472B9"/>
    <w:rsid w:val="00A50CA9"/>
    <w:rsid w:val="00A54628"/>
    <w:rsid w:val="00A552FE"/>
    <w:rsid w:val="00A61A5B"/>
    <w:rsid w:val="00A61E82"/>
    <w:rsid w:val="00A621A2"/>
    <w:rsid w:val="00A6430F"/>
    <w:rsid w:val="00A646D6"/>
    <w:rsid w:val="00A661F6"/>
    <w:rsid w:val="00A75499"/>
    <w:rsid w:val="00A76DDC"/>
    <w:rsid w:val="00A8274F"/>
    <w:rsid w:val="00A85A06"/>
    <w:rsid w:val="00A9062F"/>
    <w:rsid w:val="00A92064"/>
    <w:rsid w:val="00AA16A0"/>
    <w:rsid w:val="00AA6BA3"/>
    <w:rsid w:val="00AB4994"/>
    <w:rsid w:val="00AC394E"/>
    <w:rsid w:val="00AC3F6E"/>
    <w:rsid w:val="00AC4B1E"/>
    <w:rsid w:val="00AC51CE"/>
    <w:rsid w:val="00AC63C9"/>
    <w:rsid w:val="00AE20A6"/>
    <w:rsid w:val="00AE21B0"/>
    <w:rsid w:val="00AE5CC9"/>
    <w:rsid w:val="00AF6AE2"/>
    <w:rsid w:val="00B045E5"/>
    <w:rsid w:val="00B04A78"/>
    <w:rsid w:val="00B064AB"/>
    <w:rsid w:val="00B07CDC"/>
    <w:rsid w:val="00B116F6"/>
    <w:rsid w:val="00B127F9"/>
    <w:rsid w:val="00B13593"/>
    <w:rsid w:val="00B14B05"/>
    <w:rsid w:val="00B162B2"/>
    <w:rsid w:val="00B16C4B"/>
    <w:rsid w:val="00B17E50"/>
    <w:rsid w:val="00B32F8F"/>
    <w:rsid w:val="00B33B13"/>
    <w:rsid w:val="00B50F4E"/>
    <w:rsid w:val="00B56396"/>
    <w:rsid w:val="00B61756"/>
    <w:rsid w:val="00B67D70"/>
    <w:rsid w:val="00B80B9A"/>
    <w:rsid w:val="00B87DC2"/>
    <w:rsid w:val="00B936A8"/>
    <w:rsid w:val="00BA45AA"/>
    <w:rsid w:val="00BA4F01"/>
    <w:rsid w:val="00BB1778"/>
    <w:rsid w:val="00BB1ABC"/>
    <w:rsid w:val="00BC384A"/>
    <w:rsid w:val="00BC4969"/>
    <w:rsid w:val="00BC4B6C"/>
    <w:rsid w:val="00BD7474"/>
    <w:rsid w:val="00BE022E"/>
    <w:rsid w:val="00BE0775"/>
    <w:rsid w:val="00BE32D0"/>
    <w:rsid w:val="00BE58ED"/>
    <w:rsid w:val="00BF03A1"/>
    <w:rsid w:val="00BF1F00"/>
    <w:rsid w:val="00BF3CC7"/>
    <w:rsid w:val="00BF6135"/>
    <w:rsid w:val="00C00199"/>
    <w:rsid w:val="00C005A9"/>
    <w:rsid w:val="00C01B37"/>
    <w:rsid w:val="00C02973"/>
    <w:rsid w:val="00C05789"/>
    <w:rsid w:val="00C15693"/>
    <w:rsid w:val="00C20416"/>
    <w:rsid w:val="00C21F27"/>
    <w:rsid w:val="00C231B0"/>
    <w:rsid w:val="00C3465C"/>
    <w:rsid w:val="00C36EC5"/>
    <w:rsid w:val="00C50124"/>
    <w:rsid w:val="00C508F2"/>
    <w:rsid w:val="00C53172"/>
    <w:rsid w:val="00C538A3"/>
    <w:rsid w:val="00C53CF0"/>
    <w:rsid w:val="00C56442"/>
    <w:rsid w:val="00C567C2"/>
    <w:rsid w:val="00C63C44"/>
    <w:rsid w:val="00C66549"/>
    <w:rsid w:val="00C7392F"/>
    <w:rsid w:val="00C73F71"/>
    <w:rsid w:val="00C747E9"/>
    <w:rsid w:val="00C74AF0"/>
    <w:rsid w:val="00C75280"/>
    <w:rsid w:val="00C823F4"/>
    <w:rsid w:val="00C8275E"/>
    <w:rsid w:val="00C92526"/>
    <w:rsid w:val="00C926AA"/>
    <w:rsid w:val="00C97F10"/>
    <w:rsid w:val="00CA054F"/>
    <w:rsid w:val="00CA173B"/>
    <w:rsid w:val="00CA29C1"/>
    <w:rsid w:val="00CA2A33"/>
    <w:rsid w:val="00CA37BB"/>
    <w:rsid w:val="00CA3BA1"/>
    <w:rsid w:val="00CA6EF1"/>
    <w:rsid w:val="00CB3522"/>
    <w:rsid w:val="00CB47EC"/>
    <w:rsid w:val="00CB4811"/>
    <w:rsid w:val="00CB5DDB"/>
    <w:rsid w:val="00CC3B3C"/>
    <w:rsid w:val="00CD109F"/>
    <w:rsid w:val="00CD3EB6"/>
    <w:rsid w:val="00CD51E4"/>
    <w:rsid w:val="00CE251E"/>
    <w:rsid w:val="00CE4A8A"/>
    <w:rsid w:val="00CF1EAF"/>
    <w:rsid w:val="00CF5D3F"/>
    <w:rsid w:val="00D01D7D"/>
    <w:rsid w:val="00D05C12"/>
    <w:rsid w:val="00D11B53"/>
    <w:rsid w:val="00D148FA"/>
    <w:rsid w:val="00D21CFA"/>
    <w:rsid w:val="00D21FA8"/>
    <w:rsid w:val="00D23F55"/>
    <w:rsid w:val="00D245B3"/>
    <w:rsid w:val="00D25B0A"/>
    <w:rsid w:val="00D3592B"/>
    <w:rsid w:val="00D37D71"/>
    <w:rsid w:val="00D40928"/>
    <w:rsid w:val="00D414E0"/>
    <w:rsid w:val="00D5519F"/>
    <w:rsid w:val="00D57600"/>
    <w:rsid w:val="00D61E83"/>
    <w:rsid w:val="00D62A27"/>
    <w:rsid w:val="00D663D0"/>
    <w:rsid w:val="00D672BF"/>
    <w:rsid w:val="00D748D2"/>
    <w:rsid w:val="00D74AB2"/>
    <w:rsid w:val="00D74E9C"/>
    <w:rsid w:val="00D80F8C"/>
    <w:rsid w:val="00D81A7B"/>
    <w:rsid w:val="00D8379D"/>
    <w:rsid w:val="00D83E0A"/>
    <w:rsid w:val="00D8768A"/>
    <w:rsid w:val="00D90354"/>
    <w:rsid w:val="00D92A22"/>
    <w:rsid w:val="00D95A3B"/>
    <w:rsid w:val="00DA2BD1"/>
    <w:rsid w:val="00DA4616"/>
    <w:rsid w:val="00DB7ED6"/>
    <w:rsid w:val="00DC02BF"/>
    <w:rsid w:val="00DC11A0"/>
    <w:rsid w:val="00DC5ADF"/>
    <w:rsid w:val="00DD0277"/>
    <w:rsid w:val="00DD0F32"/>
    <w:rsid w:val="00DD163C"/>
    <w:rsid w:val="00DD2659"/>
    <w:rsid w:val="00DD39E4"/>
    <w:rsid w:val="00DD635C"/>
    <w:rsid w:val="00DF3A47"/>
    <w:rsid w:val="00DF79FA"/>
    <w:rsid w:val="00E039E9"/>
    <w:rsid w:val="00E07891"/>
    <w:rsid w:val="00E07CC4"/>
    <w:rsid w:val="00E07FFA"/>
    <w:rsid w:val="00E11370"/>
    <w:rsid w:val="00E11AB6"/>
    <w:rsid w:val="00E14891"/>
    <w:rsid w:val="00E1677E"/>
    <w:rsid w:val="00E17BEE"/>
    <w:rsid w:val="00E20215"/>
    <w:rsid w:val="00E20841"/>
    <w:rsid w:val="00E21841"/>
    <w:rsid w:val="00E27830"/>
    <w:rsid w:val="00E40846"/>
    <w:rsid w:val="00E43306"/>
    <w:rsid w:val="00E47AC3"/>
    <w:rsid w:val="00E47C21"/>
    <w:rsid w:val="00E54B3A"/>
    <w:rsid w:val="00E54F43"/>
    <w:rsid w:val="00E55C9D"/>
    <w:rsid w:val="00E63104"/>
    <w:rsid w:val="00E63E44"/>
    <w:rsid w:val="00E67ADB"/>
    <w:rsid w:val="00E778E8"/>
    <w:rsid w:val="00E818EB"/>
    <w:rsid w:val="00E87255"/>
    <w:rsid w:val="00E91E6D"/>
    <w:rsid w:val="00E9510C"/>
    <w:rsid w:val="00E96374"/>
    <w:rsid w:val="00E96503"/>
    <w:rsid w:val="00EA05D0"/>
    <w:rsid w:val="00EA1354"/>
    <w:rsid w:val="00EC3106"/>
    <w:rsid w:val="00ED71B4"/>
    <w:rsid w:val="00EE00BE"/>
    <w:rsid w:val="00EE0319"/>
    <w:rsid w:val="00EE37C4"/>
    <w:rsid w:val="00EE39B9"/>
    <w:rsid w:val="00EE661D"/>
    <w:rsid w:val="00EF1419"/>
    <w:rsid w:val="00F00A4E"/>
    <w:rsid w:val="00F05308"/>
    <w:rsid w:val="00F06928"/>
    <w:rsid w:val="00F07995"/>
    <w:rsid w:val="00F149F3"/>
    <w:rsid w:val="00F31266"/>
    <w:rsid w:val="00F3479F"/>
    <w:rsid w:val="00F40F5D"/>
    <w:rsid w:val="00F43D43"/>
    <w:rsid w:val="00F4764D"/>
    <w:rsid w:val="00F50637"/>
    <w:rsid w:val="00F51211"/>
    <w:rsid w:val="00F513E2"/>
    <w:rsid w:val="00F51E4D"/>
    <w:rsid w:val="00F54F77"/>
    <w:rsid w:val="00F564E8"/>
    <w:rsid w:val="00F64277"/>
    <w:rsid w:val="00F67B67"/>
    <w:rsid w:val="00F849EC"/>
    <w:rsid w:val="00F87473"/>
    <w:rsid w:val="00F87FA4"/>
    <w:rsid w:val="00F915D6"/>
    <w:rsid w:val="00F9502B"/>
    <w:rsid w:val="00FA207A"/>
    <w:rsid w:val="00FA4500"/>
    <w:rsid w:val="00FA5967"/>
    <w:rsid w:val="00FB02A8"/>
    <w:rsid w:val="00FB3E0F"/>
    <w:rsid w:val="00FC0E3D"/>
    <w:rsid w:val="00FC22DA"/>
    <w:rsid w:val="00FC2A1B"/>
    <w:rsid w:val="00FC62B2"/>
    <w:rsid w:val="00FC77B1"/>
    <w:rsid w:val="00FD214E"/>
    <w:rsid w:val="00FD2284"/>
    <w:rsid w:val="00FD49D8"/>
    <w:rsid w:val="00FE2BE8"/>
    <w:rsid w:val="00FE43D4"/>
    <w:rsid w:val="00FE4D30"/>
    <w:rsid w:val="00FF04F3"/>
    <w:rsid w:val="00FF0F4F"/>
    <w:rsid w:val="00FF120C"/>
    <w:rsid w:val="00FF1BBC"/>
    <w:rsid w:val="00FF3F60"/>
    <w:rsid w:val="00FF5D87"/>
    <w:rsid w:val="00FF6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0"/>
    <o:shapelayout v:ext="edit">
      <o:idmap v:ext="edit" data="1"/>
    </o:shapelayout>
  </w:shapeDefaults>
  <w:doNotEmbedSmartTags/>
  <w:decimalSymbol w:val="."/>
  <w:listSeparator w:val=","/>
  <w14:docId w14:val="22917265"/>
  <w15:docId w15:val="{924F17E4-AA89-4B16-AE24-83D5833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qFormat/>
    <w:rsid w:val="00367420"/>
    <w:pPr>
      <w:outlineLvl w:val="0"/>
    </w:pPr>
    <w:rPr>
      <w:rFonts w:cs="Arial"/>
      <w:bCs/>
    </w:rPr>
  </w:style>
  <w:style w:type="paragraph" w:styleId="Heading2">
    <w:name w:val="heading 2"/>
    <w:basedOn w:val="Normal"/>
    <w:next w:val="Normal"/>
    <w:link w:val="Heading2Char"/>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367420"/>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spacing w:after="12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367420"/>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367420"/>
    <w:pPr>
      <w:numPr>
        <w:numId w:val="1"/>
      </w:numPr>
      <w:tabs>
        <w:tab w:val="clear" w:pos="360"/>
      </w:tabs>
      <w:spacing w:before="20" w:after="20"/>
    </w:pPr>
    <w:rPr>
      <w:sz w:val="24"/>
      <w:lang w:eastAsia="en-US"/>
    </w:rPr>
  </w:style>
  <w:style w:type="paragraph" w:customStyle="1" w:styleId="ACMANumberedList">
    <w:name w:val="ACMA Numbered List"/>
    <w:link w:val="ACMANumberedListChar"/>
    <w:rsid w:val="00367420"/>
    <w:pPr>
      <w:numPr>
        <w:numId w:val="2"/>
      </w:numPr>
      <w:spacing w:before="20" w:after="20"/>
    </w:pPr>
    <w:rPr>
      <w:sz w:val="24"/>
      <w:lang w:eastAsia="en-US"/>
    </w:rPr>
  </w:style>
  <w:style w:type="paragraph" w:customStyle="1" w:styleId="ACMAQuote">
    <w:name w:val="ACMA Quote"/>
    <w:rsid w:val="00367420"/>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367420"/>
    <w:pPr>
      <w:spacing w:after="120"/>
    </w:pPr>
    <w:rPr>
      <w:rFonts w:ascii="Arial" w:hAnsi="Arial"/>
      <w:lang w:eastAsia="en-US"/>
    </w:rPr>
  </w:style>
  <w:style w:type="paragraph" w:customStyle="1" w:styleId="ACMATableHeading">
    <w:name w:val="ACMA Table Heading"/>
    <w:rsid w:val="00367420"/>
    <w:pPr>
      <w:spacing w:before="40" w:after="40"/>
    </w:pPr>
    <w:rPr>
      <w:rFonts w:ascii="Arial" w:hAnsi="Arial"/>
      <w:b/>
      <w:lang w:eastAsia="en-US"/>
    </w:rPr>
  </w:style>
  <w:style w:type="paragraph" w:customStyle="1" w:styleId="ACMATableNumber">
    <w:name w:val="ACMA Table Number"/>
    <w:rsid w:val="00367420"/>
    <w:pPr>
      <w:spacing w:before="160"/>
    </w:pPr>
    <w:rPr>
      <w:rFonts w:ascii="Arial" w:hAnsi="Arial"/>
      <w:b/>
      <w:lang w:eastAsia="en-US"/>
    </w:rPr>
  </w:style>
  <w:style w:type="paragraph" w:customStyle="1" w:styleId="ACMATableText">
    <w:name w:val="ACMA Table Text"/>
    <w:rsid w:val="00367420"/>
    <w:pPr>
      <w:spacing w:before="40" w:after="40"/>
    </w:pPr>
    <w:rPr>
      <w:rFonts w:ascii="Arial" w:hAnsi="Arial"/>
      <w:lang w:eastAsia="en-US"/>
    </w:rPr>
  </w:style>
  <w:style w:type="paragraph" w:customStyle="1" w:styleId="LegislationLvl1">
    <w:name w:val="Legislation Lvl 1"/>
    <w:rsid w:val="00367420"/>
    <w:pPr>
      <w:numPr>
        <w:numId w:val="3"/>
      </w:numPr>
      <w:tabs>
        <w:tab w:val="clear" w:pos="1080"/>
        <w:tab w:val="num" w:pos="851"/>
      </w:tabs>
      <w:ind w:left="850" w:hanging="493"/>
    </w:pPr>
    <w:rPr>
      <w:bCs/>
      <w:sz w:val="22"/>
      <w:lang w:eastAsia="en-US"/>
    </w:rPr>
  </w:style>
  <w:style w:type="paragraph" w:customStyle="1" w:styleId="LegislationLvl2">
    <w:name w:val="Legislation Lvl 2"/>
    <w:rsid w:val="00367420"/>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367420"/>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367420"/>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67420"/>
    <w:pPr>
      <w:tabs>
        <w:tab w:val="left" w:pos="284"/>
      </w:tabs>
      <w:ind w:left="288" w:hanging="288"/>
    </w:pPr>
    <w:rPr>
      <w:lang w:eastAsia="en-US"/>
    </w:rPr>
  </w:style>
  <w:style w:type="paragraph" w:customStyle="1" w:styleId="Pre-NumberedLegisLvl1">
    <w:name w:val="Pre-Numbered Legis Lvl 1"/>
    <w:rsid w:val="00367420"/>
    <w:pPr>
      <w:ind w:left="850" w:hanging="493"/>
    </w:pPr>
    <w:rPr>
      <w:sz w:val="22"/>
      <w:lang w:eastAsia="en-US"/>
    </w:rPr>
  </w:style>
  <w:style w:type="paragraph" w:customStyle="1" w:styleId="Pre-NumberedLegisLvl2">
    <w:name w:val="Pre-Numbered Legis Lvl 2"/>
    <w:rsid w:val="00367420"/>
    <w:pPr>
      <w:ind w:left="1367" w:hanging="516"/>
    </w:pPr>
    <w:rPr>
      <w:sz w:val="22"/>
      <w:lang w:eastAsia="en-US"/>
    </w:rPr>
  </w:style>
  <w:style w:type="paragraph" w:customStyle="1" w:styleId="Pre-NumberedLegisLvl3">
    <w:name w:val="Pre-Numbered Legis Lvl 3"/>
    <w:rsid w:val="00367420"/>
    <w:pPr>
      <w:ind w:left="1985" w:hanging="567"/>
    </w:pPr>
    <w:rPr>
      <w:sz w:val="22"/>
      <w:lang w:eastAsia="en-US"/>
    </w:rPr>
  </w:style>
  <w:style w:type="paragraph" w:customStyle="1" w:styleId="Pre-NumberedLegisLvl4">
    <w:name w:val="Pre-Numbered Legis Lvl 4"/>
    <w:rsid w:val="00367420"/>
    <w:pPr>
      <w:ind w:left="2721" w:hanging="680"/>
    </w:pPr>
    <w:rPr>
      <w:sz w:val="22"/>
      <w:lang w:eastAsia="en-US"/>
    </w:rPr>
  </w:style>
  <w:style w:type="paragraph" w:styleId="TOC1">
    <w:name w:val="toc 1"/>
    <w:aliases w:val="ACMA 1"/>
    <w:rsid w:val="008D3613"/>
    <w:pPr>
      <w:spacing w:before="360"/>
    </w:pPr>
    <w:rPr>
      <w:rFonts w:ascii="Arial" w:hAnsi="Arial"/>
      <w:b/>
      <w:bCs/>
      <w:caps/>
      <w:szCs w:val="28"/>
      <w:lang w:eastAsia="en-US"/>
    </w:rPr>
  </w:style>
  <w:style w:type="paragraph" w:styleId="TOC2">
    <w:name w:val="toc 2"/>
    <w:aliases w:val="ACMA 2"/>
    <w:rsid w:val="008D3613"/>
    <w:pPr>
      <w:spacing w:before="240"/>
    </w:pPr>
    <w:rPr>
      <w:bCs/>
      <w:sz w:val="22"/>
      <w:szCs w:val="24"/>
      <w:lang w:eastAsia="en-US"/>
    </w:rPr>
  </w:style>
  <w:style w:type="paragraph" w:styleId="TOC3">
    <w:name w:val="toc 3"/>
    <w:aliases w:val="ACMA 3"/>
    <w:rsid w:val="008D3613"/>
    <w:pPr>
      <w:ind w:left="198"/>
    </w:pPr>
    <w:rPr>
      <w:sz w:val="22"/>
      <w:szCs w:val="24"/>
      <w:lang w:eastAsia="en-US"/>
    </w:rPr>
  </w:style>
  <w:style w:type="character" w:styleId="Hyperlink">
    <w:name w:val="Hyperlink"/>
    <w:basedOn w:val="DefaultParagraphFont"/>
    <w:rsid w:val="00367420"/>
    <w:rPr>
      <w:color w:val="0000FF"/>
      <w:u w:val="single"/>
    </w:rPr>
  </w:style>
  <w:style w:type="table" w:styleId="TableGrid">
    <w:name w:val="Table Grid"/>
    <w:basedOn w:val="TableNormal"/>
    <w:rsid w:val="005051EC"/>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link w:val="FooterChar"/>
    <w:uiPriority w:val="99"/>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697F29"/>
    <w:rPr>
      <w:vertAlign w:val="superscript"/>
    </w:rPr>
  </w:style>
  <w:style w:type="paragraph" w:styleId="Header">
    <w:name w:val="header"/>
    <w:basedOn w:val="Normal"/>
    <w:rsid w:val="000E3AD3"/>
    <w:pPr>
      <w:tabs>
        <w:tab w:val="center" w:pos="4153"/>
        <w:tab w:val="right" w:pos="8306"/>
      </w:tabs>
    </w:pPr>
  </w:style>
  <w:style w:type="paragraph" w:styleId="BalloonText">
    <w:name w:val="Balloon Text"/>
    <w:basedOn w:val="Normal"/>
    <w:semiHidden/>
    <w:rsid w:val="00DD2659"/>
    <w:rPr>
      <w:rFonts w:ascii="Tahoma" w:hAnsi="Tahoma" w:cs="Tahoma"/>
      <w:sz w:val="16"/>
      <w:szCs w:val="16"/>
    </w:rPr>
  </w:style>
  <w:style w:type="character" w:styleId="CommentReference">
    <w:name w:val="annotation reference"/>
    <w:basedOn w:val="DefaultParagraphFont"/>
    <w:semiHidden/>
    <w:rsid w:val="00DC02BF"/>
    <w:rPr>
      <w:sz w:val="16"/>
      <w:szCs w:val="16"/>
    </w:rPr>
  </w:style>
  <w:style w:type="paragraph" w:styleId="CommentText">
    <w:name w:val="annotation text"/>
    <w:basedOn w:val="Normal"/>
    <w:link w:val="CommentTextChar"/>
    <w:semiHidden/>
    <w:rsid w:val="00DC02BF"/>
  </w:style>
  <w:style w:type="paragraph" w:styleId="CommentSubject">
    <w:name w:val="annotation subject"/>
    <w:basedOn w:val="CommentText"/>
    <w:next w:val="CommentText"/>
    <w:semiHidden/>
    <w:rsid w:val="00DC02BF"/>
    <w:rPr>
      <w:b/>
      <w:bCs/>
    </w:rPr>
  </w:style>
  <w:style w:type="character" w:customStyle="1" w:styleId="CharSectno">
    <w:name w:val="CharSectno"/>
    <w:basedOn w:val="DefaultParagraphFont"/>
    <w:qFormat/>
    <w:rsid w:val="00C63C44"/>
  </w:style>
  <w:style w:type="paragraph" w:customStyle="1" w:styleId="Dotpoints">
    <w:name w:val="Dot points"/>
    <w:basedOn w:val="Normal"/>
    <w:rsid w:val="00C63C44"/>
    <w:pPr>
      <w:numPr>
        <w:numId w:val="15"/>
      </w:numPr>
    </w:pPr>
    <w:rPr>
      <w:rFonts w:ascii="Times New Roman" w:hAnsi="Times New Roman"/>
      <w:sz w:val="24"/>
      <w:szCs w:val="24"/>
      <w:lang w:eastAsia="en-AU" w:bidi="ar-SA"/>
    </w:rPr>
  </w:style>
  <w:style w:type="character" w:customStyle="1" w:styleId="BodyText-Italics">
    <w:name w:val="Body Text - Italics"/>
    <w:basedOn w:val="DefaultParagraphFont"/>
    <w:rsid w:val="00E47AC3"/>
    <w:rPr>
      <w:rFonts w:cs="Times New Roman"/>
      <w:i/>
    </w:rPr>
  </w:style>
  <w:style w:type="paragraph" w:customStyle="1" w:styleId="List-Bullet1">
    <w:name w:val="List - Bullet 1"/>
    <w:basedOn w:val="BodyText"/>
    <w:rsid w:val="00E47AC3"/>
    <w:pPr>
      <w:numPr>
        <w:numId w:val="19"/>
      </w:numPr>
    </w:pPr>
    <w:rPr>
      <w:sz w:val="22"/>
      <w:szCs w:val="22"/>
      <w:lang w:bidi="ar-SA"/>
    </w:rPr>
  </w:style>
  <w:style w:type="paragraph" w:customStyle="1" w:styleId="List-Bullet2">
    <w:name w:val="List - Bullet 2"/>
    <w:basedOn w:val="BodyText"/>
    <w:rsid w:val="00E47AC3"/>
    <w:pPr>
      <w:numPr>
        <w:ilvl w:val="1"/>
        <w:numId w:val="19"/>
      </w:numPr>
    </w:pPr>
    <w:rPr>
      <w:sz w:val="22"/>
      <w:szCs w:val="22"/>
      <w:lang w:bidi="ar-SA"/>
    </w:rPr>
  </w:style>
  <w:style w:type="paragraph" w:customStyle="1" w:styleId="List-Bullet3">
    <w:name w:val="List - Bullet 3"/>
    <w:basedOn w:val="BodyText"/>
    <w:rsid w:val="00E47AC3"/>
    <w:pPr>
      <w:numPr>
        <w:ilvl w:val="2"/>
        <w:numId w:val="19"/>
      </w:numPr>
    </w:pPr>
    <w:rPr>
      <w:sz w:val="22"/>
      <w:szCs w:val="22"/>
      <w:lang w:bidi="ar-SA"/>
    </w:rPr>
  </w:style>
  <w:style w:type="paragraph" w:styleId="BodyText">
    <w:name w:val="Body Text"/>
    <w:basedOn w:val="Normal"/>
    <w:rsid w:val="00E47AC3"/>
    <w:pPr>
      <w:spacing w:after="120"/>
    </w:pPr>
  </w:style>
  <w:style w:type="character" w:customStyle="1" w:styleId="ACMABodyTextChar1">
    <w:name w:val="ACMA Body Text Char1"/>
    <w:basedOn w:val="DefaultParagraphFont"/>
    <w:link w:val="ACMABodyText"/>
    <w:rsid w:val="00086FE0"/>
    <w:rPr>
      <w:snapToGrid w:val="0"/>
      <w:sz w:val="24"/>
      <w:lang w:val="en-AU" w:eastAsia="en-US" w:bidi="ar-SA"/>
    </w:rPr>
  </w:style>
  <w:style w:type="paragraph" w:customStyle="1" w:styleId="HeaderBoldEven">
    <w:name w:val="HeaderBoldEven"/>
    <w:basedOn w:val="Normal"/>
    <w:rsid w:val="009C5367"/>
    <w:pPr>
      <w:spacing w:before="120" w:after="60"/>
    </w:pPr>
    <w:rPr>
      <w:b/>
      <w:szCs w:val="24"/>
      <w:lang w:eastAsia="en-AU" w:bidi="ar-SA"/>
    </w:rPr>
  </w:style>
  <w:style w:type="paragraph" w:customStyle="1" w:styleId="HeaderBoldOdd">
    <w:name w:val="HeaderBoldOdd"/>
    <w:basedOn w:val="Normal"/>
    <w:rsid w:val="009C5367"/>
    <w:pPr>
      <w:spacing w:before="120" w:after="60"/>
      <w:jc w:val="right"/>
    </w:pPr>
    <w:rPr>
      <w:b/>
      <w:szCs w:val="24"/>
      <w:lang w:eastAsia="en-AU" w:bidi="ar-SA"/>
    </w:rPr>
  </w:style>
  <w:style w:type="paragraph" w:customStyle="1" w:styleId="HeaderLiteEven">
    <w:name w:val="HeaderLiteEven"/>
    <w:basedOn w:val="Normal"/>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rsid w:val="009C5367"/>
    <w:pPr>
      <w:spacing w:before="120" w:after="120"/>
      <w:jc w:val="right"/>
    </w:pPr>
    <w:rPr>
      <w:szCs w:val="24"/>
      <w:lang w:eastAsia="en-AU" w:bidi="ar-SA"/>
    </w:rPr>
  </w:style>
  <w:style w:type="paragraph" w:customStyle="1" w:styleId="HeaderLiteOdd">
    <w:name w:val="HeaderLiteOdd"/>
    <w:basedOn w:val="Normal"/>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rsid w:val="009C5367"/>
    <w:pPr>
      <w:jc w:val="center"/>
    </w:pPr>
    <w:rPr>
      <w:b/>
      <w:sz w:val="40"/>
      <w:szCs w:val="24"/>
      <w:lang w:eastAsia="en-AU" w:bidi="ar-SA"/>
    </w:rPr>
  </w:style>
  <w:style w:type="paragraph" w:customStyle="1" w:styleId="FooterInfo">
    <w:name w:val="FooterInfo"/>
    <w:basedOn w:val="Normal"/>
    <w:rsid w:val="009C5367"/>
    <w:rPr>
      <w:sz w:val="12"/>
      <w:szCs w:val="24"/>
      <w:lang w:eastAsia="en-AU" w:bidi="ar-SA"/>
    </w:rPr>
  </w:style>
  <w:style w:type="numbering" w:styleId="111111">
    <w:name w:val="Outline List 2"/>
    <w:basedOn w:val="NoList"/>
    <w:rsid w:val="009C5367"/>
    <w:pPr>
      <w:numPr>
        <w:numId w:val="42"/>
      </w:numPr>
    </w:pPr>
  </w:style>
  <w:style w:type="numbering" w:styleId="1ai">
    <w:name w:val="Outline List 1"/>
    <w:basedOn w:val="NoList"/>
    <w:rsid w:val="009C5367"/>
    <w:pPr>
      <w:numPr>
        <w:numId w:val="43"/>
      </w:numPr>
    </w:pPr>
  </w:style>
  <w:style w:type="numbering" w:styleId="ArticleSection">
    <w:name w:val="Outline List 3"/>
    <w:basedOn w:val="NoList"/>
    <w:rsid w:val="009C5367"/>
    <w:pPr>
      <w:numPr>
        <w:numId w:val="41"/>
      </w:numPr>
    </w:pPr>
  </w:style>
  <w:style w:type="paragraph" w:styleId="BlockText">
    <w:name w:val="Block Text"/>
    <w:basedOn w:val="Normal"/>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rsid w:val="009C5367"/>
    <w:pPr>
      <w:spacing w:after="120" w:line="480" w:lineRule="auto"/>
    </w:pPr>
    <w:rPr>
      <w:rFonts w:ascii="Times New Roman" w:hAnsi="Times New Roman"/>
      <w:sz w:val="24"/>
      <w:szCs w:val="24"/>
      <w:lang w:eastAsia="en-AU" w:bidi="ar-SA"/>
    </w:rPr>
  </w:style>
  <w:style w:type="paragraph" w:styleId="BodyText3">
    <w:name w:val="Body Text 3"/>
    <w:basedOn w:val="Normal"/>
    <w:rsid w:val="009C5367"/>
    <w:pPr>
      <w:spacing w:after="120"/>
    </w:pPr>
    <w:rPr>
      <w:rFonts w:ascii="Times New Roman" w:hAnsi="Times New Roman"/>
      <w:sz w:val="16"/>
      <w:szCs w:val="16"/>
      <w:lang w:eastAsia="en-AU" w:bidi="ar-SA"/>
    </w:rPr>
  </w:style>
  <w:style w:type="paragraph" w:styleId="BodyTextFirstIndent">
    <w:name w:val="Body Text First Indent"/>
    <w:basedOn w:val="BodyText"/>
    <w:rsid w:val="009C5367"/>
    <w:pPr>
      <w:ind w:firstLine="210"/>
    </w:pPr>
    <w:rPr>
      <w:rFonts w:ascii="Times New Roman" w:hAnsi="Times New Roman"/>
      <w:sz w:val="24"/>
      <w:szCs w:val="24"/>
      <w:lang w:eastAsia="en-AU" w:bidi="ar-SA"/>
    </w:rPr>
  </w:style>
  <w:style w:type="paragraph" w:styleId="BodyTextIndent">
    <w:name w:val="Body Text Indent"/>
    <w:basedOn w:val="Normal"/>
    <w:rsid w:val="009C5367"/>
    <w:pPr>
      <w:spacing w:after="120"/>
      <w:ind w:left="283"/>
    </w:pPr>
    <w:rPr>
      <w:rFonts w:ascii="Times New Roman" w:hAnsi="Times New Roman"/>
      <w:sz w:val="24"/>
      <w:szCs w:val="24"/>
      <w:lang w:eastAsia="en-AU" w:bidi="ar-SA"/>
    </w:rPr>
  </w:style>
  <w:style w:type="paragraph" w:styleId="BodyTextFirstIndent2">
    <w:name w:val="Body Text First Indent 2"/>
    <w:basedOn w:val="BodyTextIndent"/>
    <w:rsid w:val="009C5367"/>
    <w:pPr>
      <w:ind w:firstLine="210"/>
    </w:pPr>
  </w:style>
  <w:style w:type="paragraph" w:styleId="BodyTextIndent2">
    <w:name w:val="Body Text Indent 2"/>
    <w:basedOn w:val="Normal"/>
    <w:rsid w:val="009C5367"/>
    <w:pPr>
      <w:spacing w:after="120" w:line="480" w:lineRule="auto"/>
      <w:ind w:left="283"/>
    </w:pPr>
    <w:rPr>
      <w:rFonts w:ascii="Times New Roman" w:hAnsi="Times New Roman"/>
      <w:sz w:val="24"/>
      <w:szCs w:val="24"/>
      <w:lang w:eastAsia="en-AU" w:bidi="ar-SA"/>
    </w:rPr>
  </w:style>
  <w:style w:type="paragraph" w:styleId="BodyTextIndent3">
    <w:name w:val="Body Text Indent 3"/>
    <w:basedOn w:val="Normal"/>
    <w:rsid w:val="009C5367"/>
    <w:pPr>
      <w:spacing w:after="120"/>
      <w:ind w:left="283"/>
    </w:pPr>
    <w:rPr>
      <w:rFonts w:ascii="Times New Roman" w:hAnsi="Times New Roman"/>
      <w:sz w:val="16"/>
      <w:szCs w:val="16"/>
      <w:lang w:eastAsia="en-AU" w:bidi="ar-SA"/>
    </w:rPr>
  </w:style>
  <w:style w:type="paragraph" w:styleId="Closing">
    <w:name w:val="Closing"/>
    <w:basedOn w:val="Normal"/>
    <w:rsid w:val="009C5367"/>
    <w:pPr>
      <w:ind w:left="4252"/>
    </w:pPr>
    <w:rPr>
      <w:rFonts w:ascii="Times New Roman" w:hAnsi="Times New Roman"/>
      <w:sz w:val="24"/>
      <w:szCs w:val="24"/>
      <w:lang w:eastAsia="en-AU" w:bidi="ar-SA"/>
    </w:rPr>
  </w:style>
  <w:style w:type="paragraph" w:styleId="Date">
    <w:name w:val="Date"/>
    <w:basedOn w:val="Normal"/>
    <w:next w:val="Normal"/>
    <w:rsid w:val="009C5367"/>
    <w:rPr>
      <w:rFonts w:ascii="Times New Roman" w:hAnsi="Times New Roman"/>
      <w:sz w:val="24"/>
      <w:szCs w:val="24"/>
      <w:lang w:eastAsia="en-AU" w:bidi="ar-SA"/>
    </w:rPr>
  </w:style>
  <w:style w:type="paragraph" w:styleId="E-mailSignature">
    <w:name w:val="E-mail Signature"/>
    <w:basedOn w:val="Normal"/>
    <w:rsid w:val="009C5367"/>
    <w:rPr>
      <w:rFonts w:ascii="Times New Roman" w:hAnsi="Times New Roman"/>
      <w:sz w:val="24"/>
      <w:szCs w:val="24"/>
      <w:lang w:eastAsia="en-AU" w:bidi="ar-SA"/>
    </w:rPr>
  </w:style>
  <w:style w:type="character" w:styleId="Emphasis">
    <w:name w:val="Emphasis"/>
    <w:basedOn w:val="DefaultParagraphFont"/>
    <w:uiPriority w:val="20"/>
    <w:qFormat/>
    <w:rsid w:val="009C5367"/>
    <w:rPr>
      <w:i/>
      <w:iCs/>
    </w:rPr>
  </w:style>
  <w:style w:type="paragraph" w:styleId="EnvelopeAddress">
    <w:name w:val="envelope address"/>
    <w:basedOn w:val="Normal"/>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rsid w:val="009C5367"/>
    <w:rPr>
      <w:rFonts w:cs="Arial"/>
      <w:lang w:eastAsia="en-AU" w:bidi="ar-SA"/>
    </w:rPr>
  </w:style>
  <w:style w:type="character" w:styleId="FollowedHyperlink">
    <w:name w:val="FollowedHyperlink"/>
    <w:basedOn w:val="DefaultParagraphFont"/>
    <w:rsid w:val="009C5367"/>
    <w:rPr>
      <w:color w:val="800080"/>
      <w:u w:val="single"/>
    </w:rPr>
  </w:style>
  <w:style w:type="character" w:styleId="HTMLAcronym">
    <w:name w:val="HTML Acronym"/>
    <w:basedOn w:val="DefaultParagraphFont"/>
    <w:rsid w:val="009C5367"/>
  </w:style>
  <w:style w:type="paragraph" w:styleId="HTMLAddress">
    <w:name w:val="HTML Address"/>
    <w:basedOn w:val="Normal"/>
    <w:rsid w:val="009C5367"/>
    <w:rPr>
      <w:rFonts w:ascii="Times New Roman" w:hAnsi="Times New Roman"/>
      <w:i/>
      <w:iCs/>
      <w:sz w:val="24"/>
      <w:szCs w:val="24"/>
      <w:lang w:eastAsia="en-AU" w:bidi="ar-SA"/>
    </w:rPr>
  </w:style>
  <w:style w:type="character" w:styleId="HTMLCite">
    <w:name w:val="HTML Cite"/>
    <w:basedOn w:val="DefaultParagraphFont"/>
    <w:rsid w:val="009C5367"/>
    <w:rPr>
      <w:i/>
      <w:iCs/>
    </w:rPr>
  </w:style>
  <w:style w:type="character" w:styleId="HTMLCode">
    <w:name w:val="HTML Code"/>
    <w:basedOn w:val="DefaultParagraphFont"/>
    <w:rsid w:val="009C5367"/>
    <w:rPr>
      <w:rFonts w:ascii="Courier New" w:hAnsi="Courier New" w:cs="Courier New"/>
      <w:sz w:val="20"/>
      <w:szCs w:val="20"/>
    </w:rPr>
  </w:style>
  <w:style w:type="character" w:styleId="HTMLDefinition">
    <w:name w:val="HTML Definition"/>
    <w:basedOn w:val="DefaultParagraphFont"/>
    <w:rsid w:val="009C5367"/>
    <w:rPr>
      <w:i/>
      <w:iCs/>
    </w:rPr>
  </w:style>
  <w:style w:type="character" w:styleId="HTMLKeyboard">
    <w:name w:val="HTML Keyboard"/>
    <w:basedOn w:val="DefaultParagraphFont"/>
    <w:rsid w:val="009C5367"/>
    <w:rPr>
      <w:rFonts w:ascii="Courier New" w:hAnsi="Courier New" w:cs="Courier New"/>
      <w:sz w:val="20"/>
      <w:szCs w:val="20"/>
    </w:rPr>
  </w:style>
  <w:style w:type="paragraph" w:styleId="HTMLPreformatted">
    <w:name w:val="HTML Preformatted"/>
    <w:basedOn w:val="Normal"/>
    <w:rsid w:val="009C5367"/>
    <w:rPr>
      <w:rFonts w:ascii="Courier New" w:hAnsi="Courier New" w:cs="Courier New"/>
      <w:lang w:eastAsia="en-AU" w:bidi="ar-SA"/>
    </w:rPr>
  </w:style>
  <w:style w:type="character" w:styleId="HTMLSample">
    <w:name w:val="HTML Sample"/>
    <w:basedOn w:val="DefaultParagraphFont"/>
    <w:rsid w:val="009C5367"/>
    <w:rPr>
      <w:rFonts w:ascii="Courier New" w:hAnsi="Courier New" w:cs="Courier New"/>
    </w:rPr>
  </w:style>
  <w:style w:type="character" w:styleId="HTMLTypewriter">
    <w:name w:val="HTML Typewriter"/>
    <w:basedOn w:val="DefaultParagraphFont"/>
    <w:rsid w:val="009C5367"/>
    <w:rPr>
      <w:rFonts w:ascii="Courier New" w:hAnsi="Courier New" w:cs="Courier New"/>
      <w:sz w:val="20"/>
      <w:szCs w:val="20"/>
    </w:rPr>
  </w:style>
  <w:style w:type="character" w:styleId="HTMLVariable">
    <w:name w:val="HTML Variable"/>
    <w:basedOn w:val="DefaultParagraphFont"/>
    <w:rsid w:val="009C5367"/>
    <w:rPr>
      <w:i/>
      <w:iCs/>
    </w:rPr>
  </w:style>
  <w:style w:type="character" w:styleId="LineNumber">
    <w:name w:val="line number"/>
    <w:basedOn w:val="DefaultParagraphFont"/>
    <w:rsid w:val="009C5367"/>
  </w:style>
  <w:style w:type="paragraph" w:styleId="List">
    <w:name w:val="List"/>
    <w:basedOn w:val="Normal"/>
    <w:rsid w:val="009C5367"/>
    <w:pPr>
      <w:ind w:left="283" w:hanging="283"/>
    </w:pPr>
    <w:rPr>
      <w:rFonts w:ascii="Times New Roman" w:hAnsi="Times New Roman"/>
      <w:sz w:val="24"/>
      <w:szCs w:val="24"/>
      <w:lang w:eastAsia="en-AU" w:bidi="ar-SA"/>
    </w:rPr>
  </w:style>
  <w:style w:type="paragraph" w:styleId="List2">
    <w:name w:val="List 2"/>
    <w:basedOn w:val="Normal"/>
    <w:rsid w:val="009C5367"/>
    <w:pPr>
      <w:ind w:left="566" w:hanging="283"/>
    </w:pPr>
    <w:rPr>
      <w:rFonts w:ascii="Times New Roman" w:hAnsi="Times New Roman"/>
      <w:sz w:val="24"/>
      <w:szCs w:val="24"/>
      <w:lang w:eastAsia="en-AU" w:bidi="ar-SA"/>
    </w:rPr>
  </w:style>
  <w:style w:type="paragraph" w:styleId="List3">
    <w:name w:val="List 3"/>
    <w:basedOn w:val="Normal"/>
    <w:rsid w:val="009C5367"/>
    <w:pPr>
      <w:ind w:left="849" w:hanging="283"/>
    </w:pPr>
    <w:rPr>
      <w:rFonts w:ascii="Times New Roman" w:hAnsi="Times New Roman"/>
      <w:sz w:val="24"/>
      <w:szCs w:val="24"/>
      <w:lang w:eastAsia="en-AU" w:bidi="ar-SA"/>
    </w:rPr>
  </w:style>
  <w:style w:type="paragraph" w:styleId="List4">
    <w:name w:val="List 4"/>
    <w:basedOn w:val="Normal"/>
    <w:rsid w:val="009C5367"/>
    <w:pPr>
      <w:ind w:left="1132" w:hanging="283"/>
    </w:pPr>
    <w:rPr>
      <w:rFonts w:ascii="Times New Roman" w:hAnsi="Times New Roman"/>
      <w:sz w:val="24"/>
      <w:szCs w:val="24"/>
      <w:lang w:eastAsia="en-AU" w:bidi="ar-SA"/>
    </w:rPr>
  </w:style>
  <w:style w:type="paragraph" w:styleId="List5">
    <w:name w:val="List 5"/>
    <w:basedOn w:val="Normal"/>
    <w:rsid w:val="009C5367"/>
    <w:pPr>
      <w:ind w:left="1415" w:hanging="283"/>
    </w:pPr>
    <w:rPr>
      <w:rFonts w:ascii="Times New Roman" w:hAnsi="Times New Roman"/>
      <w:sz w:val="24"/>
      <w:szCs w:val="24"/>
      <w:lang w:eastAsia="en-AU" w:bidi="ar-SA"/>
    </w:rPr>
  </w:style>
  <w:style w:type="paragraph" w:styleId="ListBullet">
    <w:name w:val="List Bullet"/>
    <w:basedOn w:val="Normal"/>
    <w:autoRedefine/>
    <w:rsid w:val="009C5367"/>
    <w:pPr>
      <w:tabs>
        <w:tab w:val="num" w:pos="360"/>
      </w:tabs>
      <w:ind w:left="360" w:hanging="360"/>
    </w:pPr>
    <w:rPr>
      <w:rFonts w:ascii="Times New Roman" w:hAnsi="Times New Roman"/>
      <w:sz w:val="24"/>
      <w:szCs w:val="24"/>
      <w:lang w:eastAsia="en-AU" w:bidi="ar-SA"/>
    </w:rPr>
  </w:style>
  <w:style w:type="paragraph" w:styleId="ListBullet2">
    <w:name w:val="List Bullet 2"/>
    <w:basedOn w:val="Normal"/>
    <w:autoRedefine/>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rsid w:val="009C5367"/>
    <w:pPr>
      <w:spacing w:after="120"/>
      <w:ind w:left="283"/>
    </w:pPr>
    <w:rPr>
      <w:rFonts w:ascii="Times New Roman" w:hAnsi="Times New Roman"/>
      <w:sz w:val="24"/>
      <w:szCs w:val="24"/>
      <w:lang w:eastAsia="en-AU" w:bidi="ar-SA"/>
    </w:rPr>
  </w:style>
  <w:style w:type="paragraph" w:styleId="ListContinue2">
    <w:name w:val="List Continue 2"/>
    <w:basedOn w:val="Normal"/>
    <w:rsid w:val="009C5367"/>
    <w:pPr>
      <w:spacing w:after="120"/>
      <w:ind w:left="566"/>
    </w:pPr>
    <w:rPr>
      <w:rFonts w:ascii="Times New Roman" w:hAnsi="Times New Roman"/>
      <w:sz w:val="24"/>
      <w:szCs w:val="24"/>
      <w:lang w:eastAsia="en-AU" w:bidi="ar-SA"/>
    </w:rPr>
  </w:style>
  <w:style w:type="paragraph" w:styleId="ListContinue3">
    <w:name w:val="List Continue 3"/>
    <w:basedOn w:val="Normal"/>
    <w:rsid w:val="009C5367"/>
    <w:pPr>
      <w:spacing w:after="120"/>
      <w:ind w:left="849"/>
    </w:pPr>
    <w:rPr>
      <w:rFonts w:ascii="Times New Roman" w:hAnsi="Times New Roman"/>
      <w:sz w:val="24"/>
      <w:szCs w:val="24"/>
      <w:lang w:eastAsia="en-AU" w:bidi="ar-SA"/>
    </w:rPr>
  </w:style>
  <w:style w:type="paragraph" w:styleId="ListContinue4">
    <w:name w:val="List Continue 4"/>
    <w:basedOn w:val="Normal"/>
    <w:rsid w:val="009C5367"/>
    <w:pPr>
      <w:spacing w:after="120"/>
      <w:ind w:left="1132"/>
    </w:pPr>
    <w:rPr>
      <w:rFonts w:ascii="Times New Roman" w:hAnsi="Times New Roman"/>
      <w:sz w:val="24"/>
      <w:szCs w:val="24"/>
      <w:lang w:eastAsia="en-AU" w:bidi="ar-SA"/>
    </w:rPr>
  </w:style>
  <w:style w:type="paragraph" w:styleId="ListContinue5">
    <w:name w:val="List Continue 5"/>
    <w:basedOn w:val="Normal"/>
    <w:rsid w:val="009C5367"/>
    <w:pPr>
      <w:spacing w:after="120"/>
      <w:ind w:left="1415"/>
    </w:pPr>
    <w:rPr>
      <w:rFonts w:ascii="Times New Roman" w:hAnsi="Times New Roman"/>
      <w:sz w:val="24"/>
      <w:szCs w:val="24"/>
      <w:lang w:eastAsia="en-AU" w:bidi="ar-SA"/>
    </w:rPr>
  </w:style>
  <w:style w:type="paragraph" w:styleId="ListNumber">
    <w:name w:val="List Number"/>
    <w:basedOn w:val="Normal"/>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paragraph" w:styleId="NormalWeb">
    <w:name w:val="Normal (Web)"/>
    <w:basedOn w:val="Normal"/>
    <w:rsid w:val="009C5367"/>
    <w:rPr>
      <w:rFonts w:ascii="Times New Roman" w:hAnsi="Times New Roman"/>
      <w:sz w:val="24"/>
      <w:szCs w:val="24"/>
      <w:lang w:eastAsia="en-AU" w:bidi="ar-SA"/>
    </w:rPr>
  </w:style>
  <w:style w:type="paragraph" w:styleId="NormalIndent">
    <w:name w:val="Normal Indent"/>
    <w:basedOn w:val="Normal"/>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rsid w:val="009C5367"/>
    <w:pPr>
      <w:keepNext/>
      <w:keepLines/>
      <w:pageBreakBefore/>
      <w:tabs>
        <w:tab w:val="left" w:pos="1559"/>
      </w:tabs>
      <w:spacing w:before="120" w:line="240" w:lineRule="atLeast"/>
    </w:pPr>
    <w:rPr>
      <w:b/>
      <w:sz w:val="32"/>
      <w:szCs w:val="24"/>
      <w:lang w:eastAsia="en-AU" w:bidi="ar-SA"/>
    </w:rPr>
  </w:style>
  <w:style w:type="paragraph" w:styleId="PlainText">
    <w:name w:val="Plain Text"/>
    <w:basedOn w:val="Normal"/>
    <w:rsid w:val="009C5367"/>
    <w:rPr>
      <w:rFonts w:ascii="Courier New" w:hAnsi="Courier New" w:cs="Courier New"/>
      <w:lang w:eastAsia="en-AU" w:bidi="ar-SA"/>
    </w:rPr>
  </w:style>
  <w:style w:type="paragraph" w:styleId="Salutation">
    <w:name w:val="Salutation"/>
    <w:basedOn w:val="Normal"/>
    <w:next w:val="Normal"/>
    <w:rsid w:val="009C5367"/>
    <w:rPr>
      <w:rFonts w:ascii="Times New Roman" w:hAnsi="Times New Roman"/>
      <w:sz w:val="24"/>
      <w:szCs w:val="24"/>
      <w:lang w:eastAsia="en-AU" w:bidi="ar-SA"/>
    </w:rPr>
  </w:style>
  <w:style w:type="paragraph" w:styleId="Signature">
    <w:name w:val="Signature"/>
    <w:basedOn w:val="Normal"/>
    <w:rsid w:val="009C5367"/>
    <w:pPr>
      <w:ind w:left="4252"/>
    </w:pPr>
    <w:rPr>
      <w:rFonts w:ascii="Times New Roman" w:hAnsi="Times New Roman"/>
      <w:sz w:val="24"/>
      <w:szCs w:val="24"/>
      <w:lang w:eastAsia="en-AU" w:bidi="ar-SA"/>
    </w:rPr>
  </w:style>
  <w:style w:type="character" w:styleId="Strong">
    <w:name w:val="Strong"/>
    <w:basedOn w:val="DefaultParagraphFont"/>
    <w:qFormat/>
    <w:rsid w:val="009C5367"/>
    <w:rPr>
      <w:b/>
      <w:bCs/>
    </w:rPr>
  </w:style>
  <w:style w:type="paragraph" w:styleId="Subtitle">
    <w:name w:val="Subtitle"/>
    <w:basedOn w:val="Normal"/>
    <w:link w:val="SubtitleChar"/>
    <w:qFormat/>
    <w:rsid w:val="009C5367"/>
    <w:pPr>
      <w:spacing w:after="60"/>
      <w:jc w:val="center"/>
      <w:outlineLvl w:val="1"/>
    </w:pPr>
    <w:rPr>
      <w:rFonts w:cs="Arial"/>
      <w:sz w:val="24"/>
      <w:szCs w:val="24"/>
      <w:lang w:eastAsia="en-AU" w:bidi="ar-SA"/>
    </w:rPr>
  </w:style>
  <w:style w:type="table" w:styleId="Table3Deffects1">
    <w:name w:val="Table 3D effects 1"/>
    <w:basedOn w:val="TableNormal"/>
    <w:rsid w:val="009C53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3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3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36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3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36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53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3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3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C5367"/>
    <w:pPr>
      <w:spacing w:before="480"/>
    </w:pPr>
    <w:rPr>
      <w:rFonts w:cs="Arial"/>
      <w:b/>
      <w:bCs/>
      <w:sz w:val="40"/>
      <w:szCs w:val="40"/>
      <w:lang w:eastAsia="en-AU" w:bidi="ar-SA"/>
    </w:rPr>
  </w:style>
  <w:style w:type="paragraph" w:customStyle="1" w:styleId="A1">
    <w:name w:val="A1"/>
    <w:aliases w:val="Heading Amendment,1. Amendment"/>
    <w:basedOn w:val="Normal"/>
    <w:next w:val="Normal"/>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rsid w:val="009C5367"/>
    <w:pPr>
      <w:keepNext/>
      <w:keepLines/>
      <w:spacing w:before="360"/>
      <w:ind w:left="2410" w:hanging="2410"/>
    </w:pPr>
    <w:rPr>
      <w:b/>
      <w:sz w:val="28"/>
      <w:szCs w:val="24"/>
      <w:lang w:eastAsia="en-AU" w:bidi="ar-SA"/>
    </w:rPr>
  </w:style>
  <w:style w:type="paragraph" w:styleId="Caption">
    <w:name w:val="caption"/>
    <w:basedOn w:val="Normal"/>
    <w:next w:val="Normal"/>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rsid w:val="009C5367"/>
  </w:style>
  <w:style w:type="character" w:customStyle="1" w:styleId="CharAmSchText">
    <w:name w:val="CharAmSchText"/>
    <w:basedOn w:val="DefaultParagraphFont"/>
    <w:rsid w:val="009C5367"/>
  </w:style>
  <w:style w:type="character" w:customStyle="1" w:styleId="CharChapNo">
    <w:name w:val="CharChapNo"/>
    <w:basedOn w:val="DefaultParagraphFont"/>
    <w:rsid w:val="009C5367"/>
  </w:style>
  <w:style w:type="character" w:customStyle="1" w:styleId="CharChapText">
    <w:name w:val="CharChapText"/>
    <w:basedOn w:val="DefaultParagraphFont"/>
    <w:rsid w:val="009C5367"/>
  </w:style>
  <w:style w:type="character" w:customStyle="1" w:styleId="CharDivNo">
    <w:name w:val="CharDivNo"/>
    <w:basedOn w:val="DefaultParagraphFont"/>
    <w:rsid w:val="009C5367"/>
  </w:style>
  <w:style w:type="character" w:customStyle="1" w:styleId="CharDivText">
    <w:name w:val="CharDivText"/>
    <w:basedOn w:val="DefaultParagraphFont"/>
    <w:rsid w:val="009C5367"/>
  </w:style>
  <w:style w:type="character" w:customStyle="1" w:styleId="CharPartNo">
    <w:name w:val="CharPartNo"/>
    <w:basedOn w:val="DefaultParagraphFont"/>
    <w:rsid w:val="009C5367"/>
  </w:style>
  <w:style w:type="character" w:customStyle="1" w:styleId="CharPartText">
    <w:name w:val="CharPartText"/>
    <w:basedOn w:val="DefaultParagraphFont"/>
    <w:rsid w:val="009C5367"/>
  </w:style>
  <w:style w:type="character" w:customStyle="1" w:styleId="CharSchPTNo">
    <w:name w:val="CharSchPTNo"/>
    <w:basedOn w:val="DefaultParagraphFont"/>
    <w:rsid w:val="009C5367"/>
  </w:style>
  <w:style w:type="character" w:customStyle="1" w:styleId="CharSchPTText">
    <w:name w:val="CharSchPTText"/>
    <w:basedOn w:val="DefaultParagraphFont"/>
    <w:rsid w:val="009C5367"/>
  </w:style>
  <w:style w:type="paragraph" w:customStyle="1" w:styleId="ContentsHead">
    <w:name w:val="ContentsHead"/>
    <w:basedOn w:val="Normal"/>
    <w:next w:val="Normal"/>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rsid w:val="009C5367"/>
    <w:rPr>
      <w:rFonts w:ascii="Times New Roman" w:hAnsi="Times New Roman"/>
      <w:sz w:val="24"/>
      <w:szCs w:val="24"/>
      <w:lang w:eastAsia="en-AU" w:bidi="ar-SA"/>
    </w:rPr>
  </w:style>
  <w:style w:type="paragraph" w:customStyle="1" w:styleId="DD">
    <w:name w:val="DD"/>
    <w:aliases w:val="Dictionary Definition"/>
    <w:basedOn w:val="Normal"/>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rsid w:val="009C5367"/>
    <w:rPr>
      <w:rFonts w:ascii="Times New Roman" w:hAnsi="Times New Roman"/>
      <w:sz w:val="24"/>
      <w:szCs w:val="24"/>
      <w:lang w:eastAsia="en-AU" w:bidi="ar-SA"/>
    </w:rPr>
  </w:style>
  <w:style w:type="paragraph" w:customStyle="1" w:styleId="DNote">
    <w:name w:val="DNote"/>
    <w:aliases w:val="DictionaryNote"/>
    <w:basedOn w:val="Normal"/>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rsid w:val="009C5367"/>
    <w:pPr>
      <w:shd w:val="clear" w:color="auto" w:fill="000080"/>
    </w:pPr>
    <w:rPr>
      <w:rFonts w:ascii="Tahoma" w:hAnsi="Tahoma" w:cs="Tahoma"/>
      <w:sz w:val="24"/>
      <w:szCs w:val="24"/>
      <w:lang w:eastAsia="en-AU" w:bidi="ar-SA"/>
    </w:rPr>
  </w:style>
  <w:style w:type="paragraph" w:customStyle="1" w:styleId="DP1a">
    <w:name w:val="DP1(a)"/>
    <w:aliases w:val="Dictionary (a)"/>
    <w:basedOn w:val="Normal"/>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rsid w:val="009C5367"/>
    <w:rPr>
      <w:vertAlign w:val="superscript"/>
    </w:rPr>
  </w:style>
  <w:style w:type="paragraph" w:styleId="EndnoteText">
    <w:name w:val="endnote text"/>
    <w:basedOn w:val="Normal"/>
    <w:rsid w:val="009C5367"/>
    <w:rPr>
      <w:rFonts w:ascii="Times New Roman" w:hAnsi="Times New Roman"/>
      <w:lang w:eastAsia="en-AU" w:bidi="ar-SA"/>
    </w:rPr>
  </w:style>
  <w:style w:type="paragraph" w:customStyle="1" w:styleId="ExampleBody">
    <w:name w:val="Example Body"/>
    <w:basedOn w:val="Normal"/>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rsid w:val="009C5367"/>
    <w:pPr>
      <w:keepNext/>
      <w:spacing w:before="300"/>
      <w:ind w:left="964"/>
    </w:pPr>
    <w:rPr>
      <w:i/>
      <w:sz w:val="24"/>
      <w:szCs w:val="24"/>
      <w:lang w:eastAsia="en-AU" w:bidi="ar-SA"/>
    </w:rPr>
  </w:style>
  <w:style w:type="paragraph" w:styleId="Index1">
    <w:name w:val="index 1"/>
    <w:basedOn w:val="Normal"/>
    <w:next w:val="Normal"/>
    <w:autoRedefine/>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rsid w:val="009C5367"/>
    <w:rPr>
      <w:rFonts w:cs="Arial"/>
      <w:b/>
      <w:bCs/>
      <w:sz w:val="24"/>
      <w:szCs w:val="24"/>
      <w:lang w:eastAsia="en-AU" w:bidi="ar-SA"/>
    </w:rPr>
  </w:style>
  <w:style w:type="paragraph" w:customStyle="1" w:styleId="Lt">
    <w:name w:val="Lt"/>
    <w:aliases w:val="Long title"/>
    <w:basedOn w:val="Normal"/>
    <w:rsid w:val="009C5367"/>
    <w:pPr>
      <w:spacing w:before="260"/>
    </w:pPr>
    <w:rPr>
      <w:b/>
      <w:sz w:val="28"/>
      <w:szCs w:val="24"/>
      <w:lang w:eastAsia="en-AU" w:bidi="ar-SA"/>
    </w:rPr>
  </w:style>
  <w:style w:type="paragraph" w:customStyle="1" w:styleId="M1">
    <w:name w:val="M1"/>
    <w:aliases w:val="Modification Heading"/>
    <w:basedOn w:val="Normal"/>
    <w:next w:val="Normal"/>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C5367"/>
    <w:rPr>
      <w:rFonts w:ascii="Times New Roman" w:hAnsi="Times New Roman"/>
      <w:sz w:val="24"/>
      <w:szCs w:val="24"/>
      <w:lang w:eastAsia="en-AU" w:bidi="ar-SA"/>
    </w:rPr>
  </w:style>
  <w:style w:type="paragraph" w:customStyle="1" w:styleId="Maker">
    <w:name w:val="Maker"/>
    <w:basedOn w:val="Normal"/>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rsid w:val="009C5367"/>
    <w:rPr>
      <w:rFonts w:ascii="Times New Roman" w:hAnsi="Times New Roman"/>
      <w:sz w:val="24"/>
      <w:szCs w:val="24"/>
      <w:lang w:eastAsia="en-AU" w:bidi="ar-SA"/>
    </w:rPr>
  </w:style>
  <w:style w:type="paragraph" w:customStyle="1" w:styleId="P1">
    <w:name w:val="P1"/>
    <w:aliases w:val="(a)"/>
    <w:basedOn w:val="Normal"/>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rsid w:val="009C5367"/>
    <w:rPr>
      <w:rFonts w:ascii="Times New Roman" w:hAnsi="Times New Roman"/>
      <w:sz w:val="4"/>
      <w:szCs w:val="2"/>
      <w:lang w:eastAsia="en-AU" w:bidi="ar-SA"/>
    </w:rPr>
  </w:style>
  <w:style w:type="paragraph" w:customStyle="1" w:styleId="Penalty">
    <w:name w:val="Penalty"/>
    <w:basedOn w:val="Normal"/>
    <w:next w:val="Normal"/>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rsid w:val="009C5367"/>
    <w:rPr>
      <w:rFonts w:ascii="Times New Roman" w:hAnsi="Times New Roman"/>
      <w:sz w:val="24"/>
      <w:szCs w:val="24"/>
      <w:lang w:eastAsia="en-AU" w:bidi="ar-SA"/>
    </w:rPr>
  </w:style>
  <w:style w:type="paragraph" w:customStyle="1" w:styleId="RGHead">
    <w:name w:val="RGHead"/>
    <w:basedOn w:val="Normal"/>
    <w:next w:val="Normal"/>
    <w:rsid w:val="009C5367"/>
    <w:pPr>
      <w:keepNext/>
      <w:spacing w:before="360"/>
    </w:pPr>
    <w:rPr>
      <w:b/>
      <w:sz w:val="32"/>
      <w:szCs w:val="24"/>
      <w:lang w:eastAsia="en-AU" w:bidi="ar-SA"/>
    </w:rPr>
  </w:style>
  <w:style w:type="paragraph" w:customStyle="1" w:styleId="RGPara">
    <w:name w:val="RGPara"/>
    <w:aliases w:val="Readers Guide Para"/>
    <w:basedOn w:val="Normal"/>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rsid w:val="009C5367"/>
    <w:rPr>
      <w:rFonts w:ascii="Times New Roman" w:hAnsi="Times New Roman"/>
      <w:sz w:val="24"/>
      <w:szCs w:val="24"/>
      <w:lang w:eastAsia="en-AU" w:bidi="ar-SA"/>
    </w:rPr>
  </w:style>
  <w:style w:type="paragraph" w:customStyle="1" w:styleId="ScheduleDivision">
    <w:name w:val="Schedule Division"/>
    <w:basedOn w:val="Normal"/>
    <w:next w:val="ScheduleHeading"/>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rsid w:val="009C5367"/>
  </w:style>
  <w:style w:type="character" w:customStyle="1" w:styleId="CharSchText">
    <w:name w:val="CharSchText"/>
    <w:basedOn w:val="DefaultParagraphFont"/>
    <w:rsid w:val="009C5367"/>
  </w:style>
  <w:style w:type="paragraph" w:customStyle="1" w:styleId="IntroP1a">
    <w:name w:val="IntroP1(a)"/>
    <w:basedOn w:val="Normal"/>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rsid w:val="009C5367"/>
  </w:style>
  <w:style w:type="character" w:customStyle="1" w:styleId="CharAmSchPTText">
    <w:name w:val="CharAmSchPTText"/>
    <w:basedOn w:val="DefaultParagraphFont"/>
    <w:rsid w:val="009C5367"/>
  </w:style>
  <w:style w:type="paragraph" w:customStyle="1" w:styleId="Footerinfo0">
    <w:name w:val="Footerinfo"/>
    <w:basedOn w:val="Footer"/>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rsid w:val="009C5367"/>
    <w:pPr>
      <w:jc w:val="left"/>
    </w:pPr>
  </w:style>
  <w:style w:type="paragraph" w:customStyle="1" w:styleId="FooterPageOdd">
    <w:name w:val="FooterPageOdd"/>
    <w:basedOn w:val="Footer"/>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rsid w:val="009C5367"/>
    <w:rPr>
      <w:rFonts w:ascii="Times New Roman" w:hAnsi="Times New Roman"/>
      <w:sz w:val="24"/>
      <w:szCs w:val="24"/>
      <w:lang w:eastAsia="en-AU" w:bidi="ar-SA"/>
    </w:rPr>
  </w:style>
  <w:style w:type="paragraph" w:customStyle="1" w:styleId="ScheduleHeading">
    <w:name w:val="Schedule Heading"/>
    <w:basedOn w:val="Normal"/>
    <w:next w:val="Normal"/>
    <w:rsid w:val="009C5367"/>
    <w:pPr>
      <w:keepNext/>
      <w:keepLines/>
      <w:spacing w:before="360"/>
      <w:ind w:left="964" w:hanging="964"/>
    </w:pPr>
    <w:rPr>
      <w:b/>
      <w:sz w:val="24"/>
      <w:szCs w:val="24"/>
      <w:lang w:eastAsia="en-AU" w:bidi="ar-SA"/>
    </w:rPr>
  </w:style>
  <w:style w:type="paragraph" w:customStyle="1" w:styleId="Schedulelist">
    <w:name w:val="Schedule list"/>
    <w:basedOn w:val="Normal"/>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rsid w:val="009C5367"/>
    <w:rPr>
      <w:rFonts w:ascii="Times New Roman" w:hAnsi="Times New Roman"/>
      <w:sz w:val="24"/>
      <w:szCs w:val="24"/>
      <w:lang w:eastAsia="en-AU" w:bidi="ar-SA"/>
    </w:rPr>
  </w:style>
  <w:style w:type="paragraph" w:customStyle="1" w:styleId="SRNo">
    <w:name w:val="SRNo"/>
    <w:basedOn w:val="Normal"/>
    <w:next w:val="Normal"/>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rsid w:val="009C5367"/>
    <w:pPr>
      <w:keepNext/>
      <w:spacing w:before="120" w:after="60" w:line="200" w:lineRule="exact"/>
    </w:pPr>
    <w:rPr>
      <w:b/>
      <w:sz w:val="18"/>
      <w:szCs w:val="24"/>
      <w:lang w:eastAsia="en-AU" w:bidi="ar-SA"/>
    </w:rPr>
  </w:style>
  <w:style w:type="table" w:customStyle="1" w:styleId="TableGeneral">
    <w:name w:val="TableGeneral"/>
    <w:basedOn w:val="TableNormal"/>
    <w:rsid w:val="009C536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rsid w:val="009C5367"/>
    <w:pPr>
      <w:spacing w:before="120"/>
    </w:pPr>
    <w:rPr>
      <w:rFonts w:cs="Arial"/>
      <w:b/>
      <w:bCs/>
      <w:sz w:val="24"/>
      <w:szCs w:val="24"/>
      <w:lang w:eastAsia="en-AU" w:bidi="ar-SA"/>
    </w:rPr>
  </w:style>
  <w:style w:type="paragraph" w:customStyle="1" w:styleId="TOC">
    <w:name w:val="TOC"/>
    <w:basedOn w:val="Normal"/>
    <w:next w:val="Normal"/>
    <w:rsid w:val="009C5367"/>
    <w:pPr>
      <w:tabs>
        <w:tab w:val="right" w:pos="7088"/>
      </w:tabs>
      <w:spacing w:after="120"/>
    </w:pPr>
    <w:rPr>
      <w:szCs w:val="24"/>
      <w:lang w:bidi="ar-SA"/>
    </w:rPr>
  </w:style>
  <w:style w:type="paragraph" w:styleId="TOC4">
    <w:name w:val="toc 4"/>
    <w:basedOn w:val="Normal"/>
    <w:next w:val="Normal"/>
    <w:autoRedefine/>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rsid w:val="009C5367"/>
    <w:pPr>
      <w:tabs>
        <w:tab w:val="right" w:pos="8278"/>
      </w:tabs>
      <w:spacing w:before="60"/>
      <w:ind w:left="1843" w:right="714" w:hanging="1843"/>
    </w:pPr>
    <w:rPr>
      <w:szCs w:val="24"/>
      <w:lang w:bidi="ar-SA"/>
    </w:rPr>
  </w:style>
  <w:style w:type="paragraph" w:styleId="TOC9">
    <w:name w:val="toc 9"/>
    <w:basedOn w:val="Normal"/>
    <w:next w:val="Normal"/>
    <w:autoRedefine/>
    <w:rsid w:val="009C5367"/>
    <w:pPr>
      <w:tabs>
        <w:tab w:val="right" w:pos="8278"/>
      </w:tabs>
      <w:spacing w:before="240" w:after="120"/>
    </w:pPr>
    <w:rPr>
      <w:b/>
      <w:szCs w:val="24"/>
      <w:lang w:bidi="ar-SA"/>
    </w:rPr>
  </w:style>
  <w:style w:type="paragraph" w:customStyle="1" w:styleId="IntroP2i">
    <w:name w:val="IntroP2(i)"/>
    <w:basedOn w:val="Normal"/>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rsid w:val="009C5367"/>
    <w:pPr>
      <w:spacing w:before="120"/>
      <w:ind w:left="958" w:hanging="958"/>
    </w:pPr>
    <w:rPr>
      <w:rFonts w:cs="Arial"/>
      <w:b/>
      <w:sz w:val="16"/>
      <w:szCs w:val="18"/>
      <w:lang w:bidi="ar-SA"/>
    </w:rPr>
  </w:style>
  <w:style w:type="paragraph" w:customStyle="1" w:styleId="ZA2">
    <w:name w:val="ZA2"/>
    <w:basedOn w:val="A2"/>
    <w:rsid w:val="009C5367"/>
    <w:pPr>
      <w:keepNext/>
    </w:pPr>
  </w:style>
  <w:style w:type="paragraph" w:customStyle="1" w:styleId="ZA3">
    <w:name w:val="ZA3"/>
    <w:basedOn w:val="A3"/>
    <w:rsid w:val="009C5367"/>
    <w:pPr>
      <w:keepNext/>
    </w:pPr>
  </w:style>
  <w:style w:type="paragraph" w:customStyle="1" w:styleId="ZA4">
    <w:name w:val="ZA4"/>
    <w:basedOn w:val="Normal"/>
    <w:next w:val="A4"/>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rsid w:val="009C5367"/>
    <w:pPr>
      <w:keepNext/>
    </w:pPr>
  </w:style>
  <w:style w:type="paragraph" w:customStyle="1" w:styleId="Zdefinition">
    <w:name w:val="Zdefinition"/>
    <w:basedOn w:val="definition"/>
    <w:rsid w:val="009C5367"/>
    <w:pPr>
      <w:keepNext/>
    </w:pPr>
  </w:style>
  <w:style w:type="paragraph" w:customStyle="1" w:styleId="ZDP1">
    <w:name w:val="ZDP1"/>
    <w:basedOn w:val="DP1a"/>
    <w:rsid w:val="009C5367"/>
    <w:pPr>
      <w:keepNext/>
    </w:pPr>
  </w:style>
  <w:style w:type="paragraph" w:customStyle="1" w:styleId="ZExampleBody">
    <w:name w:val="ZExample Body"/>
    <w:basedOn w:val="ExampleBody"/>
    <w:rsid w:val="009C5367"/>
    <w:pPr>
      <w:keepNext/>
    </w:pPr>
  </w:style>
  <w:style w:type="paragraph" w:customStyle="1" w:styleId="ZNote">
    <w:name w:val="ZNote"/>
    <w:basedOn w:val="Note"/>
    <w:rsid w:val="009C5367"/>
    <w:pPr>
      <w:keepNext/>
    </w:pPr>
  </w:style>
  <w:style w:type="paragraph" w:customStyle="1" w:styleId="ZP1">
    <w:name w:val="ZP1"/>
    <w:basedOn w:val="P1"/>
    <w:rsid w:val="009C5367"/>
    <w:pPr>
      <w:keepNext/>
    </w:pPr>
  </w:style>
  <w:style w:type="paragraph" w:customStyle="1" w:styleId="ZP2">
    <w:name w:val="ZP2"/>
    <w:basedOn w:val="P2"/>
    <w:rsid w:val="009C5367"/>
    <w:pPr>
      <w:keepNext/>
    </w:pPr>
  </w:style>
  <w:style w:type="paragraph" w:customStyle="1" w:styleId="ZP3">
    <w:name w:val="ZP3"/>
    <w:basedOn w:val="P3"/>
    <w:rsid w:val="009C5367"/>
    <w:pPr>
      <w:keepNext/>
    </w:pPr>
  </w:style>
  <w:style w:type="paragraph" w:customStyle="1" w:styleId="ZR1">
    <w:name w:val="ZR1"/>
    <w:basedOn w:val="R1"/>
    <w:rsid w:val="009C5367"/>
    <w:pPr>
      <w:keepNext/>
    </w:pPr>
  </w:style>
  <w:style w:type="paragraph" w:customStyle="1" w:styleId="ZR2">
    <w:name w:val="ZR2"/>
    <w:basedOn w:val="R2"/>
    <w:rsid w:val="009C5367"/>
    <w:pPr>
      <w:keepNext/>
    </w:pPr>
  </w:style>
  <w:style w:type="paragraph" w:customStyle="1" w:styleId="ZRcN">
    <w:name w:val="ZRcN"/>
    <w:basedOn w:val="Rc"/>
    <w:rsid w:val="009C5367"/>
    <w:pPr>
      <w:keepNext/>
    </w:pPr>
  </w:style>
  <w:style w:type="character" w:customStyle="1" w:styleId="SubtitleChar">
    <w:name w:val="Subtitle Char"/>
    <w:basedOn w:val="DefaultParagraphFont"/>
    <w:link w:val="Subtitle"/>
    <w:rsid w:val="00E818EB"/>
    <w:rPr>
      <w:rFonts w:ascii="Arial" w:hAnsi="Arial" w:cs="Arial"/>
      <w:sz w:val="24"/>
      <w:szCs w:val="24"/>
    </w:rPr>
  </w:style>
  <w:style w:type="paragraph" w:styleId="Revision">
    <w:name w:val="Revision"/>
    <w:hidden/>
    <w:uiPriority w:val="99"/>
    <w:semiHidden/>
    <w:rsid w:val="00611405"/>
    <w:rPr>
      <w:rFonts w:ascii="Arial" w:hAnsi="Arial"/>
      <w:lang w:eastAsia="en-US" w:bidi="he-IL"/>
    </w:rPr>
  </w:style>
  <w:style w:type="paragraph" w:customStyle="1" w:styleId="Body">
    <w:name w:val="Body"/>
    <w:basedOn w:val="Normal"/>
    <w:rsid w:val="00C747E9"/>
    <w:pPr>
      <w:numPr>
        <w:numId w:val="49"/>
      </w:numPr>
      <w:spacing w:before="120" w:after="120"/>
    </w:pPr>
    <w:rPr>
      <w:rFonts w:ascii="Times New Roman" w:hAnsi="Times New Roman"/>
      <w:sz w:val="24"/>
      <w:lang w:eastAsia="en-AU" w:bidi="ar-SA"/>
    </w:rPr>
  </w:style>
  <w:style w:type="character" w:customStyle="1" w:styleId="CommentTextChar">
    <w:name w:val="Comment Text Char"/>
    <w:basedOn w:val="DefaultParagraphFont"/>
    <w:link w:val="CommentText"/>
    <w:semiHidden/>
    <w:rsid w:val="00264F85"/>
    <w:rPr>
      <w:rFonts w:ascii="Arial" w:hAnsi="Arial"/>
      <w:lang w:eastAsia="en-US" w:bidi="he-IL"/>
    </w:rPr>
  </w:style>
  <w:style w:type="character" w:customStyle="1" w:styleId="Heading3Char">
    <w:name w:val="Heading 3 Char"/>
    <w:basedOn w:val="DefaultParagraphFont"/>
    <w:link w:val="Heading3"/>
    <w:rsid w:val="00D01D7D"/>
    <w:rPr>
      <w:rFonts w:ascii="Arial" w:hAnsi="Arial" w:cs="Arial"/>
      <w:b/>
      <w:bCs/>
      <w:sz w:val="24"/>
      <w:szCs w:val="24"/>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rsid w:val="00860E45"/>
    <w:rPr>
      <w:lang w:eastAsia="en-US"/>
    </w:rPr>
  </w:style>
  <w:style w:type="character" w:customStyle="1" w:styleId="Heading2Char">
    <w:name w:val="Heading 2 Char"/>
    <w:basedOn w:val="DefaultParagraphFont"/>
    <w:link w:val="Heading2"/>
    <w:rsid w:val="002476EE"/>
    <w:rPr>
      <w:rFonts w:ascii="Arial" w:hAnsi="Arial" w:cs="Arial"/>
      <w:b/>
      <w:bCs/>
      <w:i/>
      <w:iCs/>
      <w:sz w:val="28"/>
      <w:szCs w:val="28"/>
    </w:rPr>
  </w:style>
  <w:style w:type="character" w:customStyle="1" w:styleId="ACMANumberedListChar">
    <w:name w:val="ACMA Numbered List Char"/>
    <w:basedOn w:val="DefaultParagraphFont"/>
    <w:link w:val="ACMANumberedList"/>
    <w:rsid w:val="007B5580"/>
    <w:rPr>
      <w:sz w:val="24"/>
      <w:lang w:eastAsia="en-US"/>
    </w:rPr>
  </w:style>
  <w:style w:type="character" w:customStyle="1" w:styleId="legsubtitle1">
    <w:name w:val="legsubtitle1"/>
    <w:basedOn w:val="DefaultParagraphFont"/>
    <w:rsid w:val="00A85A06"/>
    <w:rPr>
      <w:b/>
      <w:bCs/>
    </w:rPr>
  </w:style>
  <w:style w:type="paragraph" w:styleId="ListParagraph">
    <w:name w:val="List Paragraph"/>
    <w:basedOn w:val="Normal"/>
    <w:uiPriority w:val="34"/>
    <w:qFormat/>
    <w:rsid w:val="001A099E"/>
    <w:pPr>
      <w:ind w:left="720"/>
      <w:contextualSpacing/>
    </w:pPr>
  </w:style>
  <w:style w:type="character" w:customStyle="1" w:styleId="FooterChar">
    <w:name w:val="Footer Char"/>
    <w:basedOn w:val="DefaultParagraphFont"/>
    <w:link w:val="Footer"/>
    <w:uiPriority w:val="99"/>
    <w:rsid w:val="00F87473"/>
    <w:rPr>
      <w:rFonts w:ascii="Arial" w:hAnsi="Arial"/>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2627">
      <w:bodyDiv w:val="1"/>
      <w:marLeft w:val="0"/>
      <w:marRight w:val="0"/>
      <w:marTop w:val="0"/>
      <w:marBottom w:val="0"/>
      <w:divBdr>
        <w:top w:val="none" w:sz="0" w:space="0" w:color="auto"/>
        <w:left w:val="none" w:sz="0" w:space="0" w:color="auto"/>
        <w:bottom w:val="none" w:sz="0" w:space="0" w:color="auto"/>
        <w:right w:val="none" w:sz="0" w:space="0" w:color="auto"/>
      </w:divBdr>
    </w:div>
    <w:div w:id="606543854">
      <w:bodyDiv w:val="1"/>
      <w:marLeft w:val="0"/>
      <w:marRight w:val="0"/>
      <w:marTop w:val="0"/>
      <w:marBottom w:val="0"/>
      <w:divBdr>
        <w:top w:val="none" w:sz="0" w:space="0" w:color="auto"/>
        <w:left w:val="none" w:sz="0" w:space="0" w:color="auto"/>
        <w:bottom w:val="none" w:sz="0" w:space="0" w:color="auto"/>
        <w:right w:val="none" w:sz="0" w:space="0" w:color="auto"/>
      </w:divBdr>
    </w:div>
    <w:div w:id="839351179">
      <w:bodyDiv w:val="1"/>
      <w:marLeft w:val="0"/>
      <w:marRight w:val="0"/>
      <w:marTop w:val="0"/>
      <w:marBottom w:val="0"/>
      <w:divBdr>
        <w:top w:val="none" w:sz="0" w:space="0" w:color="auto"/>
        <w:left w:val="none" w:sz="0" w:space="0" w:color="auto"/>
        <w:bottom w:val="none" w:sz="0" w:space="0" w:color="auto"/>
        <w:right w:val="none" w:sz="0" w:space="0" w:color="auto"/>
      </w:divBdr>
    </w:div>
    <w:div w:id="865141737">
      <w:bodyDiv w:val="1"/>
      <w:marLeft w:val="0"/>
      <w:marRight w:val="0"/>
      <w:marTop w:val="0"/>
      <w:marBottom w:val="0"/>
      <w:divBdr>
        <w:top w:val="none" w:sz="0" w:space="0" w:color="auto"/>
        <w:left w:val="none" w:sz="0" w:space="0" w:color="auto"/>
        <w:bottom w:val="none" w:sz="0" w:space="0" w:color="auto"/>
        <w:right w:val="none" w:sz="0" w:space="0" w:color="auto"/>
      </w:divBdr>
    </w:div>
    <w:div w:id="1381900425">
      <w:bodyDiv w:val="1"/>
      <w:marLeft w:val="0"/>
      <w:marRight w:val="0"/>
      <w:marTop w:val="0"/>
      <w:marBottom w:val="0"/>
      <w:divBdr>
        <w:top w:val="none" w:sz="0" w:space="0" w:color="auto"/>
        <w:left w:val="none" w:sz="0" w:space="0" w:color="auto"/>
        <w:bottom w:val="none" w:sz="0" w:space="0" w:color="auto"/>
        <w:right w:val="none" w:sz="0" w:space="0" w:color="auto"/>
      </w:divBdr>
    </w:div>
    <w:div w:id="1449394730">
      <w:bodyDiv w:val="1"/>
      <w:marLeft w:val="0"/>
      <w:marRight w:val="0"/>
      <w:marTop w:val="0"/>
      <w:marBottom w:val="0"/>
      <w:divBdr>
        <w:top w:val="none" w:sz="0" w:space="0" w:color="auto"/>
        <w:left w:val="none" w:sz="0" w:space="0" w:color="auto"/>
        <w:bottom w:val="none" w:sz="0" w:space="0" w:color="auto"/>
        <w:right w:val="none" w:sz="0" w:space="0" w:color="auto"/>
      </w:divBdr>
    </w:div>
    <w:div w:id="1538464821">
      <w:bodyDiv w:val="1"/>
      <w:marLeft w:val="0"/>
      <w:marRight w:val="0"/>
      <w:marTop w:val="0"/>
      <w:marBottom w:val="0"/>
      <w:divBdr>
        <w:top w:val="none" w:sz="0" w:space="0" w:color="auto"/>
        <w:left w:val="none" w:sz="0" w:space="0" w:color="auto"/>
        <w:bottom w:val="none" w:sz="0" w:space="0" w:color="auto"/>
        <w:right w:val="none" w:sz="0" w:space="0" w:color="auto"/>
      </w:divBdr>
    </w:div>
    <w:div w:id="1675188604">
      <w:bodyDiv w:val="1"/>
      <w:marLeft w:val="0"/>
      <w:marRight w:val="0"/>
      <w:marTop w:val="0"/>
      <w:marBottom w:val="0"/>
      <w:divBdr>
        <w:top w:val="none" w:sz="0" w:space="0" w:color="auto"/>
        <w:left w:val="none" w:sz="0" w:space="0" w:color="auto"/>
        <w:bottom w:val="none" w:sz="0" w:space="0" w:color="auto"/>
        <w:right w:val="none" w:sz="0" w:space="0" w:color="auto"/>
      </w:divBdr>
    </w:div>
    <w:div w:id="1876624777">
      <w:bodyDiv w:val="1"/>
      <w:marLeft w:val="0"/>
      <w:marRight w:val="0"/>
      <w:marTop w:val="0"/>
      <w:marBottom w:val="0"/>
      <w:divBdr>
        <w:top w:val="none" w:sz="0" w:space="0" w:color="auto"/>
        <w:left w:val="none" w:sz="0" w:space="0" w:color="auto"/>
        <w:bottom w:val="none" w:sz="0" w:space="0" w:color="auto"/>
        <w:right w:val="none" w:sz="0" w:space="0" w:color="auto"/>
      </w:divBdr>
    </w:div>
    <w:div w:id="19535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m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E4C2BCA94CB49809A94BB08B1BB71" ma:contentTypeVersion="2" ma:contentTypeDescription="Create a new document." ma:contentTypeScope="" ma:versionID="c66064a24301773ce2b6fc68a3b4aace">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3NE2HDV7HD6D-1394182535-2200</_dlc_DocId>
    <_dlc_DocIdUrl xmlns="1d983eb4-33f7-44b0-aea1-cbdcf0c55136">
      <Url>http://collaboration/organisation/cid/SRI/EAS/_layouts/15/DocIdRedir.aspx?ID=3NE2HDV7HD6D-1394182535-2200</Url>
      <Description>3NE2HDV7HD6D-1394182535-2200</Description>
    </_dlc_DocIdUrl>
  </documentManagement>
</p:properties>
</file>

<file path=customXml/itemProps1.xml><?xml version="1.0" encoding="utf-8"?>
<ds:datastoreItem xmlns:ds="http://schemas.openxmlformats.org/officeDocument/2006/customXml" ds:itemID="{61680830-F0C6-4683-8BE9-E88100777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77EAE-D198-4464-9AEB-9D729EFDEA50}">
  <ds:schemaRefs>
    <ds:schemaRef ds:uri="http://schemas.microsoft.com/sharepoint/events"/>
  </ds:schemaRefs>
</ds:datastoreItem>
</file>

<file path=customXml/itemProps3.xml><?xml version="1.0" encoding="utf-8"?>
<ds:datastoreItem xmlns:ds="http://schemas.openxmlformats.org/officeDocument/2006/customXml" ds:itemID="{95FC8A89-E883-43FB-B1A1-F3FED6919872}">
  <ds:schemaRefs>
    <ds:schemaRef ds:uri="http://schemas.microsoft.com/sharepoint/v3/contenttype/forms"/>
  </ds:schemaRefs>
</ds:datastoreItem>
</file>

<file path=customXml/itemProps4.xml><?xml version="1.0" encoding="utf-8"?>
<ds:datastoreItem xmlns:ds="http://schemas.openxmlformats.org/officeDocument/2006/customXml" ds:itemID="{A642259B-6671-479A-ADFA-A83D082D66F7}">
  <ds:schemaRefs>
    <ds:schemaRef ds:uri="http://purl.org/dc/terms/"/>
    <ds:schemaRef ds:uri="http://purl.org/dc/dcmitype/"/>
    <ds:schemaRef ds:uri="1d983eb4-33f7-44b0-aea1-cbdcf0c55136"/>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2694</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ebatema</dc:creator>
  <cp:lastModifiedBy>Sudharshini Jeyaseelan</cp:lastModifiedBy>
  <cp:revision>3</cp:revision>
  <cp:lastPrinted>2015-11-16T05:17:00Z</cp:lastPrinted>
  <dcterms:created xsi:type="dcterms:W3CDTF">2018-02-16T00:44:00Z</dcterms:created>
  <dcterms:modified xsi:type="dcterms:W3CDTF">2018-02-16T02:25:00Z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b285d370-c04a-42d3-9459-122d9cc9f1a4</vt:lpwstr>
  </property>
  <property fmtid="{D5CDD505-2E9C-101B-9397-08002B2CF9AE}" pid="3" name="ContentTypeId">
    <vt:lpwstr>0x01010032BE4C2BCA94CB49809A94BB08B1BB71</vt:lpwstr>
  </property>
</Properties>
</file>