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rsidTr="00A22E0D">
        <w:tc>
          <w:tcPr>
            <w:tcW w:w="4661" w:type="dxa"/>
          </w:tcPr>
          <w:p w:rsidR="00090A6F" w:rsidRPr="0000292B" w:rsidRDefault="00364B30">
            <w:pPr>
              <w:pStyle w:val="CoverStandard"/>
            </w:pPr>
            <w:bookmarkStart w:id="0" w:name="_GoBack"/>
            <w:bookmarkEnd w:id="0"/>
            <w:r>
              <w:t>AASB</w:t>
            </w:r>
            <w:r w:rsidR="00831497">
              <w:t xml:space="preserve"> Standard</w:t>
            </w:r>
          </w:p>
        </w:tc>
        <w:tc>
          <w:tcPr>
            <w:tcW w:w="4661" w:type="dxa"/>
          </w:tcPr>
          <w:p w:rsidR="00090A6F" w:rsidRPr="0000292B" w:rsidRDefault="00831497">
            <w:pPr>
              <w:pStyle w:val="CoverNumber"/>
            </w:pPr>
            <w:r>
              <w:t>AASB</w:t>
            </w:r>
            <w:r w:rsidR="00086C20">
              <w:t> </w:t>
            </w:r>
            <w:bookmarkStart w:id="1" w:name="DocNo"/>
            <w:r w:rsidR="006C0E0C">
              <w:t>2018-1</w:t>
            </w:r>
            <w:bookmarkEnd w:id="1"/>
          </w:p>
          <w:p w:rsidR="00090A6F" w:rsidRPr="0000292B" w:rsidRDefault="006C0E0C">
            <w:pPr>
              <w:pStyle w:val="CoverDate"/>
            </w:pPr>
            <w:bookmarkStart w:id="2" w:name="DocDate"/>
            <w:r>
              <w:t>February 2018</w:t>
            </w:r>
            <w:bookmarkEnd w:id="2"/>
          </w:p>
        </w:tc>
      </w:tr>
    </w:tbl>
    <w:p w:rsidR="00090A6F" w:rsidRPr="0000292B" w:rsidRDefault="004F76DA" w:rsidP="00086C20">
      <w:pPr>
        <w:pStyle w:val="CoverTitle"/>
        <w:jc w:val="left"/>
      </w:pPr>
      <w:bookmarkStart w:id="3" w:name="DocTitle"/>
      <w:r>
        <w:t xml:space="preserve">Amendments to Australian Accounting </w:t>
      </w:r>
      <w:r w:rsidR="006830AD">
        <w:t>Standards – Annual Improvements</w:t>
      </w:r>
      <w:r w:rsidR="006830AD">
        <w:br/>
      </w:r>
      <w:r>
        <w:t>2015–2017 Cycle</w:t>
      </w:r>
      <w:bookmarkEnd w:id="3"/>
    </w:p>
    <w:p w:rsidR="00C5022C" w:rsidRPr="00C5022C" w:rsidRDefault="002B7803" w:rsidP="00C5022C">
      <w:pPr>
        <w:pStyle w:val="CoverSubtitle"/>
      </w:pPr>
      <w:r>
        <w:t>[</w:t>
      </w:r>
      <w:bookmarkStart w:id="4" w:name="AmendingNos"/>
      <w:r w:rsidR="00787A76">
        <w:t>AASB 3, AASB 11, AASB 112 &amp; AASB 123</w:t>
      </w:r>
      <w:bookmarkEnd w:id="4"/>
      <w:r>
        <w:t>]</w:t>
      </w:r>
    </w:p>
    <w:p w:rsidR="00737714" w:rsidRPr="0000292B" w:rsidRDefault="00737714" w:rsidP="00737714"/>
    <w:p w:rsidR="00090A6F" w:rsidRPr="0000292B" w:rsidRDefault="008B643A">
      <w:pPr>
        <w:sectPr w:rsidR="00090A6F" w:rsidRPr="0000292B" w:rsidSect="00D74C6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761234CD" wp14:editId="33809568">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rsidR="00895809" w:rsidRPr="0000292B" w:rsidRDefault="00895809" w:rsidP="00895809">
      <w:r w:rsidRPr="0000292B">
        <w:t>Australian Accounting Standards Board</w:t>
      </w:r>
    </w:p>
    <w:p w:rsidR="00895809" w:rsidRPr="0000292B" w:rsidRDefault="00895809" w:rsidP="00895809">
      <w:r>
        <w:t>PO Box 204</w:t>
      </w:r>
    </w:p>
    <w:p w:rsidR="00895809" w:rsidRPr="0000292B" w:rsidRDefault="00895809" w:rsidP="00895809">
      <w:r>
        <w:t>Collins Street West</w:t>
      </w:r>
    </w:p>
    <w:p w:rsidR="00895809" w:rsidRPr="0000292B" w:rsidRDefault="00895809" w:rsidP="00895809">
      <w:r>
        <w:t>Victoria   8007</w:t>
      </w:r>
    </w:p>
    <w:p w:rsidR="00895809" w:rsidRDefault="00895809" w:rsidP="00895809">
      <w:pPr>
        <w:pStyle w:val="CoverContact"/>
        <w:spacing w:after="200"/>
      </w:pPr>
      <w:r w:rsidRPr="0000292B">
        <w:t>AUSTRALIA</w:t>
      </w:r>
    </w:p>
    <w:p w:rsidR="00737714" w:rsidRDefault="00407AD3" w:rsidP="00B82F15">
      <w:pPr>
        <w:pStyle w:val="CoverContact"/>
      </w:pPr>
      <w:r>
        <w:t>Phone:</w:t>
      </w:r>
      <w:r>
        <w:tab/>
        <w:t>(03) 9617 7600</w:t>
      </w:r>
    </w:p>
    <w:p w:rsidR="00E96D45" w:rsidRDefault="00DB00CD" w:rsidP="00DB00CD">
      <w:pPr>
        <w:pStyle w:val="CoverContact"/>
      </w:pPr>
      <w:r>
        <w:t>E-mail:</w:t>
      </w:r>
      <w:r>
        <w:tab/>
      </w:r>
      <w:r w:rsidR="00407AD3">
        <w:t>standard</w:t>
      </w:r>
      <w:r>
        <w:t>@aasb.gov</w:t>
      </w:r>
      <w:r w:rsidRPr="00C5022C">
        <w:t>.au</w:t>
      </w:r>
    </w:p>
    <w:p w:rsidR="00E96D45" w:rsidRPr="00E96D45" w:rsidRDefault="00DB00CD" w:rsidP="00DB00CD">
      <w:pPr>
        <w:pStyle w:val="CoverContact"/>
        <w:spacing w:after="240"/>
      </w:pPr>
      <w:r>
        <w:t>Website:</w:t>
      </w:r>
      <w:r>
        <w:tab/>
        <w:t>www.aasb.gov.au</w:t>
      </w:r>
    </w:p>
    <w:p w:rsidR="00090A6F" w:rsidRPr="0000292B" w:rsidRDefault="00090A6F" w:rsidP="00F13C5A">
      <w:pPr>
        <w:pStyle w:val="Heading1"/>
      </w:pPr>
      <w:r w:rsidRPr="0000292B">
        <w:t xml:space="preserve">Other </w:t>
      </w:r>
      <w:r w:rsidR="005655CE" w:rsidRPr="0000292B">
        <w:t>enquiries</w:t>
      </w:r>
    </w:p>
    <w:p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rsidR="00090A6F" w:rsidRPr="0000292B" w:rsidRDefault="00923261">
      <w:pPr>
        <w:pStyle w:val="CoverContact"/>
      </w:pPr>
      <w:r>
        <w:t>E-mail:</w:t>
      </w:r>
      <w:r>
        <w:tab/>
        <w:t>standard@aasb.gov</w:t>
      </w:r>
      <w:r w:rsidR="00090A6F" w:rsidRPr="0000292B">
        <w:t>.au</w:t>
      </w:r>
    </w:p>
    <w:p w:rsidR="00276BC5" w:rsidRDefault="00276BC5" w:rsidP="00895809">
      <w:pPr>
        <w:pStyle w:val="NoNumPlain1"/>
        <w:spacing w:before="6240"/>
      </w:pPr>
      <w:r>
        <w:t>COPYRIGHT</w:t>
      </w:r>
    </w:p>
    <w:p w:rsidR="00276BC5" w:rsidRDefault="00276BC5" w:rsidP="00276BC5">
      <w:pPr>
        <w:pStyle w:val="NoNumPlain1"/>
      </w:pPr>
      <w:r>
        <w:t xml:space="preserve">© Commonwealth of Australia </w:t>
      </w:r>
      <w:bookmarkStart w:id="5" w:name="Year"/>
      <w:r w:rsidR="00787A76">
        <w:t>2018</w:t>
      </w:r>
      <w:bookmarkEnd w:id="5"/>
    </w:p>
    <w:p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086C20">
        <w:t xml:space="preserve">National </w:t>
      </w:r>
      <w:r w:rsidRPr="00DE4E67">
        <w:t xml:space="preserve">Director, Australian Accounting Standards Board, </w:t>
      </w:r>
      <w:r w:rsidR="00895809">
        <w:t>PO Box </w:t>
      </w:r>
      <w:r w:rsidRPr="00DE4E67">
        <w:t>204, Collins Street West, Victoria 8007.</w:t>
      </w:r>
    </w:p>
    <w:p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rsidR="007455F0" w:rsidRPr="0000292B" w:rsidRDefault="006D4700" w:rsidP="006D4700">
      <w:r>
        <w:t xml:space="preserve">ISSN </w:t>
      </w:r>
      <w:bookmarkStart w:id="6" w:name="ISSN"/>
      <w:r w:rsidR="00787A76">
        <w:t>1036-4803</w:t>
      </w:r>
      <w:bookmarkEnd w:id="6"/>
    </w:p>
    <w:p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rsidR="00090A6F" w:rsidRPr="0000292B" w:rsidRDefault="005655CE">
      <w:pPr>
        <w:pStyle w:val="Heading1"/>
      </w:pPr>
      <w:r w:rsidRPr="0000292B">
        <w:lastRenderedPageBreak/>
        <w:t>Contents</w:t>
      </w:r>
    </w:p>
    <w:p w:rsidR="00090A6F" w:rsidRPr="00086C20" w:rsidRDefault="00090A6F">
      <w:pPr>
        <w:pStyle w:val="ContentsCapsPlain"/>
        <w:rPr>
          <w:caps/>
        </w:rPr>
      </w:pPr>
      <w:r w:rsidRPr="00086C20">
        <w:rPr>
          <w:caps/>
        </w:rPr>
        <w:t>Preface</w:t>
      </w:r>
    </w:p>
    <w:p w:rsidR="00090A6F" w:rsidRPr="00086C20" w:rsidRDefault="00090A6F">
      <w:pPr>
        <w:pStyle w:val="ContentsCapsBold"/>
        <w:rPr>
          <w:caps/>
        </w:rPr>
      </w:pPr>
      <w:r w:rsidRPr="00086C20">
        <w:rPr>
          <w:caps/>
        </w:rPr>
        <w:t>Accounting Standard</w:t>
      </w:r>
    </w:p>
    <w:p w:rsidR="00090A6F" w:rsidRPr="00086C20" w:rsidRDefault="00090A6F">
      <w:pPr>
        <w:pStyle w:val="ContentsCapsBold"/>
        <w:rPr>
          <w:i/>
          <w:iCs/>
          <w:caps/>
        </w:rPr>
      </w:pPr>
      <w:r w:rsidRPr="00086C20">
        <w:rPr>
          <w:caps/>
        </w:rPr>
        <w:t>AASB</w:t>
      </w:r>
      <w:r w:rsidR="006B7561">
        <w:rPr>
          <w:caps/>
        </w:rPr>
        <w:t> </w:t>
      </w:r>
      <w:r w:rsidR="009C2479" w:rsidRPr="00086C20">
        <w:rPr>
          <w:iCs/>
          <w:caps/>
        </w:rPr>
        <w:fldChar w:fldCharType="begin" w:fldLock="1"/>
      </w:r>
      <w:r w:rsidR="009C2479" w:rsidRPr="00086C20">
        <w:rPr>
          <w:iCs/>
          <w:caps/>
        </w:rPr>
        <w:instrText xml:space="preserve"> REF DocNo \* charformat </w:instrText>
      </w:r>
      <w:r w:rsidR="00086C20">
        <w:rPr>
          <w:iCs/>
          <w:caps/>
        </w:rPr>
        <w:instrText xml:space="preserve"> \* MERGEFORMAT </w:instrText>
      </w:r>
      <w:r w:rsidR="009C2479" w:rsidRPr="00086C20">
        <w:rPr>
          <w:iCs/>
          <w:caps/>
        </w:rPr>
        <w:fldChar w:fldCharType="separate"/>
      </w:r>
      <w:r w:rsidR="004F76DA" w:rsidRPr="004F76DA">
        <w:rPr>
          <w:iCs/>
          <w:caps/>
        </w:rPr>
        <w:t>2018-1</w:t>
      </w:r>
      <w:r w:rsidR="009C2479" w:rsidRPr="00086C20">
        <w:rPr>
          <w:iCs/>
          <w:caps/>
        </w:rPr>
        <w:fldChar w:fldCharType="end"/>
      </w:r>
      <w:r w:rsidRPr="00086C20">
        <w:rPr>
          <w:caps/>
        </w:rPr>
        <w:t xml:space="preserve"> </w:t>
      </w:r>
      <w:r w:rsidR="00CC1DF4" w:rsidRPr="00086C20">
        <w:rPr>
          <w:i/>
          <w:caps/>
        </w:rPr>
        <w:fldChar w:fldCharType="begin" w:fldLock="1"/>
      </w:r>
      <w:r w:rsidR="00CC1DF4" w:rsidRPr="00086C20">
        <w:rPr>
          <w:i/>
          <w:caps/>
        </w:rPr>
        <w:instrText xml:space="preserve"> REF DocTitle \* charformat </w:instrText>
      </w:r>
      <w:r w:rsidR="00086C20">
        <w:rPr>
          <w:i/>
          <w:caps/>
        </w:rPr>
        <w:instrText xml:space="preserve"> \* MERGEFORMAT </w:instrText>
      </w:r>
      <w:r w:rsidR="00CC1DF4" w:rsidRPr="00086C20">
        <w:rPr>
          <w:i/>
          <w:caps/>
        </w:rPr>
        <w:fldChar w:fldCharType="separate"/>
      </w:r>
      <w:r w:rsidR="004F76DA" w:rsidRPr="004F76DA">
        <w:rPr>
          <w:i/>
          <w:caps/>
        </w:rPr>
        <w:t>Amendments to Australian Accounting Standards – Annual Improvements 2015–2017 Cycle</w:t>
      </w:r>
      <w:r w:rsidR="00CC1DF4" w:rsidRPr="00086C20">
        <w:rPr>
          <w:i/>
          <w:caps/>
        </w:rPr>
        <w:fldChar w:fldCharType="end"/>
      </w:r>
    </w:p>
    <w:p w:rsidR="002B7803" w:rsidRPr="002B7803" w:rsidRDefault="002B7803" w:rsidP="002B7803"/>
    <w:p w:rsidR="00090A6F" w:rsidRPr="0000292B" w:rsidRDefault="009965BA">
      <w:pPr>
        <w:pStyle w:val="ContentsParaHead"/>
      </w:pPr>
      <w:r>
        <w:t>from page</w:t>
      </w:r>
    </w:p>
    <w:p w:rsidR="00ED2466" w:rsidRPr="00ED2466" w:rsidRDefault="00ED2466" w:rsidP="00ED2466">
      <w:pPr>
        <w:pStyle w:val="ContentsLevel1"/>
        <w:rPr>
          <w:b/>
          <w:caps/>
        </w:rPr>
      </w:pPr>
      <w:bookmarkStart w:id="7" w:name="TOCRange"/>
      <w:r w:rsidRPr="00ED2466">
        <w:rPr>
          <w:b/>
          <w:caps/>
        </w:rPr>
        <w:t>Objective</w:t>
      </w:r>
      <w:r w:rsidRPr="00ED2466">
        <w:rPr>
          <w:b/>
          <w:caps/>
        </w:rPr>
        <w:tab/>
        <w:t>5</w:t>
      </w:r>
    </w:p>
    <w:p w:rsidR="00ED2466" w:rsidRPr="00ED2466" w:rsidRDefault="00ED2466" w:rsidP="00ED2466">
      <w:pPr>
        <w:pStyle w:val="ContentsLevel1"/>
        <w:rPr>
          <w:b/>
          <w:caps/>
        </w:rPr>
      </w:pPr>
      <w:r w:rsidRPr="00ED2466">
        <w:rPr>
          <w:b/>
          <w:caps/>
        </w:rPr>
        <w:t>Application</w:t>
      </w:r>
      <w:r w:rsidRPr="00ED2466">
        <w:rPr>
          <w:b/>
          <w:caps/>
        </w:rPr>
        <w:tab/>
        <w:t>5</w:t>
      </w:r>
    </w:p>
    <w:p w:rsidR="00ED2466" w:rsidRPr="00ED2466" w:rsidRDefault="00ED2466" w:rsidP="00ED2466">
      <w:pPr>
        <w:pStyle w:val="ContentsLevel1"/>
        <w:rPr>
          <w:b/>
          <w:caps/>
        </w:rPr>
      </w:pPr>
      <w:r w:rsidRPr="00ED2466">
        <w:rPr>
          <w:b/>
          <w:caps/>
        </w:rPr>
        <w:t>Amendments to AASB 3</w:t>
      </w:r>
      <w:r w:rsidRPr="00ED2466">
        <w:rPr>
          <w:b/>
          <w:caps/>
        </w:rPr>
        <w:tab/>
        <w:t>5</w:t>
      </w:r>
    </w:p>
    <w:p w:rsidR="00ED2466" w:rsidRPr="00ED2466" w:rsidRDefault="00ED2466" w:rsidP="00ED2466">
      <w:pPr>
        <w:pStyle w:val="ContentsLevel1"/>
        <w:rPr>
          <w:b/>
          <w:caps/>
        </w:rPr>
      </w:pPr>
      <w:r w:rsidRPr="00ED2466">
        <w:rPr>
          <w:b/>
          <w:caps/>
        </w:rPr>
        <w:t>Amendments to AASB 11</w:t>
      </w:r>
      <w:r w:rsidRPr="00ED2466">
        <w:rPr>
          <w:b/>
          <w:caps/>
        </w:rPr>
        <w:tab/>
        <w:t>6</w:t>
      </w:r>
    </w:p>
    <w:p w:rsidR="00ED2466" w:rsidRPr="00ED2466" w:rsidRDefault="00ED2466" w:rsidP="00ED2466">
      <w:pPr>
        <w:pStyle w:val="ContentsLevel1"/>
        <w:rPr>
          <w:b/>
          <w:caps/>
        </w:rPr>
      </w:pPr>
      <w:r w:rsidRPr="00ED2466">
        <w:rPr>
          <w:b/>
          <w:caps/>
        </w:rPr>
        <w:t>Amendments to AASB 112</w:t>
      </w:r>
      <w:r w:rsidRPr="00ED2466">
        <w:rPr>
          <w:b/>
          <w:caps/>
        </w:rPr>
        <w:tab/>
        <w:t>6</w:t>
      </w:r>
    </w:p>
    <w:p w:rsidR="00ED2466" w:rsidRPr="00ED2466" w:rsidRDefault="00ED2466" w:rsidP="00ED2466">
      <w:pPr>
        <w:pStyle w:val="ContentsLevel1"/>
        <w:rPr>
          <w:b/>
          <w:caps/>
        </w:rPr>
      </w:pPr>
      <w:r w:rsidRPr="00ED2466">
        <w:rPr>
          <w:b/>
          <w:caps/>
        </w:rPr>
        <w:t>Amendments to AASB 123</w:t>
      </w:r>
      <w:r w:rsidRPr="00ED2466">
        <w:rPr>
          <w:b/>
          <w:caps/>
        </w:rPr>
        <w:tab/>
        <w:t>7</w:t>
      </w:r>
    </w:p>
    <w:p w:rsidR="00ED2466" w:rsidRPr="00ED2466" w:rsidRDefault="00ED2466" w:rsidP="00ED2466">
      <w:pPr>
        <w:pStyle w:val="ContentsLevel1"/>
        <w:rPr>
          <w:b/>
          <w:caps/>
        </w:rPr>
      </w:pPr>
      <w:r w:rsidRPr="00ED2466">
        <w:rPr>
          <w:b/>
          <w:caps/>
        </w:rPr>
        <w:t>Commencement of the legislative instrument</w:t>
      </w:r>
      <w:r w:rsidRPr="00ED2466">
        <w:rPr>
          <w:b/>
          <w:caps/>
        </w:rPr>
        <w:tab/>
        <w:t>8</w:t>
      </w:r>
    </w:p>
    <w:bookmarkEnd w:id="7"/>
    <w:p w:rsidR="00ED2466" w:rsidRDefault="00ED2466" w:rsidP="00407AD3">
      <w:pPr>
        <w:spacing w:after="60"/>
        <w:jc w:val="left"/>
      </w:pPr>
    </w:p>
    <w:p w:rsidR="00ED2466" w:rsidRPr="00A005DF" w:rsidRDefault="00ED2466" w:rsidP="00407AD3">
      <w:pPr>
        <w:spacing w:after="60"/>
        <w:rPr>
          <w:b/>
          <w:caps/>
        </w:rPr>
      </w:pPr>
      <w:r w:rsidRPr="00A005DF">
        <w:rPr>
          <w:b/>
          <w:caps/>
        </w:rPr>
        <w:t>Available on the AASB website</w:t>
      </w:r>
    </w:p>
    <w:p w:rsidR="00ED2466" w:rsidRPr="00086C20" w:rsidRDefault="00ED2466" w:rsidP="00407AD3">
      <w:pPr>
        <w:spacing w:after="60"/>
        <w:rPr>
          <w:b/>
        </w:rPr>
      </w:pPr>
      <w:r w:rsidRPr="00086C20">
        <w:rPr>
          <w:b/>
        </w:rPr>
        <w:t>IASB Bases for Conclusions</w:t>
      </w:r>
      <w:r>
        <w:rPr>
          <w:b/>
        </w:rPr>
        <w:t xml:space="preserve"> – Amendments</w:t>
      </w:r>
    </w:p>
    <w:p w:rsidR="00ED2466" w:rsidRDefault="00ED2466" w:rsidP="00407AD3">
      <w:pPr>
        <w:spacing w:after="60"/>
      </w:pPr>
    </w:p>
    <w:p w:rsidR="00ED2466" w:rsidRDefault="00ED2466" w:rsidP="00407AD3">
      <w:pPr>
        <w:spacing w:after="60"/>
        <w:jc w:val="left"/>
      </w:pPr>
    </w:p>
    <w:p w:rsidR="00090A6F" w:rsidRPr="0000292B" w:rsidRDefault="00090A6F">
      <w:pPr>
        <w:pStyle w:val="ContentsBox"/>
      </w:pPr>
      <w:r w:rsidRPr="0000292B">
        <w:t>Australian Accounting Standard AASB</w:t>
      </w:r>
      <w:r w:rsidR="00A973FB">
        <w:t>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4F76DA" w:rsidRPr="004F76DA">
        <w:rPr>
          <w:iCs/>
        </w:rPr>
        <w:t>2018-1</w:t>
      </w:r>
      <w:r w:rsidR="00BC0D5D" w:rsidRPr="00BC0D5D">
        <w:rPr>
          <w:iCs/>
        </w:rPr>
        <w:fldChar w:fldCharType="end"/>
      </w:r>
      <w:r w:rsidRPr="0000292B">
        <w:t xml:space="preserve"> </w:t>
      </w:r>
      <w:r w:rsidR="00CC1DF4" w:rsidRPr="00CC1DF4">
        <w:rPr>
          <w:b/>
          <w:i/>
          <w:sz w:val="50"/>
        </w:rPr>
        <w:fldChar w:fldCharType="begin" w:fldLock="1"/>
      </w:r>
      <w:r w:rsidR="00CC1DF4" w:rsidRPr="00CC1DF4">
        <w:rPr>
          <w:i/>
        </w:rPr>
        <w:instrText xml:space="preserve"> REF DocTitle \* charformat </w:instrText>
      </w:r>
      <w:r w:rsidR="00CC1DF4" w:rsidRPr="00CC1DF4">
        <w:rPr>
          <w:b/>
          <w:i/>
          <w:sz w:val="50"/>
        </w:rPr>
        <w:fldChar w:fldCharType="separate"/>
      </w:r>
      <w:r w:rsidR="004F76DA" w:rsidRPr="004F76DA">
        <w:rPr>
          <w:i/>
        </w:rPr>
        <w:t>Amendments to Australian Accounting Standards – Annual Improvements 2015–2017 Cycle</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Pr="0000292B">
        <w:t xml:space="preserve"> </w:t>
      </w:r>
      <w:r w:rsidR="00ED2466">
        <w:t>5 – 8</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D74C6A">
          <w:footerReference w:type="default" r:id="rId15"/>
          <w:pgSz w:w="11907" w:h="16840" w:code="9"/>
          <w:pgMar w:top="1418" w:right="1418" w:bottom="1418" w:left="1418" w:header="709" w:footer="709" w:gutter="0"/>
          <w:paperSrc w:first="7" w:other="7"/>
          <w:cols w:space="720"/>
        </w:sectPr>
      </w:pPr>
    </w:p>
    <w:p w:rsidR="00090A6F" w:rsidRPr="0000292B" w:rsidRDefault="00090A6F">
      <w:pPr>
        <w:pStyle w:val="Heading1"/>
      </w:pPr>
      <w:r w:rsidRPr="0000292B">
        <w:lastRenderedPageBreak/>
        <w:t>Preface</w:t>
      </w:r>
    </w:p>
    <w:p w:rsidR="000F64CC" w:rsidRPr="0000292B" w:rsidRDefault="00CA61C5">
      <w:pPr>
        <w:pStyle w:val="Heading2"/>
      </w:pPr>
      <w:r>
        <w:t>Standards amended by AASB</w:t>
      </w:r>
      <w:r w:rsidR="006B7561">
        <w:t> </w:t>
      </w:r>
      <w:r>
        <w:fldChar w:fldCharType="begin" w:fldLock="1"/>
      </w:r>
      <w:r>
        <w:instrText xml:space="preserve"> REF DocNo \* charformat</w:instrText>
      </w:r>
      <w:r>
        <w:fldChar w:fldCharType="separate"/>
      </w:r>
      <w:r w:rsidR="004F76DA">
        <w:t>2018-1</w:t>
      </w:r>
      <w:r>
        <w:fldChar w:fldCharType="end"/>
      </w:r>
    </w:p>
    <w:p w:rsidR="008A16EB" w:rsidRDefault="009C2479" w:rsidP="005A2514">
      <w:pPr>
        <w:pStyle w:val="NoNumPlain1"/>
      </w:pPr>
      <w:r>
        <w:t xml:space="preserve">This Standard makes amendments to </w:t>
      </w:r>
      <w:r w:rsidR="009D19F1">
        <w:t xml:space="preserve">AASB 3 </w:t>
      </w:r>
      <w:r w:rsidR="009D19F1">
        <w:rPr>
          <w:i/>
        </w:rPr>
        <w:t>Business Combinations</w:t>
      </w:r>
      <w:r w:rsidR="009D19F1">
        <w:t xml:space="preserve"> (August 2015), AASB 11 </w:t>
      </w:r>
      <w:r w:rsidR="009D19F1">
        <w:rPr>
          <w:i/>
        </w:rPr>
        <w:t>Joint Arrangements</w:t>
      </w:r>
      <w:r w:rsidR="009D19F1">
        <w:t xml:space="preserve"> (July 2015), AASB 112 </w:t>
      </w:r>
      <w:r w:rsidR="009D19F1">
        <w:rPr>
          <w:i/>
        </w:rPr>
        <w:t>Income Taxes</w:t>
      </w:r>
      <w:r w:rsidR="009D19F1">
        <w:t xml:space="preserve"> (August 2015) and AASB 123 </w:t>
      </w:r>
      <w:r w:rsidR="009D19F1">
        <w:rPr>
          <w:i/>
        </w:rPr>
        <w:t>Borrowing Costs</w:t>
      </w:r>
      <w:r w:rsidR="009D19F1">
        <w:t xml:space="preserve"> (August 2015)</w:t>
      </w:r>
      <w:r w:rsidR="005A2514">
        <w:t>.</w:t>
      </w:r>
    </w:p>
    <w:p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8" w:name="ArisingTitle"/>
      <w:r w:rsidR="00787A76" w:rsidRPr="00787A76">
        <w:rPr>
          <w:i/>
        </w:rPr>
        <w:t>Annual Improvements to IFRS Standards 2015–2017 Cycle</w:t>
      </w:r>
      <w:bookmarkEnd w:id="8"/>
      <w:r w:rsidR="008A16EB">
        <w:t xml:space="preserve"> by the International Accounting Standards Board (IASB) in </w:t>
      </w:r>
      <w:bookmarkStart w:id="9" w:name="ArisingDate"/>
      <w:r w:rsidR="00787A76">
        <w:t>December 2017</w:t>
      </w:r>
      <w:bookmarkEnd w:id="9"/>
      <w:r w:rsidR="008A16EB">
        <w:t>.</w:t>
      </w:r>
    </w:p>
    <w:p w:rsidR="00090A6F" w:rsidRDefault="00F22AF2" w:rsidP="00F22AF2">
      <w:pPr>
        <w:pStyle w:val="Heading2"/>
      </w:pPr>
      <w:r>
        <w:t>Main features of this Standard</w:t>
      </w:r>
    </w:p>
    <w:p w:rsidR="00F22AF2" w:rsidRDefault="00F22AF2" w:rsidP="00F22AF2">
      <w:pPr>
        <w:pStyle w:val="Heading2Indent1"/>
      </w:pPr>
      <w:r>
        <w:t>Main requirements</w:t>
      </w:r>
    </w:p>
    <w:p w:rsidR="00F22AF2" w:rsidRDefault="0045013A" w:rsidP="00F22AF2">
      <w:pPr>
        <w:pStyle w:val="NoNumPlain1"/>
      </w:pPr>
      <w:r>
        <w:t>The Standard amends:</w:t>
      </w:r>
    </w:p>
    <w:p w:rsidR="0045013A" w:rsidRDefault="0045013A" w:rsidP="0045013A">
      <w:pPr>
        <w:pStyle w:val="NumPlainA"/>
      </w:pPr>
      <w:r>
        <w:t>AASB 3 to</w:t>
      </w:r>
      <w:r w:rsidR="00AB3E27">
        <w:t xml:space="preserve"> clarify that an entity remeasures its previously held interest in a joint operation when it obtains control of the business;</w:t>
      </w:r>
    </w:p>
    <w:p w:rsidR="0045013A" w:rsidRDefault="0045013A" w:rsidP="0045013A">
      <w:pPr>
        <w:pStyle w:val="NumPlainA"/>
      </w:pPr>
      <w:r>
        <w:t>AASB 11 to</w:t>
      </w:r>
      <w:r w:rsidR="00407AD3">
        <w:t xml:space="preserve"> clarify that an entity </w:t>
      </w:r>
      <w:r w:rsidR="00AB3E27">
        <w:t>does not remeasure its previously held interest in a joint operation when it obtains joint control of the business;</w:t>
      </w:r>
    </w:p>
    <w:p w:rsidR="0045013A" w:rsidRDefault="0045013A" w:rsidP="0045013A">
      <w:pPr>
        <w:pStyle w:val="NumPlainA"/>
      </w:pPr>
      <w:r>
        <w:t>AASB 112 to</w:t>
      </w:r>
      <w:r w:rsidR="00407AD3">
        <w:t xml:space="preserve"> clarify that an entity a</w:t>
      </w:r>
      <w:r w:rsidR="00AB3E27">
        <w:t xml:space="preserve">ccounts for all income tax consequences of dividend payments </w:t>
      </w:r>
      <w:r w:rsidR="00407AD3">
        <w:t>according to where the entity originally recognised the past transactions or events that generated the distributable profits</w:t>
      </w:r>
      <w:r w:rsidR="00AB3E27">
        <w:t>; and</w:t>
      </w:r>
    </w:p>
    <w:p w:rsidR="0045013A" w:rsidRDefault="0045013A" w:rsidP="0045013A">
      <w:pPr>
        <w:pStyle w:val="NumPlainA"/>
      </w:pPr>
      <w:r>
        <w:t>AASB 123 to</w:t>
      </w:r>
      <w:r w:rsidR="00AB3E27">
        <w:t xml:space="preserve"> clarify that </w:t>
      </w:r>
      <w:r w:rsidR="00407AD3">
        <w:t xml:space="preserve">an entity </w:t>
      </w:r>
      <w:r w:rsidR="00AB3E27">
        <w:t>treats any borrowi</w:t>
      </w:r>
      <w:r w:rsidR="00407AD3">
        <w:t>ng originally made to develop a qualifying</w:t>
      </w:r>
      <w:r w:rsidR="00AB3E27">
        <w:t xml:space="preserve"> asset </w:t>
      </w:r>
      <w:r w:rsidR="00407AD3">
        <w:t xml:space="preserve">as part of general borrowings </w:t>
      </w:r>
      <w:r w:rsidR="00AB3E27">
        <w:t>when the asset is ready for its intended use or sale.</w:t>
      </w:r>
    </w:p>
    <w:p w:rsidR="00F22AF2" w:rsidRDefault="00F22AF2" w:rsidP="00F22AF2">
      <w:pPr>
        <w:pStyle w:val="Heading2Indent1"/>
      </w:pPr>
      <w:r>
        <w:t>Application date</w:t>
      </w:r>
    </w:p>
    <w:p w:rsidR="00F22AF2" w:rsidRPr="00F22AF2" w:rsidRDefault="00B16904" w:rsidP="00F22AF2">
      <w:pPr>
        <w:pStyle w:val="NoNumPlain1"/>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787A76">
        <w:t>1 January 2019</w:t>
      </w:r>
      <w:bookmarkEnd w:id="11"/>
      <w:r>
        <w:t>.  Earlier application is permitted.</w:t>
      </w:r>
    </w:p>
    <w:p w:rsidR="00ED2466" w:rsidRPr="0000292B" w:rsidRDefault="00ED2466"/>
    <w:p w:rsidR="00090A6F" w:rsidRPr="0000292B" w:rsidRDefault="00090A6F">
      <w:pPr>
        <w:sectPr w:rsidR="00090A6F" w:rsidRPr="0000292B" w:rsidSect="00D74C6A">
          <w:footerReference w:type="default" r:id="rId16"/>
          <w:pgSz w:w="11907" w:h="16840" w:code="9"/>
          <w:pgMar w:top="1418" w:right="1418" w:bottom="1418" w:left="1418" w:header="709" w:footer="709" w:gutter="0"/>
          <w:paperSrc w:first="7" w:other="7"/>
          <w:cols w:space="720"/>
        </w:sectPr>
      </w:pPr>
    </w:p>
    <w:p w:rsidR="001662B8" w:rsidRPr="0000292B" w:rsidRDefault="00F13C5A" w:rsidP="001662B8">
      <w:pPr>
        <w:pStyle w:val="Heading1"/>
      </w:pPr>
      <w:r w:rsidRPr="0000292B">
        <w:lastRenderedPageBreak/>
        <w:t xml:space="preserve">Accounting Standard </w:t>
      </w:r>
      <w:r w:rsidR="001662B8" w:rsidRPr="0000292B">
        <w:t>AASB</w:t>
      </w:r>
      <w:r w:rsidR="0045013A">
        <w:t>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4F76DA" w:rsidRPr="004F76DA">
        <w:rPr>
          <w:iCs/>
        </w:rPr>
        <w:t>2018-1</w:t>
      </w:r>
      <w:r w:rsidR="001662B8" w:rsidRPr="00BC0D5D">
        <w:rPr>
          <w:iCs/>
        </w:rPr>
        <w:fldChar w:fldCharType="end"/>
      </w:r>
    </w:p>
    <w:p w:rsidR="001662B8" w:rsidRDefault="001662B8" w:rsidP="003E1900">
      <w:pPr>
        <w:pStyle w:val="NoNumPlain1"/>
      </w:pPr>
      <w:r>
        <w:t>The Australian Accounting Standards Board makes Accounting Standard AASB </w:t>
      </w:r>
      <w:fldSimple w:instr=" REF DocNo  \* charformat " w:fldLock="1">
        <w:r w:rsidR="004F76DA">
          <w:t>2018-1</w:t>
        </w:r>
      </w:fldSimple>
      <w:r>
        <w:t xml:space="preserve"> </w:t>
      </w:r>
      <w:r w:rsidR="00CC1DF4" w:rsidRPr="00CC1DF4">
        <w:rPr>
          <w:b/>
          <w:i/>
          <w:sz w:val="50"/>
        </w:rPr>
        <w:fldChar w:fldCharType="begin" w:fldLock="1"/>
      </w:r>
      <w:r w:rsidR="00CC1DF4" w:rsidRPr="00CC1DF4">
        <w:rPr>
          <w:i/>
        </w:rPr>
        <w:instrText xml:space="preserve"> REF DocTitle \* charformat </w:instrText>
      </w:r>
      <w:r w:rsidR="00CC1DF4" w:rsidRPr="00CC1DF4">
        <w:rPr>
          <w:b/>
          <w:i/>
          <w:sz w:val="50"/>
        </w:rPr>
        <w:fldChar w:fldCharType="separate"/>
      </w:r>
      <w:r w:rsidR="004F76DA" w:rsidRPr="004F76DA">
        <w:rPr>
          <w:i/>
        </w:rPr>
        <w:t>Amendments to Australian Accounting Standards – Annual Improvements 2015–2017 Cycle</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Tr="008C1C4A">
        <w:tc>
          <w:tcPr>
            <w:tcW w:w="4361" w:type="dxa"/>
          </w:tcPr>
          <w:p w:rsidR="00C03C7B" w:rsidRDefault="00C03C7B" w:rsidP="0048155F"/>
        </w:tc>
        <w:tc>
          <w:tcPr>
            <w:tcW w:w="4961" w:type="dxa"/>
          </w:tcPr>
          <w:p w:rsidR="00C03C7B" w:rsidRDefault="008F3EBA" w:rsidP="0048155F">
            <w:pPr>
              <w:jc w:val="right"/>
            </w:pPr>
            <w:r>
              <w:t>Kris Peach</w:t>
            </w:r>
          </w:p>
        </w:tc>
      </w:tr>
      <w:tr w:rsidR="00C03C7B" w:rsidTr="008C1C4A">
        <w:tc>
          <w:tcPr>
            <w:tcW w:w="4361" w:type="dxa"/>
          </w:tcPr>
          <w:p w:rsidR="00C03C7B" w:rsidRDefault="00C03C7B" w:rsidP="00407AD3">
            <w:r>
              <w:t xml:space="preserve">Dated </w:t>
            </w:r>
            <w:bookmarkStart w:id="13" w:name="DateSigned"/>
            <w:r w:rsidR="006C0E0C">
              <w:t>14 February 2018</w:t>
            </w:r>
            <w:bookmarkEnd w:id="13"/>
          </w:p>
        </w:tc>
        <w:tc>
          <w:tcPr>
            <w:tcW w:w="4961" w:type="dxa"/>
          </w:tcPr>
          <w:p w:rsidR="00C03C7B" w:rsidRDefault="00C03C7B" w:rsidP="0048155F">
            <w:pPr>
              <w:jc w:val="right"/>
            </w:pPr>
            <w:r>
              <w:t>Chair – AASB</w:t>
            </w:r>
          </w:p>
        </w:tc>
      </w:tr>
    </w:tbl>
    <w:p w:rsidR="00090A6F" w:rsidRPr="0000292B" w:rsidRDefault="00F13C5A" w:rsidP="00867FB0">
      <w:pPr>
        <w:pStyle w:val="Heading1"/>
        <w:spacing w:after="0"/>
      </w:pPr>
      <w:r w:rsidRPr="0000292B">
        <w:t xml:space="preserve">Accounting Standard </w:t>
      </w:r>
      <w:r w:rsidR="00090A6F" w:rsidRPr="0000292B">
        <w:t>AASB</w:t>
      </w:r>
      <w:r w:rsidR="0045013A">
        <w:t>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4F76DA" w:rsidRPr="004F76DA">
        <w:rPr>
          <w:iCs/>
        </w:rPr>
        <w:t>2018-1</w:t>
      </w:r>
      <w:r w:rsidR="00BC0D5D" w:rsidRPr="00BC0D5D">
        <w:rPr>
          <w:iCs/>
        </w:rPr>
        <w:fldChar w:fldCharType="end"/>
      </w:r>
    </w:p>
    <w:p w:rsidR="00090A6F" w:rsidRDefault="00CC1DF4" w:rsidP="003E1900">
      <w:pPr>
        <w:pStyle w:val="Heading1Italic"/>
        <w:spacing w:before="0"/>
      </w:pPr>
      <w:r>
        <w:rPr>
          <w:rFonts w:ascii="Times New Roman" w:hAnsi="Times New Roman" w:cs="Times New Roman"/>
          <w:bCs w:val="0"/>
          <w:i w:val="0"/>
          <w:sz w:val="50"/>
          <w:szCs w:val="20"/>
        </w:rPr>
        <w:fldChar w:fldCharType="begin" w:fldLock="1"/>
      </w:r>
      <w:r>
        <w:instrText xml:space="preserve"> REF DocTitle \* charformat</w:instrText>
      </w:r>
      <w:r>
        <w:rPr>
          <w:rFonts w:ascii="Times New Roman" w:hAnsi="Times New Roman" w:cs="Times New Roman"/>
          <w:bCs w:val="0"/>
          <w:i w:val="0"/>
          <w:sz w:val="50"/>
          <w:szCs w:val="20"/>
        </w:rPr>
        <w:fldChar w:fldCharType="separate"/>
      </w:r>
      <w:r w:rsidR="004F76DA">
        <w:t>Amendments to Australian Accounting Standards – Annual Improvements 2015–2017 Cycle</w:t>
      </w:r>
      <w:r>
        <w:fldChar w:fldCharType="end"/>
      </w:r>
    </w:p>
    <w:p w:rsidR="00090A6F" w:rsidRPr="0000292B" w:rsidRDefault="00090A6F" w:rsidP="00FC30DA">
      <w:pPr>
        <w:pStyle w:val="Heading2"/>
      </w:pPr>
      <w:bookmarkStart w:id="14" w:name="TOCStart"/>
      <w:bookmarkEnd w:id="14"/>
      <w:r w:rsidRPr="0000292B">
        <w:t>Objective</w:t>
      </w:r>
    </w:p>
    <w:p w:rsidR="00090A6F" w:rsidRDefault="00867FB0" w:rsidP="005A6AC7">
      <w:pPr>
        <w:pStyle w:val="NoNumPlain1"/>
      </w:pPr>
      <w:r>
        <w:t>This</w:t>
      </w:r>
      <w:r w:rsidR="001662B8">
        <w:t xml:space="preserve"> Standard </w:t>
      </w:r>
      <w:r>
        <w:t>amends</w:t>
      </w:r>
      <w:r w:rsidR="001662B8">
        <w:t>:</w:t>
      </w:r>
    </w:p>
    <w:p w:rsidR="00787A76" w:rsidRDefault="00787A76" w:rsidP="0045013A">
      <w:pPr>
        <w:pStyle w:val="NumPlainA"/>
        <w:numPr>
          <w:ilvl w:val="0"/>
          <w:numId w:val="12"/>
        </w:numPr>
      </w:pPr>
      <w:r>
        <w:t xml:space="preserve">AASB 3 </w:t>
      </w:r>
      <w:r w:rsidRPr="0045013A">
        <w:rPr>
          <w:i/>
        </w:rPr>
        <w:t>Business Combinations</w:t>
      </w:r>
      <w:r w:rsidR="0045013A">
        <w:t xml:space="preserve"> (August 2015)</w:t>
      </w:r>
      <w:r>
        <w:t>;</w:t>
      </w:r>
    </w:p>
    <w:p w:rsidR="00787A76" w:rsidRDefault="00787A76" w:rsidP="00787A76">
      <w:pPr>
        <w:pStyle w:val="NumPlainA"/>
      </w:pPr>
      <w:r>
        <w:t xml:space="preserve">AASB 11 </w:t>
      </w:r>
      <w:r w:rsidRPr="00787A76">
        <w:rPr>
          <w:i/>
        </w:rPr>
        <w:t>Joint Arrangements</w:t>
      </w:r>
      <w:r w:rsidR="0045013A">
        <w:t xml:space="preserve"> (July 2015)</w:t>
      </w:r>
      <w:r>
        <w:t>;</w:t>
      </w:r>
    </w:p>
    <w:p w:rsidR="00787A76" w:rsidRDefault="00787A76" w:rsidP="00787A76">
      <w:pPr>
        <w:pStyle w:val="NumPlainA"/>
      </w:pPr>
      <w:r>
        <w:t xml:space="preserve">AASB 112 </w:t>
      </w:r>
      <w:r w:rsidRPr="00787A76">
        <w:rPr>
          <w:i/>
        </w:rPr>
        <w:t>Income Taxes</w:t>
      </w:r>
      <w:r w:rsidR="0045013A">
        <w:t xml:space="preserve"> (August 2015)</w:t>
      </w:r>
      <w:r>
        <w:t>; and</w:t>
      </w:r>
    </w:p>
    <w:p w:rsidR="00787A76" w:rsidRDefault="00787A76" w:rsidP="00787A76">
      <w:pPr>
        <w:pStyle w:val="NumPlainA"/>
      </w:pPr>
      <w:r>
        <w:t xml:space="preserve">AASB 123 </w:t>
      </w:r>
      <w:r w:rsidRPr="00787A76">
        <w:rPr>
          <w:i/>
        </w:rPr>
        <w:t>Borrowing Costs</w:t>
      </w:r>
      <w:r w:rsidR="0045013A">
        <w:t xml:space="preserve"> (August 2015)</w:t>
      </w:r>
      <w:r>
        <w:t>;</w:t>
      </w:r>
    </w:p>
    <w:p w:rsidR="001662B8" w:rsidRPr="0000292B" w:rsidRDefault="001662B8" w:rsidP="005A6AC7">
      <w:pPr>
        <w:pStyle w:val="NoNumPlain1"/>
      </w:pPr>
      <w:r>
        <w:t>a</w:t>
      </w:r>
      <w:bookmarkStart w:id="15" w:name="StndObj"/>
      <w:bookmarkEnd w:id="15"/>
      <w:r>
        <w:t>s a consequence of the issuance of</w:t>
      </w:r>
      <w:r w:rsidR="00867FB0">
        <w:t xml:space="preserve"> International Financial Reporting Standard</w:t>
      </w:r>
      <w:r>
        <w:t xml:space="preserve"> </w:t>
      </w:r>
      <w:r w:rsidR="00867FB0" w:rsidRPr="00867FB0">
        <w:rPr>
          <w:i/>
        </w:rPr>
        <w:fldChar w:fldCharType="begin" w:fldLock="1"/>
      </w:r>
      <w:r w:rsidR="00867FB0" w:rsidRPr="00867FB0">
        <w:rPr>
          <w:i/>
        </w:rPr>
        <w:instrText xml:space="preserve"> REF ArisingTitle \* charformat</w:instrText>
      </w:r>
      <w:r w:rsidR="00867FB0" w:rsidRPr="00867FB0">
        <w:rPr>
          <w:i/>
        </w:rPr>
        <w:fldChar w:fldCharType="separate"/>
      </w:r>
      <w:r w:rsidR="004F76DA" w:rsidRPr="00787A76">
        <w:rPr>
          <w:i/>
        </w:rPr>
        <w:t>Annual Improvements to IFRS Standards 2015–2017 Cycle</w:t>
      </w:r>
      <w:r w:rsidR="00867FB0" w:rsidRPr="00867FB0">
        <w:rPr>
          <w:i/>
        </w:rPr>
        <w:fldChar w:fldCharType="end"/>
      </w:r>
      <w:r>
        <w:t xml:space="preserve"> </w:t>
      </w:r>
      <w:r w:rsidR="00867FB0">
        <w:t xml:space="preserve">by the International Accounting Standards Board </w:t>
      </w:r>
      <w:r>
        <w:t>in</w:t>
      </w:r>
      <w:r w:rsidR="00742E4B">
        <w:t xml:space="preserve"> </w:t>
      </w:r>
      <w:r w:rsidR="00867FB0">
        <w:fldChar w:fldCharType="begin" w:fldLock="1"/>
      </w:r>
      <w:r w:rsidR="00867FB0">
        <w:instrText xml:space="preserve"> REF ArisingDate \* charformat</w:instrText>
      </w:r>
      <w:r w:rsidR="00867FB0">
        <w:fldChar w:fldCharType="separate"/>
      </w:r>
      <w:r w:rsidR="004F76DA">
        <w:t>December 2017</w:t>
      </w:r>
      <w:r w:rsidR="00867FB0">
        <w:fldChar w:fldCharType="end"/>
      </w:r>
      <w:r>
        <w:t>.</w:t>
      </w:r>
    </w:p>
    <w:p w:rsidR="00090A6F" w:rsidRPr="0000292B" w:rsidRDefault="00090A6F">
      <w:pPr>
        <w:pStyle w:val="Heading2"/>
      </w:pPr>
      <w:r w:rsidRPr="0000292B">
        <w:t>Application</w:t>
      </w:r>
    </w:p>
    <w:p w:rsidR="005A6AC7" w:rsidRPr="005A6AC7" w:rsidRDefault="005A6AC7" w:rsidP="005A6AC7">
      <w:pPr>
        <w:pStyle w:val="NoNumPlain1"/>
        <w:rPr>
          <w:i/>
        </w:rPr>
      </w:pPr>
      <w:r>
        <w:t>The amendments set out in this Standard apply to entities and financial statements in accordance with the application of the other Standards set out in AASB</w:t>
      </w:r>
      <w:r w:rsidR="006B7561">
        <w:t> </w:t>
      </w:r>
      <w:r>
        <w:t xml:space="preserve">1057 </w:t>
      </w:r>
      <w:r>
        <w:rPr>
          <w:i/>
        </w:rPr>
        <w:t>Application of Australian Accounting Standards</w:t>
      </w:r>
      <w:r w:rsidRPr="005A6AC7">
        <w:t xml:space="preserve"> (as amended)</w:t>
      </w:r>
      <w:r>
        <w:rPr>
          <w:i/>
        </w:rPr>
        <w:t>.</w:t>
      </w:r>
    </w:p>
    <w:p w:rsidR="00090A6F" w:rsidRPr="00027E8B" w:rsidRDefault="00090A6F" w:rsidP="005A6AC7">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4F76DA">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4F76DA">
        <w:t>1 January 2019</w:t>
      </w:r>
      <w:r w:rsidR="005A6AC7">
        <w:fldChar w:fldCharType="end"/>
      </w:r>
      <w:r w:rsidRPr="00027E8B">
        <w:t>.</w:t>
      </w:r>
    </w:p>
    <w:p w:rsidR="00090A6F" w:rsidRPr="0000292B" w:rsidRDefault="00407AD3" w:rsidP="005A6AC7">
      <w:pPr>
        <w:pStyle w:val="NoNumPlain1"/>
      </w:pPr>
      <w:bookmarkStart w:id="16" w:name="EarlyYesPara"/>
      <w:r>
        <w:t>The amendments to individual</w:t>
      </w:r>
      <w:r w:rsidR="00090A6F" w:rsidRPr="0000292B">
        <w:t xml:space="preserve"> Standard</w:t>
      </w:r>
      <w:r>
        <w:t>s</w:t>
      </w:r>
      <w:r w:rsidR="00090A6F" w:rsidRPr="0000292B">
        <w:t xml:space="preserve"> may be applied to annual periods </w:t>
      </w:r>
      <w:bookmarkStart w:id="17" w:name="EarlyText"/>
      <w:r w:rsidR="00E839DA" w:rsidRPr="0000292B">
        <w:t>beginning</w:t>
      </w:r>
      <w:bookmarkEnd w:id="17"/>
      <w:r w:rsidR="00090A6F" w:rsidRPr="0000292B">
        <w:t xml:space="preserve"> </w:t>
      </w:r>
      <w:r w:rsidR="0078116B" w:rsidRPr="0000292B">
        <w:t xml:space="preserve">before </w:t>
      </w:r>
      <w:fldSimple w:instr=" REF ApplyDate  \* charformat  " w:fldLock="1">
        <w:r w:rsidR="004F76DA">
          <w:t>1 January 2019</w:t>
        </w:r>
      </w:fldSimple>
      <w:r>
        <w:t>, separately from the amendments to the other Standards</w:t>
      </w:r>
      <w:r w:rsidR="00090A6F" w:rsidRPr="0000292B">
        <w:t xml:space="preserve">.  When an entity applies this Standard </w:t>
      </w:r>
      <w:r>
        <w:t xml:space="preserve">(in whole or in part) </w:t>
      </w:r>
      <w:r w:rsidR="00090A6F" w:rsidRPr="0000292B">
        <w:t xml:space="preserve">to </w:t>
      </w:r>
      <w:r w:rsidR="00590051">
        <w:t xml:space="preserve">such </w:t>
      </w:r>
      <w:r w:rsidR="00090A6F" w:rsidRPr="0000292B">
        <w:t>an annual period</w:t>
      </w:r>
      <w:r w:rsidR="00590051">
        <w:t>,</w:t>
      </w:r>
      <w:r w:rsidR="00090A6F" w:rsidRPr="0000292B">
        <w:t xml:space="preserve"> it shall disclose that fact.</w:t>
      </w:r>
    </w:p>
    <w:bookmarkEnd w:id="16"/>
    <w:p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and also to indicate text that is not amended.</w:t>
      </w:r>
    </w:p>
    <w:p w:rsidR="00787A76" w:rsidRDefault="00787A76">
      <w:pPr>
        <w:pStyle w:val="Heading2"/>
      </w:pPr>
      <w:r>
        <w:t>Amendments to AASB 3</w:t>
      </w:r>
    </w:p>
    <w:tbl>
      <w:tblPr>
        <w:tblW w:w="0" w:type="auto"/>
        <w:tblLayout w:type="fixed"/>
        <w:tblCellMar>
          <w:top w:w="57" w:type="dxa"/>
          <w:bottom w:w="57" w:type="dxa"/>
        </w:tblCellMar>
        <w:tblLook w:val="0000" w:firstRow="0" w:lastRow="0" w:firstColumn="0" w:lastColumn="0" w:noHBand="0" w:noVBand="0"/>
        <w:tblCaption w:val="Amendment 1"/>
        <w:tblDescription w:val="Amendments to AASB 3."/>
      </w:tblPr>
      <w:tblGrid>
        <w:gridCol w:w="9208"/>
      </w:tblGrid>
      <w:tr w:rsidR="000F006F" w:rsidTr="006B7561">
        <w:trPr>
          <w:cantSplit/>
        </w:trPr>
        <w:tc>
          <w:tcPr>
            <w:tcW w:w="9208" w:type="dxa"/>
            <w:tcBorders>
              <w:top w:val="single" w:sz="4" w:space="0" w:color="auto"/>
              <w:left w:val="single" w:sz="4" w:space="0" w:color="auto"/>
              <w:bottom w:val="single" w:sz="4" w:space="0" w:color="auto"/>
              <w:right w:val="single" w:sz="4" w:space="0" w:color="auto"/>
            </w:tcBorders>
            <w:vAlign w:val="bottom"/>
          </w:tcPr>
          <w:p w:rsidR="000F006F" w:rsidRDefault="000F006F" w:rsidP="006B7561">
            <w:pPr>
              <w:pStyle w:val="IASBTableArial"/>
              <w:spacing w:before="0"/>
            </w:pPr>
            <w:r>
              <w:t>Paragraphs 42A and 64O are added.</w:t>
            </w:r>
          </w:p>
        </w:tc>
      </w:tr>
    </w:tbl>
    <w:p w:rsidR="000F006F" w:rsidRDefault="000F006F" w:rsidP="000F006F">
      <w:pPr>
        <w:pStyle w:val="IASBSectionTitle2Ind"/>
      </w:pPr>
      <w:bookmarkStart w:id="18" w:name="F65374243"/>
      <w:r>
        <w:t>Additional guidance for applying the acquisition method to particular types of business combinations</w:t>
      </w:r>
      <w:bookmarkEnd w:id="18"/>
    </w:p>
    <w:p w:rsidR="000F006F" w:rsidRDefault="000F006F" w:rsidP="000F006F">
      <w:pPr>
        <w:pStyle w:val="IASBSectionTitle3Ind"/>
      </w:pPr>
      <w:bookmarkStart w:id="19" w:name="F65374245"/>
      <w:r>
        <w:t>A business combination achieved in stages</w:t>
      </w:r>
      <w:bookmarkEnd w:id="19"/>
    </w:p>
    <w:p w:rsidR="000F006F" w:rsidRDefault="000F006F" w:rsidP="000F006F">
      <w:pPr>
        <w:pStyle w:val="IASBNormalnpara"/>
      </w:pPr>
      <w:r>
        <w:tab/>
      </w:r>
      <w:bookmarkStart w:id="20" w:name="F65374246"/>
      <w:r>
        <w:t>... </w:t>
      </w:r>
      <w:bookmarkEnd w:id="20"/>
    </w:p>
    <w:p w:rsidR="000F006F" w:rsidRDefault="000F006F" w:rsidP="000F006F">
      <w:pPr>
        <w:pStyle w:val="IASBNormalnpara"/>
      </w:pPr>
      <w:r>
        <w:t>42A</w:t>
      </w:r>
      <w:r>
        <w:tab/>
      </w:r>
      <w:bookmarkStart w:id="21" w:name="F65374247"/>
      <w:r>
        <w:t xml:space="preserve">When a party to a joint arrangement (as defined in </w:t>
      </w:r>
      <w:r w:rsidR="00E71D76">
        <w:t>AASB </w:t>
      </w:r>
      <w:r>
        <w:t xml:space="preserve">11 </w:t>
      </w:r>
      <w:r>
        <w:rPr>
          <w:i/>
        </w:rPr>
        <w:t>Joint Arrangements</w:t>
      </w:r>
      <w:r>
        <w:t xml:space="preserve">) obtains control of a business that is a joint operation (as defined in </w:t>
      </w:r>
      <w:r w:rsidR="00E71D76">
        <w:t>AASB </w:t>
      </w:r>
      <w:r>
        <w:t xml:space="preserve">11), and had rights to the assets and obligations for the liabilities relating to that joint operation immediately before the acquisition date, the transaction is a business combination achieved in stages. The acquirer shall therefore apply the requirements for a business combination achieved in stages, including remeasuring its previously held interest in the joint operation in the manner described in paragraph 42. In doing so, the acquirer shall remeasure its entire previously held interest in the joint operation. </w:t>
      </w:r>
      <w:bookmarkEnd w:id="21"/>
    </w:p>
    <w:p w:rsidR="000F006F" w:rsidRDefault="000F006F" w:rsidP="000F006F">
      <w:pPr>
        <w:pStyle w:val="IASBSectionTitle1NonInd"/>
      </w:pPr>
      <w:bookmarkStart w:id="22" w:name="F65374249"/>
      <w:r>
        <w:t>Effective date and transition</w:t>
      </w:r>
      <w:bookmarkEnd w:id="22"/>
    </w:p>
    <w:p w:rsidR="000F006F" w:rsidRDefault="000F006F" w:rsidP="000F006F">
      <w:pPr>
        <w:pStyle w:val="IASBSectionTitle2Ind"/>
      </w:pPr>
      <w:bookmarkStart w:id="23" w:name="F65374251"/>
      <w:r>
        <w:t>Effective date</w:t>
      </w:r>
      <w:bookmarkEnd w:id="23"/>
    </w:p>
    <w:p w:rsidR="000F006F" w:rsidRDefault="000F006F" w:rsidP="000F006F">
      <w:pPr>
        <w:pStyle w:val="IASBNormalnpara"/>
      </w:pPr>
      <w:r>
        <w:tab/>
      </w:r>
      <w:bookmarkStart w:id="24" w:name="F65374252"/>
      <w:r>
        <w:t>... </w:t>
      </w:r>
      <w:bookmarkEnd w:id="24"/>
    </w:p>
    <w:p w:rsidR="000F006F" w:rsidRPr="0000292B" w:rsidRDefault="000F006F" w:rsidP="004B1E4A">
      <w:pPr>
        <w:pStyle w:val="IASBNormalnpara"/>
      </w:pPr>
      <w:r>
        <w:t>64O</w:t>
      </w:r>
      <w:r>
        <w:tab/>
      </w:r>
      <w:bookmarkStart w:id="25" w:name="F65374253"/>
      <w:r w:rsidR="003E5E1B">
        <w:t>AASB 2018-</w:t>
      </w:r>
      <w:r w:rsidR="006C0E0C">
        <w:t>1</w:t>
      </w:r>
      <w:r w:rsidR="003E5E1B" w:rsidRPr="00FC7C2C">
        <w:t xml:space="preserve"> </w:t>
      </w:r>
      <w:r w:rsidR="003E5E1B" w:rsidRPr="00FC7C2C">
        <w:rPr>
          <w:i/>
        </w:rPr>
        <w:t xml:space="preserve">Amendments to Australian Accounting Standards – </w:t>
      </w:r>
      <w:r w:rsidRPr="00FC7C2C">
        <w:rPr>
          <w:i/>
        </w:rPr>
        <w:t>Annual Improvements 2015–2017 Cycle</w:t>
      </w:r>
      <w:r w:rsidRPr="00FC7C2C">
        <w:t xml:space="preserve">, issued in </w:t>
      </w:r>
      <w:r w:rsidR="006C0E0C">
        <w:t>February</w:t>
      </w:r>
      <w:r>
        <w:t xml:space="preserve"> 201</w:t>
      </w:r>
      <w:r w:rsidR="003E5E1B">
        <w:t>8</w:t>
      </w:r>
      <w:r>
        <w:t>, added paragraph 42A. An entity shall apply those amendments to business combinations for which the acquisition date is on or after the beginning of the first annual reporting period beginning on or after 1</w:t>
      </w:r>
      <w:r w:rsidR="003E5E1B">
        <w:t> </w:t>
      </w:r>
      <w:r>
        <w:t>January 2019. Earlier application is permitted. If an entity applies those amendments earlier, it shall disclose that fact.</w:t>
      </w:r>
      <w:bookmarkEnd w:id="25"/>
    </w:p>
    <w:p w:rsidR="00787A76" w:rsidRDefault="00787A76">
      <w:pPr>
        <w:pStyle w:val="Heading2"/>
      </w:pPr>
      <w:r>
        <w:t>Amendments to AASB 11</w:t>
      </w:r>
    </w:p>
    <w:tbl>
      <w:tblPr>
        <w:tblW w:w="0" w:type="auto"/>
        <w:tblLayout w:type="fixed"/>
        <w:tblCellMar>
          <w:top w:w="57" w:type="dxa"/>
          <w:bottom w:w="57" w:type="dxa"/>
        </w:tblCellMar>
        <w:tblLook w:val="0000" w:firstRow="0" w:lastRow="0" w:firstColumn="0" w:lastColumn="0" w:noHBand="0" w:noVBand="0"/>
        <w:tblCaption w:val="Amendment 2"/>
        <w:tblDescription w:val="Amendments to AASB 11."/>
      </w:tblPr>
      <w:tblGrid>
        <w:gridCol w:w="9208"/>
      </w:tblGrid>
      <w:tr w:rsidR="000F006F" w:rsidTr="006B7561">
        <w:trPr>
          <w:cantSplit/>
        </w:trPr>
        <w:tc>
          <w:tcPr>
            <w:tcW w:w="9208" w:type="dxa"/>
            <w:tcBorders>
              <w:top w:val="single" w:sz="4" w:space="0" w:color="auto"/>
              <w:left w:val="single" w:sz="4" w:space="0" w:color="auto"/>
              <w:bottom w:val="single" w:sz="4" w:space="0" w:color="auto"/>
              <w:right w:val="single" w:sz="4" w:space="0" w:color="auto"/>
            </w:tcBorders>
            <w:vAlign w:val="bottom"/>
          </w:tcPr>
          <w:p w:rsidR="000F006F" w:rsidRDefault="000F006F" w:rsidP="006B7561">
            <w:pPr>
              <w:pStyle w:val="IASBTableArial"/>
              <w:spacing w:before="0"/>
            </w:pPr>
            <w:r>
              <w:t>Paragraph B33CA and paragraph C1AB are added.</w:t>
            </w:r>
          </w:p>
        </w:tc>
      </w:tr>
    </w:tbl>
    <w:p w:rsidR="000F006F" w:rsidRDefault="000F006F" w:rsidP="000F006F">
      <w:pPr>
        <w:pStyle w:val="IASBSectionTitle2Ind"/>
      </w:pPr>
      <w:bookmarkStart w:id="26" w:name="F65374275"/>
      <w:r>
        <w:t>Accounting for acquisitions of interests in joint operations</w:t>
      </w:r>
      <w:bookmarkEnd w:id="26"/>
    </w:p>
    <w:p w:rsidR="000F006F" w:rsidRDefault="000F006F" w:rsidP="000F006F">
      <w:pPr>
        <w:pStyle w:val="IASBNormalnpara"/>
      </w:pPr>
      <w:r>
        <w:tab/>
      </w:r>
      <w:bookmarkStart w:id="27" w:name="F65374276"/>
      <w:r>
        <w:t>... </w:t>
      </w:r>
      <w:bookmarkEnd w:id="27"/>
    </w:p>
    <w:p w:rsidR="000F006F" w:rsidRDefault="000F006F" w:rsidP="000F006F">
      <w:pPr>
        <w:pStyle w:val="IASBNormalnpara"/>
      </w:pPr>
      <w:r>
        <w:t>B33CA</w:t>
      </w:r>
      <w:r>
        <w:tab/>
      </w:r>
      <w:bookmarkStart w:id="28" w:name="F65374277"/>
      <w:r>
        <w:t xml:space="preserve">A party that participates in, but does not have joint control of, a joint operation might obtain joint control of the joint operation in which the activity of the joint operation constitutes a business as defined in </w:t>
      </w:r>
      <w:r w:rsidR="00DC1DED">
        <w:t>AASB </w:t>
      </w:r>
      <w:r>
        <w:t>3. In such cases, previously held interests in the joint operation are not remeasured.</w:t>
      </w:r>
      <w:bookmarkEnd w:id="28"/>
    </w:p>
    <w:p w:rsidR="000F006F" w:rsidRDefault="000F006F" w:rsidP="000F006F">
      <w:pPr>
        <w:pStyle w:val="IASBNormalnpara"/>
      </w:pPr>
      <w:r>
        <w:tab/>
      </w:r>
      <w:bookmarkStart w:id="29" w:name="F65374278"/>
      <w:r>
        <w:t>... </w:t>
      </w:r>
      <w:bookmarkEnd w:id="29"/>
    </w:p>
    <w:p w:rsidR="000F006F" w:rsidRDefault="000F006F" w:rsidP="000F006F">
      <w:pPr>
        <w:pStyle w:val="IASBSectionTitle1NonInd"/>
      </w:pPr>
      <w:bookmarkStart w:id="30" w:name="F65374280"/>
      <w:r>
        <w:t>Effective date</w:t>
      </w:r>
      <w:bookmarkEnd w:id="30"/>
    </w:p>
    <w:p w:rsidR="000F006F" w:rsidRDefault="000F006F" w:rsidP="000F006F">
      <w:pPr>
        <w:pStyle w:val="IASBNormalnpara"/>
      </w:pPr>
      <w:r>
        <w:tab/>
      </w:r>
      <w:bookmarkStart w:id="31" w:name="F65374281"/>
      <w:r>
        <w:t>... </w:t>
      </w:r>
      <w:bookmarkEnd w:id="31"/>
    </w:p>
    <w:p w:rsidR="000F006F" w:rsidRDefault="000F006F" w:rsidP="000F006F">
      <w:pPr>
        <w:pStyle w:val="IASBNormalnpara"/>
      </w:pPr>
      <w:r>
        <w:t>C1AB</w:t>
      </w:r>
      <w:r>
        <w:tab/>
      </w:r>
      <w:bookmarkStart w:id="32" w:name="F65374282"/>
      <w:r w:rsidR="00DC1DED">
        <w:t>AASB 2018-</w:t>
      </w:r>
      <w:r w:rsidR="006C0E0C">
        <w:t>1</w:t>
      </w:r>
      <w:r w:rsidR="00DC1DED" w:rsidRPr="00FC7C2C">
        <w:t xml:space="preserve"> </w:t>
      </w:r>
      <w:r w:rsidR="00DC1DED" w:rsidRPr="00FC7C2C">
        <w:rPr>
          <w:i/>
        </w:rPr>
        <w:t xml:space="preserve">Amendments to Australian Accounting Standards – </w:t>
      </w:r>
      <w:r w:rsidRPr="00FC7C2C">
        <w:rPr>
          <w:i/>
        </w:rPr>
        <w:t>Annual Improvements 2015–2017 Cycle</w:t>
      </w:r>
      <w:r w:rsidRPr="00FC7C2C">
        <w:t xml:space="preserve">, issued in </w:t>
      </w:r>
      <w:r w:rsidR="006C0E0C">
        <w:t>February</w:t>
      </w:r>
      <w:r>
        <w:t xml:space="preserve"> 201</w:t>
      </w:r>
      <w:r w:rsidR="00DC1DED">
        <w:t>8</w:t>
      </w:r>
      <w:r>
        <w:t>, added paragraph B33CA. An entity shall apply those amendments to transactions in which it obtains joint control on or after the beginning of the first annual reporting period beginning on or after 1</w:t>
      </w:r>
      <w:r w:rsidR="00DC1DED">
        <w:t> </w:t>
      </w:r>
      <w:r>
        <w:t>January 2019. Earlier application is permitted. If an entity applies those amendments earlier, it shall disclose that fact.</w:t>
      </w:r>
      <w:bookmarkEnd w:id="32"/>
    </w:p>
    <w:p w:rsidR="00787A76" w:rsidRDefault="00787A76">
      <w:pPr>
        <w:pStyle w:val="Heading2"/>
      </w:pPr>
      <w:r>
        <w:t>Amendments to AASB 112</w:t>
      </w:r>
    </w:p>
    <w:tbl>
      <w:tblPr>
        <w:tblW w:w="0" w:type="auto"/>
        <w:tblLayout w:type="fixed"/>
        <w:tblCellMar>
          <w:top w:w="57" w:type="dxa"/>
          <w:bottom w:w="57" w:type="dxa"/>
        </w:tblCellMar>
        <w:tblLook w:val="0000" w:firstRow="0" w:lastRow="0" w:firstColumn="0" w:lastColumn="0" w:noHBand="0" w:noVBand="0"/>
        <w:tblCaption w:val="Amendment 3"/>
        <w:tblDescription w:val="Amendments to AASB 112."/>
      </w:tblPr>
      <w:tblGrid>
        <w:gridCol w:w="9208"/>
      </w:tblGrid>
      <w:tr w:rsidR="00E71D76" w:rsidTr="006B7561">
        <w:trPr>
          <w:cantSplit/>
        </w:trPr>
        <w:tc>
          <w:tcPr>
            <w:tcW w:w="9208" w:type="dxa"/>
            <w:tcBorders>
              <w:top w:val="single" w:sz="4" w:space="0" w:color="auto"/>
              <w:left w:val="single" w:sz="4" w:space="0" w:color="auto"/>
              <w:bottom w:val="single" w:sz="4" w:space="0" w:color="auto"/>
              <w:right w:val="single" w:sz="4" w:space="0" w:color="auto"/>
            </w:tcBorders>
            <w:vAlign w:val="bottom"/>
          </w:tcPr>
          <w:p w:rsidR="00E71D76" w:rsidRDefault="00E71D76" w:rsidP="006B7561">
            <w:pPr>
              <w:pStyle w:val="IASBTableArial"/>
              <w:spacing w:before="0"/>
            </w:pPr>
            <w:r>
              <w:t>Paragraphs 57A and 98I are added, the heading of the example below paragraph 52B is amended and paragraph 52B is deleted. New text is underlined and deleted text is struck through.</w:t>
            </w:r>
          </w:p>
        </w:tc>
      </w:tr>
    </w:tbl>
    <w:p w:rsidR="00E71D76" w:rsidRDefault="00E71D76" w:rsidP="00E71D76">
      <w:pPr>
        <w:pStyle w:val="IASBSectionTitle1NonInd"/>
      </w:pPr>
      <w:bookmarkStart w:id="33" w:name="F65374315"/>
      <w:r>
        <w:t>Measurement</w:t>
      </w:r>
      <w:bookmarkEnd w:id="33"/>
    </w:p>
    <w:p w:rsidR="00E71D76" w:rsidRDefault="00E71D76" w:rsidP="00E71D76">
      <w:pPr>
        <w:pStyle w:val="IASBNormalnpara"/>
      </w:pPr>
      <w:r>
        <w:tab/>
      </w:r>
      <w:bookmarkStart w:id="34" w:name="F65374316"/>
      <w:r>
        <w:t>... </w:t>
      </w:r>
      <w:bookmarkEnd w:id="34"/>
    </w:p>
    <w:p w:rsidR="00E71D76" w:rsidRDefault="00E71D76" w:rsidP="00E71D76">
      <w:pPr>
        <w:pStyle w:val="IASBNormalnpara"/>
      </w:pPr>
      <w:r>
        <w:t>52B</w:t>
      </w:r>
      <w:r>
        <w:tab/>
      </w:r>
      <w:bookmarkStart w:id="35" w:name="F65374317"/>
      <w:r>
        <w:rPr>
          <w:u w:val="single"/>
        </w:rPr>
        <w:t>[Deleted]</w:t>
      </w:r>
      <w:r>
        <w:t xml:space="preserve"> </w:t>
      </w:r>
      <w:r>
        <w:rPr>
          <w:strike/>
        </w:rPr>
        <w:t>In the circumstances described in paragraph 52A, the income tax consequences of dividends are recognised when a liability to pay the dividend is recognised. The income tax consequences of dividends are more directly linked to past transactions or events than to distributions to owners. Therefore, the income tax consequences of dividends are recognised in profit or loss for the period as required by paragraph 58 except to the extent that the income tax consequences of dividends arise from the circumstances described in paragraph 58(a) and (b).</w:t>
      </w:r>
      <w:bookmarkEnd w:id="35"/>
    </w:p>
    <w:p w:rsidR="00E71D76" w:rsidRDefault="00E71D76" w:rsidP="00E71D76">
      <w:pPr>
        <w:pStyle w:val="IASBNormalnpara"/>
      </w:pPr>
    </w:p>
    <w:tbl>
      <w:tblPr>
        <w:tblW w:w="0" w:type="auto"/>
        <w:tblInd w:w="964" w:type="dxa"/>
        <w:tblLayout w:type="fixed"/>
        <w:tblLook w:val="0000" w:firstRow="0" w:lastRow="0" w:firstColumn="0" w:lastColumn="0" w:noHBand="0" w:noVBand="0"/>
        <w:tblCaption w:val="AASB 112 Table 10"/>
        <w:tblDescription w:val="Amendments to the Table's title."/>
      </w:tblPr>
      <w:tblGrid>
        <w:gridCol w:w="8244"/>
      </w:tblGrid>
      <w:tr w:rsidR="00E71D76" w:rsidTr="00407AD3">
        <w:trPr>
          <w:cantSplit/>
          <w:trHeight w:val="397"/>
        </w:trPr>
        <w:tc>
          <w:tcPr>
            <w:tcW w:w="8244" w:type="dxa"/>
            <w:tcBorders>
              <w:top w:val="single" w:sz="4" w:space="0" w:color="auto"/>
              <w:left w:val="single" w:sz="4" w:space="0" w:color="auto"/>
              <w:bottom w:val="single" w:sz="4" w:space="0" w:color="auto"/>
              <w:right w:val="single" w:sz="4" w:space="0" w:color="auto"/>
            </w:tcBorders>
            <w:vAlign w:val="center"/>
          </w:tcPr>
          <w:p w:rsidR="00E71D76" w:rsidRDefault="00E71D76" w:rsidP="00407AD3">
            <w:pPr>
              <w:pStyle w:val="IASBTableArial"/>
              <w:keepNext/>
            </w:pPr>
            <w:r>
              <w:rPr>
                <w:b/>
              </w:rPr>
              <w:t xml:space="preserve">Example illustrating paragraphs 52A and </w:t>
            </w:r>
            <w:r>
              <w:rPr>
                <w:b/>
                <w:strike/>
              </w:rPr>
              <w:t>52B</w:t>
            </w:r>
            <w:r>
              <w:rPr>
                <w:b/>
                <w:u w:val="single"/>
              </w:rPr>
              <w:t>57A</w:t>
            </w:r>
          </w:p>
        </w:tc>
      </w:tr>
      <w:tr w:rsidR="00E71D76" w:rsidTr="00407AD3">
        <w:trPr>
          <w:cantSplit/>
          <w:trHeight w:val="397"/>
        </w:trPr>
        <w:tc>
          <w:tcPr>
            <w:tcW w:w="8244" w:type="dxa"/>
            <w:tcBorders>
              <w:top w:val="nil"/>
              <w:left w:val="single" w:sz="4" w:space="0" w:color="auto"/>
              <w:bottom w:val="single" w:sz="4" w:space="0" w:color="auto"/>
              <w:right w:val="single" w:sz="4" w:space="0" w:color="auto"/>
            </w:tcBorders>
            <w:vAlign w:val="center"/>
          </w:tcPr>
          <w:p w:rsidR="00E71D76" w:rsidRDefault="00E71D76" w:rsidP="00407AD3">
            <w:pPr>
              <w:pStyle w:val="IASBTableArial"/>
            </w:pPr>
            <w:r>
              <w:t>... </w:t>
            </w:r>
          </w:p>
        </w:tc>
      </w:tr>
    </w:tbl>
    <w:p w:rsidR="00E71D76" w:rsidRDefault="00E71D76" w:rsidP="00E71D76">
      <w:pPr>
        <w:pStyle w:val="IASBNormalnpara"/>
      </w:pPr>
    </w:p>
    <w:p w:rsidR="00E71D76" w:rsidRDefault="00E71D76" w:rsidP="00E71D76">
      <w:pPr>
        <w:pStyle w:val="IASBNormalnpara"/>
      </w:pPr>
      <w:r>
        <w:tab/>
      </w:r>
      <w:bookmarkStart w:id="36" w:name="F65376177"/>
      <w:r>
        <w:t>... </w:t>
      </w:r>
      <w:bookmarkEnd w:id="36"/>
    </w:p>
    <w:p w:rsidR="00E71D76" w:rsidRDefault="00E71D76" w:rsidP="00E71D76">
      <w:pPr>
        <w:pStyle w:val="IASBSectionTitle1NonInd"/>
      </w:pPr>
      <w:bookmarkStart w:id="37" w:name="F65376172"/>
      <w:r>
        <w:t>Recognition of current and deferred tax</w:t>
      </w:r>
      <w:bookmarkEnd w:id="37"/>
    </w:p>
    <w:p w:rsidR="00E71D76" w:rsidRDefault="00E71D76" w:rsidP="00E71D76">
      <w:pPr>
        <w:pStyle w:val="IASBNormalnpara"/>
      </w:pPr>
      <w:r>
        <w:tab/>
      </w:r>
      <w:bookmarkStart w:id="38" w:name="F65376173"/>
      <w:r>
        <w:t>... </w:t>
      </w:r>
      <w:bookmarkEnd w:id="38"/>
    </w:p>
    <w:p w:rsidR="00E71D76" w:rsidRDefault="00E71D76" w:rsidP="00E71D76">
      <w:pPr>
        <w:pStyle w:val="IASBNormalnpara"/>
      </w:pPr>
      <w:r>
        <w:rPr>
          <w:u w:val="single"/>
        </w:rPr>
        <w:t>57A</w:t>
      </w:r>
      <w:r w:rsidRPr="003D5C7F">
        <w:tab/>
      </w:r>
      <w:bookmarkStart w:id="39" w:name="F65376174"/>
      <w:r>
        <w:rPr>
          <w:u w:val="single"/>
        </w:rPr>
        <w:t xml:space="preserve">An entity shall recognise the income tax consequences of dividends as defined in </w:t>
      </w:r>
      <w:r w:rsidR="009322BF">
        <w:rPr>
          <w:u w:val="single"/>
        </w:rPr>
        <w:t>AASB </w:t>
      </w:r>
      <w:r>
        <w:rPr>
          <w:u w:val="single"/>
        </w:rPr>
        <w:t>9 when it recognises a liability to pay a dividend. The income tax consequences of dividends are linked more directly to past transactions or events that generated distributable profits than to distributions to owners. Therefore, an entity shall recognise the income tax consequences of dividends in profit or loss, other comprehensive income or equity according to where the entity originally recognised those past transactions or events.</w:t>
      </w:r>
      <w:bookmarkEnd w:id="39"/>
    </w:p>
    <w:p w:rsidR="00E71D76" w:rsidRDefault="00E71D76" w:rsidP="00E71D76">
      <w:pPr>
        <w:pStyle w:val="IASBSectionTitle1NonInd"/>
      </w:pPr>
      <w:bookmarkStart w:id="40" w:name="F65374319"/>
      <w:r>
        <w:t>Effective date</w:t>
      </w:r>
      <w:bookmarkEnd w:id="40"/>
    </w:p>
    <w:p w:rsidR="00E71D76" w:rsidRDefault="00E71D76" w:rsidP="00E71D76">
      <w:pPr>
        <w:pStyle w:val="IASBNormalnpara"/>
      </w:pPr>
      <w:r>
        <w:tab/>
      </w:r>
      <w:bookmarkStart w:id="41" w:name="F65374320"/>
      <w:r>
        <w:t>... </w:t>
      </w:r>
      <w:bookmarkEnd w:id="41"/>
    </w:p>
    <w:p w:rsidR="00E71D76" w:rsidRPr="00F358CE" w:rsidRDefault="00E71D76" w:rsidP="00F358CE">
      <w:pPr>
        <w:pStyle w:val="IASBNormalnpara"/>
        <w:rPr>
          <w:u w:val="single"/>
        </w:rPr>
      </w:pPr>
      <w:r>
        <w:rPr>
          <w:u w:val="single"/>
        </w:rPr>
        <w:t>98I</w:t>
      </w:r>
      <w:r w:rsidRPr="00407AD3">
        <w:tab/>
      </w:r>
      <w:bookmarkStart w:id="42" w:name="F65374321"/>
      <w:r w:rsidR="009322BF" w:rsidRPr="009322BF">
        <w:rPr>
          <w:u w:val="single"/>
        </w:rPr>
        <w:t>AASB 2018-</w:t>
      </w:r>
      <w:r w:rsidR="006C0E0C">
        <w:rPr>
          <w:u w:val="single"/>
        </w:rPr>
        <w:t>1</w:t>
      </w:r>
      <w:r w:rsidR="009322BF" w:rsidRPr="00FC7C2C">
        <w:rPr>
          <w:u w:val="single"/>
        </w:rPr>
        <w:t xml:space="preserve"> </w:t>
      </w:r>
      <w:r w:rsidR="009322BF" w:rsidRPr="00FC7C2C">
        <w:rPr>
          <w:i/>
          <w:u w:val="single"/>
        </w:rPr>
        <w:t xml:space="preserve">Amendments to Australian Accounting Standards – </w:t>
      </w:r>
      <w:r w:rsidRPr="00FC7C2C">
        <w:rPr>
          <w:i/>
          <w:u w:val="single"/>
        </w:rPr>
        <w:t>Annual Improvements 2015–2017 Cycle</w:t>
      </w:r>
      <w:r w:rsidRPr="00FC7C2C">
        <w:rPr>
          <w:u w:val="single"/>
        </w:rPr>
        <w:t xml:space="preserve">, issued in </w:t>
      </w:r>
      <w:r w:rsidR="006C0E0C">
        <w:rPr>
          <w:u w:val="single"/>
        </w:rPr>
        <w:t>February</w:t>
      </w:r>
      <w:r>
        <w:rPr>
          <w:u w:val="single"/>
        </w:rPr>
        <w:t xml:space="preserve"> 201</w:t>
      </w:r>
      <w:r w:rsidR="009322BF">
        <w:rPr>
          <w:u w:val="single"/>
        </w:rPr>
        <w:t>8</w:t>
      </w:r>
      <w:r>
        <w:rPr>
          <w:u w:val="single"/>
        </w:rPr>
        <w:t>, added paragraph 57A and deleted paragraph 52B. An entity shall apply those amendments for annual reporting periods beginning on or after 1</w:t>
      </w:r>
      <w:r w:rsidR="009322BF">
        <w:rPr>
          <w:u w:val="single"/>
        </w:rPr>
        <w:t> </w:t>
      </w:r>
      <w:r>
        <w:rPr>
          <w:u w:val="single"/>
        </w:rPr>
        <w:t>January 2019. Earlier application is permitted. If an entity applies those amendments earlier, it shall disclose that fact. When an entity first applies those amendments, it shall apply them to the income tax consequences of dividends recognised on or after the beginning of the earliest comparative period.</w:t>
      </w:r>
      <w:bookmarkEnd w:id="42"/>
    </w:p>
    <w:p w:rsidR="00787A76" w:rsidRDefault="00787A76">
      <w:pPr>
        <w:pStyle w:val="Heading2"/>
      </w:pPr>
      <w:r>
        <w:t xml:space="preserve">Amendments to </w:t>
      </w:r>
      <w:bookmarkStart w:id="43" w:name="StndNo2"/>
      <w:r>
        <w:t>AASB 123</w:t>
      </w:r>
      <w:bookmarkEnd w:id="43"/>
    </w:p>
    <w:tbl>
      <w:tblPr>
        <w:tblW w:w="0" w:type="auto"/>
        <w:tblLayout w:type="fixed"/>
        <w:tblCellMar>
          <w:top w:w="57" w:type="dxa"/>
          <w:bottom w:w="57" w:type="dxa"/>
        </w:tblCellMar>
        <w:tblLook w:val="0000" w:firstRow="0" w:lastRow="0" w:firstColumn="0" w:lastColumn="0" w:noHBand="0" w:noVBand="0"/>
        <w:tblCaption w:val="Amendment 4"/>
        <w:tblDescription w:val="Amendments to AASB 123."/>
      </w:tblPr>
      <w:tblGrid>
        <w:gridCol w:w="9208"/>
      </w:tblGrid>
      <w:tr w:rsidR="00E71D76" w:rsidTr="006B7561">
        <w:trPr>
          <w:cantSplit/>
        </w:trPr>
        <w:tc>
          <w:tcPr>
            <w:tcW w:w="9208" w:type="dxa"/>
            <w:tcBorders>
              <w:top w:val="single" w:sz="4" w:space="0" w:color="auto"/>
              <w:left w:val="single" w:sz="4" w:space="0" w:color="auto"/>
              <w:bottom w:val="single" w:sz="4" w:space="0" w:color="auto"/>
              <w:right w:val="single" w:sz="4" w:space="0" w:color="auto"/>
            </w:tcBorders>
            <w:vAlign w:val="bottom"/>
          </w:tcPr>
          <w:p w:rsidR="00E71D76" w:rsidRDefault="00E71D76" w:rsidP="006B7561">
            <w:pPr>
              <w:pStyle w:val="IASBTableArial"/>
              <w:spacing w:before="0"/>
            </w:pPr>
            <w:r>
              <w:t>Paragraph 14 is amended, and paragraphs 28A and 29D are added. Deleted text is struck through and new text is underlined.</w:t>
            </w:r>
          </w:p>
        </w:tc>
      </w:tr>
    </w:tbl>
    <w:p w:rsidR="00E71D76" w:rsidRDefault="00E71D76" w:rsidP="00E71D76">
      <w:pPr>
        <w:pStyle w:val="IASBSectionTitle1NonInd"/>
      </w:pPr>
      <w:bookmarkStart w:id="44" w:name="F65376137"/>
      <w:r>
        <w:t>Recognition</w:t>
      </w:r>
      <w:bookmarkEnd w:id="44"/>
    </w:p>
    <w:p w:rsidR="00E71D76" w:rsidRDefault="00E71D76" w:rsidP="00E71D76">
      <w:pPr>
        <w:pStyle w:val="IASBNormalnpara"/>
      </w:pPr>
      <w:r>
        <w:tab/>
      </w:r>
      <w:bookmarkStart w:id="45" w:name="F65376138"/>
      <w:r>
        <w:t>... </w:t>
      </w:r>
      <w:bookmarkEnd w:id="45"/>
    </w:p>
    <w:p w:rsidR="00E71D76" w:rsidRDefault="00E71D76" w:rsidP="00E71D76">
      <w:pPr>
        <w:pStyle w:val="IASBSectionTitle2Ind"/>
      </w:pPr>
      <w:bookmarkStart w:id="46" w:name="F65376140"/>
      <w:r>
        <w:t>Borrowing costs eligible for capitalisation</w:t>
      </w:r>
      <w:bookmarkEnd w:id="46"/>
    </w:p>
    <w:p w:rsidR="00E71D76" w:rsidRDefault="00E71D76" w:rsidP="00E71D76">
      <w:pPr>
        <w:pStyle w:val="IASBNormalnpara"/>
      </w:pPr>
      <w:r>
        <w:tab/>
      </w:r>
      <w:bookmarkStart w:id="47" w:name="F65376141"/>
      <w:r>
        <w:t>... </w:t>
      </w:r>
      <w:bookmarkEnd w:id="47"/>
    </w:p>
    <w:p w:rsidR="00E71D76" w:rsidRDefault="00E71D76" w:rsidP="00E71D76">
      <w:pPr>
        <w:pStyle w:val="IASBNormalnpara"/>
        <w:rPr>
          <w:b/>
        </w:rPr>
      </w:pPr>
      <w:r>
        <w:rPr>
          <w:b/>
        </w:rPr>
        <w:t>14</w:t>
      </w:r>
      <w:r>
        <w:rPr>
          <w:b/>
        </w:rPr>
        <w:tab/>
      </w:r>
      <w:bookmarkStart w:id="48" w:name="F65376142"/>
      <w:r>
        <w:rPr>
          <w:b/>
        </w:rPr>
        <w:t xml:space="preserve">To the extent that an entity borrows funds generally and uses them for the purpose of obtaining a qualifying asset, the entity shall determine the amount of borrowing costs eligible for capitalisation by applying a capitalisation rate to the expenditures on that asset. The capitalisation rate shall be the weighted average of the borrowing costs applicable to </w:t>
      </w:r>
      <w:r>
        <w:rPr>
          <w:b/>
          <w:strike/>
        </w:rPr>
        <w:t>the</w:t>
      </w:r>
      <w:r>
        <w:rPr>
          <w:b/>
        </w:rPr>
        <w:t xml:space="preserve"> </w:t>
      </w:r>
      <w:r>
        <w:rPr>
          <w:b/>
          <w:u w:val="single"/>
        </w:rPr>
        <w:t>all</w:t>
      </w:r>
      <w:r>
        <w:rPr>
          <w:b/>
        </w:rPr>
        <w:t xml:space="preserve"> borrowings of the entity that are outstanding during the period</w:t>
      </w:r>
      <w:r>
        <w:rPr>
          <w:b/>
          <w:u w:val="single"/>
        </w:rPr>
        <w:t>.</w:t>
      </w:r>
      <w:r>
        <w:rPr>
          <w:b/>
          <w:strike/>
        </w:rPr>
        <w:t>, other than borrowings</w:t>
      </w:r>
      <w:r>
        <w:rPr>
          <w:b/>
        </w:rPr>
        <w:t xml:space="preserve"> </w:t>
      </w:r>
      <w:r>
        <w:rPr>
          <w:b/>
          <w:u w:val="single"/>
        </w:rPr>
        <w:t>However, an entity shall exclude from this calculation borrowing costs applicable to borrowings</w:t>
      </w:r>
      <w:r>
        <w:rPr>
          <w:b/>
        </w:rPr>
        <w:t xml:space="preserve"> made specifically for the purpose of obtaining a qualifying asset </w:t>
      </w:r>
      <w:r>
        <w:rPr>
          <w:b/>
          <w:u w:val="single"/>
        </w:rPr>
        <w:t>until substantially all the activities necessary to prepare that asset for its intended use or sale are complete</w:t>
      </w:r>
      <w:r>
        <w:rPr>
          <w:b/>
        </w:rPr>
        <w:t>. The amount of borrowing costs that an entity capitalises during a period shall not exceed the amount of borrowing costs it incurred during that period.</w:t>
      </w:r>
      <w:bookmarkEnd w:id="48"/>
    </w:p>
    <w:p w:rsidR="00E71D76" w:rsidRDefault="00E71D76" w:rsidP="00E71D76">
      <w:pPr>
        <w:pStyle w:val="IASBNormalnpara"/>
      </w:pPr>
      <w:r>
        <w:tab/>
      </w:r>
      <w:bookmarkStart w:id="49" w:name="F65376143"/>
      <w:r>
        <w:t>... </w:t>
      </w:r>
      <w:bookmarkEnd w:id="49"/>
    </w:p>
    <w:p w:rsidR="00E71D76" w:rsidRDefault="00E71D76" w:rsidP="00E71D76">
      <w:pPr>
        <w:pStyle w:val="IASBSectionTitle1NonInd"/>
      </w:pPr>
      <w:bookmarkStart w:id="50" w:name="F65376145"/>
      <w:r>
        <w:t>Transitional provisions</w:t>
      </w:r>
      <w:bookmarkEnd w:id="50"/>
    </w:p>
    <w:p w:rsidR="00E71D76" w:rsidRDefault="00E71D76" w:rsidP="00E71D76">
      <w:pPr>
        <w:pStyle w:val="IASBNormalnpara"/>
      </w:pPr>
      <w:r>
        <w:tab/>
      </w:r>
      <w:bookmarkStart w:id="51" w:name="F65376146"/>
      <w:r>
        <w:t>... </w:t>
      </w:r>
      <w:bookmarkEnd w:id="51"/>
    </w:p>
    <w:p w:rsidR="00E71D76" w:rsidRDefault="00E71D76" w:rsidP="00E71D76">
      <w:pPr>
        <w:pStyle w:val="IASBNormalnpara"/>
      </w:pPr>
      <w:r>
        <w:rPr>
          <w:u w:val="single"/>
        </w:rPr>
        <w:t>28A</w:t>
      </w:r>
      <w:r w:rsidRPr="003D5C7F">
        <w:tab/>
      </w:r>
      <w:bookmarkStart w:id="52" w:name="F65376147"/>
      <w:r w:rsidR="009322BF" w:rsidRPr="009322BF">
        <w:rPr>
          <w:u w:val="single"/>
        </w:rPr>
        <w:t>AASB 2018-</w:t>
      </w:r>
      <w:r w:rsidR="006C0E0C">
        <w:rPr>
          <w:u w:val="single"/>
        </w:rPr>
        <w:t>1</w:t>
      </w:r>
      <w:r w:rsidR="009322BF" w:rsidRPr="00FC7C2C">
        <w:rPr>
          <w:u w:val="single"/>
        </w:rPr>
        <w:t xml:space="preserve"> </w:t>
      </w:r>
      <w:r w:rsidR="009322BF" w:rsidRPr="00FC7C2C">
        <w:rPr>
          <w:i/>
          <w:u w:val="single"/>
        </w:rPr>
        <w:t xml:space="preserve">Amendments to Australian Accounting Standards – </w:t>
      </w:r>
      <w:r w:rsidRPr="00FC7C2C">
        <w:rPr>
          <w:i/>
          <w:u w:val="single"/>
        </w:rPr>
        <w:t>Annual Improvements 2015–2017 Cycle</w:t>
      </w:r>
      <w:r w:rsidRPr="00FC7C2C">
        <w:rPr>
          <w:u w:val="single"/>
        </w:rPr>
        <w:t xml:space="preserve">, issued in </w:t>
      </w:r>
      <w:r w:rsidR="006C0E0C">
        <w:rPr>
          <w:u w:val="single"/>
        </w:rPr>
        <w:t>February</w:t>
      </w:r>
      <w:r>
        <w:rPr>
          <w:u w:val="single"/>
        </w:rPr>
        <w:t xml:space="preserve"> 201</w:t>
      </w:r>
      <w:r w:rsidR="009322BF">
        <w:rPr>
          <w:u w:val="single"/>
        </w:rPr>
        <w:t>8</w:t>
      </w:r>
      <w:r>
        <w:rPr>
          <w:u w:val="single"/>
        </w:rPr>
        <w:t>, amended paragraph 14. An entity shall apply those amendments to borrowing costs incurred on or after the beginning of the annual reporting period in which the entity first applies those amendments.</w:t>
      </w:r>
      <w:bookmarkEnd w:id="52"/>
    </w:p>
    <w:p w:rsidR="00E71D76" w:rsidRDefault="00E71D76" w:rsidP="00E71D76">
      <w:pPr>
        <w:pStyle w:val="IASBSectionTitle1NonInd"/>
      </w:pPr>
      <w:bookmarkStart w:id="53" w:name="F65376150"/>
      <w:r>
        <w:t>Effective date</w:t>
      </w:r>
      <w:bookmarkEnd w:id="53"/>
    </w:p>
    <w:p w:rsidR="00E71D76" w:rsidRDefault="00E71D76" w:rsidP="00E71D76">
      <w:pPr>
        <w:pStyle w:val="IASBNormalnpara"/>
      </w:pPr>
      <w:r>
        <w:tab/>
      </w:r>
      <w:bookmarkStart w:id="54" w:name="F65376151"/>
      <w:r>
        <w:t>... </w:t>
      </w:r>
      <w:bookmarkEnd w:id="54"/>
    </w:p>
    <w:p w:rsidR="00E71D76" w:rsidRPr="00C76D7C" w:rsidRDefault="00E71D76" w:rsidP="00C76D7C">
      <w:pPr>
        <w:pStyle w:val="IASBNormalnpara"/>
        <w:rPr>
          <w:u w:val="single"/>
        </w:rPr>
      </w:pPr>
      <w:r>
        <w:rPr>
          <w:u w:val="single"/>
        </w:rPr>
        <w:t>29D</w:t>
      </w:r>
      <w:r w:rsidRPr="00407AD3">
        <w:tab/>
      </w:r>
      <w:bookmarkStart w:id="55" w:name="F65376152"/>
      <w:r w:rsidR="009322BF" w:rsidRPr="00C76D7C">
        <w:rPr>
          <w:u w:val="single"/>
        </w:rPr>
        <w:t>AASB 2018-</w:t>
      </w:r>
      <w:r w:rsidR="006C0E0C">
        <w:rPr>
          <w:u w:val="single"/>
        </w:rPr>
        <w:t>1</w:t>
      </w:r>
      <w:r w:rsidR="009322BF" w:rsidRPr="00FC7C2C">
        <w:rPr>
          <w:u w:val="single"/>
        </w:rPr>
        <w:t xml:space="preserve"> </w:t>
      </w:r>
      <w:r w:rsidR="009322BF" w:rsidRPr="00FC7C2C">
        <w:rPr>
          <w:i/>
          <w:u w:val="single"/>
        </w:rPr>
        <w:t xml:space="preserve">Amendments to Australian Accounting Standards – </w:t>
      </w:r>
      <w:r w:rsidRPr="00FC7C2C">
        <w:rPr>
          <w:i/>
          <w:u w:val="single"/>
        </w:rPr>
        <w:t>Annual Improvements 2015–2017 Cycle</w:t>
      </w:r>
      <w:r w:rsidRPr="00FC7C2C">
        <w:rPr>
          <w:u w:val="single"/>
        </w:rPr>
        <w:t>, issued in</w:t>
      </w:r>
      <w:r w:rsidR="004F1198" w:rsidRPr="00FC7C2C">
        <w:rPr>
          <w:u w:val="single"/>
        </w:rPr>
        <w:t xml:space="preserve"> </w:t>
      </w:r>
      <w:r w:rsidR="006C0E0C">
        <w:rPr>
          <w:u w:val="single"/>
        </w:rPr>
        <w:t>February</w:t>
      </w:r>
      <w:r>
        <w:rPr>
          <w:u w:val="single"/>
        </w:rPr>
        <w:t xml:space="preserve"> 201</w:t>
      </w:r>
      <w:r w:rsidR="009322BF">
        <w:rPr>
          <w:u w:val="single"/>
        </w:rPr>
        <w:t>8</w:t>
      </w:r>
      <w:r>
        <w:rPr>
          <w:u w:val="single"/>
        </w:rPr>
        <w:t>, amended paragraph 14 and added paragraph 28A. An entity shall apply those amendments for annual reporting periods beginning on or after 1</w:t>
      </w:r>
      <w:r w:rsidR="009322BF">
        <w:rPr>
          <w:u w:val="single"/>
        </w:rPr>
        <w:t> </w:t>
      </w:r>
      <w:r>
        <w:rPr>
          <w:u w:val="single"/>
        </w:rPr>
        <w:t>January 2019. Earlier application is permitted. If an entity applies those amendments earlier, it shall disclose that fact.</w:t>
      </w:r>
      <w:bookmarkEnd w:id="55"/>
    </w:p>
    <w:p w:rsidR="00787A76" w:rsidRDefault="00787A76">
      <w:pPr>
        <w:pStyle w:val="Heading2"/>
      </w:pPr>
      <w:r>
        <w:t>Commencement of the legislative instrument</w:t>
      </w:r>
    </w:p>
    <w:p w:rsidR="00787A76" w:rsidRPr="0000292B" w:rsidRDefault="00787A76" w:rsidP="000812F8">
      <w:pPr>
        <w:pStyle w:val="NoNumPlain1"/>
      </w:pPr>
      <w:r>
        <w:t xml:space="preserve">For legal purposes, this legislative instrument commences on </w:t>
      </w:r>
      <w:bookmarkStart w:id="56" w:name="CommenceDate"/>
      <w:r>
        <w:t>31 December 2018</w:t>
      </w:r>
      <w:bookmarkEnd w:id="56"/>
      <w:r>
        <w:t>.</w:t>
      </w:r>
    </w:p>
    <w:sectPr w:rsidR="00787A76" w:rsidRPr="0000292B" w:rsidSect="00D74C6A">
      <w:headerReference w:type="default" r:id="rId17"/>
      <w:footerReference w:type="default" r:id="rId18"/>
      <w:headerReference w:type="first" r:id="rId19"/>
      <w:footerReference w:type="first" r:id="rId20"/>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76" w:rsidRDefault="00787A76">
      <w:r>
        <w:separator/>
      </w:r>
    </w:p>
  </w:endnote>
  <w:endnote w:type="continuationSeparator" w:id="0">
    <w:p w:rsidR="00787A76" w:rsidRDefault="007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C" w:rsidRDefault="006C0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C" w:rsidRDefault="006C0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C" w:rsidRDefault="006C0E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F76DA" w:rsidRPr="004F76DA">
      <w:rPr>
        <w:b/>
      </w:rPr>
      <w:t>2018-1</w:t>
    </w:r>
    <w:r>
      <w:rPr>
        <w:b/>
      </w:rPr>
      <w:fldChar w:fldCharType="end"/>
    </w:r>
    <w:r>
      <w:rPr>
        <w:b/>
      </w:rPr>
      <w:tab/>
    </w:r>
    <w:r>
      <w:fldChar w:fldCharType="begin"/>
    </w:r>
    <w:r>
      <w:instrText>PAGE</w:instrText>
    </w:r>
    <w:r>
      <w:fldChar w:fldCharType="separate"/>
    </w:r>
    <w:r w:rsidR="001401A4">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F76DA" w:rsidRPr="004F76DA">
      <w:rPr>
        <w:b/>
      </w:rPr>
      <w:t>2018-1</w:t>
    </w:r>
    <w:r>
      <w:rPr>
        <w:b/>
      </w:rPr>
      <w:fldChar w:fldCharType="end"/>
    </w:r>
    <w:r>
      <w:rPr>
        <w:b/>
      </w:rPr>
      <w:tab/>
    </w:r>
    <w:r>
      <w:fldChar w:fldCharType="begin"/>
    </w:r>
    <w:r>
      <w:instrText>PAGE</w:instrText>
    </w:r>
    <w:r>
      <w:fldChar w:fldCharType="separate"/>
    </w:r>
    <w:r w:rsidR="001401A4">
      <w:rPr>
        <w:noProof/>
      </w:rPr>
      <w:t>3</w:t>
    </w:r>
    <w:r>
      <w:fldChar w:fldCharType="end"/>
    </w:r>
    <w:r>
      <w:tab/>
    </w:r>
    <w:r>
      <w:rPr>
        <w:b/>
        <w:bCs/>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F76DA" w:rsidRPr="004F76DA">
      <w:rPr>
        <w:b/>
      </w:rPr>
      <w:t>2018-1</w:t>
    </w:r>
    <w:r>
      <w:rPr>
        <w:b/>
      </w:rPr>
      <w:fldChar w:fldCharType="end"/>
    </w:r>
    <w:r>
      <w:rPr>
        <w:b/>
      </w:rPr>
      <w:tab/>
    </w:r>
    <w:r>
      <w:fldChar w:fldCharType="begin"/>
    </w:r>
    <w:r>
      <w:instrText>PAGE</w:instrText>
    </w:r>
    <w:r>
      <w:fldChar w:fldCharType="separate"/>
    </w:r>
    <w:r w:rsidR="001401A4">
      <w:rPr>
        <w:noProof/>
      </w:rPr>
      <w:t>4</w:t>
    </w:r>
    <w:r>
      <w:fldChar w:fldCharType="end"/>
    </w:r>
    <w:r>
      <w:tab/>
    </w:r>
    <w:r>
      <w:rPr>
        <w:b/>
        <w:bCs/>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4F76DA" w:rsidRPr="004F76DA">
      <w:rPr>
        <w:b/>
      </w:rPr>
      <w:t>2018-1</w:t>
    </w:r>
    <w:r>
      <w:rPr>
        <w:b/>
      </w:rPr>
      <w:fldChar w:fldCharType="end"/>
    </w:r>
    <w:r>
      <w:rPr>
        <w:b/>
      </w:rPr>
      <w:tab/>
    </w:r>
    <w:r>
      <w:fldChar w:fldCharType="begin"/>
    </w:r>
    <w:r>
      <w:instrText>PAGE</w:instrText>
    </w:r>
    <w:r>
      <w:fldChar w:fldCharType="separate"/>
    </w:r>
    <w:r w:rsidR="001401A4">
      <w:rPr>
        <w:noProof/>
      </w:rPr>
      <w:t>8</w:t>
    </w:r>
    <w:r>
      <w:fldChar w:fldCharType="end"/>
    </w:r>
    <w:r>
      <w:tab/>
    </w:r>
    <w:r>
      <w:rPr>
        <w:b/>
        <w:bCs/>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76" w:rsidRDefault="00787A76">
      <w:r>
        <w:separator/>
      </w:r>
    </w:p>
  </w:footnote>
  <w:footnote w:type="continuationSeparator" w:id="0">
    <w:p w:rsidR="00787A76" w:rsidRDefault="0078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C" w:rsidRDefault="006C0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C" w:rsidRDefault="006C0E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0C" w:rsidRDefault="006C0E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74BCD492"/>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276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76"/>
    <w:rsid w:val="0000292B"/>
    <w:rsid w:val="00027E8B"/>
    <w:rsid w:val="0004455B"/>
    <w:rsid w:val="000625F2"/>
    <w:rsid w:val="00074133"/>
    <w:rsid w:val="000812F8"/>
    <w:rsid w:val="00086C20"/>
    <w:rsid w:val="00090A6F"/>
    <w:rsid w:val="00096027"/>
    <w:rsid w:val="000B733C"/>
    <w:rsid w:val="000C3EB0"/>
    <w:rsid w:val="000D7B40"/>
    <w:rsid w:val="000F006F"/>
    <w:rsid w:val="000F64CC"/>
    <w:rsid w:val="00110B96"/>
    <w:rsid w:val="001162C5"/>
    <w:rsid w:val="001206CF"/>
    <w:rsid w:val="001271C5"/>
    <w:rsid w:val="001401A4"/>
    <w:rsid w:val="001662B8"/>
    <w:rsid w:val="00171F51"/>
    <w:rsid w:val="001761C6"/>
    <w:rsid w:val="001864D4"/>
    <w:rsid w:val="0019286F"/>
    <w:rsid w:val="001B33A5"/>
    <w:rsid w:val="001C225F"/>
    <w:rsid w:val="001F78DF"/>
    <w:rsid w:val="0022022E"/>
    <w:rsid w:val="00254B16"/>
    <w:rsid w:val="00276BC5"/>
    <w:rsid w:val="0028086D"/>
    <w:rsid w:val="00283482"/>
    <w:rsid w:val="0029647E"/>
    <w:rsid w:val="002A201D"/>
    <w:rsid w:val="002B7803"/>
    <w:rsid w:val="002B7D12"/>
    <w:rsid w:val="002F1CD0"/>
    <w:rsid w:val="0030794A"/>
    <w:rsid w:val="00307F26"/>
    <w:rsid w:val="003251D8"/>
    <w:rsid w:val="0033581C"/>
    <w:rsid w:val="00364B30"/>
    <w:rsid w:val="00367DC9"/>
    <w:rsid w:val="00371246"/>
    <w:rsid w:val="00377B8D"/>
    <w:rsid w:val="00382796"/>
    <w:rsid w:val="0039009E"/>
    <w:rsid w:val="003A488F"/>
    <w:rsid w:val="003B0CAA"/>
    <w:rsid w:val="003B0E71"/>
    <w:rsid w:val="003B6633"/>
    <w:rsid w:val="003D1DD4"/>
    <w:rsid w:val="003E0A68"/>
    <w:rsid w:val="003E1900"/>
    <w:rsid w:val="003E5E1B"/>
    <w:rsid w:val="00401ECA"/>
    <w:rsid w:val="00407AD3"/>
    <w:rsid w:val="004150BD"/>
    <w:rsid w:val="00422E4D"/>
    <w:rsid w:val="00426876"/>
    <w:rsid w:val="00434D86"/>
    <w:rsid w:val="00436A2D"/>
    <w:rsid w:val="0044702C"/>
    <w:rsid w:val="0045013A"/>
    <w:rsid w:val="00460FBB"/>
    <w:rsid w:val="00470CE9"/>
    <w:rsid w:val="0047683E"/>
    <w:rsid w:val="0048155F"/>
    <w:rsid w:val="00487CF6"/>
    <w:rsid w:val="004961F8"/>
    <w:rsid w:val="004A417F"/>
    <w:rsid w:val="004B038C"/>
    <w:rsid w:val="004B1E4A"/>
    <w:rsid w:val="004B736C"/>
    <w:rsid w:val="004C1FD8"/>
    <w:rsid w:val="004C5BDE"/>
    <w:rsid w:val="004D23D4"/>
    <w:rsid w:val="004D3809"/>
    <w:rsid w:val="004D4D1C"/>
    <w:rsid w:val="004F1198"/>
    <w:rsid w:val="004F55FE"/>
    <w:rsid w:val="004F76DA"/>
    <w:rsid w:val="00500E80"/>
    <w:rsid w:val="00511C34"/>
    <w:rsid w:val="005166B2"/>
    <w:rsid w:val="0053452C"/>
    <w:rsid w:val="00535EC5"/>
    <w:rsid w:val="0056274D"/>
    <w:rsid w:val="005655CE"/>
    <w:rsid w:val="00577065"/>
    <w:rsid w:val="0058004D"/>
    <w:rsid w:val="00580BC4"/>
    <w:rsid w:val="00590051"/>
    <w:rsid w:val="005A2514"/>
    <w:rsid w:val="005A6AC7"/>
    <w:rsid w:val="005B146F"/>
    <w:rsid w:val="005E6BE4"/>
    <w:rsid w:val="00602261"/>
    <w:rsid w:val="00641282"/>
    <w:rsid w:val="00652DF8"/>
    <w:rsid w:val="006830AD"/>
    <w:rsid w:val="00694562"/>
    <w:rsid w:val="006A3AE9"/>
    <w:rsid w:val="006A40E5"/>
    <w:rsid w:val="006B0CD6"/>
    <w:rsid w:val="006B7561"/>
    <w:rsid w:val="006C0E0C"/>
    <w:rsid w:val="006C2E37"/>
    <w:rsid w:val="006D055E"/>
    <w:rsid w:val="006D134A"/>
    <w:rsid w:val="006D4700"/>
    <w:rsid w:val="006D7679"/>
    <w:rsid w:val="006E2C39"/>
    <w:rsid w:val="00714340"/>
    <w:rsid w:val="007219F7"/>
    <w:rsid w:val="007333C2"/>
    <w:rsid w:val="00737714"/>
    <w:rsid w:val="00742E4B"/>
    <w:rsid w:val="007455F0"/>
    <w:rsid w:val="00751F6A"/>
    <w:rsid w:val="007554ED"/>
    <w:rsid w:val="00755E40"/>
    <w:rsid w:val="00756FF6"/>
    <w:rsid w:val="0076127E"/>
    <w:rsid w:val="0078116B"/>
    <w:rsid w:val="00787A76"/>
    <w:rsid w:val="007A6BC3"/>
    <w:rsid w:val="007F1D3D"/>
    <w:rsid w:val="00812637"/>
    <w:rsid w:val="00813227"/>
    <w:rsid w:val="00820794"/>
    <w:rsid w:val="00831497"/>
    <w:rsid w:val="008459E8"/>
    <w:rsid w:val="00864ADE"/>
    <w:rsid w:val="00867FB0"/>
    <w:rsid w:val="00871A12"/>
    <w:rsid w:val="00881BBE"/>
    <w:rsid w:val="00895809"/>
    <w:rsid w:val="008A16EB"/>
    <w:rsid w:val="008A6182"/>
    <w:rsid w:val="008B1D94"/>
    <w:rsid w:val="008B4C8D"/>
    <w:rsid w:val="008B643A"/>
    <w:rsid w:val="008C1C4A"/>
    <w:rsid w:val="008C60B1"/>
    <w:rsid w:val="008C6BD0"/>
    <w:rsid w:val="008D2EBD"/>
    <w:rsid w:val="008F0A81"/>
    <w:rsid w:val="008F3EBA"/>
    <w:rsid w:val="008F4AC5"/>
    <w:rsid w:val="008F5963"/>
    <w:rsid w:val="00923261"/>
    <w:rsid w:val="009256B7"/>
    <w:rsid w:val="009322BF"/>
    <w:rsid w:val="00970C7A"/>
    <w:rsid w:val="009721DB"/>
    <w:rsid w:val="00972BFA"/>
    <w:rsid w:val="009965BA"/>
    <w:rsid w:val="009B6535"/>
    <w:rsid w:val="009C2479"/>
    <w:rsid w:val="009C78F6"/>
    <w:rsid w:val="009D06F8"/>
    <w:rsid w:val="009D19F1"/>
    <w:rsid w:val="009D73F1"/>
    <w:rsid w:val="00A005DF"/>
    <w:rsid w:val="00A05041"/>
    <w:rsid w:val="00A13F82"/>
    <w:rsid w:val="00A16664"/>
    <w:rsid w:val="00A22E0D"/>
    <w:rsid w:val="00A41ED3"/>
    <w:rsid w:val="00A47FA2"/>
    <w:rsid w:val="00A51A7E"/>
    <w:rsid w:val="00A55F4F"/>
    <w:rsid w:val="00A748BA"/>
    <w:rsid w:val="00A83862"/>
    <w:rsid w:val="00A8486C"/>
    <w:rsid w:val="00A96702"/>
    <w:rsid w:val="00A973FB"/>
    <w:rsid w:val="00A97EB2"/>
    <w:rsid w:val="00AA14A9"/>
    <w:rsid w:val="00AB3E27"/>
    <w:rsid w:val="00AB780A"/>
    <w:rsid w:val="00AC4315"/>
    <w:rsid w:val="00AC5C63"/>
    <w:rsid w:val="00AD42DA"/>
    <w:rsid w:val="00AF61B8"/>
    <w:rsid w:val="00B110AD"/>
    <w:rsid w:val="00B16904"/>
    <w:rsid w:val="00B271BA"/>
    <w:rsid w:val="00B3429E"/>
    <w:rsid w:val="00B50877"/>
    <w:rsid w:val="00B74237"/>
    <w:rsid w:val="00B82F15"/>
    <w:rsid w:val="00BA3AB4"/>
    <w:rsid w:val="00BA4622"/>
    <w:rsid w:val="00BB4C9F"/>
    <w:rsid w:val="00BC0794"/>
    <w:rsid w:val="00BC0D5D"/>
    <w:rsid w:val="00BE2F68"/>
    <w:rsid w:val="00BE38FC"/>
    <w:rsid w:val="00C03C7B"/>
    <w:rsid w:val="00C3493B"/>
    <w:rsid w:val="00C37458"/>
    <w:rsid w:val="00C438DD"/>
    <w:rsid w:val="00C43CD1"/>
    <w:rsid w:val="00C45020"/>
    <w:rsid w:val="00C5022C"/>
    <w:rsid w:val="00C552FD"/>
    <w:rsid w:val="00C63573"/>
    <w:rsid w:val="00C76D7C"/>
    <w:rsid w:val="00C95D8A"/>
    <w:rsid w:val="00CA61C5"/>
    <w:rsid w:val="00CB719A"/>
    <w:rsid w:val="00CC1DF4"/>
    <w:rsid w:val="00CC6FCD"/>
    <w:rsid w:val="00CD5D1C"/>
    <w:rsid w:val="00CE2F8C"/>
    <w:rsid w:val="00CF75CA"/>
    <w:rsid w:val="00CF7B67"/>
    <w:rsid w:val="00D00FD5"/>
    <w:rsid w:val="00D52086"/>
    <w:rsid w:val="00D54F5C"/>
    <w:rsid w:val="00D67336"/>
    <w:rsid w:val="00D74038"/>
    <w:rsid w:val="00D74C6A"/>
    <w:rsid w:val="00D942EB"/>
    <w:rsid w:val="00D96A64"/>
    <w:rsid w:val="00DA2A7B"/>
    <w:rsid w:val="00DB00CD"/>
    <w:rsid w:val="00DC1DED"/>
    <w:rsid w:val="00DC7E1B"/>
    <w:rsid w:val="00DD1DDC"/>
    <w:rsid w:val="00DD7E7A"/>
    <w:rsid w:val="00DE4D84"/>
    <w:rsid w:val="00DF39E3"/>
    <w:rsid w:val="00E033B7"/>
    <w:rsid w:val="00E06C2F"/>
    <w:rsid w:val="00E24399"/>
    <w:rsid w:val="00E274C6"/>
    <w:rsid w:val="00E41399"/>
    <w:rsid w:val="00E63279"/>
    <w:rsid w:val="00E71D76"/>
    <w:rsid w:val="00E74BD5"/>
    <w:rsid w:val="00E7592A"/>
    <w:rsid w:val="00E839DA"/>
    <w:rsid w:val="00E90B4F"/>
    <w:rsid w:val="00E915E3"/>
    <w:rsid w:val="00E94DA2"/>
    <w:rsid w:val="00E96D45"/>
    <w:rsid w:val="00E97B4B"/>
    <w:rsid w:val="00EB4197"/>
    <w:rsid w:val="00EB42DE"/>
    <w:rsid w:val="00EB4756"/>
    <w:rsid w:val="00EC4AFD"/>
    <w:rsid w:val="00ED0067"/>
    <w:rsid w:val="00ED06E4"/>
    <w:rsid w:val="00ED2466"/>
    <w:rsid w:val="00EE2509"/>
    <w:rsid w:val="00EE3D03"/>
    <w:rsid w:val="00EE740D"/>
    <w:rsid w:val="00F13C5A"/>
    <w:rsid w:val="00F14BDB"/>
    <w:rsid w:val="00F22AF2"/>
    <w:rsid w:val="00F2677A"/>
    <w:rsid w:val="00F27D29"/>
    <w:rsid w:val="00F358CE"/>
    <w:rsid w:val="00F424C9"/>
    <w:rsid w:val="00F669FB"/>
    <w:rsid w:val="00F66B41"/>
    <w:rsid w:val="00F70811"/>
    <w:rsid w:val="00F82A0E"/>
    <w:rsid w:val="00F970FB"/>
    <w:rsid w:val="00FB39CB"/>
    <w:rsid w:val="00FC2254"/>
    <w:rsid w:val="00FC30DA"/>
    <w:rsid w:val="00FC64EE"/>
    <w:rsid w:val="00FC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silver,#eaeaea"/>
    </o:shapedefaults>
    <o:shapelayout v:ext="edit">
      <o:idmap v:ext="edit" data="1"/>
    </o:shapelayout>
  </w:shapeDefaults>
  <w:decimalSymbol w:val="."/>
  <w:listSeparator w:val=","/>
  <w15:docId w15:val="{0117BFC1-FF66-45BF-BDE6-EF5694C7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086C20"/>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0F006F"/>
    <w:pPr>
      <w:spacing w:before="100"/>
      <w:ind w:left="782" w:hanging="782"/>
    </w:pPr>
    <w:rPr>
      <w:lang w:val="en-US"/>
    </w:rPr>
  </w:style>
  <w:style w:type="paragraph" w:customStyle="1" w:styleId="IASBSectionTitle1NonInd">
    <w:name w:val="IASB Section Title 1 NonInd"/>
    <w:basedOn w:val="Normal"/>
    <w:rsid w:val="000F006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0F006F"/>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0F006F"/>
    <w:pPr>
      <w:keepNext/>
      <w:keepLines/>
      <w:spacing w:before="240" w:after="200"/>
      <w:ind w:left="782"/>
      <w:jc w:val="left"/>
    </w:pPr>
    <w:rPr>
      <w:rFonts w:ascii="Arial" w:hAnsi="Arial" w:cs="Arial"/>
      <w:b/>
      <w:sz w:val="22"/>
      <w:lang w:val="en-US"/>
    </w:rPr>
  </w:style>
  <w:style w:type="character" w:styleId="FootnoteReference">
    <w:name w:val="footnote reference"/>
    <w:uiPriority w:val="99"/>
    <w:unhideWhenUsed/>
    <w:rsid w:val="000F006F"/>
    <w:rPr>
      <w:rFonts w:cs="Times New Roman"/>
      <w:vertAlign w:val="superscript"/>
    </w:rPr>
  </w:style>
  <w:style w:type="paragraph" w:customStyle="1" w:styleId="IASBTableArial">
    <w:name w:val="IASB Table Arial"/>
    <w:basedOn w:val="Normal"/>
    <w:rsid w:val="000F006F"/>
    <w:pPr>
      <w:spacing w:before="120"/>
      <w:jc w:val="left"/>
    </w:pPr>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AmendingIFRS</Template>
  <TotalTime>103</TotalTime>
  <Pages>8</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AASB 2018-1 Amendments to Australian Accounting Standards – Annual Improvements 2015–2017 Cycle</vt:lpstr>
    </vt:vector>
  </TitlesOfParts>
  <Company>Australian Accounting Standards Board</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2018-1 Amendments to Australian Accounting Standards – Annual Improvements 2015–2017 Cycle</dc:title>
  <dc:creator>Valuckas, Danielius</dc:creator>
  <cp:lastModifiedBy>John, Kathleen</cp:lastModifiedBy>
  <cp:revision>30</cp:revision>
  <cp:lastPrinted>2018-02-23T02:00:00Z</cp:lastPrinted>
  <dcterms:created xsi:type="dcterms:W3CDTF">2018-01-11T00:47:00Z</dcterms:created>
  <dcterms:modified xsi:type="dcterms:W3CDTF">2018-02-23T02:01:00Z</dcterms:modified>
</cp:coreProperties>
</file>