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4C92" w14:textId="77777777" w:rsidR="00284A47" w:rsidRPr="00641906" w:rsidRDefault="004D2843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54D2B92" w14:textId="77777777" w:rsidR="004D2843" w:rsidRDefault="00D11BAD" w:rsidP="004D284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Telecommunications Act 1997</w:t>
      </w:r>
    </w:p>
    <w:p w14:paraId="0C8D522A" w14:textId="77777777" w:rsidR="00626E43" w:rsidRPr="00F807EF" w:rsidRDefault="00626E43" w:rsidP="004D284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Acts Interpretation Act 1901</w:t>
      </w:r>
    </w:p>
    <w:p w14:paraId="2495CBBC" w14:textId="77777777" w:rsidR="00626E43" w:rsidRPr="00ED0B1D" w:rsidRDefault="00626E43" w:rsidP="00437E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B1D">
        <w:rPr>
          <w:rFonts w:ascii="Times New Roman" w:hAnsi="Times New Roman" w:cs="Times New Roman"/>
          <w:b/>
          <w:i/>
          <w:sz w:val="28"/>
          <w:szCs w:val="28"/>
        </w:rPr>
        <w:t>Telecommunications (Low-impac</w:t>
      </w:r>
      <w:r w:rsidR="00437EAA" w:rsidRPr="00ED0B1D">
        <w:rPr>
          <w:rFonts w:ascii="Times New Roman" w:hAnsi="Times New Roman" w:cs="Times New Roman"/>
          <w:b/>
          <w:i/>
          <w:sz w:val="28"/>
          <w:szCs w:val="28"/>
        </w:rPr>
        <w:t>t Facilities) Determination 2018</w:t>
      </w:r>
    </w:p>
    <w:p w14:paraId="21B5A0CC" w14:textId="77777777" w:rsidR="003470CF" w:rsidRDefault="003470CF" w:rsidP="00626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Issued by the Authority of the Minister for </w:t>
      </w:r>
      <w:r w:rsidR="00D11BAD">
        <w:rPr>
          <w:rFonts w:ascii="Times New Roman" w:hAnsi="Times New Roman" w:cs="Times New Roman"/>
        </w:rPr>
        <w:t>Communications</w:t>
      </w:r>
    </w:p>
    <w:p w14:paraId="4FE6801C" w14:textId="77777777" w:rsidR="00D83E8C" w:rsidRDefault="00D83E8C" w:rsidP="006D5B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Authority</w:t>
      </w:r>
    </w:p>
    <w:p w14:paraId="58CD8F62" w14:textId="61B65373" w:rsidR="00640363" w:rsidRPr="00640363" w:rsidRDefault="00640363" w:rsidP="006D5BF5">
      <w:pPr>
        <w:rPr>
          <w:rFonts w:ascii="Times New Roman" w:hAnsi="Times New Roman" w:cs="Times New Roman"/>
        </w:rPr>
      </w:pPr>
      <w:r w:rsidRPr="00640363">
        <w:rPr>
          <w:rFonts w:ascii="Times New Roman" w:hAnsi="Times New Roman" w:cs="Times New Roman"/>
          <w:lang w:val="en-US"/>
        </w:rPr>
        <w:t>Part 1 of Schedule 3 to the </w:t>
      </w:r>
      <w:r w:rsidRPr="00640363">
        <w:rPr>
          <w:rFonts w:ascii="Times New Roman" w:hAnsi="Times New Roman" w:cs="Times New Roman"/>
          <w:i/>
          <w:iCs/>
          <w:lang w:val="en-US"/>
        </w:rPr>
        <w:t>Telecommunications Act 1997</w:t>
      </w:r>
      <w:r w:rsidRPr="00640363">
        <w:rPr>
          <w:rFonts w:ascii="Times New Roman" w:hAnsi="Times New Roman" w:cs="Times New Roman"/>
          <w:lang w:val="en-US"/>
        </w:rPr>
        <w:t xml:space="preserve"> (the Act) provides authority for carriers to inspect land, maintain facilities, connect subscribers to an existing network or install low-impact facilities or temporary </w:t>
      </w:r>
      <w:proofErr w:type="spellStart"/>
      <w:r w:rsidRPr="00640363">
        <w:rPr>
          <w:rFonts w:ascii="Times New Roman" w:hAnsi="Times New Roman" w:cs="Times New Roman"/>
          <w:lang w:val="en-US"/>
        </w:rPr>
        <w:t>defence</w:t>
      </w:r>
      <w:proofErr w:type="spellEnd"/>
      <w:r w:rsidRPr="00640363">
        <w:rPr>
          <w:rFonts w:ascii="Times New Roman" w:hAnsi="Times New Roman" w:cs="Times New Roman"/>
          <w:lang w:val="en-US"/>
        </w:rPr>
        <w:t xml:space="preserve"> facilities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640363">
        <w:rPr>
          <w:rFonts w:ascii="Times New Roman" w:hAnsi="Times New Roman" w:cs="Times New Roman"/>
          <w:lang w:val="en-US"/>
        </w:rPr>
        <w:t xml:space="preserve">Other installation of facilities </w:t>
      </w:r>
      <w:r w:rsidR="008A2C13">
        <w:rPr>
          <w:rFonts w:ascii="Times New Roman" w:hAnsi="Times New Roman" w:cs="Times New Roman"/>
          <w:lang w:val="en-US"/>
        </w:rPr>
        <w:t xml:space="preserve">are </w:t>
      </w:r>
      <w:r w:rsidRPr="00640363">
        <w:rPr>
          <w:rFonts w:ascii="Times New Roman" w:hAnsi="Times New Roman" w:cs="Times New Roman"/>
          <w:lang w:val="en-US"/>
        </w:rPr>
        <w:t>regulated under State or Territory law</w:t>
      </w:r>
      <w:r w:rsidR="004B774B">
        <w:rPr>
          <w:rFonts w:ascii="Times New Roman" w:hAnsi="Times New Roman" w:cs="Times New Roman"/>
          <w:lang w:val="en-US"/>
        </w:rPr>
        <w:t>.</w:t>
      </w:r>
    </w:p>
    <w:p w14:paraId="61027AF1" w14:textId="77777777" w:rsidR="008A2C13" w:rsidRDefault="00023A26">
      <w:pPr>
        <w:rPr>
          <w:rFonts w:ascii="Times New Roman" w:hAnsi="Times New Roman" w:cs="Times New Roman"/>
        </w:rPr>
      </w:pPr>
      <w:r w:rsidRPr="00023A26">
        <w:rPr>
          <w:rFonts w:ascii="Times New Roman" w:hAnsi="Times New Roman" w:cs="Times New Roman"/>
        </w:rPr>
        <w:t>Sub</w:t>
      </w:r>
      <w:r w:rsidR="001E20FF"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6(3) of Schedule 3 to the Act allows the Minister to determine that specified facilities are low-impact facilities for the purpose of </w:t>
      </w:r>
      <w:r w:rsidR="001E20FF"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 of Schedule 3 to the Act</w:t>
      </w:r>
      <w:r w:rsidR="00C64481">
        <w:rPr>
          <w:rFonts w:ascii="Times New Roman" w:hAnsi="Times New Roman" w:cs="Times New Roman"/>
        </w:rPr>
        <w:t xml:space="preserve">.  </w:t>
      </w:r>
      <w:r w:rsidR="008A2C13">
        <w:rPr>
          <w:rFonts w:ascii="Times New Roman" w:hAnsi="Times New Roman" w:cs="Times New Roman"/>
        </w:rPr>
        <w:t xml:space="preserve">This specification power includes the power to </w:t>
      </w:r>
      <w:r w:rsidR="008A2C13">
        <w:rPr>
          <w:rFonts w:ascii="Times New Roman" w:hAnsi="Times New Roman" w:cs="Times New Roman"/>
          <w:lang w:val="en-US"/>
        </w:rPr>
        <w:t xml:space="preserve">determine </w:t>
      </w:r>
      <w:r w:rsidR="00640363" w:rsidRPr="006D5BF5">
        <w:rPr>
          <w:rFonts w:ascii="Times New Roman" w:hAnsi="Times New Roman" w:cs="Times New Roman"/>
          <w:lang w:val="en-US"/>
        </w:rPr>
        <w:t>particular class</w:t>
      </w:r>
      <w:r w:rsidR="008A2C13">
        <w:rPr>
          <w:rFonts w:ascii="Times New Roman" w:hAnsi="Times New Roman" w:cs="Times New Roman"/>
          <w:lang w:val="en-US"/>
        </w:rPr>
        <w:t>es</w:t>
      </w:r>
      <w:r w:rsidR="00640363" w:rsidRPr="008A2C13">
        <w:rPr>
          <w:rFonts w:ascii="Times New Roman" w:hAnsi="Times New Roman" w:cs="Times New Roman"/>
          <w:lang w:val="en-US"/>
        </w:rPr>
        <w:t xml:space="preserve"> of </w:t>
      </w:r>
      <w:r w:rsidR="00917BF1" w:rsidRPr="008A2C13">
        <w:rPr>
          <w:rFonts w:ascii="Times New Roman" w:hAnsi="Times New Roman" w:cs="Times New Roman"/>
          <w:lang w:val="en-US"/>
        </w:rPr>
        <w:t>facilit</w:t>
      </w:r>
      <w:r w:rsidR="00917BF1">
        <w:rPr>
          <w:rFonts w:ascii="Times New Roman" w:hAnsi="Times New Roman" w:cs="Times New Roman"/>
          <w:lang w:val="en-US"/>
        </w:rPr>
        <w:t>ies</w:t>
      </w:r>
      <w:r w:rsidR="00917BF1" w:rsidRPr="008A2C13">
        <w:rPr>
          <w:rFonts w:ascii="Times New Roman" w:hAnsi="Times New Roman" w:cs="Times New Roman"/>
          <w:lang w:val="en-US"/>
        </w:rPr>
        <w:t xml:space="preserve"> </w:t>
      </w:r>
      <w:r w:rsidR="00640363" w:rsidRPr="008A2C13">
        <w:rPr>
          <w:rFonts w:ascii="Times New Roman" w:hAnsi="Times New Roman" w:cs="Times New Roman"/>
          <w:lang w:val="en-US"/>
        </w:rPr>
        <w:t xml:space="preserve">to be </w:t>
      </w:r>
      <w:r w:rsidR="008A2C13">
        <w:rPr>
          <w:rFonts w:ascii="Times New Roman" w:hAnsi="Times New Roman" w:cs="Times New Roman"/>
          <w:lang w:val="en-US"/>
        </w:rPr>
        <w:t>low-impact facilities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640363" w:rsidRPr="006D5BF5">
        <w:rPr>
          <w:rFonts w:ascii="Times New Roman" w:hAnsi="Times New Roman" w:cs="Times New Roman"/>
          <w:lang w:val="en-US"/>
        </w:rPr>
        <w:t xml:space="preserve">The fact that a particular type of facility may also be a temporary </w:t>
      </w:r>
      <w:proofErr w:type="spellStart"/>
      <w:r w:rsidR="00640363" w:rsidRPr="006D5BF5">
        <w:rPr>
          <w:rFonts w:ascii="Times New Roman" w:hAnsi="Times New Roman" w:cs="Times New Roman"/>
          <w:lang w:val="en-US"/>
        </w:rPr>
        <w:t>defence</w:t>
      </w:r>
      <w:proofErr w:type="spellEnd"/>
      <w:r w:rsidR="00640363" w:rsidRPr="006D5BF5">
        <w:rPr>
          <w:rFonts w:ascii="Times New Roman" w:hAnsi="Times New Roman" w:cs="Times New Roman"/>
          <w:lang w:val="en-US"/>
        </w:rPr>
        <w:t xml:space="preserve"> facility or a subscriber connection authorised by the Act does not prevent it also being determined to be a low-impact facility.</w:t>
      </w:r>
    </w:p>
    <w:p w14:paraId="37334F4F" w14:textId="77777777" w:rsidR="00626E43" w:rsidRDefault="00023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437EAA">
        <w:rPr>
          <w:rFonts w:ascii="Times New Roman" w:hAnsi="Times New Roman" w:cs="Times New Roman"/>
          <w:i/>
        </w:rPr>
        <w:t>Telecommunications (Low-Impact Facilities) Determination 2018</w:t>
      </w:r>
      <w:r>
        <w:rPr>
          <w:rFonts w:ascii="Times New Roman" w:hAnsi="Times New Roman" w:cs="Times New Roman"/>
        </w:rPr>
        <w:t xml:space="preserve"> (the </w:t>
      </w:r>
      <w:r w:rsidR="001E20FF">
        <w:rPr>
          <w:rFonts w:ascii="Times New Roman" w:hAnsi="Times New Roman" w:cs="Times New Roman"/>
        </w:rPr>
        <w:t>Determination</w:t>
      </w:r>
      <w:r>
        <w:rPr>
          <w:rFonts w:ascii="Times New Roman" w:hAnsi="Times New Roman" w:cs="Times New Roman"/>
        </w:rPr>
        <w:t xml:space="preserve">) </w:t>
      </w:r>
      <w:r w:rsidR="001E20FF">
        <w:rPr>
          <w:rFonts w:ascii="Times New Roman" w:eastAsia="Times New Roman" w:hAnsi="Times New Roman" w:cs="Times New Roman"/>
          <w:lang w:eastAsia="en-AU"/>
        </w:rPr>
        <w:t xml:space="preserve">essentially </w:t>
      </w:r>
      <w:r w:rsidR="001E20FF">
        <w:rPr>
          <w:rFonts w:ascii="Times New Roman" w:hAnsi="Times New Roman" w:cs="Times New Roman"/>
        </w:rPr>
        <w:t>remakes in substance, the conditions set out in</w:t>
      </w:r>
      <w:r w:rsidR="004B774B">
        <w:rPr>
          <w:rFonts w:ascii="Times New Roman" w:hAnsi="Times New Roman" w:cs="Times New Roman"/>
          <w:i/>
        </w:rPr>
        <w:t xml:space="preserve"> </w:t>
      </w:r>
      <w:r w:rsidR="004B774B" w:rsidRPr="006D5BF5">
        <w:rPr>
          <w:rFonts w:ascii="Times New Roman" w:hAnsi="Times New Roman" w:cs="Times New Roman"/>
        </w:rPr>
        <w:t>the</w:t>
      </w:r>
      <w:r w:rsidR="004B774B">
        <w:rPr>
          <w:rFonts w:ascii="Times New Roman" w:hAnsi="Times New Roman" w:cs="Times New Roman"/>
          <w:i/>
        </w:rPr>
        <w:t xml:space="preserve"> </w:t>
      </w:r>
      <w:r w:rsidR="008A2C13">
        <w:rPr>
          <w:rFonts w:ascii="Times New Roman" w:hAnsi="Times New Roman" w:cs="Times New Roman"/>
          <w:i/>
        </w:rPr>
        <w:t xml:space="preserve">Telecommunications (Low-impact Facilities) Determination 1997 </w:t>
      </w:r>
      <w:r w:rsidR="008A2C13">
        <w:rPr>
          <w:rFonts w:ascii="Times New Roman" w:hAnsi="Times New Roman" w:cs="Times New Roman"/>
        </w:rPr>
        <w:t>(</w:t>
      </w:r>
      <w:r w:rsidR="001E20FF" w:rsidRPr="008A2C13">
        <w:rPr>
          <w:rFonts w:ascii="Times New Roman" w:hAnsi="Times New Roman" w:cs="Times New Roman"/>
        </w:rPr>
        <w:t>1997 Determination</w:t>
      </w:r>
      <w:r w:rsidR="008A2C13">
        <w:rPr>
          <w:rFonts w:ascii="Times New Roman" w:hAnsi="Times New Roman" w:cs="Times New Roman"/>
        </w:rPr>
        <w:t>)</w:t>
      </w:r>
      <w:r w:rsidR="001E20FF">
        <w:rPr>
          <w:rFonts w:ascii="Times New Roman" w:hAnsi="Times New Roman" w:cs="Times New Roman"/>
        </w:rPr>
        <w:t xml:space="preserve">, </w:t>
      </w:r>
      <w:r w:rsidR="00917BF1">
        <w:rPr>
          <w:rFonts w:ascii="Times New Roman" w:hAnsi="Times New Roman" w:cs="Times New Roman"/>
        </w:rPr>
        <w:t>with some minor modifications.  The 1997 Determination</w:t>
      </w:r>
      <w:r w:rsidR="001E20FF">
        <w:rPr>
          <w:rFonts w:ascii="Times New Roman" w:hAnsi="Times New Roman" w:cs="Times New Roman"/>
        </w:rPr>
        <w:t xml:space="preserve"> </w:t>
      </w:r>
      <w:r w:rsidR="008A2C13">
        <w:rPr>
          <w:rFonts w:ascii="Times New Roman" w:hAnsi="Times New Roman" w:cs="Times New Roman"/>
        </w:rPr>
        <w:t xml:space="preserve">was </w:t>
      </w:r>
      <w:r w:rsidR="001E20FF">
        <w:rPr>
          <w:rFonts w:ascii="Times New Roman" w:hAnsi="Times New Roman" w:cs="Times New Roman"/>
        </w:rPr>
        <w:t xml:space="preserve">due to sunset on </w:t>
      </w:r>
      <w:r w:rsidR="00C64481">
        <w:rPr>
          <w:rFonts w:ascii="Times New Roman" w:hAnsi="Times New Roman" w:cs="Times New Roman"/>
        </w:rPr>
        <w:t xml:space="preserve">1 </w:t>
      </w:r>
      <w:r w:rsidR="001E20FF" w:rsidRPr="00C93BC1">
        <w:rPr>
          <w:rFonts w:ascii="Times New Roman" w:hAnsi="Times New Roman" w:cs="Times New Roman"/>
        </w:rPr>
        <w:t>April 2019</w:t>
      </w:r>
      <w:r w:rsidR="00917BF1">
        <w:rPr>
          <w:rFonts w:ascii="Times New Roman" w:hAnsi="Times New Roman" w:cs="Times New Roman"/>
        </w:rPr>
        <w:t xml:space="preserve"> in accordance with the </w:t>
      </w:r>
      <w:r w:rsidR="00917BF1">
        <w:rPr>
          <w:rFonts w:ascii="Times New Roman" w:hAnsi="Times New Roman" w:cs="Times New Roman"/>
          <w:i/>
        </w:rPr>
        <w:t>Legislation Act 2003</w:t>
      </w:r>
      <w:r w:rsidR="00C64481">
        <w:rPr>
          <w:rFonts w:ascii="Times New Roman" w:hAnsi="Times New Roman" w:cs="Times New Roman"/>
        </w:rPr>
        <w:t xml:space="preserve">.  </w:t>
      </w:r>
      <w:r w:rsidR="001E20FF">
        <w:rPr>
          <w:rFonts w:ascii="Times New Roman" w:hAnsi="Times New Roman" w:cs="Times New Roman"/>
        </w:rPr>
        <w:t xml:space="preserve">The Determination also repeals the </w:t>
      </w:r>
      <w:r w:rsidR="001E20FF" w:rsidRPr="00F3208C">
        <w:rPr>
          <w:rFonts w:ascii="Times New Roman" w:hAnsi="Times New Roman" w:cs="Times New Roman"/>
        </w:rPr>
        <w:t>1997 Determination</w:t>
      </w:r>
      <w:r w:rsidR="001E20FF">
        <w:rPr>
          <w:rFonts w:ascii="Times New Roman" w:hAnsi="Times New Roman" w:cs="Times New Roman"/>
        </w:rPr>
        <w:t xml:space="preserve"> in reliance on s</w:t>
      </w:r>
      <w:r w:rsidR="001E20FF" w:rsidRPr="00023A26">
        <w:rPr>
          <w:rFonts w:ascii="Times New Roman" w:hAnsi="Times New Roman" w:cs="Times New Roman"/>
        </w:rPr>
        <w:t>ub</w:t>
      </w:r>
      <w:r w:rsidR="001E20FF">
        <w:rPr>
          <w:rFonts w:ascii="Times New Roman" w:hAnsi="Times New Roman" w:cs="Times New Roman"/>
        </w:rPr>
        <w:t>clause</w:t>
      </w:r>
      <w:r w:rsidR="001E20FF" w:rsidRPr="00023A26">
        <w:rPr>
          <w:rFonts w:ascii="Times New Roman" w:hAnsi="Times New Roman" w:cs="Times New Roman"/>
        </w:rPr>
        <w:t xml:space="preserve"> 6(3) of Schedule 3 to the Act</w:t>
      </w:r>
      <w:r w:rsidR="001E20FF">
        <w:rPr>
          <w:rFonts w:ascii="Times New Roman" w:hAnsi="Times New Roman" w:cs="Times New Roman"/>
        </w:rPr>
        <w:t xml:space="preserve"> and </w:t>
      </w:r>
      <w:r w:rsidRPr="00626E43">
        <w:rPr>
          <w:rFonts w:ascii="Times New Roman" w:hAnsi="Times New Roman" w:cs="Times New Roman"/>
        </w:rPr>
        <w:t xml:space="preserve">subsection 33(3) of the </w:t>
      </w:r>
      <w:r w:rsidRPr="0043637C">
        <w:rPr>
          <w:rFonts w:ascii="Times New Roman" w:hAnsi="Times New Roman" w:cs="Times New Roman"/>
          <w:i/>
        </w:rPr>
        <w:t>Acts Interpretation Act 1901</w:t>
      </w:r>
      <w:r w:rsidRPr="00626E43">
        <w:rPr>
          <w:rFonts w:ascii="Times New Roman" w:hAnsi="Times New Roman" w:cs="Times New Roman"/>
        </w:rPr>
        <w:t xml:space="preserve">, </w:t>
      </w:r>
      <w:r w:rsidR="00CC6CA1">
        <w:rPr>
          <w:rFonts w:ascii="Times New Roman" w:hAnsi="Times New Roman" w:cs="Times New Roman"/>
        </w:rPr>
        <w:t xml:space="preserve">which relevantly provides that </w:t>
      </w:r>
      <w:r w:rsidRPr="00626E43">
        <w:rPr>
          <w:rFonts w:ascii="Times New Roman" w:hAnsi="Times New Roman" w:cs="Times New Roman"/>
        </w:rPr>
        <w:t>where an Act confers a power to make, grant or issue any instrument of a legislative character</w:t>
      </w:r>
      <w:r w:rsidR="00CC6CA1">
        <w:rPr>
          <w:rFonts w:ascii="Times New Roman" w:hAnsi="Times New Roman" w:cs="Times New Roman"/>
        </w:rPr>
        <w:t>,</w:t>
      </w:r>
      <w:r w:rsidRPr="00626E43">
        <w:rPr>
          <w:rFonts w:ascii="Times New Roman" w:hAnsi="Times New Roman" w:cs="Times New Roman"/>
        </w:rPr>
        <w:t xml:space="preserve"> the power shall be construed as including a power exercisable in the like manner and subject to the like conditions (if any) to repeal</w:t>
      </w:r>
      <w:r>
        <w:rPr>
          <w:rFonts w:ascii="Times New Roman" w:hAnsi="Times New Roman" w:cs="Times New Roman"/>
        </w:rPr>
        <w:t xml:space="preserve"> any such instrument</w:t>
      </w:r>
      <w:r w:rsidR="00C64481">
        <w:rPr>
          <w:rFonts w:ascii="Times New Roman" w:hAnsi="Times New Roman" w:cs="Times New Roman"/>
        </w:rPr>
        <w:t xml:space="preserve">.  </w:t>
      </w:r>
      <w:r w:rsidR="008A2C13">
        <w:rPr>
          <w:rFonts w:ascii="Times New Roman" w:hAnsi="Times New Roman" w:cs="Times New Roman"/>
        </w:rPr>
        <w:t>Details of the differences between the Determination and the 1997 Determination are set o</w:t>
      </w:r>
      <w:r w:rsidR="00C64481">
        <w:rPr>
          <w:rFonts w:ascii="Times New Roman" w:hAnsi="Times New Roman" w:cs="Times New Roman"/>
        </w:rPr>
        <w:t>ut</w:t>
      </w:r>
      <w:r w:rsidR="008A2C13">
        <w:rPr>
          <w:rFonts w:ascii="Times New Roman" w:hAnsi="Times New Roman" w:cs="Times New Roman"/>
        </w:rPr>
        <w:t xml:space="preserve"> below</w:t>
      </w:r>
      <w:r w:rsidR="00C64481">
        <w:rPr>
          <w:rFonts w:ascii="Times New Roman" w:hAnsi="Times New Roman" w:cs="Times New Roman"/>
        </w:rPr>
        <w:t xml:space="preserve">.  </w:t>
      </w:r>
    </w:p>
    <w:p w14:paraId="467668C8" w14:textId="77777777" w:rsidR="00CC6CA1" w:rsidRDefault="00CC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is a legislative instrument for the purposes of the </w:t>
      </w:r>
      <w:r w:rsidRPr="006D5BF5"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</w:rPr>
        <w:t>.</w:t>
      </w:r>
    </w:p>
    <w:p w14:paraId="479EADC0" w14:textId="77777777" w:rsidR="00CC6CA1" w:rsidRPr="008A2C13" w:rsidRDefault="00CC6CA1">
      <w:pPr>
        <w:rPr>
          <w:rFonts w:ascii="Times New Roman" w:hAnsi="Times New Roman" w:cs="Times New Roman"/>
          <w:i/>
        </w:rPr>
      </w:pPr>
      <w:r w:rsidRPr="008A2C13">
        <w:rPr>
          <w:rFonts w:ascii="Times New Roman" w:hAnsi="Times New Roman" w:cs="Times New Roman"/>
          <w:i/>
        </w:rPr>
        <w:t xml:space="preserve">Relationship to the Telecommunications Code of Practice </w:t>
      </w:r>
      <w:r>
        <w:rPr>
          <w:rFonts w:ascii="Times New Roman" w:hAnsi="Times New Roman" w:cs="Times New Roman"/>
          <w:i/>
        </w:rPr>
        <w:t>2018</w:t>
      </w:r>
    </w:p>
    <w:p w14:paraId="2D7C8A93" w14:textId="77777777" w:rsidR="001C6573" w:rsidRPr="0043637C" w:rsidRDefault="00CC6CA1">
      <w:pPr>
        <w:rPr>
          <w:rFonts w:ascii="Times New Roman" w:hAnsi="Times New Roman" w:cs="Times New Roman"/>
        </w:rPr>
      </w:pPr>
      <w:r w:rsidRPr="0043637C">
        <w:rPr>
          <w:rFonts w:ascii="Times New Roman" w:hAnsi="Times New Roman" w:cs="Times New Roman"/>
        </w:rPr>
        <w:t>Clause 15 of Schedule 3 to the Act provides that the Minister may, by written instrument, make a Code of Practice setting out conditions that are to be complied with by carriers in relation to any or all of the activities covered in Division 2, 3 or 4 (other than activities covered by a facility installation permit)</w:t>
      </w:r>
      <w:r>
        <w:rPr>
          <w:rFonts w:ascii="Times New Roman" w:hAnsi="Times New Roman" w:cs="Times New Roman"/>
        </w:rPr>
        <w:t xml:space="preserve"> of Schedule 3 to the Act</w:t>
      </w:r>
      <w:r w:rsidR="00C64481">
        <w:rPr>
          <w:rFonts w:ascii="Times New Roman" w:hAnsi="Times New Roman" w:cs="Times New Roman"/>
        </w:rPr>
        <w:t xml:space="preserve">.  </w:t>
      </w:r>
      <w:r w:rsidRPr="0043637C">
        <w:rPr>
          <w:rFonts w:ascii="Times New Roman" w:hAnsi="Times New Roman" w:cs="Times New Roman"/>
        </w:rPr>
        <w:t>Subclause 15(2) of Schedule 3 to the Act requires that a carrier co</w:t>
      </w:r>
      <w:r>
        <w:rPr>
          <w:rFonts w:ascii="Times New Roman" w:hAnsi="Times New Roman" w:cs="Times New Roman"/>
        </w:rPr>
        <w:t>mply with the Code of Practice</w:t>
      </w:r>
      <w:r w:rsidR="001C6573">
        <w:rPr>
          <w:rFonts w:ascii="Times New Roman" w:hAnsi="Times New Roman" w:cs="Times New Roman"/>
        </w:rPr>
        <w:t>.</w:t>
      </w:r>
    </w:p>
    <w:p w14:paraId="1DDCEB7E" w14:textId="77777777" w:rsidR="00CC6CA1" w:rsidRDefault="00CC6CA1">
      <w:pPr>
        <w:rPr>
          <w:rFonts w:ascii="Times New Roman" w:hAnsi="Times New Roman" w:cs="Times New Roman"/>
        </w:rPr>
      </w:pPr>
      <w:r w:rsidRPr="0043637C">
        <w:rPr>
          <w:rFonts w:ascii="Times New Roman" w:hAnsi="Times New Roman" w:cs="Times New Roman"/>
        </w:rPr>
        <w:t xml:space="preserve">The list of low-impact telecommunications facilities contained in the Determination is regulated under the </w:t>
      </w:r>
      <w:r w:rsidR="00A36B55">
        <w:rPr>
          <w:rFonts w:ascii="Times New Roman" w:hAnsi="Times New Roman" w:cs="Times New Roman"/>
          <w:i/>
        </w:rPr>
        <w:t xml:space="preserve">Telecommunications Code of Practice 2018 </w:t>
      </w:r>
      <w:r w:rsidR="00A36B55">
        <w:rPr>
          <w:rFonts w:ascii="Times New Roman" w:hAnsi="Times New Roman" w:cs="Times New Roman"/>
        </w:rPr>
        <w:t>(the Code)</w:t>
      </w:r>
      <w:r w:rsidRPr="0043637C">
        <w:rPr>
          <w:rFonts w:ascii="Times New Roman" w:hAnsi="Times New Roman" w:cs="Times New Roman"/>
        </w:rPr>
        <w:t>.</w:t>
      </w:r>
    </w:p>
    <w:p w14:paraId="3F42FC31" w14:textId="77777777" w:rsidR="00C57E29" w:rsidRDefault="003470CF">
      <w:pPr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Purpose</w:t>
      </w:r>
      <w:r w:rsidR="00F7212D">
        <w:rPr>
          <w:rFonts w:ascii="Times New Roman" w:hAnsi="Times New Roman" w:cs="Times New Roman"/>
          <w:u w:val="single"/>
        </w:rPr>
        <w:t xml:space="preserve"> and operation</w:t>
      </w:r>
    </w:p>
    <w:p w14:paraId="07D1BF38" w14:textId="77777777" w:rsidR="00CC6CA1" w:rsidRDefault="00CC6CA1" w:rsidP="006D5BF5">
      <w:pPr>
        <w:spacing w:line="240" w:lineRule="auto"/>
        <w:rPr>
          <w:rFonts w:ascii="Times New Roman" w:hAnsi="Times New Roman" w:cs="Times New Roman"/>
        </w:rPr>
      </w:pPr>
      <w:r w:rsidRPr="00A54F61">
        <w:rPr>
          <w:rFonts w:ascii="Times New Roman" w:hAnsi="Times New Roman" w:cs="Times New Roman"/>
        </w:rPr>
        <w:t>Telecommunications services play an important and expanding role in how people, businesses and governments go about their daily lives</w:t>
      </w:r>
      <w:r w:rsidR="00C64481">
        <w:rPr>
          <w:rFonts w:ascii="Times New Roman" w:hAnsi="Times New Roman" w:cs="Times New Roman"/>
        </w:rPr>
        <w:t xml:space="preserve">.  </w:t>
      </w:r>
      <w:r w:rsidRPr="00A54F61">
        <w:rPr>
          <w:rFonts w:ascii="Times New Roman" w:hAnsi="Times New Roman" w:cs="Times New Roman"/>
        </w:rPr>
        <w:t>To help provide Australians with better telecommunications services more quickly and cost</w:t>
      </w:r>
      <w:r w:rsidRPr="00A54F61">
        <w:rPr>
          <w:rFonts w:ascii="Times New Roman" w:hAnsi="Times New Roman" w:cs="Times New Roman"/>
        </w:rPr>
        <w:noBreakHyphen/>
        <w:t xml:space="preserve">effectively, telecommunications carriers have powers and immunities under Schedule 3 </w:t>
      </w:r>
      <w:r>
        <w:rPr>
          <w:rFonts w:ascii="Times New Roman" w:hAnsi="Times New Roman" w:cs="Times New Roman"/>
        </w:rPr>
        <w:t xml:space="preserve">to the </w:t>
      </w:r>
      <w:r w:rsidRPr="00A54F61">
        <w:rPr>
          <w:rFonts w:ascii="Times New Roman" w:hAnsi="Times New Roman" w:cs="Times New Roman"/>
        </w:rPr>
        <w:t>Act</w:t>
      </w:r>
      <w:r w:rsidR="00C64481">
        <w:rPr>
          <w:rFonts w:ascii="Times New Roman" w:hAnsi="Times New Roman" w:cs="Times New Roman"/>
        </w:rPr>
        <w:t xml:space="preserve">.  </w:t>
      </w:r>
    </w:p>
    <w:p w14:paraId="14A16B89" w14:textId="77777777" w:rsidR="00CC6CA1" w:rsidRDefault="00CC6CA1" w:rsidP="006D5BF5">
      <w:pPr>
        <w:spacing w:line="240" w:lineRule="auto"/>
        <w:rPr>
          <w:rFonts w:ascii="Times New Roman" w:hAnsi="Times New Roman" w:cs="Times New Roman"/>
        </w:rPr>
      </w:pPr>
      <w:r w:rsidRPr="00A54F61">
        <w:rPr>
          <w:rFonts w:ascii="Times New Roman" w:hAnsi="Times New Roman" w:cs="Times New Roman"/>
        </w:rPr>
        <w:t>Carrier powers and immunities give telecommunications carriers the ability to enter land and install and maintain some types of telecommunications network facilities</w:t>
      </w:r>
      <w:r w:rsidR="00C64481">
        <w:rPr>
          <w:rFonts w:ascii="Times New Roman" w:hAnsi="Times New Roman" w:cs="Times New Roman"/>
        </w:rPr>
        <w:t xml:space="preserve">.  </w:t>
      </w:r>
      <w:r w:rsidRPr="00A54F61">
        <w:rPr>
          <w:rFonts w:ascii="Times New Roman" w:hAnsi="Times New Roman" w:cs="Times New Roman"/>
        </w:rPr>
        <w:t>They are critical to the efficient construction and maintenance of telecommunications networks</w:t>
      </w:r>
      <w:r w:rsidR="00C64481">
        <w:rPr>
          <w:rFonts w:ascii="Times New Roman" w:hAnsi="Times New Roman" w:cs="Times New Roman"/>
        </w:rPr>
        <w:t>,</w:t>
      </w:r>
      <w:r w:rsidR="008A2C13">
        <w:rPr>
          <w:rFonts w:ascii="Times New Roman" w:hAnsi="Times New Roman" w:cs="Times New Roman"/>
        </w:rPr>
        <w:t xml:space="preserve"> which are a vital component of </w:t>
      </w:r>
      <w:r w:rsidR="008A2C13">
        <w:rPr>
          <w:rFonts w:ascii="Times New Roman" w:hAnsi="Times New Roman" w:cs="Times New Roman"/>
        </w:rPr>
        <w:lastRenderedPageBreak/>
        <w:t>Australia’s critical infrastructure, and immensely important to Australians</w:t>
      </w:r>
      <w:r w:rsidR="00C64481">
        <w:rPr>
          <w:rFonts w:ascii="Times New Roman" w:hAnsi="Times New Roman" w:cs="Times New Roman"/>
        </w:rPr>
        <w:t>’</w:t>
      </w:r>
      <w:r w:rsidR="008A2C13">
        <w:rPr>
          <w:rFonts w:ascii="Times New Roman" w:hAnsi="Times New Roman" w:cs="Times New Roman"/>
        </w:rPr>
        <w:t xml:space="preserve"> everyday lives</w:t>
      </w:r>
      <w:r w:rsidR="00C64481">
        <w:rPr>
          <w:rFonts w:ascii="Times New Roman" w:hAnsi="Times New Roman" w:cs="Times New Roman"/>
        </w:rPr>
        <w:t xml:space="preserve">.  </w:t>
      </w:r>
      <w:r w:rsidRPr="00A54F61">
        <w:rPr>
          <w:rFonts w:ascii="Times New Roman" w:hAnsi="Times New Roman" w:cs="Times New Roman"/>
        </w:rPr>
        <w:t>They minimise the regulatory burden on carriers so that they can quickly and cost-effectively meet the community’s need for access to affordable, fast and reliable telecommunications services.</w:t>
      </w:r>
    </w:p>
    <w:p w14:paraId="0FA73659" w14:textId="77777777" w:rsidR="00CC6CA1" w:rsidRDefault="00CC6CA1" w:rsidP="006D5BF5">
      <w:pPr>
        <w:spacing w:line="240" w:lineRule="auto"/>
        <w:rPr>
          <w:rFonts w:ascii="Times New Roman" w:hAnsi="Times New Roman" w:cs="Times New Roman"/>
        </w:rPr>
      </w:pPr>
      <w:r w:rsidRPr="00A54F61">
        <w:rPr>
          <w:rFonts w:ascii="Times New Roman" w:hAnsi="Times New Roman" w:cs="Times New Roman"/>
        </w:rPr>
        <w:t>Most aspects of carrier powers and immunities have been in place since 1997.</w:t>
      </w:r>
    </w:p>
    <w:p w14:paraId="1CDCA410" w14:textId="77777777" w:rsidR="00CC6CA1" w:rsidRDefault="00CC6CA1" w:rsidP="006D5BF5">
      <w:pPr>
        <w:spacing w:line="240" w:lineRule="auto"/>
        <w:rPr>
          <w:rFonts w:ascii="Times New Roman" w:hAnsi="Times New Roman" w:cs="Times New Roman"/>
        </w:rPr>
      </w:pPr>
      <w:r w:rsidRPr="007C44EF">
        <w:rPr>
          <w:rFonts w:ascii="Times New Roman" w:hAnsi="Times New Roman" w:cs="Times New Roman"/>
        </w:rPr>
        <w:t xml:space="preserve">Schedule 3 </w:t>
      </w:r>
      <w:r w:rsidR="00264D73">
        <w:rPr>
          <w:rFonts w:ascii="Times New Roman" w:hAnsi="Times New Roman" w:cs="Times New Roman"/>
        </w:rPr>
        <w:t xml:space="preserve">to the Act </w:t>
      </w:r>
      <w:r w:rsidRPr="007C44EF">
        <w:rPr>
          <w:rFonts w:ascii="Times New Roman" w:hAnsi="Times New Roman" w:cs="Times New Roman"/>
        </w:rPr>
        <w:t>provides carriers with powers to enter land for inspection, and to install and maintain certain types of facilities</w:t>
      </w:r>
      <w:r w:rsidR="00C64481">
        <w:rPr>
          <w:rFonts w:ascii="Times New Roman" w:hAnsi="Times New Roman" w:cs="Times New Roman"/>
        </w:rPr>
        <w:t xml:space="preserve">.  </w:t>
      </w:r>
      <w:r w:rsidRPr="007C44EF">
        <w:rPr>
          <w:rFonts w:ascii="Times New Roman" w:hAnsi="Times New Roman" w:cs="Times New Roman"/>
        </w:rPr>
        <w:t>It also provides certain immunit</w:t>
      </w:r>
      <w:r>
        <w:rPr>
          <w:rFonts w:ascii="Times New Roman" w:hAnsi="Times New Roman" w:cs="Times New Roman"/>
        </w:rPr>
        <w:t>ies, including from a range of state and t</w:t>
      </w:r>
      <w:r w:rsidRPr="007C44EF">
        <w:rPr>
          <w:rFonts w:ascii="Times New Roman" w:hAnsi="Times New Roman" w:cs="Times New Roman"/>
        </w:rPr>
        <w:t>erritory laws when carrying out those activities, such as those laws relating to land use, planning, design, construction, siting, tenancy, environmental assessments and protection.</w:t>
      </w:r>
    </w:p>
    <w:p w14:paraId="578EC856" w14:textId="6BA2A153" w:rsidR="00C9456A" w:rsidRPr="00C9456A" w:rsidRDefault="00F636BA" w:rsidP="006D5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456A" w:rsidRPr="00C9456A">
        <w:rPr>
          <w:rFonts w:ascii="Times New Roman" w:hAnsi="Times New Roman" w:cs="Times New Roman"/>
        </w:rPr>
        <w:t xml:space="preserve">he Determination contains </w:t>
      </w:r>
      <w:r>
        <w:rPr>
          <w:rFonts w:ascii="Times New Roman" w:hAnsi="Times New Roman" w:cs="Times New Roman"/>
        </w:rPr>
        <w:t>a</w:t>
      </w:r>
      <w:r w:rsidRPr="00C9456A">
        <w:rPr>
          <w:rFonts w:ascii="Times New Roman" w:hAnsi="Times New Roman" w:cs="Times New Roman"/>
        </w:rPr>
        <w:t xml:space="preserve"> </w:t>
      </w:r>
      <w:r w:rsidR="00C9456A" w:rsidRPr="00C9456A">
        <w:rPr>
          <w:rFonts w:ascii="Times New Roman" w:hAnsi="Times New Roman" w:cs="Times New Roman"/>
        </w:rPr>
        <w:t xml:space="preserve">list of </w:t>
      </w:r>
      <w:r w:rsidR="004123BE">
        <w:rPr>
          <w:rFonts w:ascii="Times New Roman" w:hAnsi="Times New Roman" w:cs="Times New Roman"/>
        </w:rPr>
        <w:t xml:space="preserve">low-impact </w:t>
      </w:r>
      <w:r w:rsidR="00C9456A" w:rsidRPr="00C9456A">
        <w:rPr>
          <w:rFonts w:ascii="Times New Roman" w:hAnsi="Times New Roman" w:cs="Times New Roman"/>
        </w:rPr>
        <w:t xml:space="preserve">telecommunications facilities </w:t>
      </w:r>
      <w:r w:rsidR="00BA7778">
        <w:rPr>
          <w:rFonts w:ascii="Times New Roman" w:hAnsi="Times New Roman" w:cs="Times New Roman"/>
        </w:rPr>
        <w:t>that can be installed under carrier powers and immunities</w:t>
      </w:r>
      <w:r w:rsidR="00C64481">
        <w:rPr>
          <w:rFonts w:ascii="Times New Roman" w:hAnsi="Times New Roman" w:cs="Times New Roman"/>
        </w:rPr>
        <w:t xml:space="preserve">.  </w:t>
      </w:r>
      <w:r w:rsidR="00C9456A" w:rsidRPr="00C9456A">
        <w:rPr>
          <w:rFonts w:ascii="Times New Roman" w:hAnsi="Times New Roman" w:cs="Times New Roman"/>
        </w:rPr>
        <w:t xml:space="preserve">The low-impact list does not include telecommunications towers, </w:t>
      </w:r>
      <w:r w:rsidR="00375E4F">
        <w:rPr>
          <w:rFonts w:ascii="Times New Roman" w:hAnsi="Times New Roman" w:cs="Times New Roman"/>
        </w:rPr>
        <w:t>as the</w:t>
      </w:r>
      <w:r w:rsidR="00C9456A" w:rsidRPr="00C9456A">
        <w:rPr>
          <w:rFonts w:ascii="Times New Roman" w:hAnsi="Times New Roman" w:cs="Times New Roman"/>
        </w:rPr>
        <w:t xml:space="preserve"> installation of these facilities</w:t>
      </w:r>
      <w:r w:rsidR="00375E4F">
        <w:rPr>
          <w:rFonts w:ascii="Times New Roman" w:hAnsi="Times New Roman" w:cs="Times New Roman"/>
        </w:rPr>
        <w:t xml:space="preserve"> is</w:t>
      </w:r>
      <w:r w:rsidR="00C9456A" w:rsidRPr="00C9456A">
        <w:rPr>
          <w:rFonts w:ascii="Times New Roman" w:hAnsi="Times New Roman" w:cs="Times New Roman"/>
        </w:rPr>
        <w:t xml:space="preserve"> govern</w:t>
      </w:r>
      <w:r w:rsidR="00C9456A">
        <w:rPr>
          <w:rFonts w:ascii="Times New Roman" w:hAnsi="Times New Roman" w:cs="Times New Roman"/>
        </w:rPr>
        <w:t>ed by State and Territory laws.</w:t>
      </w:r>
    </w:p>
    <w:p w14:paraId="1BA872DF" w14:textId="77777777" w:rsidR="00C9456A" w:rsidRPr="00C9456A" w:rsidRDefault="00C94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has </w:t>
      </w:r>
      <w:r w:rsidR="004814CC"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</w:rPr>
        <w:t>Parts</w:t>
      </w:r>
      <w:r w:rsidR="001E418D">
        <w:rPr>
          <w:rFonts w:ascii="Times New Roman" w:hAnsi="Times New Roman" w:cs="Times New Roman"/>
        </w:rPr>
        <w:t xml:space="preserve"> and one Schedule</w:t>
      </w:r>
      <w:r>
        <w:rPr>
          <w:rFonts w:ascii="Times New Roman" w:hAnsi="Times New Roman" w:cs="Times New Roman"/>
        </w:rPr>
        <w:t>:</w:t>
      </w:r>
    </w:p>
    <w:p w14:paraId="284B9082" w14:textId="77777777" w:rsidR="00C9456A" w:rsidRPr="00C9456A" w:rsidRDefault="00C945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t xml:space="preserve">Part 1 </w:t>
      </w:r>
      <w:r w:rsidR="004821FF">
        <w:rPr>
          <w:rFonts w:ascii="Times New Roman" w:hAnsi="Times New Roman" w:cs="Times New Roman"/>
        </w:rPr>
        <w:t xml:space="preserve">is introductory, </w:t>
      </w:r>
      <w:r w:rsidRPr="00C9456A">
        <w:rPr>
          <w:rFonts w:ascii="Times New Roman" w:hAnsi="Times New Roman" w:cs="Times New Roman"/>
        </w:rPr>
        <w:t>contain</w:t>
      </w:r>
      <w:r w:rsidR="004821FF">
        <w:rPr>
          <w:rFonts w:ascii="Times New Roman" w:hAnsi="Times New Roman" w:cs="Times New Roman"/>
        </w:rPr>
        <w:t>ing matter</w:t>
      </w:r>
      <w:r w:rsidR="00917BF1">
        <w:rPr>
          <w:rFonts w:ascii="Times New Roman" w:hAnsi="Times New Roman" w:cs="Times New Roman"/>
        </w:rPr>
        <w:t>s</w:t>
      </w:r>
      <w:r w:rsidR="004821FF">
        <w:rPr>
          <w:rFonts w:ascii="Times New Roman" w:hAnsi="Times New Roman" w:cs="Times New Roman"/>
        </w:rPr>
        <w:t xml:space="preserve"> such as </w:t>
      </w:r>
      <w:r w:rsidRPr="00C9456A">
        <w:rPr>
          <w:rFonts w:ascii="Times New Roman" w:hAnsi="Times New Roman" w:cs="Times New Roman"/>
        </w:rPr>
        <w:t>commencement, definitions and principal designated use (for the purposes of clarifying the zoning category)</w:t>
      </w:r>
      <w:r w:rsidR="004814CC">
        <w:rPr>
          <w:rFonts w:ascii="Times New Roman" w:hAnsi="Times New Roman" w:cs="Times New Roman"/>
        </w:rPr>
        <w:t>.</w:t>
      </w:r>
    </w:p>
    <w:p w14:paraId="75F3873E" w14:textId="77777777" w:rsidR="00C9456A" w:rsidRPr="00C9456A" w:rsidRDefault="00C945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t>Part 2 identifies the areas in which a facility may be installed, by reference to zoning arrangements under State and Territory planning laws</w:t>
      </w:r>
      <w:r w:rsidR="004814CC">
        <w:rPr>
          <w:rFonts w:ascii="Times New Roman" w:hAnsi="Times New Roman" w:cs="Times New Roman"/>
        </w:rPr>
        <w:t>.</w:t>
      </w:r>
    </w:p>
    <w:p w14:paraId="1A984252" w14:textId="29EC33F5" w:rsidR="00C9456A" w:rsidRPr="00C9456A" w:rsidRDefault="00C945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C9456A">
        <w:rPr>
          <w:rFonts w:ascii="Times New Roman" w:hAnsi="Times New Roman" w:cs="Times New Roman"/>
        </w:rPr>
        <w:t>Part 3 and the Schedule identify the circumstances under which named facilities are to be taken to be low-impact.</w:t>
      </w:r>
    </w:p>
    <w:p w14:paraId="5E3513BC" w14:textId="77777777" w:rsidR="00D83E8C" w:rsidRDefault="00D83E8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Consultation</w:t>
      </w:r>
    </w:p>
    <w:p w14:paraId="35430C3B" w14:textId="77777777" w:rsidR="00E02942" w:rsidRDefault="00E02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9 June 2017, the Australian Government released a public consultation paper on possible changes to Schedule 3 to the Act, the </w:t>
      </w:r>
      <w:r w:rsidRPr="008A2C13">
        <w:rPr>
          <w:rFonts w:ascii="Times New Roman" w:eastAsia="Times New Roman" w:hAnsi="Times New Roman" w:cs="Times New Roman"/>
          <w:lang w:val="en-US" w:eastAsia="en-AU"/>
        </w:rPr>
        <w:t>1997</w:t>
      </w:r>
      <w:r w:rsidR="00CC6CA1" w:rsidRPr="008A2C13">
        <w:rPr>
          <w:rFonts w:ascii="Times New Roman" w:eastAsia="Times New Roman" w:hAnsi="Times New Roman" w:cs="Times New Roman"/>
          <w:lang w:val="en-US" w:eastAsia="en-AU"/>
        </w:rPr>
        <w:t xml:space="preserve"> Determination</w:t>
      </w:r>
      <w:r>
        <w:rPr>
          <w:rFonts w:ascii="Times New Roman" w:hAnsi="Times New Roman" w:cs="Times New Roman"/>
        </w:rPr>
        <w:t xml:space="preserve"> and the </w:t>
      </w:r>
      <w:r w:rsidRPr="00E6101E">
        <w:rPr>
          <w:rFonts w:ascii="Times New Roman" w:hAnsi="Times New Roman" w:cs="Times New Roman"/>
          <w:i/>
        </w:rPr>
        <w:t>Telecommunications Code of Practice 1997</w:t>
      </w:r>
      <w:r w:rsidR="00CC6CA1">
        <w:rPr>
          <w:rFonts w:ascii="Times New Roman" w:hAnsi="Times New Roman" w:cs="Times New Roman"/>
          <w:i/>
        </w:rPr>
        <w:t xml:space="preserve"> </w:t>
      </w:r>
      <w:r w:rsidR="00CC6CA1" w:rsidRPr="004814CC">
        <w:rPr>
          <w:rFonts w:ascii="Times New Roman" w:hAnsi="Times New Roman" w:cs="Times New Roman"/>
        </w:rPr>
        <w:t>(1997 Code)</w:t>
      </w:r>
      <w:r w:rsidR="00C64481">
        <w:rPr>
          <w:rFonts w:ascii="Times New Roman" w:hAnsi="Times New Roman" w:cs="Times New Roman"/>
          <w:i/>
        </w:rPr>
        <w:t xml:space="preserve">.  </w:t>
      </w:r>
      <w:r>
        <w:rPr>
          <w:rFonts w:ascii="Times New Roman" w:hAnsi="Times New Roman" w:cs="Times New Roman"/>
        </w:rPr>
        <w:t>Organisations and members of the public were invited to make submissions about the possible changes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While submissions were required within six weeks of the release of the consultation paper, submissions received after that period were accepted and considered by the Government</w:t>
      </w:r>
      <w:r w:rsidR="00C64481">
        <w:rPr>
          <w:rFonts w:ascii="Times New Roman" w:hAnsi="Times New Roman" w:cs="Times New Roman"/>
        </w:rPr>
        <w:t xml:space="preserve">.  </w:t>
      </w:r>
    </w:p>
    <w:p w14:paraId="683913B7" w14:textId="3047CF8A" w:rsidR="00E02942" w:rsidRDefault="00E02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100 submissions were received by the Government, with 81 submissions made public on the Department of Communications and the Arts’ website on 18 September 2017</w:t>
      </w:r>
      <w:r w:rsidR="00C64481">
        <w:rPr>
          <w:rFonts w:ascii="Times New Roman" w:hAnsi="Times New Roman" w:cs="Times New Roman"/>
        </w:rPr>
        <w:t xml:space="preserve">.  </w:t>
      </w:r>
      <w:r w:rsidR="006E54A7">
        <w:rPr>
          <w:rFonts w:ascii="Times New Roman" w:hAnsi="Times New Roman" w:cs="Times New Roman"/>
        </w:rPr>
        <w:t>Confidential s</w:t>
      </w:r>
      <w:r>
        <w:rPr>
          <w:rFonts w:ascii="Times New Roman" w:hAnsi="Times New Roman" w:cs="Times New Roman"/>
        </w:rPr>
        <w:t xml:space="preserve">ubmissions </w:t>
      </w:r>
      <w:r w:rsidR="006E54A7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not published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A number of submissions focussed on the impact of existing powers and immunities on their land and activities rather than on the specific proposals put forward in the consultation paper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These submissions </w:t>
      </w:r>
      <w:r w:rsidR="00BA7778">
        <w:rPr>
          <w:rFonts w:ascii="Times New Roman" w:hAnsi="Times New Roman" w:cs="Times New Roman"/>
        </w:rPr>
        <w:t xml:space="preserve">proposed </w:t>
      </w:r>
      <w:r>
        <w:rPr>
          <w:rFonts w:ascii="Times New Roman" w:hAnsi="Times New Roman" w:cs="Times New Roman"/>
        </w:rPr>
        <w:t>additional changes to carrier powers and immunities</w:t>
      </w:r>
      <w:r w:rsidR="006E54A7">
        <w:rPr>
          <w:rFonts w:ascii="Times New Roman" w:hAnsi="Times New Roman" w:cs="Times New Roman"/>
        </w:rPr>
        <w:t xml:space="preserve"> under Schedule 3 to the Act</w:t>
      </w:r>
      <w:r>
        <w:rPr>
          <w:rFonts w:ascii="Times New Roman" w:hAnsi="Times New Roman" w:cs="Times New Roman"/>
        </w:rPr>
        <w:t>.</w:t>
      </w:r>
    </w:p>
    <w:p w14:paraId="70B63CFA" w14:textId="5913E8DC" w:rsidR="00E02942" w:rsidRDefault="00E02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Department of Communications and the Arts met with representatives from key stakeholder groups from August 2017 to November 2017 to discuss the possible changes </w:t>
      </w:r>
      <w:r w:rsidR="00BA7778">
        <w:rPr>
          <w:rFonts w:ascii="Times New Roman" w:hAnsi="Times New Roman" w:cs="Times New Roman"/>
        </w:rPr>
        <w:t>to the regime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Stakeholders </w:t>
      </w:r>
      <w:r w:rsidR="00BA7778">
        <w:rPr>
          <w:rFonts w:ascii="Times New Roman" w:hAnsi="Times New Roman" w:cs="Times New Roman"/>
        </w:rPr>
        <w:t>generally accept</w:t>
      </w:r>
      <w:r w:rsidR="00C6212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066EA3">
        <w:rPr>
          <w:rFonts w:ascii="Times New Roman" w:hAnsi="Times New Roman" w:cs="Times New Roman"/>
        </w:rPr>
        <w:t xml:space="preserve">limited </w:t>
      </w:r>
      <w:r>
        <w:rPr>
          <w:rFonts w:ascii="Times New Roman" w:hAnsi="Times New Roman" w:cs="Times New Roman"/>
        </w:rPr>
        <w:t>changes</w:t>
      </w:r>
      <w:r w:rsidR="006E54A7">
        <w:rPr>
          <w:rFonts w:ascii="Times New Roman" w:hAnsi="Times New Roman" w:cs="Times New Roman"/>
        </w:rPr>
        <w:t xml:space="preserve"> being made </w:t>
      </w:r>
      <w:r w:rsidR="00C62120">
        <w:rPr>
          <w:rFonts w:ascii="Times New Roman" w:hAnsi="Times New Roman" w:cs="Times New Roman"/>
        </w:rPr>
        <w:t>to the 1997</w:t>
      </w:r>
      <w:r w:rsidR="006E54A7" w:rsidRPr="00F3208C">
        <w:rPr>
          <w:rFonts w:ascii="Times New Roman" w:hAnsi="Times New Roman" w:cs="Times New Roman"/>
        </w:rPr>
        <w:t xml:space="preserve"> Determination</w:t>
      </w:r>
      <w:r w:rsidR="006E54A7">
        <w:rPr>
          <w:rFonts w:ascii="Times New Roman" w:hAnsi="Times New Roman" w:cs="Times New Roman"/>
        </w:rPr>
        <w:t xml:space="preserve"> and </w:t>
      </w:r>
      <w:r w:rsidR="00BA7778">
        <w:rPr>
          <w:rFonts w:ascii="Times New Roman" w:hAnsi="Times New Roman" w:cs="Times New Roman"/>
        </w:rPr>
        <w:t xml:space="preserve">the </w:t>
      </w:r>
      <w:r w:rsidR="00C62120">
        <w:rPr>
          <w:rFonts w:ascii="Times New Roman" w:hAnsi="Times New Roman" w:cs="Times New Roman"/>
        </w:rPr>
        <w:t>1997</w:t>
      </w:r>
      <w:r w:rsidR="006E54A7" w:rsidRPr="00F3208C">
        <w:rPr>
          <w:rFonts w:ascii="Times New Roman" w:hAnsi="Times New Roman" w:cs="Times New Roman"/>
        </w:rPr>
        <w:t xml:space="preserve"> Code</w:t>
      </w:r>
      <w:r w:rsidR="00066EA3">
        <w:rPr>
          <w:rFonts w:ascii="Times New Roman" w:hAnsi="Times New Roman" w:cs="Times New Roman"/>
        </w:rPr>
        <w:t>, noting additional changes would be subject to</w:t>
      </w:r>
      <w:r w:rsidR="00BA7778">
        <w:rPr>
          <w:rFonts w:ascii="Times New Roman" w:hAnsi="Times New Roman" w:cs="Times New Roman"/>
        </w:rPr>
        <w:t xml:space="preserve"> further consultation.</w:t>
      </w:r>
    </w:p>
    <w:p w14:paraId="45FE1F7B" w14:textId="1BA0F16F" w:rsidR="00917BF1" w:rsidRDefault="00E0294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The </w:t>
      </w:r>
      <w:r w:rsidR="006E54A7">
        <w:rPr>
          <w:rFonts w:ascii="Times New Roman" w:hAnsi="Times New Roman" w:cs="Times New Roman"/>
        </w:rPr>
        <w:t>Minister</w:t>
      </w:r>
      <w:r>
        <w:rPr>
          <w:rFonts w:ascii="Times New Roman" w:hAnsi="Times New Roman" w:cs="Times New Roman"/>
        </w:rPr>
        <w:t xml:space="preserve"> decided to remake the </w:t>
      </w:r>
      <w:r w:rsidR="006E54A7" w:rsidRPr="00F3208C">
        <w:rPr>
          <w:rFonts w:ascii="Times New Roman" w:hAnsi="Times New Roman" w:cs="Times New Roman"/>
        </w:rPr>
        <w:t xml:space="preserve">1997 </w:t>
      </w:r>
      <w:r w:rsidRPr="00F3208C">
        <w:rPr>
          <w:rFonts w:ascii="Times New Roman" w:hAnsi="Times New Roman" w:cs="Times New Roman"/>
        </w:rPr>
        <w:t>D</w:t>
      </w:r>
      <w:r w:rsidR="006E54A7" w:rsidRPr="00F3208C">
        <w:rPr>
          <w:rFonts w:ascii="Times New Roman" w:hAnsi="Times New Roman" w:cs="Times New Roman"/>
        </w:rPr>
        <w:t>etermination</w:t>
      </w:r>
      <w:r>
        <w:rPr>
          <w:rFonts w:ascii="Times New Roman" w:hAnsi="Times New Roman" w:cs="Times New Roman"/>
        </w:rPr>
        <w:t xml:space="preserve"> and the</w:t>
      </w:r>
      <w:r w:rsidR="006E54A7">
        <w:rPr>
          <w:rFonts w:ascii="Times New Roman" w:hAnsi="Times New Roman" w:cs="Times New Roman"/>
        </w:rPr>
        <w:t xml:space="preserve"> </w:t>
      </w:r>
      <w:r w:rsidR="006E54A7" w:rsidRPr="00F3208C">
        <w:rPr>
          <w:rFonts w:ascii="Times New Roman" w:hAnsi="Times New Roman" w:cs="Times New Roman"/>
        </w:rPr>
        <w:t>1997</w:t>
      </w:r>
      <w:r w:rsidRPr="00F3208C">
        <w:rPr>
          <w:rFonts w:ascii="Times New Roman" w:hAnsi="Times New Roman" w:cs="Times New Roman"/>
        </w:rPr>
        <w:t xml:space="preserve"> Code</w:t>
      </w:r>
      <w:r w:rsidR="00917BF1">
        <w:rPr>
          <w:rFonts w:ascii="Times New Roman" w:hAnsi="Times New Roman" w:cs="Times New Roman"/>
        </w:rPr>
        <w:t xml:space="preserve"> to ensure that they do not sunset on 1 April 2019 and</w:t>
      </w:r>
      <w:r>
        <w:rPr>
          <w:rFonts w:ascii="Times New Roman" w:hAnsi="Times New Roman" w:cs="Times New Roman"/>
        </w:rPr>
        <w:t xml:space="preserve"> to incorporate nine of the possible changes set out in the consultation paper</w:t>
      </w:r>
      <w:r w:rsidR="00C64481">
        <w:rPr>
          <w:rFonts w:ascii="Times New Roman" w:hAnsi="Times New Roman" w:cs="Times New Roman"/>
        </w:rPr>
        <w:t xml:space="preserve">.  </w:t>
      </w:r>
      <w:r w:rsidR="00C81BE8">
        <w:rPr>
          <w:rFonts w:ascii="Times New Roman" w:hAnsi="Times New Roman" w:cs="Times New Roman"/>
        </w:rPr>
        <w:t>T</w:t>
      </w:r>
      <w:r w:rsidR="00C81BE8" w:rsidRPr="00BD4E78">
        <w:rPr>
          <w:rFonts w:ascii="Times New Roman" w:hAnsi="Times New Roman" w:cs="Times New Roman"/>
        </w:rPr>
        <w:t xml:space="preserve">he </w:t>
      </w:r>
      <w:r w:rsidR="00C81BE8" w:rsidRPr="008A2C13">
        <w:rPr>
          <w:rFonts w:ascii="Times New Roman" w:hAnsi="Times New Roman" w:cs="Times New Roman"/>
        </w:rPr>
        <w:t>Determination</w:t>
      </w:r>
      <w:r w:rsidR="00C81BE8">
        <w:rPr>
          <w:rFonts w:ascii="Times New Roman" w:hAnsi="Times New Roman" w:cs="Times New Roman"/>
        </w:rPr>
        <w:t xml:space="preserve"> incorporates</w:t>
      </w:r>
      <w:r w:rsidR="004814CC">
        <w:rPr>
          <w:rFonts w:ascii="Times New Roman" w:hAnsi="Times New Roman" w:cs="Times New Roman"/>
        </w:rPr>
        <w:t xml:space="preserve"> </w:t>
      </w:r>
      <w:r w:rsidR="00BD4E78">
        <w:rPr>
          <w:rFonts w:ascii="Times New Roman" w:hAnsi="Times New Roman" w:cs="Times New Roman"/>
        </w:rPr>
        <w:t xml:space="preserve">seven </w:t>
      </w:r>
      <w:r w:rsidR="00C81BE8">
        <w:rPr>
          <w:rFonts w:ascii="Times New Roman" w:hAnsi="Times New Roman" w:cs="Times New Roman"/>
        </w:rPr>
        <w:t>of the</w:t>
      </w:r>
      <w:r w:rsidR="00C81BE8" w:rsidRPr="008A2C13">
        <w:rPr>
          <w:rFonts w:ascii="Times New Roman" w:hAnsi="Times New Roman" w:cs="Times New Roman"/>
        </w:rPr>
        <w:t xml:space="preserve"> </w:t>
      </w:r>
      <w:r w:rsidR="006E54A7" w:rsidRPr="008A2C13">
        <w:rPr>
          <w:rFonts w:ascii="Times New Roman" w:hAnsi="Times New Roman" w:cs="Times New Roman"/>
        </w:rPr>
        <w:t>c</w:t>
      </w:r>
      <w:r w:rsidRPr="00BD4E78">
        <w:rPr>
          <w:rFonts w:ascii="Times New Roman" w:hAnsi="Times New Roman" w:cs="Times New Roman"/>
        </w:rPr>
        <w:t>hanges</w:t>
      </w:r>
      <w:r w:rsidR="00BD4E78" w:rsidRPr="008A2C13">
        <w:rPr>
          <w:rFonts w:ascii="Times New Roman" w:hAnsi="Times New Roman" w:cs="Times New Roman"/>
        </w:rPr>
        <w:t>.</w:t>
      </w:r>
    </w:p>
    <w:p w14:paraId="3DD11191" w14:textId="65334338" w:rsidR="008A2C13" w:rsidRPr="006D5BF5" w:rsidRDefault="008A2C13">
      <w:pPr>
        <w:rPr>
          <w:rFonts w:ascii="Times New Roman" w:hAnsi="Times New Roman" w:cs="Times New Roman"/>
          <w:u w:val="single"/>
        </w:rPr>
      </w:pPr>
      <w:r w:rsidRPr="006D5BF5">
        <w:rPr>
          <w:rFonts w:ascii="Times New Roman" w:hAnsi="Times New Roman" w:cs="Times New Roman"/>
          <w:u w:val="single"/>
        </w:rPr>
        <w:t xml:space="preserve">Summary of </w:t>
      </w:r>
      <w:r w:rsidR="00EA19BD">
        <w:rPr>
          <w:rFonts w:ascii="Times New Roman" w:hAnsi="Times New Roman" w:cs="Times New Roman"/>
          <w:u w:val="single"/>
        </w:rPr>
        <w:t>changes in</w:t>
      </w:r>
      <w:r w:rsidR="00C3168C" w:rsidRPr="006D5BF5">
        <w:rPr>
          <w:rFonts w:ascii="Times New Roman" w:hAnsi="Times New Roman" w:cs="Times New Roman"/>
          <w:u w:val="single"/>
        </w:rPr>
        <w:t xml:space="preserve"> the </w:t>
      </w:r>
      <w:r w:rsidR="00C3168C" w:rsidRPr="00C3168C">
        <w:rPr>
          <w:rFonts w:ascii="Times New Roman" w:hAnsi="Times New Roman" w:cs="Times New Roman"/>
          <w:u w:val="single"/>
        </w:rPr>
        <w:t>Determination</w:t>
      </w:r>
      <w:r w:rsidR="00C3168C" w:rsidRPr="006D5BF5">
        <w:rPr>
          <w:rFonts w:ascii="Times New Roman" w:hAnsi="Times New Roman" w:cs="Times New Roman"/>
          <w:u w:val="single"/>
        </w:rPr>
        <w:t xml:space="preserve"> </w:t>
      </w:r>
    </w:p>
    <w:p w14:paraId="189BCCE8" w14:textId="349848CC" w:rsidR="00C3168C" w:rsidRPr="00EA19BD" w:rsidRDefault="00C3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Apart from the changes noted below, the </w:t>
      </w:r>
      <w:r w:rsidRPr="008A2C13">
        <w:rPr>
          <w:rFonts w:ascii="Times New Roman" w:hAnsi="Times New Roman" w:cs="Times New Roman"/>
        </w:rPr>
        <w:t>Determination</w:t>
      </w:r>
      <w:r w:rsidRPr="00C93BC1">
        <w:rPr>
          <w:rFonts w:ascii="Times New Roman" w:hAnsi="Times New Roman" w:cs="Times New Roman"/>
        </w:rPr>
        <w:t xml:space="preserve"> is not otherwise changed from the </w:t>
      </w:r>
      <w:r w:rsidRPr="008A2C13">
        <w:rPr>
          <w:rFonts w:ascii="Times New Roman" w:hAnsi="Times New Roman" w:cs="Times New Roman"/>
        </w:rPr>
        <w:t>1997 Determination</w:t>
      </w:r>
      <w:r w:rsidRPr="00C93BC1">
        <w:rPr>
          <w:rFonts w:ascii="Times New Roman" w:hAnsi="Times New Roman" w:cs="Times New Roman"/>
          <w:i/>
        </w:rPr>
        <w:t>.</w:t>
      </w:r>
      <w:r w:rsidR="00EA19BD">
        <w:rPr>
          <w:rFonts w:ascii="Times New Roman" w:hAnsi="Times New Roman" w:cs="Times New Roman"/>
          <w:i/>
        </w:rPr>
        <w:t xml:space="preserve">  </w:t>
      </w:r>
      <w:r w:rsidR="001937B1">
        <w:rPr>
          <w:rFonts w:ascii="Times New Roman" w:hAnsi="Times New Roman" w:cs="Times New Roman"/>
        </w:rPr>
        <w:t>Some of t</w:t>
      </w:r>
      <w:r w:rsidR="00EA19BD">
        <w:rPr>
          <w:rFonts w:ascii="Times New Roman" w:hAnsi="Times New Roman" w:cs="Times New Roman"/>
        </w:rPr>
        <w:t xml:space="preserve">he changes </w:t>
      </w:r>
      <w:r w:rsidR="002A4186">
        <w:rPr>
          <w:rFonts w:ascii="Times New Roman" w:hAnsi="Times New Roman" w:cs="Times New Roman"/>
        </w:rPr>
        <w:t xml:space="preserve">expand the list of low-impact facilities and the </w:t>
      </w:r>
      <w:r w:rsidR="002A4186" w:rsidRPr="00A11022">
        <w:rPr>
          <w:rFonts w:ascii="Times New Roman" w:hAnsi="Times New Roman" w:cs="Times New Roman"/>
          <w:lang w:val="en-US"/>
        </w:rPr>
        <w:t>circumstances in which</w:t>
      </w:r>
      <w:r w:rsidR="002A4186">
        <w:rPr>
          <w:rFonts w:ascii="Times New Roman" w:hAnsi="Times New Roman" w:cs="Times New Roman"/>
          <w:lang w:val="en-US"/>
        </w:rPr>
        <w:t xml:space="preserve"> some</w:t>
      </w:r>
      <w:r w:rsidR="002A4186" w:rsidRPr="00A11022">
        <w:rPr>
          <w:rFonts w:ascii="Times New Roman" w:hAnsi="Times New Roman" w:cs="Times New Roman"/>
          <w:lang w:val="en-US"/>
        </w:rPr>
        <w:t xml:space="preserve"> facilities are to be taken to be low-impact</w:t>
      </w:r>
      <w:r w:rsidR="002A4186">
        <w:rPr>
          <w:rFonts w:ascii="Times New Roman" w:hAnsi="Times New Roman" w:cs="Times New Roman"/>
          <w:lang w:val="en-US"/>
        </w:rPr>
        <w:t>, which</w:t>
      </w:r>
      <w:r w:rsidR="002A4186">
        <w:rPr>
          <w:rFonts w:ascii="Times New Roman" w:hAnsi="Times New Roman" w:cs="Times New Roman"/>
        </w:rPr>
        <w:t xml:space="preserve"> </w:t>
      </w:r>
      <w:r w:rsidR="00EA19BD">
        <w:rPr>
          <w:rFonts w:ascii="Times New Roman" w:hAnsi="Times New Roman" w:cs="Times New Roman"/>
        </w:rPr>
        <w:t xml:space="preserve">will allow carriers to construct and </w:t>
      </w:r>
      <w:r w:rsidR="00EA19BD">
        <w:rPr>
          <w:rFonts w:ascii="Times New Roman" w:hAnsi="Times New Roman" w:cs="Times New Roman"/>
        </w:rPr>
        <w:lastRenderedPageBreak/>
        <w:t>maintain their networks more efficiently and at a lower cost</w:t>
      </w:r>
      <w:r w:rsidR="002A4186">
        <w:rPr>
          <w:rFonts w:ascii="Times New Roman" w:hAnsi="Times New Roman" w:cs="Times New Roman"/>
        </w:rPr>
        <w:t xml:space="preserve">.  </w:t>
      </w:r>
      <w:r w:rsidR="001937B1">
        <w:rPr>
          <w:rFonts w:ascii="Times New Roman" w:hAnsi="Times New Roman" w:cs="Times New Roman"/>
        </w:rPr>
        <w:t xml:space="preserve">Some of the </w:t>
      </w:r>
      <w:r w:rsidR="002A4186">
        <w:rPr>
          <w:rFonts w:ascii="Times New Roman" w:hAnsi="Times New Roman" w:cs="Times New Roman"/>
        </w:rPr>
        <w:t>changes clarify some existing provisions and update outdated references</w:t>
      </w:r>
      <w:r w:rsidR="00EA19BD">
        <w:rPr>
          <w:rFonts w:ascii="Times New Roman" w:hAnsi="Times New Roman" w:cs="Times New Roman"/>
        </w:rPr>
        <w:t>.</w:t>
      </w:r>
    </w:p>
    <w:p w14:paraId="2C10A2F8" w14:textId="77777777" w:rsidR="00BD4E78" w:rsidRPr="008A2C13" w:rsidRDefault="00BD4E78">
      <w:pPr>
        <w:rPr>
          <w:rFonts w:ascii="Times New Roman" w:hAnsi="Times New Roman" w:cs="Times New Roman"/>
          <w:i/>
        </w:rPr>
      </w:pPr>
      <w:r w:rsidRPr="008A2C13">
        <w:rPr>
          <w:rFonts w:ascii="Times New Roman" w:hAnsi="Times New Roman" w:cs="Times New Roman"/>
          <w:i/>
        </w:rPr>
        <w:t>Section 1</w:t>
      </w:r>
      <w:r w:rsidR="009D3FD0" w:rsidRPr="008A2C13">
        <w:rPr>
          <w:rFonts w:ascii="Times New Roman" w:hAnsi="Times New Roman" w:cs="Times New Roman"/>
          <w:i/>
        </w:rPr>
        <w:t>.</w:t>
      </w:r>
      <w:r w:rsidRPr="008A2C13">
        <w:rPr>
          <w:rFonts w:ascii="Times New Roman" w:hAnsi="Times New Roman" w:cs="Times New Roman"/>
          <w:i/>
        </w:rPr>
        <w:t>5</w:t>
      </w:r>
      <w:r w:rsidR="00E52B75">
        <w:rPr>
          <w:rFonts w:ascii="Times New Roman" w:hAnsi="Times New Roman" w:cs="Times New Roman"/>
          <w:i/>
        </w:rPr>
        <w:t xml:space="preserve"> of the Determination</w:t>
      </w:r>
    </w:p>
    <w:p w14:paraId="2459478E" w14:textId="512D9A04" w:rsidR="00BD4E78" w:rsidRDefault="00C316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Determination includes </w:t>
      </w:r>
      <w:r w:rsidR="00BD4E78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 xml:space="preserve">new </w:t>
      </w:r>
      <w:r w:rsidR="00BD4E78">
        <w:rPr>
          <w:rFonts w:ascii="Times New Roman" w:hAnsi="Times New Roman" w:cs="Times New Roman"/>
          <w:lang w:val="en-US"/>
        </w:rPr>
        <w:t>note to the definition of co-located facilities</w:t>
      </w:r>
      <w:r w:rsidR="00F636BA">
        <w:rPr>
          <w:rFonts w:ascii="Times New Roman" w:hAnsi="Times New Roman" w:cs="Times New Roman"/>
          <w:lang w:val="en-US"/>
        </w:rPr>
        <w:t xml:space="preserve"> in Section 1.5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BD4E78">
        <w:rPr>
          <w:rFonts w:ascii="Times New Roman" w:hAnsi="Times New Roman" w:cs="Times New Roman"/>
          <w:lang w:val="en-US"/>
        </w:rPr>
        <w:t>The note clarifies that</w:t>
      </w:r>
      <w:r w:rsidR="00BD4E78" w:rsidRPr="00EB6CF9">
        <w:rPr>
          <w:rFonts w:ascii="Times New Roman" w:hAnsi="Times New Roman" w:cs="Times New Roman"/>
          <w:lang w:val="en-US"/>
        </w:rPr>
        <w:t xml:space="preserve"> a facility is not a co-located facility unless it is installed on or within an original </w:t>
      </w:r>
      <w:r w:rsidR="00097AA1">
        <w:rPr>
          <w:rFonts w:ascii="Times New Roman" w:hAnsi="Times New Roman" w:cs="Times New Roman"/>
          <w:lang w:val="en-US"/>
        </w:rPr>
        <w:t>facility</w:t>
      </w:r>
      <w:r w:rsidR="00BD4E78" w:rsidRPr="00EB6CF9">
        <w:rPr>
          <w:rFonts w:ascii="Times New Roman" w:hAnsi="Times New Roman" w:cs="Times New Roman"/>
          <w:lang w:val="en-US"/>
        </w:rPr>
        <w:t xml:space="preserve"> or a public utility structure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EA19BD" w:rsidRPr="00EA19BD">
        <w:rPr>
          <w:rFonts w:ascii="Times New Roman" w:hAnsi="Times New Roman" w:cs="Times New Roman"/>
          <w:lang w:val="en-US"/>
        </w:rPr>
        <w:t>Th</w:t>
      </w:r>
      <w:r w:rsidR="00A46725">
        <w:rPr>
          <w:rFonts w:ascii="Times New Roman" w:hAnsi="Times New Roman" w:cs="Times New Roman"/>
          <w:lang w:val="en-US"/>
        </w:rPr>
        <w:t>e</w:t>
      </w:r>
      <w:r w:rsidR="00EA19BD" w:rsidRPr="00EA19BD">
        <w:rPr>
          <w:rFonts w:ascii="Times New Roman" w:hAnsi="Times New Roman" w:cs="Times New Roman"/>
          <w:lang w:val="en-US"/>
        </w:rPr>
        <w:t xml:space="preserve"> </w:t>
      </w:r>
      <w:r w:rsidR="000E3768">
        <w:rPr>
          <w:rFonts w:ascii="Times New Roman" w:hAnsi="Times New Roman" w:cs="Times New Roman"/>
          <w:lang w:val="en-US"/>
        </w:rPr>
        <w:t>note</w:t>
      </w:r>
      <w:r w:rsidR="00EA19BD" w:rsidRPr="00EA19BD">
        <w:rPr>
          <w:rFonts w:ascii="Times New Roman" w:hAnsi="Times New Roman" w:cs="Times New Roman"/>
          <w:lang w:val="en-US"/>
        </w:rPr>
        <w:t xml:space="preserve"> provide</w:t>
      </w:r>
      <w:r w:rsidR="000E3768">
        <w:rPr>
          <w:rFonts w:ascii="Times New Roman" w:hAnsi="Times New Roman" w:cs="Times New Roman"/>
          <w:lang w:val="en-US"/>
        </w:rPr>
        <w:t>s</w:t>
      </w:r>
      <w:r w:rsidR="00EA19BD" w:rsidRPr="00EA19BD">
        <w:rPr>
          <w:rFonts w:ascii="Times New Roman" w:hAnsi="Times New Roman" w:cs="Times New Roman"/>
          <w:lang w:val="en-US"/>
        </w:rPr>
        <w:t xml:space="preserve"> greater certainty</w:t>
      </w:r>
      <w:r w:rsidR="000E3768">
        <w:rPr>
          <w:rFonts w:ascii="Times New Roman" w:hAnsi="Times New Roman" w:cs="Times New Roman"/>
          <w:lang w:val="en-US"/>
        </w:rPr>
        <w:t xml:space="preserve"> for carriers, landowners and decision makers</w:t>
      </w:r>
      <w:r w:rsidR="00EA19BD" w:rsidRPr="00EA19BD">
        <w:rPr>
          <w:rFonts w:ascii="Times New Roman" w:hAnsi="Times New Roman" w:cs="Times New Roman"/>
          <w:lang w:val="en-US"/>
        </w:rPr>
        <w:t xml:space="preserve"> as to when the co-location rules</w:t>
      </w:r>
      <w:r w:rsidR="006957D5">
        <w:rPr>
          <w:rFonts w:ascii="Times New Roman" w:hAnsi="Times New Roman" w:cs="Times New Roman"/>
          <w:lang w:val="en-US"/>
        </w:rPr>
        <w:t xml:space="preserve"> set out in </w:t>
      </w:r>
      <w:r w:rsidR="00DF6155">
        <w:rPr>
          <w:rFonts w:ascii="Times New Roman" w:hAnsi="Times New Roman" w:cs="Times New Roman"/>
          <w:lang w:val="en-US"/>
        </w:rPr>
        <w:t>Part</w:t>
      </w:r>
      <w:r w:rsidR="006957D5">
        <w:rPr>
          <w:rFonts w:ascii="Times New Roman" w:hAnsi="Times New Roman" w:cs="Times New Roman"/>
          <w:lang w:val="en-US"/>
        </w:rPr>
        <w:t xml:space="preserve"> 7 of the Schedule to the Determination</w:t>
      </w:r>
      <w:r w:rsidR="00EA19BD" w:rsidRPr="00EA19BD">
        <w:rPr>
          <w:rFonts w:ascii="Times New Roman" w:hAnsi="Times New Roman" w:cs="Times New Roman"/>
          <w:lang w:val="en-US"/>
        </w:rPr>
        <w:t xml:space="preserve"> apply.</w:t>
      </w:r>
    </w:p>
    <w:p w14:paraId="101AC5FD" w14:textId="77777777" w:rsidR="00C93BC1" w:rsidRPr="008A2C13" w:rsidRDefault="00C93BC1">
      <w:pPr>
        <w:rPr>
          <w:rFonts w:ascii="Times New Roman" w:hAnsi="Times New Roman" w:cs="Times New Roman"/>
          <w:i/>
          <w:lang w:val="en-US"/>
        </w:rPr>
      </w:pPr>
      <w:r w:rsidRPr="008A2C13">
        <w:rPr>
          <w:rFonts w:ascii="Times New Roman" w:hAnsi="Times New Roman" w:cs="Times New Roman"/>
          <w:i/>
          <w:lang w:val="en-US"/>
        </w:rPr>
        <w:t>Section 3.1</w:t>
      </w:r>
      <w:r w:rsidR="00E52B75">
        <w:rPr>
          <w:rFonts w:ascii="Times New Roman" w:hAnsi="Times New Roman" w:cs="Times New Roman"/>
          <w:i/>
          <w:lang w:val="en-US"/>
        </w:rPr>
        <w:t xml:space="preserve"> of the Determination</w:t>
      </w:r>
    </w:p>
    <w:p w14:paraId="6E2A459C" w14:textId="77777777" w:rsidR="00C93BC1" w:rsidRPr="00C93BC1" w:rsidRDefault="00C316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Section 3</w:t>
      </w:r>
      <w:r w:rsidR="00D351F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1 of the Determination </w:t>
      </w:r>
      <w:r w:rsidR="00C93BC1" w:rsidRPr="00C93BC1">
        <w:rPr>
          <w:rFonts w:ascii="Times New Roman" w:hAnsi="Times New Roman" w:cs="Times New Roman"/>
          <w:lang w:val="en-US"/>
        </w:rPr>
        <w:t>cl</w:t>
      </w:r>
      <w:r w:rsidR="00C93BC1">
        <w:rPr>
          <w:rFonts w:ascii="Times New Roman" w:hAnsi="Times New Roman" w:cs="Times New Roman"/>
          <w:lang w:val="en-US"/>
        </w:rPr>
        <w:t>arifies</w:t>
      </w:r>
      <w:r w:rsidR="00C93BC1" w:rsidRPr="00C93BC1">
        <w:rPr>
          <w:rFonts w:ascii="Times New Roman" w:hAnsi="Times New Roman" w:cs="Times New Roman"/>
          <w:lang w:val="en-US"/>
        </w:rPr>
        <w:t xml:space="preserve"> that </w:t>
      </w:r>
      <w:r w:rsidR="004814CC">
        <w:rPr>
          <w:rFonts w:ascii="Times New Roman" w:hAnsi="Times New Roman" w:cs="Times New Roman"/>
          <w:lang w:val="en-US"/>
        </w:rPr>
        <w:t xml:space="preserve">a </w:t>
      </w:r>
      <w:r w:rsidR="00C93BC1" w:rsidRPr="00C93BC1">
        <w:rPr>
          <w:rFonts w:ascii="Times New Roman" w:hAnsi="Times New Roman" w:cs="Times New Roman"/>
          <w:lang w:val="en-US"/>
        </w:rPr>
        <w:t xml:space="preserve">shroud </w:t>
      </w:r>
      <w:r w:rsidR="004814CC">
        <w:rPr>
          <w:rFonts w:ascii="Times New Roman" w:hAnsi="Times New Roman" w:cs="Times New Roman"/>
          <w:lang w:val="en-US"/>
        </w:rPr>
        <w:t>installed over a low-impact</w:t>
      </w:r>
      <w:r w:rsidR="00C93BC1" w:rsidRPr="00C93BC1">
        <w:rPr>
          <w:rFonts w:ascii="Times New Roman" w:hAnsi="Times New Roman" w:cs="Times New Roman"/>
          <w:lang w:val="en-US"/>
        </w:rPr>
        <w:t xml:space="preserve"> facilit</w:t>
      </w:r>
      <w:r w:rsidR="004814CC">
        <w:rPr>
          <w:rFonts w:ascii="Times New Roman" w:hAnsi="Times New Roman" w:cs="Times New Roman"/>
          <w:lang w:val="en-US"/>
        </w:rPr>
        <w:t>y is an</w:t>
      </w:r>
      <w:r w:rsidR="00C93BC1" w:rsidRPr="00C93BC1">
        <w:rPr>
          <w:rFonts w:ascii="Times New Roman" w:hAnsi="Times New Roman" w:cs="Times New Roman"/>
          <w:lang w:val="en-US"/>
        </w:rPr>
        <w:t xml:space="preserve"> ancillary facilit</w:t>
      </w:r>
      <w:r w:rsidR="004814CC">
        <w:rPr>
          <w:rFonts w:ascii="Times New Roman" w:hAnsi="Times New Roman" w:cs="Times New Roman"/>
          <w:lang w:val="en-US"/>
        </w:rPr>
        <w:t>y</w:t>
      </w:r>
      <w:r w:rsidR="00C93BC1" w:rsidRPr="00C93BC1">
        <w:rPr>
          <w:rFonts w:ascii="Times New Roman" w:hAnsi="Times New Roman" w:cs="Times New Roman"/>
          <w:lang w:val="en-US"/>
        </w:rPr>
        <w:t xml:space="preserve"> in the </w:t>
      </w:r>
      <w:r w:rsidR="00C93BC1">
        <w:rPr>
          <w:rFonts w:ascii="Times New Roman" w:hAnsi="Times New Roman" w:cs="Times New Roman"/>
          <w:lang w:val="en-US"/>
        </w:rPr>
        <w:t>Determination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C93BC1" w:rsidRPr="00C93BC1">
        <w:rPr>
          <w:rFonts w:ascii="Times New Roman" w:hAnsi="Times New Roman" w:cs="Times New Roman"/>
          <w:lang w:val="en-US"/>
        </w:rPr>
        <w:t>Radio shrouds can improve the visual amenity of an area by screening low-impact facilities such as mobile phone antennas.</w:t>
      </w:r>
    </w:p>
    <w:p w14:paraId="66BD758B" w14:textId="77777777" w:rsidR="00547DD2" w:rsidRPr="008A2C13" w:rsidRDefault="008F73E9">
      <w:pPr>
        <w:rPr>
          <w:rFonts w:ascii="Times New Roman" w:hAnsi="Times New Roman" w:cs="Times New Roman"/>
          <w:i/>
        </w:rPr>
      </w:pPr>
      <w:r w:rsidRPr="008A2C13">
        <w:rPr>
          <w:rFonts w:ascii="Times New Roman" w:hAnsi="Times New Roman" w:cs="Times New Roman"/>
          <w:i/>
        </w:rPr>
        <w:t>Schedule</w:t>
      </w:r>
      <w:r w:rsidR="009D3FD0" w:rsidRPr="008A2C13">
        <w:rPr>
          <w:rFonts w:ascii="Times New Roman" w:hAnsi="Times New Roman" w:cs="Times New Roman"/>
          <w:i/>
        </w:rPr>
        <w:t>,</w:t>
      </w:r>
      <w:r w:rsidRPr="008A2C13">
        <w:rPr>
          <w:rFonts w:ascii="Times New Roman" w:hAnsi="Times New Roman" w:cs="Times New Roman"/>
          <w:i/>
        </w:rPr>
        <w:t xml:space="preserve"> Part 1, Item </w:t>
      </w:r>
      <w:r w:rsidR="004814CC">
        <w:rPr>
          <w:rFonts w:ascii="Times New Roman" w:hAnsi="Times New Roman" w:cs="Times New Roman"/>
          <w:i/>
        </w:rPr>
        <w:t xml:space="preserve">5 </w:t>
      </w:r>
      <w:r w:rsidR="00E52B75">
        <w:rPr>
          <w:rFonts w:ascii="Times New Roman" w:hAnsi="Times New Roman" w:cs="Times New Roman"/>
          <w:i/>
        </w:rPr>
        <w:t>of the Determination</w:t>
      </w:r>
    </w:p>
    <w:p w14:paraId="0D5349B7" w14:textId="77777777" w:rsidR="00C4091E" w:rsidRDefault="00C3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now </w:t>
      </w:r>
      <w:r w:rsidR="008F73E9" w:rsidRPr="008F73E9">
        <w:rPr>
          <w:rFonts w:ascii="Times New Roman" w:hAnsi="Times New Roman" w:cs="Times New Roman"/>
        </w:rPr>
        <w:t>allow</w:t>
      </w:r>
      <w:r w:rsidR="00C4091E">
        <w:rPr>
          <w:rFonts w:ascii="Times New Roman" w:hAnsi="Times New Roman" w:cs="Times New Roman"/>
        </w:rPr>
        <w:t>s</w:t>
      </w:r>
      <w:r w:rsidR="008F73E9" w:rsidRPr="008F73E9">
        <w:rPr>
          <w:rFonts w:ascii="Times New Roman" w:hAnsi="Times New Roman" w:cs="Times New Roman"/>
        </w:rPr>
        <w:t xml:space="preserve"> omnidirectional radiocommunications antennas to be low impact facilities in residential</w:t>
      </w:r>
      <w:r w:rsidR="004814CC">
        <w:rPr>
          <w:rFonts w:ascii="Times New Roman" w:hAnsi="Times New Roman" w:cs="Times New Roman"/>
        </w:rPr>
        <w:t>,</w:t>
      </w:r>
      <w:r w:rsidR="008F73E9" w:rsidRPr="008F73E9">
        <w:rPr>
          <w:rFonts w:ascii="Times New Roman" w:hAnsi="Times New Roman" w:cs="Times New Roman"/>
        </w:rPr>
        <w:t xml:space="preserve"> commercial</w:t>
      </w:r>
      <w:r w:rsidR="004814CC">
        <w:rPr>
          <w:rFonts w:ascii="Times New Roman" w:hAnsi="Times New Roman" w:cs="Times New Roman"/>
        </w:rPr>
        <w:t>, industrial and rural</w:t>
      </w:r>
      <w:r w:rsidR="008F73E9" w:rsidRPr="008F73E9">
        <w:rPr>
          <w:rFonts w:ascii="Times New Roman" w:hAnsi="Times New Roman" w:cs="Times New Roman"/>
        </w:rPr>
        <w:t xml:space="preserve"> areas</w:t>
      </w:r>
      <w:r w:rsidR="00C64481">
        <w:rPr>
          <w:rFonts w:ascii="Times New Roman" w:hAnsi="Times New Roman" w:cs="Times New Roman"/>
        </w:rPr>
        <w:t xml:space="preserve">.  </w:t>
      </w:r>
      <w:r w:rsidR="004814CC">
        <w:rPr>
          <w:rFonts w:ascii="Times New Roman" w:hAnsi="Times New Roman" w:cs="Times New Roman"/>
        </w:rPr>
        <w:t xml:space="preserve">Under the </w:t>
      </w:r>
      <w:r w:rsidR="004814CC" w:rsidRPr="00F3208C">
        <w:rPr>
          <w:rFonts w:ascii="Times New Roman" w:hAnsi="Times New Roman" w:cs="Times New Roman"/>
        </w:rPr>
        <w:t>1997 Determination</w:t>
      </w:r>
      <w:r w:rsidR="004814CC">
        <w:rPr>
          <w:rFonts w:ascii="Times New Roman" w:hAnsi="Times New Roman" w:cs="Times New Roman"/>
        </w:rPr>
        <w:t xml:space="preserve">, </w:t>
      </w:r>
      <w:r w:rsidR="004814CC" w:rsidRPr="00C4091E">
        <w:rPr>
          <w:rFonts w:ascii="Times New Roman" w:hAnsi="Times New Roman" w:cs="Times New Roman"/>
        </w:rPr>
        <w:t xml:space="preserve">omnidirectional antennas </w:t>
      </w:r>
      <w:r w:rsidR="004814CC">
        <w:rPr>
          <w:rFonts w:ascii="Times New Roman" w:hAnsi="Times New Roman" w:cs="Times New Roman"/>
        </w:rPr>
        <w:t xml:space="preserve">installed </w:t>
      </w:r>
      <w:r w:rsidR="004814CC" w:rsidRPr="00C4091E">
        <w:rPr>
          <w:rFonts w:ascii="Times New Roman" w:hAnsi="Times New Roman" w:cs="Times New Roman"/>
        </w:rPr>
        <w:t xml:space="preserve">in </w:t>
      </w:r>
      <w:r w:rsidR="004814CC">
        <w:rPr>
          <w:rFonts w:ascii="Times New Roman" w:hAnsi="Times New Roman" w:cs="Times New Roman"/>
        </w:rPr>
        <w:t xml:space="preserve">either </w:t>
      </w:r>
      <w:r w:rsidR="004814CC" w:rsidRPr="00C4091E">
        <w:rPr>
          <w:rFonts w:ascii="Times New Roman" w:hAnsi="Times New Roman" w:cs="Times New Roman"/>
        </w:rPr>
        <w:t>industrial and rural areas</w:t>
      </w:r>
      <w:r w:rsidR="004814CC">
        <w:rPr>
          <w:rFonts w:ascii="Times New Roman" w:hAnsi="Times New Roman" w:cs="Times New Roman"/>
        </w:rPr>
        <w:t xml:space="preserve"> were considered to be low-impact facilities.  Applying the item to residential and </w:t>
      </w:r>
      <w:r w:rsidR="00BB13C2">
        <w:rPr>
          <w:rFonts w:ascii="Times New Roman" w:hAnsi="Times New Roman" w:cs="Times New Roman"/>
        </w:rPr>
        <w:t>commercial areas</w:t>
      </w:r>
      <w:r>
        <w:rPr>
          <w:rFonts w:ascii="Times New Roman" w:hAnsi="Times New Roman" w:cs="Times New Roman"/>
        </w:rPr>
        <w:t xml:space="preserve"> </w:t>
      </w:r>
      <w:r w:rsidR="008F73E9" w:rsidRPr="008F73E9">
        <w:rPr>
          <w:rFonts w:ascii="Times New Roman" w:hAnsi="Times New Roman" w:cs="Times New Roman"/>
        </w:rPr>
        <w:t>is intended to enable greater use of slimline omnidirectional antennas as an alternative to</w:t>
      </w:r>
      <w:r w:rsidR="00EA19BD">
        <w:rPr>
          <w:rFonts w:ascii="Times New Roman" w:hAnsi="Times New Roman" w:cs="Times New Roman"/>
        </w:rPr>
        <w:t xml:space="preserve"> bulkier</w:t>
      </w:r>
      <w:r w:rsidR="008F73E9" w:rsidRPr="008F73E9">
        <w:rPr>
          <w:rFonts w:ascii="Times New Roman" w:hAnsi="Times New Roman" w:cs="Times New Roman"/>
        </w:rPr>
        <w:t xml:space="preserve"> panel or yagi antennas</w:t>
      </w:r>
      <w:r w:rsidR="00C64481">
        <w:rPr>
          <w:rFonts w:ascii="Times New Roman" w:hAnsi="Times New Roman" w:cs="Times New Roman"/>
        </w:rPr>
        <w:t xml:space="preserve">.  </w:t>
      </w:r>
    </w:p>
    <w:p w14:paraId="4F3F9A64" w14:textId="77777777" w:rsidR="00C4091E" w:rsidRPr="008A2C13" w:rsidRDefault="00C4091E">
      <w:pPr>
        <w:rPr>
          <w:rFonts w:ascii="Times New Roman" w:hAnsi="Times New Roman" w:cs="Times New Roman"/>
          <w:i/>
        </w:rPr>
      </w:pPr>
      <w:r w:rsidRPr="008A2C13">
        <w:rPr>
          <w:rFonts w:ascii="Times New Roman" w:hAnsi="Times New Roman" w:cs="Times New Roman"/>
          <w:i/>
        </w:rPr>
        <w:t>Schedule</w:t>
      </w:r>
      <w:r w:rsidR="009D3FD0" w:rsidRPr="008A2C13">
        <w:rPr>
          <w:rFonts w:ascii="Times New Roman" w:hAnsi="Times New Roman" w:cs="Times New Roman"/>
          <w:i/>
        </w:rPr>
        <w:t>,</w:t>
      </w:r>
      <w:r w:rsidRPr="008A2C13">
        <w:rPr>
          <w:rFonts w:ascii="Times New Roman" w:hAnsi="Times New Roman" w:cs="Times New Roman"/>
          <w:i/>
        </w:rPr>
        <w:t xml:space="preserve"> Part 1, Items </w:t>
      </w:r>
      <w:r w:rsidR="00BB13C2">
        <w:rPr>
          <w:rFonts w:ascii="Times New Roman" w:hAnsi="Times New Roman" w:cs="Times New Roman"/>
          <w:i/>
        </w:rPr>
        <w:t>8</w:t>
      </w:r>
      <w:r w:rsidR="00BB13C2" w:rsidRPr="008A2C13">
        <w:rPr>
          <w:rFonts w:ascii="Times New Roman" w:hAnsi="Times New Roman" w:cs="Times New Roman"/>
          <w:i/>
        </w:rPr>
        <w:t xml:space="preserve"> </w:t>
      </w:r>
      <w:r w:rsidRPr="008A2C13">
        <w:rPr>
          <w:rFonts w:ascii="Times New Roman" w:hAnsi="Times New Roman" w:cs="Times New Roman"/>
          <w:i/>
        </w:rPr>
        <w:t xml:space="preserve">and </w:t>
      </w:r>
      <w:r w:rsidR="00BB13C2">
        <w:rPr>
          <w:rFonts w:ascii="Times New Roman" w:hAnsi="Times New Roman" w:cs="Times New Roman"/>
          <w:i/>
        </w:rPr>
        <w:t>9</w:t>
      </w:r>
      <w:r w:rsidR="00C3168C">
        <w:rPr>
          <w:rFonts w:ascii="Times New Roman" w:hAnsi="Times New Roman" w:cs="Times New Roman"/>
          <w:i/>
        </w:rPr>
        <w:t xml:space="preserve"> </w:t>
      </w:r>
      <w:r w:rsidR="00E52B75">
        <w:rPr>
          <w:rFonts w:ascii="Times New Roman" w:hAnsi="Times New Roman" w:cs="Times New Roman"/>
          <w:i/>
        </w:rPr>
        <w:t>of the Determination</w:t>
      </w:r>
    </w:p>
    <w:p w14:paraId="5612CEE9" w14:textId="77777777" w:rsidR="00465F27" w:rsidRDefault="00465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items</w:t>
      </w:r>
      <w:r w:rsidR="00295067">
        <w:rPr>
          <w:rFonts w:ascii="Times New Roman" w:hAnsi="Times New Roman" w:cs="Times New Roman"/>
        </w:rPr>
        <w:t xml:space="preserve"> now</w:t>
      </w:r>
      <w:r>
        <w:rPr>
          <w:rFonts w:ascii="Times New Roman" w:hAnsi="Times New Roman" w:cs="Times New Roman"/>
        </w:rPr>
        <w:t xml:space="preserve"> allow for </w:t>
      </w:r>
      <w:r w:rsidR="006C57C9">
        <w:rPr>
          <w:rFonts w:ascii="Times New Roman" w:hAnsi="Times New Roman" w:cs="Times New Roman"/>
        </w:rPr>
        <w:t xml:space="preserve">two types of </w:t>
      </w:r>
      <w:r>
        <w:rPr>
          <w:rFonts w:ascii="Times New Roman" w:hAnsi="Times New Roman" w:cs="Times New Roman"/>
        </w:rPr>
        <w:t>radiocommunication facilities</w:t>
      </w:r>
      <w:r w:rsidR="006C57C9">
        <w:rPr>
          <w:rFonts w:ascii="Times New Roman" w:hAnsi="Times New Roman" w:cs="Times New Roman"/>
        </w:rPr>
        <w:t xml:space="preserve"> to be low-impact facilities.</w:t>
      </w:r>
    </w:p>
    <w:p w14:paraId="2A989FA8" w14:textId="5D7A7879" w:rsidR="006C57C9" w:rsidRDefault="006C5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8 allows a radiocommunications facility to</w:t>
      </w:r>
      <w:r w:rsidRPr="00C4091E">
        <w:rPr>
          <w:rFonts w:ascii="Times New Roman" w:hAnsi="Times New Roman" w:cs="Times New Roman"/>
        </w:rPr>
        <w:t xml:space="preserve"> be installed </w:t>
      </w:r>
      <w:r>
        <w:rPr>
          <w:rFonts w:ascii="Times New Roman" w:hAnsi="Times New Roman" w:cs="Times New Roman"/>
        </w:rPr>
        <w:t xml:space="preserve">as </w:t>
      </w:r>
      <w:r w:rsidR="0011080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low-impact </w:t>
      </w:r>
      <w:r w:rsidR="00F636BA">
        <w:rPr>
          <w:rFonts w:ascii="Times New Roman" w:hAnsi="Times New Roman" w:cs="Times New Roman"/>
        </w:rPr>
        <w:t xml:space="preserve">facility </w:t>
      </w:r>
      <w:r>
        <w:rPr>
          <w:rFonts w:ascii="Times New Roman" w:hAnsi="Times New Roman" w:cs="Times New Roman"/>
        </w:rPr>
        <w:t xml:space="preserve">if </w:t>
      </w:r>
      <w:r w:rsidR="00295067">
        <w:rPr>
          <w:rFonts w:ascii="Times New Roman" w:hAnsi="Times New Roman" w:cs="Times New Roman"/>
        </w:rPr>
        <w:t>it has</w:t>
      </w:r>
      <w:r>
        <w:rPr>
          <w:rFonts w:ascii="Times New Roman" w:hAnsi="Times New Roman" w:cs="Times New Roman"/>
        </w:rPr>
        <w:t xml:space="preserve"> a separate antenna not more than 1.2 metres long and a cabinet not more than 1 cubic metre in volume.</w:t>
      </w:r>
    </w:p>
    <w:p w14:paraId="3C31AFCC" w14:textId="3E6C9ED0" w:rsidR="006C57C9" w:rsidRDefault="006C57C9" w:rsidP="006C5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9 </w:t>
      </w:r>
      <w:r w:rsidR="000E3768">
        <w:rPr>
          <w:rFonts w:ascii="Times New Roman" w:hAnsi="Times New Roman" w:cs="Times New Roman"/>
        </w:rPr>
        <w:t xml:space="preserve">introduces a new facility that </w:t>
      </w:r>
      <w:r w:rsidRPr="00C4091E">
        <w:rPr>
          <w:rFonts w:ascii="Times New Roman" w:hAnsi="Times New Roman" w:cs="Times New Roman"/>
        </w:rPr>
        <w:t>make</w:t>
      </w:r>
      <w:r w:rsidR="000E3768">
        <w:rPr>
          <w:rFonts w:ascii="Times New Roman" w:hAnsi="Times New Roman" w:cs="Times New Roman"/>
        </w:rPr>
        <w:t>s</w:t>
      </w:r>
      <w:r w:rsidRPr="00C4091E">
        <w:rPr>
          <w:rFonts w:ascii="Times New Roman" w:hAnsi="Times New Roman" w:cs="Times New Roman"/>
        </w:rPr>
        <w:t xml:space="preserve"> it clear that other radiocommunications equipment</w:t>
      </w:r>
      <w:r>
        <w:rPr>
          <w:rFonts w:ascii="Times New Roman" w:hAnsi="Times New Roman" w:cs="Times New Roman"/>
        </w:rPr>
        <w:t>,</w:t>
      </w:r>
      <w:r w:rsidRPr="00C4091E">
        <w:rPr>
          <w:rFonts w:ascii="Times New Roman" w:hAnsi="Times New Roman" w:cs="Times New Roman"/>
        </w:rPr>
        <w:t xml:space="preserve"> such as </w:t>
      </w:r>
      <w:r>
        <w:rPr>
          <w:rFonts w:ascii="Times New Roman" w:hAnsi="Times New Roman" w:cs="Times New Roman"/>
        </w:rPr>
        <w:t>wireless</w:t>
      </w:r>
      <w:r w:rsidRPr="00C4091E">
        <w:rPr>
          <w:rFonts w:ascii="Times New Roman" w:hAnsi="Times New Roman" w:cs="Times New Roman"/>
        </w:rPr>
        <w:t xml:space="preserve"> transmitters</w:t>
      </w:r>
      <w:r>
        <w:rPr>
          <w:rFonts w:ascii="Times New Roman" w:hAnsi="Times New Roman" w:cs="Times New Roman"/>
        </w:rPr>
        <w:t>,</w:t>
      </w:r>
      <w:r w:rsidRPr="00C4091E">
        <w:rPr>
          <w:rFonts w:ascii="Times New Roman" w:hAnsi="Times New Roman" w:cs="Times New Roman"/>
        </w:rPr>
        <w:t xml:space="preserve"> can be installed </w:t>
      </w:r>
      <w:r>
        <w:rPr>
          <w:rFonts w:ascii="Times New Roman" w:hAnsi="Times New Roman" w:cs="Times New Roman"/>
        </w:rPr>
        <w:t>as low-impact facilities</w:t>
      </w:r>
      <w:r w:rsidRPr="00C40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when</w:t>
      </w:r>
      <w:r w:rsidRPr="00C4091E">
        <w:rPr>
          <w:rFonts w:ascii="Times New Roman" w:hAnsi="Times New Roman" w:cs="Times New Roman"/>
        </w:rPr>
        <w:t xml:space="preserve"> attached to an existing structure </w:t>
      </w:r>
      <w:r>
        <w:rPr>
          <w:rFonts w:ascii="Times New Roman" w:hAnsi="Times New Roman" w:cs="Times New Roman"/>
        </w:rPr>
        <w:t xml:space="preserve">and </w:t>
      </w:r>
      <w:r w:rsidRPr="00C4091E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>the transmitter unit is</w:t>
      </w:r>
      <w:r w:rsidRPr="00C40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bigger than 0.03 </w:t>
      </w:r>
      <w:r w:rsidR="00F636BA">
        <w:rPr>
          <w:rFonts w:ascii="Times New Roman" w:hAnsi="Times New Roman" w:cs="Times New Roman"/>
        </w:rPr>
        <w:t xml:space="preserve">cubic </w:t>
      </w:r>
      <w:r>
        <w:rPr>
          <w:rFonts w:ascii="Times New Roman" w:hAnsi="Times New Roman" w:cs="Times New Roman"/>
        </w:rPr>
        <w:t>metres, with an external antenna not more than 1.2 metres long.</w:t>
      </w:r>
    </w:p>
    <w:p w14:paraId="5931EEB0" w14:textId="2CC43AE0" w:rsidR="00C4091E" w:rsidRPr="00C4091E" w:rsidRDefault="00C3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these two items, t</w:t>
      </w:r>
      <w:r w:rsidR="00C4091E" w:rsidRPr="00C4091E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Determination adopts </w:t>
      </w:r>
      <w:r w:rsidR="00EA19BD">
        <w:rPr>
          <w:rFonts w:ascii="Times New Roman" w:hAnsi="Times New Roman" w:cs="Times New Roman"/>
        </w:rPr>
        <w:t>the less specific</w:t>
      </w:r>
      <w:r>
        <w:rPr>
          <w:rFonts w:ascii="Times New Roman" w:hAnsi="Times New Roman" w:cs="Times New Roman"/>
        </w:rPr>
        <w:t xml:space="preserve"> language of</w:t>
      </w:r>
      <w:r w:rsidR="00C4091E" w:rsidRPr="00C4091E">
        <w:rPr>
          <w:rFonts w:ascii="Times New Roman" w:hAnsi="Times New Roman" w:cs="Times New Roman"/>
        </w:rPr>
        <w:t xml:space="preserve"> </w:t>
      </w:r>
      <w:r w:rsidR="00917BF1">
        <w:rPr>
          <w:rFonts w:ascii="Times New Roman" w:hAnsi="Times New Roman" w:cs="Times New Roman"/>
        </w:rPr>
        <w:t>“</w:t>
      </w:r>
      <w:r w:rsidR="00C4091E" w:rsidRPr="00C4091E">
        <w:rPr>
          <w:rFonts w:ascii="Times New Roman" w:hAnsi="Times New Roman" w:cs="Times New Roman"/>
        </w:rPr>
        <w:t>radiocommunications facility</w:t>
      </w:r>
      <w:r w:rsidR="00917BF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for th</w:t>
      </w:r>
      <w:r w:rsidR="00EA19BD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class</w:t>
      </w:r>
      <w:r w:rsidR="00EA19BD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of low-impact facilities</w:t>
      </w:r>
      <w:r w:rsidR="006C57C9">
        <w:rPr>
          <w:rFonts w:ascii="Times New Roman" w:hAnsi="Times New Roman" w:cs="Times New Roman"/>
        </w:rPr>
        <w:t xml:space="preserve"> and allows for </w:t>
      </w:r>
      <w:r w:rsidR="000E3768">
        <w:rPr>
          <w:rFonts w:ascii="Times New Roman" w:hAnsi="Times New Roman" w:cs="Times New Roman"/>
        </w:rPr>
        <w:t>antennas not longer than 1.2 metres rather than 1 metre</w:t>
      </w:r>
      <w:r w:rsidR="00EA19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EA19B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1997 Determination used </w:t>
      </w:r>
      <w:r w:rsidR="00EA19BD">
        <w:rPr>
          <w:rFonts w:ascii="Times New Roman" w:hAnsi="Times New Roman" w:cs="Times New Roman"/>
        </w:rPr>
        <w:t>the more</w:t>
      </w:r>
      <w:r>
        <w:rPr>
          <w:rFonts w:ascii="Times New Roman" w:hAnsi="Times New Roman" w:cs="Times New Roman"/>
        </w:rPr>
        <w:t xml:space="preserve"> specific term of “</w:t>
      </w:r>
      <w:r w:rsidRPr="00C4091E">
        <w:rPr>
          <w:rFonts w:ascii="Times New Roman" w:hAnsi="Times New Roman" w:cs="Times New Roman"/>
        </w:rPr>
        <w:t>micro-cell</w:t>
      </w:r>
      <w:r>
        <w:rPr>
          <w:rFonts w:ascii="Times New Roman" w:hAnsi="Times New Roman" w:cs="Times New Roman"/>
        </w:rPr>
        <w:t>”</w:t>
      </w:r>
      <w:r w:rsidR="00465F27">
        <w:rPr>
          <w:rFonts w:ascii="Times New Roman" w:hAnsi="Times New Roman" w:cs="Times New Roman"/>
        </w:rPr>
        <w:t>, which</w:t>
      </w:r>
      <w:r>
        <w:rPr>
          <w:rFonts w:ascii="Times New Roman" w:hAnsi="Times New Roman" w:cs="Times New Roman"/>
        </w:rPr>
        <w:t xml:space="preserve"> </w:t>
      </w:r>
      <w:r w:rsidR="00465F27">
        <w:rPr>
          <w:rFonts w:ascii="Times New Roman" w:hAnsi="Times New Roman" w:cs="Times New Roman"/>
        </w:rPr>
        <w:t xml:space="preserve">is used by industry to refer to a type of base station with a particular coverage area, </w:t>
      </w:r>
      <w:r>
        <w:rPr>
          <w:rFonts w:ascii="Times New Roman" w:hAnsi="Times New Roman" w:cs="Times New Roman"/>
        </w:rPr>
        <w:t>to describe the class of facilities</w:t>
      </w:r>
      <w:r w:rsidR="00465F2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These t</w:t>
      </w:r>
      <w:r w:rsidR="00C823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 items specif</w:t>
      </w:r>
      <w:r w:rsidR="00C823A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C4091E" w:rsidRPr="00C4091E">
        <w:rPr>
          <w:rFonts w:ascii="Times New Roman" w:hAnsi="Times New Roman" w:cs="Times New Roman"/>
        </w:rPr>
        <w:t>the facilities by the size of their components,</w:t>
      </w:r>
      <w:r w:rsidR="00EA19BD">
        <w:rPr>
          <w:rFonts w:ascii="Times New Roman" w:hAnsi="Times New Roman" w:cs="Times New Roman"/>
        </w:rPr>
        <w:t xml:space="preserve"> as this is more relevant than their </w:t>
      </w:r>
      <w:r w:rsidR="00465F27">
        <w:rPr>
          <w:rFonts w:ascii="Times New Roman" w:hAnsi="Times New Roman" w:cs="Times New Roman"/>
        </w:rPr>
        <w:t>coverage area</w:t>
      </w:r>
      <w:r w:rsidR="00C64481">
        <w:rPr>
          <w:rFonts w:ascii="Times New Roman" w:hAnsi="Times New Roman" w:cs="Times New Roman"/>
        </w:rPr>
        <w:t xml:space="preserve">.  </w:t>
      </w:r>
    </w:p>
    <w:p w14:paraId="43EC5E65" w14:textId="77777777" w:rsidR="00C4091E" w:rsidRPr="008A2C13" w:rsidRDefault="00C4091E" w:rsidP="00BA7778">
      <w:pPr>
        <w:tabs>
          <w:tab w:val="right" w:pos="9026"/>
        </w:tabs>
        <w:rPr>
          <w:rFonts w:ascii="Times New Roman" w:hAnsi="Times New Roman" w:cs="Times New Roman"/>
          <w:i/>
        </w:rPr>
      </w:pPr>
      <w:r w:rsidRPr="008A2C13">
        <w:rPr>
          <w:rFonts w:ascii="Times New Roman" w:hAnsi="Times New Roman" w:cs="Times New Roman"/>
          <w:i/>
        </w:rPr>
        <w:t>Schedule</w:t>
      </w:r>
      <w:r w:rsidR="009D3FD0" w:rsidRPr="008A2C13">
        <w:rPr>
          <w:rFonts w:ascii="Times New Roman" w:hAnsi="Times New Roman" w:cs="Times New Roman"/>
          <w:i/>
        </w:rPr>
        <w:t>,</w:t>
      </w:r>
      <w:r w:rsidRPr="008A2C13">
        <w:rPr>
          <w:rFonts w:ascii="Times New Roman" w:hAnsi="Times New Roman" w:cs="Times New Roman"/>
          <w:i/>
        </w:rPr>
        <w:t xml:space="preserve"> Part 3, Item 7</w:t>
      </w:r>
      <w:r w:rsidR="00E52B75">
        <w:rPr>
          <w:rFonts w:ascii="Times New Roman" w:hAnsi="Times New Roman" w:cs="Times New Roman"/>
          <w:i/>
        </w:rPr>
        <w:t xml:space="preserve"> of the Determination</w:t>
      </w:r>
      <w:r w:rsidR="00FE207D">
        <w:rPr>
          <w:rFonts w:ascii="Times New Roman" w:hAnsi="Times New Roman" w:cs="Times New Roman"/>
          <w:i/>
        </w:rPr>
        <w:tab/>
      </w:r>
    </w:p>
    <w:p w14:paraId="5DEE1258" w14:textId="77777777" w:rsidR="00C4091E" w:rsidRDefault="00C3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now allows </w:t>
      </w:r>
      <w:r w:rsidR="00C4091E" w:rsidRPr="00C4091E">
        <w:rPr>
          <w:rFonts w:ascii="Times New Roman" w:hAnsi="Times New Roman" w:cs="Times New Roman"/>
        </w:rPr>
        <w:t>solar panels</w:t>
      </w:r>
      <w:r w:rsidR="00FE207D">
        <w:rPr>
          <w:rFonts w:ascii="Times New Roman" w:hAnsi="Times New Roman" w:cs="Times New Roman"/>
        </w:rPr>
        <w:t xml:space="preserve"> with a base area not more than</w:t>
      </w:r>
      <w:r w:rsidR="00BB13C2">
        <w:rPr>
          <w:rFonts w:ascii="Times New Roman" w:hAnsi="Times New Roman" w:cs="Times New Roman"/>
        </w:rPr>
        <w:t xml:space="preserve"> </w:t>
      </w:r>
      <w:r w:rsidR="00BB13C2" w:rsidRPr="00C4091E">
        <w:rPr>
          <w:rFonts w:ascii="Times New Roman" w:hAnsi="Times New Roman" w:cs="Times New Roman"/>
        </w:rPr>
        <w:t xml:space="preserve">12.5 square metres </w:t>
      </w:r>
      <w:r w:rsidR="00C4091E" w:rsidRPr="00C4091E">
        <w:rPr>
          <w:rFonts w:ascii="Times New Roman" w:hAnsi="Times New Roman" w:cs="Times New Roman"/>
        </w:rPr>
        <w:t xml:space="preserve">in rural areas </w:t>
      </w:r>
      <w:r w:rsidR="00996450" w:rsidRPr="00C4091E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be installed as low-impact facilities </w:t>
      </w:r>
      <w:r w:rsidR="00996450">
        <w:rPr>
          <w:rFonts w:ascii="Times New Roman" w:hAnsi="Times New Roman" w:cs="Times New Roman"/>
        </w:rPr>
        <w:t xml:space="preserve">when </w:t>
      </w:r>
      <w:r w:rsidR="00C4091E" w:rsidRPr="00C4091E">
        <w:rPr>
          <w:rFonts w:ascii="Times New Roman" w:hAnsi="Times New Roman" w:cs="Times New Roman"/>
        </w:rPr>
        <w:t>used to power telecommunications facilities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Under t</w:t>
      </w:r>
      <w:r w:rsidR="00C4091E">
        <w:rPr>
          <w:rFonts w:ascii="Times New Roman" w:hAnsi="Times New Roman" w:cs="Times New Roman"/>
        </w:rPr>
        <w:t xml:space="preserve">he </w:t>
      </w:r>
      <w:r w:rsidR="00C4091E" w:rsidRPr="008A2C13">
        <w:rPr>
          <w:rFonts w:ascii="Times New Roman" w:hAnsi="Times New Roman" w:cs="Times New Roman"/>
        </w:rPr>
        <w:t>1997 Determination</w:t>
      </w:r>
      <w:r>
        <w:rPr>
          <w:rFonts w:ascii="Times New Roman" w:hAnsi="Times New Roman" w:cs="Times New Roman"/>
        </w:rPr>
        <w:t xml:space="preserve">, </w:t>
      </w:r>
      <w:r w:rsidR="00C4091E" w:rsidRPr="00C4091E">
        <w:rPr>
          <w:rFonts w:ascii="Times New Roman" w:hAnsi="Times New Roman" w:cs="Times New Roman"/>
        </w:rPr>
        <w:t xml:space="preserve">solar panels </w:t>
      </w:r>
      <w:r>
        <w:rPr>
          <w:rFonts w:ascii="Times New Roman" w:hAnsi="Times New Roman" w:cs="Times New Roman"/>
        </w:rPr>
        <w:t xml:space="preserve">were specified as </w:t>
      </w:r>
      <w:r w:rsidR="00C4091E" w:rsidRPr="00C4091E">
        <w:rPr>
          <w:rFonts w:ascii="Times New Roman" w:hAnsi="Times New Roman" w:cs="Times New Roman"/>
        </w:rPr>
        <w:t>low</w:t>
      </w:r>
      <w:r w:rsidR="00FE207D">
        <w:rPr>
          <w:rFonts w:ascii="Times New Roman" w:hAnsi="Times New Roman" w:cs="Times New Roman"/>
        </w:rPr>
        <w:t>-</w:t>
      </w:r>
      <w:r w:rsidR="00C4091E" w:rsidRPr="00C4091E">
        <w:rPr>
          <w:rFonts w:ascii="Times New Roman" w:hAnsi="Times New Roman" w:cs="Times New Roman"/>
        </w:rPr>
        <w:t xml:space="preserve">impact facilities if they </w:t>
      </w:r>
      <w:r w:rsidR="00FE207D">
        <w:rPr>
          <w:rFonts w:ascii="Times New Roman" w:hAnsi="Times New Roman" w:cs="Times New Roman"/>
        </w:rPr>
        <w:t>had a base area not more than</w:t>
      </w:r>
      <w:r w:rsidR="00C4091E" w:rsidRPr="00C4091E">
        <w:rPr>
          <w:rFonts w:ascii="Times New Roman" w:hAnsi="Times New Roman" w:cs="Times New Roman"/>
        </w:rPr>
        <w:t xml:space="preserve"> 7.5 square metres in rural area</w:t>
      </w:r>
      <w:r w:rsidR="004255C9">
        <w:rPr>
          <w:rFonts w:ascii="Times New Roman" w:hAnsi="Times New Roman" w:cs="Times New Roman"/>
        </w:rPr>
        <w:t>s</w:t>
      </w:r>
      <w:r w:rsidR="00C64481">
        <w:rPr>
          <w:rFonts w:ascii="Times New Roman" w:hAnsi="Times New Roman" w:cs="Times New Roman"/>
        </w:rPr>
        <w:t xml:space="preserve">.  </w:t>
      </w:r>
      <w:r w:rsidR="00B87F78">
        <w:rPr>
          <w:rFonts w:ascii="Times New Roman" w:hAnsi="Times New Roman" w:cs="Times New Roman"/>
        </w:rPr>
        <w:t xml:space="preserve">The increase in size of </w:t>
      </w:r>
      <w:r w:rsidR="00996450">
        <w:rPr>
          <w:rFonts w:ascii="Times New Roman" w:hAnsi="Times New Roman" w:cs="Times New Roman"/>
        </w:rPr>
        <w:t xml:space="preserve">the </w:t>
      </w:r>
      <w:r w:rsidR="00B87F78">
        <w:rPr>
          <w:rFonts w:ascii="Times New Roman" w:hAnsi="Times New Roman" w:cs="Times New Roman"/>
        </w:rPr>
        <w:t>solar panels</w:t>
      </w:r>
      <w:r w:rsidR="00996450">
        <w:rPr>
          <w:rFonts w:ascii="Times New Roman" w:hAnsi="Times New Roman" w:cs="Times New Roman"/>
        </w:rPr>
        <w:t xml:space="preserve"> will allow for some newer generation telecommunications equipment to be </w:t>
      </w:r>
      <w:r w:rsidR="006B6587">
        <w:rPr>
          <w:rFonts w:ascii="Times New Roman" w:hAnsi="Times New Roman" w:cs="Times New Roman"/>
        </w:rPr>
        <w:t>used in areas where other electricity sources are not available</w:t>
      </w:r>
      <w:r w:rsidR="00996450">
        <w:rPr>
          <w:rFonts w:ascii="Times New Roman" w:hAnsi="Times New Roman" w:cs="Times New Roman"/>
        </w:rPr>
        <w:t>.</w:t>
      </w:r>
    </w:p>
    <w:p w14:paraId="1142A904" w14:textId="7BAF97B4" w:rsidR="00C4091E" w:rsidRPr="008A2C13" w:rsidRDefault="00375EA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column"/>
      </w:r>
      <w:r w:rsidR="00C4091E" w:rsidRPr="008A2C13">
        <w:rPr>
          <w:rFonts w:ascii="Times New Roman" w:hAnsi="Times New Roman" w:cs="Times New Roman"/>
          <w:i/>
        </w:rPr>
        <w:lastRenderedPageBreak/>
        <w:t>Schedule</w:t>
      </w:r>
      <w:r w:rsidR="009D3FD0" w:rsidRPr="008A2C13">
        <w:rPr>
          <w:rFonts w:ascii="Times New Roman" w:hAnsi="Times New Roman" w:cs="Times New Roman"/>
          <w:i/>
        </w:rPr>
        <w:t>,</w:t>
      </w:r>
      <w:r w:rsidR="00C4091E" w:rsidRPr="008A2C13">
        <w:rPr>
          <w:rFonts w:ascii="Times New Roman" w:hAnsi="Times New Roman" w:cs="Times New Roman"/>
          <w:i/>
        </w:rPr>
        <w:t xml:space="preserve"> Part 4, Item 1</w:t>
      </w:r>
      <w:r w:rsidR="00E52B75">
        <w:rPr>
          <w:rFonts w:ascii="Times New Roman" w:hAnsi="Times New Roman" w:cs="Times New Roman"/>
          <w:i/>
        </w:rPr>
        <w:t xml:space="preserve"> of the Determination</w:t>
      </w:r>
      <w:r w:rsidR="00F023B4">
        <w:rPr>
          <w:rFonts w:ascii="Times New Roman" w:hAnsi="Times New Roman" w:cs="Times New Roman"/>
          <w:i/>
        </w:rPr>
        <w:t xml:space="preserve"> </w:t>
      </w:r>
    </w:p>
    <w:p w14:paraId="455AB946" w14:textId="47ECFE81" w:rsidR="00C4091E" w:rsidRPr="00C4091E" w:rsidRDefault="00C3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now </w:t>
      </w:r>
      <w:r w:rsidR="00C4091E" w:rsidRPr="00C4091E">
        <w:rPr>
          <w:rFonts w:ascii="Times New Roman" w:hAnsi="Times New Roman" w:cs="Times New Roman"/>
        </w:rPr>
        <w:t>allow</w:t>
      </w:r>
      <w:r w:rsidR="00C4091E">
        <w:rPr>
          <w:rFonts w:ascii="Times New Roman" w:hAnsi="Times New Roman" w:cs="Times New Roman"/>
        </w:rPr>
        <w:t>s</w:t>
      </w:r>
      <w:r w:rsidR="00C4091E" w:rsidRPr="00C4091E">
        <w:rPr>
          <w:rFonts w:ascii="Times New Roman" w:hAnsi="Times New Roman" w:cs="Times New Roman"/>
        </w:rPr>
        <w:t xml:space="preserve"> 200 metres of trench to be open at any time for the installation of conduit or cable in residential areas</w:t>
      </w:r>
      <w:r w:rsidR="00C64481">
        <w:rPr>
          <w:rFonts w:ascii="Times New Roman" w:hAnsi="Times New Roman" w:cs="Times New Roman"/>
        </w:rPr>
        <w:t xml:space="preserve">.  </w:t>
      </w:r>
      <w:r w:rsidR="00C4091E">
        <w:rPr>
          <w:rFonts w:ascii="Times New Roman" w:hAnsi="Times New Roman" w:cs="Times New Roman"/>
        </w:rPr>
        <w:t xml:space="preserve">The </w:t>
      </w:r>
      <w:r w:rsidR="00C4091E" w:rsidRPr="008A2C13">
        <w:rPr>
          <w:rFonts w:ascii="Times New Roman" w:hAnsi="Times New Roman" w:cs="Times New Roman"/>
        </w:rPr>
        <w:t>1997 Determination</w:t>
      </w:r>
      <w:r w:rsidR="00C4091E">
        <w:rPr>
          <w:rFonts w:ascii="Times New Roman" w:hAnsi="Times New Roman" w:cs="Times New Roman"/>
        </w:rPr>
        <w:t xml:space="preserve"> allowed</w:t>
      </w:r>
      <w:r w:rsidR="00C4091E" w:rsidRPr="00C4091E">
        <w:rPr>
          <w:rFonts w:ascii="Times New Roman" w:hAnsi="Times New Roman" w:cs="Times New Roman"/>
        </w:rPr>
        <w:t xml:space="preserve"> </w:t>
      </w:r>
      <w:r w:rsidR="00BB13C2">
        <w:rPr>
          <w:rFonts w:ascii="Times New Roman" w:hAnsi="Times New Roman" w:cs="Times New Roman"/>
        </w:rPr>
        <w:t>up to</w:t>
      </w:r>
      <w:r w:rsidR="00C4091E" w:rsidRPr="00C4091E">
        <w:rPr>
          <w:rFonts w:ascii="Times New Roman" w:hAnsi="Times New Roman" w:cs="Times New Roman"/>
        </w:rPr>
        <w:t xml:space="preserve"> 100 metres of trench to be open at any time in residential areas to minimise disturbance of residential streets</w:t>
      </w:r>
      <w:r w:rsidR="00C64481">
        <w:rPr>
          <w:rFonts w:ascii="Times New Roman" w:hAnsi="Times New Roman" w:cs="Times New Roman"/>
        </w:rPr>
        <w:t xml:space="preserve">.  </w:t>
      </w:r>
      <w:r w:rsidR="00C4091E" w:rsidRPr="00C4091E">
        <w:rPr>
          <w:rFonts w:ascii="Times New Roman" w:hAnsi="Times New Roman" w:cs="Times New Roman"/>
        </w:rPr>
        <w:t xml:space="preserve">Allowing 200 metres of trench to be open in residential areas </w:t>
      </w:r>
      <w:r w:rsidR="00C4091E">
        <w:rPr>
          <w:rFonts w:ascii="Times New Roman" w:hAnsi="Times New Roman" w:cs="Times New Roman"/>
        </w:rPr>
        <w:t>will</w:t>
      </w:r>
      <w:r w:rsidR="00C4091E" w:rsidRPr="00C4091E">
        <w:rPr>
          <w:rFonts w:ascii="Times New Roman" w:hAnsi="Times New Roman" w:cs="Times New Roman"/>
        </w:rPr>
        <w:t xml:space="preserve"> mean that carriers </w:t>
      </w:r>
      <w:r w:rsidR="00C4091E">
        <w:rPr>
          <w:rFonts w:ascii="Times New Roman" w:hAnsi="Times New Roman" w:cs="Times New Roman"/>
        </w:rPr>
        <w:t>will</w:t>
      </w:r>
      <w:r w:rsidR="00C4091E" w:rsidRPr="00C4091E">
        <w:rPr>
          <w:rFonts w:ascii="Times New Roman" w:hAnsi="Times New Roman" w:cs="Times New Roman"/>
        </w:rPr>
        <w:t xml:space="preserve"> be able to lay more conduit or cable each day, reducing the days they need to work in an area and reducing disruption to the community</w:t>
      </w:r>
      <w:r w:rsidR="00C64481">
        <w:rPr>
          <w:rFonts w:ascii="Times New Roman" w:hAnsi="Times New Roman" w:cs="Times New Roman"/>
        </w:rPr>
        <w:t xml:space="preserve">.  </w:t>
      </w:r>
    </w:p>
    <w:p w14:paraId="44827C75" w14:textId="69EC66B0" w:rsidR="006B6587" w:rsidRDefault="00EA19B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Other </w:t>
      </w:r>
      <w:r w:rsidR="006B6587">
        <w:rPr>
          <w:rFonts w:ascii="Times New Roman" w:hAnsi="Times New Roman" w:cs="Times New Roman"/>
          <w:i/>
        </w:rPr>
        <w:t>changes</w:t>
      </w:r>
    </w:p>
    <w:p w14:paraId="5CED8006" w14:textId="681557C5" w:rsidR="00CA6D3A" w:rsidRPr="008A2C13" w:rsidRDefault="00EA19B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The Determination also includes minor updates</w:t>
      </w:r>
      <w:r w:rsidR="00C3168C">
        <w:rPr>
          <w:rFonts w:ascii="Times New Roman" w:hAnsi="Times New Roman" w:cs="Times New Roman"/>
        </w:rPr>
        <w:t xml:space="preserve">, including current titles of references to </w:t>
      </w:r>
      <w:r w:rsidR="00E02942" w:rsidRPr="00C93BC1">
        <w:rPr>
          <w:rFonts w:ascii="Times New Roman" w:hAnsi="Times New Roman" w:cs="Times New Roman"/>
        </w:rPr>
        <w:t>legislation</w:t>
      </w:r>
      <w:r w:rsidR="00C3168C">
        <w:rPr>
          <w:rFonts w:ascii="Times New Roman" w:hAnsi="Times New Roman" w:cs="Times New Roman"/>
        </w:rPr>
        <w:t xml:space="preserve"> </w:t>
      </w:r>
      <w:r w:rsidR="006B6587">
        <w:rPr>
          <w:rFonts w:ascii="Times New Roman" w:hAnsi="Times New Roman" w:cs="Times New Roman"/>
        </w:rPr>
        <w:t>and</w:t>
      </w:r>
      <w:r w:rsidR="00E02942" w:rsidRPr="00C93BC1">
        <w:rPr>
          <w:rFonts w:ascii="Times New Roman" w:hAnsi="Times New Roman" w:cs="Times New Roman"/>
        </w:rPr>
        <w:t xml:space="preserve"> standards</w:t>
      </w:r>
      <w:r w:rsidR="00C64481">
        <w:rPr>
          <w:rFonts w:ascii="Times New Roman" w:hAnsi="Times New Roman" w:cs="Times New Roman"/>
        </w:rPr>
        <w:t xml:space="preserve">.  </w:t>
      </w:r>
      <w:r w:rsidR="00255051">
        <w:rPr>
          <w:rFonts w:ascii="Times New Roman" w:hAnsi="Times New Roman" w:cs="Times New Roman"/>
        </w:rPr>
        <w:t xml:space="preserve">The updates </w:t>
      </w:r>
      <w:r w:rsidR="00AD1CE4">
        <w:rPr>
          <w:rFonts w:ascii="Times New Roman" w:hAnsi="Times New Roman" w:cs="Times New Roman"/>
        </w:rPr>
        <w:t xml:space="preserve">include </w:t>
      </w:r>
      <w:r w:rsidR="00255051">
        <w:rPr>
          <w:rFonts w:ascii="Times New Roman" w:hAnsi="Times New Roman" w:cs="Times New Roman"/>
        </w:rPr>
        <w:t>changes to environmental legislation made since 1997</w:t>
      </w:r>
      <w:r w:rsidR="006D3A5F">
        <w:rPr>
          <w:rFonts w:ascii="Times New Roman" w:hAnsi="Times New Roman" w:cs="Times New Roman"/>
        </w:rPr>
        <w:t xml:space="preserve"> and to the outdated references to the Australian Communications Authority</w:t>
      </w:r>
      <w:r w:rsidR="00255051">
        <w:rPr>
          <w:rFonts w:ascii="Times New Roman" w:hAnsi="Times New Roman" w:cs="Times New Roman"/>
        </w:rPr>
        <w:t>, but do not substantively change the arrangements that were set out in the 1997 Determination.</w:t>
      </w:r>
    </w:p>
    <w:p w14:paraId="1E55591F" w14:textId="77777777" w:rsidR="00BB076E" w:rsidRPr="003470CF" w:rsidRDefault="003470CF">
      <w:pPr>
        <w:keepNext/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Regulat</w:t>
      </w:r>
      <w:r w:rsidR="00D83E8C">
        <w:rPr>
          <w:rFonts w:ascii="Times New Roman" w:hAnsi="Times New Roman" w:cs="Times New Roman"/>
          <w:u w:val="single"/>
        </w:rPr>
        <w:t>ory Impact</w:t>
      </w:r>
    </w:p>
    <w:p w14:paraId="4B48C62A" w14:textId="27B98C65" w:rsidR="00255051" w:rsidRDefault="00255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largely continues the </w:t>
      </w:r>
      <w:r w:rsidR="00046530">
        <w:rPr>
          <w:rFonts w:ascii="Times New Roman" w:hAnsi="Times New Roman" w:cs="Times New Roman"/>
        </w:rPr>
        <w:t>previous arrangements</w:t>
      </w:r>
      <w:r w:rsidR="00F24BD0">
        <w:rPr>
          <w:rFonts w:ascii="Times New Roman" w:hAnsi="Times New Roman" w:cs="Times New Roman"/>
        </w:rPr>
        <w:t xml:space="preserve"> with some changes</w:t>
      </w:r>
      <w:r>
        <w:rPr>
          <w:rFonts w:ascii="Times New Roman" w:hAnsi="Times New Roman" w:cs="Times New Roman"/>
        </w:rPr>
        <w:t xml:space="preserve">.  </w:t>
      </w:r>
    </w:p>
    <w:p w14:paraId="41E7132C" w14:textId="77777777" w:rsidR="0043637C" w:rsidRDefault="0044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Office of Best Practice Regulation (OBPR) has advised that a Regulation Impact Statement is not required </w:t>
      </w:r>
      <w:r w:rsidR="00C3168C">
        <w:rPr>
          <w:rFonts w:ascii="Times New Roman" w:hAnsi="Times New Roman" w:cs="Times New Roman"/>
        </w:rPr>
        <w:t xml:space="preserve">for the Determination as it </w:t>
      </w:r>
      <w:r w:rsidRPr="00172D3F">
        <w:rPr>
          <w:rFonts w:ascii="Times New Roman" w:hAnsi="Times New Roman" w:cs="Times New Roman"/>
        </w:rPr>
        <w:t>will not have a more than minor regulatory impact</w:t>
      </w:r>
      <w:r>
        <w:rPr>
          <w:rFonts w:ascii="Times New Roman" w:hAnsi="Times New Roman" w:cs="Times New Roman"/>
        </w:rPr>
        <w:t xml:space="preserve"> (OBPR reference</w:t>
      </w:r>
      <w:r w:rsidR="00BD4E78">
        <w:rPr>
          <w:rFonts w:ascii="Times New Roman" w:hAnsi="Times New Roman" w:cs="Times New Roman"/>
        </w:rPr>
        <w:t>s 20695 and</w:t>
      </w:r>
      <w:r>
        <w:rPr>
          <w:rFonts w:ascii="Times New Roman" w:hAnsi="Times New Roman" w:cs="Times New Roman"/>
        </w:rPr>
        <w:t xml:space="preserve"> 23118)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OBPR has recognised</w:t>
      </w:r>
      <w:r w:rsidRPr="002C6084">
        <w:rPr>
          <w:rFonts w:ascii="Times New Roman" w:hAnsi="Times New Roman" w:cs="Times New Roman"/>
        </w:rPr>
        <w:t xml:space="preserve"> that the </w:t>
      </w:r>
      <w:r w:rsidR="00C3168C">
        <w:rPr>
          <w:rFonts w:ascii="Times New Roman" w:hAnsi="Times New Roman" w:cs="Times New Roman"/>
        </w:rPr>
        <w:t xml:space="preserve">remade Determination </w:t>
      </w:r>
      <w:r w:rsidRPr="002C6084">
        <w:rPr>
          <w:rFonts w:ascii="Times New Roman" w:hAnsi="Times New Roman" w:cs="Times New Roman"/>
        </w:rPr>
        <w:t>result</w:t>
      </w:r>
      <w:r>
        <w:rPr>
          <w:rFonts w:ascii="Times New Roman" w:hAnsi="Times New Roman" w:cs="Times New Roman"/>
        </w:rPr>
        <w:t>s</w:t>
      </w:r>
      <w:r w:rsidRPr="002C6084">
        <w:rPr>
          <w:rFonts w:ascii="Times New Roman" w:hAnsi="Times New Roman" w:cs="Times New Roman"/>
        </w:rPr>
        <w:t xml:space="preserve"> in a </w:t>
      </w:r>
      <w:r>
        <w:rPr>
          <w:rFonts w:ascii="Times New Roman" w:hAnsi="Times New Roman" w:cs="Times New Roman"/>
        </w:rPr>
        <w:t>reduced</w:t>
      </w:r>
      <w:r w:rsidRPr="002C6084">
        <w:rPr>
          <w:rFonts w:ascii="Times New Roman" w:hAnsi="Times New Roman" w:cs="Times New Roman"/>
        </w:rPr>
        <w:t xml:space="preserve"> regulatory burden on telecommunications carriers</w:t>
      </w:r>
      <w:r>
        <w:rPr>
          <w:rFonts w:ascii="Times New Roman" w:hAnsi="Times New Roman" w:cs="Times New Roman"/>
        </w:rPr>
        <w:t xml:space="preserve"> and </w:t>
      </w:r>
      <w:r w:rsidRPr="00B27FC6">
        <w:rPr>
          <w:rFonts w:ascii="Times New Roman" w:hAnsi="Times New Roman" w:cs="Times New Roman"/>
        </w:rPr>
        <w:t xml:space="preserve">no further action is required </w:t>
      </w:r>
      <w:r>
        <w:rPr>
          <w:rFonts w:ascii="Times New Roman" w:hAnsi="Times New Roman" w:cs="Times New Roman"/>
        </w:rPr>
        <w:t xml:space="preserve">to remake the </w:t>
      </w:r>
      <w:r w:rsidR="00B34966">
        <w:rPr>
          <w:rFonts w:ascii="Times New Roman" w:hAnsi="Times New Roman" w:cs="Times New Roman"/>
        </w:rPr>
        <w:t xml:space="preserve">Determination </w:t>
      </w:r>
      <w:r w:rsidRPr="00B27FC6">
        <w:rPr>
          <w:rFonts w:ascii="Times New Roman" w:hAnsi="Times New Roman" w:cs="Times New Roman"/>
        </w:rPr>
        <w:t>under the Government’s regulatory impact analysis requirements</w:t>
      </w:r>
      <w:r w:rsidR="0043637C" w:rsidRPr="0043637C">
        <w:rPr>
          <w:rFonts w:ascii="Times New Roman" w:hAnsi="Times New Roman" w:cs="Times New Roman"/>
        </w:rPr>
        <w:t>.</w:t>
      </w:r>
    </w:p>
    <w:p w14:paraId="58D757A0" w14:textId="77777777" w:rsidR="00A0517F" w:rsidRDefault="00A05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Statement of Compatibility with Human Rights</w:t>
      </w:r>
    </w:p>
    <w:p w14:paraId="58496A64" w14:textId="77777777" w:rsidR="003470CF" w:rsidRDefault="00A05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statement of compatibility with human rights for the purposes of Part 3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is set out in </w:t>
      </w:r>
      <w:r w:rsidRPr="00A0517F">
        <w:rPr>
          <w:rFonts w:ascii="Times New Roman" w:hAnsi="Times New Roman" w:cs="Times New Roman"/>
          <w:u w:val="single"/>
        </w:rPr>
        <w:t>Attachment B</w:t>
      </w:r>
      <w:r>
        <w:rPr>
          <w:rFonts w:ascii="Times New Roman" w:hAnsi="Times New Roman" w:cs="Times New Roman"/>
        </w:rPr>
        <w:t>.</w:t>
      </w:r>
      <w:r w:rsidR="003470CF">
        <w:rPr>
          <w:rFonts w:ascii="Times New Roman" w:hAnsi="Times New Roman" w:cs="Times New Roman"/>
        </w:rPr>
        <w:br w:type="page"/>
      </w:r>
    </w:p>
    <w:p w14:paraId="1383734B" w14:textId="77777777" w:rsidR="00C50235" w:rsidRPr="00641906" w:rsidRDefault="00C50235" w:rsidP="00C50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34EACC7A" w14:textId="77777777" w:rsidR="00C50235" w:rsidRPr="003E1CCE" w:rsidRDefault="00C50235" w:rsidP="00C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 xml:space="preserve">Notes </w:t>
      </w:r>
      <w:r w:rsidR="00A0517F">
        <w:rPr>
          <w:rFonts w:ascii="Times New Roman" w:hAnsi="Times New Roman" w:cs="Times New Roman"/>
          <w:b/>
          <w:sz w:val="28"/>
          <w:szCs w:val="28"/>
        </w:rPr>
        <w:t>on</w:t>
      </w:r>
      <w:r w:rsidRPr="0064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942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02942" w:rsidRPr="008A2C13">
        <w:rPr>
          <w:rFonts w:ascii="Times New Roman" w:hAnsi="Times New Roman" w:cs="Times New Roman"/>
          <w:b/>
          <w:i/>
          <w:sz w:val="28"/>
          <w:szCs w:val="28"/>
        </w:rPr>
        <w:t xml:space="preserve">Telecommunications (Low-impact Facilities) </w:t>
      </w:r>
      <w:r w:rsidR="00C316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E02942" w:rsidRPr="008A2C13">
        <w:rPr>
          <w:rFonts w:ascii="Times New Roman" w:hAnsi="Times New Roman" w:cs="Times New Roman"/>
          <w:b/>
          <w:i/>
          <w:sz w:val="28"/>
          <w:szCs w:val="28"/>
        </w:rPr>
        <w:t>Determination 2018</w:t>
      </w:r>
    </w:p>
    <w:p w14:paraId="2EB3420F" w14:textId="3656AFA6" w:rsidR="00A11022" w:rsidRPr="00A11022" w:rsidRDefault="00A11022" w:rsidP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bCs/>
          <w:u w:val="single"/>
          <w:lang w:val="en-US"/>
        </w:rPr>
        <w:t xml:space="preserve">Detailed notes on the </w:t>
      </w:r>
      <w:r w:rsidRPr="00E02942">
        <w:rPr>
          <w:rFonts w:ascii="Times New Roman" w:hAnsi="Times New Roman" w:cs="Times New Roman"/>
          <w:bCs/>
          <w:i/>
          <w:u w:val="single"/>
          <w:lang w:val="en-US"/>
        </w:rPr>
        <w:t>Telecommunications (Low-</w:t>
      </w:r>
      <w:r w:rsidR="00B71D31">
        <w:rPr>
          <w:rFonts w:ascii="Times New Roman" w:hAnsi="Times New Roman" w:cs="Times New Roman"/>
          <w:bCs/>
          <w:i/>
          <w:u w:val="single"/>
          <w:lang w:val="en-US"/>
        </w:rPr>
        <w:t>i</w:t>
      </w:r>
      <w:r w:rsidRPr="00E02942">
        <w:rPr>
          <w:rFonts w:ascii="Times New Roman" w:hAnsi="Times New Roman" w:cs="Times New Roman"/>
          <w:bCs/>
          <w:i/>
          <w:u w:val="single"/>
          <w:lang w:val="en-US"/>
        </w:rPr>
        <w:t xml:space="preserve">mpact Facilities) Determination </w:t>
      </w:r>
      <w:r w:rsidR="00640363" w:rsidRPr="00E02942">
        <w:rPr>
          <w:rFonts w:ascii="Times New Roman" w:hAnsi="Times New Roman" w:cs="Times New Roman"/>
          <w:bCs/>
          <w:i/>
          <w:u w:val="single"/>
          <w:lang w:val="en-US"/>
        </w:rPr>
        <w:t>2018</w:t>
      </w:r>
    </w:p>
    <w:p w14:paraId="2DF9F5D8" w14:textId="77777777" w:rsidR="00A11022" w:rsidRPr="00A11022" w:rsidRDefault="00A11022" w:rsidP="00566D07">
      <w:pPr>
        <w:rPr>
          <w:rFonts w:ascii="Times New Roman" w:hAnsi="Times New Roman" w:cs="Times New Roman"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PART</w:t>
      </w:r>
      <w:r w:rsidRPr="00A11022">
        <w:rPr>
          <w:rFonts w:ascii="Times New Roman" w:hAnsi="Times New Roman" w:cs="Times New Roman"/>
          <w:bCs/>
          <w:lang w:val="en-US"/>
        </w:rPr>
        <w:t xml:space="preserve"> </w:t>
      </w:r>
      <w:r w:rsidRPr="008A2C13">
        <w:rPr>
          <w:rFonts w:ascii="Times New Roman" w:hAnsi="Times New Roman" w:cs="Times New Roman"/>
          <w:b/>
          <w:bCs/>
          <w:lang w:val="en-US"/>
        </w:rPr>
        <w:t>1 - PRELIMINARY</w:t>
      </w:r>
    </w:p>
    <w:p w14:paraId="69592261" w14:textId="77777777" w:rsidR="00A11022" w:rsidRDefault="00A11022">
      <w:pPr>
        <w:rPr>
          <w:rFonts w:ascii="Times New Roman" w:hAnsi="Times New Roman" w:cs="Times New Roman"/>
          <w:bCs/>
          <w:lang w:val="en-US"/>
        </w:rPr>
      </w:pPr>
      <w:r w:rsidRPr="00A11022">
        <w:rPr>
          <w:rFonts w:ascii="Times New Roman" w:hAnsi="Times New Roman" w:cs="Times New Roman"/>
          <w:lang w:val="en-US"/>
        </w:rPr>
        <w:t>This Part deals with the title, commencement, and interpretation of the Determination.</w:t>
      </w:r>
    </w:p>
    <w:p w14:paraId="1B88C4F3" w14:textId="5BE5FB8D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1.1</w:t>
      </w:r>
      <w:r w:rsidR="00126207">
        <w:rPr>
          <w:b/>
          <w:bCs/>
          <w:sz w:val="23"/>
          <w:szCs w:val="23"/>
        </w:rPr>
        <w:tab/>
      </w:r>
      <w:r w:rsidR="00A02A77">
        <w:rPr>
          <w:rFonts w:ascii="Times New Roman" w:hAnsi="Times New Roman" w:cs="Times New Roman"/>
          <w:b/>
          <w:bCs/>
          <w:lang w:val="en-US"/>
        </w:rPr>
        <w:t xml:space="preserve">Name </w:t>
      </w:r>
    </w:p>
    <w:p w14:paraId="68F84C5B" w14:textId="20F02D70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This provides that the </w:t>
      </w:r>
      <w:r w:rsidR="00655754">
        <w:rPr>
          <w:rFonts w:ascii="Times New Roman" w:hAnsi="Times New Roman" w:cs="Times New Roman"/>
          <w:lang w:val="en-US"/>
        </w:rPr>
        <w:t>D</w:t>
      </w:r>
      <w:r w:rsidR="00655754" w:rsidRPr="00A11022">
        <w:rPr>
          <w:rFonts w:ascii="Times New Roman" w:hAnsi="Times New Roman" w:cs="Times New Roman"/>
          <w:lang w:val="en-US"/>
        </w:rPr>
        <w:t xml:space="preserve">etermination </w:t>
      </w:r>
      <w:r w:rsidRPr="00A11022">
        <w:rPr>
          <w:rFonts w:ascii="Times New Roman" w:hAnsi="Times New Roman" w:cs="Times New Roman"/>
          <w:lang w:val="en-US"/>
        </w:rPr>
        <w:t xml:space="preserve">may be referred to as the </w:t>
      </w:r>
      <w:r w:rsidRPr="008A2C13">
        <w:rPr>
          <w:rFonts w:ascii="Times New Roman" w:hAnsi="Times New Roman" w:cs="Times New Roman"/>
          <w:i/>
          <w:lang w:val="en-US"/>
        </w:rPr>
        <w:t>Telecommunications (Low-</w:t>
      </w:r>
      <w:r w:rsidR="008A2C13">
        <w:rPr>
          <w:rFonts w:ascii="Times New Roman" w:hAnsi="Times New Roman" w:cs="Times New Roman"/>
          <w:i/>
          <w:lang w:val="en-US"/>
        </w:rPr>
        <w:t>i</w:t>
      </w:r>
      <w:r w:rsidRPr="008A2C13">
        <w:rPr>
          <w:rFonts w:ascii="Times New Roman" w:hAnsi="Times New Roman" w:cs="Times New Roman"/>
          <w:i/>
          <w:lang w:val="en-US"/>
        </w:rPr>
        <w:t xml:space="preserve">mpact Facilities) Determination </w:t>
      </w:r>
      <w:r w:rsidR="00655754">
        <w:rPr>
          <w:rFonts w:ascii="Times New Roman" w:hAnsi="Times New Roman" w:cs="Times New Roman"/>
          <w:i/>
          <w:lang w:val="en-US"/>
        </w:rPr>
        <w:t>2018</w:t>
      </w:r>
      <w:r w:rsidRPr="00A11022">
        <w:rPr>
          <w:rFonts w:ascii="Times New Roman" w:hAnsi="Times New Roman" w:cs="Times New Roman"/>
          <w:lang w:val="en-US"/>
        </w:rPr>
        <w:t>.</w:t>
      </w:r>
    </w:p>
    <w:p w14:paraId="18963419" w14:textId="1B54A70A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1.2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Commencement</w:t>
      </w:r>
    </w:p>
    <w:p w14:paraId="55597248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The </w:t>
      </w:r>
      <w:r w:rsidR="00655754">
        <w:rPr>
          <w:rFonts w:ascii="Times New Roman" w:hAnsi="Times New Roman" w:cs="Times New Roman"/>
          <w:lang w:val="en-US"/>
        </w:rPr>
        <w:t>D</w:t>
      </w:r>
      <w:r w:rsidR="00655754" w:rsidRPr="00A11022">
        <w:rPr>
          <w:rFonts w:ascii="Times New Roman" w:hAnsi="Times New Roman" w:cs="Times New Roman"/>
          <w:lang w:val="en-US"/>
        </w:rPr>
        <w:t xml:space="preserve">etermination </w:t>
      </w:r>
      <w:r w:rsidRPr="00A11022">
        <w:rPr>
          <w:rFonts w:ascii="Times New Roman" w:hAnsi="Times New Roman" w:cs="Times New Roman"/>
          <w:lang w:val="en-US"/>
        </w:rPr>
        <w:t xml:space="preserve">commences on </w:t>
      </w:r>
      <w:r w:rsidR="00655754">
        <w:rPr>
          <w:rFonts w:ascii="Times New Roman" w:hAnsi="Times New Roman" w:cs="Times New Roman"/>
        </w:rPr>
        <w:t>the day after it is registered on the Federal Register of Legislation</w:t>
      </w:r>
      <w:r w:rsidRPr="00A11022">
        <w:rPr>
          <w:rFonts w:ascii="Times New Roman" w:hAnsi="Times New Roman" w:cs="Times New Roman"/>
          <w:lang w:val="en-US"/>
        </w:rPr>
        <w:t>.</w:t>
      </w:r>
    </w:p>
    <w:p w14:paraId="63820DC5" w14:textId="4269EAC2" w:rsidR="00655754" w:rsidRDefault="00655754" w:rsidP="006D5BF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1.3</w:t>
      </w:r>
      <w:r w:rsidR="00126207">
        <w:rPr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</w:rPr>
        <w:t>Authority</w:t>
      </w:r>
    </w:p>
    <w:p w14:paraId="55EEC8F9" w14:textId="04C1A2F2" w:rsidR="00655754" w:rsidRPr="0074748C" w:rsidRDefault="00655754" w:rsidP="006D5BF5">
      <w:pPr>
        <w:pStyle w:val="subsection"/>
        <w:spacing w:before="0" w:beforeAutospacing="0" w:after="160" w:afterAutospacing="0"/>
      </w:pPr>
      <w:r w:rsidRPr="0074748C">
        <w:rPr>
          <w:sz w:val="22"/>
        </w:rPr>
        <w:t>Th</w:t>
      </w:r>
      <w:r>
        <w:rPr>
          <w:sz w:val="22"/>
        </w:rPr>
        <w:t xml:space="preserve">is </w:t>
      </w:r>
      <w:r w:rsidR="0044731E">
        <w:rPr>
          <w:sz w:val="22"/>
        </w:rPr>
        <w:t xml:space="preserve">section </w:t>
      </w:r>
      <w:r>
        <w:rPr>
          <w:sz w:val="22"/>
        </w:rPr>
        <w:t>provide</w:t>
      </w:r>
      <w:r w:rsidR="0044731E">
        <w:rPr>
          <w:sz w:val="22"/>
        </w:rPr>
        <w:t>s</w:t>
      </w:r>
      <w:r>
        <w:rPr>
          <w:sz w:val="22"/>
        </w:rPr>
        <w:t xml:space="preserve"> that the Determination</w:t>
      </w:r>
      <w:r w:rsidRPr="0074748C">
        <w:rPr>
          <w:sz w:val="22"/>
        </w:rPr>
        <w:t xml:space="preserve"> is made under sub</w:t>
      </w:r>
      <w:r w:rsidR="0044731E">
        <w:rPr>
          <w:sz w:val="22"/>
        </w:rPr>
        <w:t>clause</w:t>
      </w:r>
      <w:r w:rsidRPr="0074748C">
        <w:rPr>
          <w:sz w:val="22"/>
        </w:rPr>
        <w:t xml:space="preserve"> </w:t>
      </w:r>
      <w:r>
        <w:rPr>
          <w:sz w:val="22"/>
        </w:rPr>
        <w:t>6</w:t>
      </w:r>
      <w:r w:rsidRPr="0074748C">
        <w:rPr>
          <w:sz w:val="22"/>
        </w:rPr>
        <w:t>(</w:t>
      </w:r>
      <w:r>
        <w:rPr>
          <w:sz w:val="22"/>
        </w:rPr>
        <w:t>3</w:t>
      </w:r>
      <w:r w:rsidRPr="0074748C">
        <w:rPr>
          <w:sz w:val="22"/>
        </w:rPr>
        <w:t xml:space="preserve">) of Schedule 3 to the </w:t>
      </w:r>
      <w:r w:rsidRPr="0074748C">
        <w:rPr>
          <w:i/>
          <w:sz w:val="22"/>
        </w:rPr>
        <w:t xml:space="preserve">Telecommunications Act 1997 </w:t>
      </w:r>
      <w:r w:rsidR="00D351F5">
        <w:rPr>
          <w:sz w:val="22"/>
        </w:rPr>
        <w:t xml:space="preserve">(the Act) </w:t>
      </w:r>
      <w:r w:rsidRPr="0074748C">
        <w:rPr>
          <w:sz w:val="22"/>
        </w:rPr>
        <w:t>and subsection 33(3) of the</w:t>
      </w:r>
      <w:r w:rsidRPr="0074748C">
        <w:rPr>
          <w:i/>
          <w:sz w:val="22"/>
        </w:rPr>
        <w:t xml:space="preserve"> Acts Interpretation Act 1901</w:t>
      </w:r>
      <w:r w:rsidRPr="0074748C">
        <w:rPr>
          <w:sz w:val="22"/>
        </w:rPr>
        <w:t>.</w:t>
      </w:r>
    </w:p>
    <w:p w14:paraId="6829655B" w14:textId="498DC7B6" w:rsidR="00655754" w:rsidRDefault="00655754" w:rsidP="006D5BF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1.4</w:t>
      </w:r>
      <w:r w:rsidR="00126207">
        <w:rPr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</w:rPr>
        <w:t>Repeal</w:t>
      </w:r>
    </w:p>
    <w:p w14:paraId="1B3DFD8F" w14:textId="41C256B8" w:rsidR="00655754" w:rsidRPr="0074748C" w:rsidRDefault="00655754" w:rsidP="006D5BF5">
      <w:pPr>
        <w:spacing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>
        <w:rPr>
          <w:rFonts w:ascii="Times New Roman" w:eastAsia="Times New Roman" w:hAnsi="Times New Roman" w:cs="Times New Roman"/>
          <w:szCs w:val="24"/>
          <w:lang w:eastAsia="en-AU"/>
        </w:rPr>
        <w:t xml:space="preserve">This provides that the </w:t>
      </w:r>
      <w:r w:rsidRPr="0074748C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Telecommunications </w:t>
      </w:r>
      <w:r>
        <w:rPr>
          <w:rFonts w:ascii="Times New Roman" w:eastAsia="Times New Roman" w:hAnsi="Times New Roman" w:cs="Times New Roman"/>
          <w:i/>
          <w:szCs w:val="24"/>
          <w:lang w:eastAsia="en-AU"/>
        </w:rPr>
        <w:t>(Low-</w:t>
      </w:r>
      <w:r w:rsidR="00D351F5">
        <w:rPr>
          <w:rFonts w:ascii="Times New Roman" w:eastAsia="Times New Roman" w:hAnsi="Times New Roman" w:cs="Times New Roman"/>
          <w:i/>
          <w:szCs w:val="24"/>
          <w:lang w:eastAsia="en-AU"/>
        </w:rPr>
        <w:t>i</w:t>
      </w:r>
      <w:r>
        <w:rPr>
          <w:rFonts w:ascii="Times New Roman" w:eastAsia="Times New Roman" w:hAnsi="Times New Roman" w:cs="Times New Roman"/>
          <w:i/>
          <w:szCs w:val="24"/>
          <w:lang w:eastAsia="en-AU"/>
        </w:rPr>
        <w:t>mpact Facilities) Determination</w:t>
      </w:r>
      <w:r w:rsidRPr="0074748C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 1997</w:t>
      </w:r>
      <w:r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  <w:r w:rsidRPr="0074748C">
        <w:rPr>
          <w:rFonts w:ascii="Times New Roman" w:eastAsia="Times New Roman" w:hAnsi="Times New Roman" w:cs="Times New Roman"/>
          <w:szCs w:val="24"/>
          <w:lang w:eastAsia="en-AU"/>
        </w:rPr>
        <w:t xml:space="preserve">in force immediately before </w:t>
      </w:r>
      <w:r>
        <w:rPr>
          <w:rFonts w:ascii="Times New Roman" w:eastAsia="Times New Roman" w:hAnsi="Times New Roman" w:cs="Times New Roman"/>
          <w:szCs w:val="24"/>
          <w:lang w:eastAsia="en-AU"/>
        </w:rPr>
        <w:t>the Determination</w:t>
      </w:r>
      <w:r w:rsidRPr="0074748C">
        <w:rPr>
          <w:rFonts w:ascii="Times New Roman" w:eastAsia="Times New Roman" w:hAnsi="Times New Roman" w:cs="Times New Roman"/>
          <w:szCs w:val="24"/>
          <w:lang w:eastAsia="en-AU"/>
        </w:rPr>
        <w:t xml:space="preserve"> commences is repealed</w:t>
      </w:r>
      <w:r w:rsidR="00C64481">
        <w:rPr>
          <w:rFonts w:ascii="Times New Roman" w:eastAsia="Times New Roman" w:hAnsi="Times New Roman" w:cs="Times New Roman"/>
          <w:szCs w:val="24"/>
          <w:lang w:eastAsia="en-AU"/>
        </w:rPr>
        <w:t xml:space="preserve">.  </w:t>
      </w:r>
      <w:r w:rsidR="0044731E">
        <w:rPr>
          <w:rFonts w:ascii="Times New Roman" w:eastAsia="Times New Roman" w:hAnsi="Times New Roman" w:cs="Times New Roman"/>
          <w:szCs w:val="24"/>
          <w:lang w:eastAsia="en-AU"/>
        </w:rPr>
        <w:t xml:space="preserve">The </w:t>
      </w:r>
      <w:r w:rsidR="0044731E" w:rsidRPr="00F3208C">
        <w:rPr>
          <w:rFonts w:ascii="Times New Roman" w:eastAsia="Times New Roman" w:hAnsi="Times New Roman" w:cs="Times New Roman"/>
          <w:szCs w:val="24"/>
          <w:lang w:eastAsia="en-AU"/>
        </w:rPr>
        <w:t>1997 Determination</w:t>
      </w:r>
      <w:r w:rsidR="0044731E">
        <w:rPr>
          <w:rFonts w:ascii="Times New Roman" w:eastAsia="Times New Roman" w:hAnsi="Times New Roman" w:cs="Times New Roman"/>
          <w:szCs w:val="24"/>
          <w:lang w:eastAsia="en-AU"/>
        </w:rPr>
        <w:t xml:space="preserve"> was due to sunset on 1 April 2019</w:t>
      </w:r>
      <w:r w:rsidR="00D351F5">
        <w:rPr>
          <w:rFonts w:ascii="Times New Roman" w:eastAsia="Times New Roman" w:hAnsi="Times New Roman" w:cs="Times New Roman"/>
          <w:szCs w:val="24"/>
          <w:lang w:eastAsia="en-AU"/>
        </w:rPr>
        <w:t>.</w:t>
      </w:r>
    </w:p>
    <w:p w14:paraId="34350867" w14:textId="692BBB30" w:rsidR="00A11022" w:rsidRPr="008A2C13" w:rsidRDefault="00E02942" w:rsidP="00566D07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1.</w:t>
      </w:r>
      <w:r w:rsidR="009F30E4">
        <w:rPr>
          <w:rFonts w:ascii="Times New Roman" w:hAnsi="Times New Roman" w:cs="Times New Roman"/>
          <w:b/>
          <w:bCs/>
          <w:lang w:val="en-US"/>
        </w:rPr>
        <w:t>5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Definitions</w:t>
      </w:r>
    </w:p>
    <w:p w14:paraId="71902CC2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This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defines terms used in the Determination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These are principally drawn from the Act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 xml:space="preserve">Some key definitions are contained in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1.</w:t>
      </w:r>
      <w:r w:rsidR="009F30E4">
        <w:rPr>
          <w:rFonts w:ascii="Times New Roman" w:hAnsi="Times New Roman" w:cs="Times New Roman"/>
          <w:lang w:val="en-US"/>
        </w:rPr>
        <w:t>6</w:t>
      </w:r>
      <w:r w:rsidR="009F30E4" w:rsidRPr="00A11022">
        <w:rPr>
          <w:rFonts w:ascii="Times New Roman" w:hAnsi="Times New Roman" w:cs="Times New Roman"/>
          <w:lang w:val="en-US"/>
        </w:rPr>
        <w:t xml:space="preserve"> </w:t>
      </w:r>
      <w:r w:rsidRPr="00A11022">
        <w:rPr>
          <w:rFonts w:ascii="Times New Roman" w:hAnsi="Times New Roman" w:cs="Times New Roman"/>
          <w:lang w:val="en-US"/>
        </w:rPr>
        <w:t>(principal designated use), and in Part 2.</w:t>
      </w:r>
    </w:p>
    <w:p w14:paraId="43120A68" w14:textId="78B98C30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1.</w:t>
      </w:r>
      <w:r w:rsidR="009F30E4">
        <w:rPr>
          <w:rFonts w:ascii="Times New Roman" w:hAnsi="Times New Roman" w:cs="Times New Roman"/>
          <w:b/>
          <w:bCs/>
          <w:lang w:val="en-US"/>
        </w:rPr>
        <w:t>6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Principal Designated Use</w:t>
      </w:r>
    </w:p>
    <w:p w14:paraId="26262268" w14:textId="4B923F58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Principal designated use</w:t>
      </w:r>
      <w:r w:rsidR="00B84319">
        <w:rPr>
          <w:rFonts w:ascii="Times New Roman" w:hAnsi="Times New Roman" w:cs="Times New Roman"/>
          <w:lang w:val="en-US"/>
        </w:rPr>
        <w:t xml:space="preserve"> </w:t>
      </w:r>
      <w:r w:rsidRPr="00A11022">
        <w:rPr>
          <w:rFonts w:ascii="Times New Roman" w:hAnsi="Times New Roman" w:cs="Times New Roman"/>
          <w:lang w:val="en-US"/>
        </w:rPr>
        <w:t>(PDU) is a key concept in the Determination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It is used in Part 2 to determine whether an area in which a facility is to be installed is to be treated as a residential, commercial, industrial or rural area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In turn, the status of an area in some cases helps determine whether a facility mentioned in the schedule is low-impact.</w:t>
      </w:r>
    </w:p>
    <w:p w14:paraId="2002B578" w14:textId="21058A99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The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sets out a procedure which is intended to have the effect of determining one PDU for any given area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A deterministic procedure is necessary because State and Territory planning laws may vary widely in the way they describe permitted land uses and the effects of those uses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Some laws, for example, use the term zoning while others do not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Some laws allow multiple uses of land, even where one use predominates.</w:t>
      </w:r>
    </w:p>
    <w:p w14:paraId="22F86D39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(1) deals with the most straightforward case - where a planning law describes only one sole, or on its face, principal use.</w:t>
      </w:r>
    </w:p>
    <w:p w14:paraId="2F82F920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(2) deals with the next easiest case - where a planning law allows for several uses, but it is possible by examining the law in context to see that one of the uses is somehow preferred over the others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 xml:space="preserve">One example would be an area which was located within a wider area which was clearly </w:t>
      </w:r>
      <w:r w:rsidRPr="00A11022">
        <w:rPr>
          <w:rFonts w:ascii="Times New Roman" w:hAnsi="Times New Roman" w:cs="Times New Roman"/>
          <w:lang w:val="en-US"/>
        </w:rPr>
        <w:lastRenderedPageBreak/>
        <w:t>being targeted (within the broader context of the planning law) primarily for commercial use, but nevertheless allowed for residential uses.</w:t>
      </w:r>
    </w:p>
    <w:p w14:paraId="4E9C1D29" w14:textId="6CA2C767" w:rsidR="00A11022" w:rsidRPr="00A11022" w:rsidRDefault="00A11022" w:rsidP="006D5BF5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(3) deals with the situation where it is not possible to glean from the planning </w:t>
      </w:r>
      <w:r w:rsidRPr="00D351F5">
        <w:rPr>
          <w:rFonts w:ascii="Times New Roman" w:hAnsi="Times New Roman" w:cs="Times New Roman"/>
          <w:lang w:val="en-US"/>
        </w:rPr>
        <w:t>law </w:t>
      </w:r>
      <w:r w:rsidRPr="006D5BF5">
        <w:rPr>
          <w:rFonts w:ascii="Times New Roman" w:hAnsi="Times New Roman" w:cs="Times New Roman"/>
          <w:lang w:val="en-US"/>
        </w:rPr>
        <w:t>any</w:t>
      </w:r>
      <w:r w:rsidRPr="00D351F5">
        <w:rPr>
          <w:rFonts w:ascii="Times New Roman" w:hAnsi="Times New Roman" w:cs="Times New Roman"/>
          <w:lang w:val="en-US"/>
        </w:rPr>
        <w:t> preferred</w:t>
      </w:r>
      <w:r w:rsidRPr="00A11022">
        <w:rPr>
          <w:rFonts w:ascii="Times New Roman" w:hAnsi="Times New Roman" w:cs="Times New Roman"/>
          <w:lang w:val="en-US"/>
        </w:rPr>
        <w:t xml:space="preserve"> use among multiple uses of the land - </w:t>
      </w:r>
      <w:r w:rsidR="00F11CA5" w:rsidRPr="00A11022">
        <w:rPr>
          <w:rFonts w:ascii="Times New Roman" w:hAnsi="Times New Roman" w:cs="Times New Roman"/>
          <w:lang w:val="en-US"/>
        </w:rPr>
        <w:t>i.e</w:t>
      </w:r>
      <w:r w:rsidR="00C64481">
        <w:rPr>
          <w:rFonts w:ascii="Times New Roman" w:hAnsi="Times New Roman" w:cs="Times New Roman"/>
          <w:lang w:val="en-US"/>
        </w:rPr>
        <w:t xml:space="preserve">. </w:t>
      </w:r>
      <w:r w:rsidRPr="00A11022">
        <w:rPr>
          <w:rFonts w:ascii="Times New Roman" w:hAnsi="Times New Roman" w:cs="Times New Roman"/>
          <w:lang w:val="en-US"/>
        </w:rPr>
        <w:t>all of the potential uses are treated completely equally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In that case, the 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sets out a hierarchy by which the PDU is to be determined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In descending order, these are:</w:t>
      </w:r>
    </w:p>
    <w:p w14:paraId="5617943F" w14:textId="1AC6C450" w:rsidR="00A11022" w:rsidRPr="00A11022" w:rsidRDefault="00BB13C2" w:rsidP="006D5BF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 w:rsidRPr="00A11022">
        <w:rPr>
          <w:rFonts w:ascii="Times New Roman" w:hAnsi="Times New Roman" w:cs="Times New Roman"/>
          <w:lang w:val="en-US"/>
        </w:rPr>
        <w:t>esidential</w:t>
      </w:r>
      <w:r>
        <w:rPr>
          <w:rFonts w:ascii="Times New Roman" w:hAnsi="Times New Roman" w:cs="Times New Roman"/>
          <w:lang w:val="en-US"/>
        </w:rPr>
        <w:t>,</w:t>
      </w:r>
    </w:p>
    <w:p w14:paraId="619F135F" w14:textId="1F816259" w:rsidR="00A11022" w:rsidRPr="00A11022" w:rsidRDefault="00BB13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A11022">
        <w:rPr>
          <w:rFonts w:ascii="Times New Roman" w:hAnsi="Times New Roman" w:cs="Times New Roman"/>
          <w:lang w:val="en-US"/>
        </w:rPr>
        <w:t>ommercial</w:t>
      </w:r>
      <w:r>
        <w:rPr>
          <w:rFonts w:ascii="Times New Roman" w:hAnsi="Times New Roman" w:cs="Times New Roman"/>
          <w:lang w:val="en-US"/>
        </w:rPr>
        <w:t>,</w:t>
      </w:r>
    </w:p>
    <w:p w14:paraId="2EB6FF3A" w14:textId="77777777" w:rsidR="00A11022" w:rsidRPr="00A11022" w:rsidRDefault="00A110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gramStart"/>
      <w:r w:rsidRPr="00A11022">
        <w:rPr>
          <w:rFonts w:ascii="Times New Roman" w:hAnsi="Times New Roman" w:cs="Times New Roman"/>
          <w:lang w:val="en-US"/>
        </w:rPr>
        <w:t>industrial</w:t>
      </w:r>
      <w:proofErr w:type="gramEnd"/>
      <w:r w:rsidRPr="00A11022">
        <w:rPr>
          <w:rFonts w:ascii="Times New Roman" w:hAnsi="Times New Roman" w:cs="Times New Roman"/>
          <w:lang w:val="en-US"/>
        </w:rPr>
        <w:t>.</w:t>
      </w:r>
    </w:p>
    <w:p w14:paraId="3D6A1422" w14:textId="3B3F2922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Note: </w:t>
      </w:r>
      <w:r w:rsidR="000E3768">
        <w:rPr>
          <w:rFonts w:ascii="Times New Roman" w:hAnsi="Times New Roman" w:cs="Times New Roman"/>
          <w:lang w:val="en-US"/>
        </w:rPr>
        <w:t>I</w:t>
      </w:r>
      <w:r w:rsidR="000E3768" w:rsidRPr="00A11022">
        <w:rPr>
          <w:rFonts w:ascii="Times New Roman" w:hAnsi="Times New Roman" w:cs="Times New Roman"/>
          <w:lang w:val="en-US"/>
        </w:rPr>
        <w:t xml:space="preserve">f </w:t>
      </w:r>
      <w:r w:rsidRPr="00A11022">
        <w:rPr>
          <w:rFonts w:ascii="Times New Roman" w:hAnsi="Times New Roman" w:cs="Times New Roman"/>
          <w:lang w:val="en-US"/>
        </w:rPr>
        <w:t xml:space="preserve">a use cannot be classified as residential, commercial or industrial, then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s 2.3(2) and 2.4(2) </w:t>
      </w:r>
      <w:r w:rsidR="00BB13C2">
        <w:rPr>
          <w:rFonts w:ascii="Times New Roman" w:hAnsi="Times New Roman" w:cs="Times New Roman"/>
          <w:lang w:val="en-US"/>
        </w:rPr>
        <w:t>of the Determination will apply</w:t>
      </w:r>
      <w:r w:rsidRPr="00A11022">
        <w:rPr>
          <w:rFonts w:ascii="Times New Roman" w:hAnsi="Times New Roman" w:cs="Times New Roman"/>
          <w:lang w:val="en-US"/>
        </w:rPr>
        <w:t>.</w:t>
      </w:r>
    </w:p>
    <w:p w14:paraId="299341CE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(4) deals with the important issue of timing of PDU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This may be relevant if the description of land uses changes under a planning law while a carrier is in the process of installing a low-impact facility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 xml:space="preserve">The provision makes it clear that the time when PDU is to be determined is the time at which a carrier proposes to issue the first notice to the owner or occupier of land in the area under </w:t>
      </w:r>
      <w:r w:rsidR="009F30E4" w:rsidRPr="008A2C13">
        <w:rPr>
          <w:rFonts w:ascii="Times New Roman" w:hAnsi="Times New Roman" w:cs="Times New Roman"/>
          <w:lang w:val="en-US"/>
        </w:rPr>
        <w:t>Chapter</w:t>
      </w:r>
      <w:r w:rsidR="009F30E4" w:rsidRPr="00C93BC1">
        <w:rPr>
          <w:rFonts w:ascii="Times New Roman" w:hAnsi="Times New Roman" w:cs="Times New Roman"/>
          <w:lang w:val="en-US"/>
        </w:rPr>
        <w:t xml:space="preserve"> </w:t>
      </w:r>
      <w:r w:rsidR="009F30E4">
        <w:rPr>
          <w:rFonts w:ascii="Times New Roman" w:hAnsi="Times New Roman" w:cs="Times New Roman"/>
          <w:lang w:val="en-US"/>
        </w:rPr>
        <w:t>4</w:t>
      </w:r>
      <w:r w:rsidR="009F30E4" w:rsidRPr="00A11022">
        <w:rPr>
          <w:rFonts w:ascii="Times New Roman" w:hAnsi="Times New Roman" w:cs="Times New Roman"/>
          <w:lang w:val="en-US"/>
        </w:rPr>
        <w:t xml:space="preserve"> </w:t>
      </w:r>
      <w:r w:rsidRPr="00A11022">
        <w:rPr>
          <w:rFonts w:ascii="Times New Roman" w:hAnsi="Times New Roman" w:cs="Times New Roman"/>
          <w:lang w:val="en-US"/>
        </w:rPr>
        <w:t xml:space="preserve">of the </w:t>
      </w:r>
      <w:r w:rsidRPr="008A2C13">
        <w:rPr>
          <w:rFonts w:ascii="Times New Roman" w:hAnsi="Times New Roman" w:cs="Times New Roman"/>
          <w:i/>
          <w:lang w:val="en-US"/>
        </w:rPr>
        <w:t xml:space="preserve">Telecommunications Code of Practice </w:t>
      </w:r>
      <w:r w:rsidR="00702F33" w:rsidRPr="008A2C13">
        <w:rPr>
          <w:rFonts w:ascii="Times New Roman" w:hAnsi="Times New Roman" w:cs="Times New Roman"/>
          <w:i/>
          <w:lang w:val="en-US"/>
        </w:rPr>
        <w:t>2018</w:t>
      </w:r>
      <w:r w:rsidRPr="00A11022">
        <w:rPr>
          <w:rFonts w:ascii="Times New Roman" w:hAnsi="Times New Roman" w:cs="Times New Roman"/>
          <w:lang w:val="en-US"/>
        </w:rPr>
        <w:t>.</w:t>
      </w:r>
    </w:p>
    <w:p w14:paraId="1150536E" w14:textId="77777777" w:rsidR="00A11022" w:rsidRPr="008A2C13" w:rsidRDefault="00A1102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PART 2 - AREAS</w:t>
      </w:r>
    </w:p>
    <w:p w14:paraId="519D6366" w14:textId="5619933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In the Schedule, the location of a facility in a particular kind of area can in some cases determine whether or not it is to be regarded as a low-impact facility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This Part sets out the rules for determining the status of such areas.</w:t>
      </w:r>
    </w:p>
    <w:p w14:paraId="1DFB21FD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In effect, the Part establishes a hierarchy of such areas which, in descending order of sensitivity are:</w:t>
      </w:r>
    </w:p>
    <w:p w14:paraId="4653A9E5" w14:textId="77777777" w:rsidR="00A11022" w:rsidRPr="00A11022" w:rsidRDefault="00A110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residential</w:t>
      </w:r>
      <w:r w:rsidR="00BB13C2">
        <w:rPr>
          <w:rFonts w:ascii="Times New Roman" w:hAnsi="Times New Roman" w:cs="Times New Roman"/>
          <w:lang w:val="en-US"/>
        </w:rPr>
        <w:t>,</w:t>
      </w:r>
    </w:p>
    <w:p w14:paraId="12A99EDF" w14:textId="77777777" w:rsidR="00A11022" w:rsidRPr="00A11022" w:rsidRDefault="00A110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commercial</w:t>
      </w:r>
      <w:r w:rsidR="00BB13C2">
        <w:rPr>
          <w:rFonts w:ascii="Times New Roman" w:hAnsi="Times New Roman" w:cs="Times New Roman"/>
          <w:lang w:val="en-US"/>
        </w:rPr>
        <w:t>,</w:t>
      </w:r>
    </w:p>
    <w:p w14:paraId="10407AFA" w14:textId="77777777" w:rsidR="00A11022" w:rsidRPr="00A11022" w:rsidRDefault="00A110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industrial</w:t>
      </w:r>
      <w:r w:rsidR="00BB13C2">
        <w:rPr>
          <w:rFonts w:ascii="Times New Roman" w:hAnsi="Times New Roman" w:cs="Times New Roman"/>
          <w:lang w:val="en-US"/>
        </w:rPr>
        <w:t>,</w:t>
      </w:r>
    </w:p>
    <w:p w14:paraId="14BA7182" w14:textId="77777777" w:rsidR="00A11022" w:rsidRPr="00A11022" w:rsidRDefault="00A110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A11022">
        <w:rPr>
          <w:rFonts w:ascii="Times New Roman" w:hAnsi="Times New Roman" w:cs="Times New Roman"/>
          <w:lang w:val="en-US"/>
        </w:rPr>
        <w:t>rural</w:t>
      </w:r>
      <w:proofErr w:type="gramEnd"/>
      <w:r w:rsidR="00BB13C2">
        <w:rPr>
          <w:rFonts w:ascii="Times New Roman" w:hAnsi="Times New Roman" w:cs="Times New Roman"/>
          <w:lang w:val="en-US"/>
        </w:rPr>
        <w:t>.</w:t>
      </w:r>
    </w:p>
    <w:p w14:paraId="4FA153E7" w14:textId="3B29A74E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The Part relies on the concept of </w:t>
      </w:r>
      <w:r w:rsidR="00BA7778">
        <w:rPr>
          <w:rFonts w:ascii="Times New Roman" w:hAnsi="Times New Roman" w:cs="Times New Roman"/>
          <w:lang w:val="en-US"/>
        </w:rPr>
        <w:t>PDU</w:t>
      </w:r>
      <w:r w:rsidRPr="00A11022">
        <w:rPr>
          <w:rFonts w:ascii="Times New Roman" w:hAnsi="Times New Roman" w:cs="Times New Roman"/>
          <w:lang w:val="en-US"/>
        </w:rPr>
        <w:t xml:space="preserve"> set out in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1.</w:t>
      </w:r>
      <w:r w:rsidR="00BD1DC8">
        <w:rPr>
          <w:rFonts w:ascii="Times New Roman" w:hAnsi="Times New Roman" w:cs="Times New Roman"/>
          <w:lang w:val="en-US"/>
        </w:rPr>
        <w:t>6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The safety net provided by 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>s 2.3(2) and 2.4(2) mean that any area must be capable of falling into one of these four categories.</w:t>
      </w:r>
    </w:p>
    <w:p w14:paraId="7B1CB049" w14:textId="0B18C779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There is, however, a further category which can cut across any of these four categories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 xml:space="preserve">If a facility is in area which is an </w:t>
      </w:r>
      <w:r w:rsidRPr="00BD1DC8">
        <w:rPr>
          <w:rFonts w:ascii="Times New Roman" w:hAnsi="Times New Roman" w:cs="Times New Roman"/>
          <w:lang w:val="en-US"/>
        </w:rPr>
        <w:t>area of environmental significance</w:t>
      </w:r>
      <w:r w:rsidRPr="00A11022">
        <w:rPr>
          <w:rFonts w:ascii="Times New Roman" w:hAnsi="Times New Roman" w:cs="Times New Roman"/>
          <w:lang w:val="en-US"/>
        </w:rPr>
        <w:t xml:space="preserve"> under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2.5, then because of 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3.1(2), a facility can never be regarded as of low-impact, irrespective of its status under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>s 2.1</w:t>
      </w:r>
      <w:r w:rsidR="00BB13C2">
        <w:rPr>
          <w:rFonts w:ascii="Times New Roman" w:hAnsi="Times New Roman" w:cs="Times New Roman"/>
          <w:lang w:val="en-US"/>
        </w:rPr>
        <w:t xml:space="preserve"> to </w:t>
      </w:r>
      <w:r w:rsidRPr="00A11022">
        <w:rPr>
          <w:rFonts w:ascii="Times New Roman" w:hAnsi="Times New Roman" w:cs="Times New Roman"/>
          <w:lang w:val="en-US"/>
        </w:rPr>
        <w:t>2.4.</w:t>
      </w:r>
    </w:p>
    <w:p w14:paraId="16A3EBE4" w14:textId="10AEEDB8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2.1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Commercial area</w:t>
      </w:r>
    </w:p>
    <w:p w14:paraId="299D379C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This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provides that an area is a commercial area if its PDU is for commercial purposes.</w:t>
      </w:r>
    </w:p>
    <w:p w14:paraId="0F6B34D7" w14:textId="5CFDA2A4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2.2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Industrial area</w:t>
      </w:r>
    </w:p>
    <w:p w14:paraId="1ED6D56E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This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provides that an area is an industrial area if its PDU is for industrial purposes.</w:t>
      </w:r>
    </w:p>
    <w:p w14:paraId="32C68EB7" w14:textId="37B797CF" w:rsidR="00A11022" w:rsidRPr="008A2C13" w:rsidRDefault="00B843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US"/>
        </w:rPr>
        <w:br w:type="column"/>
      </w:r>
      <w:r w:rsidR="00E02942" w:rsidRPr="008A2C13">
        <w:rPr>
          <w:rFonts w:ascii="Times New Roman" w:hAnsi="Times New Roman" w:cs="Times New Roman"/>
          <w:b/>
          <w:bCs/>
          <w:lang w:val="en-US"/>
        </w:rPr>
        <w:lastRenderedPageBreak/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2.3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Residential area</w:t>
      </w:r>
    </w:p>
    <w:p w14:paraId="065DCD56" w14:textId="1947A895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(1) provides that an area is </w:t>
      </w:r>
      <w:r w:rsidR="005341C2" w:rsidRPr="00A11022">
        <w:rPr>
          <w:rFonts w:ascii="Times New Roman" w:hAnsi="Times New Roman" w:cs="Times New Roman"/>
          <w:lang w:val="en-US"/>
        </w:rPr>
        <w:t>a</w:t>
      </w:r>
      <w:r w:rsidRPr="00A11022">
        <w:rPr>
          <w:rFonts w:ascii="Times New Roman" w:hAnsi="Times New Roman" w:cs="Times New Roman"/>
          <w:lang w:val="en-US"/>
        </w:rPr>
        <w:t xml:space="preserve"> residential area if its PDU is for residential purposes.</w:t>
      </w:r>
    </w:p>
    <w:p w14:paraId="579B2153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(2) provides that an area which is part of a built-up area is a residential area if it cannot otherwise be described as a commercial, industrial or rural area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“Built-up area” is a commonly understood planning term.</w:t>
      </w:r>
    </w:p>
    <w:p w14:paraId="755A591F" w14:textId="2BB4AE8D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2.4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Rural area</w:t>
      </w:r>
    </w:p>
    <w:p w14:paraId="2619F0A6" w14:textId="4D9931E3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(1) provides that an area is </w:t>
      </w:r>
      <w:r w:rsidR="005341C2" w:rsidRPr="00A11022">
        <w:rPr>
          <w:rFonts w:ascii="Times New Roman" w:hAnsi="Times New Roman" w:cs="Times New Roman"/>
          <w:lang w:val="en-US"/>
        </w:rPr>
        <w:t>a</w:t>
      </w:r>
      <w:r w:rsidRPr="00A11022">
        <w:rPr>
          <w:rFonts w:ascii="Times New Roman" w:hAnsi="Times New Roman" w:cs="Times New Roman"/>
          <w:lang w:val="en-US"/>
        </w:rPr>
        <w:t xml:space="preserve"> rural area if its PDU is for rural purposes.</w:t>
      </w:r>
    </w:p>
    <w:p w14:paraId="4C31E9D8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(2) provides that an area which is not part of a built-up area is a rural area if it cannot otherwise be described as a commercial, industrial or residential area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“Built-up area” is a commonly understood planning term.</w:t>
      </w:r>
    </w:p>
    <w:p w14:paraId="31E4DFA2" w14:textId="100C0DD3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2.5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Area of environmental significance</w:t>
      </w:r>
    </w:p>
    <w:p w14:paraId="34640D5D" w14:textId="77777777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This 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sets out an exhaustive list of the areas which are to be taken as being areas of environmental significance for the purposes of the Determination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These are</w:t>
      </w:r>
      <w:r w:rsidR="00AE3DBC">
        <w:rPr>
          <w:rFonts w:ascii="Times New Roman" w:hAnsi="Times New Roman" w:cs="Times New Roman"/>
          <w:lang w:val="en-US"/>
        </w:rPr>
        <w:t>:</w:t>
      </w:r>
    </w:p>
    <w:p w14:paraId="7D617582" w14:textId="5ABF6D77" w:rsidR="00A11022" w:rsidRPr="00A11022" w:rsidRDefault="00BB13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5350CF">
        <w:rPr>
          <w:rFonts w:ascii="Times New Roman" w:hAnsi="Times New Roman" w:cs="Times New Roman"/>
          <w:lang w:val="en-US"/>
        </w:rPr>
        <w:t xml:space="preserve"> declared World Heritage Property within the meaning of the </w:t>
      </w:r>
      <w:r w:rsidR="005350CF" w:rsidRPr="008A2C13">
        <w:rPr>
          <w:rFonts w:ascii="Times New Roman" w:hAnsi="Times New Roman" w:cs="Times New Roman"/>
          <w:i/>
          <w:lang w:val="en-US"/>
        </w:rPr>
        <w:t>Environment Protection and Biodiversity Conservation Act 1999</w:t>
      </w:r>
      <w:r>
        <w:rPr>
          <w:rFonts w:ascii="Times New Roman" w:hAnsi="Times New Roman" w:cs="Times New Roman"/>
          <w:i/>
          <w:lang w:val="en-US"/>
        </w:rPr>
        <w:t>.</w:t>
      </w:r>
    </w:p>
    <w:p w14:paraId="7811D9B4" w14:textId="3FCAD429" w:rsidR="00BB13C2" w:rsidRPr="00A11022" w:rsidRDefault="00BB13C2" w:rsidP="00566D0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A11022" w:rsidRPr="00A11022">
        <w:rPr>
          <w:rFonts w:ascii="Times New Roman" w:hAnsi="Times New Roman" w:cs="Times New Roman"/>
          <w:lang w:val="en-US"/>
        </w:rPr>
        <w:t xml:space="preserve"> place that Australia is required to protect by the terms of a listed international agreement</w:t>
      </w:r>
      <w:r w:rsidR="00FE207D">
        <w:rPr>
          <w:rFonts w:ascii="Times New Roman" w:hAnsi="Times New Roman" w:cs="Times New Roman"/>
          <w:lang w:val="en-US"/>
        </w:rPr>
        <w:t>.</w:t>
      </w:r>
    </w:p>
    <w:p w14:paraId="7AB9B672" w14:textId="4BA12B39" w:rsidR="007F68A3" w:rsidRPr="006D5BF5" w:rsidRDefault="00BB13C2" w:rsidP="006D5BF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E418D" w:rsidRPr="006D5BF5">
        <w:rPr>
          <w:rFonts w:ascii="Times New Roman" w:hAnsi="Times New Roman" w:cs="Times New Roman"/>
          <w:lang w:val="en-US"/>
        </w:rPr>
        <w:t>n area designated</w:t>
      </w:r>
      <w:r>
        <w:rPr>
          <w:rFonts w:ascii="Times New Roman" w:hAnsi="Times New Roman" w:cs="Times New Roman"/>
          <w:lang w:val="en-US"/>
        </w:rPr>
        <w:t>,</w:t>
      </w:r>
      <w:r w:rsidR="001E418D" w:rsidRPr="006D5BF5">
        <w:rPr>
          <w:rFonts w:ascii="Times New Roman" w:hAnsi="Times New Roman" w:cs="Times New Roman"/>
          <w:lang w:val="en-US"/>
        </w:rPr>
        <w:t xml:space="preserve"> </w:t>
      </w:r>
      <w:r w:rsidR="00A11022" w:rsidRPr="006D5BF5">
        <w:rPr>
          <w:rFonts w:ascii="Times New Roman" w:hAnsi="Times New Roman" w:cs="Times New Roman"/>
          <w:lang w:val="en-US"/>
        </w:rPr>
        <w:t>under a law of the Commonwealth, a State or</w:t>
      </w:r>
      <w:r w:rsidR="007F68A3" w:rsidRPr="006D5BF5">
        <w:rPr>
          <w:rFonts w:ascii="Times New Roman" w:hAnsi="Times New Roman" w:cs="Times New Roman"/>
          <w:lang w:val="en-US"/>
        </w:rPr>
        <w:t xml:space="preserve"> a</w:t>
      </w:r>
      <w:r w:rsidR="00A11022" w:rsidRPr="006D5BF5">
        <w:rPr>
          <w:rFonts w:ascii="Times New Roman" w:hAnsi="Times New Roman" w:cs="Times New Roman"/>
          <w:lang w:val="en-US"/>
        </w:rPr>
        <w:t xml:space="preserve"> Territory</w:t>
      </w:r>
      <w:r>
        <w:rPr>
          <w:rFonts w:ascii="Times New Roman" w:hAnsi="Times New Roman" w:cs="Times New Roman"/>
          <w:lang w:val="en-US"/>
        </w:rPr>
        <w:t>,</w:t>
      </w:r>
      <w:r w:rsidR="001E418D" w:rsidRPr="006D5BF5">
        <w:rPr>
          <w:rFonts w:ascii="Times New Roman" w:hAnsi="Times New Roman" w:cs="Times New Roman"/>
          <w:lang w:val="en-US"/>
        </w:rPr>
        <w:t xml:space="preserve"> </w:t>
      </w:r>
      <w:r w:rsidR="007F68A3" w:rsidRPr="006D5BF5">
        <w:rPr>
          <w:rFonts w:ascii="Times New Roman" w:hAnsi="Times New Roman" w:cs="Times New Roman"/>
          <w:lang w:val="en-US"/>
        </w:rPr>
        <w:t>as a reserve for nature conservation purposes; and</w:t>
      </w:r>
      <w:r w:rsidR="001E418D" w:rsidRPr="006D5BF5">
        <w:rPr>
          <w:rFonts w:ascii="Times New Roman" w:hAnsi="Times New Roman" w:cs="Times New Roman"/>
          <w:lang w:val="en-US"/>
        </w:rPr>
        <w:t xml:space="preserve"> its </w:t>
      </w:r>
      <w:r w:rsidR="007F68A3" w:rsidRPr="006D5BF5">
        <w:rPr>
          <w:rFonts w:ascii="Times New Roman" w:hAnsi="Times New Roman" w:cs="Times New Roman"/>
          <w:lang w:val="en-US"/>
        </w:rPr>
        <w:t>principal purpose is for nature conservation</w:t>
      </w:r>
      <w:r>
        <w:rPr>
          <w:rFonts w:ascii="Times New Roman" w:hAnsi="Times New Roman" w:cs="Times New Roman"/>
          <w:lang w:val="en-US"/>
        </w:rPr>
        <w:t>.</w:t>
      </w:r>
    </w:p>
    <w:p w14:paraId="419919FE" w14:textId="67B60EC5" w:rsidR="00A11022" w:rsidRPr="00A11022" w:rsidRDefault="00BB13C2" w:rsidP="00566D0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A11022" w:rsidRPr="00A11022">
        <w:rPr>
          <w:rFonts w:ascii="Times New Roman" w:hAnsi="Times New Roman" w:cs="Times New Roman"/>
          <w:lang w:val="en-US"/>
        </w:rPr>
        <w:t>n area that, under a law of the Commonwealth, or a State or Territory, is protected from significant environmental disturbance</w:t>
      </w:r>
      <w:r>
        <w:rPr>
          <w:rFonts w:ascii="Times New Roman" w:hAnsi="Times New Roman" w:cs="Times New Roman"/>
          <w:lang w:val="en-US"/>
        </w:rPr>
        <w:t>.</w:t>
      </w:r>
    </w:p>
    <w:p w14:paraId="2986F260" w14:textId="0D3AB186" w:rsidR="00A11022" w:rsidRPr="00A11022" w:rsidRDefault="00BB13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1E418D">
        <w:rPr>
          <w:rFonts w:ascii="Times New Roman" w:hAnsi="Times New Roman" w:cs="Times New Roman"/>
          <w:lang w:val="en-US"/>
        </w:rPr>
        <w:t xml:space="preserve">n area </w:t>
      </w:r>
      <w:r w:rsidR="00A11022" w:rsidRPr="00A11022">
        <w:rPr>
          <w:rFonts w:ascii="Times New Roman" w:hAnsi="Times New Roman" w:cs="Times New Roman"/>
          <w:lang w:val="en-US"/>
        </w:rPr>
        <w:t>entered in the Register of the National Estate or the Interim List for that Register</w:t>
      </w:r>
      <w:r w:rsidR="001E4670">
        <w:rPr>
          <w:rFonts w:ascii="Times New Roman" w:hAnsi="Times New Roman" w:cs="Times New Roman"/>
          <w:lang w:val="en-US"/>
        </w:rPr>
        <w:t>.</w:t>
      </w:r>
    </w:p>
    <w:p w14:paraId="390D2331" w14:textId="29DD5E98" w:rsidR="007F68A3" w:rsidRPr="008A2C13" w:rsidRDefault="00BB13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7F68A3">
        <w:rPr>
          <w:rFonts w:ascii="Times New Roman" w:hAnsi="Times New Roman" w:cs="Times New Roman"/>
          <w:lang w:val="en-US"/>
        </w:rPr>
        <w:t xml:space="preserve"> place, building or thing</w:t>
      </w:r>
      <w:r w:rsidR="001E4670">
        <w:rPr>
          <w:rFonts w:ascii="Times New Roman" w:hAnsi="Times New Roman" w:cs="Times New Roman"/>
          <w:lang w:val="en-US"/>
        </w:rPr>
        <w:t>,</w:t>
      </w:r>
      <w:r w:rsidR="001E4670" w:rsidRPr="001E4670">
        <w:rPr>
          <w:rFonts w:ascii="Times New Roman" w:hAnsi="Times New Roman" w:cs="Times New Roman"/>
          <w:lang w:val="en-US"/>
        </w:rPr>
        <w:t xml:space="preserve"> </w:t>
      </w:r>
      <w:r w:rsidR="001E4670">
        <w:rPr>
          <w:rFonts w:ascii="Times New Roman" w:hAnsi="Times New Roman" w:cs="Times New Roman"/>
          <w:lang w:val="en-US"/>
        </w:rPr>
        <w:t>under a law of the Commonwealth, a State or a Territory,</w:t>
      </w:r>
      <w:r w:rsidR="007F68A3">
        <w:rPr>
          <w:rFonts w:ascii="Times New Roman" w:hAnsi="Times New Roman" w:cs="Times New Roman"/>
          <w:lang w:val="en-US"/>
        </w:rPr>
        <w:t xml:space="preserve"> entered in a register relating to heritage conservation</w:t>
      </w:r>
      <w:r>
        <w:rPr>
          <w:rFonts w:ascii="Times New Roman" w:hAnsi="Times New Roman" w:cs="Times New Roman"/>
          <w:lang w:val="en-US"/>
        </w:rPr>
        <w:t>.</w:t>
      </w:r>
    </w:p>
    <w:p w14:paraId="480BF23B" w14:textId="60422ADF" w:rsidR="00A11022" w:rsidRPr="00C93BC1" w:rsidRDefault="00BB13C2">
      <w:pPr>
        <w:pStyle w:val="ListParagraph"/>
        <w:numPr>
          <w:ilvl w:val="0"/>
          <w:numId w:val="15"/>
        </w:numPr>
      </w:pPr>
      <w:r>
        <w:rPr>
          <w:rFonts w:ascii="Times New Roman" w:hAnsi="Times New Roman" w:cs="Times New Roman"/>
          <w:lang w:val="en-US"/>
        </w:rPr>
        <w:t>A</w:t>
      </w:r>
      <w:r w:rsidR="001E418D">
        <w:rPr>
          <w:rFonts w:ascii="Times New Roman" w:hAnsi="Times New Roman" w:cs="Times New Roman"/>
          <w:lang w:val="en-US"/>
        </w:rPr>
        <w:t>n area</w:t>
      </w:r>
      <w:r w:rsidR="007F68A3">
        <w:rPr>
          <w:rFonts w:ascii="Times New Roman" w:hAnsi="Times New Roman" w:cs="Times New Roman"/>
          <w:lang w:val="en-US"/>
        </w:rPr>
        <w:t xml:space="preserve">, under a law of the Commonwealth, a State or a Territory, </w:t>
      </w:r>
      <w:r w:rsidR="007F68A3" w:rsidRPr="008A2C13">
        <w:rPr>
          <w:rFonts w:ascii="Times New Roman" w:hAnsi="Times New Roman" w:cs="Times New Roman"/>
          <w:lang w:val="en-US"/>
        </w:rPr>
        <w:t>entered in a register or</w:t>
      </w:r>
      <w:r w:rsidR="00F93719">
        <w:rPr>
          <w:rFonts w:ascii="Times New Roman" w:hAnsi="Times New Roman" w:cs="Times New Roman"/>
          <w:lang w:val="en-US"/>
        </w:rPr>
        <w:t xml:space="preserve"> is</w:t>
      </w:r>
      <w:r w:rsidR="00F3208C">
        <w:rPr>
          <w:rFonts w:ascii="Times New Roman" w:hAnsi="Times New Roman" w:cs="Times New Roman"/>
          <w:lang w:val="en-US"/>
        </w:rPr>
        <w:t xml:space="preserve"> </w:t>
      </w:r>
      <w:r w:rsidR="007F68A3" w:rsidRPr="008A2C13">
        <w:rPr>
          <w:rFonts w:ascii="Times New Roman" w:hAnsi="Times New Roman" w:cs="Times New Roman"/>
          <w:lang w:val="en-US"/>
        </w:rPr>
        <w:t>otherwise identified</w:t>
      </w:r>
      <w:r w:rsidR="004C6A87">
        <w:rPr>
          <w:rFonts w:ascii="Times New Roman" w:hAnsi="Times New Roman" w:cs="Times New Roman"/>
          <w:lang w:val="en-US"/>
        </w:rPr>
        <w:t>,</w:t>
      </w:r>
      <w:r w:rsidR="00F3208C">
        <w:rPr>
          <w:rFonts w:ascii="Times New Roman" w:hAnsi="Times New Roman" w:cs="Times New Roman"/>
          <w:lang w:val="en-US"/>
        </w:rPr>
        <w:t xml:space="preserve"> </w:t>
      </w:r>
      <w:r w:rsidR="007F68A3" w:rsidRPr="008A2C13">
        <w:rPr>
          <w:rFonts w:ascii="Times New Roman" w:hAnsi="Times New Roman" w:cs="Times New Roman"/>
          <w:lang w:val="en-US"/>
        </w:rPr>
        <w:t>as being</w:t>
      </w:r>
      <w:r w:rsidR="00A11022" w:rsidRPr="008A2C13">
        <w:rPr>
          <w:rFonts w:ascii="Times New Roman" w:hAnsi="Times New Roman" w:cs="Times New Roman"/>
          <w:lang w:val="en-US"/>
        </w:rPr>
        <w:t xml:space="preserve"> of significance to Aboriginal persons or Torres Strait Islanders, in accordance with their traditions.</w:t>
      </w:r>
    </w:p>
    <w:p w14:paraId="0D589CB3" w14:textId="77777777" w:rsidR="00A11022" w:rsidRPr="008A2C13" w:rsidRDefault="00A1102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PART 3 - LOW-IMPACT FACILITIES</w:t>
      </w:r>
    </w:p>
    <w:p w14:paraId="1B803BA6" w14:textId="36149DA8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This Part sets out the rules for interpreting the Schedule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The Schedule contains a list of facilities and the circumstances under which they are to be regarded as being low-impact.</w:t>
      </w:r>
    </w:p>
    <w:p w14:paraId="217D00C2" w14:textId="33982CF6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3.1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Facilities</w:t>
      </w:r>
    </w:p>
    <w:p w14:paraId="5392E7D2" w14:textId="7001B60D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(1) describes the operation of the Schedule which is a matrix with </w:t>
      </w:r>
      <w:r w:rsidR="001E4670">
        <w:rPr>
          <w:rFonts w:ascii="Times New Roman" w:hAnsi="Times New Roman" w:cs="Times New Roman"/>
          <w:lang w:val="en-US"/>
        </w:rPr>
        <w:t>two</w:t>
      </w:r>
      <w:r w:rsidR="001E4670" w:rsidRPr="00A11022">
        <w:rPr>
          <w:rFonts w:ascii="Times New Roman" w:hAnsi="Times New Roman" w:cs="Times New Roman"/>
          <w:lang w:val="en-US"/>
        </w:rPr>
        <w:t xml:space="preserve"> </w:t>
      </w:r>
      <w:r w:rsidRPr="00A11022">
        <w:rPr>
          <w:rFonts w:ascii="Times New Roman" w:hAnsi="Times New Roman" w:cs="Times New Roman"/>
          <w:lang w:val="en-US"/>
        </w:rPr>
        <w:t>operative</w:t>
      </w:r>
      <w:r w:rsidR="00F3208C">
        <w:rPr>
          <w:rFonts w:ascii="Times New Roman" w:hAnsi="Times New Roman" w:cs="Times New Roman"/>
          <w:lang w:val="en-US"/>
        </w:rPr>
        <w:t xml:space="preserve"> columns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Column 2 contains a list of facilities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Column 3 sets out the normal circumstances in which those facilities are to be taken to be low-impact.</w:t>
      </w:r>
    </w:p>
    <w:p w14:paraId="45D438DB" w14:textId="233FC84D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(2) sets out the exception to the rules in 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(1)</w:t>
      </w:r>
      <w:r w:rsidR="00F24BD0">
        <w:rPr>
          <w:rFonts w:ascii="Times New Roman" w:hAnsi="Times New Roman" w:cs="Times New Roman"/>
          <w:lang w:val="en-US"/>
        </w:rPr>
        <w:t>,</w:t>
      </w:r>
      <w:r w:rsidRPr="00A11022">
        <w:rPr>
          <w:rFonts w:ascii="Times New Roman" w:hAnsi="Times New Roman" w:cs="Times New Roman"/>
          <w:lang w:val="en-US"/>
        </w:rPr>
        <w:t xml:space="preserve"> which is that if the facility is in an area of environmental significance, then it is not low-impact.</w:t>
      </w:r>
    </w:p>
    <w:p w14:paraId="79961407" w14:textId="24771A56" w:rsidR="00A11022" w:rsidRDefault="00A11022">
      <w:pPr>
        <w:rPr>
          <w:rFonts w:ascii="Times New Roman" w:hAnsi="Times New Roman" w:cs="Times New Roman"/>
          <w:lang w:val="en-US"/>
        </w:rPr>
      </w:pPr>
      <w:r w:rsidRPr="00A11022">
        <w:rPr>
          <w:rFonts w:ascii="Times New Roman" w:hAnsi="Times New Roman" w:cs="Times New Roman"/>
          <w:lang w:val="en-US"/>
        </w:rPr>
        <w:t>Sub</w:t>
      </w:r>
      <w:r w:rsidR="00E02942">
        <w:rPr>
          <w:rFonts w:ascii="Times New Roman" w:hAnsi="Times New Roman" w:cs="Times New Roman"/>
          <w:lang w:val="en-US"/>
        </w:rPr>
        <w:t>section</w:t>
      </w:r>
      <w:r w:rsidRPr="00A11022">
        <w:rPr>
          <w:rFonts w:ascii="Times New Roman" w:hAnsi="Times New Roman" w:cs="Times New Roman"/>
          <w:lang w:val="en-US"/>
        </w:rPr>
        <w:t xml:space="preserve"> (3) establishes a de </w:t>
      </w:r>
      <w:proofErr w:type="spellStart"/>
      <w:r w:rsidRPr="00A11022">
        <w:rPr>
          <w:rFonts w:ascii="Times New Roman" w:hAnsi="Times New Roman" w:cs="Times New Roman"/>
          <w:lang w:val="en-US"/>
        </w:rPr>
        <w:t>minimis</w:t>
      </w:r>
      <w:proofErr w:type="spellEnd"/>
      <w:r w:rsidRPr="00A11022">
        <w:rPr>
          <w:rFonts w:ascii="Times New Roman" w:hAnsi="Times New Roman" w:cs="Times New Roman"/>
          <w:lang w:val="en-US"/>
        </w:rPr>
        <w:t xml:space="preserve"> rule for the dimensions and other measurements set out in the Schedule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A11022">
        <w:rPr>
          <w:rFonts w:ascii="Times New Roman" w:hAnsi="Times New Roman" w:cs="Times New Roman"/>
          <w:lang w:val="en-US"/>
        </w:rPr>
        <w:t>It requires that trivial variations for a facility mentioned in the Schedule are to be ignored.</w:t>
      </w:r>
    </w:p>
    <w:p w14:paraId="0D8B5505" w14:textId="77777777" w:rsidR="00C93BC1" w:rsidRDefault="00084D3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Subsection (4) </w:t>
      </w:r>
      <w:r w:rsidR="00C93BC1">
        <w:rPr>
          <w:rFonts w:ascii="Times New Roman" w:hAnsi="Times New Roman" w:cs="Times New Roman"/>
          <w:lang w:val="en-US"/>
        </w:rPr>
        <w:t>establishes that an</w:t>
      </w:r>
      <w:r w:rsidR="007617C0">
        <w:rPr>
          <w:rFonts w:ascii="Times New Roman" w:hAnsi="Times New Roman" w:cs="Times New Roman"/>
          <w:lang w:val="en-US"/>
        </w:rPr>
        <w:t xml:space="preserve"> ancillary facilit</w:t>
      </w:r>
      <w:r w:rsidR="00C93BC1">
        <w:rPr>
          <w:rFonts w:ascii="Times New Roman" w:hAnsi="Times New Roman" w:cs="Times New Roman"/>
          <w:lang w:val="en-US"/>
        </w:rPr>
        <w:t>y may be a low-impact facility in certain circumstances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C93BC1">
        <w:rPr>
          <w:rFonts w:ascii="Times New Roman" w:hAnsi="Times New Roman" w:cs="Times New Roman"/>
          <w:lang w:val="en-US"/>
        </w:rPr>
        <w:t>Those circumstances are where the ancillary facility is:</w:t>
      </w:r>
    </w:p>
    <w:p w14:paraId="354959B0" w14:textId="35D1E7FD" w:rsidR="00C93BC1" w:rsidRDefault="001E46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N</w:t>
      </w:r>
      <w:r w:rsidRPr="008A2C13">
        <w:rPr>
          <w:rFonts w:ascii="Times New Roman" w:hAnsi="Times New Roman" w:cs="Times New Roman"/>
          <w:lang w:val="en-US"/>
        </w:rPr>
        <w:t xml:space="preserve">ecessary </w:t>
      </w:r>
      <w:r w:rsidR="00C93BC1" w:rsidRPr="008A2C13">
        <w:rPr>
          <w:rFonts w:ascii="Times New Roman" w:hAnsi="Times New Roman" w:cs="Times New Roman"/>
          <w:lang w:val="en-US"/>
        </w:rPr>
        <w:t>for the operation or proper functioning of the low-impact facility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C93BC1">
        <w:rPr>
          <w:rFonts w:ascii="Times New Roman" w:hAnsi="Times New Roman" w:cs="Times New Roman"/>
          <w:lang w:val="en-US"/>
        </w:rPr>
        <w:t xml:space="preserve">For example, </w:t>
      </w:r>
      <w:r w:rsidR="00C93BC1" w:rsidRPr="00EB6CF9">
        <w:rPr>
          <w:rFonts w:ascii="Times New Roman" w:hAnsi="Times New Roman" w:cs="Times New Roman"/>
          <w:lang w:val="en-US"/>
        </w:rPr>
        <w:t xml:space="preserve">cabling leading from </w:t>
      </w:r>
      <w:r w:rsidR="00C93BC1">
        <w:rPr>
          <w:rFonts w:ascii="Times New Roman" w:hAnsi="Times New Roman" w:cs="Times New Roman"/>
          <w:lang w:val="en-US"/>
        </w:rPr>
        <w:t>a low-impact</w:t>
      </w:r>
      <w:r w:rsidR="00C93BC1" w:rsidRPr="00EB6CF9">
        <w:rPr>
          <w:rFonts w:ascii="Times New Roman" w:hAnsi="Times New Roman" w:cs="Times New Roman"/>
          <w:lang w:val="en-US"/>
        </w:rPr>
        <w:t xml:space="preserve"> antenna to a power source, and other associated equipment necessary for the operation of the antenna</w:t>
      </w:r>
      <w:r>
        <w:rPr>
          <w:rFonts w:ascii="Times New Roman" w:hAnsi="Times New Roman" w:cs="Times New Roman"/>
          <w:lang w:val="en-US"/>
        </w:rPr>
        <w:t>.</w:t>
      </w:r>
    </w:p>
    <w:p w14:paraId="5A02899B" w14:textId="19361E4B" w:rsidR="00C93BC1" w:rsidRDefault="001E46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r w:rsidR="00C93BC1">
        <w:rPr>
          <w:rFonts w:ascii="Times New Roman" w:hAnsi="Times New Roman" w:cs="Times New Roman"/>
          <w:lang w:val="en-US"/>
        </w:rPr>
        <w:t>new shroud</w:t>
      </w:r>
      <w:r w:rsidR="00C93BC1" w:rsidRPr="00C93BC1">
        <w:rPr>
          <w:rFonts w:ascii="Times New Roman" w:hAnsi="Times New Roman" w:cs="Times New Roman"/>
          <w:lang w:val="en-US"/>
        </w:rPr>
        <w:t xml:space="preserve"> installed over a low</w:t>
      </w:r>
      <w:r w:rsidR="00724439">
        <w:rPr>
          <w:rFonts w:ascii="Times New Roman" w:hAnsi="Times New Roman" w:cs="Times New Roman"/>
          <w:lang w:val="en-US"/>
        </w:rPr>
        <w:t>-</w:t>
      </w:r>
      <w:r w:rsidR="00C93BC1" w:rsidRPr="00C93BC1">
        <w:rPr>
          <w:rFonts w:ascii="Times New Roman" w:hAnsi="Times New Roman" w:cs="Times New Roman"/>
          <w:lang w:val="en-US"/>
        </w:rPr>
        <w:t xml:space="preserve">impact facility that </w:t>
      </w:r>
      <w:r w:rsidR="00C93BC1">
        <w:rPr>
          <w:rFonts w:ascii="Times New Roman" w:hAnsi="Times New Roman" w:cs="Times New Roman"/>
          <w:lang w:val="en-US"/>
        </w:rPr>
        <w:t>is</w:t>
      </w:r>
      <w:r w:rsidR="00C93BC1" w:rsidRPr="00C93BC1">
        <w:rPr>
          <w:rFonts w:ascii="Times New Roman" w:hAnsi="Times New Roman" w:cs="Times New Roman"/>
          <w:lang w:val="en-US"/>
        </w:rPr>
        <w:t xml:space="preserve"> intended to minimize the visual amenity impact of the low-impact facility and </w:t>
      </w:r>
      <w:r w:rsidR="00C93BC1">
        <w:rPr>
          <w:rFonts w:ascii="Times New Roman" w:hAnsi="Times New Roman" w:cs="Times New Roman"/>
          <w:lang w:val="en-US"/>
        </w:rPr>
        <w:t>is</w:t>
      </w:r>
      <w:r w:rsidR="00C93BC1" w:rsidRPr="00C93BC1">
        <w:rPr>
          <w:rFonts w:ascii="Times New Roman" w:hAnsi="Times New Roman" w:cs="Times New Roman"/>
          <w:lang w:val="en-US"/>
        </w:rPr>
        <w:t xml:space="preserve"> colour-matched to the background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0279B7">
        <w:rPr>
          <w:rFonts w:ascii="Times New Roman" w:hAnsi="Times New Roman" w:cs="Times New Roman"/>
          <w:lang w:val="en-US"/>
        </w:rPr>
        <w:t xml:space="preserve">For example, </w:t>
      </w:r>
      <w:r w:rsidR="00724439">
        <w:rPr>
          <w:rFonts w:ascii="Times New Roman" w:hAnsi="Times New Roman" w:cs="Times New Roman"/>
          <w:lang w:val="en-US"/>
        </w:rPr>
        <w:t xml:space="preserve">a </w:t>
      </w:r>
      <w:r w:rsidR="000279B7">
        <w:rPr>
          <w:rFonts w:ascii="Times New Roman" w:hAnsi="Times New Roman" w:cs="Times New Roman"/>
          <w:lang w:val="en-US"/>
        </w:rPr>
        <w:t xml:space="preserve">radio shroud used to screen </w:t>
      </w:r>
      <w:r w:rsidR="00724439">
        <w:rPr>
          <w:rFonts w:ascii="Times New Roman" w:hAnsi="Times New Roman" w:cs="Times New Roman"/>
          <w:lang w:val="en-US"/>
        </w:rPr>
        <w:t>a new mobile base station</w:t>
      </w:r>
      <w:r>
        <w:rPr>
          <w:rFonts w:ascii="Times New Roman" w:hAnsi="Times New Roman" w:cs="Times New Roman"/>
          <w:lang w:val="en-US"/>
        </w:rPr>
        <w:t>.</w:t>
      </w:r>
    </w:p>
    <w:p w14:paraId="2E65E2E4" w14:textId="4C34E6D5" w:rsidR="00C93BC1" w:rsidRPr="008A2C13" w:rsidRDefault="001E46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Pr="000279B7">
        <w:rPr>
          <w:rFonts w:ascii="Times New Roman" w:hAnsi="Times New Roman" w:cs="Times New Roman"/>
          <w:lang w:val="en-US"/>
        </w:rPr>
        <w:t xml:space="preserve">sed </w:t>
      </w:r>
      <w:r w:rsidR="000279B7" w:rsidRPr="000279B7">
        <w:rPr>
          <w:rFonts w:ascii="Times New Roman" w:hAnsi="Times New Roman" w:cs="Times New Roman"/>
          <w:lang w:val="en-US"/>
        </w:rPr>
        <w:t>to protect a telecommunications facility from damage, and technicians and the general public from injury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="000279B7">
        <w:rPr>
          <w:rFonts w:ascii="Times New Roman" w:hAnsi="Times New Roman" w:cs="Times New Roman"/>
          <w:lang w:val="en-US"/>
        </w:rPr>
        <w:t xml:space="preserve">For example, </w:t>
      </w:r>
      <w:r w:rsidR="000279B7" w:rsidRPr="007617C0">
        <w:rPr>
          <w:rFonts w:ascii="Times New Roman" w:hAnsi="Times New Roman" w:cs="Times New Roman"/>
          <w:lang w:val="en-US"/>
        </w:rPr>
        <w:t>facil</w:t>
      </w:r>
      <w:r w:rsidR="000279B7">
        <w:rPr>
          <w:rFonts w:ascii="Times New Roman" w:hAnsi="Times New Roman" w:cs="Times New Roman"/>
          <w:lang w:val="en-US"/>
        </w:rPr>
        <w:t>ities such as security fences or</w:t>
      </w:r>
      <w:r w:rsidR="000279B7" w:rsidRPr="007617C0">
        <w:rPr>
          <w:rFonts w:ascii="Times New Roman" w:hAnsi="Times New Roman" w:cs="Times New Roman"/>
          <w:lang w:val="en-US"/>
        </w:rPr>
        <w:t xml:space="preserve"> facility supports designed to elevate a low-impact facility above potentia</w:t>
      </w:r>
      <w:r w:rsidR="000279B7">
        <w:rPr>
          <w:rFonts w:ascii="Times New Roman" w:hAnsi="Times New Roman" w:cs="Times New Roman"/>
          <w:lang w:val="en-US"/>
        </w:rPr>
        <w:t>l flood levels in rural areas.</w:t>
      </w:r>
    </w:p>
    <w:p w14:paraId="15BE07AB" w14:textId="77777777" w:rsidR="00C93BC1" w:rsidRPr="008A2C13" w:rsidRDefault="00C93BC1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SCHEDULE – FACILITIES AND AREAS</w:t>
      </w:r>
    </w:p>
    <w:p w14:paraId="3638DF7F" w14:textId="3690EB11" w:rsidR="00C93BC1" w:rsidRDefault="00C93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described in </w:t>
      </w:r>
      <w:r w:rsidR="00724439">
        <w:rPr>
          <w:rFonts w:ascii="Times New Roman" w:hAnsi="Times New Roman" w:cs="Times New Roman"/>
        </w:rPr>
        <w:t xml:space="preserve">subsection </w:t>
      </w:r>
      <w:r>
        <w:rPr>
          <w:rFonts w:ascii="Times New Roman" w:hAnsi="Times New Roman" w:cs="Times New Roman"/>
        </w:rPr>
        <w:t xml:space="preserve">3.1(1), the Schedule contains a description of facilities and the </w:t>
      </w:r>
      <w:r w:rsidR="002953DE">
        <w:rPr>
          <w:rFonts w:ascii="Times New Roman" w:hAnsi="Times New Roman" w:cs="Times New Roman"/>
        </w:rPr>
        <w:t xml:space="preserve">PDU </w:t>
      </w:r>
      <w:r>
        <w:rPr>
          <w:rFonts w:ascii="Times New Roman" w:hAnsi="Times New Roman" w:cs="Times New Roman"/>
        </w:rPr>
        <w:t xml:space="preserve">areas in which they can be </w:t>
      </w:r>
      <w:r w:rsidR="002953DE">
        <w:rPr>
          <w:rFonts w:ascii="Times New Roman" w:hAnsi="Times New Roman" w:cs="Times New Roman"/>
        </w:rPr>
        <w:t>low-impact facilities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areas are described in Part 2</w:t>
      </w:r>
      <w:r w:rsidR="00C6448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categories of facilities </w:t>
      </w:r>
      <w:r w:rsidR="001E418D">
        <w:rPr>
          <w:rFonts w:ascii="Times New Roman" w:hAnsi="Times New Roman" w:cs="Times New Roman"/>
        </w:rPr>
        <w:t xml:space="preserve">set out in the </w:t>
      </w:r>
      <w:r>
        <w:rPr>
          <w:rFonts w:ascii="Times New Roman" w:hAnsi="Times New Roman" w:cs="Times New Roman"/>
        </w:rPr>
        <w:t xml:space="preserve">Schedule </w:t>
      </w:r>
      <w:r w:rsidR="001E418D">
        <w:rPr>
          <w:rFonts w:ascii="Times New Roman" w:hAnsi="Times New Roman" w:cs="Times New Roman"/>
        </w:rPr>
        <w:t>cover</w:t>
      </w:r>
      <w:r>
        <w:rPr>
          <w:rFonts w:ascii="Times New Roman" w:hAnsi="Times New Roman" w:cs="Times New Roman"/>
        </w:rPr>
        <w:t>:</w:t>
      </w:r>
    </w:p>
    <w:p w14:paraId="3EE2E3B4" w14:textId="77777777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1 – Radio facilities</w:t>
      </w:r>
    </w:p>
    <w:p w14:paraId="21463EB1" w14:textId="77777777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2 – Underground housing</w:t>
      </w:r>
    </w:p>
    <w:p w14:paraId="1EDFDF06" w14:textId="77777777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3 – Above ground housing</w:t>
      </w:r>
    </w:p>
    <w:p w14:paraId="0D7BB10A" w14:textId="77777777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4 – Underground facilities (for fixed-line networks)</w:t>
      </w:r>
    </w:p>
    <w:p w14:paraId="5D438786" w14:textId="7096CB28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</w:t>
      </w:r>
      <w:r w:rsidR="00D351F5">
        <w:rPr>
          <w:rFonts w:ascii="Times New Roman" w:hAnsi="Times New Roman" w:cs="Times New Roman"/>
        </w:rPr>
        <w:t>5</w:t>
      </w:r>
      <w:r w:rsidR="00FE2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Above ground facilities (for fixed-line networks)</w:t>
      </w:r>
    </w:p>
    <w:p w14:paraId="02B3170B" w14:textId="63FCB185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</w:t>
      </w:r>
      <w:r w:rsidR="00D351F5">
        <w:rPr>
          <w:rFonts w:ascii="Times New Roman" w:hAnsi="Times New Roman" w:cs="Times New Roman"/>
        </w:rPr>
        <w:t>6</w:t>
      </w:r>
      <w:r w:rsidR="00FE2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Public payphones</w:t>
      </w:r>
    </w:p>
    <w:p w14:paraId="2B87C209" w14:textId="70331C0C" w:rsidR="00C93BC1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</w:t>
      </w:r>
      <w:r w:rsidR="00D351F5">
        <w:rPr>
          <w:rFonts w:ascii="Times New Roman" w:hAnsi="Times New Roman" w:cs="Times New Roman"/>
        </w:rPr>
        <w:t>7</w:t>
      </w:r>
      <w:r w:rsidR="00FE2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Emergency facilities</w:t>
      </w:r>
    </w:p>
    <w:p w14:paraId="122BA03A" w14:textId="73C7E54D" w:rsidR="00264D73" w:rsidRDefault="00C93B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</w:t>
      </w:r>
      <w:r w:rsidR="00D351F5">
        <w:rPr>
          <w:rFonts w:ascii="Times New Roman" w:hAnsi="Times New Roman" w:cs="Times New Roman"/>
        </w:rPr>
        <w:t>8</w:t>
      </w:r>
      <w:r w:rsidR="00FE2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Co-located facilities</w:t>
      </w:r>
    </w:p>
    <w:p w14:paraId="2EAE8A18" w14:textId="3B477772" w:rsidR="00D8542B" w:rsidRDefault="00B84319" w:rsidP="00D8542B">
      <w:pPr>
        <w:shd w:val="clear" w:color="auto" w:fill="FFFFFF"/>
        <w:spacing w:line="240" w:lineRule="auto"/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Classes of faci</w:t>
      </w:r>
      <w:r w:rsidR="001E418D">
        <w:rPr>
          <w:rFonts w:ascii="Times New Roman" w:hAnsi="Times New Roman" w:cs="Times New Roman"/>
        </w:rPr>
        <w:t xml:space="preserve">lities are specified </w:t>
      </w:r>
      <w:r w:rsidR="001E4670">
        <w:rPr>
          <w:rFonts w:ascii="Times New Roman" w:hAnsi="Times New Roman" w:cs="Times New Roman"/>
        </w:rPr>
        <w:t xml:space="preserve">in the table </w:t>
      </w:r>
      <w:r w:rsidR="001E418D">
        <w:rPr>
          <w:rFonts w:ascii="Times New Roman" w:hAnsi="Times New Roman" w:cs="Times New Roman"/>
        </w:rPr>
        <w:t xml:space="preserve">by type </w:t>
      </w:r>
      <w:r>
        <w:rPr>
          <w:rFonts w:ascii="Times New Roman" w:hAnsi="Times New Roman" w:cs="Times New Roman"/>
        </w:rPr>
        <w:t>and</w:t>
      </w:r>
      <w:r w:rsidR="001E4670">
        <w:rPr>
          <w:rFonts w:ascii="Times New Roman" w:hAnsi="Times New Roman" w:cs="Times New Roman"/>
        </w:rPr>
        <w:t xml:space="preserve"> the </w:t>
      </w:r>
      <w:r w:rsidR="002953DE">
        <w:rPr>
          <w:rFonts w:ascii="Times New Roman" w:hAnsi="Times New Roman" w:cs="Times New Roman"/>
        </w:rPr>
        <w:t xml:space="preserve">PDU </w:t>
      </w:r>
      <w:r w:rsidR="001E4670">
        <w:rPr>
          <w:rFonts w:ascii="Times New Roman" w:hAnsi="Times New Roman" w:cs="Times New Roman"/>
        </w:rPr>
        <w:t>areas</w:t>
      </w:r>
      <w:r>
        <w:rPr>
          <w:rFonts w:ascii="Times New Roman" w:hAnsi="Times New Roman" w:cs="Times New Roman"/>
        </w:rPr>
        <w:t xml:space="preserve"> </w:t>
      </w:r>
      <w:r w:rsidR="002953DE">
        <w:rPr>
          <w:rFonts w:ascii="Times New Roman" w:hAnsi="Times New Roman" w:cs="Times New Roman"/>
        </w:rPr>
        <w:t>in</w:t>
      </w:r>
      <w:r w:rsidR="001E4670">
        <w:rPr>
          <w:rFonts w:ascii="Times New Roman" w:hAnsi="Times New Roman" w:cs="Times New Roman"/>
        </w:rPr>
        <w:t xml:space="preserve"> which the facility can be low-impact.</w:t>
      </w:r>
      <w:r>
        <w:rPr>
          <w:rFonts w:ascii="Times New Roman" w:hAnsi="Times New Roman" w:cs="Times New Roman"/>
        </w:rPr>
        <w:t xml:space="preserve">  Most items include </w:t>
      </w:r>
      <w:r w:rsidR="002953DE">
        <w:rPr>
          <w:rFonts w:ascii="Times New Roman" w:hAnsi="Times New Roman" w:cs="Times New Roman"/>
        </w:rPr>
        <w:t>descriptions, sizes</w:t>
      </w:r>
      <w:r>
        <w:rPr>
          <w:rFonts w:ascii="Times New Roman" w:hAnsi="Times New Roman" w:cs="Times New Roman"/>
        </w:rPr>
        <w:t xml:space="preserve"> and conditions</w:t>
      </w:r>
      <w:r w:rsidR="00C64481">
        <w:rPr>
          <w:rFonts w:ascii="Times New Roman" w:hAnsi="Times New Roman" w:cs="Times New Roman"/>
        </w:rPr>
        <w:t xml:space="preserve">.  </w:t>
      </w:r>
    </w:p>
    <w:p w14:paraId="78F476F5" w14:textId="77777777" w:rsidR="00264D73" w:rsidRPr="008A2C13" w:rsidRDefault="00264D73" w:rsidP="00D8542B">
      <w:pPr>
        <w:shd w:val="clear" w:color="auto" w:fill="FFFFFF"/>
        <w:spacing w:line="240" w:lineRule="auto"/>
        <w:ind w:right="9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AU"/>
        </w:rPr>
      </w:pPr>
      <w:r>
        <w:rPr>
          <w:rFonts w:ascii="Times New Roman" w:hAnsi="Times New Roman" w:cs="Times New Roman"/>
        </w:rPr>
        <w:br w:type="page"/>
      </w:r>
      <w:r w:rsidR="00C21A9D" w:rsidRPr="00C21A9D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lastRenderedPageBreak/>
        <w:t>Attachment</w:t>
      </w:r>
      <w:r w:rsidRPr="008A2C13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B</w:t>
      </w:r>
    </w:p>
    <w:p w14:paraId="558496B4" w14:textId="77777777" w:rsidR="00264D73" w:rsidRPr="002F69B5" w:rsidRDefault="00264D73" w:rsidP="00264D73">
      <w:pPr>
        <w:shd w:val="clear" w:color="auto" w:fill="FFFFFF"/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> </w:t>
      </w:r>
    </w:p>
    <w:p w14:paraId="5A96616A" w14:textId="77777777" w:rsidR="00264D73" w:rsidRPr="008A2C13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en-AU"/>
        </w:rPr>
      </w:pPr>
      <w:r w:rsidRPr="00C11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AU"/>
        </w:rPr>
        <w:t>Statement of Compatibility with Human Rights</w:t>
      </w:r>
      <w:r w:rsidRPr="002F69B5">
        <w:rPr>
          <w:rFonts w:ascii="Times New Roman" w:eastAsia="Times New Roman" w:hAnsi="Times New Roman" w:cs="Times New Roman"/>
          <w:i/>
          <w:iCs/>
          <w:lang w:eastAsia="en-AU"/>
        </w:rPr>
        <w:t> </w:t>
      </w:r>
    </w:p>
    <w:p w14:paraId="5623FA2C" w14:textId="77777777" w:rsidR="00264D73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en-AU"/>
        </w:rPr>
      </w:pPr>
    </w:p>
    <w:p w14:paraId="3D413B95" w14:textId="77777777" w:rsidR="00264D73" w:rsidRPr="008A2C13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lang w:eastAsia="en-AU"/>
        </w:rPr>
      </w:pPr>
      <w:r w:rsidRPr="00B13946">
        <w:rPr>
          <w:rFonts w:ascii="Times New Roman" w:eastAsia="Times New Roman" w:hAnsi="Times New Roman" w:cs="Times New Roman"/>
          <w:i/>
          <w:iCs/>
          <w:sz w:val="24"/>
          <w:lang w:eastAsia="en-AU"/>
        </w:rPr>
        <w:t>Prepared in accordance with Part 3 of the Human Rights (Parliamentary Scrutiny) Act 2011</w:t>
      </w:r>
      <w:r w:rsidRPr="008A2C13">
        <w:rPr>
          <w:rFonts w:ascii="Times New Roman" w:eastAsia="Times New Roman" w:hAnsi="Times New Roman" w:cs="Times New Roman"/>
          <w:i/>
          <w:iCs/>
          <w:sz w:val="24"/>
          <w:lang w:eastAsia="en-AU"/>
        </w:rPr>
        <w:t> </w:t>
      </w:r>
    </w:p>
    <w:p w14:paraId="0A97958E" w14:textId="77777777" w:rsidR="00264D73" w:rsidRPr="002F69B5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</w:p>
    <w:p w14:paraId="74511491" w14:textId="77777777" w:rsidR="00264D73" w:rsidRDefault="00264D73" w:rsidP="008A2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en-AU"/>
        </w:rPr>
      </w:pPr>
      <w:r w:rsidRPr="002F69B5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 xml:space="preserve">Telecommunications </w:t>
      </w:r>
      <w:r w:rsidRPr="00264D73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 xml:space="preserve">(Low-Impact Facilities) Determination </w:t>
      </w:r>
      <w:r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>2018</w:t>
      </w:r>
    </w:p>
    <w:p w14:paraId="658EF06A" w14:textId="77777777" w:rsidR="00264D73" w:rsidRPr="008A2C13" w:rsidRDefault="00264D73" w:rsidP="008A2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en-AU"/>
        </w:rPr>
      </w:pPr>
    </w:p>
    <w:p w14:paraId="37AA0885" w14:textId="77777777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>The</w:t>
      </w:r>
      <w:r w:rsidRPr="002F69B5">
        <w:rPr>
          <w:rFonts w:ascii="Times New Roman" w:eastAsia="Times New Roman" w:hAnsi="Times New Roman" w:cs="Times New Roman"/>
          <w:i/>
          <w:iCs/>
          <w:lang w:eastAsia="en-AU"/>
        </w:rPr>
        <w:t xml:space="preserve"> Telecommunications </w:t>
      </w:r>
      <w:r>
        <w:rPr>
          <w:rFonts w:ascii="Times New Roman" w:eastAsia="Times New Roman" w:hAnsi="Times New Roman" w:cs="Times New Roman"/>
          <w:i/>
          <w:iCs/>
          <w:lang w:eastAsia="en-AU"/>
        </w:rPr>
        <w:t xml:space="preserve">(Low-Impact Facilities) Determination 2018 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(the </w:t>
      </w:r>
      <w:r>
        <w:rPr>
          <w:rFonts w:ascii="Times New Roman" w:eastAsia="Times New Roman" w:hAnsi="Times New Roman" w:cs="Times New Roman"/>
          <w:lang w:eastAsia="en-AU"/>
        </w:rPr>
        <w:t>Determination)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 is compatible with the human rights and freedoms recognised or declared in the international instruments listed in section 3 of the </w:t>
      </w:r>
      <w:r w:rsidRPr="002F69B5">
        <w:rPr>
          <w:rFonts w:ascii="Times New Roman" w:eastAsia="Times New Roman" w:hAnsi="Times New Roman" w:cs="Times New Roman"/>
          <w:i/>
          <w:iCs/>
          <w:lang w:eastAsia="en-AU"/>
        </w:rPr>
        <w:t>Human Rights (Parliamentary Scrutiny) Act 2011</w:t>
      </w:r>
      <w:r w:rsidRPr="002F69B5">
        <w:rPr>
          <w:rFonts w:ascii="Times New Roman" w:eastAsia="Times New Roman" w:hAnsi="Times New Roman" w:cs="Times New Roman"/>
          <w:lang w:eastAsia="en-AU"/>
        </w:rPr>
        <w:t>.</w:t>
      </w:r>
    </w:p>
    <w:p w14:paraId="1115B361" w14:textId="77777777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b/>
          <w:bCs/>
          <w:lang w:eastAsia="en-AU"/>
        </w:rPr>
        <w:t xml:space="preserve">Overview of the </w:t>
      </w:r>
      <w:r>
        <w:rPr>
          <w:rFonts w:ascii="Times New Roman" w:eastAsia="Times New Roman" w:hAnsi="Times New Roman" w:cs="Times New Roman"/>
          <w:b/>
          <w:bCs/>
          <w:lang w:eastAsia="en-AU"/>
        </w:rPr>
        <w:t>Determination</w:t>
      </w:r>
    </w:p>
    <w:p w14:paraId="088F5AA5" w14:textId="7F16FDE2" w:rsidR="00264D73" w:rsidRPr="008A2C13" w:rsidRDefault="00264D73">
      <w:r w:rsidRPr="00640363">
        <w:rPr>
          <w:rFonts w:ascii="Times New Roman" w:hAnsi="Times New Roman" w:cs="Times New Roman"/>
          <w:lang w:val="en-US"/>
        </w:rPr>
        <w:t>Part 1 of Schedule 3 to the </w:t>
      </w:r>
      <w:r w:rsidRPr="00640363">
        <w:rPr>
          <w:rFonts w:ascii="Times New Roman" w:hAnsi="Times New Roman" w:cs="Times New Roman"/>
          <w:i/>
          <w:iCs/>
          <w:lang w:val="en-US"/>
        </w:rPr>
        <w:t>Telecommunications Act 1997</w:t>
      </w:r>
      <w:r w:rsidRPr="00640363">
        <w:rPr>
          <w:rFonts w:ascii="Times New Roman" w:hAnsi="Times New Roman" w:cs="Times New Roman"/>
          <w:lang w:val="en-US"/>
        </w:rPr>
        <w:t xml:space="preserve"> (the Act) provides authority for carriers to inspect land, maintain facilities, connect subscribers to an existing network or install any declared low-impact facilities or temporary </w:t>
      </w:r>
      <w:proofErr w:type="spellStart"/>
      <w:r w:rsidRPr="00640363">
        <w:rPr>
          <w:rFonts w:ascii="Times New Roman" w:hAnsi="Times New Roman" w:cs="Times New Roman"/>
          <w:lang w:val="en-US"/>
        </w:rPr>
        <w:t>defence</w:t>
      </w:r>
      <w:proofErr w:type="spellEnd"/>
      <w:r w:rsidRPr="00640363">
        <w:rPr>
          <w:rFonts w:ascii="Times New Roman" w:hAnsi="Times New Roman" w:cs="Times New Roman"/>
          <w:lang w:val="en-US"/>
        </w:rPr>
        <w:t xml:space="preserve"> facilities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023A26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6(3) of Schedule 3 to the Act allows the Minister to determine that specified facilities are low-impact facilities for the purpose of </w:t>
      </w:r>
      <w:r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 of Schedule 3 to the Act.</w:t>
      </w:r>
    </w:p>
    <w:p w14:paraId="7E952D93" w14:textId="7430D55B" w:rsidR="00264D73" w:rsidRDefault="00264D73" w:rsidP="008A2C13">
      <w:pPr>
        <w:spacing w:line="240" w:lineRule="auto"/>
        <w:rPr>
          <w:rFonts w:ascii="Times New Roman" w:hAnsi="Times New Roman" w:cs="Times New Roman"/>
        </w:rPr>
      </w:pPr>
      <w:r w:rsidRPr="00A54F61">
        <w:rPr>
          <w:rFonts w:ascii="Times New Roman" w:hAnsi="Times New Roman" w:cs="Times New Roman"/>
        </w:rPr>
        <w:t>Carrier powers and immunities are critical to the efficient construction and maintenance of telecommunications networks</w:t>
      </w:r>
      <w:r w:rsidR="00C64481">
        <w:rPr>
          <w:rFonts w:ascii="Times New Roman" w:hAnsi="Times New Roman" w:cs="Times New Roman"/>
        </w:rPr>
        <w:t xml:space="preserve">.  </w:t>
      </w:r>
      <w:r w:rsidRPr="00A54F61">
        <w:rPr>
          <w:rFonts w:ascii="Times New Roman" w:hAnsi="Times New Roman" w:cs="Times New Roman"/>
        </w:rPr>
        <w:t>They minimise the regulatory burden on carriers so that they can quickly and cost-effectively meet the community’s need for access to affordable, fast and reliable telecommunications services</w:t>
      </w:r>
      <w:r w:rsidR="00C64481">
        <w:rPr>
          <w:rFonts w:ascii="Times New Roman" w:hAnsi="Times New Roman" w:cs="Times New Roman"/>
        </w:rPr>
        <w:t xml:space="preserve">.  </w:t>
      </w:r>
      <w:r w:rsidR="00C125B0">
        <w:rPr>
          <w:rFonts w:ascii="Times New Roman" w:hAnsi="Times New Roman" w:cs="Times New Roman"/>
        </w:rPr>
        <w:t>The</w:t>
      </w:r>
      <w:r w:rsidR="001E4670">
        <w:rPr>
          <w:rFonts w:ascii="Times New Roman" w:hAnsi="Times New Roman" w:cs="Times New Roman"/>
        </w:rPr>
        <w:t>y</w:t>
      </w:r>
      <w:r w:rsidRPr="007C44EF">
        <w:rPr>
          <w:rFonts w:ascii="Times New Roman" w:hAnsi="Times New Roman" w:cs="Times New Roman"/>
        </w:rPr>
        <w:t xml:space="preserve"> provide certain immunit</w:t>
      </w:r>
      <w:r>
        <w:rPr>
          <w:rFonts w:ascii="Times New Roman" w:hAnsi="Times New Roman" w:cs="Times New Roman"/>
        </w:rPr>
        <w:t>ies, including from a range of state and t</w:t>
      </w:r>
      <w:r w:rsidRPr="007C44EF">
        <w:rPr>
          <w:rFonts w:ascii="Times New Roman" w:hAnsi="Times New Roman" w:cs="Times New Roman"/>
        </w:rPr>
        <w:t>erritory laws when carrying out those activities, such as those laws relating to land use, planning, design, construction, siting, tenancy, environmental assessments and protection.</w:t>
      </w:r>
    </w:p>
    <w:p w14:paraId="3C02651A" w14:textId="406389D4" w:rsidR="00C125B0" w:rsidRPr="008A2C13" w:rsidRDefault="00264D73">
      <w:r w:rsidRPr="00C9456A">
        <w:rPr>
          <w:rFonts w:ascii="Times New Roman" w:hAnsi="Times New Roman" w:cs="Times New Roman"/>
        </w:rPr>
        <w:t>The Determination</w:t>
      </w:r>
      <w:r w:rsidR="00C125B0">
        <w:rPr>
          <w:rFonts w:ascii="Times New Roman" w:hAnsi="Times New Roman" w:cs="Times New Roman"/>
        </w:rPr>
        <w:t xml:space="preserve"> remakes the </w:t>
      </w:r>
      <w:r w:rsidR="00C125B0">
        <w:rPr>
          <w:rFonts w:ascii="Times New Roman" w:hAnsi="Times New Roman" w:cs="Times New Roman"/>
          <w:i/>
        </w:rPr>
        <w:t xml:space="preserve">Telecommunications (Low-Impact Facilities) Determination 1997 </w:t>
      </w:r>
      <w:r w:rsidR="00C125B0" w:rsidRPr="008A2C13">
        <w:rPr>
          <w:rFonts w:ascii="Times New Roman" w:hAnsi="Times New Roman" w:cs="Times New Roman"/>
        </w:rPr>
        <w:t>(1997 Determination)</w:t>
      </w:r>
      <w:r w:rsidR="00C125B0" w:rsidRPr="00C125B0">
        <w:rPr>
          <w:rFonts w:ascii="Times New Roman" w:hAnsi="Times New Roman" w:cs="Times New Roman"/>
        </w:rPr>
        <w:t xml:space="preserve">, </w:t>
      </w:r>
      <w:r w:rsidR="00C125B0">
        <w:rPr>
          <w:rFonts w:ascii="Times New Roman" w:hAnsi="Times New Roman" w:cs="Times New Roman"/>
        </w:rPr>
        <w:t xml:space="preserve">which was due to </w:t>
      </w:r>
      <w:r w:rsidR="006A4EDC">
        <w:rPr>
          <w:rFonts w:ascii="Times New Roman" w:hAnsi="Times New Roman" w:cs="Times New Roman"/>
        </w:rPr>
        <w:t>sunset on 1 April 2019</w:t>
      </w:r>
      <w:r w:rsidR="00C64481">
        <w:rPr>
          <w:rFonts w:ascii="Times New Roman" w:hAnsi="Times New Roman" w:cs="Times New Roman"/>
        </w:rPr>
        <w:t xml:space="preserve">.  </w:t>
      </w:r>
      <w:r w:rsidR="00C125B0">
        <w:rPr>
          <w:rFonts w:ascii="Times New Roman" w:hAnsi="Times New Roman" w:cs="Times New Roman"/>
        </w:rPr>
        <w:t xml:space="preserve">There </w:t>
      </w:r>
      <w:r w:rsidR="001E4670">
        <w:rPr>
          <w:rFonts w:ascii="Times New Roman" w:hAnsi="Times New Roman" w:cs="Times New Roman"/>
        </w:rPr>
        <w:t xml:space="preserve">are </w:t>
      </w:r>
      <w:r w:rsidR="00FA1260">
        <w:rPr>
          <w:rFonts w:ascii="Times New Roman" w:hAnsi="Times New Roman" w:cs="Times New Roman"/>
        </w:rPr>
        <w:t>seven</w:t>
      </w:r>
      <w:r w:rsidR="00E25170">
        <w:rPr>
          <w:rFonts w:ascii="Times New Roman" w:hAnsi="Times New Roman" w:cs="Times New Roman"/>
        </w:rPr>
        <w:t xml:space="preserve"> </w:t>
      </w:r>
      <w:r w:rsidR="00C125B0">
        <w:rPr>
          <w:rFonts w:ascii="Times New Roman" w:hAnsi="Times New Roman" w:cs="Times New Roman"/>
        </w:rPr>
        <w:t>s</w:t>
      </w:r>
      <w:r w:rsidR="00C125B0" w:rsidRPr="0074748C">
        <w:rPr>
          <w:rFonts w:ascii="Times New Roman" w:hAnsi="Times New Roman" w:cs="Times New Roman"/>
        </w:rPr>
        <w:t>ubstantive c</w:t>
      </w:r>
      <w:r w:rsidR="00C125B0" w:rsidRPr="00BD4E78">
        <w:rPr>
          <w:rFonts w:ascii="Times New Roman" w:hAnsi="Times New Roman" w:cs="Times New Roman"/>
        </w:rPr>
        <w:t xml:space="preserve">hanges </w:t>
      </w:r>
      <w:r w:rsidR="002953DE">
        <w:rPr>
          <w:rFonts w:ascii="Times New Roman" w:hAnsi="Times New Roman" w:cs="Times New Roman"/>
        </w:rPr>
        <w:t>in</w:t>
      </w:r>
      <w:r w:rsidR="002953DE" w:rsidRPr="00BD4E78">
        <w:rPr>
          <w:rFonts w:ascii="Times New Roman" w:hAnsi="Times New Roman" w:cs="Times New Roman"/>
        </w:rPr>
        <w:t xml:space="preserve"> </w:t>
      </w:r>
      <w:r w:rsidR="00C125B0" w:rsidRPr="00BD4E78">
        <w:rPr>
          <w:rFonts w:ascii="Times New Roman" w:hAnsi="Times New Roman" w:cs="Times New Roman"/>
        </w:rPr>
        <w:t xml:space="preserve">the </w:t>
      </w:r>
      <w:r w:rsidR="00C125B0" w:rsidRPr="0074748C">
        <w:rPr>
          <w:rFonts w:ascii="Times New Roman" w:hAnsi="Times New Roman" w:cs="Times New Roman"/>
        </w:rPr>
        <w:t>Determination</w:t>
      </w:r>
      <w:r w:rsidR="00C274D7">
        <w:rPr>
          <w:rFonts w:ascii="Times New Roman" w:hAnsi="Times New Roman" w:cs="Times New Roman"/>
        </w:rPr>
        <w:t xml:space="preserve">, </w:t>
      </w:r>
      <w:r w:rsidR="00FA1260">
        <w:rPr>
          <w:rFonts w:ascii="Times New Roman" w:hAnsi="Times New Roman" w:cs="Times New Roman"/>
        </w:rPr>
        <w:t>including</w:t>
      </w:r>
      <w:r w:rsidR="00C274D7">
        <w:rPr>
          <w:rFonts w:ascii="Times New Roman" w:hAnsi="Times New Roman" w:cs="Times New Roman"/>
        </w:rPr>
        <w:t xml:space="preserve"> </w:t>
      </w:r>
      <w:r w:rsidR="001937B1">
        <w:rPr>
          <w:rFonts w:ascii="Times New Roman" w:hAnsi="Times New Roman" w:cs="Times New Roman"/>
        </w:rPr>
        <w:t xml:space="preserve">changes </w:t>
      </w:r>
      <w:r w:rsidR="004E2549">
        <w:rPr>
          <w:rFonts w:ascii="Times New Roman" w:hAnsi="Times New Roman" w:cs="Times New Roman"/>
        </w:rPr>
        <w:t>that clarify some existing provisions and update outdated references</w:t>
      </w:r>
      <w:r w:rsidR="00C64481">
        <w:rPr>
          <w:rFonts w:ascii="Times New Roman" w:hAnsi="Times New Roman" w:cs="Times New Roman"/>
        </w:rPr>
        <w:t xml:space="preserve">.  </w:t>
      </w:r>
      <w:r w:rsidR="00F023B4">
        <w:rPr>
          <w:rFonts w:ascii="Times New Roman" w:hAnsi="Times New Roman" w:cs="Times New Roman"/>
        </w:rPr>
        <w:t xml:space="preserve">The changes in the Determination were included in a public consultation paper of possible amendments to </w:t>
      </w:r>
      <w:r w:rsidR="001E4670">
        <w:rPr>
          <w:rFonts w:ascii="Times New Roman" w:hAnsi="Times New Roman" w:cs="Times New Roman"/>
        </w:rPr>
        <w:t>carrier powers and immunities</w:t>
      </w:r>
      <w:r w:rsidR="00C64481">
        <w:rPr>
          <w:rFonts w:ascii="Times New Roman" w:hAnsi="Times New Roman" w:cs="Times New Roman"/>
        </w:rPr>
        <w:t xml:space="preserve">.  </w:t>
      </w:r>
      <w:r w:rsidR="00F023B4" w:rsidRPr="002F69B5">
        <w:rPr>
          <w:rFonts w:ascii="Times New Roman" w:eastAsia="Times New Roman" w:hAnsi="Times New Roman" w:cs="Times New Roman"/>
          <w:color w:val="000000"/>
          <w:lang w:eastAsia="en-AU"/>
        </w:rPr>
        <w:t xml:space="preserve">No </w:t>
      </w:r>
      <w:r w:rsidR="00FE207D">
        <w:rPr>
          <w:rFonts w:ascii="Times New Roman" w:eastAsia="Times New Roman" w:hAnsi="Times New Roman" w:cs="Times New Roman"/>
          <w:color w:val="000000"/>
          <w:lang w:eastAsia="en-AU"/>
        </w:rPr>
        <w:t xml:space="preserve">applicable </w:t>
      </w:r>
      <w:r w:rsidR="00F023B4" w:rsidRPr="002F69B5">
        <w:rPr>
          <w:rFonts w:ascii="Times New Roman" w:eastAsia="Times New Roman" w:hAnsi="Times New Roman" w:cs="Times New Roman"/>
          <w:color w:val="000000"/>
          <w:lang w:eastAsia="en-AU"/>
        </w:rPr>
        <w:t xml:space="preserve">human rights issues </w:t>
      </w:r>
      <w:r w:rsidR="00F023B4">
        <w:rPr>
          <w:rFonts w:ascii="Times New Roman" w:eastAsia="Times New Roman" w:hAnsi="Times New Roman" w:cs="Times New Roman"/>
          <w:color w:val="000000"/>
          <w:lang w:eastAsia="en-AU"/>
        </w:rPr>
        <w:t xml:space="preserve">regarding the Code or the Determination </w:t>
      </w:r>
      <w:r w:rsidR="00F023B4" w:rsidRPr="002F69B5">
        <w:rPr>
          <w:rFonts w:ascii="Times New Roman" w:eastAsia="Times New Roman" w:hAnsi="Times New Roman" w:cs="Times New Roman"/>
          <w:color w:val="000000"/>
          <w:lang w:eastAsia="en-AU"/>
        </w:rPr>
        <w:t xml:space="preserve">were raised during the </w:t>
      </w:r>
      <w:r w:rsidR="00F023B4">
        <w:rPr>
          <w:rFonts w:ascii="Times New Roman" w:eastAsia="Times New Roman" w:hAnsi="Times New Roman" w:cs="Times New Roman"/>
          <w:color w:val="000000"/>
          <w:lang w:eastAsia="en-AU"/>
        </w:rPr>
        <w:t>public consultation.</w:t>
      </w:r>
    </w:p>
    <w:p w14:paraId="42ED644C" w14:textId="6C762F3B" w:rsidR="00264D73" w:rsidRPr="00C125B0" w:rsidRDefault="00264D73">
      <w:p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t>The low-impact</w:t>
      </w:r>
      <w:r w:rsidR="001E418D">
        <w:rPr>
          <w:rFonts w:ascii="Times New Roman" w:hAnsi="Times New Roman" w:cs="Times New Roman"/>
        </w:rPr>
        <w:t xml:space="preserve"> </w:t>
      </w:r>
      <w:r w:rsidR="00E66DCF">
        <w:rPr>
          <w:rFonts w:ascii="Times New Roman" w:hAnsi="Times New Roman" w:cs="Times New Roman"/>
        </w:rPr>
        <w:t xml:space="preserve">facilities </w:t>
      </w:r>
      <w:r w:rsidR="001E418D">
        <w:rPr>
          <w:rFonts w:ascii="Times New Roman" w:hAnsi="Times New Roman" w:cs="Times New Roman"/>
        </w:rPr>
        <w:t xml:space="preserve">specified in the Determination </w:t>
      </w:r>
      <w:r w:rsidRPr="00C9456A">
        <w:rPr>
          <w:rFonts w:ascii="Times New Roman" w:hAnsi="Times New Roman" w:cs="Times New Roman"/>
        </w:rPr>
        <w:t>do</w:t>
      </w:r>
      <w:r w:rsidR="001E418D">
        <w:rPr>
          <w:rFonts w:ascii="Times New Roman" w:hAnsi="Times New Roman" w:cs="Times New Roman"/>
        </w:rPr>
        <w:t xml:space="preserve"> </w:t>
      </w:r>
      <w:r w:rsidRPr="00C9456A">
        <w:rPr>
          <w:rFonts w:ascii="Times New Roman" w:hAnsi="Times New Roman" w:cs="Times New Roman"/>
        </w:rPr>
        <w:t xml:space="preserve">not include telecommunications towers, </w:t>
      </w:r>
      <w:r>
        <w:rPr>
          <w:rFonts w:ascii="Times New Roman" w:hAnsi="Times New Roman" w:cs="Times New Roman"/>
        </w:rPr>
        <w:t>as the</w:t>
      </w:r>
      <w:r w:rsidRPr="00C9456A">
        <w:rPr>
          <w:rFonts w:ascii="Times New Roman" w:hAnsi="Times New Roman" w:cs="Times New Roman"/>
        </w:rPr>
        <w:t xml:space="preserve"> installation of these facilities</w:t>
      </w:r>
      <w:r>
        <w:rPr>
          <w:rFonts w:ascii="Times New Roman" w:hAnsi="Times New Roman" w:cs="Times New Roman"/>
        </w:rPr>
        <w:t xml:space="preserve"> is</w:t>
      </w:r>
      <w:r w:rsidRPr="00C9456A">
        <w:rPr>
          <w:rFonts w:ascii="Times New Roman" w:hAnsi="Times New Roman" w:cs="Times New Roman"/>
        </w:rPr>
        <w:t xml:space="preserve"> govern</w:t>
      </w:r>
      <w:r>
        <w:rPr>
          <w:rFonts w:ascii="Times New Roman" w:hAnsi="Times New Roman" w:cs="Times New Roman"/>
        </w:rPr>
        <w:t>ed by State and Territory laws</w:t>
      </w:r>
      <w:r w:rsidR="00C64481">
        <w:rPr>
          <w:rFonts w:ascii="Times New Roman" w:hAnsi="Times New Roman" w:cs="Times New Roman"/>
        </w:rPr>
        <w:t xml:space="preserve">.  </w:t>
      </w:r>
      <w:r w:rsidR="00C125B0" w:rsidRPr="00C125B0">
        <w:rPr>
          <w:rFonts w:ascii="Times New Roman" w:hAnsi="Times New Roman" w:cs="Times New Roman"/>
        </w:rPr>
        <w:t xml:space="preserve">Installation of low-impact facilities is regulated under Chapter 4 of the </w:t>
      </w:r>
      <w:r w:rsidR="00C125B0" w:rsidRPr="008A2C13">
        <w:rPr>
          <w:rFonts w:ascii="Times New Roman" w:hAnsi="Times New Roman" w:cs="Times New Roman"/>
          <w:i/>
        </w:rPr>
        <w:t>Telecommunications Code of Practice 2018</w:t>
      </w:r>
      <w:r w:rsidR="00C125B0" w:rsidRPr="00C125B0">
        <w:rPr>
          <w:rFonts w:ascii="Times New Roman" w:hAnsi="Times New Roman" w:cs="Times New Roman"/>
        </w:rPr>
        <w:t>.</w:t>
      </w:r>
    </w:p>
    <w:p w14:paraId="282D86E3" w14:textId="0CFEDFDA" w:rsidR="00264D73" w:rsidRPr="00C9456A" w:rsidRDefault="00264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has </w:t>
      </w:r>
      <w:r w:rsidR="00566D07"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</w:rPr>
        <w:t>Parts</w:t>
      </w:r>
      <w:r w:rsidR="001E418D">
        <w:rPr>
          <w:rFonts w:ascii="Times New Roman" w:hAnsi="Times New Roman" w:cs="Times New Roman"/>
        </w:rPr>
        <w:t xml:space="preserve"> and one Schedule</w:t>
      </w:r>
      <w:r>
        <w:rPr>
          <w:rFonts w:ascii="Times New Roman" w:hAnsi="Times New Roman" w:cs="Times New Roman"/>
        </w:rPr>
        <w:t>:</w:t>
      </w:r>
    </w:p>
    <w:p w14:paraId="759C6CAE" w14:textId="5A29757A" w:rsidR="00264D73" w:rsidRPr="00C9456A" w:rsidRDefault="00264D73" w:rsidP="00C316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t xml:space="preserve">Part 1 </w:t>
      </w:r>
      <w:r w:rsidR="00C3168C">
        <w:rPr>
          <w:rFonts w:ascii="Times New Roman" w:hAnsi="Times New Roman" w:cs="Times New Roman"/>
        </w:rPr>
        <w:t xml:space="preserve">is introductory, </w:t>
      </w:r>
      <w:r w:rsidRPr="00C9456A">
        <w:rPr>
          <w:rFonts w:ascii="Times New Roman" w:hAnsi="Times New Roman" w:cs="Times New Roman"/>
        </w:rPr>
        <w:t>contain</w:t>
      </w:r>
      <w:r w:rsidR="00C3168C">
        <w:rPr>
          <w:rFonts w:ascii="Times New Roman" w:hAnsi="Times New Roman" w:cs="Times New Roman"/>
        </w:rPr>
        <w:t xml:space="preserve">ing matter such </w:t>
      </w:r>
      <w:r w:rsidRPr="00C9456A">
        <w:rPr>
          <w:rFonts w:ascii="Times New Roman" w:hAnsi="Times New Roman" w:cs="Times New Roman"/>
        </w:rPr>
        <w:t>commencement, definitions and principal designated use (for the purposes of clarifying the zoning category</w:t>
      </w:r>
      <w:r w:rsidR="00566D07" w:rsidRPr="00C9456A">
        <w:rPr>
          <w:rFonts w:ascii="Times New Roman" w:hAnsi="Times New Roman" w:cs="Times New Roman"/>
        </w:rPr>
        <w:t>)</w:t>
      </w:r>
      <w:r w:rsidR="00566D07">
        <w:rPr>
          <w:rFonts w:ascii="Times New Roman" w:hAnsi="Times New Roman" w:cs="Times New Roman"/>
        </w:rPr>
        <w:t>.</w:t>
      </w:r>
    </w:p>
    <w:p w14:paraId="0D025496" w14:textId="4492F69F" w:rsidR="00264D73" w:rsidRPr="00C9456A" w:rsidRDefault="00264D7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t>Part 2 identifies the areas in which a facility may be installed, by reference to zoning arrangements under State and Territory planning laws</w:t>
      </w:r>
      <w:r w:rsidR="00566D07">
        <w:rPr>
          <w:rFonts w:ascii="Times New Roman" w:hAnsi="Times New Roman" w:cs="Times New Roman"/>
        </w:rPr>
        <w:t>.</w:t>
      </w:r>
    </w:p>
    <w:p w14:paraId="2D73BE42" w14:textId="47518535" w:rsidR="00264D73" w:rsidRPr="008A2C13" w:rsidRDefault="00264D73" w:rsidP="008A2C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C9456A">
        <w:rPr>
          <w:rFonts w:ascii="Times New Roman" w:hAnsi="Times New Roman" w:cs="Times New Roman"/>
        </w:rPr>
        <w:t>Part 3 and the Schedule identify the circumstances under which named facilities are to be taken to be low-impact.</w:t>
      </w:r>
    </w:p>
    <w:p w14:paraId="4C56B38E" w14:textId="77777777" w:rsidR="00B84319" w:rsidRDefault="00B84319" w:rsidP="00B8431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Determination is technical</w:t>
      </w:r>
      <w:r w:rsidR="002953DE">
        <w:rPr>
          <w:rFonts w:ascii="Times New Roman" w:hAnsi="Times New Roman" w:cs="Times New Roman"/>
        </w:rPr>
        <w:t xml:space="preserve"> and operational</w:t>
      </w:r>
      <w:r>
        <w:rPr>
          <w:rFonts w:ascii="Times New Roman" w:hAnsi="Times New Roman" w:cs="Times New Roman"/>
        </w:rPr>
        <w:t xml:space="preserve"> in nature and does not invoke any of the human rights or freedoms as set out in the seven core international human rights treaties to which Australia is a party</w:t>
      </w:r>
      <w:r w:rsidR="00C64481">
        <w:rPr>
          <w:rFonts w:ascii="Times New Roman" w:hAnsi="Times New Roman" w:cs="Times New Roman"/>
        </w:rPr>
        <w:t xml:space="preserve">.  </w:t>
      </w:r>
    </w:p>
    <w:p w14:paraId="353336AA" w14:textId="77777777" w:rsidR="00B84319" w:rsidRDefault="00B84319" w:rsidP="008A2C13">
      <w:pPr>
        <w:keepNext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08C4D6B4" w14:textId="77777777" w:rsidR="00264D73" w:rsidRPr="002F69B5" w:rsidRDefault="00264D73" w:rsidP="008A2C13">
      <w:pPr>
        <w:keepNext/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b/>
          <w:bCs/>
          <w:lang w:eastAsia="en-AU"/>
        </w:rPr>
        <w:t>Human rights implications</w:t>
      </w:r>
    </w:p>
    <w:p w14:paraId="026D5AB0" w14:textId="77777777" w:rsidR="00264D73" w:rsidRPr="002F69B5" w:rsidRDefault="00264D73" w:rsidP="008A2C13">
      <w:pPr>
        <w:keepNext/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lang w:eastAsia="en-AU"/>
        </w:rPr>
        <w:t>Determination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 does not engage any of the applicable rights or freedoms</w:t>
      </w:r>
      <w:r w:rsidR="00C64481">
        <w:rPr>
          <w:rFonts w:ascii="Times New Roman" w:eastAsia="Times New Roman" w:hAnsi="Times New Roman" w:cs="Times New Roman"/>
          <w:lang w:eastAsia="en-AU"/>
        </w:rPr>
        <w:t xml:space="preserve">.  </w:t>
      </w:r>
    </w:p>
    <w:p w14:paraId="383CB441" w14:textId="77777777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b/>
          <w:bCs/>
          <w:lang w:eastAsia="en-AU"/>
        </w:rPr>
        <w:t>Conclusion</w:t>
      </w:r>
    </w:p>
    <w:p w14:paraId="0BDC02CD" w14:textId="77777777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>Th</w:t>
      </w:r>
      <w:r>
        <w:rPr>
          <w:rFonts w:ascii="Times New Roman" w:eastAsia="Times New Roman" w:hAnsi="Times New Roman" w:cs="Times New Roman"/>
          <w:lang w:eastAsia="en-AU"/>
        </w:rPr>
        <w:t xml:space="preserve">e Determination 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is compatible with human rights as it does not raise any </w:t>
      </w:r>
      <w:r w:rsidR="002953DE">
        <w:rPr>
          <w:rFonts w:ascii="Times New Roman" w:eastAsia="Times New Roman" w:hAnsi="Times New Roman" w:cs="Times New Roman"/>
          <w:lang w:eastAsia="en-AU"/>
        </w:rPr>
        <w:t xml:space="preserve">applicable </w:t>
      </w:r>
      <w:r w:rsidRPr="002F69B5">
        <w:rPr>
          <w:rFonts w:ascii="Times New Roman" w:eastAsia="Times New Roman" w:hAnsi="Times New Roman" w:cs="Times New Roman"/>
          <w:lang w:eastAsia="en-AU"/>
        </w:rPr>
        <w:t>human rights issues.</w:t>
      </w:r>
    </w:p>
    <w:p w14:paraId="12642D25" w14:textId="77777777" w:rsidR="00123354" w:rsidRPr="008A2C13" w:rsidRDefault="00123354">
      <w:pPr>
        <w:rPr>
          <w:rFonts w:ascii="Times New Roman" w:hAnsi="Times New Roman" w:cs="Times New Roman"/>
        </w:rPr>
      </w:pPr>
    </w:p>
    <w:sectPr w:rsidR="00123354" w:rsidRPr="008A2C13" w:rsidSect="005E2A1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E41E4" w14:textId="77777777" w:rsidR="00C824EB" w:rsidRDefault="00C824EB" w:rsidP="00025ACE">
      <w:pPr>
        <w:spacing w:after="0" w:line="240" w:lineRule="auto"/>
      </w:pPr>
      <w:r>
        <w:separator/>
      </w:r>
    </w:p>
  </w:endnote>
  <w:endnote w:type="continuationSeparator" w:id="0">
    <w:p w14:paraId="58C2BDC4" w14:textId="77777777" w:rsidR="00C824EB" w:rsidRDefault="00C824EB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82841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474A1FE" w14:textId="77777777" w:rsidR="00465F27" w:rsidRDefault="00465F27" w:rsidP="003E1CCE">
        <w:pPr>
          <w:pStyle w:val="Footer"/>
          <w:pBdr>
            <w:top w:val="single" w:sz="4" w:space="1" w:color="auto"/>
          </w:pBdr>
          <w:tabs>
            <w:tab w:val="clear" w:pos="9026"/>
          </w:tabs>
          <w:ind w:left="-142" w:right="-188"/>
          <w:jc w:val="center"/>
        </w:pPr>
      </w:p>
      <w:p w14:paraId="59773BF4" w14:textId="77777777" w:rsidR="00465F27" w:rsidRPr="00AD3414" w:rsidRDefault="00465F27" w:rsidP="003E1CCE">
        <w:pPr>
          <w:pStyle w:val="Footer"/>
          <w:tabs>
            <w:tab w:val="clear" w:pos="9026"/>
          </w:tabs>
          <w:ind w:left="-142" w:right="-188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 xml:space="preserve">Explanatory Statement to </w:t>
        </w:r>
        <w:r w:rsidRPr="00640363">
          <w:rPr>
            <w:rFonts w:ascii="Times New Roman" w:hAnsi="Times New Roman" w:cs="Times New Roman"/>
            <w:i/>
          </w:rPr>
          <w:t>Telecommunications (Low-impact Facilities) Determination 2018</w:t>
        </w:r>
      </w:p>
      <w:p w14:paraId="4E43DFB3" w14:textId="77777777" w:rsidR="00465F27" w:rsidRDefault="00465F27">
        <w:pPr>
          <w:pStyle w:val="Footer"/>
          <w:jc w:val="right"/>
        </w:pPr>
      </w:p>
      <w:p w14:paraId="1CE9AAA0" w14:textId="77777777" w:rsidR="00465F27" w:rsidRPr="00AD3414" w:rsidRDefault="00465F27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912F3E">
          <w:rPr>
            <w:rFonts w:ascii="Times New Roman" w:hAnsi="Times New Roman" w:cs="Times New Roman"/>
            <w:i/>
            <w:noProof/>
          </w:rPr>
          <w:t>10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4B43725F" w14:textId="77777777" w:rsidR="00465F27" w:rsidRPr="00AD3414" w:rsidRDefault="00465F27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2CBD" w14:textId="77777777" w:rsidR="00C824EB" w:rsidRDefault="00C824EB" w:rsidP="00025ACE">
      <w:pPr>
        <w:spacing w:after="0" w:line="240" w:lineRule="auto"/>
      </w:pPr>
      <w:r>
        <w:separator/>
      </w:r>
    </w:p>
  </w:footnote>
  <w:footnote w:type="continuationSeparator" w:id="0">
    <w:p w14:paraId="2BA45143" w14:textId="77777777" w:rsidR="00C824EB" w:rsidRDefault="00C824EB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752C" w14:textId="77777777" w:rsidR="00465F27" w:rsidRDefault="00465F27">
    <w:pPr>
      <w:pStyle w:val="Header"/>
    </w:pPr>
  </w:p>
  <w:p w14:paraId="57AEE4D0" w14:textId="77777777" w:rsidR="00465F27" w:rsidRPr="00AD3414" w:rsidRDefault="00465F2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4FC"/>
    <w:multiLevelType w:val="hybridMultilevel"/>
    <w:tmpl w:val="16202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1EB"/>
    <w:multiLevelType w:val="hybridMultilevel"/>
    <w:tmpl w:val="6510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1C43"/>
    <w:multiLevelType w:val="hybridMultilevel"/>
    <w:tmpl w:val="EA8EC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37DC"/>
    <w:multiLevelType w:val="hybridMultilevel"/>
    <w:tmpl w:val="41D289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73F0"/>
    <w:multiLevelType w:val="hybridMultilevel"/>
    <w:tmpl w:val="13DC1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3C6"/>
    <w:multiLevelType w:val="hybridMultilevel"/>
    <w:tmpl w:val="EB0E3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02C91"/>
    <w:multiLevelType w:val="hybridMultilevel"/>
    <w:tmpl w:val="D6C4A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4AA8"/>
    <w:multiLevelType w:val="hybridMultilevel"/>
    <w:tmpl w:val="9E4C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4465"/>
    <w:multiLevelType w:val="hybridMultilevel"/>
    <w:tmpl w:val="82D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621"/>
    <w:multiLevelType w:val="hybridMultilevel"/>
    <w:tmpl w:val="CDB8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34F9"/>
    <w:multiLevelType w:val="hybridMultilevel"/>
    <w:tmpl w:val="6ACC80E8"/>
    <w:lvl w:ilvl="0" w:tplc="BFD03D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7752A"/>
    <w:multiLevelType w:val="hybridMultilevel"/>
    <w:tmpl w:val="1E0C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343E3"/>
    <w:multiLevelType w:val="hybridMultilevel"/>
    <w:tmpl w:val="43903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251F9"/>
    <w:multiLevelType w:val="hybridMultilevel"/>
    <w:tmpl w:val="1BC82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617C"/>
    <w:multiLevelType w:val="hybridMultilevel"/>
    <w:tmpl w:val="1C8A1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F3A95"/>
    <w:multiLevelType w:val="hybridMultilevel"/>
    <w:tmpl w:val="5E64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12"/>
  </w:num>
  <w:num w:numId="11">
    <w:abstractNumId w:val="17"/>
  </w:num>
  <w:num w:numId="12">
    <w:abstractNumId w:val="18"/>
  </w:num>
  <w:num w:numId="13">
    <w:abstractNumId w:val="7"/>
  </w:num>
  <w:num w:numId="14">
    <w:abstractNumId w:val="9"/>
  </w:num>
  <w:num w:numId="15">
    <w:abstractNumId w:val="19"/>
  </w:num>
  <w:num w:numId="16">
    <w:abstractNumId w:val="10"/>
  </w:num>
  <w:num w:numId="17">
    <w:abstractNumId w:val="0"/>
  </w:num>
  <w:num w:numId="18">
    <w:abstractNumId w:val="3"/>
  </w:num>
  <w:num w:numId="19">
    <w:abstractNumId w:val="21"/>
  </w:num>
  <w:num w:numId="20">
    <w:abstractNumId w:val="1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1CDA"/>
    <w:rsid w:val="00002640"/>
    <w:rsid w:val="00003720"/>
    <w:rsid w:val="00005EF6"/>
    <w:rsid w:val="000124F9"/>
    <w:rsid w:val="00013079"/>
    <w:rsid w:val="00016493"/>
    <w:rsid w:val="000173BA"/>
    <w:rsid w:val="00023A26"/>
    <w:rsid w:val="00023AA1"/>
    <w:rsid w:val="00025ACE"/>
    <w:rsid w:val="000279B7"/>
    <w:rsid w:val="0003758C"/>
    <w:rsid w:val="00037F0E"/>
    <w:rsid w:val="00046530"/>
    <w:rsid w:val="00055B67"/>
    <w:rsid w:val="00066EA3"/>
    <w:rsid w:val="00067ECB"/>
    <w:rsid w:val="00070D91"/>
    <w:rsid w:val="000711C2"/>
    <w:rsid w:val="000726C7"/>
    <w:rsid w:val="00072ABD"/>
    <w:rsid w:val="00072CCD"/>
    <w:rsid w:val="00074A8D"/>
    <w:rsid w:val="000801BB"/>
    <w:rsid w:val="00080F0F"/>
    <w:rsid w:val="00082354"/>
    <w:rsid w:val="00084D36"/>
    <w:rsid w:val="00095AB3"/>
    <w:rsid w:val="00097AA1"/>
    <w:rsid w:val="000A392F"/>
    <w:rsid w:val="000A3A94"/>
    <w:rsid w:val="000A435A"/>
    <w:rsid w:val="000A528E"/>
    <w:rsid w:val="000A7E47"/>
    <w:rsid w:val="000B0BA7"/>
    <w:rsid w:val="000B33B6"/>
    <w:rsid w:val="000B4B6C"/>
    <w:rsid w:val="000B6086"/>
    <w:rsid w:val="000C0CE8"/>
    <w:rsid w:val="000C6436"/>
    <w:rsid w:val="000C724E"/>
    <w:rsid w:val="000D22C0"/>
    <w:rsid w:val="000D4ECE"/>
    <w:rsid w:val="000E32D6"/>
    <w:rsid w:val="000E3768"/>
    <w:rsid w:val="000E38C9"/>
    <w:rsid w:val="000F6255"/>
    <w:rsid w:val="00104E64"/>
    <w:rsid w:val="001063DC"/>
    <w:rsid w:val="00110809"/>
    <w:rsid w:val="00112987"/>
    <w:rsid w:val="00114E85"/>
    <w:rsid w:val="001153DB"/>
    <w:rsid w:val="00115E6A"/>
    <w:rsid w:val="00116FBB"/>
    <w:rsid w:val="00117351"/>
    <w:rsid w:val="001176C4"/>
    <w:rsid w:val="00121B9E"/>
    <w:rsid w:val="00122072"/>
    <w:rsid w:val="001220C9"/>
    <w:rsid w:val="001228D7"/>
    <w:rsid w:val="00123354"/>
    <w:rsid w:val="00123D9E"/>
    <w:rsid w:val="00126207"/>
    <w:rsid w:val="00131FA1"/>
    <w:rsid w:val="00132626"/>
    <w:rsid w:val="00134705"/>
    <w:rsid w:val="001360C4"/>
    <w:rsid w:val="00146A0C"/>
    <w:rsid w:val="00153514"/>
    <w:rsid w:val="00154B20"/>
    <w:rsid w:val="00161C73"/>
    <w:rsid w:val="00172F68"/>
    <w:rsid w:val="00176B7B"/>
    <w:rsid w:val="00185587"/>
    <w:rsid w:val="00185BB8"/>
    <w:rsid w:val="00185BDC"/>
    <w:rsid w:val="00190233"/>
    <w:rsid w:val="001937B1"/>
    <w:rsid w:val="00197931"/>
    <w:rsid w:val="001A1462"/>
    <w:rsid w:val="001A504E"/>
    <w:rsid w:val="001B4643"/>
    <w:rsid w:val="001B699D"/>
    <w:rsid w:val="001C4BF8"/>
    <w:rsid w:val="001C5421"/>
    <w:rsid w:val="001C6573"/>
    <w:rsid w:val="001D5C25"/>
    <w:rsid w:val="001E0774"/>
    <w:rsid w:val="001E1BE0"/>
    <w:rsid w:val="001E20FF"/>
    <w:rsid w:val="001E3F86"/>
    <w:rsid w:val="001E418D"/>
    <w:rsid w:val="001E4670"/>
    <w:rsid w:val="001E6B5B"/>
    <w:rsid w:val="001F7EB5"/>
    <w:rsid w:val="002055EF"/>
    <w:rsid w:val="00212847"/>
    <w:rsid w:val="00212D83"/>
    <w:rsid w:val="00223329"/>
    <w:rsid w:val="002257D0"/>
    <w:rsid w:val="00234E94"/>
    <w:rsid w:val="00235FFA"/>
    <w:rsid w:val="00243A30"/>
    <w:rsid w:val="002446C9"/>
    <w:rsid w:val="00244861"/>
    <w:rsid w:val="002508F7"/>
    <w:rsid w:val="00255051"/>
    <w:rsid w:val="00263C7E"/>
    <w:rsid w:val="00264D73"/>
    <w:rsid w:val="00284A47"/>
    <w:rsid w:val="00287F65"/>
    <w:rsid w:val="0029243C"/>
    <w:rsid w:val="00295067"/>
    <w:rsid w:val="002953DE"/>
    <w:rsid w:val="0029618D"/>
    <w:rsid w:val="002971BE"/>
    <w:rsid w:val="002A4186"/>
    <w:rsid w:val="002B0439"/>
    <w:rsid w:val="002B6699"/>
    <w:rsid w:val="002C2256"/>
    <w:rsid w:val="002E3B2A"/>
    <w:rsid w:val="002E5B58"/>
    <w:rsid w:val="002F36E0"/>
    <w:rsid w:val="002F64BB"/>
    <w:rsid w:val="002F68A4"/>
    <w:rsid w:val="002F773B"/>
    <w:rsid w:val="00303749"/>
    <w:rsid w:val="00324986"/>
    <w:rsid w:val="00326EB0"/>
    <w:rsid w:val="00332B7B"/>
    <w:rsid w:val="00335238"/>
    <w:rsid w:val="003434D4"/>
    <w:rsid w:val="003470CF"/>
    <w:rsid w:val="003542BC"/>
    <w:rsid w:val="00356DB6"/>
    <w:rsid w:val="00357F73"/>
    <w:rsid w:val="00363C4D"/>
    <w:rsid w:val="00370620"/>
    <w:rsid w:val="00371122"/>
    <w:rsid w:val="00373D4B"/>
    <w:rsid w:val="00375E4F"/>
    <w:rsid w:val="00375EA1"/>
    <w:rsid w:val="00375FA7"/>
    <w:rsid w:val="00383058"/>
    <w:rsid w:val="00385EF1"/>
    <w:rsid w:val="0039208A"/>
    <w:rsid w:val="00396465"/>
    <w:rsid w:val="003A3635"/>
    <w:rsid w:val="003A6CBB"/>
    <w:rsid w:val="003A7407"/>
    <w:rsid w:val="003B3D92"/>
    <w:rsid w:val="003C2F82"/>
    <w:rsid w:val="003C44B4"/>
    <w:rsid w:val="003C77D7"/>
    <w:rsid w:val="003D1D4B"/>
    <w:rsid w:val="003D295E"/>
    <w:rsid w:val="003D74BE"/>
    <w:rsid w:val="003E1CCE"/>
    <w:rsid w:val="003E3AC8"/>
    <w:rsid w:val="003E3D8D"/>
    <w:rsid w:val="0041003E"/>
    <w:rsid w:val="004123BE"/>
    <w:rsid w:val="00412669"/>
    <w:rsid w:val="00414315"/>
    <w:rsid w:val="0041760A"/>
    <w:rsid w:val="00417B0E"/>
    <w:rsid w:val="00421A64"/>
    <w:rsid w:val="004255C9"/>
    <w:rsid w:val="00425C3A"/>
    <w:rsid w:val="00426442"/>
    <w:rsid w:val="00435DC2"/>
    <w:rsid w:val="004362E3"/>
    <w:rsid w:val="0043637C"/>
    <w:rsid w:val="00437E20"/>
    <w:rsid w:val="00437EAA"/>
    <w:rsid w:val="00443756"/>
    <w:rsid w:val="0044731E"/>
    <w:rsid w:val="00447C1B"/>
    <w:rsid w:val="00450F48"/>
    <w:rsid w:val="0045489F"/>
    <w:rsid w:val="004636DE"/>
    <w:rsid w:val="00465F27"/>
    <w:rsid w:val="00466ECD"/>
    <w:rsid w:val="00472DF9"/>
    <w:rsid w:val="00474889"/>
    <w:rsid w:val="004764A6"/>
    <w:rsid w:val="0048003C"/>
    <w:rsid w:val="00480D6A"/>
    <w:rsid w:val="004814CC"/>
    <w:rsid w:val="004821FF"/>
    <w:rsid w:val="004826DD"/>
    <w:rsid w:val="00492CAF"/>
    <w:rsid w:val="00493A8A"/>
    <w:rsid w:val="0049407B"/>
    <w:rsid w:val="004971D6"/>
    <w:rsid w:val="004A1064"/>
    <w:rsid w:val="004A60F1"/>
    <w:rsid w:val="004B5A16"/>
    <w:rsid w:val="004B774B"/>
    <w:rsid w:val="004C1A20"/>
    <w:rsid w:val="004C60C7"/>
    <w:rsid w:val="004C6A87"/>
    <w:rsid w:val="004D2843"/>
    <w:rsid w:val="004E2549"/>
    <w:rsid w:val="004E2F9E"/>
    <w:rsid w:val="004E50C1"/>
    <w:rsid w:val="004E790E"/>
    <w:rsid w:val="004F0F57"/>
    <w:rsid w:val="004F2ED2"/>
    <w:rsid w:val="004F5C70"/>
    <w:rsid w:val="0050389F"/>
    <w:rsid w:val="005113A5"/>
    <w:rsid w:val="005175B1"/>
    <w:rsid w:val="0052040D"/>
    <w:rsid w:val="00520F45"/>
    <w:rsid w:val="0052687A"/>
    <w:rsid w:val="00533930"/>
    <w:rsid w:val="005341C2"/>
    <w:rsid w:val="005350CF"/>
    <w:rsid w:val="00537BBB"/>
    <w:rsid w:val="00543DED"/>
    <w:rsid w:val="00547DD2"/>
    <w:rsid w:val="0055012C"/>
    <w:rsid w:val="00550938"/>
    <w:rsid w:val="00554E12"/>
    <w:rsid w:val="00560168"/>
    <w:rsid w:val="00565DC7"/>
    <w:rsid w:val="00566D07"/>
    <w:rsid w:val="00567226"/>
    <w:rsid w:val="00570974"/>
    <w:rsid w:val="0057185B"/>
    <w:rsid w:val="005721BC"/>
    <w:rsid w:val="00574B1F"/>
    <w:rsid w:val="005865BC"/>
    <w:rsid w:val="005958D6"/>
    <w:rsid w:val="005964CF"/>
    <w:rsid w:val="005C2E9F"/>
    <w:rsid w:val="005C65EB"/>
    <w:rsid w:val="005D689B"/>
    <w:rsid w:val="005D739B"/>
    <w:rsid w:val="005E2A1D"/>
    <w:rsid w:val="005F5BE6"/>
    <w:rsid w:val="005F78B8"/>
    <w:rsid w:val="00603B3F"/>
    <w:rsid w:val="00604096"/>
    <w:rsid w:val="006175FC"/>
    <w:rsid w:val="006211A2"/>
    <w:rsid w:val="00621CF9"/>
    <w:rsid w:val="00626E43"/>
    <w:rsid w:val="00630F3E"/>
    <w:rsid w:val="00632173"/>
    <w:rsid w:val="006368C3"/>
    <w:rsid w:val="00640363"/>
    <w:rsid w:val="00641906"/>
    <w:rsid w:val="0065079D"/>
    <w:rsid w:val="00655754"/>
    <w:rsid w:val="00657D48"/>
    <w:rsid w:val="00663AF2"/>
    <w:rsid w:val="00671216"/>
    <w:rsid w:val="006723D3"/>
    <w:rsid w:val="006813EB"/>
    <w:rsid w:val="00681986"/>
    <w:rsid w:val="00686F06"/>
    <w:rsid w:val="00687290"/>
    <w:rsid w:val="006940DB"/>
    <w:rsid w:val="006957D5"/>
    <w:rsid w:val="00696659"/>
    <w:rsid w:val="006A0BDF"/>
    <w:rsid w:val="006A1047"/>
    <w:rsid w:val="006A4EDC"/>
    <w:rsid w:val="006A53BB"/>
    <w:rsid w:val="006A5942"/>
    <w:rsid w:val="006B5BF4"/>
    <w:rsid w:val="006B6587"/>
    <w:rsid w:val="006C4561"/>
    <w:rsid w:val="006C57C9"/>
    <w:rsid w:val="006C59D5"/>
    <w:rsid w:val="006D3A5F"/>
    <w:rsid w:val="006D5BF5"/>
    <w:rsid w:val="006E54A7"/>
    <w:rsid w:val="006F21C8"/>
    <w:rsid w:val="006F32BF"/>
    <w:rsid w:val="00702F33"/>
    <w:rsid w:val="00706F43"/>
    <w:rsid w:val="00711930"/>
    <w:rsid w:val="007125D3"/>
    <w:rsid w:val="007211DD"/>
    <w:rsid w:val="007216CE"/>
    <w:rsid w:val="007243AE"/>
    <w:rsid w:val="00724439"/>
    <w:rsid w:val="0074661C"/>
    <w:rsid w:val="00750397"/>
    <w:rsid w:val="007550EF"/>
    <w:rsid w:val="00760E9E"/>
    <w:rsid w:val="007617C0"/>
    <w:rsid w:val="00762C94"/>
    <w:rsid w:val="00766475"/>
    <w:rsid w:val="0077364D"/>
    <w:rsid w:val="00776511"/>
    <w:rsid w:val="00785F09"/>
    <w:rsid w:val="00790421"/>
    <w:rsid w:val="0079234A"/>
    <w:rsid w:val="00794C5F"/>
    <w:rsid w:val="00796E79"/>
    <w:rsid w:val="007A0103"/>
    <w:rsid w:val="007A2277"/>
    <w:rsid w:val="007A4F36"/>
    <w:rsid w:val="007A562C"/>
    <w:rsid w:val="007B497E"/>
    <w:rsid w:val="007C0D2D"/>
    <w:rsid w:val="007C2471"/>
    <w:rsid w:val="007D0108"/>
    <w:rsid w:val="007E4932"/>
    <w:rsid w:val="007F68A3"/>
    <w:rsid w:val="008037B7"/>
    <w:rsid w:val="00805358"/>
    <w:rsid w:val="008070A8"/>
    <w:rsid w:val="00810499"/>
    <w:rsid w:val="0081166D"/>
    <w:rsid w:val="0081203C"/>
    <w:rsid w:val="00817385"/>
    <w:rsid w:val="00817C7E"/>
    <w:rsid w:val="00821F3F"/>
    <w:rsid w:val="008249B3"/>
    <w:rsid w:val="00826844"/>
    <w:rsid w:val="00835C9A"/>
    <w:rsid w:val="008426E4"/>
    <w:rsid w:val="00842F17"/>
    <w:rsid w:val="008441CF"/>
    <w:rsid w:val="0084470A"/>
    <w:rsid w:val="00846A70"/>
    <w:rsid w:val="00851209"/>
    <w:rsid w:val="00852C49"/>
    <w:rsid w:val="0086774E"/>
    <w:rsid w:val="00872973"/>
    <w:rsid w:val="008754B2"/>
    <w:rsid w:val="0087707C"/>
    <w:rsid w:val="008847F3"/>
    <w:rsid w:val="008954A3"/>
    <w:rsid w:val="00895924"/>
    <w:rsid w:val="008965D3"/>
    <w:rsid w:val="008A191E"/>
    <w:rsid w:val="008A2C13"/>
    <w:rsid w:val="008A68F4"/>
    <w:rsid w:val="008B0CD5"/>
    <w:rsid w:val="008B2A8D"/>
    <w:rsid w:val="008B41A6"/>
    <w:rsid w:val="008B64D9"/>
    <w:rsid w:val="008C584E"/>
    <w:rsid w:val="008D5456"/>
    <w:rsid w:val="008D5E36"/>
    <w:rsid w:val="008E3483"/>
    <w:rsid w:val="008E3E56"/>
    <w:rsid w:val="008F3137"/>
    <w:rsid w:val="008F4C58"/>
    <w:rsid w:val="008F6957"/>
    <w:rsid w:val="008F73E9"/>
    <w:rsid w:val="00901189"/>
    <w:rsid w:val="0090367B"/>
    <w:rsid w:val="009046F3"/>
    <w:rsid w:val="0090572C"/>
    <w:rsid w:val="0091080B"/>
    <w:rsid w:val="00912F3E"/>
    <w:rsid w:val="00917BF1"/>
    <w:rsid w:val="00924DD8"/>
    <w:rsid w:val="00926833"/>
    <w:rsid w:val="009379BD"/>
    <w:rsid w:val="00944ABE"/>
    <w:rsid w:val="009670B7"/>
    <w:rsid w:val="0097197E"/>
    <w:rsid w:val="009723D1"/>
    <w:rsid w:val="00972946"/>
    <w:rsid w:val="009732C1"/>
    <w:rsid w:val="00973C71"/>
    <w:rsid w:val="00977705"/>
    <w:rsid w:val="00991409"/>
    <w:rsid w:val="00996201"/>
    <w:rsid w:val="00996450"/>
    <w:rsid w:val="0099724A"/>
    <w:rsid w:val="009A0DDB"/>
    <w:rsid w:val="009A1938"/>
    <w:rsid w:val="009A2EC9"/>
    <w:rsid w:val="009A42C4"/>
    <w:rsid w:val="009A5048"/>
    <w:rsid w:val="009A7999"/>
    <w:rsid w:val="009B07FD"/>
    <w:rsid w:val="009B3D62"/>
    <w:rsid w:val="009C5E0F"/>
    <w:rsid w:val="009C5ECA"/>
    <w:rsid w:val="009D1EA4"/>
    <w:rsid w:val="009D3FD0"/>
    <w:rsid w:val="009D5783"/>
    <w:rsid w:val="009D67A8"/>
    <w:rsid w:val="009E1714"/>
    <w:rsid w:val="009F30E4"/>
    <w:rsid w:val="009F42EE"/>
    <w:rsid w:val="009F5C0C"/>
    <w:rsid w:val="009F7219"/>
    <w:rsid w:val="00A02A77"/>
    <w:rsid w:val="00A0517F"/>
    <w:rsid w:val="00A06354"/>
    <w:rsid w:val="00A07A2F"/>
    <w:rsid w:val="00A11022"/>
    <w:rsid w:val="00A20726"/>
    <w:rsid w:val="00A213A8"/>
    <w:rsid w:val="00A21F3E"/>
    <w:rsid w:val="00A27DA3"/>
    <w:rsid w:val="00A32C77"/>
    <w:rsid w:val="00A350F3"/>
    <w:rsid w:val="00A35A01"/>
    <w:rsid w:val="00A36B55"/>
    <w:rsid w:val="00A37859"/>
    <w:rsid w:val="00A4324C"/>
    <w:rsid w:val="00A46725"/>
    <w:rsid w:val="00A61E0A"/>
    <w:rsid w:val="00A64EC4"/>
    <w:rsid w:val="00A6708D"/>
    <w:rsid w:val="00A7023B"/>
    <w:rsid w:val="00A820E5"/>
    <w:rsid w:val="00A959B1"/>
    <w:rsid w:val="00A974CC"/>
    <w:rsid w:val="00AA3674"/>
    <w:rsid w:val="00AA6088"/>
    <w:rsid w:val="00AB0E91"/>
    <w:rsid w:val="00AB4D40"/>
    <w:rsid w:val="00AB65E7"/>
    <w:rsid w:val="00AC76A5"/>
    <w:rsid w:val="00AD1CE4"/>
    <w:rsid w:val="00AD20EA"/>
    <w:rsid w:val="00AD3414"/>
    <w:rsid w:val="00AD4EB0"/>
    <w:rsid w:val="00AD500F"/>
    <w:rsid w:val="00AE1843"/>
    <w:rsid w:val="00AE2CB4"/>
    <w:rsid w:val="00AE3463"/>
    <w:rsid w:val="00AE3DBC"/>
    <w:rsid w:val="00AE4611"/>
    <w:rsid w:val="00AE6898"/>
    <w:rsid w:val="00AE6FC3"/>
    <w:rsid w:val="00AF080D"/>
    <w:rsid w:val="00AF6545"/>
    <w:rsid w:val="00AF73D3"/>
    <w:rsid w:val="00B00FC3"/>
    <w:rsid w:val="00B034A9"/>
    <w:rsid w:val="00B13946"/>
    <w:rsid w:val="00B205CA"/>
    <w:rsid w:val="00B23030"/>
    <w:rsid w:val="00B30CC7"/>
    <w:rsid w:val="00B34966"/>
    <w:rsid w:val="00B35C15"/>
    <w:rsid w:val="00B37E92"/>
    <w:rsid w:val="00B4425A"/>
    <w:rsid w:val="00B47179"/>
    <w:rsid w:val="00B52584"/>
    <w:rsid w:val="00B55A2A"/>
    <w:rsid w:val="00B55EA2"/>
    <w:rsid w:val="00B62B7F"/>
    <w:rsid w:val="00B639F0"/>
    <w:rsid w:val="00B665E6"/>
    <w:rsid w:val="00B71D31"/>
    <w:rsid w:val="00B727F3"/>
    <w:rsid w:val="00B8348F"/>
    <w:rsid w:val="00B84319"/>
    <w:rsid w:val="00B85280"/>
    <w:rsid w:val="00B87F78"/>
    <w:rsid w:val="00B90F17"/>
    <w:rsid w:val="00B933B3"/>
    <w:rsid w:val="00B94B30"/>
    <w:rsid w:val="00B95C51"/>
    <w:rsid w:val="00BA7778"/>
    <w:rsid w:val="00BA7D17"/>
    <w:rsid w:val="00BB076E"/>
    <w:rsid w:val="00BB13C2"/>
    <w:rsid w:val="00BB1CF2"/>
    <w:rsid w:val="00BB7A25"/>
    <w:rsid w:val="00BB7EB8"/>
    <w:rsid w:val="00BC0892"/>
    <w:rsid w:val="00BC08CC"/>
    <w:rsid w:val="00BC0A3C"/>
    <w:rsid w:val="00BC1DB2"/>
    <w:rsid w:val="00BC5916"/>
    <w:rsid w:val="00BC621F"/>
    <w:rsid w:val="00BD0BA1"/>
    <w:rsid w:val="00BD1DC8"/>
    <w:rsid w:val="00BD4E78"/>
    <w:rsid w:val="00BE0DB1"/>
    <w:rsid w:val="00BE1EE6"/>
    <w:rsid w:val="00C032F0"/>
    <w:rsid w:val="00C03503"/>
    <w:rsid w:val="00C10E3A"/>
    <w:rsid w:val="00C125B0"/>
    <w:rsid w:val="00C20621"/>
    <w:rsid w:val="00C21933"/>
    <w:rsid w:val="00C21A9D"/>
    <w:rsid w:val="00C22AD7"/>
    <w:rsid w:val="00C251D5"/>
    <w:rsid w:val="00C274D7"/>
    <w:rsid w:val="00C276FE"/>
    <w:rsid w:val="00C3168C"/>
    <w:rsid w:val="00C33238"/>
    <w:rsid w:val="00C355F7"/>
    <w:rsid w:val="00C4091E"/>
    <w:rsid w:val="00C50235"/>
    <w:rsid w:val="00C52318"/>
    <w:rsid w:val="00C52681"/>
    <w:rsid w:val="00C57E29"/>
    <w:rsid w:val="00C62120"/>
    <w:rsid w:val="00C63E8C"/>
    <w:rsid w:val="00C64481"/>
    <w:rsid w:val="00C659A7"/>
    <w:rsid w:val="00C664D3"/>
    <w:rsid w:val="00C6744B"/>
    <w:rsid w:val="00C73DDF"/>
    <w:rsid w:val="00C76FFC"/>
    <w:rsid w:val="00C81BE8"/>
    <w:rsid w:val="00C823A6"/>
    <w:rsid w:val="00C824EB"/>
    <w:rsid w:val="00C825CF"/>
    <w:rsid w:val="00C8637E"/>
    <w:rsid w:val="00C9259F"/>
    <w:rsid w:val="00C926CB"/>
    <w:rsid w:val="00C93BC1"/>
    <w:rsid w:val="00C9456A"/>
    <w:rsid w:val="00C9521C"/>
    <w:rsid w:val="00CA2DD4"/>
    <w:rsid w:val="00CA3398"/>
    <w:rsid w:val="00CA3B10"/>
    <w:rsid w:val="00CA40FA"/>
    <w:rsid w:val="00CA6926"/>
    <w:rsid w:val="00CA6D3A"/>
    <w:rsid w:val="00CA735C"/>
    <w:rsid w:val="00CB0BBD"/>
    <w:rsid w:val="00CB3AD5"/>
    <w:rsid w:val="00CC2845"/>
    <w:rsid w:val="00CC63B0"/>
    <w:rsid w:val="00CC6CA1"/>
    <w:rsid w:val="00CD624C"/>
    <w:rsid w:val="00CD6EA5"/>
    <w:rsid w:val="00CD71EB"/>
    <w:rsid w:val="00CE08FE"/>
    <w:rsid w:val="00CE114A"/>
    <w:rsid w:val="00CE4268"/>
    <w:rsid w:val="00D0088D"/>
    <w:rsid w:val="00D02704"/>
    <w:rsid w:val="00D11BAD"/>
    <w:rsid w:val="00D13D39"/>
    <w:rsid w:val="00D2518B"/>
    <w:rsid w:val="00D32E4E"/>
    <w:rsid w:val="00D33C8E"/>
    <w:rsid w:val="00D351F5"/>
    <w:rsid w:val="00D35790"/>
    <w:rsid w:val="00D378EC"/>
    <w:rsid w:val="00D43032"/>
    <w:rsid w:val="00D46163"/>
    <w:rsid w:val="00D5385A"/>
    <w:rsid w:val="00D5532B"/>
    <w:rsid w:val="00D56765"/>
    <w:rsid w:val="00D57387"/>
    <w:rsid w:val="00D62D15"/>
    <w:rsid w:val="00D7176A"/>
    <w:rsid w:val="00D71B6A"/>
    <w:rsid w:val="00D7652E"/>
    <w:rsid w:val="00D822BF"/>
    <w:rsid w:val="00D83E8C"/>
    <w:rsid w:val="00D8542B"/>
    <w:rsid w:val="00DA0D39"/>
    <w:rsid w:val="00DA61F7"/>
    <w:rsid w:val="00DB4A50"/>
    <w:rsid w:val="00DC207D"/>
    <w:rsid w:val="00DC2266"/>
    <w:rsid w:val="00DC4D4D"/>
    <w:rsid w:val="00DD1C67"/>
    <w:rsid w:val="00DE319D"/>
    <w:rsid w:val="00DE6DB7"/>
    <w:rsid w:val="00DF0248"/>
    <w:rsid w:val="00DF1776"/>
    <w:rsid w:val="00DF2758"/>
    <w:rsid w:val="00DF39EC"/>
    <w:rsid w:val="00DF5ABC"/>
    <w:rsid w:val="00DF6155"/>
    <w:rsid w:val="00DF713C"/>
    <w:rsid w:val="00E01E14"/>
    <w:rsid w:val="00E02942"/>
    <w:rsid w:val="00E25170"/>
    <w:rsid w:val="00E27DCD"/>
    <w:rsid w:val="00E32EA5"/>
    <w:rsid w:val="00E34D75"/>
    <w:rsid w:val="00E37086"/>
    <w:rsid w:val="00E46AD6"/>
    <w:rsid w:val="00E52B75"/>
    <w:rsid w:val="00E6506C"/>
    <w:rsid w:val="00E66DCF"/>
    <w:rsid w:val="00E77297"/>
    <w:rsid w:val="00E833DA"/>
    <w:rsid w:val="00E849EC"/>
    <w:rsid w:val="00E86217"/>
    <w:rsid w:val="00E910D0"/>
    <w:rsid w:val="00E94E71"/>
    <w:rsid w:val="00EA19BD"/>
    <w:rsid w:val="00EA7D6D"/>
    <w:rsid w:val="00EA7DB9"/>
    <w:rsid w:val="00EB0C79"/>
    <w:rsid w:val="00EB6CF9"/>
    <w:rsid w:val="00EC41A5"/>
    <w:rsid w:val="00EC54C3"/>
    <w:rsid w:val="00EC76A0"/>
    <w:rsid w:val="00ED0B1D"/>
    <w:rsid w:val="00ED0E67"/>
    <w:rsid w:val="00EE5E7F"/>
    <w:rsid w:val="00EE7C49"/>
    <w:rsid w:val="00EF2EE2"/>
    <w:rsid w:val="00F023B4"/>
    <w:rsid w:val="00F057A9"/>
    <w:rsid w:val="00F11CA5"/>
    <w:rsid w:val="00F1575B"/>
    <w:rsid w:val="00F22BC9"/>
    <w:rsid w:val="00F24BD0"/>
    <w:rsid w:val="00F3208C"/>
    <w:rsid w:val="00F33BD8"/>
    <w:rsid w:val="00F406BB"/>
    <w:rsid w:val="00F43EB0"/>
    <w:rsid w:val="00F4414D"/>
    <w:rsid w:val="00F5157C"/>
    <w:rsid w:val="00F550B4"/>
    <w:rsid w:val="00F57726"/>
    <w:rsid w:val="00F636BA"/>
    <w:rsid w:val="00F64904"/>
    <w:rsid w:val="00F66D4A"/>
    <w:rsid w:val="00F675AA"/>
    <w:rsid w:val="00F7212D"/>
    <w:rsid w:val="00F72611"/>
    <w:rsid w:val="00F73198"/>
    <w:rsid w:val="00F76815"/>
    <w:rsid w:val="00F770E9"/>
    <w:rsid w:val="00F807EF"/>
    <w:rsid w:val="00F8470A"/>
    <w:rsid w:val="00F93719"/>
    <w:rsid w:val="00F975A0"/>
    <w:rsid w:val="00FA1260"/>
    <w:rsid w:val="00FB4437"/>
    <w:rsid w:val="00FC0BF3"/>
    <w:rsid w:val="00FC67DA"/>
    <w:rsid w:val="00FD2294"/>
    <w:rsid w:val="00FD6AE0"/>
    <w:rsid w:val="00FE207D"/>
    <w:rsid w:val="00FE534F"/>
    <w:rsid w:val="00FF343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D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CE"/>
    <w:pPr>
      <w:spacing w:before="36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CE"/>
    <w:p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B3"/>
    <w:rPr>
      <w:vertAlign w:val="superscript"/>
    </w:rPr>
  </w:style>
  <w:style w:type="paragraph" w:customStyle="1" w:styleId="subsection">
    <w:name w:val="subsection"/>
    <w:aliases w:val="ss"/>
    <w:basedOn w:val="Normal"/>
    <w:link w:val="subsectionChar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0173BA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CE"/>
    <w:rPr>
      <w:rFonts w:ascii="Times New Roman" w:eastAsia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CE"/>
    <w:rPr>
      <w:rFonts w:ascii="Times New Roman" w:eastAsia="Times New Roman" w:hAnsi="Times New Roman"/>
      <w:b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2A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A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2A1D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95C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C51"/>
    <w:rPr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locked/>
    <w:rsid w:val="00655754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9028807B06866643977C77C5CE0CA556" ma:contentTypeVersion="" ma:contentTypeDescription="PDMS Documentation Content Type" ma:contentTypeScope="" ma:versionID="5c5c29de164416d424160da4cfdf58e2">
  <xsd:schema xmlns:xsd="http://www.w3.org/2001/XMLSchema" xmlns:xs="http://www.w3.org/2001/XMLSchema" xmlns:p="http://schemas.microsoft.com/office/2006/metadata/properties" xmlns:ns2="07B32359-1CCA-4070-86C2-49E20CDAF256" targetNamespace="http://schemas.microsoft.com/office/2006/metadata/properties" ma:root="true" ma:fieldsID="b84278afc923d84f63b02bb1b8a94f3a" ns2:_="">
    <xsd:import namespace="07B32359-1CCA-4070-86C2-49E20CDAF25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32359-1CCA-4070-86C2-49E20CDAF25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07B32359-1CCA-4070-86C2-49E20CDAF256" xsi:nil="true"/>
    <pdms_SecurityClassification xmlns="07B32359-1CCA-4070-86C2-49E20CDAF256" xsi:nil="true"/>
    <pdms_DocumentType xmlns="07B32359-1CCA-4070-86C2-49E20CDAF256" xsi:nil="true"/>
    <pdms_Reason xmlns="07B32359-1CCA-4070-86C2-49E20CDAF256" xsi:nil="true"/>
    <SecurityClassification xmlns="07B32359-1CCA-4070-86C2-49E20CDAF2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0AD3F-EC83-4A80-8C91-F169218AD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32359-1CCA-4070-86C2-49E20CDAF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C0BB2-8B8E-4D7F-A1EB-011078CFB03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B32359-1CCA-4070-86C2-49E20CDAF2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81BBDE-A415-4171-9CF3-30A0C709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3618</Words>
  <Characters>20629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MC17-017752 - Tab C - Explanatory Statement for Determination</vt:lpstr>
    </vt:vector>
  </TitlesOfParts>
  <Company>Australian Communications and Media Authority</Company>
  <LinksUpToDate>false</LinksUpToDate>
  <CharactersWithSpaces>24199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MC17-017752 - Tab C - Explanatory Statement for Determination</dc:title>
  <dc:subject/>
  <dc:creator>Annette Vella</dc:creator>
  <cp:keywords/>
  <dc:description/>
  <cp:lastModifiedBy>Sorensen, Joshua</cp:lastModifiedBy>
  <cp:revision>2</cp:revision>
  <cp:lastPrinted>2017-12-22T02:39:00Z</cp:lastPrinted>
  <dcterms:created xsi:type="dcterms:W3CDTF">2018-01-24T22:57:00Z</dcterms:created>
  <dcterms:modified xsi:type="dcterms:W3CDTF">2018-01-24T22:57:00Z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0x010100266966F133664895A6EE3632470D45F501009028807B06866643977C77C5CE0CA556</vt:lpwstr>
  </property>
  <property fmtid="{D5CDD505-2E9C-101B-9397-08002B2CF9AE}" pid="3" name="_dlc_DocIdItemGuid">
    <vt:lpwstr>e97d7d38-85c9-4ad0-86d5-75718610b655</vt:lpwstr>
  </property>
  <property fmtid="{D5CDD505-2E9C-101B-9397-08002B2CF9AE}" pid="4" name="TrimRevisionNumber">
    <vt:i4>1</vt:i4>
  </property>
</Properties>
</file>