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CE7476" w14:textId="77777777" w:rsidR="00637B19" w:rsidRPr="00A456F8" w:rsidRDefault="009543D6" w:rsidP="00637B19">
      <w:pPr>
        <w:pStyle w:val="Heading1"/>
        <w:rPr>
          <w:rFonts w:ascii="Calibri" w:hAnsi="Calibri" w:cs="Calibri"/>
          <w:i/>
          <w:spacing w:val="-2"/>
        </w:rPr>
      </w:pPr>
      <w:r w:rsidRPr="00A456F8">
        <w:rPr>
          <w:rFonts w:ascii="Calibri" w:hAnsi="Calibri" w:cs="Calibri"/>
          <w:i/>
          <w:spacing w:val="-2"/>
        </w:rPr>
        <w:t>Legislation (</w:t>
      </w:r>
      <w:r w:rsidR="00E531D3">
        <w:rPr>
          <w:rFonts w:ascii="Calibri" w:hAnsi="Calibri" w:cs="Calibri"/>
          <w:i/>
          <w:spacing w:val="-2"/>
        </w:rPr>
        <w:t>Human Rights</w:t>
      </w:r>
      <w:r w:rsidRPr="00A456F8">
        <w:rPr>
          <w:rFonts w:ascii="Calibri" w:hAnsi="Calibri" w:cs="Calibri"/>
          <w:i/>
          <w:spacing w:val="-2"/>
        </w:rPr>
        <w:t xml:space="preserve"> Instruments) Sunset-altering Declaration 2018</w:t>
      </w:r>
    </w:p>
    <w:p w14:paraId="7DCE7477" w14:textId="77777777" w:rsidR="00637B19" w:rsidRDefault="00637B19" w:rsidP="00637B19">
      <w:pPr>
        <w:pStyle w:val="Heading1"/>
        <w:rPr>
          <w:rFonts w:ascii="Calibri" w:hAnsi="Calibri" w:cs="Calibri"/>
        </w:rPr>
      </w:pPr>
      <w:r>
        <w:rPr>
          <w:rFonts w:ascii="Calibri" w:hAnsi="Calibri" w:cs="Calibri"/>
        </w:rPr>
        <w:t>EXPLANATORY STATEMENT</w:t>
      </w:r>
    </w:p>
    <w:p w14:paraId="7DCE7478" w14:textId="77777777" w:rsidR="00637B19" w:rsidRDefault="005125E8" w:rsidP="00E22920">
      <w:pPr>
        <w:spacing w:before="240" w:line="240" w:lineRule="auto"/>
        <w:jc w:val="center"/>
        <w:rPr>
          <w:rFonts w:ascii="Calibri" w:hAnsi="Calibri" w:cs="Calibri"/>
          <w:i/>
        </w:rPr>
      </w:pPr>
      <w:r w:rsidRPr="00B232F6">
        <w:rPr>
          <w:rFonts w:ascii="Calibri" w:hAnsi="Calibri" w:cs="Calibri"/>
        </w:rPr>
        <w:t>Issued by the Attorney</w:t>
      </w:r>
      <w:r w:rsidRPr="00B232F6">
        <w:rPr>
          <w:rFonts w:ascii="Calibri" w:hAnsi="Calibri" w:cs="Calibri"/>
        </w:rPr>
        <w:noBreakHyphen/>
        <w:t xml:space="preserve">General in compliance with section 15G of the </w:t>
      </w:r>
      <w:r w:rsidRPr="00B232F6">
        <w:rPr>
          <w:rFonts w:ascii="Calibri" w:hAnsi="Calibri" w:cs="Calibri"/>
          <w:i/>
        </w:rPr>
        <w:t>Legislation Act 2003</w:t>
      </w:r>
    </w:p>
    <w:p w14:paraId="7DCE7479" w14:textId="77777777" w:rsidR="00637B19" w:rsidRDefault="00637B19" w:rsidP="00637B19">
      <w:pPr>
        <w:pBdr>
          <w:bottom w:val="single" w:sz="4" w:space="1" w:color="auto"/>
        </w:pBdr>
        <w:spacing w:after="240"/>
        <w:jc w:val="center"/>
        <w:rPr>
          <w:rFonts w:ascii="Calibri" w:hAnsi="Calibri" w:cs="Calibri"/>
        </w:rPr>
      </w:pPr>
    </w:p>
    <w:p w14:paraId="7DCE747A" w14:textId="77777777" w:rsidR="00637B19" w:rsidRDefault="00637B19" w:rsidP="00637B19">
      <w:pPr>
        <w:pStyle w:val="Heading2"/>
        <w:rPr>
          <w:rFonts w:ascii="Calibri" w:hAnsi="Calibri" w:cs="Calibri"/>
        </w:rPr>
      </w:pPr>
      <w:r>
        <w:rPr>
          <w:rFonts w:ascii="Calibri" w:hAnsi="Calibri" w:cs="Calibri"/>
        </w:rPr>
        <w:t>INTRODUCTION</w:t>
      </w:r>
    </w:p>
    <w:p w14:paraId="7DCE747B" w14:textId="77777777" w:rsidR="00637B19" w:rsidRDefault="00637B19" w:rsidP="00637B19">
      <w:pPr>
        <w:spacing w:before="180" w:line="240" w:lineRule="auto"/>
        <w:rPr>
          <w:rFonts w:ascii="Calibri" w:hAnsi="Calibri" w:cs="Calibri"/>
        </w:rPr>
      </w:pPr>
      <w:r>
        <w:rPr>
          <w:rFonts w:ascii="Calibri" w:hAnsi="Calibri" w:cs="Calibri"/>
        </w:rPr>
        <w:t>This declaration was made under subsection </w:t>
      </w:r>
      <w:proofErr w:type="gramStart"/>
      <w:r>
        <w:rPr>
          <w:rFonts w:ascii="Calibri" w:hAnsi="Calibri" w:cs="Calibri"/>
        </w:rPr>
        <w:t>51A</w:t>
      </w:r>
      <w:r w:rsidR="00EE3F45">
        <w:rPr>
          <w:rFonts w:ascii="Calibri" w:hAnsi="Calibri" w:cs="Calibri"/>
        </w:rPr>
        <w:t>(</w:t>
      </w:r>
      <w:proofErr w:type="gramEnd"/>
      <w:r w:rsidR="00EE3F45">
        <w:rPr>
          <w:rFonts w:ascii="Calibri" w:hAnsi="Calibri" w:cs="Calibri"/>
        </w:rPr>
        <w:t>1)</w:t>
      </w:r>
      <w:r>
        <w:rPr>
          <w:rFonts w:ascii="Calibri" w:hAnsi="Calibri" w:cs="Calibri"/>
        </w:rPr>
        <w:t xml:space="preserve"> of the </w:t>
      </w:r>
      <w:r w:rsidR="00D3246B">
        <w:rPr>
          <w:rFonts w:ascii="Calibri" w:hAnsi="Calibri" w:cs="Calibri"/>
          <w:i/>
        </w:rPr>
        <w:t xml:space="preserve">Legislation Act 2003 </w:t>
      </w:r>
      <w:r>
        <w:rPr>
          <w:rFonts w:ascii="Calibri" w:hAnsi="Calibri" w:cs="Calibri"/>
        </w:rPr>
        <w:t xml:space="preserve">and is a legislative instrument for the purposes of the </w:t>
      </w:r>
      <w:r w:rsidR="00882B43">
        <w:rPr>
          <w:rFonts w:ascii="Calibri" w:hAnsi="Calibri" w:cs="Calibri"/>
        </w:rPr>
        <w:t>Legislation Act</w:t>
      </w:r>
      <w:r>
        <w:rPr>
          <w:rFonts w:ascii="Calibri" w:hAnsi="Calibri" w:cs="Calibri"/>
        </w:rPr>
        <w:t xml:space="preserve">. The declaration is subject to the disallowance provisions of the </w:t>
      </w:r>
      <w:r w:rsidR="00882B43">
        <w:rPr>
          <w:rFonts w:ascii="Calibri" w:hAnsi="Calibri" w:cs="Calibri"/>
        </w:rPr>
        <w:t>Legislation Act</w:t>
      </w:r>
      <w:r>
        <w:rPr>
          <w:rFonts w:ascii="Calibri" w:hAnsi="Calibri" w:cs="Calibri"/>
        </w:rPr>
        <w:t xml:space="preserve">. </w:t>
      </w:r>
    </w:p>
    <w:p w14:paraId="7DCE747C" w14:textId="77777777" w:rsidR="00637B19" w:rsidRDefault="00637B19" w:rsidP="00637B19">
      <w:pPr>
        <w:pStyle w:val="Heading2"/>
        <w:rPr>
          <w:rFonts w:ascii="Calibri" w:hAnsi="Calibri" w:cs="Calibri"/>
        </w:rPr>
      </w:pPr>
      <w:r>
        <w:rPr>
          <w:rFonts w:ascii="Calibri" w:hAnsi="Calibri" w:cs="Calibri"/>
        </w:rPr>
        <w:t>OUTLINE</w:t>
      </w:r>
    </w:p>
    <w:p w14:paraId="7DCE747D" w14:textId="77777777" w:rsidR="00637B19" w:rsidRDefault="00637B19" w:rsidP="00637B19">
      <w:pPr>
        <w:spacing w:before="180" w:line="240" w:lineRule="auto"/>
        <w:rPr>
          <w:rFonts w:ascii="Calibri" w:hAnsi="Calibri" w:cs="Calibri"/>
        </w:rPr>
      </w:pPr>
      <w:r>
        <w:rPr>
          <w:rFonts w:ascii="Calibri" w:hAnsi="Calibri" w:cs="Calibri"/>
        </w:rPr>
        <w:t xml:space="preserve">The purpose of </w:t>
      </w:r>
      <w:r w:rsidR="008C1ECD">
        <w:rPr>
          <w:rFonts w:ascii="Calibri" w:hAnsi="Calibri" w:cs="Calibri"/>
        </w:rPr>
        <w:t>Part 4 of Chapter 3 of the Legislation Act</w:t>
      </w:r>
      <w:r>
        <w:rPr>
          <w:rFonts w:ascii="Calibri" w:hAnsi="Calibri" w:cs="Calibri"/>
        </w:rPr>
        <w:t xml:space="preserve">, which provides for the </w:t>
      </w:r>
      <w:proofErr w:type="spellStart"/>
      <w:r>
        <w:rPr>
          <w:rFonts w:ascii="Calibri" w:hAnsi="Calibri" w:cs="Calibri"/>
        </w:rPr>
        <w:t>sunsetting</w:t>
      </w:r>
      <w:proofErr w:type="spellEnd"/>
      <w:r>
        <w:rPr>
          <w:rFonts w:ascii="Calibri" w:hAnsi="Calibri" w:cs="Calibri"/>
        </w:rPr>
        <w:t xml:space="preserve"> of legislative instruments, is to ensure that legislative instruments are kept up to date and only remain in force for so long as they are needed.</w:t>
      </w:r>
    </w:p>
    <w:p w14:paraId="7DCE747E" w14:textId="77777777" w:rsidR="00637B19" w:rsidRDefault="00637B19" w:rsidP="00637B19">
      <w:pPr>
        <w:spacing w:before="180" w:line="240" w:lineRule="auto"/>
        <w:rPr>
          <w:rFonts w:ascii="Calibri" w:hAnsi="Calibri" w:cs="Calibri"/>
        </w:rPr>
      </w:pPr>
      <w:r>
        <w:rPr>
          <w:rFonts w:ascii="Calibri" w:hAnsi="Calibri" w:cs="Calibri"/>
        </w:rPr>
        <w:t xml:space="preserve">Section 51A enables the Attorney-General to align the </w:t>
      </w:r>
      <w:proofErr w:type="spellStart"/>
      <w:r>
        <w:rPr>
          <w:rFonts w:ascii="Calibri" w:hAnsi="Calibri" w:cs="Calibri"/>
        </w:rPr>
        <w:t>sunsetting</w:t>
      </w:r>
      <w:proofErr w:type="spellEnd"/>
      <w:r>
        <w:rPr>
          <w:rFonts w:ascii="Calibri" w:hAnsi="Calibri" w:cs="Calibri"/>
        </w:rPr>
        <w:t xml:space="preserve"> dates of two or more instruments by declaration. The instruments will then all cease to be in force on the day specified in the declaration instead of the scheduled </w:t>
      </w:r>
      <w:proofErr w:type="spellStart"/>
      <w:r>
        <w:rPr>
          <w:rFonts w:ascii="Calibri" w:hAnsi="Calibri" w:cs="Calibri"/>
        </w:rPr>
        <w:t>sunsetting</w:t>
      </w:r>
      <w:proofErr w:type="spellEnd"/>
      <w:r>
        <w:rPr>
          <w:rFonts w:ascii="Calibri" w:hAnsi="Calibri" w:cs="Calibri"/>
        </w:rPr>
        <w:t xml:space="preserve"> day of each instrument. </w:t>
      </w:r>
    </w:p>
    <w:p w14:paraId="7DCE747F" w14:textId="77777777" w:rsidR="00637B19" w:rsidRDefault="00637B19" w:rsidP="00637B19">
      <w:pPr>
        <w:spacing w:before="180" w:line="240" w:lineRule="auto"/>
        <w:rPr>
          <w:rFonts w:ascii="Calibri" w:hAnsi="Calibri" w:cs="Calibri"/>
        </w:rPr>
      </w:pPr>
      <w:r>
        <w:rPr>
          <w:rFonts w:ascii="Calibri" w:hAnsi="Calibri" w:cs="Calibri"/>
        </w:rPr>
        <w:t>This allows instruments to continue to be in force for a further but limited period of time w</w:t>
      </w:r>
      <w:r w:rsidR="005E7489">
        <w:rPr>
          <w:rFonts w:ascii="Calibri" w:hAnsi="Calibri" w:cs="Calibri"/>
        </w:rPr>
        <w:t>hen they would otherwise sunset,</w:t>
      </w:r>
      <w:r>
        <w:rPr>
          <w:rFonts w:ascii="Calibri" w:hAnsi="Calibri" w:cs="Calibri"/>
        </w:rPr>
        <w:t xml:space="preserve"> or to sunset earlier than the originally scheduled </w:t>
      </w:r>
      <w:proofErr w:type="spellStart"/>
      <w:r>
        <w:rPr>
          <w:rFonts w:ascii="Calibri" w:hAnsi="Calibri" w:cs="Calibri"/>
        </w:rPr>
        <w:t>sunsetting</w:t>
      </w:r>
      <w:proofErr w:type="spellEnd"/>
      <w:r>
        <w:rPr>
          <w:rFonts w:ascii="Calibri" w:hAnsi="Calibri" w:cs="Calibri"/>
        </w:rPr>
        <w:t xml:space="preserve"> day. The purpose of </w:t>
      </w:r>
      <w:r w:rsidR="00E450F5">
        <w:rPr>
          <w:rFonts w:ascii="Calibri" w:hAnsi="Calibri" w:cs="Calibri"/>
        </w:rPr>
        <w:t>this</w:t>
      </w:r>
      <w:r>
        <w:rPr>
          <w:rFonts w:ascii="Calibri" w:hAnsi="Calibri" w:cs="Calibri"/>
        </w:rPr>
        <w:t xml:space="preserve"> alignment is to </w:t>
      </w:r>
      <w:r w:rsidR="003939FB" w:rsidRPr="003939FB">
        <w:rPr>
          <w:rFonts w:ascii="Calibri" w:hAnsi="Calibri" w:cs="Calibri"/>
        </w:rPr>
        <w:t>facilitate more efficient and effective review processes by enabling a single thematic review into the fitness-for-purpose of all instruments relevant to a particular industry</w:t>
      </w:r>
      <w:r w:rsidR="00EA0796">
        <w:rPr>
          <w:rFonts w:ascii="Calibri" w:hAnsi="Calibri" w:cs="Calibri"/>
        </w:rPr>
        <w:t>, enabling Act</w:t>
      </w:r>
      <w:r w:rsidR="003939FB" w:rsidRPr="003939FB">
        <w:rPr>
          <w:rFonts w:ascii="Calibri" w:hAnsi="Calibri" w:cs="Calibri"/>
        </w:rPr>
        <w:t xml:space="preserve"> or theme</w:t>
      </w:r>
      <w:r w:rsidR="00E22920">
        <w:rPr>
          <w:rFonts w:ascii="Calibri" w:hAnsi="Calibri" w:cs="Calibri"/>
        </w:rPr>
        <w:t xml:space="preserve">. </w:t>
      </w:r>
    </w:p>
    <w:p w14:paraId="7DCE7480" w14:textId="77777777" w:rsidR="00637B19" w:rsidRDefault="00637B19" w:rsidP="00637B19">
      <w:pPr>
        <w:spacing w:before="180" w:line="240" w:lineRule="auto"/>
        <w:rPr>
          <w:rFonts w:ascii="Calibri" w:hAnsi="Calibri" w:cs="Calibri"/>
        </w:rPr>
      </w:pPr>
      <w:r>
        <w:rPr>
          <w:rFonts w:ascii="Calibri" w:hAnsi="Calibri" w:cs="Calibri"/>
        </w:rPr>
        <w:t xml:space="preserve">This </w:t>
      </w:r>
      <w:r w:rsidR="00E75700">
        <w:rPr>
          <w:rFonts w:ascii="Calibri" w:hAnsi="Calibri" w:cs="Calibri"/>
        </w:rPr>
        <w:t xml:space="preserve">reduces </w:t>
      </w:r>
      <w:r>
        <w:rPr>
          <w:rFonts w:ascii="Calibri" w:hAnsi="Calibri" w:cs="Calibri"/>
        </w:rPr>
        <w:t xml:space="preserve">the administrative burden as well as legislative inconsistencies </w:t>
      </w:r>
      <w:r w:rsidR="00FA2F4A">
        <w:rPr>
          <w:rFonts w:ascii="Calibri" w:hAnsi="Calibri" w:cs="Calibri"/>
        </w:rPr>
        <w:t xml:space="preserve">that can </w:t>
      </w:r>
      <w:r>
        <w:rPr>
          <w:rFonts w:ascii="Calibri" w:hAnsi="Calibri" w:cs="Calibri"/>
        </w:rPr>
        <w:t xml:space="preserve">arise from </w:t>
      </w:r>
      <w:r w:rsidR="002B1F17" w:rsidRPr="002B1F17">
        <w:rPr>
          <w:rFonts w:ascii="Calibri" w:hAnsi="Calibri" w:cs="Calibri"/>
        </w:rPr>
        <w:t xml:space="preserve">reviewing and remaking </w:t>
      </w:r>
      <w:r>
        <w:rPr>
          <w:rFonts w:ascii="Calibri" w:hAnsi="Calibri" w:cs="Calibri"/>
        </w:rPr>
        <w:t xml:space="preserve">related legislation independently at different times. </w:t>
      </w:r>
    </w:p>
    <w:p w14:paraId="7DCE7481" w14:textId="77777777" w:rsidR="00637B19" w:rsidRDefault="00637B19" w:rsidP="00637B19">
      <w:pPr>
        <w:pStyle w:val="Heading2"/>
        <w:rPr>
          <w:rFonts w:ascii="Calibri" w:hAnsi="Calibri" w:cs="Calibri"/>
        </w:rPr>
      </w:pPr>
      <w:r>
        <w:rPr>
          <w:rFonts w:ascii="Calibri" w:hAnsi="Calibri" w:cs="Calibri"/>
        </w:rPr>
        <w:t xml:space="preserve">PROCESS BEFORE CERTIFICATE WAS MADE </w:t>
      </w:r>
    </w:p>
    <w:p w14:paraId="7DCE7482" w14:textId="77777777" w:rsidR="00637B19" w:rsidRDefault="00637B19" w:rsidP="00637B19">
      <w:pPr>
        <w:pStyle w:val="Heading3"/>
        <w:rPr>
          <w:rFonts w:ascii="Calibri" w:hAnsi="Calibri" w:cs="Calibri"/>
        </w:rPr>
      </w:pPr>
      <w:r>
        <w:rPr>
          <w:rFonts w:ascii="Calibri" w:hAnsi="Calibri" w:cs="Calibri"/>
        </w:rPr>
        <w:t>Regulatory impact analysis</w:t>
      </w:r>
    </w:p>
    <w:p w14:paraId="7DCE7483" w14:textId="77777777" w:rsidR="00637B19" w:rsidRDefault="00637B19" w:rsidP="00637B19">
      <w:pPr>
        <w:spacing w:before="180" w:line="240" w:lineRule="auto"/>
        <w:rPr>
          <w:rFonts w:ascii="Calibri" w:hAnsi="Calibri" w:cs="Calibri"/>
        </w:rPr>
      </w:pPr>
      <w:r>
        <w:rPr>
          <w:rFonts w:ascii="Calibri" w:hAnsi="Calibri" w:cs="Calibri"/>
        </w:rPr>
        <w:t xml:space="preserve">Sunset-altering declarations are machinery of government instruments, and are therefore not subject to the regulatory impact assessment requirements set out by the Office of Best Practice Regulation (OBPR). The OBPR reference for this standing exemption is ID 19486. </w:t>
      </w:r>
    </w:p>
    <w:p w14:paraId="7DCE7484" w14:textId="77777777" w:rsidR="00637B19" w:rsidRDefault="00637B19" w:rsidP="00637B19">
      <w:pPr>
        <w:pStyle w:val="Heading3"/>
        <w:rPr>
          <w:rFonts w:ascii="Calibri" w:hAnsi="Calibri" w:cs="Calibri"/>
        </w:rPr>
      </w:pPr>
      <w:r>
        <w:rPr>
          <w:rFonts w:ascii="Calibri" w:hAnsi="Calibri" w:cs="Calibri"/>
        </w:rPr>
        <w:t>Statement of compatibility with human rights obligations</w:t>
      </w:r>
    </w:p>
    <w:p w14:paraId="7DCE7485" w14:textId="77777777" w:rsidR="00637B19" w:rsidRDefault="00637B19" w:rsidP="00637B19">
      <w:pPr>
        <w:spacing w:before="180" w:line="240" w:lineRule="auto"/>
        <w:rPr>
          <w:rFonts w:ascii="Calibri" w:hAnsi="Calibri" w:cs="Calibri"/>
          <w:color w:val="000000"/>
        </w:rPr>
      </w:pPr>
      <w:r>
        <w:rPr>
          <w:rFonts w:ascii="Calibri" w:hAnsi="Calibri" w:cs="Calibri"/>
        </w:rPr>
        <w:t>Before this declaration was made, its impact on human rights was assessed using tools and guidance published by the Attorney</w:t>
      </w:r>
      <w:r>
        <w:rPr>
          <w:rFonts w:ascii="Calibri" w:hAnsi="Calibri" w:cs="Calibri"/>
        </w:rPr>
        <w:noBreakHyphen/>
        <w:t xml:space="preserve">General’s Department. It </w:t>
      </w:r>
      <w:r w:rsidR="00DF2741">
        <w:rPr>
          <w:rFonts w:ascii="Calibri" w:hAnsi="Calibri" w:cs="Calibri"/>
        </w:rPr>
        <w:t>does not engage any human rights</w:t>
      </w:r>
      <w:r>
        <w:rPr>
          <w:rFonts w:ascii="Calibri" w:hAnsi="Calibri" w:cs="Calibri"/>
        </w:rPr>
        <w:t xml:space="preserve"> as defined i</w:t>
      </w:r>
      <w:r>
        <w:rPr>
          <w:rFonts w:ascii="Calibri" w:hAnsi="Calibri" w:cs="Calibri"/>
          <w:color w:val="000000"/>
        </w:rPr>
        <w:t xml:space="preserve">n section 3 of the </w:t>
      </w:r>
      <w:r w:rsidR="00D24AB9" w:rsidRPr="00D24AB9">
        <w:rPr>
          <w:rFonts w:ascii="Calibri" w:hAnsi="Calibri"/>
          <w:i/>
        </w:rPr>
        <w:t>Human Rights (Parliamentary Scrutiny) Act 2011</w:t>
      </w:r>
      <w:r>
        <w:rPr>
          <w:rFonts w:ascii="Calibri" w:hAnsi="Calibri" w:cs="Calibri"/>
          <w:color w:val="000000"/>
        </w:rPr>
        <w:t>.</w:t>
      </w:r>
    </w:p>
    <w:p w14:paraId="7DCE7486" w14:textId="77777777" w:rsidR="007817FD" w:rsidRDefault="007817FD" w:rsidP="00637B19">
      <w:pPr>
        <w:spacing w:before="180" w:line="240" w:lineRule="auto"/>
        <w:rPr>
          <w:rFonts w:ascii="Calibri" w:hAnsi="Calibri" w:cs="Calibri"/>
          <w:highlight w:val="cyan"/>
        </w:rPr>
      </w:pPr>
    </w:p>
    <w:p w14:paraId="7DCE7487" w14:textId="77777777" w:rsidR="00637B19" w:rsidRDefault="00637B19" w:rsidP="00637B19">
      <w:pPr>
        <w:pStyle w:val="Heading3"/>
        <w:rPr>
          <w:rFonts w:ascii="Calibri" w:hAnsi="Calibri" w:cs="Calibri"/>
        </w:rPr>
      </w:pPr>
      <w:r>
        <w:rPr>
          <w:rFonts w:ascii="Calibri" w:hAnsi="Calibri" w:cs="Calibri"/>
        </w:rPr>
        <w:lastRenderedPageBreak/>
        <w:t xml:space="preserve">Consultation before making </w:t>
      </w:r>
    </w:p>
    <w:p w14:paraId="7DCE7488" w14:textId="77777777" w:rsidR="007B6C83" w:rsidRPr="00FD6A91" w:rsidRDefault="00637B19" w:rsidP="00E531D3">
      <w:pPr>
        <w:spacing w:before="180" w:line="240" w:lineRule="auto"/>
        <w:rPr>
          <w:rFonts w:ascii="Calibri" w:hAnsi="Calibri" w:cs="Calibri"/>
        </w:rPr>
      </w:pPr>
      <w:r>
        <w:rPr>
          <w:rFonts w:ascii="Calibri" w:hAnsi="Calibri" w:cs="Calibri"/>
        </w:rPr>
        <w:t>Before this declaration was issued, the Attorney</w:t>
      </w:r>
      <w:r>
        <w:rPr>
          <w:rFonts w:ascii="Calibri" w:hAnsi="Calibri" w:cs="Calibri"/>
        </w:rPr>
        <w:noBreakHyphen/>
        <w:t xml:space="preserve">General considered the general obligation to consult imposed by section 17 of the </w:t>
      </w:r>
      <w:r w:rsidR="00E30016">
        <w:rPr>
          <w:rFonts w:ascii="Calibri" w:hAnsi="Calibri" w:cs="Calibri"/>
        </w:rPr>
        <w:t>Legislation Act</w:t>
      </w:r>
      <w:r>
        <w:rPr>
          <w:rFonts w:ascii="Calibri" w:hAnsi="Calibri" w:cs="Calibri"/>
        </w:rPr>
        <w:t>. In preparing the application for this declaration, the Attorney</w:t>
      </w:r>
      <w:r>
        <w:rPr>
          <w:rFonts w:ascii="Calibri" w:hAnsi="Calibri" w:cs="Calibri"/>
        </w:rPr>
        <w:noBreakHyphen/>
        <w:t xml:space="preserve">General’s </w:t>
      </w:r>
      <w:r w:rsidRPr="00FD6A91">
        <w:rPr>
          <w:rFonts w:asciiTheme="minorHAnsi" w:hAnsiTheme="minorHAnsi" w:cs="Calibri"/>
        </w:rPr>
        <w:t>Department</w:t>
      </w:r>
      <w:r w:rsidR="008B58CB" w:rsidRPr="00FD6A91">
        <w:rPr>
          <w:rFonts w:asciiTheme="minorHAnsi" w:hAnsiTheme="minorHAnsi" w:cs="Calibri"/>
        </w:rPr>
        <w:t xml:space="preserve"> consulted with</w:t>
      </w:r>
      <w:r w:rsidR="00E531D3" w:rsidRPr="00FD6A91">
        <w:rPr>
          <w:rFonts w:asciiTheme="minorHAnsi" w:hAnsiTheme="minorHAnsi" w:cs="Calibri"/>
        </w:rPr>
        <w:t xml:space="preserve"> the </w:t>
      </w:r>
      <w:r w:rsidR="00E531D3" w:rsidRPr="00FD6A91">
        <w:rPr>
          <w:rFonts w:asciiTheme="minorHAnsi" w:eastAsiaTheme="minorHAnsi" w:hAnsiTheme="minorHAnsi" w:cs="Arial"/>
          <w:spacing w:val="-2"/>
          <w:szCs w:val="22"/>
        </w:rPr>
        <w:t>Australian Human Rights Commission</w:t>
      </w:r>
      <w:r w:rsidR="00B30701">
        <w:rPr>
          <w:rFonts w:asciiTheme="minorHAnsi" w:eastAsiaTheme="minorHAnsi" w:hAnsiTheme="minorHAnsi" w:cs="Arial"/>
          <w:spacing w:val="-2"/>
          <w:szCs w:val="22"/>
        </w:rPr>
        <w:t xml:space="preserve"> (the Commission)</w:t>
      </w:r>
      <w:r w:rsidR="00E531D3" w:rsidRPr="00FD6A91">
        <w:rPr>
          <w:rFonts w:asciiTheme="minorHAnsi" w:hAnsiTheme="minorHAnsi" w:cs="Calibri"/>
        </w:rPr>
        <w:t xml:space="preserve">, the </w:t>
      </w:r>
      <w:r w:rsidR="00E531D3" w:rsidRPr="00FD6A91">
        <w:rPr>
          <w:rFonts w:asciiTheme="minorHAnsi" w:eastAsiaTheme="minorHAnsi" w:hAnsiTheme="minorHAnsi" w:cs="Arial"/>
          <w:spacing w:val="-2"/>
          <w:szCs w:val="22"/>
        </w:rPr>
        <w:t xml:space="preserve">Department of Employment and the </w:t>
      </w:r>
      <w:r w:rsidRPr="00FD6A91">
        <w:rPr>
          <w:rFonts w:asciiTheme="minorHAnsi" w:hAnsiTheme="minorHAnsi" w:cs="Calibri"/>
        </w:rPr>
        <w:t>Regulatory Reform Division in the Department of the Prime</w:t>
      </w:r>
      <w:r w:rsidR="00E531D3" w:rsidRPr="00FD6A91">
        <w:rPr>
          <w:rFonts w:asciiTheme="minorHAnsi" w:hAnsiTheme="minorHAnsi" w:cs="Calibri"/>
        </w:rPr>
        <w:t> </w:t>
      </w:r>
      <w:r w:rsidRPr="00FD6A91">
        <w:rPr>
          <w:rFonts w:asciiTheme="minorHAnsi" w:hAnsiTheme="minorHAnsi" w:cs="Calibri"/>
        </w:rPr>
        <w:t>Minister and Cabinet</w:t>
      </w:r>
      <w:r w:rsidR="008C5DD2" w:rsidRPr="00FD6A91">
        <w:rPr>
          <w:rFonts w:asciiTheme="minorHAnsi" w:hAnsiTheme="minorHAnsi" w:cs="Calibri"/>
        </w:rPr>
        <w:t xml:space="preserve">. The Attorney-General was satisfied that </w:t>
      </w:r>
      <w:r w:rsidR="00256FB1" w:rsidRPr="00FD6A91">
        <w:rPr>
          <w:rFonts w:asciiTheme="minorHAnsi" w:hAnsiTheme="minorHAnsi" w:cs="Calibri"/>
        </w:rPr>
        <w:t xml:space="preserve">the </w:t>
      </w:r>
      <w:r w:rsidR="008C5DD2" w:rsidRPr="00FD6A91">
        <w:rPr>
          <w:rFonts w:asciiTheme="minorHAnsi" w:hAnsiTheme="minorHAnsi" w:cs="Calibri"/>
        </w:rPr>
        <w:t>consultation was appropriate and reasonably</w:t>
      </w:r>
      <w:r w:rsidR="008C5DD2" w:rsidRPr="00FD6A91">
        <w:rPr>
          <w:rFonts w:ascii="Calibri" w:hAnsi="Calibri" w:cs="Calibri"/>
        </w:rPr>
        <w:t xml:space="preserve"> practicable to be undertaken.</w:t>
      </w:r>
    </w:p>
    <w:p w14:paraId="7DCE7489" w14:textId="77777777" w:rsidR="00637B19" w:rsidRDefault="00637B19" w:rsidP="00637B19">
      <w:pPr>
        <w:pStyle w:val="Heading3"/>
        <w:rPr>
          <w:rFonts w:ascii="Calibri" w:hAnsi="Calibri" w:cs="Calibri"/>
        </w:rPr>
      </w:pPr>
      <w:r>
        <w:rPr>
          <w:rFonts w:ascii="Calibri" w:hAnsi="Calibri" w:cs="Calibri"/>
        </w:rPr>
        <w:t>Statutory preconditions relevant to this declaration</w:t>
      </w:r>
    </w:p>
    <w:p w14:paraId="7DCE748A" w14:textId="77777777" w:rsidR="00637B19" w:rsidRDefault="00637B19" w:rsidP="00637B19">
      <w:pPr>
        <w:pStyle w:val="Heading2"/>
        <w:spacing w:before="180" w:after="120"/>
        <w:ind w:left="11" w:hanging="11"/>
        <w:rPr>
          <w:rFonts w:ascii="Calibri" w:hAnsi="Calibri" w:cs="Calibri"/>
          <w:b w:val="0"/>
          <w:sz w:val="22"/>
        </w:rPr>
      </w:pPr>
      <w:r>
        <w:rPr>
          <w:rFonts w:ascii="Calibri" w:hAnsi="Calibri" w:cs="Calibri"/>
          <w:b w:val="0"/>
          <w:sz w:val="22"/>
        </w:rPr>
        <w:t xml:space="preserve">If the Attorney-General is satisfied </w:t>
      </w:r>
      <w:r w:rsidR="00BC668C">
        <w:rPr>
          <w:rFonts w:ascii="Calibri" w:hAnsi="Calibri" w:cs="Calibri"/>
          <w:b w:val="0"/>
          <w:sz w:val="22"/>
        </w:rPr>
        <w:t>on written application fro</w:t>
      </w:r>
      <w:r w:rsidR="0015789B">
        <w:rPr>
          <w:rFonts w:ascii="Calibri" w:hAnsi="Calibri" w:cs="Calibri"/>
          <w:b w:val="0"/>
          <w:sz w:val="22"/>
        </w:rPr>
        <w:t xml:space="preserve">m the rule-maker </w:t>
      </w:r>
      <w:r>
        <w:rPr>
          <w:rFonts w:ascii="Calibri" w:hAnsi="Calibri" w:cs="Calibri"/>
          <w:b w:val="0"/>
          <w:sz w:val="22"/>
        </w:rPr>
        <w:t xml:space="preserve">that the statutory conditions in section 51A of the </w:t>
      </w:r>
      <w:r w:rsidR="00E53B1E">
        <w:rPr>
          <w:rFonts w:ascii="Calibri" w:hAnsi="Calibri" w:cs="Calibri"/>
          <w:b w:val="0"/>
          <w:sz w:val="22"/>
        </w:rPr>
        <w:t xml:space="preserve">Legislation Act </w:t>
      </w:r>
      <w:r>
        <w:rPr>
          <w:rFonts w:ascii="Calibri" w:hAnsi="Calibri" w:cs="Calibri"/>
          <w:b w:val="0"/>
          <w:sz w:val="22"/>
        </w:rPr>
        <w:t xml:space="preserve">are met, the </w:t>
      </w:r>
      <w:proofErr w:type="spellStart"/>
      <w:r>
        <w:rPr>
          <w:rFonts w:ascii="Calibri" w:hAnsi="Calibri" w:cs="Calibri"/>
          <w:b w:val="0"/>
          <w:sz w:val="22"/>
        </w:rPr>
        <w:t>sunsetting</w:t>
      </w:r>
      <w:proofErr w:type="spellEnd"/>
      <w:r>
        <w:rPr>
          <w:rFonts w:ascii="Calibri" w:hAnsi="Calibri" w:cs="Calibri"/>
          <w:b w:val="0"/>
          <w:sz w:val="22"/>
        </w:rPr>
        <w:t xml:space="preserve"> day of two or more legislative instruments can be aligned by means of a declaration made under that section. The statutory conditions are that: </w:t>
      </w:r>
    </w:p>
    <w:p w14:paraId="7DCE748B" w14:textId="77777777" w:rsidR="00637B19" w:rsidRDefault="00C01C86" w:rsidP="00FD6A91">
      <w:pPr>
        <w:pStyle w:val="Heading2"/>
        <w:numPr>
          <w:ilvl w:val="0"/>
          <w:numId w:val="3"/>
        </w:numPr>
        <w:spacing w:before="0"/>
        <w:rPr>
          <w:rFonts w:ascii="Calibri" w:hAnsi="Calibri" w:cs="Calibri"/>
          <w:b w:val="0"/>
          <w:sz w:val="22"/>
        </w:rPr>
      </w:pPr>
      <w:proofErr w:type="gramStart"/>
      <w:r w:rsidRPr="00C01C86">
        <w:rPr>
          <w:rFonts w:ascii="Calibri" w:hAnsi="Calibri" w:cs="Calibri"/>
          <w:b w:val="0"/>
          <w:sz w:val="22"/>
        </w:rPr>
        <w:t>all</w:t>
      </w:r>
      <w:proofErr w:type="gramEnd"/>
      <w:r w:rsidRPr="00C01C86">
        <w:rPr>
          <w:rFonts w:ascii="Calibri" w:hAnsi="Calibri" w:cs="Calibri"/>
          <w:b w:val="0"/>
          <w:sz w:val="22"/>
        </w:rPr>
        <w:t xml:space="preserve"> the instruments to be reviewed </w:t>
      </w:r>
      <w:r w:rsidR="00637B19">
        <w:rPr>
          <w:rFonts w:ascii="Calibri" w:hAnsi="Calibri" w:cs="Calibri"/>
          <w:b w:val="0"/>
          <w:sz w:val="22"/>
        </w:rPr>
        <w:t xml:space="preserve">would (in the absence of a declaration under section 51A) be subject to </w:t>
      </w:r>
      <w:proofErr w:type="spellStart"/>
      <w:r w:rsidR="00637B19">
        <w:rPr>
          <w:rFonts w:ascii="Calibri" w:hAnsi="Calibri" w:cs="Calibri"/>
          <w:b w:val="0"/>
          <w:sz w:val="22"/>
        </w:rPr>
        <w:t>sunsetting</w:t>
      </w:r>
      <w:proofErr w:type="spellEnd"/>
      <w:r w:rsidR="00637B19">
        <w:rPr>
          <w:rFonts w:ascii="Calibri" w:hAnsi="Calibri" w:cs="Calibri"/>
          <w:b w:val="0"/>
          <w:sz w:val="22"/>
        </w:rPr>
        <w:t xml:space="preserve">  </w:t>
      </w:r>
    </w:p>
    <w:p w14:paraId="7DCE748C" w14:textId="77777777" w:rsidR="00EA0796" w:rsidRDefault="00C01C86" w:rsidP="00FD6A91">
      <w:pPr>
        <w:pStyle w:val="Heading2"/>
        <w:numPr>
          <w:ilvl w:val="0"/>
          <w:numId w:val="3"/>
        </w:numPr>
        <w:spacing w:before="0"/>
        <w:rPr>
          <w:rFonts w:ascii="Calibri" w:hAnsi="Calibri" w:cs="Calibri"/>
          <w:b w:val="0"/>
          <w:sz w:val="22"/>
        </w:rPr>
      </w:pPr>
      <w:proofErr w:type="gramStart"/>
      <w:r w:rsidRPr="00C01C86">
        <w:rPr>
          <w:rFonts w:ascii="Calibri" w:hAnsi="Calibri" w:cs="Calibri"/>
          <w:b w:val="0"/>
          <w:sz w:val="22"/>
        </w:rPr>
        <w:t>the</w:t>
      </w:r>
      <w:proofErr w:type="gramEnd"/>
      <w:r w:rsidRPr="00C01C86">
        <w:rPr>
          <w:rFonts w:ascii="Calibri" w:hAnsi="Calibri" w:cs="Calibri"/>
          <w:b w:val="0"/>
          <w:sz w:val="22"/>
        </w:rPr>
        <w:t xml:space="preserve"> instruments </w:t>
      </w:r>
      <w:r w:rsidR="00637B19">
        <w:rPr>
          <w:rFonts w:ascii="Calibri" w:hAnsi="Calibri" w:cs="Calibri"/>
          <w:b w:val="0"/>
          <w:sz w:val="22"/>
        </w:rPr>
        <w:t xml:space="preserve">are or will be the subject of a single review, and </w:t>
      </w:r>
    </w:p>
    <w:p w14:paraId="7DCE748D" w14:textId="77777777" w:rsidR="00637B19" w:rsidRPr="00EA0796" w:rsidRDefault="00637B19" w:rsidP="00FD6A91">
      <w:pPr>
        <w:pStyle w:val="Heading2"/>
        <w:numPr>
          <w:ilvl w:val="0"/>
          <w:numId w:val="3"/>
        </w:numPr>
        <w:spacing w:before="0"/>
        <w:rPr>
          <w:rFonts w:ascii="Calibri" w:hAnsi="Calibri" w:cs="Calibri"/>
          <w:b w:val="0"/>
          <w:sz w:val="22"/>
        </w:rPr>
      </w:pPr>
      <w:proofErr w:type="gramStart"/>
      <w:r w:rsidRPr="00EA0796">
        <w:rPr>
          <w:rFonts w:ascii="Calibri" w:hAnsi="Calibri" w:cs="Calibri"/>
          <w:b w:val="0"/>
          <w:sz w:val="22"/>
        </w:rPr>
        <w:t>the</w:t>
      </w:r>
      <w:proofErr w:type="gramEnd"/>
      <w:r w:rsidRPr="00EA0796">
        <w:rPr>
          <w:rFonts w:ascii="Calibri" w:hAnsi="Calibri" w:cs="Calibri"/>
          <w:b w:val="0"/>
          <w:sz w:val="22"/>
        </w:rPr>
        <w:t xml:space="preserve"> making of the declaration will facilitate the undertaking of the review and the implementation of its findings.  </w:t>
      </w:r>
    </w:p>
    <w:p w14:paraId="7DCE748E" w14:textId="77777777" w:rsidR="00637B19" w:rsidRDefault="00637B19" w:rsidP="00637B19">
      <w:pPr>
        <w:pStyle w:val="Heading2"/>
        <w:spacing w:before="180" w:after="120"/>
        <w:ind w:left="11" w:hanging="11"/>
        <w:rPr>
          <w:rFonts w:ascii="Calibri" w:hAnsi="Calibri" w:cs="Calibri"/>
          <w:b w:val="0"/>
          <w:sz w:val="22"/>
        </w:rPr>
      </w:pPr>
      <w:r>
        <w:rPr>
          <w:rFonts w:ascii="Calibri" w:hAnsi="Calibri" w:cs="Calibri"/>
          <w:b w:val="0"/>
          <w:sz w:val="22"/>
        </w:rPr>
        <w:t xml:space="preserve">In terms of process, the </w:t>
      </w:r>
      <w:r w:rsidR="007E2877">
        <w:rPr>
          <w:rFonts w:ascii="Calibri" w:hAnsi="Calibri" w:cs="Calibri"/>
          <w:b w:val="0"/>
          <w:sz w:val="22"/>
        </w:rPr>
        <w:t xml:space="preserve">Legislation Act </w:t>
      </w:r>
      <w:r>
        <w:rPr>
          <w:rFonts w:ascii="Calibri" w:hAnsi="Calibri" w:cs="Calibri"/>
          <w:b w:val="0"/>
          <w:sz w:val="22"/>
        </w:rPr>
        <w:t xml:space="preserve">requires: </w:t>
      </w:r>
    </w:p>
    <w:p w14:paraId="7DCE748F" w14:textId="77777777" w:rsidR="00637B19" w:rsidRDefault="00637B19" w:rsidP="00FD6A91">
      <w:pPr>
        <w:pStyle w:val="Heading2"/>
        <w:numPr>
          <w:ilvl w:val="0"/>
          <w:numId w:val="3"/>
        </w:numPr>
        <w:spacing w:before="0"/>
        <w:rPr>
          <w:rFonts w:ascii="Calibri" w:hAnsi="Calibri" w:cs="Calibri"/>
          <w:b w:val="0"/>
          <w:sz w:val="22"/>
        </w:rPr>
      </w:pPr>
      <w:proofErr w:type="gramStart"/>
      <w:r>
        <w:rPr>
          <w:rFonts w:ascii="Calibri" w:hAnsi="Calibri" w:cs="Calibri"/>
          <w:b w:val="0"/>
          <w:sz w:val="22"/>
        </w:rPr>
        <w:t>the</w:t>
      </w:r>
      <w:proofErr w:type="gramEnd"/>
      <w:r>
        <w:rPr>
          <w:rFonts w:ascii="Calibri" w:hAnsi="Calibri" w:cs="Calibri"/>
          <w:b w:val="0"/>
          <w:sz w:val="22"/>
        </w:rPr>
        <w:t xml:space="preserve"> responsible rule</w:t>
      </w:r>
      <w:r w:rsidR="00EF151C">
        <w:rPr>
          <w:rFonts w:ascii="Calibri" w:hAnsi="Calibri" w:cs="Calibri"/>
          <w:b w:val="0"/>
          <w:sz w:val="22"/>
        </w:rPr>
        <w:t>-</w:t>
      </w:r>
      <w:r>
        <w:rPr>
          <w:rFonts w:ascii="Calibri" w:hAnsi="Calibri" w:cs="Calibri"/>
          <w:b w:val="0"/>
          <w:sz w:val="22"/>
        </w:rPr>
        <w:t>maker to apply to the Attorney-General</w:t>
      </w:r>
    </w:p>
    <w:p w14:paraId="7DCE7490" w14:textId="77777777" w:rsidR="00637B19" w:rsidRDefault="00637B19" w:rsidP="00FD6A91">
      <w:pPr>
        <w:pStyle w:val="Heading2"/>
        <w:numPr>
          <w:ilvl w:val="0"/>
          <w:numId w:val="3"/>
        </w:numPr>
        <w:spacing w:before="0"/>
        <w:rPr>
          <w:rFonts w:ascii="Calibri" w:hAnsi="Calibri" w:cs="Calibri"/>
          <w:b w:val="0"/>
          <w:sz w:val="22"/>
        </w:rPr>
      </w:pPr>
      <w:proofErr w:type="gramStart"/>
      <w:r>
        <w:rPr>
          <w:rFonts w:ascii="Calibri" w:hAnsi="Calibri" w:cs="Calibri"/>
          <w:b w:val="0"/>
          <w:sz w:val="22"/>
        </w:rPr>
        <w:t>the</w:t>
      </w:r>
      <w:proofErr w:type="gramEnd"/>
      <w:r>
        <w:rPr>
          <w:rFonts w:ascii="Calibri" w:hAnsi="Calibri" w:cs="Calibri"/>
          <w:b w:val="0"/>
          <w:sz w:val="22"/>
        </w:rPr>
        <w:t xml:space="preserve"> Attorney-General to be satisfied of the statutory conditions, and </w:t>
      </w:r>
    </w:p>
    <w:p w14:paraId="7DCE7491" w14:textId="77777777" w:rsidR="00637B19" w:rsidRPr="00EA0796" w:rsidRDefault="00637B19" w:rsidP="00FD6A91">
      <w:pPr>
        <w:pStyle w:val="Heading2"/>
        <w:numPr>
          <w:ilvl w:val="0"/>
          <w:numId w:val="3"/>
        </w:numPr>
        <w:spacing w:before="0"/>
        <w:rPr>
          <w:rFonts w:asciiTheme="minorHAnsi" w:hAnsiTheme="minorHAnsi" w:cs="Calibri"/>
          <w:b w:val="0"/>
          <w:sz w:val="22"/>
        </w:rPr>
      </w:pPr>
      <w:proofErr w:type="gramStart"/>
      <w:r>
        <w:rPr>
          <w:rFonts w:ascii="Calibri" w:hAnsi="Calibri" w:cs="Calibri"/>
          <w:b w:val="0"/>
          <w:sz w:val="22"/>
        </w:rPr>
        <w:t>the</w:t>
      </w:r>
      <w:proofErr w:type="gramEnd"/>
      <w:r>
        <w:rPr>
          <w:rFonts w:ascii="Calibri" w:hAnsi="Calibri" w:cs="Calibri"/>
          <w:b w:val="0"/>
          <w:sz w:val="22"/>
        </w:rPr>
        <w:t xml:space="preserve"> Attorney-General to make a declaration</w:t>
      </w:r>
      <w:r w:rsidR="004D52A9">
        <w:rPr>
          <w:rFonts w:ascii="Calibri" w:hAnsi="Calibri" w:cs="Calibri"/>
          <w:b w:val="0"/>
          <w:sz w:val="22"/>
        </w:rPr>
        <w:t>,</w:t>
      </w:r>
      <w:r>
        <w:rPr>
          <w:rFonts w:ascii="Calibri" w:hAnsi="Calibri" w:cs="Calibri"/>
          <w:b w:val="0"/>
          <w:sz w:val="22"/>
        </w:rPr>
        <w:t xml:space="preserve"> which is a legislative instrument and subject to </w:t>
      </w:r>
      <w:r w:rsidRPr="00EA0796">
        <w:rPr>
          <w:rFonts w:asciiTheme="minorHAnsi" w:hAnsiTheme="minorHAnsi" w:cs="Calibri"/>
          <w:b w:val="0"/>
          <w:sz w:val="22"/>
        </w:rPr>
        <w:t xml:space="preserve">disallowance. </w:t>
      </w:r>
    </w:p>
    <w:p w14:paraId="7DCE7492" w14:textId="77777777" w:rsidR="00EA0796" w:rsidRPr="00EA0796" w:rsidRDefault="00EA0796" w:rsidP="00EA0796">
      <w:pPr>
        <w:rPr>
          <w:rFonts w:asciiTheme="minorHAnsi" w:hAnsiTheme="minorHAnsi"/>
        </w:rPr>
      </w:pPr>
    </w:p>
    <w:p w14:paraId="7DCE7493" w14:textId="77777777" w:rsidR="00E93CAF" w:rsidRDefault="00FB071A" w:rsidP="00E93CAF">
      <w:pPr>
        <w:rPr>
          <w:rFonts w:asciiTheme="minorHAnsi" w:hAnsiTheme="minorHAnsi"/>
        </w:rPr>
      </w:pPr>
      <w:r>
        <w:rPr>
          <w:rFonts w:asciiTheme="minorHAnsi" w:hAnsiTheme="minorHAnsi"/>
        </w:rPr>
        <w:t xml:space="preserve">This declaration aligns the </w:t>
      </w:r>
      <w:proofErr w:type="spellStart"/>
      <w:r>
        <w:rPr>
          <w:rFonts w:asciiTheme="minorHAnsi" w:hAnsiTheme="minorHAnsi"/>
        </w:rPr>
        <w:t>sunsetting</w:t>
      </w:r>
      <w:proofErr w:type="spellEnd"/>
      <w:r>
        <w:rPr>
          <w:rFonts w:asciiTheme="minorHAnsi" w:hAnsiTheme="minorHAnsi"/>
        </w:rPr>
        <w:t xml:space="preserve"> dates of </w:t>
      </w:r>
      <w:r w:rsidR="00E23004">
        <w:rPr>
          <w:rFonts w:asciiTheme="minorHAnsi" w:hAnsiTheme="minorHAnsi"/>
        </w:rPr>
        <w:t xml:space="preserve">the </w:t>
      </w:r>
      <w:r w:rsidR="00E23004" w:rsidRPr="00E23004">
        <w:rPr>
          <w:rFonts w:asciiTheme="minorHAnsi" w:hAnsiTheme="minorHAnsi"/>
          <w:i/>
        </w:rPr>
        <w:t>Australian Human Rights Commission Regulations 1989</w:t>
      </w:r>
      <w:r w:rsidR="00E23004">
        <w:rPr>
          <w:rFonts w:asciiTheme="minorHAnsi" w:hAnsiTheme="minorHAnsi"/>
        </w:rPr>
        <w:t xml:space="preserve"> </w:t>
      </w:r>
      <w:r w:rsidR="00CC3434">
        <w:rPr>
          <w:rFonts w:asciiTheme="minorHAnsi" w:hAnsiTheme="minorHAnsi"/>
        </w:rPr>
        <w:t xml:space="preserve">(AHRC Regulations) </w:t>
      </w:r>
      <w:r w:rsidR="00E23004">
        <w:rPr>
          <w:rFonts w:asciiTheme="minorHAnsi" w:hAnsiTheme="minorHAnsi"/>
        </w:rPr>
        <w:t xml:space="preserve">and the </w:t>
      </w:r>
      <w:r w:rsidR="00461132" w:rsidRPr="00461132">
        <w:rPr>
          <w:rFonts w:asciiTheme="minorHAnsi" w:hAnsiTheme="minorHAnsi"/>
          <w:i/>
        </w:rPr>
        <w:t>Disability Discrimination Regulations 1996</w:t>
      </w:r>
      <w:r w:rsidR="00CC3434">
        <w:rPr>
          <w:rFonts w:asciiTheme="minorHAnsi" w:hAnsiTheme="minorHAnsi"/>
        </w:rPr>
        <w:t xml:space="preserve"> (DD Regulations)</w:t>
      </w:r>
      <w:r w:rsidR="00461132">
        <w:rPr>
          <w:rFonts w:asciiTheme="minorHAnsi" w:hAnsiTheme="minorHAnsi"/>
        </w:rPr>
        <w:t>.</w:t>
      </w:r>
      <w:r w:rsidR="00E93CAF" w:rsidRPr="00E93CAF">
        <w:rPr>
          <w:rFonts w:asciiTheme="minorHAnsi" w:hAnsiTheme="minorHAnsi"/>
        </w:rPr>
        <w:t xml:space="preserve"> </w:t>
      </w:r>
      <w:r w:rsidR="00E93CAF">
        <w:rPr>
          <w:rFonts w:asciiTheme="minorHAnsi" w:hAnsiTheme="minorHAnsi"/>
        </w:rPr>
        <w:t>As the Attorney-General is the rule-maker for these instruments</w:t>
      </w:r>
      <w:r w:rsidR="002F1E6E">
        <w:rPr>
          <w:rFonts w:asciiTheme="minorHAnsi" w:hAnsiTheme="minorHAnsi"/>
        </w:rPr>
        <w:t>, there was no formal ministerial correspondence in this instance</w:t>
      </w:r>
      <w:r w:rsidR="00E93CAF">
        <w:rPr>
          <w:rFonts w:asciiTheme="minorHAnsi" w:hAnsiTheme="minorHAnsi"/>
        </w:rPr>
        <w:t>.</w:t>
      </w:r>
    </w:p>
    <w:p w14:paraId="7DCE7494" w14:textId="77777777" w:rsidR="00D01814" w:rsidRDefault="00D01814" w:rsidP="00EA0796">
      <w:pPr>
        <w:rPr>
          <w:rFonts w:asciiTheme="minorHAnsi" w:hAnsiTheme="minorHAnsi"/>
        </w:rPr>
      </w:pPr>
    </w:p>
    <w:p w14:paraId="7DCE7495" w14:textId="77777777" w:rsidR="00D01814" w:rsidRDefault="00D01814" w:rsidP="00EA0796">
      <w:pPr>
        <w:rPr>
          <w:rFonts w:asciiTheme="minorHAnsi" w:hAnsiTheme="minorHAnsi"/>
        </w:rPr>
      </w:pPr>
      <w:r>
        <w:rPr>
          <w:rFonts w:asciiTheme="minorHAnsi" w:hAnsiTheme="minorHAnsi"/>
        </w:rPr>
        <w:t xml:space="preserve">The </w:t>
      </w:r>
      <w:r w:rsidRPr="00D01814">
        <w:rPr>
          <w:rFonts w:asciiTheme="minorHAnsi" w:hAnsiTheme="minorHAnsi"/>
        </w:rPr>
        <w:t>Convention concerning Discrimination in Respect of Employment and Occupation</w:t>
      </w:r>
      <w:r w:rsidR="00A3511E">
        <w:rPr>
          <w:rFonts w:asciiTheme="minorHAnsi" w:hAnsiTheme="minorHAnsi"/>
        </w:rPr>
        <w:t xml:space="preserve"> (the Convention)</w:t>
      </w:r>
      <w:r w:rsidR="00D03EF5">
        <w:rPr>
          <w:rFonts w:asciiTheme="minorHAnsi" w:hAnsiTheme="minorHAnsi"/>
        </w:rPr>
        <w:t xml:space="preserve"> sets out a regime for protecting against workplace discrimination. The </w:t>
      </w:r>
      <w:r>
        <w:rPr>
          <w:rFonts w:asciiTheme="minorHAnsi" w:hAnsiTheme="minorHAnsi"/>
        </w:rPr>
        <w:t>AHRC Regulations declare</w:t>
      </w:r>
      <w:r w:rsidR="00C4438C">
        <w:rPr>
          <w:rFonts w:asciiTheme="minorHAnsi" w:hAnsiTheme="minorHAnsi"/>
        </w:rPr>
        <w:t xml:space="preserve"> 10</w:t>
      </w:r>
      <w:r w:rsidR="00733DA4">
        <w:rPr>
          <w:rFonts w:asciiTheme="minorHAnsi" w:hAnsiTheme="minorHAnsi"/>
        </w:rPr>
        <w:t xml:space="preserve"> grounds of ‘discrimination’ </w:t>
      </w:r>
      <w:r w:rsidR="00C4438C">
        <w:rPr>
          <w:rFonts w:asciiTheme="minorHAnsi" w:hAnsiTheme="minorHAnsi"/>
        </w:rPr>
        <w:t xml:space="preserve">in addition </w:t>
      </w:r>
      <w:r w:rsidR="00733DA4">
        <w:rPr>
          <w:rFonts w:asciiTheme="minorHAnsi" w:hAnsiTheme="minorHAnsi"/>
        </w:rPr>
        <w:t xml:space="preserve">to those set out in the Convention, </w:t>
      </w:r>
      <w:r w:rsidR="00824712">
        <w:rPr>
          <w:rFonts w:asciiTheme="minorHAnsi" w:hAnsiTheme="minorHAnsi"/>
        </w:rPr>
        <w:t>which enable</w:t>
      </w:r>
      <w:r w:rsidR="001B41FE">
        <w:rPr>
          <w:rFonts w:asciiTheme="minorHAnsi" w:hAnsiTheme="minorHAnsi"/>
        </w:rPr>
        <w:t>s</w:t>
      </w:r>
      <w:r w:rsidR="007817FD">
        <w:rPr>
          <w:rFonts w:asciiTheme="minorHAnsi" w:hAnsiTheme="minorHAnsi"/>
        </w:rPr>
        <w:t xml:space="preserve"> the </w:t>
      </w:r>
      <w:r w:rsidR="006B6E0D">
        <w:rPr>
          <w:rFonts w:asciiTheme="minorHAnsi" w:hAnsiTheme="minorHAnsi"/>
        </w:rPr>
        <w:t>Commission</w:t>
      </w:r>
      <w:r w:rsidR="008B6B49">
        <w:rPr>
          <w:rFonts w:asciiTheme="minorHAnsi" w:hAnsiTheme="minorHAnsi"/>
        </w:rPr>
        <w:t xml:space="preserve"> </w:t>
      </w:r>
      <w:r w:rsidR="008B6B49" w:rsidRPr="008B6B49">
        <w:rPr>
          <w:rFonts w:asciiTheme="minorHAnsi" w:hAnsiTheme="minorHAnsi"/>
        </w:rPr>
        <w:t>to undertake its equal opportunity in employment functions in relation to the additional declared grounds of discrimination</w:t>
      </w:r>
      <w:r w:rsidR="002A5D7F">
        <w:rPr>
          <w:rFonts w:asciiTheme="minorHAnsi" w:hAnsiTheme="minorHAnsi"/>
        </w:rPr>
        <w:t>.</w:t>
      </w:r>
    </w:p>
    <w:p w14:paraId="7DCE7496" w14:textId="77777777" w:rsidR="00707471" w:rsidRDefault="00707471" w:rsidP="00EA0796">
      <w:pPr>
        <w:rPr>
          <w:rFonts w:asciiTheme="minorHAnsi" w:hAnsiTheme="minorHAnsi"/>
        </w:rPr>
      </w:pPr>
    </w:p>
    <w:p w14:paraId="7DCE7497" w14:textId="77777777" w:rsidR="00707471" w:rsidRDefault="00707471" w:rsidP="00EA0796">
      <w:pPr>
        <w:rPr>
          <w:rFonts w:asciiTheme="minorHAnsi" w:hAnsiTheme="minorHAnsi"/>
        </w:rPr>
      </w:pPr>
      <w:r>
        <w:rPr>
          <w:rFonts w:asciiTheme="minorHAnsi" w:hAnsiTheme="minorHAnsi"/>
        </w:rPr>
        <w:t xml:space="preserve">The DD </w:t>
      </w:r>
      <w:r w:rsidR="00E93CAF">
        <w:rPr>
          <w:rFonts w:asciiTheme="minorHAnsi" w:hAnsiTheme="minorHAnsi"/>
        </w:rPr>
        <w:t>Regulations</w:t>
      </w:r>
      <w:r>
        <w:rPr>
          <w:rFonts w:asciiTheme="minorHAnsi" w:hAnsiTheme="minorHAnsi"/>
        </w:rPr>
        <w:t xml:space="preserve"> </w:t>
      </w:r>
      <w:r w:rsidR="00E93CAF" w:rsidRPr="00E93CAF">
        <w:rPr>
          <w:rFonts w:asciiTheme="minorHAnsi" w:hAnsiTheme="minorHAnsi"/>
        </w:rPr>
        <w:t xml:space="preserve">declare activities which are considered ‘combat duties’ for the purpose of the </w:t>
      </w:r>
      <w:r w:rsidR="008B56AE" w:rsidRPr="008B56AE">
        <w:rPr>
          <w:rFonts w:asciiTheme="minorHAnsi" w:hAnsiTheme="minorHAnsi"/>
          <w:i/>
        </w:rPr>
        <w:t>Disability Discrimination Act 1992</w:t>
      </w:r>
      <w:r w:rsidR="008B56AE" w:rsidRPr="008B56AE">
        <w:rPr>
          <w:rFonts w:asciiTheme="minorHAnsi" w:hAnsiTheme="minorHAnsi"/>
        </w:rPr>
        <w:t xml:space="preserve"> (the DD Act)</w:t>
      </w:r>
      <w:r w:rsidR="00E93CAF" w:rsidRPr="00E93CAF">
        <w:rPr>
          <w:rFonts w:asciiTheme="minorHAnsi" w:hAnsiTheme="minorHAnsi"/>
        </w:rPr>
        <w:t>, and prescribe a range of Commonwealth and State laws which, when a person acts in direct compliance with the prescribed law, are exempt from the protections against discrimination in Part 2 of the</w:t>
      </w:r>
      <w:r w:rsidR="008B56AE">
        <w:rPr>
          <w:rFonts w:asciiTheme="minorHAnsi" w:hAnsiTheme="minorHAnsi"/>
        </w:rPr>
        <w:t xml:space="preserve"> DD Act</w:t>
      </w:r>
      <w:r w:rsidR="00E93CAF" w:rsidRPr="00E93CAF">
        <w:rPr>
          <w:rFonts w:asciiTheme="minorHAnsi" w:hAnsiTheme="minorHAnsi"/>
        </w:rPr>
        <w:t>.</w:t>
      </w:r>
      <w:r w:rsidR="0078704B" w:rsidRPr="0078704B">
        <w:t xml:space="preserve"> </w:t>
      </w:r>
      <w:r w:rsidR="0078704B" w:rsidRPr="0078704B">
        <w:rPr>
          <w:rFonts w:asciiTheme="minorHAnsi" w:hAnsiTheme="minorHAnsi"/>
        </w:rPr>
        <w:t>The</w:t>
      </w:r>
      <w:r w:rsidR="00DD00D7">
        <w:rPr>
          <w:rFonts w:asciiTheme="minorHAnsi" w:hAnsiTheme="minorHAnsi"/>
        </w:rPr>
        <w:t xml:space="preserve"> prescribed</w:t>
      </w:r>
      <w:r w:rsidR="0078704B" w:rsidRPr="0078704B">
        <w:rPr>
          <w:rFonts w:asciiTheme="minorHAnsi" w:hAnsiTheme="minorHAnsi"/>
        </w:rPr>
        <w:t xml:space="preserve"> laws relate to a broad range of issues, including laws addressing industrial relations and mental health, which intersect with issues relevant to the scope of the Commission’s equal opportunity in employment functions</w:t>
      </w:r>
      <w:r w:rsidR="00A82D93">
        <w:rPr>
          <w:rFonts w:asciiTheme="minorHAnsi" w:hAnsiTheme="minorHAnsi"/>
        </w:rPr>
        <w:t>.</w:t>
      </w:r>
    </w:p>
    <w:p w14:paraId="7DCE7498" w14:textId="77777777" w:rsidR="00D91CB6" w:rsidRDefault="00D91CB6" w:rsidP="00EA0796">
      <w:pPr>
        <w:rPr>
          <w:rFonts w:asciiTheme="minorHAnsi" w:hAnsiTheme="minorHAnsi"/>
        </w:rPr>
      </w:pPr>
    </w:p>
    <w:p w14:paraId="7DCE7499" w14:textId="77777777" w:rsidR="00D91CB6" w:rsidRDefault="00D91CB6" w:rsidP="00EA0796">
      <w:pPr>
        <w:rPr>
          <w:rFonts w:asciiTheme="minorHAnsi" w:hAnsiTheme="minorHAnsi"/>
        </w:rPr>
      </w:pPr>
      <w:r w:rsidRPr="009B4002">
        <w:rPr>
          <w:rFonts w:asciiTheme="minorHAnsi" w:hAnsiTheme="minorHAnsi"/>
        </w:rPr>
        <w:t xml:space="preserve">The AHRC Regulations </w:t>
      </w:r>
      <w:r w:rsidR="00A81317" w:rsidRPr="009B4002">
        <w:rPr>
          <w:rFonts w:asciiTheme="minorHAnsi" w:hAnsiTheme="minorHAnsi"/>
        </w:rPr>
        <w:t>are an important part of the legal framework supporting Australia’s implementation of the Convention</w:t>
      </w:r>
      <w:r w:rsidR="002A7D43" w:rsidRPr="009B4002">
        <w:rPr>
          <w:rFonts w:asciiTheme="minorHAnsi" w:hAnsiTheme="minorHAnsi"/>
        </w:rPr>
        <w:t xml:space="preserve"> and are therefore required to remain in effect. However, as the AHRC Regulations </w:t>
      </w:r>
      <w:r w:rsidRPr="009B4002">
        <w:rPr>
          <w:rFonts w:asciiTheme="minorHAnsi" w:hAnsiTheme="minorHAnsi"/>
        </w:rPr>
        <w:t>were made prior to</w:t>
      </w:r>
      <w:r w:rsidR="00704F45" w:rsidRPr="009B4002">
        <w:rPr>
          <w:rFonts w:asciiTheme="minorHAnsi" w:hAnsiTheme="minorHAnsi"/>
        </w:rPr>
        <w:t xml:space="preserve"> the introduction of</w:t>
      </w:r>
      <w:r w:rsidRPr="009B4002">
        <w:rPr>
          <w:rFonts w:asciiTheme="minorHAnsi" w:hAnsiTheme="minorHAnsi"/>
        </w:rPr>
        <w:t xml:space="preserve"> key federal a</w:t>
      </w:r>
      <w:r w:rsidR="005F4385" w:rsidRPr="009B4002">
        <w:rPr>
          <w:rFonts w:asciiTheme="minorHAnsi" w:hAnsiTheme="minorHAnsi"/>
        </w:rPr>
        <w:t>nti-discrimination legislation (</w:t>
      </w:r>
      <w:r w:rsidRPr="009B4002">
        <w:rPr>
          <w:rFonts w:asciiTheme="minorHAnsi" w:hAnsiTheme="minorHAnsi"/>
        </w:rPr>
        <w:t>including th</w:t>
      </w:r>
      <w:r w:rsidR="00BB0804" w:rsidRPr="009B4002">
        <w:rPr>
          <w:rFonts w:asciiTheme="minorHAnsi" w:hAnsiTheme="minorHAnsi"/>
        </w:rPr>
        <w:t>e DD Act</w:t>
      </w:r>
      <w:r w:rsidR="00961D26" w:rsidRPr="009B4002">
        <w:rPr>
          <w:rFonts w:asciiTheme="minorHAnsi" w:hAnsiTheme="minorHAnsi"/>
        </w:rPr>
        <w:t xml:space="preserve"> </w:t>
      </w:r>
      <w:r w:rsidRPr="009B4002">
        <w:rPr>
          <w:rFonts w:asciiTheme="minorHAnsi" w:hAnsiTheme="minorHAnsi"/>
        </w:rPr>
        <w:t xml:space="preserve">and the </w:t>
      </w:r>
      <w:r w:rsidR="00EC14E8" w:rsidRPr="009B4002">
        <w:rPr>
          <w:rFonts w:asciiTheme="minorHAnsi" w:hAnsiTheme="minorHAnsi"/>
        </w:rPr>
        <w:t xml:space="preserve">DD </w:t>
      </w:r>
      <w:r w:rsidRPr="009B4002">
        <w:rPr>
          <w:rFonts w:asciiTheme="minorHAnsi" w:hAnsiTheme="minorHAnsi"/>
        </w:rPr>
        <w:t>Regulations</w:t>
      </w:r>
      <w:r w:rsidR="005F4385" w:rsidRPr="009B4002">
        <w:rPr>
          <w:rFonts w:asciiTheme="minorHAnsi" w:hAnsiTheme="minorHAnsi"/>
        </w:rPr>
        <w:t xml:space="preserve">), </w:t>
      </w:r>
      <w:r w:rsidR="00033DDE" w:rsidRPr="009B4002">
        <w:rPr>
          <w:rFonts w:asciiTheme="minorHAnsi" w:hAnsiTheme="minorHAnsi"/>
        </w:rPr>
        <w:t xml:space="preserve">the references to </w:t>
      </w:r>
      <w:r w:rsidR="00A91538" w:rsidRPr="009B4002">
        <w:rPr>
          <w:rFonts w:asciiTheme="minorHAnsi" w:hAnsiTheme="minorHAnsi"/>
        </w:rPr>
        <w:t>‘impairment’,</w:t>
      </w:r>
      <w:r w:rsidR="00033DDE" w:rsidRPr="009B4002">
        <w:rPr>
          <w:rFonts w:asciiTheme="minorHAnsi" w:hAnsiTheme="minorHAnsi"/>
        </w:rPr>
        <w:t xml:space="preserve"> ‘mental, intellectual or psychiatric </w:t>
      </w:r>
      <w:r w:rsidR="00A91538" w:rsidRPr="009B4002">
        <w:rPr>
          <w:rFonts w:asciiTheme="minorHAnsi" w:hAnsiTheme="minorHAnsi"/>
        </w:rPr>
        <w:t>disability’ and</w:t>
      </w:r>
      <w:r w:rsidR="00543F72" w:rsidRPr="009B4002">
        <w:rPr>
          <w:rFonts w:asciiTheme="minorHAnsi" w:hAnsiTheme="minorHAnsi"/>
        </w:rPr>
        <w:t xml:space="preserve"> ‘physical disability’ </w:t>
      </w:r>
      <w:r w:rsidR="00033DDE" w:rsidRPr="009B4002">
        <w:rPr>
          <w:rFonts w:asciiTheme="minorHAnsi" w:hAnsiTheme="minorHAnsi"/>
        </w:rPr>
        <w:t>do not align with key definitions and concepts in the DD</w:t>
      </w:r>
      <w:r w:rsidR="006319DE" w:rsidRPr="009B4002">
        <w:rPr>
          <w:rFonts w:asciiTheme="minorHAnsi" w:hAnsiTheme="minorHAnsi"/>
        </w:rPr>
        <w:t xml:space="preserve"> </w:t>
      </w:r>
      <w:r w:rsidR="00033DDE" w:rsidRPr="009B4002">
        <w:rPr>
          <w:rFonts w:asciiTheme="minorHAnsi" w:hAnsiTheme="minorHAnsi"/>
        </w:rPr>
        <w:t>A</w:t>
      </w:r>
      <w:r w:rsidR="006319DE" w:rsidRPr="009B4002">
        <w:rPr>
          <w:rFonts w:asciiTheme="minorHAnsi" w:hAnsiTheme="minorHAnsi"/>
        </w:rPr>
        <w:t>ct</w:t>
      </w:r>
      <w:r w:rsidR="00033DDE" w:rsidRPr="009B4002">
        <w:rPr>
          <w:rFonts w:asciiTheme="minorHAnsi" w:hAnsiTheme="minorHAnsi"/>
        </w:rPr>
        <w:t xml:space="preserve"> and </w:t>
      </w:r>
      <w:r w:rsidR="006319DE" w:rsidRPr="009B4002">
        <w:rPr>
          <w:rFonts w:asciiTheme="minorHAnsi" w:hAnsiTheme="minorHAnsi"/>
        </w:rPr>
        <w:t xml:space="preserve">DD </w:t>
      </w:r>
      <w:r w:rsidR="00033DDE" w:rsidRPr="009B4002">
        <w:rPr>
          <w:rFonts w:asciiTheme="minorHAnsi" w:hAnsiTheme="minorHAnsi"/>
        </w:rPr>
        <w:t>Regulations.</w:t>
      </w:r>
      <w:r w:rsidR="00A81317" w:rsidRPr="009B4002">
        <w:rPr>
          <w:rFonts w:asciiTheme="minorHAnsi" w:hAnsiTheme="minorHAnsi"/>
        </w:rPr>
        <w:t xml:space="preserve"> As such, </w:t>
      </w:r>
      <w:r w:rsidR="00E24037" w:rsidRPr="009B4002">
        <w:rPr>
          <w:rFonts w:asciiTheme="minorHAnsi" w:hAnsiTheme="minorHAnsi"/>
        </w:rPr>
        <w:t>it is important that any re-make of the AHRC Regulations should</w:t>
      </w:r>
      <w:r w:rsidR="00E24037" w:rsidRPr="00E24037">
        <w:rPr>
          <w:rFonts w:asciiTheme="minorHAnsi" w:hAnsiTheme="minorHAnsi"/>
        </w:rPr>
        <w:t xml:space="preserve"> </w:t>
      </w:r>
      <w:r w:rsidR="00E24037" w:rsidRPr="00E24037">
        <w:rPr>
          <w:rFonts w:asciiTheme="minorHAnsi" w:hAnsiTheme="minorHAnsi"/>
        </w:rPr>
        <w:lastRenderedPageBreak/>
        <w:t>consider aligning the treatment of disability discrimination issues with more contemporary concepts and terminology adopted in other discrimination legislation, and with community and stakeholder expectations that appropriate and inclusive disability related concepts are reflected in legislation.</w:t>
      </w:r>
    </w:p>
    <w:p w14:paraId="7DCE749A" w14:textId="77777777" w:rsidR="003003EF" w:rsidRDefault="003003EF" w:rsidP="00EA0796">
      <w:pPr>
        <w:rPr>
          <w:rFonts w:asciiTheme="minorHAnsi" w:hAnsiTheme="minorHAnsi"/>
        </w:rPr>
      </w:pPr>
    </w:p>
    <w:p w14:paraId="7DCE749B" w14:textId="49FAF324" w:rsidR="003003EF" w:rsidRPr="00E23004" w:rsidRDefault="003003EF" w:rsidP="00EA0796">
      <w:pPr>
        <w:rPr>
          <w:rFonts w:asciiTheme="minorHAnsi" w:hAnsiTheme="minorHAnsi"/>
        </w:rPr>
      </w:pPr>
      <w:r>
        <w:rPr>
          <w:rFonts w:asciiTheme="minorHAnsi" w:hAnsiTheme="minorHAnsi"/>
        </w:rPr>
        <w:t>The review will consider</w:t>
      </w:r>
      <w:r w:rsidR="00DD7A1C">
        <w:rPr>
          <w:rFonts w:asciiTheme="minorHAnsi" w:hAnsiTheme="minorHAnsi"/>
        </w:rPr>
        <w:t xml:space="preserve"> the</w:t>
      </w:r>
      <w:r>
        <w:rPr>
          <w:rFonts w:asciiTheme="minorHAnsi" w:hAnsiTheme="minorHAnsi"/>
        </w:rPr>
        <w:t xml:space="preserve"> </w:t>
      </w:r>
      <w:r w:rsidR="00DD7A1C" w:rsidRPr="00DD7A1C">
        <w:rPr>
          <w:rFonts w:asciiTheme="minorHAnsi" w:hAnsiTheme="minorHAnsi"/>
        </w:rPr>
        <w:t xml:space="preserve">disability discrimination issues arising in both the </w:t>
      </w:r>
      <w:r>
        <w:rPr>
          <w:rFonts w:asciiTheme="minorHAnsi" w:hAnsiTheme="minorHAnsi"/>
        </w:rPr>
        <w:t>AHRC Reg</w:t>
      </w:r>
      <w:r w:rsidR="004157B3">
        <w:rPr>
          <w:rFonts w:asciiTheme="minorHAnsi" w:hAnsiTheme="minorHAnsi"/>
        </w:rPr>
        <w:t>ulations and the DD Regulations</w:t>
      </w:r>
      <w:r w:rsidR="00F26F03">
        <w:rPr>
          <w:rFonts w:asciiTheme="minorHAnsi" w:hAnsiTheme="minorHAnsi"/>
        </w:rPr>
        <w:t xml:space="preserve"> and ensure that </w:t>
      </w:r>
      <w:r w:rsidR="000B112C" w:rsidRPr="000B112C">
        <w:rPr>
          <w:rFonts w:asciiTheme="minorHAnsi" w:hAnsiTheme="minorHAnsi"/>
        </w:rPr>
        <w:t xml:space="preserve">disability-related concepts are treated consistently between the </w:t>
      </w:r>
      <w:r w:rsidR="006B168F">
        <w:rPr>
          <w:rFonts w:asciiTheme="minorHAnsi" w:hAnsiTheme="minorHAnsi"/>
        </w:rPr>
        <w:t xml:space="preserve">two </w:t>
      </w:r>
      <w:r w:rsidR="000B112C" w:rsidRPr="000B112C">
        <w:rPr>
          <w:rFonts w:asciiTheme="minorHAnsi" w:hAnsiTheme="minorHAnsi"/>
        </w:rPr>
        <w:t>Regulations as far as possible.</w:t>
      </w:r>
      <w:r w:rsidR="00B7188E">
        <w:rPr>
          <w:rFonts w:asciiTheme="minorHAnsi" w:hAnsiTheme="minorHAnsi"/>
        </w:rPr>
        <w:t xml:space="preserve"> </w:t>
      </w:r>
      <w:r w:rsidR="00842CC0">
        <w:rPr>
          <w:rFonts w:asciiTheme="minorHAnsi" w:hAnsiTheme="minorHAnsi"/>
        </w:rPr>
        <w:t xml:space="preserve">It </w:t>
      </w:r>
      <w:r w:rsidR="002816EF">
        <w:rPr>
          <w:rFonts w:asciiTheme="minorHAnsi" w:hAnsiTheme="minorHAnsi"/>
        </w:rPr>
        <w:t xml:space="preserve">will be overseen </w:t>
      </w:r>
      <w:r w:rsidR="004157B3">
        <w:rPr>
          <w:rFonts w:asciiTheme="minorHAnsi" w:hAnsiTheme="minorHAnsi"/>
        </w:rPr>
        <w:t>by a panel</w:t>
      </w:r>
      <w:r w:rsidR="002816EF">
        <w:rPr>
          <w:rFonts w:asciiTheme="minorHAnsi" w:hAnsiTheme="minorHAnsi"/>
        </w:rPr>
        <w:t xml:space="preserve"> comprising </w:t>
      </w:r>
      <w:r w:rsidR="004C6A2C">
        <w:rPr>
          <w:rFonts w:asciiTheme="minorHAnsi" w:hAnsiTheme="minorHAnsi"/>
        </w:rPr>
        <w:t xml:space="preserve">the </w:t>
      </w:r>
      <w:r w:rsidR="00DE6B67" w:rsidRPr="00DE6B67">
        <w:rPr>
          <w:rFonts w:asciiTheme="minorHAnsi" w:hAnsiTheme="minorHAnsi"/>
        </w:rPr>
        <w:t>Disability</w:t>
      </w:r>
      <w:r w:rsidR="001E404F">
        <w:rPr>
          <w:rFonts w:asciiTheme="minorHAnsi" w:hAnsiTheme="minorHAnsi"/>
        </w:rPr>
        <w:t> </w:t>
      </w:r>
      <w:r w:rsidR="00DE6B67" w:rsidRPr="00DE6B67">
        <w:rPr>
          <w:rFonts w:asciiTheme="minorHAnsi" w:hAnsiTheme="minorHAnsi"/>
        </w:rPr>
        <w:t>Discrimination Commissioner</w:t>
      </w:r>
      <w:r w:rsidR="00663FF2">
        <w:rPr>
          <w:rFonts w:asciiTheme="minorHAnsi" w:hAnsiTheme="minorHAnsi"/>
        </w:rPr>
        <w:t>,</w:t>
      </w:r>
      <w:r w:rsidR="001E404F">
        <w:rPr>
          <w:rFonts w:asciiTheme="minorHAnsi" w:hAnsiTheme="minorHAnsi"/>
        </w:rPr>
        <w:t xml:space="preserve"> Mr Alastair McEwin,</w:t>
      </w:r>
      <w:r w:rsidR="00663FF2">
        <w:rPr>
          <w:rFonts w:asciiTheme="minorHAnsi" w:hAnsiTheme="minorHAnsi"/>
        </w:rPr>
        <w:t xml:space="preserve"> a</w:t>
      </w:r>
      <w:r w:rsidR="00806924">
        <w:rPr>
          <w:rFonts w:asciiTheme="minorHAnsi" w:hAnsiTheme="minorHAnsi"/>
        </w:rPr>
        <w:t xml:space="preserve"> second</w:t>
      </w:r>
      <w:r w:rsidR="00663FF2">
        <w:rPr>
          <w:rFonts w:asciiTheme="minorHAnsi" w:hAnsiTheme="minorHAnsi"/>
        </w:rPr>
        <w:t xml:space="preserve"> </w:t>
      </w:r>
      <w:r w:rsidR="00132A50">
        <w:rPr>
          <w:rFonts w:asciiTheme="minorHAnsi" w:hAnsiTheme="minorHAnsi"/>
        </w:rPr>
        <w:t xml:space="preserve">representative from the </w:t>
      </w:r>
      <w:r w:rsidR="00663FF2">
        <w:rPr>
          <w:rFonts w:asciiTheme="minorHAnsi" w:hAnsiTheme="minorHAnsi"/>
        </w:rPr>
        <w:t>Commission and a senior official from the Attorney</w:t>
      </w:r>
      <w:r w:rsidR="00FD20AA">
        <w:rPr>
          <w:rFonts w:asciiTheme="minorHAnsi" w:hAnsiTheme="minorHAnsi"/>
        </w:rPr>
        <w:noBreakHyphen/>
      </w:r>
      <w:r w:rsidR="00663FF2">
        <w:rPr>
          <w:rFonts w:asciiTheme="minorHAnsi" w:hAnsiTheme="minorHAnsi"/>
        </w:rPr>
        <w:t>General’s Department.</w:t>
      </w:r>
    </w:p>
    <w:p w14:paraId="7DCE749C" w14:textId="77777777" w:rsidR="00FB071A" w:rsidRDefault="00FB071A" w:rsidP="00EA0796">
      <w:pPr>
        <w:rPr>
          <w:rFonts w:asciiTheme="minorHAnsi" w:hAnsiTheme="minorHAnsi"/>
        </w:rPr>
      </w:pPr>
    </w:p>
    <w:p w14:paraId="7DCE749D" w14:textId="77777777" w:rsidR="001E6092" w:rsidRDefault="001E6092" w:rsidP="001E6092">
      <w:pPr>
        <w:rPr>
          <w:rFonts w:asciiTheme="minorHAnsi" w:hAnsiTheme="minorHAnsi"/>
        </w:rPr>
      </w:pPr>
      <w:r>
        <w:rPr>
          <w:rFonts w:asciiTheme="minorHAnsi" w:hAnsiTheme="minorHAnsi"/>
        </w:rPr>
        <w:t xml:space="preserve">The aligned </w:t>
      </w:r>
      <w:proofErr w:type="spellStart"/>
      <w:r>
        <w:rPr>
          <w:rFonts w:asciiTheme="minorHAnsi" w:hAnsiTheme="minorHAnsi"/>
        </w:rPr>
        <w:t>sunsetting</w:t>
      </w:r>
      <w:proofErr w:type="spellEnd"/>
      <w:r>
        <w:rPr>
          <w:rFonts w:asciiTheme="minorHAnsi" w:hAnsiTheme="minorHAnsi"/>
        </w:rPr>
        <w:t xml:space="preserve"> date of 1 </w:t>
      </w:r>
      <w:r w:rsidR="009D617D">
        <w:rPr>
          <w:rFonts w:asciiTheme="minorHAnsi" w:hAnsiTheme="minorHAnsi"/>
        </w:rPr>
        <w:t>October 2019</w:t>
      </w:r>
      <w:r>
        <w:rPr>
          <w:rFonts w:asciiTheme="minorHAnsi" w:hAnsiTheme="minorHAnsi"/>
        </w:rPr>
        <w:t xml:space="preserve"> will facilitate the undertaking of the review and the implementation of its findings by allowing sufficient time for:</w:t>
      </w:r>
    </w:p>
    <w:p w14:paraId="7DCE749E" w14:textId="77777777" w:rsidR="00B75640" w:rsidRDefault="00B75640" w:rsidP="00FD6A91">
      <w:pPr>
        <w:pStyle w:val="ListParagraph"/>
        <w:numPr>
          <w:ilvl w:val="0"/>
          <w:numId w:val="4"/>
        </w:numPr>
        <w:rPr>
          <w:rFonts w:asciiTheme="minorHAnsi" w:hAnsiTheme="minorHAnsi"/>
        </w:rPr>
      </w:pPr>
      <w:r w:rsidRPr="00B75640">
        <w:rPr>
          <w:rFonts w:asciiTheme="minorHAnsi" w:hAnsiTheme="minorHAnsi"/>
        </w:rPr>
        <w:t>targeted consultation with disability sector bodies, representative employers’ and workers’ organisations and relevant government departments</w:t>
      </w:r>
      <w:r w:rsidR="009113BB">
        <w:rPr>
          <w:rFonts w:asciiTheme="minorHAnsi" w:hAnsiTheme="minorHAnsi"/>
        </w:rPr>
        <w:t xml:space="preserve">, in accordance with the consultation requirements in </w:t>
      </w:r>
      <w:r w:rsidR="007F794A" w:rsidRPr="007F794A">
        <w:rPr>
          <w:rFonts w:asciiTheme="minorHAnsi" w:hAnsiTheme="minorHAnsi"/>
        </w:rPr>
        <w:t>Article 1(1)(b) of the Convention</w:t>
      </w:r>
    </w:p>
    <w:p w14:paraId="7DCE749F" w14:textId="77777777" w:rsidR="001E6092" w:rsidRDefault="001E6092" w:rsidP="00FD6A91">
      <w:pPr>
        <w:pStyle w:val="ListParagraph"/>
        <w:numPr>
          <w:ilvl w:val="0"/>
          <w:numId w:val="4"/>
        </w:numPr>
        <w:rPr>
          <w:rFonts w:asciiTheme="minorHAnsi" w:hAnsiTheme="minorHAnsi"/>
        </w:rPr>
      </w:pPr>
      <w:r>
        <w:rPr>
          <w:rFonts w:asciiTheme="minorHAnsi" w:hAnsiTheme="minorHAnsi"/>
        </w:rPr>
        <w:t>the recommendation</w:t>
      </w:r>
      <w:r w:rsidR="00057AAA">
        <w:rPr>
          <w:rFonts w:asciiTheme="minorHAnsi" w:hAnsiTheme="minorHAnsi"/>
        </w:rPr>
        <w:t>s</w:t>
      </w:r>
      <w:r>
        <w:rPr>
          <w:rFonts w:asciiTheme="minorHAnsi" w:hAnsiTheme="minorHAnsi"/>
        </w:rPr>
        <w:t xml:space="preserve"> of the review to be fully considered</w:t>
      </w:r>
      <w:r w:rsidR="006B11AF">
        <w:rPr>
          <w:rFonts w:asciiTheme="minorHAnsi" w:hAnsiTheme="minorHAnsi"/>
        </w:rPr>
        <w:t xml:space="preserve"> </w:t>
      </w:r>
    </w:p>
    <w:p w14:paraId="7DCE74A0" w14:textId="77777777" w:rsidR="001E6092" w:rsidRDefault="001E6092" w:rsidP="00FD6A91">
      <w:pPr>
        <w:pStyle w:val="ListParagraph"/>
        <w:numPr>
          <w:ilvl w:val="0"/>
          <w:numId w:val="4"/>
        </w:numPr>
        <w:rPr>
          <w:rFonts w:asciiTheme="minorHAnsi" w:hAnsiTheme="minorHAnsi"/>
        </w:rPr>
      </w:pPr>
      <w:r>
        <w:rPr>
          <w:rFonts w:asciiTheme="minorHAnsi" w:hAnsiTheme="minorHAnsi"/>
        </w:rPr>
        <w:t xml:space="preserve">the </w:t>
      </w:r>
      <w:r w:rsidR="00F5670A">
        <w:rPr>
          <w:rFonts w:asciiTheme="minorHAnsi" w:hAnsiTheme="minorHAnsi"/>
        </w:rPr>
        <w:t>Regulations</w:t>
      </w:r>
      <w:r>
        <w:rPr>
          <w:rFonts w:asciiTheme="minorHAnsi" w:hAnsiTheme="minorHAnsi"/>
        </w:rPr>
        <w:t xml:space="preserve"> to be amended or remade as necessary, and</w:t>
      </w:r>
    </w:p>
    <w:p w14:paraId="7DCE74A1" w14:textId="77777777" w:rsidR="001E6092" w:rsidRPr="002C1C61" w:rsidRDefault="001E6092" w:rsidP="00FD6A91">
      <w:pPr>
        <w:pStyle w:val="ListParagraph"/>
        <w:numPr>
          <w:ilvl w:val="0"/>
          <w:numId w:val="4"/>
        </w:numPr>
        <w:rPr>
          <w:rFonts w:asciiTheme="minorHAnsi" w:hAnsiTheme="minorHAnsi"/>
        </w:rPr>
      </w:pPr>
      <w:proofErr w:type="gramStart"/>
      <w:r>
        <w:rPr>
          <w:rFonts w:asciiTheme="minorHAnsi" w:hAnsiTheme="minorHAnsi"/>
        </w:rPr>
        <w:t>any</w:t>
      </w:r>
      <w:proofErr w:type="gramEnd"/>
      <w:r>
        <w:rPr>
          <w:rFonts w:asciiTheme="minorHAnsi" w:hAnsiTheme="minorHAnsi"/>
        </w:rPr>
        <w:t xml:space="preserve"> required changes to administrative processes to be implemented by stakeholders.</w:t>
      </w:r>
    </w:p>
    <w:p w14:paraId="7DCE74A2" w14:textId="77777777" w:rsidR="00531E48" w:rsidRPr="00EA0796" w:rsidRDefault="00531E48" w:rsidP="00531E48">
      <w:pPr>
        <w:spacing w:before="180" w:line="240" w:lineRule="auto"/>
        <w:rPr>
          <w:rFonts w:asciiTheme="minorHAnsi" w:hAnsiTheme="minorHAnsi"/>
        </w:rPr>
      </w:pPr>
      <w:r w:rsidRPr="00EA0796">
        <w:rPr>
          <w:rFonts w:asciiTheme="minorHAnsi" w:hAnsiTheme="minorHAnsi"/>
        </w:rPr>
        <w:t>The declaration is a legislative instrument and as such must be registered on the Federal Register of Legislation</w:t>
      </w:r>
      <w:r w:rsidR="00805307">
        <w:rPr>
          <w:rFonts w:asciiTheme="minorHAnsi" w:hAnsiTheme="minorHAnsi"/>
        </w:rPr>
        <w:t xml:space="preserve"> and</w:t>
      </w:r>
      <w:r w:rsidRPr="00EA0796">
        <w:rPr>
          <w:rFonts w:asciiTheme="minorHAnsi" w:hAnsiTheme="minorHAnsi"/>
        </w:rPr>
        <w:t xml:space="preserve"> laid before each House of Parliament no later than six sitti</w:t>
      </w:r>
      <w:r w:rsidR="008F51C7">
        <w:rPr>
          <w:rFonts w:asciiTheme="minorHAnsi" w:hAnsiTheme="minorHAnsi"/>
        </w:rPr>
        <w:t>ng days after that registration. It</w:t>
      </w:r>
      <w:r w:rsidRPr="00EA0796">
        <w:rPr>
          <w:rFonts w:asciiTheme="minorHAnsi" w:hAnsiTheme="minorHAnsi"/>
        </w:rPr>
        <w:t xml:space="preserve"> is subject to the disallowance provisions of the Legislation Act.</w:t>
      </w:r>
    </w:p>
    <w:p w14:paraId="16A0656B" w14:textId="225F7E6F" w:rsidR="006B05F7" w:rsidRPr="006B05F7" w:rsidRDefault="00637B19" w:rsidP="006B05F7">
      <w:pPr>
        <w:pStyle w:val="Heading3"/>
        <w:rPr>
          <w:rFonts w:asciiTheme="minorHAnsi" w:hAnsiTheme="minorHAnsi" w:cs="Calibri"/>
        </w:rPr>
      </w:pPr>
      <w:r w:rsidRPr="00EA0796">
        <w:rPr>
          <w:rFonts w:asciiTheme="minorHAnsi" w:hAnsiTheme="minorHAnsi" w:cs="Calibri"/>
        </w:rPr>
        <w:t xml:space="preserve">More information </w:t>
      </w:r>
    </w:p>
    <w:p w14:paraId="7DCE74A4" w14:textId="679E8D2C" w:rsidR="00637B19" w:rsidRPr="00EA0796" w:rsidRDefault="006B05F7" w:rsidP="00637B19">
      <w:pPr>
        <w:spacing w:before="180" w:line="240" w:lineRule="auto"/>
        <w:rPr>
          <w:rFonts w:asciiTheme="minorHAnsi" w:hAnsiTheme="minorHAnsi" w:cs="Calibri"/>
          <w:highlight w:val="cyan"/>
        </w:rPr>
      </w:pPr>
      <w:r>
        <w:rPr>
          <w:rFonts w:asciiTheme="minorHAnsi" w:hAnsiTheme="minorHAnsi" w:cs="Calibri"/>
        </w:rPr>
        <w:t xml:space="preserve">Further details of this declaration are set out in </w:t>
      </w:r>
      <w:r>
        <w:rPr>
          <w:rFonts w:asciiTheme="minorHAnsi" w:hAnsiTheme="minorHAnsi" w:cs="Calibri"/>
          <w:u w:val="single"/>
        </w:rPr>
        <w:t>Attachment A.</w:t>
      </w:r>
    </w:p>
    <w:p w14:paraId="7DCE74A5" w14:textId="58FC4015" w:rsidR="002C1C61" w:rsidRPr="00EA0796" w:rsidRDefault="006B05F7" w:rsidP="00637B19">
      <w:pPr>
        <w:spacing w:before="180" w:line="240" w:lineRule="auto"/>
        <w:rPr>
          <w:rFonts w:asciiTheme="minorHAnsi" w:hAnsiTheme="minorHAnsi" w:cs="Calibri"/>
          <w:color w:val="000000"/>
        </w:rPr>
      </w:pPr>
      <w:r>
        <w:rPr>
          <w:rFonts w:asciiTheme="minorHAnsi" w:hAnsiTheme="minorHAnsi" w:cs="Calibri"/>
          <w:color w:val="000000"/>
        </w:rPr>
        <w:t>A copy of each instrument which is the subject of this declaration, and which will now sunset on 1 October 2019, is available on the Federal Register of Legislation. Enquiries about the operation of this declaration or the instruments to which it applies may be directed at the Attorney</w:t>
      </w:r>
      <w:r>
        <w:rPr>
          <w:rFonts w:asciiTheme="minorHAnsi" w:hAnsiTheme="minorHAnsi" w:cs="Calibri"/>
          <w:color w:val="000000"/>
        </w:rPr>
        <w:noBreakHyphen/>
        <w:t xml:space="preserve">General’s Department. </w:t>
      </w:r>
      <w:bookmarkStart w:id="0" w:name="_GoBack"/>
      <w:bookmarkEnd w:id="0"/>
    </w:p>
    <w:p w14:paraId="7DCE74A6" w14:textId="77777777" w:rsidR="00637B19" w:rsidRPr="00325569" w:rsidRDefault="00637B19" w:rsidP="00637B19">
      <w:pPr>
        <w:pStyle w:val="Heading2"/>
        <w:ind w:left="12" w:hanging="12"/>
        <w:jc w:val="right"/>
        <w:rPr>
          <w:rFonts w:ascii="Calibri" w:hAnsi="Calibri" w:cs="Calibri"/>
          <w:b w:val="0"/>
          <w:u w:val="single"/>
        </w:rPr>
      </w:pPr>
      <w:r>
        <w:rPr>
          <w:rStyle w:val="Heading1Char"/>
          <w:rFonts w:ascii="Calibri" w:hAnsi="Calibri" w:cs="Calibri"/>
          <w:b/>
          <w:highlight w:val="cyan"/>
        </w:rPr>
        <w:br w:type="page"/>
      </w:r>
      <w:r w:rsidRPr="00325569">
        <w:rPr>
          <w:rStyle w:val="Heading1Char"/>
          <w:rFonts w:ascii="Calibri" w:hAnsi="Calibri" w:cs="Calibri"/>
          <w:b/>
        </w:rPr>
        <w:lastRenderedPageBreak/>
        <w:t>ATTACHMENT A</w:t>
      </w:r>
    </w:p>
    <w:p w14:paraId="7DCE74A7" w14:textId="77777777" w:rsidR="00637B19" w:rsidRDefault="00637B19" w:rsidP="00637B19">
      <w:pPr>
        <w:pStyle w:val="Heading2"/>
        <w:spacing w:before="0"/>
        <w:ind w:left="12" w:hanging="12"/>
        <w:rPr>
          <w:rFonts w:ascii="Calibri" w:hAnsi="Calibri" w:cs="Calibri"/>
        </w:rPr>
      </w:pPr>
      <w:r>
        <w:rPr>
          <w:rFonts w:ascii="Calibri" w:hAnsi="Calibri" w:cs="Calibri"/>
        </w:rPr>
        <w:t>NOTES ON THE DECLARATION</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w:t>
      </w:r>
    </w:p>
    <w:p w14:paraId="7DCE74A8" w14:textId="77777777" w:rsidR="00637B19" w:rsidRDefault="00637B19" w:rsidP="00637B19">
      <w:pPr>
        <w:pStyle w:val="Heading3"/>
        <w:rPr>
          <w:rFonts w:ascii="Calibri" w:hAnsi="Calibri" w:cs="Calibri"/>
        </w:rPr>
      </w:pPr>
      <w:r>
        <w:rPr>
          <w:rFonts w:ascii="Calibri" w:hAnsi="Calibri" w:cs="Calibri"/>
        </w:rPr>
        <w:t>Section 1</w:t>
      </w:r>
      <w:r>
        <w:rPr>
          <w:rFonts w:ascii="Calibri" w:hAnsi="Calibri" w:cs="Calibri"/>
        </w:rPr>
        <w:tab/>
        <w:t xml:space="preserve">Name </w:t>
      </w:r>
    </w:p>
    <w:p w14:paraId="7DCE74A9" w14:textId="77777777" w:rsidR="00637B19" w:rsidRDefault="00637B19" w:rsidP="00637B19">
      <w:pPr>
        <w:spacing w:before="180" w:line="240" w:lineRule="auto"/>
        <w:rPr>
          <w:rFonts w:ascii="Calibri" w:hAnsi="Calibri" w:cs="Calibri"/>
        </w:rPr>
      </w:pPr>
      <w:r>
        <w:rPr>
          <w:rFonts w:ascii="Calibri" w:hAnsi="Calibri" w:cs="Calibri"/>
        </w:rPr>
        <w:t xml:space="preserve">This section provides for the declaration to be named </w:t>
      </w:r>
      <w:r w:rsidRPr="00653E98">
        <w:rPr>
          <w:rFonts w:ascii="Calibri" w:hAnsi="Calibri" w:cs="Calibri"/>
        </w:rPr>
        <w:t xml:space="preserve">the </w:t>
      </w:r>
      <w:r w:rsidR="00D14FB9" w:rsidRPr="00D14FB9">
        <w:rPr>
          <w:rFonts w:ascii="Calibri" w:hAnsi="Calibri" w:cs="Calibri"/>
          <w:i/>
        </w:rPr>
        <w:t>Legislation (</w:t>
      </w:r>
      <w:r w:rsidR="00B475FA">
        <w:rPr>
          <w:rFonts w:ascii="Calibri" w:hAnsi="Calibri" w:cs="Calibri"/>
          <w:i/>
        </w:rPr>
        <w:t>Human Rights</w:t>
      </w:r>
      <w:r w:rsidR="00D14FB9" w:rsidRPr="00D14FB9">
        <w:rPr>
          <w:rFonts w:ascii="Calibri" w:hAnsi="Calibri" w:cs="Calibri"/>
          <w:i/>
        </w:rPr>
        <w:t xml:space="preserve"> Instruments) Sunset-altering Declaration 2018</w:t>
      </w:r>
      <w:r w:rsidR="00CF49A2" w:rsidRPr="00653E98">
        <w:rPr>
          <w:rFonts w:ascii="Calibri" w:hAnsi="Calibri" w:cs="Calibri"/>
        </w:rPr>
        <w:t xml:space="preserve">. </w:t>
      </w:r>
      <w:r w:rsidRPr="00653E98">
        <w:rPr>
          <w:rFonts w:ascii="Calibri" w:hAnsi="Calibri" w:cs="Calibri"/>
        </w:rPr>
        <w:t xml:space="preserve"> The dec</w:t>
      </w:r>
      <w:r>
        <w:rPr>
          <w:rFonts w:ascii="Calibri" w:hAnsi="Calibri" w:cs="Calibri"/>
        </w:rPr>
        <w:t xml:space="preserve">laration may be cited by that name. </w:t>
      </w:r>
    </w:p>
    <w:p w14:paraId="7DCE74AA" w14:textId="77777777" w:rsidR="00637B19" w:rsidRDefault="00637B19" w:rsidP="00637B19">
      <w:pPr>
        <w:pStyle w:val="Heading3"/>
        <w:rPr>
          <w:rFonts w:ascii="Calibri" w:hAnsi="Calibri" w:cs="Calibri"/>
        </w:rPr>
      </w:pPr>
      <w:r>
        <w:rPr>
          <w:rFonts w:ascii="Calibri" w:hAnsi="Calibri" w:cs="Calibri"/>
        </w:rPr>
        <w:t xml:space="preserve">Section 2 </w:t>
      </w:r>
      <w:r>
        <w:rPr>
          <w:rFonts w:ascii="Calibri" w:hAnsi="Calibri" w:cs="Calibri"/>
        </w:rPr>
        <w:tab/>
        <w:t>Commencement</w:t>
      </w:r>
    </w:p>
    <w:p w14:paraId="7DCE74AB" w14:textId="77777777" w:rsidR="00637B19" w:rsidRDefault="00637B19" w:rsidP="00637B19">
      <w:pPr>
        <w:spacing w:before="180" w:line="240" w:lineRule="auto"/>
        <w:rPr>
          <w:rFonts w:ascii="Calibri" w:hAnsi="Calibri" w:cs="Calibri"/>
        </w:rPr>
      </w:pPr>
      <w:r>
        <w:rPr>
          <w:rFonts w:ascii="Calibri" w:hAnsi="Calibri" w:cs="Calibri"/>
        </w:rPr>
        <w:t xml:space="preserve">This section provides for the declaration to commence on the day after it is registered. </w:t>
      </w:r>
    </w:p>
    <w:p w14:paraId="7DCE74AC" w14:textId="77777777" w:rsidR="00637B19" w:rsidRDefault="00637B19" w:rsidP="00637B19">
      <w:pPr>
        <w:pStyle w:val="Heading3"/>
        <w:rPr>
          <w:rFonts w:ascii="Calibri" w:hAnsi="Calibri" w:cs="Calibri"/>
        </w:rPr>
      </w:pPr>
      <w:r>
        <w:rPr>
          <w:rFonts w:ascii="Calibri" w:hAnsi="Calibri" w:cs="Calibri"/>
        </w:rPr>
        <w:t>Section 3</w:t>
      </w:r>
      <w:r>
        <w:rPr>
          <w:rFonts w:ascii="Calibri" w:hAnsi="Calibri" w:cs="Calibri"/>
        </w:rPr>
        <w:tab/>
        <w:t>Authority</w:t>
      </w:r>
    </w:p>
    <w:p w14:paraId="7DCE74AD" w14:textId="77777777" w:rsidR="00637B19" w:rsidRDefault="00637B19" w:rsidP="00637B19">
      <w:pPr>
        <w:spacing w:before="180" w:line="240" w:lineRule="auto"/>
        <w:rPr>
          <w:rFonts w:ascii="Calibri" w:hAnsi="Calibri" w:cs="Calibri"/>
        </w:rPr>
      </w:pPr>
      <w:r>
        <w:rPr>
          <w:rFonts w:ascii="Calibri" w:hAnsi="Calibri" w:cs="Calibri"/>
        </w:rPr>
        <w:t>This section provides that the declaration is made under subsection </w:t>
      </w:r>
      <w:proofErr w:type="gramStart"/>
      <w:r>
        <w:rPr>
          <w:rFonts w:ascii="Calibri" w:hAnsi="Calibri" w:cs="Calibri"/>
        </w:rPr>
        <w:t>51A</w:t>
      </w:r>
      <w:r w:rsidR="00C62304">
        <w:rPr>
          <w:rFonts w:ascii="Calibri" w:hAnsi="Calibri" w:cs="Calibri"/>
        </w:rPr>
        <w:t>(</w:t>
      </w:r>
      <w:proofErr w:type="gramEnd"/>
      <w:r w:rsidR="00C62304">
        <w:rPr>
          <w:rFonts w:ascii="Calibri" w:hAnsi="Calibri" w:cs="Calibri"/>
        </w:rPr>
        <w:t>1)</w:t>
      </w:r>
      <w:r>
        <w:rPr>
          <w:rFonts w:ascii="Calibri" w:hAnsi="Calibri" w:cs="Calibri"/>
        </w:rPr>
        <w:t xml:space="preserve"> of the </w:t>
      </w:r>
      <w:r w:rsidR="003C5943">
        <w:rPr>
          <w:rFonts w:ascii="Calibri" w:hAnsi="Calibri" w:cs="Calibri"/>
          <w:i/>
        </w:rPr>
        <w:t>Legislation</w:t>
      </w:r>
      <w:r>
        <w:rPr>
          <w:rFonts w:ascii="Calibri" w:hAnsi="Calibri" w:cs="Calibri"/>
          <w:i/>
        </w:rPr>
        <w:t xml:space="preserve"> Act 2003</w:t>
      </w:r>
      <w:r>
        <w:rPr>
          <w:rFonts w:ascii="Calibri" w:hAnsi="Calibri" w:cs="Calibri"/>
        </w:rPr>
        <w:t xml:space="preserve">.  </w:t>
      </w:r>
    </w:p>
    <w:p w14:paraId="7DCE74AE" w14:textId="77777777" w:rsidR="00637B19" w:rsidRDefault="00637B19" w:rsidP="00637B19">
      <w:pPr>
        <w:pStyle w:val="Heading3"/>
        <w:ind w:left="12" w:hanging="12"/>
        <w:rPr>
          <w:rFonts w:ascii="Calibri" w:hAnsi="Calibri" w:cs="Calibri"/>
          <w:spacing w:val="-6"/>
        </w:rPr>
      </w:pPr>
      <w:proofErr w:type="gramStart"/>
      <w:r>
        <w:rPr>
          <w:rFonts w:ascii="Calibri" w:hAnsi="Calibri" w:cs="Calibri"/>
          <w:spacing w:val="-6"/>
        </w:rPr>
        <w:t>Section 4</w:t>
      </w:r>
      <w:r>
        <w:rPr>
          <w:rFonts w:ascii="Calibri" w:hAnsi="Calibri" w:cs="Calibri"/>
          <w:spacing w:val="-6"/>
        </w:rPr>
        <w:tab/>
        <w:t xml:space="preserve">Repeal of </w:t>
      </w:r>
      <w:r w:rsidR="00FD4831" w:rsidRPr="00FD4831">
        <w:rPr>
          <w:rFonts w:ascii="Calibri" w:hAnsi="Calibri" w:cs="Calibri"/>
          <w:spacing w:val="-6"/>
        </w:rPr>
        <w:t xml:space="preserve">anti-discrimination </w:t>
      </w:r>
      <w:r>
        <w:rPr>
          <w:rFonts w:ascii="Calibri" w:hAnsi="Calibri" w:cs="Calibri"/>
          <w:spacing w:val="-6"/>
        </w:rPr>
        <w:t>instruments to facilitate review etc.</w:t>
      </w:r>
      <w:proofErr w:type="gramEnd"/>
    </w:p>
    <w:p w14:paraId="7DCE74AF" w14:textId="77777777" w:rsidR="00637B19" w:rsidRDefault="00637B19" w:rsidP="00637B19">
      <w:pPr>
        <w:spacing w:before="180" w:after="120" w:line="240" w:lineRule="auto"/>
        <w:rPr>
          <w:rFonts w:ascii="Calibri" w:hAnsi="Calibri" w:cs="Calibri"/>
        </w:rPr>
      </w:pPr>
      <w:r>
        <w:rPr>
          <w:rFonts w:ascii="Calibri" w:hAnsi="Calibri" w:cs="Calibri"/>
        </w:rPr>
        <w:t>This section</w:t>
      </w:r>
      <w:r w:rsidR="002F41F9">
        <w:rPr>
          <w:rFonts w:ascii="Calibri" w:hAnsi="Calibri" w:cs="Calibri"/>
        </w:rPr>
        <w:t xml:space="preserve"> provides that the </w:t>
      </w:r>
      <w:r w:rsidR="003079FD" w:rsidRPr="003079FD">
        <w:rPr>
          <w:rFonts w:ascii="Calibri" w:hAnsi="Calibri" w:cs="Calibri"/>
          <w:i/>
        </w:rPr>
        <w:t>Australian Human Rights Commission Regulations 1989</w:t>
      </w:r>
      <w:r w:rsidR="003079FD">
        <w:rPr>
          <w:rFonts w:ascii="Calibri" w:hAnsi="Calibri" w:cs="Calibri"/>
        </w:rPr>
        <w:t xml:space="preserve"> and the </w:t>
      </w:r>
      <w:r w:rsidR="009935EE" w:rsidRPr="001D5E22">
        <w:rPr>
          <w:rFonts w:ascii="Calibri" w:hAnsi="Calibri" w:cs="Calibri"/>
          <w:i/>
        </w:rPr>
        <w:t>Disability Discrimination Regulations 1996</w:t>
      </w:r>
      <w:r w:rsidR="002E55F5">
        <w:rPr>
          <w:rFonts w:ascii="Calibri" w:hAnsi="Calibri" w:cs="Calibri"/>
        </w:rPr>
        <w:t xml:space="preserve"> are repealed by section 51A of the Legislation Act </w:t>
      </w:r>
      <w:r w:rsidR="00326B1B">
        <w:rPr>
          <w:rFonts w:ascii="Calibri" w:hAnsi="Calibri" w:cs="Calibri"/>
        </w:rPr>
        <w:t>on 1 October 2019</w:t>
      </w:r>
      <w:r>
        <w:rPr>
          <w:rFonts w:ascii="Calibri" w:hAnsi="Calibri" w:cs="Calibri"/>
        </w:rPr>
        <w:t xml:space="preserve">. </w:t>
      </w:r>
    </w:p>
    <w:p w14:paraId="7DCE74B0" w14:textId="77777777" w:rsidR="00637B19" w:rsidRDefault="00637B19" w:rsidP="00EF6EDA">
      <w:pPr>
        <w:spacing w:before="180" w:after="120" w:line="240" w:lineRule="auto"/>
        <w:rPr>
          <w:rFonts w:ascii="Calibri" w:hAnsi="Calibri" w:cs="Calibri"/>
        </w:rPr>
      </w:pPr>
      <w:r w:rsidRPr="003C4F6D">
        <w:rPr>
          <w:rFonts w:ascii="Calibri" w:hAnsi="Calibri" w:cs="Calibri"/>
        </w:rPr>
        <w:t xml:space="preserve">This is the aligned </w:t>
      </w:r>
      <w:proofErr w:type="spellStart"/>
      <w:r w:rsidRPr="003C4F6D">
        <w:rPr>
          <w:rFonts w:ascii="Calibri" w:hAnsi="Calibri" w:cs="Calibri"/>
        </w:rPr>
        <w:t>sunsetting</w:t>
      </w:r>
      <w:proofErr w:type="spellEnd"/>
      <w:r w:rsidRPr="003C4F6D">
        <w:rPr>
          <w:rFonts w:ascii="Calibri" w:hAnsi="Calibri" w:cs="Calibri"/>
        </w:rPr>
        <w:t xml:space="preserve"> day for those instruments, which would otherwise ha</w:t>
      </w:r>
      <w:r w:rsidR="00DE634A" w:rsidRPr="003C4F6D">
        <w:rPr>
          <w:rFonts w:ascii="Calibri" w:hAnsi="Calibri" w:cs="Calibri"/>
        </w:rPr>
        <w:t xml:space="preserve">ve sunset </w:t>
      </w:r>
      <w:r w:rsidR="001E404F">
        <w:rPr>
          <w:rFonts w:ascii="Calibri" w:hAnsi="Calibri" w:cs="Calibri"/>
        </w:rPr>
        <w:t>on</w:t>
      </w:r>
      <w:r w:rsidR="001E404F" w:rsidRPr="003C4F6D">
        <w:rPr>
          <w:rFonts w:ascii="Calibri" w:hAnsi="Calibri" w:cs="Calibri"/>
        </w:rPr>
        <w:t xml:space="preserve"> </w:t>
      </w:r>
      <w:r w:rsidR="00B475FA" w:rsidRPr="003C4F6D">
        <w:rPr>
          <w:rFonts w:ascii="Calibri" w:hAnsi="Calibri" w:cs="Calibri"/>
        </w:rPr>
        <w:t>1</w:t>
      </w:r>
      <w:r w:rsidR="00B475FA">
        <w:rPr>
          <w:rFonts w:ascii="Calibri" w:hAnsi="Calibri" w:cs="Calibri"/>
        </w:rPr>
        <w:t> </w:t>
      </w:r>
      <w:r w:rsidR="00DE634A" w:rsidRPr="003C4F6D">
        <w:rPr>
          <w:rFonts w:ascii="Calibri" w:hAnsi="Calibri" w:cs="Calibri"/>
        </w:rPr>
        <w:t xml:space="preserve">April 2018 and 1 </w:t>
      </w:r>
      <w:r w:rsidR="00211DFF">
        <w:rPr>
          <w:rFonts w:ascii="Calibri" w:hAnsi="Calibri" w:cs="Calibri"/>
        </w:rPr>
        <w:t>April 2019</w:t>
      </w:r>
      <w:r w:rsidR="001E404F">
        <w:rPr>
          <w:rFonts w:ascii="Calibri" w:hAnsi="Calibri" w:cs="Calibri"/>
        </w:rPr>
        <w:t xml:space="preserve"> respectively</w:t>
      </w:r>
      <w:r w:rsidR="003C5834" w:rsidRPr="003C4F6D">
        <w:rPr>
          <w:rFonts w:ascii="Calibri" w:hAnsi="Calibri" w:cs="Calibri"/>
        </w:rPr>
        <w:t xml:space="preserve">. </w:t>
      </w:r>
      <w:r w:rsidR="00B475FA">
        <w:rPr>
          <w:rFonts w:ascii="Calibri" w:hAnsi="Calibri" w:cs="Calibri"/>
        </w:rPr>
        <w:t xml:space="preserve">The declaration will delay the </w:t>
      </w:r>
      <w:proofErr w:type="spellStart"/>
      <w:r w:rsidR="00B475FA">
        <w:rPr>
          <w:rFonts w:ascii="Calibri" w:hAnsi="Calibri" w:cs="Calibri"/>
        </w:rPr>
        <w:t>sunsetting</w:t>
      </w:r>
      <w:proofErr w:type="spellEnd"/>
      <w:r w:rsidR="00B475FA">
        <w:rPr>
          <w:rFonts w:ascii="Calibri" w:hAnsi="Calibri" w:cs="Calibri"/>
        </w:rPr>
        <w:t xml:space="preserve"> of b</w:t>
      </w:r>
      <w:r w:rsidR="00177705">
        <w:rPr>
          <w:rFonts w:ascii="Calibri" w:hAnsi="Calibri" w:cs="Calibri"/>
        </w:rPr>
        <w:t>oth</w:t>
      </w:r>
      <w:r w:rsidR="00773EE8" w:rsidRPr="003C4F6D">
        <w:rPr>
          <w:rFonts w:ascii="Calibri" w:hAnsi="Calibri" w:cs="Calibri"/>
        </w:rPr>
        <w:t xml:space="preserve"> </w:t>
      </w:r>
      <w:r w:rsidR="003C5834" w:rsidRPr="003C4F6D">
        <w:rPr>
          <w:rFonts w:ascii="Calibri" w:hAnsi="Calibri" w:cs="Calibri"/>
        </w:rPr>
        <w:t>instruments.</w:t>
      </w:r>
    </w:p>
    <w:p w14:paraId="7DCE74B1" w14:textId="77777777" w:rsidR="00637B19" w:rsidRDefault="00637B19" w:rsidP="00637B19">
      <w:pPr>
        <w:pStyle w:val="Heading3"/>
        <w:rPr>
          <w:rFonts w:ascii="Calibri" w:hAnsi="Calibri" w:cs="Calibri"/>
        </w:rPr>
      </w:pPr>
      <w:r>
        <w:rPr>
          <w:rFonts w:ascii="Calibri" w:hAnsi="Calibri" w:cs="Calibri"/>
        </w:rPr>
        <w:t>Section 5</w:t>
      </w:r>
      <w:r>
        <w:rPr>
          <w:rFonts w:ascii="Calibri" w:hAnsi="Calibri" w:cs="Calibri"/>
        </w:rPr>
        <w:tab/>
        <w:t xml:space="preserve">Repeal of this </w:t>
      </w:r>
      <w:r w:rsidR="00077E2B">
        <w:rPr>
          <w:rFonts w:ascii="Calibri" w:hAnsi="Calibri" w:cs="Calibri"/>
        </w:rPr>
        <w:t>instrument</w:t>
      </w:r>
    </w:p>
    <w:p w14:paraId="7DCE74B2" w14:textId="77777777" w:rsidR="00637B19" w:rsidRDefault="00637B19" w:rsidP="00637B19">
      <w:pPr>
        <w:spacing w:before="180" w:line="240" w:lineRule="auto"/>
        <w:rPr>
          <w:rFonts w:ascii="Calibri" w:hAnsi="Calibri" w:cs="Calibri"/>
        </w:rPr>
      </w:pPr>
      <w:r>
        <w:rPr>
          <w:rFonts w:ascii="Calibri" w:hAnsi="Calibri" w:cs="Calibri"/>
        </w:rPr>
        <w:t xml:space="preserve">This section provides that the declaration is repealed on </w:t>
      </w:r>
      <w:r w:rsidR="00AF41CD">
        <w:rPr>
          <w:rFonts w:ascii="Calibri" w:hAnsi="Calibri" w:cs="Calibri"/>
        </w:rPr>
        <w:t>2</w:t>
      </w:r>
      <w:r w:rsidR="003C4F6D">
        <w:rPr>
          <w:rFonts w:ascii="Calibri" w:hAnsi="Calibri" w:cs="Calibri"/>
        </w:rPr>
        <w:t xml:space="preserve"> </w:t>
      </w:r>
      <w:r w:rsidR="00BF5CBF">
        <w:rPr>
          <w:rFonts w:ascii="Calibri" w:hAnsi="Calibri" w:cs="Calibri"/>
        </w:rPr>
        <w:t>October 2019</w:t>
      </w:r>
      <w:r>
        <w:rPr>
          <w:rFonts w:ascii="Calibri" w:hAnsi="Calibri" w:cs="Calibri"/>
        </w:rPr>
        <w:t xml:space="preserve">, which is the day after the aligned </w:t>
      </w:r>
      <w:proofErr w:type="spellStart"/>
      <w:r>
        <w:rPr>
          <w:rFonts w:ascii="Calibri" w:hAnsi="Calibri" w:cs="Calibri"/>
        </w:rPr>
        <w:t>sunsetting</w:t>
      </w:r>
      <w:proofErr w:type="spellEnd"/>
      <w:r>
        <w:rPr>
          <w:rFonts w:ascii="Calibri" w:hAnsi="Calibri" w:cs="Calibri"/>
        </w:rPr>
        <w:t xml:space="preserve"> day. This ensures that the declaration remains in force </w:t>
      </w:r>
      <w:r w:rsidR="001D5C30">
        <w:rPr>
          <w:rFonts w:ascii="Calibri" w:hAnsi="Calibri" w:cs="Calibri"/>
        </w:rPr>
        <w:t xml:space="preserve">for </w:t>
      </w:r>
      <w:r>
        <w:rPr>
          <w:rFonts w:ascii="Calibri" w:hAnsi="Calibri" w:cs="Calibri"/>
        </w:rPr>
        <w:t>only as long as it is needed.</w:t>
      </w:r>
    </w:p>
    <w:p w14:paraId="7DCE74B3" w14:textId="77777777" w:rsidR="00637B19" w:rsidRPr="00B334EA" w:rsidRDefault="00637B19" w:rsidP="00637B19"/>
    <w:p w14:paraId="7DCE74B4" w14:textId="77777777" w:rsidR="00637B19" w:rsidRPr="0054130A" w:rsidRDefault="00637B19" w:rsidP="00637B19"/>
    <w:p w14:paraId="7DCE74B5" w14:textId="77777777" w:rsidR="004601F7" w:rsidRPr="00EB33BA" w:rsidRDefault="004601F7" w:rsidP="00EB33BA">
      <w:pPr>
        <w:spacing w:line="240" w:lineRule="auto"/>
      </w:pPr>
    </w:p>
    <w:sectPr w:rsidR="004601F7" w:rsidRPr="00EB33BA" w:rsidSect="000D4EDF">
      <w:headerReference w:type="default" r:id="rId12"/>
      <w:footerReference w:type="even" r:id="rId13"/>
      <w:footerReference w:type="default" r:id="rId14"/>
      <w:footerReference w:type="first" r:id="rId15"/>
      <w:pgSz w:w="11907" w:h="1683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CE74B8" w14:textId="77777777" w:rsidR="00125C28" w:rsidRDefault="00125C28">
      <w:pPr>
        <w:spacing w:line="240" w:lineRule="auto"/>
      </w:pPr>
      <w:r>
        <w:separator/>
      </w:r>
    </w:p>
  </w:endnote>
  <w:endnote w:type="continuationSeparator" w:id="0">
    <w:p w14:paraId="7DCE74B9" w14:textId="77777777" w:rsidR="00125C28" w:rsidRDefault="00125C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8EDAF3CA-5229-4664-842F-EB68F3767060}"/>
    <w:embedBold r:id="rId2" w:fontKey="{1655085C-8C0B-4BAB-8DF8-789383EAB44E}"/>
    <w:embedItalic r:id="rId3" w:fontKey="{7103A932-FE8D-4220-A70C-7206D8A369D8}"/>
    <w:embedBoldItalic r:id="rId4" w:fontKey="{B14AC6B4-37A0-4090-B412-8AD08B4D137B}"/>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E74BB" w14:textId="77777777" w:rsidR="00430A7D" w:rsidRDefault="00661D37" w:rsidP="000D4E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7DCE74BC" w14:textId="77777777" w:rsidR="00430A7D" w:rsidRDefault="006B05F7" w:rsidP="000D4EDF">
    <w:pPr>
      <w:pStyle w:val="Footer"/>
      <w:ind w:right="360"/>
    </w:pPr>
  </w:p>
  <w:p w14:paraId="7DCE74BD" w14:textId="77777777" w:rsidR="00430A7D" w:rsidRPr="00172BEB" w:rsidRDefault="00661D37" w:rsidP="00172BEB">
    <w:pPr>
      <w:pStyle w:val="Footer"/>
      <w:ind w:right="360"/>
      <w:jc w:val="right"/>
      <w:rPr>
        <w:i/>
        <w:sz w:val="18"/>
      </w:rPr>
    </w:pPr>
    <w:r>
      <w:rPr>
        <w:i/>
        <w:sz w:val="18"/>
      </w:rPr>
      <w:fldChar w:fldCharType="begin"/>
    </w:r>
    <w:r>
      <w:rPr>
        <w:i/>
        <w:sz w:val="18"/>
      </w:rPr>
      <w:instrText xml:space="preserve"> FILENAME \p \* MERGEFORMAT </w:instrText>
    </w:r>
    <w:r>
      <w:rPr>
        <w:i/>
        <w:sz w:val="18"/>
      </w:rPr>
      <w:fldChar w:fldCharType="separate"/>
    </w:r>
    <w:r w:rsidR="007817FD">
      <w:rPr>
        <w:i/>
        <w:noProof/>
        <w:sz w:val="18"/>
      </w:rPr>
      <w:t>C:\Users\brownt\AppData\Local\Microsoft\Windows\Temporary Internet Files\Content.Outlook\DPA0IXB4\FINAL Explanatory Statement - Legislation (Human Rights Instrument) Su.._ (2).docx</w:t>
    </w:r>
    <w:r>
      <w:rPr>
        <w:i/>
        <w:sz w:val="18"/>
      </w:rPr>
      <w:fldChar w:fldCharType="end"/>
    </w:r>
    <w:r>
      <w:rPr>
        <w:i/>
        <w:sz w:val="18"/>
      </w:rPr>
      <w:t xml:space="preserve"> </w:t>
    </w:r>
    <w:r>
      <w:rPr>
        <w:i/>
        <w:sz w:val="18"/>
      </w:rPr>
      <w:fldChar w:fldCharType="begin"/>
    </w:r>
    <w:r>
      <w:rPr>
        <w:i/>
        <w:sz w:val="18"/>
      </w:rPr>
      <w:instrText xml:space="preserve"> TIME \@ "d/M/yyyy h:mm am/pm" \* MERGEFORMAT </w:instrText>
    </w:r>
    <w:r>
      <w:rPr>
        <w:i/>
        <w:sz w:val="18"/>
      </w:rPr>
      <w:fldChar w:fldCharType="separate"/>
    </w:r>
    <w:r w:rsidR="006B05F7">
      <w:rPr>
        <w:i/>
        <w:noProof/>
        <w:sz w:val="18"/>
      </w:rPr>
      <w:t>6/3/2018 9:34 AM</w:t>
    </w:r>
    <w:r>
      <w:rPr>
        <w:i/>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E74BE" w14:textId="77777777" w:rsidR="002C1C61" w:rsidRDefault="005B6082" w:rsidP="002C1C61">
    <w:pPr>
      <w:pStyle w:val="Footer"/>
      <w:tabs>
        <w:tab w:val="clear" w:pos="4153"/>
        <w:tab w:val="clear" w:pos="8306"/>
        <w:tab w:val="left" w:pos="7680"/>
      </w:tabs>
      <w:ind w:right="27"/>
      <w:jc w:val="right"/>
      <w:rPr>
        <w:rFonts w:asciiTheme="minorHAnsi" w:hAnsiTheme="minorHAnsi"/>
        <w:i/>
      </w:rPr>
    </w:pPr>
    <w:r w:rsidRPr="005B6082">
      <w:rPr>
        <w:rFonts w:asciiTheme="minorHAnsi" w:hAnsiTheme="minorHAnsi"/>
        <w:i/>
      </w:rPr>
      <w:t>Legislation (</w:t>
    </w:r>
    <w:r w:rsidR="00FD6A91">
      <w:rPr>
        <w:rFonts w:asciiTheme="minorHAnsi" w:hAnsiTheme="minorHAnsi"/>
        <w:i/>
      </w:rPr>
      <w:t>Human Rights</w:t>
    </w:r>
    <w:r w:rsidRPr="005B6082">
      <w:rPr>
        <w:rFonts w:asciiTheme="minorHAnsi" w:hAnsiTheme="minorHAnsi"/>
        <w:i/>
      </w:rPr>
      <w:t xml:space="preserve"> Instruments) Sunset-altering Declaration 2018</w:t>
    </w:r>
  </w:p>
  <w:p w14:paraId="7DCE74BF" w14:textId="77777777" w:rsidR="00430A7D" w:rsidRPr="002C1C61" w:rsidRDefault="002C1C61" w:rsidP="002C1C61">
    <w:pPr>
      <w:pStyle w:val="Footer"/>
      <w:tabs>
        <w:tab w:val="clear" w:pos="4153"/>
        <w:tab w:val="clear" w:pos="8306"/>
        <w:tab w:val="left" w:pos="7680"/>
      </w:tabs>
      <w:ind w:right="27"/>
      <w:jc w:val="right"/>
      <w:rPr>
        <w:rFonts w:asciiTheme="minorHAnsi" w:hAnsiTheme="minorHAnsi"/>
        <w:i/>
      </w:rPr>
    </w:pPr>
    <w:r w:rsidRPr="002C1C61">
      <w:rPr>
        <w:rFonts w:asciiTheme="minorHAnsi" w:hAnsiTheme="minorHAnsi"/>
        <w:i/>
      </w:rPr>
      <w:t xml:space="preserve"> </w:t>
    </w:r>
    <w:r w:rsidR="00661D37" w:rsidRPr="002C1C61">
      <w:rPr>
        <w:rFonts w:asciiTheme="minorHAnsi" w:hAnsiTheme="minorHAnsi"/>
      </w:rPr>
      <w:t xml:space="preserve">Explanatory Statement page </w:t>
    </w:r>
    <w:r w:rsidR="00661D37" w:rsidRPr="002C1C61">
      <w:rPr>
        <w:rFonts w:asciiTheme="minorHAnsi" w:hAnsiTheme="minorHAnsi"/>
      </w:rPr>
      <w:fldChar w:fldCharType="begin"/>
    </w:r>
    <w:r w:rsidR="00661D37" w:rsidRPr="002C1C61">
      <w:rPr>
        <w:rFonts w:asciiTheme="minorHAnsi" w:hAnsiTheme="minorHAnsi"/>
      </w:rPr>
      <w:instrText xml:space="preserve"> PAGE  \* MERGEFORMAT </w:instrText>
    </w:r>
    <w:r w:rsidR="00661D37" w:rsidRPr="002C1C61">
      <w:rPr>
        <w:rFonts w:asciiTheme="minorHAnsi" w:hAnsiTheme="minorHAnsi"/>
      </w:rPr>
      <w:fldChar w:fldCharType="separate"/>
    </w:r>
    <w:r w:rsidR="006B05F7">
      <w:rPr>
        <w:rFonts w:asciiTheme="minorHAnsi" w:hAnsiTheme="minorHAnsi"/>
        <w:noProof/>
      </w:rPr>
      <w:t>3</w:t>
    </w:r>
    <w:r w:rsidR="00661D37" w:rsidRPr="002C1C61">
      <w:rPr>
        <w:rFonts w:asciiTheme="minorHAnsi" w:hAnsiTheme="minorHAnsi"/>
        <w:noProof/>
      </w:rPr>
      <w:fldChar w:fldCharType="end"/>
    </w:r>
    <w:r w:rsidR="00661D37" w:rsidRPr="002C1C61">
      <w:rPr>
        <w:rFonts w:asciiTheme="minorHAnsi" w:hAnsiTheme="minorHAnsi"/>
        <w:noProof/>
      </w:rPr>
      <w:t xml:space="preserve"> of </w:t>
    </w:r>
    <w:r w:rsidR="00E27260" w:rsidRPr="002C1C61">
      <w:rPr>
        <w:rFonts w:asciiTheme="minorHAnsi" w:hAnsiTheme="minorHAnsi"/>
      </w:rPr>
      <w:fldChar w:fldCharType="begin"/>
    </w:r>
    <w:r w:rsidR="00E27260" w:rsidRPr="002C1C61">
      <w:rPr>
        <w:rFonts w:asciiTheme="minorHAnsi" w:hAnsiTheme="minorHAnsi"/>
      </w:rPr>
      <w:instrText xml:space="preserve"> NUMPAGES </w:instrText>
    </w:r>
    <w:r w:rsidR="00E27260" w:rsidRPr="002C1C61">
      <w:rPr>
        <w:rFonts w:asciiTheme="minorHAnsi" w:hAnsiTheme="minorHAnsi"/>
      </w:rPr>
      <w:fldChar w:fldCharType="separate"/>
    </w:r>
    <w:r w:rsidR="006B05F7">
      <w:rPr>
        <w:rFonts w:asciiTheme="minorHAnsi" w:hAnsiTheme="minorHAnsi"/>
        <w:noProof/>
      </w:rPr>
      <w:t>4</w:t>
    </w:r>
    <w:r w:rsidR="00E27260" w:rsidRPr="002C1C61">
      <w:rPr>
        <w:rFonts w:asciiTheme="minorHAnsi" w:hAnsiTheme="minorHAnsi"/>
        <w:noProof/>
      </w:rPr>
      <w:fldChar w:fldCharType="end"/>
    </w:r>
  </w:p>
  <w:p w14:paraId="7DCE74C0" w14:textId="77777777" w:rsidR="00430A7D" w:rsidRPr="000B0D5F" w:rsidRDefault="006B05F7" w:rsidP="00A4294E">
    <w:pPr>
      <w:pStyle w:val="Footer"/>
      <w:tabs>
        <w:tab w:val="clear" w:pos="4153"/>
        <w:tab w:val="clear" w:pos="8306"/>
        <w:tab w:val="left" w:pos="7680"/>
      </w:tabs>
      <w:ind w:right="2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E74C1" w14:textId="77777777" w:rsidR="00430A7D" w:rsidRDefault="006B05F7">
    <w:pPr>
      <w:pStyle w:val="Footer"/>
    </w:pPr>
  </w:p>
  <w:p w14:paraId="7DCE74C2" w14:textId="77777777" w:rsidR="00430A7D" w:rsidRPr="00172BEB" w:rsidRDefault="00661D37" w:rsidP="00172BEB">
    <w:pPr>
      <w:pStyle w:val="Footer"/>
      <w:rPr>
        <w:i/>
        <w:sz w:val="18"/>
      </w:rPr>
    </w:pPr>
    <w:r>
      <w:rPr>
        <w:i/>
        <w:sz w:val="18"/>
      </w:rPr>
      <w:fldChar w:fldCharType="begin"/>
    </w:r>
    <w:r>
      <w:rPr>
        <w:i/>
        <w:sz w:val="18"/>
      </w:rPr>
      <w:instrText xml:space="preserve"> FILENAME \p \* MERGEFORMAT </w:instrText>
    </w:r>
    <w:r>
      <w:rPr>
        <w:i/>
        <w:sz w:val="18"/>
      </w:rPr>
      <w:fldChar w:fldCharType="separate"/>
    </w:r>
    <w:r w:rsidR="007817FD">
      <w:rPr>
        <w:i/>
        <w:noProof/>
        <w:sz w:val="18"/>
      </w:rPr>
      <w:t>C:\Users\brownt\AppData\Local\Microsoft\Windows\Temporary Internet Files\Content.Outlook\DPA0IXB4\FINAL Explanatory Statement - Legislation (Human Rights Instrument) Su.._ (2).docx</w:t>
    </w:r>
    <w:r>
      <w:rPr>
        <w:i/>
        <w:sz w:val="18"/>
      </w:rPr>
      <w:fldChar w:fldCharType="end"/>
    </w:r>
    <w:r>
      <w:rPr>
        <w:i/>
        <w:sz w:val="18"/>
      </w:rPr>
      <w:t xml:space="preserve"> </w:t>
    </w:r>
    <w:r>
      <w:rPr>
        <w:i/>
        <w:sz w:val="18"/>
      </w:rPr>
      <w:fldChar w:fldCharType="begin"/>
    </w:r>
    <w:r>
      <w:rPr>
        <w:i/>
        <w:sz w:val="18"/>
      </w:rPr>
      <w:instrText xml:space="preserve"> TIME \@ "d/M/yyyy h:mm am/pm" \* MERGEFORMAT </w:instrText>
    </w:r>
    <w:r>
      <w:rPr>
        <w:i/>
        <w:sz w:val="18"/>
      </w:rPr>
      <w:fldChar w:fldCharType="separate"/>
    </w:r>
    <w:r w:rsidR="006B05F7">
      <w:rPr>
        <w:i/>
        <w:noProof/>
        <w:sz w:val="18"/>
      </w:rPr>
      <w:t>6/3/2018 9:34 AM</w:t>
    </w:r>
    <w:r>
      <w:rPr>
        <w:i/>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CE74B6" w14:textId="77777777" w:rsidR="00125C28" w:rsidRDefault="00125C28">
      <w:pPr>
        <w:spacing w:line="240" w:lineRule="auto"/>
      </w:pPr>
      <w:r>
        <w:separator/>
      </w:r>
    </w:p>
  </w:footnote>
  <w:footnote w:type="continuationSeparator" w:id="0">
    <w:p w14:paraId="7DCE74B7" w14:textId="77777777" w:rsidR="00125C28" w:rsidRDefault="00125C2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E74BA" w14:textId="77777777" w:rsidR="00430A7D" w:rsidRDefault="0054130A">
    <w:pPr>
      <w:pStyle w:val="Header"/>
    </w:pPr>
    <w:r>
      <w:rPr>
        <w:noProof/>
      </w:rPr>
      <mc:AlternateContent>
        <mc:Choice Requires="wps">
          <w:drawing>
            <wp:anchor distT="0" distB="0" distL="114300" distR="114300" simplePos="0" relativeHeight="251657728" behindDoc="1" locked="0" layoutInCell="1" allowOverlap="1" wp14:anchorId="7DCE74C3" wp14:editId="7DCE74C4">
              <wp:simplePos x="0" y="0"/>
              <wp:positionH relativeFrom="column">
                <wp:align>center</wp:align>
              </wp:positionH>
              <wp:positionV relativeFrom="page">
                <wp:posOffset>143510</wp:posOffset>
              </wp:positionV>
              <wp:extent cx="4413885" cy="396240"/>
              <wp:effectExtent l="0" t="635" r="0"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CE74C5" w14:textId="77777777" w:rsidR="00430A7D" w:rsidRPr="004A1869" w:rsidRDefault="006B05F7" w:rsidP="004A1869">
                          <w:pPr>
                            <w:jc w:val="center"/>
                            <w:rPr>
                              <w:rFonts w:ascii="Arial" w:hAnsi="Arial" w:cs="Arial"/>
                              <w:b/>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11.3pt;width:347.55pt;height:31.2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M6hQIAAA8FAAAOAAAAZHJzL2Uyb0RvYy54bWysVNuO2yAQfa/Uf0C8Z22nTja21lntpakq&#10;bS/Sbj+AAI5RbYYCib2t+u8d8CbrXh6qqn7AwAyHM3NmuLgcupYcpHUKdEWzs5QSqTkIpXcV/fSw&#10;ma0ocZ5pwVrQsqKP0tHL9csXF70p5RwaaIW0BEG0K3tT0cZ7UyaJ443smDsDIzUaa7Ad87i0u0RY&#10;1iN61ybzNF0mPVhhLHDpHO7ejka6jvh1Lbn/UNdOetJWFLn5ONo4bsOYrC9YubPMNIo/0WD/wKJj&#10;SuOlJ6hb5hnZW/UbVKe4BQe1P+PQJVDXissYA0aTpb9Ec98wI2MsmBxnTmly/w+Wvz98tEQJ1I4S&#10;zTqU6EEOnlzDQLKQnd64Ep3uDbr5AbeDZ4jUmTvgnx3RcNMwvZNX1kLfSCaQXTyZTI6OOC6AbPt3&#10;IPAatvcQgYbadgEQk0EQHVV6PCkTqHDczPPs1Wq1oISj7VWxnOdRuoSVx9PGOv9GQkfCpKIWlY/o&#10;7HDnPMaBrkeXyB5aJTaqbePC7rY3rSUHhlWyiV8IHY+4qVurg7OGcGw0jztIEu8ItkA3qv6tyJDi&#10;9byYbZar81m+yRez4jxdzdKsuC6WaV7kt5vvgWCWl40SQuo7peWxArP87xR+6oWxdmINkr6ixWK+&#10;GCWasnfTINP4/SnITnlsyFZ1FV2dnFgZhH2tBYbNSs9UO86Tn+nHlGEOjv+YlVgGQfmxBvywHRAl&#10;1MYWxCMWhAXUC1XHVwQnDdivlPTYkRV1X/bMSkratxqLqshyVJ34uMgX53Nc2KllO7UwzRGqop6S&#10;cXrjx7bfG6t2Dd40lrGGKyzEWsUaeWaFIYQFdl0M5umFCG09XUev53ds/QMAAP//AwBQSwMEFAAG&#10;AAgAAAAhANUQopvcAAAABgEAAA8AAABkcnMvZG93bnJldi54bWxMj0FPg0AUhO8m/ofNM/Fi7FIi&#10;tKU8GjXReG3tD3jAK5Cybwm7LfTfu570OJnJzDf5bja9uvLoOisIy0UEiqWydScNwvH743kNynmS&#10;mnorjHBjB7vi/i6nrLaT7Pl68I0KJeIyQmi9HzKtXdWyIbewA0vwTnY05IMcG12PNIVy0+s4ilJt&#10;qJOw0NLA7y1X58PFIJy+pqdkM5Wf/rjav6Rv1K1Ke0N8fJhft6A8z/4vDL/4AR2KwFTai9RO9Qjh&#10;iEeI4xRUcNNNsgRVIqyTCHSR6//4xQ8AAAD//wMAUEsBAi0AFAAGAAgAAAAhALaDOJL+AAAA4QEA&#10;ABMAAAAAAAAAAAAAAAAAAAAAAFtDb250ZW50X1R5cGVzXS54bWxQSwECLQAUAAYACAAAACEAOP0h&#10;/9YAAACUAQAACwAAAAAAAAAAAAAAAAAvAQAAX3JlbHMvLnJlbHNQSwECLQAUAAYACAAAACEAYYgD&#10;OoUCAAAPBQAADgAAAAAAAAAAAAAAAAAuAgAAZHJzL2Uyb0RvYy54bWxQSwECLQAUAAYACAAAACEA&#10;1RCim9wAAAAGAQAADwAAAAAAAAAAAAAAAADfBAAAZHJzL2Rvd25yZXYueG1sUEsFBgAAAAAEAAQA&#10;8wAAAOgFAAAAAA==&#10;" stroked="f">
              <v:textbox>
                <w:txbxContent>
                  <w:p w:rsidR="00430A7D" w:rsidRPr="004A1869" w:rsidRDefault="00125C28" w:rsidP="004A1869">
                    <w:pPr>
                      <w:jc w:val="center"/>
                      <w:rPr>
                        <w:rFonts w:ascii="Arial" w:hAnsi="Arial" w:cs="Arial"/>
                        <w:b/>
                        <w:sz w:val="40"/>
                      </w:rPr>
                    </w:pPr>
                  </w:p>
                </w:txbxContent>
              </v:textbox>
              <w10:wrap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E7190"/>
    <w:multiLevelType w:val="hybridMultilevel"/>
    <w:tmpl w:val="DCE6E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pStyle w:val="BodyParaBullet"/>
      <w:lvlText w:val=""/>
      <w:lvlJc w:val="left"/>
      <w:pPr>
        <w:tabs>
          <w:tab w:val="num" w:pos="1440"/>
        </w:tabs>
        <w:ind w:left="1440" w:hanging="720"/>
      </w:pPr>
      <w:rPr>
        <w:rFonts w:ascii="Symbol" w:hAnsi="Symbol" w:hint="default"/>
      </w:rPr>
    </w:lvl>
    <w:lvl w:ilvl="3">
      <w:start w:val="1"/>
      <w:numFmt w:val="lowerRoman"/>
      <w:pStyle w:val="BodySubPara"/>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26AB1872"/>
    <w:multiLevelType w:val="hybridMultilevel"/>
    <w:tmpl w:val="363C26F4"/>
    <w:name w:val="hd62"/>
    <w:lvl w:ilvl="0" w:tplc="3FC6D84C">
      <w:numFmt w:val="bullet"/>
      <w:lvlText w:val=""/>
      <w:lvlJc w:val="left"/>
      <w:pPr>
        <w:tabs>
          <w:tab w:val="num" w:pos="-284"/>
        </w:tabs>
        <w:ind w:left="567" w:hanging="567"/>
      </w:pPr>
      <w:rPr>
        <w:rFonts w:ascii="Symbol" w:hAnsi="Symbol" w:hint="default"/>
        <w:b w:val="0"/>
        <w:i w:val="0"/>
        <w:sz w:val="20"/>
      </w:rPr>
    </w:lvl>
    <w:lvl w:ilvl="1" w:tplc="7862B722">
      <w:start w:val="1"/>
      <w:numFmt w:val="bullet"/>
      <w:lvlText w:val=""/>
      <w:lvlJc w:val="left"/>
      <w:pPr>
        <w:tabs>
          <w:tab w:val="num" w:pos="513"/>
        </w:tabs>
        <w:ind w:left="513" w:hanging="284"/>
      </w:pPr>
      <w:rPr>
        <w:rFonts w:ascii="Symbol" w:hAnsi="Symbol" w:hint="default"/>
        <w:b w:val="0"/>
        <w:i w:val="0"/>
        <w:color w:val="auto"/>
        <w:sz w:val="20"/>
      </w:rPr>
    </w:lvl>
    <w:lvl w:ilvl="2" w:tplc="493841BE">
      <w:start w:val="1"/>
      <w:numFmt w:val="bullet"/>
      <w:lvlText w:val=""/>
      <w:lvlJc w:val="left"/>
      <w:pPr>
        <w:tabs>
          <w:tab w:val="num" w:pos="1309"/>
        </w:tabs>
        <w:ind w:left="1309" w:hanging="360"/>
      </w:pPr>
      <w:rPr>
        <w:rFonts w:ascii="Wingdings" w:hAnsi="Wingdings" w:hint="default"/>
      </w:rPr>
    </w:lvl>
    <w:lvl w:ilvl="3" w:tplc="9BD24650">
      <w:start w:val="1"/>
      <w:numFmt w:val="bullet"/>
      <w:lvlText w:val=""/>
      <w:lvlJc w:val="left"/>
      <w:pPr>
        <w:tabs>
          <w:tab w:val="num" w:pos="2029"/>
        </w:tabs>
        <w:ind w:left="2029" w:hanging="360"/>
      </w:pPr>
      <w:rPr>
        <w:rFonts w:ascii="Symbol" w:hAnsi="Symbol" w:hint="default"/>
      </w:rPr>
    </w:lvl>
    <w:lvl w:ilvl="4" w:tplc="EB828368" w:tentative="1">
      <w:start w:val="1"/>
      <w:numFmt w:val="bullet"/>
      <w:lvlText w:val="o"/>
      <w:lvlJc w:val="left"/>
      <w:pPr>
        <w:tabs>
          <w:tab w:val="num" w:pos="2749"/>
        </w:tabs>
        <w:ind w:left="2749" w:hanging="360"/>
      </w:pPr>
      <w:rPr>
        <w:rFonts w:ascii="Courier New" w:hAnsi="Courier New" w:hint="default"/>
      </w:rPr>
    </w:lvl>
    <w:lvl w:ilvl="5" w:tplc="B58C6C20" w:tentative="1">
      <w:start w:val="1"/>
      <w:numFmt w:val="bullet"/>
      <w:lvlText w:val=""/>
      <w:lvlJc w:val="left"/>
      <w:pPr>
        <w:tabs>
          <w:tab w:val="num" w:pos="3469"/>
        </w:tabs>
        <w:ind w:left="3469" w:hanging="360"/>
      </w:pPr>
      <w:rPr>
        <w:rFonts w:ascii="Wingdings" w:hAnsi="Wingdings" w:hint="default"/>
      </w:rPr>
    </w:lvl>
    <w:lvl w:ilvl="6" w:tplc="A5ECBEC2" w:tentative="1">
      <w:start w:val="1"/>
      <w:numFmt w:val="bullet"/>
      <w:lvlText w:val=""/>
      <w:lvlJc w:val="left"/>
      <w:pPr>
        <w:tabs>
          <w:tab w:val="num" w:pos="4189"/>
        </w:tabs>
        <w:ind w:left="4189" w:hanging="360"/>
      </w:pPr>
      <w:rPr>
        <w:rFonts w:ascii="Symbol" w:hAnsi="Symbol" w:hint="default"/>
      </w:rPr>
    </w:lvl>
    <w:lvl w:ilvl="7" w:tplc="D1C655D6" w:tentative="1">
      <w:start w:val="1"/>
      <w:numFmt w:val="bullet"/>
      <w:lvlText w:val="o"/>
      <w:lvlJc w:val="left"/>
      <w:pPr>
        <w:tabs>
          <w:tab w:val="num" w:pos="4909"/>
        </w:tabs>
        <w:ind w:left="4909" w:hanging="360"/>
      </w:pPr>
      <w:rPr>
        <w:rFonts w:ascii="Courier New" w:hAnsi="Courier New" w:hint="default"/>
      </w:rPr>
    </w:lvl>
    <w:lvl w:ilvl="8" w:tplc="5DDAE38A" w:tentative="1">
      <w:start w:val="1"/>
      <w:numFmt w:val="bullet"/>
      <w:lvlText w:val=""/>
      <w:lvlJc w:val="left"/>
      <w:pPr>
        <w:tabs>
          <w:tab w:val="num" w:pos="5629"/>
        </w:tabs>
        <w:ind w:left="5629" w:hanging="360"/>
      </w:pPr>
      <w:rPr>
        <w:rFonts w:ascii="Wingdings" w:hAnsi="Wingdings" w:hint="default"/>
      </w:rPr>
    </w:lvl>
  </w:abstractNum>
  <w:abstractNum w:abstractNumId="3">
    <w:nsid w:val="3ACA13B0"/>
    <w:multiLevelType w:val="hybridMultilevel"/>
    <w:tmpl w:val="9C807164"/>
    <w:lvl w:ilvl="0" w:tplc="0EB48DBE">
      <w:start w:val="1"/>
      <w:numFmt w:val="bullet"/>
      <w:pStyle w:val="TLPNotebullet"/>
      <w:lvlText w:val=""/>
      <w:lvlJc w:val="left"/>
      <w:pPr>
        <w:tabs>
          <w:tab w:val="num" w:pos="2517"/>
        </w:tabs>
        <w:ind w:left="2517" w:hanging="357"/>
      </w:pPr>
      <w:rPr>
        <w:rFonts w:ascii="Symbol" w:hAnsi="Symbol" w:hint="default"/>
      </w:rPr>
    </w:lvl>
    <w:lvl w:ilvl="1" w:tplc="33A249BA" w:tentative="1">
      <w:start w:val="1"/>
      <w:numFmt w:val="bullet"/>
      <w:lvlText w:val="o"/>
      <w:lvlJc w:val="left"/>
      <w:pPr>
        <w:ind w:left="3708" w:hanging="360"/>
      </w:pPr>
      <w:rPr>
        <w:rFonts w:ascii="Courier New" w:hAnsi="Courier New" w:cs="Courier New" w:hint="default"/>
      </w:rPr>
    </w:lvl>
    <w:lvl w:ilvl="2" w:tplc="E184007C" w:tentative="1">
      <w:start w:val="1"/>
      <w:numFmt w:val="bullet"/>
      <w:lvlText w:val=""/>
      <w:lvlJc w:val="left"/>
      <w:pPr>
        <w:ind w:left="4428" w:hanging="360"/>
      </w:pPr>
      <w:rPr>
        <w:rFonts w:ascii="Wingdings" w:hAnsi="Wingdings" w:hint="default"/>
      </w:rPr>
    </w:lvl>
    <w:lvl w:ilvl="3" w:tplc="D2DA7980" w:tentative="1">
      <w:start w:val="1"/>
      <w:numFmt w:val="bullet"/>
      <w:lvlText w:val=""/>
      <w:lvlJc w:val="left"/>
      <w:pPr>
        <w:ind w:left="5148" w:hanging="360"/>
      </w:pPr>
      <w:rPr>
        <w:rFonts w:ascii="Symbol" w:hAnsi="Symbol" w:hint="default"/>
      </w:rPr>
    </w:lvl>
    <w:lvl w:ilvl="4" w:tplc="A8043C96" w:tentative="1">
      <w:start w:val="1"/>
      <w:numFmt w:val="bullet"/>
      <w:lvlText w:val="o"/>
      <w:lvlJc w:val="left"/>
      <w:pPr>
        <w:ind w:left="5868" w:hanging="360"/>
      </w:pPr>
      <w:rPr>
        <w:rFonts w:ascii="Courier New" w:hAnsi="Courier New" w:cs="Courier New" w:hint="default"/>
      </w:rPr>
    </w:lvl>
    <w:lvl w:ilvl="5" w:tplc="91B2D800" w:tentative="1">
      <w:start w:val="1"/>
      <w:numFmt w:val="bullet"/>
      <w:lvlText w:val=""/>
      <w:lvlJc w:val="left"/>
      <w:pPr>
        <w:ind w:left="6588" w:hanging="360"/>
      </w:pPr>
      <w:rPr>
        <w:rFonts w:ascii="Wingdings" w:hAnsi="Wingdings" w:hint="default"/>
      </w:rPr>
    </w:lvl>
    <w:lvl w:ilvl="6" w:tplc="26E452D4" w:tentative="1">
      <w:start w:val="1"/>
      <w:numFmt w:val="bullet"/>
      <w:lvlText w:val=""/>
      <w:lvlJc w:val="left"/>
      <w:pPr>
        <w:ind w:left="7308" w:hanging="360"/>
      </w:pPr>
      <w:rPr>
        <w:rFonts w:ascii="Symbol" w:hAnsi="Symbol" w:hint="default"/>
      </w:rPr>
    </w:lvl>
    <w:lvl w:ilvl="7" w:tplc="E7043944" w:tentative="1">
      <w:start w:val="1"/>
      <w:numFmt w:val="bullet"/>
      <w:lvlText w:val="o"/>
      <w:lvlJc w:val="left"/>
      <w:pPr>
        <w:ind w:left="8028" w:hanging="360"/>
      </w:pPr>
      <w:rPr>
        <w:rFonts w:ascii="Courier New" w:hAnsi="Courier New" w:cs="Courier New" w:hint="default"/>
      </w:rPr>
    </w:lvl>
    <w:lvl w:ilvl="8" w:tplc="6BDEC4B0" w:tentative="1">
      <w:start w:val="1"/>
      <w:numFmt w:val="bullet"/>
      <w:lvlText w:val=""/>
      <w:lvlJc w:val="left"/>
      <w:pPr>
        <w:ind w:left="8748" w:hanging="360"/>
      </w:pPr>
      <w:rPr>
        <w:rFonts w:ascii="Wingdings" w:hAnsi="Wingdings" w:hint="default"/>
      </w:rPr>
    </w:lvl>
  </w:abstractNum>
  <w:abstractNum w:abstractNumId="4">
    <w:nsid w:val="67630820"/>
    <w:multiLevelType w:val="multilevel"/>
    <w:tmpl w:val="A5EE4C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7B6D67B9"/>
    <w:multiLevelType w:val="hybridMultilevel"/>
    <w:tmpl w:val="CB2845E6"/>
    <w:lvl w:ilvl="0" w:tplc="6B3C44E6">
      <w:start w:val="1"/>
      <w:numFmt w:val="bullet"/>
      <w:lvlText w:val=""/>
      <w:lvlJc w:val="left"/>
      <w:pPr>
        <w:ind w:left="720" w:hanging="360"/>
      </w:pPr>
      <w:rPr>
        <w:rFonts w:ascii="Symbol" w:hAnsi="Symbol" w:hint="default"/>
      </w:rPr>
    </w:lvl>
    <w:lvl w:ilvl="1" w:tplc="7A964A16" w:tentative="1">
      <w:start w:val="1"/>
      <w:numFmt w:val="bullet"/>
      <w:lvlText w:val="o"/>
      <w:lvlJc w:val="left"/>
      <w:pPr>
        <w:ind w:left="1440" w:hanging="360"/>
      </w:pPr>
      <w:rPr>
        <w:rFonts w:ascii="Courier New" w:hAnsi="Courier New" w:cs="Courier New" w:hint="default"/>
      </w:rPr>
    </w:lvl>
    <w:lvl w:ilvl="2" w:tplc="C256D920" w:tentative="1">
      <w:start w:val="1"/>
      <w:numFmt w:val="bullet"/>
      <w:lvlText w:val=""/>
      <w:lvlJc w:val="left"/>
      <w:pPr>
        <w:ind w:left="2160" w:hanging="360"/>
      </w:pPr>
      <w:rPr>
        <w:rFonts w:ascii="Wingdings" w:hAnsi="Wingdings" w:hint="default"/>
      </w:rPr>
    </w:lvl>
    <w:lvl w:ilvl="3" w:tplc="226877FA" w:tentative="1">
      <w:start w:val="1"/>
      <w:numFmt w:val="bullet"/>
      <w:lvlText w:val=""/>
      <w:lvlJc w:val="left"/>
      <w:pPr>
        <w:ind w:left="2880" w:hanging="360"/>
      </w:pPr>
      <w:rPr>
        <w:rFonts w:ascii="Symbol" w:hAnsi="Symbol" w:hint="default"/>
      </w:rPr>
    </w:lvl>
    <w:lvl w:ilvl="4" w:tplc="5532D9FC" w:tentative="1">
      <w:start w:val="1"/>
      <w:numFmt w:val="bullet"/>
      <w:lvlText w:val="o"/>
      <w:lvlJc w:val="left"/>
      <w:pPr>
        <w:ind w:left="3600" w:hanging="360"/>
      </w:pPr>
      <w:rPr>
        <w:rFonts w:ascii="Courier New" w:hAnsi="Courier New" w:cs="Courier New" w:hint="default"/>
      </w:rPr>
    </w:lvl>
    <w:lvl w:ilvl="5" w:tplc="50B6DF3C" w:tentative="1">
      <w:start w:val="1"/>
      <w:numFmt w:val="bullet"/>
      <w:lvlText w:val=""/>
      <w:lvlJc w:val="left"/>
      <w:pPr>
        <w:ind w:left="4320" w:hanging="360"/>
      </w:pPr>
      <w:rPr>
        <w:rFonts w:ascii="Wingdings" w:hAnsi="Wingdings" w:hint="default"/>
      </w:rPr>
    </w:lvl>
    <w:lvl w:ilvl="6" w:tplc="96D02E9A" w:tentative="1">
      <w:start w:val="1"/>
      <w:numFmt w:val="bullet"/>
      <w:lvlText w:val=""/>
      <w:lvlJc w:val="left"/>
      <w:pPr>
        <w:ind w:left="5040" w:hanging="360"/>
      </w:pPr>
      <w:rPr>
        <w:rFonts w:ascii="Symbol" w:hAnsi="Symbol" w:hint="default"/>
      </w:rPr>
    </w:lvl>
    <w:lvl w:ilvl="7" w:tplc="2020E96A" w:tentative="1">
      <w:start w:val="1"/>
      <w:numFmt w:val="bullet"/>
      <w:lvlText w:val="o"/>
      <w:lvlJc w:val="left"/>
      <w:pPr>
        <w:ind w:left="5760" w:hanging="360"/>
      </w:pPr>
      <w:rPr>
        <w:rFonts w:ascii="Courier New" w:hAnsi="Courier New" w:cs="Courier New" w:hint="default"/>
      </w:rPr>
    </w:lvl>
    <w:lvl w:ilvl="8" w:tplc="18C6ECCE"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0"/>
  </w:num>
  <w:num w:numId="5">
    <w:abstractNumId w:val="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embedTrueType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D37"/>
    <w:rsid w:val="00033DDE"/>
    <w:rsid w:val="00040454"/>
    <w:rsid w:val="00045110"/>
    <w:rsid w:val="00051D2A"/>
    <w:rsid w:val="00057AAA"/>
    <w:rsid w:val="00077E2B"/>
    <w:rsid w:val="00087800"/>
    <w:rsid w:val="000B112C"/>
    <w:rsid w:val="0010293E"/>
    <w:rsid w:val="001032BF"/>
    <w:rsid w:val="00125C28"/>
    <w:rsid w:val="00132A50"/>
    <w:rsid w:val="0015789B"/>
    <w:rsid w:val="001671A6"/>
    <w:rsid w:val="001718DD"/>
    <w:rsid w:val="00172B49"/>
    <w:rsid w:val="0017504D"/>
    <w:rsid w:val="00177705"/>
    <w:rsid w:val="00181E47"/>
    <w:rsid w:val="001A51EF"/>
    <w:rsid w:val="001B41FE"/>
    <w:rsid w:val="001C7B54"/>
    <w:rsid w:val="001D5C30"/>
    <w:rsid w:val="001D5E22"/>
    <w:rsid w:val="001E404F"/>
    <w:rsid w:val="001E6092"/>
    <w:rsid w:val="001F26AF"/>
    <w:rsid w:val="001F6A8A"/>
    <w:rsid w:val="00201A2E"/>
    <w:rsid w:val="00211D0C"/>
    <w:rsid w:val="00211DFF"/>
    <w:rsid w:val="00246BDF"/>
    <w:rsid w:val="00256FB1"/>
    <w:rsid w:val="002576BC"/>
    <w:rsid w:val="002640C8"/>
    <w:rsid w:val="00266B76"/>
    <w:rsid w:val="002816EF"/>
    <w:rsid w:val="00282664"/>
    <w:rsid w:val="002A5D7F"/>
    <w:rsid w:val="002A756E"/>
    <w:rsid w:val="002A7D43"/>
    <w:rsid w:val="002B1ADC"/>
    <w:rsid w:val="002B1F17"/>
    <w:rsid w:val="002C1BA7"/>
    <w:rsid w:val="002C1C61"/>
    <w:rsid w:val="002C39BC"/>
    <w:rsid w:val="002E55F5"/>
    <w:rsid w:val="002F1E6E"/>
    <w:rsid w:val="002F20FA"/>
    <w:rsid w:val="002F41F9"/>
    <w:rsid w:val="003003EF"/>
    <w:rsid w:val="0030311E"/>
    <w:rsid w:val="0030695A"/>
    <w:rsid w:val="003079FD"/>
    <w:rsid w:val="00325569"/>
    <w:rsid w:val="00326B1B"/>
    <w:rsid w:val="0032759D"/>
    <w:rsid w:val="0033671D"/>
    <w:rsid w:val="00363055"/>
    <w:rsid w:val="00376E6F"/>
    <w:rsid w:val="003939FB"/>
    <w:rsid w:val="00393BA5"/>
    <w:rsid w:val="003A7C78"/>
    <w:rsid w:val="003C4F6D"/>
    <w:rsid w:val="003C5834"/>
    <w:rsid w:val="003C5943"/>
    <w:rsid w:val="003F1016"/>
    <w:rsid w:val="004157B3"/>
    <w:rsid w:val="00443918"/>
    <w:rsid w:val="00450DCC"/>
    <w:rsid w:val="004566E8"/>
    <w:rsid w:val="004600FD"/>
    <w:rsid w:val="004601F7"/>
    <w:rsid w:val="00461132"/>
    <w:rsid w:val="00465BB4"/>
    <w:rsid w:val="004C6A2C"/>
    <w:rsid w:val="004D52A9"/>
    <w:rsid w:val="004E5A5B"/>
    <w:rsid w:val="005125E8"/>
    <w:rsid w:val="005306A5"/>
    <w:rsid w:val="00531E48"/>
    <w:rsid w:val="0054130A"/>
    <w:rsid w:val="00543E47"/>
    <w:rsid w:val="00543F72"/>
    <w:rsid w:val="00564FA1"/>
    <w:rsid w:val="0058700F"/>
    <w:rsid w:val="005B6082"/>
    <w:rsid w:val="005C2210"/>
    <w:rsid w:val="005C43FD"/>
    <w:rsid w:val="005C46B3"/>
    <w:rsid w:val="005C7CA5"/>
    <w:rsid w:val="005D3461"/>
    <w:rsid w:val="005E7489"/>
    <w:rsid w:val="005F0160"/>
    <w:rsid w:val="005F4385"/>
    <w:rsid w:val="005F55E7"/>
    <w:rsid w:val="006319DE"/>
    <w:rsid w:val="00637B19"/>
    <w:rsid w:val="00647259"/>
    <w:rsid w:val="006525E7"/>
    <w:rsid w:val="00653E98"/>
    <w:rsid w:val="00661D37"/>
    <w:rsid w:val="0066346D"/>
    <w:rsid w:val="00663FF2"/>
    <w:rsid w:val="006A2A90"/>
    <w:rsid w:val="006A592F"/>
    <w:rsid w:val="006B05F7"/>
    <w:rsid w:val="006B11AF"/>
    <w:rsid w:val="006B168F"/>
    <w:rsid w:val="006B6E0D"/>
    <w:rsid w:val="006C4D4A"/>
    <w:rsid w:val="006E004E"/>
    <w:rsid w:val="006E3E2D"/>
    <w:rsid w:val="00704F45"/>
    <w:rsid w:val="00707471"/>
    <w:rsid w:val="007278E6"/>
    <w:rsid w:val="00733DA4"/>
    <w:rsid w:val="00773EE8"/>
    <w:rsid w:val="007817FD"/>
    <w:rsid w:val="0078704B"/>
    <w:rsid w:val="007913C5"/>
    <w:rsid w:val="007926E9"/>
    <w:rsid w:val="007A0D61"/>
    <w:rsid w:val="007B6C83"/>
    <w:rsid w:val="007E2877"/>
    <w:rsid w:val="007F0E66"/>
    <w:rsid w:val="007F794A"/>
    <w:rsid w:val="00805307"/>
    <w:rsid w:val="00806924"/>
    <w:rsid w:val="0081668F"/>
    <w:rsid w:val="00824712"/>
    <w:rsid w:val="0083351E"/>
    <w:rsid w:val="00836F85"/>
    <w:rsid w:val="00842CC0"/>
    <w:rsid w:val="00845EE1"/>
    <w:rsid w:val="00850169"/>
    <w:rsid w:val="00852844"/>
    <w:rsid w:val="00863C2B"/>
    <w:rsid w:val="00882B43"/>
    <w:rsid w:val="00894104"/>
    <w:rsid w:val="008B56AE"/>
    <w:rsid w:val="008B58CB"/>
    <w:rsid w:val="008B6B49"/>
    <w:rsid w:val="008C1ECD"/>
    <w:rsid w:val="008C2F45"/>
    <w:rsid w:val="008C5DD2"/>
    <w:rsid w:val="008E48D9"/>
    <w:rsid w:val="008F51C7"/>
    <w:rsid w:val="00900CE2"/>
    <w:rsid w:val="00907B52"/>
    <w:rsid w:val="009113BB"/>
    <w:rsid w:val="009438D9"/>
    <w:rsid w:val="009453DF"/>
    <w:rsid w:val="00953B52"/>
    <w:rsid w:val="009543D6"/>
    <w:rsid w:val="00961D26"/>
    <w:rsid w:val="0096727B"/>
    <w:rsid w:val="00976A2B"/>
    <w:rsid w:val="00983E69"/>
    <w:rsid w:val="009935EE"/>
    <w:rsid w:val="009B1EBA"/>
    <w:rsid w:val="009B4002"/>
    <w:rsid w:val="009D0789"/>
    <w:rsid w:val="009D617D"/>
    <w:rsid w:val="00A31968"/>
    <w:rsid w:val="00A3511E"/>
    <w:rsid w:val="00A4248B"/>
    <w:rsid w:val="00A456F8"/>
    <w:rsid w:val="00A46E58"/>
    <w:rsid w:val="00A747E0"/>
    <w:rsid w:val="00A754B5"/>
    <w:rsid w:val="00A81317"/>
    <w:rsid w:val="00A82D93"/>
    <w:rsid w:val="00A91538"/>
    <w:rsid w:val="00AC5BF7"/>
    <w:rsid w:val="00AD04DC"/>
    <w:rsid w:val="00AF41CD"/>
    <w:rsid w:val="00B01D83"/>
    <w:rsid w:val="00B04093"/>
    <w:rsid w:val="00B24330"/>
    <w:rsid w:val="00B30701"/>
    <w:rsid w:val="00B475FA"/>
    <w:rsid w:val="00B7188E"/>
    <w:rsid w:val="00B75640"/>
    <w:rsid w:val="00B84B48"/>
    <w:rsid w:val="00B9044E"/>
    <w:rsid w:val="00BA0B49"/>
    <w:rsid w:val="00BB0804"/>
    <w:rsid w:val="00BB63C1"/>
    <w:rsid w:val="00BC5131"/>
    <w:rsid w:val="00BC668C"/>
    <w:rsid w:val="00BE12FA"/>
    <w:rsid w:val="00BF5CBF"/>
    <w:rsid w:val="00C01C86"/>
    <w:rsid w:val="00C4438C"/>
    <w:rsid w:val="00C62304"/>
    <w:rsid w:val="00CC3434"/>
    <w:rsid w:val="00CC5725"/>
    <w:rsid w:val="00CC713B"/>
    <w:rsid w:val="00CE0448"/>
    <w:rsid w:val="00CF49A2"/>
    <w:rsid w:val="00D01814"/>
    <w:rsid w:val="00D03EF5"/>
    <w:rsid w:val="00D14FB9"/>
    <w:rsid w:val="00D24AB9"/>
    <w:rsid w:val="00D3246B"/>
    <w:rsid w:val="00D51F1E"/>
    <w:rsid w:val="00D8505D"/>
    <w:rsid w:val="00D87A97"/>
    <w:rsid w:val="00D91CB6"/>
    <w:rsid w:val="00DB06AF"/>
    <w:rsid w:val="00DD00D7"/>
    <w:rsid w:val="00DD7A1C"/>
    <w:rsid w:val="00DE16CA"/>
    <w:rsid w:val="00DE634A"/>
    <w:rsid w:val="00DE6B67"/>
    <w:rsid w:val="00DF2741"/>
    <w:rsid w:val="00E06F2B"/>
    <w:rsid w:val="00E22920"/>
    <w:rsid w:val="00E23004"/>
    <w:rsid w:val="00E24037"/>
    <w:rsid w:val="00E27260"/>
    <w:rsid w:val="00E30016"/>
    <w:rsid w:val="00E33211"/>
    <w:rsid w:val="00E450F5"/>
    <w:rsid w:val="00E531D3"/>
    <w:rsid w:val="00E5349A"/>
    <w:rsid w:val="00E53B1E"/>
    <w:rsid w:val="00E75700"/>
    <w:rsid w:val="00E85AD9"/>
    <w:rsid w:val="00E90C80"/>
    <w:rsid w:val="00E926AF"/>
    <w:rsid w:val="00E93CAF"/>
    <w:rsid w:val="00EA0796"/>
    <w:rsid w:val="00EB33BA"/>
    <w:rsid w:val="00EC14E8"/>
    <w:rsid w:val="00EC34EA"/>
    <w:rsid w:val="00EE36D5"/>
    <w:rsid w:val="00EE3F45"/>
    <w:rsid w:val="00EF151C"/>
    <w:rsid w:val="00EF6EDA"/>
    <w:rsid w:val="00F17208"/>
    <w:rsid w:val="00F26F03"/>
    <w:rsid w:val="00F3732A"/>
    <w:rsid w:val="00F5670A"/>
    <w:rsid w:val="00F608CE"/>
    <w:rsid w:val="00F66F86"/>
    <w:rsid w:val="00F9469E"/>
    <w:rsid w:val="00FA2F4A"/>
    <w:rsid w:val="00FA3DDF"/>
    <w:rsid w:val="00FB071A"/>
    <w:rsid w:val="00FD20AA"/>
    <w:rsid w:val="00FD4831"/>
    <w:rsid w:val="00FD6A91"/>
    <w:rsid w:val="00FF6F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7DCE7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2BEB"/>
    <w:pPr>
      <w:spacing w:line="260" w:lineRule="atLeast"/>
    </w:pPr>
    <w:rPr>
      <w:rFonts w:eastAsia="Calibri"/>
      <w:sz w:val="22"/>
      <w:lang w:eastAsia="en-US"/>
    </w:rPr>
  </w:style>
  <w:style w:type="paragraph" w:styleId="Heading1">
    <w:name w:val="heading 1"/>
    <w:basedOn w:val="Heading2"/>
    <w:next w:val="Normal"/>
    <w:link w:val="Heading1Char"/>
    <w:qFormat/>
    <w:rsid w:val="00AA6B76"/>
    <w:pPr>
      <w:ind w:left="0" w:firstLine="0"/>
      <w:jc w:val="center"/>
      <w:outlineLvl w:val="0"/>
    </w:pPr>
    <w:rPr>
      <w:rFonts w:ascii="Times New Roman" w:eastAsia="Times New Roman" w:hAnsi="Times New Roman"/>
      <w:sz w:val="28"/>
      <w:szCs w:val="24"/>
    </w:rPr>
  </w:style>
  <w:style w:type="paragraph" w:styleId="Heading2">
    <w:name w:val="heading 2"/>
    <w:basedOn w:val="Normal"/>
    <w:next w:val="Normal"/>
    <w:link w:val="Heading2Char"/>
    <w:qFormat/>
    <w:rsid w:val="0036472B"/>
    <w:pPr>
      <w:spacing w:before="360"/>
      <w:ind w:left="1452" w:hanging="1452"/>
      <w:outlineLvl w:val="1"/>
    </w:pPr>
    <w:rPr>
      <w:rFonts w:ascii="Times" w:hAnsi="Times"/>
      <w:b/>
      <w:sz w:val="24"/>
    </w:rPr>
  </w:style>
  <w:style w:type="paragraph" w:styleId="Heading3">
    <w:name w:val="heading 3"/>
    <w:basedOn w:val="Heading2"/>
    <w:next w:val="Normal"/>
    <w:link w:val="Heading3Char"/>
    <w:qFormat/>
    <w:rsid w:val="00AA6B76"/>
    <w:pPr>
      <w:keepNext/>
      <w:spacing w:before="280"/>
      <w:outlineLvl w:val="2"/>
    </w:pPr>
  </w:style>
  <w:style w:type="paragraph" w:styleId="Heading4">
    <w:name w:val="heading 4"/>
    <w:basedOn w:val="Normal"/>
    <w:next w:val="Normal"/>
    <w:link w:val="Heading4Char"/>
    <w:uiPriority w:val="9"/>
    <w:unhideWhenUsed/>
    <w:qFormat/>
    <w:rsid w:val="00FA086B"/>
    <w:pPr>
      <w:keepNext/>
      <w:spacing w:before="240" w:after="60"/>
      <w:outlineLvl w:val="3"/>
    </w:pPr>
    <w:rPr>
      <w:rFonts w:eastAsia="Times New Roman"/>
      <w:b/>
      <w:bCs/>
      <w:sz w:val="24"/>
      <w:szCs w:val="24"/>
    </w:rPr>
  </w:style>
  <w:style w:type="paragraph" w:styleId="Heading6">
    <w:name w:val="heading 6"/>
    <w:basedOn w:val="Heading2"/>
    <w:next w:val="Normal"/>
    <w:link w:val="Heading6Char"/>
    <w:rsid w:val="000616D0"/>
    <w:pPr>
      <w:keepLines/>
      <w:tabs>
        <w:tab w:val="left" w:pos="851"/>
      </w:tabs>
      <w:spacing w:before="240"/>
      <w:outlineLvl w:val="5"/>
    </w:pPr>
    <w:rPr>
      <w:rFonts w:eastAsia="Times New Roman" w:cs="Calibri"/>
      <w:i/>
      <w:iCs/>
      <w:color w:val="0000FF"/>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rsid w:val="000616D0"/>
    <w:rPr>
      <w:rFonts w:ascii="Times" w:hAnsi="Times" w:cs="Calibri"/>
      <w:b/>
      <w:i/>
      <w:iCs/>
      <w:color w:val="0000FF"/>
      <w:sz w:val="24"/>
      <w:szCs w:val="24"/>
      <w:lang w:val="en-AU" w:eastAsia="en-AU" w:bidi="ar-SA"/>
    </w:rPr>
  </w:style>
  <w:style w:type="character" w:styleId="CommentReference">
    <w:name w:val="annotation reference"/>
    <w:semiHidden/>
    <w:rsid w:val="00FE54B8"/>
    <w:rPr>
      <w:rFonts w:cs="Times New Roman"/>
      <w:sz w:val="16"/>
      <w:szCs w:val="16"/>
    </w:rPr>
  </w:style>
  <w:style w:type="paragraph" w:styleId="Header">
    <w:name w:val="header"/>
    <w:basedOn w:val="OPCParaBase"/>
    <w:link w:val="HeaderChar"/>
    <w:unhideWhenUsed/>
    <w:rsid w:val="00172BEB"/>
    <w:pPr>
      <w:keepNext/>
      <w:keepLines/>
      <w:tabs>
        <w:tab w:val="center" w:pos="4150"/>
        <w:tab w:val="right" w:pos="8307"/>
      </w:tabs>
      <w:spacing w:line="160" w:lineRule="exact"/>
    </w:pPr>
    <w:rPr>
      <w:sz w:val="16"/>
    </w:rPr>
  </w:style>
  <w:style w:type="paragraph" w:styleId="CommentText">
    <w:name w:val="annotation text"/>
    <w:basedOn w:val="Normal"/>
    <w:link w:val="CommentTextChar"/>
    <w:semiHidden/>
    <w:rsid w:val="00FE54B8"/>
    <w:pPr>
      <w:tabs>
        <w:tab w:val="left" w:pos="851"/>
      </w:tabs>
      <w:spacing w:before="120" w:after="120"/>
    </w:pPr>
    <w:rPr>
      <w:rFonts w:ascii="Tahoma" w:eastAsia="Times New Roman" w:hAnsi="Tahoma" w:cs="Tahoma"/>
      <w:sz w:val="24"/>
      <w:szCs w:val="24"/>
      <w:lang w:eastAsia="en-AU"/>
    </w:rPr>
  </w:style>
  <w:style w:type="character" w:customStyle="1" w:styleId="CommentTextChar">
    <w:name w:val="Comment Text Char"/>
    <w:link w:val="CommentText"/>
    <w:semiHidden/>
    <w:rsid w:val="00FE54B8"/>
    <w:rPr>
      <w:rFonts w:ascii="Tahoma" w:hAnsi="Tahoma" w:cs="Tahoma"/>
      <w:sz w:val="24"/>
      <w:szCs w:val="24"/>
      <w:lang w:val="en-AU" w:eastAsia="en-AU" w:bidi="ar-SA"/>
    </w:rPr>
  </w:style>
  <w:style w:type="paragraph" w:styleId="BalloonText">
    <w:name w:val="Balloon Text"/>
    <w:basedOn w:val="Normal"/>
    <w:link w:val="BalloonTextChar"/>
    <w:uiPriority w:val="99"/>
    <w:semiHidden/>
    <w:unhideWhenUsed/>
    <w:rsid w:val="00172BEB"/>
    <w:pPr>
      <w:spacing w:line="240" w:lineRule="auto"/>
    </w:pPr>
    <w:rPr>
      <w:rFonts w:ascii="Tahoma" w:hAnsi="Tahoma"/>
      <w:sz w:val="16"/>
      <w:szCs w:val="16"/>
    </w:rPr>
  </w:style>
  <w:style w:type="character" w:styleId="Hyperlink">
    <w:name w:val="Hyperlink"/>
    <w:uiPriority w:val="99"/>
    <w:rsid w:val="002A4207"/>
    <w:rPr>
      <w:color w:val="0000FF"/>
      <w:u w:val="single"/>
    </w:rPr>
  </w:style>
  <w:style w:type="paragraph" w:styleId="Footer">
    <w:name w:val="footer"/>
    <w:link w:val="FooterChar"/>
    <w:rsid w:val="00172BEB"/>
    <w:pPr>
      <w:tabs>
        <w:tab w:val="center" w:pos="4153"/>
        <w:tab w:val="right" w:pos="8306"/>
      </w:tabs>
    </w:pPr>
    <w:rPr>
      <w:sz w:val="22"/>
      <w:szCs w:val="24"/>
    </w:rPr>
  </w:style>
  <w:style w:type="table" w:styleId="TableGrid">
    <w:name w:val="Table Grid"/>
    <w:basedOn w:val="TableNormal"/>
    <w:uiPriority w:val="59"/>
    <w:rsid w:val="00F214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rsid w:val="00AA6B76"/>
    <w:rPr>
      <w:b/>
      <w:sz w:val="28"/>
      <w:szCs w:val="24"/>
    </w:rPr>
  </w:style>
  <w:style w:type="paragraph" w:styleId="CommentSubject">
    <w:name w:val="annotation subject"/>
    <w:basedOn w:val="CommentText"/>
    <w:next w:val="CommentText"/>
    <w:semiHidden/>
    <w:rsid w:val="00A06399"/>
    <w:pPr>
      <w:tabs>
        <w:tab w:val="clear" w:pos="851"/>
      </w:tabs>
    </w:pPr>
    <w:rPr>
      <w:rFonts w:ascii="Times New Roman" w:hAnsi="Times New Roman" w:cs="Times New Roman"/>
      <w:b/>
      <w:bCs/>
      <w:sz w:val="20"/>
    </w:rPr>
  </w:style>
  <w:style w:type="character" w:customStyle="1" w:styleId="charst1">
    <w:name w:val="charst1"/>
    <w:basedOn w:val="DefaultParagraphFont"/>
    <w:rsid w:val="00FE3F5E"/>
  </w:style>
  <w:style w:type="paragraph" w:styleId="NormalWeb">
    <w:name w:val="Normal (Web)"/>
    <w:basedOn w:val="Normal"/>
    <w:uiPriority w:val="99"/>
    <w:semiHidden/>
    <w:unhideWhenUsed/>
    <w:rsid w:val="008F1458"/>
    <w:pPr>
      <w:spacing w:before="136" w:after="136"/>
    </w:pPr>
  </w:style>
  <w:style w:type="paragraph" w:customStyle="1" w:styleId="subsection">
    <w:name w:val="subsection"/>
    <w:aliases w:val="ss"/>
    <w:basedOn w:val="OPCParaBase"/>
    <w:rsid w:val="00172BEB"/>
    <w:pPr>
      <w:tabs>
        <w:tab w:val="right" w:pos="1021"/>
      </w:tabs>
      <w:spacing w:before="180" w:line="240" w:lineRule="auto"/>
      <w:ind w:left="1134" w:hanging="1134"/>
    </w:pPr>
  </w:style>
  <w:style w:type="character" w:styleId="FollowedHyperlink">
    <w:name w:val="FollowedHyperlink"/>
    <w:uiPriority w:val="99"/>
    <w:semiHidden/>
    <w:unhideWhenUsed/>
    <w:rsid w:val="00287B5F"/>
    <w:rPr>
      <w:color w:val="800080"/>
      <w:u w:val="single"/>
    </w:rPr>
  </w:style>
  <w:style w:type="character" w:customStyle="1" w:styleId="Heading4Char">
    <w:name w:val="Heading 4 Char"/>
    <w:link w:val="Heading4"/>
    <w:uiPriority w:val="9"/>
    <w:rsid w:val="00FA086B"/>
    <w:rPr>
      <w:rFonts w:eastAsia="Times New Roman"/>
      <w:b/>
      <w:bCs/>
      <w:sz w:val="24"/>
      <w:szCs w:val="24"/>
    </w:rPr>
  </w:style>
  <w:style w:type="paragraph" w:styleId="Title">
    <w:name w:val="Title"/>
    <w:basedOn w:val="Normal"/>
    <w:next w:val="Normal"/>
    <w:link w:val="TitleChar"/>
    <w:uiPriority w:val="10"/>
    <w:rsid w:val="00FA086B"/>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FA086B"/>
    <w:rPr>
      <w:rFonts w:ascii="Cambria" w:eastAsia="Times New Roman" w:hAnsi="Cambria" w:cs="Times New Roman"/>
      <w:b/>
      <w:bCs/>
      <w:kern w:val="28"/>
      <w:sz w:val="32"/>
      <w:szCs w:val="32"/>
    </w:rPr>
  </w:style>
  <w:style w:type="paragraph" w:customStyle="1" w:styleId="Notes">
    <w:name w:val="Notes"/>
    <w:basedOn w:val="Normal"/>
    <w:link w:val="NotesChar"/>
    <w:qFormat/>
    <w:rsid w:val="00FA086B"/>
    <w:rPr>
      <w:rFonts w:eastAsia="Times New Roman"/>
      <w:i/>
      <w:szCs w:val="24"/>
    </w:rPr>
  </w:style>
  <w:style w:type="character" w:customStyle="1" w:styleId="NotesChar">
    <w:name w:val="Notes Char"/>
    <w:link w:val="Notes"/>
    <w:rsid w:val="00FA086B"/>
    <w:rPr>
      <w:i/>
      <w:sz w:val="22"/>
      <w:szCs w:val="24"/>
    </w:rPr>
  </w:style>
  <w:style w:type="paragraph" w:customStyle="1" w:styleId="BoxText">
    <w:name w:val="BoxText"/>
    <w:aliases w:val="bt"/>
    <w:basedOn w:val="OPCParaBase"/>
    <w:rsid w:val="00172BEB"/>
    <w:pPr>
      <w:pBdr>
        <w:top w:val="single" w:sz="6" w:space="5" w:color="auto"/>
        <w:left w:val="single" w:sz="6" w:space="5" w:color="auto"/>
        <w:bottom w:val="single" w:sz="6" w:space="5" w:color="auto"/>
        <w:right w:val="single" w:sz="6" w:space="5" w:color="auto"/>
      </w:pBdr>
      <w:spacing w:before="240" w:line="240" w:lineRule="auto"/>
      <w:ind w:left="1134"/>
    </w:pPr>
  </w:style>
  <w:style w:type="character" w:styleId="Emphasis">
    <w:name w:val="Emphasis"/>
    <w:uiPriority w:val="20"/>
    <w:qFormat/>
    <w:rsid w:val="000E0756"/>
    <w:rPr>
      <w:i/>
      <w:iCs/>
    </w:rPr>
  </w:style>
  <w:style w:type="character" w:customStyle="1" w:styleId="FooterChar">
    <w:name w:val="Footer Char"/>
    <w:link w:val="Footer"/>
    <w:rsid w:val="00172BEB"/>
    <w:rPr>
      <w:sz w:val="22"/>
      <w:szCs w:val="24"/>
      <w:lang w:bidi="ar-SA"/>
    </w:rPr>
  </w:style>
  <w:style w:type="character" w:styleId="PageNumber">
    <w:name w:val="page number"/>
    <w:rsid w:val="00172BEB"/>
  </w:style>
  <w:style w:type="character" w:customStyle="1" w:styleId="CharAmPartText">
    <w:name w:val="CharAmPartText"/>
    <w:uiPriority w:val="1"/>
    <w:qFormat/>
    <w:rsid w:val="00172BEB"/>
  </w:style>
  <w:style w:type="character" w:customStyle="1" w:styleId="OPCCharBase">
    <w:name w:val="OPCCharBase"/>
    <w:uiPriority w:val="1"/>
    <w:qFormat/>
    <w:rsid w:val="00172BEB"/>
  </w:style>
  <w:style w:type="paragraph" w:customStyle="1" w:styleId="OPCParaBase">
    <w:name w:val="OPCParaBase"/>
    <w:qFormat/>
    <w:rsid w:val="00172BEB"/>
    <w:pPr>
      <w:spacing w:line="260" w:lineRule="atLeast"/>
    </w:pPr>
    <w:rPr>
      <w:sz w:val="22"/>
    </w:rPr>
  </w:style>
  <w:style w:type="paragraph" w:customStyle="1" w:styleId="ShortT">
    <w:name w:val="ShortT"/>
    <w:basedOn w:val="OPCParaBase"/>
    <w:next w:val="Normal"/>
    <w:qFormat/>
    <w:rsid w:val="00172BEB"/>
    <w:pPr>
      <w:spacing w:line="240" w:lineRule="auto"/>
    </w:pPr>
    <w:rPr>
      <w:b/>
      <w:sz w:val="40"/>
    </w:rPr>
  </w:style>
  <w:style w:type="paragraph" w:customStyle="1" w:styleId="ActHead1">
    <w:name w:val="ActHead 1"/>
    <w:aliases w:val="c"/>
    <w:basedOn w:val="OPCParaBase"/>
    <w:next w:val="Normal"/>
    <w:qFormat/>
    <w:rsid w:val="00172BEB"/>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172BEB"/>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172BEB"/>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172BEB"/>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72BEB"/>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72BEB"/>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172BEB"/>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172BEB"/>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172BEB"/>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172BEB"/>
  </w:style>
  <w:style w:type="paragraph" w:customStyle="1" w:styleId="Blocks">
    <w:name w:val="Blocks"/>
    <w:aliases w:val="bb"/>
    <w:basedOn w:val="OPCParaBase"/>
    <w:qFormat/>
    <w:rsid w:val="00172BEB"/>
    <w:pPr>
      <w:spacing w:line="240" w:lineRule="auto"/>
    </w:pPr>
    <w:rPr>
      <w:sz w:val="24"/>
    </w:rPr>
  </w:style>
  <w:style w:type="paragraph" w:customStyle="1" w:styleId="BoxHeadBold">
    <w:name w:val="BoxHeadBold"/>
    <w:aliases w:val="bhb"/>
    <w:basedOn w:val="BoxText"/>
    <w:next w:val="BoxText"/>
    <w:qFormat/>
    <w:rsid w:val="00172BEB"/>
    <w:rPr>
      <w:b/>
    </w:rPr>
  </w:style>
  <w:style w:type="paragraph" w:customStyle="1" w:styleId="BoxHeadItalic">
    <w:name w:val="BoxHeadItalic"/>
    <w:aliases w:val="bhi"/>
    <w:basedOn w:val="BoxText"/>
    <w:next w:val="Normal"/>
    <w:qFormat/>
    <w:rsid w:val="00172BEB"/>
    <w:rPr>
      <w:i/>
    </w:rPr>
  </w:style>
  <w:style w:type="paragraph" w:customStyle="1" w:styleId="BoxList">
    <w:name w:val="BoxList"/>
    <w:aliases w:val="bl"/>
    <w:basedOn w:val="BoxText"/>
    <w:qFormat/>
    <w:rsid w:val="00172BEB"/>
    <w:pPr>
      <w:ind w:left="1559" w:hanging="425"/>
    </w:pPr>
  </w:style>
  <w:style w:type="paragraph" w:customStyle="1" w:styleId="BoxNote">
    <w:name w:val="BoxNote"/>
    <w:aliases w:val="bn"/>
    <w:basedOn w:val="BoxText"/>
    <w:qFormat/>
    <w:rsid w:val="00172BEB"/>
    <w:pPr>
      <w:tabs>
        <w:tab w:val="left" w:pos="1985"/>
      </w:tabs>
      <w:spacing w:before="122" w:line="198" w:lineRule="exact"/>
      <w:ind w:left="2948" w:hanging="1814"/>
    </w:pPr>
    <w:rPr>
      <w:sz w:val="18"/>
    </w:rPr>
  </w:style>
  <w:style w:type="paragraph" w:customStyle="1" w:styleId="BoxPara">
    <w:name w:val="BoxPara"/>
    <w:aliases w:val="bp"/>
    <w:basedOn w:val="BoxText"/>
    <w:qFormat/>
    <w:rsid w:val="00172BEB"/>
    <w:pPr>
      <w:tabs>
        <w:tab w:val="right" w:pos="2268"/>
      </w:tabs>
      <w:ind w:left="2552" w:hanging="1418"/>
    </w:pPr>
  </w:style>
  <w:style w:type="paragraph" w:customStyle="1" w:styleId="BoxStep">
    <w:name w:val="BoxStep"/>
    <w:aliases w:val="bs"/>
    <w:basedOn w:val="BoxText"/>
    <w:qFormat/>
    <w:rsid w:val="00172BEB"/>
    <w:pPr>
      <w:ind w:left="1985" w:hanging="851"/>
    </w:pPr>
  </w:style>
  <w:style w:type="character" w:customStyle="1" w:styleId="CharAmPartNo">
    <w:name w:val="CharAmPartNo"/>
    <w:uiPriority w:val="1"/>
    <w:qFormat/>
    <w:rsid w:val="00172BEB"/>
  </w:style>
  <w:style w:type="character" w:customStyle="1" w:styleId="CharAmSchNo">
    <w:name w:val="CharAmSchNo"/>
    <w:uiPriority w:val="1"/>
    <w:qFormat/>
    <w:rsid w:val="00172BEB"/>
  </w:style>
  <w:style w:type="character" w:customStyle="1" w:styleId="CharAmSchText">
    <w:name w:val="CharAmSchText"/>
    <w:uiPriority w:val="1"/>
    <w:qFormat/>
    <w:rsid w:val="00172BEB"/>
  </w:style>
  <w:style w:type="character" w:customStyle="1" w:styleId="CharBoldItalic">
    <w:name w:val="CharBoldItalic"/>
    <w:uiPriority w:val="1"/>
    <w:qFormat/>
    <w:rsid w:val="00172BEB"/>
    <w:rPr>
      <w:b/>
      <w:i/>
    </w:rPr>
  </w:style>
  <w:style w:type="character" w:customStyle="1" w:styleId="CharChapNo">
    <w:name w:val="CharChapNo"/>
    <w:uiPriority w:val="1"/>
    <w:qFormat/>
    <w:rsid w:val="00172BEB"/>
  </w:style>
  <w:style w:type="character" w:customStyle="1" w:styleId="CharChapText">
    <w:name w:val="CharChapText"/>
    <w:uiPriority w:val="1"/>
    <w:qFormat/>
    <w:rsid w:val="00172BEB"/>
  </w:style>
  <w:style w:type="character" w:customStyle="1" w:styleId="CharDivNo">
    <w:name w:val="CharDivNo"/>
    <w:uiPriority w:val="1"/>
    <w:qFormat/>
    <w:rsid w:val="00172BEB"/>
  </w:style>
  <w:style w:type="character" w:customStyle="1" w:styleId="CharDivText">
    <w:name w:val="CharDivText"/>
    <w:uiPriority w:val="1"/>
    <w:qFormat/>
    <w:rsid w:val="00172BEB"/>
  </w:style>
  <w:style w:type="character" w:customStyle="1" w:styleId="CharItalic">
    <w:name w:val="CharItalic"/>
    <w:uiPriority w:val="1"/>
    <w:qFormat/>
    <w:rsid w:val="00172BEB"/>
    <w:rPr>
      <w:i/>
    </w:rPr>
  </w:style>
  <w:style w:type="character" w:customStyle="1" w:styleId="CharPartNo">
    <w:name w:val="CharPartNo"/>
    <w:uiPriority w:val="1"/>
    <w:qFormat/>
    <w:rsid w:val="00172BEB"/>
  </w:style>
  <w:style w:type="character" w:customStyle="1" w:styleId="CharPartText">
    <w:name w:val="CharPartText"/>
    <w:uiPriority w:val="1"/>
    <w:qFormat/>
    <w:rsid w:val="00172BEB"/>
  </w:style>
  <w:style w:type="character" w:customStyle="1" w:styleId="CharSectno">
    <w:name w:val="CharSectno"/>
    <w:uiPriority w:val="1"/>
    <w:qFormat/>
    <w:rsid w:val="00172BEB"/>
  </w:style>
  <w:style w:type="character" w:customStyle="1" w:styleId="CharSubdNo">
    <w:name w:val="CharSubdNo"/>
    <w:uiPriority w:val="1"/>
    <w:qFormat/>
    <w:rsid w:val="00172BEB"/>
  </w:style>
  <w:style w:type="character" w:customStyle="1" w:styleId="CharSubdText">
    <w:name w:val="CharSubdText"/>
    <w:uiPriority w:val="1"/>
    <w:qFormat/>
    <w:rsid w:val="00172BEB"/>
  </w:style>
  <w:style w:type="paragraph" w:customStyle="1" w:styleId="CTA--">
    <w:name w:val="CTA --"/>
    <w:basedOn w:val="OPCParaBase"/>
    <w:next w:val="Normal"/>
    <w:rsid w:val="00172BEB"/>
    <w:pPr>
      <w:spacing w:before="60" w:line="240" w:lineRule="atLeast"/>
      <w:ind w:left="142" w:hanging="142"/>
    </w:pPr>
    <w:rPr>
      <w:sz w:val="20"/>
    </w:rPr>
  </w:style>
  <w:style w:type="paragraph" w:customStyle="1" w:styleId="CTA-">
    <w:name w:val="CTA -"/>
    <w:basedOn w:val="OPCParaBase"/>
    <w:rsid w:val="00172BEB"/>
    <w:pPr>
      <w:spacing w:before="60" w:line="240" w:lineRule="atLeast"/>
      <w:ind w:left="85" w:hanging="85"/>
    </w:pPr>
    <w:rPr>
      <w:sz w:val="20"/>
    </w:rPr>
  </w:style>
  <w:style w:type="paragraph" w:customStyle="1" w:styleId="CTA---">
    <w:name w:val="CTA ---"/>
    <w:basedOn w:val="OPCParaBase"/>
    <w:next w:val="Normal"/>
    <w:rsid w:val="00172BEB"/>
    <w:pPr>
      <w:spacing w:before="60" w:line="240" w:lineRule="atLeast"/>
      <w:ind w:left="198" w:hanging="198"/>
    </w:pPr>
    <w:rPr>
      <w:sz w:val="20"/>
    </w:rPr>
  </w:style>
  <w:style w:type="paragraph" w:customStyle="1" w:styleId="CTA----">
    <w:name w:val="CTA ----"/>
    <w:basedOn w:val="OPCParaBase"/>
    <w:next w:val="Normal"/>
    <w:rsid w:val="00172BEB"/>
    <w:pPr>
      <w:spacing w:before="60" w:line="240" w:lineRule="atLeast"/>
      <w:ind w:left="255" w:hanging="255"/>
    </w:pPr>
    <w:rPr>
      <w:sz w:val="20"/>
    </w:rPr>
  </w:style>
  <w:style w:type="paragraph" w:customStyle="1" w:styleId="CTA1a">
    <w:name w:val="CTA 1(a)"/>
    <w:basedOn w:val="OPCParaBase"/>
    <w:rsid w:val="00172BEB"/>
    <w:pPr>
      <w:tabs>
        <w:tab w:val="right" w:pos="414"/>
      </w:tabs>
      <w:spacing w:before="40" w:line="240" w:lineRule="atLeast"/>
      <w:ind w:left="675" w:hanging="675"/>
    </w:pPr>
    <w:rPr>
      <w:sz w:val="20"/>
    </w:rPr>
  </w:style>
  <w:style w:type="paragraph" w:customStyle="1" w:styleId="CTA1ai">
    <w:name w:val="CTA 1(a)(i)"/>
    <w:basedOn w:val="OPCParaBase"/>
    <w:rsid w:val="00172BEB"/>
    <w:pPr>
      <w:tabs>
        <w:tab w:val="right" w:pos="1004"/>
      </w:tabs>
      <w:spacing w:before="40" w:line="240" w:lineRule="atLeast"/>
      <w:ind w:left="1253" w:hanging="1253"/>
    </w:pPr>
    <w:rPr>
      <w:sz w:val="20"/>
    </w:rPr>
  </w:style>
  <w:style w:type="paragraph" w:customStyle="1" w:styleId="CTA2a">
    <w:name w:val="CTA 2(a)"/>
    <w:basedOn w:val="OPCParaBase"/>
    <w:rsid w:val="00172BEB"/>
    <w:pPr>
      <w:tabs>
        <w:tab w:val="right" w:pos="482"/>
      </w:tabs>
      <w:spacing w:before="40" w:line="240" w:lineRule="atLeast"/>
      <w:ind w:left="748" w:hanging="748"/>
    </w:pPr>
    <w:rPr>
      <w:sz w:val="20"/>
    </w:rPr>
  </w:style>
  <w:style w:type="paragraph" w:customStyle="1" w:styleId="CTA2ai">
    <w:name w:val="CTA 2(a)(i)"/>
    <w:basedOn w:val="OPCParaBase"/>
    <w:rsid w:val="00172BEB"/>
    <w:pPr>
      <w:tabs>
        <w:tab w:val="right" w:pos="1089"/>
      </w:tabs>
      <w:spacing w:before="40" w:line="240" w:lineRule="atLeast"/>
      <w:ind w:left="1327" w:hanging="1327"/>
    </w:pPr>
    <w:rPr>
      <w:sz w:val="20"/>
    </w:rPr>
  </w:style>
  <w:style w:type="paragraph" w:customStyle="1" w:styleId="CTA3a">
    <w:name w:val="CTA 3(a)"/>
    <w:basedOn w:val="OPCParaBase"/>
    <w:rsid w:val="00172BEB"/>
    <w:pPr>
      <w:tabs>
        <w:tab w:val="right" w:pos="556"/>
      </w:tabs>
      <w:spacing w:before="40" w:line="240" w:lineRule="atLeast"/>
      <w:ind w:left="805" w:hanging="805"/>
    </w:pPr>
    <w:rPr>
      <w:sz w:val="20"/>
    </w:rPr>
  </w:style>
  <w:style w:type="paragraph" w:customStyle="1" w:styleId="CTA3ai">
    <w:name w:val="CTA 3(a)(i)"/>
    <w:basedOn w:val="OPCParaBase"/>
    <w:rsid w:val="00172BEB"/>
    <w:pPr>
      <w:tabs>
        <w:tab w:val="right" w:pos="1140"/>
      </w:tabs>
      <w:spacing w:before="40" w:line="240" w:lineRule="atLeast"/>
      <w:ind w:left="1361" w:hanging="1361"/>
    </w:pPr>
    <w:rPr>
      <w:sz w:val="20"/>
    </w:rPr>
  </w:style>
  <w:style w:type="paragraph" w:customStyle="1" w:styleId="CTA4a">
    <w:name w:val="CTA 4(a)"/>
    <w:basedOn w:val="OPCParaBase"/>
    <w:rsid w:val="00172BEB"/>
    <w:pPr>
      <w:tabs>
        <w:tab w:val="right" w:pos="624"/>
      </w:tabs>
      <w:spacing w:before="40" w:line="240" w:lineRule="atLeast"/>
      <w:ind w:left="873" w:hanging="873"/>
    </w:pPr>
    <w:rPr>
      <w:sz w:val="20"/>
    </w:rPr>
  </w:style>
  <w:style w:type="paragraph" w:customStyle="1" w:styleId="CTA4ai">
    <w:name w:val="CTA 4(a)(i)"/>
    <w:basedOn w:val="OPCParaBase"/>
    <w:rsid w:val="00172BEB"/>
    <w:pPr>
      <w:tabs>
        <w:tab w:val="right" w:pos="1213"/>
      </w:tabs>
      <w:spacing w:before="40" w:line="240" w:lineRule="atLeast"/>
      <w:ind w:left="1452" w:hanging="1452"/>
    </w:pPr>
    <w:rPr>
      <w:sz w:val="20"/>
    </w:rPr>
  </w:style>
  <w:style w:type="paragraph" w:customStyle="1" w:styleId="CTACAPS">
    <w:name w:val="CTA CAPS"/>
    <w:basedOn w:val="OPCParaBase"/>
    <w:rsid w:val="00172BEB"/>
    <w:pPr>
      <w:spacing w:before="60" w:line="240" w:lineRule="atLeast"/>
    </w:pPr>
    <w:rPr>
      <w:sz w:val="20"/>
    </w:rPr>
  </w:style>
  <w:style w:type="paragraph" w:customStyle="1" w:styleId="CTAright">
    <w:name w:val="CTA right"/>
    <w:basedOn w:val="OPCParaBase"/>
    <w:rsid w:val="00172BEB"/>
    <w:pPr>
      <w:spacing w:before="60" w:line="240" w:lineRule="auto"/>
      <w:jc w:val="right"/>
    </w:pPr>
    <w:rPr>
      <w:sz w:val="20"/>
    </w:rPr>
  </w:style>
  <w:style w:type="paragraph" w:customStyle="1" w:styleId="Definition">
    <w:name w:val="Definition"/>
    <w:aliases w:val="dd"/>
    <w:basedOn w:val="OPCParaBase"/>
    <w:rsid w:val="00172BEB"/>
    <w:pPr>
      <w:spacing w:before="180" w:line="240" w:lineRule="auto"/>
      <w:ind w:left="1134"/>
    </w:pPr>
  </w:style>
  <w:style w:type="paragraph" w:customStyle="1" w:styleId="ETAsubitem">
    <w:name w:val="ETA(subitem)"/>
    <w:basedOn w:val="OPCParaBase"/>
    <w:rsid w:val="00172BEB"/>
    <w:pPr>
      <w:tabs>
        <w:tab w:val="right" w:pos="340"/>
      </w:tabs>
      <w:spacing w:before="60" w:line="240" w:lineRule="auto"/>
      <w:ind w:left="454" w:hanging="454"/>
    </w:pPr>
    <w:rPr>
      <w:sz w:val="20"/>
    </w:rPr>
  </w:style>
  <w:style w:type="paragraph" w:customStyle="1" w:styleId="ETApara">
    <w:name w:val="ETA(para)"/>
    <w:basedOn w:val="OPCParaBase"/>
    <w:rsid w:val="00172BEB"/>
    <w:pPr>
      <w:tabs>
        <w:tab w:val="right" w:pos="754"/>
      </w:tabs>
      <w:spacing w:before="60" w:line="240" w:lineRule="auto"/>
      <w:ind w:left="828" w:hanging="828"/>
    </w:pPr>
    <w:rPr>
      <w:sz w:val="20"/>
    </w:rPr>
  </w:style>
  <w:style w:type="paragraph" w:customStyle="1" w:styleId="ETAsubpara">
    <w:name w:val="ETA(subpara)"/>
    <w:basedOn w:val="OPCParaBase"/>
    <w:rsid w:val="00172BEB"/>
    <w:pPr>
      <w:tabs>
        <w:tab w:val="right" w:pos="1083"/>
      </w:tabs>
      <w:spacing w:before="60" w:line="240" w:lineRule="auto"/>
      <w:ind w:left="1191" w:hanging="1191"/>
    </w:pPr>
    <w:rPr>
      <w:sz w:val="20"/>
    </w:rPr>
  </w:style>
  <w:style w:type="paragraph" w:customStyle="1" w:styleId="ETAsub-subpara">
    <w:name w:val="ETA(sub-subpara)"/>
    <w:basedOn w:val="OPCParaBase"/>
    <w:rsid w:val="00172BEB"/>
    <w:pPr>
      <w:tabs>
        <w:tab w:val="right" w:pos="1412"/>
      </w:tabs>
      <w:spacing w:before="60" w:line="240" w:lineRule="auto"/>
      <w:ind w:left="1525" w:hanging="1525"/>
    </w:pPr>
    <w:rPr>
      <w:sz w:val="20"/>
    </w:rPr>
  </w:style>
  <w:style w:type="paragraph" w:customStyle="1" w:styleId="Formula">
    <w:name w:val="Formula"/>
    <w:basedOn w:val="OPCParaBase"/>
    <w:rsid w:val="00172BEB"/>
    <w:pPr>
      <w:spacing w:line="240" w:lineRule="auto"/>
      <w:ind w:left="1134"/>
    </w:pPr>
    <w:rPr>
      <w:sz w:val="20"/>
    </w:rPr>
  </w:style>
  <w:style w:type="character" w:customStyle="1" w:styleId="HeaderChar">
    <w:name w:val="Header Char"/>
    <w:link w:val="Header"/>
    <w:rsid w:val="00172BEB"/>
    <w:rPr>
      <w:sz w:val="16"/>
    </w:rPr>
  </w:style>
  <w:style w:type="paragraph" w:customStyle="1" w:styleId="House">
    <w:name w:val="House"/>
    <w:basedOn w:val="OPCParaBase"/>
    <w:rsid w:val="00172BEB"/>
    <w:pPr>
      <w:spacing w:line="240" w:lineRule="auto"/>
    </w:pPr>
    <w:rPr>
      <w:sz w:val="28"/>
    </w:rPr>
  </w:style>
  <w:style w:type="paragraph" w:customStyle="1" w:styleId="Item">
    <w:name w:val="Item"/>
    <w:aliases w:val="i"/>
    <w:basedOn w:val="OPCParaBase"/>
    <w:next w:val="ItemHead"/>
    <w:rsid w:val="00172BEB"/>
    <w:pPr>
      <w:keepLines/>
      <w:spacing w:before="80" w:line="240" w:lineRule="auto"/>
      <w:ind w:left="709"/>
    </w:pPr>
  </w:style>
  <w:style w:type="paragraph" w:customStyle="1" w:styleId="ItemHead">
    <w:name w:val="ItemHead"/>
    <w:aliases w:val="ih"/>
    <w:basedOn w:val="OPCParaBase"/>
    <w:next w:val="Item"/>
    <w:rsid w:val="00172BEB"/>
    <w:pPr>
      <w:keepLines/>
      <w:spacing w:before="220" w:line="240" w:lineRule="auto"/>
      <w:ind w:left="709" w:hanging="709"/>
    </w:pPr>
    <w:rPr>
      <w:rFonts w:ascii="Arial" w:hAnsi="Arial"/>
      <w:b/>
      <w:kern w:val="28"/>
      <w:sz w:val="24"/>
    </w:rPr>
  </w:style>
  <w:style w:type="paragraph" w:customStyle="1" w:styleId="LongT">
    <w:name w:val="LongT"/>
    <w:basedOn w:val="OPCParaBase"/>
    <w:rsid w:val="00172BEB"/>
    <w:pPr>
      <w:spacing w:line="240" w:lineRule="auto"/>
    </w:pPr>
    <w:rPr>
      <w:b/>
      <w:sz w:val="32"/>
    </w:rPr>
  </w:style>
  <w:style w:type="paragraph" w:customStyle="1" w:styleId="notedraft">
    <w:name w:val="note(draft)"/>
    <w:aliases w:val="nd"/>
    <w:basedOn w:val="OPCParaBase"/>
    <w:rsid w:val="00172BEB"/>
    <w:pPr>
      <w:spacing w:before="240" w:line="240" w:lineRule="auto"/>
      <w:ind w:left="284" w:hanging="284"/>
    </w:pPr>
    <w:rPr>
      <w:i/>
      <w:sz w:val="24"/>
    </w:rPr>
  </w:style>
  <w:style w:type="paragraph" w:customStyle="1" w:styleId="notemargin">
    <w:name w:val="note(margin)"/>
    <w:aliases w:val="nm"/>
    <w:basedOn w:val="OPCParaBase"/>
    <w:rsid w:val="00172BEB"/>
    <w:pPr>
      <w:tabs>
        <w:tab w:val="left" w:pos="709"/>
      </w:tabs>
      <w:spacing w:before="122" w:line="198" w:lineRule="exact"/>
      <w:ind w:left="709" w:hanging="709"/>
    </w:pPr>
    <w:rPr>
      <w:sz w:val="18"/>
    </w:rPr>
  </w:style>
  <w:style w:type="paragraph" w:customStyle="1" w:styleId="notepara">
    <w:name w:val="note(para)"/>
    <w:aliases w:val="na"/>
    <w:basedOn w:val="OPCParaBase"/>
    <w:rsid w:val="00172BEB"/>
    <w:pPr>
      <w:spacing w:before="40" w:line="198" w:lineRule="exact"/>
      <w:ind w:left="2354" w:hanging="369"/>
    </w:pPr>
    <w:rPr>
      <w:sz w:val="18"/>
    </w:rPr>
  </w:style>
  <w:style w:type="paragraph" w:customStyle="1" w:styleId="noteParlAmend">
    <w:name w:val="note(ParlAmend)"/>
    <w:aliases w:val="npp"/>
    <w:basedOn w:val="OPCParaBase"/>
    <w:next w:val="ParlAmend"/>
    <w:rsid w:val="00172BEB"/>
    <w:pPr>
      <w:spacing w:line="240" w:lineRule="auto"/>
      <w:jc w:val="right"/>
    </w:pPr>
    <w:rPr>
      <w:rFonts w:ascii="Arial" w:hAnsi="Arial"/>
      <w:b/>
      <w:i/>
    </w:rPr>
  </w:style>
  <w:style w:type="paragraph" w:customStyle="1" w:styleId="notetext">
    <w:name w:val="note(text)"/>
    <w:aliases w:val="n"/>
    <w:basedOn w:val="OPCParaBase"/>
    <w:rsid w:val="00172BEB"/>
    <w:pPr>
      <w:spacing w:before="122" w:line="198" w:lineRule="exact"/>
      <w:ind w:left="1985" w:hanging="851"/>
    </w:pPr>
    <w:rPr>
      <w:sz w:val="18"/>
    </w:rPr>
  </w:style>
  <w:style w:type="paragraph" w:customStyle="1" w:styleId="Page1">
    <w:name w:val="Page1"/>
    <w:basedOn w:val="OPCParaBase"/>
    <w:rsid w:val="00172BEB"/>
    <w:pPr>
      <w:spacing w:before="5600" w:line="240" w:lineRule="auto"/>
    </w:pPr>
    <w:rPr>
      <w:b/>
      <w:sz w:val="32"/>
    </w:rPr>
  </w:style>
  <w:style w:type="paragraph" w:customStyle="1" w:styleId="PageBreak">
    <w:name w:val="PageBreak"/>
    <w:aliases w:val="pb"/>
    <w:basedOn w:val="OPCParaBase"/>
    <w:rsid w:val="00172BEB"/>
    <w:pPr>
      <w:spacing w:line="240" w:lineRule="auto"/>
    </w:pPr>
    <w:rPr>
      <w:sz w:val="10"/>
    </w:rPr>
  </w:style>
  <w:style w:type="paragraph" w:customStyle="1" w:styleId="paragraphsub">
    <w:name w:val="paragraph(sub)"/>
    <w:aliases w:val="aa"/>
    <w:basedOn w:val="OPCParaBase"/>
    <w:rsid w:val="00172BEB"/>
    <w:pPr>
      <w:tabs>
        <w:tab w:val="right" w:pos="1985"/>
      </w:tabs>
      <w:spacing w:before="40" w:line="240" w:lineRule="auto"/>
      <w:ind w:left="2098" w:hanging="2098"/>
    </w:pPr>
  </w:style>
  <w:style w:type="paragraph" w:customStyle="1" w:styleId="paragraphsub-sub">
    <w:name w:val="paragraph(sub-sub)"/>
    <w:aliases w:val="aaa"/>
    <w:basedOn w:val="OPCParaBase"/>
    <w:rsid w:val="00172BEB"/>
    <w:pPr>
      <w:tabs>
        <w:tab w:val="right" w:pos="2722"/>
      </w:tabs>
      <w:spacing w:before="40" w:line="240" w:lineRule="auto"/>
      <w:ind w:left="2835" w:hanging="2835"/>
    </w:pPr>
  </w:style>
  <w:style w:type="paragraph" w:customStyle="1" w:styleId="paragraph">
    <w:name w:val="paragraph"/>
    <w:aliases w:val="a"/>
    <w:basedOn w:val="OPCParaBase"/>
    <w:rsid w:val="00172BEB"/>
    <w:pPr>
      <w:tabs>
        <w:tab w:val="right" w:pos="1531"/>
      </w:tabs>
      <w:spacing w:before="40" w:line="240" w:lineRule="auto"/>
      <w:ind w:left="1644" w:hanging="1644"/>
    </w:pPr>
  </w:style>
  <w:style w:type="paragraph" w:customStyle="1" w:styleId="ParlAmend">
    <w:name w:val="ParlAmend"/>
    <w:aliases w:val="pp"/>
    <w:basedOn w:val="OPCParaBase"/>
    <w:rsid w:val="00172BEB"/>
    <w:pPr>
      <w:spacing w:before="240" w:line="240" w:lineRule="atLeast"/>
      <w:ind w:hanging="567"/>
    </w:pPr>
    <w:rPr>
      <w:sz w:val="24"/>
    </w:rPr>
  </w:style>
  <w:style w:type="paragraph" w:customStyle="1" w:styleId="Penalty">
    <w:name w:val="Penalty"/>
    <w:basedOn w:val="OPCParaBase"/>
    <w:rsid w:val="00172BEB"/>
    <w:pPr>
      <w:tabs>
        <w:tab w:val="left" w:pos="2977"/>
      </w:tabs>
      <w:spacing w:before="180" w:line="240" w:lineRule="auto"/>
      <w:ind w:left="1985" w:hanging="851"/>
    </w:pPr>
  </w:style>
  <w:style w:type="paragraph" w:customStyle="1" w:styleId="Portfolio">
    <w:name w:val="Portfolio"/>
    <w:basedOn w:val="OPCParaBase"/>
    <w:rsid w:val="00172BEB"/>
    <w:pPr>
      <w:spacing w:line="240" w:lineRule="auto"/>
    </w:pPr>
    <w:rPr>
      <w:i/>
      <w:sz w:val="20"/>
    </w:rPr>
  </w:style>
  <w:style w:type="paragraph" w:customStyle="1" w:styleId="Preamble">
    <w:name w:val="Preamble"/>
    <w:basedOn w:val="OPCParaBase"/>
    <w:next w:val="Normal"/>
    <w:rsid w:val="00172BEB"/>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172BEB"/>
    <w:pPr>
      <w:spacing w:line="240" w:lineRule="auto"/>
    </w:pPr>
    <w:rPr>
      <w:i/>
      <w:sz w:val="20"/>
    </w:rPr>
  </w:style>
  <w:style w:type="paragraph" w:customStyle="1" w:styleId="Session">
    <w:name w:val="Session"/>
    <w:basedOn w:val="OPCParaBase"/>
    <w:rsid w:val="00172BEB"/>
    <w:pPr>
      <w:spacing w:line="240" w:lineRule="auto"/>
    </w:pPr>
    <w:rPr>
      <w:sz w:val="28"/>
    </w:rPr>
  </w:style>
  <w:style w:type="paragraph" w:customStyle="1" w:styleId="Sponsor">
    <w:name w:val="Sponsor"/>
    <w:basedOn w:val="OPCParaBase"/>
    <w:rsid w:val="00172BEB"/>
    <w:pPr>
      <w:spacing w:line="240" w:lineRule="auto"/>
    </w:pPr>
    <w:rPr>
      <w:i/>
    </w:rPr>
  </w:style>
  <w:style w:type="paragraph" w:customStyle="1" w:styleId="Subitem">
    <w:name w:val="Subitem"/>
    <w:aliases w:val="iss"/>
    <w:basedOn w:val="OPCParaBase"/>
    <w:rsid w:val="00172BEB"/>
    <w:pPr>
      <w:spacing w:before="180" w:line="240" w:lineRule="auto"/>
      <w:ind w:left="709" w:hanging="709"/>
    </w:pPr>
  </w:style>
  <w:style w:type="paragraph" w:customStyle="1" w:styleId="SubitemHead">
    <w:name w:val="SubitemHead"/>
    <w:aliases w:val="issh"/>
    <w:basedOn w:val="OPCParaBase"/>
    <w:rsid w:val="00172BEB"/>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172BEB"/>
    <w:pPr>
      <w:spacing w:before="40" w:line="240" w:lineRule="auto"/>
      <w:ind w:left="1134"/>
    </w:pPr>
  </w:style>
  <w:style w:type="paragraph" w:customStyle="1" w:styleId="SubsectionHead">
    <w:name w:val="SubsectionHead"/>
    <w:aliases w:val="ssh"/>
    <w:basedOn w:val="OPCParaBase"/>
    <w:next w:val="subsection"/>
    <w:rsid w:val="00172BEB"/>
    <w:pPr>
      <w:keepNext/>
      <w:keepLines/>
      <w:spacing w:before="240" w:line="240" w:lineRule="auto"/>
      <w:ind w:left="1134"/>
    </w:pPr>
    <w:rPr>
      <w:i/>
    </w:rPr>
  </w:style>
  <w:style w:type="paragraph" w:customStyle="1" w:styleId="Tablea">
    <w:name w:val="Table(a)"/>
    <w:aliases w:val="ta"/>
    <w:basedOn w:val="OPCParaBase"/>
    <w:rsid w:val="00172BEB"/>
    <w:pPr>
      <w:spacing w:before="60" w:line="240" w:lineRule="auto"/>
      <w:ind w:left="284" w:hanging="284"/>
    </w:pPr>
    <w:rPr>
      <w:sz w:val="20"/>
    </w:rPr>
  </w:style>
  <w:style w:type="paragraph" w:customStyle="1" w:styleId="TableAA">
    <w:name w:val="Table(AA)"/>
    <w:aliases w:val="taaa"/>
    <w:basedOn w:val="OPCParaBase"/>
    <w:rsid w:val="00172BEB"/>
    <w:pPr>
      <w:tabs>
        <w:tab w:val="left" w:pos="-6543"/>
        <w:tab w:val="left" w:pos="-6260"/>
      </w:tabs>
      <w:spacing w:line="240" w:lineRule="exact"/>
      <w:ind w:left="1055" w:hanging="284"/>
    </w:pPr>
    <w:rPr>
      <w:sz w:val="20"/>
    </w:rPr>
  </w:style>
  <w:style w:type="paragraph" w:customStyle="1" w:styleId="Tablei">
    <w:name w:val="Table(i)"/>
    <w:aliases w:val="taa"/>
    <w:basedOn w:val="OPCParaBase"/>
    <w:rsid w:val="00172BEB"/>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172BEB"/>
    <w:pPr>
      <w:spacing w:before="60" w:line="240" w:lineRule="atLeast"/>
    </w:pPr>
    <w:rPr>
      <w:sz w:val="20"/>
    </w:rPr>
  </w:style>
  <w:style w:type="paragraph" w:customStyle="1" w:styleId="TLPBoxTextnote">
    <w:name w:val="TLPBoxText(note"/>
    <w:aliases w:val="right)"/>
    <w:basedOn w:val="OPCParaBase"/>
    <w:rsid w:val="00172BE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172BEB"/>
    <w:pPr>
      <w:numPr>
        <w:numId w:val="1"/>
      </w:numPr>
      <w:tabs>
        <w:tab w:val="clear" w:pos="2517"/>
      </w:tabs>
      <w:spacing w:before="60" w:line="198" w:lineRule="exact"/>
      <w:ind w:left="2625"/>
    </w:pPr>
    <w:rPr>
      <w:sz w:val="18"/>
    </w:rPr>
  </w:style>
  <w:style w:type="paragraph" w:customStyle="1" w:styleId="TLPnoteright">
    <w:name w:val="TLPnote(right)"/>
    <w:aliases w:val="nr"/>
    <w:basedOn w:val="OPCParaBase"/>
    <w:rsid w:val="00172BEB"/>
    <w:pPr>
      <w:spacing w:before="122" w:line="198" w:lineRule="exact"/>
      <w:ind w:left="1985" w:hanging="851"/>
      <w:jc w:val="right"/>
    </w:pPr>
    <w:rPr>
      <w:sz w:val="18"/>
    </w:rPr>
  </w:style>
  <w:style w:type="paragraph" w:customStyle="1" w:styleId="TLPTableBullet">
    <w:name w:val="TLPTableBullet"/>
    <w:aliases w:val="ttb"/>
    <w:basedOn w:val="OPCParaBase"/>
    <w:rsid w:val="00172BEB"/>
    <w:pPr>
      <w:spacing w:line="240" w:lineRule="exact"/>
      <w:ind w:left="284" w:hanging="284"/>
    </w:pPr>
    <w:rPr>
      <w:sz w:val="20"/>
    </w:rPr>
  </w:style>
  <w:style w:type="paragraph" w:styleId="TOC1">
    <w:name w:val="toc 1"/>
    <w:basedOn w:val="OPCParaBase"/>
    <w:next w:val="Normal"/>
    <w:uiPriority w:val="39"/>
    <w:unhideWhenUsed/>
    <w:rsid w:val="00172BEB"/>
    <w:pPr>
      <w:keepNext/>
      <w:keepLines/>
      <w:tabs>
        <w:tab w:val="right" w:pos="8998"/>
      </w:tabs>
      <w:spacing w:before="120" w:line="240" w:lineRule="auto"/>
      <w:ind w:left="1474" w:right="868" w:hanging="1474"/>
    </w:pPr>
    <w:rPr>
      <w:b/>
      <w:kern w:val="28"/>
      <w:sz w:val="28"/>
    </w:rPr>
  </w:style>
  <w:style w:type="paragraph" w:styleId="TOC2">
    <w:name w:val="toc 2"/>
    <w:basedOn w:val="OPCParaBase"/>
    <w:next w:val="Normal"/>
    <w:uiPriority w:val="39"/>
    <w:semiHidden/>
    <w:unhideWhenUsed/>
    <w:rsid w:val="00172BEB"/>
    <w:pPr>
      <w:keepNext/>
      <w:keepLines/>
      <w:tabs>
        <w:tab w:val="right" w:pos="8998"/>
      </w:tabs>
      <w:spacing w:before="120" w:line="240" w:lineRule="auto"/>
      <w:ind w:left="1474" w:right="868" w:hanging="1474"/>
    </w:pPr>
    <w:rPr>
      <w:b/>
      <w:kern w:val="28"/>
      <w:sz w:val="24"/>
    </w:rPr>
  </w:style>
  <w:style w:type="paragraph" w:styleId="TOC3">
    <w:name w:val="toc 3"/>
    <w:basedOn w:val="OPCParaBase"/>
    <w:next w:val="Normal"/>
    <w:uiPriority w:val="39"/>
    <w:semiHidden/>
    <w:unhideWhenUsed/>
    <w:rsid w:val="00172BEB"/>
    <w:pPr>
      <w:keepLines/>
      <w:tabs>
        <w:tab w:val="right" w:pos="8998"/>
      </w:tabs>
      <w:spacing w:before="80" w:line="240" w:lineRule="auto"/>
      <w:ind w:left="1604" w:right="868" w:hanging="1179"/>
    </w:pPr>
    <w:rPr>
      <w:b/>
      <w:kern w:val="28"/>
    </w:rPr>
  </w:style>
  <w:style w:type="paragraph" w:styleId="TOC4">
    <w:name w:val="toc 4"/>
    <w:basedOn w:val="OPCParaBase"/>
    <w:next w:val="Normal"/>
    <w:uiPriority w:val="39"/>
    <w:semiHidden/>
    <w:unhideWhenUsed/>
    <w:rsid w:val="00172BEB"/>
    <w:pPr>
      <w:keepLines/>
      <w:tabs>
        <w:tab w:val="right" w:pos="8998"/>
      </w:tabs>
      <w:spacing w:before="80" w:line="240" w:lineRule="auto"/>
      <w:ind w:left="2183" w:right="868" w:hanging="1332"/>
    </w:pPr>
    <w:rPr>
      <w:b/>
      <w:kern w:val="28"/>
      <w:sz w:val="20"/>
    </w:rPr>
  </w:style>
  <w:style w:type="paragraph" w:styleId="TOC5">
    <w:name w:val="toc 5"/>
    <w:basedOn w:val="OPCParaBase"/>
    <w:next w:val="Normal"/>
    <w:uiPriority w:val="39"/>
    <w:semiHidden/>
    <w:unhideWhenUsed/>
    <w:rsid w:val="00172BEB"/>
    <w:pPr>
      <w:keepLines/>
      <w:tabs>
        <w:tab w:val="right" w:pos="8998"/>
      </w:tabs>
      <w:spacing w:before="40" w:line="240" w:lineRule="auto"/>
      <w:ind w:left="2280" w:right="868" w:hanging="862"/>
    </w:pPr>
    <w:rPr>
      <w:kern w:val="28"/>
      <w:sz w:val="18"/>
    </w:rPr>
  </w:style>
  <w:style w:type="paragraph" w:styleId="TOC6">
    <w:name w:val="toc 6"/>
    <w:basedOn w:val="OPCParaBase"/>
    <w:next w:val="Normal"/>
    <w:uiPriority w:val="39"/>
    <w:semiHidden/>
    <w:unhideWhenUsed/>
    <w:rsid w:val="00172BEB"/>
    <w:pPr>
      <w:keepLines/>
      <w:tabs>
        <w:tab w:val="right" w:pos="8998"/>
      </w:tabs>
      <w:spacing w:before="120" w:line="240" w:lineRule="auto"/>
      <w:ind w:left="1344" w:right="868" w:hanging="1344"/>
    </w:pPr>
    <w:rPr>
      <w:b/>
      <w:kern w:val="28"/>
      <w:sz w:val="24"/>
    </w:rPr>
  </w:style>
  <w:style w:type="paragraph" w:styleId="TOC7">
    <w:name w:val="toc 7"/>
    <w:basedOn w:val="OPCParaBase"/>
    <w:next w:val="Normal"/>
    <w:uiPriority w:val="39"/>
    <w:semiHidden/>
    <w:unhideWhenUsed/>
    <w:rsid w:val="00172BEB"/>
    <w:pPr>
      <w:keepLines/>
      <w:tabs>
        <w:tab w:val="right" w:pos="8998"/>
      </w:tabs>
      <w:spacing w:before="120" w:line="240" w:lineRule="auto"/>
      <w:ind w:left="1253" w:right="868" w:hanging="828"/>
    </w:pPr>
    <w:rPr>
      <w:kern w:val="28"/>
      <w:sz w:val="24"/>
    </w:rPr>
  </w:style>
  <w:style w:type="paragraph" w:styleId="TOC8">
    <w:name w:val="toc 8"/>
    <w:basedOn w:val="OPCParaBase"/>
    <w:next w:val="Normal"/>
    <w:uiPriority w:val="39"/>
    <w:semiHidden/>
    <w:unhideWhenUsed/>
    <w:rsid w:val="00172BEB"/>
    <w:pPr>
      <w:keepLines/>
      <w:tabs>
        <w:tab w:val="right" w:pos="8998"/>
      </w:tabs>
      <w:spacing w:before="80" w:line="240" w:lineRule="auto"/>
      <w:ind w:left="1900" w:right="868" w:hanging="1049"/>
    </w:pPr>
    <w:rPr>
      <w:kern w:val="28"/>
      <w:sz w:val="20"/>
    </w:rPr>
  </w:style>
  <w:style w:type="paragraph" w:styleId="TOC9">
    <w:name w:val="toc 9"/>
    <w:basedOn w:val="OPCParaBase"/>
    <w:next w:val="Normal"/>
    <w:uiPriority w:val="39"/>
    <w:unhideWhenUsed/>
    <w:rsid w:val="00172BEB"/>
    <w:pPr>
      <w:keepLines/>
      <w:tabs>
        <w:tab w:val="right" w:pos="8998"/>
      </w:tabs>
      <w:spacing w:before="80" w:line="240" w:lineRule="auto"/>
      <w:ind w:left="851" w:right="868"/>
    </w:pPr>
    <w:rPr>
      <w:i/>
      <w:kern w:val="28"/>
      <w:sz w:val="20"/>
    </w:rPr>
  </w:style>
  <w:style w:type="paragraph" w:customStyle="1" w:styleId="TofSectsGroupHeading">
    <w:name w:val="TofSects(GroupHeading)"/>
    <w:basedOn w:val="OPCParaBase"/>
    <w:next w:val="TofSectsSection"/>
    <w:rsid w:val="00172BEB"/>
    <w:pPr>
      <w:keepLines/>
      <w:spacing w:before="240" w:after="120" w:line="240" w:lineRule="auto"/>
      <w:ind w:left="794"/>
    </w:pPr>
    <w:rPr>
      <w:b/>
      <w:kern w:val="28"/>
      <w:sz w:val="20"/>
    </w:rPr>
  </w:style>
  <w:style w:type="paragraph" w:customStyle="1" w:styleId="TofSectsHeading">
    <w:name w:val="TofSects(Heading)"/>
    <w:basedOn w:val="OPCParaBase"/>
    <w:rsid w:val="00172BEB"/>
    <w:pPr>
      <w:spacing w:before="240" w:after="120" w:line="240" w:lineRule="auto"/>
    </w:pPr>
    <w:rPr>
      <w:b/>
      <w:sz w:val="24"/>
    </w:rPr>
  </w:style>
  <w:style w:type="paragraph" w:customStyle="1" w:styleId="TofSectsSection">
    <w:name w:val="TofSects(Section)"/>
    <w:basedOn w:val="OPCParaBase"/>
    <w:rsid w:val="00172BEB"/>
    <w:pPr>
      <w:keepLines/>
      <w:spacing w:before="40" w:line="240" w:lineRule="auto"/>
      <w:ind w:left="1588" w:hanging="794"/>
    </w:pPr>
    <w:rPr>
      <w:kern w:val="28"/>
      <w:sz w:val="18"/>
    </w:rPr>
  </w:style>
  <w:style w:type="paragraph" w:customStyle="1" w:styleId="TofSectsSubdiv">
    <w:name w:val="TofSects(Subdiv)"/>
    <w:basedOn w:val="OPCParaBase"/>
    <w:rsid w:val="00172BEB"/>
    <w:pPr>
      <w:keepLines/>
      <w:spacing w:before="80" w:line="240" w:lineRule="auto"/>
      <w:ind w:left="1588" w:hanging="794"/>
    </w:pPr>
    <w:rPr>
      <w:kern w:val="28"/>
    </w:rPr>
  </w:style>
  <w:style w:type="paragraph" w:customStyle="1" w:styleId="WRStyle">
    <w:name w:val="WR Style"/>
    <w:aliases w:val="WR"/>
    <w:basedOn w:val="OPCParaBase"/>
    <w:rsid w:val="00172BEB"/>
    <w:pPr>
      <w:spacing w:before="240" w:line="240" w:lineRule="auto"/>
      <w:ind w:left="284" w:hanging="284"/>
    </w:pPr>
    <w:rPr>
      <w:b/>
      <w:i/>
      <w:kern w:val="28"/>
      <w:sz w:val="24"/>
    </w:rPr>
  </w:style>
  <w:style w:type="paragraph" w:customStyle="1" w:styleId="Body">
    <w:name w:val="Body"/>
    <w:aliases w:val="b"/>
    <w:basedOn w:val="OPCParaBase"/>
    <w:rsid w:val="00172BEB"/>
    <w:pPr>
      <w:spacing w:before="240" w:line="240" w:lineRule="auto"/>
    </w:pPr>
    <w:rPr>
      <w:sz w:val="24"/>
    </w:rPr>
  </w:style>
  <w:style w:type="paragraph" w:customStyle="1" w:styleId="BodyNum">
    <w:name w:val="BodyNum"/>
    <w:aliases w:val="b1"/>
    <w:basedOn w:val="OPCParaBase"/>
    <w:rsid w:val="00172BEB"/>
    <w:pPr>
      <w:numPr>
        <w:numId w:val="2"/>
      </w:numPr>
      <w:spacing w:before="240" w:line="240" w:lineRule="auto"/>
    </w:pPr>
    <w:rPr>
      <w:sz w:val="24"/>
    </w:rPr>
  </w:style>
  <w:style w:type="paragraph" w:customStyle="1" w:styleId="BodyPara">
    <w:name w:val="BodyPara"/>
    <w:aliases w:val="ba"/>
    <w:basedOn w:val="OPCParaBase"/>
    <w:rsid w:val="00172BEB"/>
    <w:pPr>
      <w:numPr>
        <w:ilvl w:val="1"/>
        <w:numId w:val="2"/>
      </w:numPr>
      <w:spacing w:before="240" w:line="240" w:lineRule="auto"/>
    </w:pPr>
    <w:rPr>
      <w:sz w:val="24"/>
    </w:rPr>
  </w:style>
  <w:style w:type="paragraph" w:customStyle="1" w:styleId="BodyParaBullet">
    <w:name w:val="BodyParaBullet"/>
    <w:aliases w:val="bpb"/>
    <w:basedOn w:val="OPCParaBase"/>
    <w:rsid w:val="00172BEB"/>
    <w:pPr>
      <w:numPr>
        <w:ilvl w:val="2"/>
        <w:numId w:val="2"/>
      </w:numPr>
      <w:tabs>
        <w:tab w:val="left" w:pos="2160"/>
      </w:tabs>
      <w:spacing w:before="240" w:line="240" w:lineRule="auto"/>
    </w:pPr>
    <w:rPr>
      <w:sz w:val="24"/>
    </w:rPr>
  </w:style>
  <w:style w:type="paragraph" w:customStyle="1" w:styleId="BodySubPara">
    <w:name w:val="BodySubPara"/>
    <w:aliases w:val="bi"/>
    <w:basedOn w:val="OPCParaBase"/>
    <w:rsid w:val="00172BEB"/>
    <w:pPr>
      <w:numPr>
        <w:ilvl w:val="3"/>
        <w:numId w:val="2"/>
      </w:numPr>
      <w:spacing w:before="240" w:line="240" w:lineRule="auto"/>
    </w:pPr>
    <w:rPr>
      <w:sz w:val="24"/>
    </w:rPr>
  </w:style>
  <w:style w:type="numbering" w:customStyle="1" w:styleId="OPCBodyList">
    <w:name w:val="OPCBodyList"/>
    <w:uiPriority w:val="99"/>
    <w:rsid w:val="00172BEB"/>
    <w:pPr>
      <w:numPr>
        <w:numId w:val="2"/>
      </w:numPr>
    </w:pPr>
  </w:style>
  <w:style w:type="paragraph" w:customStyle="1" w:styleId="Head1">
    <w:name w:val="Head 1"/>
    <w:aliases w:val="1"/>
    <w:basedOn w:val="OPCParaBase"/>
    <w:next w:val="BodyNum"/>
    <w:rsid w:val="00172BEB"/>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172BEB"/>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172BEB"/>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172BE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172BE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172BEB"/>
    <w:pPr>
      <w:spacing w:before="122" w:line="198" w:lineRule="exact"/>
      <w:ind w:left="2353" w:hanging="709"/>
    </w:pPr>
    <w:rPr>
      <w:sz w:val="18"/>
    </w:rPr>
  </w:style>
  <w:style w:type="character" w:customStyle="1" w:styleId="BalloonTextChar">
    <w:name w:val="Balloon Text Char"/>
    <w:link w:val="BalloonText"/>
    <w:uiPriority w:val="99"/>
    <w:semiHidden/>
    <w:rsid w:val="00172BEB"/>
    <w:rPr>
      <w:rFonts w:ascii="Tahoma" w:eastAsia="Calibri" w:hAnsi="Tahoma" w:cs="Tahoma"/>
      <w:sz w:val="16"/>
      <w:szCs w:val="16"/>
      <w:lang w:eastAsia="en-US"/>
    </w:rPr>
  </w:style>
  <w:style w:type="paragraph" w:customStyle="1" w:styleId="MessShortTitle">
    <w:name w:val="MessShortTitle"/>
    <w:basedOn w:val="Head2"/>
    <w:rsid w:val="00172BEB"/>
  </w:style>
  <w:style w:type="paragraph" w:customStyle="1" w:styleId="TableHeading">
    <w:name w:val="TableHeading"/>
    <w:aliases w:val="th"/>
    <w:basedOn w:val="OPCParaBase"/>
    <w:next w:val="Tabletext"/>
    <w:rsid w:val="00172BEB"/>
    <w:pPr>
      <w:spacing w:before="60" w:line="240" w:lineRule="atLeast"/>
    </w:pPr>
    <w:rPr>
      <w:b/>
      <w:sz w:val="20"/>
    </w:rPr>
  </w:style>
  <w:style w:type="paragraph" w:styleId="BodyTextIndent">
    <w:name w:val="Body Text Indent"/>
    <w:basedOn w:val="Normal"/>
    <w:link w:val="BodyTextIndentChar"/>
    <w:uiPriority w:val="99"/>
    <w:semiHidden/>
    <w:unhideWhenUsed/>
    <w:rsid w:val="00D9151A"/>
    <w:pPr>
      <w:spacing w:before="100" w:beforeAutospacing="1" w:after="100" w:afterAutospacing="1" w:line="240" w:lineRule="auto"/>
    </w:pPr>
    <w:rPr>
      <w:rFonts w:eastAsia="Times New Roman"/>
      <w:sz w:val="24"/>
      <w:szCs w:val="24"/>
    </w:rPr>
  </w:style>
  <w:style w:type="character" w:customStyle="1" w:styleId="BodyTextIndentChar">
    <w:name w:val="Body Text Indent Char"/>
    <w:link w:val="BodyTextIndent"/>
    <w:uiPriority w:val="99"/>
    <w:semiHidden/>
    <w:rsid w:val="00D9151A"/>
    <w:rPr>
      <w:sz w:val="24"/>
      <w:szCs w:val="24"/>
    </w:rPr>
  </w:style>
  <w:style w:type="paragraph" w:customStyle="1" w:styleId="r1">
    <w:name w:val="r1"/>
    <w:basedOn w:val="Normal"/>
    <w:rsid w:val="008A6876"/>
    <w:pPr>
      <w:spacing w:before="100" w:beforeAutospacing="1" w:after="100" w:afterAutospacing="1" w:line="240" w:lineRule="auto"/>
    </w:pPr>
    <w:rPr>
      <w:rFonts w:eastAsia="Times New Roman"/>
      <w:sz w:val="24"/>
      <w:szCs w:val="24"/>
      <w:lang w:eastAsia="en-AU"/>
    </w:rPr>
  </w:style>
  <w:style w:type="paragraph" w:styleId="Revision">
    <w:name w:val="Revision"/>
    <w:hidden/>
    <w:uiPriority w:val="99"/>
    <w:semiHidden/>
    <w:rsid w:val="0011395E"/>
    <w:rPr>
      <w:rFonts w:eastAsia="Calibri"/>
      <w:sz w:val="22"/>
      <w:lang w:eastAsia="en-US"/>
    </w:rPr>
  </w:style>
  <w:style w:type="paragraph" w:customStyle="1" w:styleId="opcbody">
    <w:name w:val="opcbody"/>
    <w:basedOn w:val="Normal"/>
    <w:rsid w:val="003267CB"/>
    <w:pPr>
      <w:spacing w:before="100" w:beforeAutospacing="1" w:after="100" w:afterAutospacing="1" w:line="240" w:lineRule="auto"/>
    </w:pPr>
    <w:rPr>
      <w:rFonts w:eastAsia="Times New Roman"/>
      <w:sz w:val="24"/>
      <w:szCs w:val="24"/>
      <w:lang w:eastAsia="en-AU"/>
    </w:rPr>
  </w:style>
  <w:style w:type="paragraph" w:styleId="PlainText">
    <w:name w:val="Plain Text"/>
    <w:basedOn w:val="Normal"/>
    <w:link w:val="PlainTextChar"/>
    <w:uiPriority w:val="99"/>
    <w:semiHidden/>
    <w:unhideWhenUsed/>
    <w:rsid w:val="00972CC5"/>
    <w:rPr>
      <w:rFonts w:ascii="Courier New" w:hAnsi="Courier New" w:cs="Courier New"/>
      <w:sz w:val="20"/>
    </w:rPr>
  </w:style>
  <w:style w:type="character" w:customStyle="1" w:styleId="PlainTextChar">
    <w:name w:val="Plain Text Char"/>
    <w:basedOn w:val="DefaultParagraphFont"/>
    <w:link w:val="PlainText"/>
    <w:uiPriority w:val="99"/>
    <w:semiHidden/>
    <w:rsid w:val="00972CC5"/>
    <w:rPr>
      <w:rFonts w:ascii="Courier New" w:eastAsia="Calibri" w:hAnsi="Courier New" w:cs="Courier New"/>
      <w:lang w:eastAsia="en-US"/>
    </w:rPr>
  </w:style>
  <w:style w:type="paragraph" w:customStyle="1" w:styleId="paragraphsub0">
    <w:name w:val="paragraphsub"/>
    <w:basedOn w:val="Normal"/>
    <w:rsid w:val="00805278"/>
    <w:pPr>
      <w:spacing w:before="100" w:beforeAutospacing="1" w:after="100" w:afterAutospacing="1" w:line="240" w:lineRule="auto"/>
    </w:pPr>
    <w:rPr>
      <w:rFonts w:eastAsia="Times New Roman"/>
      <w:sz w:val="24"/>
      <w:szCs w:val="24"/>
      <w:lang w:eastAsia="en-AU"/>
    </w:rPr>
  </w:style>
  <w:style w:type="character" w:customStyle="1" w:styleId="Heading3Char">
    <w:name w:val="Heading 3 Char"/>
    <w:link w:val="Heading3"/>
    <w:rsid w:val="00D64DCA"/>
    <w:rPr>
      <w:rFonts w:ascii="Times" w:eastAsia="Calibri" w:hAnsi="Times"/>
      <w:b/>
      <w:sz w:val="24"/>
      <w:lang w:eastAsia="en-US"/>
    </w:rPr>
  </w:style>
  <w:style w:type="character" w:customStyle="1" w:styleId="Heading2Char">
    <w:name w:val="Heading 2 Char"/>
    <w:basedOn w:val="DefaultParagraphFont"/>
    <w:link w:val="Heading2"/>
    <w:rsid w:val="0054130A"/>
    <w:rPr>
      <w:rFonts w:ascii="Times" w:eastAsia="Calibri" w:hAnsi="Times"/>
      <w:b/>
      <w:sz w:val="24"/>
      <w:lang w:eastAsia="en-US"/>
    </w:rPr>
  </w:style>
  <w:style w:type="paragraph" w:styleId="ListParagraph">
    <w:name w:val="List Paragraph"/>
    <w:basedOn w:val="Normal"/>
    <w:uiPriority w:val="34"/>
    <w:qFormat/>
    <w:rsid w:val="002C1C61"/>
    <w:pPr>
      <w:ind w:left="720"/>
      <w:contextualSpacing/>
    </w:pPr>
  </w:style>
  <w:style w:type="paragraph" w:styleId="FootnoteText">
    <w:name w:val="footnote text"/>
    <w:basedOn w:val="Normal"/>
    <w:link w:val="FootnoteTextChar"/>
    <w:uiPriority w:val="99"/>
    <w:semiHidden/>
    <w:unhideWhenUsed/>
    <w:rsid w:val="00F17208"/>
    <w:pPr>
      <w:spacing w:line="240" w:lineRule="auto"/>
    </w:pPr>
    <w:rPr>
      <w:rFonts w:asciiTheme="minorHAnsi" w:eastAsiaTheme="minorEastAsia" w:hAnsiTheme="minorHAnsi" w:cstheme="minorBidi"/>
      <w:sz w:val="20"/>
    </w:rPr>
  </w:style>
  <w:style w:type="character" w:customStyle="1" w:styleId="FootnoteTextChar">
    <w:name w:val="Footnote Text Char"/>
    <w:basedOn w:val="DefaultParagraphFont"/>
    <w:link w:val="FootnoteText"/>
    <w:uiPriority w:val="99"/>
    <w:semiHidden/>
    <w:rsid w:val="00F17208"/>
    <w:rPr>
      <w:rFonts w:asciiTheme="minorHAnsi" w:eastAsiaTheme="minorEastAsia" w:hAnsiTheme="minorHAnsi" w:cstheme="minorBidi"/>
      <w:lang w:eastAsia="en-US"/>
    </w:rPr>
  </w:style>
  <w:style w:type="character" w:styleId="FootnoteReference">
    <w:name w:val="footnote reference"/>
    <w:uiPriority w:val="99"/>
    <w:semiHidden/>
    <w:unhideWhenUsed/>
    <w:rsid w:val="00F17208"/>
    <w:rPr>
      <w:vertAlign w:val="superscript"/>
    </w:rPr>
  </w:style>
  <w:style w:type="paragraph" w:customStyle="1" w:styleId="RPABullet1">
    <w:name w:val="RPA Bullet 1"/>
    <w:basedOn w:val="ListParagraph"/>
    <w:qFormat/>
    <w:rsid w:val="00F17208"/>
    <w:pPr>
      <w:spacing w:line="276" w:lineRule="auto"/>
      <w:ind w:left="0"/>
    </w:pPr>
    <w:rPr>
      <w:rFonts w:ascii="Arial" w:eastAsiaTheme="minorHAnsi" w:hAnsi="Arial" w:cs="Arial"/>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2BEB"/>
    <w:pPr>
      <w:spacing w:line="260" w:lineRule="atLeast"/>
    </w:pPr>
    <w:rPr>
      <w:rFonts w:eastAsia="Calibri"/>
      <w:sz w:val="22"/>
      <w:lang w:eastAsia="en-US"/>
    </w:rPr>
  </w:style>
  <w:style w:type="paragraph" w:styleId="Heading1">
    <w:name w:val="heading 1"/>
    <w:basedOn w:val="Heading2"/>
    <w:next w:val="Normal"/>
    <w:link w:val="Heading1Char"/>
    <w:qFormat/>
    <w:rsid w:val="00AA6B76"/>
    <w:pPr>
      <w:ind w:left="0" w:firstLine="0"/>
      <w:jc w:val="center"/>
      <w:outlineLvl w:val="0"/>
    </w:pPr>
    <w:rPr>
      <w:rFonts w:ascii="Times New Roman" w:eastAsia="Times New Roman" w:hAnsi="Times New Roman"/>
      <w:sz w:val="28"/>
      <w:szCs w:val="24"/>
    </w:rPr>
  </w:style>
  <w:style w:type="paragraph" w:styleId="Heading2">
    <w:name w:val="heading 2"/>
    <w:basedOn w:val="Normal"/>
    <w:next w:val="Normal"/>
    <w:link w:val="Heading2Char"/>
    <w:qFormat/>
    <w:rsid w:val="0036472B"/>
    <w:pPr>
      <w:spacing w:before="360"/>
      <w:ind w:left="1452" w:hanging="1452"/>
      <w:outlineLvl w:val="1"/>
    </w:pPr>
    <w:rPr>
      <w:rFonts w:ascii="Times" w:hAnsi="Times"/>
      <w:b/>
      <w:sz w:val="24"/>
    </w:rPr>
  </w:style>
  <w:style w:type="paragraph" w:styleId="Heading3">
    <w:name w:val="heading 3"/>
    <w:basedOn w:val="Heading2"/>
    <w:next w:val="Normal"/>
    <w:link w:val="Heading3Char"/>
    <w:qFormat/>
    <w:rsid w:val="00AA6B76"/>
    <w:pPr>
      <w:keepNext/>
      <w:spacing w:before="280"/>
      <w:outlineLvl w:val="2"/>
    </w:pPr>
  </w:style>
  <w:style w:type="paragraph" w:styleId="Heading4">
    <w:name w:val="heading 4"/>
    <w:basedOn w:val="Normal"/>
    <w:next w:val="Normal"/>
    <w:link w:val="Heading4Char"/>
    <w:uiPriority w:val="9"/>
    <w:unhideWhenUsed/>
    <w:qFormat/>
    <w:rsid w:val="00FA086B"/>
    <w:pPr>
      <w:keepNext/>
      <w:spacing w:before="240" w:after="60"/>
      <w:outlineLvl w:val="3"/>
    </w:pPr>
    <w:rPr>
      <w:rFonts w:eastAsia="Times New Roman"/>
      <w:b/>
      <w:bCs/>
      <w:sz w:val="24"/>
      <w:szCs w:val="24"/>
    </w:rPr>
  </w:style>
  <w:style w:type="paragraph" w:styleId="Heading6">
    <w:name w:val="heading 6"/>
    <w:basedOn w:val="Heading2"/>
    <w:next w:val="Normal"/>
    <w:link w:val="Heading6Char"/>
    <w:rsid w:val="000616D0"/>
    <w:pPr>
      <w:keepLines/>
      <w:tabs>
        <w:tab w:val="left" w:pos="851"/>
      </w:tabs>
      <w:spacing w:before="240"/>
      <w:outlineLvl w:val="5"/>
    </w:pPr>
    <w:rPr>
      <w:rFonts w:eastAsia="Times New Roman" w:cs="Calibri"/>
      <w:i/>
      <w:iCs/>
      <w:color w:val="0000FF"/>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rsid w:val="000616D0"/>
    <w:rPr>
      <w:rFonts w:ascii="Times" w:hAnsi="Times" w:cs="Calibri"/>
      <w:b/>
      <w:i/>
      <w:iCs/>
      <w:color w:val="0000FF"/>
      <w:sz w:val="24"/>
      <w:szCs w:val="24"/>
      <w:lang w:val="en-AU" w:eastAsia="en-AU" w:bidi="ar-SA"/>
    </w:rPr>
  </w:style>
  <w:style w:type="character" w:styleId="CommentReference">
    <w:name w:val="annotation reference"/>
    <w:semiHidden/>
    <w:rsid w:val="00FE54B8"/>
    <w:rPr>
      <w:rFonts w:cs="Times New Roman"/>
      <w:sz w:val="16"/>
      <w:szCs w:val="16"/>
    </w:rPr>
  </w:style>
  <w:style w:type="paragraph" w:styleId="Header">
    <w:name w:val="header"/>
    <w:basedOn w:val="OPCParaBase"/>
    <w:link w:val="HeaderChar"/>
    <w:unhideWhenUsed/>
    <w:rsid w:val="00172BEB"/>
    <w:pPr>
      <w:keepNext/>
      <w:keepLines/>
      <w:tabs>
        <w:tab w:val="center" w:pos="4150"/>
        <w:tab w:val="right" w:pos="8307"/>
      </w:tabs>
      <w:spacing w:line="160" w:lineRule="exact"/>
    </w:pPr>
    <w:rPr>
      <w:sz w:val="16"/>
    </w:rPr>
  </w:style>
  <w:style w:type="paragraph" w:styleId="CommentText">
    <w:name w:val="annotation text"/>
    <w:basedOn w:val="Normal"/>
    <w:link w:val="CommentTextChar"/>
    <w:semiHidden/>
    <w:rsid w:val="00FE54B8"/>
    <w:pPr>
      <w:tabs>
        <w:tab w:val="left" w:pos="851"/>
      </w:tabs>
      <w:spacing w:before="120" w:after="120"/>
    </w:pPr>
    <w:rPr>
      <w:rFonts w:ascii="Tahoma" w:eastAsia="Times New Roman" w:hAnsi="Tahoma" w:cs="Tahoma"/>
      <w:sz w:val="24"/>
      <w:szCs w:val="24"/>
      <w:lang w:eastAsia="en-AU"/>
    </w:rPr>
  </w:style>
  <w:style w:type="character" w:customStyle="1" w:styleId="CommentTextChar">
    <w:name w:val="Comment Text Char"/>
    <w:link w:val="CommentText"/>
    <w:semiHidden/>
    <w:rsid w:val="00FE54B8"/>
    <w:rPr>
      <w:rFonts w:ascii="Tahoma" w:hAnsi="Tahoma" w:cs="Tahoma"/>
      <w:sz w:val="24"/>
      <w:szCs w:val="24"/>
      <w:lang w:val="en-AU" w:eastAsia="en-AU" w:bidi="ar-SA"/>
    </w:rPr>
  </w:style>
  <w:style w:type="paragraph" w:styleId="BalloonText">
    <w:name w:val="Balloon Text"/>
    <w:basedOn w:val="Normal"/>
    <w:link w:val="BalloonTextChar"/>
    <w:uiPriority w:val="99"/>
    <w:semiHidden/>
    <w:unhideWhenUsed/>
    <w:rsid w:val="00172BEB"/>
    <w:pPr>
      <w:spacing w:line="240" w:lineRule="auto"/>
    </w:pPr>
    <w:rPr>
      <w:rFonts w:ascii="Tahoma" w:hAnsi="Tahoma"/>
      <w:sz w:val="16"/>
      <w:szCs w:val="16"/>
    </w:rPr>
  </w:style>
  <w:style w:type="character" w:styleId="Hyperlink">
    <w:name w:val="Hyperlink"/>
    <w:uiPriority w:val="99"/>
    <w:rsid w:val="002A4207"/>
    <w:rPr>
      <w:color w:val="0000FF"/>
      <w:u w:val="single"/>
    </w:rPr>
  </w:style>
  <w:style w:type="paragraph" w:styleId="Footer">
    <w:name w:val="footer"/>
    <w:link w:val="FooterChar"/>
    <w:rsid w:val="00172BEB"/>
    <w:pPr>
      <w:tabs>
        <w:tab w:val="center" w:pos="4153"/>
        <w:tab w:val="right" w:pos="8306"/>
      </w:tabs>
    </w:pPr>
    <w:rPr>
      <w:sz w:val="22"/>
      <w:szCs w:val="24"/>
    </w:rPr>
  </w:style>
  <w:style w:type="table" w:styleId="TableGrid">
    <w:name w:val="Table Grid"/>
    <w:basedOn w:val="TableNormal"/>
    <w:uiPriority w:val="59"/>
    <w:rsid w:val="00F214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rsid w:val="00AA6B76"/>
    <w:rPr>
      <w:b/>
      <w:sz w:val="28"/>
      <w:szCs w:val="24"/>
    </w:rPr>
  </w:style>
  <w:style w:type="paragraph" w:styleId="CommentSubject">
    <w:name w:val="annotation subject"/>
    <w:basedOn w:val="CommentText"/>
    <w:next w:val="CommentText"/>
    <w:semiHidden/>
    <w:rsid w:val="00A06399"/>
    <w:pPr>
      <w:tabs>
        <w:tab w:val="clear" w:pos="851"/>
      </w:tabs>
    </w:pPr>
    <w:rPr>
      <w:rFonts w:ascii="Times New Roman" w:hAnsi="Times New Roman" w:cs="Times New Roman"/>
      <w:b/>
      <w:bCs/>
      <w:sz w:val="20"/>
    </w:rPr>
  </w:style>
  <w:style w:type="character" w:customStyle="1" w:styleId="charst1">
    <w:name w:val="charst1"/>
    <w:basedOn w:val="DefaultParagraphFont"/>
    <w:rsid w:val="00FE3F5E"/>
  </w:style>
  <w:style w:type="paragraph" w:styleId="NormalWeb">
    <w:name w:val="Normal (Web)"/>
    <w:basedOn w:val="Normal"/>
    <w:uiPriority w:val="99"/>
    <w:semiHidden/>
    <w:unhideWhenUsed/>
    <w:rsid w:val="008F1458"/>
    <w:pPr>
      <w:spacing w:before="136" w:after="136"/>
    </w:pPr>
  </w:style>
  <w:style w:type="paragraph" w:customStyle="1" w:styleId="subsection">
    <w:name w:val="subsection"/>
    <w:aliases w:val="ss"/>
    <w:basedOn w:val="OPCParaBase"/>
    <w:rsid w:val="00172BEB"/>
    <w:pPr>
      <w:tabs>
        <w:tab w:val="right" w:pos="1021"/>
      </w:tabs>
      <w:spacing w:before="180" w:line="240" w:lineRule="auto"/>
      <w:ind w:left="1134" w:hanging="1134"/>
    </w:pPr>
  </w:style>
  <w:style w:type="character" w:styleId="FollowedHyperlink">
    <w:name w:val="FollowedHyperlink"/>
    <w:uiPriority w:val="99"/>
    <w:semiHidden/>
    <w:unhideWhenUsed/>
    <w:rsid w:val="00287B5F"/>
    <w:rPr>
      <w:color w:val="800080"/>
      <w:u w:val="single"/>
    </w:rPr>
  </w:style>
  <w:style w:type="character" w:customStyle="1" w:styleId="Heading4Char">
    <w:name w:val="Heading 4 Char"/>
    <w:link w:val="Heading4"/>
    <w:uiPriority w:val="9"/>
    <w:rsid w:val="00FA086B"/>
    <w:rPr>
      <w:rFonts w:eastAsia="Times New Roman"/>
      <w:b/>
      <w:bCs/>
      <w:sz w:val="24"/>
      <w:szCs w:val="24"/>
    </w:rPr>
  </w:style>
  <w:style w:type="paragraph" w:styleId="Title">
    <w:name w:val="Title"/>
    <w:basedOn w:val="Normal"/>
    <w:next w:val="Normal"/>
    <w:link w:val="TitleChar"/>
    <w:uiPriority w:val="10"/>
    <w:rsid w:val="00FA086B"/>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FA086B"/>
    <w:rPr>
      <w:rFonts w:ascii="Cambria" w:eastAsia="Times New Roman" w:hAnsi="Cambria" w:cs="Times New Roman"/>
      <w:b/>
      <w:bCs/>
      <w:kern w:val="28"/>
      <w:sz w:val="32"/>
      <w:szCs w:val="32"/>
    </w:rPr>
  </w:style>
  <w:style w:type="paragraph" w:customStyle="1" w:styleId="Notes">
    <w:name w:val="Notes"/>
    <w:basedOn w:val="Normal"/>
    <w:link w:val="NotesChar"/>
    <w:qFormat/>
    <w:rsid w:val="00FA086B"/>
    <w:rPr>
      <w:rFonts w:eastAsia="Times New Roman"/>
      <w:i/>
      <w:szCs w:val="24"/>
    </w:rPr>
  </w:style>
  <w:style w:type="character" w:customStyle="1" w:styleId="NotesChar">
    <w:name w:val="Notes Char"/>
    <w:link w:val="Notes"/>
    <w:rsid w:val="00FA086B"/>
    <w:rPr>
      <w:i/>
      <w:sz w:val="22"/>
      <w:szCs w:val="24"/>
    </w:rPr>
  </w:style>
  <w:style w:type="paragraph" w:customStyle="1" w:styleId="BoxText">
    <w:name w:val="BoxText"/>
    <w:aliases w:val="bt"/>
    <w:basedOn w:val="OPCParaBase"/>
    <w:rsid w:val="00172BEB"/>
    <w:pPr>
      <w:pBdr>
        <w:top w:val="single" w:sz="6" w:space="5" w:color="auto"/>
        <w:left w:val="single" w:sz="6" w:space="5" w:color="auto"/>
        <w:bottom w:val="single" w:sz="6" w:space="5" w:color="auto"/>
        <w:right w:val="single" w:sz="6" w:space="5" w:color="auto"/>
      </w:pBdr>
      <w:spacing w:before="240" w:line="240" w:lineRule="auto"/>
      <w:ind w:left="1134"/>
    </w:pPr>
  </w:style>
  <w:style w:type="character" w:styleId="Emphasis">
    <w:name w:val="Emphasis"/>
    <w:uiPriority w:val="20"/>
    <w:qFormat/>
    <w:rsid w:val="000E0756"/>
    <w:rPr>
      <w:i/>
      <w:iCs/>
    </w:rPr>
  </w:style>
  <w:style w:type="character" w:customStyle="1" w:styleId="FooterChar">
    <w:name w:val="Footer Char"/>
    <w:link w:val="Footer"/>
    <w:rsid w:val="00172BEB"/>
    <w:rPr>
      <w:sz w:val="22"/>
      <w:szCs w:val="24"/>
      <w:lang w:bidi="ar-SA"/>
    </w:rPr>
  </w:style>
  <w:style w:type="character" w:styleId="PageNumber">
    <w:name w:val="page number"/>
    <w:rsid w:val="00172BEB"/>
  </w:style>
  <w:style w:type="character" w:customStyle="1" w:styleId="CharAmPartText">
    <w:name w:val="CharAmPartText"/>
    <w:uiPriority w:val="1"/>
    <w:qFormat/>
    <w:rsid w:val="00172BEB"/>
  </w:style>
  <w:style w:type="character" w:customStyle="1" w:styleId="OPCCharBase">
    <w:name w:val="OPCCharBase"/>
    <w:uiPriority w:val="1"/>
    <w:qFormat/>
    <w:rsid w:val="00172BEB"/>
  </w:style>
  <w:style w:type="paragraph" w:customStyle="1" w:styleId="OPCParaBase">
    <w:name w:val="OPCParaBase"/>
    <w:qFormat/>
    <w:rsid w:val="00172BEB"/>
    <w:pPr>
      <w:spacing w:line="260" w:lineRule="atLeast"/>
    </w:pPr>
    <w:rPr>
      <w:sz w:val="22"/>
    </w:rPr>
  </w:style>
  <w:style w:type="paragraph" w:customStyle="1" w:styleId="ShortT">
    <w:name w:val="ShortT"/>
    <w:basedOn w:val="OPCParaBase"/>
    <w:next w:val="Normal"/>
    <w:qFormat/>
    <w:rsid w:val="00172BEB"/>
    <w:pPr>
      <w:spacing w:line="240" w:lineRule="auto"/>
    </w:pPr>
    <w:rPr>
      <w:b/>
      <w:sz w:val="40"/>
    </w:rPr>
  </w:style>
  <w:style w:type="paragraph" w:customStyle="1" w:styleId="ActHead1">
    <w:name w:val="ActHead 1"/>
    <w:aliases w:val="c"/>
    <w:basedOn w:val="OPCParaBase"/>
    <w:next w:val="Normal"/>
    <w:qFormat/>
    <w:rsid w:val="00172BEB"/>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172BEB"/>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172BEB"/>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172BEB"/>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72BEB"/>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72BEB"/>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172BEB"/>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172BEB"/>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172BEB"/>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172BEB"/>
  </w:style>
  <w:style w:type="paragraph" w:customStyle="1" w:styleId="Blocks">
    <w:name w:val="Blocks"/>
    <w:aliases w:val="bb"/>
    <w:basedOn w:val="OPCParaBase"/>
    <w:qFormat/>
    <w:rsid w:val="00172BEB"/>
    <w:pPr>
      <w:spacing w:line="240" w:lineRule="auto"/>
    </w:pPr>
    <w:rPr>
      <w:sz w:val="24"/>
    </w:rPr>
  </w:style>
  <w:style w:type="paragraph" w:customStyle="1" w:styleId="BoxHeadBold">
    <w:name w:val="BoxHeadBold"/>
    <w:aliases w:val="bhb"/>
    <w:basedOn w:val="BoxText"/>
    <w:next w:val="BoxText"/>
    <w:qFormat/>
    <w:rsid w:val="00172BEB"/>
    <w:rPr>
      <w:b/>
    </w:rPr>
  </w:style>
  <w:style w:type="paragraph" w:customStyle="1" w:styleId="BoxHeadItalic">
    <w:name w:val="BoxHeadItalic"/>
    <w:aliases w:val="bhi"/>
    <w:basedOn w:val="BoxText"/>
    <w:next w:val="Normal"/>
    <w:qFormat/>
    <w:rsid w:val="00172BEB"/>
    <w:rPr>
      <w:i/>
    </w:rPr>
  </w:style>
  <w:style w:type="paragraph" w:customStyle="1" w:styleId="BoxList">
    <w:name w:val="BoxList"/>
    <w:aliases w:val="bl"/>
    <w:basedOn w:val="BoxText"/>
    <w:qFormat/>
    <w:rsid w:val="00172BEB"/>
    <w:pPr>
      <w:ind w:left="1559" w:hanging="425"/>
    </w:pPr>
  </w:style>
  <w:style w:type="paragraph" w:customStyle="1" w:styleId="BoxNote">
    <w:name w:val="BoxNote"/>
    <w:aliases w:val="bn"/>
    <w:basedOn w:val="BoxText"/>
    <w:qFormat/>
    <w:rsid w:val="00172BEB"/>
    <w:pPr>
      <w:tabs>
        <w:tab w:val="left" w:pos="1985"/>
      </w:tabs>
      <w:spacing w:before="122" w:line="198" w:lineRule="exact"/>
      <w:ind w:left="2948" w:hanging="1814"/>
    </w:pPr>
    <w:rPr>
      <w:sz w:val="18"/>
    </w:rPr>
  </w:style>
  <w:style w:type="paragraph" w:customStyle="1" w:styleId="BoxPara">
    <w:name w:val="BoxPara"/>
    <w:aliases w:val="bp"/>
    <w:basedOn w:val="BoxText"/>
    <w:qFormat/>
    <w:rsid w:val="00172BEB"/>
    <w:pPr>
      <w:tabs>
        <w:tab w:val="right" w:pos="2268"/>
      </w:tabs>
      <w:ind w:left="2552" w:hanging="1418"/>
    </w:pPr>
  </w:style>
  <w:style w:type="paragraph" w:customStyle="1" w:styleId="BoxStep">
    <w:name w:val="BoxStep"/>
    <w:aliases w:val="bs"/>
    <w:basedOn w:val="BoxText"/>
    <w:qFormat/>
    <w:rsid w:val="00172BEB"/>
    <w:pPr>
      <w:ind w:left="1985" w:hanging="851"/>
    </w:pPr>
  </w:style>
  <w:style w:type="character" w:customStyle="1" w:styleId="CharAmPartNo">
    <w:name w:val="CharAmPartNo"/>
    <w:uiPriority w:val="1"/>
    <w:qFormat/>
    <w:rsid w:val="00172BEB"/>
  </w:style>
  <w:style w:type="character" w:customStyle="1" w:styleId="CharAmSchNo">
    <w:name w:val="CharAmSchNo"/>
    <w:uiPriority w:val="1"/>
    <w:qFormat/>
    <w:rsid w:val="00172BEB"/>
  </w:style>
  <w:style w:type="character" w:customStyle="1" w:styleId="CharAmSchText">
    <w:name w:val="CharAmSchText"/>
    <w:uiPriority w:val="1"/>
    <w:qFormat/>
    <w:rsid w:val="00172BEB"/>
  </w:style>
  <w:style w:type="character" w:customStyle="1" w:styleId="CharBoldItalic">
    <w:name w:val="CharBoldItalic"/>
    <w:uiPriority w:val="1"/>
    <w:qFormat/>
    <w:rsid w:val="00172BEB"/>
    <w:rPr>
      <w:b/>
      <w:i/>
    </w:rPr>
  </w:style>
  <w:style w:type="character" w:customStyle="1" w:styleId="CharChapNo">
    <w:name w:val="CharChapNo"/>
    <w:uiPriority w:val="1"/>
    <w:qFormat/>
    <w:rsid w:val="00172BEB"/>
  </w:style>
  <w:style w:type="character" w:customStyle="1" w:styleId="CharChapText">
    <w:name w:val="CharChapText"/>
    <w:uiPriority w:val="1"/>
    <w:qFormat/>
    <w:rsid w:val="00172BEB"/>
  </w:style>
  <w:style w:type="character" w:customStyle="1" w:styleId="CharDivNo">
    <w:name w:val="CharDivNo"/>
    <w:uiPriority w:val="1"/>
    <w:qFormat/>
    <w:rsid w:val="00172BEB"/>
  </w:style>
  <w:style w:type="character" w:customStyle="1" w:styleId="CharDivText">
    <w:name w:val="CharDivText"/>
    <w:uiPriority w:val="1"/>
    <w:qFormat/>
    <w:rsid w:val="00172BEB"/>
  </w:style>
  <w:style w:type="character" w:customStyle="1" w:styleId="CharItalic">
    <w:name w:val="CharItalic"/>
    <w:uiPriority w:val="1"/>
    <w:qFormat/>
    <w:rsid w:val="00172BEB"/>
    <w:rPr>
      <w:i/>
    </w:rPr>
  </w:style>
  <w:style w:type="character" w:customStyle="1" w:styleId="CharPartNo">
    <w:name w:val="CharPartNo"/>
    <w:uiPriority w:val="1"/>
    <w:qFormat/>
    <w:rsid w:val="00172BEB"/>
  </w:style>
  <w:style w:type="character" w:customStyle="1" w:styleId="CharPartText">
    <w:name w:val="CharPartText"/>
    <w:uiPriority w:val="1"/>
    <w:qFormat/>
    <w:rsid w:val="00172BEB"/>
  </w:style>
  <w:style w:type="character" w:customStyle="1" w:styleId="CharSectno">
    <w:name w:val="CharSectno"/>
    <w:uiPriority w:val="1"/>
    <w:qFormat/>
    <w:rsid w:val="00172BEB"/>
  </w:style>
  <w:style w:type="character" w:customStyle="1" w:styleId="CharSubdNo">
    <w:name w:val="CharSubdNo"/>
    <w:uiPriority w:val="1"/>
    <w:qFormat/>
    <w:rsid w:val="00172BEB"/>
  </w:style>
  <w:style w:type="character" w:customStyle="1" w:styleId="CharSubdText">
    <w:name w:val="CharSubdText"/>
    <w:uiPriority w:val="1"/>
    <w:qFormat/>
    <w:rsid w:val="00172BEB"/>
  </w:style>
  <w:style w:type="paragraph" w:customStyle="1" w:styleId="CTA--">
    <w:name w:val="CTA --"/>
    <w:basedOn w:val="OPCParaBase"/>
    <w:next w:val="Normal"/>
    <w:rsid w:val="00172BEB"/>
    <w:pPr>
      <w:spacing w:before="60" w:line="240" w:lineRule="atLeast"/>
      <w:ind w:left="142" w:hanging="142"/>
    </w:pPr>
    <w:rPr>
      <w:sz w:val="20"/>
    </w:rPr>
  </w:style>
  <w:style w:type="paragraph" w:customStyle="1" w:styleId="CTA-">
    <w:name w:val="CTA -"/>
    <w:basedOn w:val="OPCParaBase"/>
    <w:rsid w:val="00172BEB"/>
    <w:pPr>
      <w:spacing w:before="60" w:line="240" w:lineRule="atLeast"/>
      <w:ind w:left="85" w:hanging="85"/>
    </w:pPr>
    <w:rPr>
      <w:sz w:val="20"/>
    </w:rPr>
  </w:style>
  <w:style w:type="paragraph" w:customStyle="1" w:styleId="CTA---">
    <w:name w:val="CTA ---"/>
    <w:basedOn w:val="OPCParaBase"/>
    <w:next w:val="Normal"/>
    <w:rsid w:val="00172BEB"/>
    <w:pPr>
      <w:spacing w:before="60" w:line="240" w:lineRule="atLeast"/>
      <w:ind w:left="198" w:hanging="198"/>
    </w:pPr>
    <w:rPr>
      <w:sz w:val="20"/>
    </w:rPr>
  </w:style>
  <w:style w:type="paragraph" w:customStyle="1" w:styleId="CTA----">
    <w:name w:val="CTA ----"/>
    <w:basedOn w:val="OPCParaBase"/>
    <w:next w:val="Normal"/>
    <w:rsid w:val="00172BEB"/>
    <w:pPr>
      <w:spacing w:before="60" w:line="240" w:lineRule="atLeast"/>
      <w:ind w:left="255" w:hanging="255"/>
    </w:pPr>
    <w:rPr>
      <w:sz w:val="20"/>
    </w:rPr>
  </w:style>
  <w:style w:type="paragraph" w:customStyle="1" w:styleId="CTA1a">
    <w:name w:val="CTA 1(a)"/>
    <w:basedOn w:val="OPCParaBase"/>
    <w:rsid w:val="00172BEB"/>
    <w:pPr>
      <w:tabs>
        <w:tab w:val="right" w:pos="414"/>
      </w:tabs>
      <w:spacing w:before="40" w:line="240" w:lineRule="atLeast"/>
      <w:ind w:left="675" w:hanging="675"/>
    </w:pPr>
    <w:rPr>
      <w:sz w:val="20"/>
    </w:rPr>
  </w:style>
  <w:style w:type="paragraph" w:customStyle="1" w:styleId="CTA1ai">
    <w:name w:val="CTA 1(a)(i)"/>
    <w:basedOn w:val="OPCParaBase"/>
    <w:rsid w:val="00172BEB"/>
    <w:pPr>
      <w:tabs>
        <w:tab w:val="right" w:pos="1004"/>
      </w:tabs>
      <w:spacing w:before="40" w:line="240" w:lineRule="atLeast"/>
      <w:ind w:left="1253" w:hanging="1253"/>
    </w:pPr>
    <w:rPr>
      <w:sz w:val="20"/>
    </w:rPr>
  </w:style>
  <w:style w:type="paragraph" w:customStyle="1" w:styleId="CTA2a">
    <w:name w:val="CTA 2(a)"/>
    <w:basedOn w:val="OPCParaBase"/>
    <w:rsid w:val="00172BEB"/>
    <w:pPr>
      <w:tabs>
        <w:tab w:val="right" w:pos="482"/>
      </w:tabs>
      <w:spacing w:before="40" w:line="240" w:lineRule="atLeast"/>
      <w:ind w:left="748" w:hanging="748"/>
    </w:pPr>
    <w:rPr>
      <w:sz w:val="20"/>
    </w:rPr>
  </w:style>
  <w:style w:type="paragraph" w:customStyle="1" w:styleId="CTA2ai">
    <w:name w:val="CTA 2(a)(i)"/>
    <w:basedOn w:val="OPCParaBase"/>
    <w:rsid w:val="00172BEB"/>
    <w:pPr>
      <w:tabs>
        <w:tab w:val="right" w:pos="1089"/>
      </w:tabs>
      <w:spacing w:before="40" w:line="240" w:lineRule="atLeast"/>
      <w:ind w:left="1327" w:hanging="1327"/>
    </w:pPr>
    <w:rPr>
      <w:sz w:val="20"/>
    </w:rPr>
  </w:style>
  <w:style w:type="paragraph" w:customStyle="1" w:styleId="CTA3a">
    <w:name w:val="CTA 3(a)"/>
    <w:basedOn w:val="OPCParaBase"/>
    <w:rsid w:val="00172BEB"/>
    <w:pPr>
      <w:tabs>
        <w:tab w:val="right" w:pos="556"/>
      </w:tabs>
      <w:spacing w:before="40" w:line="240" w:lineRule="atLeast"/>
      <w:ind w:left="805" w:hanging="805"/>
    </w:pPr>
    <w:rPr>
      <w:sz w:val="20"/>
    </w:rPr>
  </w:style>
  <w:style w:type="paragraph" w:customStyle="1" w:styleId="CTA3ai">
    <w:name w:val="CTA 3(a)(i)"/>
    <w:basedOn w:val="OPCParaBase"/>
    <w:rsid w:val="00172BEB"/>
    <w:pPr>
      <w:tabs>
        <w:tab w:val="right" w:pos="1140"/>
      </w:tabs>
      <w:spacing w:before="40" w:line="240" w:lineRule="atLeast"/>
      <w:ind w:left="1361" w:hanging="1361"/>
    </w:pPr>
    <w:rPr>
      <w:sz w:val="20"/>
    </w:rPr>
  </w:style>
  <w:style w:type="paragraph" w:customStyle="1" w:styleId="CTA4a">
    <w:name w:val="CTA 4(a)"/>
    <w:basedOn w:val="OPCParaBase"/>
    <w:rsid w:val="00172BEB"/>
    <w:pPr>
      <w:tabs>
        <w:tab w:val="right" w:pos="624"/>
      </w:tabs>
      <w:spacing w:before="40" w:line="240" w:lineRule="atLeast"/>
      <w:ind w:left="873" w:hanging="873"/>
    </w:pPr>
    <w:rPr>
      <w:sz w:val="20"/>
    </w:rPr>
  </w:style>
  <w:style w:type="paragraph" w:customStyle="1" w:styleId="CTA4ai">
    <w:name w:val="CTA 4(a)(i)"/>
    <w:basedOn w:val="OPCParaBase"/>
    <w:rsid w:val="00172BEB"/>
    <w:pPr>
      <w:tabs>
        <w:tab w:val="right" w:pos="1213"/>
      </w:tabs>
      <w:spacing w:before="40" w:line="240" w:lineRule="atLeast"/>
      <w:ind w:left="1452" w:hanging="1452"/>
    </w:pPr>
    <w:rPr>
      <w:sz w:val="20"/>
    </w:rPr>
  </w:style>
  <w:style w:type="paragraph" w:customStyle="1" w:styleId="CTACAPS">
    <w:name w:val="CTA CAPS"/>
    <w:basedOn w:val="OPCParaBase"/>
    <w:rsid w:val="00172BEB"/>
    <w:pPr>
      <w:spacing w:before="60" w:line="240" w:lineRule="atLeast"/>
    </w:pPr>
    <w:rPr>
      <w:sz w:val="20"/>
    </w:rPr>
  </w:style>
  <w:style w:type="paragraph" w:customStyle="1" w:styleId="CTAright">
    <w:name w:val="CTA right"/>
    <w:basedOn w:val="OPCParaBase"/>
    <w:rsid w:val="00172BEB"/>
    <w:pPr>
      <w:spacing w:before="60" w:line="240" w:lineRule="auto"/>
      <w:jc w:val="right"/>
    </w:pPr>
    <w:rPr>
      <w:sz w:val="20"/>
    </w:rPr>
  </w:style>
  <w:style w:type="paragraph" w:customStyle="1" w:styleId="Definition">
    <w:name w:val="Definition"/>
    <w:aliases w:val="dd"/>
    <w:basedOn w:val="OPCParaBase"/>
    <w:rsid w:val="00172BEB"/>
    <w:pPr>
      <w:spacing w:before="180" w:line="240" w:lineRule="auto"/>
      <w:ind w:left="1134"/>
    </w:pPr>
  </w:style>
  <w:style w:type="paragraph" w:customStyle="1" w:styleId="ETAsubitem">
    <w:name w:val="ETA(subitem)"/>
    <w:basedOn w:val="OPCParaBase"/>
    <w:rsid w:val="00172BEB"/>
    <w:pPr>
      <w:tabs>
        <w:tab w:val="right" w:pos="340"/>
      </w:tabs>
      <w:spacing w:before="60" w:line="240" w:lineRule="auto"/>
      <w:ind w:left="454" w:hanging="454"/>
    </w:pPr>
    <w:rPr>
      <w:sz w:val="20"/>
    </w:rPr>
  </w:style>
  <w:style w:type="paragraph" w:customStyle="1" w:styleId="ETApara">
    <w:name w:val="ETA(para)"/>
    <w:basedOn w:val="OPCParaBase"/>
    <w:rsid w:val="00172BEB"/>
    <w:pPr>
      <w:tabs>
        <w:tab w:val="right" w:pos="754"/>
      </w:tabs>
      <w:spacing w:before="60" w:line="240" w:lineRule="auto"/>
      <w:ind w:left="828" w:hanging="828"/>
    </w:pPr>
    <w:rPr>
      <w:sz w:val="20"/>
    </w:rPr>
  </w:style>
  <w:style w:type="paragraph" w:customStyle="1" w:styleId="ETAsubpara">
    <w:name w:val="ETA(subpara)"/>
    <w:basedOn w:val="OPCParaBase"/>
    <w:rsid w:val="00172BEB"/>
    <w:pPr>
      <w:tabs>
        <w:tab w:val="right" w:pos="1083"/>
      </w:tabs>
      <w:spacing w:before="60" w:line="240" w:lineRule="auto"/>
      <w:ind w:left="1191" w:hanging="1191"/>
    </w:pPr>
    <w:rPr>
      <w:sz w:val="20"/>
    </w:rPr>
  </w:style>
  <w:style w:type="paragraph" w:customStyle="1" w:styleId="ETAsub-subpara">
    <w:name w:val="ETA(sub-subpara)"/>
    <w:basedOn w:val="OPCParaBase"/>
    <w:rsid w:val="00172BEB"/>
    <w:pPr>
      <w:tabs>
        <w:tab w:val="right" w:pos="1412"/>
      </w:tabs>
      <w:spacing w:before="60" w:line="240" w:lineRule="auto"/>
      <w:ind w:left="1525" w:hanging="1525"/>
    </w:pPr>
    <w:rPr>
      <w:sz w:val="20"/>
    </w:rPr>
  </w:style>
  <w:style w:type="paragraph" w:customStyle="1" w:styleId="Formula">
    <w:name w:val="Formula"/>
    <w:basedOn w:val="OPCParaBase"/>
    <w:rsid w:val="00172BEB"/>
    <w:pPr>
      <w:spacing w:line="240" w:lineRule="auto"/>
      <w:ind w:left="1134"/>
    </w:pPr>
    <w:rPr>
      <w:sz w:val="20"/>
    </w:rPr>
  </w:style>
  <w:style w:type="character" w:customStyle="1" w:styleId="HeaderChar">
    <w:name w:val="Header Char"/>
    <w:link w:val="Header"/>
    <w:rsid w:val="00172BEB"/>
    <w:rPr>
      <w:sz w:val="16"/>
    </w:rPr>
  </w:style>
  <w:style w:type="paragraph" w:customStyle="1" w:styleId="House">
    <w:name w:val="House"/>
    <w:basedOn w:val="OPCParaBase"/>
    <w:rsid w:val="00172BEB"/>
    <w:pPr>
      <w:spacing w:line="240" w:lineRule="auto"/>
    </w:pPr>
    <w:rPr>
      <w:sz w:val="28"/>
    </w:rPr>
  </w:style>
  <w:style w:type="paragraph" w:customStyle="1" w:styleId="Item">
    <w:name w:val="Item"/>
    <w:aliases w:val="i"/>
    <w:basedOn w:val="OPCParaBase"/>
    <w:next w:val="ItemHead"/>
    <w:rsid w:val="00172BEB"/>
    <w:pPr>
      <w:keepLines/>
      <w:spacing w:before="80" w:line="240" w:lineRule="auto"/>
      <w:ind w:left="709"/>
    </w:pPr>
  </w:style>
  <w:style w:type="paragraph" w:customStyle="1" w:styleId="ItemHead">
    <w:name w:val="ItemHead"/>
    <w:aliases w:val="ih"/>
    <w:basedOn w:val="OPCParaBase"/>
    <w:next w:val="Item"/>
    <w:rsid w:val="00172BEB"/>
    <w:pPr>
      <w:keepLines/>
      <w:spacing w:before="220" w:line="240" w:lineRule="auto"/>
      <w:ind w:left="709" w:hanging="709"/>
    </w:pPr>
    <w:rPr>
      <w:rFonts w:ascii="Arial" w:hAnsi="Arial"/>
      <w:b/>
      <w:kern w:val="28"/>
      <w:sz w:val="24"/>
    </w:rPr>
  </w:style>
  <w:style w:type="paragraph" w:customStyle="1" w:styleId="LongT">
    <w:name w:val="LongT"/>
    <w:basedOn w:val="OPCParaBase"/>
    <w:rsid w:val="00172BEB"/>
    <w:pPr>
      <w:spacing w:line="240" w:lineRule="auto"/>
    </w:pPr>
    <w:rPr>
      <w:b/>
      <w:sz w:val="32"/>
    </w:rPr>
  </w:style>
  <w:style w:type="paragraph" w:customStyle="1" w:styleId="notedraft">
    <w:name w:val="note(draft)"/>
    <w:aliases w:val="nd"/>
    <w:basedOn w:val="OPCParaBase"/>
    <w:rsid w:val="00172BEB"/>
    <w:pPr>
      <w:spacing w:before="240" w:line="240" w:lineRule="auto"/>
      <w:ind w:left="284" w:hanging="284"/>
    </w:pPr>
    <w:rPr>
      <w:i/>
      <w:sz w:val="24"/>
    </w:rPr>
  </w:style>
  <w:style w:type="paragraph" w:customStyle="1" w:styleId="notemargin">
    <w:name w:val="note(margin)"/>
    <w:aliases w:val="nm"/>
    <w:basedOn w:val="OPCParaBase"/>
    <w:rsid w:val="00172BEB"/>
    <w:pPr>
      <w:tabs>
        <w:tab w:val="left" w:pos="709"/>
      </w:tabs>
      <w:spacing w:before="122" w:line="198" w:lineRule="exact"/>
      <w:ind w:left="709" w:hanging="709"/>
    </w:pPr>
    <w:rPr>
      <w:sz w:val="18"/>
    </w:rPr>
  </w:style>
  <w:style w:type="paragraph" w:customStyle="1" w:styleId="notepara">
    <w:name w:val="note(para)"/>
    <w:aliases w:val="na"/>
    <w:basedOn w:val="OPCParaBase"/>
    <w:rsid w:val="00172BEB"/>
    <w:pPr>
      <w:spacing w:before="40" w:line="198" w:lineRule="exact"/>
      <w:ind w:left="2354" w:hanging="369"/>
    </w:pPr>
    <w:rPr>
      <w:sz w:val="18"/>
    </w:rPr>
  </w:style>
  <w:style w:type="paragraph" w:customStyle="1" w:styleId="noteParlAmend">
    <w:name w:val="note(ParlAmend)"/>
    <w:aliases w:val="npp"/>
    <w:basedOn w:val="OPCParaBase"/>
    <w:next w:val="ParlAmend"/>
    <w:rsid w:val="00172BEB"/>
    <w:pPr>
      <w:spacing w:line="240" w:lineRule="auto"/>
      <w:jc w:val="right"/>
    </w:pPr>
    <w:rPr>
      <w:rFonts w:ascii="Arial" w:hAnsi="Arial"/>
      <w:b/>
      <w:i/>
    </w:rPr>
  </w:style>
  <w:style w:type="paragraph" w:customStyle="1" w:styleId="notetext">
    <w:name w:val="note(text)"/>
    <w:aliases w:val="n"/>
    <w:basedOn w:val="OPCParaBase"/>
    <w:rsid w:val="00172BEB"/>
    <w:pPr>
      <w:spacing w:before="122" w:line="198" w:lineRule="exact"/>
      <w:ind w:left="1985" w:hanging="851"/>
    </w:pPr>
    <w:rPr>
      <w:sz w:val="18"/>
    </w:rPr>
  </w:style>
  <w:style w:type="paragraph" w:customStyle="1" w:styleId="Page1">
    <w:name w:val="Page1"/>
    <w:basedOn w:val="OPCParaBase"/>
    <w:rsid w:val="00172BEB"/>
    <w:pPr>
      <w:spacing w:before="5600" w:line="240" w:lineRule="auto"/>
    </w:pPr>
    <w:rPr>
      <w:b/>
      <w:sz w:val="32"/>
    </w:rPr>
  </w:style>
  <w:style w:type="paragraph" w:customStyle="1" w:styleId="PageBreak">
    <w:name w:val="PageBreak"/>
    <w:aliases w:val="pb"/>
    <w:basedOn w:val="OPCParaBase"/>
    <w:rsid w:val="00172BEB"/>
    <w:pPr>
      <w:spacing w:line="240" w:lineRule="auto"/>
    </w:pPr>
    <w:rPr>
      <w:sz w:val="10"/>
    </w:rPr>
  </w:style>
  <w:style w:type="paragraph" w:customStyle="1" w:styleId="paragraphsub">
    <w:name w:val="paragraph(sub)"/>
    <w:aliases w:val="aa"/>
    <w:basedOn w:val="OPCParaBase"/>
    <w:rsid w:val="00172BEB"/>
    <w:pPr>
      <w:tabs>
        <w:tab w:val="right" w:pos="1985"/>
      </w:tabs>
      <w:spacing w:before="40" w:line="240" w:lineRule="auto"/>
      <w:ind w:left="2098" w:hanging="2098"/>
    </w:pPr>
  </w:style>
  <w:style w:type="paragraph" w:customStyle="1" w:styleId="paragraphsub-sub">
    <w:name w:val="paragraph(sub-sub)"/>
    <w:aliases w:val="aaa"/>
    <w:basedOn w:val="OPCParaBase"/>
    <w:rsid w:val="00172BEB"/>
    <w:pPr>
      <w:tabs>
        <w:tab w:val="right" w:pos="2722"/>
      </w:tabs>
      <w:spacing w:before="40" w:line="240" w:lineRule="auto"/>
      <w:ind w:left="2835" w:hanging="2835"/>
    </w:pPr>
  </w:style>
  <w:style w:type="paragraph" w:customStyle="1" w:styleId="paragraph">
    <w:name w:val="paragraph"/>
    <w:aliases w:val="a"/>
    <w:basedOn w:val="OPCParaBase"/>
    <w:rsid w:val="00172BEB"/>
    <w:pPr>
      <w:tabs>
        <w:tab w:val="right" w:pos="1531"/>
      </w:tabs>
      <w:spacing w:before="40" w:line="240" w:lineRule="auto"/>
      <w:ind w:left="1644" w:hanging="1644"/>
    </w:pPr>
  </w:style>
  <w:style w:type="paragraph" w:customStyle="1" w:styleId="ParlAmend">
    <w:name w:val="ParlAmend"/>
    <w:aliases w:val="pp"/>
    <w:basedOn w:val="OPCParaBase"/>
    <w:rsid w:val="00172BEB"/>
    <w:pPr>
      <w:spacing w:before="240" w:line="240" w:lineRule="atLeast"/>
      <w:ind w:hanging="567"/>
    </w:pPr>
    <w:rPr>
      <w:sz w:val="24"/>
    </w:rPr>
  </w:style>
  <w:style w:type="paragraph" w:customStyle="1" w:styleId="Penalty">
    <w:name w:val="Penalty"/>
    <w:basedOn w:val="OPCParaBase"/>
    <w:rsid w:val="00172BEB"/>
    <w:pPr>
      <w:tabs>
        <w:tab w:val="left" w:pos="2977"/>
      </w:tabs>
      <w:spacing w:before="180" w:line="240" w:lineRule="auto"/>
      <w:ind w:left="1985" w:hanging="851"/>
    </w:pPr>
  </w:style>
  <w:style w:type="paragraph" w:customStyle="1" w:styleId="Portfolio">
    <w:name w:val="Portfolio"/>
    <w:basedOn w:val="OPCParaBase"/>
    <w:rsid w:val="00172BEB"/>
    <w:pPr>
      <w:spacing w:line="240" w:lineRule="auto"/>
    </w:pPr>
    <w:rPr>
      <w:i/>
      <w:sz w:val="20"/>
    </w:rPr>
  </w:style>
  <w:style w:type="paragraph" w:customStyle="1" w:styleId="Preamble">
    <w:name w:val="Preamble"/>
    <w:basedOn w:val="OPCParaBase"/>
    <w:next w:val="Normal"/>
    <w:rsid w:val="00172BEB"/>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172BEB"/>
    <w:pPr>
      <w:spacing w:line="240" w:lineRule="auto"/>
    </w:pPr>
    <w:rPr>
      <w:i/>
      <w:sz w:val="20"/>
    </w:rPr>
  </w:style>
  <w:style w:type="paragraph" w:customStyle="1" w:styleId="Session">
    <w:name w:val="Session"/>
    <w:basedOn w:val="OPCParaBase"/>
    <w:rsid w:val="00172BEB"/>
    <w:pPr>
      <w:spacing w:line="240" w:lineRule="auto"/>
    </w:pPr>
    <w:rPr>
      <w:sz w:val="28"/>
    </w:rPr>
  </w:style>
  <w:style w:type="paragraph" w:customStyle="1" w:styleId="Sponsor">
    <w:name w:val="Sponsor"/>
    <w:basedOn w:val="OPCParaBase"/>
    <w:rsid w:val="00172BEB"/>
    <w:pPr>
      <w:spacing w:line="240" w:lineRule="auto"/>
    </w:pPr>
    <w:rPr>
      <w:i/>
    </w:rPr>
  </w:style>
  <w:style w:type="paragraph" w:customStyle="1" w:styleId="Subitem">
    <w:name w:val="Subitem"/>
    <w:aliases w:val="iss"/>
    <w:basedOn w:val="OPCParaBase"/>
    <w:rsid w:val="00172BEB"/>
    <w:pPr>
      <w:spacing w:before="180" w:line="240" w:lineRule="auto"/>
      <w:ind w:left="709" w:hanging="709"/>
    </w:pPr>
  </w:style>
  <w:style w:type="paragraph" w:customStyle="1" w:styleId="SubitemHead">
    <w:name w:val="SubitemHead"/>
    <w:aliases w:val="issh"/>
    <w:basedOn w:val="OPCParaBase"/>
    <w:rsid w:val="00172BEB"/>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172BEB"/>
    <w:pPr>
      <w:spacing w:before="40" w:line="240" w:lineRule="auto"/>
      <w:ind w:left="1134"/>
    </w:pPr>
  </w:style>
  <w:style w:type="paragraph" w:customStyle="1" w:styleId="SubsectionHead">
    <w:name w:val="SubsectionHead"/>
    <w:aliases w:val="ssh"/>
    <w:basedOn w:val="OPCParaBase"/>
    <w:next w:val="subsection"/>
    <w:rsid w:val="00172BEB"/>
    <w:pPr>
      <w:keepNext/>
      <w:keepLines/>
      <w:spacing w:before="240" w:line="240" w:lineRule="auto"/>
      <w:ind w:left="1134"/>
    </w:pPr>
    <w:rPr>
      <w:i/>
    </w:rPr>
  </w:style>
  <w:style w:type="paragraph" w:customStyle="1" w:styleId="Tablea">
    <w:name w:val="Table(a)"/>
    <w:aliases w:val="ta"/>
    <w:basedOn w:val="OPCParaBase"/>
    <w:rsid w:val="00172BEB"/>
    <w:pPr>
      <w:spacing w:before="60" w:line="240" w:lineRule="auto"/>
      <w:ind w:left="284" w:hanging="284"/>
    </w:pPr>
    <w:rPr>
      <w:sz w:val="20"/>
    </w:rPr>
  </w:style>
  <w:style w:type="paragraph" w:customStyle="1" w:styleId="TableAA">
    <w:name w:val="Table(AA)"/>
    <w:aliases w:val="taaa"/>
    <w:basedOn w:val="OPCParaBase"/>
    <w:rsid w:val="00172BEB"/>
    <w:pPr>
      <w:tabs>
        <w:tab w:val="left" w:pos="-6543"/>
        <w:tab w:val="left" w:pos="-6260"/>
      </w:tabs>
      <w:spacing w:line="240" w:lineRule="exact"/>
      <w:ind w:left="1055" w:hanging="284"/>
    </w:pPr>
    <w:rPr>
      <w:sz w:val="20"/>
    </w:rPr>
  </w:style>
  <w:style w:type="paragraph" w:customStyle="1" w:styleId="Tablei">
    <w:name w:val="Table(i)"/>
    <w:aliases w:val="taa"/>
    <w:basedOn w:val="OPCParaBase"/>
    <w:rsid w:val="00172BEB"/>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172BEB"/>
    <w:pPr>
      <w:spacing w:before="60" w:line="240" w:lineRule="atLeast"/>
    </w:pPr>
    <w:rPr>
      <w:sz w:val="20"/>
    </w:rPr>
  </w:style>
  <w:style w:type="paragraph" w:customStyle="1" w:styleId="TLPBoxTextnote">
    <w:name w:val="TLPBoxText(note"/>
    <w:aliases w:val="right)"/>
    <w:basedOn w:val="OPCParaBase"/>
    <w:rsid w:val="00172BE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172BEB"/>
    <w:pPr>
      <w:numPr>
        <w:numId w:val="1"/>
      </w:numPr>
      <w:tabs>
        <w:tab w:val="clear" w:pos="2517"/>
      </w:tabs>
      <w:spacing w:before="60" w:line="198" w:lineRule="exact"/>
      <w:ind w:left="2625"/>
    </w:pPr>
    <w:rPr>
      <w:sz w:val="18"/>
    </w:rPr>
  </w:style>
  <w:style w:type="paragraph" w:customStyle="1" w:styleId="TLPnoteright">
    <w:name w:val="TLPnote(right)"/>
    <w:aliases w:val="nr"/>
    <w:basedOn w:val="OPCParaBase"/>
    <w:rsid w:val="00172BEB"/>
    <w:pPr>
      <w:spacing w:before="122" w:line="198" w:lineRule="exact"/>
      <w:ind w:left="1985" w:hanging="851"/>
      <w:jc w:val="right"/>
    </w:pPr>
    <w:rPr>
      <w:sz w:val="18"/>
    </w:rPr>
  </w:style>
  <w:style w:type="paragraph" w:customStyle="1" w:styleId="TLPTableBullet">
    <w:name w:val="TLPTableBullet"/>
    <w:aliases w:val="ttb"/>
    <w:basedOn w:val="OPCParaBase"/>
    <w:rsid w:val="00172BEB"/>
    <w:pPr>
      <w:spacing w:line="240" w:lineRule="exact"/>
      <w:ind w:left="284" w:hanging="284"/>
    </w:pPr>
    <w:rPr>
      <w:sz w:val="20"/>
    </w:rPr>
  </w:style>
  <w:style w:type="paragraph" w:styleId="TOC1">
    <w:name w:val="toc 1"/>
    <w:basedOn w:val="OPCParaBase"/>
    <w:next w:val="Normal"/>
    <w:uiPriority w:val="39"/>
    <w:unhideWhenUsed/>
    <w:rsid w:val="00172BEB"/>
    <w:pPr>
      <w:keepNext/>
      <w:keepLines/>
      <w:tabs>
        <w:tab w:val="right" w:pos="8998"/>
      </w:tabs>
      <w:spacing w:before="120" w:line="240" w:lineRule="auto"/>
      <w:ind w:left="1474" w:right="868" w:hanging="1474"/>
    </w:pPr>
    <w:rPr>
      <w:b/>
      <w:kern w:val="28"/>
      <w:sz w:val="28"/>
    </w:rPr>
  </w:style>
  <w:style w:type="paragraph" w:styleId="TOC2">
    <w:name w:val="toc 2"/>
    <w:basedOn w:val="OPCParaBase"/>
    <w:next w:val="Normal"/>
    <w:uiPriority w:val="39"/>
    <w:semiHidden/>
    <w:unhideWhenUsed/>
    <w:rsid w:val="00172BEB"/>
    <w:pPr>
      <w:keepNext/>
      <w:keepLines/>
      <w:tabs>
        <w:tab w:val="right" w:pos="8998"/>
      </w:tabs>
      <w:spacing w:before="120" w:line="240" w:lineRule="auto"/>
      <w:ind w:left="1474" w:right="868" w:hanging="1474"/>
    </w:pPr>
    <w:rPr>
      <w:b/>
      <w:kern w:val="28"/>
      <w:sz w:val="24"/>
    </w:rPr>
  </w:style>
  <w:style w:type="paragraph" w:styleId="TOC3">
    <w:name w:val="toc 3"/>
    <w:basedOn w:val="OPCParaBase"/>
    <w:next w:val="Normal"/>
    <w:uiPriority w:val="39"/>
    <w:semiHidden/>
    <w:unhideWhenUsed/>
    <w:rsid w:val="00172BEB"/>
    <w:pPr>
      <w:keepLines/>
      <w:tabs>
        <w:tab w:val="right" w:pos="8998"/>
      </w:tabs>
      <w:spacing w:before="80" w:line="240" w:lineRule="auto"/>
      <w:ind w:left="1604" w:right="868" w:hanging="1179"/>
    </w:pPr>
    <w:rPr>
      <w:b/>
      <w:kern w:val="28"/>
    </w:rPr>
  </w:style>
  <w:style w:type="paragraph" w:styleId="TOC4">
    <w:name w:val="toc 4"/>
    <w:basedOn w:val="OPCParaBase"/>
    <w:next w:val="Normal"/>
    <w:uiPriority w:val="39"/>
    <w:semiHidden/>
    <w:unhideWhenUsed/>
    <w:rsid w:val="00172BEB"/>
    <w:pPr>
      <w:keepLines/>
      <w:tabs>
        <w:tab w:val="right" w:pos="8998"/>
      </w:tabs>
      <w:spacing w:before="80" w:line="240" w:lineRule="auto"/>
      <w:ind w:left="2183" w:right="868" w:hanging="1332"/>
    </w:pPr>
    <w:rPr>
      <w:b/>
      <w:kern w:val="28"/>
      <w:sz w:val="20"/>
    </w:rPr>
  </w:style>
  <w:style w:type="paragraph" w:styleId="TOC5">
    <w:name w:val="toc 5"/>
    <w:basedOn w:val="OPCParaBase"/>
    <w:next w:val="Normal"/>
    <w:uiPriority w:val="39"/>
    <w:semiHidden/>
    <w:unhideWhenUsed/>
    <w:rsid w:val="00172BEB"/>
    <w:pPr>
      <w:keepLines/>
      <w:tabs>
        <w:tab w:val="right" w:pos="8998"/>
      </w:tabs>
      <w:spacing w:before="40" w:line="240" w:lineRule="auto"/>
      <w:ind w:left="2280" w:right="868" w:hanging="862"/>
    </w:pPr>
    <w:rPr>
      <w:kern w:val="28"/>
      <w:sz w:val="18"/>
    </w:rPr>
  </w:style>
  <w:style w:type="paragraph" w:styleId="TOC6">
    <w:name w:val="toc 6"/>
    <w:basedOn w:val="OPCParaBase"/>
    <w:next w:val="Normal"/>
    <w:uiPriority w:val="39"/>
    <w:semiHidden/>
    <w:unhideWhenUsed/>
    <w:rsid w:val="00172BEB"/>
    <w:pPr>
      <w:keepLines/>
      <w:tabs>
        <w:tab w:val="right" w:pos="8998"/>
      </w:tabs>
      <w:spacing w:before="120" w:line="240" w:lineRule="auto"/>
      <w:ind w:left="1344" w:right="868" w:hanging="1344"/>
    </w:pPr>
    <w:rPr>
      <w:b/>
      <w:kern w:val="28"/>
      <w:sz w:val="24"/>
    </w:rPr>
  </w:style>
  <w:style w:type="paragraph" w:styleId="TOC7">
    <w:name w:val="toc 7"/>
    <w:basedOn w:val="OPCParaBase"/>
    <w:next w:val="Normal"/>
    <w:uiPriority w:val="39"/>
    <w:semiHidden/>
    <w:unhideWhenUsed/>
    <w:rsid w:val="00172BEB"/>
    <w:pPr>
      <w:keepLines/>
      <w:tabs>
        <w:tab w:val="right" w:pos="8998"/>
      </w:tabs>
      <w:spacing w:before="120" w:line="240" w:lineRule="auto"/>
      <w:ind w:left="1253" w:right="868" w:hanging="828"/>
    </w:pPr>
    <w:rPr>
      <w:kern w:val="28"/>
      <w:sz w:val="24"/>
    </w:rPr>
  </w:style>
  <w:style w:type="paragraph" w:styleId="TOC8">
    <w:name w:val="toc 8"/>
    <w:basedOn w:val="OPCParaBase"/>
    <w:next w:val="Normal"/>
    <w:uiPriority w:val="39"/>
    <w:semiHidden/>
    <w:unhideWhenUsed/>
    <w:rsid w:val="00172BEB"/>
    <w:pPr>
      <w:keepLines/>
      <w:tabs>
        <w:tab w:val="right" w:pos="8998"/>
      </w:tabs>
      <w:spacing w:before="80" w:line="240" w:lineRule="auto"/>
      <w:ind w:left="1900" w:right="868" w:hanging="1049"/>
    </w:pPr>
    <w:rPr>
      <w:kern w:val="28"/>
      <w:sz w:val="20"/>
    </w:rPr>
  </w:style>
  <w:style w:type="paragraph" w:styleId="TOC9">
    <w:name w:val="toc 9"/>
    <w:basedOn w:val="OPCParaBase"/>
    <w:next w:val="Normal"/>
    <w:uiPriority w:val="39"/>
    <w:unhideWhenUsed/>
    <w:rsid w:val="00172BEB"/>
    <w:pPr>
      <w:keepLines/>
      <w:tabs>
        <w:tab w:val="right" w:pos="8998"/>
      </w:tabs>
      <w:spacing w:before="80" w:line="240" w:lineRule="auto"/>
      <w:ind w:left="851" w:right="868"/>
    </w:pPr>
    <w:rPr>
      <w:i/>
      <w:kern w:val="28"/>
      <w:sz w:val="20"/>
    </w:rPr>
  </w:style>
  <w:style w:type="paragraph" w:customStyle="1" w:styleId="TofSectsGroupHeading">
    <w:name w:val="TofSects(GroupHeading)"/>
    <w:basedOn w:val="OPCParaBase"/>
    <w:next w:val="TofSectsSection"/>
    <w:rsid w:val="00172BEB"/>
    <w:pPr>
      <w:keepLines/>
      <w:spacing w:before="240" w:after="120" w:line="240" w:lineRule="auto"/>
      <w:ind w:left="794"/>
    </w:pPr>
    <w:rPr>
      <w:b/>
      <w:kern w:val="28"/>
      <w:sz w:val="20"/>
    </w:rPr>
  </w:style>
  <w:style w:type="paragraph" w:customStyle="1" w:styleId="TofSectsHeading">
    <w:name w:val="TofSects(Heading)"/>
    <w:basedOn w:val="OPCParaBase"/>
    <w:rsid w:val="00172BEB"/>
    <w:pPr>
      <w:spacing w:before="240" w:after="120" w:line="240" w:lineRule="auto"/>
    </w:pPr>
    <w:rPr>
      <w:b/>
      <w:sz w:val="24"/>
    </w:rPr>
  </w:style>
  <w:style w:type="paragraph" w:customStyle="1" w:styleId="TofSectsSection">
    <w:name w:val="TofSects(Section)"/>
    <w:basedOn w:val="OPCParaBase"/>
    <w:rsid w:val="00172BEB"/>
    <w:pPr>
      <w:keepLines/>
      <w:spacing w:before="40" w:line="240" w:lineRule="auto"/>
      <w:ind w:left="1588" w:hanging="794"/>
    </w:pPr>
    <w:rPr>
      <w:kern w:val="28"/>
      <w:sz w:val="18"/>
    </w:rPr>
  </w:style>
  <w:style w:type="paragraph" w:customStyle="1" w:styleId="TofSectsSubdiv">
    <w:name w:val="TofSects(Subdiv)"/>
    <w:basedOn w:val="OPCParaBase"/>
    <w:rsid w:val="00172BEB"/>
    <w:pPr>
      <w:keepLines/>
      <w:spacing w:before="80" w:line="240" w:lineRule="auto"/>
      <w:ind w:left="1588" w:hanging="794"/>
    </w:pPr>
    <w:rPr>
      <w:kern w:val="28"/>
    </w:rPr>
  </w:style>
  <w:style w:type="paragraph" w:customStyle="1" w:styleId="WRStyle">
    <w:name w:val="WR Style"/>
    <w:aliases w:val="WR"/>
    <w:basedOn w:val="OPCParaBase"/>
    <w:rsid w:val="00172BEB"/>
    <w:pPr>
      <w:spacing w:before="240" w:line="240" w:lineRule="auto"/>
      <w:ind w:left="284" w:hanging="284"/>
    </w:pPr>
    <w:rPr>
      <w:b/>
      <w:i/>
      <w:kern w:val="28"/>
      <w:sz w:val="24"/>
    </w:rPr>
  </w:style>
  <w:style w:type="paragraph" w:customStyle="1" w:styleId="Body">
    <w:name w:val="Body"/>
    <w:aliases w:val="b"/>
    <w:basedOn w:val="OPCParaBase"/>
    <w:rsid w:val="00172BEB"/>
    <w:pPr>
      <w:spacing w:before="240" w:line="240" w:lineRule="auto"/>
    </w:pPr>
    <w:rPr>
      <w:sz w:val="24"/>
    </w:rPr>
  </w:style>
  <w:style w:type="paragraph" w:customStyle="1" w:styleId="BodyNum">
    <w:name w:val="BodyNum"/>
    <w:aliases w:val="b1"/>
    <w:basedOn w:val="OPCParaBase"/>
    <w:rsid w:val="00172BEB"/>
    <w:pPr>
      <w:numPr>
        <w:numId w:val="2"/>
      </w:numPr>
      <w:spacing w:before="240" w:line="240" w:lineRule="auto"/>
    </w:pPr>
    <w:rPr>
      <w:sz w:val="24"/>
    </w:rPr>
  </w:style>
  <w:style w:type="paragraph" w:customStyle="1" w:styleId="BodyPara">
    <w:name w:val="BodyPara"/>
    <w:aliases w:val="ba"/>
    <w:basedOn w:val="OPCParaBase"/>
    <w:rsid w:val="00172BEB"/>
    <w:pPr>
      <w:numPr>
        <w:ilvl w:val="1"/>
        <w:numId w:val="2"/>
      </w:numPr>
      <w:spacing w:before="240" w:line="240" w:lineRule="auto"/>
    </w:pPr>
    <w:rPr>
      <w:sz w:val="24"/>
    </w:rPr>
  </w:style>
  <w:style w:type="paragraph" w:customStyle="1" w:styleId="BodyParaBullet">
    <w:name w:val="BodyParaBullet"/>
    <w:aliases w:val="bpb"/>
    <w:basedOn w:val="OPCParaBase"/>
    <w:rsid w:val="00172BEB"/>
    <w:pPr>
      <w:numPr>
        <w:ilvl w:val="2"/>
        <w:numId w:val="2"/>
      </w:numPr>
      <w:tabs>
        <w:tab w:val="left" w:pos="2160"/>
      </w:tabs>
      <w:spacing w:before="240" w:line="240" w:lineRule="auto"/>
    </w:pPr>
    <w:rPr>
      <w:sz w:val="24"/>
    </w:rPr>
  </w:style>
  <w:style w:type="paragraph" w:customStyle="1" w:styleId="BodySubPara">
    <w:name w:val="BodySubPara"/>
    <w:aliases w:val="bi"/>
    <w:basedOn w:val="OPCParaBase"/>
    <w:rsid w:val="00172BEB"/>
    <w:pPr>
      <w:numPr>
        <w:ilvl w:val="3"/>
        <w:numId w:val="2"/>
      </w:numPr>
      <w:spacing w:before="240" w:line="240" w:lineRule="auto"/>
    </w:pPr>
    <w:rPr>
      <w:sz w:val="24"/>
    </w:rPr>
  </w:style>
  <w:style w:type="numbering" w:customStyle="1" w:styleId="OPCBodyList">
    <w:name w:val="OPCBodyList"/>
    <w:uiPriority w:val="99"/>
    <w:rsid w:val="00172BEB"/>
    <w:pPr>
      <w:numPr>
        <w:numId w:val="2"/>
      </w:numPr>
    </w:pPr>
  </w:style>
  <w:style w:type="paragraph" w:customStyle="1" w:styleId="Head1">
    <w:name w:val="Head 1"/>
    <w:aliases w:val="1"/>
    <w:basedOn w:val="OPCParaBase"/>
    <w:next w:val="BodyNum"/>
    <w:rsid w:val="00172BEB"/>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172BEB"/>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172BEB"/>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172BE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172BE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172BEB"/>
    <w:pPr>
      <w:spacing w:before="122" w:line="198" w:lineRule="exact"/>
      <w:ind w:left="2353" w:hanging="709"/>
    </w:pPr>
    <w:rPr>
      <w:sz w:val="18"/>
    </w:rPr>
  </w:style>
  <w:style w:type="character" w:customStyle="1" w:styleId="BalloonTextChar">
    <w:name w:val="Balloon Text Char"/>
    <w:link w:val="BalloonText"/>
    <w:uiPriority w:val="99"/>
    <w:semiHidden/>
    <w:rsid w:val="00172BEB"/>
    <w:rPr>
      <w:rFonts w:ascii="Tahoma" w:eastAsia="Calibri" w:hAnsi="Tahoma" w:cs="Tahoma"/>
      <w:sz w:val="16"/>
      <w:szCs w:val="16"/>
      <w:lang w:eastAsia="en-US"/>
    </w:rPr>
  </w:style>
  <w:style w:type="paragraph" w:customStyle="1" w:styleId="MessShortTitle">
    <w:name w:val="MessShortTitle"/>
    <w:basedOn w:val="Head2"/>
    <w:rsid w:val="00172BEB"/>
  </w:style>
  <w:style w:type="paragraph" w:customStyle="1" w:styleId="TableHeading">
    <w:name w:val="TableHeading"/>
    <w:aliases w:val="th"/>
    <w:basedOn w:val="OPCParaBase"/>
    <w:next w:val="Tabletext"/>
    <w:rsid w:val="00172BEB"/>
    <w:pPr>
      <w:spacing w:before="60" w:line="240" w:lineRule="atLeast"/>
    </w:pPr>
    <w:rPr>
      <w:b/>
      <w:sz w:val="20"/>
    </w:rPr>
  </w:style>
  <w:style w:type="paragraph" w:styleId="BodyTextIndent">
    <w:name w:val="Body Text Indent"/>
    <w:basedOn w:val="Normal"/>
    <w:link w:val="BodyTextIndentChar"/>
    <w:uiPriority w:val="99"/>
    <w:semiHidden/>
    <w:unhideWhenUsed/>
    <w:rsid w:val="00D9151A"/>
    <w:pPr>
      <w:spacing w:before="100" w:beforeAutospacing="1" w:after="100" w:afterAutospacing="1" w:line="240" w:lineRule="auto"/>
    </w:pPr>
    <w:rPr>
      <w:rFonts w:eastAsia="Times New Roman"/>
      <w:sz w:val="24"/>
      <w:szCs w:val="24"/>
    </w:rPr>
  </w:style>
  <w:style w:type="character" w:customStyle="1" w:styleId="BodyTextIndentChar">
    <w:name w:val="Body Text Indent Char"/>
    <w:link w:val="BodyTextIndent"/>
    <w:uiPriority w:val="99"/>
    <w:semiHidden/>
    <w:rsid w:val="00D9151A"/>
    <w:rPr>
      <w:sz w:val="24"/>
      <w:szCs w:val="24"/>
    </w:rPr>
  </w:style>
  <w:style w:type="paragraph" w:customStyle="1" w:styleId="r1">
    <w:name w:val="r1"/>
    <w:basedOn w:val="Normal"/>
    <w:rsid w:val="008A6876"/>
    <w:pPr>
      <w:spacing w:before="100" w:beforeAutospacing="1" w:after="100" w:afterAutospacing="1" w:line="240" w:lineRule="auto"/>
    </w:pPr>
    <w:rPr>
      <w:rFonts w:eastAsia="Times New Roman"/>
      <w:sz w:val="24"/>
      <w:szCs w:val="24"/>
      <w:lang w:eastAsia="en-AU"/>
    </w:rPr>
  </w:style>
  <w:style w:type="paragraph" w:styleId="Revision">
    <w:name w:val="Revision"/>
    <w:hidden/>
    <w:uiPriority w:val="99"/>
    <w:semiHidden/>
    <w:rsid w:val="0011395E"/>
    <w:rPr>
      <w:rFonts w:eastAsia="Calibri"/>
      <w:sz w:val="22"/>
      <w:lang w:eastAsia="en-US"/>
    </w:rPr>
  </w:style>
  <w:style w:type="paragraph" w:customStyle="1" w:styleId="opcbody">
    <w:name w:val="opcbody"/>
    <w:basedOn w:val="Normal"/>
    <w:rsid w:val="003267CB"/>
    <w:pPr>
      <w:spacing w:before="100" w:beforeAutospacing="1" w:after="100" w:afterAutospacing="1" w:line="240" w:lineRule="auto"/>
    </w:pPr>
    <w:rPr>
      <w:rFonts w:eastAsia="Times New Roman"/>
      <w:sz w:val="24"/>
      <w:szCs w:val="24"/>
      <w:lang w:eastAsia="en-AU"/>
    </w:rPr>
  </w:style>
  <w:style w:type="paragraph" w:styleId="PlainText">
    <w:name w:val="Plain Text"/>
    <w:basedOn w:val="Normal"/>
    <w:link w:val="PlainTextChar"/>
    <w:uiPriority w:val="99"/>
    <w:semiHidden/>
    <w:unhideWhenUsed/>
    <w:rsid w:val="00972CC5"/>
    <w:rPr>
      <w:rFonts w:ascii="Courier New" w:hAnsi="Courier New" w:cs="Courier New"/>
      <w:sz w:val="20"/>
    </w:rPr>
  </w:style>
  <w:style w:type="character" w:customStyle="1" w:styleId="PlainTextChar">
    <w:name w:val="Plain Text Char"/>
    <w:basedOn w:val="DefaultParagraphFont"/>
    <w:link w:val="PlainText"/>
    <w:uiPriority w:val="99"/>
    <w:semiHidden/>
    <w:rsid w:val="00972CC5"/>
    <w:rPr>
      <w:rFonts w:ascii="Courier New" w:eastAsia="Calibri" w:hAnsi="Courier New" w:cs="Courier New"/>
      <w:lang w:eastAsia="en-US"/>
    </w:rPr>
  </w:style>
  <w:style w:type="paragraph" w:customStyle="1" w:styleId="paragraphsub0">
    <w:name w:val="paragraphsub"/>
    <w:basedOn w:val="Normal"/>
    <w:rsid w:val="00805278"/>
    <w:pPr>
      <w:spacing w:before="100" w:beforeAutospacing="1" w:after="100" w:afterAutospacing="1" w:line="240" w:lineRule="auto"/>
    </w:pPr>
    <w:rPr>
      <w:rFonts w:eastAsia="Times New Roman"/>
      <w:sz w:val="24"/>
      <w:szCs w:val="24"/>
      <w:lang w:eastAsia="en-AU"/>
    </w:rPr>
  </w:style>
  <w:style w:type="character" w:customStyle="1" w:styleId="Heading3Char">
    <w:name w:val="Heading 3 Char"/>
    <w:link w:val="Heading3"/>
    <w:rsid w:val="00D64DCA"/>
    <w:rPr>
      <w:rFonts w:ascii="Times" w:eastAsia="Calibri" w:hAnsi="Times"/>
      <w:b/>
      <w:sz w:val="24"/>
      <w:lang w:eastAsia="en-US"/>
    </w:rPr>
  </w:style>
  <w:style w:type="character" w:customStyle="1" w:styleId="Heading2Char">
    <w:name w:val="Heading 2 Char"/>
    <w:basedOn w:val="DefaultParagraphFont"/>
    <w:link w:val="Heading2"/>
    <w:rsid w:val="0054130A"/>
    <w:rPr>
      <w:rFonts w:ascii="Times" w:eastAsia="Calibri" w:hAnsi="Times"/>
      <w:b/>
      <w:sz w:val="24"/>
      <w:lang w:eastAsia="en-US"/>
    </w:rPr>
  </w:style>
  <w:style w:type="paragraph" w:styleId="ListParagraph">
    <w:name w:val="List Paragraph"/>
    <w:basedOn w:val="Normal"/>
    <w:uiPriority w:val="34"/>
    <w:qFormat/>
    <w:rsid w:val="002C1C61"/>
    <w:pPr>
      <w:ind w:left="720"/>
      <w:contextualSpacing/>
    </w:pPr>
  </w:style>
  <w:style w:type="paragraph" w:styleId="FootnoteText">
    <w:name w:val="footnote text"/>
    <w:basedOn w:val="Normal"/>
    <w:link w:val="FootnoteTextChar"/>
    <w:uiPriority w:val="99"/>
    <w:semiHidden/>
    <w:unhideWhenUsed/>
    <w:rsid w:val="00F17208"/>
    <w:pPr>
      <w:spacing w:line="240" w:lineRule="auto"/>
    </w:pPr>
    <w:rPr>
      <w:rFonts w:asciiTheme="minorHAnsi" w:eastAsiaTheme="minorEastAsia" w:hAnsiTheme="minorHAnsi" w:cstheme="minorBidi"/>
      <w:sz w:val="20"/>
    </w:rPr>
  </w:style>
  <w:style w:type="character" w:customStyle="1" w:styleId="FootnoteTextChar">
    <w:name w:val="Footnote Text Char"/>
    <w:basedOn w:val="DefaultParagraphFont"/>
    <w:link w:val="FootnoteText"/>
    <w:uiPriority w:val="99"/>
    <w:semiHidden/>
    <w:rsid w:val="00F17208"/>
    <w:rPr>
      <w:rFonts w:asciiTheme="minorHAnsi" w:eastAsiaTheme="minorEastAsia" w:hAnsiTheme="minorHAnsi" w:cstheme="minorBidi"/>
      <w:lang w:eastAsia="en-US"/>
    </w:rPr>
  </w:style>
  <w:style w:type="character" w:styleId="FootnoteReference">
    <w:name w:val="footnote reference"/>
    <w:uiPriority w:val="99"/>
    <w:semiHidden/>
    <w:unhideWhenUsed/>
    <w:rsid w:val="00F17208"/>
    <w:rPr>
      <w:vertAlign w:val="superscript"/>
    </w:rPr>
  </w:style>
  <w:style w:type="paragraph" w:customStyle="1" w:styleId="RPABullet1">
    <w:name w:val="RPA Bullet 1"/>
    <w:basedOn w:val="ListParagraph"/>
    <w:qFormat/>
    <w:rsid w:val="00F17208"/>
    <w:pPr>
      <w:spacing w:line="276" w:lineRule="auto"/>
      <w:ind w:left="0"/>
    </w:pPr>
    <w:rPr>
      <w:rFonts w:ascii="Arial" w:eastAsiaTheme="minorHAnsi" w:hAnsi="Arial" w:cs="Arial"/>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Sundry\sundr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urityClassification xmlns="2F7755C9-FD94-4DAE-B460-CC9C5FA8CA0F">Sensitive: Legal  </SecurityClassificatio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DMS Document" ma:contentTypeID="0x010100266966F133664895A6EE3632470D45F500687517135351424493EECD9AE63FB421" ma:contentTypeVersion="" ma:contentTypeDescription="PDMS Document Site Content Type" ma:contentTypeScope="" ma:versionID="e069b9be9e4f44144add0069739770a7">
  <xsd:schema xmlns:xsd="http://www.w3.org/2001/XMLSchema" xmlns:xs="http://www.w3.org/2001/XMLSchema" xmlns:p="http://schemas.microsoft.com/office/2006/metadata/properties" xmlns:ns2="2F7755C9-FD94-4DAE-B460-CC9C5FA8CA0F" targetNamespace="http://schemas.microsoft.com/office/2006/metadata/properties" ma:root="true" ma:fieldsID="2e56388ba37f2a10aba1f4e5c4a2bdb8" ns2:_="">
    <xsd:import namespace="2F7755C9-FD94-4DAE-B460-CC9C5FA8CA0F"/>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7755C9-FD94-4DAE-B460-CC9C5FA8CA0F"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85555-D017-4E48-B8C0-B3AD23320D2D}">
  <ds:schemaRefs>
    <ds:schemaRef ds:uri="http://schemas.microsoft.com/office/infopath/2007/PartnerControls"/>
    <ds:schemaRef ds:uri="http://schemas.microsoft.com/office/2006/documentManagement/types"/>
    <ds:schemaRef ds:uri="http://www.w3.org/XML/1998/namespace"/>
    <ds:schemaRef ds:uri="http://schemas.microsoft.com/office/2006/metadata/properties"/>
    <ds:schemaRef ds:uri="http://purl.org/dc/elements/1.1/"/>
    <ds:schemaRef ds:uri="http://schemas.openxmlformats.org/package/2006/metadata/core-properties"/>
    <ds:schemaRef ds:uri="2F7755C9-FD94-4DAE-B460-CC9C5FA8CA0F"/>
    <ds:schemaRef ds:uri="http://purl.org/dc/dcmitype/"/>
    <ds:schemaRef ds:uri="http://purl.org/dc/terms/"/>
  </ds:schemaRefs>
</ds:datastoreItem>
</file>

<file path=customXml/itemProps2.xml><?xml version="1.0" encoding="utf-8"?>
<ds:datastoreItem xmlns:ds="http://schemas.openxmlformats.org/officeDocument/2006/customXml" ds:itemID="{C78F7867-C389-4CB7-8CB7-2825432F8A87}">
  <ds:schemaRefs>
    <ds:schemaRef ds:uri="http://schemas.microsoft.com/sharepoint/v3/contenttype/forms"/>
  </ds:schemaRefs>
</ds:datastoreItem>
</file>

<file path=customXml/itemProps3.xml><?xml version="1.0" encoding="utf-8"?>
<ds:datastoreItem xmlns:ds="http://schemas.openxmlformats.org/officeDocument/2006/customXml" ds:itemID="{FFC821E4-6273-429E-BD86-8B0DCD130E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7755C9-FD94-4DAE-B460-CC9C5FA8CA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9989CE-441B-403F-9261-119801869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sundry</Template>
  <TotalTime>0</TotalTime>
  <Pages>4</Pages>
  <Words>1312</Words>
  <Characters>7594</Characters>
  <Application>Microsoft Office Word</Application>
  <DocSecurity>4</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AG-SB15/0790 - Legislative Instruments (Hearing Services Administration Instruments) Sunset-altering Declaration 2015 - Thematic Review Application</dc:subject>
  <dc:creator/>
  <cp:lastModifiedBy/>
  <cp:revision>1</cp:revision>
  <cp:lastPrinted>2013-11-06T22:34:00Z</cp:lastPrinted>
  <dcterms:created xsi:type="dcterms:W3CDTF">2018-03-05T22:50:00Z</dcterms:created>
  <dcterms:modified xsi:type="dcterms:W3CDTF">2018-03-05T22:50:00Z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ditionalSecurityInformation">
    <vt:lpwstr/>
  </property>
  <property fmtid="{D5CDD505-2E9C-101B-9397-08002B2CF9AE}" pid="3" name="ChangedTitle">
    <vt:lpwstr>ES - Bulk repeal Customs and Border Protection</vt:lpwstr>
  </property>
  <property fmtid="{D5CDD505-2E9C-101B-9397-08002B2CF9AE}" pid="4" name="Classification">
    <vt:lpwstr>UNCLASSIFIED</vt:lpwstr>
  </property>
  <property fmtid="{D5CDD505-2E9C-101B-9397-08002B2CF9AE}" pid="5" name="ClearanceActualDate">
    <vt:lpwstr>14 August 2015</vt:lpwstr>
  </property>
  <property fmtid="{D5CDD505-2E9C-101B-9397-08002B2CF9AE}" pid="6" name="ClearanceDueDate">
    <vt:lpwstr/>
  </property>
  <property fmtid="{D5CDD505-2E9C-101B-9397-08002B2CF9AE}" pid="7" name="DLM">
    <vt:lpwstr>Sensitive: Legal</vt:lpwstr>
  </property>
  <property fmtid="{D5CDD505-2E9C-101B-9397-08002B2CF9AE}" pid="8" name="DMSDOCTYPE">
    <vt:lpwstr/>
  </property>
  <property fmtid="{D5CDD505-2E9C-101B-9397-08002B2CF9AE}" pid="9" name="DoNotAsk">
    <vt:lpwstr>1</vt:lpwstr>
  </property>
  <property fmtid="{D5CDD505-2E9C-101B-9397-08002B2CF9AE}" pid="10" name="DraftType">
    <vt:lpwstr/>
  </property>
  <property fmtid="{D5CDD505-2E9C-101B-9397-08002B2CF9AE}" pid="11" name="Electorates">
    <vt:lpwstr> </vt:lpwstr>
  </property>
  <property fmtid="{D5CDD505-2E9C-101B-9397-08002B2CF9AE}" pid="12" name="GroupResponsible">
    <vt:lpwstr>BRCH-CJLSG-CLD-Commercial and Administrative Law Branch</vt:lpwstr>
  </property>
  <property fmtid="{D5CDD505-2E9C-101B-9397-08002B2CF9AE}" pid="13" name="HandlingProtocol">
    <vt:lpwstr>Standard</vt:lpwstr>
  </property>
  <property fmtid="{D5CDD505-2E9C-101B-9397-08002B2CF9AE}" pid="14" name="InformationMinister">
    <vt:lpwstr> </vt:lpwstr>
  </property>
  <property fmtid="{D5CDD505-2E9C-101B-9397-08002B2CF9AE}" pid="15" name="LastClearingOfficer">
    <vt:lpwstr>Andrew Walter</vt:lpwstr>
  </property>
  <property fmtid="{D5CDD505-2E9C-101B-9397-08002B2CF9AE}" pid="16" name="Ministers">
    <vt:lpwstr>AG - George Brandis</vt:lpwstr>
  </property>
  <property fmtid="{D5CDD505-2E9C-101B-9397-08002B2CF9AE}" pid="17" name="NeverSavedToNT">
    <vt:lpwstr/>
  </property>
  <property fmtid="{D5CDD505-2E9C-101B-9397-08002B2CF9AE}" pid="18" name="PdrId">
    <vt:lpwstr>MS15-000427</vt:lpwstr>
  </property>
  <property fmtid="{D5CDD505-2E9C-101B-9397-08002B2CF9AE}" pid="19" name="Principal">
    <vt:lpwstr>Submission</vt:lpwstr>
  </property>
  <property fmtid="{D5CDD505-2E9C-101B-9397-08002B2CF9AE}" pid="20" name="ReasonForSensitivity">
    <vt:lpwstr/>
  </property>
  <property fmtid="{D5CDD505-2E9C-101B-9397-08002B2CF9AE}" pid="21" name="RegisteredDate">
    <vt:lpwstr>16 July 2015</vt:lpwstr>
  </property>
  <property fmtid="{D5CDD505-2E9C-101B-9397-08002B2CF9AE}" pid="22" name="RequestedAction">
    <vt:lpwstr>Action - Sign</vt:lpwstr>
  </property>
  <property fmtid="{D5CDD505-2E9C-101B-9397-08002B2CF9AE}" pid="23" name="ResponsibleMinister">
    <vt:lpwstr>AG - George Brandis</vt:lpwstr>
  </property>
  <property fmtid="{D5CDD505-2E9C-101B-9397-08002B2CF9AE}" pid="24" name="SecurityClassification">
    <vt:lpwstr>Sensitive: Legal  </vt:lpwstr>
  </property>
  <property fmtid="{D5CDD505-2E9C-101B-9397-08002B2CF9AE}" pid="25" name="Subject">
    <vt:lpwstr>AG-SB15/0790 - Legislative Instruments (Hearing Services Administration Instruments) Sunset-altering Declaration 2015 - Thematic Review Application</vt:lpwstr>
  </property>
  <property fmtid="{D5CDD505-2E9C-101B-9397-08002B2CF9AE}" pid="26" name="TaskSeqNo">
    <vt:lpwstr>1</vt:lpwstr>
  </property>
  <property fmtid="{D5CDD505-2E9C-101B-9397-08002B2CF9AE}" pid="27" name="TemplateSubType">
    <vt:lpwstr>AG - George Brandis</vt:lpwstr>
  </property>
  <property fmtid="{D5CDD505-2E9C-101B-9397-08002B2CF9AE}" pid="28" name="TemplateType">
    <vt:lpwstr>Attorney-General</vt:lpwstr>
  </property>
  <property fmtid="{D5CDD505-2E9C-101B-9397-08002B2CF9AE}" pid="29" name="TrustedGroups">
    <vt:lpwstr>Parliamentary Coordinator MS, DLO, Ministerial Staff - Coalition 2013, Business Administrator, Limited Distribution MS</vt:lpwstr>
  </property>
  <property fmtid="{D5CDD505-2E9C-101B-9397-08002B2CF9AE}" pid="30" name="WPLUSDataBaseName">
    <vt:lpwstr/>
  </property>
  <property fmtid="{D5CDD505-2E9C-101B-9397-08002B2CF9AE}" pid="31" name="WPLUSDocumentUNID">
    <vt:lpwstr/>
  </property>
  <property fmtid="{D5CDD505-2E9C-101B-9397-08002B2CF9AE}" pid="32" name="WPLUSServerName">
    <vt:lpwstr/>
  </property>
  <property fmtid="{D5CDD505-2E9C-101B-9397-08002B2CF9AE}" pid="33" name="ContentTypeId">
    <vt:lpwstr>0x010100266966F133664895A6EE3632470D45F500687517135351424493EECD9AE63FB421</vt:lpwstr>
  </property>
</Properties>
</file>