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1421D7">
        <w:rPr>
          <w:b/>
        </w:rPr>
        <w:t>PB</w:t>
      </w:r>
      <w:r w:rsidR="00053ED9" w:rsidRPr="001421D7">
        <w:rPr>
          <w:b/>
        </w:rPr>
        <w:t xml:space="preserve"> </w:t>
      </w:r>
      <w:r w:rsidR="00C26421">
        <w:rPr>
          <w:b/>
        </w:rPr>
        <w:t>18</w:t>
      </w:r>
      <w:r w:rsidR="00C26421" w:rsidRPr="001421D7">
        <w:rPr>
          <w:b/>
        </w:rPr>
        <w:t xml:space="preserve"> </w:t>
      </w:r>
      <w:r w:rsidR="0016619D" w:rsidRPr="001421D7">
        <w:rPr>
          <w:b/>
        </w:rPr>
        <w:t xml:space="preserve">OF </w:t>
      </w:r>
      <w:r w:rsidR="005E03C9" w:rsidRPr="001421D7">
        <w:rPr>
          <w:b/>
        </w:rPr>
        <w:t>201</w:t>
      </w:r>
      <w:r w:rsidR="00C26421">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sidRPr="00AF7F33">
        <w:rPr>
          <w:b/>
          <w:i/>
        </w:rPr>
        <w:t>National Health (Weighted a</w:t>
      </w:r>
      <w:r w:rsidR="00DC2D5A" w:rsidRPr="00AF7F33">
        <w:rPr>
          <w:b/>
          <w:i/>
        </w:rPr>
        <w:t xml:space="preserve">verage </w:t>
      </w:r>
      <w:r w:rsidRPr="00AF7F33">
        <w:rPr>
          <w:b/>
          <w:i/>
        </w:rPr>
        <w:t>d</w:t>
      </w:r>
      <w:r w:rsidR="00DC2D5A" w:rsidRPr="00AF7F33">
        <w:rPr>
          <w:b/>
          <w:i/>
        </w:rPr>
        <w:t xml:space="preserve">isclosed </w:t>
      </w:r>
      <w:r w:rsidRPr="00AF7F33">
        <w:rPr>
          <w:b/>
          <w:i/>
        </w:rPr>
        <w:t>p</w:t>
      </w:r>
      <w:r w:rsidR="00DC2D5A" w:rsidRPr="00AF7F33">
        <w:rPr>
          <w:b/>
          <w:i/>
        </w:rPr>
        <w:t>rice –</w:t>
      </w:r>
      <w:r w:rsidR="00432F89" w:rsidRPr="00AF7F33">
        <w:rPr>
          <w:b/>
          <w:i/>
        </w:rPr>
        <w:t xml:space="preserve"> </w:t>
      </w:r>
      <w:r w:rsidR="00C26421">
        <w:rPr>
          <w:b/>
          <w:i/>
        </w:rPr>
        <w:t>April</w:t>
      </w:r>
      <w:r w:rsidR="00C26421" w:rsidRPr="00AF7F33">
        <w:rPr>
          <w:b/>
          <w:i/>
        </w:rPr>
        <w:t xml:space="preserve"> </w:t>
      </w:r>
      <w:r w:rsidR="00466422" w:rsidRPr="00AF7F33">
        <w:rPr>
          <w:b/>
          <w:i/>
        </w:rPr>
        <w:t>201</w:t>
      </w:r>
      <w:r w:rsidR="00C26421">
        <w:rPr>
          <w:b/>
          <w:i/>
        </w:rPr>
        <w:t>8</w:t>
      </w:r>
      <w:r w:rsidR="00466422" w:rsidRPr="00AF7F33">
        <w:rPr>
          <w:b/>
          <w:i/>
        </w:rPr>
        <w:t xml:space="preserve"> reduction day</w:t>
      </w:r>
      <w:r w:rsidR="00DC2D5A" w:rsidRPr="00AF7F33">
        <w:rPr>
          <w:b/>
          <w:i/>
        </w:rPr>
        <w:t xml:space="preserve">) </w:t>
      </w:r>
      <w:r w:rsidRPr="00AF7F33">
        <w:rPr>
          <w:b/>
          <w:i/>
        </w:rPr>
        <w:br/>
      </w:r>
      <w:r w:rsidR="007E3BBC" w:rsidRPr="00AF7F33">
        <w:rPr>
          <w:b/>
          <w:i/>
        </w:rPr>
        <w:t xml:space="preserve">Amendment </w:t>
      </w:r>
      <w:r w:rsidR="00DC2D5A" w:rsidRPr="00AF7F33">
        <w:rPr>
          <w:b/>
          <w:i/>
        </w:rPr>
        <w:t xml:space="preserve">Determination </w:t>
      </w:r>
      <w:r w:rsidR="00BE2F95" w:rsidRPr="00AF7F33">
        <w:rPr>
          <w:b/>
          <w:i/>
        </w:rPr>
        <w:t>201</w:t>
      </w:r>
      <w:r w:rsidR="00C26421">
        <w:rPr>
          <w:b/>
          <w:i/>
        </w:rPr>
        <w:t>8</w:t>
      </w:r>
      <w:r w:rsidR="007E3BBC" w:rsidRPr="00AF7F33">
        <w:rPr>
          <w:b/>
          <w:i/>
        </w:rPr>
        <w:t xml:space="preserve"> (No.1)</w:t>
      </w:r>
    </w:p>
    <w:p w:rsidR="0071790E" w:rsidRPr="0071790E" w:rsidRDefault="00FF2C8F" w:rsidP="00807FB4">
      <w:pPr>
        <w:spacing w:before="120" w:after="120"/>
        <w:rPr>
          <w:b/>
          <w:szCs w:val="24"/>
        </w:rPr>
      </w:pPr>
      <w:r>
        <w:rPr>
          <w:b/>
          <w:szCs w:val="24"/>
        </w:rPr>
        <w:t>Authority</w:t>
      </w:r>
    </w:p>
    <w:p w:rsidR="007C63B5" w:rsidRDefault="007C63B5" w:rsidP="00667A0C">
      <w:r>
        <w:t>This legislative instrument is made pursuant to</w:t>
      </w:r>
      <w:r w:rsidR="007D4824">
        <w:t xml:space="preserve"> </w:t>
      </w:r>
      <w:r>
        <w:t xml:space="preserve">subsection 99ADB(4) of the </w:t>
      </w:r>
      <w:r w:rsidRPr="004714D3">
        <w:rPr>
          <w:i/>
        </w:rPr>
        <w:t>National Health Act 1953</w:t>
      </w:r>
      <w:r>
        <w:t xml:space="preserve"> (the Act), which provides that the Minister may, by legislative instrument, determine the weighted average disclosed price (WADP) of a brand of a pharmaceutical item (listed brand) in accordance with the </w:t>
      </w:r>
      <w:r w:rsidRPr="003C49D4">
        <w:rPr>
          <w:i/>
        </w:rPr>
        <w:t xml:space="preserve">National Health (Pharmaceutical Benefits) Regulations </w:t>
      </w:r>
      <w:r w:rsidR="00B7646E">
        <w:rPr>
          <w:i/>
        </w:rPr>
        <w:t>2017</w:t>
      </w:r>
      <w:r>
        <w:t xml:space="preserve"> (the Regulations)</w:t>
      </w:r>
      <w:r w:rsidR="00BD1F9F">
        <w:t>.</w:t>
      </w:r>
    </w:p>
    <w:p w:rsidR="004E236A" w:rsidRDefault="004E236A" w:rsidP="004E236A"/>
    <w:p w:rsidR="004E236A" w:rsidRDefault="004E236A" w:rsidP="00B05A86">
      <w:r>
        <w:t xml:space="preserve">Subsection </w:t>
      </w:r>
      <w:proofErr w:type="gramStart"/>
      <w:r>
        <w:t>99ADB(</w:t>
      </w:r>
      <w:proofErr w:type="gramEnd"/>
      <w:r>
        <w:t>7) of the Act further provides that a subsection 99ADB(4) determination for a listed brand may include the adjusted approved ex-manufacturer price (AAEMP) for the listed brand.</w:t>
      </w:r>
    </w:p>
    <w:p w:rsidR="00FF2C8F" w:rsidRPr="00FF2C8F" w:rsidRDefault="00FF2C8F" w:rsidP="00807FB4">
      <w:pPr>
        <w:spacing w:before="120" w:after="120"/>
        <w:rPr>
          <w:b/>
          <w:szCs w:val="24"/>
        </w:rPr>
      </w:pPr>
      <w:r w:rsidRPr="00FF2C8F">
        <w:rPr>
          <w:b/>
          <w:szCs w:val="24"/>
        </w:rPr>
        <w:t>Purpose</w:t>
      </w:r>
    </w:p>
    <w:p w:rsidR="00A72FFB" w:rsidRDefault="007E3BBC" w:rsidP="00957BA7">
      <w:pPr>
        <w:spacing w:before="120" w:after="120"/>
      </w:pPr>
      <w:r>
        <w:rPr>
          <w:szCs w:val="24"/>
        </w:rPr>
        <w:t>This legislative</w:t>
      </w:r>
      <w:r w:rsidR="0085563B">
        <w:rPr>
          <w:szCs w:val="24"/>
        </w:rPr>
        <w:t xml:space="preserve"> instrument</w:t>
      </w:r>
      <w:r w:rsidR="007D4824">
        <w:rPr>
          <w:szCs w:val="24"/>
        </w:rPr>
        <w:t xml:space="preserve"> </w:t>
      </w:r>
      <w:r>
        <w:t>amends the</w:t>
      </w:r>
      <w:r w:rsidRPr="00913FF1">
        <w:t xml:space="preserve"> </w:t>
      </w:r>
      <w:r w:rsidRPr="00913FF1">
        <w:rPr>
          <w:i/>
        </w:rPr>
        <w:t xml:space="preserve">National Health (Weighted average disclosed price – </w:t>
      </w:r>
      <w:r w:rsidR="00C26421">
        <w:rPr>
          <w:i/>
        </w:rPr>
        <w:t xml:space="preserve">April </w:t>
      </w:r>
      <w:r w:rsidR="00117173">
        <w:rPr>
          <w:i/>
        </w:rPr>
        <w:t>201</w:t>
      </w:r>
      <w:r w:rsidR="00C26421">
        <w:rPr>
          <w:i/>
        </w:rPr>
        <w:t>8</w:t>
      </w:r>
      <w:r>
        <w:rPr>
          <w:i/>
        </w:rPr>
        <w:t xml:space="preserve"> reduction day</w:t>
      </w:r>
      <w:r w:rsidRPr="00913FF1">
        <w:rPr>
          <w:i/>
        </w:rPr>
        <w:t xml:space="preserve">) </w:t>
      </w:r>
      <w:r w:rsidRPr="00AA74E2">
        <w:rPr>
          <w:i/>
        </w:rPr>
        <w:t xml:space="preserve">Determination </w:t>
      </w:r>
      <w:r w:rsidR="00C26421" w:rsidRPr="00AA74E2">
        <w:rPr>
          <w:i/>
        </w:rPr>
        <w:t>201</w:t>
      </w:r>
      <w:r w:rsidR="00C26421">
        <w:rPr>
          <w:i/>
        </w:rPr>
        <w:t>8</w:t>
      </w:r>
      <w:r w:rsidR="00C26421" w:rsidRPr="00AA74E2">
        <w:rPr>
          <w:i/>
        </w:rPr>
        <w:t xml:space="preserve"> </w:t>
      </w:r>
      <w:r w:rsidRPr="00913FF1">
        <w:t xml:space="preserve">(PB </w:t>
      </w:r>
      <w:r w:rsidR="00C26421">
        <w:t>9</w:t>
      </w:r>
      <w:r w:rsidRPr="001421D7">
        <w:t xml:space="preserve"> of 201</w:t>
      </w:r>
      <w:r w:rsidR="00C26421">
        <w:t>8</w:t>
      </w:r>
      <w:r w:rsidR="0098097E" w:rsidRPr="001421D7">
        <w:t>)</w:t>
      </w:r>
      <w:r>
        <w:t xml:space="preserve"> (the Principal Instrument)</w:t>
      </w:r>
      <w:r w:rsidR="00446AE8">
        <w:t xml:space="preserve"> by re-allocating brands </w:t>
      </w:r>
      <w:r w:rsidR="00611CA2">
        <w:t xml:space="preserve">of pharmaceutical items </w:t>
      </w:r>
      <w:r w:rsidR="00110005">
        <w:t xml:space="preserve">and </w:t>
      </w:r>
      <w:r w:rsidR="00611CA2">
        <w:t xml:space="preserve">their </w:t>
      </w:r>
      <w:r w:rsidR="00110005">
        <w:t>corresponding WADPs</w:t>
      </w:r>
      <w:r w:rsidR="00446AE8">
        <w:t xml:space="preserve"> that</w:t>
      </w:r>
      <w:r w:rsidR="00446AE8">
        <w:rPr>
          <w:szCs w:val="24"/>
        </w:rPr>
        <w:t xml:space="preserve"> </w:t>
      </w:r>
      <w:r w:rsidR="00446AE8" w:rsidRPr="00545F40">
        <w:t>no longer meet the criteria</w:t>
      </w:r>
      <w:r w:rsidR="00446AE8">
        <w:t xml:space="preserve"> for a price reduction</w:t>
      </w:r>
      <w:r w:rsidR="00446AE8" w:rsidRPr="00545F40">
        <w:t xml:space="preserve"> </w:t>
      </w:r>
      <w:r w:rsidR="00446AE8">
        <w:t>under</w:t>
      </w:r>
      <w:r w:rsidR="00446AE8" w:rsidRPr="005435C9">
        <w:t xml:space="preserve"> </w:t>
      </w:r>
      <w:r w:rsidR="00446AE8">
        <w:t>sub</w:t>
      </w:r>
      <w:r w:rsidR="00446AE8" w:rsidRPr="005435C9">
        <w:t>section 99ADH(1)(c)</w:t>
      </w:r>
      <w:r w:rsidR="00446AE8">
        <w:t xml:space="preserve"> of the Act</w:t>
      </w:r>
      <w:r w:rsidR="00A72FFB">
        <w:t xml:space="preserve">. </w:t>
      </w:r>
    </w:p>
    <w:p w:rsidR="009559F2" w:rsidRDefault="00A72FFB" w:rsidP="00957BA7">
      <w:pPr>
        <w:spacing w:before="120" w:after="120"/>
      </w:pPr>
      <w:r>
        <w:t>All brands of</w:t>
      </w:r>
      <w:r w:rsidR="001F2AFC">
        <w:t xml:space="preserve"> all pharmaceutical items containing </w:t>
      </w:r>
      <w:r>
        <w:t xml:space="preserve">the following </w:t>
      </w:r>
      <w:r w:rsidR="001F2AFC">
        <w:t xml:space="preserve">drugs and manners of administration </w:t>
      </w:r>
      <w:r>
        <w:t>are affected</w:t>
      </w:r>
      <w:r w:rsidR="001F2AFC">
        <w:t xml:space="preserve"> (except where a </w:t>
      </w:r>
      <w:r w:rsidR="000026DE">
        <w:t>particular</w:t>
      </w:r>
      <w:r w:rsidR="001F2AFC">
        <w:t xml:space="preserve"> pharmaceutical item is </w:t>
      </w:r>
      <w:r w:rsidR="000026DE">
        <w:t>specified;</w:t>
      </w:r>
      <w:r w:rsidR="001F2AFC">
        <w:t xml:space="preserve"> only brands of th</w:t>
      </w:r>
      <w:r w:rsidR="00B66BE2">
        <w:t>at</w:t>
      </w:r>
      <w:r w:rsidR="001F2AFC">
        <w:t xml:space="preserve"> pharmaceutical item are affected)</w:t>
      </w:r>
      <w:r>
        <w:t xml:space="preserve">: </w:t>
      </w:r>
    </w:p>
    <w:p w:rsidR="005435C9" w:rsidRDefault="001F2AFC" w:rsidP="00957BA7">
      <w:pPr>
        <w:pStyle w:val="ListParagraph"/>
        <w:numPr>
          <w:ilvl w:val="0"/>
          <w:numId w:val="29"/>
        </w:numPr>
        <w:tabs>
          <w:tab w:val="left" w:pos="709"/>
        </w:tabs>
      </w:pPr>
      <w:proofErr w:type="spellStart"/>
      <w:r>
        <w:t>a</w:t>
      </w:r>
      <w:r w:rsidR="005435C9" w:rsidRPr="005435C9">
        <w:t>lendronic</w:t>
      </w:r>
      <w:proofErr w:type="spellEnd"/>
      <w:r w:rsidR="005435C9" w:rsidRPr="005435C9">
        <w:t xml:space="preserve"> acid</w:t>
      </w:r>
      <w:r>
        <w:t xml:space="preserve"> for </w:t>
      </w:r>
      <w:r w:rsidR="003C1FD0">
        <w:t>o</w:t>
      </w:r>
      <w:r w:rsidR="003C1FD0" w:rsidRPr="003C1FD0">
        <w:t>ral</w:t>
      </w:r>
      <w:r>
        <w:t xml:space="preserve"> administration</w:t>
      </w:r>
      <w:r w:rsidR="003C1FD0">
        <w:t>;</w:t>
      </w:r>
    </w:p>
    <w:p w:rsidR="001F2AFC" w:rsidRDefault="001F2AFC" w:rsidP="001F2AFC">
      <w:pPr>
        <w:pStyle w:val="ListParagraph"/>
        <w:numPr>
          <w:ilvl w:val="0"/>
          <w:numId w:val="29"/>
        </w:numPr>
        <w:tabs>
          <w:tab w:val="left" w:pos="709"/>
        </w:tabs>
      </w:pPr>
      <w:proofErr w:type="spellStart"/>
      <w:r>
        <w:t>a</w:t>
      </w:r>
      <w:r w:rsidR="003C1FD0" w:rsidRPr="003C1FD0">
        <w:t>moxycillin</w:t>
      </w:r>
      <w:proofErr w:type="spellEnd"/>
      <w:r w:rsidR="003C1FD0" w:rsidRPr="003C1FD0">
        <w:t xml:space="preserve"> with clavulanic acid</w:t>
      </w:r>
      <w:r w:rsidRPr="001F2AFC">
        <w:t xml:space="preserve"> </w:t>
      </w:r>
      <w:r>
        <w:t>for o</w:t>
      </w:r>
      <w:r w:rsidRPr="003C1FD0">
        <w:t>ral</w:t>
      </w:r>
      <w:r>
        <w:t xml:space="preserve"> administration;</w:t>
      </w:r>
    </w:p>
    <w:p w:rsidR="003C1FD0" w:rsidRDefault="000026DE" w:rsidP="00957BA7">
      <w:pPr>
        <w:pStyle w:val="ListParagraph"/>
        <w:numPr>
          <w:ilvl w:val="0"/>
          <w:numId w:val="29"/>
        </w:numPr>
        <w:tabs>
          <w:tab w:val="left" w:pos="709"/>
        </w:tabs>
      </w:pPr>
      <w:r>
        <w:t>a</w:t>
      </w:r>
      <w:r w:rsidR="003C1FD0" w:rsidRPr="003C1FD0">
        <w:t>mpicillin</w:t>
      </w:r>
      <w:r>
        <w:t xml:space="preserve"> for administration by</w:t>
      </w:r>
      <w:r w:rsidR="003C1FD0">
        <w:t xml:space="preserve"> i</w:t>
      </w:r>
      <w:r w:rsidR="003C1FD0" w:rsidRPr="003C1FD0">
        <w:t>njection</w:t>
      </w:r>
      <w:r w:rsidR="003C1FD0">
        <w:t>;</w:t>
      </w:r>
    </w:p>
    <w:p w:rsidR="000026DE" w:rsidRDefault="000026DE" w:rsidP="000026DE">
      <w:pPr>
        <w:pStyle w:val="ListParagraph"/>
        <w:numPr>
          <w:ilvl w:val="0"/>
          <w:numId w:val="29"/>
        </w:numPr>
        <w:tabs>
          <w:tab w:val="left" w:pos="709"/>
        </w:tabs>
      </w:pPr>
      <w:proofErr w:type="spellStart"/>
      <w:r>
        <w:t>a</w:t>
      </w:r>
      <w:r w:rsidR="003C1FD0" w:rsidRPr="003C1FD0">
        <w:t>nastrozole</w:t>
      </w:r>
      <w:proofErr w:type="spellEnd"/>
      <w:r w:rsidRPr="000026DE">
        <w:t xml:space="preserve"> </w:t>
      </w:r>
      <w:r>
        <w:t>for o</w:t>
      </w:r>
      <w:r w:rsidRPr="003C1FD0">
        <w:t>ral</w:t>
      </w:r>
      <w:r>
        <w:t xml:space="preserve"> administration;</w:t>
      </w:r>
    </w:p>
    <w:p w:rsidR="000026DE" w:rsidRDefault="000026DE" w:rsidP="000026DE">
      <w:pPr>
        <w:pStyle w:val="ListParagraph"/>
        <w:numPr>
          <w:ilvl w:val="0"/>
          <w:numId w:val="29"/>
        </w:numPr>
        <w:tabs>
          <w:tab w:val="left" w:pos="709"/>
        </w:tabs>
      </w:pPr>
      <w:r>
        <w:t>a</w:t>
      </w:r>
      <w:r w:rsidR="003C1FD0" w:rsidRPr="003C1FD0">
        <w:t>zathioprine</w:t>
      </w:r>
      <w:r w:rsidRPr="000026DE">
        <w:t xml:space="preserve"> </w:t>
      </w:r>
      <w:r>
        <w:t>for o</w:t>
      </w:r>
      <w:r w:rsidRPr="003C1FD0">
        <w:t>ral</w:t>
      </w:r>
      <w:r>
        <w:t xml:space="preserve"> administration;</w:t>
      </w:r>
    </w:p>
    <w:p w:rsidR="003C1FD0" w:rsidRDefault="000026DE" w:rsidP="00957BA7">
      <w:pPr>
        <w:pStyle w:val="ListParagraph"/>
        <w:numPr>
          <w:ilvl w:val="0"/>
          <w:numId w:val="29"/>
        </w:numPr>
        <w:tabs>
          <w:tab w:val="left" w:pos="709"/>
        </w:tabs>
      </w:pPr>
      <w:r>
        <w:t>a</w:t>
      </w:r>
      <w:r w:rsidR="003C1FD0" w:rsidRPr="003C1FD0">
        <w:t>zithromycin</w:t>
      </w:r>
      <w:r w:rsidR="003C1FD0">
        <w:t>, t</w:t>
      </w:r>
      <w:r w:rsidR="003C1FD0" w:rsidRPr="003C1FD0">
        <w:t xml:space="preserve">ablet 500 mg (as </w:t>
      </w:r>
      <w:proofErr w:type="spellStart"/>
      <w:r w:rsidR="003C1FD0" w:rsidRPr="003C1FD0">
        <w:t>dihydrate</w:t>
      </w:r>
      <w:proofErr w:type="spellEnd"/>
      <w:r w:rsidR="003C1FD0" w:rsidRPr="003C1FD0">
        <w:t>)</w:t>
      </w:r>
      <w:r w:rsidR="003C1FD0">
        <w:t>, oral;</w:t>
      </w:r>
    </w:p>
    <w:p w:rsidR="000026DE" w:rsidRDefault="000026DE" w:rsidP="000026DE">
      <w:pPr>
        <w:pStyle w:val="ListParagraph"/>
        <w:numPr>
          <w:ilvl w:val="0"/>
          <w:numId w:val="29"/>
        </w:numPr>
        <w:tabs>
          <w:tab w:val="left" w:pos="709"/>
        </w:tabs>
      </w:pPr>
      <w:r>
        <w:t>b</w:t>
      </w:r>
      <w:r w:rsidR="003C1FD0" w:rsidRPr="003C1FD0">
        <w:t>leomycin</w:t>
      </w:r>
      <w:r w:rsidRPr="000026DE">
        <w:t xml:space="preserve"> </w:t>
      </w:r>
      <w:r>
        <w:t>for administration by i</w:t>
      </w:r>
      <w:r w:rsidRPr="003C1FD0">
        <w:t>njection</w:t>
      </w:r>
      <w:r>
        <w:t>;</w:t>
      </w:r>
    </w:p>
    <w:p w:rsidR="000026DE" w:rsidRDefault="000026DE" w:rsidP="000026DE">
      <w:pPr>
        <w:pStyle w:val="ListParagraph"/>
        <w:numPr>
          <w:ilvl w:val="0"/>
          <w:numId w:val="29"/>
        </w:numPr>
        <w:tabs>
          <w:tab w:val="left" w:pos="709"/>
        </w:tabs>
      </w:pPr>
      <w:r>
        <w:t>c</w:t>
      </w:r>
      <w:r w:rsidR="003C1FD0" w:rsidRPr="003C1FD0">
        <w:t>andesartan</w:t>
      </w:r>
      <w:r w:rsidRPr="000026DE">
        <w:t xml:space="preserve"> </w:t>
      </w:r>
      <w:r>
        <w:t>for o</w:t>
      </w:r>
      <w:r w:rsidRPr="003C1FD0">
        <w:t>ral</w:t>
      </w:r>
      <w:r>
        <w:t xml:space="preserve"> administration;</w:t>
      </w:r>
    </w:p>
    <w:p w:rsidR="000026DE" w:rsidRDefault="000026DE" w:rsidP="000026DE">
      <w:pPr>
        <w:pStyle w:val="ListParagraph"/>
        <w:numPr>
          <w:ilvl w:val="0"/>
          <w:numId w:val="29"/>
        </w:numPr>
        <w:tabs>
          <w:tab w:val="left" w:pos="709"/>
        </w:tabs>
      </w:pPr>
      <w:r>
        <w:t>c</w:t>
      </w:r>
      <w:r w:rsidR="003C1FD0" w:rsidRPr="003C1FD0">
        <w:t>andesartan with hydrochlorothiazide</w:t>
      </w:r>
      <w:r w:rsidRPr="000026DE">
        <w:t xml:space="preserve"> </w:t>
      </w:r>
      <w:r>
        <w:t>for o</w:t>
      </w:r>
      <w:r w:rsidRPr="003C1FD0">
        <w:t>ral</w:t>
      </w:r>
      <w:r>
        <w:t xml:space="preserve"> administration;</w:t>
      </w:r>
    </w:p>
    <w:p w:rsidR="000026DE" w:rsidRDefault="000026DE" w:rsidP="000026DE">
      <w:pPr>
        <w:pStyle w:val="ListParagraph"/>
        <w:numPr>
          <w:ilvl w:val="0"/>
          <w:numId w:val="29"/>
        </w:numPr>
        <w:tabs>
          <w:tab w:val="left" w:pos="709"/>
        </w:tabs>
      </w:pPr>
      <w:r>
        <w:t>c</w:t>
      </w:r>
      <w:r w:rsidR="003C1FD0" w:rsidRPr="003C1FD0">
        <w:t>arvedilol</w:t>
      </w:r>
      <w:r w:rsidRPr="000026DE">
        <w:t xml:space="preserve"> </w:t>
      </w:r>
      <w:r>
        <w:t>for o</w:t>
      </w:r>
      <w:r w:rsidRPr="003C1FD0">
        <w:t>ral</w:t>
      </w:r>
      <w:r>
        <w:t xml:space="preserve"> administration;</w:t>
      </w:r>
    </w:p>
    <w:p w:rsidR="000026DE" w:rsidRDefault="000026DE" w:rsidP="000026DE">
      <w:pPr>
        <w:pStyle w:val="ListParagraph"/>
        <w:numPr>
          <w:ilvl w:val="0"/>
          <w:numId w:val="29"/>
        </w:numPr>
        <w:tabs>
          <w:tab w:val="left" w:pos="709"/>
        </w:tabs>
      </w:pPr>
      <w:r>
        <w:t>c</w:t>
      </w:r>
      <w:r w:rsidR="003C1FD0" w:rsidRPr="003C1FD0">
        <w:t>eftriaxone</w:t>
      </w:r>
      <w:r w:rsidRPr="000026DE">
        <w:t xml:space="preserve"> </w:t>
      </w:r>
      <w:r>
        <w:t>for administration by i</w:t>
      </w:r>
      <w:r w:rsidRPr="003C1FD0">
        <w:t>njection</w:t>
      </w:r>
      <w:r>
        <w:t>;</w:t>
      </w:r>
    </w:p>
    <w:p w:rsidR="000026DE" w:rsidRDefault="000026DE" w:rsidP="000026DE">
      <w:pPr>
        <w:pStyle w:val="ListParagraph"/>
        <w:numPr>
          <w:ilvl w:val="0"/>
          <w:numId w:val="29"/>
        </w:numPr>
        <w:tabs>
          <w:tab w:val="left" w:pos="709"/>
        </w:tabs>
      </w:pPr>
      <w:proofErr w:type="spellStart"/>
      <w:r>
        <w:t>c</w:t>
      </w:r>
      <w:r w:rsidR="008A23D8" w:rsidRPr="008A23D8">
        <w:t>ephazolin</w:t>
      </w:r>
      <w:proofErr w:type="spellEnd"/>
      <w:r w:rsidRPr="000026DE">
        <w:t xml:space="preserve"> </w:t>
      </w:r>
      <w:r>
        <w:t>for administration by i</w:t>
      </w:r>
      <w:r w:rsidRPr="003C1FD0">
        <w:t>njection</w:t>
      </w:r>
      <w:r>
        <w:t>;</w:t>
      </w:r>
    </w:p>
    <w:p w:rsidR="000026DE" w:rsidRDefault="000026DE" w:rsidP="000026DE">
      <w:pPr>
        <w:pStyle w:val="ListParagraph"/>
        <w:numPr>
          <w:ilvl w:val="0"/>
          <w:numId w:val="29"/>
        </w:numPr>
        <w:tabs>
          <w:tab w:val="left" w:pos="709"/>
        </w:tabs>
      </w:pPr>
      <w:r>
        <w:t>c</w:t>
      </w:r>
      <w:r w:rsidR="008A23D8" w:rsidRPr="008A23D8">
        <w:t>iprofloxacin</w:t>
      </w:r>
      <w:r w:rsidRPr="000026DE">
        <w:t xml:space="preserve"> </w:t>
      </w:r>
      <w:r>
        <w:t>for o</w:t>
      </w:r>
      <w:r w:rsidRPr="003C1FD0">
        <w:t>ral</w:t>
      </w:r>
      <w:r>
        <w:t xml:space="preserve"> administration;</w:t>
      </w:r>
    </w:p>
    <w:p w:rsidR="000026DE" w:rsidRDefault="000026DE" w:rsidP="000026DE">
      <w:pPr>
        <w:pStyle w:val="ListParagraph"/>
        <w:numPr>
          <w:ilvl w:val="0"/>
          <w:numId w:val="29"/>
        </w:numPr>
        <w:tabs>
          <w:tab w:val="left" w:pos="709"/>
        </w:tabs>
      </w:pPr>
      <w:r>
        <w:t>c</w:t>
      </w:r>
      <w:r w:rsidR="008A23D8" w:rsidRPr="008A23D8">
        <w:t>lindamycin</w:t>
      </w:r>
      <w:r w:rsidRPr="000026DE">
        <w:t xml:space="preserve"> </w:t>
      </w:r>
      <w:r>
        <w:t>for o</w:t>
      </w:r>
      <w:r w:rsidRPr="003C1FD0">
        <w:t>ral</w:t>
      </w:r>
      <w:r>
        <w:t xml:space="preserve"> administration;</w:t>
      </w:r>
    </w:p>
    <w:p w:rsidR="008A23D8" w:rsidRDefault="000026DE" w:rsidP="00957BA7">
      <w:pPr>
        <w:pStyle w:val="ListParagraph"/>
        <w:numPr>
          <w:ilvl w:val="0"/>
          <w:numId w:val="29"/>
        </w:numPr>
        <w:tabs>
          <w:tab w:val="left" w:pos="709"/>
        </w:tabs>
      </w:pPr>
      <w:r>
        <w:t>d</w:t>
      </w:r>
      <w:r w:rsidR="008A23D8" w:rsidRPr="008A23D8">
        <w:t>examethasone</w:t>
      </w:r>
      <w:r w:rsidR="008A23D8">
        <w:t xml:space="preserve">, </w:t>
      </w:r>
      <w:r w:rsidR="00D71AE8">
        <w:t>i</w:t>
      </w:r>
      <w:r w:rsidR="008A23D8" w:rsidRPr="008A23D8">
        <w:t>ntravitreal injection 700 micrograms</w:t>
      </w:r>
      <w:r w:rsidR="008A23D8">
        <w:t xml:space="preserve">, </w:t>
      </w:r>
      <w:r w:rsidR="00D71AE8">
        <w:t>i</w:t>
      </w:r>
      <w:r w:rsidR="008A23D8" w:rsidRPr="008A23D8">
        <w:t>njection</w:t>
      </w:r>
      <w:r w:rsidR="008A23D8">
        <w:t>;</w:t>
      </w:r>
    </w:p>
    <w:p w:rsidR="000026DE" w:rsidRDefault="000026DE" w:rsidP="000026DE">
      <w:pPr>
        <w:pStyle w:val="ListParagraph"/>
        <w:numPr>
          <w:ilvl w:val="0"/>
          <w:numId w:val="29"/>
        </w:numPr>
        <w:tabs>
          <w:tab w:val="left" w:pos="709"/>
        </w:tabs>
      </w:pPr>
      <w:r>
        <w:t>e</w:t>
      </w:r>
      <w:r w:rsidR="008A23D8" w:rsidRPr="008A23D8">
        <w:t>scitalopram</w:t>
      </w:r>
      <w:r w:rsidRPr="000026DE">
        <w:t xml:space="preserve"> </w:t>
      </w:r>
      <w:r>
        <w:t>for o</w:t>
      </w:r>
      <w:r w:rsidRPr="003C1FD0">
        <w:t>ral</w:t>
      </w:r>
      <w:r>
        <w:t xml:space="preserve"> administration;</w:t>
      </w:r>
    </w:p>
    <w:p w:rsidR="008A23D8" w:rsidRDefault="007E515C" w:rsidP="00957BA7">
      <w:pPr>
        <w:pStyle w:val="ListParagraph"/>
        <w:numPr>
          <w:ilvl w:val="0"/>
          <w:numId w:val="29"/>
        </w:numPr>
        <w:tabs>
          <w:tab w:val="left" w:pos="709"/>
        </w:tabs>
      </w:pPr>
      <w:r>
        <w:t>f</w:t>
      </w:r>
      <w:r w:rsidR="008A23D8" w:rsidRPr="008A23D8">
        <w:t>entanyl</w:t>
      </w:r>
      <w:r>
        <w:t xml:space="preserve"> for</w:t>
      </w:r>
      <w:r w:rsidR="008A23D8">
        <w:t xml:space="preserve"> </w:t>
      </w:r>
      <w:r w:rsidR="00D71AE8">
        <w:t>t</w:t>
      </w:r>
      <w:r w:rsidR="008A23D8" w:rsidRPr="008A23D8">
        <w:t>ransdermal</w:t>
      </w:r>
      <w:r>
        <w:t xml:space="preserve"> administration</w:t>
      </w:r>
      <w:r w:rsidR="008A23D8">
        <w:t>;</w:t>
      </w:r>
    </w:p>
    <w:p w:rsidR="007E515C" w:rsidRDefault="007E515C" w:rsidP="007E515C">
      <w:pPr>
        <w:pStyle w:val="ListParagraph"/>
        <w:numPr>
          <w:ilvl w:val="0"/>
          <w:numId w:val="29"/>
        </w:numPr>
        <w:tabs>
          <w:tab w:val="left" w:pos="709"/>
        </w:tabs>
      </w:pPr>
      <w:proofErr w:type="spellStart"/>
      <w:r>
        <w:t>f</w:t>
      </w:r>
      <w:r w:rsidR="00830826" w:rsidRPr="00830826">
        <w:t>ilgrastim</w:t>
      </w:r>
      <w:proofErr w:type="spellEnd"/>
      <w:r w:rsidRPr="007E515C">
        <w:t xml:space="preserve"> </w:t>
      </w:r>
      <w:r>
        <w:t>for administration by i</w:t>
      </w:r>
      <w:r w:rsidRPr="003C1FD0">
        <w:t>njection</w:t>
      </w:r>
      <w:r>
        <w:t>;</w:t>
      </w:r>
    </w:p>
    <w:p w:rsidR="007E515C" w:rsidRDefault="007E515C" w:rsidP="007E515C">
      <w:pPr>
        <w:pStyle w:val="ListParagraph"/>
        <w:numPr>
          <w:ilvl w:val="0"/>
          <w:numId w:val="29"/>
        </w:numPr>
        <w:tabs>
          <w:tab w:val="left" w:pos="709"/>
        </w:tabs>
      </w:pPr>
      <w:r>
        <w:t>f</w:t>
      </w:r>
      <w:r w:rsidR="00830826" w:rsidRPr="00830826">
        <w:t>rusemide</w:t>
      </w:r>
      <w:r w:rsidRPr="007E515C">
        <w:t xml:space="preserve"> </w:t>
      </w:r>
      <w:r>
        <w:t>for administration by i</w:t>
      </w:r>
      <w:r w:rsidRPr="003C1FD0">
        <w:t>njection</w:t>
      </w:r>
      <w:r>
        <w:t>;</w:t>
      </w:r>
    </w:p>
    <w:p w:rsidR="00830826" w:rsidRDefault="007E515C" w:rsidP="00957BA7">
      <w:pPr>
        <w:pStyle w:val="ListParagraph"/>
        <w:numPr>
          <w:ilvl w:val="0"/>
          <w:numId w:val="29"/>
        </w:numPr>
        <w:tabs>
          <w:tab w:val="left" w:pos="709"/>
        </w:tabs>
      </w:pPr>
      <w:r>
        <w:t>l</w:t>
      </w:r>
      <w:r w:rsidR="00830826" w:rsidRPr="00830826">
        <w:t>amivudine</w:t>
      </w:r>
      <w:r w:rsidR="00830826">
        <w:t xml:space="preserve">, </w:t>
      </w:r>
      <w:r w:rsidR="00911A04">
        <w:t>t</w:t>
      </w:r>
      <w:r w:rsidR="00830826" w:rsidRPr="00830826">
        <w:t>ablet 100 mg</w:t>
      </w:r>
      <w:r w:rsidR="00830826">
        <w:t xml:space="preserve">, </w:t>
      </w:r>
      <w:r w:rsidR="00911A04">
        <w:t>o</w:t>
      </w:r>
      <w:r w:rsidR="00830826" w:rsidRPr="00830826">
        <w:t>ral</w:t>
      </w:r>
      <w:r w:rsidR="00830826">
        <w:t>;</w:t>
      </w:r>
    </w:p>
    <w:p w:rsidR="00830826" w:rsidRDefault="007E515C" w:rsidP="00957BA7">
      <w:pPr>
        <w:pStyle w:val="ListParagraph"/>
        <w:numPr>
          <w:ilvl w:val="0"/>
          <w:numId w:val="29"/>
        </w:numPr>
        <w:tabs>
          <w:tab w:val="left" w:pos="709"/>
        </w:tabs>
      </w:pPr>
      <w:r>
        <w:lastRenderedPageBreak/>
        <w:t>l</w:t>
      </w:r>
      <w:r w:rsidR="00830826" w:rsidRPr="00830826">
        <w:t>amivudine</w:t>
      </w:r>
      <w:r w:rsidR="00830826">
        <w:t xml:space="preserve">, </w:t>
      </w:r>
      <w:r w:rsidR="00911A04">
        <w:t>t</w:t>
      </w:r>
      <w:r w:rsidR="00830826" w:rsidRPr="00830826">
        <w:t>ablet 150 mg</w:t>
      </w:r>
      <w:r w:rsidR="00830826">
        <w:t xml:space="preserve">, </w:t>
      </w:r>
      <w:r w:rsidR="00911A04">
        <w:t>o</w:t>
      </w:r>
      <w:r w:rsidR="00830826" w:rsidRPr="00830826">
        <w:t>ral</w:t>
      </w:r>
      <w:r w:rsidR="00830826">
        <w:t>;</w:t>
      </w:r>
    </w:p>
    <w:p w:rsidR="00BD3D9B" w:rsidRDefault="007E515C" w:rsidP="00957BA7">
      <w:pPr>
        <w:pStyle w:val="ListParagraph"/>
        <w:numPr>
          <w:ilvl w:val="0"/>
          <w:numId w:val="29"/>
        </w:numPr>
        <w:tabs>
          <w:tab w:val="left" w:pos="709"/>
        </w:tabs>
      </w:pPr>
      <w:r>
        <w:t>l</w:t>
      </w:r>
      <w:r w:rsidR="00830826" w:rsidRPr="00830826">
        <w:t>amivudine</w:t>
      </w:r>
      <w:r w:rsidR="00830826">
        <w:t xml:space="preserve">, </w:t>
      </w:r>
      <w:r w:rsidR="00911A04">
        <w:t>t</w:t>
      </w:r>
      <w:r w:rsidR="00830826" w:rsidRPr="00830826">
        <w:t>ablet 300 mg</w:t>
      </w:r>
      <w:r w:rsidR="00830826">
        <w:t xml:space="preserve">, </w:t>
      </w:r>
      <w:r w:rsidR="00911A04">
        <w:t>o</w:t>
      </w:r>
      <w:r w:rsidR="00830826" w:rsidRPr="00830826">
        <w:t>ral</w:t>
      </w:r>
      <w:r w:rsidR="00830826">
        <w:t>;</w:t>
      </w:r>
      <w:r w:rsidDel="007E515C">
        <w:t xml:space="preserve"> </w:t>
      </w:r>
    </w:p>
    <w:p w:rsidR="007E515C" w:rsidRDefault="007E515C" w:rsidP="007E515C">
      <w:pPr>
        <w:pStyle w:val="ListParagraph"/>
        <w:numPr>
          <w:ilvl w:val="0"/>
          <w:numId w:val="29"/>
        </w:numPr>
        <w:tabs>
          <w:tab w:val="left" w:pos="709"/>
        </w:tabs>
      </w:pPr>
      <w:r>
        <w:t>m</w:t>
      </w:r>
      <w:r w:rsidR="00577E89">
        <w:t>eloxicam</w:t>
      </w:r>
      <w:r w:rsidRPr="007E515C">
        <w:t xml:space="preserve"> </w:t>
      </w:r>
      <w:r>
        <w:t>for o</w:t>
      </w:r>
      <w:r w:rsidRPr="003C1FD0">
        <w:t>ral</w:t>
      </w:r>
      <w:r>
        <w:t xml:space="preserve"> administration;</w:t>
      </w:r>
    </w:p>
    <w:p w:rsidR="00830826" w:rsidRDefault="007E515C" w:rsidP="00957BA7">
      <w:pPr>
        <w:pStyle w:val="ListParagraph"/>
        <w:numPr>
          <w:ilvl w:val="0"/>
          <w:numId w:val="29"/>
        </w:numPr>
        <w:tabs>
          <w:tab w:val="left" w:pos="709"/>
        </w:tabs>
      </w:pPr>
      <w:r>
        <w:t>m</w:t>
      </w:r>
      <w:r w:rsidR="00830826" w:rsidRPr="00830826">
        <w:t>ethylprednisolone</w:t>
      </w:r>
      <w:r w:rsidR="00830826">
        <w:t xml:space="preserve">, </w:t>
      </w:r>
      <w:r w:rsidR="00911A04">
        <w:t>p</w:t>
      </w:r>
      <w:r w:rsidR="00830826" w:rsidRPr="00830826">
        <w:t>owder for injection 40 mg (as sodium succinate) with diluent</w:t>
      </w:r>
      <w:r w:rsidR="00830826">
        <w:t xml:space="preserve">, </w:t>
      </w:r>
      <w:r w:rsidR="00911A04">
        <w:t>i</w:t>
      </w:r>
      <w:r w:rsidR="00830826" w:rsidRPr="00830826">
        <w:t>njection</w:t>
      </w:r>
      <w:r w:rsidR="00830826">
        <w:t>;</w:t>
      </w:r>
    </w:p>
    <w:p w:rsidR="007E515C" w:rsidRDefault="007E515C" w:rsidP="007E515C">
      <w:pPr>
        <w:pStyle w:val="ListParagraph"/>
        <w:numPr>
          <w:ilvl w:val="0"/>
          <w:numId w:val="29"/>
        </w:numPr>
        <w:tabs>
          <w:tab w:val="left" w:pos="709"/>
        </w:tabs>
      </w:pPr>
      <w:proofErr w:type="spellStart"/>
      <w:r>
        <w:t>m</w:t>
      </w:r>
      <w:r w:rsidR="00830826" w:rsidRPr="00830826">
        <w:t>ontelukast</w:t>
      </w:r>
      <w:proofErr w:type="spellEnd"/>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r>
        <w:t>n</w:t>
      </w:r>
      <w:r w:rsidR="00830826" w:rsidRPr="00830826">
        <w:t>altrexone</w:t>
      </w:r>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r>
        <w:t>o</w:t>
      </w:r>
      <w:r w:rsidR="00830826" w:rsidRPr="00830826">
        <w:t>lanzapine</w:t>
      </w:r>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proofErr w:type="spellStart"/>
      <w:r>
        <w:t>o</w:t>
      </w:r>
      <w:r w:rsidR="005427EA" w:rsidRPr="005427EA">
        <w:t>xaliplatin</w:t>
      </w:r>
      <w:proofErr w:type="spellEnd"/>
      <w:r w:rsidRPr="007E515C">
        <w:t xml:space="preserve"> </w:t>
      </w:r>
      <w:r>
        <w:t>for administration by i</w:t>
      </w:r>
      <w:r w:rsidRPr="003C1FD0">
        <w:t>njection</w:t>
      </w:r>
      <w:r>
        <w:t>;</w:t>
      </w:r>
    </w:p>
    <w:p w:rsidR="007E515C" w:rsidRDefault="007E515C" w:rsidP="007E515C">
      <w:pPr>
        <w:pStyle w:val="ListParagraph"/>
        <w:numPr>
          <w:ilvl w:val="0"/>
          <w:numId w:val="29"/>
        </w:numPr>
        <w:tabs>
          <w:tab w:val="left" w:pos="709"/>
        </w:tabs>
      </w:pPr>
      <w:proofErr w:type="spellStart"/>
      <w:r>
        <w:t>p</w:t>
      </w:r>
      <w:r w:rsidR="005427EA" w:rsidRPr="005427EA">
        <w:t>ramipexole</w:t>
      </w:r>
      <w:proofErr w:type="spellEnd"/>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proofErr w:type="spellStart"/>
      <w:r>
        <w:t>r</w:t>
      </w:r>
      <w:r w:rsidR="005427EA" w:rsidRPr="005427EA">
        <w:t>isedronic</w:t>
      </w:r>
      <w:proofErr w:type="spellEnd"/>
      <w:r w:rsidR="005427EA" w:rsidRPr="005427EA">
        <w:t xml:space="preserve"> acid</w:t>
      </w:r>
      <w:r w:rsidRPr="007E515C">
        <w:t xml:space="preserve"> </w:t>
      </w:r>
      <w:r>
        <w:t>for o</w:t>
      </w:r>
      <w:r w:rsidRPr="003C1FD0">
        <w:t>ral</w:t>
      </w:r>
      <w:r>
        <w:t xml:space="preserve"> administration;</w:t>
      </w:r>
    </w:p>
    <w:p w:rsidR="005427EA" w:rsidRDefault="007E515C" w:rsidP="00957BA7">
      <w:pPr>
        <w:pStyle w:val="ListParagraph"/>
        <w:numPr>
          <w:ilvl w:val="0"/>
          <w:numId w:val="29"/>
        </w:numPr>
        <w:tabs>
          <w:tab w:val="left" w:pos="709"/>
        </w:tabs>
      </w:pPr>
      <w:r>
        <w:t>r</w:t>
      </w:r>
      <w:r w:rsidR="005427EA" w:rsidRPr="005427EA">
        <w:t>isperidone</w:t>
      </w:r>
      <w:r w:rsidR="005427EA">
        <w:t xml:space="preserve">, </w:t>
      </w:r>
      <w:r w:rsidR="00911A04">
        <w:t>t</w:t>
      </w:r>
      <w:r w:rsidR="005427EA" w:rsidRPr="005427EA">
        <w:t>ablet 0.5 mg</w:t>
      </w:r>
      <w:r w:rsidR="005427EA">
        <w:t xml:space="preserve">, </w:t>
      </w:r>
      <w:r w:rsidR="00911A04">
        <w:t>o</w:t>
      </w:r>
      <w:r w:rsidR="005427EA" w:rsidRPr="005427EA">
        <w:t>ral</w:t>
      </w:r>
      <w:r w:rsidR="005427EA">
        <w:t>;</w:t>
      </w:r>
    </w:p>
    <w:p w:rsidR="007E515C" w:rsidRDefault="007E515C" w:rsidP="007E515C">
      <w:pPr>
        <w:pStyle w:val="ListParagraph"/>
        <w:numPr>
          <w:ilvl w:val="0"/>
          <w:numId w:val="29"/>
        </w:numPr>
        <w:tabs>
          <w:tab w:val="left" w:pos="709"/>
        </w:tabs>
      </w:pPr>
      <w:proofErr w:type="spellStart"/>
      <w:r>
        <w:t>r</w:t>
      </w:r>
      <w:r w:rsidR="005427EA" w:rsidRPr="005427EA">
        <w:t>osuvastatin</w:t>
      </w:r>
      <w:proofErr w:type="spellEnd"/>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r>
        <w:t>t</w:t>
      </w:r>
      <w:r w:rsidR="005427EA" w:rsidRPr="005427EA">
        <w:t>acrolimus</w:t>
      </w:r>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proofErr w:type="spellStart"/>
      <w:r>
        <w:t>t</w:t>
      </w:r>
      <w:r w:rsidR="005427EA" w:rsidRPr="005427EA">
        <w:t>elmisartan</w:t>
      </w:r>
      <w:proofErr w:type="spellEnd"/>
      <w:r w:rsidR="005427EA" w:rsidRPr="005427EA">
        <w:t xml:space="preserve"> with hydrochlorothiazide</w:t>
      </w:r>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r>
        <w:t>t</w:t>
      </w:r>
      <w:r w:rsidR="005427EA" w:rsidRPr="005427EA">
        <w:t>erbinafine</w:t>
      </w:r>
      <w:r w:rsidRPr="007E515C">
        <w:t xml:space="preserve"> </w:t>
      </w:r>
      <w:r>
        <w:t>for o</w:t>
      </w:r>
      <w:r w:rsidRPr="003C1FD0">
        <w:t>ral</w:t>
      </w:r>
      <w:r>
        <w:t xml:space="preserve"> administration;</w:t>
      </w:r>
    </w:p>
    <w:p w:rsidR="007E515C" w:rsidRDefault="007E515C" w:rsidP="007E515C">
      <w:pPr>
        <w:pStyle w:val="ListParagraph"/>
        <w:numPr>
          <w:ilvl w:val="0"/>
          <w:numId w:val="29"/>
        </w:numPr>
        <w:tabs>
          <w:tab w:val="left" w:pos="709"/>
        </w:tabs>
      </w:pPr>
      <w:proofErr w:type="spellStart"/>
      <w:r>
        <w:t>v</w:t>
      </w:r>
      <w:r w:rsidR="005427EA" w:rsidRPr="005427EA">
        <w:t>alproic</w:t>
      </w:r>
      <w:proofErr w:type="spellEnd"/>
      <w:r w:rsidR="005427EA" w:rsidRPr="005427EA">
        <w:t xml:space="preserve"> acid</w:t>
      </w:r>
      <w:r w:rsidRPr="007E515C">
        <w:t xml:space="preserve"> </w:t>
      </w:r>
      <w:r>
        <w:t>for o</w:t>
      </w:r>
      <w:r w:rsidRPr="003C1FD0">
        <w:t>ral</w:t>
      </w:r>
      <w:r>
        <w:t xml:space="preserve"> administration; and</w:t>
      </w:r>
    </w:p>
    <w:p w:rsidR="007E515C" w:rsidRDefault="007E515C" w:rsidP="007E515C">
      <w:pPr>
        <w:pStyle w:val="ListParagraph"/>
        <w:numPr>
          <w:ilvl w:val="0"/>
          <w:numId w:val="29"/>
        </w:numPr>
        <w:tabs>
          <w:tab w:val="left" w:pos="709"/>
        </w:tabs>
      </w:pPr>
      <w:proofErr w:type="spellStart"/>
      <w:proofErr w:type="gramStart"/>
      <w:r>
        <w:t>v</w:t>
      </w:r>
      <w:r w:rsidR="005427EA" w:rsidRPr="005427EA">
        <w:t>inorelbine</w:t>
      </w:r>
      <w:proofErr w:type="spellEnd"/>
      <w:proofErr w:type="gramEnd"/>
      <w:r w:rsidRPr="007E515C">
        <w:t xml:space="preserve"> </w:t>
      </w:r>
      <w:r>
        <w:t>for administration by i</w:t>
      </w:r>
      <w:r w:rsidRPr="003C1FD0">
        <w:t>njection</w:t>
      </w:r>
      <w:r>
        <w:t>.</w:t>
      </w:r>
    </w:p>
    <w:p w:rsidR="007E515C" w:rsidRDefault="007E515C" w:rsidP="00957BA7"/>
    <w:p w:rsidR="00125D44" w:rsidRDefault="00227BFC" w:rsidP="00957BA7">
      <w:pPr>
        <w:rPr>
          <w:szCs w:val="24"/>
        </w:rPr>
      </w:pPr>
      <w:r w:rsidRPr="005427EA">
        <w:t>T</w:t>
      </w:r>
      <w:r w:rsidR="007E3BBC" w:rsidRPr="005427EA">
        <w:t xml:space="preserve">he Principal Instrument was made pursuant to </w:t>
      </w:r>
      <w:r w:rsidR="007E3BBC" w:rsidRPr="005427EA">
        <w:rPr>
          <w:szCs w:val="24"/>
        </w:rPr>
        <w:t xml:space="preserve">subsection </w:t>
      </w:r>
      <w:proofErr w:type="gramStart"/>
      <w:r w:rsidR="007E3BBC" w:rsidRPr="005427EA">
        <w:rPr>
          <w:szCs w:val="24"/>
        </w:rPr>
        <w:t>99ADB</w:t>
      </w:r>
      <w:r w:rsidR="007E3BBC" w:rsidRPr="00D1438E">
        <w:rPr>
          <w:szCs w:val="24"/>
        </w:rPr>
        <w:t>(</w:t>
      </w:r>
      <w:proofErr w:type="gramEnd"/>
      <w:r w:rsidR="007E3BBC" w:rsidRPr="00D1438E">
        <w:rPr>
          <w:szCs w:val="24"/>
        </w:rPr>
        <w:t>4) and paragraph 99ADH(1)(aa) of the</w:t>
      </w:r>
      <w:r w:rsidR="007C63B5" w:rsidRPr="00D1438E">
        <w:rPr>
          <w:szCs w:val="24"/>
        </w:rPr>
        <w:t xml:space="preserve"> Act for brands of pharmaceutical items with a data collection period ending</w:t>
      </w:r>
      <w:r w:rsidR="00D1438E">
        <w:rPr>
          <w:szCs w:val="24"/>
        </w:rPr>
        <w:t xml:space="preserve"> </w:t>
      </w:r>
      <w:r w:rsidR="00B7646E">
        <w:rPr>
          <w:szCs w:val="24"/>
        </w:rPr>
        <w:t>3</w:t>
      </w:r>
      <w:r w:rsidR="00C26421">
        <w:rPr>
          <w:szCs w:val="24"/>
        </w:rPr>
        <w:t>0</w:t>
      </w:r>
      <w:r w:rsidR="00B7646E">
        <w:rPr>
          <w:szCs w:val="24"/>
        </w:rPr>
        <w:t xml:space="preserve"> </w:t>
      </w:r>
      <w:r w:rsidR="00C26421">
        <w:rPr>
          <w:szCs w:val="24"/>
        </w:rPr>
        <w:t>September</w:t>
      </w:r>
      <w:r w:rsidR="0098097E">
        <w:rPr>
          <w:szCs w:val="24"/>
        </w:rPr>
        <w:t xml:space="preserve"> </w:t>
      </w:r>
      <w:r w:rsidR="00D1438E">
        <w:rPr>
          <w:szCs w:val="24"/>
        </w:rPr>
        <w:t>201</w:t>
      </w:r>
      <w:r w:rsidR="00B7646E">
        <w:rPr>
          <w:szCs w:val="24"/>
        </w:rPr>
        <w:t>7</w:t>
      </w:r>
      <w:r w:rsidR="0044245A">
        <w:rPr>
          <w:szCs w:val="24"/>
        </w:rPr>
        <w:t xml:space="preserve"> (201</w:t>
      </w:r>
      <w:r w:rsidR="007E515C">
        <w:rPr>
          <w:szCs w:val="24"/>
        </w:rPr>
        <w:t>8</w:t>
      </w:r>
      <w:r w:rsidR="007C63B5" w:rsidRPr="00D1438E">
        <w:rPr>
          <w:szCs w:val="24"/>
        </w:rPr>
        <w:t xml:space="preserve"> </w:t>
      </w:r>
      <w:r w:rsidR="00C26421">
        <w:rPr>
          <w:szCs w:val="24"/>
        </w:rPr>
        <w:t xml:space="preserve">April </w:t>
      </w:r>
      <w:r w:rsidR="007C63B5" w:rsidRPr="00D1438E">
        <w:rPr>
          <w:szCs w:val="24"/>
        </w:rPr>
        <w:t>cycle)</w:t>
      </w:r>
      <w:r w:rsidR="007E3BBC" w:rsidRPr="00D1438E">
        <w:rPr>
          <w:szCs w:val="24"/>
        </w:rPr>
        <w:t>.</w:t>
      </w:r>
    </w:p>
    <w:p w:rsidR="00552183" w:rsidRPr="004442BE" w:rsidRDefault="00CC0026" w:rsidP="00552183">
      <w:pPr>
        <w:spacing w:before="120" w:after="120"/>
        <w:rPr>
          <w:b/>
          <w:i/>
          <w:szCs w:val="24"/>
        </w:rPr>
      </w:pPr>
      <w:r w:rsidRPr="00CC0026">
        <w:rPr>
          <w:b/>
          <w:szCs w:val="24"/>
        </w:rPr>
        <w:t>Amendment</w:t>
      </w:r>
      <w:r w:rsidR="00AB5DA0">
        <w:rPr>
          <w:b/>
          <w:szCs w:val="24"/>
        </w:rPr>
        <w:t>s</w:t>
      </w:r>
    </w:p>
    <w:p w:rsidR="002312AB" w:rsidRPr="00957BA7" w:rsidRDefault="009735D8" w:rsidP="00DB3EA2">
      <w:pPr>
        <w:spacing w:after="60"/>
        <w:rPr>
          <w:iCs/>
        </w:rPr>
      </w:pPr>
      <w:r w:rsidRPr="00957BA7">
        <w:t xml:space="preserve">Amendments are being made following </w:t>
      </w:r>
      <w:r w:rsidR="00F16563">
        <w:t>commencement</w:t>
      </w:r>
      <w:r w:rsidR="00C14E20">
        <w:t xml:space="preserve"> of </w:t>
      </w:r>
      <w:r w:rsidR="00064726">
        <w:t xml:space="preserve">changes to the Act by </w:t>
      </w:r>
      <w:r w:rsidR="00C14E20">
        <w:t xml:space="preserve">the </w:t>
      </w:r>
      <w:r w:rsidRPr="00444D1E">
        <w:rPr>
          <w:i/>
          <w:iCs/>
        </w:rPr>
        <w:t>National Health Amendment (Pharmaceutical Benefits</w:t>
      </w:r>
      <w:r w:rsidR="00444D1E" w:rsidRPr="00444D1E">
        <w:rPr>
          <w:i/>
          <w:iCs/>
        </w:rPr>
        <w:t>—Budget and Other Measures) Act</w:t>
      </w:r>
      <w:r w:rsidRPr="00444D1E">
        <w:rPr>
          <w:i/>
          <w:iCs/>
        </w:rPr>
        <w:t xml:space="preserve"> 201</w:t>
      </w:r>
      <w:r w:rsidR="00F16563">
        <w:rPr>
          <w:i/>
          <w:iCs/>
        </w:rPr>
        <w:t>7</w:t>
      </w:r>
      <w:r w:rsidR="00F16563">
        <w:rPr>
          <w:iCs/>
        </w:rPr>
        <w:t xml:space="preserve">. </w:t>
      </w:r>
      <w:r w:rsidR="002312AB" w:rsidRPr="00957BA7">
        <w:rPr>
          <w:iCs/>
        </w:rPr>
        <w:t xml:space="preserve"> </w:t>
      </w:r>
      <w:r w:rsidR="00C14E20">
        <w:rPr>
          <w:iCs/>
        </w:rPr>
        <w:t>A</w:t>
      </w:r>
      <w:r w:rsidR="002312AB" w:rsidRPr="00957BA7">
        <w:rPr>
          <w:iCs/>
        </w:rPr>
        <w:t xml:space="preserve">mendments </w:t>
      </w:r>
      <w:r w:rsidR="00C14E20">
        <w:t>included</w:t>
      </w:r>
      <w:r w:rsidR="00C14E20">
        <w:rPr>
          <w:szCs w:val="24"/>
        </w:rPr>
        <w:t xml:space="preserve"> </w:t>
      </w:r>
      <w:r w:rsidR="00F16563">
        <w:rPr>
          <w:szCs w:val="24"/>
        </w:rPr>
        <w:t>changes to the price disclosure requirements under Division 3B of the Act</w:t>
      </w:r>
      <w:r w:rsidR="002312AB" w:rsidRPr="00957BA7">
        <w:rPr>
          <w:iCs/>
        </w:rPr>
        <w:t>.</w:t>
      </w:r>
    </w:p>
    <w:p w:rsidR="002312AB" w:rsidRPr="00957BA7" w:rsidRDefault="002312AB" w:rsidP="00DB3EA2">
      <w:pPr>
        <w:spacing w:after="60"/>
        <w:rPr>
          <w:iCs/>
        </w:rPr>
      </w:pPr>
      <w:r w:rsidRPr="00957BA7">
        <w:rPr>
          <w:iCs/>
        </w:rPr>
        <w:t xml:space="preserve">This amending instrument </w:t>
      </w:r>
      <w:r w:rsidR="00C14E20">
        <w:rPr>
          <w:iCs/>
        </w:rPr>
        <w:t>re-allocates</w:t>
      </w:r>
      <w:r w:rsidRPr="00957BA7">
        <w:rPr>
          <w:iCs/>
        </w:rPr>
        <w:t xml:space="preserve"> brands of pharmaceutical items </w:t>
      </w:r>
      <w:r w:rsidR="00C14E20">
        <w:rPr>
          <w:iCs/>
        </w:rPr>
        <w:t>from</w:t>
      </w:r>
      <w:r w:rsidR="00E74F9A">
        <w:rPr>
          <w:iCs/>
        </w:rPr>
        <w:t xml:space="preserve"> Schedule 1 </w:t>
      </w:r>
      <w:r w:rsidR="00C14E20">
        <w:rPr>
          <w:iCs/>
        </w:rPr>
        <w:t xml:space="preserve">to Schedule 2 </w:t>
      </w:r>
      <w:r w:rsidR="00E74F9A">
        <w:rPr>
          <w:iCs/>
        </w:rPr>
        <w:t xml:space="preserve">of the Principal Instrument because </w:t>
      </w:r>
      <w:r w:rsidR="00C14E20">
        <w:rPr>
          <w:iCs/>
        </w:rPr>
        <w:t>they</w:t>
      </w:r>
      <w:r w:rsidR="00E74F9A">
        <w:rPr>
          <w:iCs/>
        </w:rPr>
        <w:t xml:space="preserve"> </w:t>
      </w:r>
      <w:r w:rsidRPr="00957BA7">
        <w:rPr>
          <w:iCs/>
        </w:rPr>
        <w:t>no longer meet the criteria for a price reduction on the reduction day.</w:t>
      </w:r>
    </w:p>
    <w:p w:rsidR="008A7404" w:rsidRPr="00154759" w:rsidRDefault="008A7404" w:rsidP="00F47236">
      <w:pPr>
        <w:keepNext/>
        <w:keepLines/>
        <w:spacing w:after="60"/>
        <w:rPr>
          <w:i/>
        </w:rPr>
      </w:pPr>
      <w:r w:rsidRPr="00154759">
        <w:rPr>
          <w:i/>
        </w:rPr>
        <w:t>Basis for amendments</w:t>
      </w:r>
    </w:p>
    <w:p w:rsidR="00784E23" w:rsidRPr="00784E23" w:rsidRDefault="003F0712" w:rsidP="00784E23">
      <w:pPr>
        <w:keepNext/>
        <w:keepLines/>
      </w:pPr>
      <w:r w:rsidRPr="00185C7F">
        <w:t xml:space="preserve">Subsection 33(3) of the </w:t>
      </w:r>
      <w:r w:rsidRPr="00185C7F">
        <w:rPr>
          <w:i/>
        </w:rPr>
        <w:t>Acts Interpretation Act 1901</w:t>
      </w:r>
      <w:r w:rsidRPr="00185C7F">
        <w:t xml:space="preserve"> is relied upon to vary</w:t>
      </w:r>
      <w:r w:rsidR="008A7404">
        <w:t xml:space="preserve"> or revoke</w:t>
      </w:r>
      <w:r w:rsidRPr="00185C7F">
        <w:t xml:space="preserve"> the determination made under subsection </w:t>
      </w:r>
      <w:proofErr w:type="gramStart"/>
      <w:r w:rsidRPr="00185C7F">
        <w:t>99ADB(</w:t>
      </w:r>
      <w:proofErr w:type="gramEnd"/>
      <w:r w:rsidRPr="00185C7F">
        <w:t>4) for</w:t>
      </w:r>
      <w:r w:rsidR="008A7404">
        <w:t xml:space="preserve"> the medicines affected by this amending instrument</w:t>
      </w:r>
      <w:r w:rsidRPr="00185C7F">
        <w:t xml:space="preserve">. </w:t>
      </w:r>
    </w:p>
    <w:p w:rsidR="00017E2D" w:rsidRPr="00185C7F" w:rsidRDefault="00391FA2" w:rsidP="00807FB4">
      <w:pPr>
        <w:spacing w:before="120" w:after="120"/>
        <w:rPr>
          <w:b/>
          <w:szCs w:val="24"/>
        </w:rPr>
      </w:pPr>
      <w:r w:rsidRPr="00185C7F">
        <w:rPr>
          <w:b/>
          <w:szCs w:val="24"/>
        </w:rPr>
        <w:t>Consultation</w:t>
      </w:r>
    </w:p>
    <w:p w:rsidR="006B4542" w:rsidRDefault="0015121E" w:rsidP="006B4542">
      <w:pPr>
        <w:spacing w:before="120" w:after="120"/>
      </w:pPr>
      <w:r w:rsidRPr="00F8442C">
        <w:rPr>
          <w:szCs w:val="24"/>
        </w:rPr>
        <w:t>This instrum</w:t>
      </w:r>
      <w:r w:rsidR="005657FE">
        <w:rPr>
          <w:szCs w:val="24"/>
        </w:rPr>
        <w:t>ent affects companies that are R</w:t>
      </w:r>
      <w:r>
        <w:rPr>
          <w:szCs w:val="24"/>
        </w:rPr>
        <w:t>esponsi</w:t>
      </w:r>
      <w:r w:rsidR="00BF4487">
        <w:rPr>
          <w:szCs w:val="24"/>
        </w:rPr>
        <w:t xml:space="preserve">ble </w:t>
      </w:r>
      <w:r w:rsidR="005657FE">
        <w:rPr>
          <w:szCs w:val="24"/>
        </w:rPr>
        <w:t>P</w:t>
      </w:r>
      <w:r>
        <w:rPr>
          <w:szCs w:val="24"/>
        </w:rPr>
        <w:t>erson</w:t>
      </w:r>
      <w:r w:rsidR="005657FE">
        <w:rPr>
          <w:szCs w:val="24"/>
        </w:rPr>
        <w:t>s</w:t>
      </w:r>
      <w:r w:rsidRPr="00F8442C">
        <w:rPr>
          <w:szCs w:val="24"/>
        </w:rPr>
        <w:t xml:space="preserve"> </w:t>
      </w:r>
      <w:r w:rsidR="006B4542">
        <w:rPr>
          <w:szCs w:val="24"/>
        </w:rPr>
        <w:t>for a</w:t>
      </w:r>
      <w:r w:rsidR="006B4542">
        <w:t xml:space="preserve">ll brands of all pharmaceutical items containing the following drugs and manners of administration (except where a particular pharmaceutical item is specified; only Responsible Persons for brands of that pharmaceutical item are affected): </w:t>
      </w:r>
    </w:p>
    <w:p w:rsidR="006B4542" w:rsidRDefault="006B4542" w:rsidP="006B4542">
      <w:pPr>
        <w:pStyle w:val="ListParagraph"/>
        <w:numPr>
          <w:ilvl w:val="0"/>
          <w:numId w:val="29"/>
        </w:numPr>
        <w:tabs>
          <w:tab w:val="left" w:pos="709"/>
        </w:tabs>
      </w:pPr>
      <w:proofErr w:type="spellStart"/>
      <w:r>
        <w:t>a</w:t>
      </w:r>
      <w:r w:rsidRPr="005435C9">
        <w:t>lendronic</w:t>
      </w:r>
      <w:proofErr w:type="spellEnd"/>
      <w:r w:rsidRPr="005435C9">
        <w:t xml:space="preserve"> acid</w:t>
      </w:r>
      <w:r>
        <w:t xml:space="preserve"> for o</w:t>
      </w:r>
      <w:r w:rsidRPr="003C1FD0">
        <w:t>ral</w:t>
      </w:r>
      <w:r>
        <w:t xml:space="preserve"> administration;</w:t>
      </w:r>
    </w:p>
    <w:p w:rsidR="006B4542" w:rsidRDefault="006B4542" w:rsidP="006B4542">
      <w:pPr>
        <w:pStyle w:val="ListParagraph"/>
        <w:numPr>
          <w:ilvl w:val="0"/>
          <w:numId w:val="29"/>
        </w:numPr>
        <w:tabs>
          <w:tab w:val="left" w:pos="709"/>
        </w:tabs>
      </w:pPr>
      <w:proofErr w:type="spellStart"/>
      <w:r>
        <w:t>a</w:t>
      </w:r>
      <w:r w:rsidRPr="003C1FD0">
        <w:t>moxycillin</w:t>
      </w:r>
      <w:proofErr w:type="spellEnd"/>
      <w:r w:rsidRPr="003C1FD0">
        <w:t xml:space="preserve"> with clavulanic acid</w:t>
      </w:r>
      <w:r w:rsidRPr="001F2AF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a</w:t>
      </w:r>
      <w:r w:rsidRPr="003C1FD0">
        <w:t>mpicillin</w:t>
      </w:r>
      <w:r>
        <w:t xml:space="preserve"> for administration by i</w:t>
      </w:r>
      <w:r w:rsidRPr="003C1FD0">
        <w:t>njection</w:t>
      </w:r>
      <w:r>
        <w:t>;</w:t>
      </w:r>
    </w:p>
    <w:p w:rsidR="006B4542" w:rsidRDefault="006B4542" w:rsidP="006B4542">
      <w:pPr>
        <w:pStyle w:val="ListParagraph"/>
        <w:numPr>
          <w:ilvl w:val="0"/>
          <w:numId w:val="29"/>
        </w:numPr>
        <w:tabs>
          <w:tab w:val="left" w:pos="709"/>
        </w:tabs>
      </w:pPr>
      <w:proofErr w:type="spellStart"/>
      <w:r>
        <w:t>a</w:t>
      </w:r>
      <w:r w:rsidRPr="003C1FD0">
        <w:t>nastrozole</w:t>
      </w:r>
      <w:proofErr w:type="spellEnd"/>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a</w:t>
      </w:r>
      <w:r w:rsidRPr="003C1FD0">
        <w:t>zathioprine</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a</w:t>
      </w:r>
      <w:r w:rsidRPr="003C1FD0">
        <w:t>zithromycin</w:t>
      </w:r>
      <w:r>
        <w:t>, t</w:t>
      </w:r>
      <w:r w:rsidRPr="003C1FD0">
        <w:t xml:space="preserve">ablet 500 mg (as </w:t>
      </w:r>
      <w:proofErr w:type="spellStart"/>
      <w:r w:rsidRPr="003C1FD0">
        <w:t>dihydrate</w:t>
      </w:r>
      <w:proofErr w:type="spellEnd"/>
      <w:r w:rsidRPr="003C1FD0">
        <w:t>)</w:t>
      </w:r>
      <w:r>
        <w:t>, oral;</w:t>
      </w:r>
    </w:p>
    <w:p w:rsidR="006B4542" w:rsidRDefault="006B4542" w:rsidP="006B4542">
      <w:pPr>
        <w:pStyle w:val="ListParagraph"/>
        <w:numPr>
          <w:ilvl w:val="0"/>
          <w:numId w:val="29"/>
        </w:numPr>
        <w:tabs>
          <w:tab w:val="left" w:pos="709"/>
        </w:tabs>
      </w:pPr>
      <w:r>
        <w:t>b</w:t>
      </w:r>
      <w:r w:rsidRPr="003C1FD0">
        <w:t>leomycin</w:t>
      </w:r>
      <w:r w:rsidRPr="000026DE">
        <w:t xml:space="preserve"> </w:t>
      </w:r>
      <w:r>
        <w:t>for administration by i</w:t>
      </w:r>
      <w:r w:rsidRPr="003C1FD0">
        <w:t>njection</w:t>
      </w:r>
      <w:r>
        <w:t>;</w:t>
      </w:r>
    </w:p>
    <w:p w:rsidR="006B4542" w:rsidRDefault="006B4542" w:rsidP="006B4542">
      <w:pPr>
        <w:pStyle w:val="ListParagraph"/>
        <w:numPr>
          <w:ilvl w:val="0"/>
          <w:numId w:val="29"/>
        </w:numPr>
        <w:tabs>
          <w:tab w:val="left" w:pos="709"/>
        </w:tabs>
      </w:pPr>
      <w:r>
        <w:lastRenderedPageBreak/>
        <w:t>c</w:t>
      </w:r>
      <w:r w:rsidRPr="003C1FD0">
        <w:t>andesartan</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c</w:t>
      </w:r>
      <w:r w:rsidRPr="003C1FD0">
        <w:t>andesartan with hydrochlorothiazide</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c</w:t>
      </w:r>
      <w:r w:rsidRPr="003C1FD0">
        <w:t>arvedilol</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c</w:t>
      </w:r>
      <w:r w:rsidRPr="003C1FD0">
        <w:t>eftriaxone</w:t>
      </w:r>
      <w:r w:rsidRPr="000026DE">
        <w:t xml:space="preserve"> </w:t>
      </w:r>
      <w:r>
        <w:t>for administration by i</w:t>
      </w:r>
      <w:r w:rsidRPr="003C1FD0">
        <w:t>njection</w:t>
      </w:r>
      <w:r>
        <w:t>;</w:t>
      </w:r>
    </w:p>
    <w:p w:rsidR="006B4542" w:rsidRDefault="006B4542" w:rsidP="006B4542">
      <w:pPr>
        <w:pStyle w:val="ListParagraph"/>
        <w:numPr>
          <w:ilvl w:val="0"/>
          <w:numId w:val="29"/>
        </w:numPr>
        <w:tabs>
          <w:tab w:val="left" w:pos="709"/>
        </w:tabs>
      </w:pPr>
      <w:proofErr w:type="spellStart"/>
      <w:r>
        <w:t>c</w:t>
      </w:r>
      <w:r w:rsidRPr="008A23D8">
        <w:t>ephazolin</w:t>
      </w:r>
      <w:proofErr w:type="spellEnd"/>
      <w:r w:rsidRPr="000026DE">
        <w:t xml:space="preserve"> </w:t>
      </w:r>
      <w:r>
        <w:t>for administration by i</w:t>
      </w:r>
      <w:r w:rsidRPr="003C1FD0">
        <w:t>njection</w:t>
      </w:r>
      <w:r>
        <w:t>;</w:t>
      </w:r>
    </w:p>
    <w:p w:rsidR="006B4542" w:rsidRDefault="006B4542" w:rsidP="006B4542">
      <w:pPr>
        <w:pStyle w:val="ListParagraph"/>
        <w:numPr>
          <w:ilvl w:val="0"/>
          <w:numId w:val="29"/>
        </w:numPr>
        <w:tabs>
          <w:tab w:val="left" w:pos="709"/>
        </w:tabs>
      </w:pPr>
      <w:r>
        <w:t>c</w:t>
      </w:r>
      <w:r w:rsidRPr="008A23D8">
        <w:t>iprofloxacin</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c</w:t>
      </w:r>
      <w:r w:rsidRPr="008A23D8">
        <w:t>lindamycin</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d</w:t>
      </w:r>
      <w:r w:rsidRPr="008A23D8">
        <w:t>examethasone</w:t>
      </w:r>
      <w:r>
        <w:t>, i</w:t>
      </w:r>
      <w:r w:rsidRPr="008A23D8">
        <w:t>ntravitreal injection 700 micrograms</w:t>
      </w:r>
      <w:r>
        <w:t>, i</w:t>
      </w:r>
      <w:r w:rsidRPr="008A23D8">
        <w:t>njection</w:t>
      </w:r>
      <w:r>
        <w:t>;</w:t>
      </w:r>
    </w:p>
    <w:p w:rsidR="006B4542" w:rsidRDefault="006B4542" w:rsidP="006B4542">
      <w:pPr>
        <w:pStyle w:val="ListParagraph"/>
        <w:numPr>
          <w:ilvl w:val="0"/>
          <w:numId w:val="29"/>
        </w:numPr>
        <w:tabs>
          <w:tab w:val="left" w:pos="709"/>
        </w:tabs>
      </w:pPr>
      <w:r>
        <w:t>e</w:t>
      </w:r>
      <w:r w:rsidRPr="008A23D8">
        <w:t>scitalopram</w:t>
      </w:r>
      <w:r w:rsidRPr="000026DE">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f</w:t>
      </w:r>
      <w:r w:rsidRPr="008A23D8">
        <w:t>entanyl</w:t>
      </w:r>
      <w:r>
        <w:t xml:space="preserve"> for t</w:t>
      </w:r>
      <w:r w:rsidRPr="008A23D8">
        <w:t>ransdermal</w:t>
      </w:r>
      <w:r>
        <w:t xml:space="preserve"> administration;</w:t>
      </w:r>
    </w:p>
    <w:p w:rsidR="006B4542" w:rsidRDefault="006B4542" w:rsidP="006B4542">
      <w:pPr>
        <w:pStyle w:val="ListParagraph"/>
        <w:numPr>
          <w:ilvl w:val="0"/>
          <w:numId w:val="29"/>
        </w:numPr>
        <w:tabs>
          <w:tab w:val="left" w:pos="709"/>
        </w:tabs>
      </w:pPr>
      <w:proofErr w:type="spellStart"/>
      <w:r>
        <w:t>f</w:t>
      </w:r>
      <w:r w:rsidRPr="00830826">
        <w:t>ilgrastim</w:t>
      </w:r>
      <w:proofErr w:type="spellEnd"/>
      <w:r w:rsidRPr="007E515C">
        <w:t xml:space="preserve"> </w:t>
      </w:r>
      <w:r>
        <w:t>for administration by i</w:t>
      </w:r>
      <w:r w:rsidRPr="003C1FD0">
        <w:t>njection</w:t>
      </w:r>
      <w:r>
        <w:t>;</w:t>
      </w:r>
    </w:p>
    <w:p w:rsidR="006B4542" w:rsidRDefault="006B4542" w:rsidP="006B4542">
      <w:pPr>
        <w:pStyle w:val="ListParagraph"/>
        <w:numPr>
          <w:ilvl w:val="0"/>
          <w:numId w:val="29"/>
        </w:numPr>
        <w:tabs>
          <w:tab w:val="left" w:pos="709"/>
        </w:tabs>
      </w:pPr>
      <w:r>
        <w:t>f</w:t>
      </w:r>
      <w:r w:rsidRPr="00830826">
        <w:t>rusemide</w:t>
      </w:r>
      <w:r w:rsidRPr="007E515C">
        <w:t xml:space="preserve"> </w:t>
      </w:r>
      <w:r>
        <w:t>for administration by i</w:t>
      </w:r>
      <w:r w:rsidRPr="003C1FD0">
        <w:t>njection</w:t>
      </w:r>
      <w:r>
        <w:t>;</w:t>
      </w:r>
    </w:p>
    <w:p w:rsidR="006B4542" w:rsidRDefault="006B4542" w:rsidP="006B4542">
      <w:pPr>
        <w:pStyle w:val="ListParagraph"/>
        <w:numPr>
          <w:ilvl w:val="0"/>
          <w:numId w:val="29"/>
        </w:numPr>
        <w:tabs>
          <w:tab w:val="left" w:pos="709"/>
        </w:tabs>
      </w:pPr>
      <w:r>
        <w:t>l</w:t>
      </w:r>
      <w:r w:rsidRPr="00830826">
        <w:t>amivudine</w:t>
      </w:r>
      <w:r>
        <w:t>, t</w:t>
      </w:r>
      <w:r w:rsidRPr="00830826">
        <w:t>ablet 100 mg</w:t>
      </w:r>
      <w:r>
        <w:t>, o</w:t>
      </w:r>
      <w:r w:rsidRPr="00830826">
        <w:t>ral</w:t>
      </w:r>
      <w:r>
        <w:t>;</w:t>
      </w:r>
    </w:p>
    <w:p w:rsidR="006B4542" w:rsidRDefault="006B4542" w:rsidP="006B4542">
      <w:pPr>
        <w:pStyle w:val="ListParagraph"/>
        <w:numPr>
          <w:ilvl w:val="0"/>
          <w:numId w:val="29"/>
        </w:numPr>
        <w:tabs>
          <w:tab w:val="left" w:pos="709"/>
        </w:tabs>
      </w:pPr>
      <w:r>
        <w:t>l</w:t>
      </w:r>
      <w:r w:rsidRPr="00830826">
        <w:t>amivudine</w:t>
      </w:r>
      <w:r>
        <w:t>, t</w:t>
      </w:r>
      <w:r w:rsidRPr="00830826">
        <w:t>ablet 150 mg</w:t>
      </w:r>
      <w:r>
        <w:t>, o</w:t>
      </w:r>
      <w:r w:rsidRPr="00830826">
        <w:t>ral</w:t>
      </w:r>
      <w:r>
        <w:t>;</w:t>
      </w:r>
    </w:p>
    <w:p w:rsidR="006B4542" w:rsidRDefault="006B4542" w:rsidP="006B4542">
      <w:pPr>
        <w:pStyle w:val="ListParagraph"/>
        <w:numPr>
          <w:ilvl w:val="0"/>
          <w:numId w:val="29"/>
        </w:numPr>
        <w:tabs>
          <w:tab w:val="left" w:pos="709"/>
        </w:tabs>
      </w:pPr>
      <w:r>
        <w:t>l</w:t>
      </w:r>
      <w:r w:rsidRPr="00830826">
        <w:t>amivudine</w:t>
      </w:r>
      <w:r>
        <w:t>, t</w:t>
      </w:r>
      <w:r w:rsidRPr="00830826">
        <w:t>ablet 300 mg</w:t>
      </w:r>
      <w:r>
        <w:t>, o</w:t>
      </w:r>
      <w:r w:rsidRPr="00830826">
        <w:t>ral</w:t>
      </w:r>
      <w:r>
        <w:t>;</w:t>
      </w:r>
      <w:r w:rsidDel="007E515C">
        <w:t xml:space="preserve"> </w:t>
      </w:r>
    </w:p>
    <w:p w:rsidR="006B4542" w:rsidRDefault="006B4542" w:rsidP="006B4542">
      <w:pPr>
        <w:pStyle w:val="ListParagraph"/>
        <w:numPr>
          <w:ilvl w:val="0"/>
          <w:numId w:val="29"/>
        </w:numPr>
        <w:tabs>
          <w:tab w:val="left" w:pos="709"/>
        </w:tabs>
      </w:pPr>
      <w:r>
        <w:t>meloxicam</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m</w:t>
      </w:r>
      <w:r w:rsidRPr="00830826">
        <w:t>ethylprednisolone</w:t>
      </w:r>
      <w:r>
        <w:t>, p</w:t>
      </w:r>
      <w:r w:rsidRPr="00830826">
        <w:t>owder for injection 40 mg (as sodium succinate) with diluent</w:t>
      </w:r>
      <w:r>
        <w:t>, i</w:t>
      </w:r>
      <w:r w:rsidRPr="00830826">
        <w:t>njection</w:t>
      </w:r>
      <w:r>
        <w:t>;</w:t>
      </w:r>
    </w:p>
    <w:p w:rsidR="006B4542" w:rsidRDefault="006B4542" w:rsidP="006B4542">
      <w:pPr>
        <w:pStyle w:val="ListParagraph"/>
        <w:numPr>
          <w:ilvl w:val="0"/>
          <w:numId w:val="29"/>
        </w:numPr>
        <w:tabs>
          <w:tab w:val="left" w:pos="709"/>
        </w:tabs>
      </w:pPr>
      <w:proofErr w:type="spellStart"/>
      <w:r>
        <w:t>m</w:t>
      </w:r>
      <w:r w:rsidRPr="00830826">
        <w:t>ontelukast</w:t>
      </w:r>
      <w:proofErr w:type="spellEnd"/>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n</w:t>
      </w:r>
      <w:r w:rsidRPr="00830826">
        <w:t>altrexone</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o</w:t>
      </w:r>
      <w:r w:rsidRPr="00830826">
        <w:t>lanzapine</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proofErr w:type="spellStart"/>
      <w:r>
        <w:t>o</w:t>
      </w:r>
      <w:r w:rsidRPr="005427EA">
        <w:t>xaliplatin</w:t>
      </w:r>
      <w:proofErr w:type="spellEnd"/>
      <w:r w:rsidRPr="007E515C">
        <w:t xml:space="preserve"> </w:t>
      </w:r>
      <w:r>
        <w:t>for administration by i</w:t>
      </w:r>
      <w:r w:rsidRPr="003C1FD0">
        <w:t>njection</w:t>
      </w:r>
      <w:r>
        <w:t>;</w:t>
      </w:r>
    </w:p>
    <w:p w:rsidR="006B4542" w:rsidRDefault="006B4542" w:rsidP="006B4542">
      <w:pPr>
        <w:pStyle w:val="ListParagraph"/>
        <w:numPr>
          <w:ilvl w:val="0"/>
          <w:numId w:val="29"/>
        </w:numPr>
        <w:tabs>
          <w:tab w:val="left" w:pos="709"/>
        </w:tabs>
      </w:pPr>
      <w:proofErr w:type="spellStart"/>
      <w:r>
        <w:t>p</w:t>
      </w:r>
      <w:r w:rsidRPr="005427EA">
        <w:t>ramipexole</w:t>
      </w:r>
      <w:proofErr w:type="spellEnd"/>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proofErr w:type="spellStart"/>
      <w:r>
        <w:t>r</w:t>
      </w:r>
      <w:r w:rsidRPr="005427EA">
        <w:t>isedronic</w:t>
      </w:r>
      <w:proofErr w:type="spellEnd"/>
      <w:r w:rsidRPr="005427EA">
        <w:t xml:space="preserve"> acid</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r</w:t>
      </w:r>
      <w:r w:rsidRPr="005427EA">
        <w:t>isperidone</w:t>
      </w:r>
      <w:r>
        <w:t>, t</w:t>
      </w:r>
      <w:r w:rsidRPr="005427EA">
        <w:t>ablet 0.5 mg</w:t>
      </w:r>
      <w:r>
        <w:t>, o</w:t>
      </w:r>
      <w:r w:rsidRPr="005427EA">
        <w:t>ral</w:t>
      </w:r>
      <w:r>
        <w:t>;</w:t>
      </w:r>
    </w:p>
    <w:p w:rsidR="006B4542" w:rsidRDefault="006B4542" w:rsidP="006B4542">
      <w:pPr>
        <w:pStyle w:val="ListParagraph"/>
        <w:numPr>
          <w:ilvl w:val="0"/>
          <w:numId w:val="29"/>
        </w:numPr>
        <w:tabs>
          <w:tab w:val="left" w:pos="709"/>
        </w:tabs>
      </w:pPr>
      <w:proofErr w:type="spellStart"/>
      <w:r>
        <w:t>r</w:t>
      </w:r>
      <w:r w:rsidRPr="005427EA">
        <w:t>osuvastatin</w:t>
      </w:r>
      <w:proofErr w:type="spellEnd"/>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t</w:t>
      </w:r>
      <w:r w:rsidRPr="005427EA">
        <w:t>acrolimus</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proofErr w:type="spellStart"/>
      <w:r>
        <w:t>t</w:t>
      </w:r>
      <w:r w:rsidRPr="005427EA">
        <w:t>elmisartan</w:t>
      </w:r>
      <w:proofErr w:type="spellEnd"/>
      <w:r w:rsidRPr="005427EA">
        <w:t xml:space="preserve"> with hydrochlorothiazide</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r>
        <w:t>t</w:t>
      </w:r>
      <w:r w:rsidRPr="005427EA">
        <w:t>erbinafine</w:t>
      </w:r>
      <w:r w:rsidRPr="007E515C">
        <w:t xml:space="preserve"> </w:t>
      </w:r>
      <w:r>
        <w:t>for o</w:t>
      </w:r>
      <w:r w:rsidRPr="003C1FD0">
        <w:t>ral</w:t>
      </w:r>
      <w:r>
        <w:t xml:space="preserve"> administration;</w:t>
      </w:r>
    </w:p>
    <w:p w:rsidR="006B4542" w:rsidRDefault="006B4542" w:rsidP="006B4542">
      <w:pPr>
        <w:pStyle w:val="ListParagraph"/>
        <w:numPr>
          <w:ilvl w:val="0"/>
          <w:numId w:val="29"/>
        </w:numPr>
        <w:tabs>
          <w:tab w:val="left" w:pos="709"/>
        </w:tabs>
      </w:pPr>
      <w:proofErr w:type="spellStart"/>
      <w:r>
        <w:t>v</w:t>
      </w:r>
      <w:r w:rsidRPr="005427EA">
        <w:t>alproic</w:t>
      </w:r>
      <w:proofErr w:type="spellEnd"/>
      <w:r w:rsidRPr="005427EA">
        <w:t xml:space="preserve"> acid</w:t>
      </w:r>
      <w:r w:rsidRPr="007E515C">
        <w:t xml:space="preserve"> </w:t>
      </w:r>
      <w:r>
        <w:t>for o</w:t>
      </w:r>
      <w:r w:rsidRPr="003C1FD0">
        <w:t>ral</w:t>
      </w:r>
      <w:r>
        <w:t xml:space="preserve"> administration; and</w:t>
      </w:r>
    </w:p>
    <w:p w:rsidR="006B4542" w:rsidRDefault="006B4542" w:rsidP="006B4542">
      <w:pPr>
        <w:pStyle w:val="ListParagraph"/>
        <w:numPr>
          <w:ilvl w:val="0"/>
          <w:numId w:val="29"/>
        </w:numPr>
        <w:tabs>
          <w:tab w:val="left" w:pos="709"/>
        </w:tabs>
      </w:pPr>
      <w:proofErr w:type="spellStart"/>
      <w:proofErr w:type="gramStart"/>
      <w:r>
        <w:t>v</w:t>
      </w:r>
      <w:r w:rsidRPr="005427EA">
        <w:t>inorelbine</w:t>
      </w:r>
      <w:proofErr w:type="spellEnd"/>
      <w:proofErr w:type="gramEnd"/>
      <w:r w:rsidRPr="007E515C">
        <w:t xml:space="preserve"> </w:t>
      </w:r>
      <w:r>
        <w:t>for administration by i</w:t>
      </w:r>
      <w:r w:rsidRPr="003C1FD0">
        <w:t>njection</w:t>
      </w:r>
      <w:r>
        <w:t>.</w:t>
      </w:r>
    </w:p>
    <w:p w:rsidR="00C14E20" w:rsidRDefault="00C14E20" w:rsidP="00F8442C">
      <w:pPr>
        <w:rPr>
          <w:szCs w:val="24"/>
        </w:rPr>
      </w:pPr>
    </w:p>
    <w:p w:rsidR="00064726" w:rsidRDefault="005657FE">
      <w:pPr>
        <w:rPr>
          <w:szCs w:val="24"/>
        </w:rPr>
      </w:pPr>
      <w:r>
        <w:rPr>
          <w:szCs w:val="24"/>
        </w:rPr>
        <w:t>All</w:t>
      </w:r>
      <w:r w:rsidR="008A7404">
        <w:rPr>
          <w:szCs w:val="24"/>
        </w:rPr>
        <w:t xml:space="preserve"> of the </w:t>
      </w:r>
      <w:r w:rsidR="001A7FF1">
        <w:rPr>
          <w:szCs w:val="24"/>
        </w:rPr>
        <w:t xml:space="preserve">affected </w:t>
      </w:r>
      <w:r w:rsidR="0073421F">
        <w:rPr>
          <w:szCs w:val="24"/>
        </w:rPr>
        <w:t xml:space="preserve">companies </w:t>
      </w:r>
      <w:r w:rsidR="00F8442C">
        <w:rPr>
          <w:szCs w:val="24"/>
        </w:rPr>
        <w:t>were</w:t>
      </w:r>
      <w:r w:rsidR="008A7404">
        <w:rPr>
          <w:szCs w:val="24"/>
        </w:rPr>
        <w:t xml:space="preserve"> </w:t>
      </w:r>
      <w:r w:rsidR="00C76B1E">
        <w:rPr>
          <w:szCs w:val="24"/>
        </w:rPr>
        <w:t xml:space="preserve">notified that amendments </w:t>
      </w:r>
      <w:r w:rsidR="00064726">
        <w:rPr>
          <w:szCs w:val="24"/>
        </w:rPr>
        <w:t>would</w:t>
      </w:r>
      <w:r w:rsidR="00C76B1E">
        <w:rPr>
          <w:szCs w:val="24"/>
        </w:rPr>
        <w:t xml:space="preserve"> occur upon </w:t>
      </w:r>
      <w:r w:rsidR="00064726">
        <w:rPr>
          <w:szCs w:val="24"/>
        </w:rPr>
        <w:t xml:space="preserve">commencement of the </w:t>
      </w:r>
      <w:r w:rsidR="00064726" w:rsidRPr="005F7B86">
        <w:rPr>
          <w:i/>
          <w:szCs w:val="24"/>
        </w:rPr>
        <w:t xml:space="preserve">National Health Amendment (Pharmaceutical Benefits – Budget and Other Measures) </w:t>
      </w:r>
      <w:r w:rsidR="00064726">
        <w:rPr>
          <w:i/>
          <w:szCs w:val="24"/>
        </w:rPr>
        <w:t xml:space="preserve">Act </w:t>
      </w:r>
      <w:r w:rsidR="00064726" w:rsidRPr="005F7B86">
        <w:rPr>
          <w:i/>
          <w:szCs w:val="24"/>
        </w:rPr>
        <w:t>201</w:t>
      </w:r>
      <w:r w:rsidR="00CB2F27">
        <w:rPr>
          <w:i/>
          <w:szCs w:val="24"/>
        </w:rPr>
        <w:t>8</w:t>
      </w:r>
      <w:r w:rsidR="001A7FF1">
        <w:rPr>
          <w:szCs w:val="24"/>
        </w:rPr>
        <w:t>.</w:t>
      </w:r>
      <w:r w:rsidR="008C42CD">
        <w:rPr>
          <w:szCs w:val="24"/>
        </w:rPr>
        <w:t xml:space="preserve"> </w:t>
      </w:r>
      <w:r w:rsidR="00064726">
        <w:rPr>
          <w:szCs w:val="24"/>
        </w:rPr>
        <w:t xml:space="preserve">No concerns were expressed. </w:t>
      </w:r>
    </w:p>
    <w:p w:rsidR="00D973E5" w:rsidRDefault="00D973E5" w:rsidP="00D973E5">
      <w:pPr>
        <w:rPr>
          <w:szCs w:val="24"/>
        </w:rPr>
      </w:pPr>
    </w:p>
    <w:p w:rsidR="00185C7F" w:rsidRDefault="002A3381" w:rsidP="00D973E5">
      <w:pPr>
        <w:rPr>
          <w:i/>
        </w:rPr>
      </w:pPr>
      <w:r w:rsidRPr="00C07CA2">
        <w:rPr>
          <w:szCs w:val="24"/>
        </w:rPr>
        <w:t>This instrument commences on the day after it is registered on th</w:t>
      </w:r>
      <w:r w:rsidR="00C43E16">
        <w:rPr>
          <w:szCs w:val="24"/>
        </w:rPr>
        <w:t>e Federal Register of Legislation</w:t>
      </w:r>
      <w:r w:rsidR="003F11C4">
        <w:rPr>
          <w:szCs w:val="24"/>
        </w:rPr>
        <w:t xml:space="preserve">. </w:t>
      </w:r>
      <w:r>
        <w:t xml:space="preserve">This instrument is a legislative instrument for the purposes of the </w:t>
      </w:r>
      <w:r w:rsidR="00C43E16">
        <w:rPr>
          <w:i/>
        </w:rPr>
        <w:t>Legislation</w:t>
      </w:r>
      <w:r w:rsidRPr="002D7445">
        <w:rPr>
          <w:i/>
        </w:rPr>
        <w:t xml:space="preserve"> Act 2003.</w:t>
      </w:r>
    </w:p>
    <w:p w:rsidR="00185C7F" w:rsidRDefault="00185C7F">
      <w:pPr>
        <w:rPr>
          <w:i/>
        </w:rPr>
      </w:pPr>
      <w:r>
        <w:rPr>
          <w:i/>
        </w:rPr>
        <w:br w:type="page"/>
      </w:r>
    </w:p>
    <w:p w:rsidR="009B7B48" w:rsidRPr="000D3A43" w:rsidRDefault="00185C7F">
      <w:pPr>
        <w:rPr>
          <w:i/>
        </w:rPr>
      </w:pPr>
      <w:r>
        <w:rPr>
          <w:noProof/>
          <w:szCs w:val="24"/>
          <w:lang w:eastAsia="ja-JP"/>
        </w:rPr>
        <w:lastRenderedPageBreak/>
        <mc:AlternateContent>
          <mc:Choice Requires="wps">
            <w:drawing>
              <wp:anchor distT="0" distB="0" distL="114300" distR="114300" simplePos="0" relativeHeight="251659776" behindDoc="0" locked="0" layoutInCell="1" allowOverlap="1" wp14:anchorId="447BF8CE" wp14:editId="6304D0E6">
                <wp:simplePos x="0" y="0"/>
                <wp:positionH relativeFrom="column">
                  <wp:posOffset>-180753</wp:posOffset>
                </wp:positionH>
                <wp:positionV relativeFrom="paragraph">
                  <wp:posOffset>-223284</wp:posOffset>
                </wp:positionV>
                <wp:extent cx="6118860" cy="9440722"/>
                <wp:effectExtent l="38100" t="38100" r="34290" b="463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440722"/>
                        </a:xfrm>
                        <a:prstGeom prst="rect">
                          <a:avLst/>
                        </a:prstGeom>
                        <a:solidFill>
                          <a:srgbClr val="FFFFFF"/>
                        </a:solidFill>
                        <a:ln w="76200" cmpd="tri">
                          <a:solidFill>
                            <a:srgbClr val="000000"/>
                          </a:solidFill>
                          <a:miter lim="800000"/>
                          <a:headEnd/>
                          <a:tailEnd/>
                        </a:ln>
                      </wps:spPr>
                      <wps:txbx>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ghted average disclosed price – April</w:t>
                            </w:r>
                            <w:r w:rsidRPr="00953EC8">
                              <w:rPr>
                                <w:b/>
                                <w:i/>
                                <w:szCs w:val="24"/>
                              </w:rPr>
                              <w:t xml:space="preserve"> </w:t>
                            </w:r>
                            <w:r>
                              <w:rPr>
                                <w:b/>
                                <w:i/>
                                <w:szCs w:val="24"/>
                              </w:rPr>
                              <w:t>2018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Pr>
                                <w:b/>
                                <w:i/>
                                <w:szCs w:val="24"/>
                              </w:rPr>
                              <w:t>8</w:t>
                            </w:r>
                            <w:r w:rsidRPr="00784E23">
                              <w:rPr>
                                <w:b/>
                                <w:i/>
                                <w:szCs w:val="24"/>
                              </w:rPr>
                              <w:t xml:space="preserve"> (No.1)</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–April 2018 reduction day</w:t>
                            </w:r>
                            <w:r w:rsidRPr="00953EC8">
                              <w:rPr>
                                <w:i/>
                                <w:szCs w:val="24"/>
                              </w:rPr>
                              <w:t>) Determination 201</w:t>
                            </w:r>
                            <w:r>
                              <w:rPr>
                                <w:i/>
                                <w:szCs w:val="24"/>
                              </w:rPr>
                              <w:t xml:space="preserve">8 </w:t>
                            </w:r>
                            <w:r w:rsidRPr="002A4FEE">
                              <w:rPr>
                                <w:szCs w:val="24"/>
                              </w:rPr>
                              <w:t xml:space="preserve">(the Principal Instrument) </w:t>
                            </w:r>
                            <w:r>
                              <w:rPr>
                                <w:szCs w:val="24"/>
                              </w:rPr>
                              <w:t xml:space="preserve">by re-allocating brands of pharmaceutical items that no longer meet criteria for a price reduction on reduction day following amendments </w:t>
                            </w:r>
                            <w:r w:rsidR="00CB2F27">
                              <w:rPr>
                                <w:szCs w:val="24"/>
                              </w:rPr>
                              <w:t xml:space="preserve">by the </w:t>
                            </w:r>
                            <w:r w:rsidR="00CB2F27" w:rsidRPr="005F7B86">
                              <w:rPr>
                                <w:i/>
                                <w:szCs w:val="24"/>
                              </w:rPr>
                              <w:t xml:space="preserve">National Health Amendment (Pharmaceutical Benefits – Budget and Other Measures) </w:t>
                            </w:r>
                            <w:r w:rsidR="00CB2F27">
                              <w:rPr>
                                <w:i/>
                                <w:szCs w:val="24"/>
                              </w:rPr>
                              <w:t xml:space="preserve">Act </w:t>
                            </w:r>
                            <w:r w:rsidR="00CB2F27" w:rsidRPr="005F7B86">
                              <w:rPr>
                                <w:i/>
                                <w:szCs w:val="24"/>
                              </w:rPr>
                              <w:t>201</w:t>
                            </w:r>
                            <w:r w:rsidR="00CB2F27">
                              <w:rPr>
                                <w:i/>
                                <w:szCs w:val="24"/>
                              </w:rPr>
                              <w:t xml:space="preserve">8 </w:t>
                            </w:r>
                            <w:r>
                              <w:rPr>
                                <w:szCs w:val="24"/>
                              </w:rPr>
                              <w:t xml:space="preserve">to </w:t>
                            </w:r>
                            <w:r w:rsidR="00064726">
                              <w:rPr>
                                <w:szCs w:val="24"/>
                              </w:rPr>
                              <w:t xml:space="preserve">the price disclosure requirements under Division 3B of </w:t>
                            </w:r>
                            <w:r>
                              <w:rPr>
                                <w:szCs w:val="24"/>
                              </w:rPr>
                              <w:t xml:space="preserve">the </w:t>
                            </w:r>
                            <w:r w:rsidRPr="00957BA7">
                              <w:rPr>
                                <w:i/>
                                <w:szCs w:val="24"/>
                              </w:rPr>
                              <w:t>National Health Act 1953</w:t>
                            </w:r>
                            <w:r>
                              <w:rPr>
                                <w:szCs w:val="24"/>
                              </w:rPr>
                              <w:t xml:space="preserve"> (the Act). </w:t>
                            </w:r>
                          </w:p>
                          <w:p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2018</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6B4542" w:rsidP="00712852">
                            <w:pPr>
                              <w:widowControl w:val="0"/>
                              <w:tabs>
                                <w:tab w:val="left" w:pos="3119"/>
                              </w:tabs>
                              <w:spacing w:line="300" w:lineRule="atLeast"/>
                              <w:jc w:val="center"/>
                              <w:rPr>
                                <w:b/>
                                <w:szCs w:val="24"/>
                              </w:rPr>
                            </w:pPr>
                            <w:r>
                              <w:rPr>
                                <w:b/>
                                <w:szCs w:val="24"/>
                              </w:rPr>
                              <w:t>Penny Shakespeare</w:t>
                            </w:r>
                            <w:r w:rsidRPr="00953EC8">
                              <w:rPr>
                                <w:b/>
                                <w:szCs w:val="24"/>
                              </w:rPr>
                              <w:br/>
                              <w:t>First Assistant Secretary</w:t>
                            </w:r>
                            <w:r w:rsidRPr="00953EC8">
                              <w:rPr>
                                <w:b/>
                                <w:szCs w:val="24"/>
                              </w:rPr>
                              <w:br/>
                            </w:r>
                            <w:r>
                              <w:rPr>
                                <w:b/>
                                <w:szCs w:val="24"/>
                              </w:rPr>
                              <w:t>Technology Assessment and Access</w:t>
                            </w:r>
                            <w:r w:rsidRPr="00953EC8">
                              <w:rPr>
                                <w:b/>
                                <w:szCs w:val="24"/>
                              </w:rPr>
                              <w:t xml:space="preserve">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17.6pt;width:481.8pt;height:7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" strokeweight="6pt">
                <v:stroke linestyle="thickBetweenThin"/>
                <v:textbox inset="5mm,,5mm">
                  <w:txbxContent>
                    <w:p w:rsidR="006B4542" w:rsidRPr="00953EC8" w:rsidRDefault="006B4542" w:rsidP="00CC1263">
                      <w:pPr>
                        <w:spacing w:before="60" w:after="60"/>
                        <w:jc w:val="center"/>
                        <w:rPr>
                          <w:b/>
                          <w:szCs w:val="24"/>
                        </w:rPr>
                      </w:pPr>
                      <w:r w:rsidRPr="00953EC8">
                        <w:rPr>
                          <w:b/>
                          <w:szCs w:val="24"/>
                        </w:rPr>
                        <w:t>Statement of Compatibility with Human Rights</w:t>
                      </w:r>
                    </w:p>
                    <w:p w:rsidR="006B4542" w:rsidRPr="00953EC8" w:rsidRDefault="006B4542" w:rsidP="00CC1263">
                      <w:pPr>
                        <w:spacing w:before="60" w:after="60"/>
                        <w:jc w:val="center"/>
                        <w:rPr>
                          <w:szCs w:val="24"/>
                        </w:rPr>
                      </w:pPr>
                      <w:r w:rsidRPr="00953EC8">
                        <w:rPr>
                          <w:i/>
                          <w:szCs w:val="24"/>
                        </w:rPr>
                        <w:t>Prepared in accordance with Part 3 of the Human Rights (Parliamentary Scrutiny) Act 2011</w:t>
                      </w:r>
                    </w:p>
                    <w:p w:rsidR="006B4542" w:rsidRPr="00953EC8" w:rsidRDefault="006B4542" w:rsidP="00CC1263">
                      <w:pPr>
                        <w:spacing w:before="60" w:after="60"/>
                        <w:jc w:val="center"/>
                        <w:rPr>
                          <w:b/>
                          <w:i/>
                          <w:szCs w:val="24"/>
                        </w:rPr>
                      </w:pPr>
                      <w:r w:rsidRPr="00953EC8">
                        <w:rPr>
                          <w:b/>
                          <w:i/>
                          <w:szCs w:val="24"/>
                        </w:rPr>
                        <w:t>National Health (Wei</w:t>
                      </w:r>
                      <w:r>
                        <w:rPr>
                          <w:b/>
                          <w:i/>
                          <w:szCs w:val="24"/>
                        </w:rPr>
                        <w:t>ghted average disclosed price – April</w:t>
                      </w:r>
                      <w:r w:rsidRPr="00953EC8">
                        <w:rPr>
                          <w:b/>
                          <w:i/>
                          <w:szCs w:val="24"/>
                        </w:rPr>
                        <w:t xml:space="preserve"> </w:t>
                      </w:r>
                      <w:r>
                        <w:rPr>
                          <w:b/>
                          <w:i/>
                          <w:szCs w:val="24"/>
                        </w:rPr>
                        <w:t>2018 reduction day</w:t>
                      </w:r>
                      <w:r w:rsidRPr="00953EC8">
                        <w:rPr>
                          <w:b/>
                          <w:i/>
                          <w:szCs w:val="24"/>
                        </w:rPr>
                        <w:t xml:space="preserve">) </w:t>
                      </w:r>
                      <w:r w:rsidRPr="00953EC8">
                        <w:rPr>
                          <w:b/>
                          <w:i/>
                          <w:szCs w:val="24"/>
                        </w:rPr>
                        <w:br/>
                      </w:r>
                      <w:r>
                        <w:rPr>
                          <w:b/>
                          <w:i/>
                          <w:szCs w:val="24"/>
                        </w:rPr>
                        <w:t xml:space="preserve">Amendment </w:t>
                      </w:r>
                      <w:r w:rsidRPr="00953EC8">
                        <w:rPr>
                          <w:b/>
                          <w:i/>
                          <w:szCs w:val="24"/>
                        </w:rPr>
                        <w:t xml:space="preserve">Determination </w:t>
                      </w:r>
                      <w:r w:rsidRPr="00784E23">
                        <w:rPr>
                          <w:b/>
                          <w:i/>
                          <w:szCs w:val="24"/>
                        </w:rPr>
                        <w:t>201</w:t>
                      </w:r>
                      <w:r>
                        <w:rPr>
                          <w:b/>
                          <w:i/>
                          <w:szCs w:val="24"/>
                        </w:rPr>
                        <w:t>8</w:t>
                      </w:r>
                      <w:r w:rsidRPr="00784E23">
                        <w:rPr>
                          <w:b/>
                          <w:i/>
                          <w:szCs w:val="24"/>
                        </w:rPr>
                        <w:t xml:space="preserve"> (No.1)</w:t>
                      </w:r>
                    </w:p>
                    <w:p w:rsidR="006B4542" w:rsidRPr="00953EC8" w:rsidRDefault="006B4542"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6B4542" w:rsidRPr="00953EC8" w:rsidRDefault="006B4542" w:rsidP="00CC1263">
                      <w:pPr>
                        <w:spacing w:before="60" w:after="60"/>
                        <w:jc w:val="both"/>
                        <w:rPr>
                          <w:b/>
                          <w:szCs w:val="24"/>
                        </w:rPr>
                      </w:pPr>
                      <w:r w:rsidRPr="00953EC8">
                        <w:rPr>
                          <w:b/>
                          <w:szCs w:val="24"/>
                        </w:rPr>
                        <w:t>Overview of the Legislative Instrument</w:t>
                      </w:r>
                    </w:p>
                    <w:p w:rsidR="006B4542" w:rsidRDefault="006B4542"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Pr>
                          <w:i/>
                          <w:szCs w:val="24"/>
                        </w:rPr>
                        <w:t>–April 2018 reduction day</w:t>
                      </w:r>
                      <w:r w:rsidRPr="00953EC8">
                        <w:rPr>
                          <w:i/>
                          <w:szCs w:val="24"/>
                        </w:rPr>
                        <w:t>) Determination 201</w:t>
                      </w:r>
                      <w:r>
                        <w:rPr>
                          <w:i/>
                          <w:szCs w:val="24"/>
                        </w:rPr>
                        <w:t xml:space="preserve">8 </w:t>
                      </w:r>
                      <w:r w:rsidRPr="002A4FEE">
                        <w:rPr>
                          <w:szCs w:val="24"/>
                        </w:rPr>
                        <w:t xml:space="preserve">(the Principal Instrument) </w:t>
                      </w:r>
                      <w:r>
                        <w:rPr>
                          <w:szCs w:val="24"/>
                        </w:rPr>
                        <w:t xml:space="preserve">by re-allocating brands of pharmaceutical items that no longer meet criteria for a price reduction on reduction day following amendments </w:t>
                      </w:r>
                      <w:r w:rsidR="00CB2F27">
                        <w:rPr>
                          <w:szCs w:val="24"/>
                        </w:rPr>
                        <w:t xml:space="preserve">by the </w:t>
                      </w:r>
                      <w:r w:rsidR="00CB2F27" w:rsidRPr="005F7B86">
                        <w:rPr>
                          <w:i/>
                          <w:szCs w:val="24"/>
                        </w:rPr>
                        <w:t xml:space="preserve">National Health Amendment (Pharmaceutical Benefits – Budget and Other Measures) </w:t>
                      </w:r>
                      <w:r w:rsidR="00CB2F27">
                        <w:rPr>
                          <w:i/>
                          <w:szCs w:val="24"/>
                        </w:rPr>
                        <w:t xml:space="preserve">Act </w:t>
                      </w:r>
                      <w:r w:rsidR="00CB2F27" w:rsidRPr="005F7B86">
                        <w:rPr>
                          <w:i/>
                          <w:szCs w:val="24"/>
                        </w:rPr>
                        <w:t>201</w:t>
                      </w:r>
                      <w:r w:rsidR="00CB2F27">
                        <w:rPr>
                          <w:i/>
                          <w:szCs w:val="24"/>
                        </w:rPr>
                        <w:t>8</w:t>
                      </w:r>
                      <w:r w:rsidR="00CB2F27">
                        <w:rPr>
                          <w:i/>
                          <w:szCs w:val="24"/>
                        </w:rPr>
                        <w:t xml:space="preserve"> </w:t>
                      </w:r>
                      <w:r>
                        <w:rPr>
                          <w:szCs w:val="24"/>
                        </w:rPr>
                        <w:t xml:space="preserve">to </w:t>
                      </w:r>
                      <w:r w:rsidR="00064726">
                        <w:rPr>
                          <w:szCs w:val="24"/>
                        </w:rPr>
                        <w:t xml:space="preserve">the price disclosure requirements under Division 3B of </w:t>
                      </w:r>
                      <w:r>
                        <w:rPr>
                          <w:szCs w:val="24"/>
                        </w:rPr>
                        <w:t xml:space="preserve">the </w:t>
                      </w:r>
                      <w:r w:rsidRPr="00957BA7">
                        <w:rPr>
                          <w:i/>
                          <w:szCs w:val="24"/>
                        </w:rPr>
                        <w:t>National Health Act 1953</w:t>
                      </w:r>
                      <w:r>
                        <w:rPr>
                          <w:szCs w:val="24"/>
                        </w:rPr>
                        <w:t xml:space="preserve"> (the Act). </w:t>
                      </w:r>
                      <w:bookmarkStart w:id="1" w:name="_GoBack"/>
                      <w:bookmarkEnd w:id="1"/>
                    </w:p>
                    <w:p w:rsidR="006B4542" w:rsidRPr="00953EC8" w:rsidRDefault="006B4542"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6B4542" w:rsidRPr="00953EC8" w:rsidRDefault="006B4542" w:rsidP="00CC1263">
                      <w:pPr>
                        <w:spacing w:before="60" w:after="120"/>
                        <w:rPr>
                          <w:szCs w:val="24"/>
                        </w:rPr>
                      </w:pPr>
                      <w:r w:rsidRPr="00953EC8">
                        <w:rPr>
                          <w:szCs w:val="24"/>
                        </w:rPr>
                        <w:t xml:space="preserve">Part VII, Division 3B of the </w:t>
                      </w:r>
                      <w:r>
                        <w:rPr>
                          <w:szCs w:val="24"/>
                        </w:rPr>
                        <w:t xml:space="preserve">Act </w:t>
                      </w:r>
                      <w:r w:rsidRPr="00953EC8">
                        <w:rPr>
                          <w:szCs w:val="24"/>
                        </w:rPr>
                        <w:t xml:space="preserve">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Pr>
                          <w:szCs w:val="24"/>
                        </w:rPr>
                        <w:t>Responsible Person</w:t>
                      </w:r>
                      <w:r w:rsidRPr="00953EC8">
                        <w:rPr>
                          <w:szCs w:val="24"/>
                        </w:rPr>
                        <w:t>s (drug companies) and occurs in accordance with the Act and the Regulations.</w:t>
                      </w:r>
                    </w:p>
                    <w:p w:rsidR="006B4542" w:rsidRPr="00154759" w:rsidRDefault="006B4542" w:rsidP="00CC1263">
                      <w:pPr>
                        <w:spacing w:before="60" w:after="120"/>
                        <w:rPr>
                          <w:szCs w:val="24"/>
                        </w:rPr>
                      </w:pPr>
                      <w:r w:rsidRPr="00154759">
                        <w:rPr>
                          <w:szCs w:val="24"/>
                        </w:rPr>
                        <w:t>The amendment</w:t>
                      </w:r>
                      <w:r>
                        <w:rPr>
                          <w:szCs w:val="24"/>
                        </w:rPr>
                        <w:t>s</w:t>
                      </w:r>
                      <w:r w:rsidRPr="00154759">
                        <w:rPr>
                          <w:szCs w:val="24"/>
                        </w:rPr>
                        <w:t xml:space="preserve"> are made to provide for correct and effective reductions in prices for pharmaceutical benefits</w:t>
                      </w:r>
                      <w:r>
                        <w:rPr>
                          <w:szCs w:val="24"/>
                        </w:rPr>
                        <w:t xml:space="preserve"> on 1 April 2018</w:t>
                      </w:r>
                      <w:r w:rsidRPr="00154759">
                        <w:rPr>
                          <w:szCs w:val="24"/>
                        </w:rPr>
                        <w:t xml:space="preserve"> under the statutory provisions for price disclosure</w:t>
                      </w:r>
                      <w:r>
                        <w:rPr>
                          <w:szCs w:val="24"/>
                        </w:rPr>
                        <w:t>.</w:t>
                      </w:r>
                    </w:p>
                    <w:p w:rsidR="006B4542" w:rsidRPr="00953EC8" w:rsidRDefault="006B4542" w:rsidP="00CC1263">
                      <w:pPr>
                        <w:spacing w:before="60" w:after="60"/>
                        <w:rPr>
                          <w:b/>
                          <w:szCs w:val="24"/>
                        </w:rPr>
                      </w:pPr>
                      <w:r w:rsidRPr="00953EC8">
                        <w:rPr>
                          <w:b/>
                          <w:szCs w:val="24"/>
                        </w:rPr>
                        <w:t>Human rights implications</w:t>
                      </w:r>
                    </w:p>
                    <w:p w:rsidR="006B4542" w:rsidRPr="00953EC8" w:rsidRDefault="006B4542" w:rsidP="00CC1263">
                      <w:pPr>
                        <w:spacing w:before="60" w:after="120"/>
                        <w:rPr>
                          <w:szCs w:val="24"/>
                        </w:rPr>
                      </w:pPr>
                      <w:r w:rsidRPr="00953EC8">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B4542" w:rsidRPr="00953EC8" w:rsidRDefault="006B4542"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6B4542" w:rsidRPr="00953EC8" w:rsidRDefault="006B4542"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6B4542" w:rsidRPr="00953EC8" w:rsidRDefault="006B4542" w:rsidP="00CC1263">
                      <w:pPr>
                        <w:spacing w:before="60" w:after="60"/>
                        <w:rPr>
                          <w:b/>
                          <w:szCs w:val="24"/>
                        </w:rPr>
                      </w:pPr>
                      <w:r w:rsidRPr="00953EC8">
                        <w:rPr>
                          <w:b/>
                          <w:szCs w:val="24"/>
                        </w:rPr>
                        <w:t>Conclusion</w:t>
                      </w:r>
                    </w:p>
                    <w:p w:rsidR="006B4542" w:rsidRPr="00953EC8" w:rsidRDefault="006B4542"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6B4542" w:rsidRPr="00953EC8" w:rsidRDefault="006B4542" w:rsidP="00712852">
                      <w:pPr>
                        <w:widowControl w:val="0"/>
                        <w:tabs>
                          <w:tab w:val="left" w:pos="3119"/>
                        </w:tabs>
                        <w:spacing w:line="300" w:lineRule="atLeast"/>
                        <w:jc w:val="center"/>
                        <w:rPr>
                          <w:b/>
                          <w:szCs w:val="24"/>
                        </w:rPr>
                      </w:pPr>
                      <w:r>
                        <w:rPr>
                          <w:b/>
                          <w:szCs w:val="24"/>
                        </w:rPr>
                        <w:t>Penny Shakespeare</w:t>
                      </w:r>
                      <w:r w:rsidRPr="00953EC8">
                        <w:rPr>
                          <w:b/>
                          <w:szCs w:val="24"/>
                        </w:rPr>
                        <w:br/>
                        <w:t>First Assistant Secretary</w:t>
                      </w:r>
                      <w:r w:rsidRPr="00953EC8">
                        <w:rPr>
                          <w:b/>
                          <w:szCs w:val="24"/>
                        </w:rPr>
                        <w:br/>
                      </w:r>
                      <w:r>
                        <w:rPr>
                          <w:b/>
                          <w:szCs w:val="24"/>
                        </w:rPr>
                        <w:t>Technology Assessment and Access</w:t>
                      </w:r>
                      <w:r w:rsidRPr="00953EC8">
                        <w:rPr>
                          <w:b/>
                          <w:szCs w:val="24"/>
                        </w:rPr>
                        <w:t xml:space="preserve"> Division</w:t>
                      </w:r>
                      <w:r w:rsidRPr="00953EC8">
                        <w:rPr>
                          <w:b/>
                          <w:szCs w:val="24"/>
                        </w:rPr>
                        <w:br/>
                        <w:t>Department of Health</w:t>
                      </w:r>
                    </w:p>
                  </w:txbxContent>
                </v:textbox>
              </v:rect>
            </w:pict>
          </mc:Fallback>
        </mc:AlternateContent>
      </w:r>
    </w:p>
    <w:sectPr w:rsidR="009B7B48" w:rsidRPr="000D3A43"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42" w:rsidRDefault="006B4542">
      <w:r>
        <w:separator/>
      </w:r>
    </w:p>
  </w:endnote>
  <w:endnote w:type="continuationSeparator" w:id="0">
    <w:p w:rsidR="006B4542" w:rsidRDefault="006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542" w:rsidRDefault="006B4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rsidP="00B724AB">
    <w:pPr>
      <w:pStyle w:val="Footer"/>
      <w:framePr w:wrap="around" w:vAnchor="text" w:hAnchor="margin" w:xAlign="center" w:y="1"/>
      <w:rPr>
        <w:rStyle w:val="PageNumber"/>
      </w:rPr>
    </w:pPr>
  </w:p>
  <w:p w:rsidR="006B4542" w:rsidRDefault="006B4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42" w:rsidRDefault="006B4542">
      <w:r>
        <w:separator/>
      </w:r>
    </w:p>
  </w:footnote>
  <w:footnote w:type="continuationSeparator" w:id="0">
    <w:p w:rsidR="006B4542" w:rsidRDefault="006B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42" w:rsidRDefault="006B4542">
    <w:pPr>
      <w:pStyle w:val="Header"/>
      <w:jc w:val="center"/>
      <w:rPr>
        <w:noProof/>
      </w:rPr>
    </w:pPr>
    <w:r>
      <w:fldChar w:fldCharType="begin"/>
    </w:r>
    <w:r>
      <w:instrText xml:space="preserve"> PAGE   \* MERGEFORMAT </w:instrText>
    </w:r>
    <w:r>
      <w:fldChar w:fldCharType="separate"/>
    </w:r>
    <w:r w:rsidR="00AA1DE8">
      <w:rPr>
        <w:noProof/>
      </w:rPr>
      <w:t>4</w:t>
    </w:r>
    <w:r>
      <w:rPr>
        <w:noProof/>
      </w:rPr>
      <w:fldChar w:fldCharType="end"/>
    </w:r>
  </w:p>
  <w:p w:rsidR="006B4542" w:rsidRDefault="006B4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nsid w:val="1A630B6C"/>
    <w:multiLevelType w:val="hybridMultilevel"/>
    <w:tmpl w:val="A49C8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1E3B66C4"/>
    <w:multiLevelType w:val="hybridMultilevel"/>
    <w:tmpl w:val="94249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8159EF"/>
    <w:multiLevelType w:val="hybridMultilevel"/>
    <w:tmpl w:val="CBF6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560660"/>
    <w:multiLevelType w:val="hybridMultilevel"/>
    <w:tmpl w:val="7334F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9E7655"/>
    <w:multiLevelType w:val="hybridMultilevel"/>
    <w:tmpl w:val="FCB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381A20"/>
    <w:multiLevelType w:val="hybridMultilevel"/>
    <w:tmpl w:val="0CB6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577AAB"/>
    <w:multiLevelType w:val="hybridMultilevel"/>
    <w:tmpl w:val="AFD63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B555A3"/>
    <w:multiLevelType w:val="hybridMultilevel"/>
    <w:tmpl w:val="2EBA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2A7E70"/>
    <w:multiLevelType w:val="hybridMultilevel"/>
    <w:tmpl w:val="C25E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23"/>
  </w:num>
  <w:num w:numId="4">
    <w:abstractNumId w:val="16"/>
  </w:num>
  <w:num w:numId="5">
    <w:abstractNumId w:val="8"/>
  </w:num>
  <w:num w:numId="6">
    <w:abstractNumId w:val="2"/>
  </w:num>
  <w:num w:numId="7">
    <w:abstractNumId w:val="8"/>
  </w:num>
  <w:num w:numId="8">
    <w:abstractNumId w:val="3"/>
  </w:num>
  <w:num w:numId="9">
    <w:abstractNumId w:val="17"/>
  </w:num>
  <w:num w:numId="10">
    <w:abstractNumId w:val="0"/>
  </w:num>
  <w:num w:numId="11">
    <w:abstractNumId w:val="24"/>
  </w:num>
  <w:num w:numId="12">
    <w:abstractNumId w:val="5"/>
  </w:num>
  <w:num w:numId="13">
    <w:abstractNumId w:val="7"/>
  </w:num>
  <w:num w:numId="14">
    <w:abstractNumId w:val="14"/>
  </w:num>
  <w:num w:numId="15">
    <w:abstractNumId w:val="18"/>
  </w:num>
  <w:num w:numId="16">
    <w:abstractNumId w:val="15"/>
  </w:num>
  <w:num w:numId="17">
    <w:abstractNumId w:val="9"/>
  </w:num>
  <w:num w:numId="18">
    <w:abstractNumId w:val="13"/>
  </w:num>
  <w:num w:numId="19">
    <w:abstractNumId w:val="1"/>
  </w:num>
  <w:num w:numId="20">
    <w:abstractNumId w:val="19"/>
  </w:num>
  <w:num w:numId="21">
    <w:abstractNumId w:val="11"/>
  </w:num>
  <w:num w:numId="22">
    <w:abstractNumId w:val="21"/>
  </w:num>
  <w:num w:numId="23">
    <w:abstractNumId w:val="10"/>
  </w:num>
  <w:num w:numId="24">
    <w:abstractNumId w:val="12"/>
  </w:num>
  <w:num w:numId="25">
    <w:abstractNumId w:val="20"/>
  </w:num>
  <w:num w:numId="26">
    <w:abstractNumId w:val="6"/>
  </w:num>
  <w:num w:numId="27">
    <w:abstractNumId w:val="22"/>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6DE"/>
    <w:rsid w:val="0000291D"/>
    <w:rsid w:val="00002F6E"/>
    <w:rsid w:val="0000482A"/>
    <w:rsid w:val="00006F85"/>
    <w:rsid w:val="00007CC9"/>
    <w:rsid w:val="00010AA3"/>
    <w:rsid w:val="0001397F"/>
    <w:rsid w:val="00014219"/>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3ED9"/>
    <w:rsid w:val="0005652C"/>
    <w:rsid w:val="000639F8"/>
    <w:rsid w:val="00064726"/>
    <w:rsid w:val="0006619C"/>
    <w:rsid w:val="000662DC"/>
    <w:rsid w:val="000674F6"/>
    <w:rsid w:val="000710B8"/>
    <w:rsid w:val="00072C11"/>
    <w:rsid w:val="00074047"/>
    <w:rsid w:val="00076874"/>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4411"/>
    <w:rsid w:val="000E77CA"/>
    <w:rsid w:val="000E7ECF"/>
    <w:rsid w:val="000F0AAE"/>
    <w:rsid w:val="000F2BEB"/>
    <w:rsid w:val="000F318E"/>
    <w:rsid w:val="000F32DF"/>
    <w:rsid w:val="000F4F4D"/>
    <w:rsid w:val="00100DB2"/>
    <w:rsid w:val="001055A9"/>
    <w:rsid w:val="00110005"/>
    <w:rsid w:val="001109AF"/>
    <w:rsid w:val="00112C74"/>
    <w:rsid w:val="00113168"/>
    <w:rsid w:val="00114969"/>
    <w:rsid w:val="00115060"/>
    <w:rsid w:val="00117054"/>
    <w:rsid w:val="00117173"/>
    <w:rsid w:val="00117F23"/>
    <w:rsid w:val="001213EF"/>
    <w:rsid w:val="00124E41"/>
    <w:rsid w:val="00125A22"/>
    <w:rsid w:val="00125D44"/>
    <w:rsid w:val="00126829"/>
    <w:rsid w:val="0013060B"/>
    <w:rsid w:val="00131E4E"/>
    <w:rsid w:val="00137812"/>
    <w:rsid w:val="001421D7"/>
    <w:rsid w:val="00143F8F"/>
    <w:rsid w:val="00146FB8"/>
    <w:rsid w:val="0015121E"/>
    <w:rsid w:val="00151492"/>
    <w:rsid w:val="00154671"/>
    <w:rsid w:val="00154759"/>
    <w:rsid w:val="00157F51"/>
    <w:rsid w:val="0016280F"/>
    <w:rsid w:val="0016524E"/>
    <w:rsid w:val="0016619D"/>
    <w:rsid w:val="00171F6F"/>
    <w:rsid w:val="0017212D"/>
    <w:rsid w:val="00174C04"/>
    <w:rsid w:val="00177960"/>
    <w:rsid w:val="00177BBC"/>
    <w:rsid w:val="00182370"/>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307F"/>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2AFC"/>
    <w:rsid w:val="001F3B08"/>
    <w:rsid w:val="001F43EC"/>
    <w:rsid w:val="001F4913"/>
    <w:rsid w:val="001F4CCB"/>
    <w:rsid w:val="001F6CE7"/>
    <w:rsid w:val="001F7119"/>
    <w:rsid w:val="001F7F36"/>
    <w:rsid w:val="00204472"/>
    <w:rsid w:val="0020494A"/>
    <w:rsid w:val="00207DE7"/>
    <w:rsid w:val="00211983"/>
    <w:rsid w:val="00213E7A"/>
    <w:rsid w:val="00214F2C"/>
    <w:rsid w:val="00215DE0"/>
    <w:rsid w:val="002167E6"/>
    <w:rsid w:val="00217099"/>
    <w:rsid w:val="00220F2E"/>
    <w:rsid w:val="00223098"/>
    <w:rsid w:val="00224702"/>
    <w:rsid w:val="0022746D"/>
    <w:rsid w:val="00227BFC"/>
    <w:rsid w:val="0023061E"/>
    <w:rsid w:val="002312AB"/>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1FD0"/>
    <w:rsid w:val="003C359B"/>
    <w:rsid w:val="003C70A8"/>
    <w:rsid w:val="003C7D91"/>
    <w:rsid w:val="003C7F4F"/>
    <w:rsid w:val="003D038E"/>
    <w:rsid w:val="003D0D69"/>
    <w:rsid w:val="003D2D5B"/>
    <w:rsid w:val="003D3580"/>
    <w:rsid w:val="003E156A"/>
    <w:rsid w:val="003E2B1F"/>
    <w:rsid w:val="003E360A"/>
    <w:rsid w:val="003E3BE5"/>
    <w:rsid w:val="003E40F9"/>
    <w:rsid w:val="003E5E35"/>
    <w:rsid w:val="003E74BC"/>
    <w:rsid w:val="003E7F5A"/>
    <w:rsid w:val="003F0712"/>
    <w:rsid w:val="003F11C4"/>
    <w:rsid w:val="003F67B6"/>
    <w:rsid w:val="003F70CA"/>
    <w:rsid w:val="00400544"/>
    <w:rsid w:val="00402D41"/>
    <w:rsid w:val="00404B93"/>
    <w:rsid w:val="0040727B"/>
    <w:rsid w:val="00407476"/>
    <w:rsid w:val="00412104"/>
    <w:rsid w:val="004167F4"/>
    <w:rsid w:val="00416E05"/>
    <w:rsid w:val="00417435"/>
    <w:rsid w:val="0042225F"/>
    <w:rsid w:val="00422C70"/>
    <w:rsid w:val="0043162F"/>
    <w:rsid w:val="00432F89"/>
    <w:rsid w:val="00433BDD"/>
    <w:rsid w:val="004369CF"/>
    <w:rsid w:val="00436D92"/>
    <w:rsid w:val="004410E3"/>
    <w:rsid w:val="0044245A"/>
    <w:rsid w:val="004442BE"/>
    <w:rsid w:val="00444D1E"/>
    <w:rsid w:val="00445768"/>
    <w:rsid w:val="004457BE"/>
    <w:rsid w:val="00446AE8"/>
    <w:rsid w:val="004517A7"/>
    <w:rsid w:val="00452908"/>
    <w:rsid w:val="00455199"/>
    <w:rsid w:val="00461D3E"/>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5329"/>
    <w:rsid w:val="004C604F"/>
    <w:rsid w:val="004C6130"/>
    <w:rsid w:val="004C690A"/>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3473"/>
    <w:rsid w:val="00534A9C"/>
    <w:rsid w:val="00535706"/>
    <w:rsid w:val="0053570B"/>
    <w:rsid w:val="005414E2"/>
    <w:rsid w:val="0054164F"/>
    <w:rsid w:val="00541BAE"/>
    <w:rsid w:val="00541CF1"/>
    <w:rsid w:val="00542530"/>
    <w:rsid w:val="005427EA"/>
    <w:rsid w:val="0054298B"/>
    <w:rsid w:val="005435C9"/>
    <w:rsid w:val="00543D32"/>
    <w:rsid w:val="0054422D"/>
    <w:rsid w:val="00544D41"/>
    <w:rsid w:val="00545EC8"/>
    <w:rsid w:val="00545F43"/>
    <w:rsid w:val="00545FD5"/>
    <w:rsid w:val="0055118D"/>
    <w:rsid w:val="00551425"/>
    <w:rsid w:val="00551970"/>
    <w:rsid w:val="005519F5"/>
    <w:rsid w:val="00552183"/>
    <w:rsid w:val="00552B53"/>
    <w:rsid w:val="00556FE3"/>
    <w:rsid w:val="00557216"/>
    <w:rsid w:val="005573CE"/>
    <w:rsid w:val="005631A5"/>
    <w:rsid w:val="00563952"/>
    <w:rsid w:val="005639EC"/>
    <w:rsid w:val="005657FE"/>
    <w:rsid w:val="00566592"/>
    <w:rsid w:val="00566F77"/>
    <w:rsid w:val="00570562"/>
    <w:rsid w:val="00573402"/>
    <w:rsid w:val="0057589D"/>
    <w:rsid w:val="00577A98"/>
    <w:rsid w:val="00577E89"/>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6DF0"/>
    <w:rsid w:val="006002D6"/>
    <w:rsid w:val="0060160F"/>
    <w:rsid w:val="00603008"/>
    <w:rsid w:val="00604758"/>
    <w:rsid w:val="00606640"/>
    <w:rsid w:val="00611CA2"/>
    <w:rsid w:val="00613E69"/>
    <w:rsid w:val="006227CB"/>
    <w:rsid w:val="00624FB6"/>
    <w:rsid w:val="00627CEF"/>
    <w:rsid w:val="0063047E"/>
    <w:rsid w:val="0063363F"/>
    <w:rsid w:val="0063481B"/>
    <w:rsid w:val="00635B55"/>
    <w:rsid w:val="0063799E"/>
    <w:rsid w:val="006417FE"/>
    <w:rsid w:val="0064191F"/>
    <w:rsid w:val="00641D3B"/>
    <w:rsid w:val="0064481A"/>
    <w:rsid w:val="0064584C"/>
    <w:rsid w:val="006463AB"/>
    <w:rsid w:val="00646485"/>
    <w:rsid w:val="00654308"/>
    <w:rsid w:val="00656AE3"/>
    <w:rsid w:val="0066172D"/>
    <w:rsid w:val="00661E9D"/>
    <w:rsid w:val="00664506"/>
    <w:rsid w:val="00665F3B"/>
    <w:rsid w:val="0066620E"/>
    <w:rsid w:val="006669A2"/>
    <w:rsid w:val="00667A0C"/>
    <w:rsid w:val="00671978"/>
    <w:rsid w:val="00672496"/>
    <w:rsid w:val="00673753"/>
    <w:rsid w:val="00674FD1"/>
    <w:rsid w:val="00675B76"/>
    <w:rsid w:val="006769AA"/>
    <w:rsid w:val="00680B6D"/>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A1D2F"/>
    <w:rsid w:val="006A44E9"/>
    <w:rsid w:val="006A49E6"/>
    <w:rsid w:val="006A64A5"/>
    <w:rsid w:val="006A6F67"/>
    <w:rsid w:val="006A71D3"/>
    <w:rsid w:val="006A730D"/>
    <w:rsid w:val="006B021D"/>
    <w:rsid w:val="006B06FB"/>
    <w:rsid w:val="006B3CEF"/>
    <w:rsid w:val="006B4542"/>
    <w:rsid w:val="006B4605"/>
    <w:rsid w:val="006C0612"/>
    <w:rsid w:val="006C09D1"/>
    <w:rsid w:val="006C1726"/>
    <w:rsid w:val="006C1B70"/>
    <w:rsid w:val="006C3639"/>
    <w:rsid w:val="006C3D3B"/>
    <w:rsid w:val="006C5355"/>
    <w:rsid w:val="006C5EFF"/>
    <w:rsid w:val="006D0A45"/>
    <w:rsid w:val="006D0D71"/>
    <w:rsid w:val="006D130B"/>
    <w:rsid w:val="006D1D99"/>
    <w:rsid w:val="006D3606"/>
    <w:rsid w:val="006D596A"/>
    <w:rsid w:val="006D7995"/>
    <w:rsid w:val="006E0215"/>
    <w:rsid w:val="006E0E2D"/>
    <w:rsid w:val="006E241E"/>
    <w:rsid w:val="006E6200"/>
    <w:rsid w:val="006E66A6"/>
    <w:rsid w:val="006E736A"/>
    <w:rsid w:val="006E7DF3"/>
    <w:rsid w:val="006F1BD2"/>
    <w:rsid w:val="006F24EF"/>
    <w:rsid w:val="006F29C9"/>
    <w:rsid w:val="006F2C20"/>
    <w:rsid w:val="006F44C7"/>
    <w:rsid w:val="006F53DF"/>
    <w:rsid w:val="006F7378"/>
    <w:rsid w:val="006F7497"/>
    <w:rsid w:val="007005DD"/>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6590"/>
    <w:rsid w:val="00737215"/>
    <w:rsid w:val="00746973"/>
    <w:rsid w:val="00746D27"/>
    <w:rsid w:val="00747A81"/>
    <w:rsid w:val="0075012E"/>
    <w:rsid w:val="007503F6"/>
    <w:rsid w:val="00752D0B"/>
    <w:rsid w:val="00753CDB"/>
    <w:rsid w:val="007554E1"/>
    <w:rsid w:val="00755718"/>
    <w:rsid w:val="00756B4F"/>
    <w:rsid w:val="00757461"/>
    <w:rsid w:val="00757895"/>
    <w:rsid w:val="00757E0F"/>
    <w:rsid w:val="007615F4"/>
    <w:rsid w:val="007634D5"/>
    <w:rsid w:val="00767EE4"/>
    <w:rsid w:val="00770AD1"/>
    <w:rsid w:val="00770B61"/>
    <w:rsid w:val="007753FA"/>
    <w:rsid w:val="00776C01"/>
    <w:rsid w:val="00777555"/>
    <w:rsid w:val="007775EE"/>
    <w:rsid w:val="0078151D"/>
    <w:rsid w:val="00784633"/>
    <w:rsid w:val="00784E23"/>
    <w:rsid w:val="00784ED6"/>
    <w:rsid w:val="007873EF"/>
    <w:rsid w:val="00787702"/>
    <w:rsid w:val="00787A82"/>
    <w:rsid w:val="00791976"/>
    <w:rsid w:val="0079228D"/>
    <w:rsid w:val="007926B3"/>
    <w:rsid w:val="0079301E"/>
    <w:rsid w:val="0079788F"/>
    <w:rsid w:val="007A0448"/>
    <w:rsid w:val="007A0EB9"/>
    <w:rsid w:val="007A46CD"/>
    <w:rsid w:val="007A52B3"/>
    <w:rsid w:val="007A78F4"/>
    <w:rsid w:val="007B12BE"/>
    <w:rsid w:val="007B1E98"/>
    <w:rsid w:val="007B439E"/>
    <w:rsid w:val="007B4E55"/>
    <w:rsid w:val="007B6546"/>
    <w:rsid w:val="007B78E3"/>
    <w:rsid w:val="007C01D3"/>
    <w:rsid w:val="007C162F"/>
    <w:rsid w:val="007C2B50"/>
    <w:rsid w:val="007C3F8A"/>
    <w:rsid w:val="007C4DED"/>
    <w:rsid w:val="007C63B5"/>
    <w:rsid w:val="007C657F"/>
    <w:rsid w:val="007D0EE4"/>
    <w:rsid w:val="007D15FB"/>
    <w:rsid w:val="007D21A1"/>
    <w:rsid w:val="007D428E"/>
    <w:rsid w:val="007D435E"/>
    <w:rsid w:val="007D4824"/>
    <w:rsid w:val="007D616F"/>
    <w:rsid w:val="007D6C2D"/>
    <w:rsid w:val="007E046E"/>
    <w:rsid w:val="007E08FC"/>
    <w:rsid w:val="007E1FAB"/>
    <w:rsid w:val="007E2B45"/>
    <w:rsid w:val="007E35A4"/>
    <w:rsid w:val="007E3BBC"/>
    <w:rsid w:val="007E515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5F42"/>
    <w:rsid w:val="008275DE"/>
    <w:rsid w:val="008300D2"/>
    <w:rsid w:val="00830826"/>
    <w:rsid w:val="00830D58"/>
    <w:rsid w:val="00832B66"/>
    <w:rsid w:val="008342D3"/>
    <w:rsid w:val="008362FE"/>
    <w:rsid w:val="00841E89"/>
    <w:rsid w:val="008436F8"/>
    <w:rsid w:val="00847A2B"/>
    <w:rsid w:val="00851687"/>
    <w:rsid w:val="0085268C"/>
    <w:rsid w:val="0085295A"/>
    <w:rsid w:val="00852D10"/>
    <w:rsid w:val="00852D22"/>
    <w:rsid w:val="008531B0"/>
    <w:rsid w:val="0085470E"/>
    <w:rsid w:val="00854746"/>
    <w:rsid w:val="00854F2D"/>
    <w:rsid w:val="00855313"/>
    <w:rsid w:val="0085563B"/>
    <w:rsid w:val="008563D3"/>
    <w:rsid w:val="008568DC"/>
    <w:rsid w:val="00860CBC"/>
    <w:rsid w:val="008614DB"/>
    <w:rsid w:val="0086444B"/>
    <w:rsid w:val="00864AB5"/>
    <w:rsid w:val="00866177"/>
    <w:rsid w:val="00866449"/>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23D8"/>
    <w:rsid w:val="008A2E3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1093"/>
    <w:rsid w:val="008F1711"/>
    <w:rsid w:val="008F6E10"/>
    <w:rsid w:val="0090175F"/>
    <w:rsid w:val="00907D1B"/>
    <w:rsid w:val="009104B4"/>
    <w:rsid w:val="00911A04"/>
    <w:rsid w:val="00912AAA"/>
    <w:rsid w:val="00915A9A"/>
    <w:rsid w:val="009209FF"/>
    <w:rsid w:val="00923B09"/>
    <w:rsid w:val="009249E0"/>
    <w:rsid w:val="00926313"/>
    <w:rsid w:val="00930BF8"/>
    <w:rsid w:val="0093307D"/>
    <w:rsid w:val="00933408"/>
    <w:rsid w:val="0093362A"/>
    <w:rsid w:val="00933C60"/>
    <w:rsid w:val="00936731"/>
    <w:rsid w:val="00937139"/>
    <w:rsid w:val="00937909"/>
    <w:rsid w:val="00937CEB"/>
    <w:rsid w:val="009449F6"/>
    <w:rsid w:val="0095306A"/>
    <w:rsid w:val="00953EC8"/>
    <w:rsid w:val="00954194"/>
    <w:rsid w:val="0095439D"/>
    <w:rsid w:val="009559F2"/>
    <w:rsid w:val="00957BA7"/>
    <w:rsid w:val="00961A99"/>
    <w:rsid w:val="00961C0B"/>
    <w:rsid w:val="00965F59"/>
    <w:rsid w:val="00965FCD"/>
    <w:rsid w:val="009667A6"/>
    <w:rsid w:val="00967D45"/>
    <w:rsid w:val="009735D8"/>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93D"/>
    <w:rsid w:val="009A605A"/>
    <w:rsid w:val="009A66CA"/>
    <w:rsid w:val="009B06CE"/>
    <w:rsid w:val="009B11A9"/>
    <w:rsid w:val="009B1648"/>
    <w:rsid w:val="009B294A"/>
    <w:rsid w:val="009B683B"/>
    <w:rsid w:val="009B78FD"/>
    <w:rsid w:val="009B7B48"/>
    <w:rsid w:val="009C0136"/>
    <w:rsid w:val="009C43CA"/>
    <w:rsid w:val="009C7A4C"/>
    <w:rsid w:val="009D09F3"/>
    <w:rsid w:val="009D35F8"/>
    <w:rsid w:val="009D3B4C"/>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2FFB"/>
    <w:rsid w:val="00A74C98"/>
    <w:rsid w:val="00A75559"/>
    <w:rsid w:val="00A76EAB"/>
    <w:rsid w:val="00A8048B"/>
    <w:rsid w:val="00A80522"/>
    <w:rsid w:val="00A80F80"/>
    <w:rsid w:val="00A83542"/>
    <w:rsid w:val="00A83BC9"/>
    <w:rsid w:val="00A840CD"/>
    <w:rsid w:val="00A84331"/>
    <w:rsid w:val="00A84752"/>
    <w:rsid w:val="00A86446"/>
    <w:rsid w:val="00A865F7"/>
    <w:rsid w:val="00A86D76"/>
    <w:rsid w:val="00A86E44"/>
    <w:rsid w:val="00A96EBF"/>
    <w:rsid w:val="00A97B37"/>
    <w:rsid w:val="00AA0019"/>
    <w:rsid w:val="00AA0ABA"/>
    <w:rsid w:val="00AA12D0"/>
    <w:rsid w:val="00AA19F6"/>
    <w:rsid w:val="00AA1DE8"/>
    <w:rsid w:val="00AA2159"/>
    <w:rsid w:val="00AA30A8"/>
    <w:rsid w:val="00AA5847"/>
    <w:rsid w:val="00AA5DF7"/>
    <w:rsid w:val="00AA684A"/>
    <w:rsid w:val="00AA7FF1"/>
    <w:rsid w:val="00AB1A2A"/>
    <w:rsid w:val="00AB260C"/>
    <w:rsid w:val="00AB27A5"/>
    <w:rsid w:val="00AB442E"/>
    <w:rsid w:val="00AB5DA0"/>
    <w:rsid w:val="00AB7898"/>
    <w:rsid w:val="00AB79F3"/>
    <w:rsid w:val="00AB7BCF"/>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36B1"/>
    <w:rsid w:val="00AF3808"/>
    <w:rsid w:val="00AF736B"/>
    <w:rsid w:val="00AF7F33"/>
    <w:rsid w:val="00B015C5"/>
    <w:rsid w:val="00B02750"/>
    <w:rsid w:val="00B0329B"/>
    <w:rsid w:val="00B03AE4"/>
    <w:rsid w:val="00B04683"/>
    <w:rsid w:val="00B0511B"/>
    <w:rsid w:val="00B05A86"/>
    <w:rsid w:val="00B06776"/>
    <w:rsid w:val="00B1060D"/>
    <w:rsid w:val="00B12A20"/>
    <w:rsid w:val="00B135F0"/>
    <w:rsid w:val="00B14CA3"/>
    <w:rsid w:val="00B173E6"/>
    <w:rsid w:val="00B179D5"/>
    <w:rsid w:val="00B20631"/>
    <w:rsid w:val="00B213B5"/>
    <w:rsid w:val="00B25667"/>
    <w:rsid w:val="00B25AEC"/>
    <w:rsid w:val="00B25DDC"/>
    <w:rsid w:val="00B27B62"/>
    <w:rsid w:val="00B328EE"/>
    <w:rsid w:val="00B3350E"/>
    <w:rsid w:val="00B33A67"/>
    <w:rsid w:val="00B33F02"/>
    <w:rsid w:val="00B4020D"/>
    <w:rsid w:val="00B42D83"/>
    <w:rsid w:val="00B43FCC"/>
    <w:rsid w:val="00B448AB"/>
    <w:rsid w:val="00B44B4E"/>
    <w:rsid w:val="00B44D38"/>
    <w:rsid w:val="00B50FD0"/>
    <w:rsid w:val="00B55944"/>
    <w:rsid w:val="00B56D30"/>
    <w:rsid w:val="00B607F9"/>
    <w:rsid w:val="00B618BC"/>
    <w:rsid w:val="00B62A03"/>
    <w:rsid w:val="00B66BE2"/>
    <w:rsid w:val="00B677D2"/>
    <w:rsid w:val="00B712F5"/>
    <w:rsid w:val="00B720E8"/>
    <w:rsid w:val="00B724AB"/>
    <w:rsid w:val="00B73E4E"/>
    <w:rsid w:val="00B753A8"/>
    <w:rsid w:val="00B75856"/>
    <w:rsid w:val="00B7646E"/>
    <w:rsid w:val="00B80FB7"/>
    <w:rsid w:val="00B81591"/>
    <w:rsid w:val="00B85A31"/>
    <w:rsid w:val="00B8754C"/>
    <w:rsid w:val="00B87A9B"/>
    <w:rsid w:val="00B87F63"/>
    <w:rsid w:val="00B91C19"/>
    <w:rsid w:val="00B953D5"/>
    <w:rsid w:val="00B9643E"/>
    <w:rsid w:val="00B96FE8"/>
    <w:rsid w:val="00BA4498"/>
    <w:rsid w:val="00BA5088"/>
    <w:rsid w:val="00BB09BA"/>
    <w:rsid w:val="00BB28E2"/>
    <w:rsid w:val="00BB3DCB"/>
    <w:rsid w:val="00BB4543"/>
    <w:rsid w:val="00BB522C"/>
    <w:rsid w:val="00BB5AA7"/>
    <w:rsid w:val="00BC3298"/>
    <w:rsid w:val="00BC677B"/>
    <w:rsid w:val="00BC77D4"/>
    <w:rsid w:val="00BC796B"/>
    <w:rsid w:val="00BC7D05"/>
    <w:rsid w:val="00BD1510"/>
    <w:rsid w:val="00BD1F9F"/>
    <w:rsid w:val="00BD3D9B"/>
    <w:rsid w:val="00BD4AF3"/>
    <w:rsid w:val="00BD58F6"/>
    <w:rsid w:val="00BD5D76"/>
    <w:rsid w:val="00BE1A98"/>
    <w:rsid w:val="00BE2F95"/>
    <w:rsid w:val="00BE341B"/>
    <w:rsid w:val="00BE7EC5"/>
    <w:rsid w:val="00BF0728"/>
    <w:rsid w:val="00BF429C"/>
    <w:rsid w:val="00BF42AA"/>
    <w:rsid w:val="00BF4487"/>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4E20"/>
    <w:rsid w:val="00C164AB"/>
    <w:rsid w:val="00C16A3A"/>
    <w:rsid w:val="00C1756A"/>
    <w:rsid w:val="00C20CFF"/>
    <w:rsid w:val="00C21866"/>
    <w:rsid w:val="00C21909"/>
    <w:rsid w:val="00C22FA0"/>
    <w:rsid w:val="00C25036"/>
    <w:rsid w:val="00C25840"/>
    <w:rsid w:val="00C25862"/>
    <w:rsid w:val="00C26421"/>
    <w:rsid w:val="00C300D8"/>
    <w:rsid w:val="00C305BA"/>
    <w:rsid w:val="00C32A45"/>
    <w:rsid w:val="00C33857"/>
    <w:rsid w:val="00C35A9A"/>
    <w:rsid w:val="00C35DF2"/>
    <w:rsid w:val="00C37411"/>
    <w:rsid w:val="00C37B13"/>
    <w:rsid w:val="00C41346"/>
    <w:rsid w:val="00C414D1"/>
    <w:rsid w:val="00C4283D"/>
    <w:rsid w:val="00C43E16"/>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D20"/>
    <w:rsid w:val="00C748AB"/>
    <w:rsid w:val="00C76B1E"/>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310"/>
    <w:rsid w:val="00CB15EB"/>
    <w:rsid w:val="00CB1D4A"/>
    <w:rsid w:val="00CB2F27"/>
    <w:rsid w:val="00CB3A5D"/>
    <w:rsid w:val="00CB3E2A"/>
    <w:rsid w:val="00CB564C"/>
    <w:rsid w:val="00CB7318"/>
    <w:rsid w:val="00CC0026"/>
    <w:rsid w:val="00CC1204"/>
    <w:rsid w:val="00CC1263"/>
    <w:rsid w:val="00CC2265"/>
    <w:rsid w:val="00CC63AD"/>
    <w:rsid w:val="00CD0B26"/>
    <w:rsid w:val="00CD2650"/>
    <w:rsid w:val="00CD2BA3"/>
    <w:rsid w:val="00CD430A"/>
    <w:rsid w:val="00CD7DE5"/>
    <w:rsid w:val="00CE152C"/>
    <w:rsid w:val="00CE184F"/>
    <w:rsid w:val="00CE77F4"/>
    <w:rsid w:val="00CF07CF"/>
    <w:rsid w:val="00CF2768"/>
    <w:rsid w:val="00CF2A6A"/>
    <w:rsid w:val="00CF38D8"/>
    <w:rsid w:val="00CF76B8"/>
    <w:rsid w:val="00CF7C0F"/>
    <w:rsid w:val="00D003A5"/>
    <w:rsid w:val="00D00B31"/>
    <w:rsid w:val="00D0154C"/>
    <w:rsid w:val="00D01E88"/>
    <w:rsid w:val="00D02C13"/>
    <w:rsid w:val="00D04F57"/>
    <w:rsid w:val="00D05288"/>
    <w:rsid w:val="00D1438E"/>
    <w:rsid w:val="00D145F5"/>
    <w:rsid w:val="00D22955"/>
    <w:rsid w:val="00D23604"/>
    <w:rsid w:val="00D23CD2"/>
    <w:rsid w:val="00D2681D"/>
    <w:rsid w:val="00D3057C"/>
    <w:rsid w:val="00D3235E"/>
    <w:rsid w:val="00D334FB"/>
    <w:rsid w:val="00D355B7"/>
    <w:rsid w:val="00D36031"/>
    <w:rsid w:val="00D3711B"/>
    <w:rsid w:val="00D3765A"/>
    <w:rsid w:val="00D37755"/>
    <w:rsid w:val="00D37E55"/>
    <w:rsid w:val="00D42AF3"/>
    <w:rsid w:val="00D43E33"/>
    <w:rsid w:val="00D44B09"/>
    <w:rsid w:val="00D4585D"/>
    <w:rsid w:val="00D4627E"/>
    <w:rsid w:val="00D46DFC"/>
    <w:rsid w:val="00D55AC9"/>
    <w:rsid w:val="00D57360"/>
    <w:rsid w:val="00D5753D"/>
    <w:rsid w:val="00D71AE8"/>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3EA2"/>
    <w:rsid w:val="00DB6645"/>
    <w:rsid w:val="00DC1867"/>
    <w:rsid w:val="00DC1DBD"/>
    <w:rsid w:val="00DC2D5A"/>
    <w:rsid w:val="00DC716E"/>
    <w:rsid w:val="00DC7C3B"/>
    <w:rsid w:val="00DD06D3"/>
    <w:rsid w:val="00DD4549"/>
    <w:rsid w:val="00DD77F2"/>
    <w:rsid w:val="00DE0530"/>
    <w:rsid w:val="00DE5644"/>
    <w:rsid w:val="00DE5DD6"/>
    <w:rsid w:val="00DE60B7"/>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E8A"/>
    <w:rsid w:val="00E27B87"/>
    <w:rsid w:val="00E30CC9"/>
    <w:rsid w:val="00E33DCF"/>
    <w:rsid w:val="00E345B0"/>
    <w:rsid w:val="00E35E8C"/>
    <w:rsid w:val="00E36540"/>
    <w:rsid w:val="00E367F4"/>
    <w:rsid w:val="00E43AE3"/>
    <w:rsid w:val="00E44A06"/>
    <w:rsid w:val="00E46894"/>
    <w:rsid w:val="00E47A8E"/>
    <w:rsid w:val="00E5044D"/>
    <w:rsid w:val="00E50503"/>
    <w:rsid w:val="00E55ABB"/>
    <w:rsid w:val="00E63FC8"/>
    <w:rsid w:val="00E70B41"/>
    <w:rsid w:val="00E7146E"/>
    <w:rsid w:val="00E733BA"/>
    <w:rsid w:val="00E74F9A"/>
    <w:rsid w:val="00E7634F"/>
    <w:rsid w:val="00E76D0B"/>
    <w:rsid w:val="00E835C9"/>
    <w:rsid w:val="00E838D7"/>
    <w:rsid w:val="00E83FBB"/>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5578"/>
    <w:rsid w:val="00EC55AD"/>
    <w:rsid w:val="00EC6858"/>
    <w:rsid w:val="00EC747F"/>
    <w:rsid w:val="00EC7684"/>
    <w:rsid w:val="00ED2D8B"/>
    <w:rsid w:val="00ED4AA3"/>
    <w:rsid w:val="00ED5AE0"/>
    <w:rsid w:val="00ED5F4E"/>
    <w:rsid w:val="00EE2344"/>
    <w:rsid w:val="00EE4D2C"/>
    <w:rsid w:val="00EE503A"/>
    <w:rsid w:val="00EE55C0"/>
    <w:rsid w:val="00EE6575"/>
    <w:rsid w:val="00EE7D2C"/>
    <w:rsid w:val="00EF0278"/>
    <w:rsid w:val="00EF4331"/>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46CB"/>
    <w:rsid w:val="00F15C72"/>
    <w:rsid w:val="00F16563"/>
    <w:rsid w:val="00F170A2"/>
    <w:rsid w:val="00F217E4"/>
    <w:rsid w:val="00F25831"/>
    <w:rsid w:val="00F27FE9"/>
    <w:rsid w:val="00F379A8"/>
    <w:rsid w:val="00F40093"/>
    <w:rsid w:val="00F413AF"/>
    <w:rsid w:val="00F42028"/>
    <w:rsid w:val="00F435C6"/>
    <w:rsid w:val="00F47236"/>
    <w:rsid w:val="00F4750C"/>
    <w:rsid w:val="00F51080"/>
    <w:rsid w:val="00F5279A"/>
    <w:rsid w:val="00F545EA"/>
    <w:rsid w:val="00F606FE"/>
    <w:rsid w:val="00F62428"/>
    <w:rsid w:val="00F62682"/>
    <w:rsid w:val="00F6468C"/>
    <w:rsid w:val="00F66024"/>
    <w:rsid w:val="00F663AB"/>
    <w:rsid w:val="00F66FAF"/>
    <w:rsid w:val="00F679A7"/>
    <w:rsid w:val="00F71374"/>
    <w:rsid w:val="00F74FF2"/>
    <w:rsid w:val="00F7512A"/>
    <w:rsid w:val="00F77178"/>
    <w:rsid w:val="00F8442C"/>
    <w:rsid w:val="00F873E6"/>
    <w:rsid w:val="00F90F13"/>
    <w:rsid w:val="00F9503A"/>
    <w:rsid w:val="00F9539D"/>
    <w:rsid w:val="00F96044"/>
    <w:rsid w:val="00F9613B"/>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 w:type="paragraph" w:customStyle="1" w:styleId="Char">
    <w:name w:val="Char"/>
    <w:basedOn w:val="Normal"/>
    <w:rsid w:val="00552183"/>
    <w:pPr>
      <w:spacing w:after="160" w:line="240" w:lineRule="exact"/>
    </w:pPr>
    <w:rPr>
      <w:rFonts w:ascii="Verdana" w:hAnsi="Verdana" w:cs="Verdana"/>
      <w:sz w:val="20"/>
      <w:lang w:val="en-US" w:eastAsia="en-US"/>
    </w:rPr>
  </w:style>
  <w:style w:type="character" w:styleId="Hyperlink">
    <w:name w:val="Hyperlink"/>
    <w:basedOn w:val="DefaultParagraphFont"/>
    <w:uiPriority w:val="99"/>
    <w:unhideWhenUsed/>
    <w:rsid w:val="00973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81512">
      <w:bodyDiv w:val="1"/>
      <w:marLeft w:val="0"/>
      <w:marRight w:val="0"/>
      <w:marTop w:val="0"/>
      <w:marBottom w:val="0"/>
      <w:divBdr>
        <w:top w:val="none" w:sz="0" w:space="0" w:color="auto"/>
        <w:left w:val="none" w:sz="0" w:space="0" w:color="auto"/>
        <w:bottom w:val="none" w:sz="0" w:space="0" w:color="auto"/>
        <w:right w:val="none" w:sz="0" w:space="0" w:color="auto"/>
      </w:divBdr>
    </w:div>
    <w:div w:id="631794017">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846017158">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0A1E-3C2B-46D9-B1A9-2B2AB21E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NADINE, Tamara</cp:lastModifiedBy>
  <cp:revision>2</cp:revision>
  <cp:lastPrinted>2018-02-13T03:13:00Z</cp:lastPrinted>
  <dcterms:created xsi:type="dcterms:W3CDTF">2018-03-05T00:46:00Z</dcterms:created>
  <dcterms:modified xsi:type="dcterms:W3CDTF">2018-03-05T00:46:00Z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