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E79E4" w14:textId="77777777" w:rsidR="007F26C2" w:rsidRPr="00BE6E20" w:rsidRDefault="007F26C2" w:rsidP="008B0932">
      <w:pPr>
        <w:spacing w:after="120"/>
        <w:jc w:val="center"/>
        <w:rPr>
          <w:b/>
        </w:rPr>
      </w:pPr>
      <w:r w:rsidRPr="00BE6E20">
        <w:rPr>
          <w:b/>
        </w:rPr>
        <w:t xml:space="preserve">EXPLANATORY </w:t>
      </w:r>
      <w:r w:rsidR="00D552B4" w:rsidRPr="00BE6E20">
        <w:rPr>
          <w:b/>
        </w:rPr>
        <w:t>STATEMENT</w:t>
      </w:r>
    </w:p>
    <w:p w14:paraId="5D96DB9F" w14:textId="77777777" w:rsidR="00616BAD" w:rsidRPr="00BE6E20" w:rsidRDefault="00616BAD" w:rsidP="008B0932">
      <w:pPr>
        <w:spacing w:after="120"/>
        <w:jc w:val="center"/>
        <w:rPr>
          <w:b/>
          <w:u w:val="single"/>
        </w:rPr>
      </w:pPr>
      <w:r w:rsidRPr="00BE6E20">
        <w:rPr>
          <w:b/>
          <w:u w:val="single"/>
        </w:rPr>
        <w:t xml:space="preserve">Ordinance No. </w:t>
      </w:r>
      <w:r w:rsidR="008973E6">
        <w:rPr>
          <w:b/>
          <w:u w:val="single"/>
        </w:rPr>
        <w:t xml:space="preserve"> </w:t>
      </w:r>
      <w:r w:rsidRPr="00BE6E20">
        <w:rPr>
          <w:b/>
          <w:u w:val="single"/>
        </w:rPr>
        <w:t>, 201</w:t>
      </w:r>
      <w:r w:rsidR="00786992">
        <w:rPr>
          <w:b/>
          <w:u w:val="single"/>
        </w:rPr>
        <w:t>8</w:t>
      </w:r>
    </w:p>
    <w:p w14:paraId="7F743AA6" w14:textId="77777777" w:rsidR="00786992" w:rsidRDefault="00D552B4" w:rsidP="00786992">
      <w:pPr>
        <w:pStyle w:val="Heading6"/>
        <w:tabs>
          <w:tab w:val="right" w:pos="9072"/>
        </w:tabs>
        <w:spacing w:before="0"/>
      </w:pPr>
      <w:r w:rsidRPr="00BE6E20">
        <w:rPr>
          <w:szCs w:val="24"/>
        </w:rPr>
        <w:t>Issued by the authority</w:t>
      </w:r>
      <w:r w:rsidR="007F26C2" w:rsidRPr="00BE6E20">
        <w:rPr>
          <w:szCs w:val="24"/>
        </w:rPr>
        <w:t xml:space="preserve"> </w:t>
      </w:r>
      <w:r w:rsidRPr="00BE6E20">
        <w:rPr>
          <w:szCs w:val="24"/>
        </w:rPr>
        <w:t xml:space="preserve">of the </w:t>
      </w:r>
      <w:r w:rsidR="00786992">
        <w:t>Minister for Regional Development, Territories and Local Government</w:t>
      </w:r>
    </w:p>
    <w:p w14:paraId="28FAF4FB" w14:textId="77777777" w:rsidR="007F26C2" w:rsidRPr="00BE6E20" w:rsidRDefault="007F26C2" w:rsidP="00786992">
      <w:pPr>
        <w:pStyle w:val="Heading6"/>
        <w:tabs>
          <w:tab w:val="right" w:pos="9072"/>
        </w:tabs>
        <w:spacing w:before="0" w:after="120"/>
        <w:jc w:val="center"/>
        <w:rPr>
          <w:i/>
        </w:rPr>
      </w:pPr>
      <w:r w:rsidRPr="00BE6E20">
        <w:rPr>
          <w:i/>
        </w:rPr>
        <w:t>Norfolk Island Act 1979</w:t>
      </w:r>
    </w:p>
    <w:p w14:paraId="3E9512A2" w14:textId="77777777" w:rsidR="00616BAD" w:rsidRPr="00BE6E20" w:rsidRDefault="00616BAD" w:rsidP="008B0932">
      <w:pPr>
        <w:autoSpaceDE w:val="0"/>
        <w:autoSpaceDN w:val="0"/>
        <w:adjustRightInd w:val="0"/>
        <w:spacing w:after="120"/>
        <w:jc w:val="center"/>
        <w:rPr>
          <w:b/>
          <w:i/>
        </w:rPr>
      </w:pPr>
      <w:r w:rsidRPr="00BE6E20">
        <w:rPr>
          <w:b/>
          <w:i/>
        </w:rPr>
        <w:t>Norfolk Island Continued Laws Amendment (</w:t>
      </w:r>
      <w:r w:rsidR="008B0932" w:rsidRPr="00BE6E20">
        <w:rPr>
          <w:b/>
          <w:i/>
        </w:rPr>
        <w:t>Community Title</w:t>
      </w:r>
      <w:r w:rsidR="00786992">
        <w:rPr>
          <w:b/>
          <w:i/>
        </w:rPr>
        <w:t>) Ordinance 2018</w:t>
      </w:r>
    </w:p>
    <w:p w14:paraId="77F89555" w14:textId="77777777" w:rsidR="007F26C2" w:rsidRPr="00BE6E20" w:rsidRDefault="007F26C2" w:rsidP="008B0932">
      <w:pPr>
        <w:spacing w:before="120" w:after="120"/>
        <w:rPr>
          <w:i/>
          <w:u w:val="single"/>
        </w:rPr>
      </w:pPr>
      <w:r w:rsidRPr="00BE6E20">
        <w:rPr>
          <w:i/>
          <w:u w:val="single"/>
        </w:rPr>
        <w:t>Authority</w:t>
      </w:r>
    </w:p>
    <w:p w14:paraId="1685DED5" w14:textId="77777777" w:rsidR="00616BAD" w:rsidRPr="00BE6E20" w:rsidRDefault="00616BAD" w:rsidP="008B0932">
      <w:pPr>
        <w:shd w:val="clear" w:color="auto" w:fill="FFFFFF"/>
        <w:spacing w:before="120" w:after="120" w:line="276" w:lineRule="auto"/>
      </w:pPr>
      <w:r w:rsidRPr="00BE6E20">
        <w:t xml:space="preserve">The </w:t>
      </w:r>
      <w:r w:rsidRPr="00BE6E20">
        <w:rPr>
          <w:i/>
        </w:rPr>
        <w:t>Norfolk Island Act 1979</w:t>
      </w:r>
      <w:r w:rsidRPr="00BE6E20">
        <w:t xml:space="preserve"> (the Act) provides for the Government of the Territory of Norfolk Island.</w:t>
      </w:r>
    </w:p>
    <w:p w14:paraId="28C25C16" w14:textId="77777777" w:rsidR="00616BAD" w:rsidRPr="00BE6E20" w:rsidRDefault="00616BAD" w:rsidP="008B0932">
      <w:pPr>
        <w:shd w:val="clear" w:color="auto" w:fill="FFFFFF"/>
        <w:spacing w:before="120" w:after="120" w:line="276" w:lineRule="auto"/>
      </w:pPr>
      <w:r w:rsidRPr="00BE6E20">
        <w:t>Section 19A of the Act provides that the Governor-General may make Ordinances for the peace, order and good government of the Territory of Norfolk Island.</w:t>
      </w:r>
    </w:p>
    <w:p w14:paraId="43536F24" w14:textId="77777777" w:rsidR="00616BAD" w:rsidRPr="00BE6E20" w:rsidRDefault="00616BAD" w:rsidP="008B0932">
      <w:pPr>
        <w:shd w:val="clear" w:color="auto" w:fill="FFFFFF"/>
        <w:spacing w:before="120" w:after="120" w:line="276" w:lineRule="auto"/>
      </w:pPr>
      <w:r w:rsidRPr="00BE6E20">
        <w:t xml:space="preserve">The </w:t>
      </w:r>
      <w:r w:rsidR="00E31731" w:rsidRPr="00BE6E20">
        <w:rPr>
          <w:i/>
        </w:rPr>
        <w:t>Norfolk Island Continued Laws Amendment (</w:t>
      </w:r>
      <w:r w:rsidR="008B0932" w:rsidRPr="00BE6E20">
        <w:rPr>
          <w:i/>
        </w:rPr>
        <w:t>Community Title</w:t>
      </w:r>
      <w:r w:rsidR="008973E6">
        <w:rPr>
          <w:i/>
        </w:rPr>
        <w:t xml:space="preserve">) Ordinance 2018 </w:t>
      </w:r>
      <w:r w:rsidRPr="00BE6E20">
        <w:t xml:space="preserve">(the Ordinance) is made under section 19A of the Act. The Ordinance amends the </w:t>
      </w:r>
      <w:r w:rsidRPr="00BE6E20">
        <w:rPr>
          <w:i/>
        </w:rPr>
        <w:t>Norfolk Island Continued Laws Ordinance 2015</w:t>
      </w:r>
      <w:r w:rsidRPr="00BE6E20">
        <w:t xml:space="preserve"> (the Principal Ordinance) to amend </w:t>
      </w:r>
      <w:r w:rsidR="003623DE" w:rsidRPr="00BE6E20">
        <w:t xml:space="preserve">the </w:t>
      </w:r>
      <w:r w:rsidR="003623DE" w:rsidRPr="00BE6E20">
        <w:rPr>
          <w:i/>
        </w:rPr>
        <w:t>Community Title Act 2015</w:t>
      </w:r>
      <w:r w:rsidR="00EB0606">
        <w:t>,</w:t>
      </w:r>
      <w:r w:rsidR="003623DE" w:rsidRPr="00BE6E20">
        <w:rPr>
          <w:i/>
        </w:rPr>
        <w:t xml:space="preserve"> </w:t>
      </w:r>
      <w:r w:rsidRPr="00BE6E20">
        <w:t>a Norfolk Island enactment. Norfolk Island enactments, made by the former Legislative Assembly, have been continued in force under section 16A of the Act and, under section 17, may be amended or repealed by a section 19A ordinance.</w:t>
      </w:r>
    </w:p>
    <w:p w14:paraId="72DB85ED" w14:textId="77777777" w:rsidR="007F26C2" w:rsidRPr="00BE6E20" w:rsidRDefault="007F26C2" w:rsidP="008B0932">
      <w:pPr>
        <w:autoSpaceDE w:val="0"/>
        <w:autoSpaceDN w:val="0"/>
        <w:adjustRightInd w:val="0"/>
        <w:spacing w:before="120" w:after="120"/>
      </w:pPr>
      <w:r w:rsidRPr="00BE6E20">
        <w:rPr>
          <w:i/>
          <w:u w:val="single"/>
        </w:rPr>
        <w:t>Purpose and operation</w:t>
      </w:r>
    </w:p>
    <w:p w14:paraId="6AADCABC" w14:textId="77777777" w:rsidR="000A6B7C" w:rsidRPr="00BE6E20" w:rsidRDefault="007F26C2" w:rsidP="008B0932">
      <w:pPr>
        <w:keepNext/>
        <w:widowControl w:val="0"/>
        <w:spacing w:before="120" w:after="120" w:line="276" w:lineRule="auto"/>
      </w:pPr>
      <w:r w:rsidRPr="00BE6E20">
        <w:t>The</w:t>
      </w:r>
      <w:r w:rsidR="00E31731" w:rsidRPr="00BE6E20">
        <w:t xml:space="preserve"> Ordinance commences community title legislation on Norfolk Island. Community title provides a mechanism for a single parcel of land to be divided amongst separate owners into two or more lots with </w:t>
      </w:r>
      <w:r w:rsidR="005529F5" w:rsidRPr="00BE6E20">
        <w:t xml:space="preserve">shared </w:t>
      </w:r>
      <w:r w:rsidR="00E31731" w:rsidRPr="00BE6E20">
        <w:t xml:space="preserve">areas of common property </w:t>
      </w:r>
      <w:r w:rsidR="005529F5" w:rsidRPr="00BE6E20">
        <w:t>maintained</w:t>
      </w:r>
      <w:r w:rsidR="00E31731" w:rsidRPr="00BE6E20">
        <w:t xml:space="preserve"> by the </w:t>
      </w:r>
      <w:r w:rsidR="005529F5" w:rsidRPr="00BE6E20">
        <w:t>owners</w:t>
      </w:r>
      <w:r w:rsidR="00E31731" w:rsidRPr="00BE6E20">
        <w:t xml:space="preserve">. Common property includes areas such as </w:t>
      </w:r>
      <w:r w:rsidR="005108EE" w:rsidRPr="00BE6E20">
        <w:t>stairs, lifts, balconies and gardens. Examples of community title development</w:t>
      </w:r>
      <w:r w:rsidR="005529F5" w:rsidRPr="00BE6E20">
        <w:t>s</w:t>
      </w:r>
      <w:r w:rsidR="005108EE" w:rsidRPr="00BE6E20">
        <w:t xml:space="preserve"> include retirement homes and holiday villages with common property such as swimming pools and gyms.</w:t>
      </w:r>
    </w:p>
    <w:p w14:paraId="28476F08" w14:textId="77777777" w:rsidR="007F26C2" w:rsidRPr="00BE6E20" w:rsidRDefault="007F26C2" w:rsidP="008B0932">
      <w:pPr>
        <w:keepNext/>
        <w:widowControl w:val="0"/>
        <w:spacing w:before="120" w:after="120"/>
        <w:rPr>
          <w:i/>
          <w:u w:val="single"/>
        </w:rPr>
      </w:pPr>
      <w:r w:rsidRPr="00BE6E20">
        <w:rPr>
          <w:i/>
          <w:u w:val="single"/>
        </w:rPr>
        <w:t>Consultation</w:t>
      </w:r>
    </w:p>
    <w:p w14:paraId="577B4C7D" w14:textId="59548DF5" w:rsidR="00A905CD" w:rsidRPr="00BE6E20" w:rsidRDefault="00DD743A" w:rsidP="008B0932">
      <w:pPr>
        <w:pStyle w:val="NumberList"/>
        <w:numPr>
          <w:ilvl w:val="0"/>
          <w:numId w:val="0"/>
        </w:numPr>
        <w:tabs>
          <w:tab w:val="clear" w:pos="1985"/>
        </w:tabs>
        <w:spacing w:before="0" w:after="120" w:line="276" w:lineRule="auto"/>
      </w:pPr>
      <w:r>
        <w:t>E</w:t>
      </w:r>
      <w:r w:rsidR="009C1C3C">
        <w:t xml:space="preserve">xtensive community consultation </w:t>
      </w:r>
      <w:r>
        <w:t xml:space="preserve">was undertaken by the former Norfolk Island Assembly (the Assembly) prior to the passage of the </w:t>
      </w:r>
      <w:r>
        <w:rPr>
          <w:i/>
        </w:rPr>
        <w:t xml:space="preserve">Community Title Act 2015 </w:t>
      </w:r>
      <w:r>
        <w:t>(NI) (the Act). F</w:t>
      </w:r>
      <w:r w:rsidR="009C1C3C">
        <w:t xml:space="preserve">urther consultation was </w:t>
      </w:r>
      <w:r>
        <w:t>u</w:t>
      </w:r>
      <w:r w:rsidR="009C1C3C">
        <w:t>ndertaken in 2017</w:t>
      </w:r>
      <w:r w:rsidR="009C1C3C" w:rsidRPr="00CC0808">
        <w:t xml:space="preserve"> in preparation for the amendments</w:t>
      </w:r>
      <w:r w:rsidRPr="00DD743A">
        <w:t xml:space="preserve"> </w:t>
      </w:r>
      <w:r w:rsidRPr="00CC0808">
        <w:t>in the Ordinance</w:t>
      </w:r>
      <w:r>
        <w:t>, which largely mirroring the provisions in the Act as made by the Assembly in 2015</w:t>
      </w:r>
      <w:r w:rsidR="009C1C3C">
        <w:t xml:space="preserve">. In July 2017 a report about the status of community title by the Norfolk Island Regional Council (the Council), and presented to the Mayor and Councillors, was made available on the Council website and an article summarising the report and the proposed legislation was printed in the Norfolk Islander newspaper. </w:t>
      </w:r>
      <w:r w:rsidR="009C1C3C" w:rsidRPr="00CC0808">
        <w:t xml:space="preserve">No concerns were raised by the community or objections received. </w:t>
      </w:r>
      <w:r w:rsidR="009C1C3C">
        <w:t xml:space="preserve">In September 2017 the department and the Council jointly authored an information sheet about community title and made it, as well as copies of the Act and Regulations, available on the Council website. The community did not supply any responses to the </w:t>
      </w:r>
      <w:r w:rsidR="009C1C3C" w:rsidRPr="00CC0808">
        <w:t>information sheet</w:t>
      </w:r>
      <w:r w:rsidR="009C1C3C">
        <w:t>.</w:t>
      </w:r>
    </w:p>
    <w:p w14:paraId="3032354C" w14:textId="77777777" w:rsidR="007F26C2" w:rsidRPr="00BE6E20" w:rsidRDefault="007F26C2" w:rsidP="008B0932">
      <w:pPr>
        <w:tabs>
          <w:tab w:val="left" w:pos="1701"/>
          <w:tab w:val="right" w:pos="9072"/>
        </w:tabs>
        <w:spacing w:before="120" w:after="120" w:line="276" w:lineRule="auto"/>
        <w:ind w:right="91"/>
      </w:pPr>
      <w:r w:rsidRPr="00BE6E20">
        <w:t xml:space="preserve">Details of the </w:t>
      </w:r>
      <w:r w:rsidR="005529F5" w:rsidRPr="00BE6E20">
        <w:t>Ordinance</w:t>
      </w:r>
      <w:r w:rsidRPr="00BE6E20">
        <w:t xml:space="preserve"> are set out in the Attachment.</w:t>
      </w:r>
    </w:p>
    <w:p w14:paraId="11336EF1" w14:textId="77777777" w:rsidR="007F26C2" w:rsidRPr="00BE6E20" w:rsidRDefault="007F26C2" w:rsidP="008B0932">
      <w:pPr>
        <w:tabs>
          <w:tab w:val="left" w:pos="1701"/>
          <w:tab w:val="right" w:pos="9072"/>
        </w:tabs>
        <w:spacing w:before="120" w:after="120" w:line="276" w:lineRule="auto"/>
        <w:ind w:right="91"/>
      </w:pPr>
      <w:r w:rsidRPr="00BE6E20">
        <w:t xml:space="preserve">The </w:t>
      </w:r>
      <w:r w:rsidR="005529F5" w:rsidRPr="00BE6E20">
        <w:t>Ordinance is</w:t>
      </w:r>
      <w:r w:rsidR="004519D6" w:rsidRPr="00BE6E20">
        <w:t xml:space="preserve"> </w:t>
      </w:r>
      <w:r w:rsidRPr="00BE6E20">
        <w:t xml:space="preserve">a legislative instrument for the purposes of the </w:t>
      </w:r>
      <w:r w:rsidRPr="00BE6E20">
        <w:rPr>
          <w:i/>
        </w:rPr>
        <w:t>Legislation Act 2003</w:t>
      </w:r>
      <w:r w:rsidRPr="00BE6E20">
        <w:t>.</w:t>
      </w:r>
    </w:p>
    <w:p w14:paraId="7D33CE37" w14:textId="77777777" w:rsidR="00307F0C" w:rsidRPr="00BE6E20" w:rsidRDefault="007F26C2" w:rsidP="008B0932">
      <w:pPr>
        <w:tabs>
          <w:tab w:val="left" w:pos="1701"/>
          <w:tab w:val="right" w:pos="9072"/>
        </w:tabs>
        <w:spacing w:before="120" w:after="120" w:line="276" w:lineRule="auto"/>
        <w:ind w:right="91"/>
      </w:pPr>
      <w:r w:rsidRPr="00BE6E20">
        <w:t xml:space="preserve">The </w:t>
      </w:r>
      <w:r w:rsidR="005529F5" w:rsidRPr="00BE6E20">
        <w:t>Ordinance</w:t>
      </w:r>
      <w:r w:rsidRPr="00BE6E20">
        <w:t xml:space="preserve"> commence</w:t>
      </w:r>
      <w:r w:rsidR="00F6126B" w:rsidRPr="00BE6E20">
        <w:t>s</w:t>
      </w:r>
      <w:r w:rsidRPr="00BE6E20">
        <w:t xml:space="preserve"> </w:t>
      </w:r>
      <w:r w:rsidR="004519D6" w:rsidRPr="00BE6E20">
        <w:t xml:space="preserve">the day after </w:t>
      </w:r>
      <w:r w:rsidR="005529F5" w:rsidRPr="00BE6E20">
        <w:t xml:space="preserve">it is </w:t>
      </w:r>
      <w:r w:rsidR="004519D6" w:rsidRPr="00BE6E20">
        <w:t>registered</w:t>
      </w:r>
      <w:r w:rsidRPr="00BE6E20">
        <w:t>.</w:t>
      </w:r>
      <w:r w:rsidR="0017693A" w:rsidRPr="00BE6E20">
        <w:br w:type="page"/>
      </w:r>
    </w:p>
    <w:p w14:paraId="477B1CCD" w14:textId="77777777" w:rsidR="00D552B4" w:rsidRPr="00BE6E20" w:rsidRDefault="00D552B4" w:rsidP="008B0932">
      <w:pPr>
        <w:spacing w:before="360" w:after="120"/>
        <w:jc w:val="center"/>
        <w:rPr>
          <w:b/>
        </w:rPr>
      </w:pPr>
      <w:r w:rsidRPr="00BE6E20">
        <w:rPr>
          <w:b/>
        </w:rPr>
        <w:lastRenderedPageBreak/>
        <w:t>Statement of Compatibility with Human Rights</w:t>
      </w:r>
    </w:p>
    <w:p w14:paraId="590CB206" w14:textId="77777777" w:rsidR="00D552B4" w:rsidRPr="00BE6E20" w:rsidRDefault="00D552B4" w:rsidP="008B0932">
      <w:pPr>
        <w:spacing w:before="120" w:after="120"/>
        <w:jc w:val="center"/>
      </w:pPr>
      <w:r w:rsidRPr="00BE6E20">
        <w:rPr>
          <w:i/>
        </w:rPr>
        <w:t>Prepared in accordance with Part 3 of the Human Rights (Parliamentary Scrutiny) Act 2011</w:t>
      </w:r>
    </w:p>
    <w:p w14:paraId="571669F1" w14:textId="77777777" w:rsidR="00D552B4" w:rsidRPr="00BE6E20" w:rsidRDefault="00C70F19" w:rsidP="008B0932">
      <w:pPr>
        <w:tabs>
          <w:tab w:val="left" w:pos="-142"/>
          <w:tab w:val="right" w:pos="9072"/>
        </w:tabs>
        <w:spacing w:after="120"/>
        <w:ind w:right="91"/>
        <w:jc w:val="center"/>
        <w:rPr>
          <w:b/>
          <w:i/>
        </w:rPr>
      </w:pPr>
      <w:r w:rsidRPr="00BE6E20">
        <w:rPr>
          <w:b/>
          <w:i/>
        </w:rPr>
        <w:t>Norfolk Island Continued Laws Amendment (</w:t>
      </w:r>
      <w:r w:rsidR="007839FF" w:rsidRPr="00BE6E20">
        <w:rPr>
          <w:b/>
          <w:i/>
        </w:rPr>
        <w:t>Community Title</w:t>
      </w:r>
      <w:r w:rsidRPr="00BE6E20">
        <w:rPr>
          <w:b/>
          <w:i/>
        </w:rPr>
        <w:t>) Ordinance 2</w:t>
      </w:r>
      <w:r w:rsidR="00786992">
        <w:rPr>
          <w:b/>
          <w:i/>
        </w:rPr>
        <w:t>018</w:t>
      </w:r>
    </w:p>
    <w:p w14:paraId="11EB339F" w14:textId="77777777" w:rsidR="00D552B4" w:rsidRPr="00BE6E20" w:rsidRDefault="0069509D" w:rsidP="008B0932">
      <w:pPr>
        <w:spacing w:before="120" w:after="120"/>
      </w:pPr>
      <w:r w:rsidRPr="00BE6E20">
        <w:t>This Disallowable Legislative Instrument</w:t>
      </w:r>
      <w:r w:rsidR="00D552B4" w:rsidRPr="00BE6E20">
        <w:t xml:space="preserve"> </w:t>
      </w:r>
      <w:r w:rsidRPr="00BE6E20">
        <w:t>is</w:t>
      </w:r>
      <w:r w:rsidR="00D552B4" w:rsidRPr="00BE6E20">
        <w:t xml:space="preserve"> compatible with the human rights and freedoms recognised or declared in the international instruments listed in section 3 of the </w:t>
      </w:r>
      <w:r w:rsidR="00D552B4" w:rsidRPr="00BE6E20">
        <w:rPr>
          <w:i/>
        </w:rPr>
        <w:t>Human Rights (Parliamentary Scrutiny) Act 2011</w:t>
      </w:r>
      <w:r w:rsidR="00D552B4" w:rsidRPr="00BE6E20">
        <w:t>.</w:t>
      </w:r>
    </w:p>
    <w:p w14:paraId="072811EA" w14:textId="77777777" w:rsidR="00D552B4" w:rsidRPr="00BE6E20" w:rsidRDefault="00D552B4" w:rsidP="008B0932">
      <w:pPr>
        <w:spacing w:before="120" w:after="120"/>
        <w:jc w:val="both"/>
        <w:rPr>
          <w:b/>
        </w:rPr>
      </w:pPr>
      <w:r w:rsidRPr="00BE6E20">
        <w:rPr>
          <w:b/>
        </w:rPr>
        <w:t>Overview of the Legislative Instrument</w:t>
      </w:r>
    </w:p>
    <w:p w14:paraId="2743E57F" w14:textId="77777777" w:rsidR="00921681" w:rsidRPr="00BE6E20" w:rsidRDefault="00921681" w:rsidP="008B0932">
      <w:pPr>
        <w:spacing w:before="120" w:after="120"/>
      </w:pPr>
      <w:r w:rsidRPr="00BE6E20">
        <w:t xml:space="preserve">The </w:t>
      </w:r>
      <w:r w:rsidRPr="00BE6E20">
        <w:rPr>
          <w:i/>
        </w:rPr>
        <w:t>Norfolk Island Continued Laws Amendment (</w:t>
      </w:r>
      <w:r w:rsidR="007839FF" w:rsidRPr="00BE6E20">
        <w:rPr>
          <w:i/>
        </w:rPr>
        <w:t>Community Title</w:t>
      </w:r>
      <w:r w:rsidR="008973E6">
        <w:rPr>
          <w:i/>
        </w:rPr>
        <w:t>) Ordinance 2018</w:t>
      </w:r>
      <w:r w:rsidRPr="00BE6E20">
        <w:t xml:space="preserve"> commences community title legislation on Norfolk Island. Community title provides a mechanism for a single parcel of land to be divided amongst separate owners into two or more lots with shared areas of common property maintained by the owners. </w:t>
      </w:r>
    </w:p>
    <w:p w14:paraId="72C80868" w14:textId="77777777" w:rsidR="00D552B4" w:rsidRPr="00BE6E20" w:rsidRDefault="00D552B4" w:rsidP="008B0932">
      <w:pPr>
        <w:spacing w:before="120" w:after="120"/>
        <w:rPr>
          <w:b/>
        </w:rPr>
      </w:pPr>
      <w:r w:rsidRPr="00BE6E20">
        <w:rPr>
          <w:b/>
        </w:rPr>
        <w:t>Human rights implications</w:t>
      </w:r>
    </w:p>
    <w:p w14:paraId="7EF784B9" w14:textId="77777777" w:rsidR="00FB7973" w:rsidRPr="00BE6E20" w:rsidRDefault="00FB7973" w:rsidP="008B0932">
      <w:pPr>
        <w:shd w:val="clear" w:color="auto" w:fill="FFFFFF"/>
        <w:spacing w:before="120" w:after="120"/>
      </w:pPr>
      <w:r w:rsidRPr="00BE6E20">
        <w:t xml:space="preserve">This Disallowable Legislative Instrument </w:t>
      </w:r>
      <w:r w:rsidR="0072516E" w:rsidRPr="00BE6E20">
        <w:t>does not engage any of the applicable rights or freedoms.</w:t>
      </w:r>
    </w:p>
    <w:p w14:paraId="78ABB2A7" w14:textId="77777777" w:rsidR="00D552B4" w:rsidRPr="00BE6E20" w:rsidRDefault="00D552B4" w:rsidP="008B0932">
      <w:pPr>
        <w:spacing w:before="120" w:after="120"/>
        <w:rPr>
          <w:b/>
        </w:rPr>
      </w:pPr>
      <w:r w:rsidRPr="00BE6E20">
        <w:rPr>
          <w:b/>
        </w:rPr>
        <w:t xml:space="preserve">Conclusion </w:t>
      </w:r>
    </w:p>
    <w:p w14:paraId="6DF19DD6" w14:textId="77777777" w:rsidR="00D552B4" w:rsidRPr="00BE6E20" w:rsidRDefault="0069509D" w:rsidP="008B0932">
      <w:pPr>
        <w:spacing w:before="120" w:after="120"/>
      </w:pPr>
      <w:r w:rsidRPr="00BE6E20">
        <w:t xml:space="preserve">This Disallowable Legislative Instrument is </w:t>
      </w:r>
      <w:r w:rsidR="00D552B4" w:rsidRPr="00BE6E20">
        <w:t xml:space="preserve">compatible with human rights </w:t>
      </w:r>
      <w:r w:rsidR="0072516E" w:rsidRPr="00BE6E20">
        <w:t>as it does not raise any human rights issues.</w:t>
      </w:r>
    </w:p>
    <w:p w14:paraId="69410D9B" w14:textId="77777777" w:rsidR="00D552B4" w:rsidRPr="00BE6E20" w:rsidRDefault="00D552B4" w:rsidP="008B0932">
      <w:pPr>
        <w:spacing w:before="120" w:after="120"/>
      </w:pPr>
    </w:p>
    <w:p w14:paraId="7FB3DEAD" w14:textId="77777777" w:rsidR="00D552B4" w:rsidRPr="00BE6E20" w:rsidRDefault="00786992" w:rsidP="008B0932">
      <w:pPr>
        <w:tabs>
          <w:tab w:val="left" w:pos="1365"/>
        </w:tabs>
        <w:spacing w:after="120" w:line="276" w:lineRule="auto"/>
        <w:jc w:val="center"/>
      </w:pPr>
      <w:r w:rsidRPr="00786992">
        <w:rPr>
          <w:b/>
        </w:rPr>
        <w:t>Minister for Regional Development, Territories and Local Government</w:t>
      </w:r>
      <w:r w:rsidR="00D552B4" w:rsidRPr="00BE6E20">
        <w:rPr>
          <w:b/>
        </w:rPr>
        <w:t xml:space="preserve">, </w:t>
      </w:r>
      <w:r w:rsidR="0069509D" w:rsidRPr="00BE6E20">
        <w:rPr>
          <w:b/>
        </w:rPr>
        <w:br/>
      </w:r>
      <w:r>
        <w:rPr>
          <w:b/>
        </w:rPr>
        <w:t>T</w:t>
      </w:r>
      <w:r w:rsidR="0069509D" w:rsidRPr="00BE6E20">
        <w:rPr>
          <w:b/>
        </w:rPr>
        <w:t>he Hon </w:t>
      </w:r>
      <w:r>
        <w:rPr>
          <w:b/>
        </w:rPr>
        <w:t>Dr John McVeigh MP</w:t>
      </w:r>
    </w:p>
    <w:p w14:paraId="32729E37" w14:textId="77777777" w:rsidR="00D552B4" w:rsidRPr="00BE6E20" w:rsidRDefault="00D552B4" w:rsidP="008B0932">
      <w:pPr>
        <w:tabs>
          <w:tab w:val="left" w:pos="1701"/>
          <w:tab w:val="right" w:pos="9072"/>
        </w:tabs>
        <w:spacing w:before="120" w:after="120"/>
        <w:ind w:right="91"/>
      </w:pPr>
    </w:p>
    <w:p w14:paraId="722C781F" w14:textId="77777777" w:rsidR="0069509D" w:rsidRPr="00BE6E20" w:rsidRDefault="0069509D" w:rsidP="008B0932">
      <w:pPr>
        <w:spacing w:after="120" w:line="276" w:lineRule="auto"/>
        <w:rPr>
          <w:b/>
          <w:u w:val="single"/>
        </w:rPr>
      </w:pPr>
      <w:r w:rsidRPr="00BE6E20">
        <w:rPr>
          <w:b/>
          <w:u w:val="single"/>
        </w:rPr>
        <w:br w:type="page"/>
      </w:r>
    </w:p>
    <w:p w14:paraId="2F093CCB" w14:textId="77777777" w:rsidR="00307F0C" w:rsidRPr="00BE6E20" w:rsidRDefault="00083143" w:rsidP="008B0932">
      <w:pPr>
        <w:tabs>
          <w:tab w:val="left" w:pos="1701"/>
          <w:tab w:val="right" w:pos="9072"/>
        </w:tabs>
        <w:spacing w:before="120" w:after="120"/>
        <w:ind w:right="91"/>
        <w:jc w:val="right"/>
        <w:rPr>
          <w:b/>
          <w:u w:val="single"/>
        </w:rPr>
      </w:pPr>
      <w:r w:rsidRPr="00BE6E20">
        <w:rPr>
          <w:b/>
          <w:u w:val="single"/>
        </w:rPr>
        <w:lastRenderedPageBreak/>
        <w:t>ATTACHMENT</w:t>
      </w:r>
    </w:p>
    <w:p w14:paraId="106DF138" w14:textId="77777777" w:rsidR="00DE717D" w:rsidRPr="00BE6E20" w:rsidRDefault="00053D7B" w:rsidP="008B0932">
      <w:pPr>
        <w:autoSpaceDE w:val="0"/>
        <w:autoSpaceDN w:val="0"/>
        <w:adjustRightInd w:val="0"/>
        <w:spacing w:after="120"/>
        <w:rPr>
          <w:b/>
          <w:u w:val="single"/>
        </w:rPr>
      </w:pPr>
      <w:r w:rsidRPr="00BE6E20">
        <w:rPr>
          <w:i/>
        </w:rPr>
        <w:br/>
      </w:r>
      <w:r w:rsidR="00DE717D" w:rsidRPr="00BE6E20">
        <w:rPr>
          <w:b/>
          <w:u w:val="single"/>
        </w:rPr>
        <w:t>Norfolk Island Continued Laws Amendment (</w:t>
      </w:r>
      <w:r w:rsidR="0053327D" w:rsidRPr="00BE6E20">
        <w:rPr>
          <w:b/>
          <w:u w:val="single"/>
        </w:rPr>
        <w:t>Community Title</w:t>
      </w:r>
      <w:r w:rsidR="008973E6">
        <w:rPr>
          <w:b/>
          <w:u w:val="single"/>
        </w:rPr>
        <w:t>) Ordinance 2018</w:t>
      </w:r>
    </w:p>
    <w:p w14:paraId="64CBB108" w14:textId="77777777" w:rsidR="0053327D" w:rsidRPr="00BE6E20" w:rsidRDefault="0053327D" w:rsidP="008B0932">
      <w:pPr>
        <w:tabs>
          <w:tab w:val="left" w:pos="1701"/>
          <w:tab w:val="right" w:pos="9072"/>
        </w:tabs>
        <w:spacing w:before="120" w:after="120"/>
        <w:ind w:right="91"/>
        <w:rPr>
          <w:b/>
        </w:rPr>
      </w:pPr>
      <w:r w:rsidRPr="00BE6E20">
        <w:rPr>
          <w:b/>
        </w:rPr>
        <w:t>Section 1 – Name</w:t>
      </w:r>
    </w:p>
    <w:p w14:paraId="755368E1" w14:textId="77777777" w:rsidR="0053327D" w:rsidRPr="00BE6E20" w:rsidRDefault="0053327D" w:rsidP="008B0932">
      <w:pPr>
        <w:spacing w:before="120" w:after="120"/>
        <w:rPr>
          <w:i/>
        </w:rPr>
      </w:pPr>
      <w:r w:rsidRPr="00BE6E20">
        <w:t xml:space="preserve">This section provides that the title of the Ordinance is the </w:t>
      </w:r>
      <w:r w:rsidRPr="00BE6E20">
        <w:rPr>
          <w:i/>
        </w:rPr>
        <w:t>Norfolk Island Continued Laws Amendment (Community Title) Ordinance 201</w:t>
      </w:r>
      <w:r w:rsidR="008973E6">
        <w:rPr>
          <w:i/>
        </w:rPr>
        <w:t>8</w:t>
      </w:r>
      <w:r w:rsidRPr="00BE6E20">
        <w:rPr>
          <w:i/>
        </w:rPr>
        <w:t>.</w:t>
      </w:r>
    </w:p>
    <w:p w14:paraId="1BEB6BF0" w14:textId="77777777" w:rsidR="0053327D" w:rsidRPr="00BE6E20" w:rsidRDefault="0053327D" w:rsidP="008B0932">
      <w:pPr>
        <w:spacing w:before="120" w:after="120"/>
        <w:rPr>
          <w:b/>
        </w:rPr>
      </w:pPr>
      <w:r w:rsidRPr="00BE6E20">
        <w:rPr>
          <w:b/>
        </w:rPr>
        <w:t>Section 2 – Commencement</w:t>
      </w:r>
    </w:p>
    <w:p w14:paraId="319894C1" w14:textId="77777777" w:rsidR="0053327D" w:rsidRPr="00BE6E20" w:rsidRDefault="0053327D" w:rsidP="008B0932">
      <w:pPr>
        <w:tabs>
          <w:tab w:val="left" w:pos="1701"/>
          <w:tab w:val="right" w:pos="9072"/>
        </w:tabs>
        <w:spacing w:before="120" w:after="120"/>
        <w:ind w:right="91"/>
      </w:pPr>
      <w:r w:rsidRPr="00BE6E20">
        <w:t xml:space="preserve">This section provides that the Ordinance commences on the day after it is registered on the Federal Register of Legislation. </w:t>
      </w:r>
    </w:p>
    <w:p w14:paraId="458F7D4A" w14:textId="77777777" w:rsidR="0053327D" w:rsidRPr="00BE6E20" w:rsidRDefault="0053327D" w:rsidP="008B0932">
      <w:pPr>
        <w:spacing w:before="120" w:after="120"/>
        <w:rPr>
          <w:b/>
        </w:rPr>
      </w:pPr>
      <w:r w:rsidRPr="00BE6E20">
        <w:rPr>
          <w:b/>
        </w:rPr>
        <w:t>Section 3 – Authority</w:t>
      </w:r>
    </w:p>
    <w:p w14:paraId="2CC65D2C" w14:textId="77777777" w:rsidR="0053327D" w:rsidRPr="00BE6E20" w:rsidRDefault="0053327D" w:rsidP="008B0932">
      <w:pPr>
        <w:spacing w:before="120" w:after="120"/>
      </w:pPr>
      <w:r w:rsidRPr="00BE6E20">
        <w:t xml:space="preserve">This section provides that the Ordinance is made under section 19A of the </w:t>
      </w:r>
      <w:r w:rsidRPr="00BE6E20">
        <w:rPr>
          <w:i/>
        </w:rPr>
        <w:t>Norfolk Island Act 1979</w:t>
      </w:r>
      <w:r w:rsidRPr="00BE6E20">
        <w:t>.</w:t>
      </w:r>
    </w:p>
    <w:p w14:paraId="50F119EE" w14:textId="77777777" w:rsidR="0053327D" w:rsidRPr="00BE6E20" w:rsidRDefault="0053327D" w:rsidP="008B0932">
      <w:pPr>
        <w:spacing w:before="120" w:after="120"/>
        <w:rPr>
          <w:b/>
        </w:rPr>
      </w:pPr>
      <w:r w:rsidRPr="00BE6E20">
        <w:rPr>
          <w:b/>
        </w:rPr>
        <w:t>Section 4 – Schedules</w:t>
      </w:r>
    </w:p>
    <w:p w14:paraId="4C7C9B19" w14:textId="77777777" w:rsidR="0053327D" w:rsidRPr="00BE6E20" w:rsidRDefault="0053327D" w:rsidP="008B0932">
      <w:pPr>
        <w:autoSpaceDE w:val="0"/>
        <w:autoSpaceDN w:val="0"/>
        <w:adjustRightInd w:val="0"/>
        <w:spacing w:before="120" w:after="120" w:line="276" w:lineRule="auto"/>
      </w:pPr>
      <w:r w:rsidRPr="00BE6E20">
        <w:t>This section provides that each instrument that is specified in a Schedule to the Ordinance is amended or repealed as set out in the applicable terms in the Schedule concerned, and any other item in a Schedule to this Ordinance has effect according to its terms</w:t>
      </w:r>
      <w:r w:rsidR="00AE7301">
        <w:t>.</w:t>
      </w:r>
    </w:p>
    <w:p w14:paraId="6356ED8A" w14:textId="77777777" w:rsidR="0053327D" w:rsidRPr="00BE6E20" w:rsidRDefault="0053327D" w:rsidP="008B0932">
      <w:pPr>
        <w:autoSpaceDE w:val="0"/>
        <w:autoSpaceDN w:val="0"/>
        <w:adjustRightInd w:val="0"/>
        <w:spacing w:before="120" w:after="120" w:line="276" w:lineRule="auto"/>
        <w:rPr>
          <w:b/>
        </w:rPr>
      </w:pPr>
      <w:r w:rsidRPr="00BE6E20">
        <w:rPr>
          <w:b/>
        </w:rPr>
        <w:t>Schedule 1 – Amendments</w:t>
      </w:r>
    </w:p>
    <w:p w14:paraId="18E3B0B6" w14:textId="77777777" w:rsidR="00D351CA" w:rsidRPr="00BE6E20" w:rsidRDefault="00DC725F" w:rsidP="008B0932">
      <w:pPr>
        <w:autoSpaceDE w:val="0"/>
        <w:autoSpaceDN w:val="0"/>
        <w:adjustRightInd w:val="0"/>
        <w:spacing w:before="120" w:after="120" w:line="276" w:lineRule="auto"/>
        <w:rPr>
          <w:b/>
        </w:rPr>
      </w:pPr>
      <w:r w:rsidRPr="00BE6E20">
        <w:rPr>
          <w:b/>
        </w:rPr>
        <w:t>Item 1 – After item 37 of Schedule 1</w:t>
      </w:r>
    </w:p>
    <w:p w14:paraId="71FEE6F8" w14:textId="77777777" w:rsidR="00DC725F" w:rsidRPr="00BE6E20" w:rsidRDefault="00DC725F" w:rsidP="008B0932">
      <w:pPr>
        <w:autoSpaceDE w:val="0"/>
        <w:autoSpaceDN w:val="0"/>
        <w:adjustRightInd w:val="0"/>
        <w:spacing w:before="120" w:after="120" w:line="276" w:lineRule="auto"/>
      </w:pPr>
      <w:r w:rsidRPr="00BE6E20">
        <w:t xml:space="preserve">This item inserts provisions into the </w:t>
      </w:r>
      <w:r w:rsidRPr="00BE6E20">
        <w:rPr>
          <w:i/>
        </w:rPr>
        <w:t>Norfolk Island Continued Laws Ordinance 2015</w:t>
      </w:r>
      <w:r w:rsidRPr="00BE6E20">
        <w:t xml:space="preserve"> (Principal Ordinance) to make amendments to the </w:t>
      </w:r>
      <w:r w:rsidRPr="00BE6E20">
        <w:rPr>
          <w:i/>
        </w:rPr>
        <w:t>Community Title Act 2015 (Norfolk Island)</w:t>
      </w:r>
      <w:r w:rsidR="00F72B08" w:rsidRPr="00BE6E20">
        <w:rPr>
          <w:i/>
        </w:rPr>
        <w:t xml:space="preserve"> </w:t>
      </w:r>
      <w:r w:rsidR="00F11233" w:rsidRPr="00BE6E20">
        <w:t>(the Community Title Act)</w:t>
      </w:r>
      <w:r w:rsidRPr="00BE6E20">
        <w:t>.</w:t>
      </w:r>
    </w:p>
    <w:p w14:paraId="5AEFA26A" w14:textId="77777777" w:rsidR="001A0ECE" w:rsidRPr="00BE6E20" w:rsidRDefault="00DC725F" w:rsidP="008B0932">
      <w:pPr>
        <w:autoSpaceDE w:val="0"/>
        <w:autoSpaceDN w:val="0"/>
        <w:adjustRightInd w:val="0"/>
        <w:spacing w:after="120" w:line="276" w:lineRule="auto"/>
      </w:pPr>
      <w:r w:rsidRPr="00BE6E20">
        <w:t xml:space="preserve">New item 37A </w:t>
      </w:r>
      <w:r w:rsidR="001A0ECE" w:rsidRPr="00BE6E20">
        <w:t xml:space="preserve">alters the commencement </w:t>
      </w:r>
      <w:r w:rsidR="005305F6" w:rsidRPr="00BE6E20">
        <w:t xml:space="preserve">to commence the </w:t>
      </w:r>
      <w:r w:rsidR="00AE7301">
        <w:t>O</w:t>
      </w:r>
      <w:r w:rsidR="005305F6" w:rsidRPr="00BE6E20">
        <w:t xml:space="preserve">rdinance the day after it is registered on the Federal Register of Legislation rather than a date </w:t>
      </w:r>
      <w:r w:rsidR="001A0ECE" w:rsidRPr="00BE6E20">
        <w:t>to be fixed by the Administrator</w:t>
      </w:r>
      <w:r w:rsidR="00E258EF">
        <w:t>.</w:t>
      </w:r>
      <w:r w:rsidR="001A0ECE" w:rsidRPr="00BE6E20">
        <w:t xml:space="preserve"> </w:t>
      </w:r>
    </w:p>
    <w:p w14:paraId="3636B31F" w14:textId="77777777" w:rsidR="005305F6" w:rsidRPr="00BE6E20" w:rsidRDefault="005305F6" w:rsidP="008B0932">
      <w:pPr>
        <w:autoSpaceDE w:val="0"/>
        <w:autoSpaceDN w:val="0"/>
        <w:adjustRightInd w:val="0"/>
        <w:spacing w:after="120" w:line="276" w:lineRule="auto"/>
      </w:pPr>
      <w:r w:rsidRPr="00BE6E20">
        <w:t xml:space="preserve">Items 37B </w:t>
      </w:r>
      <w:r w:rsidR="0014079B" w:rsidRPr="00BE6E20">
        <w:t xml:space="preserve">to </w:t>
      </w:r>
      <w:r w:rsidRPr="00BE6E20">
        <w:t>37</w:t>
      </w:r>
      <w:r w:rsidR="0014079B" w:rsidRPr="00BE6E20">
        <w:t>D</w:t>
      </w:r>
      <w:r w:rsidRPr="00BE6E20">
        <w:t xml:space="preserve"> have the effect of binding the Crown in each of its capacities.</w:t>
      </w:r>
    </w:p>
    <w:p w14:paraId="6B827457" w14:textId="77777777" w:rsidR="00DC725F" w:rsidRPr="00BE6E20" w:rsidRDefault="005305F6" w:rsidP="008B0932">
      <w:pPr>
        <w:autoSpaceDE w:val="0"/>
        <w:autoSpaceDN w:val="0"/>
        <w:adjustRightInd w:val="0"/>
        <w:spacing w:after="120" w:line="276" w:lineRule="auto"/>
      </w:pPr>
      <w:r w:rsidRPr="00BE6E20">
        <w:t xml:space="preserve">New item 37E </w:t>
      </w:r>
      <w:r w:rsidR="00DC725F" w:rsidRPr="00BE6E20">
        <w:t>amends subsection 5(1)</w:t>
      </w:r>
      <w:r w:rsidR="00F11233" w:rsidRPr="00BE6E20">
        <w:t xml:space="preserve"> of the Community Title Act to include a definition of approved form, which means a form approved by the Registrar.</w:t>
      </w:r>
    </w:p>
    <w:p w14:paraId="06B623C5" w14:textId="77777777" w:rsidR="00F11233" w:rsidRPr="00BE6E20" w:rsidRDefault="00F11233" w:rsidP="008B0932">
      <w:pPr>
        <w:autoSpaceDE w:val="0"/>
        <w:autoSpaceDN w:val="0"/>
        <w:adjustRightInd w:val="0"/>
        <w:spacing w:after="120" w:line="276" w:lineRule="auto"/>
      </w:pPr>
      <w:r w:rsidRPr="00BE6E20">
        <w:t>New item</w:t>
      </w:r>
      <w:r w:rsidR="00F72B08" w:rsidRPr="00BE6E20">
        <w:t>s</w:t>
      </w:r>
      <w:r w:rsidRPr="00BE6E20">
        <w:t xml:space="preserve"> 37</w:t>
      </w:r>
      <w:r w:rsidR="005305F6" w:rsidRPr="00BE6E20">
        <w:t>F</w:t>
      </w:r>
      <w:r w:rsidR="00F72B08" w:rsidRPr="00BE6E20">
        <w:t xml:space="preserve"> to 37</w:t>
      </w:r>
      <w:r w:rsidR="005305F6" w:rsidRPr="00BE6E20">
        <w:t>H</w:t>
      </w:r>
      <w:r w:rsidR="00F72B08" w:rsidRPr="00BE6E20">
        <w:t xml:space="preserve"> update references in the Community Title Act to ‘form prescribed by regulation’ and ‘prescribed form’ to ‘approved form’.</w:t>
      </w:r>
      <w:r w:rsidR="00A13329" w:rsidRPr="00BE6E20">
        <w:t xml:space="preserve"> Providing for forms to be approved by the Registrar allows for forms to be more easily modified and updated than if they were set out in the </w:t>
      </w:r>
      <w:r w:rsidR="00AE7301">
        <w:t>R</w:t>
      </w:r>
      <w:r w:rsidR="00A13329" w:rsidRPr="00BE6E20">
        <w:t>egulations.</w:t>
      </w:r>
    </w:p>
    <w:p w14:paraId="14870147" w14:textId="77777777" w:rsidR="00F72B08" w:rsidRPr="00BE6E20" w:rsidRDefault="00F72B08" w:rsidP="008B0932">
      <w:pPr>
        <w:autoSpaceDE w:val="0"/>
        <w:autoSpaceDN w:val="0"/>
        <w:adjustRightInd w:val="0"/>
        <w:spacing w:after="120" w:line="276" w:lineRule="auto"/>
      </w:pPr>
      <w:r w:rsidRPr="00BE6E20">
        <w:t>New item 37</w:t>
      </w:r>
      <w:r w:rsidR="0014079B" w:rsidRPr="00BE6E20">
        <w:t>J</w:t>
      </w:r>
      <w:r w:rsidRPr="00BE6E20">
        <w:t xml:space="preserve"> amends subsection 38(5) to refer</w:t>
      </w:r>
      <w:r w:rsidR="00A13329" w:rsidRPr="00BE6E20">
        <w:t xml:space="preserve"> directly</w:t>
      </w:r>
      <w:r w:rsidRPr="00BE6E20">
        <w:t xml:space="preserve"> to the model rules set out in new Schedule 1A.</w:t>
      </w:r>
    </w:p>
    <w:p w14:paraId="1A48C9ED" w14:textId="77777777" w:rsidR="00F72B08" w:rsidRPr="00BE6E20" w:rsidRDefault="00F72B08" w:rsidP="008B0932">
      <w:pPr>
        <w:autoSpaceDE w:val="0"/>
        <w:autoSpaceDN w:val="0"/>
        <w:adjustRightInd w:val="0"/>
        <w:spacing w:after="120" w:line="276" w:lineRule="auto"/>
      </w:pPr>
      <w:r w:rsidRPr="00BE6E20">
        <w:t>New items 37</w:t>
      </w:r>
      <w:r w:rsidR="0014079B" w:rsidRPr="00BE6E20">
        <w:t>K</w:t>
      </w:r>
      <w:r w:rsidRPr="00BE6E20">
        <w:t xml:space="preserve"> to 37</w:t>
      </w:r>
      <w:r w:rsidR="0014079B" w:rsidRPr="00BE6E20">
        <w:t>N</w:t>
      </w:r>
      <w:r w:rsidRPr="00BE6E20">
        <w:t xml:space="preserve"> update references in the Community Title Act to ‘form prescribed by regulation’ and ‘prescribed form’ to ‘approved form’</w:t>
      </w:r>
      <w:r w:rsidR="004B5245" w:rsidRPr="00BE6E20">
        <w:t>, allowing for forms to be more easily modified and updated than if they were set out in the regulations</w:t>
      </w:r>
      <w:r w:rsidRPr="00BE6E20">
        <w:t>.</w:t>
      </w:r>
    </w:p>
    <w:p w14:paraId="7577475C" w14:textId="77777777" w:rsidR="00C020D5" w:rsidRPr="00BE6E20" w:rsidRDefault="00C020D5" w:rsidP="008B0932">
      <w:pPr>
        <w:autoSpaceDE w:val="0"/>
        <w:autoSpaceDN w:val="0"/>
        <w:adjustRightInd w:val="0"/>
        <w:spacing w:after="120" w:line="276" w:lineRule="auto"/>
      </w:pPr>
      <w:r w:rsidRPr="00BE6E20">
        <w:t xml:space="preserve">Item 37P </w:t>
      </w:r>
      <w:r w:rsidR="00FA0BFB" w:rsidRPr="00BE6E20">
        <w:t>repeals subsection 141(4) which requires the Community Title Tribunal to include a member, or person qualified to be a member, of the Federal Circuit Court when considering a matter of value greater than, or equal to, $10,000.</w:t>
      </w:r>
    </w:p>
    <w:p w14:paraId="7BF99273" w14:textId="77777777" w:rsidR="00D31FAD" w:rsidRDefault="00D31FAD" w:rsidP="00D31FAD">
      <w:pPr>
        <w:autoSpaceDE w:val="0"/>
        <w:autoSpaceDN w:val="0"/>
        <w:spacing w:after="120" w:line="276" w:lineRule="auto"/>
      </w:pPr>
      <w:r>
        <w:lastRenderedPageBreak/>
        <w:t>New item 37Q repeal</w:t>
      </w:r>
      <w:r w:rsidR="00B25EB6">
        <w:t>s</w:t>
      </w:r>
      <w:r>
        <w:t xml:space="preserve"> the provision for the Administrator to make regulations for the purposes of the Community Title Act</w:t>
      </w:r>
      <w:r w:rsidRPr="00C027C2">
        <w:t>. The substituted provision make</w:t>
      </w:r>
      <w:r w:rsidR="00B25EB6">
        <w:t>s</w:t>
      </w:r>
      <w:r w:rsidRPr="00C027C2">
        <w:t xml:space="preserve"> regulations </w:t>
      </w:r>
      <w:r w:rsidR="00B25EB6">
        <w:t>as</w:t>
      </w:r>
      <w:r w:rsidRPr="00C027C2">
        <w:t xml:space="preserve"> set out in new Schedule 6 to the Community Title Act. </w:t>
      </w:r>
    </w:p>
    <w:p w14:paraId="307433B3" w14:textId="77777777" w:rsidR="00D31FAD" w:rsidRDefault="00D31FAD" w:rsidP="00D31FAD">
      <w:pPr>
        <w:autoSpaceDE w:val="0"/>
        <w:autoSpaceDN w:val="0"/>
        <w:spacing w:after="120" w:line="276" w:lineRule="auto"/>
      </w:pPr>
      <w:r w:rsidRPr="00C027C2">
        <w:t xml:space="preserve">New </w:t>
      </w:r>
      <w:r>
        <w:t>subsection 166(2) would ensure that all items proposed in Schedule 6 have effect according to their terms.</w:t>
      </w:r>
      <w:r>
        <w:rPr>
          <w:color w:val="1F497D"/>
        </w:rPr>
        <w:t xml:space="preserve"> </w:t>
      </w:r>
    </w:p>
    <w:p w14:paraId="74F01F7C" w14:textId="77777777" w:rsidR="00ED0754" w:rsidRPr="00BE6E20" w:rsidRDefault="002528B4" w:rsidP="008B0932">
      <w:pPr>
        <w:autoSpaceDE w:val="0"/>
        <w:autoSpaceDN w:val="0"/>
        <w:adjustRightInd w:val="0"/>
        <w:spacing w:after="120" w:line="276" w:lineRule="auto"/>
      </w:pPr>
      <w:r w:rsidRPr="00BE6E20">
        <w:t>New item 37</w:t>
      </w:r>
      <w:r w:rsidR="009301E3" w:rsidRPr="00BE6E20">
        <w:t>R</w:t>
      </w:r>
      <w:r w:rsidRPr="00BE6E20">
        <w:t xml:space="preserve"> updates a reference to ‘form prescribed by</w:t>
      </w:r>
      <w:r w:rsidR="004B5245" w:rsidRPr="00BE6E20">
        <w:t xml:space="preserve"> regulation’ to ‘approved form’, allows for the form to be more easily modified and updated than if </w:t>
      </w:r>
      <w:r w:rsidR="00AE7301">
        <w:t>it w</w:t>
      </w:r>
      <w:r w:rsidR="008B09F4">
        <w:t>ere</w:t>
      </w:r>
      <w:r w:rsidR="004B5245" w:rsidRPr="00BE6E20">
        <w:t xml:space="preserve"> set out in the regulations</w:t>
      </w:r>
      <w:r w:rsidR="00AE7301">
        <w:t>.</w:t>
      </w:r>
    </w:p>
    <w:p w14:paraId="3AF4C07F" w14:textId="77777777" w:rsidR="002528B4" w:rsidRPr="00BE6E20" w:rsidRDefault="00195B61" w:rsidP="008B0932">
      <w:pPr>
        <w:autoSpaceDE w:val="0"/>
        <w:autoSpaceDN w:val="0"/>
        <w:adjustRightInd w:val="0"/>
        <w:spacing w:after="120" w:line="276" w:lineRule="auto"/>
      </w:pPr>
      <w:r w:rsidRPr="00BE6E20">
        <w:t>New item 37S</w:t>
      </w:r>
      <w:r w:rsidR="002528B4" w:rsidRPr="00BE6E20">
        <w:t xml:space="preserve"> inserts a new </w:t>
      </w:r>
      <w:r w:rsidR="006A2AE5" w:rsidRPr="00BE6E20">
        <w:t xml:space="preserve">schedule after Schedule 1, </w:t>
      </w:r>
      <w:r w:rsidR="006F281F" w:rsidRPr="00BE6E20">
        <w:t xml:space="preserve">titled </w:t>
      </w:r>
      <w:r w:rsidR="002528B4" w:rsidRPr="00BE6E20">
        <w:t>Schedule 1A – Model rules for body corporate</w:t>
      </w:r>
      <w:r w:rsidR="006A2AE5" w:rsidRPr="00BE6E20">
        <w:t>. The new schedule sets out rules for a body corporate in accordance with subsections 38(5) and (6) of the Community Title Act. The model rules set out in Schedule 1</w:t>
      </w:r>
      <w:r w:rsidR="00A749B6">
        <w:t>A</w:t>
      </w:r>
      <w:r w:rsidR="006A2AE5" w:rsidRPr="00BE6E20">
        <w:t xml:space="preserve"> apply by default where a body corporate does not make its own rules or revokes all of its rules. The model rules also apply where rules of the body corporate do not otherwise provide for a matter. The model rules cover such matters as health, safety and security, management and administration, use of common property, lots, behaviour of owners, occupiers and guests and dispute resolution.</w:t>
      </w:r>
    </w:p>
    <w:p w14:paraId="5A89AA11" w14:textId="05243F06" w:rsidR="006A2AE5" w:rsidRDefault="006A2AE5" w:rsidP="008B0932">
      <w:pPr>
        <w:autoSpaceDE w:val="0"/>
        <w:autoSpaceDN w:val="0"/>
        <w:adjustRightInd w:val="0"/>
        <w:spacing w:after="120" w:line="276" w:lineRule="auto"/>
      </w:pPr>
      <w:r w:rsidRPr="00BE6E20">
        <w:t>New item 37</w:t>
      </w:r>
      <w:r w:rsidR="004B5245" w:rsidRPr="00BE6E20">
        <w:t>T</w:t>
      </w:r>
      <w:r w:rsidRPr="00BE6E20">
        <w:t xml:space="preserve"> inserts a new Schedule 6 – Regulations and other matters at the end of the Community Title Act.</w:t>
      </w:r>
      <w:r w:rsidR="00A463E5" w:rsidRPr="00BE6E20">
        <w:t xml:space="preserve"> The regulations are ena</w:t>
      </w:r>
      <w:r w:rsidR="00EF260F" w:rsidRPr="00BE6E20">
        <w:t>cted</w:t>
      </w:r>
      <w:r w:rsidR="00A463E5" w:rsidRPr="00BE6E20">
        <w:t xml:space="preserve"> by </w:t>
      </w:r>
      <w:r w:rsidR="00EF260F" w:rsidRPr="00BE6E20">
        <w:t>the amendment of sec</w:t>
      </w:r>
      <w:r w:rsidR="00A463E5" w:rsidRPr="00BE6E20">
        <w:t>tion 166</w:t>
      </w:r>
      <w:r w:rsidR="004B5245" w:rsidRPr="00BE6E20">
        <w:t xml:space="preserve"> at </w:t>
      </w:r>
      <w:r w:rsidR="00927563">
        <w:t>i</w:t>
      </w:r>
      <w:r w:rsidR="004B5245" w:rsidRPr="00BE6E20">
        <w:t>tems 37 P and 37Q</w:t>
      </w:r>
      <w:r w:rsidR="00EF260F" w:rsidRPr="00BE6E20">
        <w:t>. The regulations set out requirements relating to community schemes and plans, the administration of community schemes</w:t>
      </w:r>
      <w:r w:rsidR="00AE0306" w:rsidRPr="00BE6E20">
        <w:t xml:space="preserve"> and</w:t>
      </w:r>
      <w:r w:rsidR="00EF260F" w:rsidRPr="00BE6E20">
        <w:t xml:space="preserve"> the keeping of manager’s trust accounts</w:t>
      </w:r>
      <w:r w:rsidR="00AE0306" w:rsidRPr="00BE6E20">
        <w:t xml:space="preserve">. The regulations also prescribe fees </w:t>
      </w:r>
      <w:r w:rsidR="00EF260F" w:rsidRPr="00BE6E20">
        <w:t>payable under the Community Title Act.</w:t>
      </w:r>
      <w:r w:rsidR="007839FF" w:rsidRPr="00BE6E20">
        <w:t xml:space="preserve"> Details of the Regulations are set out below.</w:t>
      </w:r>
    </w:p>
    <w:p w14:paraId="5A927191" w14:textId="493BEEFC" w:rsidR="00321E37" w:rsidRPr="00BE6E20" w:rsidRDefault="00321E37" w:rsidP="008B0932">
      <w:pPr>
        <w:autoSpaceDE w:val="0"/>
        <w:autoSpaceDN w:val="0"/>
        <w:adjustRightInd w:val="0"/>
        <w:spacing w:after="120" w:line="276" w:lineRule="auto"/>
      </w:pPr>
      <w:r>
        <w:t>The fees were calculated on a cost recovery basis to reflect the administrative costs to the Norfolk Island Regional Council (NIRC). These costs include staff time and materials associated with managing community title. The NIRC was consulted on the Community Title Ordinance as it was developed, including the quantum of fees.</w:t>
      </w:r>
      <w:bookmarkStart w:id="0" w:name="_GoBack"/>
      <w:bookmarkEnd w:id="0"/>
    </w:p>
    <w:p w14:paraId="6E4E3786" w14:textId="77777777" w:rsidR="00BE6E20" w:rsidRPr="00BE6E20" w:rsidRDefault="00BE6E20" w:rsidP="00BE6E20">
      <w:pPr>
        <w:spacing w:after="120"/>
        <w:rPr>
          <w:b/>
        </w:rPr>
      </w:pPr>
      <w:r w:rsidRPr="00BE6E20">
        <w:rPr>
          <w:b/>
        </w:rPr>
        <w:t>Schedule 6 – Regulations and other matters</w:t>
      </w:r>
    </w:p>
    <w:p w14:paraId="49B4F85B" w14:textId="77777777" w:rsidR="00BE6E20" w:rsidRPr="00E258EF" w:rsidRDefault="00BE6E20" w:rsidP="00BE6E20">
      <w:pPr>
        <w:spacing w:after="120"/>
        <w:rPr>
          <w:b/>
        </w:rPr>
      </w:pPr>
      <w:r w:rsidRPr="00E258EF">
        <w:rPr>
          <w:b/>
        </w:rPr>
        <w:t xml:space="preserve">Part 1 – Preliminary </w:t>
      </w:r>
    </w:p>
    <w:p w14:paraId="3EA88B75" w14:textId="77777777" w:rsidR="00BE6E20" w:rsidRPr="00BE6E20" w:rsidRDefault="00BE6E20" w:rsidP="00BE6E20">
      <w:pPr>
        <w:spacing w:after="120"/>
      </w:pPr>
      <w:r w:rsidRPr="00BE6E20">
        <w:t xml:space="preserve">Regulations 1 and 2 provide definitions of </w:t>
      </w:r>
      <w:r w:rsidRPr="00BE6E20">
        <w:rPr>
          <w:i/>
        </w:rPr>
        <w:t xml:space="preserve">special resolution </w:t>
      </w:r>
      <w:r w:rsidRPr="00BE6E20">
        <w:t xml:space="preserve">and </w:t>
      </w:r>
      <w:r w:rsidRPr="00BE6E20">
        <w:rPr>
          <w:i/>
        </w:rPr>
        <w:t>unanimous resolution</w:t>
      </w:r>
      <w:r w:rsidRPr="00BE6E20">
        <w:t xml:space="preserve"> for the purposes of subsection 5(1) of this Act.</w:t>
      </w:r>
    </w:p>
    <w:p w14:paraId="62FADD85" w14:textId="77777777" w:rsidR="00BE6E20" w:rsidRPr="00E258EF" w:rsidRDefault="00BE6E20" w:rsidP="00BE6E20">
      <w:pPr>
        <w:spacing w:after="120"/>
        <w:rPr>
          <w:b/>
        </w:rPr>
      </w:pPr>
      <w:r w:rsidRPr="00E258EF">
        <w:rPr>
          <w:b/>
        </w:rPr>
        <w:t>Part 2 – Requirements relating to schemes and plans</w:t>
      </w:r>
      <w:r w:rsidR="00AE7301" w:rsidRPr="00E258EF">
        <w:rPr>
          <w:b/>
        </w:rPr>
        <w:t>.</w:t>
      </w:r>
    </w:p>
    <w:p w14:paraId="4D11253C" w14:textId="77777777" w:rsidR="00BE6E20" w:rsidRPr="00BE6E20" w:rsidRDefault="00BE6E20" w:rsidP="00BE6E20">
      <w:pPr>
        <w:spacing w:after="120"/>
      </w:pPr>
      <w:r w:rsidRPr="00BE6E20">
        <w:t>Regulation 3 sets out the acceptable forms scheme descriptions may take under section 34 of this Act.</w:t>
      </w:r>
    </w:p>
    <w:p w14:paraId="25CE5A8C" w14:textId="77777777" w:rsidR="00BE6E20" w:rsidRPr="00BE6E20" w:rsidRDefault="00BE6E20" w:rsidP="00BE6E20">
      <w:pPr>
        <w:spacing w:after="120"/>
      </w:pPr>
      <w:r w:rsidRPr="00BE6E20">
        <w:t xml:space="preserve">Regulation 4 requires plans or maps lodged with the Registrar must comply with the guidelines issued by the Registrar. </w:t>
      </w:r>
    </w:p>
    <w:p w14:paraId="787467FA" w14:textId="77777777" w:rsidR="00BE6E20" w:rsidRPr="00BE6E20" w:rsidRDefault="00BE6E20" w:rsidP="00BE6E20">
      <w:pPr>
        <w:spacing w:after="120"/>
      </w:pPr>
      <w:r w:rsidRPr="00BE6E20">
        <w:t xml:space="preserve">Regulation 5 provides, as per subsection 26(3), the combined entitlements of all lots on a plan of community divisions may be between 2 and 100,000 (but must not exceed 100,000). </w:t>
      </w:r>
    </w:p>
    <w:p w14:paraId="24C5C7BA" w14:textId="77777777" w:rsidR="00BE6E20" w:rsidRPr="00BE6E20" w:rsidRDefault="00BE6E20" w:rsidP="00BE6E20">
      <w:pPr>
        <w:spacing w:after="120"/>
      </w:pPr>
      <w:r w:rsidRPr="00BE6E20">
        <w:t xml:space="preserve">Regulation 6 provides, as per subsection 56(3), a permissible minor amendment is a change in the position of a boundary by 200 millimetres or less. </w:t>
      </w:r>
    </w:p>
    <w:p w14:paraId="528BDF3E" w14:textId="77777777" w:rsidR="00BE6E20" w:rsidRPr="00BE6E20" w:rsidRDefault="00BE6E20" w:rsidP="00BE6E20">
      <w:pPr>
        <w:spacing w:after="120"/>
      </w:pPr>
      <w:r w:rsidRPr="00BE6E20">
        <w:t xml:space="preserve">Regulation 7 requires a person making an application for subdivision through the community title scheme to submit to the Registrar an outer boundary survey plan of the land that is to be subdivided, and the fee specified in Schedule 3. This is subject to the Registrar’s discretion. </w:t>
      </w:r>
    </w:p>
    <w:p w14:paraId="5B0041F6" w14:textId="77777777" w:rsidR="00BE6E20" w:rsidRPr="00BE6E20" w:rsidRDefault="00BE6E20" w:rsidP="00BE6E20">
      <w:pPr>
        <w:spacing w:after="120"/>
      </w:pPr>
      <w:r w:rsidRPr="00BE6E20">
        <w:lastRenderedPageBreak/>
        <w:t xml:space="preserve">Regulation 8 requires the Registrar to examine a plan before accepting it for filing. </w:t>
      </w:r>
    </w:p>
    <w:p w14:paraId="33EF5E8C" w14:textId="77777777" w:rsidR="00BE6E20" w:rsidRPr="00BE6E20" w:rsidRDefault="00BE6E20" w:rsidP="00BE6E20">
      <w:pPr>
        <w:spacing w:after="120"/>
      </w:pPr>
      <w:r w:rsidRPr="00BE6E20">
        <w:t xml:space="preserve">Regulation 9 provides the Registrar may require applicants to provide additional information in order to consider an application. </w:t>
      </w:r>
    </w:p>
    <w:p w14:paraId="010AF515" w14:textId="77777777" w:rsidR="00BE6E20" w:rsidRPr="00BE6E20" w:rsidRDefault="00BE6E20" w:rsidP="00BE6E20">
      <w:pPr>
        <w:spacing w:after="120"/>
      </w:pPr>
      <w:r w:rsidRPr="00BE6E20">
        <w:t xml:space="preserve">Regulation 10 provides the Registrar may require a licensed surveyor to certify the accuracy of a plan if land appears to be adjacent to water or another </w:t>
      </w:r>
      <w:r w:rsidR="00921FCD">
        <w:t>r</w:t>
      </w:r>
      <w:r w:rsidRPr="00BE6E20">
        <w:t xml:space="preserve">egular boundary. </w:t>
      </w:r>
    </w:p>
    <w:p w14:paraId="1C68E067" w14:textId="77777777" w:rsidR="00BE6E20" w:rsidRPr="00BE6E20" w:rsidRDefault="00BE6E20" w:rsidP="00BE6E20">
      <w:pPr>
        <w:spacing w:after="120"/>
      </w:pPr>
      <w:r w:rsidRPr="00BE6E20">
        <w:t xml:space="preserve">Regulation 11 requires the Registrar to notify an applicant in writing, or electronically, after Registration of a plan. </w:t>
      </w:r>
    </w:p>
    <w:p w14:paraId="7E75849D" w14:textId="77777777" w:rsidR="00BE6E20" w:rsidRPr="00BE6E20" w:rsidRDefault="00BE6E20" w:rsidP="00BE6E20">
      <w:pPr>
        <w:spacing w:after="120"/>
      </w:pPr>
      <w:r w:rsidRPr="00BE6E20">
        <w:t xml:space="preserve">Regulation 12 requires the Registrar to issue certificates of title for each lot and common property of a plan after </w:t>
      </w:r>
      <w:r w:rsidR="00921FCD">
        <w:t>r</w:t>
      </w:r>
      <w:r w:rsidRPr="00BE6E20">
        <w:t>egistration</w:t>
      </w:r>
      <w:r w:rsidR="00927563">
        <w:t>.</w:t>
      </w:r>
    </w:p>
    <w:p w14:paraId="7D6D8563" w14:textId="77777777" w:rsidR="00BE6E20" w:rsidRPr="00BE6E20" w:rsidRDefault="00BE6E20" w:rsidP="00BE6E20">
      <w:pPr>
        <w:spacing w:after="120"/>
      </w:pPr>
      <w:r w:rsidRPr="00BE6E20">
        <w:t xml:space="preserve">Regulation 13 sets out the matters that may be determined by the Tribunal to amend, or the Supreme Court to cancel, a community plan under sections 61 and 69.  </w:t>
      </w:r>
    </w:p>
    <w:p w14:paraId="6DA3236B" w14:textId="77777777" w:rsidR="00BE6E20" w:rsidRPr="00BE6E20" w:rsidRDefault="00BE6E20" w:rsidP="00BE6E20">
      <w:pPr>
        <w:spacing w:after="120"/>
      </w:pPr>
      <w:r w:rsidRPr="00BE6E20">
        <w:t xml:space="preserve">Regulation 14 outlines the effects of rules under subsection 38(3), such as to </w:t>
      </w:r>
      <w:r w:rsidR="00921FCD">
        <w:t>r</w:t>
      </w:r>
      <w:r w:rsidRPr="00BE6E20">
        <w:t xml:space="preserve">egulate or impose restrictions on building design.  </w:t>
      </w:r>
    </w:p>
    <w:p w14:paraId="2692B4D6" w14:textId="77777777" w:rsidR="00BE6E20" w:rsidRPr="00BE6E20" w:rsidRDefault="00BE6E20" w:rsidP="00BE6E20">
      <w:pPr>
        <w:spacing w:after="120"/>
      </w:pPr>
      <w:r w:rsidRPr="00BE6E20">
        <w:t xml:space="preserve">Regulation 15 sets out the obligations of body corporate managers for section 82. </w:t>
      </w:r>
    </w:p>
    <w:p w14:paraId="65303E0C" w14:textId="77777777" w:rsidR="00BE6E20" w:rsidRPr="00BE6E20" w:rsidRDefault="00BE6E20" w:rsidP="00BE6E20">
      <w:pPr>
        <w:keepNext/>
        <w:spacing w:after="120"/>
      </w:pPr>
      <w:r w:rsidRPr="00BE6E20">
        <w:t xml:space="preserve">Regulation 16 outlines the obligation to return records and trust money when a delegation by a body corporate to a delegate is revoked. </w:t>
      </w:r>
    </w:p>
    <w:p w14:paraId="06C93711" w14:textId="77777777" w:rsidR="00BE6E20" w:rsidRPr="00BE6E20" w:rsidRDefault="00BE6E20" w:rsidP="00BE6E20">
      <w:pPr>
        <w:spacing w:after="120"/>
      </w:pPr>
      <w:r w:rsidRPr="00BE6E20">
        <w:t xml:space="preserve">Regulation 17 sets out issues that must be addressed at the first general meeting of the body corporate under paragraph 86(2)(e). </w:t>
      </w:r>
    </w:p>
    <w:p w14:paraId="70523F72" w14:textId="77777777" w:rsidR="00BE6E20" w:rsidRPr="00BE6E20" w:rsidRDefault="00BE6E20" w:rsidP="00BE6E20">
      <w:pPr>
        <w:spacing w:after="120"/>
      </w:pPr>
      <w:r w:rsidRPr="00BE6E20">
        <w:t>Regulation 18 sets out the requirements for the agenda of annual general meetings for bod</w:t>
      </w:r>
      <w:r w:rsidR="00927563">
        <w:t>ies</w:t>
      </w:r>
      <w:r w:rsidRPr="00BE6E20">
        <w:t xml:space="preserve"> corporate for subparagraph 87(6)(d)(vi).</w:t>
      </w:r>
    </w:p>
    <w:p w14:paraId="1E58E211" w14:textId="77777777" w:rsidR="00BE6E20" w:rsidRPr="00BE6E20" w:rsidRDefault="00BE6E20" w:rsidP="00BE6E20">
      <w:pPr>
        <w:spacing w:after="120"/>
      </w:pPr>
      <w:r w:rsidRPr="00BE6E20">
        <w:t>Regulation 19 outlines the procedural requirements for meetings of bod</w:t>
      </w:r>
      <w:r w:rsidR="00927563">
        <w:t>ies</w:t>
      </w:r>
      <w:r w:rsidRPr="00BE6E20">
        <w:t xml:space="preserve"> corporate. </w:t>
      </w:r>
    </w:p>
    <w:p w14:paraId="52E55E25" w14:textId="77777777" w:rsidR="00BE6E20" w:rsidRPr="00BE6E20" w:rsidRDefault="00BE6E20" w:rsidP="00BE6E20">
      <w:pPr>
        <w:spacing w:after="120"/>
      </w:pPr>
      <w:r w:rsidRPr="00BE6E20">
        <w:t xml:space="preserve">Regulation 20 outlines the requirement for the body corporate to maintain fidelity guarantee insurance for section 103. </w:t>
      </w:r>
    </w:p>
    <w:p w14:paraId="4459A595" w14:textId="77777777" w:rsidR="00BE6E20" w:rsidRPr="00BE6E20" w:rsidRDefault="00BE6E20" w:rsidP="00BE6E20">
      <w:pPr>
        <w:spacing w:after="120"/>
      </w:pPr>
      <w:r w:rsidRPr="00BE6E20">
        <w:t xml:space="preserve">Regulation 21 provides, for subsection 105(2), a copy of the current certificate of insurance with reference to matters covered under subsection 105(1) is acceptable as evidence. </w:t>
      </w:r>
    </w:p>
    <w:p w14:paraId="3E320D6F" w14:textId="77777777" w:rsidR="00BE6E20" w:rsidRPr="00BE6E20" w:rsidRDefault="00BE6E20" w:rsidP="00BE6E20">
      <w:pPr>
        <w:spacing w:after="120"/>
      </w:pPr>
      <w:r w:rsidRPr="00BE6E20">
        <w:t xml:space="preserve">Regulation 22 outlines the requirements for authorising acquisition of property by the body corporate under section 111(3)(b). </w:t>
      </w:r>
    </w:p>
    <w:p w14:paraId="213A4008" w14:textId="77777777" w:rsidR="00BE6E20" w:rsidRPr="00BE6E20" w:rsidRDefault="00BE6E20" w:rsidP="00BE6E20">
      <w:pPr>
        <w:spacing w:after="120"/>
      </w:pPr>
      <w:r w:rsidRPr="00BE6E20">
        <w:t>Regulation 23 outlines the requirements for statements of expenditure issued by bod</w:t>
      </w:r>
      <w:r w:rsidR="00927563">
        <w:t>ies</w:t>
      </w:r>
      <w:r w:rsidRPr="00BE6E20">
        <w:t xml:space="preserve"> corporate under section 112. </w:t>
      </w:r>
    </w:p>
    <w:p w14:paraId="52B72B2D" w14:textId="77777777" w:rsidR="00BE6E20" w:rsidRPr="00BE6E20" w:rsidRDefault="00BE6E20" w:rsidP="00BE6E20">
      <w:pPr>
        <w:spacing w:after="120"/>
      </w:pPr>
      <w:r w:rsidRPr="00BE6E20">
        <w:t xml:space="preserve">Regulation 24 sets the limit that a body corporate may set on interest on arrears of contributions by lot owners. </w:t>
      </w:r>
    </w:p>
    <w:p w14:paraId="580046FF" w14:textId="77777777" w:rsidR="00BE6E20" w:rsidRPr="00BE6E20" w:rsidRDefault="00BE6E20" w:rsidP="00BE6E20">
      <w:pPr>
        <w:spacing w:after="120"/>
      </w:pPr>
      <w:r w:rsidRPr="00BE6E20">
        <w:t xml:space="preserve">Regulation 25 outlines what must be included in a notice for a payment of contribution served by the body corporate to an owner under section 113(6)(a). </w:t>
      </w:r>
    </w:p>
    <w:p w14:paraId="1DB082D3" w14:textId="77777777" w:rsidR="00BE6E20" w:rsidRPr="00BE6E20" w:rsidRDefault="00BE6E20" w:rsidP="00BE6E20">
      <w:pPr>
        <w:spacing w:after="120"/>
      </w:pPr>
      <w:r w:rsidRPr="00BE6E20">
        <w:t xml:space="preserve">Regulation 26 outlines the requirements for authorising of expenditure by the body corporate under section 118. </w:t>
      </w:r>
    </w:p>
    <w:p w14:paraId="1797987E" w14:textId="77777777" w:rsidR="00BE6E20" w:rsidRPr="00BE6E20" w:rsidRDefault="00BE6E20" w:rsidP="00BE6E20">
      <w:pPr>
        <w:spacing w:after="120"/>
      </w:pPr>
      <w:r w:rsidRPr="00BE6E20">
        <w:t xml:space="preserve">Regulation 27 sets the period required under section 134(2) as at least seven years. </w:t>
      </w:r>
    </w:p>
    <w:p w14:paraId="2DC1EA53" w14:textId="77777777" w:rsidR="00BE6E20" w:rsidRPr="00BE6E20" w:rsidRDefault="00BE6E20" w:rsidP="00BE6E20">
      <w:pPr>
        <w:spacing w:after="120"/>
      </w:pPr>
      <w:r w:rsidRPr="00BE6E20">
        <w:t>Regulation 28 outlines records that must be kept by the body corporate under sections 135 and 136.</w:t>
      </w:r>
    </w:p>
    <w:p w14:paraId="03472FBF" w14:textId="77777777" w:rsidR="00BE6E20" w:rsidRPr="00BE6E20" w:rsidRDefault="00BE6E20" w:rsidP="00BE6E20">
      <w:pPr>
        <w:spacing w:after="120"/>
      </w:pPr>
      <w:r w:rsidRPr="00BE6E20">
        <w:t>Regulation 29 provides for subparagraphs 137(4)(a)(i) and (ii) which require an amount be specified in a schedule. That amount should be $10,000.</w:t>
      </w:r>
    </w:p>
    <w:p w14:paraId="5CFF71B3" w14:textId="77777777" w:rsidR="00BE6E20" w:rsidRPr="00BE6E20" w:rsidRDefault="00BE6E20" w:rsidP="00BE6E20">
      <w:pPr>
        <w:spacing w:after="120"/>
      </w:pPr>
      <w:r w:rsidRPr="00BE6E20">
        <w:t xml:space="preserve">Regulation 30 outlines fees prescribed for information under subsection 138(4). </w:t>
      </w:r>
    </w:p>
    <w:p w14:paraId="4EB9CC86" w14:textId="77777777" w:rsidR="00BE6E20" w:rsidRPr="00BE6E20" w:rsidRDefault="00BE6E20" w:rsidP="00BE6E20">
      <w:pPr>
        <w:spacing w:after="120"/>
      </w:pPr>
      <w:r w:rsidRPr="00BE6E20">
        <w:t>Regulation 31 outlines requirements surrounding provision of services by bod</w:t>
      </w:r>
      <w:r w:rsidR="00927563">
        <w:t>ies</w:t>
      </w:r>
      <w:r w:rsidRPr="00BE6E20">
        <w:t xml:space="preserve"> corporate. </w:t>
      </w:r>
    </w:p>
    <w:p w14:paraId="48E8221F" w14:textId="77777777" w:rsidR="00BE6E20" w:rsidRPr="00BE6E20" w:rsidRDefault="00BE6E20" w:rsidP="00BE6E20">
      <w:pPr>
        <w:spacing w:after="120"/>
      </w:pPr>
      <w:r w:rsidRPr="00BE6E20">
        <w:lastRenderedPageBreak/>
        <w:t>Regulation 32 outlines the functions of the secretary and treasurer of bod</w:t>
      </w:r>
      <w:r w:rsidR="00927563">
        <w:t>ies</w:t>
      </w:r>
      <w:r w:rsidRPr="00BE6E20">
        <w:t xml:space="preserve"> corporate. </w:t>
      </w:r>
    </w:p>
    <w:p w14:paraId="0C71D941" w14:textId="77777777" w:rsidR="00BE6E20" w:rsidRPr="00BE6E20" w:rsidRDefault="00BE6E20" w:rsidP="00BE6E20">
      <w:pPr>
        <w:spacing w:after="120"/>
      </w:pPr>
      <w:r w:rsidRPr="00BE6E20">
        <w:t xml:space="preserve">Regulation 33 outlines the process for a manger withdrawing money from trust accounts for the purposes of fees, costs and disbursements under paragraph 122(b). </w:t>
      </w:r>
    </w:p>
    <w:p w14:paraId="06A84BDD" w14:textId="77777777" w:rsidR="00BE6E20" w:rsidRPr="00BE6E20" w:rsidRDefault="00BE6E20" w:rsidP="00BE6E20">
      <w:pPr>
        <w:spacing w:after="120"/>
      </w:pPr>
      <w:r w:rsidRPr="00BE6E20">
        <w:t xml:space="preserve">Regulation 34 outlines what constitutes an authorised trust account under section 123. </w:t>
      </w:r>
    </w:p>
    <w:p w14:paraId="01730813" w14:textId="77777777" w:rsidR="00BE6E20" w:rsidRPr="00BE6E20" w:rsidRDefault="00BE6E20" w:rsidP="00BE6E20">
      <w:pPr>
        <w:spacing w:after="120"/>
      </w:pPr>
      <w:r w:rsidRPr="00BE6E20">
        <w:t xml:space="preserve">Regulation 35 outlines a manager’s general duties with respect to electronic records for trust accounts. </w:t>
      </w:r>
    </w:p>
    <w:p w14:paraId="35096984" w14:textId="77777777" w:rsidR="00BE6E20" w:rsidRPr="00BE6E20" w:rsidRDefault="00BE6E20" w:rsidP="00BE6E20">
      <w:pPr>
        <w:spacing w:after="120"/>
      </w:pPr>
      <w:r w:rsidRPr="00BE6E20">
        <w:t xml:space="preserve">Regulation 36 outlines the requirements for a manager to keep detailed accounts of receipts and disbursements for trust accounts under paragraph 125(1)(c). </w:t>
      </w:r>
    </w:p>
    <w:p w14:paraId="4521B1AA" w14:textId="77777777" w:rsidR="00BE6E20" w:rsidRPr="00BE6E20" w:rsidRDefault="00BE6E20" w:rsidP="00BE6E20">
      <w:pPr>
        <w:spacing w:after="120"/>
      </w:pPr>
      <w:r w:rsidRPr="00BE6E20">
        <w:t xml:space="preserve">Regulation 37 outlines the requirements for a manager with separate trust ledger accounts. </w:t>
      </w:r>
    </w:p>
    <w:p w14:paraId="38A99B64" w14:textId="77777777" w:rsidR="00BE6E20" w:rsidRPr="00BE6E20" w:rsidRDefault="00BE6E20" w:rsidP="00BE6E20">
      <w:pPr>
        <w:spacing w:after="120"/>
      </w:pPr>
      <w:r w:rsidRPr="00BE6E20">
        <w:t xml:space="preserve">Regulation 38 outlines the manager’s duties to prepare a reconciliation statement at the end of each month. </w:t>
      </w:r>
    </w:p>
    <w:p w14:paraId="5DBB1834" w14:textId="77777777" w:rsidR="00BE6E20" w:rsidRPr="00BE6E20" w:rsidRDefault="00BE6E20" w:rsidP="00BE6E20">
      <w:pPr>
        <w:spacing w:after="120"/>
      </w:pPr>
      <w:r w:rsidRPr="00BE6E20">
        <w:t xml:space="preserve">Regulation 39 outlines the requirements for a receipt that a manager must provide to a person making a payment of trust money under paragraph 125(2)(a). </w:t>
      </w:r>
    </w:p>
    <w:p w14:paraId="6D9C6AAA" w14:textId="77777777" w:rsidR="00BE6E20" w:rsidRPr="00BE6E20" w:rsidRDefault="00BE6E20" w:rsidP="00BE6E20">
      <w:pPr>
        <w:spacing w:after="120"/>
      </w:pPr>
      <w:r w:rsidRPr="00BE6E20">
        <w:t xml:space="preserve">Regulation 40 outlines the requirements for a manager for payment of trust money. </w:t>
      </w:r>
    </w:p>
    <w:p w14:paraId="24B4EB8E" w14:textId="77777777" w:rsidR="00BE6E20" w:rsidRPr="00BE6E20" w:rsidRDefault="00BE6E20" w:rsidP="00BE6E20">
      <w:pPr>
        <w:spacing w:after="120"/>
      </w:pPr>
      <w:r w:rsidRPr="00BE6E20">
        <w:t xml:space="preserve">Regulation 41 outlines the requirements for audits of trust accounts under section 126. </w:t>
      </w:r>
    </w:p>
    <w:p w14:paraId="4BBD5A5C" w14:textId="77777777" w:rsidR="00BE6E20" w:rsidRPr="00BE6E20" w:rsidRDefault="00BE6E20" w:rsidP="00BE6E20">
      <w:pPr>
        <w:spacing w:after="120"/>
      </w:pPr>
      <w:r w:rsidRPr="00BE6E20">
        <w:t xml:space="preserve">Regulation 42 outlines the manager’s obligation to provide a statement for the audit of trust accounts. </w:t>
      </w:r>
    </w:p>
    <w:p w14:paraId="3A4068F8" w14:textId="77777777" w:rsidR="00BE6E20" w:rsidRPr="00BE6E20" w:rsidRDefault="00BE6E20" w:rsidP="00BE6E20">
      <w:pPr>
        <w:spacing w:after="120"/>
      </w:pPr>
      <w:r w:rsidRPr="00BE6E20">
        <w:t xml:space="preserve">Regulation 43 restricts certain people from auditing the accounts and records of the manager. </w:t>
      </w:r>
    </w:p>
    <w:p w14:paraId="5407BB00" w14:textId="77777777" w:rsidR="00BE6E20" w:rsidRPr="00BE6E20" w:rsidRDefault="00BE6E20" w:rsidP="00BE6E20">
      <w:pPr>
        <w:spacing w:after="120"/>
      </w:pPr>
      <w:r w:rsidRPr="00BE6E20">
        <w:t xml:space="preserve">Regulation 44 outlines the requirement to hold a deposit on trust when a lot is pre-sold under section 149. </w:t>
      </w:r>
    </w:p>
    <w:p w14:paraId="479DBEB9" w14:textId="77777777" w:rsidR="00BE6E20" w:rsidRPr="00BE6E20" w:rsidRDefault="00BE6E20" w:rsidP="00BE6E20">
      <w:pPr>
        <w:spacing w:after="120"/>
      </w:pPr>
      <w:r w:rsidRPr="00BE6E20">
        <w:t>Regulation 45 pr</w:t>
      </w:r>
      <w:r w:rsidR="00927563">
        <w:t>escribes the fees payable to the Registrar for the matters set out in the table.</w:t>
      </w:r>
      <w:r w:rsidRPr="00BE6E20">
        <w:t xml:space="preserve"> </w:t>
      </w:r>
    </w:p>
    <w:p w14:paraId="09AAA33D" w14:textId="77777777" w:rsidR="00BE6E20" w:rsidRPr="00BE6E20" w:rsidRDefault="00BE6E20" w:rsidP="008B0932">
      <w:pPr>
        <w:autoSpaceDE w:val="0"/>
        <w:autoSpaceDN w:val="0"/>
        <w:adjustRightInd w:val="0"/>
        <w:spacing w:after="120" w:line="276" w:lineRule="auto"/>
      </w:pPr>
    </w:p>
    <w:p w14:paraId="72452171" w14:textId="77777777" w:rsidR="007839FF" w:rsidRPr="00BE6E20" w:rsidRDefault="007839FF" w:rsidP="008B0932">
      <w:pPr>
        <w:autoSpaceDE w:val="0"/>
        <w:autoSpaceDN w:val="0"/>
        <w:adjustRightInd w:val="0"/>
        <w:spacing w:after="120" w:line="276" w:lineRule="auto"/>
      </w:pPr>
    </w:p>
    <w:p w14:paraId="6120D46D" w14:textId="77777777" w:rsidR="00F72B08" w:rsidRPr="00BE6E20" w:rsidRDefault="00F72B08" w:rsidP="008B0932">
      <w:pPr>
        <w:autoSpaceDE w:val="0"/>
        <w:autoSpaceDN w:val="0"/>
        <w:adjustRightInd w:val="0"/>
        <w:spacing w:after="120" w:line="276" w:lineRule="auto"/>
      </w:pPr>
    </w:p>
    <w:sectPr w:rsidR="00F72B08" w:rsidRPr="00BE6E20" w:rsidSect="008B0932">
      <w:footerReference w:type="default" r:id="rId11"/>
      <w:pgSz w:w="11906" w:h="16838"/>
      <w:pgMar w:top="1245"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E646" w14:textId="77777777" w:rsidR="00501194" w:rsidRDefault="00501194">
      <w:r>
        <w:separator/>
      </w:r>
    </w:p>
  </w:endnote>
  <w:endnote w:type="continuationSeparator" w:id="0">
    <w:p w14:paraId="5AFA41E2" w14:textId="77777777" w:rsidR="00501194" w:rsidRDefault="0050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323722"/>
      <w:docPartObj>
        <w:docPartGallery w:val="Page Numbers (Bottom of Page)"/>
        <w:docPartUnique/>
      </w:docPartObj>
    </w:sdtPr>
    <w:sdtEndPr>
      <w:rPr>
        <w:noProof/>
      </w:rPr>
    </w:sdtEndPr>
    <w:sdtContent>
      <w:p w14:paraId="1E25E12D" w14:textId="62AC7BAB" w:rsidR="00C8535C" w:rsidRDefault="00C8535C">
        <w:pPr>
          <w:pStyle w:val="Footer"/>
          <w:jc w:val="center"/>
        </w:pPr>
        <w:r>
          <w:fldChar w:fldCharType="begin"/>
        </w:r>
        <w:r>
          <w:instrText xml:space="preserve"> PAGE   \* MERGEFORMAT </w:instrText>
        </w:r>
        <w:r>
          <w:fldChar w:fldCharType="separate"/>
        </w:r>
        <w:r w:rsidR="00486AEB">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45F8C" w14:textId="77777777" w:rsidR="00501194" w:rsidRDefault="00501194">
      <w:r>
        <w:separator/>
      </w:r>
    </w:p>
  </w:footnote>
  <w:footnote w:type="continuationSeparator" w:id="0">
    <w:p w14:paraId="33641FB4" w14:textId="77777777" w:rsidR="00501194" w:rsidRDefault="00501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7061"/>
    <w:multiLevelType w:val="hybridMultilevel"/>
    <w:tmpl w:val="F4B46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3" w15:restartNumberingAfterBreak="0">
    <w:nsid w:val="356A5EED"/>
    <w:multiLevelType w:val="hybridMultilevel"/>
    <w:tmpl w:val="E2A8E1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C8466F"/>
    <w:multiLevelType w:val="hybridMultilevel"/>
    <w:tmpl w:val="59C8B342"/>
    <w:lvl w:ilvl="0" w:tplc="14ECE1DC">
      <w:start w:val="1"/>
      <w:numFmt w:val="decimal"/>
      <w:lvlText w:val="%1."/>
      <w:lvlJc w:val="left"/>
      <w:pPr>
        <w:ind w:left="360" w:hanging="360"/>
      </w:pPr>
      <w:rPr>
        <w:rFonts w:hint="default"/>
      </w:rPr>
    </w:lvl>
    <w:lvl w:ilvl="1" w:tplc="6086527E">
      <w:start w:val="1"/>
      <w:numFmt w:val="lowerLetter"/>
      <w:lvlText w:val="%2."/>
      <w:lvlJc w:val="left"/>
      <w:pPr>
        <w:ind w:left="1080" w:hanging="360"/>
      </w:pPr>
    </w:lvl>
    <w:lvl w:ilvl="2" w:tplc="FEAEEDB6">
      <w:start w:val="1"/>
      <w:numFmt w:val="lowerRoman"/>
      <w:lvlText w:val="%3."/>
      <w:lvlJc w:val="right"/>
      <w:pPr>
        <w:ind w:left="1800" w:hanging="180"/>
      </w:pPr>
    </w:lvl>
    <w:lvl w:ilvl="3" w:tplc="24A4FF12" w:tentative="1">
      <w:start w:val="1"/>
      <w:numFmt w:val="decimal"/>
      <w:lvlText w:val="%4."/>
      <w:lvlJc w:val="left"/>
      <w:pPr>
        <w:ind w:left="2520" w:hanging="360"/>
      </w:pPr>
    </w:lvl>
    <w:lvl w:ilvl="4" w:tplc="14F44D7A" w:tentative="1">
      <w:start w:val="1"/>
      <w:numFmt w:val="lowerLetter"/>
      <w:lvlText w:val="%5."/>
      <w:lvlJc w:val="left"/>
      <w:pPr>
        <w:ind w:left="3240" w:hanging="360"/>
      </w:pPr>
    </w:lvl>
    <w:lvl w:ilvl="5" w:tplc="BBEAB262" w:tentative="1">
      <w:start w:val="1"/>
      <w:numFmt w:val="lowerRoman"/>
      <w:lvlText w:val="%6."/>
      <w:lvlJc w:val="right"/>
      <w:pPr>
        <w:ind w:left="3960" w:hanging="180"/>
      </w:pPr>
    </w:lvl>
    <w:lvl w:ilvl="6" w:tplc="0D9EA5EC" w:tentative="1">
      <w:start w:val="1"/>
      <w:numFmt w:val="decimal"/>
      <w:lvlText w:val="%7."/>
      <w:lvlJc w:val="left"/>
      <w:pPr>
        <w:ind w:left="4680" w:hanging="360"/>
      </w:pPr>
    </w:lvl>
    <w:lvl w:ilvl="7" w:tplc="CA98AB82" w:tentative="1">
      <w:start w:val="1"/>
      <w:numFmt w:val="lowerLetter"/>
      <w:lvlText w:val="%8."/>
      <w:lvlJc w:val="left"/>
      <w:pPr>
        <w:ind w:left="5400" w:hanging="360"/>
      </w:pPr>
    </w:lvl>
    <w:lvl w:ilvl="8" w:tplc="4BF8F956" w:tentative="1">
      <w:start w:val="1"/>
      <w:numFmt w:val="lowerRoman"/>
      <w:lvlText w:val="%9."/>
      <w:lvlJc w:val="right"/>
      <w:pPr>
        <w:ind w:left="6120" w:hanging="180"/>
      </w:pPr>
    </w:lvl>
  </w:abstractNum>
  <w:abstractNum w:abstractNumId="5"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6" w15:restartNumberingAfterBreak="0">
    <w:nsid w:val="5CCF3F29"/>
    <w:multiLevelType w:val="hybridMultilevel"/>
    <w:tmpl w:val="9244B744"/>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684E34"/>
    <w:multiLevelType w:val="hybridMultilevel"/>
    <w:tmpl w:val="C6F6637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74C75020"/>
    <w:multiLevelType w:val="hybridMultilevel"/>
    <w:tmpl w:val="4C1C5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8"/>
  </w:num>
  <w:num w:numId="5">
    <w:abstractNumId w:val="0"/>
  </w:num>
  <w:num w:numId="6">
    <w:abstractNumId w:val="1"/>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0C"/>
    <w:rsid w:val="0000411C"/>
    <w:rsid w:val="00014581"/>
    <w:rsid w:val="00014A11"/>
    <w:rsid w:val="000214EE"/>
    <w:rsid w:val="00024161"/>
    <w:rsid w:val="00032291"/>
    <w:rsid w:val="00034889"/>
    <w:rsid w:val="000411A0"/>
    <w:rsid w:val="000423D8"/>
    <w:rsid w:val="00045BF5"/>
    <w:rsid w:val="00046B6C"/>
    <w:rsid w:val="00050A8C"/>
    <w:rsid w:val="00053D7B"/>
    <w:rsid w:val="00056DF5"/>
    <w:rsid w:val="00057ED5"/>
    <w:rsid w:val="000652B8"/>
    <w:rsid w:val="00071AAC"/>
    <w:rsid w:val="000776CC"/>
    <w:rsid w:val="00080B44"/>
    <w:rsid w:val="00083143"/>
    <w:rsid w:val="00085086"/>
    <w:rsid w:val="000878A6"/>
    <w:rsid w:val="00091467"/>
    <w:rsid w:val="00091C8D"/>
    <w:rsid w:val="000A0985"/>
    <w:rsid w:val="000A3640"/>
    <w:rsid w:val="000A45BE"/>
    <w:rsid w:val="000A5C26"/>
    <w:rsid w:val="000A6B7C"/>
    <w:rsid w:val="000C0DE3"/>
    <w:rsid w:val="000C1790"/>
    <w:rsid w:val="000D0DFF"/>
    <w:rsid w:val="000D3498"/>
    <w:rsid w:val="000D3EBB"/>
    <w:rsid w:val="000D46BB"/>
    <w:rsid w:val="000E3703"/>
    <w:rsid w:val="000E4289"/>
    <w:rsid w:val="000F1248"/>
    <w:rsid w:val="000F19D2"/>
    <w:rsid w:val="000F3CEF"/>
    <w:rsid w:val="000F7709"/>
    <w:rsid w:val="00100024"/>
    <w:rsid w:val="00101755"/>
    <w:rsid w:val="001043FE"/>
    <w:rsid w:val="00106987"/>
    <w:rsid w:val="00107C43"/>
    <w:rsid w:val="00115542"/>
    <w:rsid w:val="00116FFF"/>
    <w:rsid w:val="00124E3D"/>
    <w:rsid w:val="0012606C"/>
    <w:rsid w:val="00136B03"/>
    <w:rsid w:val="001372EA"/>
    <w:rsid w:val="0014079B"/>
    <w:rsid w:val="001430D1"/>
    <w:rsid w:val="00144538"/>
    <w:rsid w:val="00144850"/>
    <w:rsid w:val="00162376"/>
    <w:rsid w:val="001658E6"/>
    <w:rsid w:val="00166EFA"/>
    <w:rsid w:val="00172845"/>
    <w:rsid w:val="00172F68"/>
    <w:rsid w:val="0017693A"/>
    <w:rsid w:val="00182BDB"/>
    <w:rsid w:val="00186719"/>
    <w:rsid w:val="0018724B"/>
    <w:rsid w:val="00191D03"/>
    <w:rsid w:val="00191E3B"/>
    <w:rsid w:val="00195B61"/>
    <w:rsid w:val="00196D8E"/>
    <w:rsid w:val="001A0ECE"/>
    <w:rsid w:val="001A27DE"/>
    <w:rsid w:val="001A60AC"/>
    <w:rsid w:val="001C30DC"/>
    <w:rsid w:val="001C6779"/>
    <w:rsid w:val="001D4C38"/>
    <w:rsid w:val="001E192A"/>
    <w:rsid w:val="001E52FB"/>
    <w:rsid w:val="001F3A20"/>
    <w:rsid w:val="001F77EC"/>
    <w:rsid w:val="00201306"/>
    <w:rsid w:val="00202272"/>
    <w:rsid w:val="00202A96"/>
    <w:rsid w:val="00203BD9"/>
    <w:rsid w:val="0021113C"/>
    <w:rsid w:val="002117A8"/>
    <w:rsid w:val="00226ADC"/>
    <w:rsid w:val="00232E26"/>
    <w:rsid w:val="002354C1"/>
    <w:rsid w:val="00236131"/>
    <w:rsid w:val="002362CB"/>
    <w:rsid w:val="002374D1"/>
    <w:rsid w:val="00241AC3"/>
    <w:rsid w:val="00246518"/>
    <w:rsid w:val="002528B4"/>
    <w:rsid w:val="00252C82"/>
    <w:rsid w:val="00252E1C"/>
    <w:rsid w:val="00253A65"/>
    <w:rsid w:val="00253F48"/>
    <w:rsid w:val="00255A5C"/>
    <w:rsid w:val="00260FFD"/>
    <w:rsid w:val="0026639C"/>
    <w:rsid w:val="002678EE"/>
    <w:rsid w:val="00267EAB"/>
    <w:rsid w:val="00275398"/>
    <w:rsid w:val="00276E70"/>
    <w:rsid w:val="00283060"/>
    <w:rsid w:val="002856F5"/>
    <w:rsid w:val="00285728"/>
    <w:rsid w:val="002A1049"/>
    <w:rsid w:val="002A2ACD"/>
    <w:rsid w:val="002A43F3"/>
    <w:rsid w:val="002B050D"/>
    <w:rsid w:val="002B72F5"/>
    <w:rsid w:val="002C09A5"/>
    <w:rsid w:val="002D553E"/>
    <w:rsid w:val="002D65FF"/>
    <w:rsid w:val="002E13F7"/>
    <w:rsid w:val="002E1DF5"/>
    <w:rsid w:val="002E5C00"/>
    <w:rsid w:val="002F1C17"/>
    <w:rsid w:val="002F52F1"/>
    <w:rsid w:val="003008A4"/>
    <w:rsid w:val="003052B7"/>
    <w:rsid w:val="00305DE5"/>
    <w:rsid w:val="00306819"/>
    <w:rsid w:val="00307F0C"/>
    <w:rsid w:val="00310C5A"/>
    <w:rsid w:val="00314C77"/>
    <w:rsid w:val="003206F2"/>
    <w:rsid w:val="00321E37"/>
    <w:rsid w:val="00321FC3"/>
    <w:rsid w:val="003229F0"/>
    <w:rsid w:val="00323343"/>
    <w:rsid w:val="00323497"/>
    <w:rsid w:val="00323F30"/>
    <w:rsid w:val="003338F3"/>
    <w:rsid w:val="003464FA"/>
    <w:rsid w:val="00346B6E"/>
    <w:rsid w:val="00346E86"/>
    <w:rsid w:val="00353197"/>
    <w:rsid w:val="00353900"/>
    <w:rsid w:val="003546F1"/>
    <w:rsid w:val="00354913"/>
    <w:rsid w:val="00354D23"/>
    <w:rsid w:val="003570AA"/>
    <w:rsid w:val="0036000D"/>
    <w:rsid w:val="003602F8"/>
    <w:rsid w:val="003623DE"/>
    <w:rsid w:val="003630FA"/>
    <w:rsid w:val="00366A8D"/>
    <w:rsid w:val="003722F2"/>
    <w:rsid w:val="003728E5"/>
    <w:rsid w:val="00374DC9"/>
    <w:rsid w:val="003830AC"/>
    <w:rsid w:val="003907FF"/>
    <w:rsid w:val="00392B16"/>
    <w:rsid w:val="003939BB"/>
    <w:rsid w:val="00393E9E"/>
    <w:rsid w:val="00396BDA"/>
    <w:rsid w:val="00397EA5"/>
    <w:rsid w:val="003A17EA"/>
    <w:rsid w:val="003A31D6"/>
    <w:rsid w:val="003A3AD6"/>
    <w:rsid w:val="003B0F9C"/>
    <w:rsid w:val="003B150E"/>
    <w:rsid w:val="003B1941"/>
    <w:rsid w:val="003B1F62"/>
    <w:rsid w:val="003B48F9"/>
    <w:rsid w:val="003B6F76"/>
    <w:rsid w:val="003B761C"/>
    <w:rsid w:val="003C2EDB"/>
    <w:rsid w:val="003C3727"/>
    <w:rsid w:val="003C536D"/>
    <w:rsid w:val="003D33CF"/>
    <w:rsid w:val="003D5331"/>
    <w:rsid w:val="003E296D"/>
    <w:rsid w:val="003E38DE"/>
    <w:rsid w:val="003E470B"/>
    <w:rsid w:val="003F02C0"/>
    <w:rsid w:val="003F2EFF"/>
    <w:rsid w:val="003F4796"/>
    <w:rsid w:val="003F6884"/>
    <w:rsid w:val="00405259"/>
    <w:rsid w:val="004057C9"/>
    <w:rsid w:val="0041269F"/>
    <w:rsid w:val="00412892"/>
    <w:rsid w:val="00412D88"/>
    <w:rsid w:val="00417E03"/>
    <w:rsid w:val="00424C71"/>
    <w:rsid w:val="00427863"/>
    <w:rsid w:val="0043257B"/>
    <w:rsid w:val="0044155F"/>
    <w:rsid w:val="00442487"/>
    <w:rsid w:val="00443DD1"/>
    <w:rsid w:val="004519D6"/>
    <w:rsid w:val="00460602"/>
    <w:rsid w:val="00463882"/>
    <w:rsid w:val="0046512D"/>
    <w:rsid w:val="00472A7E"/>
    <w:rsid w:val="00472D0D"/>
    <w:rsid w:val="0047507E"/>
    <w:rsid w:val="0048418A"/>
    <w:rsid w:val="00486AEB"/>
    <w:rsid w:val="0049642B"/>
    <w:rsid w:val="004A5C90"/>
    <w:rsid w:val="004A66C6"/>
    <w:rsid w:val="004A6ACE"/>
    <w:rsid w:val="004B0535"/>
    <w:rsid w:val="004B5241"/>
    <w:rsid w:val="004B5245"/>
    <w:rsid w:val="004C2B66"/>
    <w:rsid w:val="004C7DB7"/>
    <w:rsid w:val="004D13D3"/>
    <w:rsid w:val="004D4467"/>
    <w:rsid w:val="004D4CB7"/>
    <w:rsid w:val="004E385C"/>
    <w:rsid w:val="004E45A1"/>
    <w:rsid w:val="004E59F4"/>
    <w:rsid w:val="004E75E1"/>
    <w:rsid w:val="00501194"/>
    <w:rsid w:val="00502A91"/>
    <w:rsid w:val="00503F62"/>
    <w:rsid w:val="0050419C"/>
    <w:rsid w:val="00504DB1"/>
    <w:rsid w:val="0050653B"/>
    <w:rsid w:val="0051064D"/>
    <w:rsid w:val="005108EE"/>
    <w:rsid w:val="00511C3D"/>
    <w:rsid w:val="005129D2"/>
    <w:rsid w:val="00513249"/>
    <w:rsid w:val="00517216"/>
    <w:rsid w:val="00517B4B"/>
    <w:rsid w:val="00524A08"/>
    <w:rsid w:val="00530364"/>
    <w:rsid w:val="005305F6"/>
    <w:rsid w:val="005318FA"/>
    <w:rsid w:val="0053327D"/>
    <w:rsid w:val="00533EC5"/>
    <w:rsid w:val="00537F17"/>
    <w:rsid w:val="00542E5B"/>
    <w:rsid w:val="005529F5"/>
    <w:rsid w:val="0055332B"/>
    <w:rsid w:val="00556F94"/>
    <w:rsid w:val="005572B9"/>
    <w:rsid w:val="00564B43"/>
    <w:rsid w:val="00565D4D"/>
    <w:rsid w:val="00567A29"/>
    <w:rsid w:val="00573F5D"/>
    <w:rsid w:val="005743F6"/>
    <w:rsid w:val="00577D60"/>
    <w:rsid w:val="0058714D"/>
    <w:rsid w:val="00587C97"/>
    <w:rsid w:val="005966E9"/>
    <w:rsid w:val="005A1ACF"/>
    <w:rsid w:val="005A6113"/>
    <w:rsid w:val="005A6891"/>
    <w:rsid w:val="005A7399"/>
    <w:rsid w:val="005B05DC"/>
    <w:rsid w:val="005B1E09"/>
    <w:rsid w:val="005B2C52"/>
    <w:rsid w:val="005C0822"/>
    <w:rsid w:val="005C2F2D"/>
    <w:rsid w:val="005C5334"/>
    <w:rsid w:val="005C685B"/>
    <w:rsid w:val="005D5BB4"/>
    <w:rsid w:val="005E0B25"/>
    <w:rsid w:val="005E2DF0"/>
    <w:rsid w:val="005F160F"/>
    <w:rsid w:val="005F7B12"/>
    <w:rsid w:val="00601061"/>
    <w:rsid w:val="00601E19"/>
    <w:rsid w:val="006056AB"/>
    <w:rsid w:val="00610694"/>
    <w:rsid w:val="00611019"/>
    <w:rsid w:val="00614D2E"/>
    <w:rsid w:val="00616BAD"/>
    <w:rsid w:val="00634AA5"/>
    <w:rsid w:val="00645F38"/>
    <w:rsid w:val="00646A1E"/>
    <w:rsid w:val="00656B17"/>
    <w:rsid w:val="0066182B"/>
    <w:rsid w:val="00663C28"/>
    <w:rsid w:val="00670F73"/>
    <w:rsid w:val="00676AF4"/>
    <w:rsid w:val="00684958"/>
    <w:rsid w:val="00685FAB"/>
    <w:rsid w:val="00687450"/>
    <w:rsid w:val="00690D42"/>
    <w:rsid w:val="00693399"/>
    <w:rsid w:val="0069389F"/>
    <w:rsid w:val="0069509D"/>
    <w:rsid w:val="00697BD3"/>
    <w:rsid w:val="006A2AE5"/>
    <w:rsid w:val="006A4E39"/>
    <w:rsid w:val="006A6A36"/>
    <w:rsid w:val="006C0EF8"/>
    <w:rsid w:val="006C3187"/>
    <w:rsid w:val="006C321F"/>
    <w:rsid w:val="006C6501"/>
    <w:rsid w:val="006C7A3E"/>
    <w:rsid w:val="006E0152"/>
    <w:rsid w:val="006E2912"/>
    <w:rsid w:val="006E599B"/>
    <w:rsid w:val="006E7029"/>
    <w:rsid w:val="006F1918"/>
    <w:rsid w:val="006F281F"/>
    <w:rsid w:val="006F4891"/>
    <w:rsid w:val="006F63A9"/>
    <w:rsid w:val="00700F49"/>
    <w:rsid w:val="00701E28"/>
    <w:rsid w:val="00715F37"/>
    <w:rsid w:val="007202DF"/>
    <w:rsid w:val="00720E17"/>
    <w:rsid w:val="0072516E"/>
    <w:rsid w:val="00732B54"/>
    <w:rsid w:val="00735BFE"/>
    <w:rsid w:val="00745501"/>
    <w:rsid w:val="0075005A"/>
    <w:rsid w:val="007516B9"/>
    <w:rsid w:val="007527FC"/>
    <w:rsid w:val="00760387"/>
    <w:rsid w:val="007616F2"/>
    <w:rsid w:val="00770343"/>
    <w:rsid w:val="007709D0"/>
    <w:rsid w:val="00772980"/>
    <w:rsid w:val="00774ED8"/>
    <w:rsid w:val="00776DDA"/>
    <w:rsid w:val="00777772"/>
    <w:rsid w:val="007839FF"/>
    <w:rsid w:val="00785FE7"/>
    <w:rsid w:val="00786373"/>
    <w:rsid w:val="00786992"/>
    <w:rsid w:val="007932F4"/>
    <w:rsid w:val="00793E77"/>
    <w:rsid w:val="00793F0E"/>
    <w:rsid w:val="007A3011"/>
    <w:rsid w:val="007A4574"/>
    <w:rsid w:val="007A5675"/>
    <w:rsid w:val="007B379D"/>
    <w:rsid w:val="007C12CD"/>
    <w:rsid w:val="007C22F5"/>
    <w:rsid w:val="007C5BBB"/>
    <w:rsid w:val="007C791B"/>
    <w:rsid w:val="007D1F20"/>
    <w:rsid w:val="007D38FF"/>
    <w:rsid w:val="007D3BD5"/>
    <w:rsid w:val="007D6D94"/>
    <w:rsid w:val="007D769B"/>
    <w:rsid w:val="007D7D3E"/>
    <w:rsid w:val="007E1C81"/>
    <w:rsid w:val="007E4A83"/>
    <w:rsid w:val="007F26C2"/>
    <w:rsid w:val="007F2731"/>
    <w:rsid w:val="007F69FE"/>
    <w:rsid w:val="00802C80"/>
    <w:rsid w:val="00804693"/>
    <w:rsid w:val="00813FEE"/>
    <w:rsid w:val="00814CAD"/>
    <w:rsid w:val="00822560"/>
    <w:rsid w:val="00826867"/>
    <w:rsid w:val="00830743"/>
    <w:rsid w:val="00835B71"/>
    <w:rsid w:val="008372A9"/>
    <w:rsid w:val="0083748E"/>
    <w:rsid w:val="0084383E"/>
    <w:rsid w:val="00847636"/>
    <w:rsid w:val="0085110E"/>
    <w:rsid w:val="00853853"/>
    <w:rsid w:val="00853F5F"/>
    <w:rsid w:val="008548AD"/>
    <w:rsid w:val="00856CB5"/>
    <w:rsid w:val="00857448"/>
    <w:rsid w:val="008604ED"/>
    <w:rsid w:val="00860CE3"/>
    <w:rsid w:val="00863DCB"/>
    <w:rsid w:val="00870BB4"/>
    <w:rsid w:val="00875BB3"/>
    <w:rsid w:val="00881F18"/>
    <w:rsid w:val="008833B8"/>
    <w:rsid w:val="00884C6E"/>
    <w:rsid w:val="00884CCB"/>
    <w:rsid w:val="00887FBE"/>
    <w:rsid w:val="00893E10"/>
    <w:rsid w:val="0089448C"/>
    <w:rsid w:val="00896438"/>
    <w:rsid w:val="008973E6"/>
    <w:rsid w:val="00897D7E"/>
    <w:rsid w:val="008A04BD"/>
    <w:rsid w:val="008A649D"/>
    <w:rsid w:val="008B0932"/>
    <w:rsid w:val="008B09F4"/>
    <w:rsid w:val="008B134A"/>
    <w:rsid w:val="008B41D0"/>
    <w:rsid w:val="008B45B3"/>
    <w:rsid w:val="008C7CA8"/>
    <w:rsid w:val="008D1104"/>
    <w:rsid w:val="008D55ED"/>
    <w:rsid w:val="008F21A4"/>
    <w:rsid w:val="00901E80"/>
    <w:rsid w:val="009113B8"/>
    <w:rsid w:val="009119CE"/>
    <w:rsid w:val="00912488"/>
    <w:rsid w:val="009206EA"/>
    <w:rsid w:val="00920A96"/>
    <w:rsid w:val="00921681"/>
    <w:rsid w:val="00921FCD"/>
    <w:rsid w:val="00924ACA"/>
    <w:rsid w:val="00927563"/>
    <w:rsid w:val="009301E3"/>
    <w:rsid w:val="00932B18"/>
    <w:rsid w:val="00934825"/>
    <w:rsid w:val="00936014"/>
    <w:rsid w:val="009451AE"/>
    <w:rsid w:val="00953A42"/>
    <w:rsid w:val="00953BCD"/>
    <w:rsid w:val="009540FC"/>
    <w:rsid w:val="00957BE5"/>
    <w:rsid w:val="009754E1"/>
    <w:rsid w:val="009764F9"/>
    <w:rsid w:val="009766CC"/>
    <w:rsid w:val="00980D59"/>
    <w:rsid w:val="00981F93"/>
    <w:rsid w:val="00983595"/>
    <w:rsid w:val="00986496"/>
    <w:rsid w:val="009943E1"/>
    <w:rsid w:val="009A1021"/>
    <w:rsid w:val="009B05EF"/>
    <w:rsid w:val="009B10BD"/>
    <w:rsid w:val="009B225C"/>
    <w:rsid w:val="009B3A8B"/>
    <w:rsid w:val="009B4D2A"/>
    <w:rsid w:val="009B76BC"/>
    <w:rsid w:val="009C00C5"/>
    <w:rsid w:val="009C1C3C"/>
    <w:rsid w:val="009C3BBE"/>
    <w:rsid w:val="009C6380"/>
    <w:rsid w:val="009D20F1"/>
    <w:rsid w:val="009D3501"/>
    <w:rsid w:val="009D40D4"/>
    <w:rsid w:val="009D59AA"/>
    <w:rsid w:val="009D7C92"/>
    <w:rsid w:val="009E4B73"/>
    <w:rsid w:val="009E5F2F"/>
    <w:rsid w:val="009E6D2E"/>
    <w:rsid w:val="009E7086"/>
    <w:rsid w:val="009F037D"/>
    <w:rsid w:val="00A02D02"/>
    <w:rsid w:val="00A058ED"/>
    <w:rsid w:val="00A11751"/>
    <w:rsid w:val="00A13329"/>
    <w:rsid w:val="00A15FDD"/>
    <w:rsid w:val="00A243AD"/>
    <w:rsid w:val="00A3181B"/>
    <w:rsid w:val="00A33233"/>
    <w:rsid w:val="00A336F2"/>
    <w:rsid w:val="00A35273"/>
    <w:rsid w:val="00A41152"/>
    <w:rsid w:val="00A42263"/>
    <w:rsid w:val="00A44909"/>
    <w:rsid w:val="00A44E49"/>
    <w:rsid w:val="00A45591"/>
    <w:rsid w:val="00A45AA3"/>
    <w:rsid w:val="00A45E27"/>
    <w:rsid w:val="00A463E5"/>
    <w:rsid w:val="00A47F7D"/>
    <w:rsid w:val="00A51373"/>
    <w:rsid w:val="00A52DB1"/>
    <w:rsid w:val="00A54BA8"/>
    <w:rsid w:val="00A61212"/>
    <w:rsid w:val="00A65E00"/>
    <w:rsid w:val="00A6733C"/>
    <w:rsid w:val="00A71C2F"/>
    <w:rsid w:val="00A7309F"/>
    <w:rsid w:val="00A737AF"/>
    <w:rsid w:val="00A749B6"/>
    <w:rsid w:val="00A7659E"/>
    <w:rsid w:val="00A81A2D"/>
    <w:rsid w:val="00A8471B"/>
    <w:rsid w:val="00A905CD"/>
    <w:rsid w:val="00A9244B"/>
    <w:rsid w:val="00A930D5"/>
    <w:rsid w:val="00A94DEF"/>
    <w:rsid w:val="00A960C8"/>
    <w:rsid w:val="00A97AE3"/>
    <w:rsid w:val="00AA15A3"/>
    <w:rsid w:val="00AA1729"/>
    <w:rsid w:val="00AA520A"/>
    <w:rsid w:val="00AA6832"/>
    <w:rsid w:val="00AA79D2"/>
    <w:rsid w:val="00AB1513"/>
    <w:rsid w:val="00AB7971"/>
    <w:rsid w:val="00AC1897"/>
    <w:rsid w:val="00AC3538"/>
    <w:rsid w:val="00AC74EB"/>
    <w:rsid w:val="00AC7B52"/>
    <w:rsid w:val="00AD13FE"/>
    <w:rsid w:val="00AD1EAD"/>
    <w:rsid w:val="00AD4145"/>
    <w:rsid w:val="00AE0306"/>
    <w:rsid w:val="00AE36EB"/>
    <w:rsid w:val="00AE7301"/>
    <w:rsid w:val="00AF1B45"/>
    <w:rsid w:val="00AF1EDD"/>
    <w:rsid w:val="00AF2C50"/>
    <w:rsid w:val="00B01966"/>
    <w:rsid w:val="00B02089"/>
    <w:rsid w:val="00B133C6"/>
    <w:rsid w:val="00B150E5"/>
    <w:rsid w:val="00B15E0C"/>
    <w:rsid w:val="00B16D20"/>
    <w:rsid w:val="00B23AC6"/>
    <w:rsid w:val="00B2401D"/>
    <w:rsid w:val="00B25DC8"/>
    <w:rsid w:val="00B25EB6"/>
    <w:rsid w:val="00B26037"/>
    <w:rsid w:val="00B306CF"/>
    <w:rsid w:val="00B30A50"/>
    <w:rsid w:val="00B3773B"/>
    <w:rsid w:val="00B37EAA"/>
    <w:rsid w:val="00B457C4"/>
    <w:rsid w:val="00B45DAD"/>
    <w:rsid w:val="00B4617F"/>
    <w:rsid w:val="00B46426"/>
    <w:rsid w:val="00B52660"/>
    <w:rsid w:val="00B532AB"/>
    <w:rsid w:val="00B54E4F"/>
    <w:rsid w:val="00B56B19"/>
    <w:rsid w:val="00B665C5"/>
    <w:rsid w:val="00B71DD6"/>
    <w:rsid w:val="00B72B1C"/>
    <w:rsid w:val="00B770B1"/>
    <w:rsid w:val="00B84995"/>
    <w:rsid w:val="00B85942"/>
    <w:rsid w:val="00B92EC6"/>
    <w:rsid w:val="00B94C1E"/>
    <w:rsid w:val="00BB1AF0"/>
    <w:rsid w:val="00BB2792"/>
    <w:rsid w:val="00BC0144"/>
    <w:rsid w:val="00BC14D3"/>
    <w:rsid w:val="00BC18FA"/>
    <w:rsid w:val="00BD08AD"/>
    <w:rsid w:val="00BD3DE1"/>
    <w:rsid w:val="00BD4509"/>
    <w:rsid w:val="00BD485D"/>
    <w:rsid w:val="00BD71B5"/>
    <w:rsid w:val="00BE0591"/>
    <w:rsid w:val="00BE2BE6"/>
    <w:rsid w:val="00BE66DE"/>
    <w:rsid w:val="00BE6E20"/>
    <w:rsid w:val="00BF0F06"/>
    <w:rsid w:val="00BF19EA"/>
    <w:rsid w:val="00BF6D00"/>
    <w:rsid w:val="00BF77E7"/>
    <w:rsid w:val="00C00EB9"/>
    <w:rsid w:val="00C020D5"/>
    <w:rsid w:val="00C047E9"/>
    <w:rsid w:val="00C12043"/>
    <w:rsid w:val="00C12E08"/>
    <w:rsid w:val="00C13039"/>
    <w:rsid w:val="00C2061A"/>
    <w:rsid w:val="00C207A7"/>
    <w:rsid w:val="00C21537"/>
    <w:rsid w:val="00C21ACC"/>
    <w:rsid w:val="00C32ABD"/>
    <w:rsid w:val="00C359FF"/>
    <w:rsid w:val="00C42664"/>
    <w:rsid w:val="00C457E2"/>
    <w:rsid w:val="00C4588E"/>
    <w:rsid w:val="00C50276"/>
    <w:rsid w:val="00C65210"/>
    <w:rsid w:val="00C6619C"/>
    <w:rsid w:val="00C70F19"/>
    <w:rsid w:val="00C72FC8"/>
    <w:rsid w:val="00C76F1E"/>
    <w:rsid w:val="00C77B86"/>
    <w:rsid w:val="00C80CEB"/>
    <w:rsid w:val="00C83FF6"/>
    <w:rsid w:val="00C8535C"/>
    <w:rsid w:val="00C909A3"/>
    <w:rsid w:val="00C92967"/>
    <w:rsid w:val="00CA1A9D"/>
    <w:rsid w:val="00CA2024"/>
    <w:rsid w:val="00CA22BF"/>
    <w:rsid w:val="00CA23F7"/>
    <w:rsid w:val="00CA2539"/>
    <w:rsid w:val="00CA33CA"/>
    <w:rsid w:val="00CB03F9"/>
    <w:rsid w:val="00CB1186"/>
    <w:rsid w:val="00CB2AE6"/>
    <w:rsid w:val="00CB4E15"/>
    <w:rsid w:val="00CC5062"/>
    <w:rsid w:val="00CD29A2"/>
    <w:rsid w:val="00CD2A24"/>
    <w:rsid w:val="00CD3094"/>
    <w:rsid w:val="00CD79D7"/>
    <w:rsid w:val="00CD7EB0"/>
    <w:rsid w:val="00CE1E9B"/>
    <w:rsid w:val="00CE2116"/>
    <w:rsid w:val="00CE539B"/>
    <w:rsid w:val="00CE5835"/>
    <w:rsid w:val="00CE6555"/>
    <w:rsid w:val="00CF279C"/>
    <w:rsid w:val="00D070A0"/>
    <w:rsid w:val="00D1209F"/>
    <w:rsid w:val="00D13A39"/>
    <w:rsid w:val="00D15D01"/>
    <w:rsid w:val="00D20501"/>
    <w:rsid w:val="00D20608"/>
    <w:rsid w:val="00D20A01"/>
    <w:rsid w:val="00D23DE1"/>
    <w:rsid w:val="00D265C7"/>
    <w:rsid w:val="00D26BA8"/>
    <w:rsid w:val="00D30287"/>
    <w:rsid w:val="00D31FAD"/>
    <w:rsid w:val="00D32581"/>
    <w:rsid w:val="00D3394A"/>
    <w:rsid w:val="00D351CA"/>
    <w:rsid w:val="00D35BFB"/>
    <w:rsid w:val="00D35E2E"/>
    <w:rsid w:val="00D367E3"/>
    <w:rsid w:val="00D50A0E"/>
    <w:rsid w:val="00D51B93"/>
    <w:rsid w:val="00D523DE"/>
    <w:rsid w:val="00D52B6C"/>
    <w:rsid w:val="00D552B4"/>
    <w:rsid w:val="00D561B5"/>
    <w:rsid w:val="00D570F7"/>
    <w:rsid w:val="00D578B8"/>
    <w:rsid w:val="00D60B36"/>
    <w:rsid w:val="00D6135F"/>
    <w:rsid w:val="00D66FA7"/>
    <w:rsid w:val="00D6783A"/>
    <w:rsid w:val="00D67AFA"/>
    <w:rsid w:val="00D70E9F"/>
    <w:rsid w:val="00D74A14"/>
    <w:rsid w:val="00D7629B"/>
    <w:rsid w:val="00D82AE5"/>
    <w:rsid w:val="00D87A38"/>
    <w:rsid w:val="00D97864"/>
    <w:rsid w:val="00DB1A1E"/>
    <w:rsid w:val="00DB4208"/>
    <w:rsid w:val="00DB5760"/>
    <w:rsid w:val="00DB5920"/>
    <w:rsid w:val="00DC2140"/>
    <w:rsid w:val="00DC725F"/>
    <w:rsid w:val="00DC7615"/>
    <w:rsid w:val="00DD3079"/>
    <w:rsid w:val="00DD743A"/>
    <w:rsid w:val="00DD7B72"/>
    <w:rsid w:val="00DE16C8"/>
    <w:rsid w:val="00DE2F6A"/>
    <w:rsid w:val="00DE717D"/>
    <w:rsid w:val="00DF0CB1"/>
    <w:rsid w:val="00DF15AE"/>
    <w:rsid w:val="00E02906"/>
    <w:rsid w:val="00E04353"/>
    <w:rsid w:val="00E05656"/>
    <w:rsid w:val="00E11575"/>
    <w:rsid w:val="00E131C2"/>
    <w:rsid w:val="00E1405F"/>
    <w:rsid w:val="00E14D98"/>
    <w:rsid w:val="00E20C03"/>
    <w:rsid w:val="00E258EF"/>
    <w:rsid w:val="00E27829"/>
    <w:rsid w:val="00E31731"/>
    <w:rsid w:val="00E41354"/>
    <w:rsid w:val="00E547A5"/>
    <w:rsid w:val="00E67C8E"/>
    <w:rsid w:val="00E7177C"/>
    <w:rsid w:val="00E732C1"/>
    <w:rsid w:val="00E7637B"/>
    <w:rsid w:val="00E76623"/>
    <w:rsid w:val="00E76CF5"/>
    <w:rsid w:val="00E85444"/>
    <w:rsid w:val="00E90895"/>
    <w:rsid w:val="00E91062"/>
    <w:rsid w:val="00E9368F"/>
    <w:rsid w:val="00EA0AB2"/>
    <w:rsid w:val="00EA2ED7"/>
    <w:rsid w:val="00EA649D"/>
    <w:rsid w:val="00EA74CD"/>
    <w:rsid w:val="00EB0606"/>
    <w:rsid w:val="00EB35E1"/>
    <w:rsid w:val="00EB37A1"/>
    <w:rsid w:val="00EB37A8"/>
    <w:rsid w:val="00EC12A7"/>
    <w:rsid w:val="00EC1D99"/>
    <w:rsid w:val="00EC40F4"/>
    <w:rsid w:val="00EC6ED2"/>
    <w:rsid w:val="00ED0754"/>
    <w:rsid w:val="00ED3F81"/>
    <w:rsid w:val="00ED5958"/>
    <w:rsid w:val="00EE5062"/>
    <w:rsid w:val="00EF16F8"/>
    <w:rsid w:val="00EF260F"/>
    <w:rsid w:val="00EF4B37"/>
    <w:rsid w:val="00F0172A"/>
    <w:rsid w:val="00F04290"/>
    <w:rsid w:val="00F04908"/>
    <w:rsid w:val="00F059B5"/>
    <w:rsid w:val="00F11233"/>
    <w:rsid w:val="00F13F16"/>
    <w:rsid w:val="00F15DD6"/>
    <w:rsid w:val="00F204FC"/>
    <w:rsid w:val="00F25C97"/>
    <w:rsid w:val="00F26268"/>
    <w:rsid w:val="00F264F5"/>
    <w:rsid w:val="00F26EA0"/>
    <w:rsid w:val="00F318A5"/>
    <w:rsid w:val="00F47FCA"/>
    <w:rsid w:val="00F533E9"/>
    <w:rsid w:val="00F6126B"/>
    <w:rsid w:val="00F62C03"/>
    <w:rsid w:val="00F632A8"/>
    <w:rsid w:val="00F66505"/>
    <w:rsid w:val="00F669A1"/>
    <w:rsid w:val="00F72B08"/>
    <w:rsid w:val="00F72E62"/>
    <w:rsid w:val="00F72E82"/>
    <w:rsid w:val="00F762E6"/>
    <w:rsid w:val="00F8275C"/>
    <w:rsid w:val="00F84CF5"/>
    <w:rsid w:val="00F91CBB"/>
    <w:rsid w:val="00F97010"/>
    <w:rsid w:val="00FA035A"/>
    <w:rsid w:val="00FA0466"/>
    <w:rsid w:val="00FA0BFB"/>
    <w:rsid w:val="00FA14DA"/>
    <w:rsid w:val="00FB0743"/>
    <w:rsid w:val="00FB080C"/>
    <w:rsid w:val="00FB45D1"/>
    <w:rsid w:val="00FB53F3"/>
    <w:rsid w:val="00FB7973"/>
    <w:rsid w:val="00FC009A"/>
    <w:rsid w:val="00FC0947"/>
    <w:rsid w:val="00FC3BB4"/>
    <w:rsid w:val="00FC5F06"/>
    <w:rsid w:val="00FD1183"/>
    <w:rsid w:val="00FD3230"/>
    <w:rsid w:val="00FE0C5F"/>
    <w:rsid w:val="00FF0267"/>
    <w:rsid w:val="00FF2998"/>
    <w:rsid w:val="00FF3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56B8E8"/>
  <w15:docId w15:val="{2E5290C1-0CEC-48EF-8A3F-DC107549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769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93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307F0C"/>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07F0C"/>
    <w:rPr>
      <w:rFonts w:ascii="Times New Roman" w:eastAsia="Times New Roman" w:hAnsi="Times New Roman" w:cs="Times New Roman"/>
      <w:sz w:val="24"/>
      <w:szCs w:val="20"/>
      <w:u w:val="single"/>
      <w:lang w:eastAsia="en-AU"/>
    </w:rPr>
  </w:style>
  <w:style w:type="paragraph" w:styleId="Footer">
    <w:name w:val="footer"/>
    <w:basedOn w:val="Normal"/>
    <w:link w:val="FooterChar"/>
    <w:uiPriority w:val="99"/>
    <w:unhideWhenUsed/>
    <w:rsid w:val="00307F0C"/>
    <w:pPr>
      <w:tabs>
        <w:tab w:val="center" w:pos="4513"/>
        <w:tab w:val="right" w:pos="9026"/>
      </w:tabs>
    </w:pPr>
  </w:style>
  <w:style w:type="character" w:customStyle="1" w:styleId="FooterChar">
    <w:name w:val="Footer Char"/>
    <w:basedOn w:val="DefaultParagraphFont"/>
    <w:link w:val="Footer"/>
    <w:uiPriority w:val="99"/>
    <w:rsid w:val="00307F0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7F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07F0C"/>
  </w:style>
  <w:style w:type="paragraph" w:styleId="ListParagraph">
    <w:name w:val="List Paragraph"/>
    <w:basedOn w:val="Normal"/>
    <w:uiPriority w:val="34"/>
    <w:qFormat/>
    <w:rsid w:val="009540F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665C5"/>
    <w:rPr>
      <w:sz w:val="16"/>
      <w:szCs w:val="16"/>
    </w:rPr>
  </w:style>
  <w:style w:type="paragraph" w:styleId="CommentText">
    <w:name w:val="annotation text"/>
    <w:basedOn w:val="Normal"/>
    <w:link w:val="CommentTextChar"/>
    <w:uiPriority w:val="99"/>
    <w:semiHidden/>
    <w:unhideWhenUsed/>
    <w:rsid w:val="00B665C5"/>
    <w:rPr>
      <w:sz w:val="20"/>
      <w:szCs w:val="20"/>
    </w:rPr>
  </w:style>
  <w:style w:type="character" w:customStyle="1" w:styleId="CommentTextChar">
    <w:name w:val="Comment Text Char"/>
    <w:basedOn w:val="DefaultParagraphFont"/>
    <w:link w:val="CommentText"/>
    <w:uiPriority w:val="99"/>
    <w:semiHidden/>
    <w:rsid w:val="00B665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5C5"/>
    <w:rPr>
      <w:b/>
      <w:bCs/>
    </w:rPr>
  </w:style>
  <w:style w:type="character" w:customStyle="1" w:styleId="CommentSubjectChar">
    <w:name w:val="Comment Subject Char"/>
    <w:basedOn w:val="CommentTextChar"/>
    <w:link w:val="CommentSubject"/>
    <w:uiPriority w:val="99"/>
    <w:semiHidden/>
    <w:rsid w:val="00B665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5C5"/>
    <w:rPr>
      <w:rFonts w:ascii="Tahoma" w:hAnsi="Tahoma" w:cs="Tahoma"/>
      <w:sz w:val="16"/>
      <w:szCs w:val="16"/>
    </w:rPr>
  </w:style>
  <w:style w:type="character" w:customStyle="1" w:styleId="BalloonTextChar">
    <w:name w:val="Balloon Text Char"/>
    <w:basedOn w:val="DefaultParagraphFont"/>
    <w:link w:val="BalloonText"/>
    <w:uiPriority w:val="99"/>
    <w:semiHidden/>
    <w:rsid w:val="00B665C5"/>
    <w:rPr>
      <w:rFonts w:ascii="Tahoma" w:eastAsia="Times New Roman" w:hAnsi="Tahoma" w:cs="Tahoma"/>
      <w:sz w:val="16"/>
      <w:szCs w:val="16"/>
    </w:rPr>
  </w:style>
  <w:style w:type="paragraph" w:customStyle="1" w:styleId="NumberLevel1">
    <w:name w:val="Number Level 1"/>
    <w:aliases w:val="N1"/>
    <w:basedOn w:val="Normal"/>
    <w:uiPriority w:val="1"/>
    <w:qFormat/>
    <w:rsid w:val="000776CC"/>
    <w:pPr>
      <w:numPr>
        <w:numId w:val="2"/>
      </w:numPr>
      <w:spacing w:before="140" w:after="140" w:line="280" w:lineRule="atLeast"/>
    </w:pPr>
    <w:rPr>
      <w:rFonts w:ascii="Arial" w:hAnsi="Arial" w:cs="Arial"/>
      <w:sz w:val="22"/>
      <w:szCs w:val="22"/>
      <w:lang w:eastAsia="en-AU"/>
    </w:rPr>
  </w:style>
  <w:style w:type="paragraph" w:customStyle="1" w:styleId="NumberLevel2">
    <w:name w:val="Number Level 2"/>
    <w:aliases w:val="N2"/>
    <w:basedOn w:val="Normal"/>
    <w:uiPriority w:val="1"/>
    <w:qFormat/>
    <w:rsid w:val="000776CC"/>
    <w:pPr>
      <w:numPr>
        <w:ilvl w:val="1"/>
        <w:numId w:val="2"/>
      </w:numPr>
      <w:spacing w:before="140" w:after="140" w:line="280" w:lineRule="atLeast"/>
    </w:pPr>
    <w:rPr>
      <w:rFonts w:ascii="Arial" w:hAnsi="Arial" w:cs="Arial"/>
      <w:sz w:val="22"/>
      <w:szCs w:val="22"/>
      <w:lang w:eastAsia="en-AU"/>
    </w:rPr>
  </w:style>
  <w:style w:type="paragraph" w:customStyle="1" w:styleId="NumberLevel3">
    <w:name w:val="Number Level 3"/>
    <w:aliases w:val="N3"/>
    <w:basedOn w:val="Normal"/>
    <w:uiPriority w:val="1"/>
    <w:qFormat/>
    <w:rsid w:val="000776CC"/>
    <w:pPr>
      <w:numPr>
        <w:ilvl w:val="2"/>
        <w:numId w:val="2"/>
      </w:numPr>
      <w:spacing w:before="140" w:after="140" w:line="280" w:lineRule="atLeast"/>
    </w:pPr>
    <w:rPr>
      <w:rFonts w:ascii="Arial" w:hAnsi="Arial" w:cs="Arial"/>
      <w:sz w:val="22"/>
      <w:szCs w:val="22"/>
      <w:lang w:eastAsia="en-AU"/>
    </w:rPr>
  </w:style>
  <w:style w:type="paragraph" w:customStyle="1" w:styleId="NumberLevel4">
    <w:name w:val="Number Level 4"/>
    <w:aliases w:val="N4"/>
    <w:basedOn w:val="Normal"/>
    <w:uiPriority w:val="1"/>
    <w:qFormat/>
    <w:rsid w:val="000776CC"/>
    <w:pPr>
      <w:numPr>
        <w:ilvl w:val="3"/>
        <w:numId w:val="2"/>
      </w:numPr>
      <w:spacing w:after="140" w:line="280" w:lineRule="atLeast"/>
    </w:pPr>
    <w:rPr>
      <w:rFonts w:ascii="Arial" w:hAnsi="Arial" w:cs="Arial"/>
      <w:sz w:val="22"/>
      <w:szCs w:val="22"/>
      <w:lang w:eastAsia="en-AU"/>
    </w:rPr>
  </w:style>
  <w:style w:type="paragraph" w:customStyle="1" w:styleId="NumberLevel5">
    <w:name w:val="Number Level 5"/>
    <w:aliases w:val="N5"/>
    <w:basedOn w:val="Normal"/>
    <w:uiPriority w:val="1"/>
    <w:semiHidden/>
    <w:rsid w:val="000776CC"/>
    <w:pPr>
      <w:numPr>
        <w:ilvl w:val="4"/>
        <w:numId w:val="2"/>
      </w:numPr>
      <w:spacing w:after="140" w:line="280" w:lineRule="atLeast"/>
    </w:pPr>
    <w:rPr>
      <w:rFonts w:ascii="Arial" w:hAnsi="Arial" w:cs="Arial"/>
      <w:sz w:val="22"/>
      <w:szCs w:val="22"/>
      <w:lang w:eastAsia="en-AU"/>
    </w:rPr>
  </w:style>
  <w:style w:type="paragraph" w:customStyle="1" w:styleId="NumberLevel6">
    <w:name w:val="Number Level 6"/>
    <w:basedOn w:val="NumberLevel5"/>
    <w:uiPriority w:val="1"/>
    <w:semiHidden/>
    <w:rsid w:val="000776CC"/>
    <w:pPr>
      <w:numPr>
        <w:ilvl w:val="5"/>
      </w:numPr>
    </w:pPr>
  </w:style>
  <w:style w:type="paragraph" w:customStyle="1" w:styleId="NumberLevel7">
    <w:name w:val="Number Level 7"/>
    <w:basedOn w:val="NumberLevel6"/>
    <w:uiPriority w:val="1"/>
    <w:semiHidden/>
    <w:rsid w:val="000776CC"/>
    <w:pPr>
      <w:numPr>
        <w:ilvl w:val="6"/>
      </w:numPr>
    </w:pPr>
  </w:style>
  <w:style w:type="paragraph" w:customStyle="1" w:styleId="NumberLevel8">
    <w:name w:val="Number Level 8"/>
    <w:basedOn w:val="NumberLevel7"/>
    <w:uiPriority w:val="1"/>
    <w:semiHidden/>
    <w:rsid w:val="000776CC"/>
    <w:pPr>
      <w:numPr>
        <w:ilvl w:val="7"/>
      </w:numPr>
    </w:pPr>
  </w:style>
  <w:style w:type="paragraph" w:customStyle="1" w:styleId="NumberLevel9">
    <w:name w:val="Number Level 9"/>
    <w:basedOn w:val="NumberLevel8"/>
    <w:uiPriority w:val="1"/>
    <w:semiHidden/>
    <w:rsid w:val="000776CC"/>
    <w:pPr>
      <w:numPr>
        <w:ilvl w:val="8"/>
      </w:numPr>
    </w:pPr>
  </w:style>
  <w:style w:type="paragraph" w:customStyle="1" w:styleId="notetext">
    <w:name w:val="note(text)"/>
    <w:aliases w:val="n"/>
    <w:basedOn w:val="Normal"/>
    <w:rsid w:val="00573F5D"/>
    <w:pPr>
      <w:spacing w:before="122"/>
      <w:ind w:left="1985" w:hanging="851"/>
    </w:pPr>
    <w:rPr>
      <w:sz w:val="18"/>
      <w:szCs w:val="20"/>
      <w:lang w:eastAsia="en-AU"/>
    </w:rPr>
  </w:style>
  <w:style w:type="paragraph" w:customStyle="1" w:styleId="notedraft">
    <w:name w:val="note(draft)"/>
    <w:aliases w:val="nd"/>
    <w:basedOn w:val="Normal"/>
    <w:rsid w:val="008B41D0"/>
    <w:pPr>
      <w:spacing w:before="240"/>
      <w:ind w:left="284" w:hanging="284"/>
    </w:pPr>
    <w:rPr>
      <w:i/>
      <w:szCs w:val="20"/>
      <w:lang w:eastAsia="en-AU"/>
    </w:rPr>
  </w:style>
  <w:style w:type="paragraph" w:styleId="Revision">
    <w:name w:val="Revision"/>
    <w:hidden/>
    <w:uiPriority w:val="99"/>
    <w:semiHidden/>
    <w:rsid w:val="009B76BC"/>
    <w:pPr>
      <w:spacing w:after="0" w:line="240" w:lineRule="auto"/>
    </w:pPr>
    <w:rPr>
      <w:rFonts w:ascii="Times New Roman" w:eastAsia="Times New Roman" w:hAnsi="Times New Roman" w:cs="Times New Roman"/>
      <w:sz w:val="24"/>
      <w:szCs w:val="24"/>
    </w:rPr>
  </w:style>
  <w:style w:type="character" w:customStyle="1" w:styleId="CharAmSchText">
    <w:name w:val="CharAmSchText"/>
    <w:basedOn w:val="DefaultParagraphFont"/>
    <w:qFormat/>
    <w:rsid w:val="00182BDB"/>
  </w:style>
  <w:style w:type="paragraph" w:styleId="NoSpacing">
    <w:name w:val="No Spacing"/>
    <w:uiPriority w:val="1"/>
    <w:qFormat/>
    <w:rsid w:val="00182BDB"/>
    <w:pPr>
      <w:spacing w:after="0" w:line="240" w:lineRule="auto"/>
    </w:pPr>
  </w:style>
  <w:style w:type="character" w:customStyle="1" w:styleId="Heading2Char">
    <w:name w:val="Heading 2 Char"/>
    <w:basedOn w:val="DefaultParagraphFont"/>
    <w:link w:val="Heading2"/>
    <w:uiPriority w:val="9"/>
    <w:rsid w:val="001769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693A"/>
    <w:rPr>
      <w:rFonts w:asciiTheme="majorHAnsi" w:eastAsiaTheme="majorEastAsia" w:hAnsiTheme="majorHAnsi" w:cstheme="majorBidi"/>
      <w:b/>
      <w:bCs/>
      <w:color w:val="4F81BD" w:themeColor="accent1"/>
      <w:sz w:val="24"/>
      <w:szCs w:val="24"/>
    </w:rPr>
  </w:style>
  <w:style w:type="paragraph" w:customStyle="1" w:styleId="NumberList">
    <w:name w:val="Number List"/>
    <w:basedOn w:val="Normal"/>
    <w:rsid w:val="000A6B7C"/>
    <w:pPr>
      <w:numPr>
        <w:numId w:val="7"/>
      </w:numPr>
      <w:tabs>
        <w:tab w:val="left" w:pos="1985"/>
      </w:tabs>
      <w:spacing w:before="240" w:line="240" w:lineRule="atLeast"/>
    </w:pPr>
  </w:style>
  <w:style w:type="paragraph" w:customStyle="1" w:styleId="NumberListSub">
    <w:name w:val="Number List Sub"/>
    <w:basedOn w:val="NumberList"/>
    <w:rsid w:val="000A6B7C"/>
    <w:pPr>
      <w:numPr>
        <w:ilvl w:val="1"/>
      </w:numPr>
      <w:tabs>
        <w:tab w:val="left" w:pos="255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08826">
      <w:bodyDiv w:val="1"/>
      <w:marLeft w:val="0"/>
      <w:marRight w:val="0"/>
      <w:marTop w:val="0"/>
      <w:marBottom w:val="0"/>
      <w:divBdr>
        <w:top w:val="none" w:sz="0" w:space="0" w:color="auto"/>
        <w:left w:val="none" w:sz="0" w:space="0" w:color="auto"/>
        <w:bottom w:val="none" w:sz="0" w:space="0" w:color="auto"/>
        <w:right w:val="none" w:sz="0" w:space="0" w:color="auto"/>
      </w:divBdr>
    </w:div>
    <w:div w:id="459496995">
      <w:bodyDiv w:val="1"/>
      <w:marLeft w:val="0"/>
      <w:marRight w:val="0"/>
      <w:marTop w:val="0"/>
      <w:marBottom w:val="0"/>
      <w:divBdr>
        <w:top w:val="none" w:sz="0" w:space="0" w:color="auto"/>
        <w:left w:val="none" w:sz="0" w:space="0" w:color="auto"/>
        <w:bottom w:val="none" w:sz="0" w:space="0" w:color="auto"/>
        <w:right w:val="none" w:sz="0" w:space="0" w:color="auto"/>
      </w:divBdr>
      <w:divsChild>
        <w:div w:id="1090196856">
          <w:marLeft w:val="0"/>
          <w:marRight w:val="0"/>
          <w:marTop w:val="0"/>
          <w:marBottom w:val="0"/>
          <w:divBdr>
            <w:top w:val="none" w:sz="0" w:space="0" w:color="auto"/>
            <w:left w:val="none" w:sz="0" w:space="0" w:color="auto"/>
            <w:bottom w:val="none" w:sz="0" w:space="0" w:color="auto"/>
            <w:right w:val="none" w:sz="0" w:space="0" w:color="auto"/>
          </w:divBdr>
          <w:divsChild>
            <w:div w:id="1496260585">
              <w:marLeft w:val="0"/>
              <w:marRight w:val="0"/>
              <w:marTop w:val="0"/>
              <w:marBottom w:val="0"/>
              <w:divBdr>
                <w:top w:val="none" w:sz="0" w:space="0" w:color="auto"/>
                <w:left w:val="none" w:sz="0" w:space="0" w:color="auto"/>
                <w:bottom w:val="none" w:sz="0" w:space="0" w:color="auto"/>
                <w:right w:val="none" w:sz="0" w:space="0" w:color="auto"/>
              </w:divBdr>
              <w:divsChild>
                <w:div w:id="1392580912">
                  <w:marLeft w:val="0"/>
                  <w:marRight w:val="0"/>
                  <w:marTop w:val="0"/>
                  <w:marBottom w:val="0"/>
                  <w:divBdr>
                    <w:top w:val="none" w:sz="0" w:space="0" w:color="auto"/>
                    <w:left w:val="none" w:sz="0" w:space="0" w:color="auto"/>
                    <w:bottom w:val="none" w:sz="0" w:space="0" w:color="auto"/>
                    <w:right w:val="none" w:sz="0" w:space="0" w:color="auto"/>
                  </w:divBdr>
                  <w:divsChild>
                    <w:div w:id="297272562">
                      <w:marLeft w:val="0"/>
                      <w:marRight w:val="0"/>
                      <w:marTop w:val="0"/>
                      <w:marBottom w:val="0"/>
                      <w:divBdr>
                        <w:top w:val="none" w:sz="0" w:space="0" w:color="auto"/>
                        <w:left w:val="none" w:sz="0" w:space="0" w:color="auto"/>
                        <w:bottom w:val="none" w:sz="0" w:space="0" w:color="auto"/>
                        <w:right w:val="none" w:sz="0" w:space="0" w:color="auto"/>
                      </w:divBdr>
                      <w:divsChild>
                        <w:div w:id="140536580">
                          <w:marLeft w:val="0"/>
                          <w:marRight w:val="0"/>
                          <w:marTop w:val="0"/>
                          <w:marBottom w:val="0"/>
                          <w:divBdr>
                            <w:top w:val="none" w:sz="0" w:space="0" w:color="auto"/>
                            <w:left w:val="none" w:sz="0" w:space="0" w:color="auto"/>
                            <w:bottom w:val="none" w:sz="0" w:space="0" w:color="auto"/>
                            <w:right w:val="none" w:sz="0" w:space="0" w:color="auto"/>
                          </w:divBdr>
                          <w:divsChild>
                            <w:div w:id="1470241233">
                              <w:marLeft w:val="0"/>
                              <w:marRight w:val="0"/>
                              <w:marTop w:val="0"/>
                              <w:marBottom w:val="0"/>
                              <w:divBdr>
                                <w:top w:val="none" w:sz="0" w:space="0" w:color="auto"/>
                                <w:left w:val="none" w:sz="0" w:space="0" w:color="auto"/>
                                <w:bottom w:val="none" w:sz="0" w:space="0" w:color="auto"/>
                                <w:right w:val="none" w:sz="0" w:space="0" w:color="auto"/>
                              </w:divBdr>
                              <w:divsChild>
                                <w:div w:id="1441877457">
                                  <w:marLeft w:val="0"/>
                                  <w:marRight w:val="0"/>
                                  <w:marTop w:val="0"/>
                                  <w:marBottom w:val="0"/>
                                  <w:divBdr>
                                    <w:top w:val="none" w:sz="0" w:space="0" w:color="auto"/>
                                    <w:left w:val="none" w:sz="0" w:space="0" w:color="auto"/>
                                    <w:bottom w:val="none" w:sz="0" w:space="0" w:color="auto"/>
                                    <w:right w:val="none" w:sz="0" w:space="0" w:color="auto"/>
                                  </w:divBdr>
                                  <w:divsChild>
                                    <w:div w:id="776752569">
                                      <w:marLeft w:val="0"/>
                                      <w:marRight w:val="0"/>
                                      <w:marTop w:val="0"/>
                                      <w:marBottom w:val="0"/>
                                      <w:divBdr>
                                        <w:top w:val="none" w:sz="0" w:space="0" w:color="auto"/>
                                        <w:left w:val="none" w:sz="0" w:space="0" w:color="auto"/>
                                        <w:bottom w:val="none" w:sz="0" w:space="0" w:color="auto"/>
                                        <w:right w:val="none" w:sz="0" w:space="0" w:color="auto"/>
                                      </w:divBdr>
                                      <w:divsChild>
                                        <w:div w:id="2065325030">
                                          <w:marLeft w:val="0"/>
                                          <w:marRight w:val="0"/>
                                          <w:marTop w:val="0"/>
                                          <w:marBottom w:val="0"/>
                                          <w:divBdr>
                                            <w:top w:val="none" w:sz="0" w:space="0" w:color="auto"/>
                                            <w:left w:val="none" w:sz="0" w:space="0" w:color="auto"/>
                                            <w:bottom w:val="none" w:sz="0" w:space="0" w:color="auto"/>
                                            <w:right w:val="none" w:sz="0" w:space="0" w:color="auto"/>
                                          </w:divBdr>
                                          <w:divsChild>
                                            <w:div w:id="765886216">
                                              <w:marLeft w:val="0"/>
                                              <w:marRight w:val="0"/>
                                              <w:marTop w:val="0"/>
                                              <w:marBottom w:val="0"/>
                                              <w:divBdr>
                                                <w:top w:val="none" w:sz="0" w:space="0" w:color="auto"/>
                                                <w:left w:val="none" w:sz="0" w:space="0" w:color="auto"/>
                                                <w:bottom w:val="none" w:sz="0" w:space="0" w:color="auto"/>
                                                <w:right w:val="none" w:sz="0" w:space="0" w:color="auto"/>
                                              </w:divBdr>
                                              <w:divsChild>
                                                <w:div w:id="1616402042">
                                                  <w:marLeft w:val="0"/>
                                                  <w:marRight w:val="0"/>
                                                  <w:marTop w:val="0"/>
                                                  <w:marBottom w:val="0"/>
                                                  <w:divBdr>
                                                    <w:top w:val="none" w:sz="0" w:space="0" w:color="auto"/>
                                                    <w:left w:val="none" w:sz="0" w:space="0" w:color="auto"/>
                                                    <w:bottom w:val="none" w:sz="0" w:space="0" w:color="auto"/>
                                                    <w:right w:val="none" w:sz="0" w:space="0" w:color="auto"/>
                                                  </w:divBdr>
                                                  <w:divsChild>
                                                    <w:div w:id="1207833614">
                                                      <w:marLeft w:val="0"/>
                                                      <w:marRight w:val="0"/>
                                                      <w:marTop w:val="0"/>
                                                      <w:marBottom w:val="0"/>
                                                      <w:divBdr>
                                                        <w:top w:val="none" w:sz="0" w:space="0" w:color="auto"/>
                                                        <w:left w:val="none" w:sz="0" w:space="0" w:color="auto"/>
                                                        <w:bottom w:val="none" w:sz="0" w:space="0" w:color="auto"/>
                                                        <w:right w:val="none" w:sz="0" w:space="0" w:color="auto"/>
                                                      </w:divBdr>
                                                      <w:divsChild>
                                                        <w:div w:id="14988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2635710">
      <w:bodyDiv w:val="1"/>
      <w:marLeft w:val="0"/>
      <w:marRight w:val="0"/>
      <w:marTop w:val="0"/>
      <w:marBottom w:val="0"/>
      <w:divBdr>
        <w:top w:val="none" w:sz="0" w:space="0" w:color="auto"/>
        <w:left w:val="none" w:sz="0" w:space="0" w:color="auto"/>
        <w:bottom w:val="none" w:sz="0" w:space="0" w:color="auto"/>
        <w:right w:val="none" w:sz="0" w:space="0" w:color="auto"/>
      </w:divBdr>
    </w:div>
    <w:div w:id="1446583252">
      <w:bodyDiv w:val="1"/>
      <w:marLeft w:val="0"/>
      <w:marRight w:val="0"/>
      <w:marTop w:val="0"/>
      <w:marBottom w:val="0"/>
      <w:divBdr>
        <w:top w:val="none" w:sz="0" w:space="0" w:color="auto"/>
        <w:left w:val="none" w:sz="0" w:space="0" w:color="auto"/>
        <w:bottom w:val="none" w:sz="0" w:space="0" w:color="auto"/>
        <w:right w:val="none" w:sz="0" w:space="0" w:color="auto"/>
      </w:divBdr>
      <w:divsChild>
        <w:div w:id="510343161">
          <w:marLeft w:val="0"/>
          <w:marRight w:val="0"/>
          <w:marTop w:val="0"/>
          <w:marBottom w:val="0"/>
          <w:divBdr>
            <w:top w:val="none" w:sz="0" w:space="0" w:color="auto"/>
            <w:left w:val="none" w:sz="0" w:space="0" w:color="auto"/>
            <w:bottom w:val="none" w:sz="0" w:space="0" w:color="auto"/>
            <w:right w:val="none" w:sz="0" w:space="0" w:color="auto"/>
          </w:divBdr>
          <w:divsChild>
            <w:div w:id="1436555740">
              <w:marLeft w:val="0"/>
              <w:marRight w:val="0"/>
              <w:marTop w:val="0"/>
              <w:marBottom w:val="0"/>
              <w:divBdr>
                <w:top w:val="none" w:sz="0" w:space="0" w:color="auto"/>
                <w:left w:val="none" w:sz="0" w:space="0" w:color="auto"/>
                <w:bottom w:val="none" w:sz="0" w:space="0" w:color="auto"/>
                <w:right w:val="none" w:sz="0" w:space="0" w:color="auto"/>
              </w:divBdr>
              <w:divsChild>
                <w:div w:id="2121216733">
                  <w:marLeft w:val="0"/>
                  <w:marRight w:val="0"/>
                  <w:marTop w:val="0"/>
                  <w:marBottom w:val="0"/>
                  <w:divBdr>
                    <w:top w:val="none" w:sz="0" w:space="0" w:color="auto"/>
                    <w:left w:val="none" w:sz="0" w:space="0" w:color="auto"/>
                    <w:bottom w:val="none" w:sz="0" w:space="0" w:color="auto"/>
                    <w:right w:val="none" w:sz="0" w:space="0" w:color="auto"/>
                  </w:divBdr>
                  <w:divsChild>
                    <w:div w:id="1534804329">
                      <w:marLeft w:val="0"/>
                      <w:marRight w:val="0"/>
                      <w:marTop w:val="0"/>
                      <w:marBottom w:val="0"/>
                      <w:divBdr>
                        <w:top w:val="none" w:sz="0" w:space="0" w:color="auto"/>
                        <w:left w:val="none" w:sz="0" w:space="0" w:color="auto"/>
                        <w:bottom w:val="none" w:sz="0" w:space="0" w:color="auto"/>
                        <w:right w:val="none" w:sz="0" w:space="0" w:color="auto"/>
                      </w:divBdr>
                      <w:divsChild>
                        <w:div w:id="2001810541">
                          <w:marLeft w:val="0"/>
                          <w:marRight w:val="0"/>
                          <w:marTop w:val="0"/>
                          <w:marBottom w:val="0"/>
                          <w:divBdr>
                            <w:top w:val="none" w:sz="0" w:space="0" w:color="auto"/>
                            <w:left w:val="none" w:sz="0" w:space="0" w:color="auto"/>
                            <w:bottom w:val="none" w:sz="0" w:space="0" w:color="auto"/>
                            <w:right w:val="none" w:sz="0" w:space="0" w:color="auto"/>
                          </w:divBdr>
                          <w:divsChild>
                            <w:div w:id="913973377">
                              <w:marLeft w:val="0"/>
                              <w:marRight w:val="0"/>
                              <w:marTop w:val="0"/>
                              <w:marBottom w:val="0"/>
                              <w:divBdr>
                                <w:top w:val="none" w:sz="0" w:space="0" w:color="auto"/>
                                <w:left w:val="none" w:sz="0" w:space="0" w:color="auto"/>
                                <w:bottom w:val="none" w:sz="0" w:space="0" w:color="auto"/>
                                <w:right w:val="none" w:sz="0" w:space="0" w:color="auto"/>
                              </w:divBdr>
                              <w:divsChild>
                                <w:div w:id="994525096">
                                  <w:marLeft w:val="0"/>
                                  <w:marRight w:val="0"/>
                                  <w:marTop w:val="0"/>
                                  <w:marBottom w:val="0"/>
                                  <w:divBdr>
                                    <w:top w:val="none" w:sz="0" w:space="0" w:color="auto"/>
                                    <w:left w:val="none" w:sz="0" w:space="0" w:color="auto"/>
                                    <w:bottom w:val="none" w:sz="0" w:space="0" w:color="auto"/>
                                    <w:right w:val="none" w:sz="0" w:space="0" w:color="auto"/>
                                  </w:divBdr>
                                  <w:divsChild>
                                    <w:div w:id="169218728">
                                      <w:marLeft w:val="0"/>
                                      <w:marRight w:val="0"/>
                                      <w:marTop w:val="0"/>
                                      <w:marBottom w:val="0"/>
                                      <w:divBdr>
                                        <w:top w:val="none" w:sz="0" w:space="0" w:color="auto"/>
                                        <w:left w:val="none" w:sz="0" w:space="0" w:color="auto"/>
                                        <w:bottom w:val="none" w:sz="0" w:space="0" w:color="auto"/>
                                        <w:right w:val="none" w:sz="0" w:space="0" w:color="auto"/>
                                      </w:divBdr>
                                      <w:divsChild>
                                        <w:div w:id="1102605410">
                                          <w:marLeft w:val="0"/>
                                          <w:marRight w:val="0"/>
                                          <w:marTop w:val="0"/>
                                          <w:marBottom w:val="0"/>
                                          <w:divBdr>
                                            <w:top w:val="none" w:sz="0" w:space="0" w:color="auto"/>
                                            <w:left w:val="none" w:sz="0" w:space="0" w:color="auto"/>
                                            <w:bottom w:val="none" w:sz="0" w:space="0" w:color="auto"/>
                                            <w:right w:val="none" w:sz="0" w:space="0" w:color="auto"/>
                                          </w:divBdr>
                                          <w:divsChild>
                                            <w:div w:id="1058549885">
                                              <w:marLeft w:val="0"/>
                                              <w:marRight w:val="0"/>
                                              <w:marTop w:val="0"/>
                                              <w:marBottom w:val="0"/>
                                              <w:divBdr>
                                                <w:top w:val="none" w:sz="0" w:space="0" w:color="auto"/>
                                                <w:left w:val="none" w:sz="0" w:space="0" w:color="auto"/>
                                                <w:bottom w:val="none" w:sz="0" w:space="0" w:color="auto"/>
                                                <w:right w:val="none" w:sz="0" w:space="0" w:color="auto"/>
                                              </w:divBdr>
                                              <w:divsChild>
                                                <w:div w:id="283191374">
                                                  <w:marLeft w:val="0"/>
                                                  <w:marRight w:val="0"/>
                                                  <w:marTop w:val="0"/>
                                                  <w:marBottom w:val="0"/>
                                                  <w:divBdr>
                                                    <w:top w:val="none" w:sz="0" w:space="0" w:color="auto"/>
                                                    <w:left w:val="none" w:sz="0" w:space="0" w:color="auto"/>
                                                    <w:bottom w:val="none" w:sz="0" w:space="0" w:color="auto"/>
                                                    <w:right w:val="none" w:sz="0" w:space="0" w:color="auto"/>
                                                  </w:divBdr>
                                                  <w:divsChild>
                                                    <w:div w:id="1428380675">
                                                      <w:marLeft w:val="0"/>
                                                      <w:marRight w:val="0"/>
                                                      <w:marTop w:val="0"/>
                                                      <w:marBottom w:val="0"/>
                                                      <w:divBdr>
                                                        <w:top w:val="none" w:sz="0" w:space="0" w:color="auto"/>
                                                        <w:left w:val="none" w:sz="0" w:space="0" w:color="auto"/>
                                                        <w:bottom w:val="none" w:sz="0" w:space="0" w:color="auto"/>
                                                        <w:right w:val="none" w:sz="0" w:space="0" w:color="auto"/>
                                                      </w:divBdr>
                                                      <w:divsChild>
                                                        <w:div w:id="16925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4138255">
      <w:bodyDiv w:val="1"/>
      <w:marLeft w:val="0"/>
      <w:marRight w:val="0"/>
      <w:marTop w:val="0"/>
      <w:marBottom w:val="0"/>
      <w:divBdr>
        <w:top w:val="none" w:sz="0" w:space="0" w:color="auto"/>
        <w:left w:val="none" w:sz="0" w:space="0" w:color="auto"/>
        <w:bottom w:val="none" w:sz="0" w:space="0" w:color="auto"/>
        <w:right w:val="none" w:sz="0" w:space="0" w:color="auto"/>
      </w:divBdr>
    </w:div>
    <w:div w:id="17646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04143E214323B14C88CB9B3185A1A7C2" ma:contentTypeVersion="" ma:contentTypeDescription="PDMS Documentation Content Type" ma:contentTypeScope="" ma:versionID="3fb13681937f49d528a6d1a164d7eca4">
  <xsd:schema xmlns:xsd="http://www.w3.org/2001/XMLSchema" xmlns:xs="http://www.w3.org/2001/XMLSchema" xmlns:p="http://schemas.microsoft.com/office/2006/metadata/properties" xmlns:ns2="FEC0C890-AABD-4F49-BF2E-821542FC0A66" targetNamespace="http://schemas.microsoft.com/office/2006/metadata/properties" ma:root="true" ma:fieldsID="e88ec6be62223a2db7ee684993ac7241" ns2:_="">
    <xsd:import namespace="FEC0C890-AABD-4F49-BF2E-821542FC0A66"/>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0C890-AABD-4F49-BF2E-821542FC0A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Reason xmlns="FEC0C890-AABD-4F49-BF2E-821542FC0A66" xsi:nil="true"/>
    <SecurityClassification xmlns="FEC0C890-AABD-4F49-BF2E-821542FC0A66" xsi:nil="true"/>
    <pdms_AttachedBy xmlns="FEC0C890-AABD-4F49-BF2E-821542FC0A66" xsi:nil="true"/>
    <pdms_SecurityClassification xmlns="FEC0C890-AABD-4F49-BF2E-821542FC0A66" xsi:nil="true"/>
    <pdms_DocumentType xmlns="FEC0C890-AABD-4F49-BF2E-821542FC0A6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53D6D-3EC2-48CF-A03F-B6E689A3D0D5}">
  <ds:schemaRefs>
    <ds:schemaRef ds:uri="http://schemas.microsoft.com/sharepoint/v3/contenttype/forms"/>
  </ds:schemaRefs>
</ds:datastoreItem>
</file>

<file path=customXml/itemProps2.xml><?xml version="1.0" encoding="utf-8"?>
<ds:datastoreItem xmlns:ds="http://schemas.openxmlformats.org/officeDocument/2006/customXml" ds:itemID="{0C4E30A7-090F-4980-8ACE-139FE86CA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0C890-AABD-4F49-BF2E-821542FC0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CB149-56C5-4A7C-B1B1-4C80F10C598B}">
  <ds:schemaRefs>
    <ds:schemaRef ds:uri="http://purl.org/dc/terms/"/>
    <ds:schemaRef ds:uri="http://schemas.openxmlformats.org/package/2006/metadata/core-properties"/>
    <ds:schemaRef ds:uri="FEC0C890-AABD-4F49-BF2E-821542FC0A6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AB5CAF8-F3AF-42EB-9FFF-C741F3A3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 Lauren</dc:creator>
  <cp:lastModifiedBy>EDSOR Peter</cp:lastModifiedBy>
  <cp:revision>2</cp:revision>
  <cp:lastPrinted>2017-10-22T21:12:00Z</cp:lastPrinted>
  <dcterms:created xsi:type="dcterms:W3CDTF">2018-06-29T00:01:00Z</dcterms:created>
  <dcterms:modified xsi:type="dcterms:W3CDTF">2018-06-29T00:01:00Z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0x010100266966F133664895A6EE3632470D45F5010004143E214323B14C88CB9B3185A1A7C2</vt:lpwstr>
  </property>
</Properties>
</file>