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BE" w:rsidRDefault="00BE49BE" w:rsidP="00BE49BE">
      <w:pPr>
        <w:jc w:val="center"/>
        <w:rPr>
          <w:b/>
          <w:u w:val="single"/>
        </w:rPr>
      </w:pPr>
      <w:r>
        <w:rPr>
          <w:b/>
          <w:u w:val="single"/>
        </w:rPr>
        <w:t>EXPLANATORY STATEMENT</w:t>
      </w:r>
    </w:p>
    <w:p w:rsidR="00BE49BE" w:rsidRDefault="00BE49BE" w:rsidP="00BE49BE">
      <w:pPr>
        <w:jc w:val="center"/>
      </w:pPr>
    </w:p>
    <w:p w:rsidR="00BE49BE" w:rsidRDefault="00BE49BE" w:rsidP="00BE49BE">
      <w:pPr>
        <w:spacing w:after="120"/>
        <w:jc w:val="center"/>
      </w:pPr>
      <w:r>
        <w:t>Issued by the Authority of the Minister for Health</w:t>
      </w:r>
    </w:p>
    <w:p w:rsidR="00BE49BE" w:rsidRDefault="00BE49BE" w:rsidP="00BE49BE">
      <w:pPr>
        <w:spacing w:after="120"/>
        <w:jc w:val="center"/>
        <w:rPr>
          <w:i/>
        </w:rPr>
      </w:pPr>
      <w:r>
        <w:rPr>
          <w:i/>
        </w:rPr>
        <w:t>Private Health Insurance Act 2007</w:t>
      </w:r>
    </w:p>
    <w:p w:rsidR="00BE49BE" w:rsidRPr="00F569D4" w:rsidRDefault="00F42DBD" w:rsidP="00BE49BE">
      <w:pPr>
        <w:jc w:val="center"/>
        <w:rPr>
          <w:i/>
        </w:rPr>
      </w:pPr>
      <w:r w:rsidRPr="00F569D4">
        <w:rPr>
          <w:bCs/>
          <w:i/>
        </w:rPr>
        <w:t>Private Health Insurance</w:t>
      </w:r>
      <w:r w:rsidRPr="00F569D4">
        <w:rPr>
          <w:i/>
        </w:rPr>
        <w:t xml:space="preserve"> (</w:t>
      </w:r>
      <w:r w:rsidRPr="00F569D4">
        <w:rPr>
          <w:bCs/>
          <w:i/>
        </w:rPr>
        <w:t>Prostheses</w:t>
      </w:r>
      <w:r w:rsidRPr="00F569D4">
        <w:rPr>
          <w:i/>
        </w:rPr>
        <w:t xml:space="preserve">) </w:t>
      </w:r>
      <w:r w:rsidRPr="00F569D4">
        <w:rPr>
          <w:bCs/>
          <w:i/>
        </w:rPr>
        <w:t>Amendment</w:t>
      </w:r>
      <w:r w:rsidRPr="00F569D4">
        <w:rPr>
          <w:i/>
        </w:rPr>
        <w:t xml:space="preserve"> Rules 2018 (No.1)</w:t>
      </w:r>
    </w:p>
    <w:p w:rsidR="003E1CEB" w:rsidRDefault="003E1CEB" w:rsidP="00BE49BE">
      <w:pPr>
        <w:jc w:val="both"/>
      </w:pPr>
    </w:p>
    <w:p w:rsidR="00BE49BE" w:rsidRDefault="00BE49BE" w:rsidP="00BE49BE">
      <w:pPr>
        <w:jc w:val="both"/>
      </w:pPr>
      <w:r>
        <w:t xml:space="preserve">Section 333-20 of the </w:t>
      </w:r>
      <w:r>
        <w:rPr>
          <w:i/>
        </w:rPr>
        <w:t xml:space="preserve">Private Health Insurance Act 2007 </w:t>
      </w:r>
      <w:r>
        <w:t xml:space="preserve">(the Act) provides that the Minister may make </w:t>
      </w:r>
      <w:r w:rsidRPr="007D43C4">
        <w:t>Private Health Insurance (Prostheses) Rules</w:t>
      </w:r>
      <w:r>
        <w:t>, providing for matters required or permitted by Part 3-3 of the Act, or necessary or convenient in order to carry out or give effect to Part 3-3 of the Act.</w:t>
      </w:r>
    </w:p>
    <w:p w:rsidR="00BE49BE" w:rsidRDefault="00BE49BE" w:rsidP="00BE49BE">
      <w:pPr>
        <w:jc w:val="both"/>
      </w:pPr>
    </w:p>
    <w:p w:rsidR="00F569D4" w:rsidRDefault="00F569D4" w:rsidP="00F569D4">
      <w:r>
        <w:t xml:space="preserve">The </w:t>
      </w:r>
      <w:r w:rsidRPr="00F569D4">
        <w:rPr>
          <w:bCs/>
          <w:i/>
        </w:rPr>
        <w:t>Private Health Insurance</w:t>
      </w:r>
      <w:r w:rsidRPr="00F569D4">
        <w:rPr>
          <w:i/>
        </w:rPr>
        <w:t xml:space="preserve"> (</w:t>
      </w:r>
      <w:r w:rsidRPr="00F569D4">
        <w:rPr>
          <w:bCs/>
          <w:i/>
        </w:rPr>
        <w:t>Prostheses</w:t>
      </w:r>
      <w:r w:rsidRPr="00F569D4">
        <w:rPr>
          <w:i/>
        </w:rPr>
        <w:t xml:space="preserve">) </w:t>
      </w:r>
      <w:r w:rsidRPr="00F569D4">
        <w:rPr>
          <w:bCs/>
          <w:i/>
        </w:rPr>
        <w:t>Amendment</w:t>
      </w:r>
      <w:r w:rsidRPr="00F569D4">
        <w:rPr>
          <w:i/>
        </w:rPr>
        <w:t xml:space="preserve"> Rules 2018 (No.1)</w:t>
      </w:r>
      <w:r>
        <w:t xml:space="preserve"> </w:t>
      </w:r>
      <w:r w:rsidR="00E3726F">
        <w:t xml:space="preserve">(Amendment Rules) </w:t>
      </w:r>
      <w:r>
        <w:t xml:space="preserve">amend the </w:t>
      </w:r>
      <w:r>
        <w:rPr>
          <w:i/>
        </w:rPr>
        <w:t>Private Health Insurance (Prostheses) Rules 2018 (No.1)</w:t>
      </w:r>
      <w:r>
        <w:t xml:space="preserve"> (the Principal Rules) to </w:t>
      </w:r>
      <w:r w:rsidR="00A5043C">
        <w:t>include two billing codes to Part B of the Schedule to the Principal Rules that had been omitted due to an IT database error</w:t>
      </w:r>
      <w:r>
        <w:t>.</w:t>
      </w:r>
    </w:p>
    <w:p w:rsidR="00F569D4" w:rsidRDefault="00F569D4" w:rsidP="00F569D4"/>
    <w:p w:rsidR="00C66D9C" w:rsidRDefault="00F569D4" w:rsidP="00C66D9C">
      <w:pPr>
        <w:jc w:val="both"/>
      </w:pPr>
      <w:r>
        <w:t xml:space="preserve">Item 4 of the </w:t>
      </w:r>
      <w:r w:rsidR="00C66D9C">
        <w:t>t</w:t>
      </w:r>
      <w:r>
        <w:t xml:space="preserve">able in subsection 72-1(2) of Part 3-3 of the Act provides for requirements that a complying health insurance policy that covers hospital treatment must meet. </w:t>
      </w:r>
      <w:r w:rsidR="00C66D9C">
        <w:t>T</w:t>
      </w:r>
      <w:r>
        <w:t xml:space="preserve">here must be a benefit for the provision of </w:t>
      </w:r>
      <w:proofErr w:type="gramStart"/>
      <w:r>
        <w:t>a prosthesis</w:t>
      </w:r>
      <w:proofErr w:type="gramEnd"/>
      <w:r>
        <w:t xml:space="preserve">, of a kind listed in </w:t>
      </w:r>
      <w:r w:rsidR="00C66D9C">
        <w:t>the Principal Rules</w:t>
      </w:r>
      <w:r>
        <w:rPr>
          <w:i/>
        </w:rPr>
        <w:t xml:space="preserve"> </w:t>
      </w:r>
      <w:r>
        <w:t xml:space="preserve">(i.e. a listed prosthesis), in specified circumstances and under any specified conditions. </w:t>
      </w:r>
      <w:r w:rsidR="00C66D9C">
        <w:t xml:space="preserve"> </w:t>
      </w:r>
      <w:r w:rsidR="00BE49BE">
        <w:t xml:space="preserve">The specified circumstances are that the listed prosthesis is provided in circumstances in which a </w:t>
      </w:r>
      <w:r w:rsidR="00C66D9C">
        <w:t>M</w:t>
      </w:r>
      <w:r w:rsidR="00BE49BE">
        <w:t>edicare benefit is payable or in circumstances wh</w:t>
      </w:r>
      <w:r w:rsidR="00BE49BE" w:rsidRPr="003E2462">
        <w:t xml:space="preserve">ich </w:t>
      </w:r>
      <w:r w:rsidR="00C66D9C">
        <w:t>are</w:t>
      </w:r>
      <w:r w:rsidR="00BE49BE" w:rsidRPr="003E2462">
        <w:t xml:space="preserve"> set out in Private Health Insurance (Prostheses) Rules. The specified conditions are </w:t>
      </w:r>
      <w:r w:rsidR="00BA6C57">
        <w:t xml:space="preserve">those that are </w:t>
      </w:r>
      <w:r w:rsidR="00484E6D" w:rsidRPr="003E2462">
        <w:t xml:space="preserve">set out in </w:t>
      </w:r>
      <w:r w:rsidR="00C66D9C">
        <w:t>the Principal Rules.</w:t>
      </w:r>
    </w:p>
    <w:p w:rsidR="00C66D9C" w:rsidRDefault="00C66D9C" w:rsidP="00C66D9C">
      <w:pPr>
        <w:jc w:val="both"/>
      </w:pPr>
    </w:p>
    <w:p w:rsidR="00BE49BE" w:rsidRDefault="00BE49BE" w:rsidP="00BE49BE">
      <w:pPr>
        <w:jc w:val="both"/>
      </w:pPr>
      <w:r>
        <w:t>If the complying health insurance policy also covers hospital-substitute treatment, the same requirements apply.</w:t>
      </w:r>
    </w:p>
    <w:p w:rsidR="00BE49BE" w:rsidRDefault="00BE49BE" w:rsidP="00BE49BE">
      <w:pPr>
        <w:jc w:val="both"/>
      </w:pPr>
    </w:p>
    <w:p w:rsidR="007E2D93" w:rsidRDefault="007E2D93" w:rsidP="007E2D93">
      <w:r>
        <w:t>Listed prostheses are currently set out in the Schedule to the Principal Rules.</w:t>
      </w:r>
    </w:p>
    <w:p w:rsidR="00BE49BE" w:rsidRDefault="00BE49BE" w:rsidP="00BE49BE">
      <w:pPr>
        <w:jc w:val="both"/>
      </w:pPr>
    </w:p>
    <w:p w:rsidR="007E2D93" w:rsidRDefault="007E2D93" w:rsidP="001224AA">
      <w:pPr>
        <w:jc w:val="both"/>
      </w:pPr>
      <w:r>
        <w:t>The Amendment Rules</w:t>
      </w:r>
      <w:r w:rsidR="001224AA">
        <w:t xml:space="preserve"> amend the Principal Rules by adding </w:t>
      </w:r>
      <w:r>
        <w:t>the following two billing codes and their listed benefits</w:t>
      </w:r>
      <w:r w:rsidR="00596D31">
        <w:t xml:space="preserve"> to Part B of the Schedule to the Principal Rules</w:t>
      </w:r>
      <w:r>
        <w:t>:</w:t>
      </w:r>
    </w:p>
    <w:p w:rsidR="007E2D93" w:rsidRDefault="007E2D93" w:rsidP="007E2D93">
      <w:pPr>
        <w:jc w:val="both"/>
      </w:pPr>
    </w:p>
    <w:p w:rsidR="00BE49BE" w:rsidRPr="000A0A4F" w:rsidRDefault="000A0A4F" w:rsidP="007E2D93">
      <w:pPr>
        <w:pStyle w:val="ListParagraph"/>
        <w:numPr>
          <w:ilvl w:val="0"/>
          <w:numId w:val="43"/>
        </w:numPr>
        <w:jc w:val="both"/>
        <w:rPr>
          <w:rFonts w:ascii="Times New Roman" w:hAnsi="Times New Roman"/>
          <w:sz w:val="24"/>
          <w:szCs w:val="20"/>
          <w:lang w:eastAsia="en-AU"/>
        </w:rPr>
      </w:pPr>
      <w:r w:rsidRPr="000A0A4F">
        <w:rPr>
          <w:rFonts w:ascii="Times New Roman" w:hAnsi="Times New Roman"/>
          <w:sz w:val="24"/>
          <w:szCs w:val="20"/>
          <w:lang w:eastAsia="en-AU"/>
        </w:rPr>
        <w:t>QHV13</w:t>
      </w:r>
      <w:r w:rsidR="00EC71BA">
        <w:rPr>
          <w:rFonts w:ascii="Times New Roman" w:hAnsi="Times New Roman"/>
          <w:sz w:val="24"/>
          <w:szCs w:val="20"/>
          <w:lang w:eastAsia="en-AU"/>
        </w:rPr>
        <w:t xml:space="preserve"> – </w:t>
      </w:r>
      <w:r w:rsidR="00EC71BA" w:rsidRPr="00EC71BA">
        <w:rPr>
          <w:rFonts w:ascii="Times New Roman" w:hAnsi="Times New Roman"/>
          <w:sz w:val="24"/>
          <w:szCs w:val="20"/>
          <w:lang w:eastAsia="en-AU"/>
        </w:rPr>
        <w:t>Engineered</w:t>
      </w:r>
      <w:r w:rsidR="00EC71BA" w:rsidRPr="00EC71BA">
        <w:rPr>
          <w:rFonts w:ascii="Times New Roman" w:hAnsi="Times New Roman"/>
          <w:sz w:val="24"/>
          <w:szCs w:val="20"/>
          <w:lang w:eastAsia="en-AU"/>
        </w:rPr>
        <w:t xml:space="preserve"> Cancellous Bone</w:t>
      </w:r>
    </w:p>
    <w:p w:rsidR="007E2D93" w:rsidRPr="00120D26" w:rsidRDefault="000A0A4F" w:rsidP="00120D26">
      <w:pPr>
        <w:pStyle w:val="ListParagraph"/>
        <w:numPr>
          <w:ilvl w:val="0"/>
          <w:numId w:val="43"/>
        </w:numPr>
        <w:jc w:val="both"/>
        <w:rPr>
          <w:rFonts w:ascii="Times New Roman" w:hAnsi="Times New Roman"/>
          <w:sz w:val="24"/>
          <w:szCs w:val="20"/>
          <w:lang w:eastAsia="en-AU"/>
        </w:rPr>
      </w:pPr>
      <w:r w:rsidRPr="000A0A4F">
        <w:rPr>
          <w:rFonts w:ascii="Times New Roman" w:hAnsi="Times New Roman"/>
          <w:sz w:val="24"/>
          <w:szCs w:val="20"/>
          <w:lang w:eastAsia="en-AU"/>
        </w:rPr>
        <w:t>QHV14</w:t>
      </w:r>
      <w:r w:rsidR="00EC71BA">
        <w:rPr>
          <w:rFonts w:ascii="Times New Roman" w:hAnsi="Times New Roman"/>
          <w:sz w:val="24"/>
          <w:szCs w:val="20"/>
          <w:lang w:eastAsia="en-AU"/>
        </w:rPr>
        <w:t xml:space="preserve"> - </w:t>
      </w:r>
      <w:r w:rsidR="00EC71BA" w:rsidRPr="00EC71BA">
        <w:rPr>
          <w:rFonts w:ascii="Times New Roman" w:hAnsi="Times New Roman"/>
          <w:sz w:val="24"/>
          <w:szCs w:val="20"/>
          <w:lang w:eastAsia="en-AU"/>
        </w:rPr>
        <w:t>1g Demineralised Bone Matrix</w:t>
      </w:r>
      <w:bookmarkStart w:id="0" w:name="_GoBack"/>
      <w:bookmarkEnd w:id="0"/>
    </w:p>
    <w:p w:rsidR="00BE49BE" w:rsidRDefault="00EC71BA" w:rsidP="00EC71BA">
      <w:pPr>
        <w:pStyle w:val="NormalBeforeBullet"/>
      </w:pPr>
      <w:r w:rsidRPr="00701C1D">
        <w:t>The billing code is a reference code allocated to a listed prosthesis.</w:t>
      </w:r>
      <w:r>
        <w:t xml:space="preserve"> </w:t>
      </w:r>
      <w:r w:rsidRPr="00701C1D">
        <w:t>The billing code facilitates hospital invoicing procedures and the payment of benefits by insurers.</w:t>
      </w:r>
      <w:r>
        <w:t xml:space="preserve"> </w:t>
      </w:r>
    </w:p>
    <w:p w:rsidR="00BE49BE" w:rsidRPr="00E3726F" w:rsidRDefault="00E3726F" w:rsidP="00BE49BE">
      <w:r>
        <w:t xml:space="preserve">In </w:t>
      </w:r>
      <w:r w:rsidR="008A5FDB">
        <w:t xml:space="preserve">the </w:t>
      </w:r>
      <w:r>
        <w:t>Delegate</w:t>
      </w:r>
      <w:r w:rsidR="00CC18A2">
        <w:t>d</w:t>
      </w:r>
      <w:r>
        <w:t xml:space="preserve"> Instruments Monitor No. 1</w:t>
      </w:r>
      <w:r w:rsidR="008A5FDB">
        <w:t xml:space="preserve"> </w:t>
      </w:r>
      <w:r>
        <w:t xml:space="preserve">(2018) the Senate </w:t>
      </w:r>
      <w:r>
        <w:rPr>
          <w:lang w:val="en"/>
        </w:rPr>
        <w:t xml:space="preserve">Regulations and Ordinances Committee raised concerns </w:t>
      </w:r>
      <w:r w:rsidR="00854C60">
        <w:rPr>
          <w:lang w:val="en"/>
        </w:rPr>
        <w:t xml:space="preserve">that </w:t>
      </w:r>
      <w:r w:rsidR="00854C60">
        <w:t>errors</w:t>
      </w:r>
      <w:r>
        <w:t xml:space="preserve"> in the listing of benefits on the </w:t>
      </w:r>
      <w:r w:rsidR="00A0388D">
        <w:t>Schedule to the Principal Rules</w:t>
      </w:r>
      <w:r>
        <w:t xml:space="preserve"> could have the effect of increasing out-of-pocket expenses for some individuals.  </w:t>
      </w:r>
      <w:r w:rsidR="007E2D93">
        <w:t xml:space="preserve">The effective date of the </w:t>
      </w:r>
      <w:r>
        <w:t xml:space="preserve">Principal Rules is </w:t>
      </w:r>
      <w:r w:rsidR="00653122">
        <w:t xml:space="preserve">14 </w:t>
      </w:r>
      <w:r>
        <w:t xml:space="preserve">March 2018.  These Amendment Rules </w:t>
      </w:r>
      <w:r w:rsidR="00762115">
        <w:t xml:space="preserve">insert the two billing codes </w:t>
      </w:r>
      <w:r>
        <w:t>prior to the</w:t>
      </w:r>
      <w:r w:rsidR="000443AB">
        <w:t xml:space="preserve"> commencement of the </w:t>
      </w:r>
      <w:r>
        <w:t xml:space="preserve">Principal Rules.  Therefore, no person or entity will be negatively affected by </w:t>
      </w:r>
      <w:r w:rsidR="000443AB">
        <w:t>the Amendment Rules</w:t>
      </w:r>
      <w:r>
        <w:t xml:space="preserve">, or the </w:t>
      </w:r>
      <w:r w:rsidR="00BC435F">
        <w:t xml:space="preserve">IT database </w:t>
      </w:r>
      <w:r>
        <w:t>error.</w:t>
      </w:r>
    </w:p>
    <w:p w:rsidR="00BE49BE" w:rsidRDefault="00BE49BE" w:rsidP="00BE49BE"/>
    <w:p w:rsidR="00BE49BE" w:rsidRPr="000D4AF1" w:rsidRDefault="00BE49BE" w:rsidP="00BE49BE">
      <w:pPr>
        <w:rPr>
          <w:b/>
        </w:rPr>
      </w:pPr>
      <w:r w:rsidRPr="000D4AF1">
        <w:rPr>
          <w:b/>
        </w:rPr>
        <w:t>Consultation</w:t>
      </w:r>
    </w:p>
    <w:p w:rsidR="00BE49BE" w:rsidRDefault="00BE49BE" w:rsidP="00BE49BE"/>
    <w:p w:rsidR="00BE49BE" w:rsidRDefault="00886AA6" w:rsidP="00BE49BE">
      <w:r>
        <w:t xml:space="preserve">The affected Sponsor raised the matter following publication of the Principal Rules.  The error would negatively affect </w:t>
      </w:r>
      <w:r w:rsidR="000B0FB4">
        <w:t xml:space="preserve">the Sponsor if not corrected prior to the </w:t>
      </w:r>
      <w:r w:rsidR="00CD3CD4">
        <w:t>commencement of the Principal Rules</w:t>
      </w:r>
      <w:r w:rsidR="000B0FB4">
        <w:t>.</w:t>
      </w:r>
    </w:p>
    <w:p w:rsidR="00BE49BE" w:rsidRDefault="00BE49BE" w:rsidP="00BE49BE"/>
    <w:p w:rsidR="00EB3DF2" w:rsidRDefault="00EB3DF2" w:rsidP="00BE49BE">
      <w:pPr>
        <w:autoSpaceDE w:val="0"/>
        <w:autoSpaceDN w:val="0"/>
        <w:adjustRightInd w:val="0"/>
        <w:rPr>
          <w:szCs w:val="24"/>
        </w:rPr>
      </w:pPr>
    </w:p>
    <w:p w:rsidR="00BE49BE" w:rsidRPr="00D61639" w:rsidRDefault="00D61639" w:rsidP="00BE49BE">
      <w:pPr>
        <w:autoSpaceDE w:val="0"/>
        <w:autoSpaceDN w:val="0"/>
        <w:adjustRightInd w:val="0"/>
      </w:pPr>
      <w:r>
        <w:rPr>
          <w:szCs w:val="24"/>
        </w:rPr>
        <w:t xml:space="preserve">The Amendment Rules are a legislative instrument for the purposes of the </w:t>
      </w:r>
      <w:r>
        <w:rPr>
          <w:i/>
          <w:szCs w:val="24"/>
        </w:rPr>
        <w:t>Legislation Act 2003</w:t>
      </w:r>
      <w:r>
        <w:rPr>
          <w:szCs w:val="24"/>
        </w:rPr>
        <w:t>.</w:t>
      </w:r>
    </w:p>
    <w:p w:rsidR="00BE49BE" w:rsidRDefault="00BE49BE" w:rsidP="00BE49BE"/>
    <w:p w:rsidR="00BE49BE" w:rsidRDefault="00BE49BE" w:rsidP="00BE49BE"/>
    <w:p w:rsidR="00BE49BE" w:rsidRDefault="00BE49BE" w:rsidP="00BE49BE">
      <w:pPr>
        <w:ind w:left="4536"/>
      </w:pPr>
      <w:r>
        <w:rPr>
          <w:u w:val="single"/>
        </w:rPr>
        <w:t>Authority:</w:t>
      </w:r>
      <w:r>
        <w:tab/>
      </w:r>
      <w:r>
        <w:tab/>
        <w:t>Section 333-20 of the</w:t>
      </w:r>
    </w:p>
    <w:p w:rsidR="00BE49BE" w:rsidRDefault="00BE49BE" w:rsidP="00BE49BE">
      <w:pPr>
        <w:rPr>
          <w:i/>
        </w:rPr>
      </w:pPr>
      <w:r>
        <w:tab/>
      </w:r>
      <w:r>
        <w:tab/>
      </w:r>
      <w:r>
        <w:tab/>
      </w:r>
      <w:r>
        <w:tab/>
      </w:r>
      <w:r>
        <w:tab/>
      </w:r>
      <w:r>
        <w:tab/>
      </w:r>
      <w:r>
        <w:tab/>
      </w:r>
      <w:r>
        <w:tab/>
      </w:r>
      <w:r>
        <w:tab/>
      </w:r>
      <w:r>
        <w:tab/>
      </w:r>
      <w:r>
        <w:tab/>
      </w:r>
      <w:r>
        <w:rPr>
          <w:i/>
        </w:rPr>
        <w:t>Private Health Insurance</w:t>
      </w:r>
    </w:p>
    <w:p w:rsidR="00BE49BE" w:rsidRDefault="00BE49BE" w:rsidP="00BE49BE">
      <w:pPr>
        <w:ind w:left="5670" w:firstLine="567"/>
        <w:rPr>
          <w:i/>
        </w:rPr>
      </w:pPr>
      <w:r>
        <w:rPr>
          <w:i/>
        </w:rPr>
        <w:t>Act 2007</w:t>
      </w:r>
    </w:p>
    <w:p w:rsidR="00BE49BE" w:rsidRDefault="00BE49BE" w:rsidP="00BE49BE"/>
    <w:p w:rsidR="00BE49BE" w:rsidRDefault="00BE49BE" w:rsidP="00BE49BE"/>
    <w:p w:rsidR="00BE49BE" w:rsidRDefault="00BE49BE" w:rsidP="00A75866">
      <w:pPr>
        <w:autoSpaceDE w:val="0"/>
        <w:autoSpaceDN w:val="0"/>
        <w:adjustRightInd w:val="0"/>
        <w:rPr>
          <w:b/>
          <w:sz w:val="28"/>
          <w:szCs w:val="28"/>
        </w:rPr>
      </w:pPr>
      <w:r>
        <w:rPr>
          <w:b/>
          <w:bCs/>
          <w:szCs w:val="24"/>
        </w:rPr>
        <w:br w:type="page"/>
      </w:r>
    </w:p>
    <w:p w:rsidR="00BE49BE" w:rsidRDefault="00BE49BE" w:rsidP="00BE49BE">
      <w:pPr>
        <w:jc w:val="center"/>
        <w:rPr>
          <w:b/>
          <w:sz w:val="28"/>
          <w:szCs w:val="28"/>
        </w:rPr>
      </w:pPr>
      <w:r>
        <w:rPr>
          <w:b/>
          <w:sz w:val="28"/>
          <w:szCs w:val="28"/>
        </w:rPr>
        <w:lastRenderedPageBreak/>
        <w:t>Statement of Compatibility with Human Rights</w:t>
      </w:r>
    </w:p>
    <w:p w:rsidR="00BE49BE" w:rsidRDefault="00BE49BE" w:rsidP="00BE49BE">
      <w:pPr>
        <w:jc w:val="center"/>
        <w:rPr>
          <w:szCs w:val="24"/>
        </w:rPr>
      </w:pPr>
      <w:r>
        <w:rPr>
          <w:i/>
          <w:szCs w:val="24"/>
        </w:rPr>
        <w:t>Prepared in accordance with Part 3 of the Human Rights (Parliamentary Scrutiny) Act 2011</w:t>
      </w:r>
    </w:p>
    <w:p w:rsidR="00BE49BE" w:rsidRDefault="00BE49BE" w:rsidP="00BE49BE"/>
    <w:p w:rsidR="00A75866" w:rsidRPr="00A75866" w:rsidRDefault="00A75866" w:rsidP="00A75866">
      <w:pPr>
        <w:jc w:val="center"/>
        <w:rPr>
          <w:b/>
          <w:i/>
        </w:rPr>
      </w:pPr>
      <w:r w:rsidRPr="00A75866">
        <w:rPr>
          <w:b/>
          <w:bCs/>
          <w:i/>
        </w:rPr>
        <w:t>Private Health Insurance</w:t>
      </w:r>
      <w:r w:rsidRPr="00A75866">
        <w:rPr>
          <w:b/>
          <w:i/>
        </w:rPr>
        <w:t xml:space="preserve"> (</w:t>
      </w:r>
      <w:r w:rsidRPr="00A75866">
        <w:rPr>
          <w:b/>
          <w:bCs/>
          <w:i/>
        </w:rPr>
        <w:t>Prostheses</w:t>
      </w:r>
      <w:r w:rsidRPr="00A75866">
        <w:rPr>
          <w:b/>
          <w:i/>
        </w:rPr>
        <w:t xml:space="preserve">) </w:t>
      </w:r>
      <w:r w:rsidRPr="00A75866">
        <w:rPr>
          <w:b/>
          <w:bCs/>
          <w:i/>
        </w:rPr>
        <w:t>Amendment</w:t>
      </w:r>
      <w:r w:rsidRPr="00A75866">
        <w:rPr>
          <w:b/>
          <w:i/>
        </w:rPr>
        <w:t xml:space="preserve"> Rules 2018 (No.1)</w:t>
      </w:r>
    </w:p>
    <w:p w:rsidR="00BE49BE" w:rsidRDefault="00BE49BE" w:rsidP="00BE49BE">
      <w:pPr>
        <w:jc w:val="center"/>
        <w:rPr>
          <w:b/>
          <w:szCs w:val="24"/>
        </w:rPr>
      </w:pPr>
    </w:p>
    <w:p w:rsidR="00BE49BE" w:rsidRDefault="00BE49BE" w:rsidP="00BE49BE">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BE49BE" w:rsidRDefault="00BE49BE" w:rsidP="00BE49BE"/>
    <w:p w:rsidR="00BE49BE" w:rsidRDefault="00BE49BE" w:rsidP="00BE49BE">
      <w:pPr>
        <w:spacing w:before="120" w:after="120"/>
        <w:jc w:val="both"/>
        <w:rPr>
          <w:b/>
          <w:szCs w:val="24"/>
        </w:rPr>
      </w:pPr>
      <w:r>
        <w:rPr>
          <w:b/>
          <w:szCs w:val="24"/>
        </w:rPr>
        <w:t>Overview of the Legislative Instrument</w:t>
      </w:r>
    </w:p>
    <w:p w:rsidR="00A5043C" w:rsidRDefault="00A5043C" w:rsidP="00A5043C">
      <w:r>
        <w:t xml:space="preserve">The </w:t>
      </w:r>
      <w:r w:rsidRPr="00A5043C">
        <w:rPr>
          <w:bCs/>
          <w:i/>
        </w:rPr>
        <w:t>Private Health Insurance</w:t>
      </w:r>
      <w:r w:rsidRPr="00A5043C">
        <w:rPr>
          <w:i/>
        </w:rPr>
        <w:t xml:space="preserve"> (</w:t>
      </w:r>
      <w:r w:rsidRPr="00A5043C">
        <w:rPr>
          <w:bCs/>
          <w:i/>
        </w:rPr>
        <w:t>Prostheses</w:t>
      </w:r>
      <w:r w:rsidRPr="00A5043C">
        <w:rPr>
          <w:i/>
        </w:rPr>
        <w:t xml:space="preserve">) </w:t>
      </w:r>
      <w:r w:rsidRPr="00A5043C">
        <w:rPr>
          <w:bCs/>
          <w:i/>
        </w:rPr>
        <w:t>Amendment</w:t>
      </w:r>
      <w:r w:rsidRPr="00A5043C">
        <w:rPr>
          <w:i/>
        </w:rPr>
        <w:t xml:space="preserve"> Rules 2018 (No.1)</w:t>
      </w:r>
      <w:r>
        <w:t xml:space="preserve"> (the Amendment Rules) amend the </w:t>
      </w:r>
      <w:r>
        <w:rPr>
          <w:i/>
        </w:rPr>
        <w:t>Private Health Insurance (Prostheses) Rules 2018 (No.1)</w:t>
      </w:r>
      <w:r>
        <w:t xml:space="preserve"> (the Principal Rules)</w:t>
      </w:r>
      <w:r w:rsidRPr="00A5043C">
        <w:t xml:space="preserve"> </w:t>
      </w:r>
      <w:r>
        <w:t>to include two billing codes to Part B of the Schedule to the Principal Rules that had been omitted due to an IT database error.</w:t>
      </w:r>
    </w:p>
    <w:p w:rsidR="00A5043C" w:rsidRDefault="00A5043C" w:rsidP="00BE49BE"/>
    <w:p w:rsidR="00BE49BE" w:rsidRPr="003B51E0" w:rsidRDefault="00A75866" w:rsidP="00BE49BE">
      <w:pPr>
        <w:rPr>
          <w:szCs w:val="24"/>
        </w:rPr>
      </w:pPr>
      <w:r>
        <w:t xml:space="preserve">Item 4 of the </w:t>
      </w:r>
      <w:r w:rsidR="00BE49BE">
        <w:t xml:space="preserve">table in subsection 72-1(2) of Part 3-3 of the </w:t>
      </w:r>
      <w:r w:rsidR="00BE49BE" w:rsidRPr="00EE3F48">
        <w:rPr>
          <w:i/>
        </w:rPr>
        <w:t>Private Health Insurance Act 2007</w:t>
      </w:r>
      <w:r w:rsidR="00BE49BE">
        <w:t xml:space="preserve"> (the Act) provides for benefit requirements that a complying health insurance policy that covers hospital treatment must meet.  </w:t>
      </w:r>
      <w:r>
        <w:t>T</w:t>
      </w:r>
      <w:r w:rsidR="00BE49BE">
        <w:t xml:space="preserve">here must be a benefit for the provision of </w:t>
      </w:r>
      <w:proofErr w:type="gramStart"/>
      <w:r w:rsidR="00BE49BE">
        <w:t>a prosthesis</w:t>
      </w:r>
      <w:proofErr w:type="gramEnd"/>
      <w:r w:rsidR="00BE49BE">
        <w:t xml:space="preserve">, of a kind listed in </w:t>
      </w:r>
      <w:r>
        <w:t>the Principal Rules</w:t>
      </w:r>
      <w:r w:rsidR="00BE49BE">
        <w:rPr>
          <w:i/>
        </w:rPr>
        <w:t xml:space="preserve"> </w:t>
      </w:r>
      <w:r w:rsidR="00BE49BE">
        <w:t>(i.e. a listed prosthesis), in specified circumstances and under any specified conditions.</w:t>
      </w:r>
      <w:r>
        <w:t xml:space="preserve">  The specified circumstances are that the listed prosthesis is provided in circumstances are that the listed prosthesis is provided in circumstances </w:t>
      </w:r>
      <w:r w:rsidR="00A5043C">
        <w:t>in which a Medicare benefit is payable or those other circumstances which are set out in the Principal Rules.</w:t>
      </w:r>
    </w:p>
    <w:p w:rsidR="00BE49BE" w:rsidRDefault="00BE49BE" w:rsidP="00BE49BE">
      <w:pPr>
        <w:rPr>
          <w:szCs w:val="24"/>
        </w:rPr>
      </w:pPr>
    </w:p>
    <w:p w:rsidR="00A5043C" w:rsidRDefault="00A5043C" w:rsidP="00BE49BE">
      <w:pPr>
        <w:rPr>
          <w:szCs w:val="24"/>
        </w:rPr>
      </w:pPr>
      <w:r>
        <w:rPr>
          <w:szCs w:val="24"/>
        </w:rPr>
        <w:t>If the complying health insurance policy also covers hospital-substitute treatment, the same requirements apply.</w:t>
      </w:r>
    </w:p>
    <w:p w:rsidR="00A5043C" w:rsidRDefault="00A5043C" w:rsidP="00BE49BE">
      <w:pPr>
        <w:rPr>
          <w:szCs w:val="24"/>
        </w:rPr>
      </w:pPr>
    </w:p>
    <w:p w:rsidR="00A5043C" w:rsidRDefault="00A5043C" w:rsidP="00BE49BE">
      <w:pPr>
        <w:rPr>
          <w:szCs w:val="24"/>
        </w:rPr>
      </w:pPr>
      <w:r>
        <w:rPr>
          <w:szCs w:val="24"/>
        </w:rPr>
        <w:t>Listed prostheses, identified by billing code, are currently set out in the Schedule to the Principal Rules.</w:t>
      </w:r>
    </w:p>
    <w:p w:rsidR="00A5043C" w:rsidRDefault="00A5043C" w:rsidP="00BE49BE">
      <w:pPr>
        <w:rPr>
          <w:szCs w:val="24"/>
        </w:rPr>
      </w:pPr>
    </w:p>
    <w:p w:rsidR="00A5043C" w:rsidRDefault="00A5043C" w:rsidP="00BE49BE">
      <w:pPr>
        <w:rPr>
          <w:szCs w:val="24"/>
        </w:rPr>
      </w:pPr>
      <w:r>
        <w:rPr>
          <w:szCs w:val="24"/>
        </w:rPr>
        <w:t xml:space="preserve">The Amendment Rules </w:t>
      </w:r>
      <w:r w:rsidR="00854C60">
        <w:rPr>
          <w:szCs w:val="24"/>
        </w:rPr>
        <w:t>amend the Principal Rules by adding the following two billing codes</w:t>
      </w:r>
      <w:r w:rsidR="00EB3DF2">
        <w:rPr>
          <w:szCs w:val="24"/>
        </w:rPr>
        <w:t xml:space="preserve"> and their listed benefits</w:t>
      </w:r>
      <w:r w:rsidR="00854C60">
        <w:rPr>
          <w:szCs w:val="24"/>
        </w:rPr>
        <w:t>:</w:t>
      </w:r>
    </w:p>
    <w:p w:rsidR="00854C60" w:rsidRDefault="00854C60" w:rsidP="00BE49BE">
      <w:pPr>
        <w:rPr>
          <w:szCs w:val="24"/>
        </w:rPr>
      </w:pPr>
    </w:p>
    <w:p w:rsidR="000A0A4F" w:rsidRPr="000A0A4F" w:rsidRDefault="000A0A4F" w:rsidP="000A0A4F">
      <w:pPr>
        <w:pStyle w:val="ListParagraph"/>
        <w:numPr>
          <w:ilvl w:val="0"/>
          <w:numId w:val="43"/>
        </w:numPr>
        <w:jc w:val="both"/>
        <w:rPr>
          <w:rFonts w:ascii="Times New Roman" w:hAnsi="Times New Roman"/>
          <w:sz w:val="24"/>
          <w:szCs w:val="20"/>
          <w:lang w:eastAsia="en-AU"/>
        </w:rPr>
      </w:pPr>
      <w:r w:rsidRPr="000A0A4F">
        <w:rPr>
          <w:rFonts w:ascii="Times New Roman" w:hAnsi="Times New Roman"/>
          <w:sz w:val="24"/>
          <w:szCs w:val="20"/>
          <w:lang w:eastAsia="en-AU"/>
        </w:rPr>
        <w:t>QHV13</w:t>
      </w:r>
    </w:p>
    <w:p w:rsidR="000A0A4F" w:rsidRPr="000A0A4F" w:rsidRDefault="000A0A4F" w:rsidP="000A0A4F">
      <w:pPr>
        <w:pStyle w:val="ListParagraph"/>
        <w:numPr>
          <w:ilvl w:val="0"/>
          <w:numId w:val="43"/>
        </w:numPr>
        <w:jc w:val="both"/>
        <w:rPr>
          <w:rFonts w:ascii="Times New Roman" w:hAnsi="Times New Roman"/>
          <w:sz w:val="24"/>
          <w:szCs w:val="20"/>
          <w:lang w:eastAsia="en-AU"/>
        </w:rPr>
      </w:pPr>
      <w:r w:rsidRPr="000A0A4F">
        <w:rPr>
          <w:rFonts w:ascii="Times New Roman" w:hAnsi="Times New Roman"/>
          <w:sz w:val="24"/>
          <w:szCs w:val="20"/>
          <w:lang w:eastAsia="en-AU"/>
        </w:rPr>
        <w:t>QHV14</w:t>
      </w:r>
    </w:p>
    <w:p w:rsidR="00854C60" w:rsidRPr="00A5043C" w:rsidRDefault="00854C60" w:rsidP="00BE49BE">
      <w:pPr>
        <w:rPr>
          <w:szCs w:val="24"/>
        </w:rPr>
      </w:pPr>
    </w:p>
    <w:p w:rsidR="00BE49BE" w:rsidRPr="00D12E6A" w:rsidRDefault="00BE49BE" w:rsidP="00BE49BE">
      <w:pPr>
        <w:spacing w:after="120"/>
        <w:rPr>
          <w:b/>
          <w:szCs w:val="24"/>
        </w:rPr>
      </w:pPr>
      <w:r w:rsidRPr="00D12E6A">
        <w:rPr>
          <w:b/>
          <w:szCs w:val="24"/>
        </w:rPr>
        <w:t>Human rights implications</w:t>
      </w:r>
    </w:p>
    <w:p w:rsidR="00BE49BE" w:rsidRPr="00D12E6A" w:rsidRDefault="00BE49BE" w:rsidP="00BE49BE">
      <w:pPr>
        <w:jc w:val="both"/>
        <w:rPr>
          <w:color w:val="262626"/>
          <w:szCs w:val="24"/>
        </w:rPr>
      </w:pPr>
      <w:r w:rsidRPr="00D12E6A">
        <w:rPr>
          <w:color w:val="262626"/>
          <w:szCs w:val="24"/>
        </w:rPr>
        <w:t xml:space="preserve">The </w:t>
      </w:r>
      <w:r w:rsidR="00854C60">
        <w:rPr>
          <w:color w:val="262626"/>
          <w:szCs w:val="24"/>
        </w:rPr>
        <w:t xml:space="preserve">Amendment </w:t>
      </w:r>
      <w:r>
        <w:rPr>
          <w:color w:val="262626"/>
          <w:szCs w:val="24"/>
        </w:rPr>
        <w:t>Rules</w:t>
      </w:r>
      <w:r w:rsidRPr="00D12E6A">
        <w:rPr>
          <w:color w:val="262626"/>
          <w:szCs w:val="24"/>
        </w:rPr>
        <w:t xml:space="preserve"> engage the following human rights:</w:t>
      </w:r>
    </w:p>
    <w:p w:rsidR="00BE49BE" w:rsidRPr="00D12E6A" w:rsidRDefault="00BE49BE" w:rsidP="00BE49BE">
      <w:pPr>
        <w:jc w:val="both"/>
        <w:rPr>
          <w:color w:val="262626"/>
          <w:szCs w:val="24"/>
        </w:rPr>
      </w:pPr>
    </w:p>
    <w:p w:rsidR="00BE49BE" w:rsidRPr="00D12E6A" w:rsidRDefault="00BE49BE" w:rsidP="00BE49BE">
      <w:pPr>
        <w:jc w:val="both"/>
        <w:rPr>
          <w:i/>
          <w:color w:val="262626"/>
          <w:szCs w:val="24"/>
        </w:rPr>
      </w:pPr>
      <w:r w:rsidRPr="00D12E6A">
        <w:rPr>
          <w:i/>
          <w:color w:val="262626"/>
          <w:szCs w:val="24"/>
        </w:rPr>
        <w:t>Right to Health</w:t>
      </w:r>
    </w:p>
    <w:p w:rsidR="00BE49BE" w:rsidRPr="00D12E6A" w:rsidRDefault="00BE49BE" w:rsidP="00BE49BE">
      <w:pPr>
        <w:jc w:val="both"/>
        <w:rPr>
          <w:color w:val="262626"/>
          <w:szCs w:val="24"/>
        </w:rPr>
      </w:pPr>
    </w:p>
    <w:p w:rsidR="00BE49BE" w:rsidRDefault="00BE49BE" w:rsidP="00BE49BE">
      <w:pPr>
        <w:autoSpaceDE w:val="0"/>
        <w:autoSpaceDN w:val="0"/>
        <w:adjustRightInd w:val="0"/>
        <w:rPr>
          <w:color w:val="000000"/>
          <w:szCs w:val="24"/>
          <w:lang w:val="en-US"/>
        </w:rPr>
      </w:pPr>
      <w:r w:rsidRPr="00D12E6A">
        <w:rPr>
          <w:color w:val="000000"/>
          <w:szCs w:val="24"/>
          <w:lang w:val="en-US"/>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BE49BE" w:rsidRDefault="00BE49BE" w:rsidP="00BE49BE">
      <w:pPr>
        <w:autoSpaceDE w:val="0"/>
        <w:autoSpaceDN w:val="0"/>
        <w:adjustRightInd w:val="0"/>
        <w:rPr>
          <w:color w:val="000000"/>
          <w:szCs w:val="24"/>
          <w:lang w:val="en-US"/>
        </w:rPr>
      </w:pPr>
    </w:p>
    <w:p w:rsidR="00BE49BE" w:rsidRDefault="00BE49BE" w:rsidP="00BE49BE">
      <w:pPr>
        <w:autoSpaceDE w:val="0"/>
        <w:autoSpaceDN w:val="0"/>
        <w:adjustRightInd w:val="0"/>
        <w:rPr>
          <w:color w:val="000000"/>
          <w:szCs w:val="24"/>
          <w:lang w:val="en-US"/>
        </w:rPr>
      </w:pPr>
      <w:r w:rsidRPr="0087588B">
        <w:rPr>
          <w:color w:val="000000"/>
          <w:szCs w:val="24"/>
          <w:lang w:val="en-US"/>
        </w:rPr>
        <w:lastRenderedPageBreak/>
        <w:t xml:space="preserve">The </w:t>
      </w:r>
      <w:r w:rsidR="00854C60">
        <w:rPr>
          <w:color w:val="000000"/>
          <w:szCs w:val="24"/>
          <w:lang w:val="en-US"/>
        </w:rPr>
        <w:t>inclusion of the two</w:t>
      </w:r>
      <w:r w:rsidRPr="0087588B">
        <w:rPr>
          <w:color w:val="000000"/>
          <w:szCs w:val="24"/>
          <w:lang w:val="en-US"/>
        </w:rPr>
        <w:t xml:space="preserve"> items to</w:t>
      </w:r>
      <w:r>
        <w:rPr>
          <w:color w:val="000000"/>
          <w:szCs w:val="24"/>
          <w:lang w:val="en-US"/>
        </w:rPr>
        <w:t xml:space="preserve"> the Schedule of the Rules as no gap prostheses or gap permitted prostheses will ensure that an insured person with appropriate cover will receive a minimum benefit for the provision of the prosthesis as hospital treatment or, where applicable hospital-substitute treatment, and:</w:t>
      </w:r>
    </w:p>
    <w:p w:rsidR="00BE49BE" w:rsidRPr="0024391B" w:rsidRDefault="00BE49BE" w:rsidP="00BE49BE">
      <w:pPr>
        <w:pStyle w:val="ListParagraph"/>
        <w:numPr>
          <w:ilvl w:val="0"/>
          <w:numId w:val="38"/>
        </w:numPr>
        <w:autoSpaceDE w:val="0"/>
        <w:autoSpaceDN w:val="0"/>
        <w:adjustRightInd w:val="0"/>
        <w:spacing w:after="0"/>
        <w:rPr>
          <w:rFonts w:ascii="Times New Roman" w:hAnsi="Times New Roman"/>
          <w:color w:val="000000"/>
          <w:sz w:val="24"/>
          <w:szCs w:val="24"/>
          <w:lang w:val="en-US"/>
        </w:rPr>
      </w:pPr>
      <w:r>
        <w:rPr>
          <w:rFonts w:ascii="Times New Roman" w:hAnsi="Times New Roman"/>
          <w:color w:val="000000"/>
          <w:sz w:val="24"/>
          <w:szCs w:val="24"/>
          <w:lang w:val="en-US"/>
        </w:rPr>
        <w:t>t</w:t>
      </w:r>
      <w:r w:rsidRPr="0024391B">
        <w:rPr>
          <w:rFonts w:ascii="Times New Roman" w:hAnsi="Times New Roman"/>
          <w:color w:val="000000"/>
          <w:sz w:val="24"/>
          <w:szCs w:val="24"/>
          <w:lang w:val="en-US"/>
        </w:rPr>
        <w:t xml:space="preserve">he prosthesis is provided in circumstances where a </w:t>
      </w:r>
      <w:proofErr w:type="spellStart"/>
      <w:r>
        <w:rPr>
          <w:rFonts w:ascii="Times New Roman" w:hAnsi="Times New Roman"/>
          <w:color w:val="000000"/>
          <w:sz w:val="24"/>
          <w:szCs w:val="24"/>
          <w:lang w:val="en-US"/>
        </w:rPr>
        <w:t>m</w:t>
      </w:r>
      <w:r w:rsidRPr="0024391B">
        <w:rPr>
          <w:rFonts w:ascii="Times New Roman" w:hAnsi="Times New Roman"/>
          <w:color w:val="000000"/>
          <w:sz w:val="24"/>
          <w:szCs w:val="24"/>
          <w:lang w:val="en-US"/>
        </w:rPr>
        <w:t>edicare</w:t>
      </w:r>
      <w:proofErr w:type="spellEnd"/>
      <w:r w:rsidRPr="0024391B">
        <w:rPr>
          <w:rFonts w:ascii="Times New Roman" w:hAnsi="Times New Roman"/>
          <w:color w:val="000000"/>
          <w:sz w:val="24"/>
          <w:szCs w:val="24"/>
          <w:lang w:val="en-US"/>
        </w:rPr>
        <w:t xml:space="preserve"> benefit is payable and any relevant conditions in the Rules are met; or</w:t>
      </w:r>
    </w:p>
    <w:p w:rsidR="00BE49BE" w:rsidRPr="0024391B" w:rsidRDefault="00BE49BE" w:rsidP="00BE49BE">
      <w:pPr>
        <w:pStyle w:val="ListParagraph"/>
        <w:numPr>
          <w:ilvl w:val="0"/>
          <w:numId w:val="38"/>
        </w:numPr>
        <w:autoSpaceDE w:val="0"/>
        <w:autoSpaceDN w:val="0"/>
        <w:adjustRightInd w:val="0"/>
        <w:spacing w:after="0"/>
        <w:rPr>
          <w:rFonts w:ascii="Times New Roman" w:hAnsi="Times New Roman"/>
          <w:color w:val="000000"/>
          <w:sz w:val="24"/>
          <w:szCs w:val="24"/>
          <w:lang w:val="en-US"/>
        </w:rPr>
      </w:pPr>
      <w:proofErr w:type="gramStart"/>
      <w:r>
        <w:rPr>
          <w:rFonts w:ascii="Times New Roman" w:hAnsi="Times New Roman"/>
          <w:color w:val="000000"/>
          <w:sz w:val="24"/>
          <w:szCs w:val="24"/>
          <w:lang w:val="en-US"/>
        </w:rPr>
        <w:t>t</w:t>
      </w:r>
      <w:r w:rsidRPr="0024391B">
        <w:rPr>
          <w:rFonts w:ascii="Times New Roman" w:hAnsi="Times New Roman"/>
          <w:color w:val="000000"/>
          <w:sz w:val="24"/>
          <w:szCs w:val="24"/>
          <w:lang w:val="en-US"/>
        </w:rPr>
        <w:t>he</w:t>
      </w:r>
      <w:proofErr w:type="gramEnd"/>
      <w:r w:rsidRPr="0024391B">
        <w:rPr>
          <w:rFonts w:ascii="Times New Roman" w:hAnsi="Times New Roman"/>
          <w:color w:val="000000"/>
          <w:sz w:val="24"/>
          <w:szCs w:val="24"/>
          <w:lang w:val="en-US"/>
        </w:rPr>
        <w:t xml:space="preserve"> prosthesis is provided in other circumstances specified in the Rules and any relevant conditions are met. </w:t>
      </w:r>
    </w:p>
    <w:p w:rsidR="00BE49BE" w:rsidRDefault="00BE49BE" w:rsidP="00BE49BE">
      <w:pPr>
        <w:autoSpaceDE w:val="0"/>
        <w:autoSpaceDN w:val="0"/>
        <w:adjustRightInd w:val="0"/>
        <w:rPr>
          <w:color w:val="000000"/>
          <w:szCs w:val="24"/>
          <w:lang w:val="en-US"/>
        </w:rPr>
      </w:pPr>
    </w:p>
    <w:p w:rsidR="00D06DC3" w:rsidRPr="00D06DC3" w:rsidRDefault="00D06DC3" w:rsidP="00D06DC3">
      <w:pPr>
        <w:spacing w:before="120" w:after="120"/>
        <w:rPr>
          <w:szCs w:val="24"/>
          <w:u w:val="single"/>
        </w:rPr>
      </w:pPr>
      <w:r w:rsidRPr="00D06DC3">
        <w:rPr>
          <w:szCs w:val="24"/>
          <w:u w:val="single"/>
        </w:rPr>
        <w:t xml:space="preserve">Analysis </w:t>
      </w:r>
    </w:p>
    <w:p w:rsidR="00D06DC3" w:rsidRPr="00D06DC3" w:rsidRDefault="00D06DC3" w:rsidP="00D06DC3">
      <w:pPr>
        <w:rPr>
          <w:szCs w:val="24"/>
        </w:rPr>
      </w:pPr>
      <w:r>
        <w:rPr>
          <w:szCs w:val="24"/>
        </w:rPr>
        <w:t xml:space="preserve">The Rules </w:t>
      </w:r>
      <w:r w:rsidRPr="00D06DC3">
        <w:rPr>
          <w:szCs w:val="24"/>
        </w:rPr>
        <w:t>will maintain the existing rights to health and social security by ensuring access to publicly subsidised health services which are clinically effective and cost-effective.</w:t>
      </w:r>
    </w:p>
    <w:p w:rsidR="00D06DC3" w:rsidRDefault="00D06DC3" w:rsidP="00BE49BE">
      <w:pPr>
        <w:autoSpaceDE w:val="0"/>
        <w:autoSpaceDN w:val="0"/>
        <w:adjustRightInd w:val="0"/>
        <w:rPr>
          <w:color w:val="000000"/>
          <w:szCs w:val="24"/>
          <w:lang w:val="en-US"/>
        </w:rPr>
      </w:pPr>
    </w:p>
    <w:p w:rsidR="00BE49BE" w:rsidRPr="00D12E6A" w:rsidRDefault="00BE49BE" w:rsidP="00BE49BE">
      <w:pPr>
        <w:rPr>
          <w:b/>
          <w:szCs w:val="24"/>
        </w:rPr>
      </w:pPr>
      <w:r w:rsidRPr="00D12E6A">
        <w:rPr>
          <w:b/>
          <w:szCs w:val="24"/>
        </w:rPr>
        <w:t xml:space="preserve">Conclusion </w:t>
      </w:r>
    </w:p>
    <w:p w:rsidR="00BE49BE" w:rsidRDefault="00BE49BE" w:rsidP="00BE49BE">
      <w:pPr>
        <w:spacing w:before="120" w:after="120"/>
        <w:rPr>
          <w:color w:val="000000"/>
          <w:szCs w:val="24"/>
          <w:lang w:val="en-US"/>
        </w:rPr>
      </w:pPr>
      <w:r w:rsidRPr="00D12E6A">
        <w:rPr>
          <w:szCs w:val="24"/>
        </w:rPr>
        <w:t xml:space="preserve">The </w:t>
      </w:r>
      <w:r>
        <w:rPr>
          <w:szCs w:val="24"/>
        </w:rPr>
        <w:t xml:space="preserve">Rules are </w:t>
      </w:r>
      <w:r w:rsidRPr="00D12E6A">
        <w:rPr>
          <w:szCs w:val="24"/>
        </w:rPr>
        <w:t>compatible with human rights because</w:t>
      </w:r>
      <w:r>
        <w:rPr>
          <w:szCs w:val="24"/>
        </w:rPr>
        <w:t xml:space="preserve"> they</w:t>
      </w:r>
      <w:r w:rsidRPr="00D12E6A">
        <w:rPr>
          <w:szCs w:val="24"/>
        </w:rPr>
        <w:t xml:space="preserve"> advance the protection of human rights</w:t>
      </w:r>
      <w:r>
        <w:rPr>
          <w:szCs w:val="24"/>
        </w:rPr>
        <w:t>.</w:t>
      </w:r>
      <w:r w:rsidRPr="00D12E6A">
        <w:rPr>
          <w:szCs w:val="24"/>
        </w:rPr>
        <w:t xml:space="preserve"> </w:t>
      </w:r>
    </w:p>
    <w:p w:rsidR="00BE49BE" w:rsidRDefault="00BE49BE" w:rsidP="00BE49BE">
      <w:pPr>
        <w:jc w:val="center"/>
        <w:rPr>
          <w:szCs w:val="24"/>
        </w:rPr>
      </w:pPr>
      <w:r>
        <w:rPr>
          <w:szCs w:val="24"/>
        </w:rPr>
        <w:t xml:space="preserve">Harry </w:t>
      </w:r>
      <w:proofErr w:type="spellStart"/>
      <w:r>
        <w:rPr>
          <w:szCs w:val="24"/>
        </w:rPr>
        <w:t>Rothenfluh</w:t>
      </w:r>
      <w:proofErr w:type="spellEnd"/>
    </w:p>
    <w:p w:rsidR="00BE49BE" w:rsidRDefault="00BE49BE" w:rsidP="00BE49BE">
      <w:pPr>
        <w:jc w:val="center"/>
        <w:rPr>
          <w:szCs w:val="24"/>
        </w:rPr>
      </w:pPr>
      <w:r>
        <w:rPr>
          <w:szCs w:val="24"/>
        </w:rPr>
        <w:t>Assistant Secretary</w:t>
      </w:r>
    </w:p>
    <w:p w:rsidR="00BE49BE" w:rsidRPr="00ED4646" w:rsidRDefault="00BE49BE" w:rsidP="00BE49BE">
      <w:pPr>
        <w:jc w:val="center"/>
        <w:rPr>
          <w:szCs w:val="24"/>
        </w:rPr>
      </w:pPr>
      <w:r w:rsidRPr="00ED4646">
        <w:rPr>
          <w:szCs w:val="24"/>
        </w:rPr>
        <w:t>Office of Health Technology Assessment</w:t>
      </w:r>
    </w:p>
    <w:p w:rsidR="00BE49BE" w:rsidRPr="00496E37" w:rsidRDefault="00BE49BE" w:rsidP="00BE49BE">
      <w:pPr>
        <w:jc w:val="center"/>
        <w:rPr>
          <w:szCs w:val="24"/>
        </w:rPr>
      </w:pPr>
      <w:r>
        <w:rPr>
          <w:szCs w:val="24"/>
        </w:rPr>
        <w:t>Technology Assessment and Access Division</w:t>
      </w:r>
    </w:p>
    <w:p w:rsidR="00BE49BE" w:rsidRPr="00D12E6A" w:rsidRDefault="00BE49BE" w:rsidP="00BE49BE">
      <w:pPr>
        <w:jc w:val="center"/>
        <w:rPr>
          <w:color w:val="000000"/>
          <w:szCs w:val="24"/>
          <w:lang w:val="en-US"/>
        </w:rPr>
      </w:pPr>
      <w:r w:rsidRPr="00496E37">
        <w:rPr>
          <w:szCs w:val="24"/>
        </w:rPr>
        <w:t xml:space="preserve">Department of Health </w:t>
      </w:r>
    </w:p>
    <w:p w:rsidR="004A6091" w:rsidRPr="00BE49BE" w:rsidRDefault="004A6091" w:rsidP="00BE49BE"/>
    <w:sectPr w:rsidR="004A6091" w:rsidRPr="00BE49BE" w:rsidSect="002B575C">
      <w:headerReference w:type="even" r:id="rId9"/>
      <w:headerReference w:type="default" r:id="rId10"/>
      <w:footerReference w:type="even" r:id="rId11"/>
      <w:footerReference w:type="default" r:id="rId12"/>
      <w:headerReference w:type="first" r:id="rId13"/>
      <w:footerReference w:type="first" r:id="rId14"/>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196" w:rsidRDefault="00C82196">
      <w:r>
        <w:separator/>
      </w:r>
    </w:p>
  </w:endnote>
  <w:endnote w:type="continuationSeparator" w:id="0">
    <w:p w:rsidR="00C82196" w:rsidRDefault="00C8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196" w:rsidRDefault="00C82196">
      <w:r>
        <w:separator/>
      </w:r>
    </w:p>
  </w:footnote>
  <w:footnote w:type="continuationSeparator" w:id="0">
    <w:p w:rsidR="00C82196" w:rsidRDefault="00C8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D26">
      <w:rPr>
        <w:rStyle w:val="PageNumber"/>
        <w:noProof/>
      </w:rPr>
      <w:t>2</w:t>
    </w:r>
    <w:r>
      <w:rPr>
        <w:rStyle w:val="PageNumber"/>
      </w:rPr>
      <w:fldChar w:fldCharType="end"/>
    </w:r>
  </w:p>
  <w:p w:rsidR="00775576" w:rsidRDefault="00775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3C" w:rsidRDefault="00C00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9830A59"/>
    <w:multiLevelType w:val="hybridMultilevel"/>
    <w:tmpl w:val="4C0E0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7">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8">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3">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4">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1">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E21143"/>
    <w:multiLevelType w:val="multilevel"/>
    <w:tmpl w:val="ECC8661C"/>
    <w:numStyleLink w:val="StyleBulleted"/>
  </w:abstractNum>
  <w:abstractNum w:abstractNumId="33">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1">
    <w:nsid w:val="78E81FDC"/>
    <w:multiLevelType w:val="hybridMultilevel"/>
    <w:tmpl w:val="D5C698E8"/>
    <w:lvl w:ilvl="0" w:tplc="A79EC4F8">
      <w:start w:val="1"/>
      <w:numFmt w:val="bullet"/>
      <w:pStyle w:val="BulletBeforeDash"/>
      <w:lvlText w:val="•"/>
      <w:lvlJc w:val="left"/>
      <w:pPr>
        <w:tabs>
          <w:tab w:val="num" w:pos="786"/>
        </w:tabs>
        <w:ind w:left="786"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D7B2796"/>
    <w:multiLevelType w:val="hybridMultilevel"/>
    <w:tmpl w:val="49DE1E94"/>
    <w:lvl w:ilvl="0" w:tplc="973441D4">
      <w:start w:val="1"/>
      <w:numFmt w:val="bullet"/>
      <w:lvlText w:val=""/>
      <w:lvlJc w:val="left"/>
      <w:pPr>
        <w:tabs>
          <w:tab w:val="num" w:pos="3480"/>
        </w:tabs>
        <w:ind w:left="3461" w:hanging="341"/>
      </w:pPr>
      <w:rPr>
        <w:rFonts w:ascii="Symbol" w:hAnsi="Symbol" w:hint="default"/>
        <w:sz w:val="20"/>
      </w:rPr>
    </w:lvl>
    <w:lvl w:ilvl="1" w:tplc="0C090003">
      <w:start w:val="1"/>
      <w:numFmt w:val="bullet"/>
      <w:lvlText w:val="o"/>
      <w:lvlJc w:val="left"/>
      <w:pPr>
        <w:tabs>
          <w:tab w:val="num" w:pos="4560"/>
        </w:tabs>
        <w:ind w:left="4560" w:hanging="360"/>
      </w:pPr>
      <w:rPr>
        <w:rFonts w:ascii="Courier New" w:hAnsi="Courier New" w:hint="default"/>
      </w:rPr>
    </w:lvl>
    <w:lvl w:ilvl="2" w:tplc="0C090005" w:tentative="1">
      <w:start w:val="1"/>
      <w:numFmt w:val="bullet"/>
      <w:lvlText w:val=""/>
      <w:lvlJc w:val="left"/>
      <w:pPr>
        <w:tabs>
          <w:tab w:val="num" w:pos="5280"/>
        </w:tabs>
        <w:ind w:left="5280" w:hanging="360"/>
      </w:pPr>
      <w:rPr>
        <w:rFonts w:ascii="Wingdings" w:hAnsi="Wingdings" w:hint="default"/>
      </w:rPr>
    </w:lvl>
    <w:lvl w:ilvl="3" w:tplc="0C090001" w:tentative="1">
      <w:start w:val="1"/>
      <w:numFmt w:val="bullet"/>
      <w:lvlText w:val=""/>
      <w:lvlJc w:val="left"/>
      <w:pPr>
        <w:tabs>
          <w:tab w:val="num" w:pos="6000"/>
        </w:tabs>
        <w:ind w:left="6000" w:hanging="360"/>
      </w:pPr>
      <w:rPr>
        <w:rFonts w:ascii="Symbol" w:hAnsi="Symbol" w:hint="default"/>
      </w:rPr>
    </w:lvl>
    <w:lvl w:ilvl="4" w:tplc="0C090003" w:tentative="1">
      <w:start w:val="1"/>
      <w:numFmt w:val="bullet"/>
      <w:lvlText w:val="o"/>
      <w:lvlJc w:val="left"/>
      <w:pPr>
        <w:tabs>
          <w:tab w:val="num" w:pos="6720"/>
        </w:tabs>
        <w:ind w:left="6720" w:hanging="360"/>
      </w:pPr>
      <w:rPr>
        <w:rFonts w:ascii="Courier New" w:hAnsi="Courier New" w:hint="default"/>
      </w:rPr>
    </w:lvl>
    <w:lvl w:ilvl="5" w:tplc="0C090005" w:tentative="1">
      <w:start w:val="1"/>
      <w:numFmt w:val="bullet"/>
      <w:lvlText w:val=""/>
      <w:lvlJc w:val="left"/>
      <w:pPr>
        <w:tabs>
          <w:tab w:val="num" w:pos="7440"/>
        </w:tabs>
        <w:ind w:left="7440" w:hanging="360"/>
      </w:pPr>
      <w:rPr>
        <w:rFonts w:ascii="Wingdings" w:hAnsi="Wingdings" w:hint="default"/>
      </w:rPr>
    </w:lvl>
    <w:lvl w:ilvl="6" w:tplc="0C090001" w:tentative="1">
      <w:start w:val="1"/>
      <w:numFmt w:val="bullet"/>
      <w:lvlText w:val=""/>
      <w:lvlJc w:val="left"/>
      <w:pPr>
        <w:tabs>
          <w:tab w:val="num" w:pos="8160"/>
        </w:tabs>
        <w:ind w:left="8160" w:hanging="360"/>
      </w:pPr>
      <w:rPr>
        <w:rFonts w:ascii="Symbol" w:hAnsi="Symbol" w:hint="default"/>
      </w:rPr>
    </w:lvl>
    <w:lvl w:ilvl="7" w:tplc="0C090003" w:tentative="1">
      <w:start w:val="1"/>
      <w:numFmt w:val="bullet"/>
      <w:lvlText w:val="o"/>
      <w:lvlJc w:val="left"/>
      <w:pPr>
        <w:tabs>
          <w:tab w:val="num" w:pos="8880"/>
        </w:tabs>
        <w:ind w:left="8880" w:hanging="360"/>
      </w:pPr>
      <w:rPr>
        <w:rFonts w:ascii="Courier New" w:hAnsi="Courier New" w:hint="default"/>
      </w:rPr>
    </w:lvl>
    <w:lvl w:ilvl="8" w:tplc="0C090005" w:tentative="1">
      <w:start w:val="1"/>
      <w:numFmt w:val="bullet"/>
      <w:lvlText w:val=""/>
      <w:lvlJc w:val="left"/>
      <w:pPr>
        <w:tabs>
          <w:tab w:val="num" w:pos="9600"/>
        </w:tabs>
        <w:ind w:left="9600" w:hanging="360"/>
      </w:pPr>
      <w:rPr>
        <w:rFonts w:ascii="Wingdings" w:hAnsi="Wingdings" w:hint="default"/>
      </w:rPr>
    </w:lvl>
  </w:abstractNum>
  <w:abstractNum w:abstractNumId="43">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38"/>
  </w:num>
  <w:num w:numId="4">
    <w:abstractNumId w:val="4"/>
  </w:num>
  <w:num w:numId="5">
    <w:abstractNumId w:val="0"/>
  </w:num>
  <w:num w:numId="6">
    <w:abstractNumId w:val="23"/>
  </w:num>
  <w:num w:numId="7">
    <w:abstractNumId w:val="30"/>
  </w:num>
  <w:num w:numId="8">
    <w:abstractNumId w:val="19"/>
  </w:num>
  <w:num w:numId="9">
    <w:abstractNumId w:val="33"/>
  </w:num>
  <w:num w:numId="10">
    <w:abstractNumId w:val="27"/>
  </w:num>
  <w:num w:numId="11">
    <w:abstractNumId w:val="6"/>
  </w:num>
  <w:num w:numId="12">
    <w:abstractNumId w:val="29"/>
  </w:num>
  <w:num w:numId="13">
    <w:abstractNumId w:val="35"/>
  </w:num>
  <w:num w:numId="14">
    <w:abstractNumId w:val="42"/>
  </w:num>
  <w:num w:numId="15">
    <w:abstractNumId w:val="24"/>
  </w:num>
  <w:num w:numId="16">
    <w:abstractNumId w:val="12"/>
  </w:num>
  <w:num w:numId="17">
    <w:abstractNumId w:val="15"/>
  </w:num>
  <w:num w:numId="18">
    <w:abstractNumId w:val="1"/>
  </w:num>
  <w:num w:numId="19">
    <w:abstractNumId w:val="8"/>
  </w:num>
  <w:num w:numId="20">
    <w:abstractNumId w:val="34"/>
  </w:num>
  <w:num w:numId="21">
    <w:abstractNumId w:val="21"/>
  </w:num>
  <w:num w:numId="22">
    <w:abstractNumId w:val="13"/>
  </w:num>
  <w:num w:numId="23">
    <w:abstractNumId w:val="36"/>
  </w:num>
  <w:num w:numId="24">
    <w:abstractNumId w:val="18"/>
  </w:num>
  <w:num w:numId="25">
    <w:abstractNumId w:val="43"/>
  </w:num>
  <w:num w:numId="26">
    <w:abstractNumId w:val="16"/>
  </w:num>
  <w:num w:numId="27">
    <w:abstractNumId w:val="3"/>
  </w:num>
  <w:num w:numId="28">
    <w:abstractNumId w:val="9"/>
  </w:num>
  <w:num w:numId="29">
    <w:abstractNumId w:val="22"/>
  </w:num>
  <w:num w:numId="30">
    <w:abstractNumId w:val="14"/>
  </w:num>
  <w:num w:numId="31">
    <w:abstractNumId w:val="26"/>
  </w:num>
  <w:num w:numId="32">
    <w:abstractNumId w:val="32"/>
  </w:num>
  <w:num w:numId="33">
    <w:abstractNumId w:val="10"/>
  </w:num>
  <w:num w:numId="34">
    <w:abstractNumId w:val="25"/>
  </w:num>
  <w:num w:numId="35">
    <w:abstractNumId w:val="5"/>
  </w:num>
  <w:num w:numId="36">
    <w:abstractNumId w:val="28"/>
  </w:num>
  <w:num w:numId="37">
    <w:abstractNumId w:val="37"/>
  </w:num>
  <w:num w:numId="38">
    <w:abstractNumId w:val="39"/>
  </w:num>
  <w:num w:numId="39">
    <w:abstractNumId w:val="2"/>
  </w:num>
  <w:num w:numId="40">
    <w:abstractNumId w:val="40"/>
  </w:num>
  <w:num w:numId="41">
    <w:abstractNumId w:val="7"/>
  </w:num>
  <w:num w:numId="42">
    <w:abstractNumId w:val="31"/>
  </w:num>
  <w:num w:numId="43">
    <w:abstractNumId w:val="1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08E1"/>
    <w:rsid w:val="00004AFC"/>
    <w:rsid w:val="00007D2A"/>
    <w:rsid w:val="00017257"/>
    <w:rsid w:val="0001761C"/>
    <w:rsid w:val="00021A1A"/>
    <w:rsid w:val="00025ED9"/>
    <w:rsid w:val="00033063"/>
    <w:rsid w:val="000330AB"/>
    <w:rsid w:val="000366DE"/>
    <w:rsid w:val="00041BAC"/>
    <w:rsid w:val="00041EE9"/>
    <w:rsid w:val="00041FB7"/>
    <w:rsid w:val="000437BE"/>
    <w:rsid w:val="000443AB"/>
    <w:rsid w:val="00046F09"/>
    <w:rsid w:val="00054EA4"/>
    <w:rsid w:val="00065C4C"/>
    <w:rsid w:val="0006715A"/>
    <w:rsid w:val="000714FE"/>
    <w:rsid w:val="0007710A"/>
    <w:rsid w:val="00083C71"/>
    <w:rsid w:val="00087B26"/>
    <w:rsid w:val="000919C3"/>
    <w:rsid w:val="000A0A4F"/>
    <w:rsid w:val="000A36CD"/>
    <w:rsid w:val="000B0FB4"/>
    <w:rsid w:val="000B3158"/>
    <w:rsid w:val="000B5545"/>
    <w:rsid w:val="000B762D"/>
    <w:rsid w:val="000C1DC5"/>
    <w:rsid w:val="000C2C8E"/>
    <w:rsid w:val="000C5695"/>
    <w:rsid w:val="000C7E86"/>
    <w:rsid w:val="000D4AF1"/>
    <w:rsid w:val="000E5148"/>
    <w:rsid w:val="000F297F"/>
    <w:rsid w:val="000F5529"/>
    <w:rsid w:val="001001BD"/>
    <w:rsid w:val="00106DB0"/>
    <w:rsid w:val="00110B3C"/>
    <w:rsid w:val="0011589F"/>
    <w:rsid w:val="0012081E"/>
    <w:rsid w:val="00120D26"/>
    <w:rsid w:val="001224AA"/>
    <w:rsid w:val="00130D7B"/>
    <w:rsid w:val="0013770E"/>
    <w:rsid w:val="00144095"/>
    <w:rsid w:val="00145760"/>
    <w:rsid w:val="00151227"/>
    <w:rsid w:val="001514AC"/>
    <w:rsid w:val="001525FE"/>
    <w:rsid w:val="001562D3"/>
    <w:rsid w:val="0015681F"/>
    <w:rsid w:val="00157663"/>
    <w:rsid w:val="0016288C"/>
    <w:rsid w:val="00167031"/>
    <w:rsid w:val="001718A6"/>
    <w:rsid w:val="00172821"/>
    <w:rsid w:val="00172DA6"/>
    <w:rsid w:val="00174B5D"/>
    <w:rsid w:val="00180EAD"/>
    <w:rsid w:val="00186B69"/>
    <w:rsid w:val="001A1FC5"/>
    <w:rsid w:val="001B5C39"/>
    <w:rsid w:val="001B7FD1"/>
    <w:rsid w:val="001C3197"/>
    <w:rsid w:val="001C58A1"/>
    <w:rsid w:val="001D0D36"/>
    <w:rsid w:val="001D420C"/>
    <w:rsid w:val="001E03CE"/>
    <w:rsid w:val="001E5796"/>
    <w:rsid w:val="001F1D43"/>
    <w:rsid w:val="001F4A15"/>
    <w:rsid w:val="00201EFF"/>
    <w:rsid w:val="00203399"/>
    <w:rsid w:val="00211FF4"/>
    <w:rsid w:val="002137FF"/>
    <w:rsid w:val="00217CE7"/>
    <w:rsid w:val="002224D6"/>
    <w:rsid w:val="00223C23"/>
    <w:rsid w:val="00225A8F"/>
    <w:rsid w:val="00235F41"/>
    <w:rsid w:val="002421AA"/>
    <w:rsid w:val="00242F6A"/>
    <w:rsid w:val="0024391B"/>
    <w:rsid w:val="00243BAF"/>
    <w:rsid w:val="00255C35"/>
    <w:rsid w:val="00261A35"/>
    <w:rsid w:val="002622C7"/>
    <w:rsid w:val="00264824"/>
    <w:rsid w:val="002661ED"/>
    <w:rsid w:val="0027158F"/>
    <w:rsid w:val="002740AE"/>
    <w:rsid w:val="0028122D"/>
    <w:rsid w:val="002921BD"/>
    <w:rsid w:val="002958A9"/>
    <w:rsid w:val="00296158"/>
    <w:rsid w:val="002A3974"/>
    <w:rsid w:val="002A4D96"/>
    <w:rsid w:val="002A5C51"/>
    <w:rsid w:val="002B3504"/>
    <w:rsid w:val="002B3887"/>
    <w:rsid w:val="002B575C"/>
    <w:rsid w:val="002B5FE7"/>
    <w:rsid w:val="002B79FC"/>
    <w:rsid w:val="002C0EFA"/>
    <w:rsid w:val="002C19F4"/>
    <w:rsid w:val="002C48DB"/>
    <w:rsid w:val="002C70BC"/>
    <w:rsid w:val="002D31F1"/>
    <w:rsid w:val="002F0FFF"/>
    <w:rsid w:val="002F35E4"/>
    <w:rsid w:val="002F552C"/>
    <w:rsid w:val="00300596"/>
    <w:rsid w:val="00316986"/>
    <w:rsid w:val="003278E5"/>
    <w:rsid w:val="00335148"/>
    <w:rsid w:val="00337C8D"/>
    <w:rsid w:val="00344CD1"/>
    <w:rsid w:val="00344D15"/>
    <w:rsid w:val="00350FD9"/>
    <w:rsid w:val="003528C7"/>
    <w:rsid w:val="0035567C"/>
    <w:rsid w:val="003556F9"/>
    <w:rsid w:val="003665C4"/>
    <w:rsid w:val="0037272D"/>
    <w:rsid w:val="0037440E"/>
    <w:rsid w:val="00375CC9"/>
    <w:rsid w:val="003874B0"/>
    <w:rsid w:val="00391DE5"/>
    <w:rsid w:val="00394159"/>
    <w:rsid w:val="00396F1D"/>
    <w:rsid w:val="00397904"/>
    <w:rsid w:val="003A108D"/>
    <w:rsid w:val="003A1836"/>
    <w:rsid w:val="003A3849"/>
    <w:rsid w:val="003A4011"/>
    <w:rsid w:val="003B4F2C"/>
    <w:rsid w:val="003B51E0"/>
    <w:rsid w:val="003B592D"/>
    <w:rsid w:val="003B5D21"/>
    <w:rsid w:val="003D3EF5"/>
    <w:rsid w:val="003D62F9"/>
    <w:rsid w:val="003E0D57"/>
    <w:rsid w:val="003E1CEB"/>
    <w:rsid w:val="003E2462"/>
    <w:rsid w:val="003F042F"/>
    <w:rsid w:val="003F1B1B"/>
    <w:rsid w:val="003F2C68"/>
    <w:rsid w:val="003F562A"/>
    <w:rsid w:val="00404E64"/>
    <w:rsid w:val="00413387"/>
    <w:rsid w:val="00415084"/>
    <w:rsid w:val="00421249"/>
    <w:rsid w:val="0042135F"/>
    <w:rsid w:val="0042314E"/>
    <w:rsid w:val="00423C75"/>
    <w:rsid w:val="00424394"/>
    <w:rsid w:val="00431495"/>
    <w:rsid w:val="004478B9"/>
    <w:rsid w:val="00451812"/>
    <w:rsid w:val="00452775"/>
    <w:rsid w:val="00453D48"/>
    <w:rsid w:val="004547A8"/>
    <w:rsid w:val="00454B01"/>
    <w:rsid w:val="00455B0E"/>
    <w:rsid w:val="004640E3"/>
    <w:rsid w:val="00474191"/>
    <w:rsid w:val="00477892"/>
    <w:rsid w:val="004837A9"/>
    <w:rsid w:val="00484E6D"/>
    <w:rsid w:val="00491CC4"/>
    <w:rsid w:val="004956F6"/>
    <w:rsid w:val="00496E37"/>
    <w:rsid w:val="004A0DB9"/>
    <w:rsid w:val="004A4116"/>
    <w:rsid w:val="004A5430"/>
    <w:rsid w:val="004A6091"/>
    <w:rsid w:val="004B622F"/>
    <w:rsid w:val="004B62DF"/>
    <w:rsid w:val="004B73EA"/>
    <w:rsid w:val="004D1DDC"/>
    <w:rsid w:val="004D5247"/>
    <w:rsid w:val="004E4B61"/>
    <w:rsid w:val="004F1990"/>
    <w:rsid w:val="004F223B"/>
    <w:rsid w:val="004F31EB"/>
    <w:rsid w:val="00504E52"/>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640DD"/>
    <w:rsid w:val="0056661F"/>
    <w:rsid w:val="005708BC"/>
    <w:rsid w:val="00573360"/>
    <w:rsid w:val="00573AC9"/>
    <w:rsid w:val="00576504"/>
    <w:rsid w:val="005765A5"/>
    <w:rsid w:val="0058341E"/>
    <w:rsid w:val="00586AD1"/>
    <w:rsid w:val="005875F3"/>
    <w:rsid w:val="00596D31"/>
    <w:rsid w:val="005A0D6D"/>
    <w:rsid w:val="005A2A27"/>
    <w:rsid w:val="005A51B4"/>
    <w:rsid w:val="005A69D9"/>
    <w:rsid w:val="005B033A"/>
    <w:rsid w:val="005B1B0B"/>
    <w:rsid w:val="005B20A7"/>
    <w:rsid w:val="005C0F69"/>
    <w:rsid w:val="005C4DCC"/>
    <w:rsid w:val="005D2C48"/>
    <w:rsid w:val="005D7A56"/>
    <w:rsid w:val="005E068C"/>
    <w:rsid w:val="005E0A85"/>
    <w:rsid w:val="005E4EBE"/>
    <w:rsid w:val="00600C32"/>
    <w:rsid w:val="00601F74"/>
    <w:rsid w:val="00602EE1"/>
    <w:rsid w:val="00604003"/>
    <w:rsid w:val="00604B51"/>
    <w:rsid w:val="00605DAA"/>
    <w:rsid w:val="00607D22"/>
    <w:rsid w:val="0061361B"/>
    <w:rsid w:val="0061565C"/>
    <w:rsid w:val="00616C4F"/>
    <w:rsid w:val="00621816"/>
    <w:rsid w:val="0062209C"/>
    <w:rsid w:val="0062487C"/>
    <w:rsid w:val="00632A4C"/>
    <w:rsid w:val="00632B7C"/>
    <w:rsid w:val="0063427F"/>
    <w:rsid w:val="00647EA9"/>
    <w:rsid w:val="00650E63"/>
    <w:rsid w:val="0065147D"/>
    <w:rsid w:val="00653122"/>
    <w:rsid w:val="006602B0"/>
    <w:rsid w:val="00693FA1"/>
    <w:rsid w:val="0069671C"/>
    <w:rsid w:val="006A006A"/>
    <w:rsid w:val="006A0D92"/>
    <w:rsid w:val="006A3643"/>
    <w:rsid w:val="006A5EB4"/>
    <w:rsid w:val="006B03EB"/>
    <w:rsid w:val="006C03CC"/>
    <w:rsid w:val="006C2477"/>
    <w:rsid w:val="006C7A51"/>
    <w:rsid w:val="006D2E67"/>
    <w:rsid w:val="006D3122"/>
    <w:rsid w:val="006E225D"/>
    <w:rsid w:val="006E3613"/>
    <w:rsid w:val="006F2FE0"/>
    <w:rsid w:val="006F6342"/>
    <w:rsid w:val="006F791F"/>
    <w:rsid w:val="00701482"/>
    <w:rsid w:val="0071578E"/>
    <w:rsid w:val="007164E8"/>
    <w:rsid w:val="00723B19"/>
    <w:rsid w:val="00727495"/>
    <w:rsid w:val="007338D3"/>
    <w:rsid w:val="00737DFC"/>
    <w:rsid w:val="00751581"/>
    <w:rsid w:val="007521D5"/>
    <w:rsid w:val="0076181F"/>
    <w:rsid w:val="00762115"/>
    <w:rsid w:val="007645E9"/>
    <w:rsid w:val="00766680"/>
    <w:rsid w:val="00767E1F"/>
    <w:rsid w:val="00772B31"/>
    <w:rsid w:val="00775576"/>
    <w:rsid w:val="007802CA"/>
    <w:rsid w:val="00784ACF"/>
    <w:rsid w:val="00794D7C"/>
    <w:rsid w:val="007A3646"/>
    <w:rsid w:val="007A60EC"/>
    <w:rsid w:val="007B2A7B"/>
    <w:rsid w:val="007B65C5"/>
    <w:rsid w:val="007C072B"/>
    <w:rsid w:val="007D186D"/>
    <w:rsid w:val="007D43C4"/>
    <w:rsid w:val="007E119C"/>
    <w:rsid w:val="007E15F5"/>
    <w:rsid w:val="007E2B54"/>
    <w:rsid w:val="007E2D93"/>
    <w:rsid w:val="007E5A99"/>
    <w:rsid w:val="007E6592"/>
    <w:rsid w:val="007F5AC3"/>
    <w:rsid w:val="00820C19"/>
    <w:rsid w:val="008252CB"/>
    <w:rsid w:val="00837F97"/>
    <w:rsid w:val="00840CE6"/>
    <w:rsid w:val="00842AD3"/>
    <w:rsid w:val="00844DB7"/>
    <w:rsid w:val="00851033"/>
    <w:rsid w:val="00851BD7"/>
    <w:rsid w:val="008526F4"/>
    <w:rsid w:val="00854C60"/>
    <w:rsid w:val="0085738F"/>
    <w:rsid w:val="008577F0"/>
    <w:rsid w:val="00862148"/>
    <w:rsid w:val="00865095"/>
    <w:rsid w:val="00872BD8"/>
    <w:rsid w:val="00874011"/>
    <w:rsid w:val="008749E9"/>
    <w:rsid w:val="0087588B"/>
    <w:rsid w:val="00880E1B"/>
    <w:rsid w:val="00886AA6"/>
    <w:rsid w:val="00886CAD"/>
    <w:rsid w:val="00893430"/>
    <w:rsid w:val="008A0232"/>
    <w:rsid w:val="008A3F9A"/>
    <w:rsid w:val="008A423C"/>
    <w:rsid w:val="008A44CE"/>
    <w:rsid w:val="008A5FDB"/>
    <w:rsid w:val="008A60BF"/>
    <w:rsid w:val="008B4F9C"/>
    <w:rsid w:val="008C4F45"/>
    <w:rsid w:val="008C5AED"/>
    <w:rsid w:val="008C6829"/>
    <w:rsid w:val="008C6E9D"/>
    <w:rsid w:val="008D2B01"/>
    <w:rsid w:val="008D64C5"/>
    <w:rsid w:val="008D6CF2"/>
    <w:rsid w:val="008E3652"/>
    <w:rsid w:val="008E5F8B"/>
    <w:rsid w:val="008F3960"/>
    <w:rsid w:val="008F4AE8"/>
    <w:rsid w:val="00904BF5"/>
    <w:rsid w:val="009125ED"/>
    <w:rsid w:val="00913601"/>
    <w:rsid w:val="0092058F"/>
    <w:rsid w:val="00921707"/>
    <w:rsid w:val="00921E28"/>
    <w:rsid w:val="00923D2D"/>
    <w:rsid w:val="009242F5"/>
    <w:rsid w:val="009258CA"/>
    <w:rsid w:val="00926755"/>
    <w:rsid w:val="00930011"/>
    <w:rsid w:val="00930D89"/>
    <w:rsid w:val="0093680B"/>
    <w:rsid w:val="009418A0"/>
    <w:rsid w:val="0094514D"/>
    <w:rsid w:val="00947E8A"/>
    <w:rsid w:val="00952ACF"/>
    <w:rsid w:val="00954B6B"/>
    <w:rsid w:val="00955DE2"/>
    <w:rsid w:val="00971D05"/>
    <w:rsid w:val="00975413"/>
    <w:rsid w:val="009800C5"/>
    <w:rsid w:val="00984925"/>
    <w:rsid w:val="00984965"/>
    <w:rsid w:val="00984D5D"/>
    <w:rsid w:val="009903B2"/>
    <w:rsid w:val="009B7AD9"/>
    <w:rsid w:val="009C0F0F"/>
    <w:rsid w:val="009C6620"/>
    <w:rsid w:val="009C71C1"/>
    <w:rsid w:val="009C7325"/>
    <w:rsid w:val="009D2F54"/>
    <w:rsid w:val="009F039C"/>
    <w:rsid w:val="009F58F0"/>
    <w:rsid w:val="009F6165"/>
    <w:rsid w:val="009F7C8F"/>
    <w:rsid w:val="009F7FC0"/>
    <w:rsid w:val="00A0388D"/>
    <w:rsid w:val="00A04766"/>
    <w:rsid w:val="00A125FE"/>
    <w:rsid w:val="00A126A7"/>
    <w:rsid w:val="00A1676A"/>
    <w:rsid w:val="00A2124D"/>
    <w:rsid w:val="00A21F07"/>
    <w:rsid w:val="00A311F6"/>
    <w:rsid w:val="00A34690"/>
    <w:rsid w:val="00A37BB1"/>
    <w:rsid w:val="00A5043C"/>
    <w:rsid w:val="00A50E92"/>
    <w:rsid w:val="00A561BC"/>
    <w:rsid w:val="00A61B66"/>
    <w:rsid w:val="00A66221"/>
    <w:rsid w:val="00A7355D"/>
    <w:rsid w:val="00A75866"/>
    <w:rsid w:val="00A77EC7"/>
    <w:rsid w:val="00A845A3"/>
    <w:rsid w:val="00A84C08"/>
    <w:rsid w:val="00A855C9"/>
    <w:rsid w:val="00A90851"/>
    <w:rsid w:val="00A94867"/>
    <w:rsid w:val="00AA170B"/>
    <w:rsid w:val="00AA2B4F"/>
    <w:rsid w:val="00AA4C46"/>
    <w:rsid w:val="00AA5F9C"/>
    <w:rsid w:val="00AB6F68"/>
    <w:rsid w:val="00AD0F0D"/>
    <w:rsid w:val="00AF0935"/>
    <w:rsid w:val="00AF3A9C"/>
    <w:rsid w:val="00AF3CF5"/>
    <w:rsid w:val="00AF3F9F"/>
    <w:rsid w:val="00B06DE9"/>
    <w:rsid w:val="00B13474"/>
    <w:rsid w:val="00B145BE"/>
    <w:rsid w:val="00B2436C"/>
    <w:rsid w:val="00B265AF"/>
    <w:rsid w:val="00B31CE9"/>
    <w:rsid w:val="00B3296F"/>
    <w:rsid w:val="00B32BFD"/>
    <w:rsid w:val="00B34279"/>
    <w:rsid w:val="00B34378"/>
    <w:rsid w:val="00B4384D"/>
    <w:rsid w:val="00B52A6A"/>
    <w:rsid w:val="00B53FA7"/>
    <w:rsid w:val="00B55FD8"/>
    <w:rsid w:val="00B566EF"/>
    <w:rsid w:val="00B56774"/>
    <w:rsid w:val="00B61E7C"/>
    <w:rsid w:val="00B74BEB"/>
    <w:rsid w:val="00B7512B"/>
    <w:rsid w:val="00B77E06"/>
    <w:rsid w:val="00B8583E"/>
    <w:rsid w:val="00B92CD8"/>
    <w:rsid w:val="00BA1484"/>
    <w:rsid w:val="00BA6C57"/>
    <w:rsid w:val="00BA7C81"/>
    <w:rsid w:val="00BB1C47"/>
    <w:rsid w:val="00BB22FA"/>
    <w:rsid w:val="00BB6163"/>
    <w:rsid w:val="00BC39F4"/>
    <w:rsid w:val="00BC435F"/>
    <w:rsid w:val="00BC5303"/>
    <w:rsid w:val="00BC6534"/>
    <w:rsid w:val="00BC6920"/>
    <w:rsid w:val="00BD19F4"/>
    <w:rsid w:val="00BD31BC"/>
    <w:rsid w:val="00BD408C"/>
    <w:rsid w:val="00BE1DAC"/>
    <w:rsid w:val="00BE3F01"/>
    <w:rsid w:val="00BE49BE"/>
    <w:rsid w:val="00BE4CE8"/>
    <w:rsid w:val="00BF2450"/>
    <w:rsid w:val="00BF3D09"/>
    <w:rsid w:val="00BF3EC7"/>
    <w:rsid w:val="00BF634D"/>
    <w:rsid w:val="00C00D3C"/>
    <w:rsid w:val="00C01D55"/>
    <w:rsid w:val="00C12263"/>
    <w:rsid w:val="00C13211"/>
    <w:rsid w:val="00C15A3B"/>
    <w:rsid w:val="00C17CED"/>
    <w:rsid w:val="00C21017"/>
    <w:rsid w:val="00C26E71"/>
    <w:rsid w:val="00C34743"/>
    <w:rsid w:val="00C34F6F"/>
    <w:rsid w:val="00C35261"/>
    <w:rsid w:val="00C4536C"/>
    <w:rsid w:val="00C46BB0"/>
    <w:rsid w:val="00C54BB2"/>
    <w:rsid w:val="00C633B6"/>
    <w:rsid w:val="00C66D9C"/>
    <w:rsid w:val="00C71397"/>
    <w:rsid w:val="00C741F4"/>
    <w:rsid w:val="00C82196"/>
    <w:rsid w:val="00C8451C"/>
    <w:rsid w:val="00C903E2"/>
    <w:rsid w:val="00C9161B"/>
    <w:rsid w:val="00CA47B0"/>
    <w:rsid w:val="00CB0194"/>
    <w:rsid w:val="00CB258A"/>
    <w:rsid w:val="00CB4E4C"/>
    <w:rsid w:val="00CC06E6"/>
    <w:rsid w:val="00CC1379"/>
    <w:rsid w:val="00CC18A2"/>
    <w:rsid w:val="00CC2E0E"/>
    <w:rsid w:val="00CC6677"/>
    <w:rsid w:val="00CD3CD4"/>
    <w:rsid w:val="00CE20A9"/>
    <w:rsid w:val="00CE4E2F"/>
    <w:rsid w:val="00CF0203"/>
    <w:rsid w:val="00CF1724"/>
    <w:rsid w:val="00CF5818"/>
    <w:rsid w:val="00D01FCC"/>
    <w:rsid w:val="00D06DC3"/>
    <w:rsid w:val="00D12E6A"/>
    <w:rsid w:val="00D15C9F"/>
    <w:rsid w:val="00D17D07"/>
    <w:rsid w:val="00D21C34"/>
    <w:rsid w:val="00D242E9"/>
    <w:rsid w:val="00D249F9"/>
    <w:rsid w:val="00D260B4"/>
    <w:rsid w:val="00D30716"/>
    <w:rsid w:val="00D3350D"/>
    <w:rsid w:val="00D40174"/>
    <w:rsid w:val="00D56D25"/>
    <w:rsid w:val="00D57838"/>
    <w:rsid w:val="00D609FE"/>
    <w:rsid w:val="00D60DF9"/>
    <w:rsid w:val="00D61639"/>
    <w:rsid w:val="00D63562"/>
    <w:rsid w:val="00D67852"/>
    <w:rsid w:val="00D7474D"/>
    <w:rsid w:val="00D7639E"/>
    <w:rsid w:val="00D82CFB"/>
    <w:rsid w:val="00D8361D"/>
    <w:rsid w:val="00D84461"/>
    <w:rsid w:val="00D8615E"/>
    <w:rsid w:val="00D9023C"/>
    <w:rsid w:val="00D97FB5"/>
    <w:rsid w:val="00DA02D0"/>
    <w:rsid w:val="00DA79EC"/>
    <w:rsid w:val="00DA7A31"/>
    <w:rsid w:val="00DB0D47"/>
    <w:rsid w:val="00DB51C8"/>
    <w:rsid w:val="00DB5752"/>
    <w:rsid w:val="00DB5B17"/>
    <w:rsid w:val="00DB63C0"/>
    <w:rsid w:val="00DC3F2E"/>
    <w:rsid w:val="00DC45BF"/>
    <w:rsid w:val="00DC5E8D"/>
    <w:rsid w:val="00DD0961"/>
    <w:rsid w:val="00DD4152"/>
    <w:rsid w:val="00E12197"/>
    <w:rsid w:val="00E12553"/>
    <w:rsid w:val="00E12E4F"/>
    <w:rsid w:val="00E3726F"/>
    <w:rsid w:val="00E40C6F"/>
    <w:rsid w:val="00E46401"/>
    <w:rsid w:val="00E621DA"/>
    <w:rsid w:val="00E66820"/>
    <w:rsid w:val="00E80842"/>
    <w:rsid w:val="00E85EE9"/>
    <w:rsid w:val="00E90213"/>
    <w:rsid w:val="00EA7692"/>
    <w:rsid w:val="00EB3DF2"/>
    <w:rsid w:val="00EB55F8"/>
    <w:rsid w:val="00EC23BD"/>
    <w:rsid w:val="00EC692C"/>
    <w:rsid w:val="00EC71BA"/>
    <w:rsid w:val="00ED1CC6"/>
    <w:rsid w:val="00ED4646"/>
    <w:rsid w:val="00ED468E"/>
    <w:rsid w:val="00EE0F0F"/>
    <w:rsid w:val="00EE0F2F"/>
    <w:rsid w:val="00EE1F4F"/>
    <w:rsid w:val="00EE3F48"/>
    <w:rsid w:val="00EE5E25"/>
    <w:rsid w:val="00EE6074"/>
    <w:rsid w:val="00EE61B2"/>
    <w:rsid w:val="00EF3EBB"/>
    <w:rsid w:val="00F02E8C"/>
    <w:rsid w:val="00F12F65"/>
    <w:rsid w:val="00F13F81"/>
    <w:rsid w:val="00F165F1"/>
    <w:rsid w:val="00F42DBD"/>
    <w:rsid w:val="00F4684A"/>
    <w:rsid w:val="00F54E14"/>
    <w:rsid w:val="00F569D4"/>
    <w:rsid w:val="00F60946"/>
    <w:rsid w:val="00F6138C"/>
    <w:rsid w:val="00F73CA9"/>
    <w:rsid w:val="00F76089"/>
    <w:rsid w:val="00F81727"/>
    <w:rsid w:val="00F837F2"/>
    <w:rsid w:val="00F85DB2"/>
    <w:rsid w:val="00F93134"/>
    <w:rsid w:val="00F9482F"/>
    <w:rsid w:val="00FA789A"/>
    <w:rsid w:val="00FA7D63"/>
    <w:rsid w:val="00FC068A"/>
    <w:rsid w:val="00FC10EC"/>
    <w:rsid w:val="00FC23BB"/>
    <w:rsid w:val="00FD029F"/>
    <w:rsid w:val="00FD4413"/>
    <w:rsid w:val="00FE000D"/>
    <w:rsid w:val="00FE0483"/>
    <w:rsid w:val="00FE069C"/>
    <w:rsid w:val="00FE3463"/>
    <w:rsid w:val="00FE4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styleId="Emphasis">
    <w:name w:val="Emphasis"/>
    <w:basedOn w:val="DefaultParagraphFont"/>
    <w:uiPriority w:val="20"/>
    <w:qFormat/>
    <w:rsid w:val="00F42DBD"/>
    <w:rPr>
      <w:b/>
      <w:bCs/>
      <w:i w:val="0"/>
      <w:iCs w:val="0"/>
    </w:rPr>
  </w:style>
  <w:style w:type="character" w:customStyle="1" w:styleId="st1">
    <w:name w:val="st1"/>
    <w:basedOn w:val="DefaultParagraphFont"/>
    <w:rsid w:val="00F42DBD"/>
  </w:style>
  <w:style w:type="paragraph" w:customStyle="1" w:styleId="BulletBeforeDash">
    <w:name w:val="BulletBeforeDash"/>
    <w:basedOn w:val="Normal"/>
    <w:rsid w:val="00EC71BA"/>
    <w:pPr>
      <w:numPr>
        <w:numId w:val="44"/>
      </w:numPr>
    </w:pPr>
    <w:rPr>
      <w:color w:val="000000"/>
    </w:rPr>
  </w:style>
  <w:style w:type="paragraph" w:customStyle="1" w:styleId="Bullet">
    <w:name w:val="Bullet"/>
    <w:basedOn w:val="BulletBeforeDash"/>
    <w:qFormat/>
    <w:rsid w:val="00EC71BA"/>
    <w:pPr>
      <w:spacing w:after="120"/>
    </w:pPr>
  </w:style>
  <w:style w:type="paragraph" w:customStyle="1" w:styleId="BulletLast">
    <w:name w:val="BulletLast"/>
    <w:basedOn w:val="Bullet"/>
    <w:qFormat/>
    <w:rsid w:val="00EC71BA"/>
    <w:pPr>
      <w:spacing w:after="240"/>
    </w:pPr>
  </w:style>
  <w:style w:type="paragraph" w:customStyle="1" w:styleId="NormalBeforeBullet">
    <w:name w:val="NormalBeforeBullet"/>
    <w:basedOn w:val="Normal"/>
    <w:qFormat/>
    <w:rsid w:val="00EC71BA"/>
    <w:pPr>
      <w:keepNext/>
      <w:spacing w:after="12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styleId="Emphasis">
    <w:name w:val="Emphasis"/>
    <w:basedOn w:val="DefaultParagraphFont"/>
    <w:uiPriority w:val="20"/>
    <w:qFormat/>
    <w:rsid w:val="00F42DBD"/>
    <w:rPr>
      <w:b/>
      <w:bCs/>
      <w:i w:val="0"/>
      <w:iCs w:val="0"/>
    </w:rPr>
  </w:style>
  <w:style w:type="character" w:customStyle="1" w:styleId="st1">
    <w:name w:val="st1"/>
    <w:basedOn w:val="DefaultParagraphFont"/>
    <w:rsid w:val="00F42DBD"/>
  </w:style>
  <w:style w:type="paragraph" w:customStyle="1" w:styleId="BulletBeforeDash">
    <w:name w:val="BulletBeforeDash"/>
    <w:basedOn w:val="Normal"/>
    <w:rsid w:val="00EC71BA"/>
    <w:pPr>
      <w:numPr>
        <w:numId w:val="44"/>
      </w:numPr>
    </w:pPr>
    <w:rPr>
      <w:color w:val="000000"/>
    </w:rPr>
  </w:style>
  <w:style w:type="paragraph" w:customStyle="1" w:styleId="Bullet">
    <w:name w:val="Bullet"/>
    <w:basedOn w:val="BulletBeforeDash"/>
    <w:qFormat/>
    <w:rsid w:val="00EC71BA"/>
    <w:pPr>
      <w:spacing w:after="120"/>
    </w:pPr>
  </w:style>
  <w:style w:type="paragraph" w:customStyle="1" w:styleId="BulletLast">
    <w:name w:val="BulletLast"/>
    <w:basedOn w:val="Bullet"/>
    <w:qFormat/>
    <w:rsid w:val="00EC71BA"/>
    <w:pPr>
      <w:spacing w:after="240"/>
    </w:pPr>
  </w:style>
  <w:style w:type="paragraph" w:customStyle="1" w:styleId="NormalBeforeBullet">
    <w:name w:val="NormalBeforeBullet"/>
    <w:basedOn w:val="Normal"/>
    <w:qFormat/>
    <w:rsid w:val="00EC71BA"/>
    <w:pPr>
      <w:keepNext/>
      <w:spacing w:after="1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1C6D-5F67-4440-82B9-10737BE3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Crean Miranda</cp:lastModifiedBy>
  <cp:revision>5</cp:revision>
  <cp:lastPrinted>2017-08-24T23:40:00Z</cp:lastPrinted>
  <dcterms:created xsi:type="dcterms:W3CDTF">2018-03-09T03:20:00Z</dcterms:created>
  <dcterms:modified xsi:type="dcterms:W3CDTF">2018-03-09T05:26:00Z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