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4F" w:rsidRDefault="00D52B4F" w:rsidP="00D52B4F">
      <w:pPr>
        <w:rPr>
          <w:sz w:val="28"/>
        </w:rPr>
      </w:pPr>
      <w:r>
        <w:rPr>
          <w:noProof/>
          <w:lang w:eastAsia="en-AU"/>
        </w:rPr>
        <w:drawing>
          <wp:inline distT="0" distB="0" distL="0" distR="0" wp14:anchorId="4C99DFEC" wp14:editId="463048A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D52B4F" w:rsidRDefault="00D52B4F" w:rsidP="00D52B4F">
      <w:pPr>
        <w:rPr>
          <w:sz w:val="19"/>
        </w:rPr>
      </w:pPr>
    </w:p>
    <w:p w:rsidR="00D52B4F" w:rsidRPr="00E500D4" w:rsidRDefault="00D52B4F" w:rsidP="00D52B4F">
      <w:pPr>
        <w:pStyle w:val="ShortT"/>
      </w:pPr>
      <w:r w:rsidRPr="004D466C">
        <w:t>Social Security (Administration) (Trial – Declinable Transactions and Welfare Restricted Bank Account) Determination 2018</w:t>
      </w:r>
    </w:p>
    <w:p w:rsidR="00D52B4F" w:rsidRPr="00DA182D" w:rsidRDefault="00D52B4F" w:rsidP="00D52B4F">
      <w:pPr>
        <w:pStyle w:val="SignCoverPageStart"/>
        <w:spacing w:before="240"/>
        <w:ind w:right="91"/>
        <w:rPr>
          <w:szCs w:val="22"/>
        </w:rPr>
      </w:pPr>
      <w:r w:rsidRPr="00666CB7">
        <w:rPr>
          <w:szCs w:val="22"/>
        </w:rPr>
        <w:t>I, Roslyn Baxter, Group Manager, Families &amp; Communities Reform Group, as a delegate of the Secretary of the Department of Social Services make the following instrument.</w:t>
      </w:r>
    </w:p>
    <w:p w:rsidR="00D52B4F" w:rsidRPr="00001A63" w:rsidRDefault="00D52B4F" w:rsidP="00D52B4F">
      <w:pPr>
        <w:keepNext/>
        <w:spacing w:before="300" w:line="240" w:lineRule="atLeast"/>
        <w:ind w:right="397"/>
        <w:jc w:val="both"/>
        <w:rPr>
          <w:szCs w:val="22"/>
        </w:rPr>
      </w:pPr>
      <w:r>
        <w:rPr>
          <w:szCs w:val="22"/>
        </w:rPr>
        <w:t>Dated</w:t>
      </w:r>
      <w:r w:rsidRPr="00001A63">
        <w:rPr>
          <w:szCs w:val="22"/>
        </w:rPr>
        <w:tab/>
      </w:r>
      <w:r w:rsidR="00270606">
        <w:rPr>
          <w:szCs w:val="22"/>
        </w:rPr>
        <w:t>13 March</w:t>
      </w:r>
      <w:r w:rsidRPr="007374A0">
        <w:rPr>
          <w:szCs w:val="22"/>
        </w:rPr>
        <w:t xml:space="preserve"> </w:t>
      </w:r>
      <w:r w:rsidRPr="00321772">
        <w:rPr>
          <w:szCs w:val="22"/>
        </w:rPr>
        <w:t>2018</w:t>
      </w:r>
    </w:p>
    <w:p w:rsidR="00D52B4F" w:rsidRDefault="00D52B4F" w:rsidP="00D52B4F">
      <w:pPr>
        <w:keepNext/>
        <w:tabs>
          <w:tab w:val="left" w:pos="3402"/>
        </w:tabs>
        <w:spacing w:before="1440" w:line="300" w:lineRule="atLeast"/>
        <w:ind w:right="397"/>
        <w:rPr>
          <w:b/>
          <w:szCs w:val="22"/>
        </w:rPr>
      </w:pPr>
      <w:r w:rsidRPr="00666CB7">
        <w:rPr>
          <w:szCs w:val="22"/>
        </w:rPr>
        <w:t>Roslyn Baxter</w:t>
      </w:r>
      <w:r w:rsidRPr="00A75FE9">
        <w:rPr>
          <w:szCs w:val="22"/>
        </w:rPr>
        <w:t xml:space="preserve"> </w:t>
      </w:r>
    </w:p>
    <w:p w:rsidR="00D52B4F" w:rsidRDefault="00D52B4F" w:rsidP="00D52B4F">
      <w:pPr>
        <w:pStyle w:val="SignCoverPageEnd"/>
        <w:ind w:right="91"/>
        <w:rPr>
          <w:szCs w:val="22"/>
        </w:rPr>
      </w:pPr>
      <w:r w:rsidRPr="00666CB7">
        <w:rPr>
          <w:szCs w:val="22"/>
        </w:rPr>
        <w:t>Group Manager</w:t>
      </w:r>
      <w:r>
        <w:rPr>
          <w:szCs w:val="22"/>
        </w:rPr>
        <w:t xml:space="preserve"> </w:t>
      </w:r>
    </w:p>
    <w:p w:rsidR="00D52B4F" w:rsidRDefault="00D52B4F" w:rsidP="00D52B4F">
      <w:pPr>
        <w:pStyle w:val="SignCoverPageEnd"/>
        <w:ind w:right="91"/>
        <w:rPr>
          <w:szCs w:val="22"/>
        </w:rPr>
      </w:pPr>
      <w:r w:rsidRPr="00666CB7">
        <w:rPr>
          <w:szCs w:val="22"/>
        </w:rPr>
        <w:t xml:space="preserve">Families &amp; Communities Reform Group </w:t>
      </w:r>
    </w:p>
    <w:p w:rsidR="00D52B4F" w:rsidRDefault="00D52B4F" w:rsidP="00D52B4F">
      <w:pPr>
        <w:pStyle w:val="SignCoverPageEnd"/>
        <w:ind w:right="91"/>
        <w:rPr>
          <w:szCs w:val="22"/>
        </w:rPr>
      </w:pPr>
      <w:r w:rsidRPr="00666CB7">
        <w:rPr>
          <w:szCs w:val="22"/>
        </w:rPr>
        <w:t>Department of Social Services</w:t>
      </w:r>
    </w:p>
    <w:p w:rsidR="00D52B4F" w:rsidRPr="00666CB7" w:rsidRDefault="00D52B4F" w:rsidP="00D52B4F">
      <w:pPr>
        <w:rPr>
          <w:lang w:eastAsia="en-AU"/>
        </w:rPr>
      </w:pPr>
    </w:p>
    <w:p w:rsidR="00D52B4F" w:rsidRPr="00666CB7" w:rsidRDefault="00D52B4F" w:rsidP="00D52B4F">
      <w:pPr>
        <w:rPr>
          <w:lang w:eastAsia="en-AU"/>
        </w:rPr>
      </w:pPr>
    </w:p>
    <w:p w:rsidR="00D52B4F" w:rsidRDefault="00D52B4F" w:rsidP="00D52B4F"/>
    <w:p w:rsidR="00D52B4F" w:rsidRDefault="00D52B4F" w:rsidP="00D52B4F">
      <w:pPr>
        <w:sectPr w:rsidR="00D52B4F" w:rsidSect="00D52B4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D52B4F" w:rsidRDefault="00D52B4F" w:rsidP="00D52B4F">
      <w:pPr>
        <w:outlineLvl w:val="0"/>
        <w:rPr>
          <w:sz w:val="36"/>
        </w:rPr>
      </w:pPr>
      <w:r w:rsidRPr="007A1328">
        <w:rPr>
          <w:sz w:val="36"/>
        </w:rPr>
        <w:lastRenderedPageBreak/>
        <w:t>Contents</w:t>
      </w:r>
    </w:p>
    <w:p w:rsidR="00D52B4F" w:rsidRDefault="00D52B4F" w:rsidP="00D52B4F">
      <w:pPr>
        <w:pStyle w:val="TOC6"/>
        <w:rPr>
          <w:rFonts w:asciiTheme="minorHAnsi" w:eastAsiaTheme="minorEastAsia" w:hAnsiTheme="minorHAnsi" w:cstheme="minorBidi"/>
          <w:b w:val="0"/>
          <w:noProof/>
          <w:kern w:val="0"/>
          <w:sz w:val="22"/>
          <w:szCs w:val="22"/>
        </w:rPr>
      </w:pPr>
      <w:r w:rsidRPr="005E317F">
        <w:fldChar w:fldCharType="begin"/>
      </w:r>
      <w:r>
        <w:instrText xml:space="preserve"> TOC \o "1-9" </w:instrText>
      </w:r>
      <w:r w:rsidRPr="005E317F">
        <w:fldChar w:fldCharType="separate"/>
      </w:r>
      <w:r>
        <w:rPr>
          <w:noProof/>
        </w:rPr>
        <w:t>Part 1 — Preliminary</w:t>
      </w:r>
      <w:r>
        <w:rPr>
          <w:noProof/>
        </w:rPr>
        <w:tab/>
      </w:r>
      <w:r>
        <w:rPr>
          <w:noProof/>
        </w:rPr>
        <w:fldChar w:fldCharType="begin"/>
      </w:r>
      <w:r>
        <w:rPr>
          <w:noProof/>
        </w:rPr>
        <w:instrText xml:space="preserve"> PAGEREF _Toc507755841 \h </w:instrText>
      </w:r>
      <w:r>
        <w:rPr>
          <w:noProof/>
        </w:rPr>
      </w:r>
      <w:r>
        <w:rPr>
          <w:noProof/>
        </w:rPr>
        <w:fldChar w:fldCharType="separate"/>
      </w:r>
      <w:r>
        <w:rPr>
          <w:noProof/>
        </w:rPr>
        <w:t>1</w:t>
      </w:r>
      <w:r>
        <w:rPr>
          <w:noProof/>
        </w:rPr>
        <w:fldChar w:fldCharType="end"/>
      </w:r>
    </w:p>
    <w:p w:rsidR="00D52B4F" w:rsidRDefault="00D52B4F" w:rsidP="00D52B4F">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_Toc507755842 \h </w:instrText>
      </w:r>
      <w:r>
        <w:rPr>
          <w:noProof/>
        </w:rPr>
      </w:r>
      <w:r>
        <w:rPr>
          <w:noProof/>
        </w:rPr>
        <w:fldChar w:fldCharType="separate"/>
      </w:r>
      <w:r>
        <w:rPr>
          <w:noProof/>
        </w:rPr>
        <w:t>1</w:t>
      </w:r>
      <w:r>
        <w:rPr>
          <w:noProof/>
        </w:rPr>
        <w:fldChar w:fldCharType="end"/>
      </w:r>
    </w:p>
    <w:p w:rsidR="00D52B4F" w:rsidRDefault="00D52B4F" w:rsidP="00D52B4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_Toc507755843 \h </w:instrText>
      </w:r>
      <w:r>
        <w:rPr>
          <w:noProof/>
        </w:rPr>
      </w:r>
      <w:r>
        <w:rPr>
          <w:noProof/>
        </w:rPr>
        <w:fldChar w:fldCharType="separate"/>
      </w:r>
      <w:r>
        <w:rPr>
          <w:noProof/>
        </w:rPr>
        <w:t>1</w:t>
      </w:r>
      <w:r>
        <w:rPr>
          <w:noProof/>
        </w:rPr>
        <w:fldChar w:fldCharType="end"/>
      </w:r>
    </w:p>
    <w:p w:rsidR="00D52B4F" w:rsidRDefault="00D52B4F" w:rsidP="00D52B4F">
      <w:pPr>
        <w:pStyle w:val="TOC5"/>
        <w:rPr>
          <w:rFonts w:asciiTheme="minorHAnsi" w:eastAsiaTheme="minorEastAsia" w:hAnsiTheme="minorHAnsi" w:cstheme="minorBidi"/>
          <w:noProof/>
          <w:kern w:val="0"/>
          <w:sz w:val="22"/>
          <w:szCs w:val="22"/>
        </w:rPr>
      </w:pPr>
      <w:r>
        <w:rPr>
          <w:noProof/>
        </w:rPr>
        <w:t>3  Repeal</w:t>
      </w:r>
      <w:r>
        <w:rPr>
          <w:noProof/>
        </w:rPr>
        <w:tab/>
      </w:r>
      <w:r>
        <w:rPr>
          <w:noProof/>
        </w:rPr>
        <w:fldChar w:fldCharType="begin"/>
      </w:r>
      <w:r>
        <w:rPr>
          <w:noProof/>
        </w:rPr>
        <w:instrText xml:space="preserve"> PAGEREF _Toc507755844 \h </w:instrText>
      </w:r>
      <w:r>
        <w:rPr>
          <w:noProof/>
        </w:rPr>
      </w:r>
      <w:r>
        <w:rPr>
          <w:noProof/>
        </w:rPr>
        <w:fldChar w:fldCharType="separate"/>
      </w:r>
      <w:r>
        <w:rPr>
          <w:noProof/>
        </w:rPr>
        <w:t>1</w:t>
      </w:r>
      <w:r>
        <w:rPr>
          <w:noProof/>
        </w:rPr>
        <w:fldChar w:fldCharType="end"/>
      </w:r>
    </w:p>
    <w:p w:rsidR="00D52B4F" w:rsidRDefault="00D52B4F" w:rsidP="00D52B4F">
      <w:pPr>
        <w:pStyle w:val="TOC5"/>
        <w:rPr>
          <w:rFonts w:asciiTheme="minorHAnsi" w:eastAsiaTheme="minorEastAsia" w:hAnsiTheme="minorHAnsi" w:cstheme="minorBidi"/>
          <w:noProof/>
          <w:kern w:val="0"/>
          <w:sz w:val="22"/>
          <w:szCs w:val="22"/>
        </w:rPr>
      </w:pPr>
      <w:r>
        <w:rPr>
          <w:noProof/>
        </w:rPr>
        <w:t>4  Authority</w:t>
      </w:r>
      <w:r>
        <w:rPr>
          <w:noProof/>
        </w:rPr>
        <w:tab/>
      </w:r>
      <w:r>
        <w:rPr>
          <w:noProof/>
        </w:rPr>
        <w:fldChar w:fldCharType="begin"/>
      </w:r>
      <w:r>
        <w:rPr>
          <w:noProof/>
        </w:rPr>
        <w:instrText xml:space="preserve"> PAGEREF _Toc507755845 \h </w:instrText>
      </w:r>
      <w:r>
        <w:rPr>
          <w:noProof/>
        </w:rPr>
      </w:r>
      <w:r>
        <w:rPr>
          <w:noProof/>
        </w:rPr>
        <w:fldChar w:fldCharType="separate"/>
      </w:r>
      <w:r>
        <w:rPr>
          <w:noProof/>
        </w:rPr>
        <w:t>1</w:t>
      </w:r>
      <w:r>
        <w:rPr>
          <w:noProof/>
        </w:rPr>
        <w:fldChar w:fldCharType="end"/>
      </w:r>
    </w:p>
    <w:p w:rsidR="00D52B4F" w:rsidRDefault="00D52B4F" w:rsidP="00D52B4F">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_Toc507755846 \h </w:instrText>
      </w:r>
      <w:r>
        <w:rPr>
          <w:noProof/>
        </w:rPr>
      </w:r>
      <w:r>
        <w:rPr>
          <w:noProof/>
        </w:rPr>
        <w:fldChar w:fldCharType="separate"/>
      </w:r>
      <w:r>
        <w:rPr>
          <w:noProof/>
        </w:rPr>
        <w:t>1</w:t>
      </w:r>
      <w:r>
        <w:rPr>
          <w:noProof/>
        </w:rPr>
        <w:fldChar w:fldCharType="end"/>
      </w:r>
    </w:p>
    <w:p w:rsidR="00D52B4F" w:rsidRDefault="00D52B4F" w:rsidP="00D52B4F">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_Toc507755847 \h </w:instrText>
      </w:r>
      <w:r>
        <w:rPr>
          <w:noProof/>
        </w:rPr>
      </w:r>
      <w:r>
        <w:rPr>
          <w:noProof/>
        </w:rPr>
        <w:fldChar w:fldCharType="separate"/>
      </w:r>
      <w:r>
        <w:rPr>
          <w:noProof/>
        </w:rPr>
        <w:t>1</w:t>
      </w:r>
      <w:r>
        <w:rPr>
          <w:noProof/>
        </w:rPr>
        <w:fldChar w:fldCharType="end"/>
      </w:r>
    </w:p>
    <w:p w:rsidR="00D52B4F" w:rsidRDefault="00D52B4F" w:rsidP="00D52B4F">
      <w:pPr>
        <w:pStyle w:val="TOC6"/>
        <w:rPr>
          <w:rFonts w:asciiTheme="minorHAnsi" w:eastAsiaTheme="minorEastAsia" w:hAnsiTheme="minorHAnsi" w:cstheme="minorBidi"/>
          <w:b w:val="0"/>
          <w:noProof/>
          <w:kern w:val="0"/>
          <w:sz w:val="22"/>
          <w:szCs w:val="22"/>
        </w:rPr>
      </w:pPr>
      <w:r>
        <w:rPr>
          <w:noProof/>
        </w:rPr>
        <w:t>Part 2 — Declinable Transactions</w:t>
      </w:r>
      <w:r>
        <w:rPr>
          <w:noProof/>
        </w:rPr>
        <w:tab/>
        <w:t>2</w:t>
      </w:r>
    </w:p>
    <w:p w:rsidR="00D52B4F" w:rsidRDefault="00D52B4F" w:rsidP="00D52B4F">
      <w:pPr>
        <w:pStyle w:val="TOC5"/>
        <w:rPr>
          <w:rFonts w:asciiTheme="minorHAnsi" w:eastAsiaTheme="minorEastAsia" w:hAnsiTheme="minorHAnsi" w:cstheme="minorBidi"/>
          <w:noProof/>
          <w:kern w:val="0"/>
          <w:sz w:val="22"/>
          <w:szCs w:val="22"/>
        </w:rPr>
      </w:pPr>
      <w:r>
        <w:rPr>
          <w:noProof/>
        </w:rPr>
        <w:t>7  Declining of a transaction by a financial institution</w:t>
      </w:r>
      <w:r>
        <w:rPr>
          <w:noProof/>
        </w:rPr>
        <w:tab/>
        <w:t>2</w:t>
      </w:r>
    </w:p>
    <w:p w:rsidR="00D52B4F" w:rsidRDefault="00D52B4F" w:rsidP="00D52B4F">
      <w:pPr>
        <w:pStyle w:val="TOC6"/>
        <w:rPr>
          <w:rFonts w:asciiTheme="minorHAnsi" w:eastAsiaTheme="minorEastAsia" w:hAnsiTheme="minorHAnsi" w:cstheme="minorBidi"/>
          <w:b w:val="0"/>
          <w:noProof/>
          <w:kern w:val="0"/>
          <w:sz w:val="22"/>
          <w:szCs w:val="22"/>
        </w:rPr>
      </w:pPr>
      <w:r>
        <w:rPr>
          <w:noProof/>
        </w:rPr>
        <w:t>Part 3 — Welfare Restricted Bank Account</w:t>
      </w:r>
      <w:r>
        <w:rPr>
          <w:noProof/>
        </w:rPr>
        <w:tab/>
        <w:t>3</w:t>
      </w:r>
    </w:p>
    <w:p w:rsidR="00D52B4F" w:rsidRDefault="00D52B4F" w:rsidP="00D52B4F">
      <w:pPr>
        <w:pStyle w:val="TOC5"/>
        <w:rPr>
          <w:rFonts w:asciiTheme="minorHAnsi" w:eastAsiaTheme="minorEastAsia" w:hAnsiTheme="minorHAnsi" w:cstheme="minorBidi"/>
          <w:noProof/>
          <w:kern w:val="0"/>
          <w:sz w:val="22"/>
          <w:szCs w:val="22"/>
        </w:rPr>
      </w:pPr>
      <w:r>
        <w:rPr>
          <w:noProof/>
        </w:rPr>
        <w:t>8  Welfare restricted bank account</w:t>
      </w:r>
      <w:r>
        <w:rPr>
          <w:noProof/>
        </w:rPr>
        <w:tab/>
        <w:t>3</w:t>
      </w:r>
    </w:p>
    <w:p w:rsidR="00D52B4F" w:rsidRDefault="00D52B4F" w:rsidP="00D52B4F">
      <w:pPr>
        <w:pStyle w:val="TOC5"/>
        <w:rPr>
          <w:rFonts w:asciiTheme="minorHAnsi" w:eastAsiaTheme="minorEastAsia" w:hAnsiTheme="minorHAnsi" w:cstheme="minorBidi"/>
          <w:noProof/>
          <w:kern w:val="0"/>
          <w:sz w:val="22"/>
          <w:szCs w:val="22"/>
        </w:rPr>
      </w:pPr>
      <w:r>
        <w:rPr>
          <w:noProof/>
        </w:rPr>
        <w:t>9  Terms and conditions of welfare restricted bank account</w:t>
      </w:r>
      <w:r>
        <w:rPr>
          <w:noProof/>
        </w:rPr>
        <w:tab/>
        <w:t>3</w:t>
      </w:r>
    </w:p>
    <w:p w:rsidR="00D52B4F" w:rsidRDefault="00D52B4F" w:rsidP="00D52B4F">
      <w:pPr>
        <w:pStyle w:val="TOC6"/>
        <w:rPr>
          <w:rFonts w:asciiTheme="minorHAnsi" w:eastAsiaTheme="minorEastAsia" w:hAnsiTheme="minorHAnsi" w:cstheme="minorBidi"/>
          <w:b w:val="0"/>
          <w:noProof/>
          <w:kern w:val="0"/>
          <w:sz w:val="22"/>
          <w:szCs w:val="22"/>
        </w:rPr>
      </w:pPr>
      <w:r>
        <w:rPr>
          <w:noProof/>
        </w:rPr>
        <w:t>Schedule 1—Repeals</w:t>
      </w:r>
      <w:r>
        <w:rPr>
          <w:noProof/>
        </w:rPr>
        <w:tab/>
        <w:t>4</w:t>
      </w:r>
    </w:p>
    <w:p w:rsidR="00D52B4F" w:rsidRDefault="00D52B4F" w:rsidP="00D52B4F">
      <w:pPr>
        <w:pStyle w:val="TOC9"/>
        <w:rPr>
          <w:rFonts w:asciiTheme="minorHAnsi" w:eastAsiaTheme="minorEastAsia" w:hAnsiTheme="minorHAnsi" w:cstheme="minorBidi"/>
          <w:i w:val="0"/>
          <w:noProof/>
          <w:kern w:val="0"/>
          <w:sz w:val="22"/>
          <w:szCs w:val="22"/>
        </w:rPr>
      </w:pPr>
      <w:r>
        <w:rPr>
          <w:noProof/>
        </w:rPr>
        <w:t>Social Security (Administration) (Trial - Declinable Transactions) Determination 2016</w:t>
      </w:r>
      <w:r>
        <w:rPr>
          <w:noProof/>
        </w:rPr>
        <w:tab/>
        <w:t>4</w:t>
      </w:r>
    </w:p>
    <w:p w:rsidR="00D52B4F" w:rsidRDefault="00D52B4F" w:rsidP="00D52B4F">
      <w:pPr>
        <w:pStyle w:val="TOC9"/>
        <w:rPr>
          <w:rFonts w:asciiTheme="minorHAnsi" w:eastAsiaTheme="minorEastAsia" w:hAnsiTheme="minorHAnsi" w:cstheme="minorBidi"/>
          <w:i w:val="0"/>
          <w:noProof/>
          <w:kern w:val="0"/>
          <w:sz w:val="22"/>
          <w:szCs w:val="22"/>
        </w:rPr>
      </w:pPr>
      <w:r>
        <w:rPr>
          <w:noProof/>
        </w:rPr>
        <w:t>Social Security (Administration) (Welfare Restricted Bank Account) Determination 2016</w:t>
      </w:r>
      <w:r>
        <w:rPr>
          <w:noProof/>
        </w:rPr>
        <w:tab/>
        <w:t>4</w:t>
      </w:r>
    </w:p>
    <w:p w:rsidR="00D52B4F" w:rsidRDefault="00D52B4F" w:rsidP="00D52B4F">
      <w:pPr>
        <w:pStyle w:val="TOC6"/>
        <w:rPr>
          <w:rFonts w:asciiTheme="minorHAnsi" w:eastAsiaTheme="minorEastAsia" w:hAnsiTheme="minorHAnsi" w:cstheme="minorBidi"/>
          <w:b w:val="0"/>
          <w:noProof/>
          <w:kern w:val="0"/>
          <w:sz w:val="22"/>
          <w:szCs w:val="22"/>
        </w:rPr>
      </w:pPr>
      <w:r>
        <w:rPr>
          <w:noProof/>
        </w:rPr>
        <w:t>Schedule 2—Declared kinds of business pursuant to s 124PQ(2) — By description</w:t>
      </w:r>
      <w:r>
        <w:rPr>
          <w:noProof/>
        </w:rPr>
        <w:tab/>
        <w:t>5</w:t>
      </w:r>
    </w:p>
    <w:p w:rsidR="00D52B4F" w:rsidRDefault="00D52B4F" w:rsidP="00D52B4F">
      <w:pPr>
        <w:pStyle w:val="TOC6"/>
        <w:rPr>
          <w:rFonts w:asciiTheme="minorHAnsi" w:eastAsiaTheme="minorEastAsia" w:hAnsiTheme="minorHAnsi" w:cstheme="minorBidi"/>
          <w:b w:val="0"/>
          <w:noProof/>
          <w:kern w:val="0"/>
          <w:sz w:val="22"/>
          <w:szCs w:val="22"/>
        </w:rPr>
      </w:pPr>
      <w:r>
        <w:rPr>
          <w:noProof/>
        </w:rPr>
        <w:t>Schedule 3— Declared kinds of business pursuant to s 124PQ(2) of the Act — By Merchant Category</w:t>
      </w:r>
      <w:r>
        <w:rPr>
          <w:noProof/>
        </w:rPr>
        <w:tab/>
        <w:t>6</w:t>
      </w:r>
    </w:p>
    <w:p w:rsidR="00D52B4F" w:rsidRDefault="00D52B4F" w:rsidP="00D52B4F">
      <w:pPr>
        <w:pStyle w:val="TOC6"/>
        <w:rPr>
          <w:rFonts w:asciiTheme="minorHAnsi" w:eastAsiaTheme="minorEastAsia" w:hAnsiTheme="minorHAnsi" w:cstheme="minorBidi"/>
          <w:b w:val="0"/>
          <w:noProof/>
          <w:kern w:val="0"/>
          <w:sz w:val="22"/>
          <w:szCs w:val="22"/>
        </w:rPr>
      </w:pPr>
      <w:r>
        <w:rPr>
          <w:noProof/>
        </w:rPr>
        <w:t>Schedule 4— Declared kinds of business pursuant to s 124PQ(2) of the Act — By Australian New Zealand Standard Industrial Classification (ANZSIC) codes</w:t>
      </w:r>
      <w:r>
        <w:rPr>
          <w:noProof/>
        </w:rPr>
        <w:tab/>
        <w:t>7</w:t>
      </w:r>
    </w:p>
    <w:p w:rsidR="00D52B4F" w:rsidRDefault="00D52B4F" w:rsidP="00D52B4F">
      <w:pPr>
        <w:pStyle w:val="TOC6"/>
        <w:rPr>
          <w:rFonts w:asciiTheme="minorHAnsi" w:eastAsiaTheme="minorEastAsia" w:hAnsiTheme="minorHAnsi" w:cstheme="minorBidi"/>
          <w:b w:val="0"/>
          <w:noProof/>
          <w:kern w:val="0"/>
          <w:sz w:val="22"/>
          <w:szCs w:val="22"/>
        </w:rPr>
      </w:pPr>
      <w:r>
        <w:rPr>
          <w:noProof/>
        </w:rPr>
        <w:t>Schedule 5— Declared kinds of business pursuant to s 124PQ(2) — By reference to terminal identification codes</w:t>
      </w:r>
      <w:r>
        <w:rPr>
          <w:noProof/>
        </w:rPr>
        <w:tab/>
        <w:t>8</w:t>
      </w:r>
    </w:p>
    <w:p w:rsidR="00D52B4F" w:rsidRDefault="00D52B4F" w:rsidP="00D52B4F">
      <w:pPr>
        <w:pStyle w:val="TOC6"/>
        <w:rPr>
          <w:rFonts w:asciiTheme="minorHAnsi" w:eastAsiaTheme="minorEastAsia" w:hAnsiTheme="minorHAnsi" w:cstheme="minorBidi"/>
          <w:b w:val="0"/>
          <w:noProof/>
          <w:kern w:val="0"/>
          <w:sz w:val="22"/>
          <w:szCs w:val="22"/>
        </w:rPr>
      </w:pPr>
      <w:r>
        <w:rPr>
          <w:noProof/>
        </w:rPr>
        <w:t>Schedule 6— Declared kinds of business pursuant to s 124PQ(2) — By reference to card accepted identification codes</w:t>
      </w:r>
      <w:r>
        <w:rPr>
          <w:noProof/>
        </w:rPr>
        <w:tab/>
        <w:t>9</w:t>
      </w:r>
    </w:p>
    <w:p w:rsidR="00D52B4F" w:rsidRDefault="00D52B4F" w:rsidP="00D52B4F">
      <w:pPr>
        <w:pStyle w:val="TOC6"/>
        <w:rPr>
          <w:rFonts w:asciiTheme="minorHAnsi" w:eastAsiaTheme="minorEastAsia" w:hAnsiTheme="minorHAnsi" w:cstheme="minorBidi"/>
          <w:b w:val="0"/>
          <w:noProof/>
          <w:kern w:val="0"/>
          <w:sz w:val="22"/>
          <w:szCs w:val="22"/>
        </w:rPr>
      </w:pPr>
      <w:r>
        <w:rPr>
          <w:noProof/>
        </w:rPr>
        <w:t>Schedule 7— Declared kinds of business pursuant to s 124PQ(2) — By reference to BPAY biller codes</w:t>
      </w:r>
      <w:r>
        <w:rPr>
          <w:noProof/>
        </w:rPr>
        <w:tab/>
      </w:r>
      <w:r>
        <w:rPr>
          <w:noProof/>
        </w:rPr>
        <w:fldChar w:fldCharType="begin"/>
      </w:r>
      <w:r>
        <w:rPr>
          <w:noProof/>
        </w:rPr>
        <w:instrText xml:space="preserve"> PAGEREF _Toc507755861 \h </w:instrText>
      </w:r>
      <w:r>
        <w:rPr>
          <w:noProof/>
        </w:rPr>
      </w:r>
      <w:r>
        <w:rPr>
          <w:noProof/>
        </w:rPr>
        <w:fldChar w:fldCharType="separate"/>
      </w:r>
      <w:r>
        <w:rPr>
          <w:noProof/>
        </w:rPr>
        <w:t>10</w:t>
      </w:r>
      <w:r>
        <w:rPr>
          <w:noProof/>
        </w:rPr>
        <w:fldChar w:fldCharType="end"/>
      </w:r>
      <w:r>
        <w:rPr>
          <w:noProof/>
        </w:rPr>
        <w:t>0</w:t>
      </w:r>
    </w:p>
    <w:p w:rsidR="00D52B4F" w:rsidRDefault="00D52B4F" w:rsidP="00D52B4F">
      <w:pPr>
        <w:pStyle w:val="TOC6"/>
        <w:rPr>
          <w:rFonts w:asciiTheme="minorHAnsi" w:eastAsiaTheme="minorEastAsia" w:hAnsiTheme="minorHAnsi" w:cstheme="minorBidi"/>
          <w:b w:val="0"/>
          <w:noProof/>
          <w:kern w:val="0"/>
          <w:sz w:val="22"/>
          <w:szCs w:val="22"/>
        </w:rPr>
      </w:pPr>
      <w:r>
        <w:rPr>
          <w:noProof/>
        </w:rPr>
        <w:t>Schedule 8—Terms and conditions relating to the establishment, ongoing maintenance and closure of welfare restricted bank accounts</w:t>
      </w:r>
      <w:r>
        <w:rPr>
          <w:noProof/>
        </w:rPr>
        <w:tab/>
      </w:r>
      <w:r>
        <w:rPr>
          <w:noProof/>
        </w:rPr>
        <w:fldChar w:fldCharType="begin"/>
      </w:r>
      <w:r>
        <w:rPr>
          <w:noProof/>
        </w:rPr>
        <w:instrText xml:space="preserve"> PAGEREF _Toc507755862 \h </w:instrText>
      </w:r>
      <w:r>
        <w:rPr>
          <w:noProof/>
        </w:rPr>
      </w:r>
      <w:r>
        <w:rPr>
          <w:noProof/>
        </w:rPr>
        <w:fldChar w:fldCharType="separate"/>
      </w:r>
      <w:r>
        <w:rPr>
          <w:noProof/>
        </w:rPr>
        <w:t>11</w:t>
      </w:r>
      <w:r>
        <w:rPr>
          <w:noProof/>
        </w:rPr>
        <w:fldChar w:fldCharType="end"/>
      </w:r>
      <w:r>
        <w:rPr>
          <w:noProof/>
        </w:rPr>
        <w:t>1</w:t>
      </w:r>
    </w:p>
    <w:p w:rsidR="00D52B4F" w:rsidRDefault="00D52B4F" w:rsidP="00D52B4F">
      <w:r w:rsidRPr="005E317F">
        <w:rPr>
          <w:rFonts w:cs="Times New Roman"/>
          <w:sz w:val="20"/>
        </w:rPr>
        <w:fldChar w:fldCharType="end"/>
      </w:r>
    </w:p>
    <w:p w:rsidR="00D52B4F" w:rsidRDefault="00D52B4F" w:rsidP="00D52B4F"/>
    <w:p w:rsidR="00D52B4F" w:rsidRDefault="00D52B4F" w:rsidP="00D52B4F">
      <w:pPr>
        <w:sectPr w:rsidR="00D52B4F" w:rsidSect="00C93BDB">
          <w:headerReference w:type="even" r:id="rId15"/>
          <w:headerReference w:type="default" r:id="rId16"/>
          <w:footerReference w:type="even" r:id="rId17"/>
          <w:footerReference w:type="default" r:id="rId18"/>
          <w:headerReference w:type="first" r:id="rId19"/>
          <w:pgSz w:w="11907" w:h="16839"/>
          <w:pgMar w:top="2093" w:right="1797" w:bottom="1440" w:left="1797" w:header="720" w:footer="680" w:gutter="0"/>
          <w:pgNumType w:fmt="lowerRoman" w:start="1"/>
          <w:cols w:space="708"/>
          <w:docGrid w:linePitch="360"/>
        </w:sectPr>
      </w:pPr>
    </w:p>
    <w:p w:rsidR="00D52B4F" w:rsidRDefault="00D52B4F" w:rsidP="00D52B4F">
      <w:pPr>
        <w:pStyle w:val="ActHead6"/>
        <w:rPr>
          <w:rStyle w:val="CharSectno"/>
          <w:rFonts w:eastAsiaTheme="minorHAnsi" w:cstheme="minorBidi"/>
          <w:b w:val="0"/>
          <w:kern w:val="0"/>
          <w:sz w:val="22"/>
          <w:lang w:eastAsia="en-US"/>
        </w:rPr>
      </w:pPr>
      <w:bookmarkStart w:id="0" w:name="_Toc507755841"/>
      <w:r>
        <w:lastRenderedPageBreak/>
        <w:t>Part 1 — Preliminary</w:t>
      </w:r>
      <w:bookmarkEnd w:id="0"/>
      <w:r>
        <w:t xml:space="preserve">    </w:t>
      </w:r>
    </w:p>
    <w:p w:rsidR="00D52B4F" w:rsidRPr="009C2562" w:rsidRDefault="00D52B4F" w:rsidP="00D52B4F">
      <w:pPr>
        <w:pStyle w:val="ActHead5"/>
      </w:pPr>
      <w:bookmarkStart w:id="1" w:name="_Toc507755842"/>
      <w:proofErr w:type="gramStart"/>
      <w:r w:rsidRPr="009C2562">
        <w:rPr>
          <w:rStyle w:val="CharSectno"/>
        </w:rPr>
        <w:t>1</w:t>
      </w:r>
      <w:r w:rsidRPr="009C2562">
        <w:t xml:space="preserve">  Name</w:t>
      </w:r>
      <w:bookmarkEnd w:id="1"/>
      <w:proofErr w:type="gramEnd"/>
    </w:p>
    <w:p w:rsidR="00D52B4F" w:rsidRDefault="00D52B4F" w:rsidP="00D52B4F">
      <w:pPr>
        <w:pStyle w:val="subsection"/>
      </w:pPr>
      <w:r w:rsidRPr="009C2562">
        <w:tab/>
      </w:r>
      <w:r w:rsidRPr="009C2562">
        <w:tab/>
        <w:t xml:space="preserve">This </w:t>
      </w:r>
      <w:r>
        <w:t xml:space="preserve">instrument </w:t>
      </w:r>
      <w:r w:rsidRPr="009C2562">
        <w:t xml:space="preserve">is the </w:t>
      </w:r>
      <w:r w:rsidRPr="00283794">
        <w:rPr>
          <w:i/>
        </w:rPr>
        <w:t>Social Security (Administration) (Trial – Declinable Transactions and Welfare Restricted Bank Account) Determination 2018</w:t>
      </w:r>
      <w:r w:rsidRPr="009C2562">
        <w:t>.</w:t>
      </w:r>
    </w:p>
    <w:p w:rsidR="00D52B4F" w:rsidRDefault="00D52B4F" w:rsidP="00D52B4F">
      <w:pPr>
        <w:pStyle w:val="ActHead5"/>
      </w:pPr>
      <w:bookmarkStart w:id="2" w:name="_Toc507755843"/>
      <w:proofErr w:type="gramStart"/>
      <w:r w:rsidRPr="009C2562">
        <w:rPr>
          <w:rStyle w:val="CharSectno"/>
        </w:rPr>
        <w:t>2</w:t>
      </w:r>
      <w:r w:rsidRPr="009C2562">
        <w:t xml:space="preserve">  Commencement</w:t>
      </w:r>
      <w:bookmarkEnd w:id="2"/>
      <w:proofErr w:type="gramEnd"/>
    </w:p>
    <w:p w:rsidR="00D52B4F" w:rsidRPr="00232984" w:rsidRDefault="00D52B4F" w:rsidP="00D52B4F">
      <w:pPr>
        <w:pStyle w:val="subsection"/>
      </w:pPr>
      <w:r>
        <w:tab/>
      </w:r>
      <w:r>
        <w:tab/>
        <w:t>This instrument commences on the day it is registered.</w:t>
      </w:r>
    </w:p>
    <w:p w:rsidR="00D52B4F" w:rsidRDefault="00D52B4F" w:rsidP="00D52B4F">
      <w:pPr>
        <w:pStyle w:val="ActHead5"/>
      </w:pPr>
      <w:bookmarkStart w:id="3" w:name="_Toc507755844"/>
      <w:proofErr w:type="gramStart"/>
      <w:r>
        <w:rPr>
          <w:rStyle w:val="CharSectno"/>
        </w:rPr>
        <w:t>3</w:t>
      </w:r>
      <w:r w:rsidRPr="009C2562">
        <w:t xml:space="preserve">  </w:t>
      </w:r>
      <w:r>
        <w:t>Repeal</w:t>
      </w:r>
      <w:bookmarkEnd w:id="3"/>
      <w:proofErr w:type="gramEnd"/>
    </w:p>
    <w:p w:rsidR="00D52B4F" w:rsidRPr="00684AB0" w:rsidRDefault="00D52B4F" w:rsidP="00D52B4F">
      <w:pPr>
        <w:pStyle w:val="subsection"/>
      </w:pPr>
      <w:r>
        <w:tab/>
      </w:r>
      <w:r>
        <w:tab/>
        <w:t>This instrument will be repealed at the start of 1 July 2019.</w:t>
      </w:r>
    </w:p>
    <w:p w:rsidR="00D52B4F" w:rsidRPr="009C2562" w:rsidRDefault="00D52B4F" w:rsidP="00D52B4F">
      <w:pPr>
        <w:pStyle w:val="ActHead5"/>
      </w:pPr>
      <w:bookmarkStart w:id="4" w:name="_Toc507755845"/>
      <w:proofErr w:type="gramStart"/>
      <w:r>
        <w:rPr>
          <w:rStyle w:val="CharSectno"/>
        </w:rPr>
        <w:t>4</w:t>
      </w:r>
      <w:r w:rsidRPr="009C2562">
        <w:t xml:space="preserve">  </w:t>
      </w:r>
      <w:r>
        <w:t>Authority</w:t>
      </w:r>
      <w:bookmarkEnd w:id="4"/>
      <w:proofErr w:type="gramEnd"/>
    </w:p>
    <w:p w:rsidR="00D52B4F" w:rsidRPr="009C2562" w:rsidRDefault="00D52B4F" w:rsidP="00D52B4F">
      <w:pPr>
        <w:pStyle w:val="subsection"/>
      </w:pPr>
      <w:r w:rsidRPr="009C2562">
        <w:tab/>
      </w:r>
      <w:r w:rsidRPr="009C2562">
        <w:tab/>
        <w:t xml:space="preserve">This instrument is made under </w:t>
      </w:r>
      <w:r>
        <w:t xml:space="preserve">subsections </w:t>
      </w:r>
      <w:proofErr w:type="gramStart"/>
      <w:r>
        <w:t>124PP(</w:t>
      </w:r>
      <w:proofErr w:type="gramEnd"/>
      <w:r>
        <w:t xml:space="preserve">1) and 124PQ(2) </w:t>
      </w:r>
      <w:r w:rsidRPr="001B0F5B">
        <w:t xml:space="preserve">of the </w:t>
      </w:r>
      <w:r w:rsidRPr="001B0F5B">
        <w:rPr>
          <w:i/>
        </w:rPr>
        <w:t>Social Security (Administration) Act 1999</w:t>
      </w:r>
      <w:r w:rsidRPr="009C2562">
        <w:t>.</w:t>
      </w:r>
    </w:p>
    <w:p w:rsidR="00D52B4F" w:rsidRPr="006065DA" w:rsidRDefault="00D52B4F" w:rsidP="00D52B4F">
      <w:pPr>
        <w:pStyle w:val="ActHead5"/>
      </w:pPr>
      <w:bookmarkStart w:id="5" w:name="_Toc507755846"/>
      <w:proofErr w:type="gramStart"/>
      <w:r>
        <w:t>5</w:t>
      </w:r>
      <w:r w:rsidRPr="006065DA">
        <w:t xml:space="preserve">  Schedules</w:t>
      </w:r>
      <w:bookmarkEnd w:id="5"/>
      <w:proofErr w:type="gramEnd"/>
    </w:p>
    <w:p w:rsidR="00D52B4F" w:rsidRDefault="00D52B4F" w:rsidP="00D52B4F">
      <w:pPr>
        <w:pStyle w:val="subsection"/>
      </w:pPr>
      <w:r w:rsidRPr="006065DA">
        <w:tab/>
      </w:r>
      <w:r w:rsidRPr="006065DA">
        <w:tab/>
        <w:t>Each instrument that is specified in Schedule</w:t>
      </w:r>
      <w:r>
        <w:t xml:space="preserve"> 1</w:t>
      </w:r>
      <w:r w:rsidRPr="006065DA">
        <w:t xml:space="preserve"> to this instrument is repealed as set out in </w:t>
      </w:r>
      <w:r>
        <w:t>that schedule</w:t>
      </w:r>
      <w:r w:rsidRPr="006065DA">
        <w:t>, and any other item in a Schedule to this instrument has effect according to its terms.</w:t>
      </w:r>
    </w:p>
    <w:p w:rsidR="00D52B4F" w:rsidRDefault="00D52B4F" w:rsidP="00D52B4F">
      <w:pPr>
        <w:pStyle w:val="ActHead5"/>
      </w:pPr>
      <w:bookmarkStart w:id="6" w:name="_Toc507755847"/>
      <w:proofErr w:type="gramStart"/>
      <w:r>
        <w:t>6</w:t>
      </w:r>
      <w:r w:rsidRPr="006065DA">
        <w:t xml:space="preserve">  </w:t>
      </w:r>
      <w:r>
        <w:t>Definitions</w:t>
      </w:r>
      <w:bookmarkEnd w:id="6"/>
      <w:proofErr w:type="gramEnd"/>
      <w:r>
        <w:t xml:space="preserve"> </w:t>
      </w:r>
    </w:p>
    <w:p w:rsidR="00D52B4F" w:rsidRPr="00D45C13" w:rsidRDefault="00D52B4F" w:rsidP="00D52B4F">
      <w:pPr>
        <w:pStyle w:val="notetext"/>
        <w:rPr>
          <w:szCs w:val="18"/>
        </w:rPr>
      </w:pPr>
      <w:r w:rsidRPr="00D45C13">
        <w:rPr>
          <w:szCs w:val="18"/>
        </w:rPr>
        <w:t>Note:</w:t>
      </w:r>
      <w:r w:rsidRPr="00D45C13">
        <w:rPr>
          <w:szCs w:val="18"/>
        </w:rPr>
        <w:tab/>
        <w:t>A number of expressions used in this instrument are defined in the Act, including the following:</w:t>
      </w:r>
    </w:p>
    <w:p w:rsidR="00D52B4F" w:rsidRPr="0069099D" w:rsidRDefault="00D52B4F" w:rsidP="00D52B4F">
      <w:pPr>
        <w:pStyle w:val="notepara"/>
        <w:numPr>
          <w:ilvl w:val="0"/>
          <w:numId w:val="1"/>
        </w:numPr>
        <w:rPr>
          <w:szCs w:val="18"/>
        </w:rPr>
      </w:pPr>
      <w:proofErr w:type="spellStart"/>
      <w:r w:rsidRPr="0080751E">
        <w:t>restrictable</w:t>
      </w:r>
      <w:proofErr w:type="spellEnd"/>
      <w:r w:rsidRPr="0080751E">
        <w:t xml:space="preserve"> payment</w:t>
      </w:r>
      <w:r>
        <w:t xml:space="preserve">; </w:t>
      </w:r>
    </w:p>
    <w:p w:rsidR="00D52B4F" w:rsidRPr="008D5AC6" w:rsidRDefault="00D52B4F" w:rsidP="00D52B4F">
      <w:pPr>
        <w:pStyle w:val="notepara"/>
        <w:numPr>
          <w:ilvl w:val="0"/>
          <w:numId w:val="1"/>
        </w:numPr>
        <w:rPr>
          <w:szCs w:val="18"/>
        </w:rPr>
      </w:pPr>
      <w:r>
        <w:t>trial participant;</w:t>
      </w:r>
    </w:p>
    <w:p w:rsidR="00D52B4F" w:rsidRPr="00C64DBD" w:rsidRDefault="00D52B4F" w:rsidP="00D52B4F">
      <w:pPr>
        <w:pStyle w:val="notepara"/>
        <w:numPr>
          <w:ilvl w:val="0"/>
          <w:numId w:val="1"/>
        </w:numPr>
        <w:rPr>
          <w:szCs w:val="18"/>
        </w:rPr>
      </w:pPr>
      <w:proofErr w:type="gramStart"/>
      <w:r>
        <w:rPr>
          <w:szCs w:val="18"/>
        </w:rPr>
        <w:t>voluntary</w:t>
      </w:r>
      <w:proofErr w:type="gramEnd"/>
      <w:r>
        <w:rPr>
          <w:szCs w:val="18"/>
        </w:rPr>
        <w:t xml:space="preserve"> participant.</w:t>
      </w:r>
    </w:p>
    <w:p w:rsidR="00D52B4F" w:rsidRPr="003C369F" w:rsidRDefault="00D52B4F" w:rsidP="00D52B4F">
      <w:pPr>
        <w:pStyle w:val="notepara"/>
        <w:rPr>
          <w:szCs w:val="18"/>
        </w:rPr>
      </w:pPr>
    </w:p>
    <w:p w:rsidR="00D52B4F" w:rsidRPr="009C2562" w:rsidRDefault="00D52B4F" w:rsidP="00D52B4F">
      <w:pPr>
        <w:pStyle w:val="subsection"/>
      </w:pPr>
      <w:r w:rsidRPr="0087041F">
        <w:tab/>
      </w:r>
      <w:r w:rsidRPr="0087041F">
        <w:tab/>
        <w:t>In this instrument:</w:t>
      </w:r>
    </w:p>
    <w:p w:rsidR="00D52B4F" w:rsidRDefault="00D52B4F" w:rsidP="00D52B4F">
      <w:pPr>
        <w:pStyle w:val="subsection"/>
      </w:pPr>
      <w:r>
        <w:tab/>
      </w:r>
      <w:r>
        <w:tab/>
      </w:r>
      <w:r w:rsidRPr="00CB5466">
        <w:rPr>
          <w:b/>
          <w:i/>
        </w:rPr>
        <w:t>Act</w:t>
      </w:r>
      <w:r>
        <w:t xml:space="preserve"> means the </w:t>
      </w:r>
      <w:r w:rsidRPr="0007493B">
        <w:rPr>
          <w:i/>
        </w:rPr>
        <w:t>Social Security (Administration) Act 1999</w:t>
      </w:r>
      <w:r>
        <w:t>.</w:t>
      </w:r>
    </w:p>
    <w:p w:rsidR="00D52B4F" w:rsidRDefault="00D52B4F" w:rsidP="00D52B4F">
      <w:pPr>
        <w:pStyle w:val="subsection"/>
      </w:pPr>
      <w:r>
        <w:tab/>
      </w:r>
      <w:r>
        <w:tab/>
      </w:r>
      <w:proofErr w:type="gramStart"/>
      <w:r>
        <w:rPr>
          <w:b/>
          <w:i/>
        </w:rPr>
        <w:t>e</w:t>
      </w:r>
      <w:r w:rsidRPr="00CB5466">
        <w:rPr>
          <w:b/>
          <w:i/>
        </w:rPr>
        <w:t>xcluded</w:t>
      </w:r>
      <w:proofErr w:type="gramEnd"/>
      <w:r w:rsidRPr="00CB5466">
        <w:rPr>
          <w:b/>
          <w:i/>
        </w:rPr>
        <w:t xml:space="preserve"> goods or services</w:t>
      </w:r>
      <w:r>
        <w:t xml:space="preserve"> means goods or services specified in item (5) of Schedule 2 to this instrument.</w:t>
      </w:r>
    </w:p>
    <w:p w:rsidR="00D52B4F" w:rsidRDefault="00D52B4F" w:rsidP="00D52B4F">
      <w:pPr>
        <w:pStyle w:val="subsection"/>
      </w:pPr>
      <w:r>
        <w:tab/>
      </w:r>
      <w:r>
        <w:tab/>
      </w:r>
      <w:proofErr w:type="spellStart"/>
      <w:r w:rsidRPr="00CB5466">
        <w:rPr>
          <w:b/>
          <w:i/>
        </w:rPr>
        <w:t>Indue</w:t>
      </w:r>
      <w:proofErr w:type="spellEnd"/>
      <w:r w:rsidRPr="00CB5466">
        <w:rPr>
          <w:b/>
          <w:i/>
        </w:rPr>
        <w:t xml:space="preserve"> Limited</w:t>
      </w:r>
      <w:r>
        <w:t xml:space="preserve"> means </w:t>
      </w:r>
      <w:proofErr w:type="spellStart"/>
      <w:r>
        <w:t>Indue</w:t>
      </w:r>
      <w:proofErr w:type="spellEnd"/>
      <w:r>
        <w:t xml:space="preserve"> Ltd (ABN 97 087 822 464).</w:t>
      </w:r>
    </w:p>
    <w:p w:rsidR="00D52B4F" w:rsidRDefault="00D52B4F" w:rsidP="00D52B4F">
      <w:pPr>
        <w:pStyle w:val="subsection"/>
      </w:pPr>
      <w:r>
        <w:tab/>
      </w:r>
      <w:r>
        <w:tab/>
      </w:r>
      <w:proofErr w:type="gramStart"/>
      <w:r>
        <w:rPr>
          <w:b/>
          <w:i/>
        </w:rPr>
        <w:t>t</w:t>
      </w:r>
      <w:r w:rsidRPr="00CB5466">
        <w:rPr>
          <w:b/>
          <w:i/>
        </w:rPr>
        <w:t>rial</w:t>
      </w:r>
      <w:proofErr w:type="gramEnd"/>
      <w:r w:rsidRPr="00CB5466">
        <w:rPr>
          <w:b/>
          <w:i/>
        </w:rPr>
        <w:t xml:space="preserve"> period</w:t>
      </w:r>
      <w:r>
        <w:t xml:space="preserve"> means the period specified in subsection 124PF(1) of the Act.</w:t>
      </w:r>
    </w:p>
    <w:p w:rsidR="00D52B4F" w:rsidRPr="00CB5466" w:rsidRDefault="00D52B4F" w:rsidP="00D52B4F">
      <w:pPr>
        <w:pStyle w:val="subsection"/>
      </w:pPr>
      <w:r>
        <w:tab/>
      </w:r>
      <w:r>
        <w:tab/>
      </w:r>
      <w:proofErr w:type="gramStart"/>
      <w:r>
        <w:rPr>
          <w:b/>
          <w:i/>
        </w:rPr>
        <w:t>w</w:t>
      </w:r>
      <w:r w:rsidRPr="00CB5466">
        <w:rPr>
          <w:b/>
          <w:i/>
        </w:rPr>
        <w:t>elfare</w:t>
      </w:r>
      <w:proofErr w:type="gramEnd"/>
      <w:r w:rsidRPr="00CB5466">
        <w:rPr>
          <w:b/>
          <w:i/>
        </w:rPr>
        <w:t xml:space="preserve"> restricted bank account</w:t>
      </w:r>
      <w:r>
        <w:t xml:space="preserve"> is a bank account of the kind referred to in section 7 of this instrument.</w:t>
      </w:r>
    </w:p>
    <w:p w:rsidR="00D52B4F" w:rsidRDefault="00D52B4F" w:rsidP="00D52B4F">
      <w:pPr>
        <w:pStyle w:val="subsection"/>
      </w:pPr>
    </w:p>
    <w:p w:rsidR="00D52B4F" w:rsidRPr="0039295B" w:rsidRDefault="00D52B4F" w:rsidP="00D52B4F">
      <w:pPr>
        <w:pStyle w:val="ActHead6"/>
        <w:rPr>
          <w:rStyle w:val="CharSectno"/>
          <w:szCs w:val="32"/>
        </w:rPr>
      </w:pPr>
      <w:r>
        <w:br w:type="column"/>
      </w:r>
      <w:bookmarkStart w:id="7" w:name="_Toc507755848"/>
      <w:r w:rsidRPr="00AD24F4">
        <w:lastRenderedPageBreak/>
        <w:t>Part 2 — Declinable Transactions</w:t>
      </w:r>
      <w:bookmarkEnd w:id="7"/>
      <w:r w:rsidRPr="00AD24F4">
        <w:t xml:space="preserve">    </w:t>
      </w:r>
    </w:p>
    <w:p w:rsidR="00D52B4F" w:rsidRPr="006065DA" w:rsidRDefault="00D52B4F" w:rsidP="00D52B4F">
      <w:pPr>
        <w:pStyle w:val="ActHead5"/>
      </w:pPr>
      <w:bookmarkStart w:id="8" w:name="_Toc507755849"/>
      <w:proofErr w:type="gramStart"/>
      <w:r>
        <w:t xml:space="preserve">7  </w:t>
      </w:r>
      <w:r w:rsidRPr="0080751E">
        <w:t>Declining</w:t>
      </w:r>
      <w:proofErr w:type="gramEnd"/>
      <w:r w:rsidRPr="0080751E">
        <w:t xml:space="preserve"> of a transaction by a financial institution</w:t>
      </w:r>
      <w:bookmarkEnd w:id="8"/>
    </w:p>
    <w:p w:rsidR="00D52B4F" w:rsidRDefault="00D52B4F" w:rsidP="00D52B4F">
      <w:pPr>
        <w:pStyle w:val="subsection"/>
      </w:pPr>
      <w:r w:rsidRPr="006065DA">
        <w:tab/>
      </w:r>
      <w:r w:rsidRPr="006065DA">
        <w:tab/>
      </w:r>
      <w:r w:rsidRPr="0080751E">
        <w:t xml:space="preserve">For the purposes of subsection 124PQ(2) of the Act, the kinds of businesses specified in Schedule </w:t>
      </w:r>
      <w:r>
        <w:t>2</w:t>
      </w:r>
      <w:r w:rsidRPr="0080751E">
        <w:t xml:space="preserve">, Schedule </w:t>
      </w:r>
      <w:r>
        <w:t>3</w:t>
      </w:r>
      <w:r w:rsidRPr="0080751E">
        <w:t xml:space="preserve">, Schedule </w:t>
      </w:r>
      <w:r>
        <w:t>4</w:t>
      </w:r>
      <w:r w:rsidRPr="0080751E">
        <w:t xml:space="preserve">, Schedule </w:t>
      </w:r>
      <w:r>
        <w:t>5</w:t>
      </w:r>
      <w:r w:rsidRPr="0080751E">
        <w:t xml:space="preserve">, Schedule </w:t>
      </w:r>
      <w:r>
        <w:t>6</w:t>
      </w:r>
      <w:r w:rsidRPr="0080751E">
        <w:t xml:space="preserve"> or Schedule </w:t>
      </w:r>
      <w:r>
        <w:t>7</w:t>
      </w:r>
      <w:r w:rsidRPr="0080751E">
        <w:t xml:space="preserve"> to this </w:t>
      </w:r>
      <w:r>
        <w:t>instrument</w:t>
      </w:r>
      <w:r w:rsidRPr="0080751E">
        <w:t xml:space="preserve"> are kinds of businesses in relation to which transactions involving money in a welfare restricted bank account may be declined by a financial institution.</w:t>
      </w:r>
      <w:r>
        <w:t xml:space="preserve"> </w:t>
      </w:r>
    </w:p>
    <w:p w:rsidR="00D52B4F" w:rsidRDefault="00D52B4F" w:rsidP="00D52B4F">
      <w:pPr>
        <w:pStyle w:val="ActHead6"/>
      </w:pPr>
      <w:r>
        <w:br w:type="column"/>
      </w:r>
      <w:bookmarkStart w:id="9" w:name="_Toc507755850"/>
      <w:r w:rsidRPr="00AD24F4">
        <w:lastRenderedPageBreak/>
        <w:t>Part 3 — Welfare Restricted Bank Account</w:t>
      </w:r>
      <w:bookmarkEnd w:id="9"/>
      <w:r>
        <w:t xml:space="preserve">    </w:t>
      </w:r>
    </w:p>
    <w:p w:rsidR="00D52B4F" w:rsidRPr="006065DA" w:rsidRDefault="00D52B4F" w:rsidP="00D52B4F">
      <w:pPr>
        <w:pStyle w:val="ActHead5"/>
      </w:pPr>
      <w:bookmarkStart w:id="10" w:name="_Toc507755851"/>
      <w:proofErr w:type="gramStart"/>
      <w:r>
        <w:t xml:space="preserve">8  </w:t>
      </w:r>
      <w:r w:rsidRPr="0080751E">
        <w:t>Welfare</w:t>
      </w:r>
      <w:proofErr w:type="gramEnd"/>
      <w:r w:rsidRPr="0080751E">
        <w:t xml:space="preserve"> restricted bank account</w:t>
      </w:r>
      <w:bookmarkEnd w:id="10"/>
    </w:p>
    <w:p w:rsidR="00D52B4F" w:rsidRDefault="00D52B4F" w:rsidP="00D52B4F">
      <w:pPr>
        <w:pStyle w:val="subsection"/>
      </w:pPr>
      <w:r w:rsidRPr="006065DA">
        <w:tab/>
      </w:r>
      <w:r w:rsidRPr="006065DA">
        <w:tab/>
      </w:r>
      <w:r w:rsidRPr="0080751E">
        <w:t xml:space="preserve">For the purposes of subsection 124PP(1) of the Act, the kind of bank account to be maintained by a trial participant or voluntary participant for the receipt of </w:t>
      </w:r>
      <w:proofErr w:type="spellStart"/>
      <w:r w:rsidRPr="0080751E">
        <w:t>restrictable</w:t>
      </w:r>
      <w:proofErr w:type="spellEnd"/>
      <w:r w:rsidRPr="0080751E">
        <w:t xml:space="preserve"> payments is a debit card account established with </w:t>
      </w:r>
      <w:proofErr w:type="spellStart"/>
      <w:r w:rsidRPr="0080751E">
        <w:t>Indue</w:t>
      </w:r>
      <w:proofErr w:type="spellEnd"/>
      <w:r w:rsidRPr="0080751E">
        <w:t xml:space="preserve"> Limited.</w:t>
      </w:r>
      <w:r>
        <w:t xml:space="preserve"> </w:t>
      </w:r>
    </w:p>
    <w:p w:rsidR="00D52B4F" w:rsidRPr="006065DA" w:rsidRDefault="00D52B4F" w:rsidP="00D52B4F">
      <w:pPr>
        <w:pStyle w:val="ActHead5"/>
      </w:pPr>
      <w:bookmarkStart w:id="11" w:name="_Toc507755852"/>
      <w:proofErr w:type="gramStart"/>
      <w:r>
        <w:t>9</w:t>
      </w:r>
      <w:r w:rsidRPr="006065DA">
        <w:t xml:space="preserve"> </w:t>
      </w:r>
      <w:r>
        <w:t xml:space="preserve"> </w:t>
      </w:r>
      <w:r w:rsidRPr="0080751E">
        <w:t>Terms</w:t>
      </w:r>
      <w:proofErr w:type="gramEnd"/>
      <w:r w:rsidRPr="0080751E">
        <w:t xml:space="preserve"> and conditions of welfare restricted bank account</w:t>
      </w:r>
      <w:bookmarkEnd w:id="11"/>
    </w:p>
    <w:p w:rsidR="00D52B4F" w:rsidRPr="0080751E" w:rsidRDefault="00D52B4F" w:rsidP="00D52B4F">
      <w:pPr>
        <w:pStyle w:val="subsection"/>
      </w:pPr>
      <w:r>
        <w:tab/>
      </w:r>
      <w:r>
        <w:tab/>
      </w:r>
      <w:r w:rsidRPr="0080751E">
        <w:t xml:space="preserve">For the purposes of subsection 124PP(2) of the Act, a welfare restricted bank account is subject to the terms and conditions set out in Schedule </w:t>
      </w:r>
      <w:r>
        <w:t>8</w:t>
      </w:r>
      <w:r w:rsidRPr="0080751E">
        <w:t xml:space="preserve"> to this </w:t>
      </w:r>
      <w:r>
        <w:t>instrument</w:t>
      </w:r>
      <w:r w:rsidRPr="0080751E">
        <w:t>.</w:t>
      </w:r>
    </w:p>
    <w:p w:rsidR="00D52B4F" w:rsidRDefault="00D52B4F" w:rsidP="00D52B4F">
      <w:pPr>
        <w:pStyle w:val="subsection"/>
      </w:pPr>
      <w:bookmarkStart w:id="12" w:name="_GoBack"/>
      <w:bookmarkEnd w:id="12"/>
    </w:p>
    <w:p w:rsidR="00D52B4F" w:rsidRPr="00666CB7" w:rsidRDefault="00D52B4F" w:rsidP="00D52B4F">
      <w:pPr>
        <w:pStyle w:val="ActHead6"/>
        <w:pageBreakBefore/>
      </w:pPr>
      <w:bookmarkStart w:id="13" w:name="_Toc507755853"/>
      <w:r w:rsidRPr="00666CB7">
        <w:rPr>
          <w:rStyle w:val="CharAmSchNo"/>
        </w:rPr>
        <w:lastRenderedPageBreak/>
        <w:t>Schedule 1</w:t>
      </w:r>
      <w:r w:rsidRPr="00666CB7">
        <w:t>—</w:t>
      </w:r>
      <w:r>
        <w:rPr>
          <w:rStyle w:val="CharAmSchText"/>
        </w:rPr>
        <w:t>Repeals</w:t>
      </w:r>
      <w:bookmarkEnd w:id="13"/>
    </w:p>
    <w:p w:rsidR="00D52B4F" w:rsidRPr="00666CB7" w:rsidRDefault="00D52B4F" w:rsidP="00D52B4F">
      <w:pPr>
        <w:pStyle w:val="ActHead9"/>
        <w:ind w:left="0" w:firstLine="0"/>
      </w:pPr>
      <w:bookmarkStart w:id="14" w:name="_Toc507755854"/>
      <w:r w:rsidRPr="00666CB7">
        <w:t>Social Security (Administration) (Trial - Declinable Transactions) Determination 2016</w:t>
      </w:r>
      <w:bookmarkEnd w:id="14"/>
    </w:p>
    <w:p w:rsidR="00D52B4F" w:rsidRPr="00666CB7" w:rsidRDefault="00D52B4F" w:rsidP="00D52B4F">
      <w:pPr>
        <w:pStyle w:val="ItemHead"/>
      </w:pPr>
      <w:proofErr w:type="gramStart"/>
      <w:r>
        <w:t>1</w:t>
      </w:r>
      <w:r w:rsidRPr="00666CB7">
        <w:t xml:space="preserve">  </w:t>
      </w:r>
      <w:r>
        <w:t>The</w:t>
      </w:r>
      <w:proofErr w:type="gramEnd"/>
      <w:r>
        <w:t xml:space="preserve"> whole instrument</w:t>
      </w:r>
    </w:p>
    <w:p w:rsidR="00D52B4F" w:rsidRDefault="00D52B4F" w:rsidP="00D52B4F">
      <w:pPr>
        <w:pStyle w:val="Item"/>
      </w:pPr>
      <w:r>
        <w:t>Repeal the instrument</w:t>
      </w:r>
    </w:p>
    <w:p w:rsidR="00D52B4F" w:rsidRPr="00666CB7" w:rsidRDefault="00D52B4F" w:rsidP="00D52B4F">
      <w:pPr>
        <w:pStyle w:val="ActHead9"/>
        <w:ind w:left="0" w:firstLine="0"/>
      </w:pPr>
      <w:bookmarkStart w:id="15" w:name="_Toc507755855"/>
      <w:r w:rsidRPr="00666CB7">
        <w:t>Social Security (Administration) (Welfare Restricted Bank Account) Determination 2016</w:t>
      </w:r>
      <w:bookmarkEnd w:id="15"/>
    </w:p>
    <w:p w:rsidR="00D52B4F" w:rsidRPr="00666CB7" w:rsidRDefault="00D52B4F" w:rsidP="00D52B4F">
      <w:pPr>
        <w:pStyle w:val="ItemHead"/>
      </w:pPr>
      <w:proofErr w:type="gramStart"/>
      <w:r>
        <w:t>2</w:t>
      </w:r>
      <w:r w:rsidRPr="00666CB7">
        <w:t xml:space="preserve">  </w:t>
      </w:r>
      <w:r>
        <w:t>The</w:t>
      </w:r>
      <w:proofErr w:type="gramEnd"/>
      <w:r>
        <w:t xml:space="preserve"> whole instrument</w:t>
      </w:r>
    </w:p>
    <w:p w:rsidR="00D52B4F" w:rsidRPr="004213DF" w:rsidRDefault="00D52B4F" w:rsidP="00D52B4F">
      <w:pPr>
        <w:pStyle w:val="Item"/>
      </w:pPr>
      <w:r>
        <w:t>Repeal the instrument</w:t>
      </w:r>
    </w:p>
    <w:p w:rsidR="00D52B4F" w:rsidRPr="004213DF" w:rsidRDefault="00D52B4F" w:rsidP="00D52B4F">
      <w:pPr>
        <w:pStyle w:val="ActHead6"/>
        <w:pageBreakBefore/>
        <w:ind w:left="0" w:firstLine="0"/>
        <w:rPr>
          <w:rStyle w:val="CharAmSchNo"/>
        </w:rPr>
      </w:pPr>
      <w:bookmarkStart w:id="16" w:name="_Toc507755856"/>
      <w:r w:rsidRPr="00666CB7">
        <w:rPr>
          <w:rStyle w:val="CharAmSchNo"/>
        </w:rPr>
        <w:lastRenderedPageBreak/>
        <w:t>Schedule </w:t>
      </w:r>
      <w:r>
        <w:rPr>
          <w:rStyle w:val="CharAmSchNo"/>
        </w:rPr>
        <w:t>2</w:t>
      </w:r>
      <w:r w:rsidRPr="004213DF">
        <w:rPr>
          <w:rStyle w:val="CharAmSchNo"/>
        </w:rPr>
        <w:t xml:space="preserve">—Declared kinds of business pursuant to s </w:t>
      </w:r>
      <w:proofErr w:type="gramStart"/>
      <w:r w:rsidRPr="004213DF">
        <w:rPr>
          <w:rStyle w:val="CharAmSchNo"/>
        </w:rPr>
        <w:t>124PQ(</w:t>
      </w:r>
      <w:proofErr w:type="gramEnd"/>
      <w:r w:rsidRPr="004213DF">
        <w:rPr>
          <w:rStyle w:val="CharAmSchNo"/>
        </w:rPr>
        <w:t>2) — By description</w:t>
      </w:r>
      <w:bookmarkEnd w:id="16"/>
    </w:p>
    <w:p w:rsidR="00D52B4F" w:rsidRPr="004213DF" w:rsidRDefault="00D52B4F" w:rsidP="00D52B4F">
      <w:pPr>
        <w:shd w:val="clear" w:color="auto" w:fill="FFFFFF"/>
        <w:spacing w:before="240"/>
        <w:ind w:left="964" w:hanging="964"/>
        <w:rPr>
          <w:rFonts w:ascii="Helvetica Neue" w:eastAsia="Times New Roman" w:hAnsi="Helvetica Neue" w:cs="Times New Roman"/>
          <w:sz w:val="19"/>
          <w:szCs w:val="19"/>
          <w:lang w:val="en-US" w:eastAsia="en-AU"/>
        </w:rPr>
      </w:pPr>
      <w:r w:rsidRPr="004213DF">
        <w:rPr>
          <w:rFonts w:ascii="Helvetica Neue" w:eastAsia="Times New Roman" w:hAnsi="Helvetica Neue" w:cs="Times New Roman"/>
          <w:sz w:val="24"/>
          <w:szCs w:val="24"/>
          <w:lang w:eastAsia="en-AU"/>
        </w:rPr>
        <w:t> </w:t>
      </w:r>
    </w:p>
    <w:tbl>
      <w:tblPr>
        <w:tblW w:w="0" w:type="auto"/>
        <w:tblInd w:w="9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7"/>
        <w:gridCol w:w="6521"/>
      </w:tblGrid>
      <w:tr w:rsidR="00D52B4F" w:rsidRPr="004213DF" w:rsidTr="002E0ABF">
        <w:tc>
          <w:tcPr>
            <w:tcW w:w="9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2B4F" w:rsidRPr="004213DF" w:rsidRDefault="00D52B4F" w:rsidP="002E0ABF">
            <w:pPr>
              <w:spacing w:before="240" w:after="100" w:afterAutospacing="1"/>
              <w:rPr>
                <w:rFonts w:eastAsia="Times New Roman" w:cs="Times New Roman"/>
                <w:szCs w:val="22"/>
                <w:lang w:eastAsia="en-AU"/>
              </w:rPr>
            </w:pPr>
            <w:r w:rsidRPr="004213DF">
              <w:rPr>
                <w:rFonts w:eastAsia="Times New Roman" w:cs="Times New Roman"/>
                <w:szCs w:val="22"/>
                <w:lang w:eastAsia="en-AU"/>
              </w:rPr>
              <w:t>Item</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2B4F" w:rsidRPr="004213DF" w:rsidRDefault="00D52B4F" w:rsidP="002E0ABF">
            <w:pPr>
              <w:spacing w:before="240" w:after="100" w:afterAutospacing="1"/>
              <w:rPr>
                <w:rFonts w:eastAsia="Times New Roman" w:cs="Times New Roman"/>
                <w:szCs w:val="22"/>
                <w:lang w:eastAsia="en-AU"/>
              </w:rPr>
            </w:pPr>
            <w:r w:rsidRPr="004213DF">
              <w:rPr>
                <w:rFonts w:eastAsia="Times New Roman" w:cs="Times New Roman"/>
                <w:szCs w:val="22"/>
                <w:lang w:eastAsia="en-AU"/>
              </w:rPr>
              <w:t>Description</w:t>
            </w:r>
          </w:p>
        </w:tc>
      </w:tr>
      <w:tr w:rsidR="00D52B4F" w:rsidRPr="004213DF" w:rsidTr="002E0ABF">
        <w:tc>
          <w:tcPr>
            <w:tcW w:w="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2B4F" w:rsidRPr="004213DF" w:rsidRDefault="00D52B4F" w:rsidP="002E0ABF">
            <w:pPr>
              <w:spacing w:before="240" w:after="100" w:afterAutospacing="1"/>
              <w:rPr>
                <w:rFonts w:eastAsia="Times New Roman" w:cs="Times New Roman"/>
                <w:szCs w:val="22"/>
                <w:lang w:eastAsia="en-AU"/>
              </w:rPr>
            </w:pPr>
            <w:r w:rsidRPr="004213DF">
              <w:rPr>
                <w:rFonts w:eastAsia="Times New Roman" w:cs="Times New Roman"/>
                <w:szCs w:val="22"/>
                <w:lang w:eastAsia="en-AU"/>
              </w:rPr>
              <w:t>1</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52B4F" w:rsidRPr="004213DF" w:rsidRDefault="00D52B4F" w:rsidP="002E0ABF">
            <w:pPr>
              <w:spacing w:before="240" w:after="100" w:afterAutospacing="1"/>
              <w:rPr>
                <w:rFonts w:eastAsia="Times New Roman" w:cs="Times New Roman"/>
                <w:szCs w:val="22"/>
                <w:lang w:eastAsia="en-AU"/>
              </w:rPr>
            </w:pPr>
            <w:r w:rsidRPr="004213DF">
              <w:rPr>
                <w:rFonts w:eastAsia="Times New Roman" w:cs="Times New Roman"/>
                <w:szCs w:val="22"/>
                <w:lang w:eastAsia="en-AU"/>
              </w:rPr>
              <w:t>A business which sells alcoholic beverages, gambling services or gift cards, store cards or vouchers (whether reloadable or not), that can be used to purchase alcoholic beverages or gambling services</w:t>
            </w:r>
          </w:p>
        </w:tc>
      </w:tr>
      <w:tr w:rsidR="00D52B4F" w:rsidRPr="004213DF" w:rsidTr="002E0ABF">
        <w:tc>
          <w:tcPr>
            <w:tcW w:w="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2B4F" w:rsidRPr="004213DF" w:rsidRDefault="00D52B4F" w:rsidP="002E0ABF">
            <w:pPr>
              <w:spacing w:before="240" w:after="100" w:afterAutospacing="1"/>
              <w:rPr>
                <w:rFonts w:eastAsia="Times New Roman" w:cs="Times New Roman"/>
                <w:szCs w:val="22"/>
                <w:lang w:eastAsia="en-AU"/>
              </w:rPr>
            </w:pPr>
            <w:r w:rsidRPr="004213DF">
              <w:rPr>
                <w:rFonts w:eastAsia="Times New Roman" w:cs="Times New Roman"/>
                <w:szCs w:val="22"/>
                <w:lang w:eastAsia="en-AU"/>
              </w:rPr>
              <w:t>2</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52B4F" w:rsidRPr="004213DF" w:rsidRDefault="00D52B4F" w:rsidP="002E0ABF">
            <w:pPr>
              <w:spacing w:before="240" w:after="100" w:afterAutospacing="1"/>
              <w:rPr>
                <w:rFonts w:eastAsia="Times New Roman" w:cs="Times New Roman"/>
                <w:szCs w:val="22"/>
                <w:lang w:eastAsia="en-AU"/>
              </w:rPr>
            </w:pPr>
            <w:r w:rsidRPr="004213DF">
              <w:rPr>
                <w:rFonts w:eastAsia="Times New Roman" w:cs="Times New Roman"/>
                <w:szCs w:val="22"/>
                <w:lang w:eastAsia="en-AU"/>
              </w:rPr>
              <w:t>A business from which purchases may be made via online transactions or without the need to present a debit card, and the transaction involving money in a welfare restricted bank account is proposed to be made without presenting a welfare restricted bank account debit card</w:t>
            </w:r>
          </w:p>
        </w:tc>
      </w:tr>
      <w:tr w:rsidR="00D52B4F" w:rsidRPr="004213DF" w:rsidTr="002E0ABF">
        <w:tc>
          <w:tcPr>
            <w:tcW w:w="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2B4F" w:rsidRPr="004213DF" w:rsidRDefault="00D52B4F" w:rsidP="002E0ABF">
            <w:pPr>
              <w:spacing w:before="240" w:after="100" w:afterAutospacing="1"/>
              <w:rPr>
                <w:rFonts w:eastAsia="Times New Roman" w:cs="Times New Roman"/>
                <w:szCs w:val="22"/>
                <w:lang w:eastAsia="en-AU"/>
              </w:rPr>
            </w:pPr>
            <w:r w:rsidRPr="004213DF">
              <w:rPr>
                <w:rFonts w:eastAsia="Times New Roman" w:cs="Times New Roman"/>
                <w:szCs w:val="22"/>
                <w:lang w:eastAsia="en-AU"/>
              </w:rPr>
              <w:t> </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D52B4F" w:rsidRPr="004213DF" w:rsidRDefault="00D52B4F" w:rsidP="002E0ABF">
            <w:pPr>
              <w:spacing w:before="240" w:after="100" w:afterAutospacing="1"/>
              <w:rPr>
                <w:rFonts w:eastAsia="Times New Roman" w:cs="Times New Roman"/>
                <w:szCs w:val="22"/>
                <w:lang w:eastAsia="en-AU"/>
              </w:rPr>
            </w:pPr>
            <w:r w:rsidRPr="004213DF">
              <w:rPr>
                <w:rFonts w:eastAsia="Times New Roman" w:cs="Times New Roman"/>
                <w:szCs w:val="22"/>
                <w:lang w:eastAsia="en-AU"/>
              </w:rPr>
              <w:t> </w:t>
            </w:r>
          </w:p>
        </w:tc>
      </w:tr>
    </w:tbl>
    <w:p w:rsidR="00D52B4F" w:rsidRPr="004213DF" w:rsidRDefault="00D52B4F" w:rsidP="00D52B4F">
      <w:pPr>
        <w:pStyle w:val="ActHead7"/>
      </w:pPr>
    </w:p>
    <w:p w:rsidR="00D52B4F" w:rsidRDefault="00D52B4F" w:rsidP="00D52B4F">
      <w:pPr>
        <w:pStyle w:val="ActHead6"/>
        <w:pageBreakBefore/>
        <w:ind w:left="0" w:firstLine="0"/>
        <w:rPr>
          <w:rStyle w:val="CharAmSchNo"/>
        </w:rPr>
      </w:pPr>
      <w:bookmarkStart w:id="17" w:name="_Toc507755857"/>
      <w:r w:rsidRPr="0080751E">
        <w:rPr>
          <w:rStyle w:val="CharAmSchNo"/>
        </w:rPr>
        <w:lastRenderedPageBreak/>
        <w:t xml:space="preserve">Schedule </w:t>
      </w:r>
      <w:r>
        <w:rPr>
          <w:rStyle w:val="CharAmSchNo"/>
        </w:rPr>
        <w:t>3</w:t>
      </w:r>
      <w:r w:rsidRPr="0080751E">
        <w:rPr>
          <w:rStyle w:val="CharAmSchNo"/>
        </w:rPr>
        <w:t xml:space="preserve">— </w:t>
      </w:r>
      <w:r w:rsidRPr="00C22C38">
        <w:rPr>
          <w:rStyle w:val="CharAmSchNo"/>
        </w:rPr>
        <w:t xml:space="preserve">Declared kinds of business pursuant to s </w:t>
      </w:r>
      <w:proofErr w:type="gramStart"/>
      <w:r w:rsidRPr="00C22C38">
        <w:rPr>
          <w:rStyle w:val="CharAmSchNo"/>
        </w:rPr>
        <w:t>124PQ(</w:t>
      </w:r>
      <w:proofErr w:type="gramEnd"/>
      <w:r w:rsidRPr="00C22C38">
        <w:rPr>
          <w:rStyle w:val="CharAmSchNo"/>
        </w:rPr>
        <w:t>2) of the Act — By Merchant Category</w:t>
      </w:r>
      <w:bookmarkEnd w:id="17"/>
      <w:r w:rsidRPr="00C22C38">
        <w:rPr>
          <w:rStyle w:val="CharAmSchNo"/>
        </w:rPr>
        <w:t xml:space="preserve"> </w:t>
      </w:r>
    </w:p>
    <w:p w:rsidR="00D52B4F" w:rsidRPr="00C22C38" w:rsidRDefault="00D52B4F" w:rsidP="00D52B4F">
      <w:pPr>
        <w:pStyle w:val="ActHead7"/>
      </w:pPr>
    </w:p>
    <w:tbl>
      <w:tblPr>
        <w:tblW w:w="8353" w:type="dxa"/>
        <w:tblInd w:w="-1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0"/>
        <w:gridCol w:w="1280"/>
        <w:gridCol w:w="5793"/>
      </w:tblGrid>
      <w:tr w:rsidR="00D52B4F" w:rsidRPr="00C22C38" w:rsidTr="002E0ABF">
        <w:trPr>
          <w:trHeight w:val="289"/>
        </w:trPr>
        <w:tc>
          <w:tcPr>
            <w:tcW w:w="1280" w:type="dxa"/>
            <w:tcBorders>
              <w:top w:val="single" w:sz="8" w:space="0" w:color="000000"/>
              <w:left w:val="single" w:sz="8" w:space="0" w:color="000000"/>
              <w:bottom w:val="single" w:sz="8" w:space="0" w:color="000000"/>
              <w:right w:val="single" w:sz="8" w:space="0" w:color="000000"/>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Item</w:t>
            </w:r>
          </w:p>
        </w:tc>
        <w:tc>
          <w:tcPr>
            <w:tcW w:w="128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MCC Code</w:t>
            </w:r>
          </w:p>
        </w:tc>
        <w:tc>
          <w:tcPr>
            <w:tcW w:w="579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ind w:left="19" w:hanging="19"/>
              <w:rPr>
                <w:rFonts w:eastAsia="Times New Roman" w:cs="Times New Roman"/>
                <w:szCs w:val="22"/>
                <w:lang w:eastAsia="en-AU"/>
              </w:rPr>
            </w:pPr>
            <w:r w:rsidRPr="00C22C38">
              <w:rPr>
                <w:rFonts w:eastAsia="Times New Roman" w:cs="Times New Roman"/>
                <w:szCs w:val="22"/>
                <w:lang w:eastAsia="en-AU"/>
              </w:rPr>
              <w:t>Description</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4829</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Quasi Cash - Wire Transfer Money Order</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5309</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Duty Free Stores</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3</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5813</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Drinking Places (Alcoholic Beverages) - Bars, Taverns, Nightclubs, Cocktail Lounges, and Discotheques</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4</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5921</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Package Stores--Beer, Wine, and Liquor</w:t>
            </w:r>
          </w:p>
        </w:tc>
      </w:tr>
      <w:tr w:rsidR="00D52B4F" w:rsidRPr="00C22C38" w:rsidTr="002E0ABF">
        <w:trPr>
          <w:trHeight w:val="427"/>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5</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6010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Financial Institutions--Manual Cash Disbursements </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6011</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Financial Institutions--Automated Cash Disbursements </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7</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6012</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Quasi Cash - Financial Institution - Merchandise and Services</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6050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Quasi Cash - Member Financial Institution</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9</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6051</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MasterCard - Quasi Cash-Merchant; Visa- None Financial Institutions - foreign currency, money orders (not wire transfer), &amp; Travelers Cheques</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10</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6211</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Securities - Brokers and Dealers</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11</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6529</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Quasi Cash - Remote Stored Value Load - Financial Institute</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12</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6530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Quasi Cash - Remote Stored Value Load - Merchant</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13</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6531</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Payment Service Provider</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14</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6534</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Quasi Cash - Money Transfer - Member Financial Institution</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15</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7511</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Quasi Cash - Truck Stop Transactions</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16</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7778</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proofErr w:type="spellStart"/>
            <w:r w:rsidRPr="00C22C38">
              <w:rPr>
                <w:rFonts w:eastAsia="Times New Roman" w:cs="Times New Roman"/>
                <w:color w:val="000000"/>
                <w:szCs w:val="22"/>
                <w:lang w:eastAsia="en-AU"/>
              </w:rPr>
              <w:t>Citishare</w:t>
            </w:r>
            <w:proofErr w:type="spellEnd"/>
            <w:r w:rsidRPr="00C22C38">
              <w:rPr>
                <w:rFonts w:eastAsia="Times New Roman" w:cs="Times New Roman"/>
                <w:color w:val="000000"/>
                <w:szCs w:val="22"/>
                <w:lang w:eastAsia="en-AU"/>
              </w:rPr>
              <w:t xml:space="preserve"> Cash Advance</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17</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7932</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Billiards &amp; Pool Establishments</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18</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7995</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Betting, including Lottery Tickets, Casino Gaming Chips, Off- Track Betting, and Wagers at Race Track</w:t>
            </w:r>
          </w:p>
        </w:tc>
      </w:tr>
      <w:tr w:rsidR="00D52B4F" w:rsidRPr="00C22C38" w:rsidTr="002E0ABF">
        <w:trPr>
          <w:trHeight w:val="289"/>
        </w:trPr>
        <w:tc>
          <w:tcPr>
            <w:tcW w:w="1280"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19</w:t>
            </w:r>
          </w:p>
        </w:tc>
        <w:tc>
          <w:tcPr>
            <w:tcW w:w="1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9754</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Quasi Cash - Gambling-Horse Racing, Dog Racing, State Lotteries</w:t>
            </w:r>
          </w:p>
        </w:tc>
      </w:tr>
    </w:tbl>
    <w:p w:rsidR="00D52B4F" w:rsidRPr="00C22C38" w:rsidRDefault="00D52B4F" w:rsidP="00D52B4F">
      <w:pPr>
        <w:pStyle w:val="ActHead7"/>
      </w:pPr>
    </w:p>
    <w:p w:rsidR="00D52B4F" w:rsidRDefault="00D52B4F" w:rsidP="00D52B4F">
      <w:pPr>
        <w:pStyle w:val="ActHead6"/>
        <w:pageBreakBefore/>
        <w:ind w:left="0" w:firstLine="0"/>
        <w:rPr>
          <w:rStyle w:val="CharAmSchNo"/>
        </w:rPr>
      </w:pPr>
      <w:bookmarkStart w:id="18" w:name="_Toc507755858"/>
      <w:r w:rsidRPr="0080751E">
        <w:rPr>
          <w:rStyle w:val="CharAmSchNo"/>
        </w:rPr>
        <w:lastRenderedPageBreak/>
        <w:t xml:space="preserve">Schedule </w:t>
      </w:r>
      <w:r>
        <w:rPr>
          <w:rStyle w:val="CharAmSchNo"/>
        </w:rPr>
        <w:t>4</w:t>
      </w:r>
      <w:r w:rsidRPr="0080751E">
        <w:rPr>
          <w:rStyle w:val="CharAmSchNo"/>
        </w:rPr>
        <w:t xml:space="preserve">— </w:t>
      </w:r>
      <w:r w:rsidRPr="00C22C38">
        <w:rPr>
          <w:rStyle w:val="CharAmSchNo"/>
        </w:rPr>
        <w:t xml:space="preserve">Declared kinds of business pursuant to s </w:t>
      </w:r>
      <w:proofErr w:type="gramStart"/>
      <w:r w:rsidRPr="00C22C38">
        <w:rPr>
          <w:rStyle w:val="CharAmSchNo"/>
        </w:rPr>
        <w:t>124PQ(</w:t>
      </w:r>
      <w:proofErr w:type="gramEnd"/>
      <w:r w:rsidRPr="00C22C38">
        <w:rPr>
          <w:rStyle w:val="CharAmSchNo"/>
        </w:rPr>
        <w:t>2) of the Act — By Australian New Zealand Standard Industrial Classification (ANZSIC) codes</w:t>
      </w:r>
      <w:bookmarkEnd w:id="18"/>
    </w:p>
    <w:p w:rsidR="00D52B4F" w:rsidRPr="00C22C38" w:rsidRDefault="00D52B4F" w:rsidP="00D52B4F">
      <w:pPr>
        <w:pStyle w:val="ActHead7"/>
      </w:pPr>
    </w:p>
    <w:tbl>
      <w:tblPr>
        <w:tblW w:w="8345" w:type="dxa"/>
        <w:tblInd w:w="-1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1200"/>
        <w:gridCol w:w="5945"/>
      </w:tblGrid>
      <w:tr w:rsidR="00D52B4F" w:rsidRPr="00C22C38" w:rsidTr="002E0ABF">
        <w:trPr>
          <w:trHeight w:val="315"/>
        </w:trPr>
        <w:tc>
          <w:tcPr>
            <w:tcW w:w="1200" w:type="dxa"/>
            <w:tcBorders>
              <w:top w:val="single" w:sz="8" w:space="0" w:color="000000"/>
              <w:left w:val="single" w:sz="8" w:space="0" w:color="000000"/>
              <w:bottom w:val="single" w:sz="8" w:space="0" w:color="000000"/>
              <w:right w:val="single" w:sz="8" w:space="0" w:color="000000"/>
            </w:tcBorders>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Item</w:t>
            </w:r>
          </w:p>
        </w:tc>
        <w:tc>
          <w:tcPr>
            <w:tcW w:w="12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ANZSIC code</w:t>
            </w:r>
          </w:p>
        </w:tc>
        <w:tc>
          <w:tcPr>
            <w:tcW w:w="594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szCs w:val="22"/>
                <w:lang w:eastAsia="en-AU"/>
              </w:rPr>
              <w:t>Description</w:t>
            </w:r>
          </w:p>
        </w:tc>
      </w:tr>
      <w:tr w:rsidR="00D52B4F" w:rsidRPr="00C22C38" w:rsidTr="002E0ABF">
        <w:trPr>
          <w:trHeight w:val="315"/>
        </w:trPr>
        <w:tc>
          <w:tcPr>
            <w:tcW w:w="1200" w:type="dxa"/>
            <w:tcBorders>
              <w:top w:val="nil"/>
              <w:left w:val="single" w:sz="8" w:space="0" w:color="auto"/>
              <w:bottom w:val="single" w:sz="8" w:space="0" w:color="auto"/>
              <w:right w:val="single" w:sz="8" w:space="0" w:color="auto"/>
            </w:tcBorders>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1</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1212</w:t>
            </w:r>
          </w:p>
        </w:tc>
        <w:tc>
          <w:tcPr>
            <w:tcW w:w="5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szCs w:val="22"/>
                <w:lang w:eastAsia="en-AU"/>
              </w:rPr>
              <w:t>Beer Manufacturing</w:t>
            </w:r>
          </w:p>
        </w:tc>
      </w:tr>
      <w:tr w:rsidR="00D52B4F" w:rsidRPr="00C22C38" w:rsidTr="002E0ABF">
        <w:trPr>
          <w:trHeight w:val="300"/>
        </w:trPr>
        <w:tc>
          <w:tcPr>
            <w:tcW w:w="1200" w:type="dxa"/>
            <w:tcBorders>
              <w:top w:val="nil"/>
              <w:left w:val="single" w:sz="8" w:space="0" w:color="auto"/>
              <w:bottom w:val="single" w:sz="8" w:space="0" w:color="auto"/>
              <w:right w:val="single" w:sz="8" w:space="0" w:color="auto"/>
            </w:tcBorders>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2</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1213</w:t>
            </w:r>
          </w:p>
        </w:tc>
        <w:tc>
          <w:tcPr>
            <w:tcW w:w="5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szCs w:val="22"/>
                <w:lang w:eastAsia="en-AU"/>
              </w:rPr>
              <w:t>Spirit Manufacturing</w:t>
            </w:r>
          </w:p>
        </w:tc>
      </w:tr>
      <w:tr w:rsidR="00D52B4F" w:rsidRPr="00C22C38" w:rsidTr="002E0ABF">
        <w:trPr>
          <w:trHeight w:val="300"/>
        </w:trPr>
        <w:tc>
          <w:tcPr>
            <w:tcW w:w="1200" w:type="dxa"/>
            <w:tcBorders>
              <w:top w:val="nil"/>
              <w:left w:val="single" w:sz="8" w:space="0" w:color="auto"/>
              <w:bottom w:val="single" w:sz="8" w:space="0" w:color="auto"/>
              <w:right w:val="single" w:sz="8" w:space="0" w:color="auto"/>
            </w:tcBorders>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3</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1214</w:t>
            </w:r>
          </w:p>
        </w:tc>
        <w:tc>
          <w:tcPr>
            <w:tcW w:w="5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szCs w:val="22"/>
                <w:lang w:eastAsia="en-AU"/>
              </w:rPr>
              <w:t>Wine and Other Alcoholic Beverage Manufacturing</w:t>
            </w:r>
          </w:p>
        </w:tc>
      </w:tr>
      <w:tr w:rsidR="00D52B4F" w:rsidRPr="00C22C38" w:rsidTr="002E0ABF">
        <w:trPr>
          <w:trHeight w:val="300"/>
        </w:trPr>
        <w:tc>
          <w:tcPr>
            <w:tcW w:w="1200" w:type="dxa"/>
            <w:tcBorders>
              <w:top w:val="nil"/>
              <w:left w:val="single" w:sz="8" w:space="0" w:color="auto"/>
              <w:bottom w:val="single" w:sz="8" w:space="0" w:color="auto"/>
              <w:right w:val="single" w:sz="8" w:space="0" w:color="auto"/>
            </w:tcBorders>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4</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3606</w:t>
            </w:r>
          </w:p>
        </w:tc>
        <w:tc>
          <w:tcPr>
            <w:tcW w:w="5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szCs w:val="22"/>
                <w:lang w:eastAsia="en-AU"/>
              </w:rPr>
              <w:t>Liquor and Tobacco Product Wholesaling</w:t>
            </w:r>
          </w:p>
        </w:tc>
      </w:tr>
      <w:tr w:rsidR="00D52B4F" w:rsidRPr="00C22C38" w:rsidTr="002E0ABF">
        <w:trPr>
          <w:trHeight w:val="300"/>
        </w:trPr>
        <w:tc>
          <w:tcPr>
            <w:tcW w:w="1200" w:type="dxa"/>
            <w:tcBorders>
              <w:top w:val="nil"/>
              <w:left w:val="single" w:sz="8" w:space="0" w:color="auto"/>
              <w:bottom w:val="single" w:sz="8" w:space="0" w:color="auto"/>
              <w:right w:val="single" w:sz="8" w:space="0" w:color="auto"/>
            </w:tcBorders>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5</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4123</w:t>
            </w:r>
          </w:p>
        </w:tc>
        <w:tc>
          <w:tcPr>
            <w:tcW w:w="5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szCs w:val="22"/>
                <w:lang w:eastAsia="en-AU"/>
              </w:rPr>
              <w:t>Liquor Retailing</w:t>
            </w:r>
          </w:p>
        </w:tc>
      </w:tr>
      <w:tr w:rsidR="00D52B4F" w:rsidRPr="00C22C38" w:rsidTr="002E0ABF">
        <w:trPr>
          <w:trHeight w:val="300"/>
        </w:trPr>
        <w:tc>
          <w:tcPr>
            <w:tcW w:w="1200" w:type="dxa"/>
            <w:tcBorders>
              <w:top w:val="nil"/>
              <w:left w:val="single" w:sz="8" w:space="0" w:color="auto"/>
              <w:bottom w:val="single" w:sz="8" w:space="0" w:color="auto"/>
              <w:right w:val="single" w:sz="8" w:space="0" w:color="auto"/>
            </w:tcBorders>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6</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4520</w:t>
            </w:r>
          </w:p>
        </w:tc>
        <w:tc>
          <w:tcPr>
            <w:tcW w:w="5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szCs w:val="22"/>
                <w:lang w:eastAsia="en-AU"/>
              </w:rPr>
              <w:t>Pubs, Taverns and Bars</w:t>
            </w:r>
          </w:p>
        </w:tc>
      </w:tr>
      <w:tr w:rsidR="00D52B4F" w:rsidRPr="00C22C38" w:rsidTr="002E0ABF">
        <w:trPr>
          <w:trHeight w:val="300"/>
        </w:trPr>
        <w:tc>
          <w:tcPr>
            <w:tcW w:w="1200" w:type="dxa"/>
            <w:tcBorders>
              <w:top w:val="nil"/>
              <w:left w:val="single" w:sz="8" w:space="0" w:color="auto"/>
              <w:bottom w:val="single" w:sz="8" w:space="0" w:color="auto"/>
              <w:right w:val="single" w:sz="8" w:space="0" w:color="auto"/>
            </w:tcBorders>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7</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9201</w:t>
            </w:r>
          </w:p>
        </w:tc>
        <w:tc>
          <w:tcPr>
            <w:tcW w:w="5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szCs w:val="22"/>
                <w:lang w:eastAsia="en-AU"/>
              </w:rPr>
              <w:t>Casino Operation</w:t>
            </w:r>
          </w:p>
        </w:tc>
      </w:tr>
      <w:tr w:rsidR="00D52B4F" w:rsidRPr="00C22C38" w:rsidTr="002E0ABF">
        <w:trPr>
          <w:trHeight w:val="300"/>
        </w:trPr>
        <w:tc>
          <w:tcPr>
            <w:tcW w:w="1200" w:type="dxa"/>
            <w:tcBorders>
              <w:top w:val="nil"/>
              <w:left w:val="single" w:sz="8" w:space="0" w:color="auto"/>
              <w:bottom w:val="single" w:sz="8" w:space="0" w:color="auto"/>
              <w:right w:val="single" w:sz="8" w:space="0" w:color="auto"/>
            </w:tcBorders>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8</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9202</w:t>
            </w:r>
          </w:p>
        </w:tc>
        <w:tc>
          <w:tcPr>
            <w:tcW w:w="5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szCs w:val="22"/>
                <w:lang w:eastAsia="en-AU"/>
              </w:rPr>
              <w:t>Lottery Operation</w:t>
            </w:r>
          </w:p>
        </w:tc>
      </w:tr>
      <w:tr w:rsidR="00D52B4F" w:rsidRPr="00C22C38" w:rsidTr="002E0ABF">
        <w:trPr>
          <w:trHeight w:val="300"/>
        </w:trPr>
        <w:tc>
          <w:tcPr>
            <w:tcW w:w="1200" w:type="dxa"/>
            <w:tcBorders>
              <w:top w:val="nil"/>
              <w:left w:val="single" w:sz="8" w:space="0" w:color="auto"/>
              <w:bottom w:val="single" w:sz="8" w:space="0" w:color="auto"/>
              <w:right w:val="single" w:sz="8" w:space="0" w:color="auto"/>
            </w:tcBorders>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9</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9209</w:t>
            </w:r>
          </w:p>
        </w:tc>
        <w:tc>
          <w:tcPr>
            <w:tcW w:w="59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szCs w:val="22"/>
                <w:lang w:eastAsia="en-AU"/>
              </w:rPr>
              <w:t>Other Gambling Activities</w:t>
            </w:r>
          </w:p>
        </w:tc>
      </w:tr>
    </w:tbl>
    <w:p w:rsidR="00D52B4F" w:rsidRPr="00C22C38" w:rsidRDefault="00D52B4F" w:rsidP="00D52B4F">
      <w:pPr>
        <w:pStyle w:val="ActHead7"/>
      </w:pPr>
    </w:p>
    <w:p w:rsidR="00D52B4F" w:rsidRDefault="00D52B4F" w:rsidP="00D52B4F">
      <w:pPr>
        <w:pStyle w:val="ActHead6"/>
        <w:pageBreakBefore/>
        <w:ind w:left="0" w:firstLine="0"/>
        <w:rPr>
          <w:rStyle w:val="CharAmSchNo"/>
        </w:rPr>
      </w:pPr>
      <w:bookmarkStart w:id="19" w:name="_Toc507755859"/>
      <w:r w:rsidRPr="0080751E">
        <w:rPr>
          <w:rStyle w:val="CharAmSchNo"/>
        </w:rPr>
        <w:lastRenderedPageBreak/>
        <w:t xml:space="preserve">Schedule </w:t>
      </w:r>
      <w:r>
        <w:rPr>
          <w:rStyle w:val="CharAmSchNo"/>
        </w:rPr>
        <w:t>5</w:t>
      </w:r>
      <w:r w:rsidRPr="0080751E">
        <w:rPr>
          <w:rStyle w:val="CharAmSchNo"/>
        </w:rPr>
        <w:t xml:space="preserve">— </w:t>
      </w:r>
      <w:r w:rsidRPr="00C22C38">
        <w:rPr>
          <w:rStyle w:val="CharAmSchNo"/>
        </w:rPr>
        <w:t xml:space="preserve">Declared kinds of business pursuant to s </w:t>
      </w:r>
      <w:proofErr w:type="gramStart"/>
      <w:r w:rsidRPr="00C22C38">
        <w:rPr>
          <w:rStyle w:val="CharAmSchNo"/>
        </w:rPr>
        <w:t>124PQ(</w:t>
      </w:r>
      <w:proofErr w:type="gramEnd"/>
      <w:r w:rsidRPr="00C22C38">
        <w:rPr>
          <w:rStyle w:val="CharAmSchNo"/>
        </w:rPr>
        <w:t>2) — By reference to terminal identification codes</w:t>
      </w:r>
      <w:bookmarkEnd w:id="19"/>
    </w:p>
    <w:p w:rsidR="00D52B4F" w:rsidRPr="00C22C38" w:rsidRDefault="00D52B4F" w:rsidP="00D52B4F">
      <w:pPr>
        <w:pStyle w:val="ActHead7"/>
      </w:pPr>
    </w:p>
    <w:tbl>
      <w:tblPr>
        <w:tblW w:w="8353" w:type="dxa"/>
        <w:tblInd w:w="-1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9"/>
        <w:gridCol w:w="1551"/>
        <w:gridCol w:w="5793"/>
      </w:tblGrid>
      <w:tr w:rsidR="00D52B4F" w:rsidRPr="00C22C38" w:rsidTr="002E0ABF">
        <w:trPr>
          <w:trHeight w:val="289"/>
        </w:trPr>
        <w:tc>
          <w:tcPr>
            <w:tcW w:w="1009" w:type="dxa"/>
            <w:tcBorders>
              <w:top w:val="single" w:sz="8" w:space="0" w:color="000000"/>
              <w:left w:val="single" w:sz="8" w:space="0" w:color="000000"/>
              <w:bottom w:val="single" w:sz="8" w:space="0" w:color="000000"/>
              <w:right w:val="single" w:sz="8" w:space="0" w:color="000000"/>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Item</w:t>
            </w:r>
          </w:p>
        </w:tc>
        <w:tc>
          <w:tcPr>
            <w:tcW w:w="155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szCs w:val="22"/>
                <w:lang w:eastAsia="en-AU"/>
              </w:rPr>
              <w:t>Terminal identification code</w:t>
            </w:r>
          </w:p>
        </w:tc>
        <w:tc>
          <w:tcPr>
            <w:tcW w:w="579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ind w:left="19" w:hanging="19"/>
              <w:rPr>
                <w:rFonts w:eastAsia="Times New Roman" w:cs="Times New Roman"/>
                <w:szCs w:val="22"/>
                <w:lang w:eastAsia="en-AU"/>
              </w:rPr>
            </w:pPr>
            <w:r w:rsidRPr="00C22C38">
              <w:rPr>
                <w:rFonts w:eastAsia="Times New Roman" w:cs="Times New Roman"/>
                <w:szCs w:val="22"/>
                <w:lang w:eastAsia="en-AU"/>
              </w:rPr>
              <w:t>Description</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14307200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Bistro Bar 1 at the Ceduna Foreshore Hotel Motel</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15004500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Bistro Bar 2 at the Ceduna Foreshore Hotel Motel</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3</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15003900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Saloon Bar at the Ceduna Foreshore Hotel Motel</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4</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15004000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 xml:space="preserve">Saloon Bar 1 at the Ceduna Foreshore Hotel Motel </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5</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15002100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Saloon Bar 2 at the Ceduna Foreshore Hotel Motel</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15003800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proofErr w:type="spellStart"/>
            <w:r w:rsidRPr="00C22C38">
              <w:rPr>
                <w:rFonts w:eastAsia="Times New Roman" w:cs="Times New Roman"/>
                <w:color w:val="000000"/>
                <w:szCs w:val="22"/>
                <w:lang w:eastAsia="en-AU"/>
              </w:rPr>
              <w:t>Bottlo</w:t>
            </w:r>
            <w:proofErr w:type="spellEnd"/>
            <w:r w:rsidRPr="00C22C38">
              <w:rPr>
                <w:rFonts w:eastAsia="Times New Roman" w:cs="Times New Roman"/>
                <w:color w:val="000000"/>
                <w:szCs w:val="22"/>
                <w:lang w:eastAsia="en-AU"/>
              </w:rPr>
              <w:t xml:space="preserve"> 1 at the Ceduna Foreshore Hotel Motel</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7</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15004600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proofErr w:type="spellStart"/>
            <w:r w:rsidRPr="00C22C38">
              <w:rPr>
                <w:rFonts w:eastAsia="Times New Roman" w:cs="Times New Roman"/>
                <w:color w:val="000000"/>
                <w:szCs w:val="22"/>
                <w:lang w:eastAsia="en-AU"/>
              </w:rPr>
              <w:t>Bottlo</w:t>
            </w:r>
            <w:proofErr w:type="spellEnd"/>
            <w:r w:rsidRPr="00C22C38">
              <w:rPr>
                <w:rFonts w:eastAsia="Times New Roman" w:cs="Times New Roman"/>
                <w:color w:val="000000"/>
                <w:szCs w:val="22"/>
                <w:lang w:eastAsia="en-AU"/>
              </w:rPr>
              <w:t xml:space="preserve"> 2 at the Ceduna Foreshore Hotel Motel</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15001900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Function Room at the Ceduna Foreshore Hotel Motel</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9</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08185210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Thevenard Hotel</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10</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P2092318</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Nullarbor Roadhouse</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11</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81919946</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 xml:space="preserve">Emma Gorge - El </w:t>
            </w:r>
            <w:proofErr w:type="spellStart"/>
            <w:r w:rsidRPr="00C22C38">
              <w:rPr>
                <w:rFonts w:eastAsia="Times New Roman" w:cs="Times New Roman"/>
                <w:color w:val="000000"/>
                <w:szCs w:val="22"/>
                <w:lang w:eastAsia="en-AU"/>
              </w:rPr>
              <w:t>Questro</w:t>
            </w:r>
            <w:proofErr w:type="spellEnd"/>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12</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81946758</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Hotel Kununurra</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13</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81945869</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Hotel Kununurra</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14</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64939678</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Hotel Kununurra</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15</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81946861</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Hotel Kununurra</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16</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81946761</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Hotel Kununurra</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17</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81946764</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Hotel Kununurra</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18</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81946865</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Hotel Kununurra</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19</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81911536</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Hotel Kununurra</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20</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81919946</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 xml:space="preserve">El </w:t>
            </w:r>
            <w:proofErr w:type="spellStart"/>
            <w:r w:rsidRPr="00C22C38">
              <w:rPr>
                <w:rFonts w:eastAsia="Times New Roman" w:cs="Times New Roman"/>
                <w:color w:val="000000"/>
                <w:szCs w:val="22"/>
                <w:lang w:eastAsia="en-AU"/>
              </w:rPr>
              <w:t>Questro</w:t>
            </w:r>
            <w:proofErr w:type="spellEnd"/>
            <w:r w:rsidRPr="00C22C38">
              <w:rPr>
                <w:rFonts w:eastAsia="Times New Roman" w:cs="Times New Roman"/>
                <w:color w:val="000000"/>
                <w:szCs w:val="22"/>
                <w:lang w:eastAsia="en-AU"/>
              </w:rPr>
              <w:t xml:space="preserve"> Station</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21</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86212300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proofErr w:type="spellStart"/>
            <w:r w:rsidRPr="00C22C38">
              <w:rPr>
                <w:rFonts w:eastAsia="Times New Roman" w:cs="Times New Roman"/>
                <w:color w:val="000000"/>
                <w:szCs w:val="22"/>
                <w:lang w:eastAsia="en-AU"/>
              </w:rPr>
              <w:t>Pumphouse</w:t>
            </w:r>
            <w:proofErr w:type="spellEnd"/>
            <w:r w:rsidRPr="00C22C38">
              <w:rPr>
                <w:rFonts w:eastAsia="Times New Roman" w:cs="Times New Roman"/>
                <w:color w:val="000000"/>
                <w:szCs w:val="22"/>
                <w:lang w:eastAsia="en-AU"/>
              </w:rPr>
              <w:t xml:space="preserve"> Restaurant</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22</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46339200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Drysdale River Station</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23</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1, 2, 3, 4,</w:t>
            </w:r>
          </w:p>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K6C242</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Lake Argyle Resort</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24</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46188900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Lake Argyle Resort</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25</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46189700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Lake Argyle Resort</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26</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07905005</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Smoky Bay Community Club</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27</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07785075</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Ceduna Motor Inn</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28</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P3611003</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Penong Hotel</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29</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26741300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Utakarra IGA</w:t>
            </w:r>
          </w:p>
        </w:tc>
      </w:tr>
      <w:tr w:rsidR="00D52B4F" w:rsidRPr="00C22C38"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30</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jc w:val="center"/>
              <w:rPr>
                <w:rFonts w:eastAsia="Times New Roman" w:cs="Times New Roman"/>
                <w:szCs w:val="22"/>
                <w:lang w:eastAsia="en-AU"/>
              </w:rPr>
            </w:pPr>
            <w:r w:rsidRPr="00C22C38">
              <w:rPr>
                <w:rFonts w:eastAsia="Times New Roman" w:cs="Times New Roman"/>
                <w:color w:val="000000"/>
                <w:szCs w:val="22"/>
                <w:lang w:eastAsia="en-AU"/>
              </w:rPr>
              <w:t>26741100</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C22C38" w:rsidRDefault="00D52B4F" w:rsidP="002E0ABF">
            <w:pPr>
              <w:spacing w:before="100" w:beforeAutospacing="1" w:after="100" w:afterAutospacing="1" w:line="240" w:lineRule="auto"/>
              <w:rPr>
                <w:rFonts w:eastAsia="Times New Roman" w:cs="Times New Roman"/>
                <w:szCs w:val="22"/>
                <w:lang w:eastAsia="en-AU"/>
              </w:rPr>
            </w:pPr>
            <w:r w:rsidRPr="00C22C38">
              <w:rPr>
                <w:rFonts w:eastAsia="Times New Roman" w:cs="Times New Roman"/>
                <w:color w:val="000000"/>
                <w:szCs w:val="22"/>
                <w:lang w:eastAsia="en-AU"/>
              </w:rPr>
              <w:t>Utakarra IGA</w:t>
            </w:r>
          </w:p>
        </w:tc>
      </w:tr>
    </w:tbl>
    <w:p w:rsidR="00D52B4F" w:rsidRDefault="00D52B4F" w:rsidP="00D52B4F">
      <w:pPr>
        <w:pStyle w:val="ActHead6"/>
        <w:pageBreakBefore/>
        <w:ind w:left="0" w:firstLine="0"/>
        <w:rPr>
          <w:rStyle w:val="CharAmSchNo"/>
        </w:rPr>
      </w:pPr>
      <w:bookmarkStart w:id="20" w:name="_Toc507755860"/>
      <w:r w:rsidRPr="0080751E">
        <w:rPr>
          <w:rStyle w:val="CharAmSchNo"/>
        </w:rPr>
        <w:lastRenderedPageBreak/>
        <w:t xml:space="preserve">Schedule </w:t>
      </w:r>
      <w:r>
        <w:rPr>
          <w:rStyle w:val="CharAmSchNo"/>
        </w:rPr>
        <w:t>6</w:t>
      </w:r>
      <w:r w:rsidRPr="0080751E">
        <w:rPr>
          <w:rStyle w:val="CharAmSchNo"/>
        </w:rPr>
        <w:t xml:space="preserve">— </w:t>
      </w:r>
      <w:r w:rsidRPr="00C22C38">
        <w:rPr>
          <w:rStyle w:val="CharAmSchNo"/>
        </w:rPr>
        <w:t xml:space="preserve">Declared kinds of business pursuant to s </w:t>
      </w:r>
      <w:proofErr w:type="gramStart"/>
      <w:r w:rsidRPr="00C22C38">
        <w:rPr>
          <w:rStyle w:val="CharAmSchNo"/>
        </w:rPr>
        <w:t>124PQ(</w:t>
      </w:r>
      <w:proofErr w:type="gramEnd"/>
      <w:r w:rsidRPr="00C22C38">
        <w:rPr>
          <w:rStyle w:val="CharAmSchNo"/>
        </w:rPr>
        <w:t>2) — By reference to card accepted identification codes</w:t>
      </w:r>
      <w:bookmarkEnd w:id="20"/>
    </w:p>
    <w:p w:rsidR="00D52B4F" w:rsidRPr="003A036F" w:rsidRDefault="00D52B4F" w:rsidP="00D52B4F">
      <w:pPr>
        <w:pStyle w:val="ActHead7"/>
      </w:pPr>
    </w:p>
    <w:tbl>
      <w:tblPr>
        <w:tblW w:w="8495"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09"/>
        <w:gridCol w:w="1551"/>
        <w:gridCol w:w="5935"/>
      </w:tblGrid>
      <w:tr w:rsidR="00D52B4F" w:rsidRPr="006B250E" w:rsidTr="002E0ABF">
        <w:trPr>
          <w:trHeight w:val="289"/>
        </w:trPr>
        <w:tc>
          <w:tcPr>
            <w:tcW w:w="1009" w:type="dxa"/>
            <w:shd w:val="clear" w:color="auto" w:fill="FFFFFF"/>
          </w:tcPr>
          <w:p w:rsidR="00D52B4F" w:rsidRPr="003A036F" w:rsidRDefault="00D52B4F" w:rsidP="002E0ABF">
            <w:pPr>
              <w:jc w:val="center"/>
              <w:rPr>
                <w:bCs/>
                <w:szCs w:val="22"/>
              </w:rPr>
            </w:pPr>
            <w:r w:rsidRPr="003A036F">
              <w:rPr>
                <w:bCs/>
                <w:szCs w:val="22"/>
              </w:rPr>
              <w:t>Item</w:t>
            </w:r>
          </w:p>
        </w:tc>
        <w:tc>
          <w:tcPr>
            <w:tcW w:w="1551" w:type="dxa"/>
            <w:shd w:val="clear" w:color="auto" w:fill="FFFFFF"/>
            <w:noWrap/>
            <w:tcMar>
              <w:top w:w="0" w:type="dxa"/>
              <w:left w:w="108" w:type="dxa"/>
              <w:bottom w:w="0" w:type="dxa"/>
              <w:right w:w="108" w:type="dxa"/>
            </w:tcMar>
            <w:vAlign w:val="bottom"/>
            <w:hideMark/>
          </w:tcPr>
          <w:p w:rsidR="00D52B4F" w:rsidRPr="003A036F" w:rsidRDefault="00D52B4F" w:rsidP="002E0ABF">
            <w:pPr>
              <w:jc w:val="center"/>
              <w:rPr>
                <w:rFonts w:eastAsia="Calibri"/>
                <w:bCs/>
                <w:szCs w:val="22"/>
              </w:rPr>
            </w:pPr>
            <w:r w:rsidRPr="003A036F">
              <w:rPr>
                <w:bCs/>
                <w:szCs w:val="22"/>
              </w:rPr>
              <w:t>Card accepted identification code</w:t>
            </w:r>
          </w:p>
        </w:tc>
        <w:tc>
          <w:tcPr>
            <w:tcW w:w="5935" w:type="dxa"/>
            <w:shd w:val="clear" w:color="auto" w:fill="FFFFFF"/>
            <w:noWrap/>
            <w:tcMar>
              <w:top w:w="0" w:type="dxa"/>
              <w:left w:w="108" w:type="dxa"/>
              <w:bottom w:w="0" w:type="dxa"/>
              <w:right w:w="108" w:type="dxa"/>
            </w:tcMar>
            <w:hideMark/>
          </w:tcPr>
          <w:p w:rsidR="00D52B4F" w:rsidRPr="003A036F" w:rsidRDefault="00D52B4F" w:rsidP="002E0ABF">
            <w:pPr>
              <w:ind w:left="19" w:hanging="19"/>
              <w:rPr>
                <w:rFonts w:eastAsia="Calibri"/>
                <w:bCs/>
                <w:szCs w:val="22"/>
              </w:rPr>
            </w:pPr>
            <w:r w:rsidRPr="003A036F">
              <w:rPr>
                <w:bCs/>
                <w:szCs w:val="22"/>
              </w:rPr>
              <w:t>Description</w:t>
            </w:r>
          </w:p>
        </w:tc>
      </w:tr>
      <w:tr w:rsidR="00D52B4F" w:rsidRPr="006B250E" w:rsidTr="002E0ABF">
        <w:trPr>
          <w:trHeight w:val="289"/>
        </w:trPr>
        <w:tc>
          <w:tcPr>
            <w:tcW w:w="1009" w:type="dxa"/>
            <w:shd w:val="clear" w:color="auto" w:fill="FFFFFF"/>
          </w:tcPr>
          <w:p w:rsidR="00D52B4F" w:rsidRPr="003A036F" w:rsidRDefault="00D52B4F" w:rsidP="002E0ABF">
            <w:pPr>
              <w:jc w:val="center"/>
              <w:rPr>
                <w:color w:val="000000"/>
                <w:szCs w:val="22"/>
              </w:rPr>
            </w:pPr>
            <w:r w:rsidRPr="003A036F">
              <w:rPr>
                <w:color w:val="000000"/>
                <w:szCs w:val="22"/>
              </w:rPr>
              <w:t>1</w:t>
            </w:r>
          </w:p>
        </w:tc>
        <w:tc>
          <w:tcPr>
            <w:tcW w:w="1551" w:type="dxa"/>
            <w:shd w:val="clear" w:color="auto" w:fill="FFFFFF"/>
            <w:tcMar>
              <w:top w:w="0" w:type="dxa"/>
              <w:left w:w="108" w:type="dxa"/>
              <w:bottom w:w="0" w:type="dxa"/>
              <w:right w:w="108" w:type="dxa"/>
            </w:tcMar>
          </w:tcPr>
          <w:p w:rsidR="00D52B4F" w:rsidRPr="003A036F" w:rsidRDefault="00D52B4F" w:rsidP="002E0ABF">
            <w:pPr>
              <w:jc w:val="center"/>
              <w:rPr>
                <w:rFonts w:eastAsia="Calibri"/>
                <w:color w:val="000000"/>
                <w:szCs w:val="22"/>
              </w:rPr>
            </w:pPr>
          </w:p>
        </w:tc>
        <w:tc>
          <w:tcPr>
            <w:tcW w:w="5935" w:type="dxa"/>
            <w:shd w:val="clear" w:color="auto" w:fill="FFFFFF"/>
            <w:tcMar>
              <w:top w:w="0" w:type="dxa"/>
              <w:left w:w="108" w:type="dxa"/>
              <w:bottom w:w="0" w:type="dxa"/>
              <w:right w:w="108" w:type="dxa"/>
            </w:tcMar>
          </w:tcPr>
          <w:p w:rsidR="00D52B4F" w:rsidRPr="003A036F" w:rsidRDefault="00D52B4F" w:rsidP="002E0ABF">
            <w:pPr>
              <w:rPr>
                <w:rFonts w:eastAsia="Calibri"/>
                <w:color w:val="000000"/>
                <w:szCs w:val="22"/>
              </w:rPr>
            </w:pPr>
          </w:p>
        </w:tc>
      </w:tr>
      <w:tr w:rsidR="00D52B4F" w:rsidRPr="006B250E" w:rsidTr="002E0ABF">
        <w:trPr>
          <w:trHeight w:val="289"/>
        </w:trPr>
        <w:tc>
          <w:tcPr>
            <w:tcW w:w="1009" w:type="dxa"/>
            <w:shd w:val="clear" w:color="auto" w:fill="FFFFFF"/>
          </w:tcPr>
          <w:p w:rsidR="00D52B4F" w:rsidRPr="003A036F" w:rsidRDefault="00D52B4F" w:rsidP="002E0ABF">
            <w:pPr>
              <w:jc w:val="center"/>
              <w:rPr>
                <w:color w:val="000000"/>
                <w:szCs w:val="22"/>
              </w:rPr>
            </w:pPr>
            <w:r w:rsidRPr="003A036F">
              <w:rPr>
                <w:color w:val="000000"/>
                <w:szCs w:val="22"/>
              </w:rPr>
              <w:t>2</w:t>
            </w:r>
          </w:p>
        </w:tc>
        <w:tc>
          <w:tcPr>
            <w:tcW w:w="1551" w:type="dxa"/>
            <w:shd w:val="clear" w:color="auto" w:fill="FFFFFF"/>
            <w:tcMar>
              <w:top w:w="0" w:type="dxa"/>
              <w:left w:w="108" w:type="dxa"/>
              <w:bottom w:w="0" w:type="dxa"/>
              <w:right w:w="108" w:type="dxa"/>
            </w:tcMar>
          </w:tcPr>
          <w:p w:rsidR="00D52B4F" w:rsidRPr="003A036F" w:rsidRDefault="00D52B4F" w:rsidP="002E0ABF">
            <w:pPr>
              <w:jc w:val="center"/>
              <w:rPr>
                <w:rFonts w:eastAsia="Calibri"/>
                <w:color w:val="000000"/>
                <w:szCs w:val="22"/>
              </w:rPr>
            </w:pPr>
          </w:p>
        </w:tc>
        <w:tc>
          <w:tcPr>
            <w:tcW w:w="5935" w:type="dxa"/>
            <w:shd w:val="clear" w:color="auto" w:fill="FFFFFF"/>
            <w:tcMar>
              <w:top w:w="0" w:type="dxa"/>
              <w:left w:w="108" w:type="dxa"/>
              <w:bottom w:w="0" w:type="dxa"/>
              <w:right w:w="108" w:type="dxa"/>
            </w:tcMar>
          </w:tcPr>
          <w:p w:rsidR="00D52B4F" w:rsidRPr="003A036F" w:rsidRDefault="00D52B4F" w:rsidP="002E0ABF">
            <w:pPr>
              <w:rPr>
                <w:rFonts w:eastAsia="Calibri"/>
                <w:color w:val="000000"/>
                <w:szCs w:val="22"/>
              </w:rPr>
            </w:pPr>
          </w:p>
        </w:tc>
      </w:tr>
      <w:tr w:rsidR="00D52B4F" w:rsidRPr="006B250E" w:rsidTr="002E0ABF">
        <w:trPr>
          <w:trHeight w:val="289"/>
        </w:trPr>
        <w:tc>
          <w:tcPr>
            <w:tcW w:w="1009" w:type="dxa"/>
            <w:shd w:val="clear" w:color="auto" w:fill="FFFFFF"/>
          </w:tcPr>
          <w:p w:rsidR="00D52B4F" w:rsidRPr="003A036F" w:rsidRDefault="00D52B4F" w:rsidP="002E0ABF">
            <w:pPr>
              <w:jc w:val="center"/>
              <w:rPr>
                <w:color w:val="000000"/>
                <w:szCs w:val="22"/>
              </w:rPr>
            </w:pPr>
            <w:r w:rsidRPr="003A036F">
              <w:rPr>
                <w:color w:val="000000"/>
                <w:szCs w:val="22"/>
              </w:rPr>
              <w:t>3</w:t>
            </w:r>
          </w:p>
        </w:tc>
        <w:tc>
          <w:tcPr>
            <w:tcW w:w="1551" w:type="dxa"/>
            <w:shd w:val="clear" w:color="auto" w:fill="FFFFFF"/>
            <w:tcMar>
              <w:top w:w="0" w:type="dxa"/>
              <w:left w:w="108" w:type="dxa"/>
              <w:bottom w:w="0" w:type="dxa"/>
              <w:right w:w="108" w:type="dxa"/>
            </w:tcMar>
          </w:tcPr>
          <w:p w:rsidR="00D52B4F" w:rsidRPr="003A036F" w:rsidRDefault="00D52B4F" w:rsidP="002E0ABF">
            <w:pPr>
              <w:jc w:val="center"/>
              <w:rPr>
                <w:rFonts w:eastAsia="Calibri"/>
                <w:color w:val="000000"/>
                <w:szCs w:val="22"/>
              </w:rPr>
            </w:pPr>
          </w:p>
        </w:tc>
        <w:tc>
          <w:tcPr>
            <w:tcW w:w="5935" w:type="dxa"/>
            <w:shd w:val="clear" w:color="auto" w:fill="FFFFFF"/>
            <w:tcMar>
              <w:top w:w="0" w:type="dxa"/>
              <w:left w:w="108" w:type="dxa"/>
              <w:bottom w:w="0" w:type="dxa"/>
              <w:right w:w="108" w:type="dxa"/>
            </w:tcMar>
          </w:tcPr>
          <w:p w:rsidR="00D52B4F" w:rsidRPr="003A036F" w:rsidRDefault="00D52B4F" w:rsidP="002E0ABF">
            <w:pPr>
              <w:rPr>
                <w:rFonts w:eastAsia="Calibri"/>
                <w:color w:val="000000"/>
                <w:szCs w:val="22"/>
              </w:rPr>
            </w:pPr>
          </w:p>
        </w:tc>
      </w:tr>
      <w:tr w:rsidR="00D52B4F" w:rsidRPr="006B250E" w:rsidTr="002E0ABF">
        <w:trPr>
          <w:trHeight w:val="289"/>
        </w:trPr>
        <w:tc>
          <w:tcPr>
            <w:tcW w:w="1009" w:type="dxa"/>
            <w:shd w:val="clear" w:color="auto" w:fill="FFFFFF"/>
          </w:tcPr>
          <w:p w:rsidR="00D52B4F" w:rsidRPr="003A036F" w:rsidRDefault="00D52B4F" w:rsidP="002E0ABF">
            <w:pPr>
              <w:jc w:val="center"/>
              <w:rPr>
                <w:color w:val="000000"/>
                <w:szCs w:val="22"/>
              </w:rPr>
            </w:pPr>
            <w:r w:rsidRPr="003A036F">
              <w:rPr>
                <w:color w:val="000000"/>
                <w:szCs w:val="22"/>
              </w:rPr>
              <w:t>4</w:t>
            </w:r>
          </w:p>
        </w:tc>
        <w:tc>
          <w:tcPr>
            <w:tcW w:w="1551" w:type="dxa"/>
            <w:shd w:val="clear" w:color="auto" w:fill="FFFFFF"/>
            <w:tcMar>
              <w:top w:w="0" w:type="dxa"/>
              <w:left w:w="108" w:type="dxa"/>
              <w:bottom w:w="0" w:type="dxa"/>
              <w:right w:w="108" w:type="dxa"/>
            </w:tcMar>
          </w:tcPr>
          <w:p w:rsidR="00D52B4F" w:rsidRPr="003A036F" w:rsidRDefault="00D52B4F" w:rsidP="002E0ABF">
            <w:pPr>
              <w:jc w:val="center"/>
              <w:rPr>
                <w:rFonts w:eastAsia="Calibri"/>
                <w:color w:val="000000"/>
                <w:szCs w:val="22"/>
              </w:rPr>
            </w:pPr>
          </w:p>
        </w:tc>
        <w:tc>
          <w:tcPr>
            <w:tcW w:w="5935" w:type="dxa"/>
            <w:shd w:val="clear" w:color="auto" w:fill="FFFFFF"/>
            <w:tcMar>
              <w:top w:w="0" w:type="dxa"/>
              <w:left w:w="108" w:type="dxa"/>
              <w:bottom w:w="0" w:type="dxa"/>
              <w:right w:w="108" w:type="dxa"/>
            </w:tcMar>
          </w:tcPr>
          <w:p w:rsidR="00D52B4F" w:rsidRPr="003A036F" w:rsidRDefault="00D52B4F" w:rsidP="002E0ABF">
            <w:pPr>
              <w:rPr>
                <w:rFonts w:eastAsia="Calibri"/>
                <w:color w:val="000000"/>
                <w:szCs w:val="22"/>
              </w:rPr>
            </w:pPr>
          </w:p>
        </w:tc>
      </w:tr>
      <w:tr w:rsidR="00D52B4F" w:rsidRPr="006B250E" w:rsidTr="002E0ABF">
        <w:trPr>
          <w:trHeight w:val="427"/>
        </w:trPr>
        <w:tc>
          <w:tcPr>
            <w:tcW w:w="1009" w:type="dxa"/>
            <w:shd w:val="clear" w:color="auto" w:fill="FFFFFF"/>
          </w:tcPr>
          <w:p w:rsidR="00D52B4F" w:rsidRPr="003A036F" w:rsidRDefault="00D52B4F" w:rsidP="002E0ABF">
            <w:pPr>
              <w:jc w:val="center"/>
              <w:rPr>
                <w:color w:val="000000"/>
                <w:szCs w:val="22"/>
              </w:rPr>
            </w:pPr>
            <w:r w:rsidRPr="003A036F">
              <w:rPr>
                <w:color w:val="000000"/>
                <w:szCs w:val="22"/>
              </w:rPr>
              <w:t>5</w:t>
            </w:r>
          </w:p>
        </w:tc>
        <w:tc>
          <w:tcPr>
            <w:tcW w:w="1551" w:type="dxa"/>
            <w:shd w:val="clear" w:color="auto" w:fill="FFFFFF"/>
            <w:tcMar>
              <w:top w:w="0" w:type="dxa"/>
              <w:left w:w="108" w:type="dxa"/>
              <w:bottom w:w="0" w:type="dxa"/>
              <w:right w:w="108" w:type="dxa"/>
            </w:tcMar>
          </w:tcPr>
          <w:p w:rsidR="00D52B4F" w:rsidRPr="003A036F" w:rsidRDefault="00D52B4F" w:rsidP="002E0ABF">
            <w:pPr>
              <w:jc w:val="center"/>
              <w:rPr>
                <w:rFonts w:eastAsia="Calibri"/>
                <w:color w:val="000000"/>
                <w:szCs w:val="22"/>
              </w:rPr>
            </w:pPr>
          </w:p>
        </w:tc>
        <w:tc>
          <w:tcPr>
            <w:tcW w:w="5935" w:type="dxa"/>
            <w:shd w:val="clear" w:color="auto" w:fill="FFFFFF"/>
            <w:tcMar>
              <w:top w:w="0" w:type="dxa"/>
              <w:left w:w="108" w:type="dxa"/>
              <w:bottom w:w="0" w:type="dxa"/>
              <w:right w:w="108" w:type="dxa"/>
            </w:tcMar>
          </w:tcPr>
          <w:p w:rsidR="00D52B4F" w:rsidRPr="003A036F" w:rsidRDefault="00D52B4F" w:rsidP="002E0ABF">
            <w:pPr>
              <w:rPr>
                <w:rFonts w:eastAsia="Calibri"/>
                <w:color w:val="000000"/>
                <w:szCs w:val="22"/>
              </w:rPr>
            </w:pPr>
          </w:p>
        </w:tc>
      </w:tr>
    </w:tbl>
    <w:p w:rsidR="00D52B4F" w:rsidRPr="00C22C38" w:rsidRDefault="00D52B4F" w:rsidP="00D52B4F">
      <w:pPr>
        <w:pStyle w:val="ActHead7"/>
      </w:pPr>
    </w:p>
    <w:p w:rsidR="00D52B4F" w:rsidRPr="00C22C38" w:rsidRDefault="00D52B4F" w:rsidP="00D52B4F">
      <w:pPr>
        <w:pStyle w:val="ActHead6"/>
        <w:pageBreakBefore/>
        <w:ind w:left="0" w:firstLine="0"/>
        <w:rPr>
          <w:rStyle w:val="CharAmSchNo"/>
        </w:rPr>
      </w:pPr>
      <w:bookmarkStart w:id="21" w:name="_Toc507755861"/>
      <w:r w:rsidRPr="0080751E">
        <w:rPr>
          <w:rStyle w:val="CharAmSchNo"/>
        </w:rPr>
        <w:lastRenderedPageBreak/>
        <w:t xml:space="preserve">Schedule </w:t>
      </w:r>
      <w:r>
        <w:rPr>
          <w:rStyle w:val="CharAmSchNo"/>
        </w:rPr>
        <w:t>7</w:t>
      </w:r>
      <w:r w:rsidRPr="0080751E">
        <w:rPr>
          <w:rStyle w:val="CharAmSchNo"/>
        </w:rPr>
        <w:t xml:space="preserve">— </w:t>
      </w:r>
      <w:r w:rsidRPr="00C22C38">
        <w:rPr>
          <w:rStyle w:val="CharAmSchNo"/>
        </w:rPr>
        <w:t>Declared kinds of business pursuant to s </w:t>
      </w:r>
      <w:proofErr w:type="gramStart"/>
      <w:r w:rsidRPr="00C22C38">
        <w:rPr>
          <w:rStyle w:val="CharAmSchNo"/>
        </w:rPr>
        <w:t>124PQ(</w:t>
      </w:r>
      <w:proofErr w:type="gramEnd"/>
      <w:r w:rsidRPr="00C22C38">
        <w:rPr>
          <w:rStyle w:val="CharAmSchNo"/>
        </w:rPr>
        <w:t>2) — By reference to BPAY biller codes</w:t>
      </w:r>
      <w:bookmarkEnd w:id="21"/>
    </w:p>
    <w:p w:rsidR="00D52B4F" w:rsidRPr="00C22C38" w:rsidRDefault="00D52B4F" w:rsidP="00D52B4F">
      <w:pPr>
        <w:keepNext/>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C22C38">
        <w:rPr>
          <w:rFonts w:ascii="Helvetica Neue" w:eastAsia="Times New Roman" w:hAnsi="Helvetica Neue" w:cs="Times New Roman"/>
          <w:b/>
          <w:bCs/>
          <w:color w:val="000000"/>
          <w:sz w:val="19"/>
          <w:szCs w:val="19"/>
          <w:lang w:eastAsia="en-AU"/>
        </w:rPr>
        <w:t> </w:t>
      </w:r>
    </w:p>
    <w:tbl>
      <w:tblPr>
        <w:tblW w:w="8495" w:type="dxa"/>
        <w:tblInd w:w="-1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9"/>
        <w:gridCol w:w="1551"/>
        <w:gridCol w:w="5935"/>
      </w:tblGrid>
      <w:tr w:rsidR="00D52B4F" w:rsidRPr="003979A3" w:rsidTr="002E0ABF">
        <w:trPr>
          <w:trHeight w:val="289"/>
        </w:trPr>
        <w:tc>
          <w:tcPr>
            <w:tcW w:w="1009" w:type="dxa"/>
            <w:tcBorders>
              <w:top w:val="single" w:sz="8" w:space="0" w:color="000000"/>
              <w:left w:val="single" w:sz="8" w:space="0" w:color="000000"/>
              <w:bottom w:val="single" w:sz="8" w:space="0" w:color="000000"/>
              <w:right w:val="single" w:sz="8" w:space="0" w:color="000000"/>
            </w:tcBorders>
            <w:shd w:val="clear" w:color="auto" w:fill="FFFFFF"/>
            <w:hideMark/>
          </w:tcPr>
          <w:p w:rsidR="00D52B4F" w:rsidRPr="003979A3" w:rsidRDefault="00D52B4F" w:rsidP="002E0ABF">
            <w:pPr>
              <w:keepNext/>
              <w:rPr>
                <w:color w:val="000000"/>
              </w:rPr>
            </w:pPr>
            <w:r w:rsidRPr="003979A3">
              <w:rPr>
                <w:color w:val="000000"/>
              </w:rPr>
              <w:t>Item</w:t>
            </w:r>
          </w:p>
        </w:tc>
        <w:tc>
          <w:tcPr>
            <w:tcW w:w="155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D52B4F" w:rsidRPr="003979A3" w:rsidRDefault="00D52B4F" w:rsidP="002E0ABF">
            <w:pPr>
              <w:keepNext/>
              <w:rPr>
                <w:color w:val="000000"/>
              </w:rPr>
            </w:pPr>
            <w:r>
              <w:rPr>
                <w:color w:val="000000"/>
              </w:rPr>
              <w:t>BPAY Biller code</w:t>
            </w:r>
          </w:p>
        </w:tc>
        <w:tc>
          <w:tcPr>
            <w:tcW w:w="593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D52B4F" w:rsidRPr="003979A3" w:rsidRDefault="00D52B4F" w:rsidP="002E0ABF">
            <w:pPr>
              <w:keepNext/>
              <w:rPr>
                <w:color w:val="000000"/>
              </w:rPr>
            </w:pPr>
            <w:r w:rsidRPr="003979A3">
              <w:rPr>
                <w:color w:val="000000"/>
              </w:rPr>
              <w:t>Description</w:t>
            </w:r>
          </w:p>
        </w:tc>
      </w:tr>
      <w:tr w:rsidR="00D52B4F" w:rsidRPr="003979A3" w:rsidTr="002E0ABF">
        <w:trPr>
          <w:trHeight w:val="289"/>
        </w:trPr>
        <w:tc>
          <w:tcPr>
            <w:tcW w:w="1009" w:type="dxa"/>
            <w:tcBorders>
              <w:top w:val="nil"/>
              <w:left w:val="single" w:sz="8" w:space="0" w:color="auto"/>
              <w:bottom w:val="single" w:sz="8" w:space="0" w:color="auto"/>
              <w:right w:val="single" w:sz="8" w:space="0" w:color="auto"/>
            </w:tcBorders>
            <w:shd w:val="clear" w:color="auto" w:fill="FFFFFF"/>
            <w:hideMark/>
          </w:tcPr>
          <w:p w:rsidR="00D52B4F" w:rsidRPr="003979A3" w:rsidRDefault="00D52B4F" w:rsidP="002E0ABF">
            <w:pPr>
              <w:keepNext/>
              <w:rPr>
                <w:color w:val="000000"/>
              </w:rPr>
            </w:pPr>
            <w:r w:rsidRPr="003979A3">
              <w:rPr>
                <w:color w:val="000000"/>
              </w:rPr>
              <w:t>1</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3979A3" w:rsidRDefault="00D52B4F" w:rsidP="002E0ABF">
            <w:pPr>
              <w:keepNext/>
              <w:rPr>
                <w:color w:val="000000"/>
              </w:rPr>
            </w:pPr>
            <w:r w:rsidRPr="003979A3">
              <w:rPr>
                <w:color w:val="000000"/>
              </w:rPr>
              <w:t> </w:t>
            </w:r>
            <w:r>
              <w:rPr>
                <w:color w:val="000000"/>
              </w:rPr>
              <w:t>112615</w:t>
            </w:r>
          </w:p>
        </w:tc>
        <w:tc>
          <w:tcPr>
            <w:tcW w:w="59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B4F" w:rsidRPr="003979A3" w:rsidRDefault="00D52B4F" w:rsidP="002E0ABF">
            <w:pPr>
              <w:keepNext/>
              <w:rPr>
                <w:color w:val="000000"/>
              </w:rPr>
            </w:pPr>
            <w:r>
              <w:rPr>
                <w:color w:val="000000"/>
              </w:rPr>
              <w:t>Purchase of on-line ‘money orders’ at Australia Post</w:t>
            </w:r>
          </w:p>
        </w:tc>
      </w:tr>
    </w:tbl>
    <w:p w:rsidR="00D52B4F" w:rsidRPr="0080751E" w:rsidRDefault="00D52B4F" w:rsidP="00D52B4F">
      <w:pPr>
        <w:pStyle w:val="ActHead7"/>
        <w:ind w:left="0" w:firstLine="0"/>
      </w:pPr>
    </w:p>
    <w:p w:rsidR="00D52B4F" w:rsidRPr="004213DF" w:rsidRDefault="00D52B4F" w:rsidP="00D52B4F">
      <w:pPr>
        <w:pStyle w:val="ActHead6"/>
        <w:pageBreakBefore/>
        <w:ind w:left="0" w:firstLine="0"/>
        <w:rPr>
          <w:rStyle w:val="CharAmSchNo"/>
        </w:rPr>
      </w:pPr>
      <w:bookmarkStart w:id="22" w:name="_Toc507755862"/>
      <w:r w:rsidRPr="00666CB7">
        <w:rPr>
          <w:rStyle w:val="CharAmSchNo"/>
        </w:rPr>
        <w:lastRenderedPageBreak/>
        <w:t>Schedule </w:t>
      </w:r>
      <w:r>
        <w:rPr>
          <w:rStyle w:val="CharAmSchNo"/>
        </w:rPr>
        <w:t>8</w:t>
      </w:r>
      <w:r w:rsidRPr="004213DF">
        <w:rPr>
          <w:rStyle w:val="CharAmSchNo"/>
        </w:rPr>
        <w:t>—Terms and conditions relating to the establishment, ongoing maintenance and closure of welfare restricted bank accounts</w:t>
      </w:r>
      <w:bookmarkEnd w:id="22"/>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t>(1)            A welfare restricted bank account can only be:</w:t>
      </w:r>
    </w:p>
    <w:p w:rsidR="00D52B4F" w:rsidRPr="004213DF" w:rsidRDefault="00D52B4F" w:rsidP="00D52B4F">
      <w:pPr>
        <w:shd w:val="clear" w:color="auto" w:fill="FFFFFF"/>
        <w:spacing w:before="240"/>
        <w:ind w:left="1800" w:hanging="864"/>
        <w:rPr>
          <w:rFonts w:eastAsia="Times New Roman" w:cs="Times New Roman"/>
          <w:szCs w:val="22"/>
          <w:lang w:val="en-US" w:eastAsia="en-AU"/>
        </w:rPr>
      </w:pPr>
      <w:r w:rsidRPr="004213DF">
        <w:rPr>
          <w:rFonts w:eastAsia="Times New Roman" w:cs="Times New Roman"/>
          <w:szCs w:val="22"/>
          <w:lang w:eastAsia="en-AU"/>
        </w:rPr>
        <w:t xml:space="preserve">(a)       </w:t>
      </w:r>
      <w:r>
        <w:rPr>
          <w:rFonts w:eastAsia="Times New Roman" w:cs="Times New Roman"/>
          <w:szCs w:val="22"/>
          <w:lang w:eastAsia="en-AU"/>
        </w:rPr>
        <w:tab/>
      </w:r>
      <w:proofErr w:type="gramStart"/>
      <w:r w:rsidRPr="004213DF">
        <w:rPr>
          <w:rFonts w:eastAsia="Times New Roman" w:cs="Times New Roman"/>
          <w:szCs w:val="22"/>
          <w:lang w:eastAsia="en-AU"/>
        </w:rPr>
        <w:t>opened</w:t>
      </w:r>
      <w:proofErr w:type="gramEnd"/>
      <w:r w:rsidRPr="004213DF">
        <w:rPr>
          <w:rFonts w:eastAsia="Times New Roman" w:cs="Times New Roman"/>
          <w:szCs w:val="22"/>
          <w:lang w:eastAsia="en-AU"/>
        </w:rPr>
        <w:t xml:space="preserve"> in a single name; and </w:t>
      </w:r>
    </w:p>
    <w:p w:rsidR="00D52B4F" w:rsidRPr="004213DF" w:rsidRDefault="00D52B4F" w:rsidP="00D52B4F">
      <w:pPr>
        <w:shd w:val="clear" w:color="auto" w:fill="FFFFFF"/>
        <w:spacing w:before="240"/>
        <w:ind w:left="1800" w:hanging="864"/>
        <w:rPr>
          <w:rFonts w:eastAsia="Times New Roman" w:cs="Times New Roman"/>
          <w:szCs w:val="22"/>
          <w:lang w:val="en-US" w:eastAsia="en-AU"/>
        </w:rPr>
      </w:pPr>
      <w:r w:rsidRPr="004213DF">
        <w:rPr>
          <w:rFonts w:eastAsia="Times New Roman" w:cs="Times New Roman"/>
          <w:szCs w:val="22"/>
          <w:lang w:eastAsia="en-AU"/>
        </w:rPr>
        <w:t xml:space="preserve">(b)       </w:t>
      </w:r>
      <w:r>
        <w:rPr>
          <w:rFonts w:eastAsia="Times New Roman" w:cs="Times New Roman"/>
          <w:szCs w:val="22"/>
          <w:lang w:eastAsia="en-AU"/>
        </w:rPr>
        <w:tab/>
      </w:r>
      <w:proofErr w:type="gramStart"/>
      <w:r w:rsidRPr="004213DF">
        <w:rPr>
          <w:rFonts w:eastAsia="Times New Roman" w:cs="Times New Roman"/>
          <w:szCs w:val="22"/>
          <w:lang w:eastAsia="en-AU"/>
        </w:rPr>
        <w:t>operated</w:t>
      </w:r>
      <w:proofErr w:type="gramEnd"/>
      <w:r w:rsidRPr="004213DF">
        <w:rPr>
          <w:rFonts w:eastAsia="Times New Roman" w:cs="Times New Roman"/>
          <w:szCs w:val="22"/>
          <w:lang w:eastAsia="en-AU"/>
        </w:rPr>
        <w:t xml:space="preserve"> by the sole holder of the account.</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t>(2)            A debit card will be provided to the holder of a welfare restricted bank account.</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t>(3)            Any amount of money can be deposited into a welfare restricted bank account.</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t xml:space="preserve">(4)            Cash cannot be withdrawn from a welfare restricted bank account, whether through the use of a debit card attached to the account or by other methods of withdrawal. </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t>(5)            Systems are in place which, so far as possible, prevent money in a welfare restricted bank account, and a debit card attached to that account, being used to purchase:</w:t>
      </w:r>
    </w:p>
    <w:p w:rsidR="00D52B4F" w:rsidRPr="004213DF" w:rsidRDefault="00D52B4F" w:rsidP="00D52B4F">
      <w:pPr>
        <w:shd w:val="clear" w:color="auto" w:fill="FFFFFF"/>
        <w:spacing w:before="240"/>
        <w:ind w:left="1800" w:hanging="864"/>
        <w:rPr>
          <w:rFonts w:eastAsia="Times New Roman" w:cs="Times New Roman"/>
          <w:szCs w:val="22"/>
          <w:lang w:eastAsia="en-AU"/>
        </w:rPr>
      </w:pPr>
      <w:r w:rsidRPr="004213DF">
        <w:rPr>
          <w:rFonts w:eastAsia="Times New Roman" w:cs="Times New Roman"/>
          <w:szCs w:val="22"/>
          <w:lang w:eastAsia="en-AU"/>
        </w:rPr>
        <w:t xml:space="preserve">(a)       </w:t>
      </w:r>
      <w:r>
        <w:rPr>
          <w:rFonts w:eastAsia="Times New Roman" w:cs="Times New Roman"/>
          <w:szCs w:val="22"/>
          <w:lang w:eastAsia="en-AU"/>
        </w:rPr>
        <w:tab/>
      </w:r>
      <w:proofErr w:type="gramStart"/>
      <w:r w:rsidRPr="004213DF">
        <w:rPr>
          <w:rFonts w:eastAsia="Times New Roman" w:cs="Times New Roman"/>
          <w:szCs w:val="22"/>
          <w:lang w:eastAsia="en-AU"/>
        </w:rPr>
        <w:t>alcoholic</w:t>
      </w:r>
      <w:proofErr w:type="gramEnd"/>
      <w:r w:rsidRPr="004213DF">
        <w:rPr>
          <w:rFonts w:eastAsia="Times New Roman" w:cs="Times New Roman"/>
          <w:szCs w:val="22"/>
          <w:lang w:eastAsia="en-AU"/>
        </w:rPr>
        <w:t xml:space="preserve"> beverages; or</w:t>
      </w:r>
    </w:p>
    <w:p w:rsidR="00D52B4F" w:rsidRPr="004213DF" w:rsidRDefault="00D52B4F" w:rsidP="00D52B4F">
      <w:pPr>
        <w:shd w:val="clear" w:color="auto" w:fill="FFFFFF"/>
        <w:spacing w:before="240"/>
        <w:ind w:left="1800" w:hanging="864"/>
        <w:rPr>
          <w:rFonts w:eastAsia="Times New Roman" w:cs="Times New Roman"/>
          <w:szCs w:val="22"/>
          <w:lang w:eastAsia="en-AU"/>
        </w:rPr>
      </w:pPr>
      <w:r w:rsidRPr="004213DF">
        <w:rPr>
          <w:rFonts w:eastAsia="Times New Roman" w:cs="Times New Roman"/>
          <w:szCs w:val="22"/>
          <w:lang w:eastAsia="en-AU"/>
        </w:rPr>
        <w:t xml:space="preserve">(b)       </w:t>
      </w:r>
      <w:r>
        <w:rPr>
          <w:rFonts w:eastAsia="Times New Roman" w:cs="Times New Roman"/>
          <w:szCs w:val="22"/>
          <w:lang w:eastAsia="en-AU"/>
        </w:rPr>
        <w:tab/>
      </w:r>
      <w:proofErr w:type="gramStart"/>
      <w:r w:rsidRPr="004213DF">
        <w:rPr>
          <w:rFonts w:eastAsia="Times New Roman" w:cs="Times New Roman"/>
          <w:szCs w:val="22"/>
          <w:lang w:eastAsia="en-AU"/>
        </w:rPr>
        <w:t>gambling</w:t>
      </w:r>
      <w:proofErr w:type="gramEnd"/>
      <w:r w:rsidRPr="004213DF">
        <w:rPr>
          <w:rFonts w:eastAsia="Times New Roman" w:cs="Times New Roman"/>
          <w:szCs w:val="22"/>
          <w:lang w:eastAsia="en-AU"/>
        </w:rPr>
        <w:t xml:space="preserve">; or </w:t>
      </w:r>
    </w:p>
    <w:p w:rsidR="00D52B4F" w:rsidRPr="004213DF" w:rsidRDefault="00D52B4F" w:rsidP="00D52B4F">
      <w:pPr>
        <w:shd w:val="clear" w:color="auto" w:fill="FFFFFF"/>
        <w:spacing w:before="240"/>
        <w:ind w:left="1800" w:hanging="864"/>
        <w:rPr>
          <w:rFonts w:eastAsia="Times New Roman" w:cs="Times New Roman"/>
          <w:szCs w:val="22"/>
          <w:lang w:eastAsia="en-AU"/>
        </w:rPr>
      </w:pPr>
      <w:r w:rsidRPr="004213DF">
        <w:rPr>
          <w:rFonts w:eastAsia="Times New Roman" w:cs="Times New Roman"/>
          <w:szCs w:val="22"/>
          <w:lang w:eastAsia="en-AU"/>
        </w:rPr>
        <w:t>(c)      </w:t>
      </w:r>
      <w:r>
        <w:rPr>
          <w:rFonts w:eastAsia="Times New Roman" w:cs="Times New Roman"/>
          <w:szCs w:val="22"/>
          <w:lang w:eastAsia="en-AU"/>
        </w:rPr>
        <w:tab/>
      </w:r>
      <w:proofErr w:type="gramStart"/>
      <w:r w:rsidRPr="004213DF">
        <w:rPr>
          <w:rFonts w:eastAsia="Times New Roman" w:cs="Times New Roman"/>
          <w:szCs w:val="22"/>
          <w:lang w:eastAsia="en-AU"/>
        </w:rPr>
        <w:t>gift</w:t>
      </w:r>
      <w:proofErr w:type="gramEnd"/>
      <w:r w:rsidRPr="004213DF">
        <w:rPr>
          <w:rFonts w:eastAsia="Times New Roman" w:cs="Times New Roman"/>
          <w:szCs w:val="22"/>
          <w:lang w:eastAsia="en-AU"/>
        </w:rPr>
        <w:t xml:space="preserve"> cards, store cards or vouchers (whether reloadable or not), where those gift cards, store cards or vouchers allow for the purchase of alcoholic beverages or gambling.</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t xml:space="preserve">(6)            Systems are in place which, so far as possible, prevent a trial participant or voluntary participant transferring money from a welfare restricted bank account to another bank account that is not a welfare restricted bank account unless the money is transferred for a purpose other than enabling the trial participant or voluntary participant to access cash or obtain excluded goods or services. </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color w:val="000000"/>
          <w:szCs w:val="22"/>
          <w:lang w:eastAsia="en-AU"/>
        </w:rPr>
        <w:t>(7)            The debit card attached to the welfare restricted bank account may be used to purchase goods or services over the telephone or internet, or without presenting the debit card only if systems are in place to prevent the card being used in this way to purchase excluded goods or services.</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t>(8)            Fees may not be charged in relation to depositing money into a welfare restricted bank account, or in relation to providing an initial debit card.</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t>(9)</w:t>
      </w:r>
      <w:r>
        <w:rPr>
          <w:rFonts w:eastAsia="Times New Roman" w:cs="Times New Roman"/>
          <w:szCs w:val="22"/>
          <w:lang w:eastAsia="en-AU"/>
        </w:rPr>
        <w:t xml:space="preserve">            </w:t>
      </w:r>
      <w:r w:rsidRPr="004213DF">
        <w:rPr>
          <w:rFonts w:eastAsia="Times New Roman" w:cs="Times New Roman"/>
          <w:szCs w:val="22"/>
          <w:lang w:eastAsia="en-AU"/>
        </w:rPr>
        <w:t>Interest cannot be charged on a balance in a welfare restricted bank account that is less than zero.</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t xml:space="preserve">(10)         </w:t>
      </w:r>
      <w:r>
        <w:rPr>
          <w:rFonts w:eastAsia="Times New Roman" w:cs="Times New Roman"/>
          <w:szCs w:val="22"/>
          <w:lang w:eastAsia="en-AU"/>
        </w:rPr>
        <w:t> </w:t>
      </w:r>
      <w:r w:rsidRPr="004213DF">
        <w:rPr>
          <w:rFonts w:eastAsia="Times New Roman" w:cs="Times New Roman"/>
          <w:szCs w:val="22"/>
          <w:lang w:eastAsia="en-AU"/>
        </w:rPr>
        <w:t>Interest cannot be paid on a balance in a welfare restricted bank account.</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lastRenderedPageBreak/>
        <w:t xml:space="preserve">(11)         </w:t>
      </w:r>
      <w:r>
        <w:rPr>
          <w:rFonts w:eastAsia="Times New Roman" w:cs="Times New Roman"/>
          <w:szCs w:val="22"/>
          <w:lang w:eastAsia="en-AU"/>
        </w:rPr>
        <w:t> </w:t>
      </w:r>
      <w:r w:rsidRPr="004213DF">
        <w:rPr>
          <w:rFonts w:eastAsia="Times New Roman" w:cs="Times New Roman"/>
          <w:szCs w:val="22"/>
          <w:lang w:eastAsia="en-AU"/>
        </w:rPr>
        <w:t>A welfare restricted bank account provided to a person may be closed during the trial period only if the person is not a trial participant.</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t xml:space="preserve">(12)         </w:t>
      </w:r>
      <w:r>
        <w:rPr>
          <w:rFonts w:eastAsia="Times New Roman" w:cs="Times New Roman"/>
          <w:szCs w:val="22"/>
          <w:lang w:eastAsia="en-AU"/>
        </w:rPr>
        <w:t> </w:t>
      </w:r>
      <w:r w:rsidRPr="004213DF">
        <w:rPr>
          <w:rFonts w:eastAsia="Times New Roman" w:cs="Times New Roman"/>
          <w:szCs w:val="22"/>
          <w:lang w:eastAsia="en-AU"/>
        </w:rPr>
        <w:t>A welfare restricted bank account cannot be used in an arrangement involving automatic drawing or withdrawal of monies by a third party that is based on BSB and account number.</w:t>
      </w:r>
    </w:p>
    <w:p w:rsidR="00D52B4F" w:rsidRPr="004213DF" w:rsidRDefault="00D52B4F" w:rsidP="00D52B4F">
      <w:pPr>
        <w:shd w:val="clear" w:color="auto" w:fill="FFFFFF"/>
        <w:spacing w:before="240"/>
        <w:ind w:left="936" w:hanging="936"/>
        <w:rPr>
          <w:rFonts w:eastAsia="Times New Roman" w:cs="Times New Roman"/>
          <w:szCs w:val="22"/>
          <w:lang w:val="en-US" w:eastAsia="en-AU"/>
        </w:rPr>
      </w:pPr>
      <w:r w:rsidRPr="004213DF">
        <w:rPr>
          <w:rFonts w:eastAsia="Times New Roman" w:cs="Times New Roman"/>
          <w:szCs w:val="22"/>
          <w:lang w:eastAsia="en-AU"/>
        </w:rPr>
        <w:t>(13)           Limitations will be placed on the amounts a trial participant or voluntary participant can spend using a debit card attached to the account.</w:t>
      </w:r>
    </w:p>
    <w:p w:rsidR="00D52B4F" w:rsidRDefault="00D52B4F" w:rsidP="00D52B4F">
      <w:pPr>
        <w:shd w:val="clear" w:color="auto" w:fill="FFFFFF"/>
        <w:spacing w:before="240"/>
        <w:ind w:left="936" w:hanging="936"/>
        <w:rPr>
          <w:rStyle w:val="CharAmSchText"/>
        </w:rPr>
      </w:pPr>
      <w:r w:rsidRPr="004213DF">
        <w:rPr>
          <w:rFonts w:eastAsia="Times New Roman" w:cs="Times New Roman"/>
          <w:szCs w:val="22"/>
          <w:lang w:eastAsia="en-AU"/>
        </w:rPr>
        <w:t>(14)           Limitations will be placed on the amounts a particular holder of a welfare restricted bank account can transfer out of his or her welfare restricted bank account.</w:t>
      </w:r>
      <w:r w:rsidRPr="004213DF">
        <w:rPr>
          <w:rFonts w:ascii="Arial" w:eastAsia="Times New Roman" w:hAnsi="Arial" w:cs="Arial"/>
          <w:sz w:val="19"/>
          <w:szCs w:val="19"/>
          <w:lang w:eastAsia="en-AU"/>
        </w:rPr>
        <w:t xml:space="preserve"> </w:t>
      </w:r>
    </w:p>
    <w:p w:rsidR="00D52B4F" w:rsidRPr="0080751E" w:rsidRDefault="00D52B4F" w:rsidP="00D52B4F">
      <w:pPr>
        <w:pStyle w:val="ActHead7"/>
      </w:pPr>
    </w:p>
    <w:p w:rsidR="00D52B4F" w:rsidRPr="0080751E" w:rsidRDefault="00D52B4F" w:rsidP="00D52B4F">
      <w:pPr>
        <w:pStyle w:val="ActHead7"/>
      </w:pPr>
    </w:p>
    <w:p w:rsidR="00D52B4F" w:rsidRPr="0080751E" w:rsidRDefault="00D52B4F" w:rsidP="00D52B4F">
      <w:pPr>
        <w:pStyle w:val="ActHead7"/>
      </w:pPr>
    </w:p>
    <w:p w:rsidR="00D52B4F" w:rsidRPr="00DA182D" w:rsidRDefault="00D52B4F" w:rsidP="00D52B4F">
      <w:pPr>
        <w:pStyle w:val="Item"/>
      </w:pPr>
    </w:p>
    <w:p w:rsidR="007B0256" w:rsidRPr="00B91E3E" w:rsidRDefault="007B0256" w:rsidP="00B91E3E"/>
    <w:sectPr w:rsidR="007B0256" w:rsidRPr="00B91E3E" w:rsidSect="00C84319">
      <w:pgSz w:w="11906" w:h="16838"/>
      <w:pgMar w:top="1440" w:right="1440" w:bottom="1135" w:left="1440" w:header="708" w:footer="97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84319">
      <w:pPr>
        <w:spacing w:line="240" w:lineRule="auto"/>
      </w:pPr>
      <w:r>
        <w:separator/>
      </w:r>
    </w:p>
  </w:endnote>
  <w:endnote w:type="continuationSeparator" w:id="0">
    <w:p w:rsidR="00000000" w:rsidRDefault="00C84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360F3" w:rsidTr="00C22C38">
      <w:tc>
        <w:tcPr>
          <w:tcW w:w="5000" w:type="pct"/>
        </w:tcPr>
        <w:p w:rsidR="001360F3" w:rsidRDefault="00C84319" w:rsidP="00C22C38">
          <w:pPr>
            <w:rPr>
              <w:sz w:val="18"/>
            </w:rPr>
          </w:pPr>
        </w:p>
      </w:tc>
    </w:tr>
  </w:tbl>
  <w:p w:rsidR="001360F3" w:rsidRPr="005F1388" w:rsidRDefault="00C84319"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360F3" w:rsidTr="00C22C38">
      <w:tc>
        <w:tcPr>
          <w:tcW w:w="5000" w:type="pct"/>
        </w:tcPr>
        <w:p w:rsidR="001360F3" w:rsidRDefault="00C84319" w:rsidP="00C22C38">
          <w:pPr>
            <w:rPr>
              <w:sz w:val="18"/>
            </w:rPr>
          </w:pPr>
        </w:p>
      </w:tc>
    </w:tr>
  </w:tbl>
  <w:p w:rsidR="001360F3" w:rsidRPr="006D3667" w:rsidRDefault="00C84319" w:rsidP="00C22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F3" w:rsidRDefault="00C84319" w:rsidP="00C22C38">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360F3" w:rsidTr="00C22C38">
      <w:tc>
        <w:tcPr>
          <w:tcW w:w="5000" w:type="pct"/>
        </w:tcPr>
        <w:p w:rsidR="001360F3" w:rsidRDefault="00C84319" w:rsidP="00C22C38">
          <w:pPr>
            <w:rPr>
              <w:sz w:val="18"/>
            </w:rPr>
          </w:pPr>
        </w:p>
      </w:tc>
    </w:tr>
  </w:tbl>
  <w:p w:rsidR="001360F3" w:rsidRPr="00486382" w:rsidRDefault="00C8431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F3" w:rsidRPr="00E33C1C" w:rsidRDefault="00C84319" w:rsidP="00C22C3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1360F3" w:rsidTr="00C22C38">
      <w:tc>
        <w:tcPr>
          <w:tcW w:w="365" w:type="pct"/>
          <w:tcBorders>
            <w:top w:val="nil"/>
            <w:left w:val="nil"/>
            <w:bottom w:val="nil"/>
            <w:right w:val="nil"/>
          </w:tcBorders>
        </w:tcPr>
        <w:p w:rsidR="001360F3" w:rsidRDefault="00C84319" w:rsidP="00C22C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rsidR="001360F3" w:rsidRDefault="00C84319" w:rsidP="00C22C3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Social Security (Administration) (Trial – Declinable</w:t>
          </w:r>
          <w:r>
            <w:rPr>
              <w:i/>
              <w:noProof/>
              <w:sz w:val="18"/>
            </w:rPr>
            <w:t xml:space="preserve"> Transactions and Welfare Restricted Bank Account) Determination 2018</w:t>
          </w:r>
          <w:r w:rsidRPr="00B20990">
            <w:rPr>
              <w:i/>
              <w:sz w:val="18"/>
            </w:rPr>
            <w:fldChar w:fldCharType="end"/>
          </w:r>
        </w:p>
      </w:tc>
      <w:tc>
        <w:tcPr>
          <w:tcW w:w="947" w:type="pct"/>
          <w:tcBorders>
            <w:top w:val="nil"/>
            <w:left w:val="nil"/>
            <w:bottom w:val="nil"/>
            <w:right w:val="nil"/>
          </w:tcBorders>
        </w:tcPr>
        <w:p w:rsidR="001360F3" w:rsidRDefault="00C84319" w:rsidP="00C22C38">
          <w:pPr>
            <w:spacing w:line="0" w:lineRule="atLeast"/>
            <w:jc w:val="right"/>
            <w:rPr>
              <w:sz w:val="18"/>
            </w:rPr>
          </w:pPr>
        </w:p>
      </w:tc>
    </w:tr>
    <w:tr w:rsidR="001360F3" w:rsidTr="00C22C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1360F3" w:rsidRDefault="00C84319" w:rsidP="00C22C38">
          <w:pPr>
            <w:jc w:val="right"/>
            <w:rPr>
              <w:sz w:val="18"/>
            </w:rPr>
          </w:pPr>
        </w:p>
      </w:tc>
    </w:tr>
  </w:tbl>
  <w:p w:rsidR="001360F3" w:rsidRPr="00ED79B6" w:rsidRDefault="00C84319" w:rsidP="00C22C3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F3" w:rsidRPr="00E33C1C" w:rsidRDefault="00C84319" w:rsidP="00C22C3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1360F3" w:rsidTr="00C84319">
      <w:trPr>
        <w:trHeight w:val="571"/>
      </w:trPr>
      <w:tc>
        <w:tcPr>
          <w:tcW w:w="947" w:type="pct"/>
          <w:tcBorders>
            <w:top w:val="nil"/>
            <w:left w:val="nil"/>
            <w:bottom w:val="nil"/>
            <w:right w:val="nil"/>
          </w:tcBorders>
        </w:tcPr>
        <w:p w:rsidR="001360F3" w:rsidRDefault="00C84319" w:rsidP="00C22C38">
          <w:pPr>
            <w:spacing w:line="0" w:lineRule="atLeast"/>
            <w:rPr>
              <w:sz w:val="18"/>
            </w:rPr>
          </w:pPr>
        </w:p>
      </w:tc>
      <w:tc>
        <w:tcPr>
          <w:tcW w:w="3688" w:type="pct"/>
          <w:tcBorders>
            <w:top w:val="nil"/>
            <w:left w:val="nil"/>
            <w:bottom w:val="nil"/>
            <w:right w:val="nil"/>
          </w:tcBorders>
        </w:tcPr>
        <w:p w:rsidR="001360F3" w:rsidRPr="00B20990" w:rsidRDefault="00C84319" w:rsidP="00C22C3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Social Security (Administration) (Trial – Declinable Transactions and Welfare Restricted Bank Account) Determination 2018</w:t>
          </w:r>
          <w:r w:rsidRPr="00B20990">
            <w:rPr>
              <w:i/>
              <w:sz w:val="18"/>
            </w:rPr>
            <w:fldChar w:fldCharType="end"/>
          </w:r>
        </w:p>
      </w:tc>
      <w:tc>
        <w:tcPr>
          <w:tcW w:w="365" w:type="pct"/>
          <w:tcBorders>
            <w:top w:val="nil"/>
            <w:left w:val="nil"/>
            <w:bottom w:val="nil"/>
            <w:right w:val="nil"/>
          </w:tcBorders>
        </w:tcPr>
        <w:p w:rsidR="001360F3" w:rsidRDefault="00C84319" w:rsidP="00C22C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r>
    <w:tr w:rsidR="001360F3" w:rsidTr="00C22C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1360F3" w:rsidRDefault="00C84319" w:rsidP="00C22C38">
          <w:pPr>
            <w:rPr>
              <w:sz w:val="18"/>
            </w:rPr>
          </w:pPr>
        </w:p>
      </w:tc>
    </w:tr>
  </w:tbl>
  <w:p w:rsidR="001360F3" w:rsidRPr="00ED79B6" w:rsidRDefault="00C84319" w:rsidP="00C22C3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84319">
      <w:pPr>
        <w:spacing w:line="240" w:lineRule="auto"/>
      </w:pPr>
      <w:r>
        <w:separator/>
      </w:r>
    </w:p>
  </w:footnote>
  <w:footnote w:type="continuationSeparator" w:id="0">
    <w:p w:rsidR="00000000" w:rsidRDefault="00C843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F3" w:rsidRPr="005F1388" w:rsidRDefault="00C8431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F3" w:rsidRPr="005F1388" w:rsidRDefault="00C8431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F3" w:rsidRPr="005F1388" w:rsidRDefault="00C8431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F3" w:rsidRPr="00ED79B6" w:rsidRDefault="00C84319" w:rsidP="00C22C38">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F3" w:rsidRPr="00ED79B6" w:rsidRDefault="00C84319" w:rsidP="00C22C38">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F3" w:rsidRPr="00ED79B6" w:rsidRDefault="00C84319" w:rsidP="0048364F">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86BC4"/>
    <w:multiLevelType w:val="hybridMultilevel"/>
    <w:tmpl w:val="627C8B4C"/>
    <w:lvl w:ilvl="0" w:tplc="ACC47894">
      <w:start w:val="1"/>
      <w:numFmt w:val="lowerLetter"/>
      <w:lvlText w:val="(%1)"/>
      <w:lvlJc w:val="left"/>
      <w:pPr>
        <w:ind w:left="1989" w:hanging="8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4F"/>
    <w:rsid w:val="00005633"/>
    <w:rsid w:val="001E630D"/>
    <w:rsid w:val="00225F98"/>
    <w:rsid w:val="00270606"/>
    <w:rsid w:val="00284DC9"/>
    <w:rsid w:val="003B2BB8"/>
    <w:rsid w:val="003D34FF"/>
    <w:rsid w:val="003F1948"/>
    <w:rsid w:val="00476369"/>
    <w:rsid w:val="00483526"/>
    <w:rsid w:val="004B54CA"/>
    <w:rsid w:val="004E5CBF"/>
    <w:rsid w:val="005C3AA9"/>
    <w:rsid w:val="00621FC5"/>
    <w:rsid w:val="00637B02"/>
    <w:rsid w:val="006A4CE7"/>
    <w:rsid w:val="00785261"/>
    <w:rsid w:val="007B0256"/>
    <w:rsid w:val="0083177B"/>
    <w:rsid w:val="009225F0"/>
    <w:rsid w:val="0093462C"/>
    <w:rsid w:val="00953795"/>
    <w:rsid w:val="00974189"/>
    <w:rsid w:val="00A433BC"/>
    <w:rsid w:val="00B91E3E"/>
    <w:rsid w:val="00BA2DB9"/>
    <w:rsid w:val="00BE7148"/>
    <w:rsid w:val="00C84319"/>
    <w:rsid w:val="00C84DD7"/>
    <w:rsid w:val="00C93BDB"/>
    <w:rsid w:val="00CB5863"/>
    <w:rsid w:val="00D52B4F"/>
    <w:rsid w:val="00DA243A"/>
    <w:rsid w:val="00E27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F3E8E"/>
  <w15:chartTrackingRefBased/>
  <w15:docId w15:val="{9CB7F836-72C5-44E6-A093-4E4A70DD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2B4F"/>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hortT">
    <w:name w:val="ShortT"/>
    <w:basedOn w:val="Normal"/>
    <w:next w:val="Normal"/>
    <w:qFormat/>
    <w:rsid w:val="00D52B4F"/>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D52B4F"/>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ActHead7"/>
    <w:qFormat/>
    <w:rsid w:val="00D52B4F"/>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7">
    <w:name w:val="ActHead 7"/>
    <w:aliases w:val="ap"/>
    <w:basedOn w:val="Normal"/>
    <w:next w:val="ItemHead"/>
    <w:qFormat/>
    <w:rsid w:val="00D52B4F"/>
    <w:pPr>
      <w:keepNext/>
      <w:keepLines/>
      <w:spacing w:before="280" w:line="240" w:lineRule="auto"/>
      <w:ind w:left="1134" w:hanging="1134"/>
      <w:outlineLvl w:val="6"/>
    </w:pPr>
    <w:rPr>
      <w:rFonts w:ascii="Arial" w:eastAsia="Times New Roman" w:hAnsi="Arial" w:cs="Times New Roman"/>
      <w:b/>
      <w:kern w:val="28"/>
      <w:sz w:val="28"/>
      <w:lang w:eastAsia="en-AU"/>
    </w:rPr>
  </w:style>
  <w:style w:type="paragraph" w:customStyle="1" w:styleId="ActHead9">
    <w:name w:val="ActHead 9"/>
    <w:aliases w:val="aat"/>
    <w:basedOn w:val="Normal"/>
    <w:next w:val="ItemHead"/>
    <w:qFormat/>
    <w:rsid w:val="00D52B4F"/>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uiPriority w:val="1"/>
    <w:qFormat/>
    <w:rsid w:val="00D52B4F"/>
  </w:style>
  <w:style w:type="character" w:customStyle="1" w:styleId="CharAmSchText">
    <w:name w:val="CharAmSchText"/>
    <w:basedOn w:val="DefaultParagraphFont"/>
    <w:uiPriority w:val="1"/>
    <w:qFormat/>
    <w:rsid w:val="00D52B4F"/>
  </w:style>
  <w:style w:type="character" w:customStyle="1" w:styleId="CharSectno">
    <w:name w:val="CharSectno"/>
    <w:basedOn w:val="DefaultParagraphFont"/>
    <w:qFormat/>
    <w:rsid w:val="00D52B4F"/>
  </w:style>
  <w:style w:type="paragraph" w:customStyle="1" w:styleId="subsection">
    <w:name w:val="subsection"/>
    <w:aliases w:val="ss"/>
    <w:basedOn w:val="Normal"/>
    <w:link w:val="subsectionChar"/>
    <w:rsid w:val="00D52B4F"/>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D52B4F"/>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D52B4F"/>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D52B4F"/>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D52B4F"/>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D52B4F"/>
    <w:pPr>
      <w:spacing w:before="122" w:line="198" w:lineRule="exact"/>
      <w:ind w:left="1985" w:hanging="851"/>
    </w:pPr>
    <w:rPr>
      <w:rFonts w:eastAsia="Times New Roman" w:cs="Times New Roman"/>
      <w:sz w:val="18"/>
      <w:lang w:eastAsia="en-AU"/>
    </w:rPr>
  </w:style>
  <w:style w:type="paragraph" w:styleId="TOC5">
    <w:name w:val="toc 5"/>
    <w:basedOn w:val="Normal"/>
    <w:next w:val="Normal"/>
    <w:uiPriority w:val="39"/>
    <w:unhideWhenUsed/>
    <w:rsid w:val="00D52B4F"/>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D52B4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D52B4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notepara">
    <w:name w:val="note(para)"/>
    <w:aliases w:val="na"/>
    <w:basedOn w:val="Normal"/>
    <w:rsid w:val="00D52B4F"/>
    <w:pPr>
      <w:spacing w:before="40" w:line="198" w:lineRule="exact"/>
      <w:ind w:left="2354" w:hanging="369"/>
    </w:pPr>
    <w:rPr>
      <w:rFonts w:eastAsia="Times New Roman" w:cs="Times New Roman"/>
      <w:sz w:val="18"/>
      <w:lang w:eastAsia="en-AU"/>
    </w:rPr>
  </w:style>
  <w:style w:type="paragraph" w:styleId="Footer">
    <w:name w:val="footer"/>
    <w:link w:val="FooterChar"/>
    <w:rsid w:val="00D52B4F"/>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D52B4F"/>
    <w:rPr>
      <w:rFonts w:ascii="Times New Roman" w:eastAsia="Times New Roman" w:hAnsi="Times New Roman" w:cs="Times New Roman"/>
      <w:szCs w:val="24"/>
      <w:lang w:eastAsia="en-AU"/>
    </w:rPr>
  </w:style>
  <w:style w:type="table" w:styleId="TableGrid">
    <w:name w:val="Table Grid"/>
    <w:basedOn w:val="TableNormal"/>
    <w:uiPriority w:val="59"/>
    <w:rsid w:val="00D52B4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D52B4F"/>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D52B4F"/>
    <w:pPr>
      <w:pBdr>
        <w:top w:val="single" w:sz="4" w:space="1" w:color="auto"/>
      </w:pBdr>
      <w:spacing w:before="360"/>
      <w:ind w:right="397"/>
      <w:jc w:val="both"/>
    </w:pPr>
    <w:rPr>
      <w:rFonts w:eastAsia="Times New Roman" w:cs="Times New Roman"/>
      <w:lang w:eastAsia="en-AU"/>
    </w:rPr>
  </w:style>
  <w:style w:type="character" w:customStyle="1" w:styleId="subsectionChar">
    <w:name w:val="subsection Char"/>
    <w:aliases w:val="ss Char"/>
    <w:basedOn w:val="DefaultParagraphFont"/>
    <w:link w:val="subsection"/>
    <w:locked/>
    <w:rsid w:val="00D52B4F"/>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D52B4F"/>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8E8A8-F882-4C4A-AC78-CC5AF161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AITKEN, Richard</dc:creator>
  <cp:keywords/>
  <dc:description/>
  <cp:lastModifiedBy>MCNAMARA, Silvia</cp:lastModifiedBy>
  <cp:revision>6</cp:revision>
  <dcterms:created xsi:type="dcterms:W3CDTF">2018-03-14T00:24:00Z</dcterms:created>
  <dcterms:modified xsi:type="dcterms:W3CDTF">2018-03-14T00:38:00Z</dcterms:modified>
</cp:coreProperties>
</file>