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FCF6C"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1A241823" w14:textId="77777777" w:rsidR="0026598F" w:rsidRDefault="00F109D4" w:rsidP="003E1CE3">
      <w:pPr>
        <w:pStyle w:val="Heading2"/>
        <w:jc w:val="center"/>
      </w:pPr>
      <w:r w:rsidRPr="00503E44">
        <w:t xml:space="preserve">Issued by authority of the </w:t>
      </w:r>
    </w:p>
    <w:p w14:paraId="086535DC" w14:textId="75BEA997" w:rsidR="007662C7" w:rsidRDefault="00E840E8" w:rsidP="0026598F">
      <w:pPr>
        <w:pStyle w:val="Heading2"/>
        <w:spacing w:before="0"/>
        <w:jc w:val="center"/>
      </w:pPr>
      <w:r w:rsidRPr="00E840E8">
        <w:t>Minister for Revenue and Financial Services</w:t>
      </w:r>
    </w:p>
    <w:p w14:paraId="27D9B871" w14:textId="77777777" w:rsidR="00696517" w:rsidRPr="00696517" w:rsidRDefault="00696517" w:rsidP="00D73300"/>
    <w:p w14:paraId="2DCFE14F" w14:textId="77777777" w:rsidR="00F109D4" w:rsidRPr="00503E44" w:rsidRDefault="00E840E8" w:rsidP="00AA1689">
      <w:pPr>
        <w:spacing w:before="0" w:after="240"/>
        <w:jc w:val="center"/>
        <w:rPr>
          <w:i/>
        </w:rPr>
      </w:pPr>
      <w:r w:rsidRPr="00E840E8">
        <w:rPr>
          <w:i/>
        </w:rPr>
        <w:t>Petroleum Excise (Prices) Act 1987</w:t>
      </w:r>
    </w:p>
    <w:p w14:paraId="1B0369DF" w14:textId="77777777" w:rsidR="00F109D4" w:rsidRPr="00503E44" w:rsidRDefault="00E840E8" w:rsidP="00AA1689">
      <w:pPr>
        <w:tabs>
          <w:tab w:val="left" w:pos="1418"/>
        </w:tabs>
        <w:spacing w:before="0" w:after="240"/>
        <w:jc w:val="center"/>
        <w:rPr>
          <w:i/>
        </w:rPr>
      </w:pPr>
      <w:r w:rsidRPr="00E840E8">
        <w:rPr>
          <w:i/>
        </w:rPr>
        <w:t>Petroleum Excise (Prices) Regulations 2018</w:t>
      </w:r>
    </w:p>
    <w:p w14:paraId="6D013F24" w14:textId="77777777" w:rsidR="00E840E8" w:rsidRPr="000125FF" w:rsidRDefault="00E840E8" w:rsidP="006C6EEB">
      <w:pPr>
        <w:spacing w:before="0"/>
      </w:pPr>
      <w:r w:rsidRPr="000125FF">
        <w:t xml:space="preserve">The </w:t>
      </w:r>
      <w:r w:rsidRPr="00872617">
        <w:rPr>
          <w:i/>
        </w:rPr>
        <w:t>Petroleum Excise (Prices) Act 1987</w:t>
      </w:r>
      <w:r>
        <w:t xml:space="preserve"> (the Act) sets out the manner in which the price of crude petroleum oil and condensate is determined for the purposes of imposing excise under the </w:t>
      </w:r>
      <w:r w:rsidRPr="008460A3">
        <w:rPr>
          <w:i/>
        </w:rPr>
        <w:t>Excise Tariff Act 1921</w:t>
      </w:r>
      <w:r>
        <w:t>. Broadly, it provides for the price to be the volume weighted average of the relevant realised price for the period (the VOLWARE price).</w:t>
      </w:r>
    </w:p>
    <w:p w14:paraId="63E02B95" w14:textId="77777777" w:rsidR="00E840E8" w:rsidRPr="00872617" w:rsidRDefault="00E840E8" w:rsidP="006C6EEB">
      <w:pPr>
        <w:spacing w:before="0"/>
      </w:pPr>
      <w:r w:rsidRPr="00872617">
        <w:t>Section 14 of the Act provides that the Governor-General may make regulations prescribing all matters required or permitted by the Act to be prescribed, or necessary or convenient to be prescribed for carrying out or giving effect to this Act.</w:t>
      </w:r>
    </w:p>
    <w:p w14:paraId="29F4D55D" w14:textId="349CA793" w:rsidR="00E840E8" w:rsidRDefault="00E840E8" w:rsidP="006C6EEB">
      <w:pPr>
        <w:spacing w:before="0"/>
      </w:pPr>
      <w:r w:rsidRPr="00872617">
        <w:t xml:space="preserve">The purpose of the </w:t>
      </w:r>
      <w:r w:rsidRPr="00E840E8">
        <w:rPr>
          <w:i/>
        </w:rPr>
        <w:t>Petroleum Excise (Prices) Regulations 2018</w:t>
      </w:r>
      <w:r w:rsidRPr="00872617">
        <w:t xml:space="preserve"> (the Regulations) is to remake</w:t>
      </w:r>
      <w:r w:rsidR="00D20728">
        <w:t xml:space="preserve"> and improve the operation of</w:t>
      </w:r>
      <w:r w:rsidRPr="00872617">
        <w:t xml:space="preserve"> the </w:t>
      </w:r>
      <w:r w:rsidRPr="00872617">
        <w:rPr>
          <w:i/>
        </w:rPr>
        <w:t>Petroleum Excise (Prices) Regulations 1988</w:t>
      </w:r>
      <w:r>
        <w:t xml:space="preserve"> (the prior Regulations)</w:t>
      </w:r>
      <w:r w:rsidRPr="00872617">
        <w:t xml:space="preserve">. </w:t>
      </w:r>
      <w:r>
        <w:t xml:space="preserve">Under the rules set out in section 50 of the </w:t>
      </w:r>
      <w:r w:rsidRPr="00872617">
        <w:rPr>
          <w:i/>
        </w:rPr>
        <w:t>Legislation Act 2003</w:t>
      </w:r>
      <w:r>
        <w:t xml:space="preserve">, the prior Regulations sunset on 1 April 2018. </w:t>
      </w:r>
    </w:p>
    <w:p w14:paraId="30AA0948" w14:textId="666F0018" w:rsidR="00E840E8" w:rsidRDefault="00E840E8" w:rsidP="006C6EEB">
      <w:pPr>
        <w:spacing w:before="0"/>
        <w:rPr>
          <w:color w:val="000000"/>
          <w:shd w:val="clear" w:color="auto" w:fill="FFFFFF"/>
        </w:rPr>
      </w:pPr>
      <w:r>
        <w:rPr>
          <w:color w:val="000000"/>
          <w:shd w:val="clear" w:color="auto" w:fill="FFFFFF"/>
        </w:rPr>
        <w:t xml:space="preserve">The Regulations </w:t>
      </w:r>
      <w:r w:rsidR="00D20728">
        <w:rPr>
          <w:color w:val="000000"/>
          <w:shd w:val="clear" w:color="auto" w:fill="FFFFFF"/>
        </w:rPr>
        <w:t xml:space="preserve">remake and </w:t>
      </w:r>
      <w:r>
        <w:rPr>
          <w:color w:val="000000"/>
          <w:shd w:val="clear" w:color="auto" w:fill="FFFFFF"/>
        </w:rPr>
        <w:t>improve the </w:t>
      </w:r>
      <w:r w:rsidRPr="00872617">
        <w:rPr>
          <w:iCs/>
          <w:color w:val="000000"/>
          <w:shd w:val="clear" w:color="auto" w:fill="FFFFFF"/>
        </w:rPr>
        <w:t>prior Regulations</w:t>
      </w:r>
      <w:r>
        <w:rPr>
          <w:color w:val="000000"/>
          <w:shd w:val="clear" w:color="auto" w:fill="FFFFFF"/>
        </w:rPr>
        <w:t> by simplifying language and restructuring provisions for ease of navigation. The key changes include the consolidation of defined terms in a single section for ease of reference and the reference to provisions as sections rather than regulations.</w:t>
      </w:r>
    </w:p>
    <w:p w14:paraId="0632E75A" w14:textId="77777777" w:rsidR="00E840E8" w:rsidRPr="00872617" w:rsidRDefault="00E840E8" w:rsidP="006C6EEB">
      <w:pPr>
        <w:spacing w:before="0"/>
      </w:pPr>
      <w:r>
        <w:rPr>
          <w:color w:val="000000"/>
          <w:shd w:val="clear" w:color="auto" w:fill="FFFFFF"/>
        </w:rPr>
        <w:t>The changes do not affect the substantive meaning or operation of the provisions.</w:t>
      </w:r>
    </w:p>
    <w:p w14:paraId="69E21327" w14:textId="77777777" w:rsidR="00E840E8" w:rsidRPr="00020589" w:rsidRDefault="00E840E8" w:rsidP="006C6EEB">
      <w:pPr>
        <w:spacing w:before="0"/>
      </w:pPr>
      <w:r w:rsidRPr="00020589">
        <w:t xml:space="preserve">Further details of the Regulations are set out in </w:t>
      </w:r>
      <w:r w:rsidRPr="0026598F">
        <w:rPr>
          <w:u w:val="single"/>
        </w:rPr>
        <w:t>Attachment A</w:t>
      </w:r>
      <w:r w:rsidRPr="00020589">
        <w:t>.</w:t>
      </w:r>
    </w:p>
    <w:p w14:paraId="2105A67F" w14:textId="77777777" w:rsidR="006C6EEB" w:rsidRDefault="00E840E8" w:rsidP="006C6EEB">
      <w:pPr>
        <w:spacing w:before="0"/>
      </w:pPr>
      <w:r>
        <w:t xml:space="preserve">The Act does not specify any conditions that </w:t>
      </w:r>
      <w:r w:rsidR="008A7BD5">
        <w:t xml:space="preserve">were required </w:t>
      </w:r>
      <w:r>
        <w:t xml:space="preserve">to be satisfied before the power to make the regulations </w:t>
      </w:r>
      <w:r w:rsidR="008A7BD5">
        <w:t>was</w:t>
      </w:r>
      <w:r>
        <w:t xml:space="preserve"> exercised.</w:t>
      </w:r>
      <w:r w:rsidR="006C6EEB" w:rsidRPr="006C6EEB">
        <w:t xml:space="preserve"> </w:t>
      </w:r>
    </w:p>
    <w:p w14:paraId="43D960F9" w14:textId="77777777" w:rsidR="000E1B6A" w:rsidRDefault="000E1B6A" w:rsidP="000E1B6A">
      <w:pPr>
        <w:spacing w:before="0"/>
      </w:pPr>
      <w:r>
        <w:t xml:space="preserve">Public consultation was undertaken on the proposed amendments from 12 February 2018 to 23 February 2018. No submissions were received. </w:t>
      </w:r>
    </w:p>
    <w:p w14:paraId="70D11C1E" w14:textId="0B4919DC" w:rsidR="006C6EEB" w:rsidRPr="00D3322F" w:rsidRDefault="006C6EEB" w:rsidP="006C6EEB">
      <w:pPr>
        <w:spacing w:before="0"/>
      </w:pPr>
      <w:r w:rsidRPr="00D3322F">
        <w:t>The Regulation</w:t>
      </w:r>
      <w:r>
        <w:t>s</w:t>
      </w:r>
      <w:r w:rsidRPr="00D3322F">
        <w:t xml:space="preserve"> </w:t>
      </w:r>
      <w:r w:rsidR="00D20728">
        <w:t>are</w:t>
      </w:r>
      <w:r w:rsidRPr="00D3322F">
        <w:t xml:space="preserve"> a legislative instrument for the purposes of the</w:t>
      </w:r>
      <w:r w:rsidRPr="00322524">
        <w:t xml:space="preserve"> </w:t>
      </w:r>
      <w:r w:rsidRPr="00D3322F">
        <w:rPr>
          <w:i/>
        </w:rPr>
        <w:t>Legislation Act 2003</w:t>
      </w:r>
      <w:r w:rsidRPr="00D3322F">
        <w:t xml:space="preserve">. </w:t>
      </w:r>
    </w:p>
    <w:p w14:paraId="61212D36" w14:textId="77777777" w:rsidR="009143A0" w:rsidRDefault="00F109D4" w:rsidP="006C6EEB">
      <w:pPr>
        <w:spacing w:before="0"/>
      </w:pPr>
      <w:r w:rsidRPr="00503E44">
        <w:t xml:space="preserve">The Regulations commenced on </w:t>
      </w:r>
      <w:r w:rsidR="00E840E8">
        <w:t>1 April 2018.</w:t>
      </w:r>
    </w:p>
    <w:p w14:paraId="50D0559F" w14:textId="588C909E" w:rsidR="000A7337" w:rsidRDefault="000A7337" w:rsidP="006C6EEB">
      <w:pPr>
        <w:spacing w:before="0"/>
      </w:pPr>
      <w:r w:rsidRPr="000A7337">
        <w:t>Prior to the making of the Regulations and in accordance with the Office of B</w:t>
      </w:r>
      <w:r w:rsidR="000E1B6A">
        <w:t>est Practice Regulation’s</w:t>
      </w:r>
      <w:r w:rsidRPr="000A7337">
        <w:t xml:space="preserve"> Guidance Note on sunsetting instruments, the Department of the Treasury self-assessed that the </w:t>
      </w:r>
      <w:r w:rsidR="00D20728" w:rsidRPr="00D73300">
        <w:rPr>
          <w:i/>
        </w:rPr>
        <w:t>Petroleum Excise (Prices) Regulations 1988</w:t>
      </w:r>
      <w:r w:rsidRPr="000A7337">
        <w:t xml:space="preserve"> were operating effectively and efficiently, and therefore a Regulation Impact Statement was not required. This assessment was informed by the public consultation on the exposure draft Regulations. </w:t>
      </w:r>
    </w:p>
    <w:p w14:paraId="637188E8" w14:textId="77777777" w:rsidR="000A7337" w:rsidRPr="00647BB7" w:rsidRDefault="000A7337" w:rsidP="006C6EEB">
      <w:pPr>
        <w:spacing w:before="0"/>
        <w:rPr>
          <w:i/>
        </w:rPr>
      </w:pPr>
      <w:r>
        <w:rPr>
          <w:color w:val="000000"/>
          <w:shd w:val="clear" w:color="auto" w:fill="FFFFFF"/>
        </w:rPr>
        <w:t>A Statement of Compatibility with Human Rights is at </w:t>
      </w:r>
      <w:r>
        <w:rPr>
          <w:color w:val="000000"/>
          <w:u w:val="single"/>
          <w:shd w:val="clear" w:color="auto" w:fill="FFFFFF"/>
        </w:rPr>
        <w:t>Attachment C.</w:t>
      </w:r>
      <w:r>
        <w:rPr>
          <w:color w:val="000000"/>
          <w:shd w:val="clear" w:color="auto" w:fill="FFFFFF"/>
        </w:rPr>
        <w:t> The Legislative Instrument is compatible with human rights as it does not raise any human rights issues.</w:t>
      </w:r>
    </w:p>
    <w:p w14:paraId="159E0573" w14:textId="77777777" w:rsidR="008A7BD5" w:rsidRDefault="008A7BD5" w:rsidP="008A7BD5">
      <w:pPr>
        <w:pStyle w:val="Heading3"/>
        <w:pageBreakBefore/>
        <w:jc w:val="right"/>
        <w:rPr>
          <w:u w:val="single"/>
        </w:rPr>
      </w:pPr>
      <w:r w:rsidRPr="00D73300">
        <w:rPr>
          <w:u w:val="single"/>
        </w:rPr>
        <w:lastRenderedPageBreak/>
        <w:t>Attachment A</w:t>
      </w:r>
    </w:p>
    <w:p w14:paraId="6A43C618" w14:textId="77777777" w:rsidR="008A7BD5" w:rsidRPr="00DB6FB9" w:rsidRDefault="008A7BD5" w:rsidP="008A7BD5">
      <w:pPr>
        <w:shd w:val="clear" w:color="auto" w:fill="FFFFFF"/>
        <w:rPr>
          <w:b/>
          <w:bCs/>
          <w:color w:val="000000"/>
          <w:szCs w:val="24"/>
        </w:rPr>
      </w:pPr>
      <w:r w:rsidRPr="00DF0201">
        <w:rPr>
          <w:b/>
          <w:bCs/>
          <w:color w:val="000000"/>
          <w:szCs w:val="24"/>
        </w:rPr>
        <w:t>Details of the </w:t>
      </w:r>
      <w:r w:rsidRPr="00DB6FB9">
        <w:rPr>
          <w:b/>
          <w:bCs/>
          <w:color w:val="000000"/>
          <w:szCs w:val="24"/>
        </w:rPr>
        <w:t>Petroleum Excise (Prices) Regulations 2018</w:t>
      </w:r>
    </w:p>
    <w:p w14:paraId="45138533" w14:textId="77777777" w:rsidR="008A7BD5" w:rsidRPr="00DB6FB9" w:rsidRDefault="008A7BD5" w:rsidP="008A7BD5">
      <w:pPr>
        <w:shd w:val="clear" w:color="auto" w:fill="FFFFFF"/>
        <w:rPr>
          <w:color w:val="000000"/>
          <w:szCs w:val="24"/>
        </w:rPr>
      </w:pPr>
      <w:r w:rsidRPr="00DB6FB9">
        <w:rPr>
          <w:color w:val="000000"/>
          <w:szCs w:val="24"/>
        </w:rPr>
        <w:t xml:space="preserve">This attachment sets out further details of the </w:t>
      </w:r>
      <w:r w:rsidRPr="008210E8">
        <w:rPr>
          <w:i/>
        </w:rPr>
        <w:t>Petroleum Excise (Prices) Regulations</w:t>
      </w:r>
      <w:r w:rsidR="008210E8" w:rsidRPr="008210E8">
        <w:rPr>
          <w:i/>
        </w:rPr>
        <w:t> </w:t>
      </w:r>
      <w:r w:rsidRPr="008210E8">
        <w:rPr>
          <w:i/>
        </w:rPr>
        <w:t>2018</w:t>
      </w:r>
      <w:r w:rsidRPr="00507E7A">
        <w:rPr>
          <w:color w:val="000000"/>
          <w:szCs w:val="24"/>
        </w:rPr>
        <w:t xml:space="preserve"> </w:t>
      </w:r>
      <w:r w:rsidRPr="00DB6FB9">
        <w:rPr>
          <w:color w:val="000000"/>
          <w:szCs w:val="24"/>
        </w:rPr>
        <w:t xml:space="preserve">(the Regulations). All references are to the Regulations unless otherwise stated. References to a ‘corresponding provision’ are to the corresponding provision in the </w:t>
      </w:r>
      <w:r w:rsidRPr="00DB6FB9">
        <w:rPr>
          <w:i/>
        </w:rPr>
        <w:t>Petroleum Excise (Prices) Regulations 1988</w:t>
      </w:r>
      <w:r>
        <w:rPr>
          <w:i/>
        </w:rPr>
        <w:t xml:space="preserve"> </w:t>
      </w:r>
      <w:r>
        <w:t>(the prior Regulations)</w:t>
      </w:r>
      <w:r w:rsidRPr="00DB6FB9">
        <w:rPr>
          <w:color w:val="000000"/>
          <w:szCs w:val="24"/>
        </w:rPr>
        <w:t xml:space="preserve">, as identified by the finding table in </w:t>
      </w:r>
      <w:r w:rsidRPr="0026598F">
        <w:rPr>
          <w:color w:val="000000"/>
          <w:szCs w:val="24"/>
          <w:u w:val="single"/>
        </w:rPr>
        <w:t>Attachment B</w:t>
      </w:r>
      <w:r w:rsidRPr="00DB6FB9">
        <w:rPr>
          <w:color w:val="000000"/>
          <w:szCs w:val="24"/>
        </w:rPr>
        <w:t>.</w:t>
      </w:r>
    </w:p>
    <w:p w14:paraId="18E9C062" w14:textId="77777777" w:rsidR="008A7BD5" w:rsidRPr="00DB6FB9" w:rsidRDefault="008A7BD5" w:rsidP="008A7BD5">
      <w:pPr>
        <w:shd w:val="clear" w:color="auto" w:fill="FFFFFF"/>
        <w:rPr>
          <w:color w:val="000000"/>
          <w:szCs w:val="24"/>
        </w:rPr>
      </w:pPr>
      <w:r>
        <w:rPr>
          <w:color w:val="000000"/>
          <w:szCs w:val="24"/>
        </w:rPr>
        <w:t xml:space="preserve">Changes of </w:t>
      </w:r>
      <w:r w:rsidR="006C6EEB">
        <w:rPr>
          <w:color w:val="000000"/>
          <w:shd w:val="clear" w:color="auto" w:fill="FFFFFF"/>
        </w:rPr>
        <w:t>a minor or machinery nature</w:t>
      </w:r>
      <w:r w:rsidRPr="00DB6FB9">
        <w:rPr>
          <w:color w:val="000000"/>
          <w:szCs w:val="24"/>
        </w:rPr>
        <w:t>, such as the increased use of headings and also references to ‘section’ rather than ‘regulation’ in accordance with modern drafting practice, are generally not specifically identified in this Attachment. Where changes are made that are intended to apply in a different way or require further explanation, these are identified and explained in this Attachment.</w:t>
      </w:r>
    </w:p>
    <w:p w14:paraId="5A8634AF" w14:textId="77777777" w:rsidR="008A7BD5" w:rsidRPr="00D03F2B" w:rsidRDefault="008A7BD5" w:rsidP="008A7BD5">
      <w:pPr>
        <w:shd w:val="clear" w:color="auto" w:fill="FFFFFF"/>
        <w:rPr>
          <w:b/>
          <w:color w:val="000000"/>
          <w:szCs w:val="24"/>
        </w:rPr>
      </w:pPr>
      <w:r w:rsidRPr="00D03F2B">
        <w:rPr>
          <w:b/>
          <w:color w:val="000000"/>
          <w:szCs w:val="24"/>
        </w:rPr>
        <w:t>Opening provisions</w:t>
      </w:r>
    </w:p>
    <w:p w14:paraId="69A0098B" w14:textId="77777777" w:rsidR="008A7BD5" w:rsidRPr="00507E7A" w:rsidRDefault="008A7BD5" w:rsidP="008A7BD5">
      <w:pPr>
        <w:shd w:val="clear" w:color="auto" w:fill="FFFFFF"/>
        <w:rPr>
          <w:color w:val="000000"/>
          <w:szCs w:val="24"/>
        </w:rPr>
      </w:pPr>
      <w:r w:rsidRPr="00507E7A">
        <w:rPr>
          <w:color w:val="000000"/>
          <w:szCs w:val="24"/>
          <w:u w:val="single"/>
        </w:rPr>
        <w:t>Section 1 – Name of Regulation</w:t>
      </w:r>
      <w:r>
        <w:rPr>
          <w:color w:val="000000"/>
          <w:szCs w:val="24"/>
          <w:u w:val="single"/>
        </w:rPr>
        <w:t>s</w:t>
      </w:r>
    </w:p>
    <w:p w14:paraId="3B9B0FE2" w14:textId="46A93967" w:rsidR="008A7BD5" w:rsidRPr="00507E7A" w:rsidRDefault="008A7BD5" w:rsidP="008A7BD5">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w:t>
      </w:r>
      <w:r w:rsidR="00D20728">
        <w:rPr>
          <w:color w:val="000000"/>
          <w:szCs w:val="24"/>
        </w:rPr>
        <w:t>s</w:t>
      </w:r>
      <w:r w:rsidRPr="00507E7A">
        <w:rPr>
          <w:color w:val="000000"/>
          <w:szCs w:val="24"/>
        </w:rPr>
        <w:t xml:space="preserve"> that the title of the </w:t>
      </w:r>
      <w:r>
        <w:rPr>
          <w:color w:val="000000"/>
          <w:szCs w:val="24"/>
        </w:rPr>
        <w:t xml:space="preserve">proposed </w:t>
      </w:r>
      <w:r w:rsidRPr="00507E7A">
        <w:rPr>
          <w:color w:val="000000"/>
          <w:szCs w:val="24"/>
        </w:rPr>
        <w:t>Regulations is the </w:t>
      </w:r>
      <w:r w:rsidRPr="008210E8">
        <w:rPr>
          <w:i/>
        </w:rPr>
        <w:t>Petroleum Excise (Prices) Regulations 2018</w:t>
      </w:r>
      <w:r w:rsidRPr="00507E7A">
        <w:rPr>
          <w:color w:val="000000"/>
          <w:szCs w:val="24"/>
        </w:rPr>
        <w:t xml:space="preserve"> (the Regulations).</w:t>
      </w:r>
    </w:p>
    <w:p w14:paraId="46BD2AA4" w14:textId="77777777" w:rsidR="008A7BD5" w:rsidRPr="00507E7A" w:rsidRDefault="008A7BD5" w:rsidP="008A7BD5">
      <w:pPr>
        <w:shd w:val="clear" w:color="auto" w:fill="FFFFFF"/>
        <w:rPr>
          <w:color w:val="000000"/>
          <w:szCs w:val="24"/>
        </w:rPr>
      </w:pPr>
      <w:r w:rsidRPr="00507E7A">
        <w:rPr>
          <w:color w:val="000000"/>
          <w:szCs w:val="24"/>
          <w:u w:val="single"/>
        </w:rPr>
        <w:t>Section 2 – Commencement</w:t>
      </w:r>
    </w:p>
    <w:p w14:paraId="6219B1BD" w14:textId="650C0EF7" w:rsidR="008A7BD5" w:rsidRDefault="008A7BD5" w:rsidP="008A7BD5">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w:t>
      </w:r>
      <w:r w:rsidR="00D20728">
        <w:rPr>
          <w:color w:val="000000"/>
          <w:szCs w:val="24"/>
        </w:rPr>
        <w:t>s</w:t>
      </w:r>
      <w:r w:rsidRPr="00507E7A">
        <w:rPr>
          <w:color w:val="000000"/>
          <w:szCs w:val="24"/>
        </w:rPr>
        <w:t xml:space="preserve"> that </w:t>
      </w:r>
      <w:r>
        <w:rPr>
          <w:color w:val="000000"/>
          <w:szCs w:val="24"/>
        </w:rPr>
        <w:t>the Regulations commence on 1 April 2018.</w:t>
      </w:r>
    </w:p>
    <w:p w14:paraId="0EC4898A" w14:textId="77777777" w:rsidR="008A7BD5" w:rsidRPr="00507E7A" w:rsidRDefault="008A7BD5" w:rsidP="008A7BD5">
      <w:pPr>
        <w:shd w:val="clear" w:color="auto" w:fill="FFFFFF"/>
        <w:rPr>
          <w:color w:val="000000"/>
          <w:szCs w:val="24"/>
        </w:rPr>
      </w:pPr>
      <w:r w:rsidRPr="00507E7A">
        <w:rPr>
          <w:color w:val="000000"/>
          <w:szCs w:val="24"/>
          <w:u w:val="single"/>
        </w:rPr>
        <w:t>Section 3 – Authority</w:t>
      </w:r>
    </w:p>
    <w:p w14:paraId="24DD1980" w14:textId="1AA715D0" w:rsidR="008A7BD5" w:rsidRPr="00507E7A" w:rsidRDefault="008A7BD5" w:rsidP="008A7BD5">
      <w:pPr>
        <w:shd w:val="clear" w:color="auto" w:fill="FFFFFF"/>
        <w:rPr>
          <w:color w:val="000000"/>
          <w:szCs w:val="24"/>
        </w:rPr>
      </w:pPr>
      <w:r w:rsidRPr="00507E7A">
        <w:rPr>
          <w:color w:val="000000"/>
          <w:szCs w:val="24"/>
        </w:rPr>
        <w:t xml:space="preserve">This </w:t>
      </w:r>
      <w:r>
        <w:rPr>
          <w:color w:val="000000"/>
          <w:szCs w:val="24"/>
        </w:rPr>
        <w:t>section provide</w:t>
      </w:r>
      <w:r w:rsidR="00D20728">
        <w:rPr>
          <w:color w:val="000000"/>
          <w:szCs w:val="24"/>
        </w:rPr>
        <w:t>s</w:t>
      </w:r>
      <w:r w:rsidRPr="00507E7A">
        <w:rPr>
          <w:color w:val="000000"/>
          <w:szCs w:val="24"/>
        </w:rPr>
        <w:t xml:space="preserve"> that the Regulations are made under</w:t>
      </w:r>
      <w:r>
        <w:rPr>
          <w:color w:val="000000"/>
          <w:szCs w:val="24"/>
        </w:rPr>
        <w:t xml:space="preserve"> the</w:t>
      </w:r>
      <w:r w:rsidRPr="00507E7A">
        <w:rPr>
          <w:color w:val="000000"/>
          <w:szCs w:val="24"/>
        </w:rPr>
        <w:t xml:space="preserve"> </w:t>
      </w:r>
      <w:r>
        <w:rPr>
          <w:i/>
          <w:iCs/>
          <w:color w:val="000000"/>
          <w:szCs w:val="24"/>
        </w:rPr>
        <w:t>Petroleum Excise (Prices) Act 1987</w:t>
      </w:r>
      <w:r w:rsidRPr="00507E7A">
        <w:rPr>
          <w:i/>
          <w:iCs/>
          <w:color w:val="000000"/>
          <w:szCs w:val="24"/>
        </w:rPr>
        <w:t>.</w:t>
      </w:r>
    </w:p>
    <w:p w14:paraId="5127F6FA" w14:textId="77777777" w:rsidR="008A7BD5" w:rsidRPr="00DB6FB9" w:rsidRDefault="008A7BD5" w:rsidP="008A7BD5">
      <w:pPr>
        <w:shd w:val="clear" w:color="auto" w:fill="FFFFFF"/>
        <w:rPr>
          <w:color w:val="000000"/>
          <w:szCs w:val="24"/>
        </w:rPr>
      </w:pPr>
      <w:r w:rsidRPr="00DB6FB9">
        <w:rPr>
          <w:color w:val="000000"/>
          <w:szCs w:val="24"/>
          <w:u w:val="single"/>
        </w:rPr>
        <w:t>Section 4 – Schedule</w:t>
      </w:r>
      <w:r>
        <w:rPr>
          <w:color w:val="000000"/>
          <w:szCs w:val="24"/>
          <w:u w:val="single"/>
        </w:rPr>
        <w:t>s</w:t>
      </w:r>
    </w:p>
    <w:p w14:paraId="053AA67F" w14:textId="16FC9E9D" w:rsidR="008A7BD5" w:rsidRPr="00507E7A" w:rsidRDefault="008A7BD5" w:rsidP="008A7BD5">
      <w:pPr>
        <w:shd w:val="clear" w:color="auto" w:fill="FFFFFF"/>
        <w:rPr>
          <w:color w:val="000000"/>
          <w:szCs w:val="24"/>
        </w:rPr>
      </w:pPr>
      <w:r w:rsidRPr="00DB6FB9">
        <w:rPr>
          <w:color w:val="000000"/>
          <w:szCs w:val="24"/>
        </w:rPr>
        <w:t>This section provide</w:t>
      </w:r>
      <w:r w:rsidR="000B1C70">
        <w:rPr>
          <w:color w:val="000000"/>
          <w:szCs w:val="24"/>
        </w:rPr>
        <w:t>s</w:t>
      </w:r>
      <w:r w:rsidRPr="00DB6FB9">
        <w:rPr>
          <w:color w:val="000000"/>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612092A" w14:textId="77777777" w:rsidR="008A7BD5" w:rsidRPr="00507E7A" w:rsidRDefault="008A7BD5" w:rsidP="008A7BD5">
      <w:pPr>
        <w:shd w:val="clear" w:color="auto" w:fill="FFFFFF"/>
        <w:rPr>
          <w:color w:val="000000"/>
          <w:szCs w:val="24"/>
        </w:rPr>
      </w:pPr>
      <w:r>
        <w:rPr>
          <w:b/>
          <w:bCs/>
          <w:color w:val="000000"/>
          <w:szCs w:val="24"/>
        </w:rPr>
        <w:t>Definitions</w:t>
      </w:r>
    </w:p>
    <w:p w14:paraId="6CF65E7B" w14:textId="77777777" w:rsidR="008A7BD5" w:rsidRDefault="008A7BD5" w:rsidP="008A7BD5">
      <w:pPr>
        <w:shd w:val="clear" w:color="auto" w:fill="FFFFFF"/>
        <w:rPr>
          <w:color w:val="000000"/>
          <w:szCs w:val="24"/>
        </w:rPr>
      </w:pPr>
      <w:r>
        <w:rPr>
          <w:color w:val="000000"/>
          <w:szCs w:val="24"/>
        </w:rPr>
        <w:t>Consistent with modern drafting practice, the Regulations include a section titled ‘Definitions’ that list</w:t>
      </w:r>
      <w:r w:rsidR="001A0D54">
        <w:rPr>
          <w:color w:val="000000"/>
          <w:szCs w:val="24"/>
        </w:rPr>
        <w:t>s</w:t>
      </w:r>
      <w:r>
        <w:rPr>
          <w:color w:val="000000"/>
          <w:szCs w:val="24"/>
        </w:rPr>
        <w:t xml:space="preserve"> all of the defined terms used in the Regulations. This replaces regulation 2 of the prior Regulations that </w:t>
      </w:r>
      <w:proofErr w:type="gramStart"/>
      <w:r>
        <w:rPr>
          <w:color w:val="000000"/>
          <w:szCs w:val="24"/>
        </w:rPr>
        <w:t>was</w:t>
      </w:r>
      <w:proofErr w:type="gramEnd"/>
      <w:r>
        <w:rPr>
          <w:color w:val="000000"/>
          <w:szCs w:val="24"/>
        </w:rPr>
        <w:t xml:space="preserve"> titled ‘Interpretation’. </w:t>
      </w:r>
      <w:r w:rsidRPr="00D03F2B">
        <w:rPr>
          <w:b/>
          <w:i/>
          <w:color w:val="000000"/>
          <w:sz w:val="20"/>
          <w:szCs w:val="24"/>
        </w:rPr>
        <w:t>[</w:t>
      </w:r>
      <w:proofErr w:type="gramStart"/>
      <w:r w:rsidRPr="00D03F2B">
        <w:rPr>
          <w:b/>
          <w:i/>
          <w:color w:val="000000"/>
          <w:sz w:val="20"/>
          <w:szCs w:val="24"/>
        </w:rPr>
        <w:t>section</w:t>
      </w:r>
      <w:proofErr w:type="gramEnd"/>
      <w:r w:rsidRPr="00D03F2B">
        <w:rPr>
          <w:b/>
          <w:i/>
          <w:color w:val="000000"/>
          <w:sz w:val="20"/>
          <w:szCs w:val="24"/>
        </w:rPr>
        <w:t xml:space="preserve"> 5]</w:t>
      </w:r>
    </w:p>
    <w:p w14:paraId="429386CD" w14:textId="745D9C89" w:rsidR="008A7BD5" w:rsidRDefault="008A7BD5" w:rsidP="008A7BD5">
      <w:pPr>
        <w:shd w:val="clear" w:color="auto" w:fill="FFFFFF"/>
        <w:rPr>
          <w:color w:val="000000"/>
          <w:szCs w:val="24"/>
        </w:rPr>
      </w:pPr>
      <w:r>
        <w:rPr>
          <w:color w:val="000000"/>
          <w:szCs w:val="24"/>
        </w:rPr>
        <w:t>These provisions replicate the corresponding provisions in the prior Regulations, but have been updated in accordance with modern drafting practice.</w:t>
      </w:r>
    </w:p>
    <w:p w14:paraId="30A73287" w14:textId="78D57E00" w:rsidR="008A7BD5" w:rsidRDefault="008A7BD5" w:rsidP="008A7BD5">
      <w:pPr>
        <w:shd w:val="clear" w:color="auto" w:fill="FFFFFF"/>
        <w:rPr>
          <w:color w:val="000000"/>
          <w:szCs w:val="24"/>
        </w:rPr>
      </w:pPr>
      <w:r>
        <w:rPr>
          <w:color w:val="000000"/>
          <w:szCs w:val="24"/>
        </w:rPr>
        <w:t>However, unlike the corresponding provision in the prior Regulations</w:t>
      </w:r>
      <w:r w:rsidR="00893BAB">
        <w:rPr>
          <w:color w:val="000000"/>
          <w:szCs w:val="24"/>
        </w:rPr>
        <w:t>,</w:t>
      </w:r>
      <w:r>
        <w:rPr>
          <w:color w:val="000000"/>
          <w:szCs w:val="24"/>
        </w:rPr>
        <w:t xml:space="preserve"> the list of defined terms </w:t>
      </w:r>
      <w:r w:rsidR="004E37E0">
        <w:rPr>
          <w:color w:val="000000"/>
          <w:szCs w:val="24"/>
        </w:rPr>
        <w:t xml:space="preserve">in the Regulations </w:t>
      </w:r>
      <w:r>
        <w:rPr>
          <w:color w:val="000000"/>
          <w:szCs w:val="24"/>
        </w:rPr>
        <w:t>include</w:t>
      </w:r>
      <w:r w:rsidR="00155840">
        <w:rPr>
          <w:color w:val="000000"/>
          <w:szCs w:val="24"/>
        </w:rPr>
        <w:t>s</w:t>
      </w:r>
      <w:r>
        <w:rPr>
          <w:color w:val="000000"/>
          <w:szCs w:val="24"/>
        </w:rPr>
        <w:t xml:space="preserve"> some terms that </w:t>
      </w:r>
      <w:r w:rsidR="006F0E74">
        <w:rPr>
          <w:color w:val="000000"/>
          <w:szCs w:val="24"/>
        </w:rPr>
        <w:t>a</w:t>
      </w:r>
      <w:r>
        <w:rPr>
          <w:color w:val="000000"/>
          <w:szCs w:val="24"/>
        </w:rPr>
        <w:t>re defined elsewhere in the Regulations</w:t>
      </w:r>
      <w:r w:rsidR="00893BAB">
        <w:rPr>
          <w:color w:val="000000"/>
          <w:szCs w:val="24"/>
        </w:rPr>
        <w:t>.</w:t>
      </w:r>
      <w:r>
        <w:rPr>
          <w:color w:val="000000"/>
          <w:szCs w:val="24"/>
        </w:rPr>
        <w:t xml:space="preserve"> </w:t>
      </w:r>
      <w:r w:rsidR="00893BAB">
        <w:rPr>
          <w:color w:val="000000"/>
          <w:szCs w:val="24"/>
        </w:rPr>
        <w:t xml:space="preserve">The Regulations </w:t>
      </w:r>
      <w:r>
        <w:rPr>
          <w:color w:val="000000"/>
          <w:szCs w:val="24"/>
        </w:rPr>
        <w:t>specify that the</w:t>
      </w:r>
      <w:r w:rsidR="006F0E74">
        <w:rPr>
          <w:color w:val="000000"/>
          <w:szCs w:val="24"/>
        </w:rPr>
        <w:t>se</w:t>
      </w:r>
      <w:r>
        <w:rPr>
          <w:color w:val="000000"/>
          <w:szCs w:val="24"/>
        </w:rPr>
        <w:t xml:space="preserve"> term</w:t>
      </w:r>
      <w:r w:rsidR="006F0E74">
        <w:rPr>
          <w:color w:val="000000"/>
          <w:szCs w:val="24"/>
        </w:rPr>
        <w:t>s have</w:t>
      </w:r>
      <w:r>
        <w:rPr>
          <w:color w:val="000000"/>
          <w:szCs w:val="24"/>
        </w:rPr>
        <w:t xml:space="preserve"> the meaning given by that definition throughout the </w:t>
      </w:r>
      <w:r w:rsidR="00893BAB">
        <w:rPr>
          <w:color w:val="000000"/>
          <w:szCs w:val="24"/>
        </w:rPr>
        <w:t>R</w:t>
      </w:r>
      <w:r>
        <w:rPr>
          <w:color w:val="000000"/>
          <w:szCs w:val="24"/>
        </w:rPr>
        <w:t xml:space="preserve">egulations. </w:t>
      </w:r>
      <w:r w:rsidRPr="00D03F2B">
        <w:rPr>
          <w:b/>
          <w:i/>
          <w:color w:val="000000"/>
          <w:sz w:val="20"/>
          <w:szCs w:val="24"/>
        </w:rPr>
        <w:t>[</w:t>
      </w:r>
      <w:proofErr w:type="gramStart"/>
      <w:r w:rsidRPr="00D03F2B">
        <w:rPr>
          <w:b/>
          <w:i/>
          <w:color w:val="000000"/>
          <w:sz w:val="20"/>
          <w:szCs w:val="24"/>
        </w:rPr>
        <w:t>section</w:t>
      </w:r>
      <w:proofErr w:type="gramEnd"/>
      <w:r w:rsidRPr="00D03F2B">
        <w:rPr>
          <w:b/>
          <w:i/>
          <w:color w:val="000000"/>
          <w:sz w:val="20"/>
          <w:szCs w:val="24"/>
        </w:rPr>
        <w:t xml:space="preserve"> 5</w:t>
      </w:r>
      <w:r>
        <w:rPr>
          <w:b/>
          <w:i/>
          <w:color w:val="000000"/>
          <w:sz w:val="20"/>
          <w:szCs w:val="24"/>
        </w:rPr>
        <w:t>, definitions of applicable whole cost, applicable whole price, associate, delivered by pipeline, excisable quantity cost, excisable quantity price and relevant delivery price</w:t>
      </w:r>
      <w:r w:rsidRPr="00D03F2B">
        <w:rPr>
          <w:b/>
          <w:i/>
          <w:color w:val="000000"/>
          <w:sz w:val="20"/>
          <w:szCs w:val="24"/>
        </w:rPr>
        <w:t>]</w:t>
      </w:r>
    </w:p>
    <w:p w14:paraId="194A2688" w14:textId="5E08D853" w:rsidR="008A7BD5" w:rsidRDefault="008A7BD5" w:rsidP="008A7BD5">
      <w:pPr>
        <w:shd w:val="clear" w:color="auto" w:fill="FFFFFF"/>
        <w:rPr>
          <w:color w:val="000000"/>
          <w:szCs w:val="24"/>
        </w:rPr>
      </w:pPr>
      <w:r>
        <w:rPr>
          <w:color w:val="000000"/>
          <w:szCs w:val="24"/>
        </w:rPr>
        <w:t>The Regulations also include a definition of ‘number of credit days allowed’ as the period allowed for payment must be made under a contract for the sale of crude petroleum oil or condensate. The corresponding provision in the prior Regulations effectively gave this term a meaning</w:t>
      </w:r>
      <w:r w:rsidR="00893BAB">
        <w:rPr>
          <w:color w:val="000000"/>
          <w:szCs w:val="24"/>
        </w:rPr>
        <w:t xml:space="preserve"> that was substantively the same</w:t>
      </w:r>
      <w:r>
        <w:rPr>
          <w:color w:val="000000"/>
          <w:szCs w:val="24"/>
        </w:rPr>
        <w:t xml:space="preserve">, but did </w:t>
      </w:r>
      <w:r w:rsidR="00155840">
        <w:rPr>
          <w:color w:val="000000"/>
          <w:szCs w:val="24"/>
        </w:rPr>
        <w:t xml:space="preserve">not </w:t>
      </w:r>
      <w:r>
        <w:rPr>
          <w:color w:val="000000"/>
          <w:szCs w:val="24"/>
        </w:rPr>
        <w:lastRenderedPageBreak/>
        <w:t xml:space="preserve">formally define the term. </w:t>
      </w:r>
      <w:r>
        <w:rPr>
          <w:color w:val="000000"/>
          <w:shd w:val="clear" w:color="auto" w:fill="FFFFFF"/>
        </w:rPr>
        <w:t xml:space="preserve">This change </w:t>
      </w:r>
      <w:r w:rsidR="00132A37">
        <w:rPr>
          <w:color w:val="000000"/>
          <w:shd w:val="clear" w:color="auto" w:fill="FFFFFF"/>
        </w:rPr>
        <w:t>does</w:t>
      </w:r>
      <w:r>
        <w:rPr>
          <w:color w:val="000000"/>
          <w:shd w:val="clear" w:color="auto" w:fill="FFFFFF"/>
        </w:rPr>
        <w:t xml:space="preserve"> not affect the substantive meaning or operation of the provisions. </w:t>
      </w:r>
      <w:r w:rsidRPr="00D03F2B">
        <w:rPr>
          <w:b/>
          <w:i/>
          <w:color w:val="000000"/>
          <w:sz w:val="20"/>
          <w:szCs w:val="24"/>
        </w:rPr>
        <w:t>[</w:t>
      </w:r>
      <w:proofErr w:type="gramStart"/>
      <w:r w:rsidRPr="00D03F2B">
        <w:rPr>
          <w:b/>
          <w:i/>
          <w:color w:val="000000"/>
          <w:sz w:val="20"/>
          <w:szCs w:val="24"/>
        </w:rPr>
        <w:t>section</w:t>
      </w:r>
      <w:proofErr w:type="gramEnd"/>
      <w:r w:rsidRPr="00D03F2B">
        <w:rPr>
          <w:b/>
          <w:i/>
          <w:color w:val="000000"/>
          <w:sz w:val="20"/>
          <w:szCs w:val="24"/>
        </w:rPr>
        <w:t xml:space="preserve"> 5</w:t>
      </w:r>
      <w:r>
        <w:rPr>
          <w:b/>
          <w:i/>
          <w:color w:val="000000"/>
          <w:sz w:val="20"/>
          <w:szCs w:val="24"/>
        </w:rPr>
        <w:t>, definition of number of credit days allowed]</w:t>
      </w:r>
    </w:p>
    <w:p w14:paraId="4CB4FFCE" w14:textId="77777777" w:rsidR="008A7BD5" w:rsidRDefault="008A7BD5" w:rsidP="008A7BD5">
      <w:pPr>
        <w:shd w:val="clear" w:color="auto" w:fill="FFFFFF"/>
        <w:rPr>
          <w:b/>
          <w:color w:val="000000"/>
          <w:szCs w:val="24"/>
        </w:rPr>
      </w:pPr>
      <w:r w:rsidRPr="003A325A">
        <w:rPr>
          <w:b/>
          <w:color w:val="000000"/>
          <w:szCs w:val="24"/>
        </w:rPr>
        <w:t>Oil producing regions, production areas and VOLWARE commencement dates</w:t>
      </w:r>
    </w:p>
    <w:p w14:paraId="56C657DA" w14:textId="77777777" w:rsidR="008A7BD5" w:rsidRDefault="008A7BD5" w:rsidP="008A7BD5">
      <w:pPr>
        <w:shd w:val="clear" w:color="auto" w:fill="FFFFFF"/>
        <w:rPr>
          <w:color w:val="000000"/>
          <w:szCs w:val="24"/>
        </w:rPr>
      </w:pPr>
      <w:r>
        <w:rPr>
          <w:color w:val="000000"/>
          <w:szCs w:val="24"/>
        </w:rPr>
        <w:t xml:space="preserve">The Regulations prescribe regions as oil producing regions for the purposes of the Act. </w:t>
      </w:r>
      <w:r w:rsidRPr="00D03F2B">
        <w:rPr>
          <w:b/>
          <w:i/>
          <w:color w:val="000000"/>
          <w:sz w:val="20"/>
          <w:szCs w:val="24"/>
        </w:rPr>
        <w:t>[</w:t>
      </w:r>
      <w:proofErr w:type="gramStart"/>
      <w:r>
        <w:rPr>
          <w:b/>
          <w:i/>
          <w:color w:val="000000"/>
          <w:sz w:val="20"/>
          <w:szCs w:val="24"/>
        </w:rPr>
        <w:t>sections</w:t>
      </w:r>
      <w:proofErr w:type="gramEnd"/>
      <w:r>
        <w:rPr>
          <w:b/>
          <w:i/>
          <w:color w:val="000000"/>
          <w:sz w:val="20"/>
          <w:szCs w:val="24"/>
        </w:rPr>
        <w:t xml:space="preserve"> 6 and 7</w:t>
      </w:r>
      <w:r w:rsidRPr="00D03F2B">
        <w:rPr>
          <w:b/>
          <w:i/>
          <w:color w:val="000000"/>
          <w:sz w:val="20"/>
          <w:szCs w:val="24"/>
        </w:rPr>
        <w:t>]</w:t>
      </w:r>
    </w:p>
    <w:p w14:paraId="1225341E" w14:textId="3D78E735" w:rsidR="008A7BD5" w:rsidRDefault="008A7BD5" w:rsidP="008A7BD5">
      <w:pPr>
        <w:shd w:val="clear" w:color="auto" w:fill="FFFFFF"/>
        <w:rPr>
          <w:color w:val="000000"/>
          <w:szCs w:val="24"/>
        </w:rPr>
      </w:pPr>
      <w:r>
        <w:rPr>
          <w:color w:val="000000"/>
          <w:szCs w:val="24"/>
        </w:rPr>
        <w:t xml:space="preserve">These provisions largely replicate the corresponding provisions in the prior Regulations. However, the corresponding provisions specified regions by reference to tables that were set out in Schedules to the prior Regulations. In the Regulations, the tables </w:t>
      </w:r>
      <w:r w:rsidR="006F0E74">
        <w:rPr>
          <w:color w:val="000000"/>
          <w:szCs w:val="24"/>
        </w:rPr>
        <w:t>are</w:t>
      </w:r>
      <w:r>
        <w:rPr>
          <w:color w:val="000000"/>
          <w:szCs w:val="24"/>
        </w:rPr>
        <w:t xml:space="preserve"> instead included in the relevant sections.</w:t>
      </w:r>
    </w:p>
    <w:p w14:paraId="384D2848" w14:textId="77777777" w:rsidR="008A7BD5" w:rsidRPr="00872617" w:rsidRDefault="008A7BD5" w:rsidP="008A7BD5">
      <w:r>
        <w:rPr>
          <w:color w:val="000000"/>
          <w:shd w:val="clear" w:color="auto" w:fill="FFFFFF"/>
        </w:rPr>
        <w:t xml:space="preserve">The change </w:t>
      </w:r>
      <w:r w:rsidR="006F0E74">
        <w:rPr>
          <w:color w:val="000000"/>
          <w:shd w:val="clear" w:color="auto" w:fill="FFFFFF"/>
        </w:rPr>
        <w:t>does</w:t>
      </w:r>
      <w:r>
        <w:rPr>
          <w:color w:val="000000"/>
          <w:shd w:val="clear" w:color="auto" w:fill="FFFFFF"/>
        </w:rPr>
        <w:t xml:space="preserve"> not affect the substantive meaning or operation of the provisions.</w:t>
      </w:r>
    </w:p>
    <w:p w14:paraId="030F33A4" w14:textId="77777777" w:rsidR="008A7BD5" w:rsidRPr="00D460B9" w:rsidRDefault="008A7BD5" w:rsidP="008A7BD5">
      <w:pPr>
        <w:shd w:val="clear" w:color="auto" w:fill="FFFFFF"/>
        <w:rPr>
          <w:b/>
          <w:color w:val="000000"/>
          <w:szCs w:val="24"/>
        </w:rPr>
      </w:pPr>
      <w:r w:rsidRPr="00D460B9">
        <w:rPr>
          <w:b/>
          <w:color w:val="000000"/>
          <w:szCs w:val="24"/>
        </w:rPr>
        <w:t>Prescribed information</w:t>
      </w:r>
    </w:p>
    <w:p w14:paraId="793CDA1D" w14:textId="232C673F" w:rsidR="008A7BD5" w:rsidRDefault="008A7BD5" w:rsidP="008A7BD5">
      <w:pPr>
        <w:shd w:val="clear" w:color="auto" w:fill="FFFFFF"/>
        <w:rPr>
          <w:color w:val="000000"/>
          <w:szCs w:val="24"/>
        </w:rPr>
      </w:pPr>
      <w:r>
        <w:rPr>
          <w:color w:val="000000"/>
          <w:szCs w:val="24"/>
        </w:rPr>
        <w:t>The Regulations also contain provisions setting out information that need</w:t>
      </w:r>
      <w:r w:rsidR="00132A37">
        <w:rPr>
          <w:color w:val="000000"/>
          <w:szCs w:val="24"/>
        </w:rPr>
        <w:t>s</w:t>
      </w:r>
      <w:r>
        <w:rPr>
          <w:color w:val="000000"/>
          <w:szCs w:val="24"/>
        </w:rPr>
        <w:t xml:space="preserve"> to be given to the Minister in relation to transactions involving crude petroleum oil or condensate that is subject to excise in the month the petroleum is entered for home consumption. </w:t>
      </w:r>
      <w:r w:rsidRPr="00D03F2B">
        <w:rPr>
          <w:b/>
          <w:i/>
          <w:color w:val="000000"/>
          <w:sz w:val="20"/>
          <w:szCs w:val="24"/>
        </w:rPr>
        <w:t>[</w:t>
      </w:r>
      <w:proofErr w:type="gramStart"/>
      <w:r>
        <w:rPr>
          <w:b/>
          <w:i/>
          <w:color w:val="000000"/>
          <w:sz w:val="20"/>
          <w:szCs w:val="24"/>
        </w:rPr>
        <w:t>section</w:t>
      </w:r>
      <w:proofErr w:type="gramEnd"/>
      <w:r>
        <w:rPr>
          <w:b/>
          <w:i/>
          <w:color w:val="000000"/>
          <w:sz w:val="20"/>
          <w:szCs w:val="24"/>
        </w:rPr>
        <w:t xml:space="preserve"> 8</w:t>
      </w:r>
      <w:r w:rsidRPr="00D03F2B">
        <w:rPr>
          <w:b/>
          <w:i/>
          <w:color w:val="000000"/>
          <w:sz w:val="20"/>
          <w:szCs w:val="24"/>
        </w:rPr>
        <w:t>]</w:t>
      </w:r>
    </w:p>
    <w:p w14:paraId="2E888BF1" w14:textId="77777777" w:rsidR="008A7BD5" w:rsidRDefault="008A7BD5" w:rsidP="008A7BD5">
      <w:pPr>
        <w:shd w:val="clear" w:color="auto" w:fill="FFFFFF"/>
        <w:rPr>
          <w:color w:val="000000"/>
          <w:szCs w:val="24"/>
        </w:rPr>
      </w:pPr>
      <w:r>
        <w:rPr>
          <w:color w:val="000000"/>
          <w:szCs w:val="24"/>
        </w:rPr>
        <w:t>These provisions replicate the corresponding provisions in the prior Regulations, but have been updated in accordance with modern drafting practice.</w:t>
      </w:r>
    </w:p>
    <w:p w14:paraId="476D5B44" w14:textId="77777777" w:rsidR="008A7BD5" w:rsidRPr="00246F94" w:rsidRDefault="008A7BD5" w:rsidP="008A7BD5">
      <w:pPr>
        <w:shd w:val="clear" w:color="auto" w:fill="FFFFFF"/>
        <w:rPr>
          <w:b/>
          <w:color w:val="000000"/>
          <w:szCs w:val="24"/>
        </w:rPr>
      </w:pPr>
      <w:r w:rsidRPr="00246F94">
        <w:rPr>
          <w:b/>
          <w:color w:val="000000"/>
          <w:szCs w:val="24"/>
        </w:rPr>
        <w:t xml:space="preserve">Calculation </w:t>
      </w:r>
      <w:r>
        <w:rPr>
          <w:b/>
          <w:color w:val="000000"/>
          <w:szCs w:val="24"/>
        </w:rPr>
        <w:t xml:space="preserve">of </w:t>
      </w:r>
      <w:r w:rsidRPr="00246F94">
        <w:rPr>
          <w:b/>
          <w:color w:val="000000"/>
          <w:szCs w:val="24"/>
        </w:rPr>
        <w:t>transaction prices</w:t>
      </w:r>
    </w:p>
    <w:p w14:paraId="49531AD1" w14:textId="77777777" w:rsidR="008A7BD5" w:rsidRDefault="008A7BD5" w:rsidP="008A7BD5">
      <w:pPr>
        <w:shd w:val="clear" w:color="auto" w:fill="FFFFFF"/>
        <w:rPr>
          <w:color w:val="000000"/>
          <w:szCs w:val="24"/>
        </w:rPr>
      </w:pPr>
      <w:r>
        <w:rPr>
          <w:color w:val="000000"/>
          <w:szCs w:val="24"/>
        </w:rPr>
        <w:t xml:space="preserve">The Regulations also contain provisions that set out how to calculate the transaction price for crude petroleum oil and condensate. </w:t>
      </w:r>
      <w:r w:rsidRPr="00D03F2B">
        <w:rPr>
          <w:b/>
          <w:i/>
          <w:color w:val="000000"/>
          <w:sz w:val="20"/>
          <w:szCs w:val="24"/>
        </w:rPr>
        <w:t>[</w:t>
      </w:r>
      <w:proofErr w:type="gramStart"/>
      <w:r>
        <w:rPr>
          <w:b/>
          <w:i/>
          <w:color w:val="000000"/>
          <w:sz w:val="20"/>
          <w:szCs w:val="24"/>
        </w:rPr>
        <w:t>sections</w:t>
      </w:r>
      <w:proofErr w:type="gramEnd"/>
      <w:r>
        <w:rPr>
          <w:b/>
          <w:i/>
          <w:color w:val="000000"/>
          <w:sz w:val="20"/>
          <w:szCs w:val="24"/>
        </w:rPr>
        <w:t xml:space="preserve"> 9 to 11</w:t>
      </w:r>
      <w:r w:rsidRPr="00D03F2B">
        <w:rPr>
          <w:b/>
          <w:i/>
          <w:color w:val="000000"/>
          <w:sz w:val="20"/>
          <w:szCs w:val="24"/>
        </w:rPr>
        <w:t>]</w:t>
      </w:r>
    </w:p>
    <w:p w14:paraId="143898F9" w14:textId="77777777" w:rsidR="008A7BD5" w:rsidRDefault="008A7BD5" w:rsidP="008A7BD5">
      <w:pPr>
        <w:shd w:val="clear" w:color="auto" w:fill="FFFFFF"/>
        <w:rPr>
          <w:color w:val="000000"/>
          <w:szCs w:val="24"/>
        </w:rPr>
      </w:pPr>
      <w:r>
        <w:rPr>
          <w:color w:val="000000"/>
          <w:szCs w:val="24"/>
        </w:rPr>
        <w:t xml:space="preserve">No substantive changes </w:t>
      </w:r>
      <w:r w:rsidR="006F0E74">
        <w:rPr>
          <w:color w:val="000000"/>
          <w:szCs w:val="24"/>
        </w:rPr>
        <w:t>have been</w:t>
      </w:r>
      <w:r>
        <w:rPr>
          <w:color w:val="000000"/>
          <w:szCs w:val="24"/>
        </w:rPr>
        <w:t xml:space="preserve"> made to the way in which the transaction price was calculated under the corresponding provisions in the prior Regulations.</w:t>
      </w:r>
    </w:p>
    <w:p w14:paraId="5A514227" w14:textId="77777777" w:rsidR="008A7BD5" w:rsidRDefault="008A7BD5" w:rsidP="008A7BD5">
      <w:pPr>
        <w:shd w:val="clear" w:color="auto" w:fill="FFFFFF"/>
        <w:rPr>
          <w:color w:val="000000"/>
          <w:szCs w:val="24"/>
        </w:rPr>
      </w:pPr>
      <w:r>
        <w:rPr>
          <w:color w:val="000000"/>
          <w:szCs w:val="24"/>
        </w:rPr>
        <w:t xml:space="preserve">These provisions replicate the corresponding provisions in the prior Regulations, but have been updated in accordance with modern drafting practice. </w:t>
      </w:r>
    </w:p>
    <w:p w14:paraId="7A63A6C2" w14:textId="77777777" w:rsidR="008A7BD5" w:rsidRPr="002450AC" w:rsidRDefault="008A7BD5" w:rsidP="008A7BD5">
      <w:pPr>
        <w:shd w:val="clear" w:color="auto" w:fill="FFFFFF"/>
        <w:rPr>
          <w:b/>
          <w:color w:val="000000"/>
          <w:szCs w:val="24"/>
        </w:rPr>
      </w:pPr>
      <w:r w:rsidRPr="002450AC">
        <w:rPr>
          <w:b/>
          <w:color w:val="000000"/>
          <w:szCs w:val="24"/>
        </w:rPr>
        <w:t>Rules for transport costs and conversion of foreign currency</w:t>
      </w:r>
    </w:p>
    <w:p w14:paraId="5C016373" w14:textId="77777777" w:rsidR="008A7BD5" w:rsidRDefault="008A7BD5" w:rsidP="008A7BD5">
      <w:pPr>
        <w:shd w:val="clear" w:color="auto" w:fill="FFFFFF"/>
        <w:rPr>
          <w:color w:val="000000"/>
          <w:szCs w:val="24"/>
        </w:rPr>
      </w:pPr>
      <w:r>
        <w:rPr>
          <w:color w:val="000000"/>
          <w:szCs w:val="24"/>
        </w:rPr>
        <w:t xml:space="preserve">To supplement the rules dealing with prescribed information and the calculation of transaction prices, the Regulations contain provisions for working out transport costs and the value of amounts expressed in foreign currency where it is relevant for those rules. </w:t>
      </w:r>
      <w:r w:rsidRPr="00D03F2B">
        <w:rPr>
          <w:b/>
          <w:i/>
          <w:color w:val="000000"/>
          <w:sz w:val="20"/>
          <w:szCs w:val="24"/>
        </w:rPr>
        <w:t>[</w:t>
      </w:r>
      <w:proofErr w:type="gramStart"/>
      <w:r>
        <w:rPr>
          <w:b/>
          <w:i/>
          <w:color w:val="000000"/>
          <w:sz w:val="20"/>
          <w:szCs w:val="24"/>
        </w:rPr>
        <w:t>sections</w:t>
      </w:r>
      <w:proofErr w:type="gramEnd"/>
      <w:r>
        <w:rPr>
          <w:b/>
          <w:i/>
          <w:color w:val="000000"/>
          <w:sz w:val="20"/>
          <w:szCs w:val="24"/>
        </w:rPr>
        <w:t xml:space="preserve"> 12 and 13</w:t>
      </w:r>
      <w:r w:rsidRPr="00D03F2B">
        <w:rPr>
          <w:b/>
          <w:i/>
          <w:color w:val="000000"/>
          <w:sz w:val="20"/>
          <w:szCs w:val="24"/>
        </w:rPr>
        <w:t>]</w:t>
      </w:r>
    </w:p>
    <w:p w14:paraId="3C512019" w14:textId="77777777" w:rsidR="008A7BD5" w:rsidRDefault="008A7BD5" w:rsidP="008A7BD5">
      <w:pPr>
        <w:shd w:val="clear" w:color="auto" w:fill="FFFFFF"/>
        <w:rPr>
          <w:color w:val="000000"/>
          <w:szCs w:val="24"/>
        </w:rPr>
      </w:pPr>
      <w:r>
        <w:rPr>
          <w:color w:val="000000"/>
          <w:szCs w:val="24"/>
        </w:rPr>
        <w:t>These provisions replicate the corresponding provisions in the prior Regulations, but have been updated in accordance with modern drafting practice.</w:t>
      </w:r>
    </w:p>
    <w:p w14:paraId="0F493973" w14:textId="77777777" w:rsidR="008A7BD5" w:rsidRPr="002450AC" w:rsidRDefault="008A7BD5" w:rsidP="008A7BD5">
      <w:pPr>
        <w:shd w:val="clear" w:color="auto" w:fill="FFFFFF"/>
        <w:rPr>
          <w:b/>
          <w:color w:val="000000"/>
          <w:szCs w:val="24"/>
        </w:rPr>
      </w:pPr>
      <w:r>
        <w:rPr>
          <w:b/>
          <w:color w:val="000000"/>
          <w:szCs w:val="24"/>
        </w:rPr>
        <w:t>Repeal and t</w:t>
      </w:r>
      <w:r w:rsidRPr="002450AC">
        <w:rPr>
          <w:b/>
          <w:color w:val="000000"/>
          <w:szCs w:val="24"/>
        </w:rPr>
        <w:t>ransitional provisions</w:t>
      </w:r>
    </w:p>
    <w:p w14:paraId="072DA681" w14:textId="4DFDB7E6" w:rsidR="008A7BD5" w:rsidRDefault="008A7BD5" w:rsidP="008A7BD5">
      <w:pPr>
        <w:shd w:val="clear" w:color="auto" w:fill="FFFFFF"/>
        <w:rPr>
          <w:color w:val="000000"/>
          <w:szCs w:val="24"/>
        </w:rPr>
      </w:pPr>
      <w:r>
        <w:rPr>
          <w:color w:val="000000"/>
          <w:szCs w:val="24"/>
        </w:rPr>
        <w:t xml:space="preserve">The Regulations repeal the prior Regulations, and provide that things done under the prior Regulations before this repeal are treated as if they had been done under the Regulations. </w:t>
      </w:r>
      <w:r w:rsidRPr="00D03F2B">
        <w:rPr>
          <w:b/>
          <w:i/>
          <w:color w:val="000000"/>
          <w:sz w:val="20"/>
          <w:szCs w:val="24"/>
        </w:rPr>
        <w:t>[</w:t>
      </w:r>
      <w:proofErr w:type="gramStart"/>
      <w:r>
        <w:rPr>
          <w:b/>
          <w:i/>
          <w:color w:val="000000"/>
          <w:sz w:val="20"/>
          <w:szCs w:val="24"/>
        </w:rPr>
        <w:t>section</w:t>
      </w:r>
      <w:proofErr w:type="gramEnd"/>
      <w:r>
        <w:rPr>
          <w:b/>
          <w:i/>
          <w:color w:val="000000"/>
          <w:sz w:val="20"/>
          <w:szCs w:val="24"/>
        </w:rPr>
        <w:t xml:space="preserve"> 14 of the Regulations and Schedule 1 to the Regulations</w:t>
      </w:r>
      <w:r w:rsidRPr="00D03F2B">
        <w:rPr>
          <w:b/>
          <w:i/>
          <w:color w:val="000000"/>
          <w:sz w:val="20"/>
          <w:szCs w:val="24"/>
        </w:rPr>
        <w:t>]</w:t>
      </w:r>
    </w:p>
    <w:p w14:paraId="7D595F67" w14:textId="77777777" w:rsidR="008A7BD5" w:rsidRDefault="008A7BD5" w:rsidP="008A7BD5">
      <w:pPr>
        <w:tabs>
          <w:tab w:val="left" w:pos="2835"/>
        </w:tabs>
        <w:spacing w:before="240"/>
        <w:ind w:right="91"/>
      </w:pPr>
      <w:r>
        <w:t>This ensure</w:t>
      </w:r>
      <w:r w:rsidR="006F0E74">
        <w:t>s</w:t>
      </w:r>
      <w:r>
        <w:t xml:space="preserve"> the seamless transition from the prior Regulations to the Regulations.</w:t>
      </w:r>
    </w:p>
    <w:p w14:paraId="68ADE9A0" w14:textId="3FB45162" w:rsidR="008A7BD5" w:rsidRPr="0026598F" w:rsidRDefault="0026598F" w:rsidP="008A7BD5">
      <w:pPr>
        <w:pageBreakBefore/>
        <w:tabs>
          <w:tab w:val="left" w:pos="2835"/>
        </w:tabs>
        <w:spacing w:before="240"/>
        <w:ind w:right="91"/>
        <w:jc w:val="right"/>
        <w:rPr>
          <w:b/>
          <w:u w:val="single"/>
        </w:rPr>
      </w:pPr>
      <w:r w:rsidRPr="0026598F">
        <w:rPr>
          <w:b/>
          <w:u w:val="single"/>
        </w:rPr>
        <w:lastRenderedPageBreak/>
        <w:t>Attachment</w:t>
      </w:r>
      <w:r w:rsidR="008A7BD5" w:rsidRPr="0026598F">
        <w:rPr>
          <w:b/>
          <w:u w:val="single"/>
        </w:rPr>
        <w:t xml:space="preserve"> B</w:t>
      </w:r>
    </w:p>
    <w:p w14:paraId="72E89F06" w14:textId="77777777" w:rsidR="008A7BD5" w:rsidRDefault="008A7BD5" w:rsidP="008A7BD5">
      <w:pPr>
        <w:tabs>
          <w:tab w:val="left" w:pos="2835"/>
        </w:tabs>
        <w:spacing w:before="240"/>
        <w:ind w:right="91"/>
        <w:rPr>
          <w:b/>
        </w:rPr>
      </w:pPr>
      <w:r w:rsidRPr="008460A3">
        <w:rPr>
          <w:b/>
        </w:rPr>
        <w:t>Finding Table</w:t>
      </w:r>
      <w:r>
        <w:rPr>
          <w:b/>
        </w:rPr>
        <w:t>s</w:t>
      </w:r>
    </w:p>
    <w:p w14:paraId="16AD0244" w14:textId="55ECBEAF" w:rsidR="008A7BD5" w:rsidRPr="00155840" w:rsidRDefault="008A7BD5" w:rsidP="00155840">
      <w:pPr>
        <w:shd w:val="clear" w:color="auto" w:fill="FFFFFF"/>
        <w:rPr>
          <w:szCs w:val="24"/>
        </w:rPr>
      </w:pPr>
      <w:r w:rsidRPr="001F4128">
        <w:rPr>
          <w:color w:val="000000"/>
          <w:szCs w:val="24"/>
        </w:rPr>
        <w:t>In the finding tables, references to the old regulation</w:t>
      </w:r>
      <w:r w:rsidR="00682E30">
        <w:rPr>
          <w:color w:val="000000"/>
          <w:szCs w:val="24"/>
        </w:rPr>
        <w:t>s</w:t>
      </w:r>
      <w:r w:rsidRPr="001F4128">
        <w:rPr>
          <w:color w:val="000000"/>
          <w:szCs w:val="24"/>
        </w:rPr>
        <w:t xml:space="preserve"> are to provisions in the </w:t>
      </w:r>
      <w:r w:rsidRPr="00E86F04">
        <w:rPr>
          <w:i/>
          <w:iCs/>
          <w:color w:val="000000"/>
          <w:szCs w:val="24"/>
        </w:rPr>
        <w:t>Petroleum Excise (Prices) Regulations 1988</w:t>
      </w:r>
      <w:r w:rsidRPr="00E86F04">
        <w:rPr>
          <w:szCs w:val="24"/>
        </w:rPr>
        <w:t>,</w:t>
      </w:r>
      <w:r w:rsidRPr="008460A3">
        <w:rPr>
          <w:szCs w:val="24"/>
        </w:rPr>
        <w:t xml:space="preserve"> and references to the new regulations are to provisions in the Regulation</w:t>
      </w:r>
      <w:r w:rsidR="00155840">
        <w:rPr>
          <w:szCs w:val="24"/>
        </w:rPr>
        <w:t xml:space="preserve">s. Also, in the finding tables, </w:t>
      </w:r>
      <w:r w:rsidRPr="008460A3">
        <w:rPr>
          <w:i/>
          <w:iCs/>
        </w:rPr>
        <w:t>no equivalent</w:t>
      </w:r>
      <w:r w:rsidRPr="008460A3">
        <w:t> means that this is a new provision that has no equivalent in the old regulation</w:t>
      </w:r>
      <w:r>
        <w:t>s</w:t>
      </w:r>
      <w:r w:rsidR="00155840">
        <w:t>.</w:t>
      </w:r>
      <w:r w:rsidRPr="008460A3">
        <w:t xml:space="preserve"> Typically, these provisions are guide material or similar.</w:t>
      </w:r>
    </w:p>
    <w:p w14:paraId="6255D0CC" w14:textId="77777777" w:rsidR="008A7BD5" w:rsidRPr="008460A3" w:rsidRDefault="008A7BD5" w:rsidP="008A7BD5">
      <w:pPr>
        <w:pStyle w:val="Bullet"/>
        <w:numPr>
          <w:ilvl w:val="0"/>
          <w:numId w:val="0"/>
        </w:numPr>
        <w:ind w:left="1134"/>
      </w:pPr>
      <w:r w:rsidRPr="008460A3">
        <w:rPr>
          <w:b/>
        </w:rPr>
        <w:t>Table 1.1: New regulation</w:t>
      </w:r>
      <w:r>
        <w:rPr>
          <w:b/>
        </w:rPr>
        <w:t>s</w:t>
      </w:r>
      <w:r w:rsidRPr="008460A3">
        <w:rPr>
          <w:b/>
        </w:rPr>
        <w:t xml:space="preserve"> to old regulation</w:t>
      </w:r>
      <w:r>
        <w:rPr>
          <w:b/>
        </w:rPr>
        <w:t>s</w:t>
      </w:r>
    </w:p>
    <w:tbl>
      <w:tblPr>
        <w:tblStyle w:val="TableGrid1"/>
        <w:tblW w:w="0" w:type="auto"/>
        <w:tblInd w:w="1242" w:type="dxa"/>
        <w:tblLook w:val="04A0" w:firstRow="1" w:lastRow="0" w:firstColumn="1" w:lastColumn="0" w:noHBand="0" w:noVBand="1"/>
      </w:tblPr>
      <w:tblGrid>
        <w:gridCol w:w="1914"/>
        <w:gridCol w:w="2055"/>
      </w:tblGrid>
      <w:tr w:rsidR="008A7BD5" w:rsidRPr="00085F32" w14:paraId="01F1779C" w14:textId="77777777" w:rsidTr="0099398A">
        <w:trPr>
          <w:cantSplit/>
          <w:tblHeader/>
        </w:trPr>
        <w:tc>
          <w:tcPr>
            <w:tcW w:w="1914" w:type="dxa"/>
            <w:tcBorders>
              <w:top w:val="single" w:sz="4" w:space="0" w:color="auto"/>
              <w:left w:val="single" w:sz="4" w:space="0" w:color="auto"/>
              <w:bottom w:val="single" w:sz="4" w:space="0" w:color="auto"/>
              <w:right w:val="single" w:sz="4" w:space="0" w:color="auto"/>
            </w:tcBorders>
            <w:shd w:val="pct10" w:color="auto" w:fill="auto"/>
            <w:hideMark/>
          </w:tcPr>
          <w:p w14:paraId="11381A26" w14:textId="77777777" w:rsidR="008A7BD5" w:rsidRPr="008460A3" w:rsidRDefault="008A7BD5" w:rsidP="0099398A">
            <w:pPr>
              <w:spacing w:after="0"/>
              <w:jc w:val="center"/>
              <w:rPr>
                <w:b/>
                <w:i/>
              </w:rPr>
            </w:pPr>
            <w:r w:rsidRPr="008460A3">
              <w:rPr>
                <w:b/>
                <w:i/>
              </w:rPr>
              <w:t>New regulation</w:t>
            </w:r>
            <w:r>
              <w:rPr>
                <w:b/>
                <w:i/>
              </w:rPr>
              <w:t>s</w:t>
            </w:r>
          </w:p>
        </w:tc>
        <w:tc>
          <w:tcPr>
            <w:tcW w:w="2055" w:type="dxa"/>
            <w:tcBorders>
              <w:top w:val="single" w:sz="4" w:space="0" w:color="auto"/>
              <w:left w:val="single" w:sz="4" w:space="0" w:color="auto"/>
              <w:bottom w:val="single" w:sz="4" w:space="0" w:color="auto"/>
              <w:right w:val="single" w:sz="4" w:space="0" w:color="auto"/>
            </w:tcBorders>
            <w:shd w:val="pct10" w:color="auto" w:fill="auto"/>
            <w:hideMark/>
          </w:tcPr>
          <w:p w14:paraId="304FD6D5" w14:textId="77777777" w:rsidR="008A7BD5" w:rsidRPr="008460A3" w:rsidRDefault="008A7BD5" w:rsidP="0099398A">
            <w:pPr>
              <w:spacing w:after="0"/>
              <w:jc w:val="center"/>
              <w:rPr>
                <w:b/>
                <w:i/>
              </w:rPr>
            </w:pPr>
            <w:r w:rsidRPr="008460A3">
              <w:rPr>
                <w:b/>
                <w:i/>
              </w:rPr>
              <w:t>Old regulation</w:t>
            </w:r>
            <w:r>
              <w:rPr>
                <w:b/>
                <w:i/>
              </w:rPr>
              <w:t>s</w:t>
            </w:r>
          </w:p>
        </w:tc>
      </w:tr>
      <w:tr w:rsidR="008A7BD5" w:rsidRPr="00085F32" w14:paraId="565C1344"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27864110" w14:textId="77777777" w:rsidR="008A7BD5" w:rsidRPr="008460A3" w:rsidRDefault="008A7BD5" w:rsidP="0099398A">
            <w:pPr>
              <w:spacing w:after="0"/>
              <w:jc w:val="center"/>
            </w:pPr>
            <w:r w:rsidRPr="008460A3">
              <w:t>1</w:t>
            </w:r>
          </w:p>
        </w:tc>
        <w:tc>
          <w:tcPr>
            <w:tcW w:w="2055" w:type="dxa"/>
            <w:tcBorders>
              <w:top w:val="single" w:sz="4" w:space="0" w:color="auto"/>
              <w:left w:val="single" w:sz="4" w:space="0" w:color="auto"/>
              <w:bottom w:val="single" w:sz="4" w:space="0" w:color="auto"/>
              <w:right w:val="single" w:sz="4" w:space="0" w:color="auto"/>
            </w:tcBorders>
            <w:hideMark/>
          </w:tcPr>
          <w:p w14:paraId="647ACECA" w14:textId="77777777" w:rsidR="008A7BD5" w:rsidRPr="008460A3" w:rsidRDefault="008A7BD5" w:rsidP="0099398A">
            <w:pPr>
              <w:spacing w:after="0"/>
              <w:jc w:val="center"/>
            </w:pPr>
            <w:r w:rsidRPr="008460A3">
              <w:t>1</w:t>
            </w:r>
          </w:p>
        </w:tc>
      </w:tr>
      <w:tr w:rsidR="008A7BD5" w:rsidRPr="00085F32" w14:paraId="52122F06"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255C0985" w14:textId="77777777" w:rsidR="008A7BD5" w:rsidRPr="008460A3" w:rsidRDefault="008A7BD5" w:rsidP="0099398A">
            <w:pPr>
              <w:spacing w:after="0"/>
              <w:jc w:val="center"/>
            </w:pPr>
            <w:r w:rsidRPr="008460A3">
              <w:t>2</w:t>
            </w:r>
          </w:p>
        </w:tc>
        <w:tc>
          <w:tcPr>
            <w:tcW w:w="2055" w:type="dxa"/>
            <w:tcBorders>
              <w:top w:val="single" w:sz="4" w:space="0" w:color="auto"/>
              <w:left w:val="single" w:sz="4" w:space="0" w:color="auto"/>
              <w:bottom w:val="single" w:sz="4" w:space="0" w:color="auto"/>
              <w:right w:val="single" w:sz="4" w:space="0" w:color="auto"/>
            </w:tcBorders>
            <w:hideMark/>
          </w:tcPr>
          <w:p w14:paraId="56E609C8" w14:textId="77777777" w:rsidR="008A7BD5" w:rsidRPr="008460A3" w:rsidRDefault="008A7BD5" w:rsidP="0099398A">
            <w:pPr>
              <w:spacing w:after="0"/>
              <w:jc w:val="center"/>
            </w:pPr>
            <w:r w:rsidRPr="008460A3">
              <w:t>No equivalent</w:t>
            </w:r>
          </w:p>
        </w:tc>
      </w:tr>
      <w:tr w:rsidR="008A7BD5" w:rsidRPr="00085F32" w14:paraId="702A48BF"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1EA2CC34" w14:textId="77777777" w:rsidR="008A7BD5" w:rsidRPr="008460A3" w:rsidRDefault="008A7BD5" w:rsidP="0099398A">
            <w:pPr>
              <w:spacing w:after="0"/>
              <w:jc w:val="center"/>
            </w:pPr>
            <w:r w:rsidRPr="008460A3">
              <w:t>3</w:t>
            </w:r>
          </w:p>
        </w:tc>
        <w:tc>
          <w:tcPr>
            <w:tcW w:w="2055" w:type="dxa"/>
            <w:tcBorders>
              <w:top w:val="single" w:sz="4" w:space="0" w:color="auto"/>
              <w:left w:val="single" w:sz="4" w:space="0" w:color="auto"/>
              <w:bottom w:val="single" w:sz="4" w:space="0" w:color="auto"/>
              <w:right w:val="single" w:sz="4" w:space="0" w:color="auto"/>
            </w:tcBorders>
            <w:hideMark/>
          </w:tcPr>
          <w:p w14:paraId="6680A441" w14:textId="77777777" w:rsidR="008A7BD5" w:rsidRPr="008460A3" w:rsidRDefault="008A7BD5" w:rsidP="0099398A">
            <w:pPr>
              <w:spacing w:after="0"/>
              <w:jc w:val="center"/>
            </w:pPr>
            <w:r w:rsidRPr="008460A3">
              <w:t>No equivalent</w:t>
            </w:r>
          </w:p>
        </w:tc>
      </w:tr>
      <w:tr w:rsidR="008A7BD5" w:rsidRPr="00085F32" w14:paraId="43201405"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2135C040" w14:textId="77777777" w:rsidR="008A7BD5" w:rsidRPr="008460A3" w:rsidRDefault="008A7BD5" w:rsidP="0099398A">
            <w:pPr>
              <w:spacing w:after="0"/>
              <w:jc w:val="center"/>
            </w:pPr>
            <w:r w:rsidRPr="008460A3">
              <w:t>4</w:t>
            </w:r>
          </w:p>
        </w:tc>
        <w:tc>
          <w:tcPr>
            <w:tcW w:w="2055" w:type="dxa"/>
            <w:tcBorders>
              <w:top w:val="single" w:sz="4" w:space="0" w:color="auto"/>
              <w:left w:val="single" w:sz="4" w:space="0" w:color="auto"/>
              <w:bottom w:val="single" w:sz="4" w:space="0" w:color="auto"/>
              <w:right w:val="single" w:sz="4" w:space="0" w:color="auto"/>
            </w:tcBorders>
            <w:hideMark/>
          </w:tcPr>
          <w:p w14:paraId="261D0A47" w14:textId="77777777" w:rsidR="008A7BD5" w:rsidRPr="008460A3" w:rsidRDefault="008A7BD5" w:rsidP="0099398A">
            <w:pPr>
              <w:spacing w:after="0"/>
              <w:jc w:val="center"/>
            </w:pPr>
            <w:r w:rsidRPr="008460A3">
              <w:t>No equivalent</w:t>
            </w:r>
          </w:p>
        </w:tc>
      </w:tr>
      <w:tr w:rsidR="008A7BD5" w:rsidRPr="00085F32" w14:paraId="69D5DA55"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40ACCF92" w14:textId="77777777" w:rsidR="008A7BD5" w:rsidRPr="008460A3" w:rsidRDefault="008A7BD5" w:rsidP="0099398A">
            <w:pPr>
              <w:spacing w:after="0"/>
              <w:jc w:val="center"/>
            </w:pPr>
            <w:r w:rsidRPr="008460A3">
              <w:t>5</w:t>
            </w:r>
          </w:p>
        </w:tc>
        <w:tc>
          <w:tcPr>
            <w:tcW w:w="2055" w:type="dxa"/>
            <w:tcBorders>
              <w:top w:val="single" w:sz="4" w:space="0" w:color="auto"/>
              <w:left w:val="single" w:sz="4" w:space="0" w:color="auto"/>
              <w:bottom w:val="single" w:sz="4" w:space="0" w:color="auto"/>
              <w:right w:val="single" w:sz="4" w:space="0" w:color="auto"/>
            </w:tcBorders>
            <w:hideMark/>
          </w:tcPr>
          <w:p w14:paraId="40A3E004" w14:textId="77777777" w:rsidR="008A7BD5" w:rsidRPr="008460A3" w:rsidRDefault="008A7BD5" w:rsidP="0099398A">
            <w:pPr>
              <w:spacing w:after="0"/>
              <w:jc w:val="center"/>
            </w:pPr>
            <w:r w:rsidRPr="008460A3">
              <w:t>2</w:t>
            </w:r>
          </w:p>
        </w:tc>
      </w:tr>
      <w:tr w:rsidR="008A7BD5" w:rsidRPr="00085F32" w14:paraId="55436720"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4C25E9C3" w14:textId="77777777" w:rsidR="008A7BD5" w:rsidRPr="008460A3" w:rsidRDefault="008A7BD5" w:rsidP="0099398A">
            <w:pPr>
              <w:spacing w:after="0"/>
              <w:jc w:val="center"/>
            </w:pPr>
            <w:r w:rsidRPr="008460A3">
              <w:t>6</w:t>
            </w:r>
          </w:p>
        </w:tc>
        <w:tc>
          <w:tcPr>
            <w:tcW w:w="2055" w:type="dxa"/>
            <w:tcBorders>
              <w:top w:val="single" w:sz="4" w:space="0" w:color="auto"/>
              <w:left w:val="single" w:sz="4" w:space="0" w:color="auto"/>
              <w:bottom w:val="single" w:sz="4" w:space="0" w:color="auto"/>
              <w:right w:val="single" w:sz="4" w:space="0" w:color="auto"/>
            </w:tcBorders>
            <w:hideMark/>
          </w:tcPr>
          <w:p w14:paraId="6585B37B" w14:textId="77777777" w:rsidR="008A7BD5" w:rsidRPr="008460A3" w:rsidRDefault="008A7BD5" w:rsidP="0099398A">
            <w:pPr>
              <w:spacing w:after="0"/>
              <w:jc w:val="center"/>
            </w:pPr>
            <w:r w:rsidRPr="008460A3">
              <w:t>2A and Schedule 1</w:t>
            </w:r>
          </w:p>
        </w:tc>
      </w:tr>
      <w:tr w:rsidR="008A7BD5" w:rsidRPr="00085F32" w14:paraId="78F72916"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15D8109E" w14:textId="77777777" w:rsidR="008A7BD5" w:rsidRPr="008460A3" w:rsidRDefault="008A7BD5" w:rsidP="0099398A">
            <w:pPr>
              <w:spacing w:after="0"/>
              <w:jc w:val="center"/>
            </w:pPr>
            <w:r w:rsidRPr="008460A3">
              <w:t>7</w:t>
            </w:r>
          </w:p>
        </w:tc>
        <w:tc>
          <w:tcPr>
            <w:tcW w:w="2055" w:type="dxa"/>
            <w:tcBorders>
              <w:top w:val="single" w:sz="4" w:space="0" w:color="auto"/>
              <w:left w:val="single" w:sz="4" w:space="0" w:color="auto"/>
              <w:bottom w:val="single" w:sz="4" w:space="0" w:color="auto"/>
              <w:right w:val="single" w:sz="4" w:space="0" w:color="auto"/>
            </w:tcBorders>
            <w:hideMark/>
          </w:tcPr>
          <w:p w14:paraId="1D0236A5" w14:textId="77777777" w:rsidR="008A7BD5" w:rsidRPr="008460A3" w:rsidRDefault="008A7BD5" w:rsidP="0099398A">
            <w:pPr>
              <w:spacing w:after="0"/>
              <w:jc w:val="center"/>
            </w:pPr>
            <w:r w:rsidRPr="008460A3">
              <w:t>3 and Schedule 2</w:t>
            </w:r>
          </w:p>
        </w:tc>
      </w:tr>
      <w:tr w:rsidR="008A7BD5" w:rsidRPr="00085F32" w14:paraId="3B291CFC"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3CF02655" w14:textId="77777777" w:rsidR="008A7BD5" w:rsidRPr="008460A3" w:rsidRDefault="008A7BD5" w:rsidP="0099398A">
            <w:pPr>
              <w:spacing w:after="0"/>
              <w:jc w:val="center"/>
            </w:pPr>
            <w:r w:rsidRPr="008460A3">
              <w:t>8</w:t>
            </w:r>
          </w:p>
        </w:tc>
        <w:tc>
          <w:tcPr>
            <w:tcW w:w="2055" w:type="dxa"/>
            <w:tcBorders>
              <w:top w:val="single" w:sz="4" w:space="0" w:color="auto"/>
              <w:left w:val="single" w:sz="4" w:space="0" w:color="auto"/>
              <w:bottom w:val="single" w:sz="4" w:space="0" w:color="auto"/>
              <w:right w:val="single" w:sz="4" w:space="0" w:color="auto"/>
            </w:tcBorders>
            <w:hideMark/>
          </w:tcPr>
          <w:p w14:paraId="63FB4F96" w14:textId="77777777" w:rsidR="008A7BD5" w:rsidRPr="008460A3" w:rsidRDefault="008A7BD5" w:rsidP="0099398A">
            <w:pPr>
              <w:spacing w:after="0"/>
              <w:jc w:val="center"/>
            </w:pPr>
            <w:r w:rsidRPr="008460A3">
              <w:t>4</w:t>
            </w:r>
          </w:p>
        </w:tc>
      </w:tr>
      <w:tr w:rsidR="008A7BD5" w:rsidRPr="00085F32" w14:paraId="4BEA52DC"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3349D42D" w14:textId="77777777" w:rsidR="008A7BD5" w:rsidRPr="008460A3" w:rsidRDefault="008A7BD5" w:rsidP="0099398A">
            <w:pPr>
              <w:spacing w:after="0"/>
              <w:jc w:val="center"/>
            </w:pPr>
            <w:r w:rsidRPr="008460A3">
              <w:t>9</w:t>
            </w:r>
          </w:p>
        </w:tc>
        <w:tc>
          <w:tcPr>
            <w:tcW w:w="2055" w:type="dxa"/>
            <w:tcBorders>
              <w:top w:val="single" w:sz="4" w:space="0" w:color="auto"/>
              <w:left w:val="single" w:sz="4" w:space="0" w:color="auto"/>
              <w:bottom w:val="single" w:sz="4" w:space="0" w:color="auto"/>
              <w:right w:val="single" w:sz="4" w:space="0" w:color="auto"/>
            </w:tcBorders>
            <w:hideMark/>
          </w:tcPr>
          <w:p w14:paraId="325D9A04" w14:textId="77777777" w:rsidR="008A7BD5" w:rsidRPr="008460A3" w:rsidRDefault="008A7BD5" w:rsidP="0099398A">
            <w:pPr>
              <w:spacing w:after="0"/>
              <w:jc w:val="center"/>
            </w:pPr>
            <w:r w:rsidRPr="008460A3">
              <w:t>5(2) to (5)</w:t>
            </w:r>
          </w:p>
        </w:tc>
      </w:tr>
      <w:tr w:rsidR="008A7BD5" w:rsidRPr="00085F32" w14:paraId="465FBC42"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77799FBB" w14:textId="77777777" w:rsidR="008A7BD5" w:rsidRPr="008460A3" w:rsidRDefault="008A7BD5" w:rsidP="0099398A">
            <w:pPr>
              <w:spacing w:after="0"/>
              <w:jc w:val="center"/>
            </w:pPr>
            <w:r w:rsidRPr="008460A3">
              <w:t>10</w:t>
            </w:r>
          </w:p>
        </w:tc>
        <w:tc>
          <w:tcPr>
            <w:tcW w:w="2055" w:type="dxa"/>
            <w:tcBorders>
              <w:top w:val="single" w:sz="4" w:space="0" w:color="auto"/>
              <w:left w:val="single" w:sz="4" w:space="0" w:color="auto"/>
              <w:bottom w:val="single" w:sz="4" w:space="0" w:color="auto"/>
              <w:right w:val="single" w:sz="4" w:space="0" w:color="auto"/>
            </w:tcBorders>
            <w:hideMark/>
          </w:tcPr>
          <w:p w14:paraId="0FF1B2A9" w14:textId="77777777" w:rsidR="008A7BD5" w:rsidRPr="008460A3" w:rsidRDefault="008A7BD5" w:rsidP="0099398A">
            <w:pPr>
              <w:spacing w:after="0"/>
              <w:jc w:val="center"/>
            </w:pPr>
            <w:r w:rsidRPr="008460A3">
              <w:t>5(1)</w:t>
            </w:r>
          </w:p>
        </w:tc>
      </w:tr>
      <w:tr w:rsidR="008A7BD5" w:rsidRPr="00085F32" w14:paraId="295686C7"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61C61906" w14:textId="77777777" w:rsidR="008A7BD5" w:rsidRPr="008460A3" w:rsidRDefault="008A7BD5" w:rsidP="0099398A">
            <w:pPr>
              <w:spacing w:after="0"/>
              <w:jc w:val="center"/>
            </w:pPr>
            <w:r w:rsidRPr="008460A3">
              <w:t>11</w:t>
            </w:r>
          </w:p>
        </w:tc>
        <w:tc>
          <w:tcPr>
            <w:tcW w:w="2055" w:type="dxa"/>
            <w:tcBorders>
              <w:top w:val="single" w:sz="4" w:space="0" w:color="auto"/>
              <w:left w:val="single" w:sz="4" w:space="0" w:color="auto"/>
              <w:bottom w:val="single" w:sz="4" w:space="0" w:color="auto"/>
              <w:right w:val="single" w:sz="4" w:space="0" w:color="auto"/>
            </w:tcBorders>
            <w:hideMark/>
          </w:tcPr>
          <w:p w14:paraId="07BAEE59" w14:textId="77777777" w:rsidR="008A7BD5" w:rsidRPr="008460A3" w:rsidRDefault="008A7BD5" w:rsidP="0099398A">
            <w:pPr>
              <w:spacing w:after="0"/>
              <w:jc w:val="center"/>
            </w:pPr>
            <w:r w:rsidRPr="008460A3">
              <w:t>5A</w:t>
            </w:r>
          </w:p>
        </w:tc>
      </w:tr>
      <w:tr w:rsidR="008A7BD5" w:rsidRPr="00085F32" w14:paraId="770D957F"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777D4DD7" w14:textId="77777777" w:rsidR="008A7BD5" w:rsidRPr="008460A3" w:rsidRDefault="008A7BD5" w:rsidP="0099398A">
            <w:pPr>
              <w:spacing w:after="0"/>
              <w:jc w:val="center"/>
            </w:pPr>
            <w:r w:rsidRPr="008460A3">
              <w:t>12</w:t>
            </w:r>
          </w:p>
        </w:tc>
        <w:tc>
          <w:tcPr>
            <w:tcW w:w="2055" w:type="dxa"/>
            <w:tcBorders>
              <w:top w:val="single" w:sz="4" w:space="0" w:color="auto"/>
              <w:left w:val="single" w:sz="4" w:space="0" w:color="auto"/>
              <w:bottom w:val="single" w:sz="4" w:space="0" w:color="auto"/>
              <w:right w:val="single" w:sz="4" w:space="0" w:color="auto"/>
            </w:tcBorders>
            <w:hideMark/>
          </w:tcPr>
          <w:p w14:paraId="1D20313C" w14:textId="77777777" w:rsidR="008A7BD5" w:rsidRPr="008460A3" w:rsidRDefault="008A7BD5" w:rsidP="0099398A">
            <w:pPr>
              <w:spacing w:after="0"/>
              <w:jc w:val="center"/>
            </w:pPr>
            <w:r w:rsidRPr="008460A3">
              <w:t>6</w:t>
            </w:r>
          </w:p>
        </w:tc>
      </w:tr>
      <w:tr w:rsidR="008A7BD5" w:rsidRPr="00085F32" w14:paraId="0E3281D4"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5F2D2D02" w14:textId="77777777" w:rsidR="008A7BD5" w:rsidRPr="008460A3" w:rsidRDefault="008A7BD5" w:rsidP="0099398A">
            <w:pPr>
              <w:spacing w:after="0"/>
              <w:jc w:val="center"/>
            </w:pPr>
            <w:r w:rsidRPr="008460A3">
              <w:t>13</w:t>
            </w:r>
          </w:p>
        </w:tc>
        <w:tc>
          <w:tcPr>
            <w:tcW w:w="2055" w:type="dxa"/>
            <w:tcBorders>
              <w:top w:val="single" w:sz="4" w:space="0" w:color="auto"/>
              <w:left w:val="single" w:sz="4" w:space="0" w:color="auto"/>
              <w:bottom w:val="single" w:sz="4" w:space="0" w:color="auto"/>
              <w:right w:val="single" w:sz="4" w:space="0" w:color="auto"/>
            </w:tcBorders>
            <w:hideMark/>
          </w:tcPr>
          <w:p w14:paraId="632499F0" w14:textId="77777777" w:rsidR="008A7BD5" w:rsidRPr="008460A3" w:rsidRDefault="008A7BD5" w:rsidP="0099398A">
            <w:pPr>
              <w:spacing w:after="0"/>
              <w:jc w:val="center"/>
            </w:pPr>
            <w:r w:rsidRPr="008460A3">
              <w:t>7</w:t>
            </w:r>
          </w:p>
        </w:tc>
      </w:tr>
      <w:tr w:rsidR="008A7BD5" w:rsidRPr="00085F32" w14:paraId="303BECF7"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42AB5C3C" w14:textId="77777777" w:rsidR="008A7BD5" w:rsidRPr="008460A3" w:rsidRDefault="008A7BD5" w:rsidP="0099398A">
            <w:pPr>
              <w:spacing w:after="0"/>
              <w:jc w:val="center"/>
            </w:pPr>
            <w:r w:rsidRPr="008460A3">
              <w:t>14</w:t>
            </w:r>
          </w:p>
        </w:tc>
        <w:tc>
          <w:tcPr>
            <w:tcW w:w="2055" w:type="dxa"/>
            <w:tcBorders>
              <w:top w:val="single" w:sz="4" w:space="0" w:color="auto"/>
              <w:left w:val="single" w:sz="4" w:space="0" w:color="auto"/>
              <w:bottom w:val="single" w:sz="4" w:space="0" w:color="auto"/>
              <w:right w:val="single" w:sz="4" w:space="0" w:color="auto"/>
            </w:tcBorders>
            <w:hideMark/>
          </w:tcPr>
          <w:p w14:paraId="42FE48CE" w14:textId="77777777" w:rsidR="008A7BD5" w:rsidRPr="008460A3" w:rsidRDefault="008A7BD5" w:rsidP="0099398A">
            <w:pPr>
              <w:spacing w:after="0"/>
              <w:jc w:val="center"/>
            </w:pPr>
            <w:r w:rsidRPr="008460A3">
              <w:t>No equivalent</w:t>
            </w:r>
          </w:p>
        </w:tc>
      </w:tr>
      <w:tr w:rsidR="008A7BD5" w:rsidRPr="00085F32" w14:paraId="765A283B" w14:textId="77777777" w:rsidTr="0099398A">
        <w:trPr>
          <w:cantSplit/>
        </w:trPr>
        <w:tc>
          <w:tcPr>
            <w:tcW w:w="1914" w:type="dxa"/>
            <w:tcBorders>
              <w:top w:val="single" w:sz="4" w:space="0" w:color="auto"/>
              <w:left w:val="single" w:sz="4" w:space="0" w:color="auto"/>
              <w:bottom w:val="single" w:sz="4" w:space="0" w:color="auto"/>
              <w:right w:val="single" w:sz="4" w:space="0" w:color="auto"/>
            </w:tcBorders>
          </w:tcPr>
          <w:p w14:paraId="05FE8950" w14:textId="77777777" w:rsidR="008A7BD5" w:rsidRDefault="008A7BD5" w:rsidP="0099398A">
            <w:pPr>
              <w:spacing w:after="0"/>
              <w:jc w:val="center"/>
            </w:pPr>
            <w:r>
              <w:t>Schedule 1</w:t>
            </w:r>
          </w:p>
        </w:tc>
        <w:tc>
          <w:tcPr>
            <w:tcW w:w="2055" w:type="dxa"/>
            <w:tcBorders>
              <w:top w:val="single" w:sz="4" w:space="0" w:color="auto"/>
              <w:left w:val="single" w:sz="4" w:space="0" w:color="auto"/>
              <w:bottom w:val="single" w:sz="4" w:space="0" w:color="auto"/>
              <w:right w:val="single" w:sz="4" w:space="0" w:color="auto"/>
            </w:tcBorders>
          </w:tcPr>
          <w:p w14:paraId="10E683C7" w14:textId="77777777" w:rsidR="008A7BD5" w:rsidRPr="008460A3" w:rsidRDefault="008A7BD5" w:rsidP="0099398A">
            <w:pPr>
              <w:spacing w:after="0"/>
              <w:jc w:val="center"/>
            </w:pPr>
            <w:r w:rsidRPr="00475E5A">
              <w:t>No equivalent</w:t>
            </w:r>
          </w:p>
        </w:tc>
      </w:tr>
    </w:tbl>
    <w:p w14:paraId="7BC64F73" w14:textId="77777777" w:rsidR="008A7BD5" w:rsidRPr="008460A3" w:rsidRDefault="008A7BD5" w:rsidP="008A7BD5">
      <w:pPr>
        <w:spacing w:after="0"/>
        <w:rPr>
          <w:rFonts w:ascii="Helvetica" w:hAnsi="Helvetica"/>
          <w:b/>
          <w:kern w:val="28"/>
        </w:rPr>
      </w:pPr>
    </w:p>
    <w:p w14:paraId="01E2DDE6" w14:textId="77777777" w:rsidR="008A7BD5" w:rsidRPr="008460A3" w:rsidRDefault="008A7BD5" w:rsidP="008A7BD5">
      <w:pPr>
        <w:pStyle w:val="Bullet"/>
        <w:numPr>
          <w:ilvl w:val="0"/>
          <w:numId w:val="0"/>
        </w:numPr>
        <w:ind w:left="1134"/>
      </w:pPr>
      <w:r w:rsidRPr="008460A3">
        <w:rPr>
          <w:b/>
        </w:rPr>
        <w:t>Table 1.</w:t>
      </w:r>
      <w:r>
        <w:rPr>
          <w:b/>
        </w:rPr>
        <w:t>2</w:t>
      </w:r>
      <w:r w:rsidRPr="008460A3">
        <w:rPr>
          <w:b/>
        </w:rPr>
        <w:t xml:space="preserve">: </w:t>
      </w:r>
      <w:r>
        <w:rPr>
          <w:b/>
        </w:rPr>
        <w:t>Old</w:t>
      </w:r>
      <w:r w:rsidRPr="008460A3">
        <w:rPr>
          <w:b/>
        </w:rPr>
        <w:t xml:space="preserve"> regulation</w:t>
      </w:r>
      <w:r>
        <w:rPr>
          <w:b/>
        </w:rPr>
        <w:t>s</w:t>
      </w:r>
      <w:r w:rsidRPr="008460A3">
        <w:rPr>
          <w:b/>
        </w:rPr>
        <w:t xml:space="preserve"> to </w:t>
      </w:r>
      <w:r>
        <w:rPr>
          <w:b/>
        </w:rPr>
        <w:t>new</w:t>
      </w:r>
      <w:r w:rsidRPr="008460A3">
        <w:rPr>
          <w:b/>
        </w:rPr>
        <w:t xml:space="preserve"> regulation</w:t>
      </w:r>
      <w:r>
        <w:rPr>
          <w:b/>
        </w:rPr>
        <w:t>s</w:t>
      </w:r>
    </w:p>
    <w:tbl>
      <w:tblPr>
        <w:tblStyle w:val="TableGrid1"/>
        <w:tblW w:w="0" w:type="auto"/>
        <w:tblInd w:w="1242" w:type="dxa"/>
        <w:tblLook w:val="04A0" w:firstRow="1" w:lastRow="0" w:firstColumn="1" w:lastColumn="0" w:noHBand="0" w:noVBand="1"/>
      </w:tblPr>
      <w:tblGrid>
        <w:gridCol w:w="1914"/>
        <w:gridCol w:w="2055"/>
      </w:tblGrid>
      <w:tr w:rsidR="008A7BD5" w14:paraId="65801117" w14:textId="77777777" w:rsidTr="0099398A">
        <w:trPr>
          <w:cantSplit/>
          <w:tblHeader/>
        </w:trPr>
        <w:tc>
          <w:tcPr>
            <w:tcW w:w="1914" w:type="dxa"/>
            <w:tcBorders>
              <w:top w:val="single" w:sz="4" w:space="0" w:color="auto"/>
              <w:left w:val="single" w:sz="4" w:space="0" w:color="auto"/>
              <w:bottom w:val="single" w:sz="4" w:space="0" w:color="auto"/>
              <w:right w:val="single" w:sz="4" w:space="0" w:color="auto"/>
            </w:tcBorders>
            <w:shd w:val="pct10" w:color="auto" w:fill="auto"/>
            <w:hideMark/>
          </w:tcPr>
          <w:p w14:paraId="7767826A" w14:textId="77777777" w:rsidR="008A7BD5" w:rsidRDefault="008A7BD5" w:rsidP="0099398A">
            <w:pPr>
              <w:spacing w:after="0"/>
              <w:jc w:val="center"/>
              <w:rPr>
                <w:b/>
                <w:i/>
              </w:rPr>
            </w:pPr>
            <w:r>
              <w:rPr>
                <w:b/>
                <w:i/>
              </w:rPr>
              <w:t>Old regulations</w:t>
            </w:r>
          </w:p>
        </w:tc>
        <w:tc>
          <w:tcPr>
            <w:tcW w:w="2055" w:type="dxa"/>
            <w:tcBorders>
              <w:top w:val="single" w:sz="4" w:space="0" w:color="auto"/>
              <w:left w:val="single" w:sz="4" w:space="0" w:color="auto"/>
              <w:bottom w:val="single" w:sz="4" w:space="0" w:color="auto"/>
              <w:right w:val="single" w:sz="4" w:space="0" w:color="auto"/>
            </w:tcBorders>
            <w:shd w:val="pct10" w:color="auto" w:fill="auto"/>
            <w:hideMark/>
          </w:tcPr>
          <w:p w14:paraId="59030FC0" w14:textId="77777777" w:rsidR="008A7BD5" w:rsidRDefault="008A7BD5" w:rsidP="0099398A">
            <w:pPr>
              <w:spacing w:after="0"/>
              <w:jc w:val="center"/>
              <w:rPr>
                <w:b/>
                <w:i/>
              </w:rPr>
            </w:pPr>
            <w:r>
              <w:rPr>
                <w:b/>
                <w:i/>
              </w:rPr>
              <w:t>New regulations</w:t>
            </w:r>
          </w:p>
        </w:tc>
      </w:tr>
      <w:tr w:rsidR="008A7BD5" w14:paraId="04B24C93"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7D1C7F1C" w14:textId="77777777" w:rsidR="008A7BD5" w:rsidRDefault="008A7BD5" w:rsidP="0099398A">
            <w:pPr>
              <w:spacing w:after="0"/>
              <w:jc w:val="center"/>
            </w:pPr>
            <w:r>
              <w:t>1</w:t>
            </w:r>
          </w:p>
        </w:tc>
        <w:tc>
          <w:tcPr>
            <w:tcW w:w="2055" w:type="dxa"/>
            <w:tcBorders>
              <w:top w:val="single" w:sz="4" w:space="0" w:color="auto"/>
              <w:left w:val="single" w:sz="4" w:space="0" w:color="auto"/>
              <w:bottom w:val="single" w:sz="4" w:space="0" w:color="auto"/>
              <w:right w:val="single" w:sz="4" w:space="0" w:color="auto"/>
            </w:tcBorders>
            <w:hideMark/>
          </w:tcPr>
          <w:p w14:paraId="49455A9E" w14:textId="77777777" w:rsidR="008A7BD5" w:rsidRDefault="008A7BD5" w:rsidP="0099398A">
            <w:pPr>
              <w:spacing w:after="0"/>
              <w:jc w:val="center"/>
            </w:pPr>
            <w:r>
              <w:t>1</w:t>
            </w:r>
          </w:p>
        </w:tc>
      </w:tr>
      <w:tr w:rsidR="008A7BD5" w14:paraId="068FD61C"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47304977" w14:textId="77777777" w:rsidR="008A7BD5" w:rsidRDefault="008A7BD5" w:rsidP="0099398A">
            <w:pPr>
              <w:spacing w:after="0"/>
              <w:jc w:val="center"/>
            </w:pPr>
            <w:r>
              <w:t>2</w:t>
            </w:r>
          </w:p>
        </w:tc>
        <w:tc>
          <w:tcPr>
            <w:tcW w:w="2055" w:type="dxa"/>
            <w:tcBorders>
              <w:top w:val="single" w:sz="4" w:space="0" w:color="auto"/>
              <w:left w:val="single" w:sz="4" w:space="0" w:color="auto"/>
              <w:bottom w:val="single" w:sz="4" w:space="0" w:color="auto"/>
              <w:right w:val="single" w:sz="4" w:space="0" w:color="auto"/>
            </w:tcBorders>
            <w:hideMark/>
          </w:tcPr>
          <w:p w14:paraId="227F3E90" w14:textId="77777777" w:rsidR="008A7BD5" w:rsidRDefault="008A7BD5" w:rsidP="0099398A">
            <w:pPr>
              <w:spacing w:after="0"/>
              <w:jc w:val="center"/>
            </w:pPr>
            <w:r>
              <w:t>5</w:t>
            </w:r>
          </w:p>
        </w:tc>
      </w:tr>
      <w:tr w:rsidR="008A7BD5" w14:paraId="5356D70D"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5715A1B3" w14:textId="77777777" w:rsidR="008A7BD5" w:rsidRDefault="008A7BD5" w:rsidP="0099398A">
            <w:pPr>
              <w:spacing w:after="0"/>
              <w:jc w:val="center"/>
            </w:pPr>
            <w:r>
              <w:t>2A</w:t>
            </w:r>
          </w:p>
        </w:tc>
        <w:tc>
          <w:tcPr>
            <w:tcW w:w="2055" w:type="dxa"/>
            <w:tcBorders>
              <w:top w:val="single" w:sz="4" w:space="0" w:color="auto"/>
              <w:left w:val="single" w:sz="4" w:space="0" w:color="auto"/>
              <w:bottom w:val="single" w:sz="4" w:space="0" w:color="auto"/>
              <w:right w:val="single" w:sz="4" w:space="0" w:color="auto"/>
            </w:tcBorders>
            <w:hideMark/>
          </w:tcPr>
          <w:p w14:paraId="73E92C56" w14:textId="77777777" w:rsidR="008A7BD5" w:rsidRDefault="008A7BD5" w:rsidP="0099398A">
            <w:pPr>
              <w:spacing w:after="0"/>
              <w:jc w:val="center"/>
            </w:pPr>
            <w:r>
              <w:t>6(1) to (4)</w:t>
            </w:r>
          </w:p>
        </w:tc>
      </w:tr>
      <w:tr w:rsidR="008A7BD5" w14:paraId="5549FC02"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4584F8A5" w14:textId="77777777" w:rsidR="008A7BD5" w:rsidRDefault="008A7BD5" w:rsidP="0099398A">
            <w:pPr>
              <w:spacing w:after="0"/>
              <w:jc w:val="center"/>
            </w:pPr>
            <w:r>
              <w:t>3</w:t>
            </w:r>
          </w:p>
        </w:tc>
        <w:tc>
          <w:tcPr>
            <w:tcW w:w="2055" w:type="dxa"/>
            <w:tcBorders>
              <w:top w:val="single" w:sz="4" w:space="0" w:color="auto"/>
              <w:left w:val="single" w:sz="4" w:space="0" w:color="auto"/>
              <w:bottom w:val="single" w:sz="4" w:space="0" w:color="auto"/>
              <w:right w:val="single" w:sz="4" w:space="0" w:color="auto"/>
            </w:tcBorders>
            <w:hideMark/>
          </w:tcPr>
          <w:p w14:paraId="1943B380" w14:textId="77777777" w:rsidR="008A7BD5" w:rsidRDefault="008A7BD5" w:rsidP="0099398A">
            <w:pPr>
              <w:spacing w:after="0"/>
              <w:jc w:val="center"/>
            </w:pPr>
            <w:r>
              <w:t>7(1) to (4)</w:t>
            </w:r>
          </w:p>
        </w:tc>
      </w:tr>
      <w:tr w:rsidR="008A7BD5" w14:paraId="4267ABFC"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1255AFA6" w14:textId="77777777" w:rsidR="008A7BD5" w:rsidRDefault="008A7BD5" w:rsidP="0099398A">
            <w:pPr>
              <w:spacing w:after="0"/>
              <w:jc w:val="center"/>
            </w:pPr>
            <w:r>
              <w:t>4</w:t>
            </w:r>
          </w:p>
        </w:tc>
        <w:tc>
          <w:tcPr>
            <w:tcW w:w="2055" w:type="dxa"/>
            <w:tcBorders>
              <w:top w:val="single" w:sz="4" w:space="0" w:color="auto"/>
              <w:left w:val="single" w:sz="4" w:space="0" w:color="auto"/>
              <w:bottom w:val="single" w:sz="4" w:space="0" w:color="auto"/>
              <w:right w:val="single" w:sz="4" w:space="0" w:color="auto"/>
            </w:tcBorders>
            <w:hideMark/>
          </w:tcPr>
          <w:p w14:paraId="7C401B63" w14:textId="77777777" w:rsidR="008A7BD5" w:rsidRDefault="008A7BD5" w:rsidP="0099398A">
            <w:pPr>
              <w:spacing w:after="0"/>
              <w:jc w:val="center"/>
            </w:pPr>
            <w:r>
              <w:t>8</w:t>
            </w:r>
          </w:p>
        </w:tc>
      </w:tr>
      <w:tr w:rsidR="008A7BD5" w14:paraId="6DCE8FE4"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1E3DC887" w14:textId="77777777" w:rsidR="008A7BD5" w:rsidRDefault="008A7BD5" w:rsidP="0099398A">
            <w:pPr>
              <w:spacing w:after="0"/>
              <w:jc w:val="center"/>
            </w:pPr>
            <w:r>
              <w:t>5</w:t>
            </w:r>
          </w:p>
        </w:tc>
        <w:tc>
          <w:tcPr>
            <w:tcW w:w="2055" w:type="dxa"/>
            <w:tcBorders>
              <w:top w:val="single" w:sz="4" w:space="0" w:color="auto"/>
              <w:left w:val="single" w:sz="4" w:space="0" w:color="auto"/>
              <w:bottom w:val="single" w:sz="4" w:space="0" w:color="auto"/>
              <w:right w:val="single" w:sz="4" w:space="0" w:color="auto"/>
            </w:tcBorders>
            <w:hideMark/>
          </w:tcPr>
          <w:p w14:paraId="43429EB0" w14:textId="77777777" w:rsidR="008A7BD5" w:rsidRDefault="008A7BD5" w:rsidP="0099398A">
            <w:pPr>
              <w:spacing w:after="0"/>
              <w:jc w:val="center"/>
            </w:pPr>
            <w:r>
              <w:t>9 and 10</w:t>
            </w:r>
          </w:p>
        </w:tc>
      </w:tr>
      <w:tr w:rsidR="008A7BD5" w14:paraId="31DC6780"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28730262" w14:textId="77777777" w:rsidR="008A7BD5" w:rsidRDefault="008A7BD5" w:rsidP="0099398A">
            <w:pPr>
              <w:spacing w:after="0"/>
              <w:jc w:val="center"/>
            </w:pPr>
            <w:r>
              <w:t>5A</w:t>
            </w:r>
          </w:p>
        </w:tc>
        <w:tc>
          <w:tcPr>
            <w:tcW w:w="2055" w:type="dxa"/>
            <w:tcBorders>
              <w:top w:val="single" w:sz="4" w:space="0" w:color="auto"/>
              <w:left w:val="single" w:sz="4" w:space="0" w:color="auto"/>
              <w:bottom w:val="single" w:sz="4" w:space="0" w:color="auto"/>
              <w:right w:val="single" w:sz="4" w:space="0" w:color="auto"/>
            </w:tcBorders>
            <w:hideMark/>
          </w:tcPr>
          <w:p w14:paraId="5F2F3A4C" w14:textId="77777777" w:rsidR="008A7BD5" w:rsidRDefault="008A7BD5" w:rsidP="0099398A">
            <w:pPr>
              <w:spacing w:after="0"/>
              <w:jc w:val="center"/>
            </w:pPr>
            <w:r>
              <w:t>11</w:t>
            </w:r>
          </w:p>
        </w:tc>
      </w:tr>
      <w:tr w:rsidR="008A7BD5" w14:paraId="700631EF"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6F7B76EF" w14:textId="77777777" w:rsidR="008A7BD5" w:rsidRDefault="008A7BD5" w:rsidP="0099398A">
            <w:pPr>
              <w:spacing w:after="0"/>
              <w:jc w:val="center"/>
            </w:pPr>
            <w:r>
              <w:lastRenderedPageBreak/>
              <w:t>6</w:t>
            </w:r>
          </w:p>
        </w:tc>
        <w:tc>
          <w:tcPr>
            <w:tcW w:w="2055" w:type="dxa"/>
            <w:tcBorders>
              <w:top w:val="single" w:sz="4" w:space="0" w:color="auto"/>
              <w:left w:val="single" w:sz="4" w:space="0" w:color="auto"/>
              <w:bottom w:val="single" w:sz="4" w:space="0" w:color="auto"/>
              <w:right w:val="single" w:sz="4" w:space="0" w:color="auto"/>
            </w:tcBorders>
            <w:hideMark/>
          </w:tcPr>
          <w:p w14:paraId="6E8E9C11" w14:textId="77777777" w:rsidR="008A7BD5" w:rsidRDefault="008A7BD5" w:rsidP="0099398A">
            <w:pPr>
              <w:spacing w:after="0"/>
              <w:jc w:val="center"/>
            </w:pPr>
            <w:r>
              <w:t>12</w:t>
            </w:r>
          </w:p>
        </w:tc>
      </w:tr>
      <w:tr w:rsidR="008A7BD5" w14:paraId="38F175D2"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38B67E1C" w14:textId="77777777" w:rsidR="008A7BD5" w:rsidRDefault="008A7BD5" w:rsidP="0099398A">
            <w:pPr>
              <w:spacing w:after="0"/>
              <w:jc w:val="center"/>
            </w:pPr>
            <w:r>
              <w:t>7</w:t>
            </w:r>
          </w:p>
        </w:tc>
        <w:tc>
          <w:tcPr>
            <w:tcW w:w="2055" w:type="dxa"/>
            <w:tcBorders>
              <w:top w:val="single" w:sz="4" w:space="0" w:color="auto"/>
              <w:left w:val="single" w:sz="4" w:space="0" w:color="auto"/>
              <w:bottom w:val="single" w:sz="4" w:space="0" w:color="auto"/>
              <w:right w:val="single" w:sz="4" w:space="0" w:color="auto"/>
            </w:tcBorders>
            <w:hideMark/>
          </w:tcPr>
          <w:p w14:paraId="4C10BB62" w14:textId="77777777" w:rsidR="008A7BD5" w:rsidRDefault="008A7BD5" w:rsidP="0099398A">
            <w:pPr>
              <w:spacing w:after="0"/>
              <w:jc w:val="center"/>
            </w:pPr>
            <w:r>
              <w:t>13</w:t>
            </w:r>
          </w:p>
        </w:tc>
      </w:tr>
      <w:tr w:rsidR="008A7BD5" w14:paraId="36B0E6B6"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2241BD40" w14:textId="77777777" w:rsidR="008A7BD5" w:rsidRDefault="008A7BD5" w:rsidP="0099398A">
            <w:pPr>
              <w:spacing w:after="0"/>
              <w:jc w:val="center"/>
            </w:pPr>
            <w:r>
              <w:t>Schedule 1</w:t>
            </w:r>
          </w:p>
        </w:tc>
        <w:tc>
          <w:tcPr>
            <w:tcW w:w="2055" w:type="dxa"/>
            <w:tcBorders>
              <w:top w:val="single" w:sz="4" w:space="0" w:color="auto"/>
              <w:left w:val="single" w:sz="4" w:space="0" w:color="auto"/>
              <w:bottom w:val="single" w:sz="4" w:space="0" w:color="auto"/>
              <w:right w:val="single" w:sz="4" w:space="0" w:color="auto"/>
            </w:tcBorders>
            <w:hideMark/>
          </w:tcPr>
          <w:p w14:paraId="4F06106C" w14:textId="77777777" w:rsidR="008A7BD5" w:rsidRDefault="008A7BD5" w:rsidP="0099398A">
            <w:pPr>
              <w:spacing w:after="0"/>
              <w:jc w:val="center"/>
            </w:pPr>
            <w:r>
              <w:t>6(5)</w:t>
            </w:r>
          </w:p>
        </w:tc>
      </w:tr>
      <w:tr w:rsidR="008A7BD5" w14:paraId="382255E0" w14:textId="77777777" w:rsidTr="0099398A">
        <w:trPr>
          <w:cantSplit/>
        </w:trPr>
        <w:tc>
          <w:tcPr>
            <w:tcW w:w="1914" w:type="dxa"/>
            <w:tcBorders>
              <w:top w:val="single" w:sz="4" w:space="0" w:color="auto"/>
              <w:left w:val="single" w:sz="4" w:space="0" w:color="auto"/>
              <w:bottom w:val="single" w:sz="4" w:space="0" w:color="auto"/>
              <w:right w:val="single" w:sz="4" w:space="0" w:color="auto"/>
            </w:tcBorders>
            <w:hideMark/>
          </w:tcPr>
          <w:p w14:paraId="3B8FA80A" w14:textId="77777777" w:rsidR="008A7BD5" w:rsidRDefault="008A7BD5" w:rsidP="0099398A">
            <w:pPr>
              <w:spacing w:after="0"/>
              <w:jc w:val="center"/>
            </w:pPr>
            <w:r>
              <w:t>Schedule 2</w:t>
            </w:r>
          </w:p>
        </w:tc>
        <w:tc>
          <w:tcPr>
            <w:tcW w:w="2055" w:type="dxa"/>
            <w:tcBorders>
              <w:top w:val="single" w:sz="4" w:space="0" w:color="auto"/>
              <w:left w:val="single" w:sz="4" w:space="0" w:color="auto"/>
              <w:bottom w:val="single" w:sz="4" w:space="0" w:color="auto"/>
              <w:right w:val="single" w:sz="4" w:space="0" w:color="auto"/>
            </w:tcBorders>
            <w:hideMark/>
          </w:tcPr>
          <w:p w14:paraId="112E4BE5" w14:textId="77777777" w:rsidR="008A7BD5" w:rsidRDefault="008A7BD5" w:rsidP="0099398A">
            <w:pPr>
              <w:spacing w:after="0"/>
              <w:jc w:val="center"/>
            </w:pPr>
            <w:r>
              <w:t>7(5)</w:t>
            </w:r>
          </w:p>
        </w:tc>
      </w:tr>
    </w:tbl>
    <w:p w14:paraId="1845495F" w14:textId="77777777" w:rsidR="008A7BD5" w:rsidRDefault="008A7BD5" w:rsidP="008A7BD5">
      <w:pPr>
        <w:tabs>
          <w:tab w:val="left" w:pos="2835"/>
        </w:tabs>
        <w:spacing w:before="240"/>
        <w:ind w:right="91"/>
      </w:pPr>
    </w:p>
    <w:p w14:paraId="351C7091" w14:textId="77777777" w:rsidR="008A7BD5" w:rsidRPr="008A7BD5" w:rsidRDefault="008A7BD5" w:rsidP="008A7BD5">
      <w:pPr>
        <w:pStyle w:val="base-text-paragraph"/>
      </w:pPr>
    </w:p>
    <w:p w14:paraId="1F174737" w14:textId="77777777" w:rsidR="008A7BD5" w:rsidRPr="008A7BD5" w:rsidRDefault="008A7BD5" w:rsidP="008A7BD5">
      <w:pPr>
        <w:pStyle w:val="base-text-paragraph"/>
        <w:pageBreakBefore/>
        <w:jc w:val="right"/>
        <w:rPr>
          <w:b/>
          <w:u w:val="single"/>
        </w:rPr>
      </w:pPr>
      <w:r>
        <w:rPr>
          <w:b/>
          <w:u w:val="single"/>
        </w:rPr>
        <w:lastRenderedPageBreak/>
        <w:t>Attachment C</w:t>
      </w:r>
    </w:p>
    <w:p w14:paraId="5B13C8F8" w14:textId="77777777" w:rsidR="00E4438C" w:rsidRPr="00462095" w:rsidRDefault="00E4438C" w:rsidP="003E1CE3">
      <w:pPr>
        <w:pStyle w:val="Heading3"/>
      </w:pPr>
      <w:r w:rsidRPr="00462095">
        <w:t>Statement of Compatibility with Human Rights</w:t>
      </w:r>
    </w:p>
    <w:p w14:paraId="2111B095"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EAFF97A" w14:textId="77777777" w:rsidR="00E4438C" w:rsidRPr="00D73300" w:rsidRDefault="00727BB1" w:rsidP="003E1CE3">
      <w:pPr>
        <w:pStyle w:val="Heading3"/>
        <w:jc w:val="center"/>
        <w:rPr>
          <w:i/>
        </w:rPr>
      </w:pPr>
      <w:r w:rsidRPr="00D73300">
        <w:rPr>
          <w:i/>
        </w:rPr>
        <w:t>Petroleum Excise (Prices) Regulations 2018</w:t>
      </w:r>
    </w:p>
    <w:p w14:paraId="0002A3C0"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050BBD8" w14:textId="77777777" w:rsidR="00E4438C" w:rsidRPr="00647BB7" w:rsidRDefault="00E4438C" w:rsidP="003E1CE3">
      <w:pPr>
        <w:pStyle w:val="Heading3"/>
      </w:pPr>
      <w:r w:rsidRPr="00647BB7">
        <w:t>Overview of the Legislative Instrument</w:t>
      </w:r>
    </w:p>
    <w:p w14:paraId="3442FEB3" w14:textId="77777777" w:rsidR="00727BB1" w:rsidRDefault="00727BB1" w:rsidP="00647BB7">
      <w:pPr>
        <w:spacing w:before="240"/>
      </w:pPr>
      <w:r w:rsidRPr="00727BB1">
        <w:t xml:space="preserve">The purpose of the </w:t>
      </w:r>
      <w:r w:rsidRPr="00D73300">
        <w:rPr>
          <w:i/>
        </w:rPr>
        <w:t>Petroleum Excise (Prices) Regulations 2018</w:t>
      </w:r>
      <w:r w:rsidRPr="00727BB1">
        <w:t xml:space="preserve"> (the Regulations) is to remake and improve the operation of the </w:t>
      </w:r>
      <w:r w:rsidRPr="00727BB1">
        <w:rPr>
          <w:i/>
        </w:rPr>
        <w:t>Petroleum Excise (Prices) Regulations 1988</w:t>
      </w:r>
      <w:r w:rsidRPr="00727BB1">
        <w:t xml:space="preserve"> (the prior Regulations).</w:t>
      </w:r>
      <w:r>
        <w:t xml:space="preserve"> </w:t>
      </w:r>
    </w:p>
    <w:p w14:paraId="0931E74E" w14:textId="77777777" w:rsidR="00E4438C" w:rsidRPr="00727BB1" w:rsidRDefault="00727BB1" w:rsidP="00647BB7">
      <w:pPr>
        <w:spacing w:before="240"/>
      </w:pPr>
      <w:r>
        <w:t xml:space="preserve">The prior regulations set out rules determining production areas, reporting requirements and the calculation of transaction prices for the purposes of calculation of excise under the </w:t>
      </w:r>
      <w:r w:rsidRPr="00872617">
        <w:rPr>
          <w:i/>
        </w:rPr>
        <w:t>Petroleum Excise (Prices) Act 1987</w:t>
      </w:r>
      <w:r>
        <w:t xml:space="preserve"> and the </w:t>
      </w:r>
      <w:r w:rsidRPr="00727BB1">
        <w:rPr>
          <w:i/>
        </w:rPr>
        <w:t>Excise Act 1901</w:t>
      </w:r>
      <w:r>
        <w:t xml:space="preserve">. Under the rules set out in section 50 of the </w:t>
      </w:r>
      <w:r w:rsidRPr="00872617">
        <w:rPr>
          <w:i/>
        </w:rPr>
        <w:t>Legislation Act 2003</w:t>
      </w:r>
      <w:r>
        <w:t>, the prior Regulations are due to sunset on 1 April 2018.</w:t>
      </w:r>
    </w:p>
    <w:p w14:paraId="5A834BC7" w14:textId="77777777" w:rsidR="00727BB1" w:rsidRPr="00647BB7" w:rsidRDefault="00727BB1" w:rsidP="00727BB1">
      <w:r>
        <w:rPr>
          <w:color w:val="000000"/>
          <w:shd w:val="clear" w:color="auto" w:fill="FFFFFF"/>
        </w:rPr>
        <w:t xml:space="preserve">The Regulations improve the operation of the prior Regulations by simplifying language and restructuring provisions for ease of navigation but </w:t>
      </w:r>
      <w:r w:rsidR="00457998">
        <w:rPr>
          <w:color w:val="000000"/>
          <w:shd w:val="clear" w:color="auto" w:fill="FFFFFF"/>
        </w:rPr>
        <w:t>do not alter</w:t>
      </w:r>
      <w:r>
        <w:rPr>
          <w:color w:val="000000"/>
          <w:shd w:val="clear" w:color="auto" w:fill="FFFFFF"/>
        </w:rPr>
        <w:t xml:space="preserve"> the substantive meaning or operation of the provisions.</w:t>
      </w:r>
    </w:p>
    <w:p w14:paraId="79FEE878" w14:textId="77777777" w:rsidR="00E4438C" w:rsidRPr="00647BB7" w:rsidRDefault="00E4438C" w:rsidP="003E1CE3">
      <w:pPr>
        <w:pStyle w:val="Heading3"/>
      </w:pPr>
      <w:r w:rsidRPr="00647BB7">
        <w:t>Human rights implications</w:t>
      </w:r>
    </w:p>
    <w:p w14:paraId="43293DA7" w14:textId="77777777" w:rsidR="00E4438C" w:rsidRPr="00647BB7" w:rsidRDefault="00E4438C" w:rsidP="00647BB7">
      <w:pPr>
        <w:spacing w:before="240"/>
      </w:pPr>
      <w:r w:rsidRPr="00647BB7">
        <w:t>This Legislative Instrument does not engage any of the applicable rights or freedoms.</w:t>
      </w:r>
    </w:p>
    <w:p w14:paraId="202F0577" w14:textId="77777777" w:rsidR="00E4438C" w:rsidRPr="00647BB7" w:rsidRDefault="00E4438C" w:rsidP="003E1CE3">
      <w:pPr>
        <w:pStyle w:val="Heading3"/>
      </w:pPr>
      <w:r w:rsidRPr="00647BB7">
        <w:t>Conclusion</w:t>
      </w:r>
    </w:p>
    <w:p w14:paraId="46F158E2" w14:textId="77777777" w:rsidR="00E4438C" w:rsidRPr="00647BB7" w:rsidRDefault="00E4438C" w:rsidP="00647BB7">
      <w:pPr>
        <w:spacing w:before="240"/>
      </w:pPr>
      <w:r w:rsidRPr="00647BB7">
        <w:t>This Legislative Instrument is compatible with human rights as it does not raise any human rights issues.</w:t>
      </w:r>
    </w:p>
    <w:p w14:paraId="33EBA7D9" w14:textId="77777777" w:rsidR="009143A0" w:rsidRDefault="009143A0" w:rsidP="00647BB7">
      <w:pPr>
        <w:spacing w:before="240"/>
      </w:pPr>
    </w:p>
    <w:sectPr w:rsidR="009143A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3031D" w14:textId="77777777" w:rsidR="00E840E8" w:rsidRDefault="00E840E8" w:rsidP="00954679">
      <w:pPr>
        <w:spacing w:before="0" w:after="0"/>
      </w:pPr>
      <w:r>
        <w:separator/>
      </w:r>
    </w:p>
  </w:endnote>
  <w:endnote w:type="continuationSeparator" w:id="0">
    <w:p w14:paraId="4514DED9" w14:textId="77777777" w:rsidR="00E840E8" w:rsidRDefault="00E840E8"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01FD22A"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02E32">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02E32">
              <w:rPr>
                <w:bCs/>
                <w:noProof/>
              </w:rPr>
              <w:t>6</w:t>
            </w:r>
            <w:r w:rsidRPr="00954679">
              <w:rPr>
                <w:bCs/>
                <w:szCs w:val="24"/>
              </w:rPr>
              <w:fldChar w:fldCharType="end"/>
            </w:r>
          </w:p>
        </w:sdtContent>
      </w:sdt>
    </w:sdtContent>
  </w:sdt>
  <w:p w14:paraId="5FCE57F1"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31030" w14:textId="77777777" w:rsidR="00E840E8" w:rsidRDefault="00E840E8" w:rsidP="00954679">
      <w:pPr>
        <w:spacing w:before="0" w:after="0"/>
      </w:pPr>
      <w:r>
        <w:separator/>
      </w:r>
    </w:p>
  </w:footnote>
  <w:footnote w:type="continuationSeparator" w:id="0">
    <w:p w14:paraId="66AD1D7B" w14:textId="77777777" w:rsidR="00E840E8" w:rsidRDefault="00E840E8"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E8"/>
    <w:rsid w:val="00016EA2"/>
    <w:rsid w:val="00095211"/>
    <w:rsid w:val="000A7337"/>
    <w:rsid w:val="000B1C70"/>
    <w:rsid w:val="000C10DF"/>
    <w:rsid w:val="000E1B6A"/>
    <w:rsid w:val="00113B45"/>
    <w:rsid w:val="00132A37"/>
    <w:rsid w:val="00155840"/>
    <w:rsid w:val="001A0D54"/>
    <w:rsid w:val="001B5D91"/>
    <w:rsid w:val="001E224C"/>
    <w:rsid w:val="001E6A74"/>
    <w:rsid w:val="001F41D0"/>
    <w:rsid w:val="00220F16"/>
    <w:rsid w:val="00254C5B"/>
    <w:rsid w:val="002608E7"/>
    <w:rsid w:val="0026598F"/>
    <w:rsid w:val="003342CD"/>
    <w:rsid w:val="00335042"/>
    <w:rsid w:val="00362B70"/>
    <w:rsid w:val="00392BBA"/>
    <w:rsid w:val="003954FD"/>
    <w:rsid w:val="003E1CE3"/>
    <w:rsid w:val="004021E3"/>
    <w:rsid w:val="00457998"/>
    <w:rsid w:val="00462095"/>
    <w:rsid w:val="004B3C0F"/>
    <w:rsid w:val="004C05E4"/>
    <w:rsid w:val="004E37E0"/>
    <w:rsid w:val="004E39E1"/>
    <w:rsid w:val="00503E44"/>
    <w:rsid w:val="00515283"/>
    <w:rsid w:val="00533926"/>
    <w:rsid w:val="00555AD3"/>
    <w:rsid w:val="0055675D"/>
    <w:rsid w:val="00566E8F"/>
    <w:rsid w:val="005833BE"/>
    <w:rsid w:val="005D7D5A"/>
    <w:rsid w:val="005E4BAC"/>
    <w:rsid w:val="0060130D"/>
    <w:rsid w:val="006145D7"/>
    <w:rsid w:val="0064129F"/>
    <w:rsid w:val="00647BB7"/>
    <w:rsid w:val="00680297"/>
    <w:rsid w:val="00682E30"/>
    <w:rsid w:val="00696517"/>
    <w:rsid w:val="006A0786"/>
    <w:rsid w:val="006C6EEB"/>
    <w:rsid w:val="006F0E74"/>
    <w:rsid w:val="00702E32"/>
    <w:rsid w:val="00727BB1"/>
    <w:rsid w:val="00736F61"/>
    <w:rsid w:val="007662C7"/>
    <w:rsid w:val="00776306"/>
    <w:rsid w:val="007B1F10"/>
    <w:rsid w:val="007E018D"/>
    <w:rsid w:val="007F1B71"/>
    <w:rsid w:val="00807E7D"/>
    <w:rsid w:val="008210E8"/>
    <w:rsid w:val="00831675"/>
    <w:rsid w:val="00846FFA"/>
    <w:rsid w:val="0088467C"/>
    <w:rsid w:val="00893BAB"/>
    <w:rsid w:val="00894579"/>
    <w:rsid w:val="008A5B67"/>
    <w:rsid w:val="008A7BD5"/>
    <w:rsid w:val="008D16F7"/>
    <w:rsid w:val="008E1427"/>
    <w:rsid w:val="009143A0"/>
    <w:rsid w:val="00954679"/>
    <w:rsid w:val="009E2F86"/>
    <w:rsid w:val="00A12209"/>
    <w:rsid w:val="00A36DF3"/>
    <w:rsid w:val="00A532DD"/>
    <w:rsid w:val="00A80BCF"/>
    <w:rsid w:val="00A8369C"/>
    <w:rsid w:val="00AA1689"/>
    <w:rsid w:val="00AC1D15"/>
    <w:rsid w:val="00B07B0C"/>
    <w:rsid w:val="00B25563"/>
    <w:rsid w:val="00B26D48"/>
    <w:rsid w:val="00B42EE1"/>
    <w:rsid w:val="00B92478"/>
    <w:rsid w:val="00BD61A2"/>
    <w:rsid w:val="00BE484D"/>
    <w:rsid w:val="00C37E05"/>
    <w:rsid w:val="00C55D29"/>
    <w:rsid w:val="00CA0BE9"/>
    <w:rsid w:val="00CA138D"/>
    <w:rsid w:val="00CC7641"/>
    <w:rsid w:val="00D13794"/>
    <w:rsid w:val="00D20728"/>
    <w:rsid w:val="00D24052"/>
    <w:rsid w:val="00D24386"/>
    <w:rsid w:val="00D31575"/>
    <w:rsid w:val="00D34626"/>
    <w:rsid w:val="00D4257A"/>
    <w:rsid w:val="00D62665"/>
    <w:rsid w:val="00D73300"/>
    <w:rsid w:val="00DC0CDE"/>
    <w:rsid w:val="00DC4D72"/>
    <w:rsid w:val="00E0624D"/>
    <w:rsid w:val="00E4438C"/>
    <w:rsid w:val="00E457F3"/>
    <w:rsid w:val="00E840E8"/>
    <w:rsid w:val="00EB7E71"/>
    <w:rsid w:val="00F109D4"/>
    <w:rsid w:val="00F475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customStyle="1" w:styleId="TableGrid1">
    <w:name w:val="Table Grid1"/>
    <w:basedOn w:val="TableNormal"/>
    <w:uiPriority w:val="59"/>
    <w:rsid w:val="008A7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customStyle="1" w:styleId="TableGrid1">
    <w:name w:val="Table Grid1"/>
    <w:basedOn w:val="TableNormal"/>
    <w:uiPriority w:val="59"/>
    <w:rsid w:val="008A7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2018RG-111-8398</_dlc_DocId>
    <_dlc_DocIdUrl xmlns="9f7bc583-7cbe-45b9-a2bd-8bbb6543b37e">
      <Url>http://tweb/sites/rg/ldp/lmu/_layouts/15/DocIdRedir.aspx?ID=2018RG-111-8398</Url>
      <Description>2018RG-111-8398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9732" ma:contentTypeDescription=" " ma:contentTypeScope="" ma:versionID="b75838ca92c5b7ec59f057863b67d07e">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4"/>
    <ds:schemaRef ds:uri="http://purl.org/dc/elements/1.1/"/>
    <ds:schemaRef ds:uri="9f7bc583-7cbe-45b9-a2bd-8bbb6543b37e"/>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359A7101-6D93-4A05-875D-F794A1623579}">
  <ds:schemaRefs>
    <ds:schemaRef ds:uri="http://schemas.microsoft.com/sharepoint/events"/>
  </ds:schemaRefs>
</ds:datastoreItem>
</file>

<file path=customXml/itemProps5.xml><?xml version="1.0" encoding="utf-8"?>
<ds:datastoreItem xmlns:ds="http://schemas.openxmlformats.org/officeDocument/2006/customXml" ds:itemID="{D923A899-799E-4F10-BB09-AD8B40FA6CB4}"/>
</file>

<file path=customXml/itemProps6.xml><?xml version="1.0" encoding="utf-8"?>
<ds:datastoreItem xmlns:ds="http://schemas.openxmlformats.org/officeDocument/2006/customXml" ds:itemID="{09FB12FE-7ADE-4DEE-BA3D-3EED927C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11</TotalTime>
  <Pages>6</Pages>
  <Words>1553</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Boyd, Patrick</dc:creator>
  <cp:lastModifiedBy>Osborne, Lea</cp:lastModifiedBy>
  <cp:revision>4</cp:revision>
  <cp:lastPrinted>2018-03-02T01:05:00Z</cp:lastPrinted>
  <dcterms:created xsi:type="dcterms:W3CDTF">2018-03-02T00:54:00Z</dcterms:created>
  <dcterms:modified xsi:type="dcterms:W3CDTF">2018-03-02T01:11:00Z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5bb2e840-235a-4216-b3b7-2e2a31fa9833</vt:lpwstr>
  </property>
  <property fmtid="{D5CDD505-2E9C-101B-9397-08002B2CF9AE}" pid="5" name="RecordPoint_WorkflowType">
    <vt:lpwstr>ActiveSubmitStub</vt:lpwstr>
  </property>
  <property fmtid="{D5CDD505-2E9C-101B-9397-08002B2CF9AE}" pid="6" name="RecordPoint_ActiveItemWebId">
    <vt:lpwstr>{2602612e-a30f-4de0-b9eb-e01e73dc8005}</vt:lpwstr>
  </property>
  <property fmtid="{D5CDD505-2E9C-101B-9397-08002B2CF9AE}" pid="7" name="RecordPoint_ActiveItemSiteId">
    <vt:lpwstr>{5b52b9a5-e5b2-4521-8814-a1e24ca2869d}</vt:lpwstr>
  </property>
  <property fmtid="{D5CDD505-2E9C-101B-9397-08002B2CF9AE}" pid="8" name="RecordPoint_ActiveItemListId">
    <vt:lpwstr>{1a010be9-83b3-4740-abb7-452f2d1120fe}</vt:lpwstr>
  </property>
  <property fmtid="{D5CDD505-2E9C-101B-9397-08002B2CF9AE}" pid="9" name="RecordPoint_ActiveItemUniqueId">
    <vt:lpwstr>{5bb2e840-235a-4216-b3b7-2e2a31fa9833}</vt:lpwstr>
  </property>
  <property fmtid="{D5CDD505-2E9C-101B-9397-08002B2CF9AE}" pid="10" name="RecordPoint_RecordNumberSubmitted">
    <vt:lpwstr>R0001608755</vt:lpwstr>
  </property>
  <property fmtid="{D5CDD505-2E9C-101B-9397-08002B2CF9AE}" pid="11" name="RecordPoint_SubmissionCompleted">
    <vt:lpwstr>2018-03-02T13:06:06.1605967+11:00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-2078797266</vt:i4>
  </property>
  <property fmtid="{D5CDD505-2E9C-101B-9397-08002B2CF9AE}" pid="16" name="_NewReviewCycle">
    <vt:lpwstr/>
  </property>
  <property fmtid="{D5CDD505-2E9C-101B-9397-08002B2CF9AE}" pid="17" name="_EmailSubject">
    <vt:lpwstr>Petroleum Excise [DLM=Sensitive]</vt:lpwstr>
  </property>
  <property fmtid="{D5CDD505-2E9C-101B-9397-08002B2CF9AE}" pid="18" name="_AuthorEmail">
    <vt:lpwstr>Patrick.Boyd@TREASURY.GOV.AU</vt:lpwstr>
  </property>
  <property fmtid="{D5CDD505-2E9C-101B-9397-08002B2CF9AE}" pid="19" name="_AuthorEmailDisplayName">
    <vt:lpwstr>Boyd, Patrick</vt:lpwstr>
  </property>
  <property fmtid="{D5CDD505-2E9C-101B-9397-08002B2CF9AE}" pid="20" name="_ReviewingToolsShownOnce">
    <vt:lpwstr/>
  </property>
</Properties>
</file>