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EB4E43" w:rsidRDefault="00DA186E" w:rsidP="00B05CF4">
      <w:pPr>
        <w:rPr>
          <w:sz w:val="28"/>
        </w:rPr>
      </w:pPr>
      <w:bookmarkStart w:id="0" w:name="OPCCaretStart"/>
      <w:bookmarkEnd w:id="0"/>
      <w:r w:rsidRPr="00EB4E43">
        <w:rPr>
          <w:noProof/>
          <w:lang w:eastAsia="en-AU"/>
        </w:rPr>
        <w:drawing>
          <wp:inline distT="0" distB="0" distL="0" distR="0" wp14:anchorId="60F7A163" wp14:editId="16F73E57">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EB4E43" w:rsidRDefault="00715914" w:rsidP="00715914">
      <w:pPr>
        <w:rPr>
          <w:sz w:val="19"/>
        </w:rPr>
      </w:pPr>
    </w:p>
    <w:p w:rsidR="00715914" w:rsidRPr="00EB4E43" w:rsidRDefault="00B80164" w:rsidP="00715914">
      <w:pPr>
        <w:pStyle w:val="ShortT"/>
      </w:pPr>
      <w:r w:rsidRPr="00EB4E43">
        <w:t xml:space="preserve">Petroleum Excise (Prices) </w:t>
      </w:r>
      <w:r w:rsidR="00C778D8" w:rsidRPr="00EB4E43">
        <w:t>Regulations</w:t>
      </w:r>
      <w:r w:rsidR="00EB4E43" w:rsidRPr="00EB4E43">
        <w:t> </w:t>
      </w:r>
      <w:r w:rsidR="00C778D8" w:rsidRPr="00EB4E43">
        <w:t>2018</w:t>
      </w:r>
    </w:p>
    <w:p w:rsidR="00646DC7" w:rsidRPr="00EB4E43" w:rsidRDefault="00646DC7" w:rsidP="007517B8">
      <w:pPr>
        <w:pStyle w:val="SignCoverPageStart"/>
        <w:spacing w:before="240"/>
        <w:rPr>
          <w:szCs w:val="22"/>
        </w:rPr>
      </w:pPr>
      <w:r w:rsidRPr="00EB4E43">
        <w:rPr>
          <w:szCs w:val="22"/>
        </w:rPr>
        <w:t xml:space="preserve">I, General the Honourable Sir Peter Cosgrove AK MC (Ret’d), </w:t>
      </w:r>
      <w:r w:rsidR="00EB4E43" w:rsidRPr="00EB4E43">
        <w:rPr>
          <w:szCs w:val="22"/>
        </w:rPr>
        <w:t>Governor</w:t>
      </w:r>
      <w:r w:rsidR="00EB4E43">
        <w:rPr>
          <w:szCs w:val="22"/>
        </w:rPr>
        <w:noBreakHyphen/>
      </w:r>
      <w:r w:rsidR="00EB4E43" w:rsidRPr="00EB4E43">
        <w:rPr>
          <w:szCs w:val="22"/>
        </w:rPr>
        <w:t>General</w:t>
      </w:r>
      <w:r w:rsidRPr="00EB4E43">
        <w:rPr>
          <w:szCs w:val="22"/>
        </w:rPr>
        <w:t xml:space="preserve"> of the Commonwealth of Australia, acting with the advice of the Federal Executive Council, make the following regulations.</w:t>
      </w:r>
    </w:p>
    <w:p w:rsidR="00646DC7" w:rsidRPr="00EB4E43" w:rsidRDefault="00646DC7" w:rsidP="007517B8">
      <w:pPr>
        <w:keepNext/>
        <w:spacing w:before="720" w:line="240" w:lineRule="atLeast"/>
        <w:ind w:right="397"/>
        <w:jc w:val="both"/>
        <w:rPr>
          <w:szCs w:val="22"/>
        </w:rPr>
      </w:pPr>
      <w:r w:rsidRPr="00EB4E43">
        <w:rPr>
          <w:szCs w:val="22"/>
        </w:rPr>
        <w:t xml:space="preserve">Dated </w:t>
      </w:r>
      <w:r w:rsidRPr="00EB4E43">
        <w:rPr>
          <w:szCs w:val="22"/>
        </w:rPr>
        <w:fldChar w:fldCharType="begin"/>
      </w:r>
      <w:r w:rsidRPr="00EB4E43">
        <w:rPr>
          <w:szCs w:val="22"/>
        </w:rPr>
        <w:instrText xml:space="preserve"> DOCPROPERTY  DateMade </w:instrText>
      </w:r>
      <w:r w:rsidRPr="00EB4E43">
        <w:rPr>
          <w:szCs w:val="22"/>
        </w:rPr>
        <w:fldChar w:fldCharType="separate"/>
      </w:r>
      <w:r w:rsidR="006417EA">
        <w:rPr>
          <w:szCs w:val="22"/>
        </w:rPr>
        <w:t>15 March 2018</w:t>
      </w:r>
      <w:r w:rsidRPr="00EB4E43">
        <w:rPr>
          <w:szCs w:val="22"/>
        </w:rPr>
        <w:fldChar w:fldCharType="end"/>
      </w:r>
    </w:p>
    <w:p w:rsidR="00646DC7" w:rsidRPr="00EB4E43" w:rsidRDefault="00646DC7" w:rsidP="007517B8">
      <w:pPr>
        <w:keepNext/>
        <w:tabs>
          <w:tab w:val="left" w:pos="3402"/>
        </w:tabs>
        <w:spacing w:before="1080" w:line="300" w:lineRule="atLeast"/>
        <w:ind w:left="397" w:right="397"/>
        <w:jc w:val="right"/>
        <w:rPr>
          <w:szCs w:val="22"/>
        </w:rPr>
      </w:pPr>
      <w:r w:rsidRPr="00EB4E43">
        <w:rPr>
          <w:szCs w:val="22"/>
        </w:rPr>
        <w:t>Peter Cosgrove</w:t>
      </w:r>
    </w:p>
    <w:p w:rsidR="00646DC7" w:rsidRPr="00EB4E43" w:rsidRDefault="00EB4E43" w:rsidP="007517B8">
      <w:pPr>
        <w:keepNext/>
        <w:tabs>
          <w:tab w:val="left" w:pos="3402"/>
        </w:tabs>
        <w:spacing w:line="300" w:lineRule="atLeast"/>
        <w:ind w:left="397" w:right="397"/>
        <w:jc w:val="right"/>
        <w:rPr>
          <w:szCs w:val="22"/>
        </w:rPr>
      </w:pPr>
      <w:r w:rsidRPr="00EB4E43">
        <w:rPr>
          <w:szCs w:val="22"/>
        </w:rPr>
        <w:t>Governor</w:t>
      </w:r>
      <w:r>
        <w:rPr>
          <w:szCs w:val="22"/>
        </w:rPr>
        <w:noBreakHyphen/>
      </w:r>
      <w:r w:rsidRPr="00EB4E43">
        <w:rPr>
          <w:szCs w:val="22"/>
        </w:rPr>
        <w:t>General</w:t>
      </w:r>
    </w:p>
    <w:p w:rsidR="00646DC7" w:rsidRPr="00EB4E43" w:rsidRDefault="00646DC7" w:rsidP="007517B8">
      <w:pPr>
        <w:keepNext/>
        <w:tabs>
          <w:tab w:val="left" w:pos="3402"/>
        </w:tabs>
        <w:spacing w:before="840" w:after="1080" w:line="300" w:lineRule="atLeast"/>
        <w:ind w:right="397"/>
        <w:rPr>
          <w:szCs w:val="22"/>
        </w:rPr>
      </w:pPr>
      <w:r w:rsidRPr="00EB4E43">
        <w:rPr>
          <w:szCs w:val="22"/>
        </w:rPr>
        <w:t>By His Excellency’s Command</w:t>
      </w:r>
    </w:p>
    <w:p w:rsidR="00646DC7" w:rsidRPr="00EB4E43" w:rsidRDefault="00646DC7" w:rsidP="007517B8">
      <w:pPr>
        <w:keepNext/>
        <w:tabs>
          <w:tab w:val="left" w:pos="3402"/>
        </w:tabs>
        <w:spacing w:before="480" w:line="300" w:lineRule="atLeast"/>
        <w:ind w:right="397"/>
        <w:rPr>
          <w:szCs w:val="22"/>
        </w:rPr>
      </w:pPr>
      <w:r w:rsidRPr="00EB4E43">
        <w:rPr>
          <w:szCs w:val="22"/>
        </w:rPr>
        <w:t>Kelly O’Dwyer</w:t>
      </w:r>
    </w:p>
    <w:p w:rsidR="00646DC7" w:rsidRPr="00EB4E43" w:rsidRDefault="00646DC7" w:rsidP="007517B8">
      <w:pPr>
        <w:pStyle w:val="SignCoverPageEnd"/>
        <w:rPr>
          <w:szCs w:val="22"/>
        </w:rPr>
      </w:pPr>
      <w:r w:rsidRPr="00EB4E43">
        <w:rPr>
          <w:szCs w:val="22"/>
        </w:rPr>
        <w:t>Minister for Revenue and Financial Services</w:t>
      </w:r>
    </w:p>
    <w:p w:rsidR="00646DC7" w:rsidRPr="00EB4E43" w:rsidRDefault="00646DC7" w:rsidP="007517B8"/>
    <w:p w:rsidR="00646DC7" w:rsidRPr="00EB4E43" w:rsidRDefault="00646DC7" w:rsidP="007517B8"/>
    <w:p w:rsidR="00646DC7" w:rsidRPr="00EB4E43" w:rsidRDefault="00646DC7" w:rsidP="007517B8"/>
    <w:p w:rsidR="00646DC7" w:rsidRPr="00EB4E43" w:rsidRDefault="00646DC7" w:rsidP="00646DC7"/>
    <w:p w:rsidR="00715914" w:rsidRPr="00EB4E43" w:rsidRDefault="00715914" w:rsidP="00715914">
      <w:pPr>
        <w:pStyle w:val="Header"/>
        <w:tabs>
          <w:tab w:val="clear" w:pos="4150"/>
          <w:tab w:val="clear" w:pos="8307"/>
        </w:tabs>
      </w:pPr>
      <w:r w:rsidRPr="00EB4E43">
        <w:rPr>
          <w:rStyle w:val="CharChapNo"/>
        </w:rPr>
        <w:t xml:space="preserve"> </w:t>
      </w:r>
      <w:r w:rsidRPr="00EB4E43">
        <w:rPr>
          <w:rStyle w:val="CharChapText"/>
        </w:rPr>
        <w:t xml:space="preserve"> </w:t>
      </w:r>
    </w:p>
    <w:p w:rsidR="00715914" w:rsidRPr="00EB4E43" w:rsidRDefault="00715914" w:rsidP="00715914">
      <w:pPr>
        <w:pStyle w:val="Header"/>
        <w:tabs>
          <w:tab w:val="clear" w:pos="4150"/>
          <w:tab w:val="clear" w:pos="8307"/>
        </w:tabs>
      </w:pPr>
      <w:r w:rsidRPr="00EB4E43">
        <w:rPr>
          <w:rStyle w:val="CharPartNo"/>
        </w:rPr>
        <w:t xml:space="preserve"> </w:t>
      </w:r>
      <w:r w:rsidRPr="00EB4E43">
        <w:rPr>
          <w:rStyle w:val="CharPartText"/>
        </w:rPr>
        <w:t xml:space="preserve"> </w:t>
      </w:r>
    </w:p>
    <w:p w:rsidR="00715914" w:rsidRPr="00EB4E43" w:rsidRDefault="00715914" w:rsidP="00715914">
      <w:pPr>
        <w:pStyle w:val="Header"/>
        <w:tabs>
          <w:tab w:val="clear" w:pos="4150"/>
          <w:tab w:val="clear" w:pos="8307"/>
        </w:tabs>
      </w:pPr>
      <w:r w:rsidRPr="00EB4E43">
        <w:rPr>
          <w:rStyle w:val="CharDivNo"/>
        </w:rPr>
        <w:t xml:space="preserve"> </w:t>
      </w:r>
      <w:r w:rsidRPr="00EB4E43">
        <w:rPr>
          <w:rStyle w:val="CharDivText"/>
        </w:rPr>
        <w:t xml:space="preserve"> </w:t>
      </w:r>
    </w:p>
    <w:p w:rsidR="00715914" w:rsidRPr="00EB4E43" w:rsidRDefault="00715914" w:rsidP="00715914">
      <w:pPr>
        <w:sectPr w:rsidR="00715914" w:rsidRPr="00EB4E43" w:rsidSect="007B322F">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F67BCA" w:rsidRPr="00EB4E43" w:rsidRDefault="00715914" w:rsidP="006C291A">
      <w:pPr>
        <w:rPr>
          <w:sz w:val="36"/>
        </w:rPr>
      </w:pPr>
      <w:r w:rsidRPr="00EB4E43">
        <w:rPr>
          <w:sz w:val="36"/>
        </w:rPr>
        <w:lastRenderedPageBreak/>
        <w:t>Contents</w:t>
      </w:r>
    </w:p>
    <w:p w:rsidR="00D22AD0" w:rsidRPr="00EB4E43" w:rsidRDefault="00D22AD0">
      <w:pPr>
        <w:pStyle w:val="TOC5"/>
        <w:rPr>
          <w:rFonts w:asciiTheme="minorHAnsi" w:eastAsiaTheme="minorEastAsia" w:hAnsiTheme="minorHAnsi" w:cstheme="minorBidi"/>
          <w:noProof/>
          <w:kern w:val="0"/>
          <w:sz w:val="22"/>
          <w:szCs w:val="22"/>
        </w:rPr>
      </w:pPr>
      <w:r w:rsidRPr="00EB4E43">
        <w:fldChar w:fldCharType="begin"/>
      </w:r>
      <w:r w:rsidRPr="00EB4E43">
        <w:instrText xml:space="preserve"> TOC \o "1-9" </w:instrText>
      </w:r>
      <w:r w:rsidRPr="00EB4E43">
        <w:fldChar w:fldCharType="separate"/>
      </w:r>
      <w:r w:rsidRPr="00EB4E43">
        <w:rPr>
          <w:noProof/>
        </w:rPr>
        <w:t>1</w:t>
      </w:r>
      <w:r w:rsidRPr="00EB4E43">
        <w:rPr>
          <w:noProof/>
        </w:rPr>
        <w:tab/>
        <w:t>Name</w:t>
      </w:r>
      <w:r w:rsidRPr="00EB4E43">
        <w:rPr>
          <w:noProof/>
        </w:rPr>
        <w:tab/>
      </w:r>
      <w:r w:rsidRPr="00EB4E43">
        <w:rPr>
          <w:noProof/>
        </w:rPr>
        <w:fldChar w:fldCharType="begin"/>
      </w:r>
      <w:r w:rsidRPr="00EB4E43">
        <w:rPr>
          <w:noProof/>
        </w:rPr>
        <w:instrText xml:space="preserve"> PAGEREF _Toc507762609 \h </w:instrText>
      </w:r>
      <w:r w:rsidRPr="00EB4E43">
        <w:rPr>
          <w:noProof/>
        </w:rPr>
      </w:r>
      <w:r w:rsidRPr="00EB4E43">
        <w:rPr>
          <w:noProof/>
        </w:rPr>
        <w:fldChar w:fldCharType="separate"/>
      </w:r>
      <w:r w:rsidR="006417EA">
        <w:rPr>
          <w:noProof/>
        </w:rPr>
        <w:t>1</w:t>
      </w:r>
      <w:r w:rsidRPr="00EB4E43">
        <w:rPr>
          <w:noProof/>
        </w:rPr>
        <w:fldChar w:fldCharType="end"/>
      </w:r>
    </w:p>
    <w:p w:rsidR="00D22AD0" w:rsidRPr="00EB4E43" w:rsidRDefault="00D22AD0">
      <w:pPr>
        <w:pStyle w:val="TOC5"/>
        <w:rPr>
          <w:rFonts w:asciiTheme="minorHAnsi" w:eastAsiaTheme="minorEastAsia" w:hAnsiTheme="minorHAnsi" w:cstheme="minorBidi"/>
          <w:noProof/>
          <w:kern w:val="0"/>
          <w:sz w:val="22"/>
          <w:szCs w:val="22"/>
        </w:rPr>
      </w:pPr>
      <w:r w:rsidRPr="00EB4E43">
        <w:rPr>
          <w:noProof/>
        </w:rPr>
        <w:t>2</w:t>
      </w:r>
      <w:r w:rsidRPr="00EB4E43">
        <w:rPr>
          <w:noProof/>
        </w:rPr>
        <w:tab/>
        <w:t>Commencement</w:t>
      </w:r>
      <w:r w:rsidRPr="00EB4E43">
        <w:rPr>
          <w:noProof/>
        </w:rPr>
        <w:tab/>
      </w:r>
      <w:r w:rsidRPr="00EB4E43">
        <w:rPr>
          <w:noProof/>
        </w:rPr>
        <w:fldChar w:fldCharType="begin"/>
      </w:r>
      <w:r w:rsidRPr="00EB4E43">
        <w:rPr>
          <w:noProof/>
        </w:rPr>
        <w:instrText xml:space="preserve"> PAGEREF _Toc507762610 \h </w:instrText>
      </w:r>
      <w:r w:rsidRPr="00EB4E43">
        <w:rPr>
          <w:noProof/>
        </w:rPr>
      </w:r>
      <w:r w:rsidRPr="00EB4E43">
        <w:rPr>
          <w:noProof/>
        </w:rPr>
        <w:fldChar w:fldCharType="separate"/>
      </w:r>
      <w:r w:rsidR="006417EA">
        <w:rPr>
          <w:noProof/>
        </w:rPr>
        <w:t>1</w:t>
      </w:r>
      <w:r w:rsidRPr="00EB4E43">
        <w:rPr>
          <w:noProof/>
        </w:rPr>
        <w:fldChar w:fldCharType="end"/>
      </w:r>
    </w:p>
    <w:p w:rsidR="00D22AD0" w:rsidRPr="00EB4E43" w:rsidRDefault="00D22AD0">
      <w:pPr>
        <w:pStyle w:val="TOC5"/>
        <w:rPr>
          <w:rFonts w:asciiTheme="minorHAnsi" w:eastAsiaTheme="minorEastAsia" w:hAnsiTheme="minorHAnsi" w:cstheme="minorBidi"/>
          <w:noProof/>
          <w:kern w:val="0"/>
          <w:sz w:val="22"/>
          <w:szCs w:val="22"/>
        </w:rPr>
      </w:pPr>
      <w:r w:rsidRPr="00EB4E43">
        <w:rPr>
          <w:noProof/>
        </w:rPr>
        <w:t>3</w:t>
      </w:r>
      <w:r w:rsidRPr="00EB4E43">
        <w:rPr>
          <w:noProof/>
        </w:rPr>
        <w:tab/>
        <w:t>Authority</w:t>
      </w:r>
      <w:r w:rsidRPr="00EB4E43">
        <w:rPr>
          <w:noProof/>
        </w:rPr>
        <w:tab/>
      </w:r>
      <w:r w:rsidRPr="00EB4E43">
        <w:rPr>
          <w:noProof/>
        </w:rPr>
        <w:fldChar w:fldCharType="begin"/>
      </w:r>
      <w:r w:rsidRPr="00EB4E43">
        <w:rPr>
          <w:noProof/>
        </w:rPr>
        <w:instrText xml:space="preserve"> PAGEREF _Toc507762611 \h </w:instrText>
      </w:r>
      <w:r w:rsidRPr="00EB4E43">
        <w:rPr>
          <w:noProof/>
        </w:rPr>
      </w:r>
      <w:r w:rsidRPr="00EB4E43">
        <w:rPr>
          <w:noProof/>
        </w:rPr>
        <w:fldChar w:fldCharType="separate"/>
      </w:r>
      <w:r w:rsidR="006417EA">
        <w:rPr>
          <w:noProof/>
        </w:rPr>
        <w:t>1</w:t>
      </w:r>
      <w:r w:rsidRPr="00EB4E43">
        <w:rPr>
          <w:noProof/>
        </w:rPr>
        <w:fldChar w:fldCharType="end"/>
      </w:r>
    </w:p>
    <w:p w:rsidR="00D22AD0" w:rsidRPr="00EB4E43" w:rsidRDefault="00D22AD0">
      <w:pPr>
        <w:pStyle w:val="TOC5"/>
        <w:rPr>
          <w:rFonts w:asciiTheme="minorHAnsi" w:eastAsiaTheme="minorEastAsia" w:hAnsiTheme="minorHAnsi" w:cstheme="minorBidi"/>
          <w:noProof/>
          <w:kern w:val="0"/>
          <w:sz w:val="22"/>
          <w:szCs w:val="22"/>
        </w:rPr>
      </w:pPr>
      <w:r w:rsidRPr="00EB4E43">
        <w:rPr>
          <w:noProof/>
        </w:rPr>
        <w:t>4</w:t>
      </w:r>
      <w:r w:rsidRPr="00EB4E43">
        <w:rPr>
          <w:noProof/>
        </w:rPr>
        <w:tab/>
        <w:t>Schedules</w:t>
      </w:r>
      <w:r w:rsidRPr="00EB4E43">
        <w:rPr>
          <w:noProof/>
        </w:rPr>
        <w:tab/>
      </w:r>
      <w:r w:rsidRPr="00EB4E43">
        <w:rPr>
          <w:noProof/>
        </w:rPr>
        <w:fldChar w:fldCharType="begin"/>
      </w:r>
      <w:r w:rsidRPr="00EB4E43">
        <w:rPr>
          <w:noProof/>
        </w:rPr>
        <w:instrText xml:space="preserve"> PAGEREF _Toc507762612 \h </w:instrText>
      </w:r>
      <w:r w:rsidRPr="00EB4E43">
        <w:rPr>
          <w:noProof/>
        </w:rPr>
      </w:r>
      <w:r w:rsidRPr="00EB4E43">
        <w:rPr>
          <w:noProof/>
        </w:rPr>
        <w:fldChar w:fldCharType="separate"/>
      </w:r>
      <w:r w:rsidR="006417EA">
        <w:rPr>
          <w:noProof/>
        </w:rPr>
        <w:t>1</w:t>
      </w:r>
      <w:r w:rsidRPr="00EB4E43">
        <w:rPr>
          <w:noProof/>
        </w:rPr>
        <w:fldChar w:fldCharType="end"/>
      </w:r>
    </w:p>
    <w:p w:rsidR="00D22AD0" w:rsidRPr="00EB4E43" w:rsidRDefault="00D22AD0">
      <w:pPr>
        <w:pStyle w:val="TOC5"/>
        <w:rPr>
          <w:rFonts w:asciiTheme="minorHAnsi" w:eastAsiaTheme="minorEastAsia" w:hAnsiTheme="minorHAnsi" w:cstheme="minorBidi"/>
          <w:noProof/>
          <w:kern w:val="0"/>
          <w:sz w:val="22"/>
          <w:szCs w:val="22"/>
        </w:rPr>
      </w:pPr>
      <w:r w:rsidRPr="00EB4E43">
        <w:rPr>
          <w:noProof/>
        </w:rPr>
        <w:t>5</w:t>
      </w:r>
      <w:r w:rsidRPr="00EB4E43">
        <w:rPr>
          <w:noProof/>
        </w:rPr>
        <w:tab/>
        <w:t>Definitions</w:t>
      </w:r>
      <w:r w:rsidRPr="00EB4E43">
        <w:rPr>
          <w:noProof/>
        </w:rPr>
        <w:tab/>
      </w:r>
      <w:r w:rsidRPr="00EB4E43">
        <w:rPr>
          <w:noProof/>
        </w:rPr>
        <w:fldChar w:fldCharType="begin"/>
      </w:r>
      <w:r w:rsidRPr="00EB4E43">
        <w:rPr>
          <w:noProof/>
        </w:rPr>
        <w:instrText xml:space="preserve"> PAGEREF _Toc507762613 \h </w:instrText>
      </w:r>
      <w:r w:rsidRPr="00EB4E43">
        <w:rPr>
          <w:noProof/>
        </w:rPr>
      </w:r>
      <w:r w:rsidRPr="00EB4E43">
        <w:rPr>
          <w:noProof/>
        </w:rPr>
        <w:fldChar w:fldCharType="separate"/>
      </w:r>
      <w:r w:rsidR="006417EA">
        <w:rPr>
          <w:noProof/>
        </w:rPr>
        <w:t>1</w:t>
      </w:r>
      <w:r w:rsidRPr="00EB4E43">
        <w:rPr>
          <w:noProof/>
        </w:rPr>
        <w:fldChar w:fldCharType="end"/>
      </w:r>
    </w:p>
    <w:p w:rsidR="00D22AD0" w:rsidRPr="00EB4E43" w:rsidRDefault="00D22AD0">
      <w:pPr>
        <w:pStyle w:val="TOC5"/>
        <w:rPr>
          <w:rFonts w:asciiTheme="minorHAnsi" w:eastAsiaTheme="minorEastAsia" w:hAnsiTheme="minorHAnsi" w:cstheme="minorBidi"/>
          <w:noProof/>
          <w:kern w:val="0"/>
          <w:sz w:val="22"/>
          <w:szCs w:val="22"/>
        </w:rPr>
      </w:pPr>
      <w:r w:rsidRPr="00EB4E43">
        <w:rPr>
          <w:noProof/>
        </w:rPr>
        <w:t>6</w:t>
      </w:r>
      <w:r w:rsidRPr="00EB4E43">
        <w:rPr>
          <w:noProof/>
        </w:rPr>
        <w:tab/>
        <w:t>Oil producing regions, production areas and VOLWARE commencement dates—stabilised crude petroleum oil</w:t>
      </w:r>
      <w:r w:rsidRPr="00EB4E43">
        <w:rPr>
          <w:noProof/>
        </w:rPr>
        <w:tab/>
      </w:r>
      <w:r w:rsidRPr="00EB4E43">
        <w:rPr>
          <w:noProof/>
        </w:rPr>
        <w:fldChar w:fldCharType="begin"/>
      </w:r>
      <w:r w:rsidRPr="00EB4E43">
        <w:rPr>
          <w:noProof/>
        </w:rPr>
        <w:instrText xml:space="preserve"> PAGEREF _Toc507762614 \h </w:instrText>
      </w:r>
      <w:r w:rsidRPr="00EB4E43">
        <w:rPr>
          <w:noProof/>
        </w:rPr>
      </w:r>
      <w:r w:rsidRPr="00EB4E43">
        <w:rPr>
          <w:noProof/>
        </w:rPr>
        <w:fldChar w:fldCharType="separate"/>
      </w:r>
      <w:r w:rsidR="006417EA">
        <w:rPr>
          <w:noProof/>
        </w:rPr>
        <w:t>3</w:t>
      </w:r>
      <w:r w:rsidRPr="00EB4E43">
        <w:rPr>
          <w:noProof/>
        </w:rPr>
        <w:fldChar w:fldCharType="end"/>
      </w:r>
    </w:p>
    <w:p w:rsidR="00D22AD0" w:rsidRPr="00EB4E43" w:rsidRDefault="00D22AD0">
      <w:pPr>
        <w:pStyle w:val="TOC5"/>
        <w:rPr>
          <w:rFonts w:asciiTheme="minorHAnsi" w:eastAsiaTheme="minorEastAsia" w:hAnsiTheme="minorHAnsi" w:cstheme="minorBidi"/>
          <w:noProof/>
          <w:kern w:val="0"/>
          <w:sz w:val="22"/>
          <w:szCs w:val="22"/>
        </w:rPr>
      </w:pPr>
      <w:r w:rsidRPr="00EB4E43">
        <w:rPr>
          <w:noProof/>
        </w:rPr>
        <w:t>7</w:t>
      </w:r>
      <w:r w:rsidRPr="00EB4E43">
        <w:rPr>
          <w:noProof/>
        </w:rPr>
        <w:tab/>
        <w:t>Oil producing regions, production areas and VOLWARE commencement dates—condensate</w:t>
      </w:r>
      <w:r w:rsidRPr="00EB4E43">
        <w:rPr>
          <w:noProof/>
        </w:rPr>
        <w:tab/>
      </w:r>
      <w:r w:rsidRPr="00EB4E43">
        <w:rPr>
          <w:noProof/>
        </w:rPr>
        <w:fldChar w:fldCharType="begin"/>
      </w:r>
      <w:r w:rsidRPr="00EB4E43">
        <w:rPr>
          <w:noProof/>
        </w:rPr>
        <w:instrText xml:space="preserve"> PAGEREF _Toc507762615 \h </w:instrText>
      </w:r>
      <w:r w:rsidRPr="00EB4E43">
        <w:rPr>
          <w:noProof/>
        </w:rPr>
      </w:r>
      <w:r w:rsidRPr="00EB4E43">
        <w:rPr>
          <w:noProof/>
        </w:rPr>
        <w:fldChar w:fldCharType="separate"/>
      </w:r>
      <w:r w:rsidR="006417EA">
        <w:rPr>
          <w:noProof/>
        </w:rPr>
        <w:t>4</w:t>
      </w:r>
      <w:r w:rsidRPr="00EB4E43">
        <w:rPr>
          <w:noProof/>
        </w:rPr>
        <w:fldChar w:fldCharType="end"/>
      </w:r>
    </w:p>
    <w:p w:rsidR="00D22AD0" w:rsidRPr="00EB4E43" w:rsidRDefault="00D22AD0">
      <w:pPr>
        <w:pStyle w:val="TOC5"/>
        <w:rPr>
          <w:rFonts w:asciiTheme="minorHAnsi" w:eastAsiaTheme="minorEastAsia" w:hAnsiTheme="minorHAnsi" w:cstheme="minorBidi"/>
          <w:noProof/>
          <w:kern w:val="0"/>
          <w:sz w:val="22"/>
          <w:szCs w:val="22"/>
        </w:rPr>
      </w:pPr>
      <w:r w:rsidRPr="00EB4E43">
        <w:rPr>
          <w:noProof/>
        </w:rPr>
        <w:t>8</w:t>
      </w:r>
      <w:r w:rsidRPr="00EB4E43">
        <w:rPr>
          <w:noProof/>
        </w:rPr>
        <w:tab/>
        <w:t>Transactions entered into—prescribed information for giving to the Minister</w:t>
      </w:r>
      <w:r w:rsidRPr="00EB4E43">
        <w:rPr>
          <w:noProof/>
        </w:rPr>
        <w:tab/>
      </w:r>
      <w:r w:rsidRPr="00EB4E43">
        <w:rPr>
          <w:noProof/>
        </w:rPr>
        <w:fldChar w:fldCharType="begin"/>
      </w:r>
      <w:r w:rsidRPr="00EB4E43">
        <w:rPr>
          <w:noProof/>
        </w:rPr>
        <w:instrText xml:space="preserve"> PAGEREF _Toc507762616 \h </w:instrText>
      </w:r>
      <w:r w:rsidRPr="00EB4E43">
        <w:rPr>
          <w:noProof/>
        </w:rPr>
      </w:r>
      <w:r w:rsidRPr="00EB4E43">
        <w:rPr>
          <w:noProof/>
        </w:rPr>
        <w:fldChar w:fldCharType="separate"/>
      </w:r>
      <w:r w:rsidR="006417EA">
        <w:rPr>
          <w:noProof/>
        </w:rPr>
        <w:t>5</w:t>
      </w:r>
      <w:r w:rsidRPr="00EB4E43">
        <w:rPr>
          <w:noProof/>
        </w:rPr>
        <w:fldChar w:fldCharType="end"/>
      </w:r>
    </w:p>
    <w:p w:rsidR="00D22AD0" w:rsidRPr="00EB4E43" w:rsidRDefault="00D22AD0">
      <w:pPr>
        <w:pStyle w:val="TOC5"/>
        <w:rPr>
          <w:rFonts w:asciiTheme="minorHAnsi" w:eastAsiaTheme="minorEastAsia" w:hAnsiTheme="minorHAnsi" w:cstheme="minorBidi"/>
          <w:noProof/>
          <w:kern w:val="0"/>
          <w:sz w:val="22"/>
          <w:szCs w:val="22"/>
        </w:rPr>
      </w:pPr>
      <w:r w:rsidRPr="00EB4E43">
        <w:rPr>
          <w:noProof/>
        </w:rPr>
        <w:t>9</w:t>
      </w:r>
      <w:r w:rsidRPr="00EB4E43">
        <w:rPr>
          <w:noProof/>
        </w:rPr>
        <w:tab/>
        <w:t>Transaction prices—manner of calculating</w:t>
      </w:r>
      <w:r w:rsidRPr="00EB4E43">
        <w:rPr>
          <w:noProof/>
        </w:rPr>
        <w:tab/>
      </w:r>
      <w:r w:rsidRPr="00EB4E43">
        <w:rPr>
          <w:noProof/>
        </w:rPr>
        <w:fldChar w:fldCharType="begin"/>
      </w:r>
      <w:r w:rsidRPr="00EB4E43">
        <w:rPr>
          <w:noProof/>
        </w:rPr>
        <w:instrText xml:space="preserve"> PAGEREF _Toc507762617 \h </w:instrText>
      </w:r>
      <w:r w:rsidRPr="00EB4E43">
        <w:rPr>
          <w:noProof/>
        </w:rPr>
      </w:r>
      <w:r w:rsidRPr="00EB4E43">
        <w:rPr>
          <w:noProof/>
        </w:rPr>
        <w:fldChar w:fldCharType="separate"/>
      </w:r>
      <w:r w:rsidR="006417EA">
        <w:rPr>
          <w:noProof/>
        </w:rPr>
        <w:t>8</w:t>
      </w:r>
      <w:r w:rsidRPr="00EB4E43">
        <w:rPr>
          <w:noProof/>
        </w:rPr>
        <w:fldChar w:fldCharType="end"/>
      </w:r>
    </w:p>
    <w:p w:rsidR="00D22AD0" w:rsidRPr="00EB4E43" w:rsidRDefault="00D22AD0">
      <w:pPr>
        <w:pStyle w:val="TOC5"/>
        <w:rPr>
          <w:rFonts w:asciiTheme="minorHAnsi" w:eastAsiaTheme="minorEastAsia" w:hAnsiTheme="minorHAnsi" w:cstheme="minorBidi"/>
          <w:noProof/>
          <w:kern w:val="0"/>
          <w:sz w:val="22"/>
          <w:szCs w:val="22"/>
        </w:rPr>
      </w:pPr>
      <w:r w:rsidRPr="00EB4E43">
        <w:rPr>
          <w:noProof/>
        </w:rPr>
        <w:t>10</w:t>
      </w:r>
      <w:r w:rsidRPr="00EB4E43">
        <w:rPr>
          <w:noProof/>
        </w:rPr>
        <w:tab/>
        <w:t>Transaction prices—relevant delivery price</w:t>
      </w:r>
      <w:r w:rsidRPr="00EB4E43">
        <w:rPr>
          <w:noProof/>
        </w:rPr>
        <w:tab/>
      </w:r>
      <w:r w:rsidRPr="00EB4E43">
        <w:rPr>
          <w:noProof/>
        </w:rPr>
        <w:fldChar w:fldCharType="begin"/>
      </w:r>
      <w:r w:rsidRPr="00EB4E43">
        <w:rPr>
          <w:noProof/>
        </w:rPr>
        <w:instrText xml:space="preserve"> PAGEREF _Toc507762618 \h </w:instrText>
      </w:r>
      <w:r w:rsidRPr="00EB4E43">
        <w:rPr>
          <w:noProof/>
        </w:rPr>
      </w:r>
      <w:r w:rsidRPr="00EB4E43">
        <w:rPr>
          <w:noProof/>
        </w:rPr>
        <w:fldChar w:fldCharType="separate"/>
      </w:r>
      <w:r w:rsidR="006417EA">
        <w:rPr>
          <w:noProof/>
        </w:rPr>
        <w:t>9</w:t>
      </w:r>
      <w:r w:rsidRPr="00EB4E43">
        <w:rPr>
          <w:noProof/>
        </w:rPr>
        <w:fldChar w:fldCharType="end"/>
      </w:r>
    </w:p>
    <w:p w:rsidR="00D22AD0" w:rsidRPr="00EB4E43" w:rsidRDefault="00D22AD0">
      <w:pPr>
        <w:pStyle w:val="TOC5"/>
        <w:rPr>
          <w:rFonts w:asciiTheme="minorHAnsi" w:eastAsiaTheme="minorEastAsia" w:hAnsiTheme="minorHAnsi" w:cstheme="minorBidi"/>
          <w:noProof/>
          <w:kern w:val="0"/>
          <w:sz w:val="22"/>
          <w:szCs w:val="22"/>
        </w:rPr>
      </w:pPr>
      <w:r w:rsidRPr="00EB4E43">
        <w:rPr>
          <w:noProof/>
        </w:rPr>
        <w:t>11</w:t>
      </w:r>
      <w:r w:rsidRPr="00EB4E43">
        <w:rPr>
          <w:noProof/>
        </w:rPr>
        <w:tab/>
        <w:t>Transaction prices—condensate</w:t>
      </w:r>
      <w:r w:rsidRPr="00EB4E43">
        <w:rPr>
          <w:noProof/>
        </w:rPr>
        <w:tab/>
      </w:r>
      <w:r w:rsidRPr="00EB4E43">
        <w:rPr>
          <w:noProof/>
        </w:rPr>
        <w:fldChar w:fldCharType="begin"/>
      </w:r>
      <w:r w:rsidRPr="00EB4E43">
        <w:rPr>
          <w:noProof/>
        </w:rPr>
        <w:instrText xml:space="preserve"> PAGEREF _Toc507762619 \h </w:instrText>
      </w:r>
      <w:r w:rsidRPr="00EB4E43">
        <w:rPr>
          <w:noProof/>
        </w:rPr>
      </w:r>
      <w:r w:rsidRPr="00EB4E43">
        <w:rPr>
          <w:noProof/>
        </w:rPr>
        <w:fldChar w:fldCharType="separate"/>
      </w:r>
      <w:r w:rsidR="006417EA">
        <w:rPr>
          <w:noProof/>
        </w:rPr>
        <w:t>11</w:t>
      </w:r>
      <w:r w:rsidRPr="00EB4E43">
        <w:rPr>
          <w:noProof/>
        </w:rPr>
        <w:fldChar w:fldCharType="end"/>
      </w:r>
    </w:p>
    <w:p w:rsidR="00D22AD0" w:rsidRPr="00EB4E43" w:rsidRDefault="00D22AD0">
      <w:pPr>
        <w:pStyle w:val="TOC5"/>
        <w:rPr>
          <w:rFonts w:asciiTheme="minorHAnsi" w:eastAsiaTheme="minorEastAsia" w:hAnsiTheme="minorHAnsi" w:cstheme="minorBidi"/>
          <w:noProof/>
          <w:kern w:val="0"/>
          <w:sz w:val="22"/>
          <w:szCs w:val="22"/>
        </w:rPr>
      </w:pPr>
      <w:r w:rsidRPr="00EB4E43">
        <w:rPr>
          <w:noProof/>
        </w:rPr>
        <w:t>12</w:t>
      </w:r>
      <w:r w:rsidRPr="00EB4E43">
        <w:rPr>
          <w:noProof/>
        </w:rPr>
        <w:tab/>
        <w:t>Transport costs</w:t>
      </w:r>
      <w:r w:rsidRPr="00EB4E43">
        <w:rPr>
          <w:noProof/>
        </w:rPr>
        <w:tab/>
      </w:r>
      <w:r w:rsidRPr="00EB4E43">
        <w:rPr>
          <w:noProof/>
        </w:rPr>
        <w:fldChar w:fldCharType="begin"/>
      </w:r>
      <w:r w:rsidRPr="00EB4E43">
        <w:rPr>
          <w:noProof/>
        </w:rPr>
        <w:instrText xml:space="preserve"> PAGEREF _Toc507762620 \h </w:instrText>
      </w:r>
      <w:r w:rsidRPr="00EB4E43">
        <w:rPr>
          <w:noProof/>
        </w:rPr>
      </w:r>
      <w:r w:rsidRPr="00EB4E43">
        <w:rPr>
          <w:noProof/>
        </w:rPr>
        <w:fldChar w:fldCharType="separate"/>
      </w:r>
      <w:r w:rsidR="006417EA">
        <w:rPr>
          <w:noProof/>
        </w:rPr>
        <w:t>11</w:t>
      </w:r>
      <w:r w:rsidRPr="00EB4E43">
        <w:rPr>
          <w:noProof/>
        </w:rPr>
        <w:fldChar w:fldCharType="end"/>
      </w:r>
    </w:p>
    <w:p w:rsidR="00D22AD0" w:rsidRPr="00EB4E43" w:rsidRDefault="00D22AD0">
      <w:pPr>
        <w:pStyle w:val="TOC5"/>
        <w:rPr>
          <w:rFonts w:asciiTheme="minorHAnsi" w:eastAsiaTheme="minorEastAsia" w:hAnsiTheme="minorHAnsi" w:cstheme="minorBidi"/>
          <w:noProof/>
          <w:kern w:val="0"/>
          <w:sz w:val="22"/>
          <w:szCs w:val="22"/>
        </w:rPr>
      </w:pPr>
      <w:r w:rsidRPr="00EB4E43">
        <w:rPr>
          <w:noProof/>
        </w:rPr>
        <w:t>13</w:t>
      </w:r>
      <w:r w:rsidRPr="00EB4E43">
        <w:rPr>
          <w:noProof/>
        </w:rPr>
        <w:tab/>
        <w:t>Conversion into Australian dollars of amounts expressed in foreign currency</w:t>
      </w:r>
      <w:r w:rsidRPr="00EB4E43">
        <w:rPr>
          <w:noProof/>
        </w:rPr>
        <w:tab/>
      </w:r>
      <w:r w:rsidRPr="00EB4E43">
        <w:rPr>
          <w:noProof/>
        </w:rPr>
        <w:fldChar w:fldCharType="begin"/>
      </w:r>
      <w:r w:rsidRPr="00EB4E43">
        <w:rPr>
          <w:noProof/>
        </w:rPr>
        <w:instrText xml:space="preserve"> PAGEREF _Toc507762621 \h </w:instrText>
      </w:r>
      <w:r w:rsidRPr="00EB4E43">
        <w:rPr>
          <w:noProof/>
        </w:rPr>
      </w:r>
      <w:r w:rsidRPr="00EB4E43">
        <w:rPr>
          <w:noProof/>
        </w:rPr>
        <w:fldChar w:fldCharType="separate"/>
      </w:r>
      <w:r w:rsidR="006417EA">
        <w:rPr>
          <w:noProof/>
        </w:rPr>
        <w:t>12</w:t>
      </w:r>
      <w:r w:rsidRPr="00EB4E43">
        <w:rPr>
          <w:noProof/>
        </w:rPr>
        <w:fldChar w:fldCharType="end"/>
      </w:r>
    </w:p>
    <w:p w:rsidR="00D22AD0" w:rsidRPr="00EB4E43" w:rsidRDefault="00D22AD0">
      <w:pPr>
        <w:pStyle w:val="TOC5"/>
        <w:rPr>
          <w:rFonts w:asciiTheme="minorHAnsi" w:eastAsiaTheme="minorEastAsia" w:hAnsiTheme="minorHAnsi" w:cstheme="minorBidi"/>
          <w:noProof/>
          <w:kern w:val="0"/>
          <w:sz w:val="22"/>
          <w:szCs w:val="22"/>
        </w:rPr>
      </w:pPr>
      <w:r w:rsidRPr="00EB4E43">
        <w:rPr>
          <w:noProof/>
        </w:rPr>
        <w:t>14</w:t>
      </w:r>
      <w:r w:rsidRPr="00EB4E43">
        <w:rPr>
          <w:noProof/>
        </w:rPr>
        <w:tab/>
        <w:t xml:space="preserve">Things done under the </w:t>
      </w:r>
      <w:r w:rsidRPr="00EB4E43">
        <w:rPr>
          <w:i/>
          <w:noProof/>
        </w:rPr>
        <w:t>Petroleum Excise (Prices) Regulations</w:t>
      </w:r>
      <w:r w:rsidR="00EB4E43" w:rsidRPr="00EB4E43">
        <w:rPr>
          <w:i/>
          <w:noProof/>
        </w:rPr>
        <w:t> </w:t>
      </w:r>
      <w:r w:rsidRPr="00EB4E43">
        <w:rPr>
          <w:i/>
          <w:noProof/>
        </w:rPr>
        <w:t>1988</w:t>
      </w:r>
      <w:r w:rsidRPr="00EB4E43">
        <w:rPr>
          <w:noProof/>
        </w:rPr>
        <w:tab/>
      </w:r>
      <w:r w:rsidRPr="00EB4E43">
        <w:rPr>
          <w:noProof/>
        </w:rPr>
        <w:fldChar w:fldCharType="begin"/>
      </w:r>
      <w:r w:rsidRPr="00EB4E43">
        <w:rPr>
          <w:noProof/>
        </w:rPr>
        <w:instrText xml:space="preserve"> PAGEREF _Toc507762622 \h </w:instrText>
      </w:r>
      <w:r w:rsidRPr="00EB4E43">
        <w:rPr>
          <w:noProof/>
        </w:rPr>
      </w:r>
      <w:r w:rsidRPr="00EB4E43">
        <w:rPr>
          <w:noProof/>
        </w:rPr>
        <w:fldChar w:fldCharType="separate"/>
      </w:r>
      <w:r w:rsidR="006417EA">
        <w:rPr>
          <w:noProof/>
        </w:rPr>
        <w:t>12</w:t>
      </w:r>
      <w:r w:rsidRPr="00EB4E43">
        <w:rPr>
          <w:noProof/>
        </w:rPr>
        <w:fldChar w:fldCharType="end"/>
      </w:r>
    </w:p>
    <w:p w:rsidR="00D22AD0" w:rsidRPr="00EB4E43" w:rsidRDefault="00D22AD0">
      <w:pPr>
        <w:pStyle w:val="TOC6"/>
        <w:rPr>
          <w:rFonts w:asciiTheme="minorHAnsi" w:eastAsiaTheme="minorEastAsia" w:hAnsiTheme="minorHAnsi" w:cstheme="minorBidi"/>
          <w:b w:val="0"/>
          <w:noProof/>
          <w:kern w:val="0"/>
          <w:sz w:val="22"/>
          <w:szCs w:val="22"/>
        </w:rPr>
      </w:pPr>
      <w:r w:rsidRPr="00EB4E43">
        <w:rPr>
          <w:noProof/>
        </w:rPr>
        <w:t>Schedule</w:t>
      </w:r>
      <w:r w:rsidR="00EB4E43" w:rsidRPr="00EB4E43">
        <w:rPr>
          <w:noProof/>
        </w:rPr>
        <w:t> </w:t>
      </w:r>
      <w:r w:rsidRPr="00EB4E43">
        <w:rPr>
          <w:noProof/>
        </w:rPr>
        <w:t>1—Repeals</w:t>
      </w:r>
      <w:r w:rsidRPr="00EB4E43">
        <w:rPr>
          <w:b w:val="0"/>
          <w:noProof/>
          <w:sz w:val="18"/>
        </w:rPr>
        <w:tab/>
      </w:r>
      <w:r w:rsidRPr="00EB4E43">
        <w:rPr>
          <w:b w:val="0"/>
          <w:noProof/>
          <w:sz w:val="18"/>
        </w:rPr>
        <w:fldChar w:fldCharType="begin"/>
      </w:r>
      <w:r w:rsidRPr="00EB4E43">
        <w:rPr>
          <w:b w:val="0"/>
          <w:noProof/>
          <w:sz w:val="18"/>
        </w:rPr>
        <w:instrText xml:space="preserve"> PAGEREF _Toc507762623 \h </w:instrText>
      </w:r>
      <w:r w:rsidRPr="00EB4E43">
        <w:rPr>
          <w:b w:val="0"/>
          <w:noProof/>
          <w:sz w:val="18"/>
        </w:rPr>
      </w:r>
      <w:r w:rsidRPr="00EB4E43">
        <w:rPr>
          <w:b w:val="0"/>
          <w:noProof/>
          <w:sz w:val="18"/>
        </w:rPr>
        <w:fldChar w:fldCharType="separate"/>
      </w:r>
      <w:r w:rsidR="006417EA">
        <w:rPr>
          <w:b w:val="0"/>
          <w:noProof/>
          <w:sz w:val="18"/>
        </w:rPr>
        <w:t>13</w:t>
      </w:r>
      <w:r w:rsidRPr="00EB4E43">
        <w:rPr>
          <w:b w:val="0"/>
          <w:noProof/>
          <w:sz w:val="18"/>
        </w:rPr>
        <w:fldChar w:fldCharType="end"/>
      </w:r>
    </w:p>
    <w:p w:rsidR="00D22AD0" w:rsidRPr="00EB4E43" w:rsidRDefault="00D22AD0">
      <w:pPr>
        <w:pStyle w:val="TOC9"/>
        <w:rPr>
          <w:rFonts w:asciiTheme="minorHAnsi" w:eastAsiaTheme="minorEastAsia" w:hAnsiTheme="minorHAnsi" w:cstheme="minorBidi"/>
          <w:i w:val="0"/>
          <w:noProof/>
          <w:kern w:val="0"/>
          <w:sz w:val="22"/>
          <w:szCs w:val="22"/>
        </w:rPr>
      </w:pPr>
      <w:r w:rsidRPr="00EB4E43">
        <w:rPr>
          <w:noProof/>
        </w:rPr>
        <w:t>Petroleum Excise (Prices) Regulations</w:t>
      </w:r>
      <w:r w:rsidR="00EB4E43" w:rsidRPr="00EB4E43">
        <w:rPr>
          <w:noProof/>
        </w:rPr>
        <w:t> </w:t>
      </w:r>
      <w:r w:rsidRPr="00EB4E43">
        <w:rPr>
          <w:noProof/>
        </w:rPr>
        <w:t>1988</w:t>
      </w:r>
      <w:r w:rsidRPr="00EB4E43">
        <w:rPr>
          <w:i w:val="0"/>
          <w:noProof/>
          <w:sz w:val="18"/>
        </w:rPr>
        <w:tab/>
      </w:r>
      <w:r w:rsidRPr="00EB4E43">
        <w:rPr>
          <w:i w:val="0"/>
          <w:noProof/>
          <w:sz w:val="18"/>
        </w:rPr>
        <w:fldChar w:fldCharType="begin"/>
      </w:r>
      <w:r w:rsidRPr="00EB4E43">
        <w:rPr>
          <w:i w:val="0"/>
          <w:noProof/>
          <w:sz w:val="18"/>
        </w:rPr>
        <w:instrText xml:space="preserve"> PAGEREF _Toc507762624 \h </w:instrText>
      </w:r>
      <w:r w:rsidRPr="00EB4E43">
        <w:rPr>
          <w:i w:val="0"/>
          <w:noProof/>
          <w:sz w:val="18"/>
        </w:rPr>
      </w:r>
      <w:r w:rsidRPr="00EB4E43">
        <w:rPr>
          <w:i w:val="0"/>
          <w:noProof/>
          <w:sz w:val="18"/>
        </w:rPr>
        <w:fldChar w:fldCharType="separate"/>
      </w:r>
      <w:r w:rsidR="006417EA">
        <w:rPr>
          <w:i w:val="0"/>
          <w:noProof/>
          <w:sz w:val="18"/>
        </w:rPr>
        <w:t>13</w:t>
      </w:r>
      <w:r w:rsidRPr="00EB4E43">
        <w:rPr>
          <w:i w:val="0"/>
          <w:noProof/>
          <w:sz w:val="18"/>
        </w:rPr>
        <w:fldChar w:fldCharType="end"/>
      </w:r>
    </w:p>
    <w:p w:rsidR="00670EA1" w:rsidRPr="00EB4E43" w:rsidRDefault="00D22AD0" w:rsidP="00715914">
      <w:r w:rsidRPr="00EB4E43">
        <w:fldChar w:fldCharType="end"/>
      </w:r>
    </w:p>
    <w:p w:rsidR="00670EA1" w:rsidRPr="00EB4E43" w:rsidRDefault="00670EA1" w:rsidP="00715914">
      <w:pPr>
        <w:sectPr w:rsidR="00670EA1" w:rsidRPr="00EB4E43" w:rsidSect="007B322F">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715914" w:rsidRPr="00EB4E43" w:rsidRDefault="00DD0634" w:rsidP="00715914">
      <w:pPr>
        <w:pStyle w:val="ActHead5"/>
      </w:pPr>
      <w:bookmarkStart w:id="1" w:name="_Toc507762609"/>
      <w:r w:rsidRPr="00EB4E43">
        <w:rPr>
          <w:rStyle w:val="CharSectno"/>
        </w:rPr>
        <w:lastRenderedPageBreak/>
        <w:t>1</w:t>
      </w:r>
      <w:r w:rsidR="00715914" w:rsidRPr="00EB4E43">
        <w:t xml:space="preserve">  </w:t>
      </w:r>
      <w:r w:rsidR="00CE493D" w:rsidRPr="00EB4E43">
        <w:t>Name</w:t>
      </w:r>
      <w:bookmarkEnd w:id="1"/>
    </w:p>
    <w:p w:rsidR="00715914" w:rsidRPr="00EB4E43" w:rsidRDefault="00715914" w:rsidP="00715914">
      <w:pPr>
        <w:pStyle w:val="subsection"/>
      </w:pPr>
      <w:r w:rsidRPr="00EB4E43">
        <w:tab/>
      </w:r>
      <w:r w:rsidRPr="00EB4E43">
        <w:tab/>
      </w:r>
      <w:r w:rsidR="00B80164" w:rsidRPr="00EB4E43">
        <w:t>This instrument is</w:t>
      </w:r>
      <w:r w:rsidR="00CE493D" w:rsidRPr="00EB4E43">
        <w:t xml:space="preserve"> the </w:t>
      </w:r>
      <w:r w:rsidR="00BC76AC" w:rsidRPr="00EB4E43">
        <w:rPr>
          <w:i/>
        </w:rPr>
        <w:fldChar w:fldCharType="begin"/>
      </w:r>
      <w:r w:rsidR="00BC76AC" w:rsidRPr="00EB4E43">
        <w:rPr>
          <w:i/>
        </w:rPr>
        <w:instrText xml:space="preserve"> STYLEREF  ShortT </w:instrText>
      </w:r>
      <w:r w:rsidR="00BC76AC" w:rsidRPr="00EB4E43">
        <w:rPr>
          <w:i/>
        </w:rPr>
        <w:fldChar w:fldCharType="separate"/>
      </w:r>
      <w:r w:rsidR="006417EA">
        <w:rPr>
          <w:i/>
          <w:noProof/>
        </w:rPr>
        <w:t>Petroleum Excise (Prices) Regulations 2018</w:t>
      </w:r>
      <w:r w:rsidR="00BC76AC" w:rsidRPr="00EB4E43">
        <w:rPr>
          <w:i/>
        </w:rPr>
        <w:fldChar w:fldCharType="end"/>
      </w:r>
      <w:r w:rsidRPr="00EB4E43">
        <w:t>.</w:t>
      </w:r>
    </w:p>
    <w:p w:rsidR="00715914" w:rsidRPr="00EB4E43" w:rsidRDefault="00DD0634" w:rsidP="00715914">
      <w:pPr>
        <w:pStyle w:val="ActHead5"/>
      </w:pPr>
      <w:bookmarkStart w:id="2" w:name="_Toc507762610"/>
      <w:r w:rsidRPr="00EB4E43">
        <w:rPr>
          <w:rStyle w:val="CharSectno"/>
        </w:rPr>
        <w:t>2</w:t>
      </w:r>
      <w:r w:rsidR="00715914" w:rsidRPr="00EB4E43">
        <w:t xml:space="preserve">  Commencement</w:t>
      </w:r>
      <w:bookmarkEnd w:id="2"/>
    </w:p>
    <w:p w:rsidR="00BA0C87" w:rsidRPr="00EB4E43" w:rsidRDefault="00BA0C87" w:rsidP="005E1B8C">
      <w:pPr>
        <w:pStyle w:val="subsection"/>
      </w:pPr>
      <w:bookmarkStart w:id="3" w:name="_GoBack"/>
      <w:r w:rsidRPr="00EB4E43">
        <w:tab/>
        <w:t>(1)</w:t>
      </w:r>
      <w:r w:rsidRPr="00EB4E43">
        <w:tab/>
        <w:t xml:space="preserve">Each provision of </w:t>
      </w:r>
      <w:r w:rsidR="00B80164" w:rsidRPr="00EB4E43">
        <w:t>this instrument</w:t>
      </w:r>
      <w:r w:rsidRPr="00EB4E43">
        <w:t xml:space="preserve"> specified in column 1 of the table commences, or is taken to have commenced, in accordance with column 2 of the table. Any other statement in column 2 has effect according to its terms.</w:t>
      </w:r>
      <w:bookmarkEnd w:id="3"/>
    </w:p>
    <w:p w:rsidR="00BA0C87" w:rsidRPr="00EB4E43" w:rsidRDefault="00BA0C87" w:rsidP="005E1B8C">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169"/>
        <w:gridCol w:w="4480"/>
        <w:gridCol w:w="1878"/>
      </w:tblGrid>
      <w:tr w:rsidR="00BA0C87" w:rsidRPr="00EB4E43" w:rsidTr="006C291A">
        <w:trPr>
          <w:tblHeader/>
        </w:trPr>
        <w:tc>
          <w:tcPr>
            <w:tcW w:w="5000" w:type="pct"/>
            <w:gridSpan w:val="3"/>
            <w:tcBorders>
              <w:top w:val="single" w:sz="12" w:space="0" w:color="auto"/>
              <w:bottom w:val="single" w:sz="6" w:space="0" w:color="auto"/>
            </w:tcBorders>
            <w:shd w:val="clear" w:color="auto" w:fill="auto"/>
            <w:hideMark/>
          </w:tcPr>
          <w:p w:rsidR="00BA0C87" w:rsidRPr="00EB4E43" w:rsidRDefault="00BA0C87" w:rsidP="005E1B8C">
            <w:pPr>
              <w:pStyle w:val="TableHeading"/>
            </w:pPr>
            <w:r w:rsidRPr="00EB4E43">
              <w:t>Commencement information</w:t>
            </w:r>
          </w:p>
        </w:tc>
      </w:tr>
      <w:tr w:rsidR="00BA0C87" w:rsidRPr="00EB4E43" w:rsidTr="006C291A">
        <w:trPr>
          <w:tblHeader/>
        </w:trPr>
        <w:tc>
          <w:tcPr>
            <w:tcW w:w="1272" w:type="pct"/>
            <w:tcBorders>
              <w:top w:val="single" w:sz="6" w:space="0" w:color="auto"/>
              <w:bottom w:val="single" w:sz="6" w:space="0" w:color="auto"/>
            </w:tcBorders>
            <w:shd w:val="clear" w:color="auto" w:fill="auto"/>
            <w:hideMark/>
          </w:tcPr>
          <w:p w:rsidR="00BA0C87" w:rsidRPr="00EB4E43" w:rsidRDefault="00BA0C87" w:rsidP="005E1B8C">
            <w:pPr>
              <w:pStyle w:val="TableHeading"/>
            </w:pPr>
            <w:r w:rsidRPr="00EB4E43">
              <w:t>Column 1</w:t>
            </w:r>
          </w:p>
        </w:tc>
        <w:tc>
          <w:tcPr>
            <w:tcW w:w="2627" w:type="pct"/>
            <w:tcBorders>
              <w:top w:val="single" w:sz="6" w:space="0" w:color="auto"/>
              <w:bottom w:val="single" w:sz="6" w:space="0" w:color="auto"/>
            </w:tcBorders>
            <w:shd w:val="clear" w:color="auto" w:fill="auto"/>
            <w:hideMark/>
          </w:tcPr>
          <w:p w:rsidR="00BA0C87" w:rsidRPr="00EB4E43" w:rsidRDefault="00BA0C87" w:rsidP="005E1B8C">
            <w:pPr>
              <w:pStyle w:val="TableHeading"/>
            </w:pPr>
            <w:r w:rsidRPr="00EB4E43">
              <w:t>Column 2</w:t>
            </w:r>
          </w:p>
        </w:tc>
        <w:tc>
          <w:tcPr>
            <w:tcW w:w="1102" w:type="pct"/>
            <w:tcBorders>
              <w:top w:val="single" w:sz="6" w:space="0" w:color="auto"/>
              <w:bottom w:val="single" w:sz="6" w:space="0" w:color="auto"/>
            </w:tcBorders>
            <w:shd w:val="clear" w:color="auto" w:fill="auto"/>
            <w:hideMark/>
          </w:tcPr>
          <w:p w:rsidR="00BA0C87" w:rsidRPr="00EB4E43" w:rsidRDefault="00BA0C87" w:rsidP="005E1B8C">
            <w:pPr>
              <w:pStyle w:val="TableHeading"/>
            </w:pPr>
            <w:r w:rsidRPr="00EB4E43">
              <w:t>Column 3</w:t>
            </w:r>
          </w:p>
        </w:tc>
      </w:tr>
      <w:tr w:rsidR="00BA0C87" w:rsidRPr="00EB4E43" w:rsidTr="006C291A">
        <w:trPr>
          <w:tblHeader/>
        </w:trPr>
        <w:tc>
          <w:tcPr>
            <w:tcW w:w="1272" w:type="pct"/>
            <w:tcBorders>
              <w:top w:val="single" w:sz="6" w:space="0" w:color="auto"/>
              <w:bottom w:val="single" w:sz="12" w:space="0" w:color="auto"/>
            </w:tcBorders>
            <w:shd w:val="clear" w:color="auto" w:fill="auto"/>
            <w:hideMark/>
          </w:tcPr>
          <w:p w:rsidR="00BA0C87" w:rsidRPr="00EB4E43" w:rsidRDefault="00BA0C87" w:rsidP="005E1B8C">
            <w:pPr>
              <w:pStyle w:val="TableHeading"/>
            </w:pPr>
            <w:r w:rsidRPr="00EB4E43">
              <w:t>Provisions</w:t>
            </w:r>
          </w:p>
        </w:tc>
        <w:tc>
          <w:tcPr>
            <w:tcW w:w="2627" w:type="pct"/>
            <w:tcBorders>
              <w:top w:val="single" w:sz="6" w:space="0" w:color="auto"/>
              <w:bottom w:val="single" w:sz="12" w:space="0" w:color="auto"/>
            </w:tcBorders>
            <w:shd w:val="clear" w:color="auto" w:fill="auto"/>
            <w:hideMark/>
          </w:tcPr>
          <w:p w:rsidR="00BA0C87" w:rsidRPr="00EB4E43" w:rsidRDefault="00BA0C87" w:rsidP="005E1B8C">
            <w:pPr>
              <w:pStyle w:val="TableHeading"/>
            </w:pPr>
            <w:r w:rsidRPr="00EB4E43">
              <w:t>Commencement</w:t>
            </w:r>
          </w:p>
        </w:tc>
        <w:tc>
          <w:tcPr>
            <w:tcW w:w="1102" w:type="pct"/>
            <w:tcBorders>
              <w:top w:val="single" w:sz="6" w:space="0" w:color="auto"/>
              <w:bottom w:val="single" w:sz="12" w:space="0" w:color="auto"/>
            </w:tcBorders>
            <w:shd w:val="clear" w:color="auto" w:fill="auto"/>
            <w:hideMark/>
          </w:tcPr>
          <w:p w:rsidR="00BA0C87" w:rsidRPr="00EB4E43" w:rsidRDefault="00BA0C87" w:rsidP="005E1B8C">
            <w:pPr>
              <w:pStyle w:val="TableHeading"/>
            </w:pPr>
            <w:r w:rsidRPr="00EB4E43">
              <w:t>Date/Details</w:t>
            </w:r>
          </w:p>
        </w:tc>
      </w:tr>
      <w:tr w:rsidR="00BA0C87" w:rsidRPr="00EB4E43" w:rsidTr="006C291A">
        <w:tc>
          <w:tcPr>
            <w:tcW w:w="1272" w:type="pct"/>
            <w:tcBorders>
              <w:top w:val="single" w:sz="12" w:space="0" w:color="auto"/>
              <w:bottom w:val="single" w:sz="12" w:space="0" w:color="auto"/>
            </w:tcBorders>
            <w:shd w:val="clear" w:color="auto" w:fill="auto"/>
            <w:hideMark/>
          </w:tcPr>
          <w:p w:rsidR="00BA0C87" w:rsidRPr="00EB4E43" w:rsidRDefault="00BA0C87" w:rsidP="00BA0C87">
            <w:pPr>
              <w:pStyle w:val="Tabletext"/>
            </w:pPr>
            <w:r w:rsidRPr="00EB4E43">
              <w:t xml:space="preserve">1.  </w:t>
            </w:r>
            <w:r w:rsidR="00DF0072" w:rsidRPr="00EB4E43">
              <w:t>The whole of this instrument</w:t>
            </w:r>
          </w:p>
        </w:tc>
        <w:tc>
          <w:tcPr>
            <w:tcW w:w="2627" w:type="pct"/>
            <w:tcBorders>
              <w:top w:val="single" w:sz="12" w:space="0" w:color="auto"/>
              <w:bottom w:val="single" w:sz="12" w:space="0" w:color="auto"/>
            </w:tcBorders>
            <w:shd w:val="clear" w:color="auto" w:fill="auto"/>
            <w:hideMark/>
          </w:tcPr>
          <w:p w:rsidR="00BA0C87" w:rsidRPr="00EB4E43" w:rsidRDefault="000B5D2A" w:rsidP="000B5D2A">
            <w:pPr>
              <w:pStyle w:val="Tabletext"/>
            </w:pPr>
            <w:r w:rsidRPr="00EB4E43">
              <w:t>1</w:t>
            </w:r>
            <w:r w:rsidR="00EB4E43" w:rsidRPr="00EB4E43">
              <w:t> </w:t>
            </w:r>
            <w:r w:rsidRPr="00EB4E43">
              <w:t>April 2018.</w:t>
            </w:r>
          </w:p>
        </w:tc>
        <w:tc>
          <w:tcPr>
            <w:tcW w:w="1102" w:type="pct"/>
            <w:tcBorders>
              <w:top w:val="single" w:sz="12" w:space="0" w:color="auto"/>
              <w:bottom w:val="single" w:sz="12" w:space="0" w:color="auto"/>
            </w:tcBorders>
            <w:shd w:val="clear" w:color="auto" w:fill="auto"/>
          </w:tcPr>
          <w:p w:rsidR="00BA0C87" w:rsidRPr="00EB4E43" w:rsidRDefault="000B5D2A">
            <w:pPr>
              <w:pStyle w:val="Tabletext"/>
            </w:pPr>
            <w:r w:rsidRPr="00EB4E43">
              <w:t>1</w:t>
            </w:r>
            <w:r w:rsidR="00EB4E43" w:rsidRPr="00EB4E43">
              <w:t> </w:t>
            </w:r>
            <w:r w:rsidRPr="00EB4E43">
              <w:t>April 2018</w:t>
            </w:r>
          </w:p>
        </w:tc>
      </w:tr>
    </w:tbl>
    <w:p w:rsidR="00BA0C87" w:rsidRPr="00EB4E43" w:rsidRDefault="00BA0C87" w:rsidP="005E1B8C">
      <w:pPr>
        <w:pStyle w:val="notetext"/>
      </w:pPr>
      <w:r w:rsidRPr="00EB4E43">
        <w:rPr>
          <w:snapToGrid w:val="0"/>
          <w:lang w:eastAsia="en-US"/>
        </w:rPr>
        <w:t>Note:</w:t>
      </w:r>
      <w:r w:rsidRPr="00EB4E43">
        <w:rPr>
          <w:snapToGrid w:val="0"/>
          <w:lang w:eastAsia="en-US"/>
        </w:rPr>
        <w:tab/>
        <w:t xml:space="preserve">This table relates only to the provisions of </w:t>
      </w:r>
      <w:r w:rsidR="00B80164" w:rsidRPr="00EB4E43">
        <w:rPr>
          <w:snapToGrid w:val="0"/>
          <w:lang w:eastAsia="en-US"/>
        </w:rPr>
        <w:t>this instrument</w:t>
      </w:r>
      <w:r w:rsidRPr="00EB4E43">
        <w:t xml:space="preserve"> </w:t>
      </w:r>
      <w:r w:rsidRPr="00EB4E43">
        <w:rPr>
          <w:snapToGrid w:val="0"/>
          <w:lang w:eastAsia="en-US"/>
        </w:rPr>
        <w:t xml:space="preserve">as originally made. It will not be amended to deal with any later amendments of </w:t>
      </w:r>
      <w:r w:rsidR="00B80164" w:rsidRPr="00EB4E43">
        <w:rPr>
          <w:snapToGrid w:val="0"/>
          <w:lang w:eastAsia="en-US"/>
        </w:rPr>
        <w:t>this instrument</w:t>
      </w:r>
      <w:r w:rsidRPr="00EB4E43">
        <w:rPr>
          <w:snapToGrid w:val="0"/>
          <w:lang w:eastAsia="en-US"/>
        </w:rPr>
        <w:t>.</w:t>
      </w:r>
    </w:p>
    <w:p w:rsidR="00BA0C87" w:rsidRPr="00EB4E43" w:rsidRDefault="00BA0C87" w:rsidP="005E1B8C">
      <w:pPr>
        <w:pStyle w:val="subsection"/>
      </w:pPr>
      <w:r w:rsidRPr="00EB4E43">
        <w:tab/>
        <w:t>(2)</w:t>
      </w:r>
      <w:r w:rsidRPr="00EB4E43">
        <w:tab/>
        <w:t xml:space="preserve">Any information in column 3 of the table is not part of </w:t>
      </w:r>
      <w:r w:rsidR="00B80164" w:rsidRPr="00EB4E43">
        <w:t>this instrument</w:t>
      </w:r>
      <w:r w:rsidRPr="00EB4E43">
        <w:t xml:space="preserve">. Information may be inserted in this column, or information in it may be edited, in any published version of </w:t>
      </w:r>
      <w:r w:rsidR="00B80164" w:rsidRPr="00EB4E43">
        <w:t>this instrument</w:t>
      </w:r>
      <w:r w:rsidRPr="00EB4E43">
        <w:t>.</w:t>
      </w:r>
    </w:p>
    <w:p w:rsidR="007500C8" w:rsidRPr="00EB4E43" w:rsidRDefault="00DD0634" w:rsidP="007500C8">
      <w:pPr>
        <w:pStyle w:val="ActHead5"/>
      </w:pPr>
      <w:bookmarkStart w:id="4" w:name="_Toc507762611"/>
      <w:r w:rsidRPr="00EB4E43">
        <w:rPr>
          <w:rStyle w:val="CharSectno"/>
        </w:rPr>
        <w:t>3</w:t>
      </w:r>
      <w:r w:rsidR="007500C8" w:rsidRPr="00EB4E43">
        <w:t xml:space="preserve">  Authority</w:t>
      </w:r>
      <w:bookmarkEnd w:id="4"/>
    </w:p>
    <w:p w:rsidR="00157B8B" w:rsidRPr="00EB4E43" w:rsidRDefault="007500C8" w:rsidP="007E667A">
      <w:pPr>
        <w:pStyle w:val="subsection"/>
      </w:pPr>
      <w:r w:rsidRPr="00EB4E43">
        <w:tab/>
      </w:r>
      <w:r w:rsidRPr="00EB4E43">
        <w:tab/>
      </w:r>
      <w:r w:rsidR="00B80164" w:rsidRPr="00EB4E43">
        <w:t>This instrument is</w:t>
      </w:r>
      <w:r w:rsidRPr="00EB4E43">
        <w:t xml:space="preserve"> made under the </w:t>
      </w:r>
      <w:r w:rsidR="00DF0072" w:rsidRPr="00EB4E43">
        <w:rPr>
          <w:i/>
        </w:rPr>
        <w:t>Petroleum Excise (Prices) Act 1987</w:t>
      </w:r>
      <w:r w:rsidR="00F4350D" w:rsidRPr="00EB4E43">
        <w:t>.</w:t>
      </w:r>
    </w:p>
    <w:p w:rsidR="00CE7239" w:rsidRPr="00EB4E43" w:rsidRDefault="00DD0634" w:rsidP="002356DF">
      <w:pPr>
        <w:pStyle w:val="ActHead5"/>
      </w:pPr>
      <w:bookmarkStart w:id="5" w:name="OPCCaretCursor"/>
      <w:bookmarkStart w:id="6" w:name="_Toc507762612"/>
      <w:bookmarkEnd w:id="5"/>
      <w:r w:rsidRPr="00EB4E43">
        <w:rPr>
          <w:rStyle w:val="CharSectno"/>
        </w:rPr>
        <w:t>4</w:t>
      </w:r>
      <w:r w:rsidR="00CE7239" w:rsidRPr="00EB4E43">
        <w:t xml:space="preserve">  Schedule</w:t>
      </w:r>
      <w:r w:rsidR="00316CCC" w:rsidRPr="00EB4E43">
        <w:t>s</w:t>
      </w:r>
      <w:bookmarkEnd w:id="6"/>
    </w:p>
    <w:p w:rsidR="00CE7239" w:rsidRPr="00EB4E43" w:rsidRDefault="00CE7239" w:rsidP="00CE7239">
      <w:pPr>
        <w:pStyle w:val="subsection"/>
      </w:pPr>
      <w:r w:rsidRPr="00EB4E43">
        <w:tab/>
      </w:r>
      <w:r w:rsidRPr="00EB4E43">
        <w:tab/>
      </w:r>
      <w:r w:rsidR="00316CCC" w:rsidRPr="00EB4E43">
        <w:t>Each instrument that is specified in a Schedule to this instrument is amended or repealed as set out in the applicable items in the Schedule concerned, and any other item in a Schedule to this instrument has effect according to its terms.</w:t>
      </w:r>
    </w:p>
    <w:p w:rsidR="00313203" w:rsidRPr="00EB4E43" w:rsidRDefault="00DD0634" w:rsidP="00CE7239">
      <w:pPr>
        <w:pStyle w:val="ActHead5"/>
      </w:pPr>
      <w:bookmarkStart w:id="7" w:name="_Toc507762613"/>
      <w:r w:rsidRPr="00EB4E43">
        <w:rPr>
          <w:rStyle w:val="CharSectno"/>
        </w:rPr>
        <w:t>5</w:t>
      </w:r>
      <w:r w:rsidR="00313203" w:rsidRPr="00EB4E43">
        <w:t xml:space="preserve">  </w:t>
      </w:r>
      <w:r w:rsidR="00263B8F" w:rsidRPr="00EB4E43">
        <w:t>Definitions</w:t>
      </w:r>
      <w:bookmarkEnd w:id="7"/>
    </w:p>
    <w:p w:rsidR="00313203" w:rsidRPr="00EB4E43" w:rsidRDefault="00D8180C" w:rsidP="005E1B8C">
      <w:pPr>
        <w:pStyle w:val="subsection"/>
      </w:pPr>
      <w:r w:rsidRPr="00EB4E43">
        <w:tab/>
      </w:r>
      <w:r w:rsidR="00313203" w:rsidRPr="00EB4E43">
        <w:tab/>
        <w:t>In th</w:t>
      </w:r>
      <w:r w:rsidR="00CE7239" w:rsidRPr="00EB4E43">
        <w:t>is instrument</w:t>
      </w:r>
      <w:r w:rsidR="00313203" w:rsidRPr="00EB4E43">
        <w:t>:</w:t>
      </w:r>
    </w:p>
    <w:p w:rsidR="00313203" w:rsidRPr="00EB4E43" w:rsidRDefault="00313203" w:rsidP="005E1B8C">
      <w:pPr>
        <w:pStyle w:val="Definition"/>
      </w:pPr>
      <w:r w:rsidRPr="00EB4E43">
        <w:rPr>
          <w:b/>
          <w:i/>
        </w:rPr>
        <w:t>acquisition</w:t>
      </w:r>
      <w:r w:rsidRPr="00EB4E43">
        <w:t xml:space="preserve">, </w:t>
      </w:r>
      <w:r w:rsidR="00AE1B65" w:rsidRPr="00EB4E43">
        <w:t>for</w:t>
      </w:r>
      <w:r w:rsidRPr="00EB4E43">
        <w:t xml:space="preserve"> an input tax credit, has the meaning given by section</w:t>
      </w:r>
      <w:r w:rsidR="00EB4E43" w:rsidRPr="00EB4E43">
        <w:t> </w:t>
      </w:r>
      <w:r w:rsidRPr="00EB4E43">
        <w:t>195</w:t>
      </w:r>
      <w:r w:rsidR="00EB4E43">
        <w:noBreakHyphen/>
      </w:r>
      <w:r w:rsidRPr="00EB4E43">
        <w:t xml:space="preserve">1 of the </w:t>
      </w:r>
      <w:r w:rsidRPr="00EB4E43">
        <w:rPr>
          <w:i/>
        </w:rPr>
        <w:t>A New Tax System (Goods and Services Tax) Act 1999</w:t>
      </w:r>
      <w:r w:rsidRPr="00EB4E43">
        <w:t>.</w:t>
      </w:r>
    </w:p>
    <w:p w:rsidR="00C17766" w:rsidRPr="00EB4E43" w:rsidRDefault="00C17766" w:rsidP="005E1B8C">
      <w:pPr>
        <w:pStyle w:val="Definition"/>
      </w:pPr>
      <w:r w:rsidRPr="00EB4E43">
        <w:rPr>
          <w:b/>
          <w:i/>
        </w:rPr>
        <w:t>applicable whole cost</w:t>
      </w:r>
      <w:r w:rsidRPr="00EB4E43">
        <w:t xml:space="preserve"> has the meaning given by subsection</w:t>
      </w:r>
      <w:r w:rsidR="00EB4E43" w:rsidRPr="00EB4E43">
        <w:t> </w:t>
      </w:r>
      <w:r w:rsidR="00DD0634" w:rsidRPr="00EB4E43">
        <w:t>10</w:t>
      </w:r>
      <w:r w:rsidRPr="00EB4E43">
        <w:t>(5).</w:t>
      </w:r>
    </w:p>
    <w:p w:rsidR="00C17766" w:rsidRPr="00EB4E43" w:rsidRDefault="00C17766" w:rsidP="005E1B8C">
      <w:pPr>
        <w:pStyle w:val="Definition"/>
        <w:rPr>
          <w:b/>
          <w:i/>
        </w:rPr>
      </w:pPr>
      <w:r w:rsidRPr="00EB4E43">
        <w:rPr>
          <w:b/>
          <w:i/>
        </w:rPr>
        <w:t>applicable whole price</w:t>
      </w:r>
      <w:r w:rsidRPr="00EB4E43">
        <w:t xml:space="preserve"> has the meaning given by subsection</w:t>
      </w:r>
      <w:r w:rsidR="00EB4E43" w:rsidRPr="00EB4E43">
        <w:t> </w:t>
      </w:r>
      <w:r w:rsidR="00DD0634" w:rsidRPr="00EB4E43">
        <w:t>10</w:t>
      </w:r>
      <w:r w:rsidRPr="00EB4E43">
        <w:t>(3).</w:t>
      </w:r>
    </w:p>
    <w:p w:rsidR="006D3F3E" w:rsidRPr="00EB4E43" w:rsidRDefault="004D68E2" w:rsidP="005E1B8C">
      <w:pPr>
        <w:pStyle w:val="Definition"/>
      </w:pPr>
      <w:r w:rsidRPr="00EB4E43">
        <w:rPr>
          <w:b/>
          <w:i/>
        </w:rPr>
        <w:t>associate</w:t>
      </w:r>
      <w:r w:rsidR="006D3F3E" w:rsidRPr="00EB4E43">
        <w:t xml:space="preserve"> has the same meaning as in paragraph</w:t>
      </w:r>
      <w:r w:rsidR="00EB4E43" w:rsidRPr="00EB4E43">
        <w:t> </w:t>
      </w:r>
      <w:r w:rsidR="006D3F3E" w:rsidRPr="00EB4E43">
        <w:t>1(k) of Schedule</w:t>
      </w:r>
      <w:r w:rsidR="00EB4E43" w:rsidRPr="00EB4E43">
        <w:t> </w:t>
      </w:r>
      <w:r w:rsidR="006D3F3E" w:rsidRPr="00EB4E43">
        <w:t xml:space="preserve">1 to the </w:t>
      </w:r>
      <w:r w:rsidR="006D3F3E" w:rsidRPr="00EB4E43">
        <w:rPr>
          <w:i/>
        </w:rPr>
        <w:t>Petroleum Revenue Act 1985</w:t>
      </w:r>
      <w:r w:rsidR="006D3F3E" w:rsidRPr="00EB4E43">
        <w:t>.</w:t>
      </w:r>
    </w:p>
    <w:p w:rsidR="00313203" w:rsidRPr="00EB4E43" w:rsidRDefault="00313203" w:rsidP="005E1B8C">
      <w:pPr>
        <w:pStyle w:val="Definition"/>
      </w:pPr>
      <w:r w:rsidRPr="00EB4E43">
        <w:rPr>
          <w:b/>
          <w:i/>
        </w:rPr>
        <w:t>condensate producer</w:t>
      </w:r>
      <w:r w:rsidRPr="00EB4E43">
        <w:t xml:space="preserve"> means an oil producer as defined in subsection</w:t>
      </w:r>
      <w:r w:rsidR="00EB4E43" w:rsidRPr="00EB4E43">
        <w:t> </w:t>
      </w:r>
      <w:r w:rsidR="005E1B8C" w:rsidRPr="00EB4E43">
        <w:t>4</w:t>
      </w:r>
      <w:r w:rsidRPr="00EB4E43">
        <w:t>(1) of the Act, as modified in accordance with subsection</w:t>
      </w:r>
      <w:r w:rsidR="00EB4E43" w:rsidRPr="00EB4E43">
        <w:t> </w:t>
      </w:r>
      <w:r w:rsidR="005E1B8C" w:rsidRPr="00EB4E43">
        <w:t>5A</w:t>
      </w:r>
      <w:r w:rsidRPr="00EB4E43">
        <w:t>(3) of the Act.</w:t>
      </w:r>
    </w:p>
    <w:p w:rsidR="00977AC6" w:rsidRPr="00EB4E43" w:rsidRDefault="009B1C9C" w:rsidP="009B1C9C">
      <w:pPr>
        <w:pStyle w:val="Definition"/>
      </w:pPr>
      <w:r w:rsidRPr="00EB4E43">
        <w:rPr>
          <w:b/>
          <w:i/>
        </w:rPr>
        <w:t>delivered by pipeline</w:t>
      </w:r>
      <w:r w:rsidRPr="00EB4E43">
        <w:t xml:space="preserve"> means the loading of oil or condensate into a pipeline otherwise than for the purpose of loading on a ship.</w:t>
      </w:r>
    </w:p>
    <w:p w:rsidR="00313203" w:rsidRPr="00EB4E43" w:rsidRDefault="00313203" w:rsidP="005E1B8C">
      <w:pPr>
        <w:pStyle w:val="Definition"/>
      </w:pPr>
      <w:r w:rsidRPr="00EB4E43">
        <w:rPr>
          <w:b/>
          <w:i/>
        </w:rPr>
        <w:t>due</w:t>
      </w:r>
      <w:r w:rsidRPr="00EB4E43">
        <w:t xml:space="preserve"> </w:t>
      </w:r>
      <w:r w:rsidRPr="00EB4E43">
        <w:rPr>
          <w:b/>
          <w:i/>
        </w:rPr>
        <w:t>date</w:t>
      </w:r>
      <w:r w:rsidRPr="00EB4E43">
        <w:t xml:space="preserve">, </w:t>
      </w:r>
      <w:r w:rsidR="00AE1B65" w:rsidRPr="00EB4E43">
        <w:t>for</w:t>
      </w:r>
      <w:r w:rsidRPr="00EB4E43">
        <w:t xml:space="preserve"> payment of the sale price under a contract</w:t>
      </w:r>
      <w:r w:rsidR="005E1B8C" w:rsidRPr="00EB4E43">
        <w:t>, means</w:t>
      </w:r>
      <w:r w:rsidRPr="00EB4E43">
        <w:t>:</w:t>
      </w:r>
    </w:p>
    <w:p w:rsidR="00313203" w:rsidRPr="00EB4E43" w:rsidRDefault="00313203" w:rsidP="005E1B8C">
      <w:pPr>
        <w:pStyle w:val="paragraph"/>
      </w:pPr>
      <w:r w:rsidRPr="00EB4E43">
        <w:tab/>
        <w:t>(a)</w:t>
      </w:r>
      <w:r w:rsidRPr="00EB4E43">
        <w:tab/>
      </w:r>
      <w:r w:rsidR="005E1B8C" w:rsidRPr="00EB4E43">
        <w:t>if</w:t>
      </w:r>
      <w:r w:rsidRPr="00EB4E43">
        <w:t xml:space="preserve"> a period is provided under the contract within which that payment is to be made—the last day of that period; or</w:t>
      </w:r>
    </w:p>
    <w:p w:rsidR="00313203" w:rsidRPr="00EB4E43" w:rsidRDefault="00313203" w:rsidP="005E1B8C">
      <w:pPr>
        <w:pStyle w:val="paragraph"/>
      </w:pPr>
      <w:r w:rsidRPr="00EB4E43">
        <w:tab/>
        <w:t>(b)</w:t>
      </w:r>
      <w:r w:rsidRPr="00EB4E43">
        <w:tab/>
      </w:r>
      <w:r w:rsidR="005E1B8C" w:rsidRPr="00EB4E43">
        <w:t>otherwise</w:t>
      </w:r>
      <w:r w:rsidRPr="00EB4E43">
        <w:t xml:space="preserve">—the </w:t>
      </w:r>
      <w:r w:rsidR="009C1F5F" w:rsidRPr="00EB4E43">
        <w:t>day</w:t>
      </w:r>
      <w:r w:rsidRPr="00EB4E43">
        <w:t xml:space="preserve"> identified under the contract for that payment.</w:t>
      </w:r>
    </w:p>
    <w:p w:rsidR="00313203" w:rsidRPr="00EB4E43" w:rsidRDefault="00313203" w:rsidP="005E1B8C">
      <w:pPr>
        <w:pStyle w:val="Definition"/>
      </w:pPr>
      <w:r w:rsidRPr="00EB4E43">
        <w:rPr>
          <w:b/>
          <w:i/>
        </w:rPr>
        <w:t>effective credit day</w:t>
      </w:r>
      <w:r w:rsidRPr="00EB4E43">
        <w:t xml:space="preserve">, </w:t>
      </w:r>
      <w:r w:rsidR="00AE1B65" w:rsidRPr="00EB4E43">
        <w:t>for</w:t>
      </w:r>
      <w:r w:rsidRPr="00EB4E43">
        <w:t xml:space="preserve"> a transaction comprising the sale under a contract of a quantity of crude petroleum oil or condensate, means the day immediately </w:t>
      </w:r>
      <w:r w:rsidR="00742A46" w:rsidRPr="00EB4E43">
        <w:t>before</w:t>
      </w:r>
      <w:r w:rsidRPr="00EB4E43">
        <w:t xml:space="preserve"> any period allowed under the contract for payment of the sale price.</w:t>
      </w:r>
    </w:p>
    <w:p w:rsidR="00C17766" w:rsidRPr="00EB4E43" w:rsidRDefault="00C17766" w:rsidP="005E1B8C">
      <w:pPr>
        <w:pStyle w:val="Definition"/>
        <w:rPr>
          <w:b/>
          <w:i/>
        </w:rPr>
      </w:pPr>
      <w:r w:rsidRPr="00EB4E43">
        <w:rPr>
          <w:b/>
          <w:i/>
        </w:rPr>
        <w:t>excisable quantity cost</w:t>
      </w:r>
      <w:r w:rsidRPr="00EB4E43">
        <w:t xml:space="preserve"> has the meaning given by subsection</w:t>
      </w:r>
      <w:r w:rsidR="00EB4E43" w:rsidRPr="00EB4E43">
        <w:t> </w:t>
      </w:r>
      <w:r w:rsidR="00DD0634" w:rsidRPr="00EB4E43">
        <w:t>10</w:t>
      </w:r>
      <w:r w:rsidRPr="00EB4E43">
        <w:t>(4).</w:t>
      </w:r>
    </w:p>
    <w:p w:rsidR="00C17766" w:rsidRPr="00EB4E43" w:rsidRDefault="00C17766" w:rsidP="005E1B8C">
      <w:pPr>
        <w:pStyle w:val="Definition"/>
      </w:pPr>
      <w:r w:rsidRPr="00EB4E43">
        <w:rPr>
          <w:b/>
          <w:i/>
        </w:rPr>
        <w:t>excisable quantity price</w:t>
      </w:r>
      <w:r w:rsidRPr="00EB4E43">
        <w:t xml:space="preserve"> has the meaning given by subsection</w:t>
      </w:r>
      <w:r w:rsidR="00EB4E43" w:rsidRPr="00EB4E43">
        <w:t> </w:t>
      </w:r>
      <w:r w:rsidR="00DD0634" w:rsidRPr="00EB4E43">
        <w:t>10</w:t>
      </w:r>
      <w:r w:rsidRPr="00EB4E43">
        <w:t>(2).</w:t>
      </w:r>
    </w:p>
    <w:p w:rsidR="00313203" w:rsidRPr="00EB4E43" w:rsidRDefault="00313203" w:rsidP="005E1B8C">
      <w:pPr>
        <w:pStyle w:val="Definition"/>
      </w:pPr>
      <w:r w:rsidRPr="00EB4E43">
        <w:rPr>
          <w:b/>
          <w:i/>
        </w:rPr>
        <w:t xml:space="preserve">f.o.b. contract </w:t>
      </w:r>
      <w:r w:rsidRPr="00EB4E43">
        <w:t>means a contract for the sale of a quantity of crude petroleum oil by the oil producer, or condensate by the condensate producer, under which:</w:t>
      </w:r>
    </w:p>
    <w:p w:rsidR="00313203" w:rsidRPr="00EB4E43" w:rsidRDefault="00313203" w:rsidP="005E1B8C">
      <w:pPr>
        <w:pStyle w:val="paragraph"/>
      </w:pPr>
      <w:r w:rsidRPr="00EB4E43">
        <w:tab/>
        <w:t>(a)</w:t>
      </w:r>
      <w:r w:rsidRPr="00EB4E43">
        <w:tab/>
        <w:t>the oil or condensate is to be loaded on a ship or ships; and</w:t>
      </w:r>
    </w:p>
    <w:p w:rsidR="00313203" w:rsidRPr="00EB4E43" w:rsidRDefault="00313203" w:rsidP="005E1B8C">
      <w:pPr>
        <w:pStyle w:val="paragraph"/>
      </w:pPr>
      <w:r w:rsidRPr="00EB4E43">
        <w:tab/>
        <w:t>(b)</w:t>
      </w:r>
      <w:r w:rsidRPr="00EB4E43">
        <w:tab/>
        <w:t>the producer bears none of the costs of the following:</w:t>
      </w:r>
    </w:p>
    <w:p w:rsidR="00313203" w:rsidRPr="00EB4E43" w:rsidRDefault="00313203" w:rsidP="005E1B8C">
      <w:pPr>
        <w:pStyle w:val="paragraphsub"/>
      </w:pPr>
      <w:r w:rsidRPr="00EB4E43">
        <w:tab/>
        <w:t>(i)</w:t>
      </w:r>
      <w:r w:rsidRPr="00EB4E43">
        <w:tab/>
        <w:t>freight;</w:t>
      </w:r>
    </w:p>
    <w:p w:rsidR="00313203" w:rsidRPr="00EB4E43" w:rsidRDefault="00313203" w:rsidP="005E1B8C">
      <w:pPr>
        <w:pStyle w:val="paragraphsub"/>
      </w:pPr>
      <w:r w:rsidRPr="00EB4E43">
        <w:tab/>
        <w:t>(ii)</w:t>
      </w:r>
      <w:r w:rsidRPr="00EB4E43">
        <w:tab/>
        <w:t>insurance;</w:t>
      </w:r>
    </w:p>
    <w:p w:rsidR="00313203" w:rsidRPr="00EB4E43" w:rsidRDefault="00313203" w:rsidP="005E1B8C">
      <w:pPr>
        <w:pStyle w:val="paragraphsub"/>
      </w:pPr>
      <w:r w:rsidRPr="00EB4E43">
        <w:tab/>
        <w:t>(iii)</w:t>
      </w:r>
      <w:r w:rsidRPr="00EB4E43">
        <w:tab/>
        <w:t>demurrage at the port of destination;</w:t>
      </w:r>
    </w:p>
    <w:p w:rsidR="00313203" w:rsidRPr="00EB4E43" w:rsidRDefault="00313203" w:rsidP="005E1B8C">
      <w:pPr>
        <w:pStyle w:val="paragraphsub"/>
      </w:pPr>
      <w:r w:rsidRPr="00EB4E43">
        <w:tab/>
        <w:t>(iv)</w:t>
      </w:r>
      <w:r w:rsidRPr="00EB4E43">
        <w:tab/>
        <w:t>lighterage at the port of destination;</w:t>
      </w:r>
    </w:p>
    <w:p w:rsidR="00313203" w:rsidRPr="00EB4E43" w:rsidRDefault="00313203" w:rsidP="005E1B8C">
      <w:pPr>
        <w:pStyle w:val="paragraphsub"/>
      </w:pPr>
      <w:r w:rsidRPr="00EB4E43">
        <w:tab/>
        <w:t>(v)</w:t>
      </w:r>
      <w:r w:rsidRPr="00EB4E43">
        <w:tab/>
        <w:t>wharfage at the port of destination;</w:t>
      </w:r>
    </w:p>
    <w:p w:rsidR="00313203" w:rsidRPr="00EB4E43" w:rsidRDefault="00313203" w:rsidP="005E1B8C">
      <w:pPr>
        <w:pStyle w:val="paragraphsub"/>
      </w:pPr>
      <w:r w:rsidRPr="00EB4E43">
        <w:tab/>
        <w:t>(vi)</w:t>
      </w:r>
      <w:r w:rsidRPr="00EB4E43">
        <w:tab/>
        <w:t>heating of the oil or condensate;</w:t>
      </w:r>
    </w:p>
    <w:p w:rsidR="00313203" w:rsidRPr="00EB4E43" w:rsidRDefault="00313203" w:rsidP="005E1B8C">
      <w:pPr>
        <w:pStyle w:val="paragraphsub"/>
      </w:pPr>
      <w:r w:rsidRPr="00EB4E43">
        <w:tab/>
        <w:t>(vii)</w:t>
      </w:r>
      <w:r w:rsidRPr="00EB4E43">
        <w:tab/>
        <w:t>bunkers;</w:t>
      </w:r>
    </w:p>
    <w:p w:rsidR="00313203" w:rsidRPr="00EB4E43" w:rsidRDefault="00313203" w:rsidP="005E1B8C">
      <w:pPr>
        <w:pStyle w:val="paragraph"/>
      </w:pPr>
      <w:r w:rsidRPr="00EB4E43">
        <w:tab/>
      </w:r>
      <w:r w:rsidRPr="00EB4E43">
        <w:tab/>
      </w:r>
      <w:r w:rsidR="00AE1B65" w:rsidRPr="00EB4E43">
        <w:t>for</w:t>
      </w:r>
      <w:r w:rsidRPr="00EB4E43">
        <w:t xml:space="preserve"> the transport of that oil or condensate to the purchaser after the oil or condensate is loaded.</w:t>
      </w:r>
    </w:p>
    <w:p w:rsidR="00313203" w:rsidRPr="00EB4E43" w:rsidRDefault="00313203" w:rsidP="004445C9">
      <w:pPr>
        <w:pStyle w:val="Definition"/>
      </w:pPr>
      <w:r w:rsidRPr="00EB4E43">
        <w:rPr>
          <w:b/>
          <w:i/>
        </w:rPr>
        <w:t>GST</w:t>
      </w:r>
      <w:r w:rsidRPr="00EB4E43">
        <w:t xml:space="preserve"> has the meaning given by section</w:t>
      </w:r>
      <w:r w:rsidR="00EB4E43" w:rsidRPr="00EB4E43">
        <w:t> </w:t>
      </w:r>
      <w:r w:rsidRPr="00EB4E43">
        <w:t>195</w:t>
      </w:r>
      <w:r w:rsidR="00EB4E43">
        <w:noBreakHyphen/>
      </w:r>
      <w:r w:rsidRPr="00EB4E43">
        <w:t xml:space="preserve">1 of the </w:t>
      </w:r>
      <w:r w:rsidRPr="00EB4E43">
        <w:rPr>
          <w:i/>
        </w:rPr>
        <w:t>A New Tax System (Goods and Services Tax) Act 1999</w:t>
      </w:r>
      <w:r w:rsidRPr="00EB4E43">
        <w:t>.</w:t>
      </w:r>
    </w:p>
    <w:p w:rsidR="00313203" w:rsidRPr="00EB4E43" w:rsidRDefault="00313203" w:rsidP="004445C9">
      <w:pPr>
        <w:pStyle w:val="Definition"/>
      </w:pPr>
      <w:r w:rsidRPr="00EB4E43">
        <w:rPr>
          <w:b/>
          <w:i/>
        </w:rPr>
        <w:t>input tax credit</w:t>
      </w:r>
      <w:r w:rsidRPr="00EB4E43">
        <w:t xml:space="preserve"> has the meaning given by section</w:t>
      </w:r>
      <w:r w:rsidR="00EB4E43" w:rsidRPr="00EB4E43">
        <w:t> </w:t>
      </w:r>
      <w:r w:rsidRPr="00EB4E43">
        <w:t>195</w:t>
      </w:r>
      <w:r w:rsidR="00EB4E43">
        <w:noBreakHyphen/>
      </w:r>
      <w:r w:rsidRPr="00EB4E43">
        <w:t xml:space="preserve">1 of the </w:t>
      </w:r>
      <w:r w:rsidRPr="00EB4E43">
        <w:rPr>
          <w:i/>
        </w:rPr>
        <w:t>A New Tax System (Goods and Services Tax) Act 1999</w:t>
      </w:r>
      <w:r w:rsidRPr="00EB4E43">
        <w:t>.</w:t>
      </w:r>
    </w:p>
    <w:p w:rsidR="00313203" w:rsidRPr="00EB4E43" w:rsidRDefault="00313203" w:rsidP="004445C9">
      <w:pPr>
        <w:pStyle w:val="Definition"/>
      </w:pPr>
      <w:r w:rsidRPr="00EB4E43">
        <w:rPr>
          <w:b/>
          <w:i/>
        </w:rPr>
        <w:t>maximum indicator interest rate</w:t>
      </w:r>
      <w:r w:rsidRPr="00EB4E43">
        <w:t xml:space="preserve">, </w:t>
      </w:r>
      <w:r w:rsidR="00AE1B65" w:rsidRPr="00EB4E43">
        <w:t>for</w:t>
      </w:r>
      <w:r w:rsidRPr="00EB4E43">
        <w:t xml:space="preserve"> a day, means the highest of the range of rates of interest per annum current on that day quoted by the Reserve Bank, on the basis of reports by each bank regarded by the Reserve Bank as a major trading bank operating in Australia in respect of overdrafts of $100,000 or more.</w:t>
      </w:r>
    </w:p>
    <w:p w:rsidR="006D3F3E" w:rsidRPr="00EB4E43" w:rsidRDefault="006D3F3E" w:rsidP="006D3F3E">
      <w:pPr>
        <w:pStyle w:val="Definition"/>
      </w:pPr>
      <w:r w:rsidRPr="00EB4E43">
        <w:rPr>
          <w:b/>
          <w:i/>
        </w:rPr>
        <w:t>mid</w:t>
      </w:r>
      <w:r w:rsidR="00EB4E43">
        <w:rPr>
          <w:b/>
          <w:i/>
        </w:rPr>
        <w:noBreakHyphen/>
      </w:r>
      <w:r w:rsidRPr="00EB4E43">
        <w:rPr>
          <w:b/>
          <w:i/>
        </w:rPr>
        <w:t>rate</w:t>
      </w:r>
      <w:r w:rsidRPr="00EB4E43">
        <w:t>, for a foreign currency for a day, is the rate, expressed as an amount in that currency that is equivalent to the Australian dollar, quote</w:t>
      </w:r>
      <w:r w:rsidR="00B43CAE" w:rsidRPr="00EB4E43">
        <w:t>d by the Reserve Bank as at 4 p</w:t>
      </w:r>
      <w:r w:rsidRPr="00EB4E43">
        <w:t>m</w:t>
      </w:r>
      <w:r w:rsidR="00B43CAE" w:rsidRPr="00EB4E43">
        <w:t xml:space="preserve"> (by legal time in the Australian Capital Territory)</w:t>
      </w:r>
      <w:r w:rsidRPr="00EB4E43">
        <w:t xml:space="preserve"> on that day.</w:t>
      </w:r>
    </w:p>
    <w:p w:rsidR="004F3E57" w:rsidRPr="00EB4E43" w:rsidRDefault="004F3E57" w:rsidP="004F3E57">
      <w:pPr>
        <w:pStyle w:val="Definition"/>
      </w:pPr>
      <w:r w:rsidRPr="00EB4E43">
        <w:rPr>
          <w:b/>
          <w:i/>
        </w:rPr>
        <w:t>number of credit days allowed</w:t>
      </w:r>
      <w:r w:rsidRPr="00EB4E43">
        <w:t>, under a contract for the sale of crude petroleum oil or condensate, means the number of days in any period within which payment of the sale price is to be made under the contract. The contract need not specify the duration of that period in terms of days.</w:t>
      </w:r>
    </w:p>
    <w:p w:rsidR="004F3E57" w:rsidRPr="00EB4E43" w:rsidRDefault="004F3E57" w:rsidP="004F3E57">
      <w:pPr>
        <w:pStyle w:val="notetext"/>
      </w:pPr>
      <w:r w:rsidRPr="00EB4E43">
        <w:t>Example 1:</w:t>
      </w:r>
      <w:r w:rsidRPr="00EB4E43">
        <w:tab/>
        <w:t>That period specified in contract A is 21 days. Paragraph 9(1)(a) would apply to the contract as no more than 30 credit days are allowed under the contract.</w:t>
      </w:r>
    </w:p>
    <w:p w:rsidR="004F3E57" w:rsidRPr="00EB4E43" w:rsidRDefault="004F3E57" w:rsidP="004F3E57">
      <w:pPr>
        <w:pStyle w:val="notetext"/>
      </w:pPr>
      <w:r w:rsidRPr="00EB4E43">
        <w:t>Example 2:</w:t>
      </w:r>
      <w:r w:rsidRPr="00EB4E43">
        <w:tab/>
        <w:t>That period specified in contract B is 5 weeks. Paragraph 9(1)(b) would apply to the contract as more than 30 credit days are allowed under the contract.</w:t>
      </w:r>
    </w:p>
    <w:p w:rsidR="00C17766" w:rsidRPr="00EB4E43" w:rsidRDefault="00C17766" w:rsidP="004445C9">
      <w:pPr>
        <w:pStyle w:val="Definition"/>
      </w:pPr>
      <w:r w:rsidRPr="00EB4E43">
        <w:rPr>
          <w:b/>
          <w:i/>
        </w:rPr>
        <w:t>relevant delivery price</w:t>
      </w:r>
      <w:r w:rsidRPr="00EB4E43">
        <w:t xml:space="preserve"> has the meaning given by subsection</w:t>
      </w:r>
      <w:r w:rsidR="00EB4E43" w:rsidRPr="00EB4E43">
        <w:t> </w:t>
      </w:r>
      <w:r w:rsidR="00DD0634" w:rsidRPr="00EB4E43">
        <w:t>10</w:t>
      </w:r>
      <w:r w:rsidRPr="00EB4E43">
        <w:t>(1).</w:t>
      </w:r>
    </w:p>
    <w:p w:rsidR="00313203" w:rsidRPr="00EB4E43" w:rsidRDefault="00313203" w:rsidP="004445C9">
      <w:pPr>
        <w:pStyle w:val="Definition"/>
      </w:pPr>
      <w:r w:rsidRPr="00EB4E43">
        <w:rPr>
          <w:b/>
          <w:i/>
        </w:rPr>
        <w:t>sale price</w:t>
      </w:r>
      <w:r w:rsidRPr="00EB4E43">
        <w:t>:</w:t>
      </w:r>
    </w:p>
    <w:p w:rsidR="00313203" w:rsidRPr="00EB4E43" w:rsidRDefault="00313203" w:rsidP="004445C9">
      <w:pPr>
        <w:pStyle w:val="paragraph"/>
      </w:pPr>
      <w:r w:rsidRPr="00EB4E43">
        <w:tab/>
        <w:t>(a)</w:t>
      </w:r>
      <w:r w:rsidRPr="00EB4E43">
        <w:tab/>
      </w:r>
      <w:r w:rsidR="00AE1B65" w:rsidRPr="00EB4E43">
        <w:t>for</w:t>
      </w:r>
      <w:r w:rsidRPr="00EB4E43">
        <w:t xml:space="preserve"> a contract for the sale of a quantity of crude petroleum oil by an oil producer, means the total amount payable to the producer under that contract for that quantity of oil; and</w:t>
      </w:r>
    </w:p>
    <w:p w:rsidR="00313203" w:rsidRPr="00EB4E43" w:rsidRDefault="00313203" w:rsidP="004445C9">
      <w:pPr>
        <w:pStyle w:val="paragraph"/>
      </w:pPr>
      <w:r w:rsidRPr="00EB4E43">
        <w:tab/>
        <w:t>(b)</w:t>
      </w:r>
      <w:r w:rsidRPr="00EB4E43">
        <w:tab/>
      </w:r>
      <w:r w:rsidR="00AE1B65" w:rsidRPr="00EB4E43">
        <w:t>for</w:t>
      </w:r>
      <w:r w:rsidRPr="00EB4E43">
        <w:t xml:space="preserve"> a contract for the sale of a quantity of condensate by a condensate producer, means the total amount payable to the producer under that contract for that quantity of condensate.</w:t>
      </w:r>
    </w:p>
    <w:p w:rsidR="00313203" w:rsidRPr="00EB4E43" w:rsidRDefault="00313203" w:rsidP="004445C9">
      <w:pPr>
        <w:pStyle w:val="Definition"/>
      </w:pPr>
      <w:r w:rsidRPr="00EB4E43">
        <w:rPr>
          <w:b/>
          <w:i/>
        </w:rPr>
        <w:t>supply</w:t>
      </w:r>
      <w:r w:rsidRPr="00EB4E43">
        <w:t xml:space="preserve">, </w:t>
      </w:r>
      <w:r w:rsidR="00AE1B65" w:rsidRPr="00EB4E43">
        <w:t>for</w:t>
      </w:r>
      <w:r w:rsidRPr="00EB4E43">
        <w:t xml:space="preserve"> an amount of GST payable, has the meaning given by section</w:t>
      </w:r>
      <w:r w:rsidR="00EB4E43" w:rsidRPr="00EB4E43">
        <w:t> </w:t>
      </w:r>
      <w:r w:rsidRPr="00EB4E43">
        <w:t>195</w:t>
      </w:r>
      <w:r w:rsidR="00EB4E43">
        <w:noBreakHyphen/>
      </w:r>
      <w:r w:rsidRPr="00EB4E43">
        <w:t xml:space="preserve">1 of the </w:t>
      </w:r>
      <w:r w:rsidRPr="00EB4E43">
        <w:rPr>
          <w:i/>
        </w:rPr>
        <w:t>A New Tax System (Goods and Services Tax) Act 1999</w:t>
      </w:r>
      <w:r w:rsidRPr="00EB4E43">
        <w:t>.</w:t>
      </w:r>
    </w:p>
    <w:p w:rsidR="00313203" w:rsidRPr="00EB4E43" w:rsidRDefault="00313203" w:rsidP="004445C9">
      <w:pPr>
        <w:pStyle w:val="Definition"/>
      </w:pPr>
      <w:r w:rsidRPr="00EB4E43">
        <w:rPr>
          <w:b/>
          <w:i/>
        </w:rPr>
        <w:t>the Act</w:t>
      </w:r>
      <w:r w:rsidRPr="00EB4E43">
        <w:rPr>
          <w:b/>
        </w:rPr>
        <w:t xml:space="preserve"> </w:t>
      </w:r>
      <w:r w:rsidRPr="00EB4E43">
        <w:t xml:space="preserve">means the </w:t>
      </w:r>
      <w:r w:rsidR="004445C9" w:rsidRPr="00EB4E43">
        <w:rPr>
          <w:i/>
        </w:rPr>
        <w:t>Petroleum Excise (Prices) Act 1987</w:t>
      </w:r>
      <w:r w:rsidRPr="00EB4E43">
        <w:t>.</w:t>
      </w:r>
    </w:p>
    <w:p w:rsidR="00313203" w:rsidRPr="00EB4E43" w:rsidRDefault="00DD0634" w:rsidP="004445C9">
      <w:pPr>
        <w:pStyle w:val="ActHead5"/>
      </w:pPr>
      <w:bookmarkStart w:id="8" w:name="_Toc507762614"/>
      <w:r w:rsidRPr="00EB4E43">
        <w:rPr>
          <w:rStyle w:val="CharSectno"/>
        </w:rPr>
        <w:t>6</w:t>
      </w:r>
      <w:r w:rsidR="00313203" w:rsidRPr="00EB4E43">
        <w:t xml:space="preserve">  Oil producing regions</w:t>
      </w:r>
      <w:r w:rsidR="001D587E" w:rsidRPr="00EB4E43">
        <w:t>, production areas</w:t>
      </w:r>
      <w:r w:rsidR="00313203" w:rsidRPr="00EB4E43">
        <w:t xml:space="preserve"> and VOLWARE commencement dates—</w:t>
      </w:r>
      <w:r w:rsidR="00EA3CEE" w:rsidRPr="00EB4E43">
        <w:t>stabilised crude petroleum oil</w:t>
      </w:r>
      <w:bookmarkEnd w:id="8"/>
    </w:p>
    <w:p w:rsidR="00EA3CEE" w:rsidRPr="00EB4E43" w:rsidRDefault="00EA3CEE" w:rsidP="004445C9">
      <w:pPr>
        <w:pStyle w:val="subsection"/>
      </w:pPr>
      <w:r w:rsidRPr="00EB4E43">
        <w:tab/>
        <w:t>(1)</w:t>
      </w:r>
      <w:r w:rsidRPr="00EB4E43">
        <w:tab/>
        <w:t xml:space="preserve">This section applies for the purposes of the definitions of </w:t>
      </w:r>
      <w:r w:rsidRPr="00EB4E43">
        <w:rPr>
          <w:b/>
          <w:i/>
        </w:rPr>
        <w:t>oil producing region</w:t>
      </w:r>
      <w:r w:rsidRPr="00EB4E43">
        <w:t xml:space="preserve">, </w:t>
      </w:r>
      <w:r w:rsidRPr="00EB4E43">
        <w:rPr>
          <w:b/>
          <w:i/>
        </w:rPr>
        <w:t>production area</w:t>
      </w:r>
      <w:r w:rsidRPr="00EB4E43">
        <w:t xml:space="preserve"> and </w:t>
      </w:r>
      <w:r w:rsidRPr="00EB4E43">
        <w:rPr>
          <w:b/>
          <w:i/>
        </w:rPr>
        <w:t>VOLWARE commencement date</w:t>
      </w:r>
      <w:r w:rsidRPr="00EB4E43">
        <w:t xml:space="preserve"> in subsection</w:t>
      </w:r>
      <w:r w:rsidR="00EB4E43" w:rsidRPr="00EB4E43">
        <w:t> </w:t>
      </w:r>
      <w:r w:rsidRPr="00EB4E43">
        <w:t>4(1) of the Act, to the extent that those definitions relate to stabilised crude petroleum oil.</w:t>
      </w:r>
    </w:p>
    <w:p w:rsidR="00313203" w:rsidRPr="00EB4E43" w:rsidRDefault="00EA3CEE" w:rsidP="00EA3CEE">
      <w:pPr>
        <w:pStyle w:val="subsection"/>
      </w:pPr>
      <w:r w:rsidRPr="00EB4E43">
        <w:tab/>
        <w:t>(2</w:t>
      </w:r>
      <w:r w:rsidR="00313203" w:rsidRPr="00EB4E43">
        <w:t>)</w:t>
      </w:r>
      <w:r w:rsidR="00313203" w:rsidRPr="00EB4E43">
        <w:tab/>
      </w:r>
      <w:r w:rsidRPr="00EB4E43">
        <w:t>I</w:t>
      </w:r>
      <w:r w:rsidR="009F0EFA" w:rsidRPr="00EB4E43">
        <w:t xml:space="preserve">f </w:t>
      </w:r>
      <w:r w:rsidR="005573FB" w:rsidRPr="00EB4E43">
        <w:t xml:space="preserve">only </w:t>
      </w:r>
      <w:r w:rsidR="009F0EFA" w:rsidRPr="00EB4E43">
        <w:t>one</w:t>
      </w:r>
      <w:r w:rsidR="00313203" w:rsidRPr="00EB4E43">
        <w:t xml:space="preserve"> productio</w:t>
      </w:r>
      <w:r w:rsidR="00DF2374" w:rsidRPr="00EB4E43">
        <w:t xml:space="preserve">n area is mentioned in </w:t>
      </w:r>
      <w:r w:rsidR="00313203" w:rsidRPr="00EB4E43">
        <w:t xml:space="preserve">an item </w:t>
      </w:r>
      <w:r w:rsidRPr="00EB4E43">
        <w:t xml:space="preserve">of the table in </w:t>
      </w:r>
      <w:r w:rsidR="00EB4E43" w:rsidRPr="00EB4E43">
        <w:t>subsection (</w:t>
      </w:r>
      <w:r w:rsidRPr="00EB4E43">
        <w:t>5</w:t>
      </w:r>
      <w:r w:rsidR="009F0EFA" w:rsidRPr="00EB4E43">
        <w:t>)</w:t>
      </w:r>
      <w:r w:rsidRPr="00EB4E43">
        <w:t xml:space="preserve">, </w:t>
      </w:r>
      <w:r w:rsidR="00313203" w:rsidRPr="00EB4E43">
        <w:t xml:space="preserve">that production area is </w:t>
      </w:r>
      <w:r w:rsidR="00BC6111" w:rsidRPr="00EB4E43">
        <w:t xml:space="preserve">the whole of </w:t>
      </w:r>
      <w:r w:rsidR="00313203" w:rsidRPr="00EB4E43">
        <w:t>the oil produc</w:t>
      </w:r>
      <w:r w:rsidR="00DF2374" w:rsidRPr="00EB4E43">
        <w:t xml:space="preserve">ing region mentioned in </w:t>
      </w:r>
      <w:r w:rsidR="00313203" w:rsidRPr="00EB4E43">
        <w:t xml:space="preserve">the </w:t>
      </w:r>
      <w:r w:rsidR="009F0EFA" w:rsidRPr="00EB4E43">
        <w:t xml:space="preserve">table </w:t>
      </w:r>
      <w:r w:rsidRPr="00EB4E43">
        <w:t>item.</w:t>
      </w:r>
    </w:p>
    <w:p w:rsidR="00313203" w:rsidRPr="00EB4E43" w:rsidRDefault="00EA3CEE" w:rsidP="00EA3CEE">
      <w:pPr>
        <w:pStyle w:val="subsection"/>
      </w:pPr>
      <w:r w:rsidRPr="00EB4E43">
        <w:tab/>
        <w:t>(3)</w:t>
      </w:r>
      <w:r w:rsidRPr="00EB4E43">
        <w:tab/>
        <w:t>I</w:t>
      </w:r>
      <w:r w:rsidR="009F0EFA" w:rsidRPr="00EB4E43">
        <w:t>f more than one</w:t>
      </w:r>
      <w:r w:rsidR="00313203" w:rsidRPr="00EB4E43">
        <w:t xml:space="preserve"> production area is mentioned in an item </w:t>
      </w:r>
      <w:r w:rsidRPr="00EB4E43">
        <w:t xml:space="preserve">of the table in </w:t>
      </w:r>
      <w:r w:rsidR="00EB4E43" w:rsidRPr="00EB4E43">
        <w:t>subsection (</w:t>
      </w:r>
      <w:r w:rsidRPr="00EB4E43">
        <w:t>5</w:t>
      </w:r>
      <w:r w:rsidR="009F0EFA" w:rsidRPr="00EB4E43">
        <w:t>)</w:t>
      </w:r>
      <w:r w:rsidRPr="00EB4E43">
        <w:t xml:space="preserve">, </w:t>
      </w:r>
      <w:r w:rsidR="00313203" w:rsidRPr="00EB4E43">
        <w:t>those production areas</w:t>
      </w:r>
      <w:r w:rsidR="00BC6111" w:rsidRPr="00EB4E43">
        <w:t xml:space="preserve"> are each part of</w:t>
      </w:r>
      <w:r w:rsidR="00313203" w:rsidRPr="00EB4E43">
        <w:t xml:space="preserve">, </w:t>
      </w:r>
      <w:r w:rsidR="00BC6111" w:rsidRPr="00EB4E43">
        <w:t xml:space="preserve">and </w:t>
      </w:r>
      <w:r w:rsidR="00313203" w:rsidRPr="00EB4E43">
        <w:t>together</w:t>
      </w:r>
      <w:r w:rsidR="00BC6111" w:rsidRPr="00EB4E43">
        <w:t xml:space="preserve"> make up</w:t>
      </w:r>
      <w:r w:rsidR="00313203" w:rsidRPr="00EB4E43">
        <w:t xml:space="preserve">, the oil producing region mentioned in the </w:t>
      </w:r>
      <w:r w:rsidR="009F0EFA" w:rsidRPr="00EB4E43">
        <w:t xml:space="preserve">table </w:t>
      </w:r>
      <w:r w:rsidR="00313203" w:rsidRPr="00EB4E43">
        <w:t>item.</w:t>
      </w:r>
    </w:p>
    <w:p w:rsidR="00313203" w:rsidRPr="00EB4E43" w:rsidRDefault="00EA3CEE" w:rsidP="004445C9">
      <w:pPr>
        <w:pStyle w:val="subsection"/>
      </w:pPr>
      <w:r w:rsidRPr="00EB4E43">
        <w:tab/>
        <w:t>(4</w:t>
      </w:r>
      <w:r w:rsidR="00313203" w:rsidRPr="00EB4E43">
        <w:t>)</w:t>
      </w:r>
      <w:r w:rsidR="00313203" w:rsidRPr="00EB4E43">
        <w:tab/>
      </w:r>
      <w:r w:rsidRPr="00EB4E43">
        <w:t>T</w:t>
      </w:r>
      <w:r w:rsidR="00313203" w:rsidRPr="00EB4E43">
        <w:t>he date specified in an item</w:t>
      </w:r>
      <w:r w:rsidR="009F0EFA" w:rsidRPr="00EB4E43">
        <w:t xml:space="preserve"> of the table</w:t>
      </w:r>
      <w:r w:rsidR="00313203" w:rsidRPr="00EB4E43">
        <w:t xml:space="preserve"> in </w:t>
      </w:r>
      <w:r w:rsidR="00EB4E43" w:rsidRPr="00EB4E43">
        <w:t>subsection (</w:t>
      </w:r>
      <w:r w:rsidRPr="00EB4E43">
        <w:t>5</w:t>
      </w:r>
      <w:r w:rsidR="009F0EFA" w:rsidRPr="00EB4E43">
        <w:t>)</w:t>
      </w:r>
      <w:r w:rsidR="00313203" w:rsidRPr="00EB4E43">
        <w:t xml:space="preserve"> is the VOLWARE commencement date </w:t>
      </w:r>
      <w:r w:rsidR="00AE1B65" w:rsidRPr="00EB4E43">
        <w:t>for</w:t>
      </w:r>
      <w:r w:rsidR="00313203" w:rsidRPr="00EB4E43">
        <w:t xml:space="preserve"> excisable crude petroleum oil obtained from the oil producing region </w:t>
      </w:r>
      <w:r w:rsidR="004C762B" w:rsidRPr="00EB4E43">
        <w:t>mentioned</w:t>
      </w:r>
      <w:r w:rsidR="00313203" w:rsidRPr="00EB4E43">
        <w:t xml:space="preserve"> in </w:t>
      </w:r>
      <w:r w:rsidR="00DF2374" w:rsidRPr="00EB4E43">
        <w:t>the</w:t>
      </w:r>
      <w:r w:rsidR="00313203" w:rsidRPr="00EB4E43">
        <w:t xml:space="preserve"> </w:t>
      </w:r>
      <w:r w:rsidR="009F0EFA" w:rsidRPr="00EB4E43">
        <w:t xml:space="preserve">table </w:t>
      </w:r>
      <w:r w:rsidR="00313203" w:rsidRPr="00EB4E43">
        <w:t>item.</w:t>
      </w:r>
    </w:p>
    <w:p w:rsidR="009F0EFA" w:rsidRPr="00EB4E43" w:rsidRDefault="00EA3CEE" w:rsidP="004445C9">
      <w:pPr>
        <w:pStyle w:val="subsection"/>
      </w:pPr>
      <w:r w:rsidRPr="00EB4E43">
        <w:tab/>
        <w:t>(5</w:t>
      </w:r>
      <w:r w:rsidR="009F0EFA" w:rsidRPr="00EB4E43">
        <w:t>)</w:t>
      </w:r>
      <w:r w:rsidR="009F0EFA" w:rsidRPr="00EB4E43">
        <w:tab/>
        <w:t>The table is as follows:</w:t>
      </w:r>
    </w:p>
    <w:p w:rsidR="009F0EFA" w:rsidRPr="00EB4E43" w:rsidRDefault="009F0EFA" w:rsidP="009F0EFA">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533"/>
        <w:gridCol w:w="2533"/>
        <w:gridCol w:w="2533"/>
      </w:tblGrid>
      <w:tr w:rsidR="009F0EFA" w:rsidRPr="00EB4E43" w:rsidTr="00DE7DCB">
        <w:trPr>
          <w:tblHeader/>
        </w:trPr>
        <w:tc>
          <w:tcPr>
            <w:tcW w:w="8313" w:type="dxa"/>
            <w:gridSpan w:val="4"/>
            <w:tcBorders>
              <w:top w:val="single" w:sz="12" w:space="0" w:color="auto"/>
              <w:bottom w:val="single" w:sz="6" w:space="0" w:color="auto"/>
            </w:tcBorders>
            <w:shd w:val="clear" w:color="auto" w:fill="auto"/>
          </w:tcPr>
          <w:p w:rsidR="009F0EFA" w:rsidRPr="00EB4E43" w:rsidRDefault="009F0EFA" w:rsidP="009F0EFA">
            <w:pPr>
              <w:pStyle w:val="TableHeading"/>
            </w:pPr>
            <w:r w:rsidRPr="00EB4E43">
              <w:t>Oil producing regions, production areas and VOLWARE commencement dates</w:t>
            </w:r>
          </w:p>
        </w:tc>
      </w:tr>
      <w:tr w:rsidR="00DE7DCB" w:rsidRPr="00EB4E43" w:rsidTr="00DE7DCB">
        <w:trPr>
          <w:tblHeader/>
        </w:trPr>
        <w:tc>
          <w:tcPr>
            <w:tcW w:w="714" w:type="dxa"/>
            <w:tcBorders>
              <w:top w:val="single" w:sz="6" w:space="0" w:color="auto"/>
              <w:bottom w:val="single" w:sz="12" w:space="0" w:color="auto"/>
            </w:tcBorders>
            <w:shd w:val="clear" w:color="auto" w:fill="auto"/>
          </w:tcPr>
          <w:p w:rsidR="00E045CE" w:rsidRPr="00EB4E43" w:rsidRDefault="00E045CE" w:rsidP="00B0615F">
            <w:pPr>
              <w:pStyle w:val="TableHeading"/>
            </w:pPr>
            <w:r w:rsidRPr="00EB4E43">
              <w:t>Item</w:t>
            </w:r>
          </w:p>
        </w:tc>
        <w:tc>
          <w:tcPr>
            <w:tcW w:w="2533" w:type="dxa"/>
            <w:tcBorders>
              <w:top w:val="single" w:sz="6" w:space="0" w:color="auto"/>
              <w:bottom w:val="single" w:sz="12" w:space="0" w:color="auto"/>
            </w:tcBorders>
            <w:shd w:val="clear" w:color="auto" w:fill="auto"/>
          </w:tcPr>
          <w:p w:rsidR="00E045CE" w:rsidRPr="00EB4E43" w:rsidRDefault="00E045CE" w:rsidP="00B0615F">
            <w:pPr>
              <w:pStyle w:val="TableHeading"/>
            </w:pPr>
            <w:r w:rsidRPr="00EB4E43">
              <w:t>Oil producing region</w:t>
            </w:r>
          </w:p>
        </w:tc>
        <w:tc>
          <w:tcPr>
            <w:tcW w:w="2533" w:type="dxa"/>
            <w:tcBorders>
              <w:top w:val="single" w:sz="6" w:space="0" w:color="auto"/>
              <w:bottom w:val="single" w:sz="12" w:space="0" w:color="auto"/>
            </w:tcBorders>
            <w:shd w:val="clear" w:color="auto" w:fill="auto"/>
          </w:tcPr>
          <w:p w:rsidR="00E045CE" w:rsidRPr="00EB4E43" w:rsidRDefault="00E045CE" w:rsidP="00B0615F">
            <w:pPr>
              <w:pStyle w:val="TableHeading"/>
            </w:pPr>
            <w:r w:rsidRPr="00EB4E43">
              <w:t>Production areas</w:t>
            </w:r>
          </w:p>
        </w:tc>
        <w:tc>
          <w:tcPr>
            <w:tcW w:w="2533" w:type="dxa"/>
            <w:tcBorders>
              <w:top w:val="single" w:sz="6" w:space="0" w:color="auto"/>
              <w:bottom w:val="single" w:sz="12" w:space="0" w:color="auto"/>
            </w:tcBorders>
            <w:shd w:val="clear" w:color="auto" w:fill="auto"/>
          </w:tcPr>
          <w:p w:rsidR="00E045CE" w:rsidRPr="00EB4E43" w:rsidRDefault="00E045CE" w:rsidP="00B0615F">
            <w:pPr>
              <w:pStyle w:val="TableHeading"/>
            </w:pPr>
            <w:r w:rsidRPr="00EB4E43">
              <w:t>VOLWARE commencement date</w:t>
            </w:r>
          </w:p>
        </w:tc>
      </w:tr>
      <w:tr w:rsidR="009F0EFA" w:rsidRPr="00EB4E43" w:rsidTr="00DE7DCB">
        <w:tc>
          <w:tcPr>
            <w:tcW w:w="714" w:type="dxa"/>
            <w:tcBorders>
              <w:top w:val="single" w:sz="12" w:space="0" w:color="auto"/>
            </w:tcBorders>
            <w:shd w:val="clear" w:color="auto" w:fill="auto"/>
          </w:tcPr>
          <w:p w:rsidR="009F0EFA" w:rsidRPr="00EB4E43" w:rsidRDefault="009F0EFA" w:rsidP="009F0EFA">
            <w:pPr>
              <w:pStyle w:val="Tabletext"/>
            </w:pPr>
            <w:r w:rsidRPr="00EB4E43">
              <w:t>1</w:t>
            </w:r>
          </w:p>
        </w:tc>
        <w:tc>
          <w:tcPr>
            <w:tcW w:w="2533" w:type="dxa"/>
            <w:tcBorders>
              <w:top w:val="single" w:sz="12" w:space="0" w:color="auto"/>
            </w:tcBorders>
            <w:shd w:val="clear" w:color="auto" w:fill="auto"/>
          </w:tcPr>
          <w:p w:rsidR="009F0EFA" w:rsidRPr="00EB4E43" w:rsidRDefault="009F0EFA" w:rsidP="009F0EFA">
            <w:pPr>
              <w:pStyle w:val="Tabletext"/>
            </w:pPr>
            <w:r w:rsidRPr="00EB4E43">
              <w:t>Jackson</w:t>
            </w:r>
          </w:p>
        </w:tc>
        <w:tc>
          <w:tcPr>
            <w:tcW w:w="2533" w:type="dxa"/>
            <w:tcBorders>
              <w:top w:val="single" w:sz="12" w:space="0" w:color="auto"/>
            </w:tcBorders>
            <w:shd w:val="clear" w:color="auto" w:fill="auto"/>
          </w:tcPr>
          <w:p w:rsidR="009F0EFA" w:rsidRPr="00EB4E43" w:rsidRDefault="009F0EFA" w:rsidP="009F0EFA">
            <w:pPr>
              <w:pStyle w:val="Tabletext"/>
            </w:pPr>
            <w:r w:rsidRPr="00EB4E43">
              <w:t>Jackson</w:t>
            </w:r>
          </w:p>
        </w:tc>
        <w:tc>
          <w:tcPr>
            <w:tcW w:w="2533" w:type="dxa"/>
            <w:tcBorders>
              <w:top w:val="single" w:sz="12" w:space="0" w:color="auto"/>
            </w:tcBorders>
            <w:shd w:val="clear" w:color="auto" w:fill="auto"/>
          </w:tcPr>
          <w:p w:rsidR="009F0EFA" w:rsidRPr="00EB4E43" w:rsidRDefault="00DF2374" w:rsidP="009F0EFA">
            <w:pPr>
              <w:pStyle w:val="Tabletext"/>
            </w:pPr>
            <w:r w:rsidRPr="00EB4E43">
              <w:t>1</w:t>
            </w:r>
            <w:r w:rsidR="00EB4E43" w:rsidRPr="00EB4E43">
              <w:t> </w:t>
            </w:r>
            <w:r w:rsidRPr="00EB4E43">
              <w:t>November 1990</w:t>
            </w:r>
          </w:p>
        </w:tc>
      </w:tr>
      <w:tr w:rsidR="009F0EFA" w:rsidRPr="00EB4E43" w:rsidTr="00DE7DCB">
        <w:tc>
          <w:tcPr>
            <w:tcW w:w="714" w:type="dxa"/>
            <w:shd w:val="clear" w:color="auto" w:fill="auto"/>
          </w:tcPr>
          <w:p w:rsidR="009F0EFA" w:rsidRPr="00EB4E43" w:rsidRDefault="009F0EFA" w:rsidP="009F0EFA">
            <w:pPr>
              <w:pStyle w:val="Tabletext"/>
            </w:pPr>
            <w:r w:rsidRPr="00EB4E43">
              <w:t>2</w:t>
            </w:r>
          </w:p>
        </w:tc>
        <w:tc>
          <w:tcPr>
            <w:tcW w:w="2533" w:type="dxa"/>
            <w:shd w:val="clear" w:color="auto" w:fill="auto"/>
          </w:tcPr>
          <w:p w:rsidR="009F0EFA" w:rsidRPr="00EB4E43" w:rsidRDefault="009F0EFA" w:rsidP="009F0EFA">
            <w:pPr>
              <w:pStyle w:val="Tabletext"/>
            </w:pPr>
            <w:r w:rsidRPr="00EB4E43">
              <w:t>Thevenard Island</w:t>
            </w:r>
          </w:p>
        </w:tc>
        <w:tc>
          <w:tcPr>
            <w:tcW w:w="2533" w:type="dxa"/>
            <w:shd w:val="clear" w:color="auto" w:fill="auto"/>
          </w:tcPr>
          <w:p w:rsidR="009F0EFA" w:rsidRPr="00EB4E43" w:rsidRDefault="009F0EFA" w:rsidP="009F0EFA">
            <w:pPr>
              <w:pStyle w:val="Tablea"/>
            </w:pPr>
            <w:r w:rsidRPr="00EB4E43">
              <w:t>(a) Saladin;</w:t>
            </w:r>
          </w:p>
          <w:p w:rsidR="009F0EFA" w:rsidRPr="00EB4E43" w:rsidRDefault="009F0EFA" w:rsidP="009F0EFA">
            <w:pPr>
              <w:pStyle w:val="Tablea"/>
            </w:pPr>
            <w:r w:rsidRPr="00EB4E43">
              <w:t>(b) Roller/Skate</w:t>
            </w:r>
          </w:p>
        </w:tc>
        <w:tc>
          <w:tcPr>
            <w:tcW w:w="2533" w:type="dxa"/>
            <w:shd w:val="clear" w:color="auto" w:fill="auto"/>
          </w:tcPr>
          <w:p w:rsidR="009F0EFA" w:rsidRPr="00EB4E43" w:rsidRDefault="00BC4191" w:rsidP="009F0EFA">
            <w:pPr>
              <w:pStyle w:val="Tabletext"/>
            </w:pPr>
            <w:r w:rsidRPr="00EB4E43">
              <w:t xml:space="preserve">Date on which </w:t>
            </w:r>
            <w:r w:rsidR="00D70655" w:rsidRPr="00EB4E43">
              <w:t xml:space="preserve">total </w:t>
            </w:r>
            <w:r w:rsidRPr="00EB4E43">
              <w:t xml:space="preserve">production of stabilised crude petroleum oil in </w:t>
            </w:r>
            <w:r w:rsidR="005C3A5C" w:rsidRPr="00EB4E43">
              <w:t xml:space="preserve">the </w:t>
            </w:r>
            <w:r w:rsidRPr="00EB4E43">
              <w:t>production area</w:t>
            </w:r>
            <w:r w:rsidR="005C3A5C" w:rsidRPr="00EB4E43">
              <w:t>s</w:t>
            </w:r>
            <w:r w:rsidRPr="00EB4E43">
              <w:t xml:space="preserve"> exceeds 4767.3 megalitres</w:t>
            </w:r>
          </w:p>
        </w:tc>
      </w:tr>
      <w:tr w:rsidR="009F0EFA" w:rsidRPr="00EB4E43" w:rsidTr="00DE7DCB">
        <w:tc>
          <w:tcPr>
            <w:tcW w:w="714" w:type="dxa"/>
            <w:shd w:val="clear" w:color="auto" w:fill="auto"/>
          </w:tcPr>
          <w:p w:rsidR="009F0EFA" w:rsidRPr="00EB4E43" w:rsidRDefault="009F0EFA" w:rsidP="009F0EFA">
            <w:pPr>
              <w:pStyle w:val="Tabletext"/>
            </w:pPr>
            <w:r w:rsidRPr="00EB4E43">
              <w:t>3</w:t>
            </w:r>
          </w:p>
        </w:tc>
        <w:tc>
          <w:tcPr>
            <w:tcW w:w="2533" w:type="dxa"/>
            <w:shd w:val="clear" w:color="auto" w:fill="auto"/>
          </w:tcPr>
          <w:p w:rsidR="009F0EFA" w:rsidRPr="00EB4E43" w:rsidRDefault="009F0EFA" w:rsidP="009F0EFA">
            <w:pPr>
              <w:pStyle w:val="Tabletext"/>
            </w:pPr>
            <w:r w:rsidRPr="00EB4E43">
              <w:t>Varanus Island</w:t>
            </w:r>
          </w:p>
        </w:tc>
        <w:tc>
          <w:tcPr>
            <w:tcW w:w="2533" w:type="dxa"/>
            <w:shd w:val="clear" w:color="auto" w:fill="auto"/>
          </w:tcPr>
          <w:p w:rsidR="009F0EFA" w:rsidRPr="00EB4E43" w:rsidRDefault="009F0EFA" w:rsidP="009F0EFA">
            <w:pPr>
              <w:pStyle w:val="Tabletext"/>
            </w:pPr>
            <w:r w:rsidRPr="00EB4E43">
              <w:t>Harriet/Lenita</w:t>
            </w:r>
          </w:p>
        </w:tc>
        <w:tc>
          <w:tcPr>
            <w:tcW w:w="2533" w:type="dxa"/>
            <w:shd w:val="clear" w:color="auto" w:fill="auto"/>
          </w:tcPr>
          <w:p w:rsidR="009F0EFA" w:rsidRPr="00EB4E43" w:rsidRDefault="00BC4191" w:rsidP="009F0EFA">
            <w:pPr>
              <w:pStyle w:val="Tabletext"/>
            </w:pPr>
            <w:r w:rsidRPr="00EB4E43">
              <w:t xml:space="preserve">Date on which production of stabilised crude petroleum oil in </w:t>
            </w:r>
            <w:r w:rsidR="005C3A5C" w:rsidRPr="00EB4E43">
              <w:t xml:space="preserve">the </w:t>
            </w:r>
            <w:r w:rsidRPr="00EB4E43">
              <w:t>production area exceeds 4767.3 megalitres</w:t>
            </w:r>
          </w:p>
        </w:tc>
      </w:tr>
      <w:tr w:rsidR="009F0EFA" w:rsidRPr="00EB4E43" w:rsidTr="00DE7DCB">
        <w:tc>
          <w:tcPr>
            <w:tcW w:w="714" w:type="dxa"/>
            <w:tcBorders>
              <w:bottom w:val="single" w:sz="2" w:space="0" w:color="auto"/>
            </w:tcBorders>
            <w:shd w:val="clear" w:color="auto" w:fill="auto"/>
          </w:tcPr>
          <w:p w:rsidR="009F0EFA" w:rsidRPr="00EB4E43" w:rsidRDefault="009F0EFA" w:rsidP="009F0EFA">
            <w:pPr>
              <w:pStyle w:val="Tabletext"/>
            </w:pPr>
            <w:r w:rsidRPr="00EB4E43">
              <w:t>4</w:t>
            </w:r>
          </w:p>
        </w:tc>
        <w:tc>
          <w:tcPr>
            <w:tcW w:w="2533" w:type="dxa"/>
            <w:tcBorders>
              <w:bottom w:val="single" w:sz="2" w:space="0" w:color="auto"/>
            </w:tcBorders>
            <w:shd w:val="clear" w:color="auto" w:fill="auto"/>
          </w:tcPr>
          <w:p w:rsidR="009F0EFA" w:rsidRPr="00EB4E43" w:rsidRDefault="009F0EFA" w:rsidP="009F0EFA">
            <w:pPr>
              <w:pStyle w:val="Tabletext"/>
            </w:pPr>
            <w:r w:rsidRPr="00EB4E43">
              <w:t>North West Shelf project area</w:t>
            </w:r>
          </w:p>
        </w:tc>
        <w:tc>
          <w:tcPr>
            <w:tcW w:w="2533" w:type="dxa"/>
            <w:tcBorders>
              <w:bottom w:val="single" w:sz="2" w:space="0" w:color="auto"/>
            </w:tcBorders>
            <w:shd w:val="clear" w:color="auto" w:fill="auto"/>
          </w:tcPr>
          <w:p w:rsidR="009F0EFA" w:rsidRPr="00EB4E43" w:rsidRDefault="009F0EFA" w:rsidP="009F0EFA">
            <w:pPr>
              <w:pStyle w:val="Tablea"/>
            </w:pPr>
            <w:r w:rsidRPr="00EB4E43">
              <w:t>(a) Wanaea;</w:t>
            </w:r>
          </w:p>
          <w:p w:rsidR="009F0EFA" w:rsidRPr="00EB4E43" w:rsidRDefault="009F0EFA" w:rsidP="009F0EFA">
            <w:pPr>
              <w:pStyle w:val="Tablea"/>
            </w:pPr>
            <w:r w:rsidRPr="00EB4E43">
              <w:t>(b) Cossack;</w:t>
            </w:r>
          </w:p>
          <w:p w:rsidR="009F0EFA" w:rsidRPr="00EB4E43" w:rsidRDefault="009F0EFA" w:rsidP="009F0EFA">
            <w:pPr>
              <w:pStyle w:val="Tablea"/>
            </w:pPr>
            <w:r w:rsidRPr="00EB4E43">
              <w:t>(c) Lambert/Hermes</w:t>
            </w:r>
          </w:p>
        </w:tc>
        <w:tc>
          <w:tcPr>
            <w:tcW w:w="2533" w:type="dxa"/>
            <w:tcBorders>
              <w:bottom w:val="single" w:sz="2" w:space="0" w:color="auto"/>
            </w:tcBorders>
            <w:shd w:val="clear" w:color="auto" w:fill="auto"/>
          </w:tcPr>
          <w:p w:rsidR="009F0EFA" w:rsidRPr="00EB4E43" w:rsidRDefault="00BC4191" w:rsidP="009F0EFA">
            <w:pPr>
              <w:pStyle w:val="Tabletext"/>
            </w:pPr>
            <w:r w:rsidRPr="00EB4E43">
              <w:t xml:space="preserve">Date on which </w:t>
            </w:r>
            <w:r w:rsidR="00D70655" w:rsidRPr="00EB4E43">
              <w:t xml:space="preserve">total </w:t>
            </w:r>
            <w:r w:rsidRPr="00EB4E43">
              <w:t xml:space="preserve">production of stabilised crude petroleum oil in </w:t>
            </w:r>
            <w:r w:rsidR="005C3A5C" w:rsidRPr="00EB4E43">
              <w:t xml:space="preserve">the </w:t>
            </w:r>
            <w:r w:rsidRPr="00EB4E43">
              <w:t>production area</w:t>
            </w:r>
            <w:r w:rsidR="005C3A5C" w:rsidRPr="00EB4E43">
              <w:t>s</w:t>
            </w:r>
            <w:r w:rsidRPr="00EB4E43">
              <w:t xml:space="preserve"> exceeds 4767.3 megalitres</w:t>
            </w:r>
          </w:p>
        </w:tc>
      </w:tr>
      <w:tr w:rsidR="009F0EFA" w:rsidRPr="00EB4E43" w:rsidTr="00DE7DCB">
        <w:tc>
          <w:tcPr>
            <w:tcW w:w="714" w:type="dxa"/>
            <w:tcBorders>
              <w:top w:val="single" w:sz="2" w:space="0" w:color="auto"/>
              <w:bottom w:val="single" w:sz="12" w:space="0" w:color="auto"/>
            </w:tcBorders>
            <w:shd w:val="clear" w:color="auto" w:fill="auto"/>
          </w:tcPr>
          <w:p w:rsidR="009F0EFA" w:rsidRPr="00EB4E43" w:rsidRDefault="009F0EFA" w:rsidP="009F0EFA">
            <w:pPr>
              <w:pStyle w:val="Tabletext"/>
            </w:pPr>
            <w:r w:rsidRPr="00EB4E43">
              <w:t>5</w:t>
            </w:r>
          </w:p>
        </w:tc>
        <w:tc>
          <w:tcPr>
            <w:tcW w:w="2533" w:type="dxa"/>
            <w:tcBorders>
              <w:top w:val="single" w:sz="2" w:space="0" w:color="auto"/>
              <w:bottom w:val="single" w:sz="12" w:space="0" w:color="auto"/>
            </w:tcBorders>
            <w:shd w:val="clear" w:color="auto" w:fill="auto"/>
          </w:tcPr>
          <w:p w:rsidR="009F0EFA" w:rsidRPr="00EB4E43" w:rsidRDefault="009F0EFA" w:rsidP="009F0EFA">
            <w:pPr>
              <w:pStyle w:val="Tabletext"/>
            </w:pPr>
            <w:r w:rsidRPr="00EB4E43">
              <w:t>Legendre</w:t>
            </w:r>
          </w:p>
        </w:tc>
        <w:tc>
          <w:tcPr>
            <w:tcW w:w="2533" w:type="dxa"/>
            <w:tcBorders>
              <w:top w:val="single" w:sz="2" w:space="0" w:color="auto"/>
              <w:bottom w:val="single" w:sz="12" w:space="0" w:color="auto"/>
            </w:tcBorders>
            <w:shd w:val="clear" w:color="auto" w:fill="auto"/>
          </w:tcPr>
          <w:p w:rsidR="009F0EFA" w:rsidRPr="00EB4E43" w:rsidRDefault="009F0EFA" w:rsidP="009F0EFA">
            <w:pPr>
              <w:pStyle w:val="Tabletext"/>
            </w:pPr>
            <w:r w:rsidRPr="00EB4E43">
              <w:t>Legendre</w:t>
            </w:r>
          </w:p>
        </w:tc>
        <w:tc>
          <w:tcPr>
            <w:tcW w:w="2533" w:type="dxa"/>
            <w:tcBorders>
              <w:top w:val="single" w:sz="2" w:space="0" w:color="auto"/>
              <w:bottom w:val="single" w:sz="12" w:space="0" w:color="auto"/>
            </w:tcBorders>
            <w:shd w:val="clear" w:color="auto" w:fill="auto"/>
          </w:tcPr>
          <w:p w:rsidR="009F0EFA" w:rsidRPr="00EB4E43" w:rsidRDefault="00BC4191" w:rsidP="009F0EFA">
            <w:pPr>
              <w:pStyle w:val="Tabletext"/>
            </w:pPr>
            <w:r w:rsidRPr="00EB4E43">
              <w:t xml:space="preserve">Date on which production of stabilised crude petroleum oil in </w:t>
            </w:r>
            <w:r w:rsidR="005C3A5C" w:rsidRPr="00EB4E43">
              <w:t xml:space="preserve">the </w:t>
            </w:r>
            <w:r w:rsidRPr="00EB4E43">
              <w:t>production area exceeds 4767.3 megalitres</w:t>
            </w:r>
          </w:p>
        </w:tc>
      </w:tr>
    </w:tbl>
    <w:p w:rsidR="00607B78" w:rsidRPr="00EB4E43" w:rsidRDefault="00607B78" w:rsidP="00607B78">
      <w:pPr>
        <w:pStyle w:val="notetext"/>
      </w:pPr>
      <w:r w:rsidRPr="00EB4E43">
        <w:t>Note:</w:t>
      </w:r>
      <w:r w:rsidRPr="00EB4E43">
        <w:tab/>
        <w:t>The VOLWARE commencement date for items</w:t>
      </w:r>
      <w:r w:rsidR="00EB4E43" w:rsidRPr="00EB4E43">
        <w:t> </w:t>
      </w:r>
      <w:r w:rsidRPr="00EB4E43">
        <w:t xml:space="preserve">2, 3, 4 or 5 is the date on which production from the fields containing the production areas specified in the table item ceases to be exempt from duties of excise under the </w:t>
      </w:r>
      <w:r w:rsidRPr="00EB4E43">
        <w:rPr>
          <w:i/>
        </w:rPr>
        <w:t>Excise Tariff Act 1921</w:t>
      </w:r>
      <w:r w:rsidRPr="00EB4E43">
        <w:t>.</w:t>
      </w:r>
    </w:p>
    <w:p w:rsidR="00313203" w:rsidRPr="00EB4E43" w:rsidRDefault="00DD0634" w:rsidP="004445C9">
      <w:pPr>
        <w:pStyle w:val="ActHead5"/>
      </w:pPr>
      <w:bookmarkStart w:id="9" w:name="_Toc507762615"/>
      <w:r w:rsidRPr="00EB4E43">
        <w:rPr>
          <w:rStyle w:val="CharSectno"/>
        </w:rPr>
        <w:t>7</w:t>
      </w:r>
      <w:r w:rsidR="00313203" w:rsidRPr="00EB4E43">
        <w:t xml:space="preserve">  Oil producing regions</w:t>
      </w:r>
      <w:r w:rsidR="001D587E" w:rsidRPr="00EB4E43">
        <w:t>, production areas</w:t>
      </w:r>
      <w:r w:rsidR="00313203" w:rsidRPr="00EB4E43">
        <w:t xml:space="preserve"> and VOLWARE commencement dates—condensate</w:t>
      </w:r>
      <w:bookmarkEnd w:id="9"/>
    </w:p>
    <w:p w:rsidR="00EA3CEE" w:rsidRPr="00EB4E43" w:rsidRDefault="00EA3CEE" w:rsidP="00EA3CEE">
      <w:pPr>
        <w:pStyle w:val="subsection"/>
      </w:pPr>
      <w:r w:rsidRPr="00EB4E43">
        <w:tab/>
        <w:t>(1)</w:t>
      </w:r>
      <w:r w:rsidRPr="00EB4E43">
        <w:tab/>
        <w:t xml:space="preserve">This section applies for the purposes of the definitions of </w:t>
      </w:r>
      <w:r w:rsidRPr="00EB4E43">
        <w:rPr>
          <w:b/>
          <w:i/>
        </w:rPr>
        <w:t>oil producing region</w:t>
      </w:r>
      <w:r w:rsidRPr="00EB4E43">
        <w:t xml:space="preserve">, </w:t>
      </w:r>
      <w:r w:rsidRPr="00EB4E43">
        <w:rPr>
          <w:b/>
          <w:i/>
        </w:rPr>
        <w:t>production area</w:t>
      </w:r>
      <w:r w:rsidRPr="00EB4E43">
        <w:t xml:space="preserve"> and </w:t>
      </w:r>
      <w:r w:rsidRPr="00EB4E43">
        <w:rPr>
          <w:b/>
          <w:i/>
        </w:rPr>
        <w:t>VOLWARE commencement date</w:t>
      </w:r>
      <w:r w:rsidRPr="00EB4E43">
        <w:t xml:space="preserve"> in subsection</w:t>
      </w:r>
      <w:r w:rsidR="00EB4E43" w:rsidRPr="00EB4E43">
        <w:t> </w:t>
      </w:r>
      <w:r w:rsidRPr="00EB4E43">
        <w:t>4(1) of the Act, to the extent that those definitions relate to condensate.</w:t>
      </w:r>
    </w:p>
    <w:p w:rsidR="00EA3CEE" w:rsidRPr="00EB4E43" w:rsidRDefault="00EA3CEE" w:rsidP="00EA3CEE">
      <w:pPr>
        <w:pStyle w:val="notetext"/>
      </w:pPr>
      <w:r w:rsidRPr="00EB4E43">
        <w:t>Note:</w:t>
      </w:r>
      <w:r w:rsidRPr="00EB4E43">
        <w:tab/>
        <w:t>Section</w:t>
      </w:r>
      <w:r w:rsidR="00EB4E43" w:rsidRPr="00EB4E43">
        <w:t> </w:t>
      </w:r>
      <w:r w:rsidRPr="00EB4E43">
        <w:t>5A of the Act extends the operation of the Act so that it applies to condensate in a corresponding way to the way it applies to stabilised crude petroleum oil.</w:t>
      </w:r>
    </w:p>
    <w:p w:rsidR="00313203" w:rsidRPr="00EB4E43" w:rsidRDefault="00EA3CEE" w:rsidP="00EA3CEE">
      <w:pPr>
        <w:pStyle w:val="subsection"/>
      </w:pPr>
      <w:r w:rsidRPr="00EB4E43">
        <w:tab/>
        <w:t>(2</w:t>
      </w:r>
      <w:r w:rsidR="00313203" w:rsidRPr="00EB4E43">
        <w:t>)</w:t>
      </w:r>
      <w:r w:rsidR="00313203" w:rsidRPr="00EB4E43">
        <w:tab/>
      </w:r>
      <w:r w:rsidRPr="00EB4E43">
        <w:t xml:space="preserve">If </w:t>
      </w:r>
      <w:r w:rsidR="005573FB" w:rsidRPr="00EB4E43">
        <w:t xml:space="preserve">only </w:t>
      </w:r>
      <w:r w:rsidRPr="00EB4E43">
        <w:t>one</w:t>
      </w:r>
      <w:r w:rsidR="00313203" w:rsidRPr="00EB4E43">
        <w:t xml:space="preserve"> production area is mentioned in an item </w:t>
      </w:r>
      <w:r w:rsidR="00BD1059" w:rsidRPr="00EB4E43">
        <w:t xml:space="preserve">of the table in </w:t>
      </w:r>
      <w:r w:rsidR="00EB4E43" w:rsidRPr="00EB4E43">
        <w:t>subsection (</w:t>
      </w:r>
      <w:r w:rsidR="00956C90" w:rsidRPr="00EB4E43">
        <w:t>6</w:t>
      </w:r>
      <w:r w:rsidR="00BD1059" w:rsidRPr="00EB4E43">
        <w:t>),</w:t>
      </w:r>
      <w:r w:rsidR="00313203" w:rsidRPr="00EB4E43">
        <w:t xml:space="preserve"> that production area is the </w:t>
      </w:r>
      <w:r w:rsidR="00BD1059" w:rsidRPr="00EB4E43">
        <w:t xml:space="preserve">whole of the </w:t>
      </w:r>
      <w:r w:rsidR="00313203" w:rsidRPr="00EB4E43">
        <w:t xml:space="preserve">oil producing region mentioned in the </w:t>
      </w:r>
      <w:r w:rsidR="00BD1059" w:rsidRPr="00EB4E43">
        <w:t>table item.</w:t>
      </w:r>
    </w:p>
    <w:p w:rsidR="00313203" w:rsidRPr="00EB4E43" w:rsidRDefault="00BD1059" w:rsidP="00BD1059">
      <w:pPr>
        <w:pStyle w:val="subsection"/>
      </w:pPr>
      <w:r w:rsidRPr="00EB4E43">
        <w:tab/>
        <w:t>(3)</w:t>
      </w:r>
      <w:r w:rsidRPr="00EB4E43">
        <w:tab/>
        <w:t>If more than one</w:t>
      </w:r>
      <w:r w:rsidR="00313203" w:rsidRPr="00EB4E43">
        <w:t xml:space="preserve"> production area is mentioned in </w:t>
      </w:r>
      <w:r w:rsidRPr="00EB4E43">
        <w:t>an</w:t>
      </w:r>
      <w:r w:rsidR="00313203" w:rsidRPr="00EB4E43">
        <w:t xml:space="preserve"> item </w:t>
      </w:r>
      <w:r w:rsidRPr="00EB4E43">
        <w:t xml:space="preserve">of the table </w:t>
      </w:r>
      <w:r w:rsidR="00313203" w:rsidRPr="00EB4E43">
        <w:t xml:space="preserve">in </w:t>
      </w:r>
      <w:r w:rsidR="00EB4E43" w:rsidRPr="00EB4E43">
        <w:t>subsection (</w:t>
      </w:r>
      <w:r w:rsidR="00956C90" w:rsidRPr="00EB4E43">
        <w:t>6</w:t>
      </w:r>
      <w:r w:rsidRPr="00EB4E43">
        <w:t>)</w:t>
      </w:r>
      <w:r w:rsidR="00313203" w:rsidRPr="00EB4E43">
        <w:t>, those production areas</w:t>
      </w:r>
      <w:r w:rsidRPr="00EB4E43">
        <w:t xml:space="preserve"> are each part of</w:t>
      </w:r>
      <w:r w:rsidR="00313203" w:rsidRPr="00EB4E43">
        <w:t xml:space="preserve">, </w:t>
      </w:r>
      <w:r w:rsidRPr="00EB4E43">
        <w:t xml:space="preserve">and </w:t>
      </w:r>
      <w:r w:rsidR="00313203" w:rsidRPr="00EB4E43">
        <w:t>together</w:t>
      </w:r>
      <w:r w:rsidRPr="00EB4E43">
        <w:t xml:space="preserve"> make up</w:t>
      </w:r>
      <w:r w:rsidR="00313203" w:rsidRPr="00EB4E43">
        <w:t xml:space="preserve">, the oil producing </w:t>
      </w:r>
      <w:r w:rsidRPr="00EB4E43">
        <w:t xml:space="preserve">region mentioned in </w:t>
      </w:r>
      <w:r w:rsidR="00313203" w:rsidRPr="00EB4E43">
        <w:t xml:space="preserve">the </w:t>
      </w:r>
      <w:r w:rsidRPr="00EB4E43">
        <w:t xml:space="preserve">table </w:t>
      </w:r>
      <w:r w:rsidR="00313203" w:rsidRPr="00EB4E43">
        <w:t>item.</w:t>
      </w:r>
    </w:p>
    <w:p w:rsidR="00313203" w:rsidRPr="00EB4E43" w:rsidRDefault="00956C90" w:rsidP="004445C9">
      <w:pPr>
        <w:pStyle w:val="subsection"/>
      </w:pPr>
      <w:r w:rsidRPr="00EB4E43">
        <w:tab/>
        <w:t>(4</w:t>
      </w:r>
      <w:r w:rsidR="00313203" w:rsidRPr="00EB4E43">
        <w:t>)</w:t>
      </w:r>
      <w:r w:rsidR="00313203" w:rsidRPr="00EB4E43">
        <w:tab/>
        <w:t>Two or more oil producing regions may have the same name, based on being composed of different production areas.</w:t>
      </w:r>
    </w:p>
    <w:p w:rsidR="00313203" w:rsidRPr="00EB4E43" w:rsidRDefault="00956C90" w:rsidP="004445C9">
      <w:pPr>
        <w:pStyle w:val="subsection"/>
      </w:pPr>
      <w:r w:rsidRPr="00EB4E43">
        <w:tab/>
        <w:t>(5</w:t>
      </w:r>
      <w:r w:rsidR="00313203" w:rsidRPr="00EB4E43">
        <w:t>)</w:t>
      </w:r>
      <w:r w:rsidR="00313203" w:rsidRPr="00EB4E43">
        <w:tab/>
      </w:r>
      <w:r w:rsidRPr="00EB4E43">
        <w:t>T</w:t>
      </w:r>
      <w:r w:rsidR="00313203" w:rsidRPr="00EB4E43">
        <w:t xml:space="preserve">he date specified in </w:t>
      </w:r>
      <w:r w:rsidRPr="00EB4E43">
        <w:t>a</w:t>
      </w:r>
      <w:r w:rsidR="00313203" w:rsidRPr="00EB4E43">
        <w:t xml:space="preserve">n item </w:t>
      </w:r>
      <w:r w:rsidRPr="00EB4E43">
        <w:t xml:space="preserve">of the table in </w:t>
      </w:r>
      <w:r w:rsidR="00EB4E43" w:rsidRPr="00EB4E43">
        <w:t>subsection (</w:t>
      </w:r>
      <w:r w:rsidRPr="00EB4E43">
        <w:t>6)</w:t>
      </w:r>
      <w:r w:rsidR="00313203" w:rsidRPr="00EB4E43">
        <w:t xml:space="preserve"> is the VOLWARE commencement date </w:t>
      </w:r>
      <w:r w:rsidR="00AE1B65" w:rsidRPr="00EB4E43">
        <w:t>for</w:t>
      </w:r>
      <w:r w:rsidR="00313203" w:rsidRPr="00EB4E43">
        <w:t xml:space="preserve"> excisable condensate obtained from the oil producing region </w:t>
      </w:r>
      <w:r w:rsidRPr="00EB4E43">
        <w:t>mentioned in the table item</w:t>
      </w:r>
      <w:r w:rsidR="00313203" w:rsidRPr="00EB4E43">
        <w:t>.</w:t>
      </w:r>
    </w:p>
    <w:p w:rsidR="00A54893" w:rsidRPr="00EB4E43" w:rsidRDefault="00A54893" w:rsidP="00A54893">
      <w:pPr>
        <w:pStyle w:val="subsection"/>
      </w:pPr>
      <w:r w:rsidRPr="00EB4E43">
        <w:tab/>
        <w:t>(</w:t>
      </w:r>
      <w:r w:rsidR="00956C90" w:rsidRPr="00EB4E43">
        <w:t>6</w:t>
      </w:r>
      <w:r w:rsidRPr="00EB4E43">
        <w:t>)</w:t>
      </w:r>
      <w:r w:rsidRPr="00EB4E43">
        <w:tab/>
        <w:t>The table is as follows:</w:t>
      </w:r>
    </w:p>
    <w:p w:rsidR="00A54893" w:rsidRPr="00EB4E43" w:rsidRDefault="00A54893" w:rsidP="00A5489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533"/>
        <w:gridCol w:w="2533"/>
        <w:gridCol w:w="2533"/>
      </w:tblGrid>
      <w:tr w:rsidR="00A54893" w:rsidRPr="00EB4E43" w:rsidTr="00DE7DCB">
        <w:trPr>
          <w:tblHeader/>
        </w:trPr>
        <w:tc>
          <w:tcPr>
            <w:tcW w:w="8313" w:type="dxa"/>
            <w:gridSpan w:val="4"/>
            <w:tcBorders>
              <w:top w:val="single" w:sz="12" w:space="0" w:color="auto"/>
              <w:bottom w:val="single" w:sz="6" w:space="0" w:color="auto"/>
            </w:tcBorders>
            <w:shd w:val="clear" w:color="auto" w:fill="auto"/>
          </w:tcPr>
          <w:p w:rsidR="00A54893" w:rsidRPr="00EB4E43" w:rsidRDefault="00A54893" w:rsidP="00E067A1">
            <w:pPr>
              <w:pStyle w:val="TableHeading"/>
            </w:pPr>
            <w:r w:rsidRPr="00EB4E43">
              <w:t>Oil producing regions, production areas and VOLWARE commencement dates</w:t>
            </w:r>
          </w:p>
        </w:tc>
      </w:tr>
      <w:tr w:rsidR="00DE7DCB" w:rsidRPr="00EB4E43" w:rsidTr="00DE7DCB">
        <w:trPr>
          <w:tblHeader/>
        </w:trPr>
        <w:tc>
          <w:tcPr>
            <w:tcW w:w="714" w:type="dxa"/>
            <w:tcBorders>
              <w:top w:val="single" w:sz="6" w:space="0" w:color="auto"/>
              <w:bottom w:val="single" w:sz="12" w:space="0" w:color="auto"/>
            </w:tcBorders>
            <w:shd w:val="clear" w:color="auto" w:fill="auto"/>
          </w:tcPr>
          <w:p w:rsidR="00DE7DCB" w:rsidRPr="00EB4E43" w:rsidRDefault="00DE7DCB" w:rsidP="00B0615F">
            <w:pPr>
              <w:pStyle w:val="TableHeading"/>
            </w:pPr>
            <w:r w:rsidRPr="00EB4E43">
              <w:t>Item</w:t>
            </w:r>
          </w:p>
        </w:tc>
        <w:tc>
          <w:tcPr>
            <w:tcW w:w="2533" w:type="dxa"/>
            <w:tcBorders>
              <w:top w:val="single" w:sz="6" w:space="0" w:color="auto"/>
              <w:bottom w:val="single" w:sz="12" w:space="0" w:color="auto"/>
            </w:tcBorders>
            <w:shd w:val="clear" w:color="auto" w:fill="auto"/>
          </w:tcPr>
          <w:p w:rsidR="00DE7DCB" w:rsidRPr="00EB4E43" w:rsidRDefault="00DE7DCB" w:rsidP="00B0615F">
            <w:pPr>
              <w:pStyle w:val="TableHeading"/>
            </w:pPr>
            <w:r w:rsidRPr="00EB4E43">
              <w:t>Oil producing region</w:t>
            </w:r>
          </w:p>
        </w:tc>
        <w:tc>
          <w:tcPr>
            <w:tcW w:w="2533" w:type="dxa"/>
            <w:tcBorders>
              <w:top w:val="single" w:sz="6" w:space="0" w:color="auto"/>
              <w:bottom w:val="single" w:sz="12" w:space="0" w:color="auto"/>
            </w:tcBorders>
            <w:shd w:val="clear" w:color="auto" w:fill="auto"/>
          </w:tcPr>
          <w:p w:rsidR="00DE7DCB" w:rsidRPr="00EB4E43" w:rsidRDefault="00DE7DCB" w:rsidP="00B0615F">
            <w:pPr>
              <w:pStyle w:val="TableHeading"/>
            </w:pPr>
            <w:r w:rsidRPr="00EB4E43">
              <w:t>Production areas</w:t>
            </w:r>
          </w:p>
        </w:tc>
        <w:tc>
          <w:tcPr>
            <w:tcW w:w="2533" w:type="dxa"/>
            <w:tcBorders>
              <w:top w:val="single" w:sz="6" w:space="0" w:color="auto"/>
              <w:bottom w:val="single" w:sz="12" w:space="0" w:color="auto"/>
            </w:tcBorders>
            <w:shd w:val="clear" w:color="auto" w:fill="auto"/>
          </w:tcPr>
          <w:p w:rsidR="00DE7DCB" w:rsidRPr="00EB4E43" w:rsidRDefault="00DE7DCB" w:rsidP="00B0615F">
            <w:pPr>
              <w:pStyle w:val="TableHeading"/>
            </w:pPr>
            <w:r w:rsidRPr="00EB4E43">
              <w:t>VOLWARE commencement date</w:t>
            </w:r>
          </w:p>
        </w:tc>
      </w:tr>
      <w:tr w:rsidR="00A54893" w:rsidRPr="00EB4E43" w:rsidTr="00DE7DCB">
        <w:tc>
          <w:tcPr>
            <w:tcW w:w="714" w:type="dxa"/>
            <w:tcBorders>
              <w:top w:val="single" w:sz="12" w:space="0" w:color="auto"/>
            </w:tcBorders>
            <w:shd w:val="clear" w:color="auto" w:fill="auto"/>
          </w:tcPr>
          <w:p w:rsidR="00A54893" w:rsidRPr="00EB4E43" w:rsidRDefault="00A54893" w:rsidP="00E067A1">
            <w:pPr>
              <w:pStyle w:val="Tabletext"/>
            </w:pPr>
            <w:r w:rsidRPr="00EB4E43">
              <w:t>1</w:t>
            </w:r>
          </w:p>
        </w:tc>
        <w:tc>
          <w:tcPr>
            <w:tcW w:w="2533" w:type="dxa"/>
            <w:tcBorders>
              <w:top w:val="single" w:sz="12" w:space="0" w:color="auto"/>
            </w:tcBorders>
            <w:shd w:val="clear" w:color="auto" w:fill="auto"/>
          </w:tcPr>
          <w:p w:rsidR="00A54893" w:rsidRPr="00EB4E43" w:rsidRDefault="00A54893" w:rsidP="00E067A1">
            <w:pPr>
              <w:pStyle w:val="Tabletext"/>
            </w:pPr>
            <w:r w:rsidRPr="00EB4E43">
              <w:t>Jackson</w:t>
            </w:r>
          </w:p>
        </w:tc>
        <w:tc>
          <w:tcPr>
            <w:tcW w:w="2533" w:type="dxa"/>
            <w:tcBorders>
              <w:top w:val="single" w:sz="12" w:space="0" w:color="auto"/>
            </w:tcBorders>
            <w:shd w:val="clear" w:color="auto" w:fill="auto"/>
          </w:tcPr>
          <w:p w:rsidR="00A54893" w:rsidRPr="00EB4E43" w:rsidRDefault="00A54893" w:rsidP="00E067A1">
            <w:pPr>
              <w:pStyle w:val="Tabletext"/>
            </w:pPr>
            <w:r w:rsidRPr="00EB4E43">
              <w:t>Jackson</w:t>
            </w:r>
          </w:p>
        </w:tc>
        <w:tc>
          <w:tcPr>
            <w:tcW w:w="2533" w:type="dxa"/>
            <w:tcBorders>
              <w:top w:val="single" w:sz="12" w:space="0" w:color="auto"/>
            </w:tcBorders>
            <w:shd w:val="clear" w:color="auto" w:fill="auto"/>
          </w:tcPr>
          <w:p w:rsidR="00A54893" w:rsidRPr="00EB4E43" w:rsidRDefault="00A54893" w:rsidP="00E067A1">
            <w:pPr>
              <w:pStyle w:val="Tabletext"/>
            </w:pPr>
            <w:r w:rsidRPr="00EB4E43">
              <w:t>13</w:t>
            </w:r>
            <w:r w:rsidR="00EB4E43" w:rsidRPr="00EB4E43">
              <w:t> </w:t>
            </w:r>
            <w:r w:rsidRPr="00EB4E43">
              <w:t>May 2008</w:t>
            </w:r>
          </w:p>
        </w:tc>
      </w:tr>
      <w:tr w:rsidR="00A54893" w:rsidRPr="00EB4E43" w:rsidTr="00DE7DCB">
        <w:tc>
          <w:tcPr>
            <w:tcW w:w="714" w:type="dxa"/>
            <w:shd w:val="clear" w:color="auto" w:fill="auto"/>
          </w:tcPr>
          <w:p w:rsidR="00A54893" w:rsidRPr="00EB4E43" w:rsidRDefault="00A54893" w:rsidP="00E067A1">
            <w:pPr>
              <w:pStyle w:val="Tabletext"/>
            </w:pPr>
            <w:r w:rsidRPr="00EB4E43">
              <w:t>2</w:t>
            </w:r>
          </w:p>
        </w:tc>
        <w:tc>
          <w:tcPr>
            <w:tcW w:w="2533" w:type="dxa"/>
            <w:shd w:val="clear" w:color="auto" w:fill="auto"/>
          </w:tcPr>
          <w:p w:rsidR="00A54893" w:rsidRPr="00EB4E43" w:rsidRDefault="00A54893" w:rsidP="00E067A1">
            <w:pPr>
              <w:pStyle w:val="Tabletext"/>
            </w:pPr>
            <w:r w:rsidRPr="00EB4E43">
              <w:t>Thevenard Island</w:t>
            </w:r>
          </w:p>
        </w:tc>
        <w:tc>
          <w:tcPr>
            <w:tcW w:w="2533" w:type="dxa"/>
            <w:shd w:val="clear" w:color="auto" w:fill="auto"/>
          </w:tcPr>
          <w:p w:rsidR="00A54893" w:rsidRPr="00EB4E43" w:rsidRDefault="00A54893" w:rsidP="00E067A1">
            <w:pPr>
              <w:pStyle w:val="Tablea"/>
            </w:pPr>
            <w:r w:rsidRPr="00EB4E43">
              <w:t>(a) Saladin;</w:t>
            </w:r>
          </w:p>
          <w:p w:rsidR="00A54893" w:rsidRPr="00EB4E43" w:rsidRDefault="00A54893" w:rsidP="00E067A1">
            <w:pPr>
              <w:pStyle w:val="Tablea"/>
            </w:pPr>
            <w:r w:rsidRPr="00EB4E43">
              <w:t>(b) Roller/Skate</w:t>
            </w:r>
          </w:p>
        </w:tc>
        <w:tc>
          <w:tcPr>
            <w:tcW w:w="2533" w:type="dxa"/>
            <w:shd w:val="clear" w:color="auto" w:fill="auto"/>
          </w:tcPr>
          <w:p w:rsidR="00A54893" w:rsidRPr="00EB4E43" w:rsidRDefault="00A54893" w:rsidP="00E067A1">
            <w:pPr>
              <w:pStyle w:val="Tabletext"/>
              <w:rPr>
                <w:i/>
              </w:rPr>
            </w:pPr>
            <w:r w:rsidRPr="00EB4E43">
              <w:t>13</w:t>
            </w:r>
            <w:r w:rsidR="00EB4E43" w:rsidRPr="00EB4E43">
              <w:t> </w:t>
            </w:r>
            <w:r w:rsidRPr="00EB4E43">
              <w:t>May 2008</w:t>
            </w:r>
          </w:p>
        </w:tc>
      </w:tr>
      <w:tr w:rsidR="00A54893" w:rsidRPr="00EB4E43" w:rsidTr="00DE7DCB">
        <w:tc>
          <w:tcPr>
            <w:tcW w:w="714" w:type="dxa"/>
            <w:shd w:val="clear" w:color="auto" w:fill="auto"/>
          </w:tcPr>
          <w:p w:rsidR="00A54893" w:rsidRPr="00EB4E43" w:rsidRDefault="00A54893" w:rsidP="00E067A1">
            <w:pPr>
              <w:pStyle w:val="Tabletext"/>
            </w:pPr>
            <w:r w:rsidRPr="00EB4E43">
              <w:t>3</w:t>
            </w:r>
          </w:p>
        </w:tc>
        <w:tc>
          <w:tcPr>
            <w:tcW w:w="2533" w:type="dxa"/>
            <w:shd w:val="clear" w:color="auto" w:fill="auto"/>
          </w:tcPr>
          <w:p w:rsidR="00A54893" w:rsidRPr="00EB4E43" w:rsidRDefault="00A54893" w:rsidP="00E067A1">
            <w:pPr>
              <w:pStyle w:val="Tabletext"/>
            </w:pPr>
            <w:r w:rsidRPr="00EB4E43">
              <w:t>Varanus Island</w:t>
            </w:r>
          </w:p>
        </w:tc>
        <w:tc>
          <w:tcPr>
            <w:tcW w:w="2533" w:type="dxa"/>
            <w:shd w:val="clear" w:color="auto" w:fill="auto"/>
          </w:tcPr>
          <w:p w:rsidR="00A54893" w:rsidRPr="00EB4E43" w:rsidRDefault="00A54893" w:rsidP="00E067A1">
            <w:pPr>
              <w:pStyle w:val="Tabletext"/>
            </w:pPr>
            <w:r w:rsidRPr="00EB4E43">
              <w:t>Harriet/Lenita</w:t>
            </w:r>
          </w:p>
        </w:tc>
        <w:tc>
          <w:tcPr>
            <w:tcW w:w="2533" w:type="dxa"/>
            <w:shd w:val="clear" w:color="auto" w:fill="auto"/>
          </w:tcPr>
          <w:p w:rsidR="00A54893" w:rsidRPr="00EB4E43" w:rsidRDefault="00A54893" w:rsidP="00E067A1">
            <w:pPr>
              <w:pStyle w:val="Tabletext"/>
            </w:pPr>
            <w:r w:rsidRPr="00EB4E43">
              <w:t>13</w:t>
            </w:r>
            <w:r w:rsidR="00EB4E43" w:rsidRPr="00EB4E43">
              <w:t> </w:t>
            </w:r>
            <w:r w:rsidRPr="00EB4E43">
              <w:t>May 2008</w:t>
            </w:r>
          </w:p>
        </w:tc>
      </w:tr>
      <w:tr w:rsidR="00A54893" w:rsidRPr="00EB4E43" w:rsidTr="00DE7DCB">
        <w:tc>
          <w:tcPr>
            <w:tcW w:w="714" w:type="dxa"/>
            <w:shd w:val="clear" w:color="auto" w:fill="auto"/>
          </w:tcPr>
          <w:p w:rsidR="00A54893" w:rsidRPr="00EB4E43" w:rsidRDefault="00A54893" w:rsidP="00E067A1">
            <w:pPr>
              <w:pStyle w:val="Tabletext"/>
            </w:pPr>
            <w:r w:rsidRPr="00EB4E43">
              <w:t>4</w:t>
            </w:r>
          </w:p>
        </w:tc>
        <w:tc>
          <w:tcPr>
            <w:tcW w:w="2533" w:type="dxa"/>
            <w:shd w:val="clear" w:color="auto" w:fill="auto"/>
          </w:tcPr>
          <w:p w:rsidR="00A54893" w:rsidRPr="00EB4E43" w:rsidRDefault="00A54893" w:rsidP="00E067A1">
            <w:pPr>
              <w:pStyle w:val="Tabletext"/>
            </w:pPr>
            <w:r w:rsidRPr="00EB4E43">
              <w:t>North West Shelf project area</w:t>
            </w:r>
          </w:p>
        </w:tc>
        <w:tc>
          <w:tcPr>
            <w:tcW w:w="2533" w:type="dxa"/>
            <w:shd w:val="clear" w:color="auto" w:fill="auto"/>
          </w:tcPr>
          <w:p w:rsidR="00A54893" w:rsidRPr="00EB4E43" w:rsidRDefault="00A54893" w:rsidP="00E067A1">
            <w:pPr>
              <w:pStyle w:val="Tablea"/>
            </w:pPr>
            <w:r w:rsidRPr="00EB4E43">
              <w:t>(a) Wanaea;</w:t>
            </w:r>
          </w:p>
          <w:p w:rsidR="00A54893" w:rsidRPr="00EB4E43" w:rsidRDefault="00A54893" w:rsidP="00E067A1">
            <w:pPr>
              <w:pStyle w:val="Tablea"/>
            </w:pPr>
            <w:r w:rsidRPr="00EB4E43">
              <w:t>(b) Cossack;</w:t>
            </w:r>
          </w:p>
          <w:p w:rsidR="00A54893" w:rsidRPr="00EB4E43" w:rsidRDefault="00A54893" w:rsidP="00E067A1">
            <w:pPr>
              <w:pStyle w:val="Tablea"/>
            </w:pPr>
            <w:r w:rsidRPr="00EB4E43">
              <w:t>(c) Lambert/Hermes</w:t>
            </w:r>
          </w:p>
        </w:tc>
        <w:tc>
          <w:tcPr>
            <w:tcW w:w="2533" w:type="dxa"/>
            <w:shd w:val="clear" w:color="auto" w:fill="auto"/>
          </w:tcPr>
          <w:p w:rsidR="00A54893" w:rsidRPr="00EB4E43" w:rsidRDefault="00A54893" w:rsidP="00E067A1">
            <w:pPr>
              <w:pStyle w:val="Tabletext"/>
            </w:pPr>
            <w:r w:rsidRPr="00EB4E43">
              <w:t>13</w:t>
            </w:r>
            <w:r w:rsidR="00EB4E43" w:rsidRPr="00EB4E43">
              <w:t> </w:t>
            </w:r>
            <w:r w:rsidRPr="00EB4E43">
              <w:t>May 2008</w:t>
            </w:r>
          </w:p>
        </w:tc>
      </w:tr>
      <w:tr w:rsidR="00A54893" w:rsidRPr="00EB4E43" w:rsidTr="00DE7DCB">
        <w:tc>
          <w:tcPr>
            <w:tcW w:w="714" w:type="dxa"/>
            <w:shd w:val="clear" w:color="auto" w:fill="auto"/>
          </w:tcPr>
          <w:p w:rsidR="00A54893" w:rsidRPr="00EB4E43" w:rsidRDefault="00A54893" w:rsidP="00E067A1">
            <w:pPr>
              <w:pStyle w:val="Tabletext"/>
            </w:pPr>
            <w:r w:rsidRPr="00EB4E43">
              <w:t>5</w:t>
            </w:r>
          </w:p>
        </w:tc>
        <w:tc>
          <w:tcPr>
            <w:tcW w:w="2533" w:type="dxa"/>
            <w:shd w:val="clear" w:color="auto" w:fill="auto"/>
          </w:tcPr>
          <w:p w:rsidR="00A54893" w:rsidRPr="00EB4E43" w:rsidRDefault="00A54893" w:rsidP="00E067A1">
            <w:pPr>
              <w:pStyle w:val="Tabletext"/>
            </w:pPr>
            <w:r w:rsidRPr="00EB4E43">
              <w:t>Legendre</w:t>
            </w:r>
          </w:p>
        </w:tc>
        <w:tc>
          <w:tcPr>
            <w:tcW w:w="2533" w:type="dxa"/>
            <w:shd w:val="clear" w:color="auto" w:fill="auto"/>
          </w:tcPr>
          <w:p w:rsidR="00A54893" w:rsidRPr="00EB4E43" w:rsidRDefault="00A54893" w:rsidP="00E067A1">
            <w:pPr>
              <w:pStyle w:val="Tabletext"/>
            </w:pPr>
            <w:r w:rsidRPr="00EB4E43">
              <w:t>Legendre</w:t>
            </w:r>
          </w:p>
        </w:tc>
        <w:tc>
          <w:tcPr>
            <w:tcW w:w="2533" w:type="dxa"/>
            <w:shd w:val="clear" w:color="auto" w:fill="auto"/>
          </w:tcPr>
          <w:p w:rsidR="00A54893" w:rsidRPr="00EB4E43" w:rsidRDefault="00A54893" w:rsidP="00E067A1">
            <w:pPr>
              <w:pStyle w:val="Tabletext"/>
            </w:pPr>
            <w:r w:rsidRPr="00EB4E43">
              <w:t>13</w:t>
            </w:r>
            <w:r w:rsidR="00EB4E43" w:rsidRPr="00EB4E43">
              <w:t> </w:t>
            </w:r>
            <w:r w:rsidRPr="00EB4E43">
              <w:t>May 2008</w:t>
            </w:r>
          </w:p>
        </w:tc>
      </w:tr>
      <w:tr w:rsidR="00A54893" w:rsidRPr="00EB4E43" w:rsidTr="00DE7DCB">
        <w:tc>
          <w:tcPr>
            <w:tcW w:w="714" w:type="dxa"/>
            <w:tcBorders>
              <w:bottom w:val="single" w:sz="2" w:space="0" w:color="auto"/>
            </w:tcBorders>
            <w:shd w:val="clear" w:color="auto" w:fill="auto"/>
          </w:tcPr>
          <w:p w:rsidR="00A54893" w:rsidRPr="00EB4E43" w:rsidRDefault="00FE1885" w:rsidP="00E067A1">
            <w:pPr>
              <w:pStyle w:val="Tabletext"/>
            </w:pPr>
            <w:r w:rsidRPr="00EB4E43">
              <w:t>6</w:t>
            </w:r>
          </w:p>
        </w:tc>
        <w:tc>
          <w:tcPr>
            <w:tcW w:w="2533" w:type="dxa"/>
            <w:tcBorders>
              <w:bottom w:val="single" w:sz="2" w:space="0" w:color="auto"/>
            </w:tcBorders>
            <w:shd w:val="clear" w:color="auto" w:fill="auto"/>
          </w:tcPr>
          <w:p w:rsidR="00A54893" w:rsidRPr="00EB4E43" w:rsidRDefault="00FE1885" w:rsidP="00E067A1">
            <w:pPr>
              <w:pStyle w:val="Tabletext"/>
            </w:pPr>
            <w:r w:rsidRPr="00EB4E43">
              <w:t>North West Shelf project area</w:t>
            </w:r>
          </w:p>
        </w:tc>
        <w:tc>
          <w:tcPr>
            <w:tcW w:w="2533" w:type="dxa"/>
            <w:tcBorders>
              <w:bottom w:val="single" w:sz="2" w:space="0" w:color="auto"/>
            </w:tcBorders>
            <w:shd w:val="clear" w:color="auto" w:fill="auto"/>
          </w:tcPr>
          <w:p w:rsidR="00A54893" w:rsidRPr="00EB4E43" w:rsidRDefault="00FE1885" w:rsidP="00E067A1">
            <w:pPr>
              <w:pStyle w:val="Tabletext"/>
            </w:pPr>
            <w:r w:rsidRPr="00EB4E43">
              <w:t>Rankin Trend</w:t>
            </w:r>
          </w:p>
        </w:tc>
        <w:tc>
          <w:tcPr>
            <w:tcW w:w="2533" w:type="dxa"/>
            <w:tcBorders>
              <w:bottom w:val="single" w:sz="2" w:space="0" w:color="auto"/>
            </w:tcBorders>
            <w:shd w:val="clear" w:color="auto" w:fill="auto"/>
          </w:tcPr>
          <w:p w:rsidR="00A54893" w:rsidRPr="00EB4E43" w:rsidRDefault="00A54893" w:rsidP="00E067A1">
            <w:pPr>
              <w:pStyle w:val="Tabletext"/>
            </w:pPr>
            <w:r w:rsidRPr="00EB4E43">
              <w:t>13</w:t>
            </w:r>
            <w:r w:rsidR="00EB4E43" w:rsidRPr="00EB4E43">
              <w:t> </w:t>
            </w:r>
            <w:r w:rsidRPr="00EB4E43">
              <w:t>May 2008</w:t>
            </w:r>
          </w:p>
        </w:tc>
      </w:tr>
      <w:tr w:rsidR="00A54893" w:rsidRPr="00EB4E43" w:rsidTr="00DE7DCB">
        <w:tc>
          <w:tcPr>
            <w:tcW w:w="714" w:type="dxa"/>
            <w:tcBorders>
              <w:top w:val="single" w:sz="2" w:space="0" w:color="auto"/>
              <w:bottom w:val="single" w:sz="12" w:space="0" w:color="auto"/>
            </w:tcBorders>
            <w:shd w:val="clear" w:color="auto" w:fill="auto"/>
          </w:tcPr>
          <w:p w:rsidR="00A54893" w:rsidRPr="00EB4E43" w:rsidRDefault="00FE1885" w:rsidP="00E067A1">
            <w:pPr>
              <w:pStyle w:val="Tabletext"/>
            </w:pPr>
            <w:r w:rsidRPr="00EB4E43">
              <w:t>7</w:t>
            </w:r>
          </w:p>
        </w:tc>
        <w:tc>
          <w:tcPr>
            <w:tcW w:w="2533" w:type="dxa"/>
            <w:tcBorders>
              <w:top w:val="single" w:sz="2" w:space="0" w:color="auto"/>
              <w:bottom w:val="single" w:sz="12" w:space="0" w:color="auto"/>
            </w:tcBorders>
            <w:shd w:val="clear" w:color="auto" w:fill="auto"/>
          </w:tcPr>
          <w:p w:rsidR="00A54893" w:rsidRPr="00EB4E43" w:rsidRDefault="00FE1885" w:rsidP="00E067A1">
            <w:pPr>
              <w:pStyle w:val="Tabletext"/>
            </w:pPr>
            <w:r w:rsidRPr="00EB4E43">
              <w:t>North West Shelf project area</w:t>
            </w:r>
          </w:p>
        </w:tc>
        <w:tc>
          <w:tcPr>
            <w:tcW w:w="2533" w:type="dxa"/>
            <w:tcBorders>
              <w:top w:val="single" w:sz="2" w:space="0" w:color="auto"/>
              <w:bottom w:val="single" w:sz="12" w:space="0" w:color="auto"/>
            </w:tcBorders>
            <w:shd w:val="clear" w:color="auto" w:fill="auto"/>
          </w:tcPr>
          <w:p w:rsidR="00A54893" w:rsidRPr="00EB4E43" w:rsidRDefault="00FE1885" w:rsidP="00E067A1">
            <w:pPr>
              <w:pStyle w:val="Tabletext"/>
            </w:pPr>
            <w:r w:rsidRPr="00EB4E43">
              <w:t>Angel</w:t>
            </w:r>
          </w:p>
        </w:tc>
        <w:tc>
          <w:tcPr>
            <w:tcW w:w="2533" w:type="dxa"/>
            <w:tcBorders>
              <w:top w:val="single" w:sz="2" w:space="0" w:color="auto"/>
              <w:bottom w:val="single" w:sz="12" w:space="0" w:color="auto"/>
            </w:tcBorders>
            <w:shd w:val="clear" w:color="auto" w:fill="auto"/>
          </w:tcPr>
          <w:p w:rsidR="00A54893" w:rsidRPr="00EB4E43" w:rsidRDefault="005C3A5C" w:rsidP="00E067A1">
            <w:pPr>
              <w:pStyle w:val="Tabletext"/>
            </w:pPr>
            <w:r w:rsidRPr="00EB4E43">
              <w:t>Date on which production of condensate and stabilised crude petroleum oil in the production area exceeds 4767.3 megalitres</w:t>
            </w:r>
          </w:p>
        </w:tc>
      </w:tr>
    </w:tbl>
    <w:p w:rsidR="00313203" w:rsidRPr="00EB4E43" w:rsidRDefault="00DD0634" w:rsidP="004445C9">
      <w:pPr>
        <w:pStyle w:val="ActHead5"/>
      </w:pPr>
      <w:bookmarkStart w:id="10" w:name="_Toc507762616"/>
      <w:r w:rsidRPr="00EB4E43">
        <w:rPr>
          <w:rStyle w:val="CharSectno"/>
        </w:rPr>
        <w:t>8</w:t>
      </w:r>
      <w:r w:rsidR="00105C68" w:rsidRPr="00EB4E43">
        <w:t xml:space="preserve">  Transactions entered into—</w:t>
      </w:r>
      <w:r w:rsidR="00313203" w:rsidRPr="00EB4E43">
        <w:t>prescribed information</w:t>
      </w:r>
      <w:r w:rsidR="00105C68" w:rsidRPr="00EB4E43">
        <w:t xml:space="preserve"> for giving to the Minister</w:t>
      </w:r>
      <w:bookmarkEnd w:id="10"/>
    </w:p>
    <w:p w:rsidR="004D68E2" w:rsidRPr="00EB4E43" w:rsidRDefault="00313203" w:rsidP="004445C9">
      <w:pPr>
        <w:pStyle w:val="subsection"/>
      </w:pPr>
      <w:r w:rsidRPr="00EB4E43">
        <w:tab/>
        <w:t>(1)</w:t>
      </w:r>
      <w:r w:rsidRPr="00EB4E43">
        <w:tab/>
        <w:t xml:space="preserve">For </w:t>
      </w:r>
      <w:r w:rsidR="004445C9" w:rsidRPr="00EB4E43">
        <w:t xml:space="preserve">the purposes of </w:t>
      </w:r>
      <w:r w:rsidRPr="00EB4E43">
        <w:t>subsection</w:t>
      </w:r>
      <w:r w:rsidR="00EB4E43" w:rsidRPr="00EB4E43">
        <w:t> </w:t>
      </w:r>
      <w:r w:rsidR="007C79BA" w:rsidRPr="00EB4E43">
        <w:t>6</w:t>
      </w:r>
      <w:r w:rsidRPr="00EB4E43">
        <w:t xml:space="preserve">(1) of the Act, the information </w:t>
      </w:r>
      <w:r w:rsidR="004D68E2" w:rsidRPr="00EB4E43">
        <w:t xml:space="preserve">in </w:t>
      </w:r>
      <w:r w:rsidR="00EB4E43" w:rsidRPr="00EB4E43">
        <w:t>subsection (</w:t>
      </w:r>
      <w:r w:rsidR="004D68E2" w:rsidRPr="00EB4E43">
        <w:t xml:space="preserve">2) of this section </w:t>
      </w:r>
      <w:r w:rsidRPr="00EB4E43">
        <w:t>must be given to the Minister in respect of each transaction concerning excisable crude petroleum oil or excisable condensate that</w:t>
      </w:r>
      <w:r w:rsidR="004D68E2" w:rsidRPr="00EB4E43">
        <w:t>:</w:t>
      </w:r>
    </w:p>
    <w:p w:rsidR="004D68E2" w:rsidRPr="00EB4E43" w:rsidRDefault="004D68E2" w:rsidP="004D68E2">
      <w:pPr>
        <w:pStyle w:val="paragraph"/>
      </w:pPr>
      <w:r w:rsidRPr="00EB4E43">
        <w:tab/>
        <w:t>(a)</w:t>
      </w:r>
      <w:r w:rsidRPr="00EB4E43">
        <w:tab/>
      </w:r>
      <w:r w:rsidR="00313203" w:rsidRPr="00EB4E43">
        <w:t>has been entered for home consumption in a month</w:t>
      </w:r>
      <w:r w:rsidRPr="00EB4E43">
        <w:t>; and</w:t>
      </w:r>
    </w:p>
    <w:p w:rsidR="00313203" w:rsidRPr="00EB4E43" w:rsidRDefault="004D68E2" w:rsidP="004D68E2">
      <w:pPr>
        <w:pStyle w:val="paragraph"/>
      </w:pPr>
      <w:r w:rsidRPr="00EB4E43">
        <w:tab/>
        <w:t>(b)</w:t>
      </w:r>
      <w:r w:rsidRPr="00EB4E43">
        <w:tab/>
      </w:r>
      <w:r w:rsidR="00313203" w:rsidRPr="00EB4E43">
        <w:t>was not produced</w:t>
      </w:r>
      <w:r w:rsidRPr="00EB4E43">
        <w:t xml:space="preserve"> from a limited production area.</w:t>
      </w:r>
    </w:p>
    <w:p w:rsidR="004D68E2" w:rsidRPr="00EB4E43" w:rsidRDefault="004D68E2" w:rsidP="004D68E2">
      <w:pPr>
        <w:pStyle w:val="subsection"/>
      </w:pPr>
      <w:r w:rsidRPr="00EB4E43">
        <w:tab/>
        <w:t>(2)</w:t>
      </w:r>
      <w:r w:rsidRPr="00EB4E43">
        <w:tab/>
        <w:t>The information is as follows:</w:t>
      </w:r>
    </w:p>
    <w:p w:rsidR="00313203" w:rsidRPr="00EB4E43" w:rsidRDefault="00313203" w:rsidP="004445C9">
      <w:pPr>
        <w:pStyle w:val="paragraph"/>
      </w:pPr>
      <w:r w:rsidRPr="00EB4E43">
        <w:tab/>
        <w:t>(a)</w:t>
      </w:r>
      <w:r w:rsidRPr="00EB4E43">
        <w:tab/>
        <w:t>whether the producer and the other party or parties to the transaction, or the producer and any of the parties to the transaction, are associates of each other;</w:t>
      </w:r>
    </w:p>
    <w:p w:rsidR="00313203" w:rsidRPr="00EB4E43" w:rsidRDefault="00313203" w:rsidP="004445C9">
      <w:pPr>
        <w:pStyle w:val="paragraph"/>
      </w:pPr>
      <w:r w:rsidRPr="00EB4E43">
        <w:tab/>
        <w:t>(b)</w:t>
      </w:r>
      <w:r w:rsidRPr="00EB4E43">
        <w:tab/>
        <w:t>whether under the transaction the oil or condensate is to be loaded on a ship or ships or delivered by pipeline;</w:t>
      </w:r>
    </w:p>
    <w:p w:rsidR="00313203" w:rsidRPr="00EB4E43" w:rsidRDefault="00313203" w:rsidP="004445C9">
      <w:pPr>
        <w:pStyle w:val="paragraph"/>
      </w:pPr>
      <w:r w:rsidRPr="00EB4E43">
        <w:tab/>
        <w:t>(c)</w:t>
      </w:r>
      <w:r w:rsidRPr="00EB4E43">
        <w:tab/>
      </w:r>
      <w:r w:rsidR="00B728D0" w:rsidRPr="00EB4E43">
        <w:t>if</w:t>
      </w:r>
      <w:r w:rsidRPr="00EB4E43">
        <w:t xml:space="preserve"> under the transaction all or part of that oil or condensate is loaded on a ship under a contract:</w:t>
      </w:r>
    </w:p>
    <w:p w:rsidR="00313203" w:rsidRPr="00EB4E43" w:rsidRDefault="00313203" w:rsidP="004445C9">
      <w:pPr>
        <w:pStyle w:val="paragraphsub"/>
      </w:pPr>
      <w:r w:rsidRPr="00EB4E43">
        <w:tab/>
        <w:t>(i)</w:t>
      </w:r>
      <w:r w:rsidRPr="00EB4E43">
        <w:tab/>
        <w:t>the name of the producer;</w:t>
      </w:r>
      <w:r w:rsidR="00B728D0" w:rsidRPr="00EB4E43">
        <w:t xml:space="preserve"> and</w:t>
      </w:r>
    </w:p>
    <w:p w:rsidR="00313203" w:rsidRPr="00EB4E43" w:rsidRDefault="00313203" w:rsidP="004445C9">
      <w:pPr>
        <w:pStyle w:val="paragraphsub"/>
      </w:pPr>
      <w:r w:rsidRPr="00EB4E43">
        <w:tab/>
        <w:t>(ii)</w:t>
      </w:r>
      <w:r w:rsidRPr="00EB4E43">
        <w:tab/>
        <w:t>the date of the contract;</w:t>
      </w:r>
      <w:r w:rsidR="00B728D0" w:rsidRPr="00EB4E43">
        <w:t xml:space="preserve"> and</w:t>
      </w:r>
    </w:p>
    <w:p w:rsidR="00313203" w:rsidRPr="00EB4E43" w:rsidRDefault="00313203" w:rsidP="004445C9">
      <w:pPr>
        <w:pStyle w:val="paragraphsub"/>
      </w:pPr>
      <w:r w:rsidRPr="00EB4E43">
        <w:tab/>
        <w:t>(iii)</w:t>
      </w:r>
      <w:r w:rsidRPr="00EB4E43">
        <w:tab/>
        <w:t>the number of the contract, or the shipment number, allocated by the producer;</w:t>
      </w:r>
      <w:r w:rsidR="00B728D0" w:rsidRPr="00EB4E43">
        <w:t xml:space="preserve"> and</w:t>
      </w:r>
    </w:p>
    <w:p w:rsidR="00313203" w:rsidRPr="00EB4E43" w:rsidRDefault="00313203" w:rsidP="004445C9">
      <w:pPr>
        <w:pStyle w:val="paragraphsub"/>
      </w:pPr>
      <w:r w:rsidRPr="00EB4E43">
        <w:tab/>
        <w:t>(iv)</w:t>
      </w:r>
      <w:r w:rsidRPr="00EB4E43">
        <w:tab/>
        <w:t>the purchaser’s name;</w:t>
      </w:r>
      <w:r w:rsidR="00B728D0" w:rsidRPr="00EB4E43">
        <w:t xml:space="preserve"> and</w:t>
      </w:r>
    </w:p>
    <w:p w:rsidR="00313203" w:rsidRPr="00EB4E43" w:rsidRDefault="00313203" w:rsidP="004445C9">
      <w:pPr>
        <w:pStyle w:val="paragraphsub"/>
      </w:pPr>
      <w:r w:rsidRPr="00EB4E43">
        <w:tab/>
        <w:t>(v)</w:t>
      </w:r>
      <w:r w:rsidRPr="00EB4E43">
        <w:tab/>
        <w:t>whether the sale is a domestic sale or an export sale;</w:t>
      </w:r>
      <w:r w:rsidR="00B728D0" w:rsidRPr="00EB4E43">
        <w:t xml:space="preserve"> and</w:t>
      </w:r>
    </w:p>
    <w:p w:rsidR="00313203" w:rsidRPr="00EB4E43" w:rsidRDefault="00313203" w:rsidP="004445C9">
      <w:pPr>
        <w:pStyle w:val="paragraphsub"/>
      </w:pPr>
      <w:r w:rsidRPr="00EB4E43">
        <w:tab/>
        <w:t>(vi)</w:t>
      </w:r>
      <w:r w:rsidRPr="00EB4E43">
        <w:tab/>
      </w:r>
      <w:r w:rsidR="00B728D0" w:rsidRPr="00EB4E43">
        <w:t>in a case where</w:t>
      </w:r>
      <w:r w:rsidRPr="00EB4E43">
        <w:t xml:space="preserve"> the contract so specifies—the destination of the oil or condensate;</w:t>
      </w:r>
      <w:r w:rsidR="00B728D0" w:rsidRPr="00EB4E43">
        <w:t xml:space="preserve"> and</w:t>
      </w:r>
    </w:p>
    <w:p w:rsidR="00313203" w:rsidRPr="00EB4E43" w:rsidRDefault="00313203" w:rsidP="004445C9">
      <w:pPr>
        <w:pStyle w:val="paragraphsub"/>
      </w:pPr>
      <w:r w:rsidRPr="00EB4E43">
        <w:tab/>
        <w:t>(vii)</w:t>
      </w:r>
      <w:r w:rsidRPr="00EB4E43">
        <w:tab/>
        <w:t>the name of the ship;</w:t>
      </w:r>
      <w:r w:rsidR="00B728D0" w:rsidRPr="00EB4E43">
        <w:t xml:space="preserve"> and</w:t>
      </w:r>
    </w:p>
    <w:p w:rsidR="00313203" w:rsidRPr="00EB4E43" w:rsidRDefault="00313203" w:rsidP="004445C9">
      <w:pPr>
        <w:pStyle w:val="paragraphsub"/>
      </w:pPr>
      <w:r w:rsidRPr="00EB4E43">
        <w:tab/>
        <w:t>(viii)</w:t>
      </w:r>
      <w:r w:rsidRPr="00EB4E43">
        <w:tab/>
        <w:t>the number of the bill of lading relating to the oil or condensate;</w:t>
      </w:r>
      <w:r w:rsidR="00B728D0" w:rsidRPr="00EB4E43">
        <w:t xml:space="preserve"> and</w:t>
      </w:r>
    </w:p>
    <w:p w:rsidR="00313203" w:rsidRPr="00EB4E43" w:rsidRDefault="00313203" w:rsidP="004445C9">
      <w:pPr>
        <w:pStyle w:val="paragraphsub"/>
      </w:pPr>
      <w:r w:rsidRPr="00EB4E43">
        <w:tab/>
        <w:t>(ix)</w:t>
      </w:r>
      <w:r w:rsidRPr="00EB4E43">
        <w:tab/>
        <w:t>the date of entry of the oil or condensate for home consumption;</w:t>
      </w:r>
      <w:r w:rsidR="00B728D0" w:rsidRPr="00EB4E43">
        <w:t xml:space="preserve"> and</w:t>
      </w:r>
    </w:p>
    <w:p w:rsidR="00313203" w:rsidRPr="00EB4E43" w:rsidRDefault="00313203" w:rsidP="004445C9">
      <w:pPr>
        <w:pStyle w:val="paragraphsub"/>
      </w:pPr>
      <w:r w:rsidRPr="00EB4E43">
        <w:tab/>
        <w:t>(x)</w:t>
      </w:r>
      <w:r w:rsidRPr="00EB4E43">
        <w:tab/>
        <w:t xml:space="preserve">the quantity of the oil or condensate loaded on the ship (expressed </w:t>
      </w:r>
      <w:r w:rsidR="00B728D0" w:rsidRPr="00EB4E43">
        <w:t>in</w:t>
      </w:r>
      <w:r w:rsidRPr="00EB4E43">
        <w:t xml:space="preserve"> kilolitres and </w:t>
      </w:r>
      <w:r w:rsidR="00B728D0" w:rsidRPr="00EB4E43">
        <w:t>in</w:t>
      </w:r>
      <w:r w:rsidRPr="00EB4E43">
        <w:t xml:space="preserve"> barrels);</w:t>
      </w:r>
      <w:r w:rsidR="00B728D0" w:rsidRPr="00EB4E43">
        <w:t xml:space="preserve"> and</w:t>
      </w:r>
    </w:p>
    <w:p w:rsidR="00313203" w:rsidRPr="00EB4E43" w:rsidRDefault="00313203" w:rsidP="004445C9">
      <w:pPr>
        <w:pStyle w:val="paragraphsub"/>
      </w:pPr>
      <w:r w:rsidRPr="00EB4E43">
        <w:tab/>
        <w:t>(xi)</w:t>
      </w:r>
      <w:r w:rsidRPr="00EB4E43">
        <w:tab/>
      </w:r>
      <w:r w:rsidR="00B728D0" w:rsidRPr="00EB4E43">
        <w:t>in a case where</w:t>
      </w:r>
      <w:r w:rsidRPr="00EB4E43">
        <w:t xml:space="preserve"> the contract is not an f.o.b. contract or any other contract under which the quantity of oil or condensate sold is the quantity of oil or condensate loaded on the ship—the quantity of the oil or condensate delivered under the contract (</w:t>
      </w:r>
      <w:r w:rsidR="00975E6E" w:rsidRPr="00EB4E43">
        <w:t>expressed as an amount of kilolitres and as an equivalent amount of barrels</w:t>
      </w:r>
      <w:r w:rsidRPr="00EB4E43">
        <w:t>);</w:t>
      </w:r>
      <w:r w:rsidR="00742A46" w:rsidRPr="00EB4E43">
        <w:t xml:space="preserve"> and</w:t>
      </w:r>
    </w:p>
    <w:p w:rsidR="00313203" w:rsidRPr="00EB4E43" w:rsidRDefault="00313203" w:rsidP="004445C9">
      <w:pPr>
        <w:pStyle w:val="paragraphsub"/>
      </w:pPr>
      <w:r w:rsidRPr="00EB4E43">
        <w:tab/>
        <w:t>(xii)</w:t>
      </w:r>
      <w:r w:rsidRPr="00EB4E43">
        <w:tab/>
        <w:t>whether the contract is an f.o.b. contract;</w:t>
      </w:r>
      <w:r w:rsidR="00742A46" w:rsidRPr="00EB4E43">
        <w:t xml:space="preserve"> and</w:t>
      </w:r>
    </w:p>
    <w:p w:rsidR="00313203" w:rsidRPr="00EB4E43" w:rsidRDefault="00313203" w:rsidP="004445C9">
      <w:pPr>
        <w:pStyle w:val="paragraphsub"/>
      </w:pPr>
      <w:r w:rsidRPr="00EB4E43">
        <w:tab/>
        <w:t>(xiii)</w:t>
      </w:r>
      <w:r w:rsidRPr="00EB4E43">
        <w:tab/>
        <w:t>the price per kilolitre or per barrel for the oil or condensate;</w:t>
      </w:r>
      <w:r w:rsidR="00742A46" w:rsidRPr="00EB4E43">
        <w:t xml:space="preserve"> and</w:t>
      </w:r>
    </w:p>
    <w:p w:rsidR="00313203" w:rsidRPr="00EB4E43" w:rsidRDefault="00742A46" w:rsidP="00B728D0">
      <w:pPr>
        <w:pStyle w:val="paragraphsub"/>
      </w:pPr>
      <w:r w:rsidRPr="00EB4E43">
        <w:tab/>
        <w:t>(xiv</w:t>
      </w:r>
      <w:r w:rsidR="00313203" w:rsidRPr="00EB4E43">
        <w:t>)</w:t>
      </w:r>
      <w:r w:rsidR="00313203" w:rsidRPr="00EB4E43">
        <w:tab/>
        <w:t xml:space="preserve">if the price given under </w:t>
      </w:r>
      <w:r w:rsidR="00EB4E43" w:rsidRPr="00EB4E43">
        <w:t>subparagraph (</w:t>
      </w:r>
      <w:r w:rsidR="00313203" w:rsidRPr="00EB4E43">
        <w:t>xiii) includes an amount of GST payable on the supply to which that price relates</w:t>
      </w:r>
      <w:r w:rsidR="00B728D0" w:rsidRPr="00EB4E43">
        <w:t xml:space="preserve">—the amount of GST, and </w:t>
      </w:r>
      <w:r w:rsidR="00313203" w:rsidRPr="00EB4E43">
        <w:t>the amount (less GST) payable for the supply;</w:t>
      </w:r>
      <w:r w:rsidR="00B728D0" w:rsidRPr="00EB4E43">
        <w:t xml:space="preserve"> and</w:t>
      </w:r>
    </w:p>
    <w:p w:rsidR="00313203" w:rsidRPr="00EB4E43" w:rsidRDefault="00742A46" w:rsidP="004445C9">
      <w:pPr>
        <w:pStyle w:val="paragraphsub"/>
      </w:pPr>
      <w:r w:rsidRPr="00EB4E43">
        <w:tab/>
        <w:t>(x</w:t>
      </w:r>
      <w:r w:rsidR="00313203" w:rsidRPr="00EB4E43">
        <w:t>v)</w:t>
      </w:r>
      <w:r w:rsidR="00313203" w:rsidRPr="00EB4E43">
        <w:tab/>
        <w:t>the due date for payment of the sale price under the contract;</w:t>
      </w:r>
      <w:r w:rsidRPr="00EB4E43">
        <w:t xml:space="preserve"> and</w:t>
      </w:r>
    </w:p>
    <w:p w:rsidR="00313203" w:rsidRPr="00EB4E43" w:rsidRDefault="00313203" w:rsidP="004445C9">
      <w:pPr>
        <w:pStyle w:val="paragraphsub"/>
      </w:pPr>
      <w:r w:rsidRPr="00EB4E43">
        <w:tab/>
        <w:t>(xv</w:t>
      </w:r>
      <w:r w:rsidR="00742A46" w:rsidRPr="00EB4E43">
        <w:t>i</w:t>
      </w:r>
      <w:r w:rsidRPr="00EB4E43">
        <w:t>)</w:t>
      </w:r>
      <w:r w:rsidRPr="00EB4E43">
        <w:tab/>
        <w:t>the currency in which paymen</w:t>
      </w:r>
      <w:r w:rsidR="00FE144A" w:rsidRPr="00EB4E43">
        <w:t>t of the sale price is to be made</w:t>
      </w:r>
      <w:r w:rsidRPr="00EB4E43">
        <w:t xml:space="preserve"> (the </w:t>
      </w:r>
      <w:r w:rsidRPr="00EB4E43">
        <w:rPr>
          <w:b/>
          <w:i/>
        </w:rPr>
        <w:t>currency of payment</w:t>
      </w:r>
      <w:r w:rsidRPr="00EB4E43">
        <w:t>);</w:t>
      </w:r>
      <w:r w:rsidR="00742A46" w:rsidRPr="00EB4E43">
        <w:t xml:space="preserve"> and</w:t>
      </w:r>
    </w:p>
    <w:p w:rsidR="007F20FF" w:rsidRPr="00EB4E43" w:rsidRDefault="007F20FF" w:rsidP="007F20FF">
      <w:pPr>
        <w:pStyle w:val="paragraphsub"/>
      </w:pPr>
      <w:r w:rsidRPr="00EB4E43">
        <w:tab/>
        <w:t>(xvii)</w:t>
      </w:r>
      <w:r w:rsidRPr="00EB4E43">
        <w:tab/>
        <w:t>in a case where the currency of payment is not Australian dollars—the mid</w:t>
      </w:r>
      <w:r w:rsidR="00EB4E43">
        <w:noBreakHyphen/>
      </w:r>
      <w:r w:rsidRPr="00EB4E43">
        <w:t>rate quoted by the Reserve Bank for that currency for the due date for payment of the sale price or, if that rate is not quoted for that date, the mid</w:t>
      </w:r>
      <w:r w:rsidR="00EB4E43">
        <w:noBreakHyphen/>
      </w:r>
      <w:r w:rsidRPr="00EB4E43">
        <w:t>rate quoted by the Reserve Bank for that currency for the most recent day before that due date; and</w:t>
      </w:r>
    </w:p>
    <w:p w:rsidR="00313203" w:rsidRPr="00EB4E43" w:rsidRDefault="00313203" w:rsidP="004445C9">
      <w:pPr>
        <w:pStyle w:val="paragraphsub"/>
      </w:pPr>
      <w:r w:rsidRPr="00EB4E43">
        <w:tab/>
        <w:t>(xvii</w:t>
      </w:r>
      <w:r w:rsidR="00742A46" w:rsidRPr="00EB4E43">
        <w:t>i</w:t>
      </w:r>
      <w:r w:rsidRPr="00EB4E43">
        <w:t>)</w:t>
      </w:r>
      <w:r w:rsidRPr="00EB4E43">
        <w:tab/>
      </w:r>
      <w:r w:rsidR="00742A46" w:rsidRPr="00EB4E43">
        <w:t xml:space="preserve">in a case where </w:t>
      </w:r>
      <w:r w:rsidRPr="00EB4E43">
        <w:t>the currency of payment is not Australian dollars—the sale price under the contract (expressed as an amount of that currency and as an equivalent amount of Australian dollars);</w:t>
      </w:r>
      <w:r w:rsidR="00742A46" w:rsidRPr="00EB4E43">
        <w:t xml:space="preserve"> and</w:t>
      </w:r>
    </w:p>
    <w:p w:rsidR="00313203" w:rsidRPr="00EB4E43" w:rsidRDefault="00742A46" w:rsidP="004445C9">
      <w:pPr>
        <w:pStyle w:val="paragraphsub"/>
      </w:pPr>
      <w:r w:rsidRPr="00EB4E43">
        <w:tab/>
        <w:t>(xix</w:t>
      </w:r>
      <w:r w:rsidR="00313203" w:rsidRPr="00EB4E43">
        <w:t>)</w:t>
      </w:r>
      <w:r w:rsidR="00313203" w:rsidRPr="00EB4E43">
        <w:tab/>
      </w:r>
      <w:r w:rsidRPr="00EB4E43">
        <w:t xml:space="preserve">in a case where </w:t>
      </w:r>
      <w:r w:rsidR="00313203" w:rsidRPr="00EB4E43">
        <w:t>the currency of payment is not Australian dollars and the sale price under the contract includes an amount of GST payable on the sup</w:t>
      </w:r>
      <w:r w:rsidRPr="00EB4E43">
        <w:t>ply to which that price relates—the amount of GST,</w:t>
      </w:r>
      <w:r w:rsidR="00313203" w:rsidRPr="00EB4E43">
        <w:t xml:space="preserve"> and</w:t>
      </w:r>
      <w:r w:rsidRPr="00EB4E43">
        <w:t xml:space="preserve"> </w:t>
      </w:r>
      <w:r w:rsidR="00313203" w:rsidRPr="00EB4E43">
        <w:t>the amount (l</w:t>
      </w:r>
      <w:r w:rsidRPr="00EB4E43">
        <w:t xml:space="preserve">ess GST) payable for the supply, </w:t>
      </w:r>
      <w:r w:rsidR="00313203" w:rsidRPr="00EB4E43">
        <w:t>expressed as amounts of that currency and as equivalent amounts of Australian dollars;</w:t>
      </w:r>
      <w:r w:rsidRPr="00EB4E43">
        <w:t xml:space="preserve"> and</w:t>
      </w:r>
    </w:p>
    <w:p w:rsidR="00313203" w:rsidRPr="00EB4E43" w:rsidRDefault="00742A46" w:rsidP="004445C9">
      <w:pPr>
        <w:pStyle w:val="paragraphsub"/>
      </w:pPr>
      <w:r w:rsidRPr="00EB4E43">
        <w:tab/>
        <w:t>(xx</w:t>
      </w:r>
      <w:r w:rsidR="00313203" w:rsidRPr="00EB4E43">
        <w:t>)</w:t>
      </w:r>
      <w:r w:rsidR="00313203" w:rsidRPr="00EB4E43">
        <w:tab/>
      </w:r>
      <w:r w:rsidR="00F8306C" w:rsidRPr="00EB4E43">
        <w:t>the</w:t>
      </w:r>
      <w:r w:rsidR="00313203" w:rsidRPr="00EB4E43">
        <w:t xml:space="preserve"> effective credit day</w:t>
      </w:r>
      <w:r w:rsidR="00F8306C" w:rsidRPr="00EB4E43">
        <w:t xml:space="preserve"> for the transaction</w:t>
      </w:r>
      <w:r w:rsidR="00313203" w:rsidRPr="00EB4E43">
        <w:t>;</w:t>
      </w:r>
      <w:r w:rsidRPr="00EB4E43">
        <w:t xml:space="preserve"> and</w:t>
      </w:r>
    </w:p>
    <w:p w:rsidR="00313203" w:rsidRPr="00EB4E43" w:rsidRDefault="00742A46" w:rsidP="004445C9">
      <w:pPr>
        <w:pStyle w:val="paragraphsub"/>
      </w:pPr>
      <w:r w:rsidRPr="00EB4E43">
        <w:tab/>
        <w:t>(x</w:t>
      </w:r>
      <w:r w:rsidR="00313203" w:rsidRPr="00EB4E43">
        <w:t>x</w:t>
      </w:r>
      <w:r w:rsidRPr="00EB4E43">
        <w:t>i</w:t>
      </w:r>
      <w:r w:rsidR="00313203" w:rsidRPr="00EB4E43">
        <w:t>)</w:t>
      </w:r>
      <w:r w:rsidR="00313203" w:rsidRPr="00EB4E43">
        <w:tab/>
        <w:t>the number of credit days allowed</w:t>
      </w:r>
      <w:r w:rsidR="008808B9" w:rsidRPr="00EB4E43">
        <w:t xml:space="preserve"> under the contract</w:t>
      </w:r>
      <w:r w:rsidR="00313203" w:rsidRPr="00EB4E43">
        <w:t>; and</w:t>
      </w:r>
    </w:p>
    <w:p w:rsidR="00313203" w:rsidRPr="00EB4E43" w:rsidRDefault="00313203" w:rsidP="004445C9">
      <w:pPr>
        <w:pStyle w:val="paragraphsub"/>
      </w:pPr>
      <w:r w:rsidRPr="00EB4E43">
        <w:tab/>
        <w:t>(xx</w:t>
      </w:r>
      <w:r w:rsidR="00742A46" w:rsidRPr="00EB4E43">
        <w:t>ii</w:t>
      </w:r>
      <w:r w:rsidRPr="00EB4E43">
        <w:t>)</w:t>
      </w:r>
      <w:r w:rsidRPr="00EB4E43">
        <w:tab/>
        <w:t xml:space="preserve">the maximum indicator interest rate quoted by the Reserve Bank for the date of entry for home consumption of the oil or condensate or, if that rate is not quoted for that date, the maximum indicator interest rate </w:t>
      </w:r>
      <w:r w:rsidR="007F20FF" w:rsidRPr="00EB4E43">
        <w:t xml:space="preserve">quoted by the Reserve Bank </w:t>
      </w:r>
      <w:r w:rsidRPr="00EB4E43">
        <w:t xml:space="preserve">for </w:t>
      </w:r>
      <w:r w:rsidR="00470F93" w:rsidRPr="00EB4E43">
        <w:t>the most recent day before that date of entry</w:t>
      </w:r>
      <w:r w:rsidRPr="00EB4E43">
        <w:t>;</w:t>
      </w:r>
    </w:p>
    <w:p w:rsidR="00742A46" w:rsidRPr="00EB4E43" w:rsidRDefault="00742A46" w:rsidP="00742A46">
      <w:pPr>
        <w:pStyle w:val="noteToPara"/>
      </w:pPr>
      <w:r w:rsidRPr="00EB4E43">
        <w:t>Note:</w:t>
      </w:r>
      <w:r w:rsidRPr="00EB4E43">
        <w:tab/>
        <w:t xml:space="preserve">For </w:t>
      </w:r>
      <w:r w:rsidR="00EB4E43" w:rsidRPr="00EB4E43">
        <w:t>subparagraphs (</w:t>
      </w:r>
      <w:r w:rsidRPr="00EB4E43">
        <w:t xml:space="preserve">xiv) and (xix), the amount (less GST) payable for the supply will be an amount equal to the difference between the price </w:t>
      </w:r>
      <w:r w:rsidR="00972582" w:rsidRPr="00EB4E43">
        <w:t xml:space="preserve">referred to in that subparagraph </w:t>
      </w:r>
      <w:r w:rsidRPr="00EB4E43">
        <w:t>and the amount of GST.</w:t>
      </w:r>
    </w:p>
    <w:p w:rsidR="00313203" w:rsidRPr="00EB4E43" w:rsidRDefault="00313203" w:rsidP="004445C9">
      <w:pPr>
        <w:pStyle w:val="paragraph"/>
      </w:pPr>
      <w:r w:rsidRPr="00EB4E43">
        <w:tab/>
        <w:t>(d)</w:t>
      </w:r>
      <w:r w:rsidRPr="00EB4E43">
        <w:tab/>
      </w:r>
      <w:r w:rsidR="00742A46" w:rsidRPr="00EB4E43">
        <w:t>if</w:t>
      </w:r>
      <w:r w:rsidRPr="00EB4E43">
        <w:t xml:space="preserve"> all or part of that oil or condensate is loaded on a ship under a contract other than an f.o.b. contract—the value applicable under paragraph</w:t>
      </w:r>
      <w:r w:rsidR="00EB4E43" w:rsidRPr="00EB4E43">
        <w:t> </w:t>
      </w:r>
      <w:r w:rsidR="00DD0634" w:rsidRPr="00EB4E43">
        <w:t>12</w:t>
      </w:r>
      <w:r w:rsidRPr="00EB4E43">
        <w:t>(1)(b) to each type of cost, referred to in paragraph</w:t>
      </w:r>
      <w:r w:rsidR="00EB4E43" w:rsidRPr="00EB4E43">
        <w:t> </w:t>
      </w:r>
      <w:r w:rsidR="00DD0634" w:rsidRPr="00EB4E43">
        <w:t>12</w:t>
      </w:r>
      <w:r w:rsidRPr="00EB4E43">
        <w:t>(1)(a), incurred by the producer under that contract together with sufficient particulars to enable the nature of that cost to be readily identified;</w:t>
      </w:r>
    </w:p>
    <w:p w:rsidR="00313203" w:rsidRPr="00EB4E43" w:rsidRDefault="00742A46" w:rsidP="004445C9">
      <w:pPr>
        <w:pStyle w:val="paragraph"/>
      </w:pPr>
      <w:r w:rsidRPr="00EB4E43">
        <w:tab/>
        <w:t>(e</w:t>
      </w:r>
      <w:r w:rsidR="00313203" w:rsidRPr="00EB4E43">
        <w:t>)</w:t>
      </w:r>
      <w:r w:rsidR="00313203" w:rsidRPr="00EB4E43">
        <w:tab/>
        <w:t xml:space="preserve">if a value given under </w:t>
      </w:r>
      <w:r w:rsidR="00EB4E43" w:rsidRPr="00EB4E43">
        <w:t>paragraph (</w:t>
      </w:r>
      <w:r w:rsidR="00313203" w:rsidRPr="00EB4E43">
        <w:t>d) is an amount mentioned in subparagraph</w:t>
      </w:r>
      <w:r w:rsidR="00EB4E43" w:rsidRPr="00EB4E43">
        <w:t> </w:t>
      </w:r>
      <w:r w:rsidR="00DD0634" w:rsidRPr="00EB4E43">
        <w:t>12</w:t>
      </w:r>
      <w:r w:rsidRPr="00EB4E43">
        <w:t xml:space="preserve"> (1)</w:t>
      </w:r>
      <w:r w:rsidR="00313203" w:rsidRPr="00EB4E43">
        <w:t>(b)(ii) and the producer is entitled to an input tax credit for the acquisition to which that value relates:</w:t>
      </w:r>
    </w:p>
    <w:p w:rsidR="00313203" w:rsidRPr="00EB4E43" w:rsidRDefault="00313203" w:rsidP="004445C9">
      <w:pPr>
        <w:pStyle w:val="paragraphsub"/>
      </w:pPr>
      <w:r w:rsidRPr="00EB4E43">
        <w:tab/>
        <w:t>(i)</w:t>
      </w:r>
      <w:r w:rsidRPr="00EB4E43">
        <w:tab/>
        <w:t xml:space="preserve">the amount of </w:t>
      </w:r>
      <w:r w:rsidR="00174CF8" w:rsidRPr="00EB4E43">
        <w:t xml:space="preserve">the </w:t>
      </w:r>
      <w:r w:rsidRPr="00EB4E43">
        <w:t>input tax credit; and</w:t>
      </w:r>
    </w:p>
    <w:p w:rsidR="00313203" w:rsidRPr="00EB4E43" w:rsidRDefault="00313203" w:rsidP="004445C9">
      <w:pPr>
        <w:pStyle w:val="paragraphsub"/>
      </w:pPr>
      <w:r w:rsidRPr="00EB4E43">
        <w:tab/>
        <w:t>(ii)</w:t>
      </w:r>
      <w:r w:rsidRPr="00EB4E43">
        <w:tab/>
        <w:t>the amount (less the input tax credit) incurred by the producer for the acquisition; and</w:t>
      </w:r>
    </w:p>
    <w:p w:rsidR="00313203" w:rsidRPr="00EB4E43" w:rsidRDefault="00313203" w:rsidP="004445C9">
      <w:pPr>
        <w:pStyle w:val="paragraphsub"/>
      </w:pPr>
      <w:r w:rsidRPr="00EB4E43">
        <w:tab/>
        <w:t>(iii)</w:t>
      </w:r>
      <w:r w:rsidRPr="00EB4E43">
        <w:tab/>
        <w:t>a statement identifying the cost to which those amounts relate;</w:t>
      </w:r>
    </w:p>
    <w:p w:rsidR="00313203" w:rsidRPr="00EB4E43" w:rsidRDefault="00313203" w:rsidP="00742A46">
      <w:pPr>
        <w:pStyle w:val="noteToPara"/>
      </w:pPr>
      <w:r w:rsidRPr="00EB4E43">
        <w:t>Note:</w:t>
      </w:r>
      <w:r w:rsidRPr="00EB4E43">
        <w:tab/>
        <w:t xml:space="preserve">The amount (less the input tax credit) incurred by the producer for the acquisition will be an amount equal to the difference between the value of the cost and the amount of </w:t>
      </w:r>
      <w:r w:rsidR="000E1881" w:rsidRPr="00EB4E43">
        <w:t xml:space="preserve">the </w:t>
      </w:r>
      <w:r w:rsidRPr="00EB4E43">
        <w:t>input tax credit.</w:t>
      </w:r>
    </w:p>
    <w:p w:rsidR="00313203" w:rsidRPr="00EB4E43" w:rsidRDefault="00313203" w:rsidP="004445C9">
      <w:pPr>
        <w:pStyle w:val="paragraph"/>
      </w:pPr>
      <w:r w:rsidRPr="00EB4E43">
        <w:tab/>
        <w:t>(</w:t>
      </w:r>
      <w:r w:rsidR="00742A46" w:rsidRPr="00EB4E43">
        <w:t>f</w:t>
      </w:r>
      <w:r w:rsidRPr="00EB4E43">
        <w:t>)</w:t>
      </w:r>
      <w:r w:rsidRPr="00EB4E43">
        <w:tab/>
        <w:t xml:space="preserve">in a case where particulars of 2 or more types of cost are given in accordance with </w:t>
      </w:r>
      <w:r w:rsidR="00EB4E43" w:rsidRPr="00EB4E43">
        <w:t>paragraph (</w:t>
      </w:r>
      <w:r w:rsidR="00742A46" w:rsidRPr="00EB4E43">
        <w:t>d)—the total of those costs;</w:t>
      </w:r>
    </w:p>
    <w:p w:rsidR="00313203" w:rsidRPr="00EB4E43" w:rsidRDefault="00742A46" w:rsidP="004445C9">
      <w:pPr>
        <w:pStyle w:val="paragraph"/>
      </w:pPr>
      <w:r w:rsidRPr="00EB4E43">
        <w:tab/>
        <w:t>(g</w:t>
      </w:r>
      <w:r w:rsidR="00313203" w:rsidRPr="00EB4E43">
        <w:t>)</w:t>
      </w:r>
      <w:r w:rsidR="00313203" w:rsidRPr="00EB4E43">
        <w:tab/>
        <w:t xml:space="preserve">if a total is given under </w:t>
      </w:r>
      <w:r w:rsidR="00EB4E43" w:rsidRPr="00EB4E43">
        <w:t>paragraph (</w:t>
      </w:r>
      <w:r w:rsidRPr="00EB4E43">
        <w:t>f</w:t>
      </w:r>
      <w:r w:rsidR="00313203" w:rsidRPr="00EB4E43">
        <w:t xml:space="preserve">) and the producer is entitled to </w:t>
      </w:r>
      <w:r w:rsidR="00174CF8" w:rsidRPr="00EB4E43">
        <w:t>one or more</w:t>
      </w:r>
      <w:r w:rsidR="00313203" w:rsidRPr="00EB4E43">
        <w:t xml:space="preserve"> input tax credit</w:t>
      </w:r>
      <w:r w:rsidR="00174CF8" w:rsidRPr="00EB4E43">
        <w:t>s</w:t>
      </w:r>
      <w:r w:rsidR="00313203" w:rsidRPr="00EB4E43">
        <w:t xml:space="preserve"> for the acquisitions to which that total relates:</w:t>
      </w:r>
    </w:p>
    <w:p w:rsidR="00313203" w:rsidRPr="00EB4E43" w:rsidRDefault="00313203" w:rsidP="004445C9">
      <w:pPr>
        <w:pStyle w:val="paragraphsub"/>
      </w:pPr>
      <w:r w:rsidRPr="00EB4E43">
        <w:tab/>
        <w:t>(i)</w:t>
      </w:r>
      <w:r w:rsidRPr="00EB4E43">
        <w:tab/>
        <w:t xml:space="preserve">the </w:t>
      </w:r>
      <w:r w:rsidR="00174CF8" w:rsidRPr="00EB4E43">
        <w:t xml:space="preserve">total </w:t>
      </w:r>
      <w:r w:rsidRPr="00EB4E43">
        <w:t>amount of the input tax credit</w:t>
      </w:r>
      <w:r w:rsidR="00174CF8" w:rsidRPr="00EB4E43">
        <w:t>s</w:t>
      </w:r>
      <w:r w:rsidRPr="00EB4E43">
        <w:t>; and</w:t>
      </w:r>
    </w:p>
    <w:p w:rsidR="00313203" w:rsidRPr="00EB4E43" w:rsidRDefault="00313203" w:rsidP="004445C9">
      <w:pPr>
        <w:pStyle w:val="paragraphsub"/>
      </w:pPr>
      <w:r w:rsidRPr="00EB4E43">
        <w:tab/>
        <w:t>(ii)</w:t>
      </w:r>
      <w:r w:rsidRPr="00EB4E43">
        <w:tab/>
        <w:t xml:space="preserve">the total amount (less the total </w:t>
      </w:r>
      <w:r w:rsidR="00257B93" w:rsidRPr="00EB4E43">
        <w:t xml:space="preserve">amount of the </w:t>
      </w:r>
      <w:r w:rsidRPr="00EB4E43">
        <w:t>input tax credit</w:t>
      </w:r>
      <w:r w:rsidR="00174CF8" w:rsidRPr="00EB4E43">
        <w:t>s</w:t>
      </w:r>
      <w:r w:rsidRPr="00EB4E43">
        <w:t>) incurred by the producer for those acquisitions;</w:t>
      </w:r>
    </w:p>
    <w:p w:rsidR="00313203" w:rsidRPr="00EB4E43" w:rsidRDefault="00313203" w:rsidP="00742A46">
      <w:pPr>
        <w:pStyle w:val="noteToPara"/>
      </w:pPr>
      <w:r w:rsidRPr="00EB4E43">
        <w:t>Note:</w:t>
      </w:r>
      <w:r w:rsidRPr="00EB4E43">
        <w:tab/>
        <w:t xml:space="preserve">The total amount (less the total </w:t>
      </w:r>
      <w:r w:rsidR="00257B93" w:rsidRPr="00EB4E43">
        <w:t xml:space="preserve">amount of the </w:t>
      </w:r>
      <w:r w:rsidRPr="00EB4E43">
        <w:t>input tax credit</w:t>
      </w:r>
      <w:r w:rsidR="00174CF8" w:rsidRPr="00EB4E43">
        <w:t>s</w:t>
      </w:r>
      <w:r w:rsidRPr="00EB4E43">
        <w:t xml:space="preserve">) incurred by the producer for those acquisitions will be an amount equal to the difference between the total given under </w:t>
      </w:r>
      <w:r w:rsidR="00EB4E43" w:rsidRPr="00EB4E43">
        <w:t>paragraph (</w:t>
      </w:r>
      <w:r w:rsidR="00742A46" w:rsidRPr="00EB4E43">
        <w:t>f</w:t>
      </w:r>
      <w:r w:rsidRPr="00EB4E43">
        <w:t xml:space="preserve">) and the </w:t>
      </w:r>
      <w:r w:rsidR="00174CF8" w:rsidRPr="00EB4E43">
        <w:t xml:space="preserve">total </w:t>
      </w:r>
      <w:r w:rsidRPr="00EB4E43">
        <w:t>amount of the input tax credit</w:t>
      </w:r>
      <w:r w:rsidR="00174CF8" w:rsidRPr="00EB4E43">
        <w:t>s</w:t>
      </w:r>
      <w:r w:rsidRPr="00EB4E43">
        <w:t>.</w:t>
      </w:r>
    </w:p>
    <w:p w:rsidR="00313203" w:rsidRPr="00EB4E43" w:rsidRDefault="00742A46" w:rsidP="004445C9">
      <w:pPr>
        <w:pStyle w:val="paragraph"/>
      </w:pPr>
      <w:r w:rsidRPr="00EB4E43">
        <w:tab/>
        <w:t>(h</w:t>
      </w:r>
      <w:r w:rsidR="00313203" w:rsidRPr="00EB4E43">
        <w:t>)</w:t>
      </w:r>
      <w:r w:rsidR="00313203" w:rsidRPr="00EB4E43">
        <w:tab/>
      </w:r>
      <w:r w:rsidRPr="00EB4E43">
        <w:t>if</w:t>
      </w:r>
      <w:r w:rsidR="00313203" w:rsidRPr="00EB4E43">
        <w:t xml:space="preserve"> all or part of that oil or condensate is delivered by pipeline under a contract:</w:t>
      </w:r>
    </w:p>
    <w:p w:rsidR="00313203" w:rsidRPr="00EB4E43" w:rsidRDefault="00313203" w:rsidP="004445C9">
      <w:pPr>
        <w:pStyle w:val="paragraphsub"/>
      </w:pPr>
      <w:r w:rsidRPr="00EB4E43">
        <w:tab/>
        <w:t>(i)</w:t>
      </w:r>
      <w:r w:rsidRPr="00EB4E43">
        <w:tab/>
        <w:t>the name of the producer;</w:t>
      </w:r>
      <w:r w:rsidR="00742A46" w:rsidRPr="00EB4E43">
        <w:t xml:space="preserve"> and</w:t>
      </w:r>
    </w:p>
    <w:p w:rsidR="00313203" w:rsidRPr="00EB4E43" w:rsidRDefault="00313203" w:rsidP="004445C9">
      <w:pPr>
        <w:pStyle w:val="paragraphsub"/>
      </w:pPr>
      <w:r w:rsidRPr="00EB4E43">
        <w:tab/>
        <w:t>(ii)</w:t>
      </w:r>
      <w:r w:rsidRPr="00EB4E43">
        <w:tab/>
        <w:t>the date of the contract;</w:t>
      </w:r>
      <w:r w:rsidR="00742A46" w:rsidRPr="00EB4E43">
        <w:t xml:space="preserve"> and</w:t>
      </w:r>
    </w:p>
    <w:p w:rsidR="00313203" w:rsidRPr="00EB4E43" w:rsidRDefault="00313203" w:rsidP="004445C9">
      <w:pPr>
        <w:pStyle w:val="paragraphsub"/>
      </w:pPr>
      <w:r w:rsidRPr="00EB4E43">
        <w:tab/>
        <w:t>(iii)</w:t>
      </w:r>
      <w:r w:rsidRPr="00EB4E43">
        <w:tab/>
        <w:t>the number of the contract allocated by the producer;</w:t>
      </w:r>
      <w:r w:rsidR="00742A46" w:rsidRPr="00EB4E43">
        <w:t xml:space="preserve"> and</w:t>
      </w:r>
    </w:p>
    <w:p w:rsidR="00313203" w:rsidRPr="00EB4E43" w:rsidRDefault="00313203" w:rsidP="004445C9">
      <w:pPr>
        <w:pStyle w:val="paragraphsub"/>
      </w:pPr>
      <w:r w:rsidRPr="00EB4E43">
        <w:tab/>
        <w:t>(iv)</w:t>
      </w:r>
      <w:r w:rsidRPr="00EB4E43">
        <w:tab/>
        <w:t>the purchaser’s name;</w:t>
      </w:r>
      <w:r w:rsidR="00742A46" w:rsidRPr="00EB4E43">
        <w:t xml:space="preserve"> and</w:t>
      </w:r>
    </w:p>
    <w:p w:rsidR="00313203" w:rsidRPr="00EB4E43" w:rsidRDefault="00313203" w:rsidP="004445C9">
      <w:pPr>
        <w:pStyle w:val="paragraphsub"/>
      </w:pPr>
      <w:r w:rsidRPr="00EB4E43">
        <w:tab/>
        <w:t>(v)</w:t>
      </w:r>
      <w:r w:rsidRPr="00EB4E43">
        <w:tab/>
        <w:t>date of entry of the oil or condensate for home consumption;</w:t>
      </w:r>
      <w:r w:rsidR="00742A46" w:rsidRPr="00EB4E43">
        <w:t xml:space="preserve"> and</w:t>
      </w:r>
    </w:p>
    <w:p w:rsidR="00313203" w:rsidRPr="00EB4E43" w:rsidRDefault="00313203" w:rsidP="004445C9">
      <w:pPr>
        <w:pStyle w:val="paragraphsub"/>
      </w:pPr>
      <w:r w:rsidRPr="00EB4E43">
        <w:tab/>
        <w:t>(vi)</w:t>
      </w:r>
      <w:r w:rsidRPr="00EB4E43">
        <w:tab/>
        <w:t>the quantity of the oil or condensate (expressed as an amount of kilolitres and as an equivalent amount of barrels);</w:t>
      </w:r>
      <w:r w:rsidR="00742A46" w:rsidRPr="00EB4E43">
        <w:t xml:space="preserve"> and</w:t>
      </w:r>
    </w:p>
    <w:p w:rsidR="00313203" w:rsidRPr="00EB4E43" w:rsidRDefault="00313203" w:rsidP="004445C9">
      <w:pPr>
        <w:pStyle w:val="paragraphsub"/>
      </w:pPr>
      <w:r w:rsidRPr="00EB4E43">
        <w:tab/>
        <w:t>(vii)</w:t>
      </w:r>
      <w:r w:rsidRPr="00EB4E43">
        <w:tab/>
        <w:t>the price per kilolitre or per barrel for the oil or condensate;</w:t>
      </w:r>
      <w:r w:rsidR="00742A46" w:rsidRPr="00EB4E43">
        <w:t xml:space="preserve"> and</w:t>
      </w:r>
    </w:p>
    <w:p w:rsidR="00313203" w:rsidRPr="00EB4E43" w:rsidRDefault="00972582" w:rsidP="00972582">
      <w:pPr>
        <w:pStyle w:val="paragraphsub"/>
      </w:pPr>
      <w:r w:rsidRPr="00EB4E43">
        <w:tab/>
        <w:t>(viii</w:t>
      </w:r>
      <w:r w:rsidR="00313203" w:rsidRPr="00EB4E43">
        <w:t>)</w:t>
      </w:r>
      <w:r w:rsidR="00313203" w:rsidRPr="00EB4E43">
        <w:tab/>
        <w:t xml:space="preserve">if the price given under </w:t>
      </w:r>
      <w:r w:rsidR="00EB4E43" w:rsidRPr="00EB4E43">
        <w:t>subparagraph (</w:t>
      </w:r>
      <w:r w:rsidR="00313203" w:rsidRPr="00EB4E43">
        <w:t>vii) includes an amount of GST payable on the sup</w:t>
      </w:r>
      <w:r w:rsidRPr="00EB4E43">
        <w:t>ply to which that price relates—the amount of GST,</w:t>
      </w:r>
      <w:r w:rsidR="00313203" w:rsidRPr="00EB4E43">
        <w:t xml:space="preserve"> and</w:t>
      </w:r>
      <w:r w:rsidRPr="00EB4E43">
        <w:t xml:space="preserve"> </w:t>
      </w:r>
      <w:r w:rsidR="00313203" w:rsidRPr="00EB4E43">
        <w:t>the amount (less GST) payable for the supply;</w:t>
      </w:r>
      <w:r w:rsidRPr="00EB4E43">
        <w:t xml:space="preserve"> and</w:t>
      </w:r>
    </w:p>
    <w:p w:rsidR="00313203" w:rsidRPr="00EB4E43" w:rsidRDefault="00972582" w:rsidP="004445C9">
      <w:pPr>
        <w:pStyle w:val="paragraphsub"/>
      </w:pPr>
      <w:r w:rsidRPr="00EB4E43">
        <w:tab/>
        <w:t>(ix</w:t>
      </w:r>
      <w:r w:rsidR="00313203" w:rsidRPr="00EB4E43">
        <w:t>)</w:t>
      </w:r>
      <w:r w:rsidR="00313203" w:rsidRPr="00EB4E43">
        <w:tab/>
        <w:t>the due date for payment of the sale price under the contract;</w:t>
      </w:r>
      <w:r w:rsidRPr="00EB4E43">
        <w:t xml:space="preserve"> and</w:t>
      </w:r>
    </w:p>
    <w:p w:rsidR="00313203" w:rsidRPr="00EB4E43" w:rsidRDefault="00972582" w:rsidP="004445C9">
      <w:pPr>
        <w:pStyle w:val="paragraphsub"/>
      </w:pPr>
      <w:r w:rsidRPr="00EB4E43">
        <w:tab/>
        <w:t>(</w:t>
      </w:r>
      <w:r w:rsidR="00313203" w:rsidRPr="00EB4E43">
        <w:t>x)</w:t>
      </w:r>
      <w:r w:rsidR="00313203" w:rsidRPr="00EB4E43">
        <w:tab/>
        <w:t xml:space="preserve">the currency in which payment of the sale price is to be </w:t>
      </w:r>
      <w:r w:rsidR="00C300DE" w:rsidRPr="00EB4E43">
        <w:t>made</w:t>
      </w:r>
      <w:r w:rsidR="00313203" w:rsidRPr="00EB4E43">
        <w:t xml:space="preserve"> (the </w:t>
      </w:r>
      <w:r w:rsidR="00313203" w:rsidRPr="00EB4E43">
        <w:rPr>
          <w:b/>
          <w:i/>
        </w:rPr>
        <w:t>currency of payment</w:t>
      </w:r>
      <w:r w:rsidR="00313203" w:rsidRPr="00EB4E43">
        <w:t>);</w:t>
      </w:r>
      <w:r w:rsidRPr="00EB4E43">
        <w:t xml:space="preserve"> and</w:t>
      </w:r>
    </w:p>
    <w:p w:rsidR="00313203" w:rsidRPr="00EB4E43" w:rsidRDefault="00313203" w:rsidP="004445C9">
      <w:pPr>
        <w:pStyle w:val="paragraphsub"/>
      </w:pPr>
      <w:r w:rsidRPr="00EB4E43">
        <w:tab/>
        <w:t>(x</w:t>
      </w:r>
      <w:r w:rsidR="00972582" w:rsidRPr="00EB4E43">
        <w:t>i</w:t>
      </w:r>
      <w:r w:rsidRPr="00EB4E43">
        <w:t>)</w:t>
      </w:r>
      <w:r w:rsidRPr="00EB4E43">
        <w:tab/>
      </w:r>
      <w:r w:rsidR="00972582" w:rsidRPr="00EB4E43">
        <w:t>in a case where</w:t>
      </w:r>
      <w:r w:rsidRPr="00EB4E43">
        <w:t xml:space="preserve"> the currency of payment is not Australian dollars—the mid</w:t>
      </w:r>
      <w:r w:rsidR="00EB4E43">
        <w:noBreakHyphen/>
      </w:r>
      <w:r w:rsidRPr="00EB4E43">
        <w:t xml:space="preserve">rate </w:t>
      </w:r>
      <w:r w:rsidR="007D0721" w:rsidRPr="00EB4E43">
        <w:t>quoted by the Reserve Bank for that</w:t>
      </w:r>
      <w:r w:rsidRPr="00EB4E43">
        <w:t xml:space="preserve"> currency for the due date for payment of the sale price or, if that rate is not quoted for that date, the mid</w:t>
      </w:r>
      <w:r w:rsidR="00EB4E43">
        <w:noBreakHyphen/>
      </w:r>
      <w:r w:rsidRPr="00EB4E43">
        <w:t xml:space="preserve">rate </w:t>
      </w:r>
      <w:r w:rsidR="007D0721" w:rsidRPr="00EB4E43">
        <w:t>quoted by the Reserve Bank for that</w:t>
      </w:r>
      <w:r w:rsidRPr="00EB4E43">
        <w:t xml:space="preserve"> currency for the </w:t>
      </w:r>
      <w:r w:rsidR="007D0721" w:rsidRPr="00EB4E43">
        <w:t>most recent day before that due date</w:t>
      </w:r>
      <w:r w:rsidRPr="00EB4E43">
        <w:t>;</w:t>
      </w:r>
      <w:r w:rsidR="00972582" w:rsidRPr="00EB4E43">
        <w:t xml:space="preserve"> and</w:t>
      </w:r>
    </w:p>
    <w:p w:rsidR="00313203" w:rsidRPr="00EB4E43" w:rsidRDefault="00313203" w:rsidP="004445C9">
      <w:pPr>
        <w:pStyle w:val="paragraphsub"/>
      </w:pPr>
      <w:r w:rsidRPr="00EB4E43">
        <w:tab/>
        <w:t>(xi</w:t>
      </w:r>
      <w:r w:rsidR="00972582" w:rsidRPr="00EB4E43">
        <w:t>i</w:t>
      </w:r>
      <w:r w:rsidRPr="00EB4E43">
        <w:t>)</w:t>
      </w:r>
      <w:r w:rsidRPr="00EB4E43">
        <w:tab/>
      </w:r>
      <w:r w:rsidR="00972582" w:rsidRPr="00EB4E43">
        <w:t xml:space="preserve">in a case where </w:t>
      </w:r>
      <w:r w:rsidRPr="00EB4E43">
        <w:t>the currency of payment is not Australian dollars—the sale price under the contract (expressed as an amount of that currency and as an equivalent amount of Australian dollars);</w:t>
      </w:r>
      <w:r w:rsidR="00972582" w:rsidRPr="00EB4E43">
        <w:t xml:space="preserve"> and</w:t>
      </w:r>
    </w:p>
    <w:p w:rsidR="00313203" w:rsidRPr="00EB4E43" w:rsidRDefault="00972582" w:rsidP="004445C9">
      <w:pPr>
        <w:pStyle w:val="paragraphsub"/>
      </w:pPr>
      <w:r w:rsidRPr="00EB4E43">
        <w:tab/>
        <w:t>(xiii</w:t>
      </w:r>
      <w:r w:rsidR="00313203" w:rsidRPr="00EB4E43">
        <w:t>)</w:t>
      </w:r>
      <w:r w:rsidR="00313203" w:rsidRPr="00EB4E43">
        <w:tab/>
      </w:r>
      <w:r w:rsidRPr="00EB4E43">
        <w:t xml:space="preserve">in a case where </w:t>
      </w:r>
      <w:r w:rsidR="00313203" w:rsidRPr="00EB4E43">
        <w:t>the currency of payment is not Australian dollars and the sale price under the contract includes an amount of GST payable on the supp</w:t>
      </w:r>
      <w:r w:rsidRPr="00EB4E43">
        <w:t>ly to which that price relates—the amount of GST,</w:t>
      </w:r>
      <w:r w:rsidR="00313203" w:rsidRPr="00EB4E43">
        <w:t xml:space="preserve"> and</w:t>
      </w:r>
      <w:r w:rsidRPr="00EB4E43">
        <w:t xml:space="preserve"> </w:t>
      </w:r>
      <w:r w:rsidR="00313203" w:rsidRPr="00EB4E43">
        <w:t>the amount (less GST) payable for the supp</w:t>
      </w:r>
      <w:r w:rsidRPr="00EB4E43">
        <w:t xml:space="preserve">ly, </w:t>
      </w:r>
      <w:r w:rsidR="00313203" w:rsidRPr="00EB4E43">
        <w:t>expressed as amounts of that currency and as equivalent amounts of Australian dollars;</w:t>
      </w:r>
      <w:r w:rsidRPr="00EB4E43">
        <w:t xml:space="preserve"> and</w:t>
      </w:r>
    </w:p>
    <w:p w:rsidR="00313203" w:rsidRPr="00EB4E43" w:rsidRDefault="00972582" w:rsidP="004445C9">
      <w:pPr>
        <w:pStyle w:val="paragraphsub"/>
      </w:pPr>
      <w:r w:rsidRPr="00EB4E43">
        <w:tab/>
        <w:t>(xiv</w:t>
      </w:r>
      <w:r w:rsidR="00313203" w:rsidRPr="00EB4E43">
        <w:t>)</w:t>
      </w:r>
      <w:r w:rsidR="00313203" w:rsidRPr="00EB4E43">
        <w:tab/>
        <w:t>the effective credit day</w:t>
      </w:r>
      <w:r w:rsidR="007D0721" w:rsidRPr="00EB4E43">
        <w:t xml:space="preserve"> for the contract</w:t>
      </w:r>
      <w:r w:rsidR="00313203" w:rsidRPr="00EB4E43">
        <w:t>;</w:t>
      </w:r>
      <w:r w:rsidRPr="00EB4E43">
        <w:t xml:space="preserve"> and</w:t>
      </w:r>
    </w:p>
    <w:p w:rsidR="00313203" w:rsidRPr="00EB4E43" w:rsidRDefault="00972582" w:rsidP="004445C9">
      <w:pPr>
        <w:pStyle w:val="paragraphsub"/>
      </w:pPr>
      <w:r w:rsidRPr="00EB4E43">
        <w:tab/>
        <w:t>(xv</w:t>
      </w:r>
      <w:r w:rsidR="00313203" w:rsidRPr="00EB4E43">
        <w:t>)</w:t>
      </w:r>
      <w:r w:rsidR="00313203" w:rsidRPr="00EB4E43">
        <w:tab/>
        <w:t>the number of credit days allowed</w:t>
      </w:r>
      <w:r w:rsidR="007D0721" w:rsidRPr="00EB4E43">
        <w:t xml:space="preserve"> under the contract</w:t>
      </w:r>
      <w:r w:rsidR="00313203" w:rsidRPr="00EB4E43">
        <w:t>; and</w:t>
      </w:r>
    </w:p>
    <w:p w:rsidR="00313203" w:rsidRPr="00EB4E43" w:rsidRDefault="00972582" w:rsidP="004445C9">
      <w:pPr>
        <w:pStyle w:val="paragraphsub"/>
      </w:pPr>
      <w:r w:rsidRPr="00EB4E43">
        <w:tab/>
        <w:t>(x</w:t>
      </w:r>
      <w:r w:rsidR="00313203" w:rsidRPr="00EB4E43">
        <w:t>v</w:t>
      </w:r>
      <w:r w:rsidRPr="00EB4E43">
        <w:t>i</w:t>
      </w:r>
      <w:r w:rsidR="00313203" w:rsidRPr="00EB4E43">
        <w:t>)</w:t>
      </w:r>
      <w:r w:rsidR="00313203" w:rsidRPr="00EB4E43">
        <w:tab/>
        <w:t xml:space="preserve">the maximum indicator interest rate quoted by the Reserve Bank for the date of entry for home consumption of the oil or condensate or, if that rate is not quoted for that date, the maximum indicator interest rate </w:t>
      </w:r>
      <w:r w:rsidR="007D0721" w:rsidRPr="00EB4E43">
        <w:t xml:space="preserve">quoted by the Reserve Bank for the most recent </w:t>
      </w:r>
      <w:r w:rsidR="00313203" w:rsidRPr="00EB4E43">
        <w:t>day</w:t>
      </w:r>
      <w:r w:rsidR="007D0721" w:rsidRPr="00EB4E43">
        <w:t xml:space="preserve"> before that date of entry</w:t>
      </w:r>
      <w:r w:rsidR="00313203" w:rsidRPr="00EB4E43">
        <w:t>.</w:t>
      </w:r>
    </w:p>
    <w:p w:rsidR="00972582" w:rsidRPr="00EB4E43" w:rsidRDefault="00972582" w:rsidP="00972582">
      <w:pPr>
        <w:pStyle w:val="noteToPara"/>
      </w:pPr>
      <w:r w:rsidRPr="00EB4E43">
        <w:t>Note:</w:t>
      </w:r>
      <w:r w:rsidRPr="00EB4E43">
        <w:tab/>
        <w:t xml:space="preserve">For </w:t>
      </w:r>
      <w:r w:rsidR="00EB4E43" w:rsidRPr="00EB4E43">
        <w:t>subparagraphs (</w:t>
      </w:r>
      <w:r w:rsidRPr="00EB4E43">
        <w:t>viii) and (xiii), the amount (less GST) payable for the supply will be an amount equal to the difference between the price referred to in that subparagraph and the amount of GST.</w:t>
      </w:r>
    </w:p>
    <w:p w:rsidR="00972582" w:rsidRPr="00EB4E43" w:rsidRDefault="00313203" w:rsidP="004445C9">
      <w:pPr>
        <w:pStyle w:val="subsection"/>
      </w:pPr>
      <w:r w:rsidRPr="00EB4E43">
        <w:tab/>
        <w:t>(</w:t>
      </w:r>
      <w:r w:rsidR="00972582" w:rsidRPr="00EB4E43">
        <w:t>3</w:t>
      </w:r>
      <w:r w:rsidRPr="00EB4E43">
        <w:t>)</w:t>
      </w:r>
      <w:r w:rsidRPr="00EB4E43">
        <w:tab/>
        <w:t xml:space="preserve">For </w:t>
      </w:r>
      <w:r w:rsidR="004445C9" w:rsidRPr="00EB4E43">
        <w:t xml:space="preserve">the purposes of </w:t>
      </w:r>
      <w:r w:rsidRPr="00EB4E43">
        <w:t>subsection</w:t>
      </w:r>
      <w:r w:rsidR="00EB4E43" w:rsidRPr="00EB4E43">
        <w:t> </w:t>
      </w:r>
      <w:r w:rsidR="004445C9" w:rsidRPr="00EB4E43">
        <w:t>6</w:t>
      </w:r>
      <w:r w:rsidRPr="00EB4E43">
        <w:t>(1) of the Act, if the transaction concerns excisable crude petroleum oil or excisable condensate that</w:t>
      </w:r>
      <w:r w:rsidR="00972582" w:rsidRPr="00EB4E43">
        <w:t>:</w:t>
      </w:r>
    </w:p>
    <w:p w:rsidR="00972582" w:rsidRPr="00EB4E43" w:rsidRDefault="00972582" w:rsidP="00972582">
      <w:pPr>
        <w:pStyle w:val="paragraph"/>
      </w:pPr>
      <w:r w:rsidRPr="00EB4E43">
        <w:tab/>
        <w:t>(a)</w:t>
      </w:r>
      <w:r w:rsidRPr="00EB4E43">
        <w:tab/>
      </w:r>
      <w:r w:rsidR="00313203" w:rsidRPr="00EB4E43">
        <w:t>has been entered for home co</w:t>
      </w:r>
      <w:r w:rsidRPr="00EB4E43">
        <w:t>nsumption</w:t>
      </w:r>
      <w:r w:rsidR="00105C68" w:rsidRPr="00EB4E43">
        <w:t xml:space="preserve"> in a month</w:t>
      </w:r>
      <w:r w:rsidRPr="00EB4E43">
        <w:t>; and</w:t>
      </w:r>
    </w:p>
    <w:p w:rsidR="00972582" w:rsidRPr="00EB4E43" w:rsidRDefault="00972582" w:rsidP="00972582">
      <w:pPr>
        <w:pStyle w:val="paragraph"/>
      </w:pPr>
      <w:r w:rsidRPr="00EB4E43">
        <w:tab/>
        <w:t>(b)</w:t>
      </w:r>
      <w:r w:rsidRPr="00EB4E43">
        <w:tab/>
      </w:r>
      <w:r w:rsidR="00313203" w:rsidRPr="00EB4E43">
        <w:t xml:space="preserve">was produced </w:t>
      </w:r>
      <w:r w:rsidRPr="00EB4E43">
        <w:t>from a limited production area;</w:t>
      </w:r>
    </w:p>
    <w:p w:rsidR="00313203" w:rsidRPr="00EB4E43" w:rsidRDefault="00313203" w:rsidP="00972582">
      <w:pPr>
        <w:pStyle w:val="subsection2"/>
      </w:pPr>
      <w:r w:rsidRPr="00EB4E43">
        <w:t xml:space="preserve">the information that must be given to the Minister </w:t>
      </w:r>
      <w:r w:rsidR="00105C68" w:rsidRPr="00EB4E43">
        <w:t xml:space="preserve">in respect of the transaction </w:t>
      </w:r>
      <w:r w:rsidRPr="00EB4E43">
        <w:t xml:space="preserve">is the volume of the oil or condensate entered for home consumption by the producer in </w:t>
      </w:r>
      <w:r w:rsidR="00105C68" w:rsidRPr="00EB4E43">
        <w:t>the</w:t>
      </w:r>
      <w:r w:rsidRPr="00EB4E43">
        <w:t xml:space="preserve"> month.</w:t>
      </w:r>
    </w:p>
    <w:p w:rsidR="00313203" w:rsidRPr="00EB4E43" w:rsidRDefault="00972582" w:rsidP="004445C9">
      <w:pPr>
        <w:pStyle w:val="subsection"/>
      </w:pPr>
      <w:r w:rsidRPr="00EB4E43">
        <w:tab/>
        <w:t>(4</w:t>
      </w:r>
      <w:r w:rsidR="00313203" w:rsidRPr="00EB4E43">
        <w:t>)</w:t>
      </w:r>
      <w:r w:rsidR="00313203" w:rsidRPr="00EB4E43">
        <w:tab/>
        <w:t xml:space="preserve">If an oil producer or condensate producer is required </w:t>
      </w:r>
      <w:r w:rsidRPr="00EB4E43">
        <w:t xml:space="preserve">by this section </w:t>
      </w:r>
      <w:r w:rsidR="00313203" w:rsidRPr="00EB4E43">
        <w:t>to give an amount, the producer must give:</w:t>
      </w:r>
    </w:p>
    <w:p w:rsidR="00313203" w:rsidRPr="00EB4E43" w:rsidRDefault="00313203" w:rsidP="004445C9">
      <w:pPr>
        <w:pStyle w:val="paragraph"/>
      </w:pPr>
      <w:r w:rsidRPr="00EB4E43">
        <w:tab/>
        <w:t>(a)</w:t>
      </w:r>
      <w:r w:rsidRPr="00EB4E43">
        <w:tab/>
        <w:t>the actual amount; or</w:t>
      </w:r>
    </w:p>
    <w:p w:rsidR="00313203" w:rsidRPr="00EB4E43" w:rsidRDefault="00313203" w:rsidP="004445C9">
      <w:pPr>
        <w:pStyle w:val="paragraph"/>
      </w:pPr>
      <w:r w:rsidRPr="00EB4E43">
        <w:tab/>
        <w:t>(b)</w:t>
      </w:r>
      <w:r w:rsidRPr="00EB4E43">
        <w:tab/>
        <w:t>if this is not reasonably practicable—the producer’s best estimate of the amount.</w:t>
      </w:r>
    </w:p>
    <w:p w:rsidR="00313203" w:rsidRPr="00EB4E43" w:rsidRDefault="00972582" w:rsidP="004445C9">
      <w:pPr>
        <w:pStyle w:val="subsection"/>
      </w:pPr>
      <w:r w:rsidRPr="00EB4E43">
        <w:tab/>
        <w:t>(5</w:t>
      </w:r>
      <w:r w:rsidR="00313203" w:rsidRPr="00EB4E43">
        <w:t>)</w:t>
      </w:r>
      <w:r w:rsidR="00313203" w:rsidRPr="00EB4E43">
        <w:tab/>
        <w:t>If an oil producer or condensate producer gives an estimated amount, the producer must state that the amount is an estimate.</w:t>
      </w:r>
    </w:p>
    <w:p w:rsidR="00313203" w:rsidRPr="00EB4E43" w:rsidRDefault="00DD0634" w:rsidP="004445C9">
      <w:pPr>
        <w:pStyle w:val="ActHead5"/>
      </w:pPr>
      <w:bookmarkStart w:id="11" w:name="_Toc507762617"/>
      <w:r w:rsidRPr="00EB4E43">
        <w:rPr>
          <w:rStyle w:val="CharSectno"/>
        </w:rPr>
        <w:t>9</w:t>
      </w:r>
      <w:r w:rsidR="006776EA" w:rsidRPr="00EB4E43">
        <w:t xml:space="preserve">  Transaction prices—</w:t>
      </w:r>
      <w:r w:rsidR="00313203" w:rsidRPr="00EB4E43">
        <w:t>manner of calculating</w:t>
      </w:r>
      <w:bookmarkEnd w:id="11"/>
    </w:p>
    <w:p w:rsidR="00191275" w:rsidRPr="00EB4E43" w:rsidRDefault="00191275" w:rsidP="00191275">
      <w:pPr>
        <w:pStyle w:val="subsection"/>
      </w:pPr>
      <w:r w:rsidRPr="00EB4E43">
        <w:tab/>
        <w:t>(1)</w:t>
      </w:r>
      <w:r w:rsidRPr="00EB4E43">
        <w:tab/>
        <w:t>For the purposes of paragraph</w:t>
      </w:r>
      <w:r w:rsidR="00EB4E43" w:rsidRPr="00EB4E43">
        <w:t> </w:t>
      </w:r>
      <w:r w:rsidRPr="00EB4E43">
        <w:t xml:space="preserve">7(5)(a) of the Act, the transaction price for a quantity of excisable crude petroleum oil that is </w:t>
      </w:r>
      <w:r w:rsidR="002321FF" w:rsidRPr="00EB4E43">
        <w:t>all or part of a quantity of oil</w:t>
      </w:r>
      <w:r w:rsidRPr="00EB4E43">
        <w:t xml:space="preserve"> </w:t>
      </w:r>
      <w:r w:rsidR="000D29AC" w:rsidRPr="00EB4E43">
        <w:t xml:space="preserve">(the </w:t>
      </w:r>
      <w:r w:rsidR="000D29AC" w:rsidRPr="00EB4E43">
        <w:rPr>
          <w:b/>
          <w:i/>
        </w:rPr>
        <w:t>delivered oil</w:t>
      </w:r>
      <w:r w:rsidR="000D29AC" w:rsidRPr="00EB4E43">
        <w:t xml:space="preserve">) </w:t>
      </w:r>
      <w:r w:rsidRPr="00EB4E43">
        <w:t>loaded on a ship, or delivered by pipeline, under a contract of sale is:</w:t>
      </w:r>
    </w:p>
    <w:p w:rsidR="004F3E57" w:rsidRPr="00EB4E43" w:rsidRDefault="004F3E57" w:rsidP="004F3E57">
      <w:pPr>
        <w:pStyle w:val="paragraph"/>
      </w:pPr>
      <w:r w:rsidRPr="00EB4E43">
        <w:tab/>
        <w:t>(a)</w:t>
      </w:r>
      <w:r w:rsidRPr="00EB4E43">
        <w:tab/>
        <w:t xml:space="preserve">if the number of credit days allowed under the contract </w:t>
      </w:r>
      <w:r w:rsidR="00533F17" w:rsidRPr="00EB4E43">
        <w:t>is</w:t>
      </w:r>
      <w:r w:rsidRPr="00EB4E43">
        <w:t xml:space="preserve"> no more than 30—the</w:t>
      </w:r>
      <w:r w:rsidR="000C2A3F" w:rsidRPr="00EB4E43">
        <w:t xml:space="preserve"> relevant delivery price of the</w:t>
      </w:r>
      <w:r w:rsidRPr="00EB4E43">
        <w:t xml:space="preserve"> </w:t>
      </w:r>
      <w:r w:rsidR="000D29AC" w:rsidRPr="00EB4E43">
        <w:t xml:space="preserve">delivered </w:t>
      </w:r>
      <w:r w:rsidRPr="00EB4E43">
        <w:t>oil; or</w:t>
      </w:r>
    </w:p>
    <w:p w:rsidR="004F3E57" w:rsidRPr="00EB4E43" w:rsidRDefault="004F3E57" w:rsidP="004F3E57">
      <w:pPr>
        <w:pStyle w:val="paragraph"/>
      </w:pPr>
      <w:r w:rsidRPr="00EB4E43">
        <w:tab/>
        <w:t>(b)</w:t>
      </w:r>
      <w:r w:rsidRPr="00EB4E43">
        <w:tab/>
        <w:t xml:space="preserve">if the number of credit days allowed under the contract </w:t>
      </w:r>
      <w:r w:rsidR="00533F17" w:rsidRPr="00EB4E43">
        <w:t>is</w:t>
      </w:r>
      <w:r w:rsidRPr="00EB4E43">
        <w:t xml:space="preserve"> more than 30—</w:t>
      </w:r>
      <w:r w:rsidR="00EE6399" w:rsidRPr="00EB4E43">
        <w:t>the result of</w:t>
      </w:r>
      <w:r w:rsidRPr="00EB4E43">
        <w:t xml:space="preserve"> deducting from th</w:t>
      </w:r>
      <w:r w:rsidR="000C2A3F" w:rsidRPr="00EB4E43">
        <w:t>e relevant delivery price of the</w:t>
      </w:r>
      <w:r w:rsidRPr="00EB4E43">
        <w:t xml:space="preserve"> </w:t>
      </w:r>
      <w:r w:rsidR="000D29AC" w:rsidRPr="00EB4E43">
        <w:t xml:space="preserve">delivered </w:t>
      </w:r>
      <w:r w:rsidRPr="00EB4E43">
        <w:t xml:space="preserve">oil a credit allowance worked out under </w:t>
      </w:r>
      <w:r w:rsidR="00EB4E43" w:rsidRPr="00EB4E43">
        <w:t>subsection (</w:t>
      </w:r>
      <w:r w:rsidRPr="00EB4E43">
        <w:t>2) or (3), as the case requires.</w:t>
      </w:r>
    </w:p>
    <w:p w:rsidR="009F57DF" w:rsidRPr="00EB4E43" w:rsidRDefault="009F57DF" w:rsidP="00E067A1">
      <w:pPr>
        <w:pStyle w:val="notetext"/>
      </w:pPr>
      <w:r w:rsidRPr="00EB4E43">
        <w:t>Note 1:</w:t>
      </w:r>
      <w:r w:rsidRPr="00EB4E43">
        <w:tab/>
      </w:r>
      <w:r w:rsidR="00382969" w:rsidRPr="00EB4E43">
        <w:t>For</w:t>
      </w:r>
      <w:r w:rsidRPr="00EB4E43">
        <w:t xml:space="preserve"> the </w:t>
      </w:r>
      <w:r w:rsidRPr="00EB4E43">
        <w:rPr>
          <w:b/>
          <w:i/>
        </w:rPr>
        <w:t>relevant deliver</w:t>
      </w:r>
      <w:r w:rsidR="00382969" w:rsidRPr="00EB4E43">
        <w:rPr>
          <w:b/>
          <w:i/>
        </w:rPr>
        <w:t>y</w:t>
      </w:r>
      <w:r w:rsidRPr="00EB4E43">
        <w:rPr>
          <w:b/>
          <w:i/>
        </w:rPr>
        <w:t xml:space="preserve"> price</w:t>
      </w:r>
      <w:r w:rsidRPr="00EB4E43">
        <w:t>, see section</w:t>
      </w:r>
      <w:r w:rsidR="00EB4E43" w:rsidRPr="00EB4E43">
        <w:t> </w:t>
      </w:r>
      <w:r w:rsidR="00DD0634" w:rsidRPr="00EB4E43">
        <w:t>10</w:t>
      </w:r>
      <w:r w:rsidRPr="00EB4E43">
        <w:t>.</w:t>
      </w:r>
    </w:p>
    <w:p w:rsidR="00E067A1" w:rsidRPr="00EB4E43" w:rsidRDefault="00E067A1" w:rsidP="00E067A1">
      <w:pPr>
        <w:pStyle w:val="notetext"/>
      </w:pPr>
      <w:r w:rsidRPr="00EB4E43">
        <w:t>Note</w:t>
      </w:r>
      <w:r w:rsidR="009F57DF" w:rsidRPr="00EB4E43">
        <w:t xml:space="preserve"> 2</w:t>
      </w:r>
      <w:r w:rsidRPr="00EB4E43">
        <w:t>:</w:t>
      </w:r>
      <w:r w:rsidRPr="00EB4E43">
        <w:tab/>
        <w:t xml:space="preserve">For calculating the transaction price under this subsection, adjustments may have to be made to the sale price and the value of </w:t>
      </w:r>
      <w:r w:rsidR="0029281A" w:rsidRPr="00EB4E43">
        <w:t xml:space="preserve">any </w:t>
      </w:r>
      <w:r w:rsidRPr="00EB4E43">
        <w:t>allowable costs</w:t>
      </w:r>
      <w:r w:rsidR="0029281A" w:rsidRPr="00EB4E43">
        <w:t xml:space="preserve"> (</w:t>
      </w:r>
      <w:r w:rsidRPr="00EB4E43">
        <w:t xml:space="preserve">see </w:t>
      </w:r>
      <w:r w:rsidR="00EB4E43" w:rsidRPr="00EB4E43">
        <w:t>subsection (</w:t>
      </w:r>
      <w:r w:rsidR="00B4515E" w:rsidRPr="00EB4E43">
        <w:t>4</w:t>
      </w:r>
      <w:r w:rsidRPr="00EB4E43">
        <w:t>)</w:t>
      </w:r>
      <w:r w:rsidR="0029281A" w:rsidRPr="00EB4E43">
        <w:t>)</w:t>
      </w:r>
      <w:r w:rsidRPr="00EB4E43">
        <w:t>.</w:t>
      </w:r>
    </w:p>
    <w:p w:rsidR="008C2D94" w:rsidRPr="00EB4E43" w:rsidRDefault="008C2D94" w:rsidP="003A1DBF">
      <w:pPr>
        <w:pStyle w:val="subsection"/>
      </w:pPr>
      <w:r w:rsidRPr="00EB4E43">
        <w:tab/>
        <w:t>(</w:t>
      </w:r>
      <w:r w:rsidR="00C17766" w:rsidRPr="00EB4E43">
        <w:t>2)</w:t>
      </w:r>
      <w:r w:rsidR="00C17766" w:rsidRPr="00EB4E43">
        <w:tab/>
        <w:t xml:space="preserve">Subject to </w:t>
      </w:r>
      <w:r w:rsidR="00EB4E43" w:rsidRPr="00EB4E43">
        <w:t>subsection (</w:t>
      </w:r>
      <w:r w:rsidR="00C17766" w:rsidRPr="00EB4E43">
        <w:t>3</w:t>
      </w:r>
      <w:r w:rsidRPr="00EB4E43">
        <w:t xml:space="preserve">), </w:t>
      </w:r>
      <w:r w:rsidR="003A1DBF" w:rsidRPr="00EB4E43">
        <w:t>the credit allowance fo</w:t>
      </w:r>
      <w:r w:rsidRPr="00EB4E43">
        <w:t xml:space="preserve">r the purposes of </w:t>
      </w:r>
      <w:r w:rsidR="00EB4E43" w:rsidRPr="00EB4E43">
        <w:t>paragraph (</w:t>
      </w:r>
      <w:r w:rsidR="00C17766" w:rsidRPr="00EB4E43">
        <w:t>1</w:t>
      </w:r>
      <w:r w:rsidRPr="00EB4E43">
        <w:t>)(</w:t>
      </w:r>
      <w:r w:rsidR="00191275" w:rsidRPr="00EB4E43">
        <w:t>b</w:t>
      </w:r>
      <w:r w:rsidR="003A1DBF" w:rsidRPr="00EB4E43">
        <w:t>)</w:t>
      </w:r>
      <w:r w:rsidRPr="00EB4E43">
        <w:t xml:space="preserve"> is</w:t>
      </w:r>
      <w:r w:rsidR="003A1DBF" w:rsidRPr="00EB4E43">
        <w:t xml:space="preserve"> the result of the following formula (expressed as an amount of Australian dollars to the nearest cent)</w:t>
      </w:r>
      <w:r w:rsidRPr="00EB4E43">
        <w:t>:</w:t>
      </w:r>
    </w:p>
    <w:p w:rsidR="008C2D94" w:rsidRPr="00EB4E43" w:rsidRDefault="000D29AC" w:rsidP="003A1DBF">
      <w:pPr>
        <w:pStyle w:val="subsection2"/>
      </w:pPr>
      <w:r w:rsidRPr="00EB4E43">
        <w:rPr>
          <w:position w:val="-36"/>
        </w:rPr>
        <w:object w:dxaOrig="6720" w:dyaOrig="1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5.25pt;height:58.5pt" o:ole="">
            <v:imagedata r:id="rId21" o:title=""/>
          </v:shape>
          <o:OLEObject Type="Embed" ProgID="Equation.DSMT4" ShapeID="_x0000_i1025" DrawAspect="Content" ObjectID="_1582110047" r:id="rId22"/>
        </w:object>
      </w:r>
    </w:p>
    <w:p w:rsidR="008C2D94" w:rsidRPr="00EB4E43" w:rsidRDefault="008C2D94" w:rsidP="003A1DBF">
      <w:pPr>
        <w:pStyle w:val="subsection2"/>
      </w:pPr>
      <w:r w:rsidRPr="00EB4E43">
        <w:t>where:</w:t>
      </w:r>
    </w:p>
    <w:p w:rsidR="003A1DBF" w:rsidRPr="00EB4E43" w:rsidRDefault="003A1DBF" w:rsidP="003A1DBF">
      <w:pPr>
        <w:pStyle w:val="Definition"/>
      </w:pPr>
      <w:r w:rsidRPr="00EB4E43">
        <w:rPr>
          <w:b/>
          <w:i/>
        </w:rPr>
        <w:t>interest rate</w:t>
      </w:r>
      <w:r w:rsidRPr="00EB4E43">
        <w:t xml:space="preserve"> means:</w:t>
      </w:r>
    </w:p>
    <w:p w:rsidR="003A1DBF" w:rsidRPr="00EB4E43" w:rsidRDefault="003A1DBF" w:rsidP="003A1DBF">
      <w:pPr>
        <w:pStyle w:val="paragraph"/>
      </w:pPr>
      <w:r w:rsidRPr="00EB4E43">
        <w:tab/>
        <w:t>(a)</w:t>
      </w:r>
      <w:r w:rsidRPr="00EB4E43">
        <w:tab/>
      </w:r>
      <w:r w:rsidR="008A3D32" w:rsidRPr="00EB4E43">
        <w:t xml:space="preserve">if there is a </w:t>
      </w:r>
      <w:r w:rsidR="0071401D" w:rsidRPr="00EB4E43">
        <w:t>m</w:t>
      </w:r>
      <w:r w:rsidR="008C2D94" w:rsidRPr="00EB4E43">
        <w:t xml:space="preserve">aximum indicator interest rate for the date of entry </w:t>
      </w:r>
      <w:r w:rsidRPr="00EB4E43">
        <w:t xml:space="preserve">for home consumption of the </w:t>
      </w:r>
      <w:r w:rsidR="00104E9C" w:rsidRPr="00EB4E43">
        <w:t xml:space="preserve">delivered </w:t>
      </w:r>
      <w:r w:rsidRPr="00EB4E43">
        <w:t>oil</w:t>
      </w:r>
      <w:r w:rsidR="0071401D" w:rsidRPr="00EB4E43">
        <w:t>—that maximum indicator interest rate</w:t>
      </w:r>
      <w:r w:rsidRPr="00EB4E43">
        <w:t>; or</w:t>
      </w:r>
    </w:p>
    <w:p w:rsidR="008C2D94" w:rsidRPr="00EB4E43" w:rsidRDefault="003A1DBF" w:rsidP="003A1DBF">
      <w:pPr>
        <w:pStyle w:val="paragraph"/>
      </w:pPr>
      <w:r w:rsidRPr="00EB4E43">
        <w:tab/>
        <w:t>(b)</w:t>
      </w:r>
      <w:r w:rsidRPr="00EB4E43">
        <w:tab/>
      </w:r>
      <w:r w:rsidR="0071401D" w:rsidRPr="00EB4E43">
        <w:t>otherwise—</w:t>
      </w:r>
      <w:r w:rsidR="008C2D94" w:rsidRPr="00EB4E43">
        <w:t xml:space="preserve">the maximum indicator interest rate </w:t>
      </w:r>
      <w:r w:rsidR="0071401D" w:rsidRPr="00EB4E43">
        <w:t xml:space="preserve">quoted by the Reserve Bank </w:t>
      </w:r>
      <w:r w:rsidR="008C2D94" w:rsidRPr="00EB4E43">
        <w:t xml:space="preserve">for the </w:t>
      </w:r>
      <w:r w:rsidR="0071401D" w:rsidRPr="00EB4E43">
        <w:t>most recent</w:t>
      </w:r>
      <w:r w:rsidR="008C2D94" w:rsidRPr="00EB4E43">
        <w:t xml:space="preserve"> day</w:t>
      </w:r>
      <w:r w:rsidR="0071401D" w:rsidRPr="00EB4E43">
        <w:t xml:space="preserve"> before that date of entry</w:t>
      </w:r>
      <w:r w:rsidR="008C2D94" w:rsidRPr="00EB4E43">
        <w:t>.</w:t>
      </w:r>
    </w:p>
    <w:p w:rsidR="008C2D94" w:rsidRPr="00EB4E43" w:rsidRDefault="006E70E1" w:rsidP="003A1DBF">
      <w:pPr>
        <w:pStyle w:val="Definition"/>
      </w:pPr>
      <w:r w:rsidRPr="00EB4E43">
        <w:rPr>
          <w:b/>
          <w:i/>
        </w:rPr>
        <w:t>n</w:t>
      </w:r>
      <w:r w:rsidR="0071401D" w:rsidRPr="00EB4E43">
        <w:rPr>
          <w:b/>
          <w:i/>
        </w:rPr>
        <w:t>umber of days in the applicable year</w:t>
      </w:r>
      <w:r w:rsidR="0071401D" w:rsidRPr="00EB4E43">
        <w:t xml:space="preserve"> means</w:t>
      </w:r>
      <w:r w:rsidR="008C2D94" w:rsidRPr="00EB4E43">
        <w:t>:</w:t>
      </w:r>
    </w:p>
    <w:p w:rsidR="008C2D94" w:rsidRPr="00EB4E43" w:rsidRDefault="008C2D94" w:rsidP="0071401D">
      <w:pPr>
        <w:pStyle w:val="paragraph"/>
      </w:pPr>
      <w:r w:rsidRPr="00EB4E43">
        <w:tab/>
        <w:t>(a)</w:t>
      </w:r>
      <w:r w:rsidRPr="00EB4E43">
        <w:tab/>
      </w:r>
      <w:r w:rsidR="0071401D" w:rsidRPr="00EB4E43">
        <w:t>if</w:t>
      </w:r>
      <w:r w:rsidRPr="00EB4E43">
        <w:t xml:space="preserve"> under the contract the effective credit day and the due date for payment are in the same </w:t>
      </w:r>
      <w:r w:rsidR="009B2004" w:rsidRPr="00EB4E43">
        <w:t xml:space="preserve">financial </w:t>
      </w:r>
      <w:r w:rsidRPr="00EB4E43">
        <w:t xml:space="preserve">year—the number of days in that </w:t>
      </w:r>
      <w:r w:rsidR="009B2004" w:rsidRPr="00EB4E43">
        <w:t>financial year</w:t>
      </w:r>
      <w:r w:rsidRPr="00EB4E43">
        <w:t>; or</w:t>
      </w:r>
    </w:p>
    <w:p w:rsidR="00F667DC" w:rsidRPr="00EB4E43" w:rsidRDefault="008C2D94" w:rsidP="0071401D">
      <w:pPr>
        <w:pStyle w:val="paragraph"/>
      </w:pPr>
      <w:r w:rsidRPr="00EB4E43">
        <w:tab/>
        <w:t>(b)</w:t>
      </w:r>
      <w:r w:rsidRPr="00EB4E43">
        <w:tab/>
      </w:r>
      <w:r w:rsidR="0071401D" w:rsidRPr="00EB4E43">
        <w:t>if</w:t>
      </w:r>
      <w:r w:rsidR="00F667DC" w:rsidRPr="00EB4E43">
        <w:t xml:space="preserve"> under the contract:</w:t>
      </w:r>
    </w:p>
    <w:p w:rsidR="00F667DC" w:rsidRPr="00EB4E43" w:rsidRDefault="00F667DC" w:rsidP="00F667DC">
      <w:pPr>
        <w:pStyle w:val="paragraphsub"/>
      </w:pPr>
      <w:r w:rsidRPr="00EB4E43">
        <w:tab/>
        <w:t>(i)</w:t>
      </w:r>
      <w:r w:rsidRPr="00EB4E43">
        <w:tab/>
      </w:r>
      <w:r w:rsidR="008C2D94" w:rsidRPr="00EB4E43">
        <w:t xml:space="preserve">the effective credit day is in one </w:t>
      </w:r>
      <w:r w:rsidR="009B2004" w:rsidRPr="00EB4E43">
        <w:t>financial year</w:t>
      </w:r>
      <w:r w:rsidRPr="00EB4E43">
        <w:t xml:space="preserve"> and </w:t>
      </w:r>
      <w:r w:rsidR="008C2D94" w:rsidRPr="00EB4E43">
        <w:t>the due date for payment is in the</w:t>
      </w:r>
      <w:r w:rsidR="000C2A3F" w:rsidRPr="00EB4E43">
        <w:t xml:space="preserve"> next later</w:t>
      </w:r>
      <w:r w:rsidR="008C2D94" w:rsidRPr="00EB4E43">
        <w:t xml:space="preserve"> </w:t>
      </w:r>
      <w:r w:rsidR="009B2004" w:rsidRPr="00EB4E43">
        <w:t>financial year</w:t>
      </w:r>
      <w:r w:rsidRPr="00EB4E43">
        <w:t>;</w:t>
      </w:r>
      <w:r w:rsidR="008C2D94" w:rsidRPr="00EB4E43">
        <w:t xml:space="preserve"> and</w:t>
      </w:r>
    </w:p>
    <w:p w:rsidR="008B27D0" w:rsidRPr="00EB4E43" w:rsidRDefault="00F667DC" w:rsidP="00F667DC">
      <w:pPr>
        <w:pStyle w:val="paragraphsub"/>
      </w:pPr>
      <w:r w:rsidRPr="00EB4E43">
        <w:tab/>
        <w:t>(ii)</w:t>
      </w:r>
      <w:r w:rsidRPr="00EB4E43">
        <w:tab/>
      </w:r>
      <w:r w:rsidR="008C2D94" w:rsidRPr="00EB4E43">
        <w:t xml:space="preserve">the number of credit days allowed under the contract that </w:t>
      </w:r>
      <w:r w:rsidRPr="00EB4E43">
        <w:t>happen</w:t>
      </w:r>
      <w:r w:rsidR="008C2D94" w:rsidRPr="00EB4E43">
        <w:t xml:space="preserve"> in the first of those </w:t>
      </w:r>
      <w:r w:rsidR="009B2004" w:rsidRPr="00EB4E43">
        <w:t>financial year</w:t>
      </w:r>
      <w:r w:rsidR="008C2D94" w:rsidRPr="00EB4E43">
        <w:t>s is no more than 30</w:t>
      </w:r>
      <w:r w:rsidR="008B27D0" w:rsidRPr="00EB4E43">
        <w:t>;</w:t>
      </w:r>
    </w:p>
    <w:p w:rsidR="008C2D94" w:rsidRPr="00EB4E43" w:rsidRDefault="008B27D0" w:rsidP="008B27D0">
      <w:pPr>
        <w:pStyle w:val="paragraph"/>
      </w:pPr>
      <w:r w:rsidRPr="00EB4E43">
        <w:tab/>
      </w:r>
      <w:r w:rsidRPr="00EB4E43">
        <w:tab/>
      </w:r>
      <w:r w:rsidR="008C2D94" w:rsidRPr="00EB4E43">
        <w:t xml:space="preserve">the number of days in the second of those </w:t>
      </w:r>
      <w:r w:rsidR="009B2004" w:rsidRPr="00EB4E43">
        <w:t>financial year</w:t>
      </w:r>
      <w:r w:rsidR="008C2D94" w:rsidRPr="00EB4E43">
        <w:t>s.</w:t>
      </w:r>
    </w:p>
    <w:p w:rsidR="008B27D0" w:rsidRPr="00EB4E43" w:rsidRDefault="00C17766" w:rsidP="008B27D0">
      <w:pPr>
        <w:pStyle w:val="subsection"/>
      </w:pPr>
      <w:r w:rsidRPr="00EB4E43">
        <w:tab/>
        <w:t>(3</w:t>
      </w:r>
      <w:r w:rsidR="008B27D0" w:rsidRPr="00EB4E43">
        <w:t>)</w:t>
      </w:r>
      <w:r w:rsidR="008B27D0" w:rsidRPr="00EB4E43">
        <w:tab/>
        <w:t>If:</w:t>
      </w:r>
    </w:p>
    <w:p w:rsidR="008B27D0" w:rsidRPr="00EB4E43" w:rsidRDefault="008B27D0" w:rsidP="008B27D0">
      <w:pPr>
        <w:pStyle w:val="paragraph"/>
      </w:pPr>
      <w:r w:rsidRPr="00EB4E43">
        <w:tab/>
        <w:t>(a)</w:t>
      </w:r>
      <w:r w:rsidRPr="00EB4E43">
        <w:tab/>
        <w:t>the effective credit day under the contract is in one</w:t>
      </w:r>
      <w:r w:rsidR="00CE5E12" w:rsidRPr="00EB4E43">
        <w:t xml:space="preserve"> </w:t>
      </w:r>
      <w:r w:rsidR="009B2004" w:rsidRPr="00EB4E43">
        <w:t>financial year</w:t>
      </w:r>
      <w:r w:rsidRPr="00EB4E43">
        <w:t xml:space="preserve"> (the </w:t>
      </w:r>
      <w:r w:rsidRPr="00EB4E43">
        <w:rPr>
          <w:b/>
          <w:i/>
        </w:rPr>
        <w:t>first year</w:t>
      </w:r>
      <w:r w:rsidRPr="00EB4E43">
        <w:t xml:space="preserve">) and the due date for payment under the contract is in the </w:t>
      </w:r>
      <w:r w:rsidR="00146366" w:rsidRPr="00EB4E43">
        <w:t>next later</w:t>
      </w:r>
      <w:r w:rsidR="00CE5E12" w:rsidRPr="00EB4E43">
        <w:t xml:space="preserve"> </w:t>
      </w:r>
      <w:r w:rsidR="009B2004" w:rsidRPr="00EB4E43">
        <w:t>financial year</w:t>
      </w:r>
      <w:r w:rsidRPr="00EB4E43">
        <w:t xml:space="preserve"> (the </w:t>
      </w:r>
      <w:r w:rsidRPr="00EB4E43">
        <w:rPr>
          <w:b/>
          <w:i/>
        </w:rPr>
        <w:t>second year</w:t>
      </w:r>
      <w:r w:rsidRPr="00EB4E43">
        <w:t>); and</w:t>
      </w:r>
    </w:p>
    <w:p w:rsidR="008B27D0" w:rsidRPr="00EB4E43" w:rsidRDefault="008B27D0" w:rsidP="008B27D0">
      <w:pPr>
        <w:pStyle w:val="paragraph"/>
      </w:pPr>
      <w:r w:rsidRPr="00EB4E43">
        <w:tab/>
        <w:t>(b)</w:t>
      </w:r>
      <w:r w:rsidRPr="00EB4E43">
        <w:tab/>
        <w:t xml:space="preserve">the number of credit days allowed under the contract that </w:t>
      </w:r>
      <w:r w:rsidR="00CE5E12" w:rsidRPr="00EB4E43">
        <w:t>happen</w:t>
      </w:r>
      <w:r w:rsidRPr="00EB4E43">
        <w:t xml:space="preserve"> in the first year is more than 30;</w:t>
      </w:r>
    </w:p>
    <w:p w:rsidR="008B27D0" w:rsidRPr="00EB4E43" w:rsidRDefault="00CE5E12" w:rsidP="008B27D0">
      <w:pPr>
        <w:pStyle w:val="subsection2"/>
      </w:pPr>
      <w:r w:rsidRPr="00EB4E43">
        <w:t xml:space="preserve">the credit allowance for </w:t>
      </w:r>
      <w:r w:rsidR="00C17766" w:rsidRPr="00EB4E43">
        <w:t xml:space="preserve">the purposes of </w:t>
      </w:r>
      <w:r w:rsidR="00EB4E43" w:rsidRPr="00EB4E43">
        <w:t>paragraph (</w:t>
      </w:r>
      <w:r w:rsidR="00C17766" w:rsidRPr="00EB4E43">
        <w:t>1</w:t>
      </w:r>
      <w:r w:rsidRPr="00EB4E43">
        <w:t>)(</w:t>
      </w:r>
      <w:r w:rsidR="00191275" w:rsidRPr="00EB4E43">
        <w:t>b</w:t>
      </w:r>
      <w:r w:rsidRPr="00EB4E43">
        <w:t>) is the result of the following formula (expressed as an amount of Australian dollars to the nearest cent):</w:t>
      </w:r>
    </w:p>
    <w:p w:rsidR="00CE5E12" w:rsidRPr="00EB4E43" w:rsidRDefault="000610D2" w:rsidP="005F6FE1">
      <w:pPr>
        <w:pStyle w:val="subsection2"/>
        <w:ind w:left="0"/>
        <w:rPr>
          <w:sz w:val="2"/>
          <w:szCs w:val="2"/>
        </w:rPr>
      </w:pPr>
      <w:r w:rsidRPr="00EB4E43">
        <w:object w:dxaOrig="8740" w:dyaOrig="1260">
          <v:shape id="_x0000_i1026" type="#_x0000_t75" style="width:437.25pt;height:63pt" o:ole="">
            <v:imagedata r:id="rId23" o:title=""/>
          </v:shape>
          <o:OLEObject Type="Embed" ProgID="Equation.DSMT4" ShapeID="_x0000_i1026" DrawAspect="Content" ObjectID="_1582110048" r:id="rId24"/>
        </w:object>
      </w:r>
    </w:p>
    <w:p w:rsidR="008B27D0" w:rsidRPr="00EB4E43" w:rsidRDefault="008B27D0" w:rsidP="000610D2">
      <w:pPr>
        <w:pStyle w:val="subsection2"/>
      </w:pPr>
      <w:r w:rsidRPr="00EB4E43">
        <w:t>where:</w:t>
      </w:r>
    </w:p>
    <w:p w:rsidR="000610D2" w:rsidRPr="00EB4E43" w:rsidRDefault="000610D2" w:rsidP="000610D2">
      <w:pPr>
        <w:pStyle w:val="Definition"/>
      </w:pPr>
      <w:r w:rsidRPr="00EB4E43">
        <w:rPr>
          <w:b/>
          <w:i/>
        </w:rPr>
        <w:t>IR</w:t>
      </w:r>
      <w:r w:rsidRPr="00EB4E43">
        <w:t xml:space="preserve"> has the </w:t>
      </w:r>
      <w:r w:rsidR="00A47DF1" w:rsidRPr="00EB4E43">
        <w:t xml:space="preserve">same meaning as </w:t>
      </w:r>
      <w:r w:rsidR="003A2A78" w:rsidRPr="00EB4E43">
        <w:rPr>
          <w:b/>
          <w:i/>
        </w:rPr>
        <w:t>interest rate</w:t>
      </w:r>
      <w:r w:rsidR="003A2A78" w:rsidRPr="00EB4E43">
        <w:t xml:space="preserve"> </w:t>
      </w:r>
      <w:r w:rsidR="00A47DF1" w:rsidRPr="00EB4E43">
        <w:t xml:space="preserve">in </w:t>
      </w:r>
      <w:r w:rsidR="00EB4E43" w:rsidRPr="00EB4E43">
        <w:t>subsection (</w:t>
      </w:r>
      <w:r w:rsidR="00A47DF1" w:rsidRPr="00EB4E43">
        <w:t>2</w:t>
      </w:r>
      <w:r w:rsidRPr="00EB4E43">
        <w:t>).</w:t>
      </w:r>
    </w:p>
    <w:p w:rsidR="000610D2" w:rsidRPr="00EB4E43" w:rsidRDefault="000610D2" w:rsidP="000610D2">
      <w:pPr>
        <w:pStyle w:val="Definition"/>
      </w:pPr>
      <w:r w:rsidRPr="00EB4E43">
        <w:rPr>
          <w:b/>
          <w:i/>
        </w:rPr>
        <w:t>RDP</w:t>
      </w:r>
      <w:r w:rsidRPr="00EB4E43">
        <w:t xml:space="preserve"> means the relevant delivery pr</w:t>
      </w:r>
      <w:r w:rsidR="003A2A78" w:rsidRPr="00EB4E43">
        <w:t>ice</w:t>
      </w:r>
      <w:r w:rsidRPr="00EB4E43">
        <w:t xml:space="preserve"> of the </w:t>
      </w:r>
      <w:r w:rsidR="003A2A78" w:rsidRPr="00EB4E43">
        <w:t xml:space="preserve">delivered </w:t>
      </w:r>
      <w:r w:rsidRPr="00EB4E43">
        <w:t>oil.</w:t>
      </w:r>
    </w:p>
    <w:p w:rsidR="00E33DCD" w:rsidRPr="00EB4E43" w:rsidRDefault="00E33DCD" w:rsidP="00E33DCD">
      <w:pPr>
        <w:pStyle w:val="subsection"/>
      </w:pPr>
      <w:r w:rsidRPr="00EB4E43">
        <w:tab/>
        <w:t>(</w:t>
      </w:r>
      <w:r w:rsidR="00C17766" w:rsidRPr="00EB4E43">
        <w:t>4</w:t>
      </w:r>
      <w:r w:rsidRPr="00EB4E43">
        <w:t>)</w:t>
      </w:r>
      <w:r w:rsidRPr="00EB4E43">
        <w:tab/>
        <w:t xml:space="preserve">Despite </w:t>
      </w:r>
      <w:r w:rsidR="00EB4E43" w:rsidRPr="00EB4E43">
        <w:t>subsection (</w:t>
      </w:r>
      <w:r w:rsidR="00C17766" w:rsidRPr="00EB4E43">
        <w:t>1</w:t>
      </w:r>
      <w:r w:rsidR="008070F8" w:rsidRPr="00EB4E43">
        <w:t>) or section</w:t>
      </w:r>
      <w:r w:rsidR="00EB4E43" w:rsidRPr="00EB4E43">
        <w:t> </w:t>
      </w:r>
      <w:r w:rsidR="00DD0634" w:rsidRPr="00EB4E43">
        <w:t>10</w:t>
      </w:r>
      <w:r w:rsidRPr="00EB4E43">
        <w:t>, in calculating the transaction price for a quantity of excisable crude petroleum oil:</w:t>
      </w:r>
    </w:p>
    <w:p w:rsidR="00E33DCD" w:rsidRPr="00EB4E43" w:rsidRDefault="00E33DCD" w:rsidP="00E33DCD">
      <w:pPr>
        <w:pStyle w:val="paragraph"/>
      </w:pPr>
      <w:r w:rsidRPr="00EB4E43">
        <w:tab/>
        <w:t>(a)</w:t>
      </w:r>
      <w:r w:rsidRPr="00EB4E43">
        <w:tab/>
        <w:t xml:space="preserve">if the price per kilolitre of the oil, or the sale price, under the contract of sale includes an amount of GST payable on the supply </w:t>
      </w:r>
      <w:r w:rsidR="008070F8" w:rsidRPr="00EB4E43">
        <w:t>to which that price relates—</w:t>
      </w:r>
      <w:r w:rsidRPr="00EB4E43">
        <w:t>that price is to be reduced by the amount of GST; and</w:t>
      </w:r>
    </w:p>
    <w:p w:rsidR="00E33DCD" w:rsidRPr="00EB4E43" w:rsidRDefault="00E33DCD" w:rsidP="00E33DCD">
      <w:pPr>
        <w:pStyle w:val="paragraph"/>
      </w:pPr>
      <w:r w:rsidRPr="00EB4E43">
        <w:tab/>
        <w:t>(b)</w:t>
      </w:r>
      <w:r w:rsidRPr="00EB4E43">
        <w:tab/>
        <w:t>if:</w:t>
      </w:r>
    </w:p>
    <w:p w:rsidR="00E33DCD" w:rsidRPr="00EB4E43" w:rsidRDefault="00E33DCD" w:rsidP="00E33DCD">
      <w:pPr>
        <w:pStyle w:val="paragraphsub"/>
      </w:pPr>
      <w:r w:rsidRPr="00EB4E43">
        <w:tab/>
        <w:t>(i)</w:t>
      </w:r>
      <w:r w:rsidRPr="00EB4E43">
        <w:tab/>
        <w:t>the value ap</w:t>
      </w:r>
      <w:r w:rsidR="008070F8" w:rsidRPr="00EB4E43">
        <w:t>plicable under paragraph</w:t>
      </w:r>
      <w:r w:rsidR="00EB4E43" w:rsidRPr="00EB4E43">
        <w:t> </w:t>
      </w:r>
      <w:r w:rsidR="00DD0634" w:rsidRPr="00EB4E43">
        <w:t>12</w:t>
      </w:r>
      <w:r w:rsidR="008070F8" w:rsidRPr="00EB4E43">
        <w:t>(1)</w:t>
      </w:r>
      <w:r w:rsidRPr="00EB4E43">
        <w:t>(b) to a cost mentioned in paragra</w:t>
      </w:r>
      <w:r w:rsidR="008070F8" w:rsidRPr="00EB4E43">
        <w:t>ph</w:t>
      </w:r>
      <w:r w:rsidR="00EB4E43" w:rsidRPr="00EB4E43">
        <w:t> </w:t>
      </w:r>
      <w:r w:rsidR="00DD0634" w:rsidRPr="00EB4E43">
        <w:t>12</w:t>
      </w:r>
      <w:r w:rsidR="008070F8" w:rsidRPr="00EB4E43">
        <w:t>(1)</w:t>
      </w:r>
      <w:r w:rsidRPr="00EB4E43">
        <w:t>(a) is an amou</w:t>
      </w:r>
      <w:r w:rsidR="008070F8" w:rsidRPr="00EB4E43">
        <w:t>nt mentioned in subparagraph</w:t>
      </w:r>
      <w:r w:rsidR="00EB4E43" w:rsidRPr="00EB4E43">
        <w:t> </w:t>
      </w:r>
      <w:r w:rsidR="00DD0634" w:rsidRPr="00EB4E43">
        <w:t>12</w:t>
      </w:r>
      <w:r w:rsidRPr="00EB4E43">
        <w:t>(1)(b)(ii); and</w:t>
      </w:r>
    </w:p>
    <w:p w:rsidR="00E33DCD" w:rsidRPr="00EB4E43" w:rsidRDefault="00E33DCD" w:rsidP="00E33DCD">
      <w:pPr>
        <w:pStyle w:val="paragraphsub"/>
      </w:pPr>
      <w:r w:rsidRPr="00EB4E43">
        <w:tab/>
        <w:t>(ii)</w:t>
      </w:r>
      <w:r w:rsidRPr="00EB4E43">
        <w:tab/>
        <w:t>the producer is entitled to an input tax credit for the acquisition to which that value relates;</w:t>
      </w:r>
    </w:p>
    <w:p w:rsidR="00E33DCD" w:rsidRPr="00EB4E43" w:rsidRDefault="00E33DCD" w:rsidP="00E33DCD">
      <w:pPr>
        <w:pStyle w:val="paragraph"/>
      </w:pPr>
      <w:r w:rsidRPr="00EB4E43">
        <w:tab/>
      </w:r>
      <w:r w:rsidRPr="00EB4E43">
        <w:tab/>
        <w:t xml:space="preserve">that value is to be reduced by the amount of </w:t>
      </w:r>
      <w:r w:rsidR="00174CF8" w:rsidRPr="00EB4E43">
        <w:t xml:space="preserve">the </w:t>
      </w:r>
      <w:r w:rsidRPr="00EB4E43">
        <w:t>input tax credit.</w:t>
      </w:r>
    </w:p>
    <w:p w:rsidR="00E33DCD" w:rsidRPr="00EB4E43" w:rsidRDefault="00E33DCD" w:rsidP="00E33DCD">
      <w:pPr>
        <w:pStyle w:val="notetext"/>
      </w:pPr>
      <w:r w:rsidRPr="00EB4E43">
        <w:t>Note:</w:t>
      </w:r>
      <w:r w:rsidRPr="00EB4E43">
        <w:tab/>
        <w:t>No adjustment i</w:t>
      </w:r>
      <w:r w:rsidR="008070F8" w:rsidRPr="00EB4E43">
        <w:t xml:space="preserve">s made under this subsection </w:t>
      </w:r>
      <w:r w:rsidRPr="00EB4E43">
        <w:t>for a value agreed under subpara</w:t>
      </w:r>
      <w:r w:rsidR="008070F8" w:rsidRPr="00EB4E43">
        <w:t>graph</w:t>
      </w:r>
      <w:r w:rsidR="00EB4E43" w:rsidRPr="00EB4E43">
        <w:t> </w:t>
      </w:r>
      <w:r w:rsidR="00DD0634" w:rsidRPr="00EB4E43">
        <w:t>12</w:t>
      </w:r>
      <w:r w:rsidRPr="00EB4E43">
        <w:t>(1)(b)(i) because adjustment has already been made in</w:t>
      </w:r>
      <w:r w:rsidR="008070F8" w:rsidRPr="00EB4E43">
        <w:t xml:space="preserve"> agreeing on that value—see subsection</w:t>
      </w:r>
      <w:r w:rsidR="00EB4E43" w:rsidRPr="00EB4E43">
        <w:t> </w:t>
      </w:r>
      <w:r w:rsidR="00DD0634" w:rsidRPr="00EB4E43">
        <w:t>12</w:t>
      </w:r>
      <w:r w:rsidRPr="00EB4E43">
        <w:t>(2).</w:t>
      </w:r>
    </w:p>
    <w:p w:rsidR="008C2D94" w:rsidRPr="00EB4E43" w:rsidRDefault="00DD0634" w:rsidP="009F57DF">
      <w:pPr>
        <w:pStyle w:val="ActHead5"/>
      </w:pPr>
      <w:bookmarkStart w:id="12" w:name="_Toc507762618"/>
      <w:r w:rsidRPr="00EB4E43">
        <w:rPr>
          <w:rStyle w:val="CharSectno"/>
        </w:rPr>
        <w:t>10</w:t>
      </w:r>
      <w:r w:rsidR="009F57DF" w:rsidRPr="00EB4E43">
        <w:t xml:space="preserve">  Transaction prices—relevant delivery price</w:t>
      </w:r>
      <w:bookmarkEnd w:id="12"/>
    </w:p>
    <w:p w:rsidR="00AE1B65" w:rsidRPr="00EB4E43" w:rsidRDefault="00AE1B65" w:rsidP="00AE1B65">
      <w:pPr>
        <w:pStyle w:val="subsection"/>
      </w:pPr>
      <w:r w:rsidRPr="00EB4E43">
        <w:tab/>
        <w:t>(1)</w:t>
      </w:r>
      <w:r w:rsidRPr="00EB4E43">
        <w:tab/>
        <w:t xml:space="preserve">The </w:t>
      </w:r>
      <w:r w:rsidRPr="00EB4E43">
        <w:rPr>
          <w:b/>
          <w:i/>
        </w:rPr>
        <w:t>relevant delivery price</w:t>
      </w:r>
      <w:r w:rsidRPr="00EB4E43">
        <w:t>, for a quantity of crude petroleum oil loaded on a ship, or delivered by pipeline, under a contract of sale is:</w:t>
      </w:r>
    </w:p>
    <w:p w:rsidR="00AE1B65" w:rsidRPr="00EB4E43" w:rsidRDefault="00AE1B65" w:rsidP="00AE1B65">
      <w:pPr>
        <w:pStyle w:val="paragraph"/>
      </w:pPr>
      <w:r w:rsidRPr="00EB4E43">
        <w:tab/>
        <w:t>(a)</w:t>
      </w:r>
      <w:r w:rsidRPr="00EB4E43">
        <w:tab/>
        <w:t>for oil loaded on a ship under an f.o.b. contract or delivered by pipeline—the excisable quantity price for that oil; or</w:t>
      </w:r>
    </w:p>
    <w:p w:rsidR="00AE1B65" w:rsidRPr="00EB4E43" w:rsidRDefault="00AE1B65" w:rsidP="00AE1B65">
      <w:pPr>
        <w:pStyle w:val="paragraph"/>
      </w:pPr>
      <w:r w:rsidRPr="00EB4E43">
        <w:tab/>
        <w:t>(b)</w:t>
      </w:r>
      <w:r w:rsidRPr="00EB4E43">
        <w:tab/>
        <w:t>otherwise—the excisable quantity price for that oil less the excisable quantity cost for that oil.</w:t>
      </w:r>
    </w:p>
    <w:p w:rsidR="009B6450" w:rsidRPr="00EB4E43" w:rsidRDefault="009B6450" w:rsidP="009B6450">
      <w:pPr>
        <w:pStyle w:val="notetext"/>
      </w:pPr>
      <w:r w:rsidRPr="00EB4E43">
        <w:t>Note:</w:t>
      </w:r>
      <w:r w:rsidRPr="00EB4E43">
        <w:tab/>
        <w:t xml:space="preserve">For the </w:t>
      </w:r>
      <w:r w:rsidRPr="00EB4E43">
        <w:rPr>
          <w:b/>
          <w:i/>
        </w:rPr>
        <w:t>excisable quantity price</w:t>
      </w:r>
      <w:r w:rsidRPr="00EB4E43">
        <w:t xml:space="preserve">, see </w:t>
      </w:r>
      <w:r w:rsidR="00EB4E43" w:rsidRPr="00EB4E43">
        <w:t>subsection (</w:t>
      </w:r>
      <w:r w:rsidRPr="00EB4E43">
        <w:t xml:space="preserve">2). For the </w:t>
      </w:r>
      <w:r w:rsidRPr="00EB4E43">
        <w:rPr>
          <w:b/>
          <w:i/>
        </w:rPr>
        <w:t>excisable quantity cost</w:t>
      </w:r>
      <w:r w:rsidRPr="00EB4E43">
        <w:t xml:space="preserve">, see </w:t>
      </w:r>
      <w:r w:rsidR="00EB4E43" w:rsidRPr="00EB4E43">
        <w:t>subsection (</w:t>
      </w:r>
      <w:r w:rsidRPr="00EB4E43">
        <w:t>4).</w:t>
      </w:r>
    </w:p>
    <w:p w:rsidR="009B6450" w:rsidRPr="00EB4E43" w:rsidRDefault="009B6450" w:rsidP="009B6450">
      <w:pPr>
        <w:pStyle w:val="SubsectionHead"/>
      </w:pPr>
      <w:r w:rsidRPr="00EB4E43">
        <w:t>Excisable quantity price</w:t>
      </w:r>
    </w:p>
    <w:p w:rsidR="001C238A" w:rsidRPr="00EB4E43" w:rsidRDefault="001C238A" w:rsidP="001C238A">
      <w:pPr>
        <w:pStyle w:val="subsection"/>
      </w:pPr>
      <w:r w:rsidRPr="00EB4E43">
        <w:tab/>
        <w:t>(2)</w:t>
      </w:r>
      <w:r w:rsidRPr="00EB4E43">
        <w:tab/>
        <w:t xml:space="preserve">The </w:t>
      </w:r>
      <w:r w:rsidRPr="00EB4E43">
        <w:rPr>
          <w:b/>
          <w:i/>
        </w:rPr>
        <w:t>excisable quantity price</w:t>
      </w:r>
      <w:r w:rsidRPr="00EB4E43">
        <w:t xml:space="preserve">, for all or part of a quantity of crude petroleum oil entered for home consumption during a month, is the </w:t>
      </w:r>
      <w:r w:rsidR="00AD71F3" w:rsidRPr="00EB4E43">
        <w:t xml:space="preserve">amount </w:t>
      </w:r>
      <w:r w:rsidRPr="00EB4E43">
        <w:t xml:space="preserve">(expressed as an amount of Australian dollars to the nearest cent) </w:t>
      </w:r>
      <w:r w:rsidR="00AD71F3" w:rsidRPr="00EB4E43">
        <w:t xml:space="preserve">equal to the proportion </w:t>
      </w:r>
      <w:r w:rsidRPr="00EB4E43">
        <w:t>of the applicable whole price for that oil that is the same as the proportion:</w:t>
      </w:r>
    </w:p>
    <w:p w:rsidR="001C238A" w:rsidRPr="00EB4E43" w:rsidRDefault="00544AF3" w:rsidP="001C238A">
      <w:pPr>
        <w:pStyle w:val="subsection2"/>
      </w:pPr>
      <w:r w:rsidRPr="00EB4E43">
        <w:rPr>
          <w:position w:val="-36"/>
        </w:rPr>
        <w:object w:dxaOrig="5640" w:dyaOrig="999">
          <v:shape id="_x0000_i1027" type="#_x0000_t75" style="width:282pt;height:49.5pt" o:ole="">
            <v:imagedata r:id="rId25" o:title=""/>
          </v:shape>
          <o:OLEObject Type="Embed" ProgID="Equation.DSMT4" ShapeID="_x0000_i1027" DrawAspect="Content" ObjectID="_1582110049" r:id="rId26"/>
        </w:object>
      </w:r>
    </w:p>
    <w:p w:rsidR="001C238A" w:rsidRPr="00EB4E43" w:rsidRDefault="001C238A" w:rsidP="001C238A">
      <w:pPr>
        <w:pStyle w:val="subsection2"/>
      </w:pPr>
      <w:r w:rsidRPr="00EB4E43">
        <w:t>where:</w:t>
      </w:r>
    </w:p>
    <w:p w:rsidR="001C238A" w:rsidRPr="00EB4E43" w:rsidRDefault="001C238A" w:rsidP="001C238A">
      <w:pPr>
        <w:pStyle w:val="Definition"/>
      </w:pPr>
      <w:r w:rsidRPr="00EB4E43">
        <w:rPr>
          <w:b/>
          <w:i/>
        </w:rPr>
        <w:t>total quantity overall</w:t>
      </w:r>
      <w:r w:rsidRPr="00EB4E43">
        <w:t xml:space="preserve"> means the total quantity of:</w:t>
      </w:r>
    </w:p>
    <w:p w:rsidR="001C238A" w:rsidRPr="00EB4E43" w:rsidRDefault="001C238A" w:rsidP="001C238A">
      <w:pPr>
        <w:pStyle w:val="paragraph"/>
      </w:pPr>
      <w:r w:rsidRPr="00EB4E43">
        <w:tab/>
        <w:t>(a)</w:t>
      </w:r>
      <w:r w:rsidRPr="00EB4E43">
        <w:tab/>
        <w:t>excisable crude petroleum oil entered for home consumption during that month</w:t>
      </w:r>
      <w:r w:rsidR="004A2F9E" w:rsidRPr="00EB4E43">
        <w:t xml:space="preserve"> by the relevant oil producer</w:t>
      </w:r>
      <w:r w:rsidRPr="00EB4E43">
        <w:t>; and</w:t>
      </w:r>
    </w:p>
    <w:p w:rsidR="001C238A" w:rsidRPr="00EB4E43" w:rsidRDefault="001C238A" w:rsidP="001C238A">
      <w:pPr>
        <w:pStyle w:val="paragraph"/>
      </w:pPr>
      <w:r w:rsidRPr="00EB4E43">
        <w:tab/>
        <w:t>(b)</w:t>
      </w:r>
      <w:r w:rsidRPr="00EB4E43">
        <w:tab/>
        <w:t>any other crude petroleum oil mixed with that oil at the time of that entry.</w:t>
      </w:r>
    </w:p>
    <w:p w:rsidR="001C238A" w:rsidRPr="00EB4E43" w:rsidRDefault="001C238A" w:rsidP="001C238A">
      <w:pPr>
        <w:pStyle w:val="subsection"/>
      </w:pPr>
      <w:r w:rsidRPr="00EB4E43">
        <w:tab/>
        <w:t>(3)</w:t>
      </w:r>
      <w:r w:rsidRPr="00EB4E43">
        <w:tab/>
        <w:t xml:space="preserve">The </w:t>
      </w:r>
      <w:r w:rsidRPr="00EB4E43">
        <w:rPr>
          <w:b/>
          <w:i/>
        </w:rPr>
        <w:t>applicable whole price</w:t>
      </w:r>
      <w:r w:rsidRPr="00EB4E43">
        <w:t xml:space="preserve">, for a quantity of crude petroleum oil loaded on a ship, or delivered by pipeline, under a contract of sale, is </w:t>
      </w:r>
      <w:r w:rsidR="00C37C30" w:rsidRPr="00EB4E43">
        <w:t>the following</w:t>
      </w:r>
      <w:r w:rsidRPr="00EB4E43">
        <w:t>:</w:t>
      </w:r>
    </w:p>
    <w:p w:rsidR="001C238A" w:rsidRPr="00EB4E43" w:rsidRDefault="001C238A" w:rsidP="001C238A">
      <w:pPr>
        <w:pStyle w:val="paragraph"/>
      </w:pPr>
      <w:r w:rsidRPr="00EB4E43">
        <w:tab/>
        <w:t>(a)</w:t>
      </w:r>
      <w:r w:rsidRPr="00EB4E43">
        <w:tab/>
        <w:t>if:</w:t>
      </w:r>
    </w:p>
    <w:p w:rsidR="001C238A" w:rsidRPr="00EB4E43" w:rsidRDefault="001C238A" w:rsidP="001C238A">
      <w:pPr>
        <w:pStyle w:val="paragraphsub"/>
      </w:pPr>
      <w:r w:rsidRPr="00EB4E43">
        <w:tab/>
        <w:t>(i)</w:t>
      </w:r>
      <w:r w:rsidRPr="00EB4E43">
        <w:tab/>
        <w:t xml:space="preserve">the contract is a contract, other than an f.o.b. contract or any other contract under which the quantity of oil sold is the quantity of oil loaded on </w:t>
      </w:r>
      <w:r w:rsidR="00497B14" w:rsidRPr="00EB4E43">
        <w:t>a</w:t>
      </w:r>
      <w:r w:rsidRPr="00EB4E43">
        <w:t xml:space="preserve"> ship, under which a quantity of oil is loaded on a ship (the </w:t>
      </w:r>
      <w:r w:rsidRPr="00EB4E43">
        <w:rPr>
          <w:b/>
          <w:i/>
        </w:rPr>
        <w:t>loaded quantity</w:t>
      </w:r>
      <w:r w:rsidRPr="00EB4E43">
        <w:t>); and</w:t>
      </w:r>
    </w:p>
    <w:p w:rsidR="001C238A" w:rsidRPr="00EB4E43" w:rsidRDefault="001C238A" w:rsidP="001C238A">
      <w:pPr>
        <w:pStyle w:val="paragraphsub"/>
      </w:pPr>
      <w:r w:rsidRPr="00EB4E43">
        <w:tab/>
        <w:t>(ii)</w:t>
      </w:r>
      <w:r w:rsidRPr="00EB4E43">
        <w:tab/>
        <w:t xml:space="preserve">the amount of the sale price under the contract is to be </w:t>
      </w:r>
      <w:r w:rsidR="006D71A9" w:rsidRPr="00EB4E43">
        <w:t>worked out</w:t>
      </w:r>
      <w:r w:rsidRPr="00EB4E43">
        <w:t xml:space="preserve"> by reference to the quantity of oil delivered under the contract (the </w:t>
      </w:r>
      <w:r w:rsidRPr="00EB4E43">
        <w:rPr>
          <w:b/>
          <w:i/>
        </w:rPr>
        <w:t>delivered quantity</w:t>
      </w:r>
      <w:r w:rsidRPr="00EB4E43">
        <w:t>); and</w:t>
      </w:r>
    </w:p>
    <w:p w:rsidR="001C238A" w:rsidRPr="00EB4E43" w:rsidRDefault="001C238A" w:rsidP="001C238A">
      <w:pPr>
        <w:pStyle w:val="paragraphsub"/>
      </w:pPr>
      <w:r w:rsidRPr="00EB4E43">
        <w:tab/>
        <w:t>(iii)</w:t>
      </w:r>
      <w:r w:rsidRPr="00EB4E43">
        <w:tab/>
        <w:t>the loaded quantity exceeds the delivered quantity by more than 0.5% of the loaded quantity;</w:t>
      </w:r>
    </w:p>
    <w:p w:rsidR="001C238A" w:rsidRPr="00EB4E43" w:rsidRDefault="001C238A" w:rsidP="001C238A">
      <w:pPr>
        <w:pStyle w:val="paragraph"/>
      </w:pPr>
      <w:r w:rsidRPr="00EB4E43">
        <w:tab/>
      </w:r>
      <w:r w:rsidRPr="00EB4E43">
        <w:tab/>
        <w:t>the result of the following formula (expressed as an amount of Australian dollars to the nearest cent):</w:t>
      </w:r>
    </w:p>
    <w:p w:rsidR="001C238A" w:rsidRPr="00EB4E43" w:rsidRDefault="00254B86" w:rsidP="001C238A">
      <w:pPr>
        <w:pStyle w:val="paragraph"/>
      </w:pPr>
      <w:r w:rsidRPr="00EB4E43">
        <w:tab/>
      </w:r>
      <w:r w:rsidRPr="00EB4E43">
        <w:tab/>
      </w:r>
      <w:r w:rsidR="001C238A" w:rsidRPr="00EB4E43">
        <w:rPr>
          <w:position w:val="-24"/>
        </w:rPr>
        <w:object w:dxaOrig="6120" w:dyaOrig="660">
          <v:shape id="_x0000_i1028" type="#_x0000_t75" style="width:306pt;height:33pt" o:ole="">
            <v:imagedata r:id="rId27" o:title=""/>
          </v:shape>
          <o:OLEObject Type="Embed" ProgID="Equation.DSMT4" ShapeID="_x0000_i1028" DrawAspect="Content" ObjectID="_1582110050" r:id="rId28"/>
        </w:object>
      </w:r>
    </w:p>
    <w:p w:rsidR="001C238A" w:rsidRPr="00EB4E43" w:rsidRDefault="001C238A" w:rsidP="001C238A">
      <w:pPr>
        <w:pStyle w:val="paragraph"/>
      </w:pPr>
      <w:r w:rsidRPr="00EB4E43">
        <w:tab/>
        <w:t>(b)</w:t>
      </w:r>
      <w:r w:rsidRPr="00EB4E43">
        <w:tab/>
        <w:t>otherwise—the price indicated in the contract as the sale price, expressed as an amount of Australian dollars to the nearest cent.</w:t>
      </w:r>
    </w:p>
    <w:p w:rsidR="009B6450" w:rsidRPr="00EB4E43" w:rsidRDefault="009B6450" w:rsidP="009B6450">
      <w:pPr>
        <w:pStyle w:val="SubsectionHead"/>
      </w:pPr>
      <w:r w:rsidRPr="00EB4E43">
        <w:t>Excisable quantity cost</w:t>
      </w:r>
    </w:p>
    <w:p w:rsidR="00254B86" w:rsidRPr="00EB4E43" w:rsidRDefault="00254B86" w:rsidP="00254B86">
      <w:pPr>
        <w:pStyle w:val="subsection"/>
      </w:pPr>
      <w:r w:rsidRPr="00EB4E43">
        <w:tab/>
        <w:t>(4)</w:t>
      </w:r>
      <w:r w:rsidRPr="00EB4E43">
        <w:tab/>
        <w:t xml:space="preserve">The </w:t>
      </w:r>
      <w:r w:rsidRPr="00EB4E43">
        <w:rPr>
          <w:b/>
          <w:i/>
        </w:rPr>
        <w:t>excisable quantity cost</w:t>
      </w:r>
      <w:r w:rsidRPr="00EB4E43">
        <w:t xml:space="preserve">, for all or part of a quantity of crude petroleum oil entered for home consumption during a month, is the </w:t>
      </w:r>
      <w:r w:rsidR="002566B0" w:rsidRPr="00EB4E43">
        <w:t xml:space="preserve">amount </w:t>
      </w:r>
      <w:r w:rsidRPr="00EB4E43">
        <w:t xml:space="preserve">(expressed as an amount of Australian dollars to the nearest cent) </w:t>
      </w:r>
      <w:r w:rsidR="002566B0" w:rsidRPr="00EB4E43">
        <w:t xml:space="preserve">equal to the proportion </w:t>
      </w:r>
      <w:r w:rsidRPr="00EB4E43">
        <w:t>of the applicable whole cost for that oil that is the same as the proportion:</w:t>
      </w:r>
    </w:p>
    <w:p w:rsidR="00254B86" w:rsidRPr="00EB4E43" w:rsidRDefault="00544AF3" w:rsidP="00254B86">
      <w:pPr>
        <w:pStyle w:val="subsection2"/>
      </w:pPr>
      <w:r w:rsidRPr="00EB4E43">
        <w:rPr>
          <w:position w:val="-36"/>
        </w:rPr>
        <w:object w:dxaOrig="5640" w:dyaOrig="999">
          <v:shape id="_x0000_i1029" type="#_x0000_t75" style="width:282pt;height:49.5pt" o:ole="">
            <v:imagedata r:id="rId29" o:title=""/>
          </v:shape>
          <o:OLEObject Type="Embed" ProgID="Equation.DSMT4" ShapeID="_x0000_i1029" DrawAspect="Content" ObjectID="_1582110051" r:id="rId30"/>
        </w:object>
      </w:r>
    </w:p>
    <w:p w:rsidR="00254B86" w:rsidRPr="00EB4E43" w:rsidRDefault="00254B86" w:rsidP="00254B86">
      <w:pPr>
        <w:pStyle w:val="subsection2"/>
      </w:pPr>
      <w:r w:rsidRPr="00EB4E43">
        <w:t>where:</w:t>
      </w:r>
    </w:p>
    <w:p w:rsidR="00254B86" w:rsidRPr="00EB4E43" w:rsidRDefault="00254B86" w:rsidP="00254B86">
      <w:pPr>
        <w:pStyle w:val="Definition"/>
      </w:pPr>
      <w:r w:rsidRPr="00EB4E43">
        <w:rPr>
          <w:b/>
          <w:i/>
        </w:rPr>
        <w:t>total quantity overall</w:t>
      </w:r>
      <w:r w:rsidRPr="00EB4E43">
        <w:t xml:space="preserve"> means the total quantity of:</w:t>
      </w:r>
    </w:p>
    <w:p w:rsidR="00254B86" w:rsidRPr="00EB4E43" w:rsidRDefault="00254B86" w:rsidP="00254B86">
      <w:pPr>
        <w:pStyle w:val="paragraph"/>
      </w:pPr>
      <w:r w:rsidRPr="00EB4E43">
        <w:tab/>
        <w:t>(a)</w:t>
      </w:r>
      <w:r w:rsidRPr="00EB4E43">
        <w:tab/>
        <w:t>excisable crude petroleum oil entered for home consumption during that month</w:t>
      </w:r>
      <w:r w:rsidR="004A2F9E" w:rsidRPr="00EB4E43">
        <w:t xml:space="preserve"> by the relevant oil producer</w:t>
      </w:r>
      <w:r w:rsidRPr="00EB4E43">
        <w:t>; and</w:t>
      </w:r>
    </w:p>
    <w:p w:rsidR="00254B86" w:rsidRPr="00EB4E43" w:rsidRDefault="00254B86" w:rsidP="00254B86">
      <w:pPr>
        <w:pStyle w:val="paragraph"/>
      </w:pPr>
      <w:r w:rsidRPr="00EB4E43">
        <w:tab/>
        <w:t>(b)</w:t>
      </w:r>
      <w:r w:rsidRPr="00EB4E43">
        <w:tab/>
        <w:t>any other crude petroleum oil mixed with that oil at the time of that entry.</w:t>
      </w:r>
    </w:p>
    <w:p w:rsidR="00313203" w:rsidRPr="00EB4E43" w:rsidRDefault="00254B86" w:rsidP="00254B86">
      <w:pPr>
        <w:pStyle w:val="subsection"/>
      </w:pPr>
      <w:r w:rsidRPr="00EB4E43">
        <w:tab/>
        <w:t>(5)</w:t>
      </w:r>
      <w:r w:rsidRPr="00EB4E43">
        <w:tab/>
        <w:t xml:space="preserve">The </w:t>
      </w:r>
      <w:r w:rsidR="00313203" w:rsidRPr="00EB4E43">
        <w:rPr>
          <w:b/>
          <w:i/>
        </w:rPr>
        <w:t>applicable whole cost</w:t>
      </w:r>
      <w:r w:rsidR="00313203" w:rsidRPr="00EB4E43">
        <w:t xml:space="preserve">, </w:t>
      </w:r>
      <w:r w:rsidR="00AE1B65" w:rsidRPr="00EB4E43">
        <w:t>for</w:t>
      </w:r>
      <w:r w:rsidR="00313203" w:rsidRPr="00EB4E43">
        <w:t xml:space="preserve"> a quantity of crude petroleum oil loaded on a</w:t>
      </w:r>
      <w:r w:rsidR="002566B0" w:rsidRPr="00EB4E43">
        <w:t xml:space="preserve"> ship under a contract of sale </w:t>
      </w:r>
      <w:r w:rsidR="00313203" w:rsidRPr="00EB4E43">
        <w:t xml:space="preserve">by the oil producer of that oil </w:t>
      </w:r>
      <w:r w:rsidRPr="00EB4E43">
        <w:t>is</w:t>
      </w:r>
      <w:r w:rsidR="00313203" w:rsidRPr="00EB4E43">
        <w:t xml:space="preserve"> the total of the values applicable under paragraph</w:t>
      </w:r>
      <w:r w:rsidR="00EB4E43" w:rsidRPr="00EB4E43">
        <w:t> </w:t>
      </w:r>
      <w:r w:rsidR="00DD0634" w:rsidRPr="00EB4E43">
        <w:t>12</w:t>
      </w:r>
      <w:r w:rsidRPr="00EB4E43">
        <w:t>(1)</w:t>
      </w:r>
      <w:r w:rsidR="00313203" w:rsidRPr="00EB4E43">
        <w:t>(b) to any of the costs referred to in paragraph</w:t>
      </w:r>
      <w:r w:rsidR="00EB4E43" w:rsidRPr="00EB4E43">
        <w:t> </w:t>
      </w:r>
      <w:r w:rsidR="00DD0634" w:rsidRPr="00EB4E43">
        <w:t>12</w:t>
      </w:r>
      <w:r w:rsidRPr="00EB4E43">
        <w:t>(1)</w:t>
      </w:r>
      <w:r w:rsidR="00313203" w:rsidRPr="00EB4E43">
        <w:t xml:space="preserve">(a) incurred by the </w:t>
      </w:r>
      <w:r w:rsidR="004A2F9E" w:rsidRPr="00EB4E43">
        <w:t xml:space="preserve">relevant oil </w:t>
      </w:r>
      <w:r w:rsidR="00313203" w:rsidRPr="00EB4E43">
        <w:t>producer under the contract.</w:t>
      </w:r>
    </w:p>
    <w:p w:rsidR="00313203" w:rsidRPr="00EB4E43" w:rsidRDefault="00DD0634" w:rsidP="00212906">
      <w:pPr>
        <w:pStyle w:val="ActHead5"/>
      </w:pPr>
      <w:bookmarkStart w:id="13" w:name="_Toc507762619"/>
      <w:r w:rsidRPr="00EB4E43">
        <w:rPr>
          <w:rStyle w:val="CharSectno"/>
        </w:rPr>
        <w:t>11</w:t>
      </w:r>
      <w:r w:rsidR="004C6E53" w:rsidRPr="00EB4E43">
        <w:t xml:space="preserve">  Transaction prices—</w:t>
      </w:r>
      <w:r w:rsidR="00313203" w:rsidRPr="00EB4E43">
        <w:t>condensat</w:t>
      </w:r>
      <w:r w:rsidR="004C6E53" w:rsidRPr="00EB4E43">
        <w:t>e</w:t>
      </w:r>
      <w:bookmarkEnd w:id="13"/>
    </w:p>
    <w:p w:rsidR="00313203" w:rsidRPr="00EB4E43" w:rsidRDefault="00313203" w:rsidP="00212906">
      <w:pPr>
        <w:pStyle w:val="subsection"/>
      </w:pPr>
      <w:r w:rsidRPr="00EB4E43">
        <w:tab/>
      </w:r>
      <w:r w:rsidRPr="00EB4E43">
        <w:tab/>
      </w:r>
      <w:r w:rsidR="00212906" w:rsidRPr="00EB4E43">
        <w:t>Section</w:t>
      </w:r>
      <w:r w:rsidR="008070F8" w:rsidRPr="00EB4E43">
        <w:t>s</w:t>
      </w:r>
      <w:r w:rsidR="00EB4E43" w:rsidRPr="00EB4E43">
        <w:t> </w:t>
      </w:r>
      <w:r w:rsidR="00DD0634" w:rsidRPr="00EB4E43">
        <w:t>9</w:t>
      </w:r>
      <w:r w:rsidRPr="00EB4E43">
        <w:t xml:space="preserve"> </w:t>
      </w:r>
      <w:r w:rsidR="008070F8" w:rsidRPr="00EB4E43">
        <w:t xml:space="preserve">and </w:t>
      </w:r>
      <w:r w:rsidR="00DD0634" w:rsidRPr="00EB4E43">
        <w:t>10</w:t>
      </w:r>
      <w:r w:rsidR="008070F8" w:rsidRPr="00EB4E43">
        <w:t xml:space="preserve"> </w:t>
      </w:r>
      <w:r w:rsidRPr="00EB4E43">
        <w:t>appl</w:t>
      </w:r>
      <w:r w:rsidR="008070F8" w:rsidRPr="00EB4E43">
        <w:t>y</w:t>
      </w:r>
      <w:r w:rsidRPr="00EB4E43">
        <w:t xml:space="preserve"> </w:t>
      </w:r>
      <w:r w:rsidR="004C6E53" w:rsidRPr="00EB4E43">
        <w:t>in relation to</w:t>
      </w:r>
      <w:r w:rsidR="005C4D7C" w:rsidRPr="00EB4E43">
        <w:t xml:space="preserve"> condensate as if</w:t>
      </w:r>
      <w:r w:rsidR="004C6E53" w:rsidRPr="00EB4E43">
        <w:t>:</w:t>
      </w:r>
    </w:p>
    <w:p w:rsidR="00313203" w:rsidRPr="00EB4E43" w:rsidRDefault="00313203" w:rsidP="00212906">
      <w:pPr>
        <w:pStyle w:val="paragraph"/>
      </w:pPr>
      <w:r w:rsidRPr="00EB4E43">
        <w:tab/>
        <w:t>(a)</w:t>
      </w:r>
      <w:r w:rsidRPr="00EB4E43">
        <w:tab/>
        <w:t xml:space="preserve">a reference </w:t>
      </w:r>
      <w:r w:rsidR="004C6E53" w:rsidRPr="00EB4E43">
        <w:t xml:space="preserve">in those sections </w:t>
      </w:r>
      <w:r w:rsidRPr="00EB4E43">
        <w:t>to excisable crude petroleum oil were a reference to excisable condensate; and</w:t>
      </w:r>
    </w:p>
    <w:p w:rsidR="00313203" w:rsidRPr="00EB4E43" w:rsidRDefault="00313203" w:rsidP="00212906">
      <w:pPr>
        <w:pStyle w:val="paragraph"/>
      </w:pPr>
      <w:r w:rsidRPr="00EB4E43">
        <w:tab/>
        <w:t>(b)</w:t>
      </w:r>
      <w:r w:rsidRPr="00EB4E43">
        <w:tab/>
        <w:t xml:space="preserve">a reference </w:t>
      </w:r>
      <w:r w:rsidR="004C6E53" w:rsidRPr="00EB4E43">
        <w:t xml:space="preserve">in those sections </w:t>
      </w:r>
      <w:r w:rsidRPr="00EB4E43">
        <w:t>to crude petroleum oil</w:t>
      </w:r>
      <w:r w:rsidR="004C6E53" w:rsidRPr="00EB4E43">
        <w:t>, or to oil,</w:t>
      </w:r>
      <w:r w:rsidRPr="00EB4E43">
        <w:t xml:space="preserve"> wer</w:t>
      </w:r>
      <w:r w:rsidR="004C6E53" w:rsidRPr="00EB4E43">
        <w:t>e a reference to condensate.</w:t>
      </w:r>
    </w:p>
    <w:p w:rsidR="00313203" w:rsidRPr="00EB4E43" w:rsidRDefault="00DD0634" w:rsidP="00C006BD">
      <w:pPr>
        <w:pStyle w:val="ActHead5"/>
      </w:pPr>
      <w:bookmarkStart w:id="14" w:name="_Toc507762620"/>
      <w:r w:rsidRPr="00EB4E43">
        <w:rPr>
          <w:rStyle w:val="CharSectno"/>
        </w:rPr>
        <w:t>12</w:t>
      </w:r>
      <w:r w:rsidR="00313203" w:rsidRPr="00EB4E43">
        <w:t xml:space="preserve">  Transport costs</w:t>
      </w:r>
      <w:bookmarkEnd w:id="14"/>
    </w:p>
    <w:p w:rsidR="00313203" w:rsidRPr="00EB4E43" w:rsidRDefault="00313203" w:rsidP="00212906">
      <w:pPr>
        <w:pStyle w:val="subsection"/>
      </w:pPr>
      <w:r w:rsidRPr="00EB4E43">
        <w:tab/>
        <w:t>(1)</w:t>
      </w:r>
      <w:r w:rsidRPr="00EB4E43">
        <w:tab/>
        <w:t>For the purposes of paragraph</w:t>
      </w:r>
      <w:r w:rsidR="00EB4E43" w:rsidRPr="00EB4E43">
        <w:t> </w:t>
      </w:r>
      <w:r w:rsidR="00DD0634" w:rsidRPr="00EB4E43">
        <w:t>8</w:t>
      </w:r>
      <w:r w:rsidR="00236AC2" w:rsidRPr="00EB4E43">
        <w:t>(2</w:t>
      </w:r>
      <w:r w:rsidR="00212906" w:rsidRPr="00EB4E43">
        <w:t>)</w:t>
      </w:r>
      <w:r w:rsidRPr="00EB4E43">
        <w:t xml:space="preserve">(d) and </w:t>
      </w:r>
      <w:r w:rsidR="00236AC2" w:rsidRPr="00EB4E43">
        <w:t>subsection</w:t>
      </w:r>
      <w:r w:rsidR="00EB4E43" w:rsidRPr="00EB4E43">
        <w:t> </w:t>
      </w:r>
      <w:r w:rsidR="00DD0634" w:rsidRPr="00EB4E43">
        <w:t>10</w:t>
      </w:r>
      <w:r w:rsidR="00236AC2" w:rsidRPr="00EB4E43">
        <w:t>(5)</w:t>
      </w:r>
      <w:r w:rsidRPr="00EB4E43">
        <w:t>:</w:t>
      </w:r>
    </w:p>
    <w:p w:rsidR="00313203" w:rsidRPr="00EB4E43" w:rsidRDefault="00313203" w:rsidP="00212906">
      <w:pPr>
        <w:pStyle w:val="paragraph"/>
      </w:pPr>
      <w:r w:rsidRPr="00EB4E43">
        <w:tab/>
        <w:t>(a)</w:t>
      </w:r>
      <w:r w:rsidRPr="00EB4E43">
        <w:tab/>
        <w:t>the costs are</w:t>
      </w:r>
      <w:r w:rsidR="00236AC2" w:rsidRPr="00EB4E43">
        <w:t xml:space="preserve"> as follows</w:t>
      </w:r>
      <w:r w:rsidRPr="00EB4E43">
        <w:t>:</w:t>
      </w:r>
    </w:p>
    <w:p w:rsidR="00313203" w:rsidRPr="00EB4E43" w:rsidRDefault="00313203" w:rsidP="00212906">
      <w:pPr>
        <w:pStyle w:val="paragraphsub"/>
      </w:pPr>
      <w:r w:rsidRPr="00EB4E43">
        <w:tab/>
        <w:t>(i)</w:t>
      </w:r>
      <w:r w:rsidRPr="00EB4E43">
        <w:tab/>
        <w:t>freight;</w:t>
      </w:r>
    </w:p>
    <w:p w:rsidR="00313203" w:rsidRPr="00EB4E43" w:rsidRDefault="00313203" w:rsidP="00212906">
      <w:pPr>
        <w:pStyle w:val="paragraphsub"/>
      </w:pPr>
      <w:r w:rsidRPr="00EB4E43">
        <w:tab/>
        <w:t>(ii)</w:t>
      </w:r>
      <w:r w:rsidRPr="00EB4E43">
        <w:tab/>
        <w:t>insurance;</w:t>
      </w:r>
    </w:p>
    <w:p w:rsidR="00313203" w:rsidRPr="00EB4E43" w:rsidRDefault="00313203" w:rsidP="00212906">
      <w:pPr>
        <w:pStyle w:val="paragraphsub"/>
      </w:pPr>
      <w:r w:rsidRPr="00EB4E43">
        <w:tab/>
        <w:t>(iii)</w:t>
      </w:r>
      <w:r w:rsidRPr="00EB4E43">
        <w:tab/>
        <w:t>demurrage at the port of destination not caused by any action of the producer;</w:t>
      </w:r>
    </w:p>
    <w:p w:rsidR="00313203" w:rsidRPr="00EB4E43" w:rsidRDefault="00313203" w:rsidP="00212906">
      <w:pPr>
        <w:pStyle w:val="paragraphsub"/>
      </w:pPr>
      <w:r w:rsidRPr="00EB4E43">
        <w:tab/>
        <w:t>(iv)</w:t>
      </w:r>
      <w:r w:rsidRPr="00EB4E43">
        <w:tab/>
        <w:t>lighterage at the port of destination;</w:t>
      </w:r>
    </w:p>
    <w:p w:rsidR="00313203" w:rsidRPr="00EB4E43" w:rsidRDefault="00313203" w:rsidP="00212906">
      <w:pPr>
        <w:pStyle w:val="paragraphsub"/>
      </w:pPr>
      <w:r w:rsidRPr="00EB4E43">
        <w:tab/>
        <w:t>(v)</w:t>
      </w:r>
      <w:r w:rsidRPr="00EB4E43">
        <w:tab/>
        <w:t>wharfage at the port of destination;</w:t>
      </w:r>
    </w:p>
    <w:p w:rsidR="00313203" w:rsidRPr="00EB4E43" w:rsidRDefault="00313203" w:rsidP="00212906">
      <w:pPr>
        <w:pStyle w:val="paragraphsub"/>
      </w:pPr>
      <w:r w:rsidRPr="00EB4E43">
        <w:tab/>
        <w:t>(vi)</w:t>
      </w:r>
      <w:r w:rsidRPr="00EB4E43">
        <w:tab/>
        <w:t>heating of the oil or condensate;</w:t>
      </w:r>
    </w:p>
    <w:p w:rsidR="00313203" w:rsidRPr="00EB4E43" w:rsidRDefault="00236AC2" w:rsidP="00212906">
      <w:pPr>
        <w:pStyle w:val="paragraphsub"/>
      </w:pPr>
      <w:r w:rsidRPr="00EB4E43">
        <w:tab/>
        <w:t>(vii)</w:t>
      </w:r>
      <w:r w:rsidRPr="00EB4E43">
        <w:tab/>
        <w:t>bunkers;</w:t>
      </w:r>
    </w:p>
    <w:p w:rsidR="00313203" w:rsidRPr="00EB4E43" w:rsidRDefault="00313203" w:rsidP="00212906">
      <w:pPr>
        <w:pStyle w:val="paragraphsub"/>
      </w:pPr>
      <w:r w:rsidRPr="00EB4E43">
        <w:tab/>
        <w:t>(viii)</w:t>
      </w:r>
      <w:r w:rsidRPr="00EB4E43">
        <w:tab/>
        <w:t>survey; and</w:t>
      </w:r>
    </w:p>
    <w:p w:rsidR="00313203" w:rsidRPr="00EB4E43" w:rsidRDefault="00313203" w:rsidP="00212906">
      <w:pPr>
        <w:pStyle w:val="paragraph"/>
      </w:pPr>
      <w:r w:rsidRPr="00EB4E43">
        <w:tab/>
        <w:t>(b)</w:t>
      </w:r>
      <w:r w:rsidRPr="00EB4E43">
        <w:tab/>
        <w:t xml:space="preserve">the value of a cost referred to in a subparagraph of </w:t>
      </w:r>
      <w:r w:rsidR="00EB4E43" w:rsidRPr="00EB4E43">
        <w:t>paragraph (</w:t>
      </w:r>
      <w:r w:rsidRPr="00EB4E43">
        <w:t>a) is:</w:t>
      </w:r>
    </w:p>
    <w:p w:rsidR="00313203" w:rsidRPr="00EB4E43" w:rsidRDefault="00313203" w:rsidP="00212906">
      <w:pPr>
        <w:pStyle w:val="paragraphsub"/>
      </w:pPr>
      <w:r w:rsidRPr="00EB4E43">
        <w:tab/>
        <w:t>(i)</w:t>
      </w:r>
      <w:r w:rsidRPr="00EB4E43">
        <w:tab/>
      </w:r>
      <w:r w:rsidR="00C006BD" w:rsidRPr="00EB4E43">
        <w:t>if</w:t>
      </w:r>
      <w:r w:rsidRPr="00EB4E43">
        <w:t xml:space="preserve"> the Minister, or an authorised person, and the producer agree on that value—the value as agreed; or</w:t>
      </w:r>
    </w:p>
    <w:p w:rsidR="00313203" w:rsidRPr="00EB4E43" w:rsidRDefault="00313203" w:rsidP="00212906">
      <w:pPr>
        <w:pStyle w:val="paragraphsub"/>
      </w:pPr>
      <w:r w:rsidRPr="00EB4E43">
        <w:tab/>
        <w:t>(ii)</w:t>
      </w:r>
      <w:r w:rsidRPr="00EB4E43">
        <w:tab/>
      </w:r>
      <w:r w:rsidR="00C006BD" w:rsidRPr="00EB4E43">
        <w:t>otherwise</w:t>
      </w:r>
      <w:r w:rsidRPr="00EB4E43">
        <w:t>—the amount (if any) incurred in respect of that cost;</w:t>
      </w:r>
    </w:p>
    <w:p w:rsidR="00313203" w:rsidRPr="00EB4E43" w:rsidRDefault="00313203" w:rsidP="00212906">
      <w:pPr>
        <w:pStyle w:val="paragraph"/>
      </w:pPr>
      <w:r w:rsidRPr="00EB4E43">
        <w:tab/>
      </w:r>
      <w:r w:rsidRPr="00EB4E43">
        <w:tab/>
        <w:t>expressed as an amount of Australian dollars to the nearest cent.</w:t>
      </w:r>
    </w:p>
    <w:p w:rsidR="00313203" w:rsidRPr="00EB4E43" w:rsidRDefault="00313203" w:rsidP="00C006BD">
      <w:pPr>
        <w:pStyle w:val="subsection"/>
      </w:pPr>
      <w:r w:rsidRPr="00EB4E43">
        <w:tab/>
        <w:t>(2)</w:t>
      </w:r>
      <w:r w:rsidRPr="00EB4E43">
        <w:tab/>
        <w:t xml:space="preserve">In agreeing on the value of a cost under </w:t>
      </w:r>
      <w:r w:rsidR="00EB4E43" w:rsidRPr="00EB4E43">
        <w:t>subparagraph (</w:t>
      </w:r>
      <w:r w:rsidR="00C006BD" w:rsidRPr="00EB4E43">
        <w:t>1)</w:t>
      </w:r>
      <w:r w:rsidRPr="00EB4E43">
        <w:t>(b)(i), the Minister, or the auth</w:t>
      </w:r>
      <w:r w:rsidR="00236AC2" w:rsidRPr="00EB4E43">
        <w:t>orised person, and the producer</w:t>
      </w:r>
      <w:r w:rsidRPr="00EB4E43">
        <w:t xml:space="preserve"> are to:</w:t>
      </w:r>
    </w:p>
    <w:p w:rsidR="00313203" w:rsidRPr="00EB4E43" w:rsidRDefault="00313203" w:rsidP="00C006BD">
      <w:pPr>
        <w:pStyle w:val="paragraph"/>
      </w:pPr>
      <w:r w:rsidRPr="00EB4E43">
        <w:tab/>
        <w:t>(a)</w:t>
      </w:r>
      <w:r w:rsidRPr="00EB4E43">
        <w:tab/>
        <w:t>include in that value any amount of GST that would be payable on the supply to which that value relates; and</w:t>
      </w:r>
    </w:p>
    <w:p w:rsidR="00313203" w:rsidRPr="00EB4E43" w:rsidRDefault="00313203" w:rsidP="00C006BD">
      <w:pPr>
        <w:pStyle w:val="paragraph"/>
      </w:pPr>
      <w:r w:rsidRPr="00EB4E43">
        <w:tab/>
        <w:t>(b)</w:t>
      </w:r>
      <w:r w:rsidRPr="00EB4E43">
        <w:tab/>
        <w:t xml:space="preserve">exclude from that value </w:t>
      </w:r>
      <w:r w:rsidR="00174CF8" w:rsidRPr="00EB4E43">
        <w:t>the</w:t>
      </w:r>
      <w:r w:rsidRPr="00EB4E43">
        <w:t xml:space="preserve"> amount of </w:t>
      </w:r>
      <w:r w:rsidR="00174CF8" w:rsidRPr="00EB4E43">
        <w:t xml:space="preserve">any </w:t>
      </w:r>
      <w:r w:rsidRPr="00EB4E43">
        <w:t>input tax credit to which the producer would be entitled for the acquisition to which that value relates.</w:t>
      </w:r>
    </w:p>
    <w:p w:rsidR="00313203" w:rsidRPr="00EB4E43" w:rsidRDefault="00313203" w:rsidP="00C006BD">
      <w:pPr>
        <w:pStyle w:val="subsection"/>
      </w:pPr>
      <w:r w:rsidRPr="00EB4E43">
        <w:tab/>
        <w:t>(3)</w:t>
      </w:r>
      <w:r w:rsidRPr="00EB4E43">
        <w:tab/>
        <w:t xml:space="preserve">In this </w:t>
      </w:r>
      <w:r w:rsidR="00236AC2" w:rsidRPr="00EB4E43">
        <w:t>section</w:t>
      </w:r>
      <w:r w:rsidRPr="00EB4E43">
        <w:t>:</w:t>
      </w:r>
    </w:p>
    <w:p w:rsidR="00313203" w:rsidRPr="00EB4E43" w:rsidRDefault="00313203" w:rsidP="00C006BD">
      <w:pPr>
        <w:pStyle w:val="Definition"/>
      </w:pPr>
      <w:r w:rsidRPr="00EB4E43">
        <w:rPr>
          <w:b/>
          <w:i/>
        </w:rPr>
        <w:t>authorised person</w:t>
      </w:r>
      <w:r w:rsidRPr="00EB4E43">
        <w:t xml:space="preserve"> means a person for the time being authorised by the Minister to exercise the Minister’s powers under section</w:t>
      </w:r>
      <w:r w:rsidR="00EB4E43" w:rsidRPr="00EB4E43">
        <w:t> </w:t>
      </w:r>
      <w:r w:rsidRPr="00EB4E43">
        <w:t>7 of the Act.</w:t>
      </w:r>
    </w:p>
    <w:p w:rsidR="00313203" w:rsidRPr="00EB4E43" w:rsidRDefault="00DD0634" w:rsidP="00C006BD">
      <w:pPr>
        <w:pStyle w:val="ActHead5"/>
      </w:pPr>
      <w:bookmarkStart w:id="15" w:name="_Toc507762621"/>
      <w:r w:rsidRPr="00EB4E43">
        <w:rPr>
          <w:rStyle w:val="CharSectno"/>
        </w:rPr>
        <w:t>13</w:t>
      </w:r>
      <w:r w:rsidR="00313203" w:rsidRPr="00EB4E43">
        <w:t xml:space="preserve">  Conversion into Australian dollars of amounts expressed in foreign currency</w:t>
      </w:r>
      <w:bookmarkEnd w:id="15"/>
    </w:p>
    <w:p w:rsidR="00114EB7" w:rsidRPr="00EB4E43" w:rsidRDefault="00313203" w:rsidP="00C006BD">
      <w:pPr>
        <w:pStyle w:val="subsection"/>
      </w:pPr>
      <w:r w:rsidRPr="00EB4E43">
        <w:tab/>
      </w:r>
      <w:r w:rsidRPr="00EB4E43">
        <w:tab/>
      </w:r>
      <w:r w:rsidR="00236AC2" w:rsidRPr="00EB4E43">
        <w:t>For the purposes of paragraph</w:t>
      </w:r>
      <w:r w:rsidR="00EB4E43" w:rsidRPr="00EB4E43">
        <w:t> </w:t>
      </w:r>
      <w:r w:rsidR="00DD0634" w:rsidRPr="00EB4E43">
        <w:t>8</w:t>
      </w:r>
      <w:r w:rsidR="00236AC2" w:rsidRPr="00EB4E43">
        <w:t>(2)(d) and subsections</w:t>
      </w:r>
      <w:r w:rsidR="00EB4E43" w:rsidRPr="00EB4E43">
        <w:t> </w:t>
      </w:r>
      <w:r w:rsidR="00DD0634" w:rsidRPr="00EB4E43">
        <w:t>10</w:t>
      </w:r>
      <w:r w:rsidR="00236AC2" w:rsidRPr="00EB4E43">
        <w:t xml:space="preserve">(3) and (5), </w:t>
      </w:r>
      <w:r w:rsidR="00C006BD" w:rsidRPr="00EB4E43">
        <w:t xml:space="preserve">if </w:t>
      </w:r>
      <w:r w:rsidR="00A76C32" w:rsidRPr="00EB4E43">
        <w:t>either</w:t>
      </w:r>
      <w:r w:rsidR="00114EB7" w:rsidRPr="00EB4E43">
        <w:t xml:space="preserve"> of the following is expressed in a foreign currency:</w:t>
      </w:r>
    </w:p>
    <w:p w:rsidR="00114EB7" w:rsidRPr="00EB4E43" w:rsidRDefault="00114EB7" w:rsidP="00114EB7">
      <w:pPr>
        <w:pStyle w:val="paragraph"/>
      </w:pPr>
      <w:r w:rsidRPr="00EB4E43">
        <w:tab/>
        <w:t>(a)</w:t>
      </w:r>
      <w:r w:rsidRPr="00EB4E43">
        <w:tab/>
        <w:t>an</w:t>
      </w:r>
      <w:r w:rsidR="00313203" w:rsidRPr="00EB4E43">
        <w:t xml:space="preserve"> amount indicated in a con</w:t>
      </w:r>
      <w:r w:rsidRPr="00EB4E43">
        <w:t>tract of sale as the sale price;</w:t>
      </w:r>
    </w:p>
    <w:p w:rsidR="00114EB7" w:rsidRPr="00EB4E43" w:rsidRDefault="00114EB7" w:rsidP="00114EB7">
      <w:pPr>
        <w:pStyle w:val="paragraph"/>
      </w:pPr>
      <w:r w:rsidRPr="00EB4E43">
        <w:tab/>
        <w:t>(b)</w:t>
      </w:r>
      <w:r w:rsidRPr="00EB4E43">
        <w:tab/>
      </w:r>
      <w:r w:rsidR="00313203" w:rsidRPr="00EB4E43">
        <w:t>an amount incurred under a contract of sale in respect of a cost of a type referred to in paragraph</w:t>
      </w:r>
      <w:r w:rsidR="00EB4E43" w:rsidRPr="00EB4E43">
        <w:t> </w:t>
      </w:r>
      <w:r w:rsidR="00DD0634" w:rsidRPr="00EB4E43">
        <w:t>12</w:t>
      </w:r>
      <w:r w:rsidR="00313203" w:rsidRPr="00EB4E43">
        <w:t>(1)(a)</w:t>
      </w:r>
      <w:r w:rsidRPr="00EB4E43">
        <w:t>;</w:t>
      </w:r>
    </w:p>
    <w:p w:rsidR="00236AC2" w:rsidRPr="00EB4E43" w:rsidRDefault="00114EB7" w:rsidP="00114EB7">
      <w:pPr>
        <w:pStyle w:val="subsection2"/>
      </w:pPr>
      <w:r w:rsidRPr="00EB4E43">
        <w:t>the exchange rate to convert that</w:t>
      </w:r>
      <w:r w:rsidR="00313203" w:rsidRPr="00EB4E43">
        <w:t xml:space="preserve"> amount into Australian dollars </w:t>
      </w:r>
      <w:r w:rsidR="00236AC2" w:rsidRPr="00EB4E43">
        <w:t>is:</w:t>
      </w:r>
    </w:p>
    <w:p w:rsidR="00236AC2" w:rsidRPr="00EB4E43" w:rsidRDefault="00236AC2" w:rsidP="00236AC2">
      <w:pPr>
        <w:pStyle w:val="paragraph"/>
      </w:pPr>
      <w:r w:rsidRPr="00EB4E43">
        <w:tab/>
        <w:t>(</w:t>
      </w:r>
      <w:r w:rsidR="00114EB7" w:rsidRPr="00EB4E43">
        <w:t>c</w:t>
      </w:r>
      <w:r w:rsidRPr="00EB4E43">
        <w:t>)</w:t>
      </w:r>
      <w:r w:rsidRPr="00EB4E43">
        <w:tab/>
        <w:t>if the Reserve Bank quotes a mid</w:t>
      </w:r>
      <w:r w:rsidR="00EB4E43">
        <w:noBreakHyphen/>
      </w:r>
      <w:r w:rsidRPr="00EB4E43">
        <w:t>rate for the foreign currency for the due date for payment of the sale price under that contract</w:t>
      </w:r>
      <w:r w:rsidR="006B2E44" w:rsidRPr="00EB4E43">
        <w:t>—that mid</w:t>
      </w:r>
      <w:r w:rsidR="00EB4E43">
        <w:noBreakHyphen/>
      </w:r>
      <w:r w:rsidRPr="00EB4E43">
        <w:t>rate; or</w:t>
      </w:r>
    </w:p>
    <w:p w:rsidR="00236AC2" w:rsidRPr="00EB4E43" w:rsidRDefault="00114EB7" w:rsidP="00236AC2">
      <w:pPr>
        <w:pStyle w:val="paragraph"/>
      </w:pPr>
      <w:r w:rsidRPr="00EB4E43">
        <w:tab/>
        <w:t>(d</w:t>
      </w:r>
      <w:r w:rsidR="00236AC2" w:rsidRPr="00EB4E43">
        <w:t>)</w:t>
      </w:r>
      <w:r w:rsidR="00236AC2" w:rsidRPr="00EB4E43">
        <w:tab/>
        <w:t>otherwise—the mid</w:t>
      </w:r>
      <w:r w:rsidR="00EB4E43">
        <w:noBreakHyphen/>
      </w:r>
      <w:r w:rsidR="006B2E44" w:rsidRPr="00EB4E43">
        <w:t>rate quoted by the Reserve Bank for that currency for the most recent day before that due date.</w:t>
      </w:r>
    </w:p>
    <w:p w:rsidR="00CE7239" w:rsidRPr="00EB4E43" w:rsidRDefault="00DD0634" w:rsidP="00CE7239">
      <w:pPr>
        <w:pStyle w:val="ActHead5"/>
      </w:pPr>
      <w:bookmarkStart w:id="16" w:name="_Toc507762622"/>
      <w:r w:rsidRPr="00EB4E43">
        <w:rPr>
          <w:rStyle w:val="CharSectno"/>
        </w:rPr>
        <w:t>14</w:t>
      </w:r>
      <w:r w:rsidR="00CE7239" w:rsidRPr="00EB4E43">
        <w:t xml:space="preserve">  Things done under the </w:t>
      </w:r>
      <w:r w:rsidR="00CE7239" w:rsidRPr="00EB4E43">
        <w:rPr>
          <w:i/>
        </w:rPr>
        <w:t>Petroleum Excise (Prices) Regulations</w:t>
      </w:r>
      <w:r w:rsidR="00EB4E43" w:rsidRPr="00EB4E43">
        <w:rPr>
          <w:i/>
        </w:rPr>
        <w:t> </w:t>
      </w:r>
      <w:r w:rsidR="00CE7239" w:rsidRPr="00EB4E43">
        <w:rPr>
          <w:i/>
        </w:rPr>
        <w:t>1988</w:t>
      </w:r>
      <w:bookmarkEnd w:id="16"/>
    </w:p>
    <w:p w:rsidR="00CE7239" w:rsidRPr="00EB4E43" w:rsidRDefault="009C599C" w:rsidP="00CE7239">
      <w:pPr>
        <w:pStyle w:val="subsection"/>
      </w:pPr>
      <w:r w:rsidRPr="00EB4E43">
        <w:tab/>
      </w:r>
      <w:r w:rsidR="00CE7239" w:rsidRPr="00EB4E43">
        <w:tab/>
        <w:t>A thing done:</w:t>
      </w:r>
    </w:p>
    <w:p w:rsidR="00CE7239" w:rsidRPr="00EB4E43" w:rsidRDefault="00CE7239" w:rsidP="00CE7239">
      <w:pPr>
        <w:pStyle w:val="paragraph"/>
      </w:pPr>
      <w:r w:rsidRPr="00EB4E43">
        <w:tab/>
        <w:t>(a)</w:t>
      </w:r>
      <w:r w:rsidRPr="00EB4E43">
        <w:tab/>
        <w:t>before the commencement of this instrument; and</w:t>
      </w:r>
    </w:p>
    <w:p w:rsidR="00CE7239" w:rsidRPr="00EB4E43" w:rsidRDefault="00CE7239" w:rsidP="00CE7239">
      <w:pPr>
        <w:pStyle w:val="paragraph"/>
      </w:pPr>
      <w:r w:rsidRPr="00EB4E43">
        <w:tab/>
        <w:t>(b)</w:t>
      </w:r>
      <w:r w:rsidRPr="00EB4E43">
        <w:tab/>
        <w:t xml:space="preserve">under a provision of the </w:t>
      </w:r>
      <w:r w:rsidRPr="00EB4E43">
        <w:rPr>
          <w:i/>
        </w:rPr>
        <w:t>Petroleum Excise (Prices) Regulations</w:t>
      </w:r>
      <w:r w:rsidR="00EB4E43" w:rsidRPr="00EB4E43">
        <w:rPr>
          <w:i/>
        </w:rPr>
        <w:t> </w:t>
      </w:r>
      <w:r w:rsidRPr="00EB4E43">
        <w:rPr>
          <w:i/>
        </w:rPr>
        <w:t>1988</w:t>
      </w:r>
      <w:r w:rsidRPr="00EB4E43">
        <w:t>;</w:t>
      </w:r>
    </w:p>
    <w:p w:rsidR="00CE7239" w:rsidRPr="00EB4E43" w:rsidRDefault="00CE7239" w:rsidP="00CE7239">
      <w:pPr>
        <w:pStyle w:val="subsection2"/>
      </w:pPr>
      <w:r w:rsidRPr="00EB4E43">
        <w:t>has effect after that commencement as if the thing had been done under the corresponding provision of this instrument.</w:t>
      </w:r>
    </w:p>
    <w:p w:rsidR="00E83075" w:rsidRPr="00EB4E43" w:rsidRDefault="00E83075" w:rsidP="009A3CCD">
      <w:pPr>
        <w:sectPr w:rsidR="00E83075" w:rsidRPr="00EB4E43" w:rsidSect="007B322F">
          <w:headerReference w:type="even" r:id="rId31"/>
          <w:headerReference w:type="default" r:id="rId32"/>
          <w:footerReference w:type="even" r:id="rId33"/>
          <w:footerReference w:type="default" r:id="rId34"/>
          <w:headerReference w:type="first" r:id="rId35"/>
          <w:footerReference w:type="first" r:id="rId36"/>
          <w:pgSz w:w="11907" w:h="16839" w:code="9"/>
          <w:pgMar w:top="1440" w:right="1797" w:bottom="1440" w:left="1797" w:header="720" w:footer="709" w:gutter="0"/>
          <w:pgNumType w:start="1"/>
          <w:cols w:space="708"/>
          <w:docGrid w:linePitch="360"/>
        </w:sectPr>
      </w:pPr>
      <w:bookmarkStart w:id="17" w:name="OPCSB_BodyPrincipleA4"/>
    </w:p>
    <w:p w:rsidR="00313203" w:rsidRPr="00EB4E43" w:rsidRDefault="00316CCC" w:rsidP="00D04B57">
      <w:pPr>
        <w:pStyle w:val="ActHead6"/>
        <w:pageBreakBefore/>
      </w:pPr>
      <w:bookmarkStart w:id="18" w:name="_Toc507762623"/>
      <w:bookmarkStart w:id="19" w:name="opcAmSched"/>
      <w:bookmarkStart w:id="20" w:name="opcCurrentFind"/>
      <w:bookmarkEnd w:id="17"/>
      <w:r w:rsidRPr="00EB4E43">
        <w:rPr>
          <w:rStyle w:val="CharAmSchNo"/>
        </w:rPr>
        <w:t>Schedule</w:t>
      </w:r>
      <w:r w:rsidR="00EB4E43" w:rsidRPr="00EB4E43">
        <w:rPr>
          <w:rStyle w:val="CharAmSchNo"/>
        </w:rPr>
        <w:t> </w:t>
      </w:r>
      <w:r w:rsidRPr="00EB4E43">
        <w:rPr>
          <w:rStyle w:val="CharAmSchNo"/>
        </w:rPr>
        <w:t>1</w:t>
      </w:r>
      <w:r w:rsidR="00CE7239" w:rsidRPr="00EB4E43">
        <w:t>—</w:t>
      </w:r>
      <w:r w:rsidR="00CE7239" w:rsidRPr="00EB4E43">
        <w:rPr>
          <w:rStyle w:val="CharAmSchText"/>
        </w:rPr>
        <w:t>Repeals</w:t>
      </w:r>
      <w:bookmarkEnd w:id="18"/>
    </w:p>
    <w:bookmarkEnd w:id="19"/>
    <w:bookmarkEnd w:id="20"/>
    <w:p w:rsidR="00CE7239" w:rsidRPr="00EB4E43" w:rsidRDefault="00CE7239" w:rsidP="00CE7239">
      <w:pPr>
        <w:pStyle w:val="Header"/>
      </w:pPr>
      <w:r w:rsidRPr="00EB4E43">
        <w:rPr>
          <w:rStyle w:val="CharAmPartNo"/>
        </w:rPr>
        <w:t xml:space="preserve"> </w:t>
      </w:r>
      <w:r w:rsidRPr="00EB4E43">
        <w:rPr>
          <w:rStyle w:val="CharAmPartText"/>
        </w:rPr>
        <w:t xml:space="preserve"> </w:t>
      </w:r>
    </w:p>
    <w:p w:rsidR="00CE7239" w:rsidRPr="00EB4E43" w:rsidRDefault="00CE7239" w:rsidP="00CE7239">
      <w:pPr>
        <w:pStyle w:val="ActHead9"/>
      </w:pPr>
      <w:bookmarkStart w:id="21" w:name="_Toc507762624"/>
      <w:r w:rsidRPr="00EB4E43">
        <w:t>Petroleum Excise (Prices) Regulations</w:t>
      </w:r>
      <w:r w:rsidR="00EB4E43" w:rsidRPr="00EB4E43">
        <w:t> </w:t>
      </w:r>
      <w:r w:rsidRPr="00EB4E43">
        <w:t>1988</w:t>
      </w:r>
      <w:bookmarkEnd w:id="21"/>
    </w:p>
    <w:p w:rsidR="00CE7239" w:rsidRPr="00EB4E43" w:rsidRDefault="00CE7239" w:rsidP="00CE7239">
      <w:pPr>
        <w:pStyle w:val="ItemHead"/>
      </w:pPr>
      <w:r w:rsidRPr="00EB4E43">
        <w:t xml:space="preserve">1  The whole of the </w:t>
      </w:r>
      <w:r w:rsidR="00543F95" w:rsidRPr="00EB4E43">
        <w:t>instrument</w:t>
      </w:r>
    </w:p>
    <w:p w:rsidR="00CE7239" w:rsidRPr="00EB4E43" w:rsidRDefault="00543F95" w:rsidP="00CE7239">
      <w:pPr>
        <w:pStyle w:val="Item"/>
      </w:pPr>
      <w:r w:rsidRPr="00EB4E43">
        <w:t>Repeal the instrument</w:t>
      </w:r>
      <w:r w:rsidR="00CE7239" w:rsidRPr="00EB4E43">
        <w:t>.</w:t>
      </w:r>
    </w:p>
    <w:sectPr w:rsidR="00CE7239" w:rsidRPr="00EB4E43" w:rsidSect="007B322F">
      <w:headerReference w:type="even" r:id="rId37"/>
      <w:headerReference w:type="default" r:id="rId38"/>
      <w:footerReference w:type="even" r:id="rId39"/>
      <w:footerReference w:type="default" r:id="rId40"/>
      <w:headerReference w:type="first" r:id="rId41"/>
      <w:footerReference w:type="first" r:id="rId42"/>
      <w:type w:val="continuous"/>
      <w:pgSz w:w="11907" w:h="16839"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7A2" w:rsidRDefault="00AD17A2" w:rsidP="00715914">
      <w:pPr>
        <w:spacing w:line="240" w:lineRule="auto"/>
      </w:pPr>
      <w:r>
        <w:separator/>
      </w:r>
    </w:p>
  </w:endnote>
  <w:endnote w:type="continuationSeparator" w:id="0">
    <w:p w:rsidR="00AD17A2" w:rsidRDefault="00AD17A2"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22F" w:rsidRPr="007B322F" w:rsidRDefault="007B322F" w:rsidP="007B322F">
    <w:pPr>
      <w:pStyle w:val="Footer"/>
      <w:rPr>
        <w:i/>
        <w:sz w:val="18"/>
      </w:rPr>
    </w:pPr>
    <w:r w:rsidRPr="007B322F">
      <w:rPr>
        <w:i/>
        <w:sz w:val="18"/>
      </w:rPr>
      <w:t>OPC62999 - B</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7A2" w:rsidRPr="00A41F52" w:rsidRDefault="00AD17A2" w:rsidP="00E83075">
    <w:pPr>
      <w:pBdr>
        <w:top w:val="single" w:sz="6" w:space="1" w:color="auto"/>
      </w:pBdr>
      <w:spacing w:before="120" w:line="0" w:lineRule="atLeast"/>
      <w:rPr>
        <w:sz w:val="16"/>
        <w:szCs w:val="16"/>
      </w:rPr>
    </w:pPr>
  </w:p>
  <w:tbl>
    <w:tblPr>
      <w:tblStyle w:val="TableGrid"/>
      <w:tblW w:w="8472" w:type="dxa"/>
      <w:tblLook w:val="04A0" w:firstRow="1" w:lastRow="0" w:firstColumn="1" w:lastColumn="0" w:noHBand="0" w:noVBand="1"/>
    </w:tblPr>
    <w:tblGrid>
      <w:gridCol w:w="1384"/>
      <w:gridCol w:w="6379"/>
      <w:gridCol w:w="709"/>
    </w:tblGrid>
    <w:tr w:rsidR="00AD17A2" w:rsidTr="009A3CCD">
      <w:tc>
        <w:tcPr>
          <w:tcW w:w="1384" w:type="dxa"/>
          <w:tcBorders>
            <w:top w:val="nil"/>
            <w:left w:val="nil"/>
            <w:bottom w:val="nil"/>
            <w:right w:val="nil"/>
          </w:tcBorders>
        </w:tcPr>
        <w:p w:rsidR="00AD17A2" w:rsidRDefault="00AD17A2" w:rsidP="009A3CCD">
          <w:pPr>
            <w:spacing w:line="0" w:lineRule="atLeast"/>
            <w:rPr>
              <w:sz w:val="18"/>
            </w:rPr>
          </w:pPr>
        </w:p>
      </w:tc>
      <w:tc>
        <w:tcPr>
          <w:tcW w:w="6379" w:type="dxa"/>
          <w:tcBorders>
            <w:top w:val="nil"/>
            <w:left w:val="nil"/>
            <w:bottom w:val="nil"/>
            <w:right w:val="nil"/>
          </w:tcBorders>
        </w:tcPr>
        <w:p w:rsidR="00AD17A2" w:rsidRDefault="00AD17A2" w:rsidP="009A3CC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417EA">
            <w:rPr>
              <w:i/>
              <w:sz w:val="18"/>
            </w:rPr>
            <w:t>Petroleum Excise (Prices) Regulations 2018</w:t>
          </w:r>
          <w:r w:rsidRPr="007A1328">
            <w:rPr>
              <w:i/>
              <w:sz w:val="18"/>
            </w:rPr>
            <w:fldChar w:fldCharType="end"/>
          </w:r>
        </w:p>
      </w:tc>
      <w:tc>
        <w:tcPr>
          <w:tcW w:w="709" w:type="dxa"/>
          <w:tcBorders>
            <w:top w:val="nil"/>
            <w:left w:val="nil"/>
            <w:bottom w:val="nil"/>
            <w:right w:val="nil"/>
          </w:tcBorders>
        </w:tcPr>
        <w:p w:rsidR="00AD17A2" w:rsidRDefault="00AD17A2" w:rsidP="009A3CC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C6603">
            <w:rPr>
              <w:i/>
              <w:noProof/>
              <w:sz w:val="18"/>
            </w:rPr>
            <w:t>13</w:t>
          </w:r>
          <w:r w:rsidRPr="00ED79B6">
            <w:rPr>
              <w:i/>
              <w:sz w:val="18"/>
            </w:rPr>
            <w:fldChar w:fldCharType="end"/>
          </w:r>
        </w:p>
      </w:tc>
    </w:tr>
  </w:tbl>
  <w:p w:rsidR="00AD17A2" w:rsidRPr="007B322F" w:rsidRDefault="007B322F" w:rsidP="007B322F">
    <w:pPr>
      <w:rPr>
        <w:rFonts w:cs="Times New Roman"/>
        <w:i/>
        <w:sz w:val="18"/>
      </w:rPr>
    </w:pPr>
    <w:r w:rsidRPr="007B322F">
      <w:rPr>
        <w:rFonts w:cs="Times New Roman"/>
        <w:i/>
        <w:sz w:val="18"/>
      </w:rPr>
      <w:t>OPC62999 - B</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7A2" w:rsidRPr="00E33C1C" w:rsidRDefault="00AD17A2" w:rsidP="00E83075">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AD17A2" w:rsidTr="009A3CCD">
      <w:tc>
        <w:tcPr>
          <w:tcW w:w="817" w:type="pct"/>
          <w:tcBorders>
            <w:top w:val="nil"/>
            <w:left w:val="nil"/>
            <w:bottom w:val="nil"/>
            <w:right w:val="nil"/>
          </w:tcBorders>
        </w:tcPr>
        <w:p w:rsidR="00AD17A2" w:rsidRDefault="00AD17A2" w:rsidP="009A3CCD">
          <w:pPr>
            <w:spacing w:line="0" w:lineRule="atLeast"/>
            <w:rPr>
              <w:sz w:val="18"/>
            </w:rPr>
          </w:pPr>
        </w:p>
      </w:tc>
      <w:tc>
        <w:tcPr>
          <w:tcW w:w="3765" w:type="pct"/>
          <w:tcBorders>
            <w:top w:val="nil"/>
            <w:left w:val="nil"/>
            <w:bottom w:val="nil"/>
            <w:right w:val="nil"/>
          </w:tcBorders>
        </w:tcPr>
        <w:p w:rsidR="00AD17A2" w:rsidRDefault="00AD17A2" w:rsidP="009A3CC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417EA">
            <w:rPr>
              <w:i/>
              <w:sz w:val="18"/>
            </w:rPr>
            <w:t>Petroleum Excise (Prices) Regulations 2018</w:t>
          </w:r>
          <w:r w:rsidRPr="007A1328">
            <w:rPr>
              <w:i/>
              <w:sz w:val="18"/>
            </w:rPr>
            <w:fldChar w:fldCharType="end"/>
          </w:r>
        </w:p>
      </w:tc>
      <w:tc>
        <w:tcPr>
          <w:tcW w:w="418" w:type="pct"/>
          <w:tcBorders>
            <w:top w:val="nil"/>
            <w:left w:val="nil"/>
            <w:bottom w:val="nil"/>
            <w:right w:val="nil"/>
          </w:tcBorders>
        </w:tcPr>
        <w:p w:rsidR="00AD17A2" w:rsidRDefault="00AD17A2" w:rsidP="009A3CC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840A0">
            <w:rPr>
              <w:i/>
              <w:noProof/>
              <w:sz w:val="18"/>
            </w:rPr>
            <w:t>13</w:t>
          </w:r>
          <w:r w:rsidRPr="00ED79B6">
            <w:rPr>
              <w:i/>
              <w:sz w:val="18"/>
            </w:rPr>
            <w:fldChar w:fldCharType="end"/>
          </w:r>
        </w:p>
      </w:tc>
    </w:tr>
  </w:tbl>
  <w:p w:rsidR="00AD17A2" w:rsidRPr="00ED79B6" w:rsidRDefault="00AD17A2" w:rsidP="00E83075">
    <w:pPr>
      <w:rPr>
        <w:i/>
        <w:sz w:val="18"/>
      </w:rPr>
    </w:pPr>
  </w:p>
  <w:p w:rsidR="00AD17A2" w:rsidRPr="007B322F" w:rsidRDefault="007B322F" w:rsidP="007B322F">
    <w:pPr>
      <w:pStyle w:val="Footer"/>
      <w:rPr>
        <w:i/>
        <w:sz w:val="18"/>
      </w:rPr>
    </w:pPr>
    <w:r w:rsidRPr="007B322F">
      <w:rPr>
        <w:i/>
        <w:sz w:val="18"/>
      </w:rPr>
      <w:t>OPC62999 - 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7A2" w:rsidRDefault="00AD17A2" w:rsidP="007500C8">
    <w:pPr>
      <w:pStyle w:val="Footer"/>
    </w:pPr>
  </w:p>
  <w:p w:rsidR="00AD17A2" w:rsidRPr="007B322F" w:rsidRDefault="007B322F" w:rsidP="007B322F">
    <w:pPr>
      <w:pStyle w:val="Footer"/>
      <w:rPr>
        <w:i/>
        <w:sz w:val="18"/>
      </w:rPr>
    </w:pPr>
    <w:r w:rsidRPr="007B322F">
      <w:rPr>
        <w:i/>
        <w:sz w:val="18"/>
      </w:rPr>
      <w:t>OPC62999 -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7A2" w:rsidRPr="007B322F" w:rsidRDefault="007B322F" w:rsidP="007B322F">
    <w:pPr>
      <w:pStyle w:val="Footer"/>
      <w:tabs>
        <w:tab w:val="clear" w:pos="4153"/>
        <w:tab w:val="clear" w:pos="8306"/>
        <w:tab w:val="center" w:pos="4150"/>
        <w:tab w:val="right" w:pos="8307"/>
      </w:tabs>
      <w:spacing w:before="120"/>
      <w:rPr>
        <w:i/>
        <w:sz w:val="18"/>
      </w:rPr>
    </w:pPr>
    <w:r w:rsidRPr="007B322F">
      <w:rPr>
        <w:i/>
        <w:sz w:val="18"/>
      </w:rPr>
      <w:t>OPC62999 - B</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7A2" w:rsidRPr="00E33C1C" w:rsidRDefault="00AD17A2" w:rsidP="004E063A">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713"/>
      <w:gridCol w:w="6422"/>
      <w:gridCol w:w="1394"/>
    </w:tblGrid>
    <w:tr w:rsidR="00AD17A2" w:rsidTr="006C291A">
      <w:tc>
        <w:tcPr>
          <w:tcW w:w="418" w:type="pct"/>
          <w:tcBorders>
            <w:top w:val="nil"/>
            <w:left w:val="nil"/>
            <w:bottom w:val="nil"/>
            <w:right w:val="nil"/>
          </w:tcBorders>
        </w:tcPr>
        <w:p w:rsidR="00AD17A2" w:rsidRDefault="00AD17A2" w:rsidP="005E1B8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840A0">
            <w:rPr>
              <w:i/>
              <w:noProof/>
              <w:sz w:val="18"/>
            </w:rPr>
            <w:t>xiii</w:t>
          </w:r>
          <w:r w:rsidRPr="00ED79B6">
            <w:rPr>
              <w:i/>
              <w:sz w:val="18"/>
            </w:rPr>
            <w:fldChar w:fldCharType="end"/>
          </w:r>
        </w:p>
      </w:tc>
      <w:tc>
        <w:tcPr>
          <w:tcW w:w="3765" w:type="pct"/>
          <w:tcBorders>
            <w:top w:val="nil"/>
            <w:left w:val="nil"/>
            <w:bottom w:val="nil"/>
            <w:right w:val="nil"/>
          </w:tcBorders>
        </w:tcPr>
        <w:p w:rsidR="00AD17A2" w:rsidRDefault="00AD17A2" w:rsidP="005E1B8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417EA">
            <w:rPr>
              <w:i/>
              <w:sz w:val="18"/>
            </w:rPr>
            <w:t>Petroleum Excise (Prices) Regulations 2018</w:t>
          </w:r>
          <w:r w:rsidRPr="007A1328">
            <w:rPr>
              <w:i/>
              <w:sz w:val="18"/>
            </w:rPr>
            <w:fldChar w:fldCharType="end"/>
          </w:r>
        </w:p>
      </w:tc>
      <w:tc>
        <w:tcPr>
          <w:tcW w:w="817" w:type="pct"/>
          <w:tcBorders>
            <w:top w:val="nil"/>
            <w:left w:val="nil"/>
            <w:bottom w:val="nil"/>
            <w:right w:val="nil"/>
          </w:tcBorders>
        </w:tcPr>
        <w:p w:rsidR="00AD17A2" w:rsidRDefault="00AD17A2" w:rsidP="005E1B8C">
          <w:pPr>
            <w:spacing w:line="0" w:lineRule="atLeast"/>
            <w:jc w:val="right"/>
            <w:rPr>
              <w:sz w:val="18"/>
            </w:rPr>
          </w:pPr>
        </w:p>
      </w:tc>
    </w:tr>
  </w:tbl>
  <w:p w:rsidR="00AD17A2" w:rsidRPr="007B322F" w:rsidRDefault="007B322F" w:rsidP="007B322F">
    <w:pPr>
      <w:rPr>
        <w:rFonts w:cs="Times New Roman"/>
        <w:i/>
        <w:sz w:val="18"/>
      </w:rPr>
    </w:pPr>
    <w:r w:rsidRPr="007B322F">
      <w:rPr>
        <w:rFonts w:cs="Times New Roman"/>
        <w:i/>
        <w:sz w:val="18"/>
      </w:rPr>
      <w:t>OPC62999 - 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7A2" w:rsidRPr="00E33C1C" w:rsidRDefault="00AD17A2" w:rsidP="004E063A">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92"/>
      <w:gridCol w:w="6422"/>
      <w:gridCol w:w="715"/>
    </w:tblGrid>
    <w:tr w:rsidR="00AD17A2" w:rsidTr="00041999">
      <w:tc>
        <w:tcPr>
          <w:tcW w:w="816" w:type="pct"/>
          <w:tcBorders>
            <w:top w:val="nil"/>
            <w:left w:val="nil"/>
            <w:bottom w:val="nil"/>
            <w:right w:val="nil"/>
          </w:tcBorders>
        </w:tcPr>
        <w:p w:rsidR="00AD17A2" w:rsidRDefault="00AD17A2" w:rsidP="005E1B8C">
          <w:pPr>
            <w:spacing w:line="0" w:lineRule="atLeast"/>
            <w:rPr>
              <w:sz w:val="18"/>
            </w:rPr>
          </w:pPr>
        </w:p>
      </w:tc>
      <w:tc>
        <w:tcPr>
          <w:tcW w:w="3765" w:type="pct"/>
          <w:tcBorders>
            <w:top w:val="nil"/>
            <w:left w:val="nil"/>
            <w:bottom w:val="nil"/>
            <w:right w:val="nil"/>
          </w:tcBorders>
        </w:tcPr>
        <w:p w:rsidR="00AD17A2" w:rsidRDefault="00AD17A2" w:rsidP="005E1B8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417EA">
            <w:rPr>
              <w:i/>
              <w:sz w:val="18"/>
            </w:rPr>
            <w:t>Petroleum Excise (Prices) Regulations 2018</w:t>
          </w:r>
          <w:r w:rsidRPr="007A1328">
            <w:rPr>
              <w:i/>
              <w:sz w:val="18"/>
            </w:rPr>
            <w:fldChar w:fldCharType="end"/>
          </w:r>
        </w:p>
      </w:tc>
      <w:tc>
        <w:tcPr>
          <w:tcW w:w="419" w:type="pct"/>
          <w:tcBorders>
            <w:top w:val="nil"/>
            <w:left w:val="nil"/>
            <w:bottom w:val="nil"/>
            <w:right w:val="nil"/>
          </w:tcBorders>
        </w:tcPr>
        <w:p w:rsidR="00AD17A2" w:rsidRDefault="00AD17A2" w:rsidP="005E1B8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C5B81">
            <w:rPr>
              <w:i/>
              <w:noProof/>
              <w:sz w:val="18"/>
            </w:rPr>
            <w:t>i</w:t>
          </w:r>
          <w:r w:rsidRPr="00ED79B6">
            <w:rPr>
              <w:i/>
              <w:sz w:val="18"/>
            </w:rPr>
            <w:fldChar w:fldCharType="end"/>
          </w:r>
        </w:p>
      </w:tc>
    </w:tr>
  </w:tbl>
  <w:p w:rsidR="00AD17A2" w:rsidRPr="007B322F" w:rsidRDefault="007B322F" w:rsidP="007B322F">
    <w:pPr>
      <w:rPr>
        <w:rFonts w:cs="Times New Roman"/>
        <w:i/>
        <w:sz w:val="18"/>
      </w:rPr>
    </w:pPr>
    <w:r w:rsidRPr="007B322F">
      <w:rPr>
        <w:rFonts w:cs="Times New Roman"/>
        <w:i/>
        <w:sz w:val="18"/>
      </w:rPr>
      <w:t>OPC62999 - 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7A2" w:rsidRPr="00E33C1C" w:rsidRDefault="00AD17A2" w:rsidP="00E83075">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D17A2" w:rsidTr="00041999">
      <w:tc>
        <w:tcPr>
          <w:tcW w:w="709" w:type="dxa"/>
          <w:tcBorders>
            <w:top w:val="nil"/>
            <w:left w:val="nil"/>
            <w:bottom w:val="nil"/>
            <w:right w:val="nil"/>
          </w:tcBorders>
        </w:tcPr>
        <w:p w:rsidR="00AD17A2" w:rsidRDefault="00AD17A2" w:rsidP="009A3CC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C6603">
            <w:rPr>
              <w:i/>
              <w:noProof/>
              <w:sz w:val="18"/>
            </w:rPr>
            <w:t>12</w:t>
          </w:r>
          <w:r w:rsidRPr="00ED79B6">
            <w:rPr>
              <w:i/>
              <w:sz w:val="18"/>
            </w:rPr>
            <w:fldChar w:fldCharType="end"/>
          </w:r>
        </w:p>
      </w:tc>
      <w:tc>
        <w:tcPr>
          <w:tcW w:w="6379" w:type="dxa"/>
          <w:tcBorders>
            <w:top w:val="nil"/>
            <w:left w:val="nil"/>
            <w:bottom w:val="nil"/>
            <w:right w:val="nil"/>
          </w:tcBorders>
        </w:tcPr>
        <w:p w:rsidR="00AD17A2" w:rsidRDefault="00AD17A2" w:rsidP="009A3CC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417EA">
            <w:rPr>
              <w:i/>
              <w:sz w:val="18"/>
            </w:rPr>
            <w:t>Petroleum Excise (Prices) Regulations 2018</w:t>
          </w:r>
          <w:r w:rsidRPr="007A1328">
            <w:rPr>
              <w:i/>
              <w:sz w:val="18"/>
            </w:rPr>
            <w:fldChar w:fldCharType="end"/>
          </w:r>
        </w:p>
      </w:tc>
      <w:tc>
        <w:tcPr>
          <w:tcW w:w="1384" w:type="dxa"/>
          <w:tcBorders>
            <w:top w:val="nil"/>
            <w:left w:val="nil"/>
            <w:bottom w:val="nil"/>
            <w:right w:val="nil"/>
          </w:tcBorders>
        </w:tcPr>
        <w:p w:rsidR="00AD17A2" w:rsidRDefault="00AD17A2" w:rsidP="009A3CCD">
          <w:pPr>
            <w:spacing w:line="0" w:lineRule="atLeast"/>
            <w:jc w:val="right"/>
            <w:rPr>
              <w:sz w:val="18"/>
            </w:rPr>
          </w:pPr>
        </w:p>
      </w:tc>
    </w:tr>
  </w:tbl>
  <w:p w:rsidR="00AD17A2" w:rsidRPr="007B322F" w:rsidRDefault="007B322F" w:rsidP="007B322F">
    <w:pPr>
      <w:rPr>
        <w:rFonts w:cs="Times New Roman"/>
        <w:i/>
        <w:sz w:val="18"/>
      </w:rPr>
    </w:pPr>
    <w:r w:rsidRPr="007B322F">
      <w:rPr>
        <w:rFonts w:cs="Times New Roman"/>
        <w:i/>
        <w:sz w:val="18"/>
      </w:rPr>
      <w:t>OPC62999 - B</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7A2" w:rsidRPr="00E33C1C" w:rsidRDefault="00AD17A2" w:rsidP="00E83075">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AD17A2" w:rsidTr="009A3CCD">
      <w:tc>
        <w:tcPr>
          <w:tcW w:w="1384" w:type="dxa"/>
          <w:tcBorders>
            <w:top w:val="nil"/>
            <w:left w:val="nil"/>
            <w:bottom w:val="nil"/>
            <w:right w:val="nil"/>
          </w:tcBorders>
        </w:tcPr>
        <w:p w:rsidR="00AD17A2" w:rsidRDefault="00AD17A2" w:rsidP="009A3CCD">
          <w:pPr>
            <w:spacing w:line="0" w:lineRule="atLeast"/>
            <w:rPr>
              <w:sz w:val="18"/>
            </w:rPr>
          </w:pPr>
        </w:p>
      </w:tc>
      <w:tc>
        <w:tcPr>
          <w:tcW w:w="6379" w:type="dxa"/>
          <w:tcBorders>
            <w:top w:val="nil"/>
            <w:left w:val="nil"/>
            <w:bottom w:val="nil"/>
            <w:right w:val="nil"/>
          </w:tcBorders>
        </w:tcPr>
        <w:p w:rsidR="00AD17A2" w:rsidRDefault="00AD17A2" w:rsidP="009A3CC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417EA">
            <w:rPr>
              <w:i/>
              <w:sz w:val="18"/>
            </w:rPr>
            <w:t>Petroleum Excise (Prices) Regulations 2018</w:t>
          </w:r>
          <w:r w:rsidRPr="007A1328">
            <w:rPr>
              <w:i/>
              <w:sz w:val="18"/>
            </w:rPr>
            <w:fldChar w:fldCharType="end"/>
          </w:r>
        </w:p>
      </w:tc>
      <w:tc>
        <w:tcPr>
          <w:tcW w:w="709" w:type="dxa"/>
          <w:tcBorders>
            <w:top w:val="nil"/>
            <w:left w:val="nil"/>
            <w:bottom w:val="nil"/>
            <w:right w:val="nil"/>
          </w:tcBorders>
        </w:tcPr>
        <w:p w:rsidR="00AD17A2" w:rsidRDefault="00AD17A2" w:rsidP="009A3CC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C5B81">
            <w:rPr>
              <w:i/>
              <w:noProof/>
              <w:sz w:val="18"/>
            </w:rPr>
            <w:t>1</w:t>
          </w:r>
          <w:r w:rsidRPr="00ED79B6">
            <w:rPr>
              <w:i/>
              <w:sz w:val="18"/>
            </w:rPr>
            <w:fldChar w:fldCharType="end"/>
          </w:r>
        </w:p>
      </w:tc>
    </w:tr>
  </w:tbl>
  <w:p w:rsidR="00AD17A2" w:rsidRPr="007B322F" w:rsidRDefault="007B322F" w:rsidP="007B322F">
    <w:pPr>
      <w:rPr>
        <w:rFonts w:cs="Times New Roman"/>
        <w:i/>
        <w:sz w:val="18"/>
      </w:rPr>
    </w:pPr>
    <w:r w:rsidRPr="007B322F">
      <w:rPr>
        <w:rFonts w:cs="Times New Roman"/>
        <w:i/>
        <w:sz w:val="18"/>
      </w:rPr>
      <w:t>OPC62999 -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7A2" w:rsidRPr="00E33C1C" w:rsidRDefault="00AD17A2" w:rsidP="00E83075">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AD17A2" w:rsidTr="009A3CCD">
      <w:tc>
        <w:tcPr>
          <w:tcW w:w="817" w:type="pct"/>
          <w:tcBorders>
            <w:top w:val="nil"/>
            <w:left w:val="nil"/>
            <w:bottom w:val="nil"/>
            <w:right w:val="nil"/>
          </w:tcBorders>
        </w:tcPr>
        <w:p w:rsidR="00AD17A2" w:rsidRDefault="00AD17A2" w:rsidP="009A3CCD">
          <w:pPr>
            <w:spacing w:line="0" w:lineRule="atLeast"/>
            <w:rPr>
              <w:sz w:val="18"/>
            </w:rPr>
          </w:pPr>
        </w:p>
      </w:tc>
      <w:tc>
        <w:tcPr>
          <w:tcW w:w="3765" w:type="pct"/>
          <w:tcBorders>
            <w:top w:val="nil"/>
            <w:left w:val="nil"/>
            <w:bottom w:val="nil"/>
            <w:right w:val="nil"/>
          </w:tcBorders>
        </w:tcPr>
        <w:p w:rsidR="00AD17A2" w:rsidRDefault="00AD17A2" w:rsidP="009A3CC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417EA">
            <w:rPr>
              <w:i/>
              <w:sz w:val="18"/>
            </w:rPr>
            <w:t>Petroleum Excise (Prices) Regulations 2018</w:t>
          </w:r>
          <w:r w:rsidRPr="007A1328">
            <w:rPr>
              <w:i/>
              <w:sz w:val="18"/>
            </w:rPr>
            <w:fldChar w:fldCharType="end"/>
          </w:r>
        </w:p>
      </w:tc>
      <w:tc>
        <w:tcPr>
          <w:tcW w:w="418" w:type="pct"/>
          <w:tcBorders>
            <w:top w:val="nil"/>
            <w:left w:val="nil"/>
            <w:bottom w:val="nil"/>
            <w:right w:val="nil"/>
          </w:tcBorders>
        </w:tcPr>
        <w:p w:rsidR="00AD17A2" w:rsidRDefault="00AD17A2" w:rsidP="009A3CC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840A0">
            <w:rPr>
              <w:i/>
              <w:noProof/>
              <w:sz w:val="18"/>
            </w:rPr>
            <w:t>13</w:t>
          </w:r>
          <w:r w:rsidRPr="00ED79B6">
            <w:rPr>
              <w:i/>
              <w:sz w:val="18"/>
            </w:rPr>
            <w:fldChar w:fldCharType="end"/>
          </w:r>
        </w:p>
      </w:tc>
    </w:tr>
  </w:tbl>
  <w:p w:rsidR="00AD17A2" w:rsidRPr="00ED79B6" w:rsidRDefault="00AD17A2" w:rsidP="00E83075">
    <w:pPr>
      <w:rPr>
        <w:i/>
        <w:sz w:val="18"/>
      </w:rPr>
    </w:pPr>
  </w:p>
  <w:p w:rsidR="00AD17A2" w:rsidRPr="007B322F" w:rsidRDefault="007B322F" w:rsidP="007B322F">
    <w:pPr>
      <w:pStyle w:val="Footer"/>
      <w:rPr>
        <w:i/>
        <w:sz w:val="18"/>
      </w:rPr>
    </w:pPr>
    <w:r w:rsidRPr="007B322F">
      <w:rPr>
        <w:i/>
        <w:sz w:val="18"/>
      </w:rPr>
      <w:t>OPC62999 - B</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7A2" w:rsidRPr="00EF5531" w:rsidRDefault="00AD17A2" w:rsidP="00E83075">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D17A2" w:rsidTr="00041999">
      <w:tc>
        <w:tcPr>
          <w:tcW w:w="709" w:type="dxa"/>
          <w:tcBorders>
            <w:top w:val="nil"/>
            <w:left w:val="nil"/>
            <w:bottom w:val="nil"/>
            <w:right w:val="nil"/>
          </w:tcBorders>
        </w:tcPr>
        <w:p w:rsidR="00AD17A2" w:rsidRDefault="00AD17A2" w:rsidP="009A3CC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840A0">
            <w:rPr>
              <w:i/>
              <w:noProof/>
              <w:sz w:val="18"/>
            </w:rPr>
            <w:t>13</w:t>
          </w:r>
          <w:r w:rsidRPr="00ED79B6">
            <w:rPr>
              <w:i/>
              <w:sz w:val="18"/>
            </w:rPr>
            <w:fldChar w:fldCharType="end"/>
          </w:r>
        </w:p>
      </w:tc>
      <w:tc>
        <w:tcPr>
          <w:tcW w:w="6379" w:type="dxa"/>
          <w:tcBorders>
            <w:top w:val="nil"/>
            <w:left w:val="nil"/>
            <w:bottom w:val="nil"/>
            <w:right w:val="nil"/>
          </w:tcBorders>
        </w:tcPr>
        <w:p w:rsidR="00AD17A2" w:rsidRDefault="00AD17A2" w:rsidP="009A3CC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417EA">
            <w:rPr>
              <w:i/>
              <w:sz w:val="18"/>
            </w:rPr>
            <w:t>Petroleum Excise (Prices) Regulations 2018</w:t>
          </w:r>
          <w:r w:rsidRPr="007A1328">
            <w:rPr>
              <w:i/>
              <w:sz w:val="18"/>
            </w:rPr>
            <w:fldChar w:fldCharType="end"/>
          </w:r>
        </w:p>
      </w:tc>
      <w:tc>
        <w:tcPr>
          <w:tcW w:w="1384" w:type="dxa"/>
          <w:tcBorders>
            <w:top w:val="nil"/>
            <w:left w:val="nil"/>
            <w:bottom w:val="nil"/>
            <w:right w:val="nil"/>
          </w:tcBorders>
        </w:tcPr>
        <w:p w:rsidR="00AD17A2" w:rsidRDefault="00AD17A2" w:rsidP="009A3CCD">
          <w:pPr>
            <w:spacing w:line="0" w:lineRule="atLeast"/>
            <w:jc w:val="right"/>
            <w:rPr>
              <w:sz w:val="18"/>
            </w:rPr>
          </w:pPr>
        </w:p>
      </w:tc>
    </w:tr>
  </w:tbl>
  <w:p w:rsidR="00AD17A2" w:rsidRPr="007B322F" w:rsidRDefault="007B322F" w:rsidP="007B322F">
    <w:pPr>
      <w:rPr>
        <w:rFonts w:cs="Times New Roman"/>
        <w:i/>
        <w:sz w:val="18"/>
      </w:rPr>
    </w:pPr>
    <w:r w:rsidRPr="007B322F">
      <w:rPr>
        <w:rFonts w:cs="Times New Roman"/>
        <w:i/>
        <w:sz w:val="18"/>
      </w:rPr>
      <w:t>OPC62999 - 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7A2" w:rsidRDefault="00AD17A2" w:rsidP="00715914">
      <w:pPr>
        <w:spacing w:line="240" w:lineRule="auto"/>
      </w:pPr>
      <w:r>
        <w:separator/>
      </w:r>
    </w:p>
  </w:footnote>
  <w:footnote w:type="continuationSeparator" w:id="0">
    <w:p w:rsidR="00AD17A2" w:rsidRDefault="00AD17A2"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7A2" w:rsidRPr="005F1388" w:rsidRDefault="00AD17A2" w:rsidP="00715914">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7A2" w:rsidRDefault="00AD17A2">
    <w:pPr>
      <w:rPr>
        <w:sz w:val="20"/>
      </w:rPr>
    </w:pPr>
    <w:r>
      <w:rPr>
        <w:b/>
        <w:sz w:val="20"/>
      </w:rPr>
      <w:fldChar w:fldCharType="begin"/>
    </w:r>
    <w:r>
      <w:rPr>
        <w:b/>
        <w:sz w:val="20"/>
      </w:rPr>
      <w:instrText xml:space="preserve"> STYLEREF CharAmSchNo </w:instrText>
    </w:r>
    <w:r>
      <w:rPr>
        <w:b/>
        <w:sz w:val="20"/>
      </w:rPr>
      <w:fldChar w:fldCharType="separate"/>
    </w:r>
    <w:r w:rsidR="006417EA">
      <w:rPr>
        <w:b/>
        <w:noProof/>
        <w:sz w:val="20"/>
      </w:rPr>
      <w:t>Schedule 1</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6417EA">
      <w:rPr>
        <w:noProof/>
        <w:sz w:val="20"/>
      </w:rPr>
      <w:t>Repeals</w:t>
    </w:r>
    <w:r>
      <w:rPr>
        <w:sz w:val="20"/>
      </w:rPr>
      <w:fldChar w:fldCharType="end"/>
    </w:r>
  </w:p>
  <w:p w:rsidR="00AD17A2" w:rsidRDefault="00AD17A2">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rsidR="00AD17A2" w:rsidRDefault="00AD17A2" w:rsidP="00E83075">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7A2" w:rsidRDefault="00AD17A2">
    <w:pPr>
      <w:jc w:val="right"/>
      <w:rPr>
        <w:sz w:val="20"/>
      </w:rPr>
    </w:pPr>
    <w:r>
      <w:rPr>
        <w:sz w:val="20"/>
      </w:rPr>
      <w:fldChar w:fldCharType="begin"/>
    </w:r>
    <w:r>
      <w:rPr>
        <w:sz w:val="20"/>
      </w:rPr>
      <w:instrText xml:space="preserve"> STYLEREF CharAmSchText </w:instrText>
    </w:r>
    <w:r>
      <w:rPr>
        <w:sz w:val="20"/>
      </w:rPr>
      <w:fldChar w:fldCharType="separate"/>
    </w:r>
    <w:r w:rsidR="009C6603">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9C6603">
      <w:rPr>
        <w:b/>
        <w:noProof/>
        <w:sz w:val="20"/>
      </w:rPr>
      <w:t>Schedule 1</w:t>
    </w:r>
    <w:r>
      <w:rPr>
        <w:b/>
        <w:sz w:val="20"/>
      </w:rPr>
      <w:fldChar w:fldCharType="end"/>
    </w:r>
  </w:p>
  <w:p w:rsidR="00AD17A2" w:rsidRDefault="00AD17A2">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rsidR="00AD17A2" w:rsidRDefault="00AD17A2" w:rsidP="00E83075">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7A2" w:rsidRDefault="00AD17A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7A2" w:rsidRPr="005F1388" w:rsidRDefault="00AD17A2"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7A2" w:rsidRPr="005F1388" w:rsidRDefault="00AD17A2"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7A2" w:rsidRPr="00ED79B6" w:rsidRDefault="00AD17A2" w:rsidP="00F67BC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7A2" w:rsidRPr="00ED79B6" w:rsidRDefault="00AD17A2" w:rsidP="00F67BC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7A2" w:rsidRPr="00ED79B6" w:rsidRDefault="00AD17A2"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7A2" w:rsidRDefault="00AD17A2" w:rsidP="009A3CCD">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AD17A2" w:rsidRDefault="00AD17A2" w:rsidP="009A3CCD">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AD17A2" w:rsidRPr="007A1328" w:rsidRDefault="00AD17A2" w:rsidP="009A3CCD">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AD17A2" w:rsidRPr="007A1328" w:rsidRDefault="00AD17A2" w:rsidP="009A3CCD">
    <w:pPr>
      <w:rPr>
        <w:b/>
        <w:sz w:val="24"/>
      </w:rPr>
    </w:pPr>
  </w:p>
  <w:p w:rsidR="00AD17A2" w:rsidRPr="007A1328" w:rsidRDefault="00AD17A2" w:rsidP="00E83075">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6417EA">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9C6603">
      <w:rPr>
        <w:noProof/>
        <w:sz w:val="24"/>
      </w:rPr>
      <w:t>13</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7A2" w:rsidRPr="007A1328" w:rsidRDefault="00AD17A2" w:rsidP="009A3CCD">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AD17A2" w:rsidRPr="007A1328" w:rsidRDefault="00AD17A2" w:rsidP="009A3CCD">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AD17A2" w:rsidRPr="007A1328" w:rsidRDefault="00AD17A2" w:rsidP="009A3CCD">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AD17A2" w:rsidRPr="007A1328" w:rsidRDefault="00AD17A2" w:rsidP="009A3CCD">
    <w:pPr>
      <w:jc w:val="right"/>
      <w:rPr>
        <w:b/>
        <w:sz w:val="24"/>
      </w:rPr>
    </w:pPr>
  </w:p>
  <w:p w:rsidR="00AD17A2" w:rsidRPr="007A1328" w:rsidRDefault="00AD17A2" w:rsidP="00E83075">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6417EA">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DC5B81">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7A2" w:rsidRPr="007A1328" w:rsidRDefault="00AD17A2" w:rsidP="009A3CC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38F81E"/>
    <w:lvl w:ilvl="0">
      <w:start w:val="1"/>
      <w:numFmt w:val="decimal"/>
      <w:lvlText w:val="%1."/>
      <w:lvlJc w:val="left"/>
      <w:pPr>
        <w:tabs>
          <w:tab w:val="num" w:pos="1492"/>
        </w:tabs>
        <w:ind w:left="1492" w:hanging="360"/>
      </w:pPr>
    </w:lvl>
  </w:abstractNum>
  <w:abstractNum w:abstractNumId="1">
    <w:nsid w:val="FFFFFF7D"/>
    <w:multiLevelType w:val="singleLevel"/>
    <w:tmpl w:val="F0046984"/>
    <w:lvl w:ilvl="0">
      <w:start w:val="1"/>
      <w:numFmt w:val="decimal"/>
      <w:lvlText w:val="%1."/>
      <w:lvlJc w:val="left"/>
      <w:pPr>
        <w:tabs>
          <w:tab w:val="num" w:pos="1209"/>
        </w:tabs>
        <w:ind w:left="1209" w:hanging="360"/>
      </w:pPr>
    </w:lvl>
  </w:abstractNum>
  <w:abstractNum w:abstractNumId="2">
    <w:nsid w:val="FFFFFF7E"/>
    <w:multiLevelType w:val="singleLevel"/>
    <w:tmpl w:val="49AA5088"/>
    <w:lvl w:ilvl="0">
      <w:start w:val="1"/>
      <w:numFmt w:val="decimal"/>
      <w:lvlText w:val="%1."/>
      <w:lvlJc w:val="left"/>
      <w:pPr>
        <w:tabs>
          <w:tab w:val="num" w:pos="926"/>
        </w:tabs>
        <w:ind w:left="926" w:hanging="360"/>
      </w:pPr>
    </w:lvl>
  </w:abstractNum>
  <w:abstractNum w:abstractNumId="3">
    <w:nsid w:val="FFFFFF7F"/>
    <w:multiLevelType w:val="singleLevel"/>
    <w:tmpl w:val="DC9E1E86"/>
    <w:lvl w:ilvl="0">
      <w:start w:val="1"/>
      <w:numFmt w:val="decimal"/>
      <w:lvlText w:val="%1."/>
      <w:lvlJc w:val="left"/>
      <w:pPr>
        <w:tabs>
          <w:tab w:val="num" w:pos="643"/>
        </w:tabs>
        <w:ind w:left="643" w:hanging="360"/>
      </w:pPr>
    </w:lvl>
  </w:abstractNum>
  <w:abstractNum w:abstractNumId="4">
    <w:nsid w:val="FFFFFF80"/>
    <w:multiLevelType w:val="singleLevel"/>
    <w:tmpl w:val="8312E5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E0208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B52AE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EE4E5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D549580"/>
    <w:lvl w:ilvl="0">
      <w:start w:val="1"/>
      <w:numFmt w:val="decimal"/>
      <w:lvlText w:val="%1."/>
      <w:lvlJc w:val="left"/>
      <w:pPr>
        <w:tabs>
          <w:tab w:val="num" w:pos="360"/>
        </w:tabs>
        <w:ind w:left="360" w:hanging="360"/>
      </w:pPr>
    </w:lvl>
  </w:abstractNum>
  <w:abstractNum w:abstractNumId="9">
    <w:nsid w:val="FFFFFF89"/>
    <w:multiLevelType w:val="singleLevel"/>
    <w:tmpl w:val="B37AD62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164"/>
    <w:rsid w:val="00004470"/>
    <w:rsid w:val="000136AF"/>
    <w:rsid w:val="00041999"/>
    <w:rsid w:val="000437C1"/>
    <w:rsid w:val="00045986"/>
    <w:rsid w:val="0005365D"/>
    <w:rsid w:val="000610D2"/>
    <w:rsid w:val="000614BF"/>
    <w:rsid w:val="00084F8A"/>
    <w:rsid w:val="000B58FA"/>
    <w:rsid w:val="000B5D2A"/>
    <w:rsid w:val="000C2A3F"/>
    <w:rsid w:val="000D05EF"/>
    <w:rsid w:val="000D29AC"/>
    <w:rsid w:val="000E1881"/>
    <w:rsid w:val="000E2261"/>
    <w:rsid w:val="000F21C1"/>
    <w:rsid w:val="00104E9C"/>
    <w:rsid w:val="00105C68"/>
    <w:rsid w:val="0010745C"/>
    <w:rsid w:val="00114EB7"/>
    <w:rsid w:val="00131D69"/>
    <w:rsid w:val="00132CEB"/>
    <w:rsid w:val="00142B62"/>
    <w:rsid w:val="0014539C"/>
    <w:rsid w:val="00146366"/>
    <w:rsid w:val="0015487D"/>
    <w:rsid w:val="00157B8B"/>
    <w:rsid w:val="00166C2F"/>
    <w:rsid w:val="00174CF8"/>
    <w:rsid w:val="0017691B"/>
    <w:rsid w:val="001809D7"/>
    <w:rsid w:val="00191275"/>
    <w:rsid w:val="001939E1"/>
    <w:rsid w:val="00194C3E"/>
    <w:rsid w:val="00195382"/>
    <w:rsid w:val="001A7E13"/>
    <w:rsid w:val="001C238A"/>
    <w:rsid w:val="001C61C5"/>
    <w:rsid w:val="001C688C"/>
    <w:rsid w:val="001C69C4"/>
    <w:rsid w:val="001D37EF"/>
    <w:rsid w:val="001D587E"/>
    <w:rsid w:val="001E3590"/>
    <w:rsid w:val="001E7407"/>
    <w:rsid w:val="001F5D5E"/>
    <w:rsid w:val="001F6219"/>
    <w:rsid w:val="001F6CD4"/>
    <w:rsid w:val="002068D0"/>
    <w:rsid w:val="00206C4D"/>
    <w:rsid w:val="0021053C"/>
    <w:rsid w:val="00212906"/>
    <w:rsid w:val="00215AF1"/>
    <w:rsid w:val="002321E8"/>
    <w:rsid w:val="002321FF"/>
    <w:rsid w:val="002356DF"/>
    <w:rsid w:val="00236AC2"/>
    <w:rsid w:val="00236EEC"/>
    <w:rsid w:val="0024010F"/>
    <w:rsid w:val="00240749"/>
    <w:rsid w:val="00243018"/>
    <w:rsid w:val="00254B86"/>
    <w:rsid w:val="002564A4"/>
    <w:rsid w:val="002566B0"/>
    <w:rsid w:val="00257B93"/>
    <w:rsid w:val="00263B8F"/>
    <w:rsid w:val="0026736C"/>
    <w:rsid w:val="00281308"/>
    <w:rsid w:val="00284719"/>
    <w:rsid w:val="0029281A"/>
    <w:rsid w:val="00297ECB"/>
    <w:rsid w:val="002A7BCF"/>
    <w:rsid w:val="002B2AFD"/>
    <w:rsid w:val="002D043A"/>
    <w:rsid w:val="002D6224"/>
    <w:rsid w:val="002E3F4B"/>
    <w:rsid w:val="00304F8B"/>
    <w:rsid w:val="00313203"/>
    <w:rsid w:val="00316CCC"/>
    <w:rsid w:val="003218A2"/>
    <w:rsid w:val="00331B2F"/>
    <w:rsid w:val="003354D2"/>
    <w:rsid w:val="00335BC6"/>
    <w:rsid w:val="003415D3"/>
    <w:rsid w:val="00344701"/>
    <w:rsid w:val="00352B0F"/>
    <w:rsid w:val="00356690"/>
    <w:rsid w:val="00360459"/>
    <w:rsid w:val="00382969"/>
    <w:rsid w:val="003A1DBF"/>
    <w:rsid w:val="003A2A78"/>
    <w:rsid w:val="003B3D71"/>
    <w:rsid w:val="003C6231"/>
    <w:rsid w:val="003D03CF"/>
    <w:rsid w:val="003D0BFE"/>
    <w:rsid w:val="003D5700"/>
    <w:rsid w:val="003E341B"/>
    <w:rsid w:val="004116CD"/>
    <w:rsid w:val="004144EC"/>
    <w:rsid w:val="00417EB9"/>
    <w:rsid w:val="00424CA9"/>
    <w:rsid w:val="00431E9B"/>
    <w:rsid w:val="004379E3"/>
    <w:rsid w:val="0044015E"/>
    <w:rsid w:val="0044291A"/>
    <w:rsid w:val="004432C7"/>
    <w:rsid w:val="004445C9"/>
    <w:rsid w:val="00444ABD"/>
    <w:rsid w:val="00461C81"/>
    <w:rsid w:val="00467661"/>
    <w:rsid w:val="004705B7"/>
    <w:rsid w:val="00470F93"/>
    <w:rsid w:val="00472DBE"/>
    <w:rsid w:val="00474A19"/>
    <w:rsid w:val="00496F97"/>
    <w:rsid w:val="00497B14"/>
    <w:rsid w:val="004A2F9E"/>
    <w:rsid w:val="004B42B1"/>
    <w:rsid w:val="004C6AE8"/>
    <w:rsid w:val="004C6E53"/>
    <w:rsid w:val="004C762B"/>
    <w:rsid w:val="004D6597"/>
    <w:rsid w:val="004D68E2"/>
    <w:rsid w:val="004E063A"/>
    <w:rsid w:val="004E56D4"/>
    <w:rsid w:val="004E7BEC"/>
    <w:rsid w:val="004F3E57"/>
    <w:rsid w:val="00505D3D"/>
    <w:rsid w:val="00506AF6"/>
    <w:rsid w:val="00516B8D"/>
    <w:rsid w:val="00533F17"/>
    <w:rsid w:val="00534DF5"/>
    <w:rsid w:val="00537FBC"/>
    <w:rsid w:val="00543F95"/>
    <w:rsid w:val="00544AF3"/>
    <w:rsid w:val="00554954"/>
    <w:rsid w:val="005573FB"/>
    <w:rsid w:val="005574D1"/>
    <w:rsid w:val="00584811"/>
    <w:rsid w:val="00585784"/>
    <w:rsid w:val="00593AA6"/>
    <w:rsid w:val="00594161"/>
    <w:rsid w:val="00594749"/>
    <w:rsid w:val="005B4067"/>
    <w:rsid w:val="005B4106"/>
    <w:rsid w:val="005C3A5C"/>
    <w:rsid w:val="005C3F41"/>
    <w:rsid w:val="005C4D7C"/>
    <w:rsid w:val="005D2D09"/>
    <w:rsid w:val="005E1B8C"/>
    <w:rsid w:val="005E7F40"/>
    <w:rsid w:val="005F14E5"/>
    <w:rsid w:val="005F6FE1"/>
    <w:rsid w:val="00600219"/>
    <w:rsid w:val="00603DC4"/>
    <w:rsid w:val="00607B78"/>
    <w:rsid w:val="00620076"/>
    <w:rsid w:val="0063608D"/>
    <w:rsid w:val="006417EA"/>
    <w:rsid w:val="00644ED6"/>
    <w:rsid w:val="00646DC7"/>
    <w:rsid w:val="00670EA1"/>
    <w:rsid w:val="006731AC"/>
    <w:rsid w:val="006776EA"/>
    <w:rsid w:val="00677CC2"/>
    <w:rsid w:val="006905DE"/>
    <w:rsid w:val="0069207B"/>
    <w:rsid w:val="006B2E44"/>
    <w:rsid w:val="006B5789"/>
    <w:rsid w:val="006C291A"/>
    <w:rsid w:val="006C30C5"/>
    <w:rsid w:val="006C5F94"/>
    <w:rsid w:val="006C787F"/>
    <w:rsid w:val="006C7F8C"/>
    <w:rsid w:val="006D3F3E"/>
    <w:rsid w:val="006D71A9"/>
    <w:rsid w:val="006E29E0"/>
    <w:rsid w:val="006E6246"/>
    <w:rsid w:val="006E70E1"/>
    <w:rsid w:val="006F2FEE"/>
    <w:rsid w:val="006F318F"/>
    <w:rsid w:val="006F4226"/>
    <w:rsid w:val="0070017E"/>
    <w:rsid w:val="00700B2C"/>
    <w:rsid w:val="007013F8"/>
    <w:rsid w:val="007050A2"/>
    <w:rsid w:val="00713084"/>
    <w:rsid w:val="0071401D"/>
    <w:rsid w:val="00714F20"/>
    <w:rsid w:val="0071590F"/>
    <w:rsid w:val="00715914"/>
    <w:rsid w:val="00731E00"/>
    <w:rsid w:val="00742A46"/>
    <w:rsid w:val="007440B7"/>
    <w:rsid w:val="007500C8"/>
    <w:rsid w:val="00756272"/>
    <w:rsid w:val="0076681A"/>
    <w:rsid w:val="007715C9"/>
    <w:rsid w:val="00771613"/>
    <w:rsid w:val="00774EDD"/>
    <w:rsid w:val="007757EC"/>
    <w:rsid w:val="00783E89"/>
    <w:rsid w:val="00793915"/>
    <w:rsid w:val="007A13A1"/>
    <w:rsid w:val="007B322F"/>
    <w:rsid w:val="007C2253"/>
    <w:rsid w:val="007C79BA"/>
    <w:rsid w:val="007D0721"/>
    <w:rsid w:val="007D5A63"/>
    <w:rsid w:val="007D7B81"/>
    <w:rsid w:val="007E163D"/>
    <w:rsid w:val="007E667A"/>
    <w:rsid w:val="007F20FF"/>
    <w:rsid w:val="007F28C9"/>
    <w:rsid w:val="00803587"/>
    <w:rsid w:val="008070F8"/>
    <w:rsid w:val="008117E9"/>
    <w:rsid w:val="00824498"/>
    <w:rsid w:val="00856A31"/>
    <w:rsid w:val="00864B24"/>
    <w:rsid w:val="00867B37"/>
    <w:rsid w:val="008754D0"/>
    <w:rsid w:val="008808B9"/>
    <w:rsid w:val="00883524"/>
    <w:rsid w:val="00884F35"/>
    <w:rsid w:val="008855C9"/>
    <w:rsid w:val="00886456"/>
    <w:rsid w:val="00893CED"/>
    <w:rsid w:val="008A3D32"/>
    <w:rsid w:val="008A46E1"/>
    <w:rsid w:val="008A4F43"/>
    <w:rsid w:val="008B2706"/>
    <w:rsid w:val="008B27D0"/>
    <w:rsid w:val="008C2D94"/>
    <w:rsid w:val="008D0EE0"/>
    <w:rsid w:val="008E6067"/>
    <w:rsid w:val="008F54E7"/>
    <w:rsid w:val="00903422"/>
    <w:rsid w:val="009062E6"/>
    <w:rsid w:val="00915DF9"/>
    <w:rsid w:val="009254C3"/>
    <w:rsid w:val="00932377"/>
    <w:rsid w:val="00947D5A"/>
    <w:rsid w:val="009532A5"/>
    <w:rsid w:val="00956C90"/>
    <w:rsid w:val="00960D0B"/>
    <w:rsid w:val="00967B1A"/>
    <w:rsid w:val="00972582"/>
    <w:rsid w:val="00975E6E"/>
    <w:rsid w:val="00977AC6"/>
    <w:rsid w:val="00982242"/>
    <w:rsid w:val="009868E9"/>
    <w:rsid w:val="009A3CCD"/>
    <w:rsid w:val="009B1C9C"/>
    <w:rsid w:val="009B2004"/>
    <w:rsid w:val="009B6450"/>
    <w:rsid w:val="009B67AB"/>
    <w:rsid w:val="009C1F5F"/>
    <w:rsid w:val="009C599C"/>
    <w:rsid w:val="009C6603"/>
    <w:rsid w:val="009D36EF"/>
    <w:rsid w:val="009E43FA"/>
    <w:rsid w:val="009E5CFC"/>
    <w:rsid w:val="009E7702"/>
    <w:rsid w:val="009F0EFA"/>
    <w:rsid w:val="009F57DF"/>
    <w:rsid w:val="00A076E2"/>
    <w:rsid w:val="00A079CB"/>
    <w:rsid w:val="00A12128"/>
    <w:rsid w:val="00A22B28"/>
    <w:rsid w:val="00A22C98"/>
    <w:rsid w:val="00A231E2"/>
    <w:rsid w:val="00A31801"/>
    <w:rsid w:val="00A47DF1"/>
    <w:rsid w:val="00A54893"/>
    <w:rsid w:val="00A60F3D"/>
    <w:rsid w:val="00A64912"/>
    <w:rsid w:val="00A70A74"/>
    <w:rsid w:val="00A76C32"/>
    <w:rsid w:val="00AB6F64"/>
    <w:rsid w:val="00AD17A2"/>
    <w:rsid w:val="00AD5641"/>
    <w:rsid w:val="00AD71F3"/>
    <w:rsid w:val="00AD7889"/>
    <w:rsid w:val="00AE1B65"/>
    <w:rsid w:val="00AF021B"/>
    <w:rsid w:val="00AF06CF"/>
    <w:rsid w:val="00B05CF4"/>
    <w:rsid w:val="00B07CDB"/>
    <w:rsid w:val="00B16A31"/>
    <w:rsid w:val="00B17DFD"/>
    <w:rsid w:val="00B22226"/>
    <w:rsid w:val="00B25E01"/>
    <w:rsid w:val="00B308FE"/>
    <w:rsid w:val="00B33709"/>
    <w:rsid w:val="00B33B3C"/>
    <w:rsid w:val="00B4167E"/>
    <w:rsid w:val="00B43CAE"/>
    <w:rsid w:val="00B4515E"/>
    <w:rsid w:val="00B50ADC"/>
    <w:rsid w:val="00B566B1"/>
    <w:rsid w:val="00B63834"/>
    <w:rsid w:val="00B65F8A"/>
    <w:rsid w:val="00B72734"/>
    <w:rsid w:val="00B728D0"/>
    <w:rsid w:val="00B747ED"/>
    <w:rsid w:val="00B80164"/>
    <w:rsid w:val="00B80199"/>
    <w:rsid w:val="00B83204"/>
    <w:rsid w:val="00B9035F"/>
    <w:rsid w:val="00BA0C87"/>
    <w:rsid w:val="00BA220B"/>
    <w:rsid w:val="00BA3A57"/>
    <w:rsid w:val="00BA563A"/>
    <w:rsid w:val="00BA691F"/>
    <w:rsid w:val="00BB4C3E"/>
    <w:rsid w:val="00BB4E1A"/>
    <w:rsid w:val="00BC015E"/>
    <w:rsid w:val="00BC4191"/>
    <w:rsid w:val="00BC6111"/>
    <w:rsid w:val="00BC76AC"/>
    <w:rsid w:val="00BD0ECB"/>
    <w:rsid w:val="00BD1059"/>
    <w:rsid w:val="00BE2155"/>
    <w:rsid w:val="00BE2213"/>
    <w:rsid w:val="00BE719A"/>
    <w:rsid w:val="00BE720A"/>
    <w:rsid w:val="00BF0D73"/>
    <w:rsid w:val="00BF2465"/>
    <w:rsid w:val="00C006BD"/>
    <w:rsid w:val="00C03C7D"/>
    <w:rsid w:val="00C17766"/>
    <w:rsid w:val="00C25322"/>
    <w:rsid w:val="00C25E7F"/>
    <w:rsid w:val="00C2746F"/>
    <w:rsid w:val="00C300DE"/>
    <w:rsid w:val="00C322AE"/>
    <w:rsid w:val="00C324A0"/>
    <w:rsid w:val="00C3300F"/>
    <w:rsid w:val="00C37C30"/>
    <w:rsid w:val="00C42BF8"/>
    <w:rsid w:val="00C50043"/>
    <w:rsid w:val="00C7573B"/>
    <w:rsid w:val="00C778D8"/>
    <w:rsid w:val="00C93C03"/>
    <w:rsid w:val="00CA6E24"/>
    <w:rsid w:val="00CB2C8E"/>
    <w:rsid w:val="00CB602E"/>
    <w:rsid w:val="00CE051D"/>
    <w:rsid w:val="00CE1335"/>
    <w:rsid w:val="00CE493D"/>
    <w:rsid w:val="00CE5E12"/>
    <w:rsid w:val="00CE7239"/>
    <w:rsid w:val="00CF07FA"/>
    <w:rsid w:val="00CF0BB2"/>
    <w:rsid w:val="00CF3EE8"/>
    <w:rsid w:val="00D04B57"/>
    <w:rsid w:val="00D050E6"/>
    <w:rsid w:val="00D13441"/>
    <w:rsid w:val="00D150E7"/>
    <w:rsid w:val="00D22AD0"/>
    <w:rsid w:val="00D32F65"/>
    <w:rsid w:val="00D52DC2"/>
    <w:rsid w:val="00D53BCC"/>
    <w:rsid w:val="00D70655"/>
    <w:rsid w:val="00D70DFB"/>
    <w:rsid w:val="00D766DF"/>
    <w:rsid w:val="00D8180C"/>
    <w:rsid w:val="00DA16A7"/>
    <w:rsid w:val="00DA186E"/>
    <w:rsid w:val="00DA4116"/>
    <w:rsid w:val="00DB251C"/>
    <w:rsid w:val="00DB4630"/>
    <w:rsid w:val="00DB68EA"/>
    <w:rsid w:val="00DC4F88"/>
    <w:rsid w:val="00DC5B81"/>
    <w:rsid w:val="00DD0634"/>
    <w:rsid w:val="00DE7DCB"/>
    <w:rsid w:val="00DF0072"/>
    <w:rsid w:val="00DF2374"/>
    <w:rsid w:val="00E045CE"/>
    <w:rsid w:val="00E05704"/>
    <w:rsid w:val="00E060CF"/>
    <w:rsid w:val="00E067A1"/>
    <w:rsid w:val="00E11E44"/>
    <w:rsid w:val="00E3270E"/>
    <w:rsid w:val="00E338EF"/>
    <w:rsid w:val="00E33DCD"/>
    <w:rsid w:val="00E544BB"/>
    <w:rsid w:val="00E662CB"/>
    <w:rsid w:val="00E74DC7"/>
    <w:rsid w:val="00E8075A"/>
    <w:rsid w:val="00E83075"/>
    <w:rsid w:val="00E840A0"/>
    <w:rsid w:val="00E94D5E"/>
    <w:rsid w:val="00EA3CEE"/>
    <w:rsid w:val="00EA7100"/>
    <w:rsid w:val="00EA7F9F"/>
    <w:rsid w:val="00EB1274"/>
    <w:rsid w:val="00EB4E43"/>
    <w:rsid w:val="00EB6AD0"/>
    <w:rsid w:val="00ED2BB6"/>
    <w:rsid w:val="00ED34E1"/>
    <w:rsid w:val="00ED3B8D"/>
    <w:rsid w:val="00ED659C"/>
    <w:rsid w:val="00EE6399"/>
    <w:rsid w:val="00EF2E3A"/>
    <w:rsid w:val="00EF7972"/>
    <w:rsid w:val="00F072A7"/>
    <w:rsid w:val="00F078DC"/>
    <w:rsid w:val="00F30451"/>
    <w:rsid w:val="00F32BA8"/>
    <w:rsid w:val="00F349F1"/>
    <w:rsid w:val="00F4350D"/>
    <w:rsid w:val="00F544B3"/>
    <w:rsid w:val="00F567F7"/>
    <w:rsid w:val="00F62036"/>
    <w:rsid w:val="00F65B52"/>
    <w:rsid w:val="00F667DC"/>
    <w:rsid w:val="00F67BCA"/>
    <w:rsid w:val="00F73BD6"/>
    <w:rsid w:val="00F82707"/>
    <w:rsid w:val="00F8306C"/>
    <w:rsid w:val="00F83989"/>
    <w:rsid w:val="00F85099"/>
    <w:rsid w:val="00F909E6"/>
    <w:rsid w:val="00F9379C"/>
    <w:rsid w:val="00F9632C"/>
    <w:rsid w:val="00FA1E52"/>
    <w:rsid w:val="00FD5B08"/>
    <w:rsid w:val="00FE144A"/>
    <w:rsid w:val="00FE1885"/>
    <w:rsid w:val="00FE46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B4E43"/>
    <w:pPr>
      <w:spacing w:line="260" w:lineRule="atLeast"/>
    </w:pPr>
    <w:rPr>
      <w:sz w:val="22"/>
    </w:rPr>
  </w:style>
  <w:style w:type="paragraph" w:styleId="Heading1">
    <w:name w:val="heading 1"/>
    <w:basedOn w:val="Normal"/>
    <w:next w:val="Normal"/>
    <w:link w:val="Heading1Char"/>
    <w:uiPriority w:val="9"/>
    <w:qFormat/>
    <w:rsid w:val="00EB4E4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B4E4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B4E4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B4E4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B4E4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B4E4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B4E4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B4E43"/>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EB4E4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B4E43"/>
  </w:style>
  <w:style w:type="paragraph" w:customStyle="1" w:styleId="OPCParaBase">
    <w:name w:val="OPCParaBase"/>
    <w:qFormat/>
    <w:rsid w:val="00EB4E43"/>
    <w:pPr>
      <w:spacing w:line="260" w:lineRule="atLeast"/>
    </w:pPr>
    <w:rPr>
      <w:rFonts w:eastAsia="Times New Roman" w:cs="Times New Roman"/>
      <w:sz w:val="22"/>
      <w:lang w:eastAsia="en-AU"/>
    </w:rPr>
  </w:style>
  <w:style w:type="paragraph" w:customStyle="1" w:styleId="ShortT">
    <w:name w:val="ShortT"/>
    <w:basedOn w:val="OPCParaBase"/>
    <w:next w:val="Normal"/>
    <w:qFormat/>
    <w:rsid w:val="00EB4E43"/>
    <w:pPr>
      <w:spacing w:line="240" w:lineRule="auto"/>
    </w:pPr>
    <w:rPr>
      <w:b/>
      <w:sz w:val="40"/>
    </w:rPr>
  </w:style>
  <w:style w:type="paragraph" w:customStyle="1" w:styleId="ActHead1">
    <w:name w:val="ActHead 1"/>
    <w:aliases w:val="c"/>
    <w:basedOn w:val="OPCParaBase"/>
    <w:next w:val="Normal"/>
    <w:qFormat/>
    <w:rsid w:val="00EB4E4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B4E4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B4E4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B4E4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EB4E4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B4E4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B4E4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B4E4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B4E4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B4E43"/>
  </w:style>
  <w:style w:type="paragraph" w:customStyle="1" w:styleId="Blocks">
    <w:name w:val="Blocks"/>
    <w:aliases w:val="bb"/>
    <w:basedOn w:val="OPCParaBase"/>
    <w:qFormat/>
    <w:rsid w:val="00EB4E43"/>
    <w:pPr>
      <w:spacing w:line="240" w:lineRule="auto"/>
    </w:pPr>
    <w:rPr>
      <w:sz w:val="24"/>
    </w:rPr>
  </w:style>
  <w:style w:type="paragraph" w:customStyle="1" w:styleId="BoxText">
    <w:name w:val="BoxText"/>
    <w:aliases w:val="bt"/>
    <w:basedOn w:val="OPCParaBase"/>
    <w:qFormat/>
    <w:rsid w:val="00EB4E4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B4E43"/>
    <w:rPr>
      <w:b/>
    </w:rPr>
  </w:style>
  <w:style w:type="paragraph" w:customStyle="1" w:styleId="BoxHeadItalic">
    <w:name w:val="BoxHeadItalic"/>
    <w:aliases w:val="bhi"/>
    <w:basedOn w:val="BoxText"/>
    <w:next w:val="BoxStep"/>
    <w:qFormat/>
    <w:rsid w:val="00EB4E43"/>
    <w:rPr>
      <w:i/>
    </w:rPr>
  </w:style>
  <w:style w:type="paragraph" w:customStyle="1" w:styleId="BoxList">
    <w:name w:val="BoxList"/>
    <w:aliases w:val="bl"/>
    <w:basedOn w:val="BoxText"/>
    <w:qFormat/>
    <w:rsid w:val="00EB4E43"/>
    <w:pPr>
      <w:ind w:left="1559" w:hanging="425"/>
    </w:pPr>
  </w:style>
  <w:style w:type="paragraph" w:customStyle="1" w:styleId="BoxNote">
    <w:name w:val="BoxNote"/>
    <w:aliases w:val="bn"/>
    <w:basedOn w:val="BoxText"/>
    <w:qFormat/>
    <w:rsid w:val="00EB4E43"/>
    <w:pPr>
      <w:tabs>
        <w:tab w:val="left" w:pos="1985"/>
      </w:tabs>
      <w:spacing w:before="122" w:line="198" w:lineRule="exact"/>
      <w:ind w:left="2948" w:hanging="1814"/>
    </w:pPr>
    <w:rPr>
      <w:sz w:val="18"/>
    </w:rPr>
  </w:style>
  <w:style w:type="paragraph" w:customStyle="1" w:styleId="BoxPara">
    <w:name w:val="BoxPara"/>
    <w:aliases w:val="bp"/>
    <w:basedOn w:val="BoxText"/>
    <w:qFormat/>
    <w:rsid w:val="00EB4E43"/>
    <w:pPr>
      <w:tabs>
        <w:tab w:val="right" w:pos="2268"/>
      </w:tabs>
      <w:ind w:left="2552" w:hanging="1418"/>
    </w:pPr>
  </w:style>
  <w:style w:type="paragraph" w:customStyle="1" w:styleId="BoxStep">
    <w:name w:val="BoxStep"/>
    <w:aliases w:val="bs"/>
    <w:basedOn w:val="BoxText"/>
    <w:qFormat/>
    <w:rsid w:val="00EB4E43"/>
    <w:pPr>
      <w:ind w:left="1985" w:hanging="851"/>
    </w:pPr>
  </w:style>
  <w:style w:type="character" w:customStyle="1" w:styleId="CharAmPartNo">
    <w:name w:val="CharAmPartNo"/>
    <w:basedOn w:val="OPCCharBase"/>
    <w:uiPriority w:val="1"/>
    <w:qFormat/>
    <w:rsid w:val="00EB4E43"/>
  </w:style>
  <w:style w:type="character" w:customStyle="1" w:styleId="CharAmPartText">
    <w:name w:val="CharAmPartText"/>
    <w:basedOn w:val="OPCCharBase"/>
    <w:uiPriority w:val="1"/>
    <w:qFormat/>
    <w:rsid w:val="00EB4E43"/>
  </w:style>
  <w:style w:type="character" w:customStyle="1" w:styleId="CharAmSchNo">
    <w:name w:val="CharAmSchNo"/>
    <w:basedOn w:val="OPCCharBase"/>
    <w:uiPriority w:val="1"/>
    <w:qFormat/>
    <w:rsid w:val="00EB4E43"/>
  </w:style>
  <w:style w:type="character" w:customStyle="1" w:styleId="CharAmSchText">
    <w:name w:val="CharAmSchText"/>
    <w:basedOn w:val="OPCCharBase"/>
    <w:uiPriority w:val="1"/>
    <w:qFormat/>
    <w:rsid w:val="00EB4E43"/>
  </w:style>
  <w:style w:type="character" w:customStyle="1" w:styleId="CharBoldItalic">
    <w:name w:val="CharBoldItalic"/>
    <w:basedOn w:val="OPCCharBase"/>
    <w:uiPriority w:val="1"/>
    <w:qFormat/>
    <w:rsid w:val="00EB4E43"/>
    <w:rPr>
      <w:b/>
      <w:i/>
    </w:rPr>
  </w:style>
  <w:style w:type="character" w:customStyle="1" w:styleId="CharChapNo">
    <w:name w:val="CharChapNo"/>
    <w:basedOn w:val="OPCCharBase"/>
    <w:qFormat/>
    <w:rsid w:val="00EB4E43"/>
  </w:style>
  <w:style w:type="character" w:customStyle="1" w:styleId="CharChapText">
    <w:name w:val="CharChapText"/>
    <w:basedOn w:val="OPCCharBase"/>
    <w:qFormat/>
    <w:rsid w:val="00EB4E43"/>
  </w:style>
  <w:style w:type="character" w:customStyle="1" w:styleId="CharDivNo">
    <w:name w:val="CharDivNo"/>
    <w:basedOn w:val="OPCCharBase"/>
    <w:qFormat/>
    <w:rsid w:val="00EB4E43"/>
  </w:style>
  <w:style w:type="character" w:customStyle="1" w:styleId="CharDivText">
    <w:name w:val="CharDivText"/>
    <w:basedOn w:val="OPCCharBase"/>
    <w:qFormat/>
    <w:rsid w:val="00EB4E43"/>
  </w:style>
  <w:style w:type="character" w:customStyle="1" w:styleId="CharItalic">
    <w:name w:val="CharItalic"/>
    <w:basedOn w:val="OPCCharBase"/>
    <w:uiPriority w:val="1"/>
    <w:qFormat/>
    <w:rsid w:val="00EB4E43"/>
    <w:rPr>
      <w:i/>
    </w:rPr>
  </w:style>
  <w:style w:type="character" w:customStyle="1" w:styleId="CharPartNo">
    <w:name w:val="CharPartNo"/>
    <w:basedOn w:val="OPCCharBase"/>
    <w:qFormat/>
    <w:rsid w:val="00EB4E43"/>
  </w:style>
  <w:style w:type="character" w:customStyle="1" w:styleId="CharPartText">
    <w:name w:val="CharPartText"/>
    <w:basedOn w:val="OPCCharBase"/>
    <w:qFormat/>
    <w:rsid w:val="00EB4E43"/>
  </w:style>
  <w:style w:type="character" w:customStyle="1" w:styleId="CharSectno">
    <w:name w:val="CharSectno"/>
    <w:basedOn w:val="OPCCharBase"/>
    <w:qFormat/>
    <w:rsid w:val="00EB4E43"/>
  </w:style>
  <w:style w:type="character" w:customStyle="1" w:styleId="CharSubdNo">
    <w:name w:val="CharSubdNo"/>
    <w:basedOn w:val="OPCCharBase"/>
    <w:uiPriority w:val="1"/>
    <w:qFormat/>
    <w:rsid w:val="00EB4E43"/>
  </w:style>
  <w:style w:type="character" w:customStyle="1" w:styleId="CharSubdText">
    <w:name w:val="CharSubdText"/>
    <w:basedOn w:val="OPCCharBase"/>
    <w:uiPriority w:val="1"/>
    <w:qFormat/>
    <w:rsid w:val="00EB4E43"/>
  </w:style>
  <w:style w:type="paragraph" w:customStyle="1" w:styleId="CTA--">
    <w:name w:val="CTA --"/>
    <w:basedOn w:val="OPCParaBase"/>
    <w:next w:val="Normal"/>
    <w:rsid w:val="00EB4E43"/>
    <w:pPr>
      <w:spacing w:before="60" w:line="240" w:lineRule="atLeast"/>
      <w:ind w:left="142" w:hanging="142"/>
    </w:pPr>
    <w:rPr>
      <w:sz w:val="20"/>
    </w:rPr>
  </w:style>
  <w:style w:type="paragraph" w:customStyle="1" w:styleId="CTA-">
    <w:name w:val="CTA -"/>
    <w:basedOn w:val="OPCParaBase"/>
    <w:rsid w:val="00EB4E43"/>
    <w:pPr>
      <w:spacing w:before="60" w:line="240" w:lineRule="atLeast"/>
      <w:ind w:left="85" w:hanging="85"/>
    </w:pPr>
    <w:rPr>
      <w:sz w:val="20"/>
    </w:rPr>
  </w:style>
  <w:style w:type="paragraph" w:customStyle="1" w:styleId="CTA---">
    <w:name w:val="CTA ---"/>
    <w:basedOn w:val="OPCParaBase"/>
    <w:next w:val="Normal"/>
    <w:rsid w:val="00EB4E43"/>
    <w:pPr>
      <w:spacing w:before="60" w:line="240" w:lineRule="atLeast"/>
      <w:ind w:left="198" w:hanging="198"/>
    </w:pPr>
    <w:rPr>
      <w:sz w:val="20"/>
    </w:rPr>
  </w:style>
  <w:style w:type="paragraph" w:customStyle="1" w:styleId="CTA----">
    <w:name w:val="CTA ----"/>
    <w:basedOn w:val="OPCParaBase"/>
    <w:next w:val="Normal"/>
    <w:rsid w:val="00EB4E43"/>
    <w:pPr>
      <w:spacing w:before="60" w:line="240" w:lineRule="atLeast"/>
      <w:ind w:left="255" w:hanging="255"/>
    </w:pPr>
    <w:rPr>
      <w:sz w:val="20"/>
    </w:rPr>
  </w:style>
  <w:style w:type="paragraph" w:customStyle="1" w:styleId="CTA1a">
    <w:name w:val="CTA 1(a)"/>
    <w:basedOn w:val="OPCParaBase"/>
    <w:rsid w:val="00EB4E43"/>
    <w:pPr>
      <w:tabs>
        <w:tab w:val="right" w:pos="414"/>
      </w:tabs>
      <w:spacing w:before="40" w:line="240" w:lineRule="atLeast"/>
      <w:ind w:left="675" w:hanging="675"/>
    </w:pPr>
    <w:rPr>
      <w:sz w:val="20"/>
    </w:rPr>
  </w:style>
  <w:style w:type="paragraph" w:customStyle="1" w:styleId="CTA1ai">
    <w:name w:val="CTA 1(a)(i)"/>
    <w:basedOn w:val="OPCParaBase"/>
    <w:rsid w:val="00EB4E43"/>
    <w:pPr>
      <w:tabs>
        <w:tab w:val="right" w:pos="1004"/>
      </w:tabs>
      <w:spacing w:before="40" w:line="240" w:lineRule="atLeast"/>
      <w:ind w:left="1253" w:hanging="1253"/>
    </w:pPr>
    <w:rPr>
      <w:sz w:val="20"/>
    </w:rPr>
  </w:style>
  <w:style w:type="paragraph" w:customStyle="1" w:styleId="CTA2a">
    <w:name w:val="CTA 2(a)"/>
    <w:basedOn w:val="OPCParaBase"/>
    <w:rsid w:val="00EB4E43"/>
    <w:pPr>
      <w:tabs>
        <w:tab w:val="right" w:pos="482"/>
      </w:tabs>
      <w:spacing w:before="40" w:line="240" w:lineRule="atLeast"/>
      <w:ind w:left="748" w:hanging="748"/>
    </w:pPr>
    <w:rPr>
      <w:sz w:val="20"/>
    </w:rPr>
  </w:style>
  <w:style w:type="paragraph" w:customStyle="1" w:styleId="CTA2ai">
    <w:name w:val="CTA 2(a)(i)"/>
    <w:basedOn w:val="OPCParaBase"/>
    <w:rsid w:val="00EB4E43"/>
    <w:pPr>
      <w:tabs>
        <w:tab w:val="right" w:pos="1089"/>
      </w:tabs>
      <w:spacing w:before="40" w:line="240" w:lineRule="atLeast"/>
      <w:ind w:left="1327" w:hanging="1327"/>
    </w:pPr>
    <w:rPr>
      <w:sz w:val="20"/>
    </w:rPr>
  </w:style>
  <w:style w:type="paragraph" w:customStyle="1" w:styleId="CTA3a">
    <w:name w:val="CTA 3(a)"/>
    <w:basedOn w:val="OPCParaBase"/>
    <w:rsid w:val="00EB4E43"/>
    <w:pPr>
      <w:tabs>
        <w:tab w:val="right" w:pos="556"/>
      </w:tabs>
      <w:spacing w:before="40" w:line="240" w:lineRule="atLeast"/>
      <w:ind w:left="805" w:hanging="805"/>
    </w:pPr>
    <w:rPr>
      <w:sz w:val="20"/>
    </w:rPr>
  </w:style>
  <w:style w:type="paragraph" w:customStyle="1" w:styleId="CTA3ai">
    <w:name w:val="CTA 3(a)(i)"/>
    <w:basedOn w:val="OPCParaBase"/>
    <w:rsid w:val="00EB4E43"/>
    <w:pPr>
      <w:tabs>
        <w:tab w:val="right" w:pos="1140"/>
      </w:tabs>
      <w:spacing w:before="40" w:line="240" w:lineRule="atLeast"/>
      <w:ind w:left="1361" w:hanging="1361"/>
    </w:pPr>
    <w:rPr>
      <w:sz w:val="20"/>
    </w:rPr>
  </w:style>
  <w:style w:type="paragraph" w:customStyle="1" w:styleId="CTA4a">
    <w:name w:val="CTA 4(a)"/>
    <w:basedOn w:val="OPCParaBase"/>
    <w:rsid w:val="00EB4E43"/>
    <w:pPr>
      <w:tabs>
        <w:tab w:val="right" w:pos="624"/>
      </w:tabs>
      <w:spacing w:before="40" w:line="240" w:lineRule="atLeast"/>
      <w:ind w:left="873" w:hanging="873"/>
    </w:pPr>
    <w:rPr>
      <w:sz w:val="20"/>
    </w:rPr>
  </w:style>
  <w:style w:type="paragraph" w:customStyle="1" w:styleId="CTA4ai">
    <w:name w:val="CTA 4(a)(i)"/>
    <w:basedOn w:val="OPCParaBase"/>
    <w:rsid w:val="00EB4E43"/>
    <w:pPr>
      <w:tabs>
        <w:tab w:val="right" w:pos="1213"/>
      </w:tabs>
      <w:spacing w:before="40" w:line="240" w:lineRule="atLeast"/>
      <w:ind w:left="1452" w:hanging="1452"/>
    </w:pPr>
    <w:rPr>
      <w:sz w:val="20"/>
    </w:rPr>
  </w:style>
  <w:style w:type="paragraph" w:customStyle="1" w:styleId="CTACAPS">
    <w:name w:val="CTA CAPS"/>
    <w:basedOn w:val="OPCParaBase"/>
    <w:rsid w:val="00EB4E43"/>
    <w:pPr>
      <w:spacing w:before="60" w:line="240" w:lineRule="atLeast"/>
    </w:pPr>
    <w:rPr>
      <w:sz w:val="20"/>
    </w:rPr>
  </w:style>
  <w:style w:type="paragraph" w:customStyle="1" w:styleId="CTAright">
    <w:name w:val="CTA right"/>
    <w:basedOn w:val="OPCParaBase"/>
    <w:rsid w:val="00EB4E43"/>
    <w:pPr>
      <w:spacing w:before="60" w:line="240" w:lineRule="auto"/>
      <w:jc w:val="right"/>
    </w:pPr>
    <w:rPr>
      <w:sz w:val="20"/>
    </w:rPr>
  </w:style>
  <w:style w:type="paragraph" w:customStyle="1" w:styleId="subsection">
    <w:name w:val="subsection"/>
    <w:aliases w:val="ss,Subsection"/>
    <w:basedOn w:val="OPCParaBase"/>
    <w:link w:val="subsectionChar"/>
    <w:rsid w:val="00EB4E43"/>
    <w:pPr>
      <w:tabs>
        <w:tab w:val="right" w:pos="1021"/>
      </w:tabs>
      <w:spacing w:before="180" w:line="240" w:lineRule="auto"/>
      <w:ind w:left="1134" w:hanging="1134"/>
    </w:pPr>
  </w:style>
  <w:style w:type="paragraph" w:customStyle="1" w:styleId="Definition">
    <w:name w:val="Definition"/>
    <w:aliases w:val="dd"/>
    <w:basedOn w:val="OPCParaBase"/>
    <w:rsid w:val="00EB4E43"/>
    <w:pPr>
      <w:spacing w:before="180" w:line="240" w:lineRule="auto"/>
      <w:ind w:left="1134"/>
    </w:pPr>
  </w:style>
  <w:style w:type="paragraph" w:customStyle="1" w:styleId="EndNotespara">
    <w:name w:val="EndNotes(para)"/>
    <w:aliases w:val="eta"/>
    <w:basedOn w:val="OPCParaBase"/>
    <w:next w:val="EndNotessubpara"/>
    <w:rsid w:val="00EB4E4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B4E4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B4E4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B4E43"/>
    <w:pPr>
      <w:tabs>
        <w:tab w:val="right" w:pos="1412"/>
      </w:tabs>
      <w:spacing w:before="60" w:line="240" w:lineRule="auto"/>
      <w:ind w:left="1525" w:hanging="1525"/>
    </w:pPr>
    <w:rPr>
      <w:sz w:val="20"/>
    </w:rPr>
  </w:style>
  <w:style w:type="paragraph" w:customStyle="1" w:styleId="Formula">
    <w:name w:val="Formula"/>
    <w:basedOn w:val="OPCParaBase"/>
    <w:rsid w:val="00EB4E43"/>
    <w:pPr>
      <w:spacing w:line="240" w:lineRule="auto"/>
      <w:ind w:left="1134"/>
    </w:pPr>
    <w:rPr>
      <w:sz w:val="20"/>
    </w:rPr>
  </w:style>
  <w:style w:type="paragraph" w:styleId="Header">
    <w:name w:val="header"/>
    <w:basedOn w:val="OPCParaBase"/>
    <w:link w:val="HeaderChar"/>
    <w:unhideWhenUsed/>
    <w:rsid w:val="00EB4E4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B4E43"/>
    <w:rPr>
      <w:rFonts w:eastAsia="Times New Roman" w:cs="Times New Roman"/>
      <w:sz w:val="16"/>
      <w:lang w:eastAsia="en-AU"/>
    </w:rPr>
  </w:style>
  <w:style w:type="paragraph" w:customStyle="1" w:styleId="House">
    <w:name w:val="House"/>
    <w:basedOn w:val="OPCParaBase"/>
    <w:rsid w:val="00EB4E43"/>
    <w:pPr>
      <w:spacing w:line="240" w:lineRule="auto"/>
    </w:pPr>
    <w:rPr>
      <w:sz w:val="28"/>
    </w:rPr>
  </w:style>
  <w:style w:type="paragraph" w:customStyle="1" w:styleId="Item">
    <w:name w:val="Item"/>
    <w:aliases w:val="i"/>
    <w:basedOn w:val="OPCParaBase"/>
    <w:next w:val="ItemHead"/>
    <w:rsid w:val="00EB4E43"/>
    <w:pPr>
      <w:keepLines/>
      <w:spacing w:before="80" w:line="240" w:lineRule="auto"/>
      <w:ind w:left="709"/>
    </w:pPr>
  </w:style>
  <w:style w:type="paragraph" w:customStyle="1" w:styleId="ItemHead">
    <w:name w:val="ItemHead"/>
    <w:aliases w:val="ih"/>
    <w:basedOn w:val="OPCParaBase"/>
    <w:next w:val="Item"/>
    <w:rsid w:val="00EB4E4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B4E43"/>
    <w:pPr>
      <w:spacing w:line="240" w:lineRule="auto"/>
    </w:pPr>
    <w:rPr>
      <w:b/>
      <w:sz w:val="32"/>
    </w:rPr>
  </w:style>
  <w:style w:type="paragraph" w:customStyle="1" w:styleId="notedraft">
    <w:name w:val="note(draft)"/>
    <w:aliases w:val="nd"/>
    <w:basedOn w:val="OPCParaBase"/>
    <w:rsid w:val="00EB4E43"/>
    <w:pPr>
      <w:spacing w:before="240" w:line="240" w:lineRule="auto"/>
      <w:ind w:left="284" w:hanging="284"/>
    </w:pPr>
    <w:rPr>
      <w:i/>
      <w:sz w:val="24"/>
    </w:rPr>
  </w:style>
  <w:style w:type="paragraph" w:customStyle="1" w:styleId="notemargin">
    <w:name w:val="note(margin)"/>
    <w:aliases w:val="nm"/>
    <w:basedOn w:val="OPCParaBase"/>
    <w:rsid w:val="00EB4E43"/>
    <w:pPr>
      <w:tabs>
        <w:tab w:val="left" w:pos="709"/>
      </w:tabs>
      <w:spacing w:before="122" w:line="198" w:lineRule="exact"/>
      <w:ind w:left="709" w:hanging="709"/>
    </w:pPr>
    <w:rPr>
      <w:sz w:val="18"/>
    </w:rPr>
  </w:style>
  <w:style w:type="paragraph" w:customStyle="1" w:styleId="noteToPara">
    <w:name w:val="noteToPara"/>
    <w:aliases w:val="ntp"/>
    <w:basedOn w:val="OPCParaBase"/>
    <w:rsid w:val="00EB4E43"/>
    <w:pPr>
      <w:spacing w:before="122" w:line="198" w:lineRule="exact"/>
      <w:ind w:left="2353" w:hanging="709"/>
    </w:pPr>
    <w:rPr>
      <w:sz w:val="18"/>
    </w:rPr>
  </w:style>
  <w:style w:type="paragraph" w:customStyle="1" w:styleId="noteParlAmend">
    <w:name w:val="note(ParlAmend)"/>
    <w:aliases w:val="npp"/>
    <w:basedOn w:val="OPCParaBase"/>
    <w:next w:val="ParlAmend"/>
    <w:rsid w:val="00EB4E43"/>
    <w:pPr>
      <w:spacing w:line="240" w:lineRule="auto"/>
      <w:jc w:val="right"/>
    </w:pPr>
    <w:rPr>
      <w:rFonts w:ascii="Arial" w:hAnsi="Arial"/>
      <w:b/>
      <w:i/>
    </w:rPr>
  </w:style>
  <w:style w:type="paragraph" w:customStyle="1" w:styleId="Page1">
    <w:name w:val="Page1"/>
    <w:basedOn w:val="OPCParaBase"/>
    <w:rsid w:val="00EB4E43"/>
    <w:pPr>
      <w:spacing w:before="5600" w:line="240" w:lineRule="auto"/>
    </w:pPr>
    <w:rPr>
      <w:b/>
      <w:sz w:val="32"/>
    </w:rPr>
  </w:style>
  <w:style w:type="paragraph" w:customStyle="1" w:styleId="PageBreak">
    <w:name w:val="PageBreak"/>
    <w:aliases w:val="pb"/>
    <w:basedOn w:val="OPCParaBase"/>
    <w:rsid w:val="00EB4E43"/>
    <w:pPr>
      <w:spacing w:line="240" w:lineRule="auto"/>
    </w:pPr>
    <w:rPr>
      <w:sz w:val="20"/>
    </w:rPr>
  </w:style>
  <w:style w:type="paragraph" w:customStyle="1" w:styleId="paragraphsub">
    <w:name w:val="paragraph(sub)"/>
    <w:aliases w:val="aa"/>
    <w:basedOn w:val="OPCParaBase"/>
    <w:rsid w:val="00EB4E43"/>
    <w:pPr>
      <w:tabs>
        <w:tab w:val="right" w:pos="1985"/>
      </w:tabs>
      <w:spacing w:before="40" w:line="240" w:lineRule="auto"/>
      <w:ind w:left="2098" w:hanging="2098"/>
    </w:pPr>
  </w:style>
  <w:style w:type="paragraph" w:customStyle="1" w:styleId="paragraphsub-sub">
    <w:name w:val="paragraph(sub-sub)"/>
    <w:aliases w:val="aaa"/>
    <w:basedOn w:val="OPCParaBase"/>
    <w:rsid w:val="00EB4E43"/>
    <w:pPr>
      <w:tabs>
        <w:tab w:val="right" w:pos="2722"/>
      </w:tabs>
      <w:spacing w:before="40" w:line="240" w:lineRule="auto"/>
      <w:ind w:left="2835" w:hanging="2835"/>
    </w:pPr>
  </w:style>
  <w:style w:type="paragraph" w:customStyle="1" w:styleId="paragraph">
    <w:name w:val="paragraph"/>
    <w:aliases w:val="a"/>
    <w:basedOn w:val="OPCParaBase"/>
    <w:rsid w:val="00EB4E43"/>
    <w:pPr>
      <w:tabs>
        <w:tab w:val="right" w:pos="1531"/>
      </w:tabs>
      <w:spacing w:before="40" w:line="240" w:lineRule="auto"/>
      <w:ind w:left="1644" w:hanging="1644"/>
    </w:pPr>
  </w:style>
  <w:style w:type="paragraph" w:customStyle="1" w:styleId="ParlAmend">
    <w:name w:val="ParlAmend"/>
    <w:aliases w:val="pp"/>
    <w:basedOn w:val="OPCParaBase"/>
    <w:rsid w:val="00EB4E43"/>
    <w:pPr>
      <w:spacing w:before="240" w:line="240" w:lineRule="atLeast"/>
      <w:ind w:hanging="567"/>
    </w:pPr>
    <w:rPr>
      <w:sz w:val="24"/>
    </w:rPr>
  </w:style>
  <w:style w:type="paragraph" w:customStyle="1" w:styleId="Penalty">
    <w:name w:val="Penalty"/>
    <w:basedOn w:val="OPCParaBase"/>
    <w:rsid w:val="00EB4E43"/>
    <w:pPr>
      <w:tabs>
        <w:tab w:val="left" w:pos="2977"/>
      </w:tabs>
      <w:spacing w:before="180" w:line="240" w:lineRule="auto"/>
      <w:ind w:left="1985" w:hanging="851"/>
    </w:pPr>
  </w:style>
  <w:style w:type="paragraph" w:customStyle="1" w:styleId="Portfolio">
    <w:name w:val="Portfolio"/>
    <w:basedOn w:val="OPCParaBase"/>
    <w:rsid w:val="00EB4E43"/>
    <w:pPr>
      <w:spacing w:line="240" w:lineRule="auto"/>
    </w:pPr>
    <w:rPr>
      <w:i/>
      <w:sz w:val="20"/>
    </w:rPr>
  </w:style>
  <w:style w:type="paragraph" w:customStyle="1" w:styleId="Preamble">
    <w:name w:val="Preamble"/>
    <w:basedOn w:val="OPCParaBase"/>
    <w:next w:val="Normal"/>
    <w:rsid w:val="00EB4E4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B4E43"/>
    <w:pPr>
      <w:spacing w:line="240" w:lineRule="auto"/>
    </w:pPr>
    <w:rPr>
      <w:i/>
      <w:sz w:val="20"/>
    </w:rPr>
  </w:style>
  <w:style w:type="paragraph" w:customStyle="1" w:styleId="Session">
    <w:name w:val="Session"/>
    <w:basedOn w:val="OPCParaBase"/>
    <w:rsid w:val="00EB4E43"/>
    <w:pPr>
      <w:spacing w:line="240" w:lineRule="auto"/>
    </w:pPr>
    <w:rPr>
      <w:sz w:val="28"/>
    </w:rPr>
  </w:style>
  <w:style w:type="paragraph" w:customStyle="1" w:styleId="Sponsor">
    <w:name w:val="Sponsor"/>
    <w:basedOn w:val="OPCParaBase"/>
    <w:rsid w:val="00EB4E43"/>
    <w:pPr>
      <w:spacing w:line="240" w:lineRule="auto"/>
    </w:pPr>
    <w:rPr>
      <w:i/>
    </w:rPr>
  </w:style>
  <w:style w:type="paragraph" w:customStyle="1" w:styleId="Subitem">
    <w:name w:val="Subitem"/>
    <w:aliases w:val="iss"/>
    <w:basedOn w:val="OPCParaBase"/>
    <w:rsid w:val="00EB4E43"/>
    <w:pPr>
      <w:spacing w:before="180" w:line="240" w:lineRule="auto"/>
      <w:ind w:left="709" w:hanging="709"/>
    </w:pPr>
  </w:style>
  <w:style w:type="paragraph" w:customStyle="1" w:styleId="SubitemHead">
    <w:name w:val="SubitemHead"/>
    <w:aliases w:val="issh"/>
    <w:basedOn w:val="OPCParaBase"/>
    <w:rsid w:val="00EB4E4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B4E43"/>
    <w:pPr>
      <w:spacing w:before="40" w:line="240" w:lineRule="auto"/>
      <w:ind w:left="1134"/>
    </w:pPr>
  </w:style>
  <w:style w:type="paragraph" w:customStyle="1" w:styleId="SubsectionHead">
    <w:name w:val="SubsectionHead"/>
    <w:aliases w:val="ssh"/>
    <w:basedOn w:val="OPCParaBase"/>
    <w:next w:val="subsection"/>
    <w:rsid w:val="00EB4E43"/>
    <w:pPr>
      <w:keepNext/>
      <w:keepLines/>
      <w:spacing w:before="240" w:line="240" w:lineRule="auto"/>
      <w:ind w:left="1134"/>
    </w:pPr>
    <w:rPr>
      <w:i/>
    </w:rPr>
  </w:style>
  <w:style w:type="paragraph" w:customStyle="1" w:styleId="Tablea">
    <w:name w:val="Table(a)"/>
    <w:aliases w:val="ta"/>
    <w:basedOn w:val="OPCParaBase"/>
    <w:rsid w:val="00EB4E43"/>
    <w:pPr>
      <w:spacing w:before="60" w:line="240" w:lineRule="auto"/>
      <w:ind w:left="284" w:hanging="284"/>
    </w:pPr>
    <w:rPr>
      <w:sz w:val="20"/>
    </w:rPr>
  </w:style>
  <w:style w:type="paragraph" w:customStyle="1" w:styleId="TableAA">
    <w:name w:val="Table(AA)"/>
    <w:aliases w:val="taaa"/>
    <w:basedOn w:val="OPCParaBase"/>
    <w:rsid w:val="00EB4E4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B4E4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B4E43"/>
    <w:pPr>
      <w:spacing w:before="60" w:line="240" w:lineRule="atLeast"/>
    </w:pPr>
    <w:rPr>
      <w:sz w:val="20"/>
    </w:rPr>
  </w:style>
  <w:style w:type="paragraph" w:customStyle="1" w:styleId="TLPBoxTextnote">
    <w:name w:val="TLPBoxText(note"/>
    <w:aliases w:val="right)"/>
    <w:basedOn w:val="OPCParaBase"/>
    <w:rsid w:val="00EB4E4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B4E4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B4E43"/>
    <w:pPr>
      <w:spacing w:before="122" w:line="198" w:lineRule="exact"/>
      <w:ind w:left="1985" w:hanging="851"/>
      <w:jc w:val="right"/>
    </w:pPr>
    <w:rPr>
      <w:sz w:val="18"/>
    </w:rPr>
  </w:style>
  <w:style w:type="paragraph" w:customStyle="1" w:styleId="TLPTableBullet">
    <w:name w:val="TLPTableBullet"/>
    <w:aliases w:val="ttb"/>
    <w:basedOn w:val="OPCParaBase"/>
    <w:rsid w:val="00EB4E43"/>
    <w:pPr>
      <w:spacing w:line="240" w:lineRule="exact"/>
      <w:ind w:left="284" w:hanging="284"/>
    </w:pPr>
    <w:rPr>
      <w:sz w:val="20"/>
    </w:rPr>
  </w:style>
  <w:style w:type="paragraph" w:styleId="TOC1">
    <w:name w:val="toc 1"/>
    <w:basedOn w:val="Normal"/>
    <w:next w:val="Normal"/>
    <w:uiPriority w:val="39"/>
    <w:unhideWhenUsed/>
    <w:rsid w:val="00EB4E43"/>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EB4E43"/>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semiHidden/>
    <w:unhideWhenUsed/>
    <w:rsid w:val="00EB4E43"/>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OPCParaBase"/>
    <w:next w:val="Normal"/>
    <w:uiPriority w:val="39"/>
    <w:unhideWhenUsed/>
    <w:rsid w:val="00EB4E43"/>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EB4E43"/>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EB4E43"/>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EB4E43"/>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EB4E43"/>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EB4E43"/>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B4E43"/>
    <w:pPr>
      <w:keepLines/>
      <w:spacing w:before="240" w:after="120" w:line="240" w:lineRule="auto"/>
      <w:ind w:left="794"/>
    </w:pPr>
    <w:rPr>
      <w:b/>
      <w:kern w:val="28"/>
      <w:sz w:val="20"/>
    </w:rPr>
  </w:style>
  <w:style w:type="paragraph" w:customStyle="1" w:styleId="TofSectsHeading">
    <w:name w:val="TofSects(Heading)"/>
    <w:basedOn w:val="OPCParaBase"/>
    <w:rsid w:val="00EB4E43"/>
    <w:pPr>
      <w:spacing w:before="240" w:after="120" w:line="240" w:lineRule="auto"/>
    </w:pPr>
    <w:rPr>
      <w:b/>
      <w:sz w:val="24"/>
    </w:rPr>
  </w:style>
  <w:style w:type="paragraph" w:customStyle="1" w:styleId="TofSectsSection">
    <w:name w:val="TofSects(Section)"/>
    <w:basedOn w:val="OPCParaBase"/>
    <w:rsid w:val="00EB4E43"/>
    <w:pPr>
      <w:keepLines/>
      <w:spacing w:before="40" w:line="240" w:lineRule="auto"/>
      <w:ind w:left="1588" w:hanging="794"/>
    </w:pPr>
    <w:rPr>
      <w:kern w:val="28"/>
      <w:sz w:val="18"/>
    </w:rPr>
  </w:style>
  <w:style w:type="paragraph" w:customStyle="1" w:styleId="TofSectsSubdiv">
    <w:name w:val="TofSects(Subdiv)"/>
    <w:basedOn w:val="OPCParaBase"/>
    <w:rsid w:val="00EB4E43"/>
    <w:pPr>
      <w:keepLines/>
      <w:spacing w:before="80" w:line="240" w:lineRule="auto"/>
      <w:ind w:left="1588" w:hanging="794"/>
    </w:pPr>
    <w:rPr>
      <w:kern w:val="28"/>
    </w:rPr>
  </w:style>
  <w:style w:type="paragraph" w:customStyle="1" w:styleId="WRStyle">
    <w:name w:val="WR Style"/>
    <w:aliases w:val="WR"/>
    <w:basedOn w:val="OPCParaBase"/>
    <w:rsid w:val="00EB4E43"/>
    <w:pPr>
      <w:spacing w:before="240" w:line="240" w:lineRule="auto"/>
      <w:ind w:left="284" w:hanging="284"/>
    </w:pPr>
    <w:rPr>
      <w:b/>
      <w:i/>
      <w:kern w:val="28"/>
      <w:sz w:val="24"/>
    </w:rPr>
  </w:style>
  <w:style w:type="paragraph" w:customStyle="1" w:styleId="notepara">
    <w:name w:val="note(para)"/>
    <w:aliases w:val="na"/>
    <w:basedOn w:val="OPCParaBase"/>
    <w:rsid w:val="00EB4E43"/>
    <w:pPr>
      <w:spacing w:before="40" w:line="198" w:lineRule="exact"/>
      <w:ind w:left="2354" w:hanging="369"/>
    </w:pPr>
    <w:rPr>
      <w:sz w:val="18"/>
    </w:rPr>
  </w:style>
  <w:style w:type="paragraph" w:styleId="Footer">
    <w:name w:val="footer"/>
    <w:link w:val="FooterChar"/>
    <w:rsid w:val="00EB4E4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B4E43"/>
    <w:rPr>
      <w:rFonts w:eastAsia="Times New Roman" w:cs="Times New Roman"/>
      <w:sz w:val="22"/>
      <w:szCs w:val="24"/>
      <w:lang w:eastAsia="en-AU"/>
    </w:rPr>
  </w:style>
  <w:style w:type="character" w:styleId="LineNumber">
    <w:name w:val="line number"/>
    <w:basedOn w:val="OPCCharBase"/>
    <w:uiPriority w:val="99"/>
    <w:semiHidden/>
    <w:unhideWhenUsed/>
    <w:rsid w:val="00EB4E43"/>
    <w:rPr>
      <w:sz w:val="16"/>
    </w:rPr>
  </w:style>
  <w:style w:type="table" w:customStyle="1" w:styleId="CFlag">
    <w:name w:val="CFlag"/>
    <w:basedOn w:val="TableNormal"/>
    <w:uiPriority w:val="99"/>
    <w:rsid w:val="00EB4E43"/>
    <w:rPr>
      <w:rFonts w:eastAsia="Times New Roman" w:cs="Times New Roman"/>
      <w:lang w:eastAsia="en-AU"/>
    </w:rPr>
    <w:tblPr/>
  </w:style>
  <w:style w:type="paragraph" w:styleId="BalloonText">
    <w:name w:val="Balloon Text"/>
    <w:basedOn w:val="Normal"/>
    <w:link w:val="BalloonTextChar"/>
    <w:uiPriority w:val="99"/>
    <w:semiHidden/>
    <w:unhideWhenUsed/>
    <w:rsid w:val="00EB4E4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E43"/>
    <w:rPr>
      <w:rFonts w:ascii="Tahoma" w:hAnsi="Tahoma" w:cs="Tahoma"/>
      <w:sz w:val="16"/>
      <w:szCs w:val="16"/>
    </w:rPr>
  </w:style>
  <w:style w:type="table" w:styleId="TableGrid">
    <w:name w:val="Table Grid"/>
    <w:basedOn w:val="TableNormal"/>
    <w:uiPriority w:val="59"/>
    <w:rsid w:val="00EB4E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EB4E43"/>
    <w:rPr>
      <w:b/>
      <w:sz w:val="28"/>
      <w:szCs w:val="32"/>
    </w:rPr>
  </w:style>
  <w:style w:type="paragraph" w:customStyle="1" w:styleId="LegislationMadeUnder">
    <w:name w:val="LegislationMadeUnder"/>
    <w:basedOn w:val="OPCParaBase"/>
    <w:next w:val="Normal"/>
    <w:rsid w:val="00EB4E43"/>
    <w:rPr>
      <w:i/>
      <w:sz w:val="32"/>
      <w:szCs w:val="32"/>
    </w:rPr>
  </w:style>
  <w:style w:type="paragraph" w:customStyle="1" w:styleId="SignCoverPageEnd">
    <w:name w:val="SignCoverPageEnd"/>
    <w:basedOn w:val="OPCParaBase"/>
    <w:next w:val="Normal"/>
    <w:rsid w:val="00EB4E43"/>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EB4E43"/>
    <w:pPr>
      <w:pBdr>
        <w:top w:val="single" w:sz="4" w:space="1" w:color="auto"/>
      </w:pBdr>
      <w:spacing w:before="360"/>
      <w:ind w:right="397"/>
      <w:jc w:val="both"/>
    </w:pPr>
  </w:style>
  <w:style w:type="paragraph" w:customStyle="1" w:styleId="NotesHeading1">
    <w:name w:val="NotesHeading 1"/>
    <w:basedOn w:val="OPCParaBase"/>
    <w:next w:val="Normal"/>
    <w:rsid w:val="00EB4E43"/>
    <w:pPr>
      <w:outlineLvl w:val="0"/>
    </w:pPr>
    <w:rPr>
      <w:b/>
      <w:sz w:val="28"/>
      <w:szCs w:val="28"/>
    </w:rPr>
  </w:style>
  <w:style w:type="paragraph" w:customStyle="1" w:styleId="NotesHeading2">
    <w:name w:val="NotesHeading 2"/>
    <w:basedOn w:val="OPCParaBase"/>
    <w:next w:val="Normal"/>
    <w:rsid w:val="00EB4E43"/>
    <w:rPr>
      <w:b/>
      <w:sz w:val="28"/>
      <w:szCs w:val="28"/>
    </w:rPr>
  </w:style>
  <w:style w:type="paragraph" w:customStyle="1" w:styleId="CompiledActNo">
    <w:name w:val="CompiledActNo"/>
    <w:basedOn w:val="OPCParaBase"/>
    <w:next w:val="Normal"/>
    <w:rsid w:val="00EB4E43"/>
    <w:rPr>
      <w:b/>
      <w:sz w:val="24"/>
      <w:szCs w:val="24"/>
    </w:rPr>
  </w:style>
  <w:style w:type="paragraph" w:customStyle="1" w:styleId="ENotesText">
    <w:name w:val="ENotesText"/>
    <w:aliases w:val="Ent"/>
    <w:basedOn w:val="OPCParaBase"/>
    <w:next w:val="Normal"/>
    <w:rsid w:val="00EB4E43"/>
    <w:pPr>
      <w:spacing w:before="120"/>
    </w:pPr>
  </w:style>
  <w:style w:type="paragraph" w:customStyle="1" w:styleId="CompiledMadeUnder">
    <w:name w:val="CompiledMadeUnder"/>
    <w:basedOn w:val="OPCParaBase"/>
    <w:next w:val="Normal"/>
    <w:rsid w:val="00EB4E43"/>
    <w:rPr>
      <w:i/>
      <w:sz w:val="24"/>
      <w:szCs w:val="24"/>
    </w:rPr>
  </w:style>
  <w:style w:type="paragraph" w:customStyle="1" w:styleId="Paragraphsub-sub-sub">
    <w:name w:val="Paragraph(sub-sub-sub)"/>
    <w:aliases w:val="aaaa"/>
    <w:basedOn w:val="OPCParaBase"/>
    <w:rsid w:val="00EB4E43"/>
    <w:pPr>
      <w:tabs>
        <w:tab w:val="right" w:pos="3402"/>
      </w:tabs>
      <w:spacing w:before="40" w:line="240" w:lineRule="auto"/>
      <w:ind w:left="3402" w:hanging="3402"/>
    </w:pPr>
  </w:style>
  <w:style w:type="paragraph" w:customStyle="1" w:styleId="TableTextEndNotes">
    <w:name w:val="TableTextEndNotes"/>
    <w:aliases w:val="Tten"/>
    <w:basedOn w:val="Normal"/>
    <w:rsid w:val="00EB4E43"/>
    <w:pPr>
      <w:spacing w:before="60" w:line="240" w:lineRule="auto"/>
    </w:pPr>
    <w:rPr>
      <w:rFonts w:cs="Arial"/>
      <w:sz w:val="20"/>
      <w:szCs w:val="22"/>
    </w:rPr>
  </w:style>
  <w:style w:type="paragraph" w:customStyle="1" w:styleId="NoteToSubpara">
    <w:name w:val="NoteToSubpara"/>
    <w:aliases w:val="nts"/>
    <w:basedOn w:val="OPCParaBase"/>
    <w:rsid w:val="00EB4E43"/>
    <w:pPr>
      <w:spacing w:before="40" w:line="198" w:lineRule="exact"/>
      <w:ind w:left="2835" w:hanging="709"/>
    </w:pPr>
    <w:rPr>
      <w:sz w:val="18"/>
    </w:rPr>
  </w:style>
  <w:style w:type="paragraph" w:customStyle="1" w:styleId="ENoteTableHeading">
    <w:name w:val="ENoteTableHeading"/>
    <w:aliases w:val="enth"/>
    <w:basedOn w:val="OPCParaBase"/>
    <w:rsid w:val="00EB4E43"/>
    <w:pPr>
      <w:keepNext/>
      <w:spacing w:before="60" w:line="240" w:lineRule="atLeast"/>
    </w:pPr>
    <w:rPr>
      <w:rFonts w:ascii="Arial" w:hAnsi="Arial"/>
      <w:b/>
      <w:sz w:val="16"/>
    </w:rPr>
  </w:style>
  <w:style w:type="paragraph" w:customStyle="1" w:styleId="ENoteTTi">
    <w:name w:val="ENoteTTi"/>
    <w:aliases w:val="entti"/>
    <w:basedOn w:val="OPCParaBase"/>
    <w:rsid w:val="00EB4E43"/>
    <w:pPr>
      <w:keepNext/>
      <w:spacing w:before="60" w:line="240" w:lineRule="atLeast"/>
      <w:ind w:left="170"/>
    </w:pPr>
    <w:rPr>
      <w:sz w:val="16"/>
    </w:rPr>
  </w:style>
  <w:style w:type="paragraph" w:customStyle="1" w:styleId="ENotesHeading1">
    <w:name w:val="ENotesHeading 1"/>
    <w:aliases w:val="Enh1"/>
    <w:basedOn w:val="OPCParaBase"/>
    <w:next w:val="Normal"/>
    <w:rsid w:val="00EB4E43"/>
    <w:pPr>
      <w:spacing w:before="120"/>
      <w:outlineLvl w:val="1"/>
    </w:pPr>
    <w:rPr>
      <w:b/>
      <w:sz w:val="28"/>
      <w:szCs w:val="28"/>
    </w:rPr>
  </w:style>
  <w:style w:type="paragraph" w:customStyle="1" w:styleId="ENotesHeading2">
    <w:name w:val="ENotesHeading 2"/>
    <w:aliases w:val="Enh2"/>
    <w:basedOn w:val="OPCParaBase"/>
    <w:next w:val="Normal"/>
    <w:rsid w:val="00EB4E43"/>
    <w:pPr>
      <w:spacing w:before="120" w:after="120"/>
      <w:outlineLvl w:val="2"/>
    </w:pPr>
    <w:rPr>
      <w:b/>
      <w:sz w:val="24"/>
      <w:szCs w:val="28"/>
    </w:rPr>
  </w:style>
  <w:style w:type="paragraph" w:customStyle="1" w:styleId="ENoteTTIndentHeading">
    <w:name w:val="ENoteTTIndentHeading"/>
    <w:aliases w:val="enTTHi"/>
    <w:basedOn w:val="OPCParaBase"/>
    <w:rsid w:val="00EB4E4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B4E43"/>
    <w:pPr>
      <w:spacing w:before="60" w:line="240" w:lineRule="atLeast"/>
    </w:pPr>
    <w:rPr>
      <w:sz w:val="16"/>
    </w:rPr>
  </w:style>
  <w:style w:type="paragraph" w:customStyle="1" w:styleId="MadeunderText">
    <w:name w:val="MadeunderText"/>
    <w:basedOn w:val="OPCParaBase"/>
    <w:next w:val="CompiledMadeUnder"/>
    <w:rsid w:val="00EB4E43"/>
    <w:pPr>
      <w:spacing w:before="240"/>
    </w:pPr>
    <w:rPr>
      <w:sz w:val="24"/>
      <w:szCs w:val="24"/>
    </w:rPr>
  </w:style>
  <w:style w:type="paragraph" w:customStyle="1" w:styleId="ENotesHeading3">
    <w:name w:val="ENotesHeading 3"/>
    <w:aliases w:val="Enh3"/>
    <w:basedOn w:val="OPCParaBase"/>
    <w:next w:val="Normal"/>
    <w:rsid w:val="00EB4E43"/>
    <w:pPr>
      <w:keepNext/>
      <w:spacing w:before="120" w:line="240" w:lineRule="auto"/>
      <w:outlineLvl w:val="4"/>
    </w:pPr>
    <w:rPr>
      <w:b/>
      <w:szCs w:val="24"/>
    </w:rPr>
  </w:style>
  <w:style w:type="character" w:customStyle="1" w:styleId="CharSubPartTextCASA">
    <w:name w:val="CharSubPartText(CASA)"/>
    <w:basedOn w:val="OPCCharBase"/>
    <w:uiPriority w:val="1"/>
    <w:rsid w:val="00EB4E43"/>
  </w:style>
  <w:style w:type="character" w:customStyle="1" w:styleId="CharSubPartNoCASA">
    <w:name w:val="CharSubPartNo(CASA)"/>
    <w:basedOn w:val="OPCCharBase"/>
    <w:uiPriority w:val="1"/>
    <w:rsid w:val="00EB4E43"/>
  </w:style>
  <w:style w:type="paragraph" w:customStyle="1" w:styleId="ENoteTTIndentHeadingSub">
    <w:name w:val="ENoteTTIndentHeadingSub"/>
    <w:aliases w:val="enTTHis"/>
    <w:basedOn w:val="OPCParaBase"/>
    <w:rsid w:val="00EB4E43"/>
    <w:pPr>
      <w:keepNext/>
      <w:spacing w:before="60" w:line="240" w:lineRule="atLeast"/>
      <w:ind w:left="340"/>
    </w:pPr>
    <w:rPr>
      <w:b/>
      <w:sz w:val="16"/>
    </w:rPr>
  </w:style>
  <w:style w:type="paragraph" w:customStyle="1" w:styleId="ENoteTTiSub">
    <w:name w:val="ENoteTTiSub"/>
    <w:aliases w:val="enttis"/>
    <w:basedOn w:val="OPCParaBase"/>
    <w:rsid w:val="00EB4E43"/>
    <w:pPr>
      <w:keepNext/>
      <w:spacing w:before="60" w:line="240" w:lineRule="atLeast"/>
      <w:ind w:left="340"/>
    </w:pPr>
    <w:rPr>
      <w:sz w:val="16"/>
    </w:rPr>
  </w:style>
  <w:style w:type="paragraph" w:customStyle="1" w:styleId="SubDivisionMigration">
    <w:name w:val="SubDivisionMigration"/>
    <w:aliases w:val="sdm"/>
    <w:basedOn w:val="OPCParaBase"/>
    <w:rsid w:val="00EB4E4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B4E43"/>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EB4E43"/>
    <w:pPr>
      <w:spacing w:before="122" w:line="240" w:lineRule="auto"/>
      <w:ind w:left="1985" w:hanging="851"/>
    </w:pPr>
    <w:rPr>
      <w:sz w:val="18"/>
    </w:rPr>
  </w:style>
  <w:style w:type="paragraph" w:customStyle="1" w:styleId="FreeForm">
    <w:name w:val="FreeForm"/>
    <w:rsid w:val="006C291A"/>
    <w:rPr>
      <w:rFonts w:ascii="Arial" w:hAnsi="Arial"/>
      <w:sz w:val="22"/>
    </w:rPr>
  </w:style>
  <w:style w:type="paragraph" w:customStyle="1" w:styleId="SOText">
    <w:name w:val="SO Text"/>
    <w:aliases w:val="sot"/>
    <w:link w:val="SOTextChar"/>
    <w:rsid w:val="00EB4E4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B4E43"/>
    <w:rPr>
      <w:sz w:val="22"/>
    </w:rPr>
  </w:style>
  <w:style w:type="paragraph" w:customStyle="1" w:styleId="SOTextNote">
    <w:name w:val="SO TextNote"/>
    <w:aliases w:val="sont"/>
    <w:basedOn w:val="SOText"/>
    <w:qFormat/>
    <w:rsid w:val="00EB4E43"/>
    <w:pPr>
      <w:spacing w:before="122" w:line="198" w:lineRule="exact"/>
      <w:ind w:left="1843" w:hanging="709"/>
    </w:pPr>
    <w:rPr>
      <w:sz w:val="18"/>
    </w:rPr>
  </w:style>
  <w:style w:type="paragraph" w:customStyle="1" w:styleId="SOPara">
    <w:name w:val="SO Para"/>
    <w:aliases w:val="soa"/>
    <w:basedOn w:val="SOText"/>
    <w:link w:val="SOParaChar"/>
    <w:qFormat/>
    <w:rsid w:val="00EB4E43"/>
    <w:pPr>
      <w:tabs>
        <w:tab w:val="right" w:pos="1786"/>
      </w:tabs>
      <w:spacing w:before="40"/>
      <w:ind w:left="2070" w:hanging="936"/>
    </w:pPr>
  </w:style>
  <w:style w:type="character" w:customStyle="1" w:styleId="SOParaChar">
    <w:name w:val="SO Para Char"/>
    <w:aliases w:val="soa Char"/>
    <w:basedOn w:val="DefaultParagraphFont"/>
    <w:link w:val="SOPara"/>
    <w:rsid w:val="00EB4E43"/>
    <w:rPr>
      <w:sz w:val="22"/>
    </w:rPr>
  </w:style>
  <w:style w:type="paragraph" w:customStyle="1" w:styleId="FileName">
    <w:name w:val="FileName"/>
    <w:basedOn w:val="Normal"/>
    <w:rsid w:val="00EB4E43"/>
  </w:style>
  <w:style w:type="paragraph" w:customStyle="1" w:styleId="TableHeading">
    <w:name w:val="TableHeading"/>
    <w:aliases w:val="th"/>
    <w:basedOn w:val="OPCParaBase"/>
    <w:next w:val="Tabletext"/>
    <w:rsid w:val="00EB4E43"/>
    <w:pPr>
      <w:keepNext/>
      <w:spacing w:before="60" w:line="240" w:lineRule="atLeast"/>
    </w:pPr>
    <w:rPr>
      <w:b/>
      <w:sz w:val="20"/>
    </w:rPr>
  </w:style>
  <w:style w:type="paragraph" w:customStyle="1" w:styleId="SOHeadBold">
    <w:name w:val="SO HeadBold"/>
    <w:aliases w:val="sohb"/>
    <w:basedOn w:val="SOText"/>
    <w:next w:val="SOText"/>
    <w:link w:val="SOHeadBoldChar"/>
    <w:qFormat/>
    <w:rsid w:val="00EB4E43"/>
    <w:rPr>
      <w:b/>
    </w:rPr>
  </w:style>
  <w:style w:type="character" w:customStyle="1" w:styleId="SOHeadBoldChar">
    <w:name w:val="SO HeadBold Char"/>
    <w:aliases w:val="sohb Char"/>
    <w:basedOn w:val="DefaultParagraphFont"/>
    <w:link w:val="SOHeadBold"/>
    <w:rsid w:val="00EB4E43"/>
    <w:rPr>
      <w:b/>
      <w:sz w:val="22"/>
    </w:rPr>
  </w:style>
  <w:style w:type="paragraph" w:customStyle="1" w:styleId="SOHeadItalic">
    <w:name w:val="SO HeadItalic"/>
    <w:aliases w:val="sohi"/>
    <w:basedOn w:val="SOText"/>
    <w:next w:val="SOText"/>
    <w:link w:val="SOHeadItalicChar"/>
    <w:qFormat/>
    <w:rsid w:val="00EB4E43"/>
    <w:rPr>
      <w:i/>
    </w:rPr>
  </w:style>
  <w:style w:type="character" w:customStyle="1" w:styleId="SOHeadItalicChar">
    <w:name w:val="SO HeadItalic Char"/>
    <w:aliases w:val="sohi Char"/>
    <w:basedOn w:val="DefaultParagraphFont"/>
    <w:link w:val="SOHeadItalic"/>
    <w:rsid w:val="00EB4E43"/>
    <w:rPr>
      <w:i/>
      <w:sz w:val="22"/>
    </w:rPr>
  </w:style>
  <w:style w:type="paragraph" w:customStyle="1" w:styleId="SOBullet">
    <w:name w:val="SO Bullet"/>
    <w:aliases w:val="sotb"/>
    <w:basedOn w:val="SOText"/>
    <w:link w:val="SOBulletChar"/>
    <w:qFormat/>
    <w:rsid w:val="00EB4E43"/>
    <w:pPr>
      <w:ind w:left="1559" w:hanging="425"/>
    </w:pPr>
  </w:style>
  <w:style w:type="character" w:customStyle="1" w:styleId="SOBulletChar">
    <w:name w:val="SO Bullet Char"/>
    <w:aliases w:val="sotb Char"/>
    <w:basedOn w:val="DefaultParagraphFont"/>
    <w:link w:val="SOBullet"/>
    <w:rsid w:val="00EB4E43"/>
    <w:rPr>
      <w:sz w:val="22"/>
    </w:rPr>
  </w:style>
  <w:style w:type="paragraph" w:customStyle="1" w:styleId="SOBulletNote">
    <w:name w:val="SO BulletNote"/>
    <w:aliases w:val="sonb"/>
    <w:basedOn w:val="SOTextNote"/>
    <w:link w:val="SOBulletNoteChar"/>
    <w:qFormat/>
    <w:rsid w:val="00EB4E43"/>
    <w:pPr>
      <w:tabs>
        <w:tab w:val="left" w:pos="1560"/>
      </w:tabs>
      <w:ind w:left="2268" w:hanging="1134"/>
    </w:pPr>
  </w:style>
  <w:style w:type="character" w:customStyle="1" w:styleId="SOBulletNoteChar">
    <w:name w:val="SO BulletNote Char"/>
    <w:aliases w:val="sonb Char"/>
    <w:basedOn w:val="DefaultParagraphFont"/>
    <w:link w:val="SOBulletNote"/>
    <w:rsid w:val="00EB4E43"/>
    <w:rPr>
      <w:sz w:val="18"/>
    </w:rPr>
  </w:style>
  <w:style w:type="paragraph" w:customStyle="1" w:styleId="SOText2">
    <w:name w:val="SO Text2"/>
    <w:aliases w:val="sot2"/>
    <w:basedOn w:val="Normal"/>
    <w:next w:val="SOText"/>
    <w:link w:val="SOText2Char"/>
    <w:rsid w:val="00EB4E4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B4E43"/>
    <w:rPr>
      <w:sz w:val="22"/>
    </w:rPr>
  </w:style>
  <w:style w:type="paragraph" w:customStyle="1" w:styleId="SubPartCASA">
    <w:name w:val="SubPart(CASA)"/>
    <w:aliases w:val="csp"/>
    <w:basedOn w:val="OPCParaBase"/>
    <w:next w:val="ActHead3"/>
    <w:rsid w:val="00EB4E43"/>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EB4E43"/>
    <w:rPr>
      <w:rFonts w:eastAsia="Times New Roman" w:cs="Times New Roman"/>
      <w:sz w:val="22"/>
      <w:lang w:eastAsia="en-AU"/>
    </w:rPr>
  </w:style>
  <w:style w:type="character" w:customStyle="1" w:styleId="notetextChar">
    <w:name w:val="note(text) Char"/>
    <w:aliases w:val="n Char"/>
    <w:basedOn w:val="DefaultParagraphFont"/>
    <w:link w:val="notetext"/>
    <w:rsid w:val="00EB4E43"/>
    <w:rPr>
      <w:rFonts w:eastAsia="Times New Roman" w:cs="Times New Roman"/>
      <w:sz w:val="18"/>
      <w:lang w:eastAsia="en-AU"/>
    </w:rPr>
  </w:style>
  <w:style w:type="character" w:customStyle="1" w:styleId="Heading1Char">
    <w:name w:val="Heading 1 Char"/>
    <w:basedOn w:val="DefaultParagraphFont"/>
    <w:link w:val="Heading1"/>
    <w:uiPriority w:val="9"/>
    <w:rsid w:val="00EB4E4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B4E4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B4E4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EB4E4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EB4E4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EB4E4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EB4E4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EB4E4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EB4E43"/>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B4E43"/>
    <w:pPr>
      <w:spacing w:line="260" w:lineRule="atLeast"/>
    </w:pPr>
    <w:rPr>
      <w:sz w:val="22"/>
    </w:rPr>
  </w:style>
  <w:style w:type="paragraph" w:styleId="Heading1">
    <w:name w:val="heading 1"/>
    <w:basedOn w:val="Normal"/>
    <w:next w:val="Normal"/>
    <w:link w:val="Heading1Char"/>
    <w:uiPriority w:val="9"/>
    <w:qFormat/>
    <w:rsid w:val="00EB4E4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B4E4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B4E4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B4E4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B4E4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B4E4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B4E4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B4E43"/>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EB4E4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B4E43"/>
  </w:style>
  <w:style w:type="paragraph" w:customStyle="1" w:styleId="OPCParaBase">
    <w:name w:val="OPCParaBase"/>
    <w:qFormat/>
    <w:rsid w:val="00EB4E43"/>
    <w:pPr>
      <w:spacing w:line="260" w:lineRule="atLeast"/>
    </w:pPr>
    <w:rPr>
      <w:rFonts w:eastAsia="Times New Roman" w:cs="Times New Roman"/>
      <w:sz w:val="22"/>
      <w:lang w:eastAsia="en-AU"/>
    </w:rPr>
  </w:style>
  <w:style w:type="paragraph" w:customStyle="1" w:styleId="ShortT">
    <w:name w:val="ShortT"/>
    <w:basedOn w:val="OPCParaBase"/>
    <w:next w:val="Normal"/>
    <w:qFormat/>
    <w:rsid w:val="00EB4E43"/>
    <w:pPr>
      <w:spacing w:line="240" w:lineRule="auto"/>
    </w:pPr>
    <w:rPr>
      <w:b/>
      <w:sz w:val="40"/>
    </w:rPr>
  </w:style>
  <w:style w:type="paragraph" w:customStyle="1" w:styleId="ActHead1">
    <w:name w:val="ActHead 1"/>
    <w:aliases w:val="c"/>
    <w:basedOn w:val="OPCParaBase"/>
    <w:next w:val="Normal"/>
    <w:qFormat/>
    <w:rsid w:val="00EB4E4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B4E4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B4E4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B4E4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EB4E4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B4E4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B4E4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B4E4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B4E4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B4E43"/>
  </w:style>
  <w:style w:type="paragraph" w:customStyle="1" w:styleId="Blocks">
    <w:name w:val="Blocks"/>
    <w:aliases w:val="bb"/>
    <w:basedOn w:val="OPCParaBase"/>
    <w:qFormat/>
    <w:rsid w:val="00EB4E43"/>
    <w:pPr>
      <w:spacing w:line="240" w:lineRule="auto"/>
    </w:pPr>
    <w:rPr>
      <w:sz w:val="24"/>
    </w:rPr>
  </w:style>
  <w:style w:type="paragraph" w:customStyle="1" w:styleId="BoxText">
    <w:name w:val="BoxText"/>
    <w:aliases w:val="bt"/>
    <w:basedOn w:val="OPCParaBase"/>
    <w:qFormat/>
    <w:rsid w:val="00EB4E4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B4E43"/>
    <w:rPr>
      <w:b/>
    </w:rPr>
  </w:style>
  <w:style w:type="paragraph" w:customStyle="1" w:styleId="BoxHeadItalic">
    <w:name w:val="BoxHeadItalic"/>
    <w:aliases w:val="bhi"/>
    <w:basedOn w:val="BoxText"/>
    <w:next w:val="BoxStep"/>
    <w:qFormat/>
    <w:rsid w:val="00EB4E43"/>
    <w:rPr>
      <w:i/>
    </w:rPr>
  </w:style>
  <w:style w:type="paragraph" w:customStyle="1" w:styleId="BoxList">
    <w:name w:val="BoxList"/>
    <w:aliases w:val="bl"/>
    <w:basedOn w:val="BoxText"/>
    <w:qFormat/>
    <w:rsid w:val="00EB4E43"/>
    <w:pPr>
      <w:ind w:left="1559" w:hanging="425"/>
    </w:pPr>
  </w:style>
  <w:style w:type="paragraph" w:customStyle="1" w:styleId="BoxNote">
    <w:name w:val="BoxNote"/>
    <w:aliases w:val="bn"/>
    <w:basedOn w:val="BoxText"/>
    <w:qFormat/>
    <w:rsid w:val="00EB4E43"/>
    <w:pPr>
      <w:tabs>
        <w:tab w:val="left" w:pos="1985"/>
      </w:tabs>
      <w:spacing w:before="122" w:line="198" w:lineRule="exact"/>
      <w:ind w:left="2948" w:hanging="1814"/>
    </w:pPr>
    <w:rPr>
      <w:sz w:val="18"/>
    </w:rPr>
  </w:style>
  <w:style w:type="paragraph" w:customStyle="1" w:styleId="BoxPara">
    <w:name w:val="BoxPara"/>
    <w:aliases w:val="bp"/>
    <w:basedOn w:val="BoxText"/>
    <w:qFormat/>
    <w:rsid w:val="00EB4E43"/>
    <w:pPr>
      <w:tabs>
        <w:tab w:val="right" w:pos="2268"/>
      </w:tabs>
      <w:ind w:left="2552" w:hanging="1418"/>
    </w:pPr>
  </w:style>
  <w:style w:type="paragraph" w:customStyle="1" w:styleId="BoxStep">
    <w:name w:val="BoxStep"/>
    <w:aliases w:val="bs"/>
    <w:basedOn w:val="BoxText"/>
    <w:qFormat/>
    <w:rsid w:val="00EB4E43"/>
    <w:pPr>
      <w:ind w:left="1985" w:hanging="851"/>
    </w:pPr>
  </w:style>
  <w:style w:type="character" w:customStyle="1" w:styleId="CharAmPartNo">
    <w:name w:val="CharAmPartNo"/>
    <w:basedOn w:val="OPCCharBase"/>
    <w:uiPriority w:val="1"/>
    <w:qFormat/>
    <w:rsid w:val="00EB4E43"/>
  </w:style>
  <w:style w:type="character" w:customStyle="1" w:styleId="CharAmPartText">
    <w:name w:val="CharAmPartText"/>
    <w:basedOn w:val="OPCCharBase"/>
    <w:uiPriority w:val="1"/>
    <w:qFormat/>
    <w:rsid w:val="00EB4E43"/>
  </w:style>
  <w:style w:type="character" w:customStyle="1" w:styleId="CharAmSchNo">
    <w:name w:val="CharAmSchNo"/>
    <w:basedOn w:val="OPCCharBase"/>
    <w:uiPriority w:val="1"/>
    <w:qFormat/>
    <w:rsid w:val="00EB4E43"/>
  </w:style>
  <w:style w:type="character" w:customStyle="1" w:styleId="CharAmSchText">
    <w:name w:val="CharAmSchText"/>
    <w:basedOn w:val="OPCCharBase"/>
    <w:uiPriority w:val="1"/>
    <w:qFormat/>
    <w:rsid w:val="00EB4E43"/>
  </w:style>
  <w:style w:type="character" w:customStyle="1" w:styleId="CharBoldItalic">
    <w:name w:val="CharBoldItalic"/>
    <w:basedOn w:val="OPCCharBase"/>
    <w:uiPriority w:val="1"/>
    <w:qFormat/>
    <w:rsid w:val="00EB4E43"/>
    <w:rPr>
      <w:b/>
      <w:i/>
    </w:rPr>
  </w:style>
  <w:style w:type="character" w:customStyle="1" w:styleId="CharChapNo">
    <w:name w:val="CharChapNo"/>
    <w:basedOn w:val="OPCCharBase"/>
    <w:qFormat/>
    <w:rsid w:val="00EB4E43"/>
  </w:style>
  <w:style w:type="character" w:customStyle="1" w:styleId="CharChapText">
    <w:name w:val="CharChapText"/>
    <w:basedOn w:val="OPCCharBase"/>
    <w:qFormat/>
    <w:rsid w:val="00EB4E43"/>
  </w:style>
  <w:style w:type="character" w:customStyle="1" w:styleId="CharDivNo">
    <w:name w:val="CharDivNo"/>
    <w:basedOn w:val="OPCCharBase"/>
    <w:qFormat/>
    <w:rsid w:val="00EB4E43"/>
  </w:style>
  <w:style w:type="character" w:customStyle="1" w:styleId="CharDivText">
    <w:name w:val="CharDivText"/>
    <w:basedOn w:val="OPCCharBase"/>
    <w:qFormat/>
    <w:rsid w:val="00EB4E43"/>
  </w:style>
  <w:style w:type="character" w:customStyle="1" w:styleId="CharItalic">
    <w:name w:val="CharItalic"/>
    <w:basedOn w:val="OPCCharBase"/>
    <w:uiPriority w:val="1"/>
    <w:qFormat/>
    <w:rsid w:val="00EB4E43"/>
    <w:rPr>
      <w:i/>
    </w:rPr>
  </w:style>
  <w:style w:type="character" w:customStyle="1" w:styleId="CharPartNo">
    <w:name w:val="CharPartNo"/>
    <w:basedOn w:val="OPCCharBase"/>
    <w:qFormat/>
    <w:rsid w:val="00EB4E43"/>
  </w:style>
  <w:style w:type="character" w:customStyle="1" w:styleId="CharPartText">
    <w:name w:val="CharPartText"/>
    <w:basedOn w:val="OPCCharBase"/>
    <w:qFormat/>
    <w:rsid w:val="00EB4E43"/>
  </w:style>
  <w:style w:type="character" w:customStyle="1" w:styleId="CharSectno">
    <w:name w:val="CharSectno"/>
    <w:basedOn w:val="OPCCharBase"/>
    <w:qFormat/>
    <w:rsid w:val="00EB4E43"/>
  </w:style>
  <w:style w:type="character" w:customStyle="1" w:styleId="CharSubdNo">
    <w:name w:val="CharSubdNo"/>
    <w:basedOn w:val="OPCCharBase"/>
    <w:uiPriority w:val="1"/>
    <w:qFormat/>
    <w:rsid w:val="00EB4E43"/>
  </w:style>
  <w:style w:type="character" w:customStyle="1" w:styleId="CharSubdText">
    <w:name w:val="CharSubdText"/>
    <w:basedOn w:val="OPCCharBase"/>
    <w:uiPriority w:val="1"/>
    <w:qFormat/>
    <w:rsid w:val="00EB4E43"/>
  </w:style>
  <w:style w:type="paragraph" w:customStyle="1" w:styleId="CTA--">
    <w:name w:val="CTA --"/>
    <w:basedOn w:val="OPCParaBase"/>
    <w:next w:val="Normal"/>
    <w:rsid w:val="00EB4E43"/>
    <w:pPr>
      <w:spacing w:before="60" w:line="240" w:lineRule="atLeast"/>
      <w:ind w:left="142" w:hanging="142"/>
    </w:pPr>
    <w:rPr>
      <w:sz w:val="20"/>
    </w:rPr>
  </w:style>
  <w:style w:type="paragraph" w:customStyle="1" w:styleId="CTA-">
    <w:name w:val="CTA -"/>
    <w:basedOn w:val="OPCParaBase"/>
    <w:rsid w:val="00EB4E43"/>
    <w:pPr>
      <w:spacing w:before="60" w:line="240" w:lineRule="atLeast"/>
      <w:ind w:left="85" w:hanging="85"/>
    </w:pPr>
    <w:rPr>
      <w:sz w:val="20"/>
    </w:rPr>
  </w:style>
  <w:style w:type="paragraph" w:customStyle="1" w:styleId="CTA---">
    <w:name w:val="CTA ---"/>
    <w:basedOn w:val="OPCParaBase"/>
    <w:next w:val="Normal"/>
    <w:rsid w:val="00EB4E43"/>
    <w:pPr>
      <w:spacing w:before="60" w:line="240" w:lineRule="atLeast"/>
      <w:ind w:left="198" w:hanging="198"/>
    </w:pPr>
    <w:rPr>
      <w:sz w:val="20"/>
    </w:rPr>
  </w:style>
  <w:style w:type="paragraph" w:customStyle="1" w:styleId="CTA----">
    <w:name w:val="CTA ----"/>
    <w:basedOn w:val="OPCParaBase"/>
    <w:next w:val="Normal"/>
    <w:rsid w:val="00EB4E43"/>
    <w:pPr>
      <w:spacing w:before="60" w:line="240" w:lineRule="atLeast"/>
      <w:ind w:left="255" w:hanging="255"/>
    </w:pPr>
    <w:rPr>
      <w:sz w:val="20"/>
    </w:rPr>
  </w:style>
  <w:style w:type="paragraph" w:customStyle="1" w:styleId="CTA1a">
    <w:name w:val="CTA 1(a)"/>
    <w:basedOn w:val="OPCParaBase"/>
    <w:rsid w:val="00EB4E43"/>
    <w:pPr>
      <w:tabs>
        <w:tab w:val="right" w:pos="414"/>
      </w:tabs>
      <w:spacing w:before="40" w:line="240" w:lineRule="atLeast"/>
      <w:ind w:left="675" w:hanging="675"/>
    </w:pPr>
    <w:rPr>
      <w:sz w:val="20"/>
    </w:rPr>
  </w:style>
  <w:style w:type="paragraph" w:customStyle="1" w:styleId="CTA1ai">
    <w:name w:val="CTA 1(a)(i)"/>
    <w:basedOn w:val="OPCParaBase"/>
    <w:rsid w:val="00EB4E43"/>
    <w:pPr>
      <w:tabs>
        <w:tab w:val="right" w:pos="1004"/>
      </w:tabs>
      <w:spacing w:before="40" w:line="240" w:lineRule="atLeast"/>
      <w:ind w:left="1253" w:hanging="1253"/>
    </w:pPr>
    <w:rPr>
      <w:sz w:val="20"/>
    </w:rPr>
  </w:style>
  <w:style w:type="paragraph" w:customStyle="1" w:styleId="CTA2a">
    <w:name w:val="CTA 2(a)"/>
    <w:basedOn w:val="OPCParaBase"/>
    <w:rsid w:val="00EB4E43"/>
    <w:pPr>
      <w:tabs>
        <w:tab w:val="right" w:pos="482"/>
      </w:tabs>
      <w:spacing w:before="40" w:line="240" w:lineRule="atLeast"/>
      <w:ind w:left="748" w:hanging="748"/>
    </w:pPr>
    <w:rPr>
      <w:sz w:val="20"/>
    </w:rPr>
  </w:style>
  <w:style w:type="paragraph" w:customStyle="1" w:styleId="CTA2ai">
    <w:name w:val="CTA 2(a)(i)"/>
    <w:basedOn w:val="OPCParaBase"/>
    <w:rsid w:val="00EB4E43"/>
    <w:pPr>
      <w:tabs>
        <w:tab w:val="right" w:pos="1089"/>
      </w:tabs>
      <w:spacing w:before="40" w:line="240" w:lineRule="atLeast"/>
      <w:ind w:left="1327" w:hanging="1327"/>
    </w:pPr>
    <w:rPr>
      <w:sz w:val="20"/>
    </w:rPr>
  </w:style>
  <w:style w:type="paragraph" w:customStyle="1" w:styleId="CTA3a">
    <w:name w:val="CTA 3(a)"/>
    <w:basedOn w:val="OPCParaBase"/>
    <w:rsid w:val="00EB4E43"/>
    <w:pPr>
      <w:tabs>
        <w:tab w:val="right" w:pos="556"/>
      </w:tabs>
      <w:spacing w:before="40" w:line="240" w:lineRule="atLeast"/>
      <w:ind w:left="805" w:hanging="805"/>
    </w:pPr>
    <w:rPr>
      <w:sz w:val="20"/>
    </w:rPr>
  </w:style>
  <w:style w:type="paragraph" w:customStyle="1" w:styleId="CTA3ai">
    <w:name w:val="CTA 3(a)(i)"/>
    <w:basedOn w:val="OPCParaBase"/>
    <w:rsid w:val="00EB4E43"/>
    <w:pPr>
      <w:tabs>
        <w:tab w:val="right" w:pos="1140"/>
      </w:tabs>
      <w:spacing w:before="40" w:line="240" w:lineRule="atLeast"/>
      <w:ind w:left="1361" w:hanging="1361"/>
    </w:pPr>
    <w:rPr>
      <w:sz w:val="20"/>
    </w:rPr>
  </w:style>
  <w:style w:type="paragraph" w:customStyle="1" w:styleId="CTA4a">
    <w:name w:val="CTA 4(a)"/>
    <w:basedOn w:val="OPCParaBase"/>
    <w:rsid w:val="00EB4E43"/>
    <w:pPr>
      <w:tabs>
        <w:tab w:val="right" w:pos="624"/>
      </w:tabs>
      <w:spacing w:before="40" w:line="240" w:lineRule="atLeast"/>
      <w:ind w:left="873" w:hanging="873"/>
    </w:pPr>
    <w:rPr>
      <w:sz w:val="20"/>
    </w:rPr>
  </w:style>
  <w:style w:type="paragraph" w:customStyle="1" w:styleId="CTA4ai">
    <w:name w:val="CTA 4(a)(i)"/>
    <w:basedOn w:val="OPCParaBase"/>
    <w:rsid w:val="00EB4E43"/>
    <w:pPr>
      <w:tabs>
        <w:tab w:val="right" w:pos="1213"/>
      </w:tabs>
      <w:spacing w:before="40" w:line="240" w:lineRule="atLeast"/>
      <w:ind w:left="1452" w:hanging="1452"/>
    </w:pPr>
    <w:rPr>
      <w:sz w:val="20"/>
    </w:rPr>
  </w:style>
  <w:style w:type="paragraph" w:customStyle="1" w:styleId="CTACAPS">
    <w:name w:val="CTA CAPS"/>
    <w:basedOn w:val="OPCParaBase"/>
    <w:rsid w:val="00EB4E43"/>
    <w:pPr>
      <w:spacing w:before="60" w:line="240" w:lineRule="atLeast"/>
    </w:pPr>
    <w:rPr>
      <w:sz w:val="20"/>
    </w:rPr>
  </w:style>
  <w:style w:type="paragraph" w:customStyle="1" w:styleId="CTAright">
    <w:name w:val="CTA right"/>
    <w:basedOn w:val="OPCParaBase"/>
    <w:rsid w:val="00EB4E43"/>
    <w:pPr>
      <w:spacing w:before="60" w:line="240" w:lineRule="auto"/>
      <w:jc w:val="right"/>
    </w:pPr>
    <w:rPr>
      <w:sz w:val="20"/>
    </w:rPr>
  </w:style>
  <w:style w:type="paragraph" w:customStyle="1" w:styleId="subsection">
    <w:name w:val="subsection"/>
    <w:aliases w:val="ss,Subsection"/>
    <w:basedOn w:val="OPCParaBase"/>
    <w:link w:val="subsectionChar"/>
    <w:rsid w:val="00EB4E43"/>
    <w:pPr>
      <w:tabs>
        <w:tab w:val="right" w:pos="1021"/>
      </w:tabs>
      <w:spacing w:before="180" w:line="240" w:lineRule="auto"/>
      <w:ind w:left="1134" w:hanging="1134"/>
    </w:pPr>
  </w:style>
  <w:style w:type="paragraph" w:customStyle="1" w:styleId="Definition">
    <w:name w:val="Definition"/>
    <w:aliases w:val="dd"/>
    <w:basedOn w:val="OPCParaBase"/>
    <w:rsid w:val="00EB4E43"/>
    <w:pPr>
      <w:spacing w:before="180" w:line="240" w:lineRule="auto"/>
      <w:ind w:left="1134"/>
    </w:pPr>
  </w:style>
  <w:style w:type="paragraph" w:customStyle="1" w:styleId="EndNotespara">
    <w:name w:val="EndNotes(para)"/>
    <w:aliases w:val="eta"/>
    <w:basedOn w:val="OPCParaBase"/>
    <w:next w:val="EndNotessubpara"/>
    <w:rsid w:val="00EB4E4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B4E4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B4E4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B4E43"/>
    <w:pPr>
      <w:tabs>
        <w:tab w:val="right" w:pos="1412"/>
      </w:tabs>
      <w:spacing w:before="60" w:line="240" w:lineRule="auto"/>
      <w:ind w:left="1525" w:hanging="1525"/>
    </w:pPr>
    <w:rPr>
      <w:sz w:val="20"/>
    </w:rPr>
  </w:style>
  <w:style w:type="paragraph" w:customStyle="1" w:styleId="Formula">
    <w:name w:val="Formula"/>
    <w:basedOn w:val="OPCParaBase"/>
    <w:rsid w:val="00EB4E43"/>
    <w:pPr>
      <w:spacing w:line="240" w:lineRule="auto"/>
      <w:ind w:left="1134"/>
    </w:pPr>
    <w:rPr>
      <w:sz w:val="20"/>
    </w:rPr>
  </w:style>
  <w:style w:type="paragraph" w:styleId="Header">
    <w:name w:val="header"/>
    <w:basedOn w:val="OPCParaBase"/>
    <w:link w:val="HeaderChar"/>
    <w:unhideWhenUsed/>
    <w:rsid w:val="00EB4E4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B4E43"/>
    <w:rPr>
      <w:rFonts w:eastAsia="Times New Roman" w:cs="Times New Roman"/>
      <w:sz w:val="16"/>
      <w:lang w:eastAsia="en-AU"/>
    </w:rPr>
  </w:style>
  <w:style w:type="paragraph" w:customStyle="1" w:styleId="House">
    <w:name w:val="House"/>
    <w:basedOn w:val="OPCParaBase"/>
    <w:rsid w:val="00EB4E43"/>
    <w:pPr>
      <w:spacing w:line="240" w:lineRule="auto"/>
    </w:pPr>
    <w:rPr>
      <w:sz w:val="28"/>
    </w:rPr>
  </w:style>
  <w:style w:type="paragraph" w:customStyle="1" w:styleId="Item">
    <w:name w:val="Item"/>
    <w:aliases w:val="i"/>
    <w:basedOn w:val="OPCParaBase"/>
    <w:next w:val="ItemHead"/>
    <w:rsid w:val="00EB4E43"/>
    <w:pPr>
      <w:keepLines/>
      <w:spacing w:before="80" w:line="240" w:lineRule="auto"/>
      <w:ind w:left="709"/>
    </w:pPr>
  </w:style>
  <w:style w:type="paragraph" w:customStyle="1" w:styleId="ItemHead">
    <w:name w:val="ItemHead"/>
    <w:aliases w:val="ih"/>
    <w:basedOn w:val="OPCParaBase"/>
    <w:next w:val="Item"/>
    <w:rsid w:val="00EB4E4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B4E43"/>
    <w:pPr>
      <w:spacing w:line="240" w:lineRule="auto"/>
    </w:pPr>
    <w:rPr>
      <w:b/>
      <w:sz w:val="32"/>
    </w:rPr>
  </w:style>
  <w:style w:type="paragraph" w:customStyle="1" w:styleId="notedraft">
    <w:name w:val="note(draft)"/>
    <w:aliases w:val="nd"/>
    <w:basedOn w:val="OPCParaBase"/>
    <w:rsid w:val="00EB4E43"/>
    <w:pPr>
      <w:spacing w:before="240" w:line="240" w:lineRule="auto"/>
      <w:ind w:left="284" w:hanging="284"/>
    </w:pPr>
    <w:rPr>
      <w:i/>
      <w:sz w:val="24"/>
    </w:rPr>
  </w:style>
  <w:style w:type="paragraph" w:customStyle="1" w:styleId="notemargin">
    <w:name w:val="note(margin)"/>
    <w:aliases w:val="nm"/>
    <w:basedOn w:val="OPCParaBase"/>
    <w:rsid w:val="00EB4E43"/>
    <w:pPr>
      <w:tabs>
        <w:tab w:val="left" w:pos="709"/>
      </w:tabs>
      <w:spacing w:before="122" w:line="198" w:lineRule="exact"/>
      <w:ind w:left="709" w:hanging="709"/>
    </w:pPr>
    <w:rPr>
      <w:sz w:val="18"/>
    </w:rPr>
  </w:style>
  <w:style w:type="paragraph" w:customStyle="1" w:styleId="noteToPara">
    <w:name w:val="noteToPara"/>
    <w:aliases w:val="ntp"/>
    <w:basedOn w:val="OPCParaBase"/>
    <w:rsid w:val="00EB4E43"/>
    <w:pPr>
      <w:spacing w:before="122" w:line="198" w:lineRule="exact"/>
      <w:ind w:left="2353" w:hanging="709"/>
    </w:pPr>
    <w:rPr>
      <w:sz w:val="18"/>
    </w:rPr>
  </w:style>
  <w:style w:type="paragraph" w:customStyle="1" w:styleId="noteParlAmend">
    <w:name w:val="note(ParlAmend)"/>
    <w:aliases w:val="npp"/>
    <w:basedOn w:val="OPCParaBase"/>
    <w:next w:val="ParlAmend"/>
    <w:rsid w:val="00EB4E43"/>
    <w:pPr>
      <w:spacing w:line="240" w:lineRule="auto"/>
      <w:jc w:val="right"/>
    </w:pPr>
    <w:rPr>
      <w:rFonts w:ascii="Arial" w:hAnsi="Arial"/>
      <w:b/>
      <w:i/>
    </w:rPr>
  </w:style>
  <w:style w:type="paragraph" w:customStyle="1" w:styleId="Page1">
    <w:name w:val="Page1"/>
    <w:basedOn w:val="OPCParaBase"/>
    <w:rsid w:val="00EB4E43"/>
    <w:pPr>
      <w:spacing w:before="5600" w:line="240" w:lineRule="auto"/>
    </w:pPr>
    <w:rPr>
      <w:b/>
      <w:sz w:val="32"/>
    </w:rPr>
  </w:style>
  <w:style w:type="paragraph" w:customStyle="1" w:styleId="PageBreak">
    <w:name w:val="PageBreak"/>
    <w:aliases w:val="pb"/>
    <w:basedOn w:val="OPCParaBase"/>
    <w:rsid w:val="00EB4E43"/>
    <w:pPr>
      <w:spacing w:line="240" w:lineRule="auto"/>
    </w:pPr>
    <w:rPr>
      <w:sz w:val="20"/>
    </w:rPr>
  </w:style>
  <w:style w:type="paragraph" w:customStyle="1" w:styleId="paragraphsub">
    <w:name w:val="paragraph(sub)"/>
    <w:aliases w:val="aa"/>
    <w:basedOn w:val="OPCParaBase"/>
    <w:rsid w:val="00EB4E43"/>
    <w:pPr>
      <w:tabs>
        <w:tab w:val="right" w:pos="1985"/>
      </w:tabs>
      <w:spacing w:before="40" w:line="240" w:lineRule="auto"/>
      <w:ind w:left="2098" w:hanging="2098"/>
    </w:pPr>
  </w:style>
  <w:style w:type="paragraph" w:customStyle="1" w:styleId="paragraphsub-sub">
    <w:name w:val="paragraph(sub-sub)"/>
    <w:aliases w:val="aaa"/>
    <w:basedOn w:val="OPCParaBase"/>
    <w:rsid w:val="00EB4E43"/>
    <w:pPr>
      <w:tabs>
        <w:tab w:val="right" w:pos="2722"/>
      </w:tabs>
      <w:spacing w:before="40" w:line="240" w:lineRule="auto"/>
      <w:ind w:left="2835" w:hanging="2835"/>
    </w:pPr>
  </w:style>
  <w:style w:type="paragraph" w:customStyle="1" w:styleId="paragraph">
    <w:name w:val="paragraph"/>
    <w:aliases w:val="a"/>
    <w:basedOn w:val="OPCParaBase"/>
    <w:rsid w:val="00EB4E43"/>
    <w:pPr>
      <w:tabs>
        <w:tab w:val="right" w:pos="1531"/>
      </w:tabs>
      <w:spacing w:before="40" w:line="240" w:lineRule="auto"/>
      <w:ind w:left="1644" w:hanging="1644"/>
    </w:pPr>
  </w:style>
  <w:style w:type="paragraph" w:customStyle="1" w:styleId="ParlAmend">
    <w:name w:val="ParlAmend"/>
    <w:aliases w:val="pp"/>
    <w:basedOn w:val="OPCParaBase"/>
    <w:rsid w:val="00EB4E43"/>
    <w:pPr>
      <w:spacing w:before="240" w:line="240" w:lineRule="atLeast"/>
      <w:ind w:hanging="567"/>
    </w:pPr>
    <w:rPr>
      <w:sz w:val="24"/>
    </w:rPr>
  </w:style>
  <w:style w:type="paragraph" w:customStyle="1" w:styleId="Penalty">
    <w:name w:val="Penalty"/>
    <w:basedOn w:val="OPCParaBase"/>
    <w:rsid w:val="00EB4E43"/>
    <w:pPr>
      <w:tabs>
        <w:tab w:val="left" w:pos="2977"/>
      </w:tabs>
      <w:spacing w:before="180" w:line="240" w:lineRule="auto"/>
      <w:ind w:left="1985" w:hanging="851"/>
    </w:pPr>
  </w:style>
  <w:style w:type="paragraph" w:customStyle="1" w:styleId="Portfolio">
    <w:name w:val="Portfolio"/>
    <w:basedOn w:val="OPCParaBase"/>
    <w:rsid w:val="00EB4E43"/>
    <w:pPr>
      <w:spacing w:line="240" w:lineRule="auto"/>
    </w:pPr>
    <w:rPr>
      <w:i/>
      <w:sz w:val="20"/>
    </w:rPr>
  </w:style>
  <w:style w:type="paragraph" w:customStyle="1" w:styleId="Preamble">
    <w:name w:val="Preamble"/>
    <w:basedOn w:val="OPCParaBase"/>
    <w:next w:val="Normal"/>
    <w:rsid w:val="00EB4E4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B4E43"/>
    <w:pPr>
      <w:spacing w:line="240" w:lineRule="auto"/>
    </w:pPr>
    <w:rPr>
      <w:i/>
      <w:sz w:val="20"/>
    </w:rPr>
  </w:style>
  <w:style w:type="paragraph" w:customStyle="1" w:styleId="Session">
    <w:name w:val="Session"/>
    <w:basedOn w:val="OPCParaBase"/>
    <w:rsid w:val="00EB4E43"/>
    <w:pPr>
      <w:spacing w:line="240" w:lineRule="auto"/>
    </w:pPr>
    <w:rPr>
      <w:sz w:val="28"/>
    </w:rPr>
  </w:style>
  <w:style w:type="paragraph" w:customStyle="1" w:styleId="Sponsor">
    <w:name w:val="Sponsor"/>
    <w:basedOn w:val="OPCParaBase"/>
    <w:rsid w:val="00EB4E43"/>
    <w:pPr>
      <w:spacing w:line="240" w:lineRule="auto"/>
    </w:pPr>
    <w:rPr>
      <w:i/>
    </w:rPr>
  </w:style>
  <w:style w:type="paragraph" w:customStyle="1" w:styleId="Subitem">
    <w:name w:val="Subitem"/>
    <w:aliases w:val="iss"/>
    <w:basedOn w:val="OPCParaBase"/>
    <w:rsid w:val="00EB4E43"/>
    <w:pPr>
      <w:spacing w:before="180" w:line="240" w:lineRule="auto"/>
      <w:ind w:left="709" w:hanging="709"/>
    </w:pPr>
  </w:style>
  <w:style w:type="paragraph" w:customStyle="1" w:styleId="SubitemHead">
    <w:name w:val="SubitemHead"/>
    <w:aliases w:val="issh"/>
    <w:basedOn w:val="OPCParaBase"/>
    <w:rsid w:val="00EB4E4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B4E43"/>
    <w:pPr>
      <w:spacing w:before="40" w:line="240" w:lineRule="auto"/>
      <w:ind w:left="1134"/>
    </w:pPr>
  </w:style>
  <w:style w:type="paragraph" w:customStyle="1" w:styleId="SubsectionHead">
    <w:name w:val="SubsectionHead"/>
    <w:aliases w:val="ssh"/>
    <w:basedOn w:val="OPCParaBase"/>
    <w:next w:val="subsection"/>
    <w:rsid w:val="00EB4E43"/>
    <w:pPr>
      <w:keepNext/>
      <w:keepLines/>
      <w:spacing w:before="240" w:line="240" w:lineRule="auto"/>
      <w:ind w:left="1134"/>
    </w:pPr>
    <w:rPr>
      <w:i/>
    </w:rPr>
  </w:style>
  <w:style w:type="paragraph" w:customStyle="1" w:styleId="Tablea">
    <w:name w:val="Table(a)"/>
    <w:aliases w:val="ta"/>
    <w:basedOn w:val="OPCParaBase"/>
    <w:rsid w:val="00EB4E43"/>
    <w:pPr>
      <w:spacing w:before="60" w:line="240" w:lineRule="auto"/>
      <w:ind w:left="284" w:hanging="284"/>
    </w:pPr>
    <w:rPr>
      <w:sz w:val="20"/>
    </w:rPr>
  </w:style>
  <w:style w:type="paragraph" w:customStyle="1" w:styleId="TableAA">
    <w:name w:val="Table(AA)"/>
    <w:aliases w:val="taaa"/>
    <w:basedOn w:val="OPCParaBase"/>
    <w:rsid w:val="00EB4E4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B4E4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B4E43"/>
    <w:pPr>
      <w:spacing w:before="60" w:line="240" w:lineRule="atLeast"/>
    </w:pPr>
    <w:rPr>
      <w:sz w:val="20"/>
    </w:rPr>
  </w:style>
  <w:style w:type="paragraph" w:customStyle="1" w:styleId="TLPBoxTextnote">
    <w:name w:val="TLPBoxText(note"/>
    <w:aliases w:val="right)"/>
    <w:basedOn w:val="OPCParaBase"/>
    <w:rsid w:val="00EB4E4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B4E4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B4E43"/>
    <w:pPr>
      <w:spacing w:before="122" w:line="198" w:lineRule="exact"/>
      <w:ind w:left="1985" w:hanging="851"/>
      <w:jc w:val="right"/>
    </w:pPr>
    <w:rPr>
      <w:sz w:val="18"/>
    </w:rPr>
  </w:style>
  <w:style w:type="paragraph" w:customStyle="1" w:styleId="TLPTableBullet">
    <w:name w:val="TLPTableBullet"/>
    <w:aliases w:val="ttb"/>
    <w:basedOn w:val="OPCParaBase"/>
    <w:rsid w:val="00EB4E43"/>
    <w:pPr>
      <w:spacing w:line="240" w:lineRule="exact"/>
      <w:ind w:left="284" w:hanging="284"/>
    </w:pPr>
    <w:rPr>
      <w:sz w:val="20"/>
    </w:rPr>
  </w:style>
  <w:style w:type="paragraph" w:styleId="TOC1">
    <w:name w:val="toc 1"/>
    <w:basedOn w:val="Normal"/>
    <w:next w:val="Normal"/>
    <w:uiPriority w:val="39"/>
    <w:unhideWhenUsed/>
    <w:rsid w:val="00EB4E43"/>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EB4E43"/>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semiHidden/>
    <w:unhideWhenUsed/>
    <w:rsid w:val="00EB4E43"/>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OPCParaBase"/>
    <w:next w:val="Normal"/>
    <w:uiPriority w:val="39"/>
    <w:unhideWhenUsed/>
    <w:rsid w:val="00EB4E43"/>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EB4E43"/>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EB4E43"/>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EB4E43"/>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EB4E43"/>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EB4E43"/>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B4E43"/>
    <w:pPr>
      <w:keepLines/>
      <w:spacing w:before="240" w:after="120" w:line="240" w:lineRule="auto"/>
      <w:ind w:left="794"/>
    </w:pPr>
    <w:rPr>
      <w:b/>
      <w:kern w:val="28"/>
      <w:sz w:val="20"/>
    </w:rPr>
  </w:style>
  <w:style w:type="paragraph" w:customStyle="1" w:styleId="TofSectsHeading">
    <w:name w:val="TofSects(Heading)"/>
    <w:basedOn w:val="OPCParaBase"/>
    <w:rsid w:val="00EB4E43"/>
    <w:pPr>
      <w:spacing w:before="240" w:after="120" w:line="240" w:lineRule="auto"/>
    </w:pPr>
    <w:rPr>
      <w:b/>
      <w:sz w:val="24"/>
    </w:rPr>
  </w:style>
  <w:style w:type="paragraph" w:customStyle="1" w:styleId="TofSectsSection">
    <w:name w:val="TofSects(Section)"/>
    <w:basedOn w:val="OPCParaBase"/>
    <w:rsid w:val="00EB4E43"/>
    <w:pPr>
      <w:keepLines/>
      <w:spacing w:before="40" w:line="240" w:lineRule="auto"/>
      <w:ind w:left="1588" w:hanging="794"/>
    </w:pPr>
    <w:rPr>
      <w:kern w:val="28"/>
      <w:sz w:val="18"/>
    </w:rPr>
  </w:style>
  <w:style w:type="paragraph" w:customStyle="1" w:styleId="TofSectsSubdiv">
    <w:name w:val="TofSects(Subdiv)"/>
    <w:basedOn w:val="OPCParaBase"/>
    <w:rsid w:val="00EB4E43"/>
    <w:pPr>
      <w:keepLines/>
      <w:spacing w:before="80" w:line="240" w:lineRule="auto"/>
      <w:ind w:left="1588" w:hanging="794"/>
    </w:pPr>
    <w:rPr>
      <w:kern w:val="28"/>
    </w:rPr>
  </w:style>
  <w:style w:type="paragraph" w:customStyle="1" w:styleId="WRStyle">
    <w:name w:val="WR Style"/>
    <w:aliases w:val="WR"/>
    <w:basedOn w:val="OPCParaBase"/>
    <w:rsid w:val="00EB4E43"/>
    <w:pPr>
      <w:spacing w:before="240" w:line="240" w:lineRule="auto"/>
      <w:ind w:left="284" w:hanging="284"/>
    </w:pPr>
    <w:rPr>
      <w:b/>
      <w:i/>
      <w:kern w:val="28"/>
      <w:sz w:val="24"/>
    </w:rPr>
  </w:style>
  <w:style w:type="paragraph" w:customStyle="1" w:styleId="notepara">
    <w:name w:val="note(para)"/>
    <w:aliases w:val="na"/>
    <w:basedOn w:val="OPCParaBase"/>
    <w:rsid w:val="00EB4E43"/>
    <w:pPr>
      <w:spacing w:before="40" w:line="198" w:lineRule="exact"/>
      <w:ind w:left="2354" w:hanging="369"/>
    </w:pPr>
    <w:rPr>
      <w:sz w:val="18"/>
    </w:rPr>
  </w:style>
  <w:style w:type="paragraph" w:styleId="Footer">
    <w:name w:val="footer"/>
    <w:link w:val="FooterChar"/>
    <w:rsid w:val="00EB4E4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B4E43"/>
    <w:rPr>
      <w:rFonts w:eastAsia="Times New Roman" w:cs="Times New Roman"/>
      <w:sz w:val="22"/>
      <w:szCs w:val="24"/>
      <w:lang w:eastAsia="en-AU"/>
    </w:rPr>
  </w:style>
  <w:style w:type="character" w:styleId="LineNumber">
    <w:name w:val="line number"/>
    <w:basedOn w:val="OPCCharBase"/>
    <w:uiPriority w:val="99"/>
    <w:semiHidden/>
    <w:unhideWhenUsed/>
    <w:rsid w:val="00EB4E43"/>
    <w:rPr>
      <w:sz w:val="16"/>
    </w:rPr>
  </w:style>
  <w:style w:type="table" w:customStyle="1" w:styleId="CFlag">
    <w:name w:val="CFlag"/>
    <w:basedOn w:val="TableNormal"/>
    <w:uiPriority w:val="99"/>
    <w:rsid w:val="00EB4E43"/>
    <w:rPr>
      <w:rFonts w:eastAsia="Times New Roman" w:cs="Times New Roman"/>
      <w:lang w:eastAsia="en-AU"/>
    </w:rPr>
    <w:tblPr/>
  </w:style>
  <w:style w:type="paragraph" w:styleId="BalloonText">
    <w:name w:val="Balloon Text"/>
    <w:basedOn w:val="Normal"/>
    <w:link w:val="BalloonTextChar"/>
    <w:uiPriority w:val="99"/>
    <w:semiHidden/>
    <w:unhideWhenUsed/>
    <w:rsid w:val="00EB4E4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E43"/>
    <w:rPr>
      <w:rFonts w:ascii="Tahoma" w:hAnsi="Tahoma" w:cs="Tahoma"/>
      <w:sz w:val="16"/>
      <w:szCs w:val="16"/>
    </w:rPr>
  </w:style>
  <w:style w:type="table" w:styleId="TableGrid">
    <w:name w:val="Table Grid"/>
    <w:basedOn w:val="TableNormal"/>
    <w:uiPriority w:val="59"/>
    <w:rsid w:val="00EB4E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EB4E43"/>
    <w:rPr>
      <w:b/>
      <w:sz w:val="28"/>
      <w:szCs w:val="32"/>
    </w:rPr>
  </w:style>
  <w:style w:type="paragraph" w:customStyle="1" w:styleId="LegislationMadeUnder">
    <w:name w:val="LegislationMadeUnder"/>
    <w:basedOn w:val="OPCParaBase"/>
    <w:next w:val="Normal"/>
    <w:rsid w:val="00EB4E43"/>
    <w:rPr>
      <w:i/>
      <w:sz w:val="32"/>
      <w:szCs w:val="32"/>
    </w:rPr>
  </w:style>
  <w:style w:type="paragraph" w:customStyle="1" w:styleId="SignCoverPageEnd">
    <w:name w:val="SignCoverPageEnd"/>
    <w:basedOn w:val="OPCParaBase"/>
    <w:next w:val="Normal"/>
    <w:rsid w:val="00EB4E43"/>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EB4E43"/>
    <w:pPr>
      <w:pBdr>
        <w:top w:val="single" w:sz="4" w:space="1" w:color="auto"/>
      </w:pBdr>
      <w:spacing w:before="360"/>
      <w:ind w:right="397"/>
      <w:jc w:val="both"/>
    </w:pPr>
  </w:style>
  <w:style w:type="paragraph" w:customStyle="1" w:styleId="NotesHeading1">
    <w:name w:val="NotesHeading 1"/>
    <w:basedOn w:val="OPCParaBase"/>
    <w:next w:val="Normal"/>
    <w:rsid w:val="00EB4E43"/>
    <w:pPr>
      <w:outlineLvl w:val="0"/>
    </w:pPr>
    <w:rPr>
      <w:b/>
      <w:sz w:val="28"/>
      <w:szCs w:val="28"/>
    </w:rPr>
  </w:style>
  <w:style w:type="paragraph" w:customStyle="1" w:styleId="NotesHeading2">
    <w:name w:val="NotesHeading 2"/>
    <w:basedOn w:val="OPCParaBase"/>
    <w:next w:val="Normal"/>
    <w:rsid w:val="00EB4E43"/>
    <w:rPr>
      <w:b/>
      <w:sz w:val="28"/>
      <w:szCs w:val="28"/>
    </w:rPr>
  </w:style>
  <w:style w:type="paragraph" w:customStyle="1" w:styleId="CompiledActNo">
    <w:name w:val="CompiledActNo"/>
    <w:basedOn w:val="OPCParaBase"/>
    <w:next w:val="Normal"/>
    <w:rsid w:val="00EB4E43"/>
    <w:rPr>
      <w:b/>
      <w:sz w:val="24"/>
      <w:szCs w:val="24"/>
    </w:rPr>
  </w:style>
  <w:style w:type="paragraph" w:customStyle="1" w:styleId="ENotesText">
    <w:name w:val="ENotesText"/>
    <w:aliases w:val="Ent"/>
    <w:basedOn w:val="OPCParaBase"/>
    <w:next w:val="Normal"/>
    <w:rsid w:val="00EB4E43"/>
    <w:pPr>
      <w:spacing w:before="120"/>
    </w:pPr>
  </w:style>
  <w:style w:type="paragraph" w:customStyle="1" w:styleId="CompiledMadeUnder">
    <w:name w:val="CompiledMadeUnder"/>
    <w:basedOn w:val="OPCParaBase"/>
    <w:next w:val="Normal"/>
    <w:rsid w:val="00EB4E43"/>
    <w:rPr>
      <w:i/>
      <w:sz w:val="24"/>
      <w:szCs w:val="24"/>
    </w:rPr>
  </w:style>
  <w:style w:type="paragraph" w:customStyle="1" w:styleId="Paragraphsub-sub-sub">
    <w:name w:val="Paragraph(sub-sub-sub)"/>
    <w:aliases w:val="aaaa"/>
    <w:basedOn w:val="OPCParaBase"/>
    <w:rsid w:val="00EB4E43"/>
    <w:pPr>
      <w:tabs>
        <w:tab w:val="right" w:pos="3402"/>
      </w:tabs>
      <w:spacing w:before="40" w:line="240" w:lineRule="auto"/>
      <w:ind w:left="3402" w:hanging="3402"/>
    </w:pPr>
  </w:style>
  <w:style w:type="paragraph" w:customStyle="1" w:styleId="TableTextEndNotes">
    <w:name w:val="TableTextEndNotes"/>
    <w:aliases w:val="Tten"/>
    <w:basedOn w:val="Normal"/>
    <w:rsid w:val="00EB4E43"/>
    <w:pPr>
      <w:spacing w:before="60" w:line="240" w:lineRule="auto"/>
    </w:pPr>
    <w:rPr>
      <w:rFonts w:cs="Arial"/>
      <w:sz w:val="20"/>
      <w:szCs w:val="22"/>
    </w:rPr>
  </w:style>
  <w:style w:type="paragraph" w:customStyle="1" w:styleId="NoteToSubpara">
    <w:name w:val="NoteToSubpara"/>
    <w:aliases w:val="nts"/>
    <w:basedOn w:val="OPCParaBase"/>
    <w:rsid w:val="00EB4E43"/>
    <w:pPr>
      <w:spacing w:before="40" w:line="198" w:lineRule="exact"/>
      <w:ind w:left="2835" w:hanging="709"/>
    </w:pPr>
    <w:rPr>
      <w:sz w:val="18"/>
    </w:rPr>
  </w:style>
  <w:style w:type="paragraph" w:customStyle="1" w:styleId="ENoteTableHeading">
    <w:name w:val="ENoteTableHeading"/>
    <w:aliases w:val="enth"/>
    <w:basedOn w:val="OPCParaBase"/>
    <w:rsid w:val="00EB4E43"/>
    <w:pPr>
      <w:keepNext/>
      <w:spacing w:before="60" w:line="240" w:lineRule="atLeast"/>
    </w:pPr>
    <w:rPr>
      <w:rFonts w:ascii="Arial" w:hAnsi="Arial"/>
      <w:b/>
      <w:sz w:val="16"/>
    </w:rPr>
  </w:style>
  <w:style w:type="paragraph" w:customStyle="1" w:styleId="ENoteTTi">
    <w:name w:val="ENoteTTi"/>
    <w:aliases w:val="entti"/>
    <w:basedOn w:val="OPCParaBase"/>
    <w:rsid w:val="00EB4E43"/>
    <w:pPr>
      <w:keepNext/>
      <w:spacing w:before="60" w:line="240" w:lineRule="atLeast"/>
      <w:ind w:left="170"/>
    </w:pPr>
    <w:rPr>
      <w:sz w:val="16"/>
    </w:rPr>
  </w:style>
  <w:style w:type="paragraph" w:customStyle="1" w:styleId="ENotesHeading1">
    <w:name w:val="ENotesHeading 1"/>
    <w:aliases w:val="Enh1"/>
    <w:basedOn w:val="OPCParaBase"/>
    <w:next w:val="Normal"/>
    <w:rsid w:val="00EB4E43"/>
    <w:pPr>
      <w:spacing w:before="120"/>
      <w:outlineLvl w:val="1"/>
    </w:pPr>
    <w:rPr>
      <w:b/>
      <w:sz w:val="28"/>
      <w:szCs w:val="28"/>
    </w:rPr>
  </w:style>
  <w:style w:type="paragraph" w:customStyle="1" w:styleId="ENotesHeading2">
    <w:name w:val="ENotesHeading 2"/>
    <w:aliases w:val="Enh2"/>
    <w:basedOn w:val="OPCParaBase"/>
    <w:next w:val="Normal"/>
    <w:rsid w:val="00EB4E43"/>
    <w:pPr>
      <w:spacing w:before="120" w:after="120"/>
      <w:outlineLvl w:val="2"/>
    </w:pPr>
    <w:rPr>
      <w:b/>
      <w:sz w:val="24"/>
      <w:szCs w:val="28"/>
    </w:rPr>
  </w:style>
  <w:style w:type="paragraph" w:customStyle="1" w:styleId="ENoteTTIndentHeading">
    <w:name w:val="ENoteTTIndentHeading"/>
    <w:aliases w:val="enTTHi"/>
    <w:basedOn w:val="OPCParaBase"/>
    <w:rsid w:val="00EB4E4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B4E43"/>
    <w:pPr>
      <w:spacing w:before="60" w:line="240" w:lineRule="atLeast"/>
    </w:pPr>
    <w:rPr>
      <w:sz w:val="16"/>
    </w:rPr>
  </w:style>
  <w:style w:type="paragraph" w:customStyle="1" w:styleId="MadeunderText">
    <w:name w:val="MadeunderText"/>
    <w:basedOn w:val="OPCParaBase"/>
    <w:next w:val="CompiledMadeUnder"/>
    <w:rsid w:val="00EB4E43"/>
    <w:pPr>
      <w:spacing w:before="240"/>
    </w:pPr>
    <w:rPr>
      <w:sz w:val="24"/>
      <w:szCs w:val="24"/>
    </w:rPr>
  </w:style>
  <w:style w:type="paragraph" w:customStyle="1" w:styleId="ENotesHeading3">
    <w:name w:val="ENotesHeading 3"/>
    <w:aliases w:val="Enh3"/>
    <w:basedOn w:val="OPCParaBase"/>
    <w:next w:val="Normal"/>
    <w:rsid w:val="00EB4E43"/>
    <w:pPr>
      <w:keepNext/>
      <w:spacing w:before="120" w:line="240" w:lineRule="auto"/>
      <w:outlineLvl w:val="4"/>
    </w:pPr>
    <w:rPr>
      <w:b/>
      <w:szCs w:val="24"/>
    </w:rPr>
  </w:style>
  <w:style w:type="character" w:customStyle="1" w:styleId="CharSubPartTextCASA">
    <w:name w:val="CharSubPartText(CASA)"/>
    <w:basedOn w:val="OPCCharBase"/>
    <w:uiPriority w:val="1"/>
    <w:rsid w:val="00EB4E43"/>
  </w:style>
  <w:style w:type="character" w:customStyle="1" w:styleId="CharSubPartNoCASA">
    <w:name w:val="CharSubPartNo(CASA)"/>
    <w:basedOn w:val="OPCCharBase"/>
    <w:uiPriority w:val="1"/>
    <w:rsid w:val="00EB4E43"/>
  </w:style>
  <w:style w:type="paragraph" w:customStyle="1" w:styleId="ENoteTTIndentHeadingSub">
    <w:name w:val="ENoteTTIndentHeadingSub"/>
    <w:aliases w:val="enTTHis"/>
    <w:basedOn w:val="OPCParaBase"/>
    <w:rsid w:val="00EB4E43"/>
    <w:pPr>
      <w:keepNext/>
      <w:spacing w:before="60" w:line="240" w:lineRule="atLeast"/>
      <w:ind w:left="340"/>
    </w:pPr>
    <w:rPr>
      <w:b/>
      <w:sz w:val="16"/>
    </w:rPr>
  </w:style>
  <w:style w:type="paragraph" w:customStyle="1" w:styleId="ENoteTTiSub">
    <w:name w:val="ENoteTTiSub"/>
    <w:aliases w:val="enttis"/>
    <w:basedOn w:val="OPCParaBase"/>
    <w:rsid w:val="00EB4E43"/>
    <w:pPr>
      <w:keepNext/>
      <w:spacing w:before="60" w:line="240" w:lineRule="atLeast"/>
      <w:ind w:left="340"/>
    </w:pPr>
    <w:rPr>
      <w:sz w:val="16"/>
    </w:rPr>
  </w:style>
  <w:style w:type="paragraph" w:customStyle="1" w:styleId="SubDivisionMigration">
    <w:name w:val="SubDivisionMigration"/>
    <w:aliases w:val="sdm"/>
    <w:basedOn w:val="OPCParaBase"/>
    <w:rsid w:val="00EB4E4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B4E43"/>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EB4E43"/>
    <w:pPr>
      <w:spacing w:before="122" w:line="240" w:lineRule="auto"/>
      <w:ind w:left="1985" w:hanging="851"/>
    </w:pPr>
    <w:rPr>
      <w:sz w:val="18"/>
    </w:rPr>
  </w:style>
  <w:style w:type="paragraph" w:customStyle="1" w:styleId="FreeForm">
    <w:name w:val="FreeForm"/>
    <w:rsid w:val="006C291A"/>
    <w:rPr>
      <w:rFonts w:ascii="Arial" w:hAnsi="Arial"/>
      <w:sz w:val="22"/>
    </w:rPr>
  </w:style>
  <w:style w:type="paragraph" w:customStyle="1" w:styleId="SOText">
    <w:name w:val="SO Text"/>
    <w:aliases w:val="sot"/>
    <w:link w:val="SOTextChar"/>
    <w:rsid w:val="00EB4E4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B4E43"/>
    <w:rPr>
      <w:sz w:val="22"/>
    </w:rPr>
  </w:style>
  <w:style w:type="paragraph" w:customStyle="1" w:styleId="SOTextNote">
    <w:name w:val="SO TextNote"/>
    <w:aliases w:val="sont"/>
    <w:basedOn w:val="SOText"/>
    <w:qFormat/>
    <w:rsid w:val="00EB4E43"/>
    <w:pPr>
      <w:spacing w:before="122" w:line="198" w:lineRule="exact"/>
      <w:ind w:left="1843" w:hanging="709"/>
    </w:pPr>
    <w:rPr>
      <w:sz w:val="18"/>
    </w:rPr>
  </w:style>
  <w:style w:type="paragraph" w:customStyle="1" w:styleId="SOPara">
    <w:name w:val="SO Para"/>
    <w:aliases w:val="soa"/>
    <w:basedOn w:val="SOText"/>
    <w:link w:val="SOParaChar"/>
    <w:qFormat/>
    <w:rsid w:val="00EB4E43"/>
    <w:pPr>
      <w:tabs>
        <w:tab w:val="right" w:pos="1786"/>
      </w:tabs>
      <w:spacing w:before="40"/>
      <w:ind w:left="2070" w:hanging="936"/>
    </w:pPr>
  </w:style>
  <w:style w:type="character" w:customStyle="1" w:styleId="SOParaChar">
    <w:name w:val="SO Para Char"/>
    <w:aliases w:val="soa Char"/>
    <w:basedOn w:val="DefaultParagraphFont"/>
    <w:link w:val="SOPara"/>
    <w:rsid w:val="00EB4E43"/>
    <w:rPr>
      <w:sz w:val="22"/>
    </w:rPr>
  </w:style>
  <w:style w:type="paragraph" w:customStyle="1" w:styleId="FileName">
    <w:name w:val="FileName"/>
    <w:basedOn w:val="Normal"/>
    <w:rsid w:val="00EB4E43"/>
  </w:style>
  <w:style w:type="paragraph" w:customStyle="1" w:styleId="TableHeading">
    <w:name w:val="TableHeading"/>
    <w:aliases w:val="th"/>
    <w:basedOn w:val="OPCParaBase"/>
    <w:next w:val="Tabletext"/>
    <w:rsid w:val="00EB4E43"/>
    <w:pPr>
      <w:keepNext/>
      <w:spacing w:before="60" w:line="240" w:lineRule="atLeast"/>
    </w:pPr>
    <w:rPr>
      <w:b/>
      <w:sz w:val="20"/>
    </w:rPr>
  </w:style>
  <w:style w:type="paragraph" w:customStyle="1" w:styleId="SOHeadBold">
    <w:name w:val="SO HeadBold"/>
    <w:aliases w:val="sohb"/>
    <w:basedOn w:val="SOText"/>
    <w:next w:val="SOText"/>
    <w:link w:val="SOHeadBoldChar"/>
    <w:qFormat/>
    <w:rsid w:val="00EB4E43"/>
    <w:rPr>
      <w:b/>
    </w:rPr>
  </w:style>
  <w:style w:type="character" w:customStyle="1" w:styleId="SOHeadBoldChar">
    <w:name w:val="SO HeadBold Char"/>
    <w:aliases w:val="sohb Char"/>
    <w:basedOn w:val="DefaultParagraphFont"/>
    <w:link w:val="SOHeadBold"/>
    <w:rsid w:val="00EB4E43"/>
    <w:rPr>
      <w:b/>
      <w:sz w:val="22"/>
    </w:rPr>
  </w:style>
  <w:style w:type="paragraph" w:customStyle="1" w:styleId="SOHeadItalic">
    <w:name w:val="SO HeadItalic"/>
    <w:aliases w:val="sohi"/>
    <w:basedOn w:val="SOText"/>
    <w:next w:val="SOText"/>
    <w:link w:val="SOHeadItalicChar"/>
    <w:qFormat/>
    <w:rsid w:val="00EB4E43"/>
    <w:rPr>
      <w:i/>
    </w:rPr>
  </w:style>
  <w:style w:type="character" w:customStyle="1" w:styleId="SOHeadItalicChar">
    <w:name w:val="SO HeadItalic Char"/>
    <w:aliases w:val="sohi Char"/>
    <w:basedOn w:val="DefaultParagraphFont"/>
    <w:link w:val="SOHeadItalic"/>
    <w:rsid w:val="00EB4E43"/>
    <w:rPr>
      <w:i/>
      <w:sz w:val="22"/>
    </w:rPr>
  </w:style>
  <w:style w:type="paragraph" w:customStyle="1" w:styleId="SOBullet">
    <w:name w:val="SO Bullet"/>
    <w:aliases w:val="sotb"/>
    <w:basedOn w:val="SOText"/>
    <w:link w:val="SOBulletChar"/>
    <w:qFormat/>
    <w:rsid w:val="00EB4E43"/>
    <w:pPr>
      <w:ind w:left="1559" w:hanging="425"/>
    </w:pPr>
  </w:style>
  <w:style w:type="character" w:customStyle="1" w:styleId="SOBulletChar">
    <w:name w:val="SO Bullet Char"/>
    <w:aliases w:val="sotb Char"/>
    <w:basedOn w:val="DefaultParagraphFont"/>
    <w:link w:val="SOBullet"/>
    <w:rsid w:val="00EB4E43"/>
    <w:rPr>
      <w:sz w:val="22"/>
    </w:rPr>
  </w:style>
  <w:style w:type="paragraph" w:customStyle="1" w:styleId="SOBulletNote">
    <w:name w:val="SO BulletNote"/>
    <w:aliases w:val="sonb"/>
    <w:basedOn w:val="SOTextNote"/>
    <w:link w:val="SOBulletNoteChar"/>
    <w:qFormat/>
    <w:rsid w:val="00EB4E43"/>
    <w:pPr>
      <w:tabs>
        <w:tab w:val="left" w:pos="1560"/>
      </w:tabs>
      <w:ind w:left="2268" w:hanging="1134"/>
    </w:pPr>
  </w:style>
  <w:style w:type="character" w:customStyle="1" w:styleId="SOBulletNoteChar">
    <w:name w:val="SO BulletNote Char"/>
    <w:aliases w:val="sonb Char"/>
    <w:basedOn w:val="DefaultParagraphFont"/>
    <w:link w:val="SOBulletNote"/>
    <w:rsid w:val="00EB4E43"/>
    <w:rPr>
      <w:sz w:val="18"/>
    </w:rPr>
  </w:style>
  <w:style w:type="paragraph" w:customStyle="1" w:styleId="SOText2">
    <w:name w:val="SO Text2"/>
    <w:aliases w:val="sot2"/>
    <w:basedOn w:val="Normal"/>
    <w:next w:val="SOText"/>
    <w:link w:val="SOText2Char"/>
    <w:rsid w:val="00EB4E4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B4E43"/>
    <w:rPr>
      <w:sz w:val="22"/>
    </w:rPr>
  </w:style>
  <w:style w:type="paragraph" w:customStyle="1" w:styleId="SubPartCASA">
    <w:name w:val="SubPart(CASA)"/>
    <w:aliases w:val="csp"/>
    <w:basedOn w:val="OPCParaBase"/>
    <w:next w:val="ActHead3"/>
    <w:rsid w:val="00EB4E43"/>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EB4E43"/>
    <w:rPr>
      <w:rFonts w:eastAsia="Times New Roman" w:cs="Times New Roman"/>
      <w:sz w:val="22"/>
      <w:lang w:eastAsia="en-AU"/>
    </w:rPr>
  </w:style>
  <w:style w:type="character" w:customStyle="1" w:styleId="notetextChar">
    <w:name w:val="note(text) Char"/>
    <w:aliases w:val="n Char"/>
    <w:basedOn w:val="DefaultParagraphFont"/>
    <w:link w:val="notetext"/>
    <w:rsid w:val="00EB4E43"/>
    <w:rPr>
      <w:rFonts w:eastAsia="Times New Roman" w:cs="Times New Roman"/>
      <w:sz w:val="18"/>
      <w:lang w:eastAsia="en-AU"/>
    </w:rPr>
  </w:style>
  <w:style w:type="character" w:customStyle="1" w:styleId="Heading1Char">
    <w:name w:val="Heading 1 Char"/>
    <w:basedOn w:val="DefaultParagraphFont"/>
    <w:link w:val="Heading1"/>
    <w:uiPriority w:val="9"/>
    <w:rsid w:val="00EB4E4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B4E4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B4E4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EB4E4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EB4E4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EB4E4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EB4E4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EB4E4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EB4E43"/>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oleObject" Target="embeddings/oleObject3.bin"/><Relationship Id="rId39" Type="http://schemas.openxmlformats.org/officeDocument/2006/relationships/footer" Target="footer9.xml"/><Relationship Id="rId3" Type="http://schemas.openxmlformats.org/officeDocument/2006/relationships/styles" Target="styles.xml"/><Relationship Id="rId21" Type="http://schemas.openxmlformats.org/officeDocument/2006/relationships/image" Target="media/image2.wmf"/><Relationship Id="rId34" Type="http://schemas.openxmlformats.org/officeDocument/2006/relationships/footer" Target="footer7.xml"/><Relationship Id="rId42"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4.wmf"/><Relationship Id="rId33" Type="http://schemas.openxmlformats.org/officeDocument/2006/relationships/footer" Target="footer6.xml"/><Relationship Id="rId38"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image" Target="media/image6.wmf"/><Relationship Id="rId41"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oleObject" Target="embeddings/oleObject2.bin"/><Relationship Id="rId32" Type="http://schemas.openxmlformats.org/officeDocument/2006/relationships/header" Target="header8.xml"/><Relationship Id="rId37" Type="http://schemas.openxmlformats.org/officeDocument/2006/relationships/header" Target="header10.xml"/><Relationship Id="rId40" Type="http://schemas.openxmlformats.org/officeDocument/2006/relationships/footer" Target="footer10.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wmf"/><Relationship Id="rId28" Type="http://schemas.openxmlformats.org/officeDocument/2006/relationships/oleObject" Target="embeddings/oleObject4.bin"/><Relationship Id="rId36"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7.xm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oleObject" Target="embeddings/oleObject1.bin"/><Relationship Id="rId27" Type="http://schemas.openxmlformats.org/officeDocument/2006/relationships/image" Target="media/image5.wmf"/><Relationship Id="rId30" Type="http://schemas.openxmlformats.org/officeDocument/2006/relationships/oleObject" Target="embeddings/oleObject5.bin"/><Relationship Id="rId35" Type="http://schemas.openxmlformats.org/officeDocument/2006/relationships/header" Target="header9.xm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FF05C-12AE-49CE-A9E6-03A396393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17</Pages>
  <Words>4820</Words>
  <Characters>23003</Characters>
  <Application>Microsoft Office Word</Application>
  <DocSecurity>0</DocSecurity>
  <PresentationFormat/>
  <Lines>571</Lines>
  <Paragraphs>326</Paragraphs>
  <ScaleCrop>false</ScaleCrop>
  <HeadingPairs>
    <vt:vector size="2" baseType="variant">
      <vt:variant>
        <vt:lpstr>Title</vt:lpstr>
      </vt:variant>
      <vt:variant>
        <vt:i4>1</vt:i4>
      </vt:variant>
    </vt:vector>
  </HeadingPairs>
  <TitlesOfParts>
    <vt:vector size="1" baseType="lpstr">
      <vt:lpstr>Petroleum Excise (Prices) Regulations 2018</vt:lpstr>
    </vt:vector>
  </TitlesOfParts>
  <Manager/>
  <Company/>
  <LinksUpToDate>false</LinksUpToDate>
  <CharactersWithSpaces>27648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2018-01-15T05:29:00Z</cp:lastPrinted>
  <dcterms:created xsi:type="dcterms:W3CDTF">2018-03-09T03:13:00Z</dcterms:created>
  <dcterms:modified xsi:type="dcterms:W3CDTF">2018-03-09T03:13:00Z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2018</vt:lpwstr>
  </property>
  <property fmtid="{D5CDD505-2E9C-101B-9397-08002B2CF9AE}" pid="3" name="ShortT">
    <vt:lpwstr>Petroleum Excise (Prices) Regulations 2018</vt:lpwstr>
  </property>
  <property fmtid="{D5CDD505-2E9C-101B-9397-08002B2CF9AE}" pid="4" name="Header">
    <vt:lpwstr>Section</vt:lpwstr>
  </property>
  <property fmtid="{D5CDD505-2E9C-101B-9397-08002B2CF9AE}" pid="5" name="Class">
    <vt:lpwstr>Regulations</vt:lpwstr>
  </property>
  <property fmtid="{D5CDD505-2E9C-101B-9397-08002B2CF9AE}" pid="6" name="Type">
    <vt:lpwstr>SLI</vt:lpwstr>
  </property>
  <property fmtid="{D5CDD505-2E9C-101B-9397-08002B2CF9AE}" pid="7" name="DocType">
    <vt:lpwstr>NEW</vt:lpwstr>
  </property>
  <property fmtid="{D5CDD505-2E9C-101B-9397-08002B2CF9AE}" pid="8" name="Exco">
    <vt:lpwstr>Yes</vt:lpwstr>
  </property>
  <property fmtid="{D5CDD505-2E9C-101B-9397-08002B2CF9AE}" pid="9" name="DateMade">
    <vt:lpwstr>15 March 2018</vt:lpwstr>
  </property>
  <property fmtid="{D5CDD505-2E9C-101B-9397-08002B2CF9AE}" pid="10" name="Authority">
    <vt:lpwstr/>
  </property>
  <property fmtid="{D5CDD505-2E9C-101B-9397-08002B2CF9AE}" pid="11" name="ID">
    <vt:lpwstr>OPC62999</vt:lpwstr>
  </property>
  <property fmtid="{D5CDD505-2E9C-101B-9397-08002B2CF9AE}" pid="12" name="Classification">
    <vt:lpwstr> </vt:lpwstr>
  </property>
  <property fmtid="{D5CDD505-2E9C-101B-9397-08002B2CF9AE}" pid="13" name="DLM">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B</vt:lpwstr>
  </property>
  <property fmtid="{D5CDD505-2E9C-101B-9397-08002B2CF9AE}" pid="17" name="CounterSign">
    <vt:lpwstr/>
  </property>
  <property fmtid="{D5CDD505-2E9C-101B-9397-08002B2CF9AE}" pid="18" name="ExcoDate">
    <vt:lpwstr>15 March 2018</vt:lpwstr>
  </property>
</Properties>
</file>