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5206" w14:textId="77777777" w:rsidR="00A61DB4" w:rsidRPr="008C5743" w:rsidRDefault="00A61DB4" w:rsidP="0022154C">
      <w:pPr>
        <w:spacing w:after="120"/>
        <w:jc w:val="center"/>
        <w:rPr>
          <w:rFonts w:ascii="Times New Roman" w:hAnsi="Times New Roman"/>
          <w:b/>
          <w:sz w:val="24"/>
          <w:szCs w:val="24"/>
          <w:u w:val="single"/>
        </w:rPr>
      </w:pPr>
      <w:bookmarkStart w:id="0" w:name="_GoBack"/>
      <w:bookmarkEnd w:id="0"/>
      <w:r w:rsidRPr="008C5743">
        <w:rPr>
          <w:rFonts w:ascii="Times New Roman" w:hAnsi="Times New Roman"/>
          <w:b/>
          <w:sz w:val="24"/>
          <w:szCs w:val="24"/>
          <w:u w:val="single"/>
        </w:rPr>
        <w:t>EXPLANATORY STATEMENT</w:t>
      </w:r>
    </w:p>
    <w:p w14:paraId="67374E13" w14:textId="3C0E4803" w:rsidR="00A61DB4" w:rsidRPr="00A61DB4" w:rsidRDefault="00A61DB4" w:rsidP="0022154C">
      <w:pPr>
        <w:spacing w:after="120"/>
        <w:jc w:val="center"/>
        <w:rPr>
          <w:rFonts w:ascii="Times New Roman" w:hAnsi="Times New Roman"/>
          <w:sz w:val="24"/>
          <w:szCs w:val="24"/>
          <w:u w:val="single"/>
        </w:rPr>
      </w:pPr>
      <w:r w:rsidRPr="00A61DB4">
        <w:rPr>
          <w:rFonts w:ascii="Times New Roman" w:hAnsi="Times New Roman"/>
          <w:sz w:val="24"/>
          <w:szCs w:val="24"/>
          <w:u w:val="single"/>
        </w:rPr>
        <w:t>Se</w:t>
      </w:r>
      <w:r w:rsidR="00655570">
        <w:rPr>
          <w:rFonts w:ascii="Times New Roman" w:hAnsi="Times New Roman"/>
          <w:sz w:val="24"/>
          <w:szCs w:val="24"/>
          <w:u w:val="single"/>
        </w:rPr>
        <w:t>lect Legislative Instrument 201</w:t>
      </w:r>
      <w:r w:rsidR="00341B11">
        <w:rPr>
          <w:rFonts w:ascii="Times New Roman" w:hAnsi="Times New Roman"/>
          <w:sz w:val="24"/>
          <w:szCs w:val="24"/>
          <w:u w:val="single"/>
        </w:rPr>
        <w:t>8</w:t>
      </w:r>
      <w:r w:rsidRPr="00A61DB4">
        <w:rPr>
          <w:rFonts w:ascii="Times New Roman" w:hAnsi="Times New Roman"/>
          <w:sz w:val="24"/>
          <w:szCs w:val="24"/>
          <w:u w:val="single"/>
        </w:rPr>
        <w:t xml:space="preserve"> No.</w:t>
      </w:r>
    </w:p>
    <w:p w14:paraId="4FBB1AF3" w14:textId="0BC00555" w:rsidR="00A61DB4" w:rsidRPr="00A61DB4" w:rsidRDefault="00A61DB4" w:rsidP="0022154C">
      <w:pPr>
        <w:spacing w:after="120"/>
        <w:jc w:val="center"/>
        <w:rPr>
          <w:rFonts w:ascii="Times New Roman" w:hAnsi="Times New Roman"/>
          <w:sz w:val="24"/>
          <w:szCs w:val="24"/>
        </w:rPr>
      </w:pPr>
      <w:r w:rsidRPr="00A61DB4">
        <w:rPr>
          <w:rFonts w:ascii="Times New Roman" w:hAnsi="Times New Roman"/>
          <w:sz w:val="24"/>
          <w:szCs w:val="24"/>
        </w:rPr>
        <w:t xml:space="preserve">Issued by the authority of the Minister for </w:t>
      </w:r>
      <w:r w:rsidR="00341B11">
        <w:rPr>
          <w:rFonts w:ascii="Times New Roman" w:hAnsi="Times New Roman"/>
          <w:sz w:val="24"/>
          <w:szCs w:val="24"/>
        </w:rPr>
        <w:t>Law Enforcement and Cyber</w:t>
      </w:r>
      <w:r w:rsidR="00D33696">
        <w:rPr>
          <w:rFonts w:ascii="Times New Roman" w:hAnsi="Times New Roman"/>
          <w:sz w:val="24"/>
          <w:szCs w:val="24"/>
        </w:rPr>
        <w:t>s</w:t>
      </w:r>
      <w:r w:rsidR="00341B11">
        <w:rPr>
          <w:rFonts w:ascii="Times New Roman" w:hAnsi="Times New Roman"/>
          <w:sz w:val="24"/>
          <w:szCs w:val="24"/>
        </w:rPr>
        <w:t xml:space="preserve">ecurity </w:t>
      </w:r>
    </w:p>
    <w:p w14:paraId="5805BEBB" w14:textId="77777777" w:rsidR="00A61DB4" w:rsidRDefault="00A61DB4" w:rsidP="0022154C">
      <w:pPr>
        <w:pStyle w:val="Paragraph"/>
        <w:spacing w:before="0" w:after="120" w:line="276" w:lineRule="auto"/>
        <w:jc w:val="center"/>
        <w:rPr>
          <w:i/>
          <w:szCs w:val="24"/>
        </w:rPr>
      </w:pPr>
      <w:r w:rsidRPr="00A61DB4">
        <w:rPr>
          <w:i/>
          <w:szCs w:val="24"/>
        </w:rPr>
        <w:t>Anti-Money Laundering and Counter-Terrorism Financing Act 2006</w:t>
      </w:r>
    </w:p>
    <w:p w14:paraId="6F72FFB2" w14:textId="50167DE1" w:rsidR="006077A8" w:rsidRDefault="000E4E55" w:rsidP="0022154C">
      <w:pPr>
        <w:pStyle w:val="Paragraph"/>
        <w:spacing w:before="0" w:after="120" w:line="276" w:lineRule="auto"/>
        <w:jc w:val="center"/>
        <w:rPr>
          <w:i/>
          <w:szCs w:val="24"/>
        </w:rPr>
      </w:pPr>
      <w:r>
        <w:rPr>
          <w:i/>
          <w:szCs w:val="24"/>
        </w:rPr>
        <w:t>Anti-Money Laundering and Counter-Terrorism Financing (Prescribed Foreign Countries) Regulation</w:t>
      </w:r>
      <w:r w:rsidR="00341B11">
        <w:rPr>
          <w:i/>
          <w:szCs w:val="24"/>
        </w:rPr>
        <w:t>s</w:t>
      </w:r>
      <w:r>
        <w:rPr>
          <w:i/>
          <w:szCs w:val="24"/>
        </w:rPr>
        <w:t xml:space="preserve"> 201</w:t>
      </w:r>
      <w:r w:rsidR="00341B11">
        <w:rPr>
          <w:i/>
          <w:szCs w:val="24"/>
        </w:rPr>
        <w:t>8</w:t>
      </w:r>
    </w:p>
    <w:p w14:paraId="29C841DB" w14:textId="77777777" w:rsidR="0064752B" w:rsidRDefault="00A61DB4" w:rsidP="0022154C">
      <w:pPr>
        <w:pStyle w:val="Paragraph"/>
        <w:spacing w:before="0" w:after="120" w:line="276" w:lineRule="auto"/>
      </w:pPr>
      <w:bookmarkStart w:id="1" w:name="OLE_LINK2"/>
      <w:r w:rsidRPr="00A61DB4">
        <w:rPr>
          <w:szCs w:val="24"/>
        </w:rPr>
        <w:t xml:space="preserve">Section 252 of the </w:t>
      </w:r>
      <w:bookmarkStart w:id="2" w:name="OLE_LINK3"/>
      <w:bookmarkStart w:id="3" w:name="OLE_LINK4"/>
      <w:bookmarkStart w:id="4" w:name="OLE_LINK7"/>
      <w:r w:rsidRPr="00A61DB4">
        <w:rPr>
          <w:i/>
          <w:szCs w:val="24"/>
        </w:rPr>
        <w:t xml:space="preserve">Anti-Money Laundering and Counter-Terrorism Financing Act 2006 </w:t>
      </w:r>
      <w:bookmarkEnd w:id="2"/>
      <w:bookmarkEnd w:id="3"/>
      <w:bookmarkEnd w:id="4"/>
      <w:r w:rsidRPr="00A61DB4">
        <w:rPr>
          <w:szCs w:val="24"/>
        </w:rPr>
        <w:t>(the Act)</w:t>
      </w:r>
      <w:r w:rsidRPr="00A61DB4">
        <w:rPr>
          <w:i/>
          <w:szCs w:val="24"/>
        </w:rPr>
        <w:t xml:space="preserve"> </w:t>
      </w:r>
      <w:r w:rsidRPr="00A61DB4">
        <w:rPr>
          <w:szCs w:val="24"/>
        </w:rPr>
        <w:t>provides</w:t>
      </w:r>
      <w:r w:rsidR="006F1C83">
        <w:rPr>
          <w:szCs w:val="24"/>
        </w:rPr>
        <w:t xml:space="preserve"> </w:t>
      </w:r>
      <w:r w:rsidRPr="00A61DB4">
        <w:rPr>
          <w:szCs w:val="24"/>
        </w:rPr>
        <w:t>that the Governor</w:t>
      </w:r>
      <w:r w:rsidRPr="00A61DB4">
        <w:rPr>
          <w:szCs w:val="24"/>
        </w:rPr>
        <w:noBreakHyphen/>
        <w:t xml:space="preserve">General may make regulations prescribing matters </w:t>
      </w:r>
      <w:r w:rsidR="002A4F63">
        <w:t>required or permitted</w:t>
      </w:r>
      <w:r w:rsidR="009703FA">
        <w:t xml:space="preserve"> to be prescribed</w:t>
      </w:r>
      <w:r w:rsidR="002A4F63">
        <w:t>, or necessary or convenient</w:t>
      </w:r>
      <w:r w:rsidR="009703FA">
        <w:t xml:space="preserve"> to be prescribed</w:t>
      </w:r>
      <w:r w:rsidR="005818C9">
        <w:t>,</w:t>
      </w:r>
      <w:r w:rsidR="002A4F63">
        <w:t xml:space="preserve"> for carrying out or giving effect to the Act.</w:t>
      </w:r>
    </w:p>
    <w:p w14:paraId="3C1806D4" w14:textId="6A6FB855" w:rsidR="007A0FB1" w:rsidRDefault="00813DD3" w:rsidP="002F53C0">
      <w:pPr>
        <w:pStyle w:val="Paragraph"/>
        <w:spacing w:before="0" w:after="120" w:line="276" w:lineRule="auto"/>
      </w:pPr>
      <w:r>
        <w:t xml:space="preserve">Section 5 of the Act provides that a </w:t>
      </w:r>
      <w:r>
        <w:rPr>
          <w:i/>
        </w:rPr>
        <w:t>prescribed foreign country</w:t>
      </w:r>
      <w:r>
        <w:t xml:space="preserve"> means a foreign country declared by the regulations to be a prescribed foreign country for the purposes of the Act.</w:t>
      </w:r>
      <w:r w:rsidR="007A0FB1">
        <w:t xml:space="preserve">  The definition of </w:t>
      </w:r>
      <w:r w:rsidR="007A0FB1">
        <w:rPr>
          <w:i/>
        </w:rPr>
        <w:t xml:space="preserve">prescribed foreign country </w:t>
      </w:r>
      <w:r w:rsidR="007A0FB1">
        <w:t>is relevant for the purposes of:</w:t>
      </w:r>
    </w:p>
    <w:p w14:paraId="251442EE" w14:textId="77777777" w:rsidR="007A0FB1" w:rsidRPr="007A0FB1" w:rsidRDefault="007A0FB1" w:rsidP="007A0FB1">
      <w:pPr>
        <w:pStyle w:val="Paragraph"/>
        <w:numPr>
          <w:ilvl w:val="0"/>
          <w:numId w:val="7"/>
        </w:numPr>
        <w:spacing w:before="0" w:line="276" w:lineRule="auto"/>
      </w:pPr>
      <w:r w:rsidRPr="007A0FB1">
        <w:t xml:space="preserve">Chapter 15 of the </w:t>
      </w:r>
      <w:r w:rsidRPr="007A0FB1">
        <w:rPr>
          <w:i/>
        </w:rPr>
        <w:t>Anti-Money Laundering and Counter</w:t>
      </w:r>
      <w:r w:rsidRPr="007A0FB1">
        <w:rPr>
          <w:i/>
        </w:rPr>
        <w:noBreakHyphen/>
        <w:t>Terrorism Financing Rules Instrument 2007 (No. 1)</w:t>
      </w:r>
      <w:r w:rsidRPr="007A0FB1">
        <w:t>, which provides that reporting entities in Australia must apply enhanced customer due diligence when entering into a transaction and a party to the transaction is present in, or is a corporation incorporated in, a prescribed foreign country, and</w:t>
      </w:r>
    </w:p>
    <w:p w14:paraId="15587935" w14:textId="77777777" w:rsidR="007A0FB1" w:rsidRPr="007A0FB1" w:rsidRDefault="007A0FB1" w:rsidP="007A0FB1">
      <w:pPr>
        <w:pStyle w:val="Paragraph"/>
        <w:numPr>
          <w:ilvl w:val="0"/>
          <w:numId w:val="7"/>
        </w:numPr>
        <w:spacing w:before="0" w:after="120" w:line="276" w:lineRule="auto"/>
      </w:pPr>
      <w:r w:rsidRPr="007A0FB1">
        <w:t>Section 102 in Part 9 of the Act, which provides that the regulations may prohibit or regulate the entering into of transactions with residents of prescribed foreign countries.</w:t>
      </w:r>
    </w:p>
    <w:p w14:paraId="384299F1" w14:textId="541C0FAA" w:rsidR="002F53C0" w:rsidRDefault="007A0FB1" w:rsidP="002F53C0">
      <w:pPr>
        <w:pStyle w:val="Paragraph"/>
        <w:spacing w:before="0" w:after="120" w:line="276" w:lineRule="auto"/>
        <w:rPr>
          <w:szCs w:val="24"/>
        </w:rPr>
      </w:pPr>
      <w:r>
        <w:t>The R</w:t>
      </w:r>
      <w:r w:rsidR="002F53C0">
        <w:t>egulation</w:t>
      </w:r>
      <w:r w:rsidR="00341B11">
        <w:t>s</w:t>
      </w:r>
      <w:r>
        <w:t xml:space="preserve"> continue to declare </w:t>
      </w:r>
      <w:r w:rsidR="002F53C0">
        <w:t xml:space="preserve">Iran </w:t>
      </w:r>
      <w:r w:rsidR="00341B11">
        <w:t xml:space="preserve">and </w:t>
      </w:r>
      <w:r w:rsidR="002F53C0">
        <w:rPr>
          <w:szCs w:val="24"/>
        </w:rPr>
        <w:t xml:space="preserve">the Democratic People’s Republic of Korea (DPRK) </w:t>
      </w:r>
      <w:r w:rsidR="0028118B">
        <w:rPr>
          <w:szCs w:val="24"/>
        </w:rPr>
        <w:t xml:space="preserve">to be </w:t>
      </w:r>
      <w:r w:rsidR="002F53C0">
        <w:rPr>
          <w:szCs w:val="24"/>
        </w:rPr>
        <w:t>prescribed foreign</w:t>
      </w:r>
      <w:r w:rsidR="00A36D94">
        <w:rPr>
          <w:szCs w:val="24"/>
        </w:rPr>
        <w:t xml:space="preserve"> countr</w:t>
      </w:r>
      <w:r w:rsidR="00341B11">
        <w:rPr>
          <w:szCs w:val="24"/>
        </w:rPr>
        <w:t>ies</w:t>
      </w:r>
      <w:r>
        <w:rPr>
          <w:szCs w:val="24"/>
        </w:rPr>
        <w:t xml:space="preserve"> for the purpose of the Act</w:t>
      </w:r>
      <w:r w:rsidR="00533E73">
        <w:rPr>
          <w:szCs w:val="24"/>
        </w:rPr>
        <w:t xml:space="preserve">. </w:t>
      </w:r>
      <w:r w:rsidR="00853E1B">
        <w:rPr>
          <w:szCs w:val="24"/>
        </w:rPr>
        <w:t xml:space="preserve"> </w:t>
      </w:r>
    </w:p>
    <w:p w14:paraId="59784ABC" w14:textId="594F1686" w:rsidR="007A0FB1" w:rsidRDefault="007A0FB1" w:rsidP="007A0FB1">
      <w:pPr>
        <w:pStyle w:val="Paragraph"/>
        <w:spacing w:before="0" w:after="120" w:line="276" w:lineRule="auto"/>
      </w:pPr>
      <w:r>
        <w:t xml:space="preserve">The regulations also repeal the </w:t>
      </w:r>
      <w:r>
        <w:rPr>
          <w:i/>
        </w:rPr>
        <w:t>Anti-Money Laundering and Counter-Terrorism Financing (Prescribed Foreign Countries) Regulation 2016</w:t>
      </w:r>
      <w:r>
        <w:t xml:space="preserve">, which is </w:t>
      </w:r>
      <w:r w:rsidR="00CC5958">
        <w:t xml:space="preserve">due </w:t>
      </w:r>
      <w:r>
        <w:t>to sunset on 1 April 2018</w:t>
      </w:r>
      <w:r>
        <w:rPr>
          <w:i/>
        </w:rPr>
        <w:t>.</w:t>
      </w:r>
      <w:r>
        <w:t xml:space="preserve">  </w:t>
      </w:r>
    </w:p>
    <w:p w14:paraId="1D444AC0" w14:textId="7EFD5FBF" w:rsidR="007A0FB1" w:rsidRDefault="007A0FB1" w:rsidP="007A0FB1">
      <w:pPr>
        <w:pStyle w:val="Paragraph"/>
        <w:spacing w:before="0" w:after="120" w:line="276" w:lineRule="auto"/>
        <w:rPr>
          <w:szCs w:val="24"/>
        </w:rPr>
      </w:pPr>
      <w:r>
        <w:t xml:space="preserve">By </w:t>
      </w:r>
      <w:r w:rsidR="00274F7A">
        <w:t>declaring</w:t>
      </w:r>
      <w:r w:rsidR="00573A96">
        <w:t xml:space="preserve"> each of</w:t>
      </w:r>
      <w:r w:rsidR="00274F7A">
        <w:t xml:space="preserve"> Iran and the DPRK to be </w:t>
      </w:r>
      <w:r w:rsidR="00964F45">
        <w:t>a</w:t>
      </w:r>
      <w:r w:rsidR="00573A96">
        <w:t xml:space="preserve"> </w:t>
      </w:r>
      <w:r w:rsidR="00274F7A">
        <w:t>prescribed foreign c</w:t>
      </w:r>
      <w:r w:rsidR="00573A96">
        <w:t>ountry</w:t>
      </w:r>
      <w:r w:rsidR="00274F7A">
        <w:t>, t</w:t>
      </w:r>
      <w:r w:rsidR="00274F7A" w:rsidRPr="00A61DB4">
        <w:t>he</w:t>
      </w:r>
      <w:r w:rsidR="00274F7A">
        <w:t xml:space="preserve"> </w:t>
      </w:r>
      <w:r>
        <w:t>R</w:t>
      </w:r>
      <w:r w:rsidR="00274F7A">
        <w:t>egulation</w:t>
      </w:r>
      <w:r w:rsidR="00341B11">
        <w:t>s</w:t>
      </w:r>
      <w:r w:rsidR="00274F7A">
        <w:t xml:space="preserve"> </w:t>
      </w:r>
      <w:r w:rsidR="00274F7A" w:rsidRPr="002A4F63">
        <w:t xml:space="preserve">implement recommendations </w:t>
      </w:r>
      <w:r w:rsidR="00573A96">
        <w:t>of</w:t>
      </w:r>
      <w:r w:rsidR="00274F7A" w:rsidRPr="002A4F63">
        <w:t xml:space="preserve"> the Financial Action Task Force</w:t>
      </w:r>
      <w:r>
        <w:t xml:space="preserve"> (FATF).  The FATF requires </w:t>
      </w:r>
      <w:r w:rsidR="00274F7A">
        <w:t xml:space="preserve">member </w:t>
      </w:r>
      <w:r w:rsidR="00274F7A" w:rsidRPr="002A4F63">
        <w:t xml:space="preserve">jurisdictions to apply </w:t>
      </w:r>
      <w:r w:rsidR="00274F7A" w:rsidRPr="00CF624A">
        <w:t>effective counter</w:t>
      </w:r>
      <w:r w:rsidRPr="00CF624A">
        <w:t>-</w:t>
      </w:r>
      <w:r w:rsidR="00274F7A" w:rsidRPr="00CF624A">
        <w:t>measures in order to protect their financial sectors from the ongoing and substantial money laundering</w:t>
      </w:r>
      <w:r w:rsidR="00CF624A">
        <w:t>,</w:t>
      </w:r>
      <w:r w:rsidR="00274F7A" w:rsidRPr="00CF624A">
        <w:t xml:space="preserve"> terrorism financing </w:t>
      </w:r>
      <w:r w:rsidR="00CF624A">
        <w:t xml:space="preserve">and proliferation financing </w:t>
      </w:r>
      <w:r w:rsidR="00274F7A" w:rsidRPr="00CF624A">
        <w:t>risks emanating from the DPRK.</w:t>
      </w:r>
      <w:r w:rsidRPr="00CF624A">
        <w:t xml:space="preserve"> </w:t>
      </w:r>
      <w:r w:rsidR="00CF624A">
        <w:t xml:space="preserve">The FATF has also called on its members and other jurisdictions to apply enhanced due diligence measures proportionate to the risks arising from Iran. </w:t>
      </w:r>
      <w:r w:rsidRPr="00CF624A">
        <w:t xml:space="preserve">The Regulations ensure that </w:t>
      </w:r>
      <w:r w:rsidRPr="00CF624A">
        <w:rPr>
          <w:szCs w:val="24"/>
        </w:rPr>
        <w:t>reporting entities in Australia</w:t>
      </w:r>
      <w:r>
        <w:rPr>
          <w:szCs w:val="24"/>
        </w:rPr>
        <w:t xml:space="preserve"> continue to be required to apply enhanced customer due diligence to all transactions that involve persons or corporations in Iran or the DPRK.</w:t>
      </w:r>
      <w:r w:rsidR="00CF624A">
        <w:rPr>
          <w:szCs w:val="24"/>
        </w:rPr>
        <w:t xml:space="preserve"> The Regulations are part of a broader suite of measures applying to dealings with DPRK and Iran, including measures under United Nations and Australian autonomous sanctions regimes. </w:t>
      </w:r>
    </w:p>
    <w:p w14:paraId="3DE8B459" w14:textId="79B4DF6E" w:rsidR="005A7804" w:rsidRDefault="00C634F9" w:rsidP="00AD07C6">
      <w:pPr>
        <w:pStyle w:val="Paragraphnumbered"/>
        <w:numPr>
          <w:ilvl w:val="0"/>
          <w:numId w:val="0"/>
        </w:numPr>
        <w:spacing w:before="0" w:after="120" w:line="276" w:lineRule="auto"/>
      </w:pPr>
      <w:r>
        <w:t xml:space="preserve">The </w:t>
      </w:r>
      <w:r w:rsidR="00341B11">
        <w:t xml:space="preserve">Department of Home Affairs </w:t>
      </w:r>
      <w:r>
        <w:t xml:space="preserve">consulted the </w:t>
      </w:r>
      <w:r w:rsidRPr="00447175">
        <w:t xml:space="preserve">Office of Best Practice Regulation </w:t>
      </w:r>
      <w:r w:rsidR="007A0FB1" w:rsidRPr="00447175">
        <w:t>in the preparation of these R</w:t>
      </w:r>
      <w:r w:rsidR="00853E1B" w:rsidRPr="00447175">
        <w:t>egulations</w:t>
      </w:r>
      <w:r w:rsidR="007532F0" w:rsidRPr="00447175">
        <w:t>,</w:t>
      </w:r>
      <w:r w:rsidR="00853E1B" w:rsidRPr="00447175">
        <w:t xml:space="preserve"> </w:t>
      </w:r>
      <w:r w:rsidRPr="00447175">
        <w:t xml:space="preserve">who advised that </w:t>
      </w:r>
      <w:r w:rsidR="00235B85" w:rsidRPr="00447175">
        <w:t xml:space="preserve">a </w:t>
      </w:r>
      <w:r w:rsidR="00853E1B" w:rsidRPr="00447175">
        <w:t>Regulatory Impact Statement wa</w:t>
      </w:r>
      <w:r w:rsidRPr="00447175">
        <w:t xml:space="preserve">s </w:t>
      </w:r>
      <w:r w:rsidR="00235B85" w:rsidRPr="00447175">
        <w:t xml:space="preserve">not </w:t>
      </w:r>
      <w:r w:rsidRPr="00447175">
        <w:t>required</w:t>
      </w:r>
      <w:r w:rsidR="004E513C" w:rsidRPr="00447175">
        <w:t xml:space="preserve"> (reference ID</w:t>
      </w:r>
      <w:r w:rsidR="00447175" w:rsidRPr="00447175">
        <w:t xml:space="preserve"> 23516</w:t>
      </w:r>
      <w:r w:rsidR="004E513C" w:rsidRPr="00447175">
        <w:t>)</w:t>
      </w:r>
      <w:r w:rsidRPr="00447175">
        <w:t xml:space="preserve">.  </w:t>
      </w:r>
      <w:r w:rsidR="00341B11" w:rsidRPr="00447175">
        <w:t xml:space="preserve">Home Affairs </w:t>
      </w:r>
      <w:r w:rsidRPr="00447175">
        <w:t xml:space="preserve">also consulted </w:t>
      </w:r>
      <w:r w:rsidR="002C174C" w:rsidRPr="00447175">
        <w:t>the Australian Transaction Reports and Analysis Centre (</w:t>
      </w:r>
      <w:r w:rsidR="005A7804" w:rsidRPr="00447175">
        <w:t>AUSTRAC</w:t>
      </w:r>
      <w:r w:rsidR="002C174C" w:rsidRPr="00447175">
        <w:t>)</w:t>
      </w:r>
      <w:r w:rsidR="005A7804" w:rsidRPr="00447175">
        <w:t xml:space="preserve"> and the Department of Foreign Affairs and Trade</w:t>
      </w:r>
      <w:r w:rsidR="00C56D1F" w:rsidRPr="00447175">
        <w:t xml:space="preserve"> (DFAT</w:t>
      </w:r>
      <w:r w:rsidR="00C56D1F">
        <w:t>)</w:t>
      </w:r>
      <w:r w:rsidR="007532F0">
        <w:t>,</w:t>
      </w:r>
      <w:r w:rsidR="005A7804">
        <w:t xml:space="preserve"> </w:t>
      </w:r>
      <w:r w:rsidR="00731A00">
        <w:t xml:space="preserve">who </w:t>
      </w:r>
      <w:r w:rsidR="007A0FB1">
        <w:t>support continuing to declare Iran and DPRK as prescribed foreign countries</w:t>
      </w:r>
      <w:r w:rsidR="003C20F8">
        <w:t>.</w:t>
      </w:r>
    </w:p>
    <w:p w14:paraId="617C895D" w14:textId="690FA88E" w:rsidR="00231A4D" w:rsidRDefault="007A0FB1" w:rsidP="0022154C">
      <w:pPr>
        <w:pStyle w:val="Paragraphnumbered"/>
        <w:numPr>
          <w:ilvl w:val="0"/>
          <w:numId w:val="0"/>
        </w:numPr>
        <w:spacing w:before="0" w:after="120" w:line="276" w:lineRule="auto"/>
      </w:pPr>
      <w:r>
        <w:t>As the R</w:t>
      </w:r>
      <w:r w:rsidR="00231A4D">
        <w:t xml:space="preserve">egulations are made under the authority of section 252 of the Act, the </w:t>
      </w:r>
      <w:r w:rsidR="001C311D">
        <w:t>10 yearly sunsetting rule applies as provided for under the</w:t>
      </w:r>
      <w:r w:rsidR="001C311D" w:rsidRPr="001C311D">
        <w:rPr>
          <w:i/>
        </w:rPr>
        <w:t xml:space="preserve"> Legislation Act 2003</w:t>
      </w:r>
      <w:r w:rsidR="001C311D">
        <w:t>.</w:t>
      </w:r>
    </w:p>
    <w:p w14:paraId="235B844A" w14:textId="0B8FDE9B" w:rsidR="002A4F63" w:rsidRDefault="00ED645F" w:rsidP="0022154C">
      <w:pPr>
        <w:pStyle w:val="Paragraphnumbered"/>
        <w:numPr>
          <w:ilvl w:val="0"/>
          <w:numId w:val="0"/>
        </w:numPr>
        <w:spacing w:before="0" w:after="120" w:line="276" w:lineRule="auto"/>
      </w:pPr>
      <w:r>
        <w:lastRenderedPageBreak/>
        <w:t xml:space="preserve">Details of the </w:t>
      </w:r>
      <w:r w:rsidR="007A0FB1">
        <w:t>R</w:t>
      </w:r>
      <w:r>
        <w:t>egulation</w:t>
      </w:r>
      <w:r w:rsidR="00341B11">
        <w:t>s</w:t>
      </w:r>
      <w:r w:rsidR="002A4F63" w:rsidRPr="00780DFC">
        <w:t xml:space="preserve"> are </w:t>
      </w:r>
      <w:r w:rsidR="00745921">
        <w:t>set out</w:t>
      </w:r>
      <w:r w:rsidR="002A4F63" w:rsidRPr="00780DFC">
        <w:t xml:space="preserve"> in </w:t>
      </w:r>
      <w:r w:rsidR="002A4F63" w:rsidRPr="00780DFC">
        <w:rPr>
          <w:u w:val="single"/>
        </w:rPr>
        <w:t>Attachment</w:t>
      </w:r>
      <w:r w:rsidR="00745921">
        <w:rPr>
          <w:u w:val="single"/>
        </w:rPr>
        <w:t xml:space="preserve"> A</w:t>
      </w:r>
      <w:r w:rsidR="002A4F63" w:rsidRPr="00780DFC">
        <w:t>.</w:t>
      </w:r>
    </w:p>
    <w:p w14:paraId="08EEC914" w14:textId="77777777" w:rsidR="00745921" w:rsidRPr="00780DFC" w:rsidRDefault="00A36D94" w:rsidP="0022154C">
      <w:pPr>
        <w:pStyle w:val="Paragraphnumbered"/>
        <w:numPr>
          <w:ilvl w:val="0"/>
          <w:numId w:val="0"/>
        </w:numPr>
        <w:spacing w:before="0" w:after="120" w:line="276" w:lineRule="auto"/>
      </w:pPr>
      <w:r>
        <w:t>The</w:t>
      </w:r>
      <w:r w:rsidR="00745921" w:rsidRPr="00745921">
        <w:t xml:space="preserve"> Statement of Compatibility with Human Rights set out in </w:t>
      </w:r>
      <w:r w:rsidR="00745921" w:rsidRPr="00745921">
        <w:rPr>
          <w:u w:val="single"/>
        </w:rPr>
        <w:t>Attachment B</w:t>
      </w:r>
      <w:r w:rsidR="00745921" w:rsidRPr="00745921">
        <w:t xml:space="preserve"> </w:t>
      </w:r>
      <w:r w:rsidR="00536440">
        <w:t xml:space="preserve">is </w:t>
      </w:r>
      <w:r w:rsidR="00745921" w:rsidRPr="00745921">
        <w:t xml:space="preserve">prepared in accordance with Part 3 of the </w:t>
      </w:r>
      <w:r w:rsidR="00745921" w:rsidRPr="00745921">
        <w:rPr>
          <w:i/>
        </w:rPr>
        <w:t>Human Rights (Parliamentary Scrutiny</w:t>
      </w:r>
      <w:r w:rsidR="00CB30FC">
        <w:rPr>
          <w:i/>
        </w:rPr>
        <w:t>)</w:t>
      </w:r>
      <w:r w:rsidR="00745921" w:rsidRPr="00745921">
        <w:rPr>
          <w:i/>
        </w:rPr>
        <w:t xml:space="preserve"> Act 2011</w:t>
      </w:r>
      <w:r w:rsidR="00745921" w:rsidRPr="00745921">
        <w:t>.</w:t>
      </w:r>
    </w:p>
    <w:p w14:paraId="4BA4AE9A" w14:textId="246D148C" w:rsidR="00A61DB4" w:rsidRDefault="00A61DB4" w:rsidP="0022154C">
      <w:pPr>
        <w:spacing w:after="120"/>
        <w:rPr>
          <w:rFonts w:ascii="Times New Roman" w:hAnsi="Times New Roman"/>
          <w:sz w:val="24"/>
          <w:szCs w:val="24"/>
        </w:rPr>
      </w:pPr>
      <w:r w:rsidRPr="00A5395B">
        <w:rPr>
          <w:rFonts w:ascii="Times New Roman" w:hAnsi="Times New Roman"/>
          <w:sz w:val="24"/>
          <w:szCs w:val="24"/>
        </w:rPr>
        <w:t xml:space="preserve">The Act specifies no conditions that need to be satisfied before the power to make the </w:t>
      </w:r>
      <w:r w:rsidR="00684C8A">
        <w:rPr>
          <w:rFonts w:ascii="Times New Roman" w:hAnsi="Times New Roman"/>
          <w:sz w:val="24"/>
          <w:szCs w:val="24"/>
        </w:rPr>
        <w:t>R</w:t>
      </w:r>
      <w:r w:rsidR="00A5395B" w:rsidRPr="00A5395B">
        <w:rPr>
          <w:rFonts w:ascii="Times New Roman" w:hAnsi="Times New Roman"/>
          <w:sz w:val="24"/>
          <w:szCs w:val="24"/>
        </w:rPr>
        <w:t>egulation</w:t>
      </w:r>
      <w:r w:rsidR="00341B11">
        <w:rPr>
          <w:rFonts w:ascii="Times New Roman" w:hAnsi="Times New Roman"/>
          <w:sz w:val="24"/>
          <w:szCs w:val="24"/>
        </w:rPr>
        <w:t>s</w:t>
      </w:r>
      <w:r w:rsidRPr="00A5395B">
        <w:rPr>
          <w:rFonts w:ascii="Times New Roman" w:hAnsi="Times New Roman"/>
          <w:sz w:val="24"/>
          <w:szCs w:val="24"/>
        </w:rPr>
        <w:t xml:space="preserve"> may be exercised.</w:t>
      </w:r>
    </w:p>
    <w:p w14:paraId="07CB157A" w14:textId="68FEE420" w:rsidR="00A5395B" w:rsidRDefault="002F4F65" w:rsidP="0022154C">
      <w:pPr>
        <w:spacing w:after="120"/>
        <w:rPr>
          <w:rFonts w:ascii="Times New Roman" w:hAnsi="Times New Roman"/>
          <w:sz w:val="24"/>
          <w:szCs w:val="24"/>
        </w:rPr>
      </w:pPr>
      <w:r>
        <w:rPr>
          <w:rFonts w:ascii="Times New Roman" w:hAnsi="Times New Roman"/>
          <w:sz w:val="24"/>
          <w:szCs w:val="24"/>
        </w:rPr>
        <w:t xml:space="preserve">The </w:t>
      </w:r>
      <w:r w:rsidR="00684C8A">
        <w:rPr>
          <w:rFonts w:ascii="Times New Roman" w:hAnsi="Times New Roman"/>
          <w:sz w:val="24"/>
          <w:szCs w:val="24"/>
        </w:rPr>
        <w:t>R</w:t>
      </w:r>
      <w:r w:rsidR="00A5395B" w:rsidRPr="00A5395B">
        <w:rPr>
          <w:rFonts w:ascii="Times New Roman" w:hAnsi="Times New Roman"/>
          <w:sz w:val="24"/>
          <w:szCs w:val="24"/>
        </w:rPr>
        <w:t>egulation</w:t>
      </w:r>
      <w:r w:rsidR="00341B11">
        <w:rPr>
          <w:rFonts w:ascii="Times New Roman" w:hAnsi="Times New Roman"/>
          <w:sz w:val="24"/>
          <w:szCs w:val="24"/>
        </w:rPr>
        <w:t>s</w:t>
      </w:r>
      <w:r w:rsidR="00A61DB4" w:rsidRPr="00A5395B">
        <w:rPr>
          <w:rFonts w:ascii="Times New Roman" w:hAnsi="Times New Roman"/>
          <w:sz w:val="24"/>
          <w:szCs w:val="24"/>
        </w:rPr>
        <w:t xml:space="preserve"> </w:t>
      </w:r>
      <w:r w:rsidR="00DB5222">
        <w:rPr>
          <w:rFonts w:ascii="Times New Roman" w:hAnsi="Times New Roman"/>
          <w:sz w:val="24"/>
          <w:szCs w:val="24"/>
        </w:rPr>
        <w:t xml:space="preserve">are </w:t>
      </w:r>
      <w:r w:rsidR="00DB5222" w:rsidRPr="00A5395B">
        <w:rPr>
          <w:rFonts w:ascii="Times New Roman" w:hAnsi="Times New Roman"/>
          <w:sz w:val="24"/>
          <w:szCs w:val="24"/>
        </w:rPr>
        <w:t>a</w:t>
      </w:r>
      <w:r w:rsidR="00A61DB4" w:rsidRPr="00A5395B">
        <w:rPr>
          <w:rFonts w:ascii="Times New Roman" w:hAnsi="Times New Roman"/>
          <w:sz w:val="24"/>
          <w:szCs w:val="24"/>
        </w:rPr>
        <w:t xml:space="preserve"> legislative instrument for the purposes of the </w:t>
      </w:r>
      <w:r w:rsidR="00A61DB4" w:rsidRPr="00830BE8">
        <w:rPr>
          <w:rFonts w:ascii="Times New Roman" w:hAnsi="Times New Roman"/>
          <w:i/>
          <w:sz w:val="24"/>
          <w:szCs w:val="24"/>
        </w:rPr>
        <w:t>Legislative Instruments Act 2003</w:t>
      </w:r>
      <w:r w:rsidR="00A61DB4" w:rsidRPr="00A5395B">
        <w:rPr>
          <w:rFonts w:ascii="Times New Roman" w:hAnsi="Times New Roman"/>
          <w:sz w:val="24"/>
          <w:szCs w:val="24"/>
        </w:rPr>
        <w:t xml:space="preserve">. </w:t>
      </w:r>
    </w:p>
    <w:p w14:paraId="1503A065" w14:textId="727AEA84" w:rsidR="00503031" w:rsidRPr="00745921" w:rsidRDefault="002F4F65" w:rsidP="0022154C">
      <w:pPr>
        <w:spacing w:after="120"/>
        <w:rPr>
          <w:rFonts w:ascii="Times New Roman" w:hAnsi="Times New Roman"/>
          <w:sz w:val="24"/>
          <w:szCs w:val="24"/>
        </w:rPr>
      </w:pPr>
      <w:r>
        <w:rPr>
          <w:rFonts w:ascii="Times New Roman" w:hAnsi="Times New Roman"/>
          <w:sz w:val="24"/>
          <w:szCs w:val="24"/>
        </w:rPr>
        <w:t xml:space="preserve">The </w:t>
      </w:r>
      <w:r w:rsidR="00684C8A">
        <w:rPr>
          <w:rFonts w:ascii="Times New Roman" w:hAnsi="Times New Roman"/>
          <w:sz w:val="24"/>
          <w:szCs w:val="24"/>
        </w:rPr>
        <w:t>R</w:t>
      </w:r>
      <w:r w:rsidR="00830BE8">
        <w:rPr>
          <w:rFonts w:ascii="Times New Roman" w:hAnsi="Times New Roman"/>
          <w:sz w:val="24"/>
          <w:szCs w:val="24"/>
        </w:rPr>
        <w:t>egulation</w:t>
      </w:r>
      <w:r w:rsidR="00341B11">
        <w:rPr>
          <w:rFonts w:ascii="Times New Roman" w:hAnsi="Times New Roman"/>
          <w:sz w:val="24"/>
          <w:szCs w:val="24"/>
        </w:rPr>
        <w:t>s</w:t>
      </w:r>
      <w:r w:rsidR="00830BE8">
        <w:rPr>
          <w:rFonts w:ascii="Times New Roman" w:hAnsi="Times New Roman"/>
          <w:sz w:val="24"/>
          <w:szCs w:val="24"/>
        </w:rPr>
        <w:t xml:space="preserve"> commence</w:t>
      </w:r>
      <w:r w:rsidR="0022154C">
        <w:rPr>
          <w:rFonts w:ascii="Times New Roman" w:hAnsi="Times New Roman"/>
          <w:sz w:val="24"/>
          <w:szCs w:val="24"/>
        </w:rPr>
        <w:t xml:space="preserve"> on</w:t>
      </w:r>
      <w:r w:rsidR="00A5395B" w:rsidRPr="00A5395B">
        <w:rPr>
          <w:rFonts w:ascii="Times New Roman" w:hAnsi="Times New Roman"/>
          <w:sz w:val="24"/>
          <w:szCs w:val="24"/>
        </w:rPr>
        <w:t xml:space="preserve"> </w:t>
      </w:r>
      <w:r w:rsidR="00A36D94">
        <w:rPr>
          <w:rFonts w:ascii="Times New Roman" w:hAnsi="Times New Roman"/>
          <w:sz w:val="24"/>
          <w:szCs w:val="24"/>
        </w:rPr>
        <w:t>the day after it is registered on the Federal Register of Legislative Instruments</w:t>
      </w:r>
      <w:r w:rsidR="00745921">
        <w:rPr>
          <w:rFonts w:ascii="Times New Roman" w:hAnsi="Times New Roman"/>
          <w:sz w:val="24"/>
          <w:szCs w:val="24"/>
        </w:rPr>
        <w:t>.</w:t>
      </w:r>
    </w:p>
    <w:bookmarkEnd w:id="1"/>
    <w:p w14:paraId="472D0993" w14:textId="77777777" w:rsidR="006B18AD" w:rsidRPr="006B18AD" w:rsidRDefault="00E053A3" w:rsidP="0022154C">
      <w:pPr>
        <w:pStyle w:val="Paragraph"/>
        <w:spacing w:before="0" w:after="120" w:line="276" w:lineRule="auto"/>
        <w:jc w:val="center"/>
        <w:rPr>
          <w:b/>
          <w:szCs w:val="24"/>
          <w:u w:val="single"/>
        </w:rPr>
      </w:pPr>
      <w:r>
        <w:rPr>
          <w:b/>
          <w:szCs w:val="24"/>
          <w:u w:val="single"/>
        </w:rPr>
        <w:br w:type="page"/>
      </w:r>
      <w:r w:rsidR="006B18AD" w:rsidRPr="006B18AD">
        <w:rPr>
          <w:b/>
          <w:szCs w:val="24"/>
          <w:u w:val="single"/>
        </w:rPr>
        <w:lastRenderedPageBreak/>
        <w:t>ATTACHMENT</w:t>
      </w:r>
      <w:r w:rsidR="00745921">
        <w:rPr>
          <w:b/>
          <w:szCs w:val="24"/>
          <w:u w:val="single"/>
        </w:rPr>
        <w:t xml:space="preserve"> A</w:t>
      </w:r>
    </w:p>
    <w:p w14:paraId="25D51FCD" w14:textId="5378DB3F" w:rsidR="00745921" w:rsidRPr="00745921" w:rsidRDefault="00745921" w:rsidP="0022154C">
      <w:pPr>
        <w:pStyle w:val="Paragraph"/>
        <w:spacing w:before="0" w:after="120" w:line="276" w:lineRule="auto"/>
        <w:rPr>
          <w:b/>
          <w:szCs w:val="24"/>
          <w:u w:val="single"/>
        </w:rPr>
      </w:pPr>
      <w:r w:rsidRPr="00745921">
        <w:rPr>
          <w:b/>
          <w:szCs w:val="24"/>
          <w:u w:val="single"/>
        </w:rPr>
        <w:t xml:space="preserve">Details of the </w:t>
      </w:r>
      <w:r w:rsidR="000E4E55">
        <w:rPr>
          <w:b/>
          <w:i/>
          <w:szCs w:val="24"/>
          <w:u w:val="single"/>
        </w:rPr>
        <w:t>Anti-Money Laundering and Counter-Terrorism Financing (Prescribed Foreign Countries) Regulation</w:t>
      </w:r>
      <w:r w:rsidR="00341B11">
        <w:rPr>
          <w:b/>
          <w:i/>
          <w:szCs w:val="24"/>
          <w:u w:val="single"/>
        </w:rPr>
        <w:t>s</w:t>
      </w:r>
      <w:r w:rsidR="000E4E55">
        <w:rPr>
          <w:b/>
          <w:i/>
          <w:szCs w:val="24"/>
          <w:u w:val="single"/>
        </w:rPr>
        <w:t xml:space="preserve"> 201</w:t>
      </w:r>
      <w:r w:rsidR="00341B11">
        <w:rPr>
          <w:b/>
          <w:i/>
          <w:szCs w:val="24"/>
          <w:u w:val="single"/>
        </w:rPr>
        <w:t>8</w:t>
      </w:r>
    </w:p>
    <w:p w14:paraId="7C31B550" w14:textId="77777777" w:rsidR="00745921" w:rsidRPr="00745921" w:rsidRDefault="00ED645F" w:rsidP="0022154C">
      <w:pPr>
        <w:pStyle w:val="Paragraph"/>
        <w:spacing w:before="0" w:after="120" w:line="276" w:lineRule="auto"/>
        <w:rPr>
          <w:szCs w:val="24"/>
          <w:u w:val="single"/>
        </w:rPr>
      </w:pPr>
      <w:r>
        <w:rPr>
          <w:szCs w:val="24"/>
          <w:u w:val="single"/>
        </w:rPr>
        <w:t xml:space="preserve">Section 1 – Name </w:t>
      </w:r>
    </w:p>
    <w:p w14:paraId="1A05C6F6" w14:textId="2CA842B3" w:rsidR="00745921" w:rsidRPr="00745921" w:rsidRDefault="00745921" w:rsidP="0022154C">
      <w:pPr>
        <w:autoSpaceDE w:val="0"/>
        <w:autoSpaceDN w:val="0"/>
        <w:adjustRightInd w:val="0"/>
        <w:spacing w:after="120"/>
        <w:rPr>
          <w:rFonts w:ascii="Times New Roman" w:hAnsi="Times New Roman"/>
          <w:sz w:val="24"/>
          <w:szCs w:val="24"/>
        </w:rPr>
      </w:pPr>
      <w:r w:rsidRPr="00745921">
        <w:rPr>
          <w:rFonts w:ascii="Times New Roman" w:hAnsi="Times New Roman"/>
          <w:sz w:val="24"/>
          <w:szCs w:val="24"/>
        </w:rPr>
        <w:t xml:space="preserve">This section </w:t>
      </w:r>
      <w:r w:rsidR="008D3ED5">
        <w:rPr>
          <w:rFonts w:ascii="Times New Roman" w:hAnsi="Times New Roman"/>
          <w:sz w:val="24"/>
          <w:szCs w:val="24"/>
        </w:rPr>
        <w:t xml:space="preserve">provides that the title of the </w:t>
      </w:r>
      <w:r w:rsidR="00684C8A">
        <w:rPr>
          <w:rFonts w:ascii="Times New Roman" w:hAnsi="Times New Roman"/>
          <w:sz w:val="24"/>
          <w:szCs w:val="24"/>
        </w:rPr>
        <w:t>R</w:t>
      </w:r>
      <w:r w:rsidRPr="00745921">
        <w:rPr>
          <w:rFonts w:ascii="Times New Roman" w:hAnsi="Times New Roman"/>
          <w:sz w:val="24"/>
          <w:szCs w:val="24"/>
        </w:rPr>
        <w:t>egulation</w:t>
      </w:r>
      <w:r w:rsidR="00341B11">
        <w:rPr>
          <w:rFonts w:ascii="Times New Roman" w:hAnsi="Times New Roman"/>
          <w:sz w:val="24"/>
          <w:szCs w:val="24"/>
        </w:rPr>
        <w:t>s</w:t>
      </w:r>
      <w:r w:rsidRPr="00745921">
        <w:rPr>
          <w:rFonts w:ascii="Times New Roman" w:hAnsi="Times New Roman"/>
          <w:sz w:val="24"/>
          <w:szCs w:val="24"/>
        </w:rPr>
        <w:t xml:space="preserve"> is the </w:t>
      </w:r>
      <w:r w:rsidR="000E4E55">
        <w:rPr>
          <w:rFonts w:ascii="Times New Roman" w:hAnsi="Times New Roman"/>
          <w:i/>
          <w:iCs/>
          <w:sz w:val="24"/>
          <w:szCs w:val="24"/>
        </w:rPr>
        <w:t>An</w:t>
      </w:r>
      <w:r w:rsidR="00C723AA">
        <w:rPr>
          <w:rFonts w:ascii="Times New Roman" w:hAnsi="Times New Roman"/>
          <w:i/>
          <w:iCs/>
          <w:sz w:val="24"/>
          <w:szCs w:val="24"/>
        </w:rPr>
        <w:t>ti-Money Laundering and Counter</w:t>
      </w:r>
      <w:r w:rsidR="00C723AA">
        <w:rPr>
          <w:rFonts w:ascii="Times New Roman" w:hAnsi="Times New Roman"/>
          <w:i/>
          <w:iCs/>
          <w:sz w:val="24"/>
          <w:szCs w:val="24"/>
        </w:rPr>
        <w:noBreakHyphen/>
      </w:r>
      <w:r w:rsidR="000E4E55">
        <w:rPr>
          <w:rFonts w:ascii="Times New Roman" w:hAnsi="Times New Roman"/>
          <w:i/>
          <w:iCs/>
          <w:sz w:val="24"/>
          <w:szCs w:val="24"/>
        </w:rPr>
        <w:t>Terrorism Financing (Prescribed Foreign Countries) Regulation</w:t>
      </w:r>
      <w:r w:rsidR="0013772B">
        <w:rPr>
          <w:rFonts w:ascii="Times New Roman" w:hAnsi="Times New Roman"/>
          <w:i/>
          <w:iCs/>
          <w:sz w:val="24"/>
          <w:szCs w:val="24"/>
        </w:rPr>
        <w:t>s</w:t>
      </w:r>
      <w:r w:rsidR="000E4E55">
        <w:rPr>
          <w:rFonts w:ascii="Times New Roman" w:hAnsi="Times New Roman"/>
          <w:i/>
          <w:iCs/>
          <w:sz w:val="24"/>
          <w:szCs w:val="24"/>
        </w:rPr>
        <w:t xml:space="preserve"> 201</w:t>
      </w:r>
      <w:r w:rsidR="00341B11">
        <w:rPr>
          <w:rFonts w:ascii="Times New Roman" w:hAnsi="Times New Roman"/>
          <w:i/>
          <w:iCs/>
          <w:sz w:val="24"/>
          <w:szCs w:val="24"/>
        </w:rPr>
        <w:t>8</w:t>
      </w:r>
      <w:r w:rsidRPr="00745921">
        <w:rPr>
          <w:rFonts w:ascii="Times New Roman" w:hAnsi="Times New Roman"/>
          <w:i/>
          <w:iCs/>
          <w:sz w:val="24"/>
          <w:szCs w:val="24"/>
        </w:rPr>
        <w:t>.</w:t>
      </w:r>
    </w:p>
    <w:p w14:paraId="6AAE7972" w14:textId="77777777" w:rsidR="00745921" w:rsidRPr="00745921" w:rsidRDefault="00745921" w:rsidP="0022154C">
      <w:pPr>
        <w:pStyle w:val="Paragraph"/>
        <w:spacing w:before="0" w:after="120" w:line="276" w:lineRule="auto"/>
        <w:rPr>
          <w:szCs w:val="24"/>
          <w:u w:val="single"/>
        </w:rPr>
      </w:pPr>
      <w:r w:rsidRPr="00745921">
        <w:rPr>
          <w:szCs w:val="24"/>
          <w:u w:val="single"/>
        </w:rPr>
        <w:t>Section 2 – Commencement</w:t>
      </w:r>
    </w:p>
    <w:p w14:paraId="4275FF74" w14:textId="3BBE58BC" w:rsidR="00745921" w:rsidRPr="00745921" w:rsidRDefault="00684C8A" w:rsidP="0022154C">
      <w:pPr>
        <w:pStyle w:val="Paragraph"/>
        <w:spacing w:before="0" w:after="120" w:line="276" w:lineRule="auto"/>
        <w:rPr>
          <w:szCs w:val="24"/>
        </w:rPr>
      </w:pPr>
      <w:r>
        <w:rPr>
          <w:szCs w:val="24"/>
        </w:rPr>
        <w:t>This section provides for the R</w:t>
      </w:r>
      <w:r w:rsidR="00745921" w:rsidRPr="00745921">
        <w:rPr>
          <w:szCs w:val="24"/>
        </w:rPr>
        <w:t>egulation</w:t>
      </w:r>
      <w:r w:rsidR="00341B11">
        <w:rPr>
          <w:szCs w:val="24"/>
        </w:rPr>
        <w:t>s</w:t>
      </w:r>
      <w:r w:rsidR="00745921" w:rsidRPr="00745921">
        <w:rPr>
          <w:szCs w:val="24"/>
        </w:rPr>
        <w:t xml:space="preserve"> to commence on </w:t>
      </w:r>
      <w:r w:rsidR="00087102">
        <w:rPr>
          <w:szCs w:val="24"/>
        </w:rPr>
        <w:t xml:space="preserve">the day after </w:t>
      </w:r>
      <w:r w:rsidR="00A512D4">
        <w:rPr>
          <w:szCs w:val="24"/>
        </w:rPr>
        <w:t>they are</w:t>
      </w:r>
      <w:r w:rsidR="00087102">
        <w:rPr>
          <w:szCs w:val="24"/>
        </w:rPr>
        <w:t xml:space="preserve"> registered on the Federal Register of Legislative Instruments</w:t>
      </w:r>
      <w:r w:rsidR="00745921" w:rsidRPr="00745921">
        <w:rPr>
          <w:szCs w:val="24"/>
        </w:rPr>
        <w:t>.</w:t>
      </w:r>
    </w:p>
    <w:p w14:paraId="43D5D457" w14:textId="77777777" w:rsidR="00745921" w:rsidRPr="00745921" w:rsidRDefault="00745921" w:rsidP="0022154C">
      <w:pPr>
        <w:pStyle w:val="Paragraph"/>
        <w:spacing w:before="0" w:after="120" w:line="276" w:lineRule="auto"/>
        <w:rPr>
          <w:szCs w:val="24"/>
          <w:u w:val="single"/>
        </w:rPr>
      </w:pPr>
      <w:r w:rsidRPr="00745921">
        <w:rPr>
          <w:szCs w:val="24"/>
          <w:u w:val="single"/>
        </w:rPr>
        <w:t>Section 3 – Authority</w:t>
      </w:r>
    </w:p>
    <w:p w14:paraId="7D3FE737" w14:textId="472CA0E7" w:rsidR="00745921" w:rsidRPr="00745921" w:rsidRDefault="00745921" w:rsidP="0022154C">
      <w:pPr>
        <w:autoSpaceDE w:val="0"/>
        <w:autoSpaceDN w:val="0"/>
        <w:adjustRightInd w:val="0"/>
        <w:spacing w:after="120"/>
        <w:rPr>
          <w:rFonts w:ascii="Times New Roman" w:hAnsi="Times New Roman"/>
          <w:sz w:val="24"/>
          <w:szCs w:val="24"/>
        </w:rPr>
      </w:pPr>
      <w:r w:rsidRPr="00745921">
        <w:rPr>
          <w:rFonts w:ascii="Times New Roman" w:hAnsi="Times New Roman"/>
          <w:sz w:val="24"/>
          <w:szCs w:val="24"/>
        </w:rPr>
        <w:t>This section pr</w:t>
      </w:r>
      <w:r w:rsidR="00A50BE0">
        <w:rPr>
          <w:rFonts w:ascii="Times New Roman" w:hAnsi="Times New Roman"/>
          <w:sz w:val="24"/>
          <w:szCs w:val="24"/>
        </w:rPr>
        <w:t xml:space="preserve">ovides that the </w:t>
      </w:r>
      <w:r w:rsidR="00684C8A">
        <w:rPr>
          <w:rFonts w:ascii="Times New Roman" w:hAnsi="Times New Roman"/>
          <w:sz w:val="24"/>
          <w:szCs w:val="24"/>
        </w:rPr>
        <w:t>R</w:t>
      </w:r>
      <w:r w:rsidRPr="00745921">
        <w:rPr>
          <w:rFonts w:ascii="Times New Roman" w:hAnsi="Times New Roman"/>
          <w:sz w:val="24"/>
          <w:szCs w:val="24"/>
        </w:rPr>
        <w:t>egulation</w:t>
      </w:r>
      <w:r w:rsidR="00341B11">
        <w:rPr>
          <w:rFonts w:ascii="Times New Roman" w:hAnsi="Times New Roman"/>
          <w:sz w:val="24"/>
          <w:szCs w:val="24"/>
        </w:rPr>
        <w:t>s</w:t>
      </w:r>
      <w:r w:rsidRPr="00745921">
        <w:rPr>
          <w:rFonts w:ascii="Times New Roman" w:hAnsi="Times New Roman"/>
          <w:sz w:val="24"/>
          <w:szCs w:val="24"/>
        </w:rPr>
        <w:t xml:space="preserve"> </w:t>
      </w:r>
      <w:r w:rsidR="00341B11">
        <w:rPr>
          <w:rFonts w:ascii="Times New Roman" w:hAnsi="Times New Roman"/>
          <w:sz w:val="24"/>
          <w:szCs w:val="24"/>
        </w:rPr>
        <w:t>are</w:t>
      </w:r>
      <w:r w:rsidRPr="00745921">
        <w:rPr>
          <w:rFonts w:ascii="Times New Roman" w:hAnsi="Times New Roman"/>
          <w:sz w:val="24"/>
          <w:szCs w:val="24"/>
        </w:rPr>
        <w:t xml:space="preserve"> made under the </w:t>
      </w:r>
      <w:r w:rsidRPr="00745921">
        <w:rPr>
          <w:rFonts w:ascii="Times New Roman" w:hAnsi="Times New Roman"/>
          <w:i/>
          <w:iCs/>
          <w:sz w:val="24"/>
          <w:szCs w:val="24"/>
        </w:rPr>
        <w:t>An</w:t>
      </w:r>
      <w:r w:rsidR="00C86694">
        <w:rPr>
          <w:rFonts w:ascii="Times New Roman" w:hAnsi="Times New Roman"/>
          <w:i/>
          <w:iCs/>
          <w:sz w:val="24"/>
          <w:szCs w:val="24"/>
        </w:rPr>
        <w:t>ti-Money Laundering and Counter</w:t>
      </w:r>
      <w:r w:rsidR="00C86694">
        <w:rPr>
          <w:rFonts w:ascii="Times New Roman" w:hAnsi="Times New Roman"/>
          <w:i/>
          <w:iCs/>
          <w:sz w:val="24"/>
          <w:szCs w:val="24"/>
        </w:rPr>
        <w:noBreakHyphen/>
      </w:r>
      <w:r w:rsidRPr="00745921">
        <w:rPr>
          <w:rFonts w:ascii="Times New Roman" w:hAnsi="Times New Roman"/>
          <w:i/>
          <w:iCs/>
          <w:sz w:val="24"/>
          <w:szCs w:val="24"/>
        </w:rPr>
        <w:t>Terrorism Financing Act 2006</w:t>
      </w:r>
      <w:r w:rsidR="00A50BE0">
        <w:rPr>
          <w:rFonts w:ascii="Times New Roman" w:hAnsi="Times New Roman"/>
          <w:i/>
          <w:iCs/>
          <w:sz w:val="24"/>
          <w:szCs w:val="24"/>
        </w:rPr>
        <w:t xml:space="preserve"> </w:t>
      </w:r>
      <w:r w:rsidR="00A50BE0">
        <w:rPr>
          <w:rFonts w:ascii="Times New Roman" w:hAnsi="Times New Roman"/>
          <w:iCs/>
          <w:sz w:val="24"/>
          <w:szCs w:val="24"/>
        </w:rPr>
        <w:t>(the Act)</w:t>
      </w:r>
      <w:r w:rsidRPr="00745921">
        <w:rPr>
          <w:rFonts w:ascii="Times New Roman" w:hAnsi="Times New Roman"/>
          <w:iCs/>
          <w:sz w:val="24"/>
          <w:szCs w:val="24"/>
        </w:rPr>
        <w:t>.</w:t>
      </w:r>
      <w:r w:rsidRPr="00745921">
        <w:rPr>
          <w:rFonts w:ascii="Times New Roman" w:hAnsi="Times New Roman"/>
          <w:sz w:val="24"/>
          <w:szCs w:val="24"/>
        </w:rPr>
        <w:t xml:space="preserve"> </w:t>
      </w:r>
    </w:p>
    <w:p w14:paraId="1796327A" w14:textId="77777777" w:rsidR="006F79B3" w:rsidRDefault="006F79B3" w:rsidP="0022154C">
      <w:pPr>
        <w:pStyle w:val="Paragraph"/>
        <w:spacing w:before="0" w:after="120" w:line="276" w:lineRule="auto"/>
        <w:rPr>
          <w:u w:val="single"/>
        </w:rPr>
      </w:pPr>
      <w:r>
        <w:rPr>
          <w:u w:val="single"/>
        </w:rPr>
        <w:t>Section 4 – Schedule</w:t>
      </w:r>
      <w:r w:rsidR="004D014D">
        <w:rPr>
          <w:u w:val="single"/>
        </w:rPr>
        <w:t>s</w:t>
      </w:r>
    </w:p>
    <w:p w14:paraId="781B31C8" w14:textId="77777777" w:rsidR="006F79B3" w:rsidRPr="00092753" w:rsidRDefault="006F79B3" w:rsidP="0022154C">
      <w:pPr>
        <w:pStyle w:val="Paragraph"/>
        <w:spacing w:before="0" w:after="120" w:line="276" w:lineRule="auto"/>
      </w:pPr>
      <w:r>
        <w:t xml:space="preserve">This section provides that the instrument specified in the Schedule is repealed. </w:t>
      </w:r>
    </w:p>
    <w:p w14:paraId="2B1838C5" w14:textId="5C3EE1EB" w:rsidR="00745921" w:rsidRPr="00745921" w:rsidRDefault="00745921" w:rsidP="0022154C">
      <w:pPr>
        <w:pStyle w:val="Paragraph"/>
        <w:spacing w:before="0" w:after="120" w:line="276" w:lineRule="auto"/>
        <w:rPr>
          <w:szCs w:val="24"/>
          <w:u w:val="single"/>
        </w:rPr>
      </w:pPr>
      <w:r w:rsidRPr="00745921">
        <w:rPr>
          <w:szCs w:val="24"/>
          <w:u w:val="single"/>
        </w:rPr>
        <w:t xml:space="preserve">Section </w:t>
      </w:r>
      <w:r w:rsidR="00341B11">
        <w:rPr>
          <w:szCs w:val="24"/>
          <w:u w:val="single"/>
        </w:rPr>
        <w:t>5</w:t>
      </w:r>
      <w:r w:rsidRPr="00745921">
        <w:rPr>
          <w:szCs w:val="24"/>
          <w:u w:val="single"/>
        </w:rPr>
        <w:t xml:space="preserve"> – </w:t>
      </w:r>
      <w:r w:rsidR="004D014D">
        <w:rPr>
          <w:szCs w:val="24"/>
          <w:u w:val="single"/>
        </w:rPr>
        <w:t>P</w:t>
      </w:r>
      <w:r w:rsidR="00AB24CD">
        <w:rPr>
          <w:szCs w:val="24"/>
          <w:u w:val="single"/>
        </w:rPr>
        <w:t>rescribed foreign countries</w:t>
      </w:r>
    </w:p>
    <w:p w14:paraId="5B46AD10" w14:textId="77777777" w:rsidR="00745921" w:rsidRPr="00745921" w:rsidRDefault="00745921" w:rsidP="0022154C">
      <w:pPr>
        <w:spacing w:after="120"/>
        <w:rPr>
          <w:rFonts w:ascii="Times New Roman" w:hAnsi="Times New Roman"/>
          <w:sz w:val="24"/>
          <w:szCs w:val="24"/>
        </w:rPr>
      </w:pPr>
      <w:r w:rsidRPr="00745921">
        <w:rPr>
          <w:rFonts w:ascii="Times New Roman" w:hAnsi="Times New Roman"/>
          <w:sz w:val="24"/>
          <w:szCs w:val="24"/>
        </w:rPr>
        <w:t xml:space="preserve">This section </w:t>
      </w:r>
      <w:r w:rsidR="00BF1F96">
        <w:rPr>
          <w:rFonts w:ascii="Times New Roman" w:hAnsi="Times New Roman"/>
          <w:sz w:val="24"/>
          <w:szCs w:val="24"/>
        </w:rPr>
        <w:t>declares</w:t>
      </w:r>
      <w:r w:rsidRPr="00745921">
        <w:rPr>
          <w:rFonts w:ascii="Times New Roman" w:hAnsi="Times New Roman"/>
          <w:sz w:val="24"/>
          <w:szCs w:val="24"/>
        </w:rPr>
        <w:t xml:space="preserve"> </w:t>
      </w:r>
      <w:r w:rsidR="005C12B6">
        <w:rPr>
          <w:rFonts w:ascii="Times New Roman" w:hAnsi="Times New Roman"/>
          <w:sz w:val="24"/>
          <w:szCs w:val="24"/>
        </w:rPr>
        <w:t xml:space="preserve">each of </w:t>
      </w:r>
      <w:r w:rsidRPr="00745921">
        <w:rPr>
          <w:rFonts w:ascii="Times New Roman" w:hAnsi="Times New Roman"/>
          <w:sz w:val="24"/>
          <w:szCs w:val="24"/>
        </w:rPr>
        <w:t>Iran</w:t>
      </w:r>
      <w:r w:rsidR="008D3ED5">
        <w:rPr>
          <w:rFonts w:ascii="Times New Roman" w:hAnsi="Times New Roman"/>
          <w:sz w:val="24"/>
          <w:szCs w:val="24"/>
        </w:rPr>
        <w:t xml:space="preserve"> and the Democratic</w:t>
      </w:r>
      <w:r w:rsidR="00E953F1">
        <w:rPr>
          <w:rFonts w:ascii="Times New Roman" w:hAnsi="Times New Roman"/>
          <w:sz w:val="24"/>
          <w:szCs w:val="24"/>
        </w:rPr>
        <w:t xml:space="preserve"> People’s</w:t>
      </w:r>
      <w:r w:rsidR="008D3ED5">
        <w:rPr>
          <w:rFonts w:ascii="Times New Roman" w:hAnsi="Times New Roman"/>
          <w:sz w:val="24"/>
          <w:szCs w:val="24"/>
        </w:rPr>
        <w:t xml:space="preserve"> Republic of Korea</w:t>
      </w:r>
      <w:r w:rsidR="00F4344A">
        <w:rPr>
          <w:rFonts w:ascii="Times New Roman" w:hAnsi="Times New Roman"/>
          <w:sz w:val="24"/>
          <w:szCs w:val="24"/>
        </w:rPr>
        <w:t xml:space="preserve"> to be</w:t>
      </w:r>
      <w:r w:rsidRPr="00745921">
        <w:rPr>
          <w:rFonts w:ascii="Times New Roman" w:hAnsi="Times New Roman"/>
          <w:sz w:val="24"/>
          <w:szCs w:val="24"/>
        </w:rPr>
        <w:t xml:space="preserve"> </w:t>
      </w:r>
      <w:r w:rsidR="005C12B6">
        <w:rPr>
          <w:rFonts w:ascii="Times New Roman" w:hAnsi="Times New Roman"/>
          <w:sz w:val="24"/>
          <w:szCs w:val="24"/>
        </w:rPr>
        <w:t xml:space="preserve">a </w:t>
      </w:r>
      <w:r w:rsidR="005C12B6" w:rsidRPr="00615507">
        <w:rPr>
          <w:rFonts w:ascii="Times New Roman" w:hAnsi="Times New Roman"/>
          <w:i/>
          <w:sz w:val="24"/>
          <w:szCs w:val="24"/>
        </w:rPr>
        <w:t>prescribed foreign country</w:t>
      </w:r>
      <w:r w:rsidRPr="00745921">
        <w:rPr>
          <w:rFonts w:ascii="Times New Roman" w:hAnsi="Times New Roman"/>
          <w:sz w:val="24"/>
          <w:szCs w:val="24"/>
        </w:rPr>
        <w:t xml:space="preserve"> for the purposes of the Act. </w:t>
      </w:r>
    </w:p>
    <w:p w14:paraId="416A344D" w14:textId="77777777" w:rsidR="006F79B3" w:rsidRDefault="006F79B3" w:rsidP="0022154C">
      <w:pPr>
        <w:pStyle w:val="Paragraph"/>
        <w:spacing w:before="0" w:after="120" w:line="276" w:lineRule="auto"/>
        <w:rPr>
          <w:u w:val="single"/>
        </w:rPr>
      </w:pPr>
      <w:r>
        <w:rPr>
          <w:u w:val="single"/>
        </w:rPr>
        <w:t>Schedule 1 - Repeal</w:t>
      </w:r>
      <w:r w:rsidR="004D014D">
        <w:rPr>
          <w:u w:val="single"/>
        </w:rPr>
        <w:t>s</w:t>
      </w:r>
    </w:p>
    <w:p w14:paraId="2265409F" w14:textId="34E57ED9" w:rsidR="006F79B3" w:rsidRPr="00092753" w:rsidRDefault="00684C8A" w:rsidP="0022154C">
      <w:pPr>
        <w:pStyle w:val="Paragraph"/>
        <w:spacing w:before="0" w:after="120" w:line="276" w:lineRule="auto"/>
      </w:pPr>
      <w:r>
        <w:t xml:space="preserve">This </w:t>
      </w:r>
      <w:r w:rsidR="006F79B3">
        <w:t xml:space="preserve">section </w:t>
      </w:r>
      <w:r w:rsidR="001E44F3">
        <w:t>provides</w:t>
      </w:r>
      <w:r w:rsidR="006F79B3">
        <w:t xml:space="preserve"> that the whole of the </w:t>
      </w:r>
      <w:r w:rsidR="006F79B3">
        <w:rPr>
          <w:i/>
          <w:iCs/>
          <w:szCs w:val="24"/>
        </w:rPr>
        <w:t>Anti-Money Laundering and Counter</w:t>
      </w:r>
      <w:r w:rsidR="006F79B3">
        <w:rPr>
          <w:rFonts w:ascii="Arial" w:hAnsi="Arial" w:cs="Arial"/>
          <w:i/>
          <w:iCs/>
          <w:szCs w:val="24"/>
        </w:rPr>
        <w:t>-</w:t>
      </w:r>
      <w:r w:rsidR="006F79B3">
        <w:rPr>
          <w:i/>
          <w:iCs/>
          <w:szCs w:val="24"/>
        </w:rPr>
        <w:t>Terrorism Financing</w:t>
      </w:r>
      <w:r w:rsidR="0097653C">
        <w:rPr>
          <w:i/>
          <w:iCs/>
          <w:szCs w:val="24"/>
        </w:rPr>
        <w:t xml:space="preserve"> (</w:t>
      </w:r>
      <w:r w:rsidR="00341B11">
        <w:rPr>
          <w:i/>
          <w:iCs/>
          <w:szCs w:val="24"/>
        </w:rPr>
        <w:t>Prescribed Foreign Countries</w:t>
      </w:r>
      <w:r w:rsidR="00DB5222">
        <w:rPr>
          <w:i/>
          <w:iCs/>
          <w:szCs w:val="24"/>
        </w:rPr>
        <w:t>)</w:t>
      </w:r>
      <w:r w:rsidR="00341B11">
        <w:rPr>
          <w:i/>
          <w:iCs/>
          <w:szCs w:val="24"/>
        </w:rPr>
        <w:t xml:space="preserve"> </w:t>
      </w:r>
      <w:r w:rsidR="006F79B3">
        <w:rPr>
          <w:i/>
          <w:iCs/>
          <w:szCs w:val="24"/>
        </w:rPr>
        <w:t>Regulation 20</w:t>
      </w:r>
      <w:r w:rsidR="0097653C">
        <w:rPr>
          <w:i/>
          <w:iCs/>
          <w:szCs w:val="24"/>
        </w:rPr>
        <w:t>1</w:t>
      </w:r>
      <w:r w:rsidR="00341B11">
        <w:rPr>
          <w:i/>
          <w:iCs/>
          <w:szCs w:val="24"/>
        </w:rPr>
        <w:t>6</w:t>
      </w:r>
      <w:r w:rsidR="006F79B3">
        <w:t xml:space="preserve"> </w:t>
      </w:r>
      <w:r w:rsidR="008A5BDB">
        <w:t>is</w:t>
      </w:r>
      <w:r w:rsidR="006F79B3">
        <w:t xml:space="preserve"> repealed.</w:t>
      </w:r>
    </w:p>
    <w:p w14:paraId="216CD4A7" w14:textId="77777777" w:rsidR="006F79B3" w:rsidRPr="00AF61E7" w:rsidRDefault="006F79B3" w:rsidP="0022154C">
      <w:pPr>
        <w:pStyle w:val="Paragraph"/>
        <w:spacing w:before="0" w:after="120" w:line="276" w:lineRule="auto"/>
        <w:rPr>
          <w:szCs w:val="24"/>
        </w:rPr>
      </w:pPr>
    </w:p>
    <w:p w14:paraId="6726C9AE" w14:textId="77777777" w:rsidR="002A4F63" w:rsidRDefault="002A4F63" w:rsidP="0022154C">
      <w:pPr>
        <w:pStyle w:val="Paragraph"/>
        <w:spacing w:before="0" w:after="120" w:line="276" w:lineRule="auto"/>
        <w:jc w:val="right"/>
        <w:rPr>
          <w:szCs w:val="24"/>
        </w:rPr>
      </w:pPr>
    </w:p>
    <w:p w14:paraId="56140F32" w14:textId="77777777" w:rsidR="00745921" w:rsidRPr="006B18AD" w:rsidRDefault="00745921" w:rsidP="0022154C">
      <w:pPr>
        <w:pStyle w:val="Paragraph"/>
        <w:spacing w:before="0" w:after="120" w:line="276" w:lineRule="auto"/>
        <w:jc w:val="right"/>
        <w:rPr>
          <w:b/>
          <w:szCs w:val="24"/>
          <w:u w:val="single"/>
        </w:rPr>
      </w:pPr>
      <w:r>
        <w:rPr>
          <w:szCs w:val="24"/>
        </w:rPr>
        <w:br w:type="page"/>
      </w:r>
      <w:r w:rsidRPr="006B18AD">
        <w:rPr>
          <w:b/>
          <w:szCs w:val="24"/>
          <w:u w:val="single"/>
        </w:rPr>
        <w:lastRenderedPageBreak/>
        <w:t>ATTACHMENT</w:t>
      </w:r>
      <w:r>
        <w:rPr>
          <w:b/>
          <w:szCs w:val="24"/>
          <w:u w:val="single"/>
        </w:rPr>
        <w:t xml:space="preserve"> B</w:t>
      </w:r>
    </w:p>
    <w:p w14:paraId="5A97DC16" w14:textId="77777777" w:rsidR="00756A97" w:rsidRPr="00BC171E" w:rsidRDefault="007103D5" w:rsidP="0022154C">
      <w:pPr>
        <w:spacing w:before="240" w:after="120"/>
        <w:jc w:val="center"/>
        <w:rPr>
          <w:rFonts w:ascii="Times New Roman" w:hAnsi="Times New Roman"/>
          <w:b/>
          <w:sz w:val="28"/>
          <w:szCs w:val="28"/>
        </w:rPr>
      </w:pPr>
      <w:r w:rsidRPr="00BC171E">
        <w:rPr>
          <w:rFonts w:ascii="Times New Roman" w:hAnsi="Times New Roman"/>
          <w:b/>
          <w:sz w:val="28"/>
          <w:szCs w:val="28"/>
        </w:rPr>
        <w:t>Statement of Compatibility with Human Rights</w:t>
      </w:r>
    </w:p>
    <w:p w14:paraId="0EE3198D" w14:textId="77777777" w:rsidR="007103D5" w:rsidRPr="00BC171E" w:rsidRDefault="007103D5" w:rsidP="0022154C">
      <w:pPr>
        <w:spacing w:before="240" w:after="120"/>
        <w:jc w:val="center"/>
        <w:rPr>
          <w:rFonts w:ascii="Times New Roman" w:hAnsi="Times New Roman"/>
          <w:sz w:val="24"/>
          <w:szCs w:val="24"/>
        </w:rPr>
      </w:pPr>
      <w:r w:rsidRPr="00BC171E">
        <w:rPr>
          <w:rFonts w:ascii="Times New Roman" w:hAnsi="Times New Roman"/>
          <w:i/>
          <w:sz w:val="24"/>
          <w:szCs w:val="24"/>
        </w:rPr>
        <w:t>Prepared in accordance with Part 3 of the Human Rights (Parliamentary Scrutiny) Act 2011</w:t>
      </w:r>
    </w:p>
    <w:p w14:paraId="3957FCBB" w14:textId="7BFD0C92" w:rsidR="007103D5" w:rsidRPr="00BC171E" w:rsidRDefault="000E4E55" w:rsidP="0022154C">
      <w:pPr>
        <w:spacing w:before="240" w:after="120"/>
        <w:jc w:val="center"/>
        <w:rPr>
          <w:rFonts w:ascii="Times New Roman" w:hAnsi="Times New Roman"/>
          <w:b/>
          <w:sz w:val="24"/>
          <w:szCs w:val="24"/>
        </w:rPr>
      </w:pPr>
      <w:r w:rsidRPr="00BC171E">
        <w:rPr>
          <w:rFonts w:ascii="Times New Roman" w:hAnsi="Times New Roman"/>
          <w:b/>
          <w:sz w:val="24"/>
          <w:szCs w:val="24"/>
        </w:rPr>
        <w:t>Anti-Money Laundering and Counter-Terrorism Financing (Prescribed Foreign Countries) Regulation</w:t>
      </w:r>
      <w:r w:rsidR="00341B11" w:rsidRPr="00BC171E">
        <w:rPr>
          <w:rFonts w:ascii="Times New Roman" w:hAnsi="Times New Roman"/>
          <w:b/>
          <w:sz w:val="24"/>
          <w:szCs w:val="24"/>
        </w:rPr>
        <w:t>s</w:t>
      </w:r>
      <w:r w:rsidRPr="00BC171E">
        <w:rPr>
          <w:rFonts w:ascii="Times New Roman" w:hAnsi="Times New Roman"/>
          <w:b/>
          <w:sz w:val="24"/>
          <w:szCs w:val="24"/>
        </w:rPr>
        <w:t xml:space="preserve"> 201</w:t>
      </w:r>
      <w:r w:rsidR="00341B11" w:rsidRPr="00BC171E">
        <w:rPr>
          <w:rFonts w:ascii="Times New Roman" w:hAnsi="Times New Roman"/>
          <w:b/>
          <w:sz w:val="24"/>
          <w:szCs w:val="24"/>
        </w:rPr>
        <w:t>8</w:t>
      </w:r>
    </w:p>
    <w:p w14:paraId="7F8768D9" w14:textId="77777777" w:rsidR="007103D5" w:rsidRPr="00BC171E" w:rsidRDefault="00A50BE0" w:rsidP="003E3A0A">
      <w:pPr>
        <w:spacing w:before="120" w:after="120"/>
        <w:rPr>
          <w:rFonts w:ascii="Times New Roman" w:hAnsi="Times New Roman"/>
          <w:sz w:val="24"/>
          <w:szCs w:val="24"/>
        </w:rPr>
      </w:pPr>
      <w:r w:rsidRPr="00BC171E">
        <w:rPr>
          <w:rFonts w:ascii="Times New Roman" w:hAnsi="Times New Roman"/>
          <w:sz w:val="24"/>
          <w:szCs w:val="24"/>
        </w:rPr>
        <w:t>This legislative i</w:t>
      </w:r>
      <w:r w:rsidR="007103D5" w:rsidRPr="00BC171E">
        <w:rPr>
          <w:rFonts w:ascii="Times New Roman" w:hAnsi="Times New Roman"/>
          <w:sz w:val="24"/>
          <w:szCs w:val="24"/>
        </w:rPr>
        <w:t xml:space="preserve">nstrument is compatible with the human rights and freedoms recognised or declared in the international instruments listed in section 3 of the </w:t>
      </w:r>
      <w:r w:rsidR="007103D5" w:rsidRPr="00BC171E">
        <w:rPr>
          <w:rFonts w:ascii="Times New Roman" w:hAnsi="Times New Roman"/>
          <w:i/>
          <w:sz w:val="24"/>
          <w:szCs w:val="24"/>
        </w:rPr>
        <w:t>Human Rights (Parliamentary Scrutiny) Act 2011</w:t>
      </w:r>
      <w:r w:rsidR="007103D5" w:rsidRPr="00BC171E">
        <w:rPr>
          <w:rFonts w:ascii="Times New Roman" w:hAnsi="Times New Roman"/>
          <w:sz w:val="24"/>
          <w:szCs w:val="24"/>
        </w:rPr>
        <w:t>.</w:t>
      </w:r>
    </w:p>
    <w:p w14:paraId="08CE41A6" w14:textId="77777777" w:rsidR="007103D5" w:rsidRPr="00BC171E" w:rsidRDefault="00A50BE0" w:rsidP="003E3A0A">
      <w:pPr>
        <w:spacing w:before="240" w:after="120"/>
        <w:jc w:val="both"/>
        <w:rPr>
          <w:rFonts w:ascii="Times New Roman" w:hAnsi="Times New Roman"/>
          <w:b/>
          <w:sz w:val="24"/>
          <w:szCs w:val="24"/>
        </w:rPr>
      </w:pPr>
      <w:r w:rsidRPr="00BC171E">
        <w:rPr>
          <w:rFonts w:ascii="Times New Roman" w:hAnsi="Times New Roman"/>
          <w:b/>
          <w:sz w:val="24"/>
          <w:szCs w:val="24"/>
        </w:rPr>
        <w:t>Overview of the legislative i</w:t>
      </w:r>
      <w:r w:rsidR="007103D5" w:rsidRPr="00BC171E">
        <w:rPr>
          <w:rFonts w:ascii="Times New Roman" w:hAnsi="Times New Roman"/>
          <w:b/>
          <w:sz w:val="24"/>
          <w:szCs w:val="24"/>
        </w:rPr>
        <w:t>nstrument</w:t>
      </w:r>
    </w:p>
    <w:p w14:paraId="4C93322E" w14:textId="35F112CC" w:rsidR="00684C8A" w:rsidRPr="00BC171E" w:rsidRDefault="00797E15" w:rsidP="003E3A0A">
      <w:pPr>
        <w:pStyle w:val="Paragraph"/>
        <w:spacing w:after="120" w:line="276" w:lineRule="auto"/>
        <w:rPr>
          <w:i/>
        </w:rPr>
      </w:pPr>
      <w:r w:rsidRPr="00BC171E">
        <w:t>Section 5 of</w:t>
      </w:r>
      <w:r w:rsidR="008A5BDB" w:rsidRPr="00BC171E">
        <w:t xml:space="preserve"> </w:t>
      </w:r>
      <w:r w:rsidR="008A5BDB" w:rsidRPr="00BC171E">
        <w:rPr>
          <w:i/>
        </w:rPr>
        <w:t>Anti-Money Laundering and Counter-Terrorism Financing Act 2006</w:t>
      </w:r>
      <w:r w:rsidRPr="00BC171E">
        <w:t xml:space="preserve"> </w:t>
      </w:r>
      <w:r w:rsidR="008A5BDB" w:rsidRPr="00BC171E">
        <w:t>(</w:t>
      </w:r>
      <w:r w:rsidRPr="00BC171E">
        <w:t xml:space="preserve">the </w:t>
      </w:r>
      <w:r w:rsidR="00642560" w:rsidRPr="00BC171E">
        <w:t xml:space="preserve">AML/CTF </w:t>
      </w:r>
      <w:r w:rsidRPr="00BC171E">
        <w:t>Act</w:t>
      </w:r>
      <w:r w:rsidR="008A5BDB" w:rsidRPr="00BC171E">
        <w:t>)</w:t>
      </w:r>
      <w:r w:rsidRPr="00BC171E">
        <w:t xml:space="preserve"> provides that a </w:t>
      </w:r>
      <w:r w:rsidRPr="00BC171E">
        <w:rPr>
          <w:i/>
        </w:rPr>
        <w:t>prescribed foreign country</w:t>
      </w:r>
      <w:r w:rsidRPr="00BC171E">
        <w:t xml:space="preserve"> means a foreign country declared by the regulations to be a prescribed foreign country for the purposes of the </w:t>
      </w:r>
      <w:r w:rsidR="00642560" w:rsidRPr="00BC171E">
        <w:t xml:space="preserve">AML/CTF </w:t>
      </w:r>
      <w:r w:rsidRPr="00BC171E">
        <w:t>Act.</w:t>
      </w:r>
      <w:r w:rsidR="00684C8A" w:rsidRPr="00BC171E">
        <w:t xml:space="preserve">  The definition of </w:t>
      </w:r>
      <w:r w:rsidR="00684C8A" w:rsidRPr="00BC171E">
        <w:rPr>
          <w:i/>
        </w:rPr>
        <w:t xml:space="preserve">prescribed foreign country </w:t>
      </w:r>
      <w:r w:rsidR="00684C8A" w:rsidRPr="00BC171E">
        <w:t>is relevant for the purposes of</w:t>
      </w:r>
      <w:r w:rsidR="00684C8A" w:rsidRPr="00BC171E">
        <w:rPr>
          <w:i/>
        </w:rPr>
        <w:t>:</w:t>
      </w:r>
    </w:p>
    <w:p w14:paraId="39B3313B" w14:textId="77777777" w:rsidR="00684C8A" w:rsidRPr="00BC171E" w:rsidRDefault="00684C8A" w:rsidP="003E3A0A">
      <w:pPr>
        <w:pStyle w:val="Paragraph"/>
        <w:numPr>
          <w:ilvl w:val="0"/>
          <w:numId w:val="7"/>
        </w:numPr>
        <w:spacing w:after="120" w:line="276" w:lineRule="auto"/>
      </w:pPr>
      <w:r w:rsidRPr="00BC171E">
        <w:t xml:space="preserve">Chapter 15 of the </w:t>
      </w:r>
      <w:r w:rsidRPr="00BC171E">
        <w:rPr>
          <w:i/>
        </w:rPr>
        <w:t>Anti-Money Laundering and Counter</w:t>
      </w:r>
      <w:r w:rsidRPr="00BC171E">
        <w:rPr>
          <w:i/>
        </w:rPr>
        <w:noBreakHyphen/>
        <w:t>Terrorism Financing Rules Instrument 2007 (No. 1)</w:t>
      </w:r>
      <w:r w:rsidRPr="00BC171E">
        <w:t>, which provides that reporting entities in Australia must apply enhanced customer due diligence when entering into a transaction and a party to the transaction is present in, or is a corporation incorporated in, a prescribed foreign country, and</w:t>
      </w:r>
    </w:p>
    <w:p w14:paraId="2A7488FD" w14:textId="77777777" w:rsidR="00684C8A" w:rsidRPr="00BC171E" w:rsidRDefault="00684C8A" w:rsidP="003E3A0A">
      <w:pPr>
        <w:pStyle w:val="Paragraph"/>
        <w:numPr>
          <w:ilvl w:val="0"/>
          <w:numId w:val="7"/>
        </w:numPr>
        <w:spacing w:after="120" w:line="276" w:lineRule="auto"/>
        <w:ind w:left="714" w:hanging="357"/>
      </w:pPr>
      <w:r w:rsidRPr="00BC171E">
        <w:t>Section 102 in Part 9 of the Act, which provides that the regulations may prohibit or regulate the entering into of transactions with residents of prescribed foreign countries.</w:t>
      </w:r>
    </w:p>
    <w:p w14:paraId="11C59000" w14:textId="5D3AF7B3" w:rsidR="00A24DA7" w:rsidRPr="00BC171E" w:rsidRDefault="00684C8A" w:rsidP="003E3A0A">
      <w:pPr>
        <w:pStyle w:val="Paragraph"/>
        <w:spacing w:before="0" w:after="120" w:line="276" w:lineRule="auto"/>
      </w:pPr>
      <w:r w:rsidRPr="00BC171E">
        <w:t>The R</w:t>
      </w:r>
      <w:r w:rsidR="00A24DA7" w:rsidRPr="00BC171E">
        <w:t>egulation</w:t>
      </w:r>
      <w:r w:rsidR="00341B11" w:rsidRPr="00BC171E">
        <w:t>s</w:t>
      </w:r>
      <w:r w:rsidR="00A24DA7" w:rsidRPr="00BC171E">
        <w:t xml:space="preserve"> </w:t>
      </w:r>
      <w:r w:rsidRPr="00BC171E">
        <w:t xml:space="preserve">continue to declare </w:t>
      </w:r>
      <w:r w:rsidR="00DB5222" w:rsidRPr="00BC171E">
        <w:t>Iran and</w:t>
      </w:r>
      <w:r w:rsidR="00341B11" w:rsidRPr="00BC171E">
        <w:t xml:space="preserve"> </w:t>
      </w:r>
      <w:r w:rsidR="00A24DA7" w:rsidRPr="00BC171E">
        <w:rPr>
          <w:szCs w:val="24"/>
        </w:rPr>
        <w:t xml:space="preserve">the Democratic People’s Republic of Korea </w:t>
      </w:r>
      <w:r w:rsidR="002E3A85" w:rsidRPr="00BC171E">
        <w:rPr>
          <w:szCs w:val="24"/>
        </w:rPr>
        <w:t>(</w:t>
      </w:r>
      <w:r w:rsidR="00A24DA7" w:rsidRPr="00BC171E">
        <w:rPr>
          <w:szCs w:val="24"/>
        </w:rPr>
        <w:t xml:space="preserve">DPRK) </w:t>
      </w:r>
      <w:r w:rsidR="0028118B" w:rsidRPr="00BC171E">
        <w:rPr>
          <w:szCs w:val="24"/>
        </w:rPr>
        <w:t>to be</w:t>
      </w:r>
      <w:r w:rsidR="00A24DA7" w:rsidRPr="00BC171E">
        <w:rPr>
          <w:szCs w:val="24"/>
        </w:rPr>
        <w:t xml:space="preserve"> prescribed foreign countr</w:t>
      </w:r>
      <w:r w:rsidR="00341B11" w:rsidRPr="00BC171E">
        <w:rPr>
          <w:szCs w:val="24"/>
        </w:rPr>
        <w:t>ies</w:t>
      </w:r>
      <w:r w:rsidR="00A24DA7" w:rsidRPr="00BC171E">
        <w:rPr>
          <w:szCs w:val="24"/>
        </w:rPr>
        <w:t xml:space="preserve">.  </w:t>
      </w:r>
      <w:r w:rsidR="00810038" w:rsidRPr="00BC171E">
        <w:rPr>
          <w:szCs w:val="24"/>
        </w:rPr>
        <w:t xml:space="preserve">This </w:t>
      </w:r>
      <w:r w:rsidR="00A24DA7" w:rsidRPr="00BC171E">
        <w:rPr>
          <w:szCs w:val="24"/>
        </w:rPr>
        <w:t>require</w:t>
      </w:r>
      <w:r w:rsidR="00810038" w:rsidRPr="00BC171E">
        <w:rPr>
          <w:szCs w:val="24"/>
        </w:rPr>
        <w:t>s</w:t>
      </w:r>
      <w:r w:rsidR="00A24DA7" w:rsidRPr="00BC171E">
        <w:rPr>
          <w:szCs w:val="24"/>
        </w:rPr>
        <w:t xml:space="preserve"> </w:t>
      </w:r>
      <w:r w:rsidR="0019150E" w:rsidRPr="00BC171E">
        <w:rPr>
          <w:szCs w:val="24"/>
        </w:rPr>
        <w:t xml:space="preserve">reporting </w:t>
      </w:r>
      <w:r w:rsidR="00A24DA7" w:rsidRPr="00BC171E">
        <w:rPr>
          <w:szCs w:val="24"/>
        </w:rPr>
        <w:t>entities</w:t>
      </w:r>
      <w:r w:rsidR="00810038" w:rsidRPr="00BC171E">
        <w:rPr>
          <w:szCs w:val="24"/>
        </w:rPr>
        <w:t xml:space="preserve"> (such as financial institutions)</w:t>
      </w:r>
      <w:r w:rsidR="00A24DA7" w:rsidRPr="00BC171E">
        <w:rPr>
          <w:szCs w:val="24"/>
        </w:rPr>
        <w:t xml:space="preserve"> in Australia to </w:t>
      </w:r>
      <w:r w:rsidR="00C07D39" w:rsidRPr="00BC171E">
        <w:rPr>
          <w:szCs w:val="24"/>
        </w:rPr>
        <w:t xml:space="preserve">apply </w:t>
      </w:r>
      <w:r w:rsidR="00A24DA7" w:rsidRPr="00BC171E">
        <w:rPr>
          <w:szCs w:val="24"/>
        </w:rPr>
        <w:t xml:space="preserve">enhanced customer due diligence </w:t>
      </w:r>
      <w:r w:rsidR="00C07D39" w:rsidRPr="00BC171E">
        <w:rPr>
          <w:szCs w:val="24"/>
        </w:rPr>
        <w:t>to all</w:t>
      </w:r>
      <w:r w:rsidR="00F0777D" w:rsidRPr="00BC171E">
        <w:rPr>
          <w:szCs w:val="24"/>
        </w:rPr>
        <w:t xml:space="preserve"> transactions that involve</w:t>
      </w:r>
      <w:r w:rsidR="00A24DA7" w:rsidRPr="00BC171E">
        <w:rPr>
          <w:szCs w:val="24"/>
        </w:rPr>
        <w:t xml:space="preserve"> </w:t>
      </w:r>
      <w:r w:rsidR="001C171A" w:rsidRPr="00BC171E">
        <w:rPr>
          <w:szCs w:val="24"/>
        </w:rPr>
        <w:t xml:space="preserve">persons </w:t>
      </w:r>
      <w:r w:rsidR="00810038" w:rsidRPr="00BC171E">
        <w:rPr>
          <w:szCs w:val="24"/>
        </w:rPr>
        <w:t>or corporations</w:t>
      </w:r>
      <w:r w:rsidR="00B0227F" w:rsidRPr="00BC171E">
        <w:rPr>
          <w:szCs w:val="24"/>
        </w:rPr>
        <w:t xml:space="preserve"> in Iran or </w:t>
      </w:r>
      <w:r w:rsidR="00810038" w:rsidRPr="00BC171E">
        <w:rPr>
          <w:szCs w:val="24"/>
        </w:rPr>
        <w:t xml:space="preserve">the </w:t>
      </w:r>
      <w:r w:rsidR="00B0227F" w:rsidRPr="00BC171E">
        <w:rPr>
          <w:szCs w:val="24"/>
        </w:rPr>
        <w:t>DPRK</w:t>
      </w:r>
      <w:r w:rsidR="00A24DA7" w:rsidRPr="00BC171E">
        <w:rPr>
          <w:szCs w:val="24"/>
        </w:rPr>
        <w:t>.</w:t>
      </w:r>
      <w:r w:rsidRPr="00BC171E">
        <w:rPr>
          <w:szCs w:val="24"/>
        </w:rPr>
        <w:t xml:space="preserve"> </w:t>
      </w:r>
      <w:r w:rsidRPr="00BC171E">
        <w:t xml:space="preserve">The Regulations also repeal the </w:t>
      </w:r>
      <w:r w:rsidRPr="00BC171E">
        <w:rPr>
          <w:i/>
        </w:rPr>
        <w:t>Anti-Money Laundering and Counter-Terrorism Financing (Prescribed Foreign Countries) Regulation 2016</w:t>
      </w:r>
      <w:r w:rsidRPr="00BC171E">
        <w:t xml:space="preserve">, which is listed to sunset on 1 April 2018.  </w:t>
      </w:r>
    </w:p>
    <w:p w14:paraId="633201E7" w14:textId="77777777" w:rsidR="007103D5" w:rsidRPr="00BC171E" w:rsidRDefault="007103D5" w:rsidP="003E3A0A">
      <w:pPr>
        <w:spacing w:before="240" w:after="120"/>
        <w:rPr>
          <w:rFonts w:ascii="Times New Roman" w:hAnsi="Times New Roman"/>
          <w:b/>
          <w:sz w:val="24"/>
          <w:szCs w:val="24"/>
        </w:rPr>
      </w:pPr>
      <w:r w:rsidRPr="00BC171E">
        <w:rPr>
          <w:rFonts w:ascii="Times New Roman" w:hAnsi="Times New Roman"/>
          <w:b/>
          <w:sz w:val="24"/>
          <w:szCs w:val="24"/>
        </w:rPr>
        <w:t>Human rights implications</w:t>
      </w:r>
    </w:p>
    <w:p w14:paraId="107FD3B6" w14:textId="77777777" w:rsidR="007103D5" w:rsidRPr="00BC171E" w:rsidRDefault="007B4B94" w:rsidP="003E3A0A">
      <w:pPr>
        <w:spacing w:before="120" w:after="120"/>
        <w:rPr>
          <w:rFonts w:ascii="Times New Roman" w:hAnsi="Times New Roman"/>
          <w:sz w:val="24"/>
          <w:szCs w:val="24"/>
        </w:rPr>
      </w:pPr>
      <w:r w:rsidRPr="00BC171E">
        <w:rPr>
          <w:rFonts w:ascii="Times New Roman" w:hAnsi="Times New Roman"/>
          <w:sz w:val="24"/>
          <w:szCs w:val="24"/>
        </w:rPr>
        <w:t>This</w:t>
      </w:r>
      <w:r w:rsidR="00C00588" w:rsidRPr="00BC171E">
        <w:rPr>
          <w:rFonts w:ascii="Times New Roman" w:hAnsi="Times New Roman"/>
          <w:sz w:val="24"/>
          <w:szCs w:val="24"/>
        </w:rPr>
        <w:t xml:space="preserve"> l</w:t>
      </w:r>
      <w:r w:rsidR="007103D5" w:rsidRPr="00BC171E">
        <w:rPr>
          <w:rFonts w:ascii="Times New Roman" w:hAnsi="Times New Roman"/>
          <w:sz w:val="24"/>
          <w:szCs w:val="24"/>
        </w:rPr>
        <w:t>egi</w:t>
      </w:r>
      <w:r w:rsidR="00C00588" w:rsidRPr="00BC171E">
        <w:rPr>
          <w:rFonts w:ascii="Times New Roman" w:hAnsi="Times New Roman"/>
          <w:sz w:val="24"/>
          <w:szCs w:val="24"/>
        </w:rPr>
        <w:t>slative i</w:t>
      </w:r>
      <w:r w:rsidR="007103D5" w:rsidRPr="00BC171E">
        <w:rPr>
          <w:rFonts w:ascii="Times New Roman" w:hAnsi="Times New Roman"/>
          <w:sz w:val="24"/>
          <w:szCs w:val="24"/>
        </w:rPr>
        <w:t>nstrument</w:t>
      </w:r>
      <w:r w:rsidRPr="00BC171E">
        <w:rPr>
          <w:rFonts w:ascii="Times New Roman" w:hAnsi="Times New Roman"/>
          <w:sz w:val="24"/>
          <w:szCs w:val="24"/>
        </w:rPr>
        <w:t xml:space="preserve"> engage</w:t>
      </w:r>
      <w:r w:rsidR="00013BB6" w:rsidRPr="00BC171E">
        <w:rPr>
          <w:rFonts w:ascii="Times New Roman" w:hAnsi="Times New Roman"/>
          <w:sz w:val="24"/>
          <w:szCs w:val="24"/>
        </w:rPr>
        <w:t>s</w:t>
      </w:r>
      <w:r w:rsidRPr="00BC171E">
        <w:rPr>
          <w:rFonts w:ascii="Times New Roman" w:hAnsi="Times New Roman"/>
          <w:sz w:val="24"/>
          <w:szCs w:val="24"/>
        </w:rPr>
        <w:t xml:space="preserve"> the protection against unlawful and arbitrary interference with privacy under Article 17 of the International Covenant on Civil and Political Rights (ICCPR)</w:t>
      </w:r>
      <w:r w:rsidR="007103D5" w:rsidRPr="00BC171E">
        <w:rPr>
          <w:rFonts w:ascii="Times New Roman" w:hAnsi="Times New Roman"/>
          <w:sz w:val="24"/>
          <w:szCs w:val="24"/>
        </w:rPr>
        <w:t>.</w:t>
      </w:r>
    </w:p>
    <w:p w14:paraId="12E9A9F6" w14:textId="77777777" w:rsidR="007B4B94" w:rsidRPr="00BC171E" w:rsidRDefault="007B4B94" w:rsidP="003E3A0A">
      <w:pPr>
        <w:spacing w:before="120" w:after="120"/>
        <w:rPr>
          <w:rFonts w:ascii="Times New Roman" w:hAnsi="Times New Roman"/>
          <w:sz w:val="24"/>
          <w:szCs w:val="24"/>
        </w:rPr>
      </w:pPr>
      <w:r w:rsidRPr="00BC171E">
        <w:rPr>
          <w:rFonts w:ascii="Times New Roman" w:hAnsi="Times New Roman"/>
          <w:sz w:val="24"/>
          <w:szCs w:val="24"/>
        </w:rPr>
        <w:t>The measures in the legislative</w:t>
      </w:r>
      <w:r w:rsidR="00C87F9E" w:rsidRPr="00BC171E">
        <w:rPr>
          <w:rFonts w:ascii="Times New Roman" w:hAnsi="Times New Roman"/>
          <w:sz w:val="24"/>
          <w:szCs w:val="24"/>
        </w:rPr>
        <w:t xml:space="preserve"> instrument</w:t>
      </w:r>
      <w:r w:rsidRPr="00BC171E">
        <w:rPr>
          <w:rFonts w:ascii="Times New Roman" w:hAnsi="Times New Roman"/>
          <w:sz w:val="24"/>
          <w:szCs w:val="24"/>
        </w:rPr>
        <w:t xml:space="preserve"> </w:t>
      </w:r>
      <w:r w:rsidR="00731A00" w:rsidRPr="00BC171E">
        <w:rPr>
          <w:rFonts w:ascii="Times New Roman" w:hAnsi="Times New Roman"/>
          <w:sz w:val="24"/>
          <w:szCs w:val="24"/>
        </w:rPr>
        <w:t>impact on</w:t>
      </w:r>
      <w:r w:rsidRPr="00BC171E">
        <w:rPr>
          <w:rFonts w:ascii="Times New Roman" w:hAnsi="Times New Roman"/>
          <w:sz w:val="24"/>
          <w:szCs w:val="24"/>
        </w:rPr>
        <w:t xml:space="preserve"> privacy</w:t>
      </w:r>
      <w:r w:rsidR="00F9738E" w:rsidRPr="00BC171E">
        <w:rPr>
          <w:rFonts w:ascii="Times New Roman" w:hAnsi="Times New Roman"/>
          <w:sz w:val="24"/>
          <w:szCs w:val="24"/>
        </w:rPr>
        <w:t xml:space="preserve"> by requiring reporting entities in Australia</w:t>
      </w:r>
      <w:r w:rsidR="00C723AA" w:rsidRPr="00BC171E">
        <w:rPr>
          <w:rFonts w:ascii="Times New Roman" w:hAnsi="Times New Roman"/>
          <w:sz w:val="24"/>
          <w:szCs w:val="24"/>
        </w:rPr>
        <w:t xml:space="preserve"> to</w:t>
      </w:r>
      <w:r w:rsidR="00F9738E" w:rsidRPr="00BC171E">
        <w:rPr>
          <w:rFonts w:ascii="Times New Roman" w:hAnsi="Times New Roman"/>
          <w:sz w:val="24"/>
          <w:szCs w:val="24"/>
        </w:rPr>
        <w:t xml:space="preserve"> use enhanced customer due diligence when a party to a</w:t>
      </w:r>
      <w:r w:rsidR="00A61BCA" w:rsidRPr="00BC171E">
        <w:rPr>
          <w:rFonts w:ascii="Times New Roman" w:hAnsi="Times New Roman"/>
          <w:sz w:val="24"/>
          <w:szCs w:val="24"/>
        </w:rPr>
        <w:t xml:space="preserve"> relevant</w:t>
      </w:r>
      <w:r w:rsidR="00F9738E" w:rsidRPr="00BC171E">
        <w:rPr>
          <w:rFonts w:ascii="Times New Roman" w:hAnsi="Times New Roman"/>
          <w:sz w:val="24"/>
          <w:szCs w:val="24"/>
        </w:rPr>
        <w:t xml:space="preserve"> transac</w:t>
      </w:r>
      <w:r w:rsidR="00A61BCA" w:rsidRPr="00BC171E">
        <w:rPr>
          <w:rFonts w:ascii="Times New Roman" w:hAnsi="Times New Roman"/>
          <w:sz w:val="24"/>
          <w:szCs w:val="24"/>
        </w:rPr>
        <w:t xml:space="preserve">tion is present in Iran or </w:t>
      </w:r>
      <w:r w:rsidR="00F02073" w:rsidRPr="00BC171E">
        <w:rPr>
          <w:rFonts w:ascii="Times New Roman" w:hAnsi="Times New Roman"/>
          <w:sz w:val="24"/>
          <w:szCs w:val="24"/>
        </w:rPr>
        <w:t>the DPRK</w:t>
      </w:r>
      <w:r w:rsidRPr="00BC171E">
        <w:rPr>
          <w:rFonts w:ascii="Times New Roman" w:hAnsi="Times New Roman"/>
          <w:sz w:val="24"/>
          <w:szCs w:val="24"/>
        </w:rPr>
        <w:t>.</w:t>
      </w:r>
      <w:r w:rsidR="00DB0D0E" w:rsidRPr="00BC171E">
        <w:rPr>
          <w:rFonts w:ascii="Times New Roman" w:hAnsi="Times New Roman"/>
          <w:sz w:val="24"/>
          <w:szCs w:val="24"/>
        </w:rPr>
        <w:t xml:space="preserve">  The particular enhanced procedures are set out in paragraph 15.10 of the Rules.  The enhanced procedures ma</w:t>
      </w:r>
      <w:r w:rsidR="002B5E52" w:rsidRPr="00BC171E">
        <w:rPr>
          <w:rFonts w:ascii="Times New Roman" w:hAnsi="Times New Roman"/>
          <w:sz w:val="24"/>
          <w:szCs w:val="24"/>
        </w:rPr>
        <w:t>y involve obtaining more detailed information</w:t>
      </w:r>
      <w:r w:rsidR="00DB0D0E" w:rsidRPr="00BC171E">
        <w:rPr>
          <w:rFonts w:ascii="Times New Roman" w:hAnsi="Times New Roman"/>
          <w:sz w:val="24"/>
          <w:szCs w:val="24"/>
        </w:rPr>
        <w:t xml:space="preserve"> or</w:t>
      </w:r>
      <w:r w:rsidR="002B5E52" w:rsidRPr="00BC171E">
        <w:rPr>
          <w:rFonts w:ascii="Times New Roman" w:hAnsi="Times New Roman"/>
          <w:sz w:val="24"/>
          <w:szCs w:val="24"/>
        </w:rPr>
        <w:t xml:space="preserve"> documentation</w:t>
      </w:r>
      <w:r w:rsidR="00DB0D0E" w:rsidRPr="00BC171E">
        <w:rPr>
          <w:rFonts w:ascii="Times New Roman" w:hAnsi="Times New Roman"/>
          <w:sz w:val="24"/>
          <w:szCs w:val="24"/>
        </w:rPr>
        <w:t xml:space="preserve"> </w:t>
      </w:r>
      <w:r w:rsidR="002B5E52" w:rsidRPr="00BC171E">
        <w:rPr>
          <w:rFonts w:ascii="Times New Roman" w:hAnsi="Times New Roman"/>
          <w:sz w:val="24"/>
          <w:szCs w:val="24"/>
        </w:rPr>
        <w:t>relating to the</w:t>
      </w:r>
      <w:r w:rsidR="00AD0F7A" w:rsidRPr="00BC171E">
        <w:rPr>
          <w:rFonts w:ascii="Times New Roman" w:hAnsi="Times New Roman"/>
          <w:sz w:val="24"/>
          <w:szCs w:val="24"/>
        </w:rPr>
        <w:t xml:space="preserve"> proposed transaction or the</w:t>
      </w:r>
      <w:r w:rsidR="002B5E52" w:rsidRPr="00BC171E">
        <w:rPr>
          <w:rFonts w:ascii="Times New Roman" w:hAnsi="Times New Roman"/>
          <w:sz w:val="24"/>
          <w:szCs w:val="24"/>
        </w:rPr>
        <w:t xml:space="preserve"> customer’s</w:t>
      </w:r>
      <w:r w:rsidR="00AD0F7A" w:rsidRPr="00BC171E">
        <w:rPr>
          <w:rFonts w:ascii="Times New Roman" w:hAnsi="Times New Roman"/>
          <w:sz w:val="24"/>
          <w:szCs w:val="24"/>
        </w:rPr>
        <w:t xml:space="preserve"> identity or</w:t>
      </w:r>
      <w:r w:rsidR="001D2047" w:rsidRPr="00BC171E">
        <w:rPr>
          <w:rFonts w:ascii="Times New Roman" w:hAnsi="Times New Roman"/>
          <w:sz w:val="24"/>
          <w:szCs w:val="24"/>
        </w:rPr>
        <w:t xml:space="preserve"> </w:t>
      </w:r>
      <w:r w:rsidR="00DB0D0E" w:rsidRPr="00BC171E">
        <w:rPr>
          <w:rFonts w:ascii="Times New Roman" w:hAnsi="Times New Roman"/>
          <w:sz w:val="24"/>
          <w:szCs w:val="24"/>
        </w:rPr>
        <w:t>financial circumstances.</w:t>
      </w:r>
    </w:p>
    <w:p w14:paraId="292A08BA" w14:textId="77777777" w:rsidR="00CA6957" w:rsidRPr="00BC171E" w:rsidRDefault="00D1035D" w:rsidP="003E3A0A">
      <w:pPr>
        <w:spacing w:before="120" w:after="120"/>
        <w:rPr>
          <w:rFonts w:ascii="Times New Roman" w:hAnsi="Times New Roman"/>
          <w:sz w:val="24"/>
          <w:szCs w:val="24"/>
        </w:rPr>
      </w:pPr>
      <w:r w:rsidRPr="00BC171E">
        <w:rPr>
          <w:rFonts w:ascii="Times New Roman" w:hAnsi="Times New Roman"/>
          <w:sz w:val="24"/>
          <w:szCs w:val="24"/>
        </w:rPr>
        <w:t>Division 2 of Part 10 of the AML/CTF Act</w:t>
      </w:r>
      <w:r w:rsidR="00CF30F9" w:rsidRPr="00BC171E">
        <w:rPr>
          <w:rFonts w:ascii="Times New Roman" w:hAnsi="Times New Roman"/>
          <w:sz w:val="24"/>
          <w:szCs w:val="24"/>
        </w:rPr>
        <w:t xml:space="preserve"> </w:t>
      </w:r>
      <w:r w:rsidRPr="00BC171E">
        <w:rPr>
          <w:rFonts w:ascii="Times New Roman" w:hAnsi="Times New Roman"/>
          <w:sz w:val="24"/>
          <w:szCs w:val="24"/>
        </w:rPr>
        <w:t xml:space="preserve">provides that if </w:t>
      </w:r>
      <w:r w:rsidR="00CF30F9" w:rsidRPr="00BC171E">
        <w:rPr>
          <w:rFonts w:ascii="Times New Roman" w:hAnsi="Times New Roman"/>
          <w:sz w:val="24"/>
          <w:szCs w:val="24"/>
        </w:rPr>
        <w:t>a reporting entity creates a transaction record</w:t>
      </w:r>
      <w:r w:rsidRPr="00BC171E">
        <w:rPr>
          <w:rFonts w:ascii="Times New Roman" w:hAnsi="Times New Roman"/>
          <w:sz w:val="24"/>
          <w:szCs w:val="24"/>
        </w:rPr>
        <w:t xml:space="preserve"> in relation to the provision of a designated service, or a customer provides a document to the reporting entity in relation to the provision of a designated service, the reporting entity must retain a copy of the record for seven years</w:t>
      </w:r>
      <w:r w:rsidR="00A712CA" w:rsidRPr="00BC171E">
        <w:rPr>
          <w:rFonts w:ascii="Times New Roman" w:hAnsi="Times New Roman"/>
          <w:sz w:val="24"/>
          <w:szCs w:val="24"/>
        </w:rPr>
        <w:t>.</w:t>
      </w:r>
      <w:r w:rsidR="00CA6957" w:rsidRPr="00BC171E">
        <w:rPr>
          <w:rFonts w:ascii="Times New Roman" w:hAnsi="Times New Roman"/>
          <w:sz w:val="24"/>
          <w:szCs w:val="24"/>
        </w:rPr>
        <w:t xml:space="preserve">  </w:t>
      </w:r>
    </w:p>
    <w:p w14:paraId="4C9D908D" w14:textId="29726707" w:rsidR="004E2565" w:rsidRPr="00BC171E" w:rsidRDefault="008D2A31" w:rsidP="003E3A0A">
      <w:pPr>
        <w:spacing w:before="120" w:after="120"/>
        <w:rPr>
          <w:rFonts w:ascii="Times New Roman" w:hAnsi="Times New Roman"/>
          <w:sz w:val="24"/>
          <w:szCs w:val="24"/>
        </w:rPr>
      </w:pPr>
      <w:r w:rsidRPr="00BC171E">
        <w:rPr>
          <w:rFonts w:ascii="Times New Roman" w:hAnsi="Times New Roman"/>
          <w:sz w:val="24"/>
          <w:szCs w:val="24"/>
        </w:rPr>
        <w:lastRenderedPageBreak/>
        <w:t xml:space="preserve">Reporting entities have a range of </w:t>
      </w:r>
      <w:r w:rsidR="005E07DD" w:rsidRPr="00BC171E">
        <w:rPr>
          <w:rFonts w:ascii="Times New Roman" w:hAnsi="Times New Roman"/>
          <w:sz w:val="24"/>
          <w:szCs w:val="24"/>
        </w:rPr>
        <w:t xml:space="preserve">reporting </w:t>
      </w:r>
      <w:r w:rsidRPr="00BC171E">
        <w:rPr>
          <w:rFonts w:ascii="Times New Roman" w:hAnsi="Times New Roman"/>
          <w:sz w:val="24"/>
          <w:szCs w:val="24"/>
        </w:rPr>
        <w:t xml:space="preserve">obligations under </w:t>
      </w:r>
      <w:r w:rsidR="002457BC" w:rsidRPr="00BC171E">
        <w:rPr>
          <w:rFonts w:ascii="Times New Roman" w:hAnsi="Times New Roman"/>
          <w:sz w:val="24"/>
          <w:szCs w:val="24"/>
        </w:rPr>
        <w:t xml:space="preserve">Part 3 of </w:t>
      </w:r>
      <w:r w:rsidRPr="00BC171E">
        <w:rPr>
          <w:rFonts w:ascii="Times New Roman" w:hAnsi="Times New Roman"/>
          <w:sz w:val="24"/>
          <w:szCs w:val="24"/>
        </w:rPr>
        <w:t xml:space="preserve">the </w:t>
      </w:r>
      <w:r w:rsidR="00AD0F7A" w:rsidRPr="00BC171E">
        <w:rPr>
          <w:rFonts w:ascii="Times New Roman" w:hAnsi="Times New Roman"/>
          <w:sz w:val="24"/>
          <w:szCs w:val="24"/>
        </w:rPr>
        <w:t>AML/</w:t>
      </w:r>
      <w:r w:rsidR="00CA6957" w:rsidRPr="00BC171E">
        <w:rPr>
          <w:rFonts w:ascii="Times New Roman" w:hAnsi="Times New Roman"/>
          <w:sz w:val="24"/>
          <w:szCs w:val="24"/>
        </w:rPr>
        <w:t xml:space="preserve">CTF </w:t>
      </w:r>
      <w:r w:rsidRPr="00BC171E">
        <w:rPr>
          <w:rFonts w:ascii="Times New Roman" w:hAnsi="Times New Roman"/>
          <w:sz w:val="24"/>
          <w:szCs w:val="24"/>
        </w:rPr>
        <w:t xml:space="preserve">Act, which include making reports to </w:t>
      </w:r>
      <w:r w:rsidR="00A512D4">
        <w:rPr>
          <w:rFonts w:ascii="Times New Roman" w:hAnsi="Times New Roman"/>
          <w:sz w:val="24"/>
          <w:szCs w:val="24"/>
        </w:rPr>
        <w:t>Australian Transaction Reports and Analysis Centre (</w:t>
      </w:r>
      <w:r w:rsidRPr="00BC171E">
        <w:rPr>
          <w:rFonts w:ascii="Times New Roman" w:hAnsi="Times New Roman"/>
          <w:sz w:val="24"/>
          <w:szCs w:val="24"/>
        </w:rPr>
        <w:t>AUSTRAC</w:t>
      </w:r>
      <w:r w:rsidR="00A512D4">
        <w:rPr>
          <w:rFonts w:ascii="Times New Roman" w:hAnsi="Times New Roman"/>
          <w:sz w:val="24"/>
          <w:szCs w:val="24"/>
        </w:rPr>
        <w:t>)</w:t>
      </w:r>
      <w:r w:rsidRPr="00BC171E">
        <w:rPr>
          <w:rFonts w:ascii="Times New Roman" w:hAnsi="Times New Roman"/>
          <w:sz w:val="24"/>
          <w:szCs w:val="24"/>
        </w:rPr>
        <w:t xml:space="preserve"> about international funds transfers, suspicious transactions, and transactions over a specified threshold.  </w:t>
      </w:r>
      <w:r w:rsidR="002457BC" w:rsidRPr="00BC171E">
        <w:rPr>
          <w:rFonts w:ascii="Times New Roman" w:hAnsi="Times New Roman"/>
          <w:sz w:val="24"/>
          <w:szCs w:val="24"/>
        </w:rPr>
        <w:t xml:space="preserve">Under section 49 of the AML/CTF Act, </w:t>
      </w:r>
      <w:r w:rsidRPr="00BC171E">
        <w:rPr>
          <w:rFonts w:ascii="Times New Roman" w:hAnsi="Times New Roman"/>
          <w:sz w:val="24"/>
          <w:szCs w:val="24"/>
        </w:rPr>
        <w:t xml:space="preserve">AUSTRAC </w:t>
      </w:r>
      <w:r w:rsidR="00DF4727" w:rsidRPr="00BC171E">
        <w:rPr>
          <w:rFonts w:ascii="Times New Roman" w:hAnsi="Times New Roman"/>
          <w:sz w:val="24"/>
          <w:szCs w:val="24"/>
        </w:rPr>
        <w:t xml:space="preserve">and certain other Commonwealth agencies </w:t>
      </w:r>
      <w:r w:rsidRPr="00BC171E">
        <w:rPr>
          <w:rFonts w:ascii="Times New Roman" w:hAnsi="Times New Roman"/>
          <w:sz w:val="24"/>
          <w:szCs w:val="24"/>
        </w:rPr>
        <w:t xml:space="preserve">may request further information from </w:t>
      </w:r>
      <w:r w:rsidR="00CA6957" w:rsidRPr="00BC171E">
        <w:rPr>
          <w:rFonts w:ascii="Times New Roman" w:hAnsi="Times New Roman"/>
          <w:sz w:val="24"/>
          <w:szCs w:val="24"/>
        </w:rPr>
        <w:t>reporting entities in relation to such reports.</w:t>
      </w:r>
      <w:r w:rsidR="001B5B8A" w:rsidRPr="00BC171E">
        <w:rPr>
          <w:rFonts w:ascii="Times New Roman" w:hAnsi="Times New Roman"/>
          <w:sz w:val="24"/>
          <w:szCs w:val="24"/>
        </w:rPr>
        <w:t xml:space="preserve">  </w:t>
      </w:r>
      <w:r w:rsidR="00610B66" w:rsidRPr="00BC171E">
        <w:rPr>
          <w:rFonts w:ascii="Times New Roman" w:hAnsi="Times New Roman"/>
          <w:sz w:val="24"/>
          <w:szCs w:val="24"/>
        </w:rPr>
        <w:t xml:space="preserve">In addition, under Part 14 of the AML/CTF Act, authorised officers of government agencies may require reporting entities to provide information or documents relevant to the operation of the Act.  </w:t>
      </w:r>
      <w:r w:rsidR="00CA6957" w:rsidRPr="00BC171E">
        <w:rPr>
          <w:rFonts w:ascii="Times New Roman" w:hAnsi="Times New Roman"/>
          <w:sz w:val="24"/>
          <w:szCs w:val="24"/>
        </w:rPr>
        <w:t>This may include information obtained by reporting entities from</w:t>
      </w:r>
      <w:r w:rsidR="00C26804" w:rsidRPr="00BC171E">
        <w:rPr>
          <w:rFonts w:ascii="Times New Roman" w:hAnsi="Times New Roman"/>
          <w:sz w:val="24"/>
          <w:szCs w:val="24"/>
        </w:rPr>
        <w:t xml:space="preserve"> or about</w:t>
      </w:r>
      <w:r w:rsidR="00CA6957" w:rsidRPr="00BC171E">
        <w:rPr>
          <w:rFonts w:ascii="Times New Roman" w:hAnsi="Times New Roman"/>
          <w:sz w:val="24"/>
          <w:szCs w:val="24"/>
        </w:rPr>
        <w:t xml:space="preserve"> customers under enhanced customer due diligence requirements.</w:t>
      </w:r>
    </w:p>
    <w:p w14:paraId="53BF47EA" w14:textId="77777777" w:rsidR="001629D9" w:rsidRPr="00BC171E" w:rsidRDefault="00FA72CD" w:rsidP="003E3A0A">
      <w:pPr>
        <w:spacing w:before="120" w:after="120"/>
        <w:rPr>
          <w:rFonts w:ascii="Times New Roman" w:hAnsi="Times New Roman"/>
          <w:sz w:val="24"/>
          <w:szCs w:val="24"/>
        </w:rPr>
      </w:pPr>
      <w:r w:rsidRPr="00BC171E">
        <w:rPr>
          <w:rFonts w:ascii="Times New Roman" w:hAnsi="Times New Roman"/>
          <w:sz w:val="24"/>
          <w:szCs w:val="24"/>
        </w:rPr>
        <w:t xml:space="preserve">The right in Article 17 may be subject to permissible limitations, where the limitations are lawful </w:t>
      </w:r>
      <w:r w:rsidR="0041371C" w:rsidRPr="00BC171E">
        <w:rPr>
          <w:rFonts w:ascii="Times New Roman" w:hAnsi="Times New Roman"/>
          <w:sz w:val="24"/>
          <w:szCs w:val="24"/>
        </w:rPr>
        <w:t xml:space="preserve">and </w:t>
      </w:r>
      <w:r w:rsidRPr="00BC171E">
        <w:rPr>
          <w:rFonts w:ascii="Times New Roman" w:hAnsi="Times New Roman"/>
          <w:sz w:val="24"/>
          <w:szCs w:val="24"/>
        </w:rPr>
        <w:t xml:space="preserve">not arbitrary. </w:t>
      </w:r>
      <w:r w:rsidR="002808FD" w:rsidRPr="00BC171E">
        <w:rPr>
          <w:rFonts w:ascii="Times New Roman" w:hAnsi="Times New Roman"/>
          <w:sz w:val="24"/>
          <w:szCs w:val="24"/>
        </w:rPr>
        <w:t xml:space="preserve"> </w:t>
      </w:r>
      <w:r w:rsidRPr="00BC171E">
        <w:rPr>
          <w:rFonts w:ascii="Times New Roman" w:hAnsi="Times New Roman"/>
          <w:sz w:val="24"/>
          <w:szCs w:val="24"/>
        </w:rPr>
        <w:t xml:space="preserve">In order for an interference with the right to privacy to be permissible, the interference must be authorised by law, be for a reason consistent with the ICCPR and be reasonable in the particular circumstances. </w:t>
      </w:r>
      <w:r w:rsidR="00853E1B" w:rsidRPr="00BC171E">
        <w:rPr>
          <w:rFonts w:ascii="Times New Roman" w:hAnsi="Times New Roman"/>
          <w:sz w:val="24"/>
          <w:szCs w:val="24"/>
        </w:rPr>
        <w:t xml:space="preserve"> </w:t>
      </w:r>
      <w:r w:rsidRPr="00BC171E">
        <w:rPr>
          <w:rFonts w:ascii="Times New Roman" w:hAnsi="Times New Roman"/>
          <w:sz w:val="24"/>
          <w:szCs w:val="24"/>
        </w:rPr>
        <w:t>The United Nations Human Rights Committee has interpreted the requirement of reasonableness to mean that any interference with privacy must be proportional to the end sought and be necessary in the circumstances of any given case.</w:t>
      </w:r>
    </w:p>
    <w:p w14:paraId="6C36BBEA" w14:textId="6BF2EA2B" w:rsidR="00FA72CD" w:rsidRPr="00BC171E" w:rsidRDefault="00FA72CD" w:rsidP="003E3A0A">
      <w:pPr>
        <w:spacing w:before="120" w:after="120"/>
        <w:rPr>
          <w:rFonts w:ascii="Times New Roman" w:hAnsi="Times New Roman"/>
          <w:sz w:val="24"/>
          <w:szCs w:val="24"/>
        </w:rPr>
      </w:pPr>
      <w:r w:rsidRPr="00BC171E">
        <w:rPr>
          <w:rFonts w:ascii="Times New Roman" w:hAnsi="Times New Roman"/>
          <w:sz w:val="24"/>
          <w:szCs w:val="24"/>
        </w:rPr>
        <w:t>In this case, the limitations on Article 17 are reasonable, necessary</w:t>
      </w:r>
      <w:r w:rsidR="00853E1B" w:rsidRPr="00BC171E">
        <w:rPr>
          <w:rFonts w:ascii="Times New Roman" w:hAnsi="Times New Roman"/>
          <w:sz w:val="24"/>
          <w:szCs w:val="24"/>
        </w:rPr>
        <w:t>,</w:t>
      </w:r>
      <w:r w:rsidRPr="00BC171E">
        <w:rPr>
          <w:rFonts w:ascii="Times New Roman" w:hAnsi="Times New Roman"/>
          <w:sz w:val="24"/>
          <w:szCs w:val="24"/>
        </w:rPr>
        <w:t xml:space="preserve"> proportionate</w:t>
      </w:r>
      <w:r w:rsidR="00853E1B" w:rsidRPr="00BC171E">
        <w:rPr>
          <w:rFonts w:ascii="Times New Roman" w:hAnsi="Times New Roman"/>
          <w:sz w:val="24"/>
          <w:szCs w:val="24"/>
        </w:rPr>
        <w:t xml:space="preserve"> and not arbitrary</w:t>
      </w:r>
      <w:r w:rsidR="001A5A98" w:rsidRPr="00BC171E">
        <w:rPr>
          <w:rFonts w:ascii="Times New Roman" w:hAnsi="Times New Roman"/>
          <w:sz w:val="24"/>
          <w:szCs w:val="24"/>
        </w:rPr>
        <w:t>,</w:t>
      </w:r>
      <w:r w:rsidRPr="00BC171E">
        <w:rPr>
          <w:rFonts w:ascii="Times New Roman" w:hAnsi="Times New Roman"/>
          <w:sz w:val="24"/>
          <w:szCs w:val="24"/>
        </w:rPr>
        <w:t xml:space="preserve"> as they implement recommendations from the Financial Action Task Force for all member jurisdictions to apply effective countermeasures </w:t>
      </w:r>
      <w:r w:rsidR="00C71B62" w:rsidRPr="00BC171E">
        <w:rPr>
          <w:rFonts w:ascii="Times New Roman" w:hAnsi="Times New Roman"/>
          <w:sz w:val="24"/>
          <w:szCs w:val="24"/>
        </w:rPr>
        <w:t xml:space="preserve">(in the case of DPRK) and enhanced due diligence (in the case of Iran) </w:t>
      </w:r>
      <w:r w:rsidRPr="00BC171E">
        <w:rPr>
          <w:rFonts w:ascii="Times New Roman" w:hAnsi="Times New Roman"/>
          <w:sz w:val="24"/>
          <w:szCs w:val="24"/>
        </w:rPr>
        <w:t>to protect their financial sectors from the ongoing and substantial money laundering</w:t>
      </w:r>
      <w:r w:rsidR="00C71B62" w:rsidRPr="00BC171E">
        <w:rPr>
          <w:rFonts w:ascii="Times New Roman" w:hAnsi="Times New Roman"/>
          <w:sz w:val="24"/>
          <w:szCs w:val="24"/>
        </w:rPr>
        <w:t>,</w:t>
      </w:r>
      <w:r w:rsidRPr="00BC171E">
        <w:rPr>
          <w:rFonts w:ascii="Times New Roman" w:hAnsi="Times New Roman"/>
          <w:sz w:val="24"/>
          <w:szCs w:val="24"/>
        </w:rPr>
        <w:t xml:space="preserve"> terrorism financing </w:t>
      </w:r>
      <w:r w:rsidR="00C71B62" w:rsidRPr="00BC171E">
        <w:rPr>
          <w:rFonts w:ascii="Times New Roman" w:hAnsi="Times New Roman"/>
          <w:sz w:val="24"/>
          <w:szCs w:val="24"/>
        </w:rPr>
        <w:t xml:space="preserve">and proliferation financing </w:t>
      </w:r>
      <w:r w:rsidRPr="00BC171E">
        <w:rPr>
          <w:rFonts w:ascii="Times New Roman" w:hAnsi="Times New Roman"/>
          <w:sz w:val="24"/>
          <w:szCs w:val="24"/>
        </w:rPr>
        <w:t xml:space="preserve">risks emanating from </w:t>
      </w:r>
      <w:r w:rsidR="00C71B62" w:rsidRPr="00BC171E">
        <w:rPr>
          <w:rFonts w:ascii="Times New Roman" w:hAnsi="Times New Roman"/>
          <w:sz w:val="24"/>
          <w:szCs w:val="24"/>
        </w:rPr>
        <w:t>those countries</w:t>
      </w:r>
      <w:r w:rsidRPr="00BC171E">
        <w:rPr>
          <w:rFonts w:ascii="Times New Roman" w:hAnsi="Times New Roman"/>
          <w:sz w:val="24"/>
          <w:szCs w:val="24"/>
        </w:rPr>
        <w:t>.</w:t>
      </w:r>
    </w:p>
    <w:p w14:paraId="0AD3ED08" w14:textId="77777777" w:rsidR="001A5A98" w:rsidRPr="00BC171E" w:rsidRDefault="001A5A98" w:rsidP="003E3A0A">
      <w:pPr>
        <w:spacing w:before="120" w:after="120"/>
        <w:rPr>
          <w:rFonts w:ascii="Times New Roman" w:hAnsi="Times New Roman"/>
          <w:sz w:val="24"/>
          <w:szCs w:val="24"/>
        </w:rPr>
      </w:pPr>
      <w:r w:rsidRPr="00BC171E">
        <w:rPr>
          <w:rFonts w:ascii="Times New Roman" w:hAnsi="Times New Roman"/>
          <w:sz w:val="24"/>
          <w:szCs w:val="24"/>
        </w:rPr>
        <w:t xml:space="preserve">Reporting entities are bound by the Australian Privacy Principles (APPs) in the </w:t>
      </w:r>
      <w:r w:rsidRPr="00BC171E">
        <w:rPr>
          <w:rFonts w:ascii="Times New Roman" w:hAnsi="Times New Roman"/>
          <w:i/>
          <w:sz w:val="24"/>
          <w:szCs w:val="24"/>
        </w:rPr>
        <w:t>Privacy Act 1988</w:t>
      </w:r>
      <w:r w:rsidRPr="00BC171E">
        <w:rPr>
          <w:rFonts w:ascii="Times New Roman" w:hAnsi="Times New Roman"/>
          <w:sz w:val="24"/>
          <w:szCs w:val="24"/>
        </w:rPr>
        <w:t xml:space="preserve"> in relation to actions they take to comply with their obligations under the AML/CTF Act.  The APPs prohibit reporting entities from disclosing information they collect</w:t>
      </w:r>
      <w:r w:rsidR="007E73EA" w:rsidRPr="00BC171E">
        <w:rPr>
          <w:rFonts w:ascii="Times New Roman" w:hAnsi="Times New Roman"/>
          <w:sz w:val="24"/>
          <w:szCs w:val="24"/>
        </w:rPr>
        <w:t xml:space="preserve"> from or about customers</w:t>
      </w:r>
      <w:r w:rsidRPr="00BC171E">
        <w:rPr>
          <w:rFonts w:ascii="Times New Roman" w:hAnsi="Times New Roman"/>
          <w:sz w:val="24"/>
          <w:szCs w:val="24"/>
        </w:rPr>
        <w:t xml:space="preserve"> except for lawful purposes.</w:t>
      </w:r>
    </w:p>
    <w:p w14:paraId="7F390A78" w14:textId="77777777" w:rsidR="001A5A98" w:rsidRPr="00BC171E" w:rsidRDefault="001A5A98" w:rsidP="003E3A0A">
      <w:pPr>
        <w:spacing w:before="120" w:after="120"/>
        <w:rPr>
          <w:rFonts w:ascii="Times New Roman" w:hAnsi="Times New Roman"/>
          <w:sz w:val="24"/>
          <w:szCs w:val="24"/>
        </w:rPr>
      </w:pPr>
      <w:r w:rsidRPr="00BC171E">
        <w:rPr>
          <w:rFonts w:ascii="Times New Roman" w:hAnsi="Times New Roman"/>
          <w:sz w:val="24"/>
          <w:szCs w:val="24"/>
        </w:rPr>
        <w:t>Government agencies that obtain information from reporting entities under the AML/CTF Act are bound by the secrecy and access provisions of that Act.  Agencies may only disclose such information for lawful purposes set out in the AML/CTF Act.</w:t>
      </w:r>
    </w:p>
    <w:p w14:paraId="4A539122" w14:textId="77777777" w:rsidR="007103D5" w:rsidRPr="00BC171E" w:rsidRDefault="007103D5" w:rsidP="003E3A0A">
      <w:pPr>
        <w:spacing w:before="240" w:after="120"/>
        <w:rPr>
          <w:rFonts w:ascii="Times New Roman" w:hAnsi="Times New Roman"/>
          <w:b/>
          <w:sz w:val="24"/>
          <w:szCs w:val="24"/>
        </w:rPr>
      </w:pPr>
      <w:r w:rsidRPr="00BC171E">
        <w:rPr>
          <w:rFonts w:ascii="Times New Roman" w:hAnsi="Times New Roman"/>
          <w:b/>
          <w:sz w:val="24"/>
          <w:szCs w:val="24"/>
        </w:rPr>
        <w:t>Conclusion</w:t>
      </w:r>
    </w:p>
    <w:p w14:paraId="02F3A2CB" w14:textId="77777777" w:rsidR="007103D5" w:rsidRPr="00BC171E" w:rsidRDefault="00C00588" w:rsidP="003E3A0A">
      <w:pPr>
        <w:spacing w:before="120" w:after="120"/>
        <w:rPr>
          <w:rFonts w:ascii="Times New Roman" w:hAnsi="Times New Roman"/>
          <w:sz w:val="24"/>
          <w:szCs w:val="24"/>
        </w:rPr>
      </w:pPr>
      <w:r w:rsidRPr="00BC171E">
        <w:rPr>
          <w:rFonts w:ascii="Times New Roman" w:hAnsi="Times New Roman"/>
          <w:sz w:val="24"/>
          <w:szCs w:val="24"/>
        </w:rPr>
        <w:t>This legislative i</w:t>
      </w:r>
      <w:r w:rsidR="007103D5" w:rsidRPr="00BC171E">
        <w:rPr>
          <w:rFonts w:ascii="Times New Roman" w:hAnsi="Times New Roman"/>
          <w:sz w:val="24"/>
          <w:szCs w:val="24"/>
        </w:rPr>
        <w:t xml:space="preserve">nstrument is compatible with human rights as </w:t>
      </w:r>
      <w:r w:rsidR="003744B8" w:rsidRPr="00BC171E">
        <w:rPr>
          <w:rFonts w:ascii="Times New Roman" w:hAnsi="Times New Roman"/>
          <w:sz w:val="24"/>
          <w:szCs w:val="24"/>
        </w:rPr>
        <w:t xml:space="preserve">to the extent that </w:t>
      </w:r>
      <w:r w:rsidR="00731A00" w:rsidRPr="00BC171E">
        <w:rPr>
          <w:rFonts w:ascii="Times New Roman" w:hAnsi="Times New Roman"/>
          <w:sz w:val="24"/>
          <w:szCs w:val="24"/>
        </w:rPr>
        <w:t xml:space="preserve">while </w:t>
      </w:r>
      <w:r w:rsidR="003744B8" w:rsidRPr="00BC171E">
        <w:rPr>
          <w:rFonts w:ascii="Times New Roman" w:hAnsi="Times New Roman"/>
          <w:sz w:val="24"/>
          <w:szCs w:val="24"/>
        </w:rPr>
        <w:t>it may limit human rights, those limitations are reasonable, necessary and proportionate.</w:t>
      </w:r>
    </w:p>
    <w:p w14:paraId="57B8E644" w14:textId="77777777" w:rsidR="007103D5" w:rsidRPr="00BC171E" w:rsidRDefault="007103D5" w:rsidP="0022154C">
      <w:pPr>
        <w:spacing w:before="120" w:after="120"/>
        <w:jc w:val="center"/>
        <w:rPr>
          <w:rFonts w:ascii="Times New Roman" w:hAnsi="Times New Roman"/>
          <w:sz w:val="24"/>
          <w:szCs w:val="24"/>
        </w:rPr>
      </w:pPr>
    </w:p>
    <w:p w14:paraId="6B669219" w14:textId="46509395" w:rsidR="007103D5" w:rsidRPr="00BC171E" w:rsidRDefault="008F2A8B" w:rsidP="0022154C">
      <w:pPr>
        <w:spacing w:before="120" w:after="120"/>
        <w:jc w:val="center"/>
        <w:rPr>
          <w:rFonts w:ascii="Times New Roman" w:hAnsi="Times New Roman"/>
          <w:b/>
          <w:sz w:val="24"/>
          <w:szCs w:val="24"/>
        </w:rPr>
      </w:pPr>
      <w:r w:rsidRPr="00BC171E">
        <w:rPr>
          <w:rFonts w:ascii="Times New Roman" w:hAnsi="Times New Roman"/>
          <w:b/>
          <w:sz w:val="24"/>
          <w:szCs w:val="24"/>
        </w:rPr>
        <w:t xml:space="preserve">The Hon </w:t>
      </w:r>
      <w:r w:rsidR="002C174C" w:rsidRPr="00BC171E">
        <w:rPr>
          <w:rFonts w:ascii="Times New Roman" w:hAnsi="Times New Roman"/>
          <w:b/>
          <w:sz w:val="24"/>
          <w:szCs w:val="24"/>
        </w:rPr>
        <w:t>Angus</w:t>
      </w:r>
      <w:r w:rsidR="007103D5" w:rsidRPr="00BC171E">
        <w:rPr>
          <w:rFonts w:ascii="Times New Roman" w:hAnsi="Times New Roman"/>
          <w:b/>
          <w:sz w:val="24"/>
          <w:szCs w:val="24"/>
        </w:rPr>
        <w:t xml:space="preserve"> </w:t>
      </w:r>
      <w:r w:rsidR="002C174C" w:rsidRPr="00BC171E">
        <w:rPr>
          <w:rFonts w:ascii="Times New Roman" w:hAnsi="Times New Roman"/>
          <w:b/>
          <w:sz w:val="24"/>
          <w:szCs w:val="24"/>
        </w:rPr>
        <w:t xml:space="preserve">Taylor </w:t>
      </w:r>
      <w:r w:rsidRPr="00BC171E">
        <w:rPr>
          <w:rFonts w:ascii="Times New Roman" w:hAnsi="Times New Roman"/>
          <w:b/>
          <w:sz w:val="24"/>
          <w:szCs w:val="24"/>
        </w:rPr>
        <w:t>MP</w:t>
      </w:r>
    </w:p>
    <w:p w14:paraId="58FFC04B" w14:textId="204E5FBA" w:rsidR="00745921" w:rsidRPr="00756A97" w:rsidRDefault="007103D5" w:rsidP="0022154C">
      <w:pPr>
        <w:spacing w:before="120" w:after="120"/>
        <w:jc w:val="center"/>
        <w:rPr>
          <w:rFonts w:ascii="Times New Roman" w:hAnsi="Times New Roman"/>
          <w:sz w:val="24"/>
          <w:szCs w:val="24"/>
        </w:rPr>
      </w:pPr>
      <w:r w:rsidRPr="00BC171E">
        <w:rPr>
          <w:rFonts w:ascii="Times New Roman" w:hAnsi="Times New Roman"/>
          <w:b/>
          <w:sz w:val="24"/>
          <w:szCs w:val="24"/>
        </w:rPr>
        <w:t xml:space="preserve">Minister for </w:t>
      </w:r>
      <w:r w:rsidR="002C174C" w:rsidRPr="00BC171E">
        <w:rPr>
          <w:rFonts w:ascii="Times New Roman" w:hAnsi="Times New Roman"/>
          <w:b/>
          <w:sz w:val="24"/>
          <w:szCs w:val="24"/>
        </w:rPr>
        <w:t>Law Enforcement and Cyber</w:t>
      </w:r>
      <w:r w:rsidR="00375247" w:rsidRPr="00BC171E">
        <w:rPr>
          <w:rFonts w:ascii="Times New Roman" w:hAnsi="Times New Roman"/>
          <w:b/>
          <w:sz w:val="24"/>
          <w:szCs w:val="24"/>
        </w:rPr>
        <w:t>s</w:t>
      </w:r>
      <w:r w:rsidR="002C174C" w:rsidRPr="00BC171E">
        <w:rPr>
          <w:rFonts w:ascii="Times New Roman" w:hAnsi="Times New Roman"/>
          <w:b/>
          <w:sz w:val="24"/>
          <w:szCs w:val="24"/>
        </w:rPr>
        <w:t>ecurity</w:t>
      </w:r>
    </w:p>
    <w:sectPr w:rsidR="00745921" w:rsidRPr="00756A97" w:rsidSect="00756A97">
      <w:footerReference w:type="first" r:id="rId11"/>
      <w:pgSz w:w="11906" w:h="16838" w:code="9"/>
      <w:pgMar w:top="1022" w:right="1133"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2E86" w14:textId="77777777" w:rsidR="000F0FA7" w:rsidRDefault="000F0FA7" w:rsidP="00590080">
      <w:pPr>
        <w:spacing w:after="0" w:line="240" w:lineRule="auto"/>
      </w:pPr>
      <w:r>
        <w:separator/>
      </w:r>
    </w:p>
  </w:endnote>
  <w:endnote w:type="continuationSeparator" w:id="0">
    <w:p w14:paraId="676369C5" w14:textId="77777777" w:rsidR="000F0FA7" w:rsidRDefault="000F0FA7"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1A38" w14:textId="77777777" w:rsidR="004F570E" w:rsidRPr="00567FD7" w:rsidRDefault="004F570E" w:rsidP="00E47C86">
    <w:pPr>
      <w:pStyle w:val="Classification"/>
    </w:pPr>
    <w:r w:rsidRPr="00567FD7">
      <w:t xml:space="preserve">Page </w:t>
    </w:r>
    <w:r w:rsidRPr="00567FD7">
      <w:fldChar w:fldCharType="begin"/>
    </w:r>
    <w:r w:rsidRPr="00567FD7">
      <w:instrText xml:space="preserve"> PAGE </w:instrText>
    </w:r>
    <w:r w:rsidRPr="00567FD7">
      <w:fldChar w:fldCharType="separate"/>
    </w:r>
    <w:r>
      <w:rPr>
        <w:noProof/>
      </w:rPr>
      <w:t>3</w:t>
    </w:r>
    <w:r w:rsidRPr="00567FD7">
      <w:fldChar w:fldCharType="end"/>
    </w:r>
    <w:r w:rsidRPr="00567FD7">
      <w:t xml:space="preserve"> </w:t>
    </w:r>
    <w:r>
      <w:t>o</w:t>
    </w:r>
    <w:r w:rsidRPr="00567FD7">
      <w:t xml:space="preserve">f </w:t>
    </w:r>
    <w:fldSimple w:instr=" NUMPAGES ">
      <w:r w:rsidR="00CB57B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3C009" w14:textId="77777777" w:rsidR="000F0FA7" w:rsidRDefault="000F0FA7" w:rsidP="00590080">
      <w:pPr>
        <w:spacing w:after="0" w:line="240" w:lineRule="auto"/>
      </w:pPr>
      <w:r>
        <w:separator/>
      </w:r>
    </w:p>
  </w:footnote>
  <w:footnote w:type="continuationSeparator" w:id="0">
    <w:p w14:paraId="7760CC99" w14:textId="77777777" w:rsidR="000F0FA7" w:rsidRDefault="000F0FA7" w:rsidP="00590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496"/>
    <w:multiLevelType w:val="hybridMultilevel"/>
    <w:tmpl w:val="0B44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5" w15:restartNumberingAfterBreak="0">
    <w:nsid w:val="552245CF"/>
    <w:multiLevelType w:val="hybridMultilevel"/>
    <w:tmpl w:val="AE84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D255BA"/>
    <w:multiLevelType w:val="hybridMultilevel"/>
    <w:tmpl w:val="F478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72"/>
    <w:rsid w:val="00005B0F"/>
    <w:rsid w:val="000104C9"/>
    <w:rsid w:val="000131D7"/>
    <w:rsid w:val="00013BB6"/>
    <w:rsid w:val="00074BFE"/>
    <w:rsid w:val="00084408"/>
    <w:rsid w:val="00087102"/>
    <w:rsid w:val="00093F83"/>
    <w:rsid w:val="000A62B8"/>
    <w:rsid w:val="000C12F0"/>
    <w:rsid w:val="000C1F72"/>
    <w:rsid w:val="000C62C9"/>
    <w:rsid w:val="000E4E55"/>
    <w:rsid w:val="000F0FA7"/>
    <w:rsid w:val="000F6CB1"/>
    <w:rsid w:val="00112B98"/>
    <w:rsid w:val="001176D4"/>
    <w:rsid w:val="001317EB"/>
    <w:rsid w:val="0013276F"/>
    <w:rsid w:val="00134A21"/>
    <w:rsid w:val="0013772B"/>
    <w:rsid w:val="001629D9"/>
    <w:rsid w:val="00164FEA"/>
    <w:rsid w:val="00166D6C"/>
    <w:rsid w:val="001716C4"/>
    <w:rsid w:val="0019150E"/>
    <w:rsid w:val="00193926"/>
    <w:rsid w:val="001A3297"/>
    <w:rsid w:val="001A5A98"/>
    <w:rsid w:val="001B5B8A"/>
    <w:rsid w:val="001C171A"/>
    <w:rsid w:val="001C311D"/>
    <w:rsid w:val="001D2047"/>
    <w:rsid w:val="001D47C8"/>
    <w:rsid w:val="001E44F3"/>
    <w:rsid w:val="001F7EF3"/>
    <w:rsid w:val="0021240F"/>
    <w:rsid w:val="00216632"/>
    <w:rsid w:val="0022154C"/>
    <w:rsid w:val="00227DE5"/>
    <w:rsid w:val="00231A4D"/>
    <w:rsid w:val="0023452B"/>
    <w:rsid w:val="00235B85"/>
    <w:rsid w:val="002374D7"/>
    <w:rsid w:val="0024492C"/>
    <w:rsid w:val="002457BC"/>
    <w:rsid w:val="00245C26"/>
    <w:rsid w:val="00247E7C"/>
    <w:rsid w:val="002533DD"/>
    <w:rsid w:val="002641A2"/>
    <w:rsid w:val="00274EBC"/>
    <w:rsid w:val="00274F7A"/>
    <w:rsid w:val="002808FD"/>
    <w:rsid w:val="0028118B"/>
    <w:rsid w:val="002A4F63"/>
    <w:rsid w:val="002B5E52"/>
    <w:rsid w:val="002C174C"/>
    <w:rsid w:val="002D7192"/>
    <w:rsid w:val="002E3A85"/>
    <w:rsid w:val="002F4F65"/>
    <w:rsid w:val="002F53C0"/>
    <w:rsid w:val="00341B11"/>
    <w:rsid w:val="00347280"/>
    <w:rsid w:val="003637C9"/>
    <w:rsid w:val="003744B8"/>
    <w:rsid w:val="00375247"/>
    <w:rsid w:val="00386A50"/>
    <w:rsid w:val="00392009"/>
    <w:rsid w:val="003C20F8"/>
    <w:rsid w:val="003D2D50"/>
    <w:rsid w:val="003E3A0A"/>
    <w:rsid w:val="003F0D92"/>
    <w:rsid w:val="0041371C"/>
    <w:rsid w:val="00413F3A"/>
    <w:rsid w:val="0041685A"/>
    <w:rsid w:val="004328A0"/>
    <w:rsid w:val="00447175"/>
    <w:rsid w:val="004507F6"/>
    <w:rsid w:val="00453574"/>
    <w:rsid w:val="00474991"/>
    <w:rsid w:val="0048370C"/>
    <w:rsid w:val="004C1B05"/>
    <w:rsid w:val="004C343B"/>
    <w:rsid w:val="004D014D"/>
    <w:rsid w:val="004D2496"/>
    <w:rsid w:val="004D4CCF"/>
    <w:rsid w:val="004D50F0"/>
    <w:rsid w:val="004E2565"/>
    <w:rsid w:val="004E513C"/>
    <w:rsid w:val="004F1091"/>
    <w:rsid w:val="004F570E"/>
    <w:rsid w:val="004F77DB"/>
    <w:rsid w:val="00503031"/>
    <w:rsid w:val="00533E73"/>
    <w:rsid w:val="00536440"/>
    <w:rsid w:val="0054058B"/>
    <w:rsid w:val="00541DCC"/>
    <w:rsid w:val="00560AE0"/>
    <w:rsid w:val="00573A96"/>
    <w:rsid w:val="005818C9"/>
    <w:rsid w:val="00590080"/>
    <w:rsid w:val="00594131"/>
    <w:rsid w:val="005A6354"/>
    <w:rsid w:val="005A7804"/>
    <w:rsid w:val="005B3650"/>
    <w:rsid w:val="005C1248"/>
    <w:rsid w:val="005C12B6"/>
    <w:rsid w:val="005C3C83"/>
    <w:rsid w:val="005C4453"/>
    <w:rsid w:val="005D5690"/>
    <w:rsid w:val="005D5D2A"/>
    <w:rsid w:val="005D6526"/>
    <w:rsid w:val="005E07DD"/>
    <w:rsid w:val="005E12A7"/>
    <w:rsid w:val="005E3768"/>
    <w:rsid w:val="005F302C"/>
    <w:rsid w:val="006077A8"/>
    <w:rsid w:val="00610B66"/>
    <w:rsid w:val="006133CD"/>
    <w:rsid w:val="00613572"/>
    <w:rsid w:val="00614DD0"/>
    <w:rsid w:val="00615507"/>
    <w:rsid w:val="006179E7"/>
    <w:rsid w:val="0062592D"/>
    <w:rsid w:val="00642560"/>
    <w:rsid w:val="00646BC8"/>
    <w:rsid w:val="0064752B"/>
    <w:rsid w:val="00655570"/>
    <w:rsid w:val="00664775"/>
    <w:rsid w:val="00666071"/>
    <w:rsid w:val="00675B66"/>
    <w:rsid w:val="00684C8A"/>
    <w:rsid w:val="0069064B"/>
    <w:rsid w:val="006940DB"/>
    <w:rsid w:val="006B18AD"/>
    <w:rsid w:val="006C0493"/>
    <w:rsid w:val="006E0391"/>
    <w:rsid w:val="006E1721"/>
    <w:rsid w:val="006F012B"/>
    <w:rsid w:val="006F1C83"/>
    <w:rsid w:val="006F79B3"/>
    <w:rsid w:val="007103D5"/>
    <w:rsid w:val="00711EEA"/>
    <w:rsid w:val="00731A00"/>
    <w:rsid w:val="0073685F"/>
    <w:rsid w:val="00745921"/>
    <w:rsid w:val="007532F0"/>
    <w:rsid w:val="00756A97"/>
    <w:rsid w:val="00780DFC"/>
    <w:rsid w:val="00797E15"/>
    <w:rsid w:val="007A0FB1"/>
    <w:rsid w:val="007B10D9"/>
    <w:rsid w:val="007B4B94"/>
    <w:rsid w:val="007C5357"/>
    <w:rsid w:val="007E73EA"/>
    <w:rsid w:val="007F0DDB"/>
    <w:rsid w:val="007F2572"/>
    <w:rsid w:val="007F598D"/>
    <w:rsid w:val="00807179"/>
    <w:rsid w:val="00810038"/>
    <w:rsid w:val="00813DD3"/>
    <w:rsid w:val="00830BE8"/>
    <w:rsid w:val="0083778B"/>
    <w:rsid w:val="00853AF3"/>
    <w:rsid w:val="00853E1B"/>
    <w:rsid w:val="0086356A"/>
    <w:rsid w:val="008A5BDB"/>
    <w:rsid w:val="008C5743"/>
    <w:rsid w:val="008D2A31"/>
    <w:rsid w:val="008D3ED5"/>
    <w:rsid w:val="008F0C06"/>
    <w:rsid w:val="008F2A8B"/>
    <w:rsid w:val="00904E5C"/>
    <w:rsid w:val="00912E98"/>
    <w:rsid w:val="00914158"/>
    <w:rsid w:val="00926459"/>
    <w:rsid w:val="0093333B"/>
    <w:rsid w:val="009408C9"/>
    <w:rsid w:val="00954612"/>
    <w:rsid w:val="00955FC5"/>
    <w:rsid w:val="00964F45"/>
    <w:rsid w:val="009703FA"/>
    <w:rsid w:val="00973432"/>
    <w:rsid w:val="0097653C"/>
    <w:rsid w:val="009958DF"/>
    <w:rsid w:val="009B3BDC"/>
    <w:rsid w:val="009B6205"/>
    <w:rsid w:val="009E2817"/>
    <w:rsid w:val="009F2677"/>
    <w:rsid w:val="00A07008"/>
    <w:rsid w:val="00A073AE"/>
    <w:rsid w:val="00A16BB4"/>
    <w:rsid w:val="00A24DA7"/>
    <w:rsid w:val="00A36D94"/>
    <w:rsid w:val="00A46F24"/>
    <w:rsid w:val="00A50BE0"/>
    <w:rsid w:val="00A512D4"/>
    <w:rsid w:val="00A5395B"/>
    <w:rsid w:val="00A54F9F"/>
    <w:rsid w:val="00A566A3"/>
    <w:rsid w:val="00A61BCA"/>
    <w:rsid w:val="00A61DB4"/>
    <w:rsid w:val="00A667DB"/>
    <w:rsid w:val="00A712CA"/>
    <w:rsid w:val="00A768B1"/>
    <w:rsid w:val="00A843F0"/>
    <w:rsid w:val="00A87353"/>
    <w:rsid w:val="00A905D3"/>
    <w:rsid w:val="00AA10CB"/>
    <w:rsid w:val="00AA4845"/>
    <w:rsid w:val="00AB24CD"/>
    <w:rsid w:val="00AC4F86"/>
    <w:rsid w:val="00AD07C6"/>
    <w:rsid w:val="00AD0F7A"/>
    <w:rsid w:val="00AD1D85"/>
    <w:rsid w:val="00AD7360"/>
    <w:rsid w:val="00AF61E7"/>
    <w:rsid w:val="00B0227F"/>
    <w:rsid w:val="00B064DA"/>
    <w:rsid w:val="00B14F1D"/>
    <w:rsid w:val="00B27108"/>
    <w:rsid w:val="00B37A6A"/>
    <w:rsid w:val="00B425A6"/>
    <w:rsid w:val="00B53918"/>
    <w:rsid w:val="00B661C3"/>
    <w:rsid w:val="00B664BB"/>
    <w:rsid w:val="00B747F7"/>
    <w:rsid w:val="00B76A0A"/>
    <w:rsid w:val="00B94BF0"/>
    <w:rsid w:val="00BA2B34"/>
    <w:rsid w:val="00BA36EC"/>
    <w:rsid w:val="00BA492E"/>
    <w:rsid w:val="00BC171E"/>
    <w:rsid w:val="00BD2321"/>
    <w:rsid w:val="00BF1F96"/>
    <w:rsid w:val="00BF3E62"/>
    <w:rsid w:val="00BF49FE"/>
    <w:rsid w:val="00C00588"/>
    <w:rsid w:val="00C07D39"/>
    <w:rsid w:val="00C10253"/>
    <w:rsid w:val="00C2096D"/>
    <w:rsid w:val="00C249D6"/>
    <w:rsid w:val="00C26804"/>
    <w:rsid w:val="00C40289"/>
    <w:rsid w:val="00C51D64"/>
    <w:rsid w:val="00C56D1F"/>
    <w:rsid w:val="00C634F9"/>
    <w:rsid w:val="00C63D37"/>
    <w:rsid w:val="00C71B62"/>
    <w:rsid w:val="00C723AA"/>
    <w:rsid w:val="00C7779B"/>
    <w:rsid w:val="00C85761"/>
    <w:rsid w:val="00C86694"/>
    <w:rsid w:val="00C87F9E"/>
    <w:rsid w:val="00C902E0"/>
    <w:rsid w:val="00CA0096"/>
    <w:rsid w:val="00CA6957"/>
    <w:rsid w:val="00CB30FC"/>
    <w:rsid w:val="00CB556A"/>
    <w:rsid w:val="00CB57B5"/>
    <w:rsid w:val="00CB5FE7"/>
    <w:rsid w:val="00CC565B"/>
    <w:rsid w:val="00CC5958"/>
    <w:rsid w:val="00CD2F34"/>
    <w:rsid w:val="00CE1771"/>
    <w:rsid w:val="00CE7B68"/>
    <w:rsid w:val="00CF30F9"/>
    <w:rsid w:val="00CF624A"/>
    <w:rsid w:val="00D010CC"/>
    <w:rsid w:val="00D0640F"/>
    <w:rsid w:val="00D1035D"/>
    <w:rsid w:val="00D13C45"/>
    <w:rsid w:val="00D22509"/>
    <w:rsid w:val="00D33696"/>
    <w:rsid w:val="00D402B6"/>
    <w:rsid w:val="00D44872"/>
    <w:rsid w:val="00D74B7C"/>
    <w:rsid w:val="00D92DEA"/>
    <w:rsid w:val="00DA21A8"/>
    <w:rsid w:val="00DB0D0E"/>
    <w:rsid w:val="00DB1980"/>
    <w:rsid w:val="00DB5222"/>
    <w:rsid w:val="00DF3C7F"/>
    <w:rsid w:val="00DF4727"/>
    <w:rsid w:val="00E053A3"/>
    <w:rsid w:val="00E47C86"/>
    <w:rsid w:val="00E953F1"/>
    <w:rsid w:val="00ED645F"/>
    <w:rsid w:val="00EF6AA0"/>
    <w:rsid w:val="00F02073"/>
    <w:rsid w:val="00F0777D"/>
    <w:rsid w:val="00F140EB"/>
    <w:rsid w:val="00F4344A"/>
    <w:rsid w:val="00F45C9A"/>
    <w:rsid w:val="00F60FAE"/>
    <w:rsid w:val="00F654B9"/>
    <w:rsid w:val="00F7031B"/>
    <w:rsid w:val="00F9738E"/>
    <w:rsid w:val="00FA72CD"/>
    <w:rsid w:val="00FC0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F516471"/>
  <w15:docId w15:val="{DF6087C4-B2BB-41B7-8F88-9D5C3BB8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paragraph" w:styleId="Footer">
    <w:name w:val="footer"/>
    <w:basedOn w:val="Normal"/>
    <w:link w:val="FooterChar"/>
    <w:unhideWhenUsed/>
    <w:rsid w:val="00C7779B"/>
    <w:pPr>
      <w:tabs>
        <w:tab w:val="center" w:pos="4513"/>
        <w:tab w:val="right" w:pos="9026"/>
      </w:tabs>
    </w:pPr>
  </w:style>
  <w:style w:type="character" w:customStyle="1" w:styleId="FooterChar">
    <w:name w:val="Footer Char"/>
    <w:link w:val="Footer"/>
    <w:uiPriority w:val="99"/>
    <w:rsid w:val="00C7779B"/>
    <w:rPr>
      <w:sz w:val="22"/>
      <w:szCs w:val="22"/>
      <w:lang w:eastAsia="en-US"/>
    </w:rPr>
  </w:style>
  <w:style w:type="character" w:styleId="CommentReference">
    <w:name w:val="annotation reference"/>
    <w:uiPriority w:val="99"/>
    <w:semiHidden/>
    <w:unhideWhenUsed/>
    <w:rsid w:val="00BF49FE"/>
    <w:rPr>
      <w:sz w:val="16"/>
      <w:szCs w:val="16"/>
    </w:rPr>
  </w:style>
  <w:style w:type="paragraph" w:styleId="CommentText">
    <w:name w:val="annotation text"/>
    <w:basedOn w:val="Normal"/>
    <w:link w:val="CommentTextChar"/>
    <w:uiPriority w:val="99"/>
    <w:semiHidden/>
    <w:unhideWhenUsed/>
    <w:rsid w:val="00BF49FE"/>
    <w:rPr>
      <w:sz w:val="20"/>
      <w:szCs w:val="20"/>
    </w:rPr>
  </w:style>
  <w:style w:type="character" w:customStyle="1" w:styleId="CommentTextChar">
    <w:name w:val="Comment Text Char"/>
    <w:link w:val="CommentText"/>
    <w:uiPriority w:val="99"/>
    <w:semiHidden/>
    <w:rsid w:val="00BF49FE"/>
    <w:rPr>
      <w:lang w:eastAsia="en-US"/>
    </w:rPr>
  </w:style>
  <w:style w:type="paragraph" w:styleId="CommentSubject">
    <w:name w:val="annotation subject"/>
    <w:basedOn w:val="CommentText"/>
    <w:next w:val="CommentText"/>
    <w:link w:val="CommentSubjectChar"/>
    <w:uiPriority w:val="99"/>
    <w:semiHidden/>
    <w:unhideWhenUsed/>
    <w:rsid w:val="00BF49FE"/>
    <w:rPr>
      <w:b/>
      <w:bCs/>
    </w:rPr>
  </w:style>
  <w:style w:type="character" w:customStyle="1" w:styleId="CommentSubjectChar">
    <w:name w:val="Comment Subject Char"/>
    <w:link w:val="CommentSubject"/>
    <w:uiPriority w:val="99"/>
    <w:semiHidden/>
    <w:rsid w:val="00BF49FE"/>
    <w:rPr>
      <w:b/>
      <w:bCs/>
      <w:lang w:eastAsia="en-US"/>
    </w:rPr>
  </w:style>
  <w:style w:type="paragraph" w:styleId="Revision">
    <w:name w:val="Revision"/>
    <w:hidden/>
    <w:uiPriority w:val="99"/>
    <w:semiHidden/>
    <w:rsid w:val="00BF49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539408">
      <w:bodyDiv w:val="1"/>
      <w:marLeft w:val="0"/>
      <w:marRight w:val="0"/>
      <w:marTop w:val="0"/>
      <w:marBottom w:val="0"/>
      <w:divBdr>
        <w:top w:val="none" w:sz="0" w:space="0" w:color="auto"/>
        <w:left w:val="none" w:sz="0" w:space="0" w:color="auto"/>
        <w:bottom w:val="none" w:sz="0" w:space="0" w:color="auto"/>
        <w:right w:val="none" w:sz="0" w:space="0" w:color="auto"/>
      </w:divBdr>
    </w:div>
    <w:div w:id="21022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AFFF560-95DD-4989-BB96-E1E8D929B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133DDD129A6841AA5C7B6C94473FBE" ma:contentTypeVersion="" ma:contentTypeDescription="PDMS Document Site Content Type" ma:contentTypeScope="" ma:versionID="e88a2b7ca541608d8fab537f11566497">
  <xsd:schema xmlns:xsd="http://www.w3.org/2001/XMLSchema" xmlns:xs="http://www.w3.org/2001/XMLSchema" xmlns:p="http://schemas.microsoft.com/office/2006/metadata/properties" xmlns:ns2="AAFFF560-95DD-4989-BB96-E1E8D929B7A1" targetNamespace="http://schemas.microsoft.com/office/2006/metadata/properties" ma:root="true" ma:fieldsID="27f440b3b5cab5ccaafdef203f6b5cc8" ns2:_="">
    <xsd:import namespace="AAFFF560-95DD-4989-BB96-E1E8D929B7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F560-95DD-4989-BB96-E1E8D929B7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9B10-093D-47A3-BB59-74F34BFE24D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AAFFF560-95DD-4989-BB96-E1E8D929B7A1"/>
    <ds:schemaRef ds:uri="http://www.w3.org/XML/1998/namespace"/>
    <ds:schemaRef ds:uri="http://purl.org/dc/elements/1.1/"/>
  </ds:schemaRefs>
</ds:datastoreItem>
</file>

<file path=customXml/itemProps2.xml><?xml version="1.0" encoding="utf-8"?>
<ds:datastoreItem xmlns:ds="http://schemas.openxmlformats.org/officeDocument/2006/customXml" ds:itemID="{35964B24-1565-4B4B-8405-9BE30C96E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F560-95DD-4989-BB96-E1E8D929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5A0CC-26E3-4238-B899-472138C36BBC}">
  <ds:schemaRefs>
    <ds:schemaRef ds:uri="http://schemas.microsoft.com/sharepoint/v3/contenttype/forms"/>
  </ds:schemaRefs>
</ds:datastoreItem>
</file>

<file path=customXml/itemProps4.xml><?xml version="1.0" encoding="utf-8"?>
<ds:datastoreItem xmlns:ds="http://schemas.openxmlformats.org/officeDocument/2006/customXml" ds:itemID="{D99E0277-DE7F-4004-9E6F-382AB68A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vanzsa</dc:creator>
  <cp:lastModifiedBy>Rebecca WHITE</cp:lastModifiedBy>
  <cp:revision>2</cp:revision>
  <cp:lastPrinted>2016-02-08T04:03:00Z</cp:lastPrinted>
  <dcterms:created xsi:type="dcterms:W3CDTF">2018-03-13T00:23:00Z</dcterms:created>
  <dcterms:modified xsi:type="dcterms:W3CDTF">2018-03-13T00:23:00Z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0x010100266966F133664895A6EE3632470D45F5009B133DDD129A6841AA5C7B6C94473FBE</vt:lpwstr>
  </property>
</Properties>
</file>