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FC38" w14:textId="77777777" w:rsidR="00715914" w:rsidRPr="005F1388" w:rsidRDefault="00DA186E" w:rsidP="00715914">
      <w:pPr>
        <w:rPr>
          <w:sz w:val="28"/>
        </w:rPr>
      </w:pPr>
      <w:r>
        <w:rPr>
          <w:noProof/>
          <w:lang w:val="en-US"/>
        </w:rPr>
        <w:drawing>
          <wp:inline distT="0" distB="0" distL="0" distR="0" wp14:anchorId="6CBA76AB" wp14:editId="48677D8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EFF1" w14:textId="77777777" w:rsidR="00715914" w:rsidRPr="00E500D4" w:rsidRDefault="00715914" w:rsidP="00715914">
      <w:pPr>
        <w:rPr>
          <w:sz w:val="19"/>
        </w:rPr>
      </w:pPr>
    </w:p>
    <w:p w14:paraId="1837FDA5" w14:textId="21BBFD50" w:rsidR="00554826" w:rsidRPr="00E500D4" w:rsidRDefault="000D0A6E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="00101B9F">
        <w:t>IMMI</w:t>
      </w:r>
      <w:r w:rsidR="00C326C5">
        <w:t> </w:t>
      </w:r>
      <w:r w:rsidR="00101B9F">
        <w:t>18/033</w:t>
      </w:r>
      <w:r>
        <w:t xml:space="preserve">: </w:t>
      </w:r>
      <w:r w:rsidR="00101B9F">
        <w:t xml:space="preserve">Specification of </w:t>
      </w:r>
      <w:r w:rsidR="00101B9F" w:rsidRPr="009A4183">
        <w:t>Income Threshold</w:t>
      </w:r>
      <w:r w:rsidR="0095773B" w:rsidRPr="009A4183">
        <w:t xml:space="preserve"> and </w:t>
      </w:r>
      <w:r w:rsidR="00101B9F" w:rsidRPr="009A4183">
        <w:t>Annual Earnings</w:t>
      </w:r>
      <w:r w:rsidR="004A697B" w:rsidRPr="009A4183">
        <w:t xml:space="preserve"> and </w:t>
      </w:r>
      <w:r w:rsidR="00B17DB4">
        <w:t xml:space="preserve">Methodology of </w:t>
      </w:r>
      <w:r w:rsidR="004A697B" w:rsidRPr="009A4183">
        <w:t>Annual Market Salary Rate</w:t>
      </w:r>
      <w:r w:rsidR="00F504E0">
        <w:t>) Instrument</w:t>
      </w:r>
      <w:r w:rsidR="00C326C5">
        <w:t> </w:t>
      </w:r>
      <w:r>
        <w:t>2018</w:t>
      </w:r>
    </w:p>
    <w:p w14:paraId="370A579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8062F">
        <w:rPr>
          <w:szCs w:val="22"/>
        </w:rPr>
        <w:t xml:space="preserve">Alan </w:t>
      </w:r>
      <w:proofErr w:type="spellStart"/>
      <w:r w:rsidR="0008062F">
        <w:rPr>
          <w:szCs w:val="22"/>
        </w:rPr>
        <w:t>Tudge</w:t>
      </w:r>
      <w:proofErr w:type="spellEnd"/>
      <w:r w:rsidRPr="00DA182D">
        <w:rPr>
          <w:szCs w:val="22"/>
        </w:rPr>
        <w:t xml:space="preserve">, </w:t>
      </w:r>
      <w:r w:rsidR="0008062F">
        <w:rPr>
          <w:szCs w:val="22"/>
        </w:rPr>
        <w:t>Minister for Citizenship and Multicultural Affairs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D0A6E">
        <w:rPr>
          <w:szCs w:val="22"/>
        </w:rPr>
        <w:t xml:space="preserve">instrument. </w:t>
      </w:r>
    </w:p>
    <w:p w14:paraId="6FDA86EF" w14:textId="4C5123C5" w:rsidR="001F0028" w:rsidRDefault="00554826" w:rsidP="00C326C5">
      <w:pPr>
        <w:keepNext/>
        <w:spacing w:before="300" w:after="72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87794">
        <w:rPr>
          <w:szCs w:val="22"/>
        </w:rPr>
        <w:t>:</w:t>
      </w:r>
      <w:r w:rsidR="00F87794">
        <w:rPr>
          <w:szCs w:val="22"/>
        </w:rPr>
        <w:tab/>
        <w:t xml:space="preserve"> 15 March 2018</w:t>
      </w:r>
    </w:p>
    <w:p w14:paraId="5FD60D91" w14:textId="449C4954" w:rsidR="00F87794" w:rsidRDefault="00F87794" w:rsidP="00F87794">
      <w:pPr>
        <w:keepNext/>
        <w:spacing w:after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Alan </w:t>
      </w:r>
      <w:proofErr w:type="spellStart"/>
      <w:r>
        <w:rPr>
          <w:szCs w:val="22"/>
        </w:rPr>
        <w:t>Tudge</w:t>
      </w:r>
      <w:bookmarkStart w:id="0" w:name="_GoBack"/>
      <w:bookmarkEnd w:id="0"/>
      <w:proofErr w:type="spellEnd"/>
    </w:p>
    <w:p w14:paraId="2D775EF5" w14:textId="1AA3A565" w:rsidR="00554826" w:rsidRPr="00FD0485" w:rsidRDefault="006C30BB" w:rsidP="00F87794">
      <w:pPr>
        <w:keepNext/>
        <w:spacing w:line="240" w:lineRule="atLeast"/>
        <w:ind w:right="397"/>
        <w:jc w:val="both"/>
        <w:rPr>
          <w:szCs w:val="22"/>
        </w:rPr>
      </w:pPr>
      <w:r>
        <w:rPr>
          <w:szCs w:val="22"/>
        </w:rPr>
        <w:t>T</w:t>
      </w:r>
      <w:r w:rsidR="003E541D">
        <w:rPr>
          <w:szCs w:val="22"/>
        </w:rPr>
        <w:t xml:space="preserve">he Hon Alan </w:t>
      </w:r>
      <w:proofErr w:type="spellStart"/>
      <w:r w:rsidR="003E541D">
        <w:rPr>
          <w:szCs w:val="22"/>
        </w:rPr>
        <w:t>Tudge</w:t>
      </w:r>
      <w:proofErr w:type="spellEnd"/>
      <w:r>
        <w:rPr>
          <w:szCs w:val="22"/>
        </w:rPr>
        <w:t xml:space="preserve"> MP</w:t>
      </w:r>
      <w:r w:rsidR="00554826" w:rsidRPr="00A75FE9">
        <w:rPr>
          <w:szCs w:val="22"/>
        </w:rPr>
        <w:t xml:space="preserve"> </w:t>
      </w:r>
    </w:p>
    <w:p w14:paraId="4DC312AF" w14:textId="4C3E5ED7" w:rsidR="00554826" w:rsidRPr="00C326C5" w:rsidRDefault="000D0A6E" w:rsidP="00F87794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08062F">
        <w:rPr>
          <w:sz w:val="22"/>
        </w:rPr>
        <w:t>Citizenship and Multicultural Affairs</w:t>
      </w:r>
    </w:p>
    <w:p w14:paraId="4FB0ADE6" w14:textId="77777777" w:rsidR="00F6696E" w:rsidRDefault="00F6696E" w:rsidP="00F6696E"/>
    <w:p w14:paraId="480C20BA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450670D" w14:textId="77777777" w:rsidR="007500C8" w:rsidRPr="00903AE1" w:rsidRDefault="00715914" w:rsidP="00715914">
      <w:pPr>
        <w:outlineLvl w:val="0"/>
        <w:rPr>
          <w:b/>
          <w:sz w:val="36"/>
        </w:rPr>
      </w:pPr>
      <w:r w:rsidRPr="00903AE1">
        <w:rPr>
          <w:b/>
          <w:sz w:val="36"/>
        </w:rPr>
        <w:lastRenderedPageBreak/>
        <w:t>Contents</w:t>
      </w:r>
    </w:p>
    <w:p w14:paraId="6B8E0B47" w14:textId="77777777" w:rsidR="003216BB" w:rsidRDefault="003216BB" w:rsidP="00715914">
      <w:pPr>
        <w:outlineLvl w:val="0"/>
        <w:rPr>
          <w:sz w:val="36"/>
        </w:rPr>
      </w:pPr>
    </w:p>
    <w:p w14:paraId="43538D6B" w14:textId="77777777" w:rsidR="003216BB" w:rsidRPr="003216BB" w:rsidRDefault="003216BB" w:rsidP="00FD30E6">
      <w:pPr>
        <w:pStyle w:val="TOC6"/>
        <w:spacing w:after="120"/>
        <w:rPr>
          <w:noProof/>
        </w:rPr>
      </w:pPr>
      <w:r w:rsidRPr="003216BB">
        <w:rPr>
          <w:noProof/>
        </w:rPr>
        <w:t>Part 1 - Preliminary</w:t>
      </w:r>
    </w:p>
    <w:p w14:paraId="776507A0" w14:textId="2C07B2AB" w:rsidR="00B418CB" w:rsidRDefault="00B418CB" w:rsidP="00C326C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5A10F7">
        <w:rPr>
          <w:noProof/>
        </w:rPr>
        <w:t>1</w:t>
      </w:r>
      <w:r w:rsidRPr="00B418CB">
        <w:rPr>
          <w:noProof/>
        </w:rPr>
        <w:fldChar w:fldCharType="end"/>
      </w:r>
    </w:p>
    <w:p w14:paraId="79E28972" w14:textId="3A0FA323" w:rsidR="00B418CB" w:rsidRDefault="00B418CB" w:rsidP="00C326C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5A10F7">
        <w:rPr>
          <w:noProof/>
        </w:rPr>
        <w:t>1</w:t>
      </w:r>
      <w:r w:rsidRPr="00B418CB">
        <w:rPr>
          <w:noProof/>
        </w:rPr>
        <w:fldChar w:fldCharType="end"/>
      </w:r>
    </w:p>
    <w:p w14:paraId="02BFD23A" w14:textId="5FCBA1C8" w:rsidR="00B418CB" w:rsidRDefault="00B418CB" w:rsidP="00C326C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5A10F7">
        <w:rPr>
          <w:noProof/>
        </w:rPr>
        <w:t>1</w:t>
      </w:r>
      <w:r w:rsidRPr="00B418CB">
        <w:rPr>
          <w:noProof/>
        </w:rPr>
        <w:fldChar w:fldCharType="end"/>
      </w:r>
    </w:p>
    <w:p w14:paraId="13F0BFA2" w14:textId="023F19CD" w:rsidR="00B418CB" w:rsidRDefault="00B418CB" w:rsidP="00C326C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5A10F7">
        <w:rPr>
          <w:noProof/>
        </w:rPr>
        <w:t>1</w:t>
      </w:r>
      <w:r w:rsidRPr="00B418CB">
        <w:rPr>
          <w:noProof/>
        </w:rPr>
        <w:fldChar w:fldCharType="end"/>
      </w:r>
    </w:p>
    <w:p w14:paraId="5BD55ADE" w14:textId="77777777" w:rsidR="003216BB" w:rsidRDefault="003216BB" w:rsidP="00FD30E6">
      <w:pPr>
        <w:pStyle w:val="TOC6"/>
        <w:spacing w:before="240" w:after="120"/>
        <w:rPr>
          <w:noProof/>
        </w:rPr>
      </w:pPr>
      <w:r w:rsidRPr="003216BB">
        <w:rPr>
          <w:noProof/>
        </w:rPr>
        <w:t xml:space="preserve">Part 2 - </w:t>
      </w:r>
      <w:r w:rsidR="004A697B">
        <w:rPr>
          <w:noProof/>
        </w:rPr>
        <w:t>Income Threshold and</w:t>
      </w:r>
      <w:r w:rsidR="00F12341">
        <w:rPr>
          <w:noProof/>
        </w:rPr>
        <w:t>Annual Earnings</w:t>
      </w:r>
      <w:r w:rsidR="004A697B">
        <w:rPr>
          <w:noProof/>
        </w:rPr>
        <w:t xml:space="preserve"> </w:t>
      </w:r>
    </w:p>
    <w:p w14:paraId="230BEADD" w14:textId="3343B442" w:rsidR="00370EFC" w:rsidRDefault="005E12D8" w:rsidP="00C326C5">
      <w:pPr>
        <w:pStyle w:val="TOC5"/>
        <w:ind w:left="1134"/>
        <w:rPr>
          <w:noProof/>
        </w:rPr>
      </w:pPr>
      <w:r>
        <w:rPr>
          <w:noProof/>
        </w:rPr>
        <w:t>5</w:t>
      </w:r>
      <w:r w:rsidR="007C1C64">
        <w:rPr>
          <w:noProof/>
        </w:rPr>
        <w:tab/>
      </w:r>
      <w:r w:rsidR="00094A70">
        <w:rPr>
          <w:noProof/>
        </w:rPr>
        <w:t>Annual Earnings</w:t>
      </w:r>
      <w:r w:rsidR="00C846D6" w:rsidRPr="00B418CB">
        <w:rPr>
          <w:noProof/>
        </w:rPr>
        <w:tab/>
      </w:r>
      <w:r w:rsidR="00B21A5D">
        <w:rPr>
          <w:noProof/>
        </w:rPr>
        <w:t>. 3</w:t>
      </w:r>
    </w:p>
    <w:p w14:paraId="1B3DEF90" w14:textId="21B2F59A" w:rsidR="008D19C0" w:rsidRDefault="005E12D8" w:rsidP="00C326C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4A697B">
        <w:rPr>
          <w:noProof/>
        </w:rPr>
        <w:tab/>
      </w:r>
      <w:r w:rsidR="00094A70">
        <w:rPr>
          <w:noProof/>
        </w:rPr>
        <w:t>Income Threshold</w:t>
      </w:r>
      <w:r w:rsidR="00B21A5D">
        <w:rPr>
          <w:noProof/>
        </w:rPr>
        <w:tab/>
        <w:t>3</w:t>
      </w:r>
    </w:p>
    <w:p w14:paraId="321C2188" w14:textId="77777777" w:rsidR="00AC31A1" w:rsidRDefault="004A697B" w:rsidP="00FD30E6">
      <w:pPr>
        <w:pStyle w:val="TOC6"/>
        <w:spacing w:before="240" w:after="120"/>
        <w:rPr>
          <w:noProof/>
        </w:rPr>
      </w:pPr>
      <w:r>
        <w:rPr>
          <w:noProof/>
        </w:rPr>
        <w:t>Pa</w:t>
      </w:r>
      <w:r w:rsidR="00AC31A1">
        <w:rPr>
          <w:noProof/>
        </w:rPr>
        <w:t>rt 3</w:t>
      </w:r>
      <w:r>
        <w:rPr>
          <w:noProof/>
        </w:rPr>
        <w:t xml:space="preserve"> - </w:t>
      </w:r>
      <w:r w:rsidRPr="009A2329">
        <w:rPr>
          <w:noProof/>
        </w:rPr>
        <w:t>Annual Market Salary Rate</w:t>
      </w:r>
    </w:p>
    <w:p w14:paraId="7C3F3D69" w14:textId="637116A0" w:rsidR="004A697B" w:rsidRDefault="005E12D8" w:rsidP="00C326C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4A697B">
        <w:rPr>
          <w:noProof/>
        </w:rPr>
        <w:tab/>
      </w:r>
      <w:r w:rsidR="00295269">
        <w:rPr>
          <w:noProof/>
        </w:rPr>
        <w:t>Method</w:t>
      </w:r>
      <w:r w:rsidR="00B17DB4">
        <w:rPr>
          <w:noProof/>
        </w:rPr>
        <w:t xml:space="preserve"> for d</w:t>
      </w:r>
      <w:r w:rsidR="00295269">
        <w:rPr>
          <w:noProof/>
        </w:rPr>
        <w:t>etermining the annual market salary r</w:t>
      </w:r>
      <w:r w:rsidR="004A697B">
        <w:rPr>
          <w:noProof/>
        </w:rPr>
        <w:t>ate</w:t>
      </w:r>
      <w:r w:rsidR="00F608D9">
        <w:rPr>
          <w:noProof/>
        </w:rPr>
        <w:t xml:space="preserve"> where</w:t>
      </w:r>
      <w:r w:rsidR="0028544A">
        <w:rPr>
          <w:noProof/>
        </w:rPr>
        <w:t xml:space="preserve"> an Australia</w:t>
      </w:r>
      <w:r w:rsidR="005B43EE">
        <w:rPr>
          <w:noProof/>
        </w:rPr>
        <w:t>n</w:t>
      </w:r>
      <w:r w:rsidR="0028544A">
        <w:rPr>
          <w:noProof/>
        </w:rPr>
        <w:t xml:space="preserve"> work</w:t>
      </w:r>
      <w:r w:rsidR="00B17DB4">
        <w:rPr>
          <w:noProof/>
        </w:rPr>
        <w:t>er</w:t>
      </w:r>
      <w:r w:rsidR="00F608D9">
        <w:rPr>
          <w:noProof/>
        </w:rPr>
        <w:t xml:space="preserve"> is</w:t>
      </w:r>
      <w:r w:rsidR="0028544A">
        <w:rPr>
          <w:noProof/>
        </w:rPr>
        <w:t xml:space="preserve"> performing equivalent work</w:t>
      </w:r>
      <w:r w:rsidR="004A697B">
        <w:rPr>
          <w:noProof/>
        </w:rPr>
        <w:tab/>
      </w:r>
      <w:r w:rsidR="0028544A">
        <w:rPr>
          <w:noProof/>
        </w:rPr>
        <w:t>4</w:t>
      </w:r>
    </w:p>
    <w:p w14:paraId="46E576A9" w14:textId="391CC4FA" w:rsidR="0028544A" w:rsidRDefault="005E12D8" w:rsidP="00FD30E6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 w:rsidR="0028544A">
        <w:rPr>
          <w:noProof/>
        </w:rPr>
        <w:tab/>
      </w:r>
      <w:r w:rsidR="00295269">
        <w:rPr>
          <w:noProof/>
        </w:rPr>
        <w:t>Method</w:t>
      </w:r>
      <w:r w:rsidR="00B17DB4">
        <w:rPr>
          <w:noProof/>
        </w:rPr>
        <w:t xml:space="preserve"> for d</w:t>
      </w:r>
      <w:r w:rsidR="00295269">
        <w:rPr>
          <w:noProof/>
        </w:rPr>
        <w:t>etermi</w:t>
      </w:r>
      <w:r w:rsidR="00C131A5">
        <w:rPr>
          <w:noProof/>
        </w:rPr>
        <w:t>ni</w:t>
      </w:r>
      <w:r w:rsidR="00295269">
        <w:rPr>
          <w:noProof/>
        </w:rPr>
        <w:t>ng the annual market salary r</w:t>
      </w:r>
      <w:r w:rsidR="0028544A">
        <w:rPr>
          <w:noProof/>
        </w:rPr>
        <w:t>ate where the</w:t>
      </w:r>
      <w:r w:rsidR="00B17DB4">
        <w:rPr>
          <w:noProof/>
        </w:rPr>
        <w:t>re</w:t>
      </w:r>
      <w:r w:rsidR="0028544A">
        <w:rPr>
          <w:noProof/>
        </w:rPr>
        <w:t xml:space="preserve"> is not an Australia</w:t>
      </w:r>
      <w:r w:rsidR="005B43EE">
        <w:rPr>
          <w:noProof/>
        </w:rPr>
        <w:t>n</w:t>
      </w:r>
      <w:r w:rsidR="0028544A">
        <w:rPr>
          <w:noProof/>
        </w:rPr>
        <w:t xml:space="preserve"> work</w:t>
      </w:r>
      <w:r w:rsidR="00B17DB4">
        <w:rPr>
          <w:noProof/>
        </w:rPr>
        <w:t>er</w:t>
      </w:r>
      <w:r w:rsidR="0028544A">
        <w:rPr>
          <w:noProof/>
        </w:rPr>
        <w:t xml:space="preserve"> performing equivalent work</w:t>
      </w:r>
      <w:r w:rsidR="0028544A">
        <w:rPr>
          <w:noProof/>
        </w:rPr>
        <w:tab/>
        <w:t>4</w:t>
      </w:r>
    </w:p>
    <w:p w14:paraId="522F442A" w14:textId="531C83E9" w:rsidR="004157E5" w:rsidRDefault="004157E5" w:rsidP="004157E5">
      <w:pPr>
        <w:pStyle w:val="TOC6"/>
        <w:spacing w:before="240" w:after="120"/>
        <w:rPr>
          <w:noProof/>
        </w:rPr>
      </w:pPr>
      <w:r>
        <w:rPr>
          <w:noProof/>
        </w:rPr>
        <w:t>Part 4 - Transitional Provision</w:t>
      </w:r>
    </w:p>
    <w:p w14:paraId="1030552B" w14:textId="2C6CF922" w:rsidR="004157E5" w:rsidRDefault="005E12D8" w:rsidP="004157E5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 w:rsidR="004157E5">
        <w:rPr>
          <w:noProof/>
        </w:rPr>
        <w:tab/>
      </w:r>
      <w:r w:rsidR="00B21A5D">
        <w:rPr>
          <w:noProof/>
        </w:rPr>
        <w:t>Application of this instrument</w:t>
      </w:r>
      <w:r w:rsidR="00B21A5D">
        <w:rPr>
          <w:noProof/>
        </w:rPr>
        <w:tab/>
        <w:t>6</w:t>
      </w:r>
    </w:p>
    <w:p w14:paraId="3189AAFD" w14:textId="3A350A70" w:rsidR="00F6696E" w:rsidRPr="00A802BC" w:rsidRDefault="00B418CB" w:rsidP="004157E5">
      <w:pPr>
        <w:pStyle w:val="ActHead9"/>
        <w:ind w:left="0" w:firstLine="0"/>
        <w:rPr>
          <w:sz w:val="20"/>
        </w:rPr>
      </w:pPr>
      <w:r>
        <w:fldChar w:fldCharType="end"/>
      </w:r>
    </w:p>
    <w:p w14:paraId="097182FB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BA8D35" w14:textId="77777777" w:rsidR="00B03C81" w:rsidRPr="00903AE1" w:rsidRDefault="004340D3" w:rsidP="00B03C81">
      <w:pPr>
        <w:pStyle w:val="TOC6"/>
        <w:rPr>
          <w:noProof/>
          <w:sz w:val="36"/>
          <w:szCs w:val="36"/>
        </w:rPr>
      </w:pPr>
      <w:bookmarkStart w:id="1" w:name="_Toc454512513"/>
      <w:r>
        <w:rPr>
          <w:noProof/>
          <w:sz w:val="36"/>
          <w:szCs w:val="36"/>
        </w:rPr>
        <w:lastRenderedPageBreak/>
        <w:t>Part 1</w:t>
      </w:r>
      <w:r w:rsidRPr="004340D3">
        <w:rPr>
          <w:rFonts w:ascii="Arial" w:hAnsi="Arial"/>
          <w:sz w:val="32"/>
        </w:rPr>
        <w:t>—</w:t>
      </w:r>
      <w:r w:rsidR="00B03C81" w:rsidRPr="00903AE1">
        <w:rPr>
          <w:noProof/>
          <w:sz w:val="36"/>
          <w:szCs w:val="36"/>
        </w:rPr>
        <w:t>Preliminary</w:t>
      </w:r>
    </w:p>
    <w:p w14:paraId="29C802AC" w14:textId="77777777" w:rsidR="00554826" w:rsidRPr="00554826" w:rsidRDefault="00554826" w:rsidP="00554826">
      <w:pPr>
        <w:pStyle w:val="ActHead5"/>
      </w:pPr>
      <w:proofErr w:type="gramStart"/>
      <w:r w:rsidRPr="00554826">
        <w:t>1  Name</w:t>
      </w:r>
      <w:bookmarkEnd w:id="1"/>
      <w:proofErr w:type="gramEnd"/>
    </w:p>
    <w:p w14:paraId="729489E7" w14:textId="77777777" w:rsidR="00454C3C" w:rsidRDefault="00554826" w:rsidP="00C7018A">
      <w:pPr>
        <w:pStyle w:val="subsection"/>
        <w:numPr>
          <w:ilvl w:val="0"/>
          <w:numId w:val="24"/>
        </w:numPr>
        <w:tabs>
          <w:tab w:val="clear" w:pos="1021"/>
          <w:tab w:val="right" w:pos="1134"/>
        </w:tabs>
        <w:ind w:hanging="513"/>
        <w:rPr>
          <w:i/>
        </w:rPr>
      </w:pP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="002B32B4">
        <w:t xml:space="preserve">the </w:t>
      </w:r>
      <w:r w:rsidR="00C326C5">
        <w:rPr>
          <w:i/>
        </w:rPr>
        <w:t>Migration (IMMI </w:t>
      </w:r>
      <w:r w:rsidR="00F504E0" w:rsidRPr="00F504E0">
        <w:rPr>
          <w:i/>
        </w:rPr>
        <w:t>18/033: Spec</w:t>
      </w:r>
      <w:r w:rsidR="004A697B">
        <w:rPr>
          <w:i/>
        </w:rPr>
        <w:t xml:space="preserve">ification of </w:t>
      </w:r>
      <w:r w:rsidR="004A697B" w:rsidRPr="009A2329">
        <w:rPr>
          <w:i/>
        </w:rPr>
        <w:t>Income Threshold</w:t>
      </w:r>
      <w:r w:rsidR="0095773B" w:rsidRPr="009A2329">
        <w:rPr>
          <w:i/>
        </w:rPr>
        <w:t xml:space="preserve"> and</w:t>
      </w:r>
      <w:r w:rsidR="00F504E0" w:rsidRPr="009A2329">
        <w:rPr>
          <w:i/>
        </w:rPr>
        <w:t xml:space="preserve"> Annual Earnings</w:t>
      </w:r>
      <w:r w:rsidR="004A697B">
        <w:rPr>
          <w:i/>
        </w:rPr>
        <w:t xml:space="preserve"> </w:t>
      </w:r>
      <w:r w:rsidR="004A697B" w:rsidRPr="009A2329">
        <w:rPr>
          <w:i/>
        </w:rPr>
        <w:t xml:space="preserve">and </w:t>
      </w:r>
      <w:r w:rsidR="00B17DB4">
        <w:rPr>
          <w:i/>
        </w:rPr>
        <w:t xml:space="preserve">Methodology of </w:t>
      </w:r>
      <w:r w:rsidR="004A697B" w:rsidRPr="009A2329">
        <w:rPr>
          <w:i/>
        </w:rPr>
        <w:t>Annual Market Salary Rate</w:t>
      </w:r>
      <w:r w:rsidR="00C326C5">
        <w:rPr>
          <w:i/>
        </w:rPr>
        <w:t>) Instrument </w:t>
      </w:r>
      <w:r w:rsidR="00F504E0" w:rsidRPr="00F504E0">
        <w:rPr>
          <w:i/>
        </w:rPr>
        <w:t>2018</w:t>
      </w:r>
      <w:r w:rsidR="00454C3C">
        <w:rPr>
          <w:i/>
        </w:rPr>
        <w:t>.</w:t>
      </w:r>
    </w:p>
    <w:p w14:paraId="56E663A1" w14:textId="02452FAD" w:rsidR="00454C3C" w:rsidRPr="00454C3C" w:rsidRDefault="00454C3C" w:rsidP="00C7018A">
      <w:pPr>
        <w:pStyle w:val="subsection"/>
        <w:numPr>
          <w:ilvl w:val="0"/>
          <w:numId w:val="24"/>
        </w:numPr>
        <w:tabs>
          <w:tab w:val="clear" w:pos="1021"/>
          <w:tab w:val="right" w:pos="1134"/>
        </w:tabs>
        <w:ind w:hanging="513"/>
        <w:rPr>
          <w:i/>
        </w:rPr>
      </w:pPr>
      <w:r>
        <w:t>T</w:t>
      </w:r>
      <w:r w:rsidRPr="00454C3C">
        <w:t xml:space="preserve">his </w:t>
      </w:r>
      <w:r>
        <w:t>instrument</w:t>
      </w:r>
      <w:r w:rsidRPr="00454C3C">
        <w:t xml:space="preserve"> may also be cited as IMMI 18/033.</w:t>
      </w:r>
    </w:p>
    <w:p w14:paraId="25939FCC" w14:textId="77777777" w:rsidR="00554826" w:rsidRPr="00554826" w:rsidRDefault="00554826" w:rsidP="00554826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p w14:paraId="2B661C5E" w14:textId="46D05613" w:rsidR="00554826" w:rsidRPr="00FA61B3" w:rsidRDefault="00554826" w:rsidP="00E04663">
      <w:pPr>
        <w:pStyle w:val="subsection"/>
        <w:tabs>
          <w:tab w:val="clear" w:pos="1021"/>
          <w:tab w:val="right" w:pos="1134"/>
        </w:tabs>
        <w:ind w:firstLine="0"/>
      </w:pPr>
      <w:r>
        <w:t xml:space="preserve">This instrument commences </w:t>
      </w:r>
      <w:r w:rsidR="003625A0" w:rsidRPr="001C3358">
        <w:t>on 1</w:t>
      </w:r>
      <w:r w:rsidR="003A2BA6" w:rsidRPr="001C3358">
        <w:t>8</w:t>
      </w:r>
      <w:r w:rsidR="003625A0" w:rsidRPr="001C3358">
        <w:t xml:space="preserve"> March 2018.</w:t>
      </w:r>
    </w:p>
    <w:p w14:paraId="075B1207" w14:textId="231F2D97" w:rsidR="00554826" w:rsidRPr="00554826" w:rsidRDefault="00554826" w:rsidP="009A2329">
      <w:pPr>
        <w:pStyle w:val="ActHead5"/>
      </w:pPr>
      <w:bookmarkStart w:id="3" w:name="_Toc454512515"/>
      <w:proofErr w:type="gramStart"/>
      <w:r w:rsidRPr="00FA61B3">
        <w:t>3  Authority</w:t>
      </w:r>
      <w:bookmarkEnd w:id="3"/>
      <w:proofErr w:type="gramEnd"/>
    </w:p>
    <w:p w14:paraId="4BCF3BC8" w14:textId="5E6A82D9" w:rsidR="00554826" w:rsidRPr="00F504E0" w:rsidRDefault="00554826" w:rsidP="00E04663">
      <w:pPr>
        <w:pStyle w:val="subsection"/>
        <w:tabs>
          <w:tab w:val="clear" w:pos="1021"/>
          <w:tab w:val="right" w:pos="1134"/>
        </w:tabs>
        <w:ind w:firstLine="0"/>
        <w:rPr>
          <w:i/>
        </w:rPr>
      </w:pPr>
      <w:r w:rsidRPr="009C2562">
        <w:t xml:space="preserve">This instrument is made under </w:t>
      </w:r>
      <w:proofErr w:type="spellStart"/>
      <w:r w:rsidR="00690952">
        <w:t>subregulat</w:t>
      </w:r>
      <w:r w:rsidR="00690952" w:rsidRPr="00C326C5">
        <w:t>ion</w:t>
      </w:r>
      <w:proofErr w:type="spellEnd"/>
      <w:r w:rsidR="00690952" w:rsidRPr="00C326C5">
        <w:t xml:space="preserve"> 2.72(17) and </w:t>
      </w:r>
      <w:r w:rsidR="00F504E0" w:rsidRPr="00C326C5">
        <w:t>paragraphs 2.72(15</w:t>
      </w:r>
      <w:proofErr w:type="gramStart"/>
      <w:r w:rsidR="00F504E0" w:rsidRPr="00C326C5">
        <w:t>)(</w:t>
      </w:r>
      <w:proofErr w:type="gramEnd"/>
      <w:r w:rsidR="00F504E0" w:rsidRPr="00C326C5">
        <w:t>b)</w:t>
      </w:r>
      <w:r w:rsidR="004A697B" w:rsidRPr="00C326C5">
        <w:t xml:space="preserve">; </w:t>
      </w:r>
      <w:r w:rsidR="00F504E0" w:rsidRPr="00C326C5">
        <w:t>2.72(15)(d</w:t>
      </w:r>
      <w:r w:rsidR="00690952" w:rsidRPr="00C326C5">
        <w:t xml:space="preserve">) and 2.79(1A)(b) </w:t>
      </w:r>
      <w:r w:rsidR="00F504E0" w:rsidRPr="00C326C5">
        <w:t>of the</w:t>
      </w:r>
      <w:r w:rsidR="00014D5C" w:rsidRPr="00C326C5">
        <w:t xml:space="preserve"> Regulations</w:t>
      </w:r>
      <w:r w:rsidR="00F504E0" w:rsidRPr="00C326C5">
        <w:rPr>
          <w:i/>
        </w:rPr>
        <w:t>.</w:t>
      </w:r>
    </w:p>
    <w:p w14:paraId="68354C0F" w14:textId="77777777" w:rsidR="00554826" w:rsidRPr="00554826" w:rsidRDefault="00554826" w:rsidP="00554826">
      <w:pPr>
        <w:pStyle w:val="ActHead5"/>
      </w:pPr>
      <w:bookmarkStart w:id="4" w:name="_Toc454512516"/>
      <w:proofErr w:type="gramStart"/>
      <w:r w:rsidRPr="00554826">
        <w:t>4  Definitions</w:t>
      </w:r>
      <w:bookmarkEnd w:id="4"/>
      <w:proofErr w:type="gramEnd"/>
    </w:p>
    <w:p w14:paraId="0E890F2D" w14:textId="673D73C3" w:rsidR="00F26B40" w:rsidRPr="000E2B50" w:rsidRDefault="00554826" w:rsidP="00C7018A">
      <w:pPr>
        <w:pStyle w:val="subsection"/>
        <w:tabs>
          <w:tab w:val="clear" w:pos="1021"/>
          <w:tab w:val="right" w:pos="1134"/>
        </w:tabs>
        <w:spacing w:after="120"/>
        <w:ind w:firstLine="0"/>
        <w:rPr>
          <w:szCs w:val="22"/>
        </w:rPr>
      </w:pPr>
      <w:r w:rsidRPr="000E2B50">
        <w:rPr>
          <w:szCs w:val="22"/>
        </w:rPr>
        <w:t>In this instrument:</w:t>
      </w:r>
    </w:p>
    <w:p w14:paraId="23A6736E" w14:textId="2388784E" w:rsidR="00F26B40" w:rsidRPr="000E2B50" w:rsidRDefault="00F26B40" w:rsidP="000E2B50">
      <w:pPr>
        <w:pStyle w:val="definition0"/>
        <w:shd w:val="clear" w:color="auto" w:fill="FFFFFF"/>
        <w:spacing w:before="0" w:beforeAutospacing="0" w:after="240" w:afterAutospacing="0"/>
        <w:ind w:left="1702" w:hanging="284"/>
        <w:rPr>
          <w:bCs/>
          <w:i/>
          <w:iCs/>
          <w:sz w:val="22"/>
          <w:szCs w:val="22"/>
          <w:lang w:val="en-AU"/>
        </w:rPr>
      </w:pPr>
      <w:r w:rsidRPr="000E2B50">
        <w:rPr>
          <w:b/>
          <w:bCs/>
          <w:i/>
          <w:iCs/>
          <w:sz w:val="22"/>
          <w:szCs w:val="22"/>
          <w:lang w:val="en-AU"/>
        </w:rPr>
        <w:t xml:space="preserve">Australian Worker </w:t>
      </w:r>
      <w:r w:rsidRPr="000E2B50">
        <w:rPr>
          <w:bCs/>
          <w:iCs/>
          <w:sz w:val="22"/>
          <w:szCs w:val="22"/>
          <w:lang w:val="en-AU"/>
        </w:rPr>
        <w:t>means an employee that is either an Australian citizen or an Australian permanent resident.</w:t>
      </w:r>
    </w:p>
    <w:p w14:paraId="6AEEAAB8" w14:textId="33F197CD" w:rsidR="00C7018A" w:rsidRPr="00C7018A" w:rsidRDefault="00C7018A" w:rsidP="00C7018A">
      <w:pPr>
        <w:pStyle w:val="definition0"/>
        <w:shd w:val="clear" w:color="auto" w:fill="FFFFFF"/>
        <w:spacing w:before="0" w:beforeAutospacing="0" w:after="240" w:afterAutospacing="0"/>
        <w:ind w:left="1418"/>
        <w:rPr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fair</w:t>
      </w:r>
      <w:proofErr w:type="gramEnd"/>
      <w:r>
        <w:rPr>
          <w:b/>
          <w:i/>
          <w:sz w:val="22"/>
          <w:szCs w:val="22"/>
        </w:rPr>
        <w:t xml:space="preserve"> work instrument </w:t>
      </w:r>
      <w:r>
        <w:rPr>
          <w:sz w:val="22"/>
          <w:szCs w:val="22"/>
        </w:rPr>
        <w:t xml:space="preserve">has the meaning given by section 12 of the </w:t>
      </w:r>
      <w:r>
        <w:rPr>
          <w:i/>
          <w:sz w:val="22"/>
          <w:szCs w:val="22"/>
        </w:rPr>
        <w:t>Fair Work Act 2009</w:t>
      </w:r>
      <w:r w:rsidR="005E12D8">
        <w:rPr>
          <w:i/>
          <w:sz w:val="22"/>
          <w:szCs w:val="22"/>
        </w:rPr>
        <w:t>.</w:t>
      </w:r>
    </w:p>
    <w:p w14:paraId="781DAEC9" w14:textId="05F38980" w:rsidR="006079E3" w:rsidRPr="000E2B50" w:rsidRDefault="00F26B40" w:rsidP="000E2B50">
      <w:pPr>
        <w:pStyle w:val="definition0"/>
        <w:shd w:val="clear" w:color="auto" w:fill="FFFFFF"/>
        <w:spacing w:before="0" w:beforeAutospacing="0" w:after="240" w:afterAutospacing="0"/>
        <w:ind w:left="1702" w:hanging="284"/>
        <w:rPr>
          <w:sz w:val="22"/>
          <w:szCs w:val="22"/>
        </w:rPr>
      </w:pPr>
      <w:r w:rsidRPr="000E2B50">
        <w:rPr>
          <w:b/>
          <w:i/>
          <w:sz w:val="22"/>
          <w:szCs w:val="22"/>
        </w:rPr>
        <w:t>Regulations</w:t>
      </w:r>
      <w:r w:rsidRPr="000E2B50">
        <w:rPr>
          <w:sz w:val="22"/>
          <w:szCs w:val="22"/>
        </w:rPr>
        <w:t xml:space="preserve"> means the </w:t>
      </w:r>
      <w:r w:rsidR="00C326C5">
        <w:rPr>
          <w:i/>
          <w:sz w:val="22"/>
          <w:szCs w:val="22"/>
        </w:rPr>
        <w:t>Migration Regulations </w:t>
      </w:r>
      <w:r w:rsidRPr="000E2B50">
        <w:rPr>
          <w:i/>
          <w:sz w:val="22"/>
          <w:szCs w:val="22"/>
        </w:rPr>
        <w:t>1994</w:t>
      </w:r>
      <w:r w:rsidRPr="000E2B50">
        <w:rPr>
          <w:sz w:val="22"/>
          <w:szCs w:val="22"/>
        </w:rPr>
        <w:t>.</w:t>
      </w:r>
    </w:p>
    <w:p w14:paraId="6B56BADD" w14:textId="40088707" w:rsidR="006079E3" w:rsidRPr="00295269" w:rsidRDefault="006079E3" w:rsidP="000E2B50">
      <w:pPr>
        <w:pStyle w:val="definition0"/>
        <w:shd w:val="clear" w:color="auto" w:fill="FFFFFF"/>
        <w:spacing w:before="0" w:beforeAutospacing="0" w:after="120" w:afterAutospacing="0"/>
        <w:ind w:left="1702" w:hanging="284"/>
        <w:rPr>
          <w:sz w:val="22"/>
          <w:szCs w:val="22"/>
          <w:lang w:val="en-AU"/>
        </w:rPr>
      </w:pPr>
      <w:r w:rsidRPr="00295269">
        <w:rPr>
          <w:b/>
          <w:i/>
          <w:sz w:val="22"/>
          <w:szCs w:val="22"/>
        </w:rPr>
        <w:t xml:space="preserve">Relevant employment documents </w:t>
      </w:r>
      <w:r w:rsidRPr="00295269">
        <w:rPr>
          <w:sz w:val="22"/>
          <w:szCs w:val="22"/>
          <w:lang w:val="en-AU"/>
        </w:rPr>
        <w:t>may include, but is not limited to:</w:t>
      </w:r>
    </w:p>
    <w:p w14:paraId="794BB14F" w14:textId="46A40049" w:rsidR="006079E3" w:rsidRPr="00295269" w:rsidRDefault="005137AE" w:rsidP="001C4E72">
      <w:pPr>
        <w:pStyle w:val="definition0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1985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6079E3" w:rsidRPr="00295269">
        <w:rPr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 w:rsidR="006079E3" w:rsidRPr="00295269">
        <w:rPr>
          <w:sz w:val="22"/>
          <w:szCs w:val="22"/>
        </w:rPr>
        <w:t>slips</w:t>
      </w:r>
      <w:r w:rsidR="00295269" w:rsidRPr="00295269">
        <w:rPr>
          <w:sz w:val="22"/>
          <w:szCs w:val="22"/>
        </w:rPr>
        <w:t>;</w:t>
      </w:r>
    </w:p>
    <w:p w14:paraId="4EDDB4A2" w14:textId="1B90A6DB" w:rsidR="00F26B40" w:rsidRPr="00295269" w:rsidRDefault="00C6087E" w:rsidP="001C4E72">
      <w:pPr>
        <w:pStyle w:val="definition0"/>
        <w:numPr>
          <w:ilvl w:val="0"/>
          <w:numId w:val="17"/>
        </w:numPr>
        <w:shd w:val="clear" w:color="auto" w:fill="FFFFFF"/>
        <w:spacing w:before="0" w:beforeAutospacing="0" w:after="240" w:afterAutospacing="0" w:line="276" w:lineRule="auto"/>
        <w:ind w:left="1984" w:hanging="567"/>
        <w:rPr>
          <w:sz w:val="22"/>
          <w:szCs w:val="22"/>
        </w:rPr>
      </w:pPr>
      <w:proofErr w:type="gramStart"/>
      <w:r w:rsidRPr="00295269">
        <w:rPr>
          <w:sz w:val="22"/>
          <w:szCs w:val="22"/>
        </w:rPr>
        <w:t>contract</w:t>
      </w:r>
      <w:proofErr w:type="gramEnd"/>
      <w:r w:rsidRPr="00295269">
        <w:rPr>
          <w:sz w:val="22"/>
          <w:szCs w:val="22"/>
        </w:rPr>
        <w:t xml:space="preserve"> of employment</w:t>
      </w:r>
      <w:r w:rsidR="00295269" w:rsidRPr="00295269">
        <w:rPr>
          <w:sz w:val="22"/>
          <w:szCs w:val="22"/>
        </w:rPr>
        <w:t>.</w:t>
      </w:r>
    </w:p>
    <w:p w14:paraId="5F09FB1A" w14:textId="13B71B3F" w:rsidR="00F26B40" w:rsidRPr="000E2B50" w:rsidRDefault="00F26B40" w:rsidP="00C7018A">
      <w:pPr>
        <w:pStyle w:val="definition0"/>
        <w:shd w:val="clear" w:color="auto" w:fill="FFFFFF"/>
        <w:spacing w:before="0" w:beforeAutospacing="0" w:after="120" w:afterAutospacing="0"/>
        <w:ind w:left="1702" w:hanging="284"/>
        <w:rPr>
          <w:sz w:val="22"/>
          <w:szCs w:val="22"/>
          <w:lang w:val="en-AU"/>
        </w:rPr>
      </w:pPr>
      <w:r w:rsidRPr="000E2B50">
        <w:rPr>
          <w:b/>
          <w:bCs/>
          <w:i/>
          <w:iCs/>
          <w:sz w:val="22"/>
          <w:szCs w:val="22"/>
          <w:lang w:val="en-AU"/>
        </w:rPr>
        <w:t xml:space="preserve">Relevant information </w:t>
      </w:r>
      <w:r w:rsidRPr="000E2B50">
        <w:rPr>
          <w:sz w:val="22"/>
          <w:szCs w:val="22"/>
          <w:lang w:val="en-AU"/>
        </w:rPr>
        <w:t>may include, but is not limited to:</w:t>
      </w:r>
    </w:p>
    <w:p w14:paraId="1CF303A4" w14:textId="0CDD196D" w:rsidR="00F26B40" w:rsidRPr="000E2B50" w:rsidRDefault="00F26B40" w:rsidP="001C4E72">
      <w:pPr>
        <w:pStyle w:val="definition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1985" w:hanging="567"/>
        <w:rPr>
          <w:sz w:val="22"/>
          <w:szCs w:val="22"/>
          <w:lang w:val="en-AU"/>
        </w:rPr>
      </w:pPr>
      <w:r w:rsidRPr="000E2B50">
        <w:rPr>
          <w:sz w:val="22"/>
          <w:szCs w:val="22"/>
          <w:lang w:val="en-AU"/>
        </w:rPr>
        <w:t>information published on the Australian G</w:t>
      </w:r>
      <w:r w:rsidR="00D86334" w:rsidRPr="000E2B50">
        <w:rPr>
          <w:sz w:val="22"/>
          <w:szCs w:val="22"/>
          <w:lang w:val="en-AU"/>
        </w:rPr>
        <w:t>overnment’s Job Outlook website;</w:t>
      </w:r>
    </w:p>
    <w:p w14:paraId="31DF7356" w14:textId="77777777" w:rsidR="00F26B40" w:rsidRPr="000E2B50" w:rsidRDefault="00F26B40" w:rsidP="001C4E72">
      <w:pPr>
        <w:pStyle w:val="definition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1985" w:hanging="567"/>
        <w:rPr>
          <w:sz w:val="22"/>
          <w:szCs w:val="22"/>
          <w:lang w:val="en-AU"/>
        </w:rPr>
      </w:pPr>
      <w:r w:rsidRPr="000E2B50">
        <w:rPr>
          <w:sz w:val="22"/>
          <w:szCs w:val="22"/>
          <w:lang w:val="en-AU"/>
        </w:rPr>
        <w:t>job advertisements from a national recruitment website or national print media that are in English and specify the salary arrangements for the advertised position;</w:t>
      </w:r>
    </w:p>
    <w:p w14:paraId="64586C07" w14:textId="4AC8EDE7" w:rsidR="00F26B40" w:rsidRPr="000E2B50" w:rsidRDefault="00F26B40" w:rsidP="001C4E72">
      <w:pPr>
        <w:pStyle w:val="definition0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1985" w:hanging="567"/>
        <w:rPr>
          <w:sz w:val="22"/>
          <w:szCs w:val="22"/>
          <w:lang w:val="en-AU"/>
        </w:rPr>
      </w:pPr>
      <w:r w:rsidRPr="000E2B50">
        <w:rPr>
          <w:sz w:val="22"/>
          <w:szCs w:val="22"/>
          <w:lang w:val="en-AU"/>
        </w:rPr>
        <w:t xml:space="preserve">written advice from </w:t>
      </w:r>
      <w:r w:rsidR="00643F26">
        <w:rPr>
          <w:sz w:val="22"/>
          <w:szCs w:val="22"/>
          <w:lang w:val="en-AU"/>
        </w:rPr>
        <w:t>re</w:t>
      </w:r>
      <w:r w:rsidR="003E3572">
        <w:rPr>
          <w:sz w:val="22"/>
          <w:szCs w:val="22"/>
          <w:lang w:val="en-AU"/>
        </w:rPr>
        <w:t>gistered</w:t>
      </w:r>
      <w:r w:rsidR="00643F26">
        <w:rPr>
          <w:sz w:val="22"/>
          <w:szCs w:val="22"/>
          <w:lang w:val="en-AU"/>
        </w:rPr>
        <w:t xml:space="preserve"> </w:t>
      </w:r>
      <w:r w:rsidRPr="000E2B50">
        <w:rPr>
          <w:sz w:val="22"/>
          <w:szCs w:val="22"/>
          <w:lang w:val="en-AU"/>
        </w:rPr>
        <w:t>employer associations and/or unions;</w:t>
      </w:r>
    </w:p>
    <w:p w14:paraId="2737FB76" w14:textId="25F2932F" w:rsidR="00F26B40" w:rsidRDefault="00F26B40" w:rsidP="00C7018A">
      <w:pPr>
        <w:pStyle w:val="definition0"/>
        <w:numPr>
          <w:ilvl w:val="0"/>
          <w:numId w:val="19"/>
        </w:numPr>
        <w:shd w:val="clear" w:color="auto" w:fill="FFFFFF"/>
        <w:spacing w:before="0" w:beforeAutospacing="0" w:after="120" w:afterAutospacing="0" w:line="276" w:lineRule="auto"/>
        <w:ind w:left="1985" w:hanging="567"/>
        <w:rPr>
          <w:sz w:val="22"/>
          <w:szCs w:val="22"/>
          <w:lang w:val="en-AU"/>
        </w:rPr>
      </w:pPr>
      <w:proofErr w:type="gramStart"/>
      <w:r w:rsidRPr="000E2B50">
        <w:rPr>
          <w:sz w:val="22"/>
          <w:szCs w:val="22"/>
          <w:lang w:val="en-AU"/>
        </w:rPr>
        <w:t>remuneration</w:t>
      </w:r>
      <w:proofErr w:type="gramEnd"/>
      <w:r w:rsidRPr="000E2B50">
        <w:rPr>
          <w:sz w:val="22"/>
          <w:szCs w:val="22"/>
          <w:lang w:val="en-AU"/>
        </w:rPr>
        <w:t xml:space="preserve"> surveys generated across the relevant industry by a reputable organisation</w:t>
      </w:r>
      <w:r w:rsidR="00295269">
        <w:rPr>
          <w:sz w:val="22"/>
          <w:szCs w:val="22"/>
          <w:lang w:val="en-AU"/>
        </w:rPr>
        <w:t xml:space="preserve"> or body.</w:t>
      </w:r>
    </w:p>
    <w:p w14:paraId="09972106" w14:textId="6932B49E" w:rsidR="00C7018A" w:rsidRPr="00C7018A" w:rsidRDefault="00C7018A" w:rsidP="00C7018A">
      <w:pPr>
        <w:pStyle w:val="definition0"/>
        <w:shd w:val="clear" w:color="auto" w:fill="FFFFFF"/>
        <w:spacing w:before="0" w:beforeAutospacing="0" w:after="240" w:afterAutospacing="0"/>
        <w:ind w:left="1418"/>
        <w:rPr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lastRenderedPageBreak/>
        <w:t>state</w:t>
      </w:r>
      <w:proofErr w:type="gramEnd"/>
      <w:r>
        <w:rPr>
          <w:b/>
          <w:i/>
          <w:sz w:val="22"/>
          <w:szCs w:val="22"/>
        </w:rPr>
        <w:t xml:space="preserve"> industrial instrument </w:t>
      </w:r>
      <w:r>
        <w:rPr>
          <w:sz w:val="22"/>
          <w:szCs w:val="22"/>
        </w:rPr>
        <w:t xml:space="preserve">has the meaning given by section 12 of the </w:t>
      </w:r>
      <w:r>
        <w:rPr>
          <w:i/>
          <w:sz w:val="22"/>
          <w:szCs w:val="22"/>
        </w:rPr>
        <w:t>Fair Work Act 2009</w:t>
      </w:r>
      <w:r w:rsidR="005E12D8">
        <w:rPr>
          <w:i/>
          <w:sz w:val="22"/>
          <w:szCs w:val="22"/>
        </w:rPr>
        <w:t>.</w:t>
      </w:r>
    </w:p>
    <w:p w14:paraId="66052EB0" w14:textId="6D036D12" w:rsidR="00C7018A" w:rsidRPr="00C7018A" w:rsidRDefault="00C7018A" w:rsidP="00C7018A">
      <w:pPr>
        <w:pStyle w:val="definition0"/>
        <w:shd w:val="clear" w:color="auto" w:fill="FFFFFF"/>
        <w:spacing w:before="0" w:beforeAutospacing="0" w:after="240" w:afterAutospacing="0"/>
        <w:ind w:left="1418"/>
        <w:rPr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transitional</w:t>
      </w:r>
      <w:proofErr w:type="gramEnd"/>
      <w:r>
        <w:rPr>
          <w:b/>
          <w:i/>
          <w:sz w:val="22"/>
          <w:szCs w:val="22"/>
        </w:rPr>
        <w:t xml:space="preserve"> instrument </w:t>
      </w:r>
      <w:r>
        <w:rPr>
          <w:sz w:val="22"/>
          <w:szCs w:val="22"/>
        </w:rPr>
        <w:t xml:space="preserve">has the meaning given by section 2 of the </w:t>
      </w:r>
      <w:r w:rsidRPr="00C7018A">
        <w:rPr>
          <w:i/>
          <w:sz w:val="22"/>
          <w:szCs w:val="22"/>
        </w:rPr>
        <w:t>Fair Work (Transitional Provisions and Consequential Amendments) Act 2009</w:t>
      </w:r>
      <w:r w:rsidR="005E12D8">
        <w:rPr>
          <w:i/>
          <w:sz w:val="22"/>
          <w:szCs w:val="22"/>
        </w:rPr>
        <w:t>.</w:t>
      </w:r>
      <w:r w:rsidRPr="00C7018A">
        <w:rPr>
          <w:sz w:val="22"/>
          <w:szCs w:val="22"/>
        </w:rPr>
        <w:t xml:space="preserve"> </w:t>
      </w:r>
    </w:p>
    <w:p w14:paraId="69AD0CB7" w14:textId="77777777" w:rsidR="00014D5C" w:rsidRDefault="00014D5C">
      <w:pPr>
        <w:spacing w:line="240" w:lineRule="auto"/>
        <w:rPr>
          <w:rFonts w:eastAsia="Times New Roman" w:cs="Times New Roman"/>
          <w:lang w:eastAsia="en-AU"/>
        </w:rPr>
      </w:pPr>
      <w:bookmarkStart w:id="5" w:name="_Toc454512517"/>
      <w:r>
        <w:br w:type="page"/>
      </w:r>
    </w:p>
    <w:p w14:paraId="2ECDA9D0" w14:textId="77777777" w:rsidR="00B03C81" w:rsidRPr="00903AE1" w:rsidRDefault="00B03C81" w:rsidP="00B03C81">
      <w:pPr>
        <w:pStyle w:val="TOC6"/>
        <w:rPr>
          <w:noProof/>
          <w:sz w:val="36"/>
          <w:szCs w:val="36"/>
        </w:rPr>
      </w:pPr>
      <w:r w:rsidRPr="00903AE1">
        <w:rPr>
          <w:noProof/>
          <w:sz w:val="36"/>
          <w:szCs w:val="36"/>
        </w:rPr>
        <w:lastRenderedPageBreak/>
        <w:t>Part 2</w:t>
      </w:r>
      <w:r w:rsidR="004340D3" w:rsidRPr="004340D3">
        <w:rPr>
          <w:rFonts w:ascii="Arial" w:hAnsi="Arial"/>
          <w:sz w:val="32"/>
        </w:rPr>
        <w:t>—</w:t>
      </w:r>
      <w:r w:rsidR="005472A1">
        <w:rPr>
          <w:noProof/>
          <w:sz w:val="36"/>
          <w:szCs w:val="36"/>
        </w:rPr>
        <w:t>Income Threshold and Annual Earnings</w:t>
      </w:r>
    </w:p>
    <w:bookmarkEnd w:id="5"/>
    <w:p w14:paraId="22F86888" w14:textId="233864C3" w:rsidR="005472A1" w:rsidRPr="005472A1" w:rsidRDefault="005E12D8" w:rsidP="00014D5C">
      <w:pPr>
        <w:pStyle w:val="ActHead5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014D5C">
        <w:rPr>
          <w:sz w:val="22"/>
          <w:szCs w:val="22"/>
        </w:rPr>
        <w:tab/>
      </w:r>
      <w:r w:rsidR="005472A1">
        <w:rPr>
          <w:sz w:val="22"/>
          <w:szCs w:val="22"/>
        </w:rPr>
        <w:t xml:space="preserve">Annual Earnings </w:t>
      </w:r>
      <w:r w:rsidR="005472A1" w:rsidRPr="00903AE1">
        <w:rPr>
          <w:sz w:val="22"/>
          <w:szCs w:val="22"/>
        </w:rPr>
        <w:t xml:space="preserve"> </w:t>
      </w:r>
    </w:p>
    <w:p w14:paraId="2ECEE653" w14:textId="614C29F0" w:rsidR="005472A1" w:rsidRDefault="00C131A5" w:rsidP="001C4E72">
      <w:pPr>
        <w:pStyle w:val="ActHead5"/>
        <w:spacing w:line="276" w:lineRule="auto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For the purposes</w:t>
      </w:r>
      <w:r w:rsidR="00C326C5">
        <w:rPr>
          <w:b w:val="0"/>
          <w:sz w:val="22"/>
          <w:szCs w:val="22"/>
        </w:rPr>
        <w:t xml:space="preserve"> of paragraphs </w:t>
      </w:r>
      <w:r>
        <w:rPr>
          <w:b w:val="0"/>
          <w:sz w:val="22"/>
          <w:szCs w:val="22"/>
        </w:rPr>
        <w:t>2</w:t>
      </w:r>
      <w:r w:rsidR="00A57D2D">
        <w:rPr>
          <w:b w:val="0"/>
          <w:sz w:val="22"/>
          <w:szCs w:val="22"/>
        </w:rPr>
        <w:t>.72(15</w:t>
      </w:r>
      <w:proofErr w:type="gramStart"/>
      <w:r w:rsidR="00A57D2D">
        <w:rPr>
          <w:b w:val="0"/>
          <w:sz w:val="22"/>
          <w:szCs w:val="22"/>
        </w:rPr>
        <w:t>)(</w:t>
      </w:r>
      <w:proofErr w:type="gramEnd"/>
      <w:r w:rsidR="00A57D2D">
        <w:rPr>
          <w:b w:val="0"/>
          <w:sz w:val="22"/>
          <w:szCs w:val="22"/>
        </w:rPr>
        <w:t>b) and 2.79(1A)(b</w:t>
      </w:r>
      <w:r>
        <w:rPr>
          <w:b w:val="0"/>
          <w:sz w:val="22"/>
          <w:szCs w:val="22"/>
        </w:rPr>
        <w:t>)</w:t>
      </w:r>
      <w:r w:rsidR="00955F19">
        <w:rPr>
          <w:b w:val="0"/>
          <w:sz w:val="22"/>
          <w:szCs w:val="22"/>
        </w:rPr>
        <w:t xml:space="preserve"> of the Regulations</w:t>
      </w:r>
      <w:r>
        <w:rPr>
          <w:b w:val="0"/>
          <w:sz w:val="22"/>
          <w:szCs w:val="22"/>
        </w:rPr>
        <w:t>, the</w:t>
      </w:r>
      <w:r w:rsidR="00690952">
        <w:rPr>
          <w:b w:val="0"/>
          <w:sz w:val="22"/>
          <w:szCs w:val="22"/>
        </w:rPr>
        <w:t xml:space="preserve"> specified amount of annual earnings </w:t>
      </w:r>
      <w:r>
        <w:rPr>
          <w:b w:val="0"/>
          <w:sz w:val="22"/>
          <w:szCs w:val="22"/>
        </w:rPr>
        <w:t xml:space="preserve">is </w:t>
      </w:r>
      <w:r w:rsidR="00C326C5">
        <w:rPr>
          <w:b w:val="0"/>
          <w:sz w:val="22"/>
          <w:szCs w:val="22"/>
        </w:rPr>
        <w:t>AUD 250,000.</w:t>
      </w:r>
    </w:p>
    <w:p w14:paraId="5266CB7A" w14:textId="601DAD37" w:rsidR="00094A70" w:rsidRPr="00903AE1" w:rsidRDefault="005E12D8" w:rsidP="00014D5C">
      <w:pPr>
        <w:pStyle w:val="ActHead5"/>
        <w:ind w:left="284" w:hanging="284"/>
        <w:rPr>
          <w:sz w:val="22"/>
          <w:szCs w:val="22"/>
        </w:rPr>
      </w:pPr>
      <w:r>
        <w:rPr>
          <w:sz w:val="22"/>
          <w:szCs w:val="22"/>
        </w:rPr>
        <w:t>6</w:t>
      </w:r>
      <w:r w:rsidR="00014D5C">
        <w:rPr>
          <w:sz w:val="22"/>
          <w:szCs w:val="22"/>
        </w:rPr>
        <w:tab/>
      </w:r>
      <w:r w:rsidR="00094A70">
        <w:rPr>
          <w:sz w:val="22"/>
          <w:szCs w:val="22"/>
        </w:rPr>
        <w:t xml:space="preserve">Income Threshold  </w:t>
      </w:r>
    </w:p>
    <w:p w14:paraId="4C98F28B" w14:textId="2D51F535" w:rsidR="00903AE1" w:rsidRPr="00935A72" w:rsidRDefault="00094A70" w:rsidP="001C4E72">
      <w:pPr>
        <w:pStyle w:val="ActHead5"/>
        <w:spacing w:line="276" w:lineRule="auto"/>
        <w:ind w:firstLine="0"/>
        <w:rPr>
          <w:b w:val="0"/>
          <w:sz w:val="22"/>
          <w:szCs w:val="22"/>
        </w:rPr>
      </w:pPr>
      <w:r w:rsidRPr="00903AE1">
        <w:rPr>
          <w:b w:val="0"/>
          <w:sz w:val="22"/>
          <w:szCs w:val="22"/>
        </w:rPr>
        <w:t xml:space="preserve">For the purposes of </w:t>
      </w:r>
      <w:r w:rsidR="00C326C5">
        <w:rPr>
          <w:b w:val="0"/>
          <w:sz w:val="22"/>
          <w:szCs w:val="22"/>
        </w:rPr>
        <w:t>paragraph </w:t>
      </w:r>
      <w:r>
        <w:rPr>
          <w:b w:val="0"/>
          <w:sz w:val="22"/>
          <w:szCs w:val="22"/>
        </w:rPr>
        <w:t>2.72(15</w:t>
      </w:r>
      <w:proofErr w:type="gramStart"/>
      <w:r>
        <w:rPr>
          <w:b w:val="0"/>
          <w:sz w:val="22"/>
          <w:szCs w:val="22"/>
        </w:rPr>
        <w:t>)(</w:t>
      </w:r>
      <w:proofErr w:type="gramEnd"/>
      <w:r>
        <w:rPr>
          <w:b w:val="0"/>
          <w:sz w:val="22"/>
          <w:szCs w:val="22"/>
        </w:rPr>
        <w:t xml:space="preserve">d) </w:t>
      </w:r>
      <w:r w:rsidRPr="00903AE1">
        <w:rPr>
          <w:b w:val="0"/>
          <w:sz w:val="22"/>
          <w:szCs w:val="22"/>
        </w:rPr>
        <w:t>of the Regulations</w:t>
      </w:r>
      <w:r>
        <w:rPr>
          <w:b w:val="0"/>
          <w:sz w:val="22"/>
          <w:szCs w:val="22"/>
        </w:rPr>
        <w:t>, the temporary skilled mi</w:t>
      </w:r>
      <w:r w:rsidR="00C326C5">
        <w:rPr>
          <w:b w:val="0"/>
          <w:sz w:val="22"/>
          <w:szCs w:val="22"/>
        </w:rPr>
        <w:t>gration income threshold is AUD </w:t>
      </w:r>
      <w:r>
        <w:rPr>
          <w:b w:val="0"/>
          <w:sz w:val="22"/>
          <w:szCs w:val="22"/>
        </w:rPr>
        <w:t xml:space="preserve">53,900. </w:t>
      </w:r>
    </w:p>
    <w:p w14:paraId="229D9591" w14:textId="77777777" w:rsidR="00554826" w:rsidRPr="00903AE1" w:rsidRDefault="00554826" w:rsidP="005E7502">
      <w:pPr>
        <w:pStyle w:val="ActHead5"/>
        <w:rPr>
          <w:sz w:val="22"/>
          <w:szCs w:val="22"/>
        </w:rPr>
      </w:pPr>
      <w:r w:rsidRPr="00903AE1">
        <w:rPr>
          <w:sz w:val="22"/>
          <w:szCs w:val="22"/>
        </w:rPr>
        <w:br w:type="page"/>
      </w:r>
    </w:p>
    <w:p w14:paraId="127F91B4" w14:textId="0BE908A6" w:rsidR="004A697B" w:rsidRPr="00BA2980" w:rsidRDefault="004A697B" w:rsidP="004A697B">
      <w:pPr>
        <w:pStyle w:val="TOC6"/>
        <w:rPr>
          <w:noProof/>
          <w:sz w:val="36"/>
          <w:szCs w:val="36"/>
        </w:rPr>
      </w:pPr>
      <w:bookmarkStart w:id="6" w:name="_Toc454512518"/>
      <w:r w:rsidRPr="00BA2980">
        <w:rPr>
          <w:noProof/>
          <w:sz w:val="36"/>
          <w:szCs w:val="36"/>
        </w:rPr>
        <w:lastRenderedPageBreak/>
        <w:t>Part 3</w:t>
      </w:r>
      <w:r w:rsidR="009A4183">
        <w:rPr>
          <w:sz w:val="36"/>
          <w:szCs w:val="36"/>
        </w:rPr>
        <w:t>—</w:t>
      </w:r>
      <w:r w:rsidR="00B17DB4">
        <w:rPr>
          <w:sz w:val="36"/>
          <w:szCs w:val="36"/>
        </w:rPr>
        <w:t>Method of d</w:t>
      </w:r>
      <w:r w:rsidRPr="00BA2980">
        <w:rPr>
          <w:sz w:val="36"/>
          <w:szCs w:val="36"/>
        </w:rPr>
        <w:t>etermination of Annual Market Salary Rate</w:t>
      </w:r>
    </w:p>
    <w:p w14:paraId="43055871" w14:textId="3C825E33" w:rsidR="004A697B" w:rsidRPr="005472A1" w:rsidRDefault="005E12D8" w:rsidP="00BA2980">
      <w:pPr>
        <w:pStyle w:val="ActHead5"/>
        <w:spacing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7</w:t>
      </w:r>
      <w:r w:rsidR="004A697B">
        <w:rPr>
          <w:sz w:val="22"/>
          <w:szCs w:val="22"/>
        </w:rPr>
        <w:tab/>
      </w:r>
      <w:r w:rsidR="00B17DB4">
        <w:rPr>
          <w:sz w:val="22"/>
          <w:szCs w:val="22"/>
        </w:rPr>
        <w:t>Method for d</w:t>
      </w:r>
      <w:r w:rsidR="004A697B">
        <w:rPr>
          <w:sz w:val="22"/>
          <w:szCs w:val="22"/>
        </w:rPr>
        <w:t>etermin</w:t>
      </w:r>
      <w:r w:rsidR="00B17DB4">
        <w:rPr>
          <w:sz w:val="22"/>
          <w:szCs w:val="22"/>
        </w:rPr>
        <w:t>ing th</w:t>
      </w:r>
      <w:r w:rsidR="00513B3B">
        <w:rPr>
          <w:sz w:val="22"/>
          <w:szCs w:val="22"/>
        </w:rPr>
        <w:t>e annual market salary r</w:t>
      </w:r>
      <w:r w:rsidR="004A697B">
        <w:rPr>
          <w:sz w:val="22"/>
          <w:szCs w:val="22"/>
        </w:rPr>
        <w:t xml:space="preserve">ate </w:t>
      </w:r>
      <w:r w:rsidR="00F14337">
        <w:rPr>
          <w:sz w:val="22"/>
          <w:szCs w:val="22"/>
        </w:rPr>
        <w:t xml:space="preserve">where an Australian worker </w:t>
      </w:r>
      <w:r w:rsidR="00B17DB4">
        <w:rPr>
          <w:sz w:val="22"/>
          <w:szCs w:val="22"/>
        </w:rPr>
        <w:t xml:space="preserve">is </w:t>
      </w:r>
      <w:r w:rsidR="00F14337">
        <w:rPr>
          <w:sz w:val="22"/>
          <w:szCs w:val="22"/>
        </w:rPr>
        <w:t xml:space="preserve">performing equivalent work </w:t>
      </w:r>
    </w:p>
    <w:p w14:paraId="78DE1A42" w14:textId="49DFB2F0" w:rsidR="00AE3A7E" w:rsidRDefault="006079E3" w:rsidP="00C326C5">
      <w:pPr>
        <w:pStyle w:val="ActHead5"/>
        <w:ind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(1)</w:t>
      </w:r>
      <w:r>
        <w:rPr>
          <w:b w:val="0"/>
          <w:sz w:val="22"/>
          <w:szCs w:val="22"/>
        </w:rPr>
        <w:tab/>
      </w:r>
      <w:r w:rsidR="009E3597">
        <w:rPr>
          <w:b w:val="0"/>
          <w:sz w:val="22"/>
          <w:szCs w:val="22"/>
        </w:rPr>
        <w:t xml:space="preserve">For the purposes of </w:t>
      </w:r>
      <w:proofErr w:type="spellStart"/>
      <w:r w:rsidR="00643BCE">
        <w:rPr>
          <w:b w:val="0"/>
          <w:sz w:val="22"/>
          <w:szCs w:val="22"/>
        </w:rPr>
        <w:t>subregulation</w:t>
      </w:r>
      <w:proofErr w:type="spellEnd"/>
      <w:r w:rsidR="00643BCE">
        <w:rPr>
          <w:b w:val="0"/>
          <w:sz w:val="22"/>
          <w:szCs w:val="22"/>
        </w:rPr>
        <w:t xml:space="preserve"> </w:t>
      </w:r>
      <w:r w:rsidR="009E3597">
        <w:rPr>
          <w:b w:val="0"/>
          <w:sz w:val="22"/>
          <w:szCs w:val="22"/>
        </w:rPr>
        <w:t>2.72(17) of the Regulations, w</w:t>
      </w:r>
      <w:r w:rsidR="00AE3A7E">
        <w:rPr>
          <w:b w:val="0"/>
          <w:sz w:val="22"/>
          <w:szCs w:val="22"/>
        </w:rPr>
        <w:t>here a</w:t>
      </w:r>
      <w:r w:rsidR="00F14337">
        <w:rPr>
          <w:b w:val="0"/>
          <w:sz w:val="22"/>
          <w:szCs w:val="22"/>
        </w:rPr>
        <w:t xml:space="preserve"> there is a </w:t>
      </w:r>
      <w:r w:rsidR="00AE3A7E">
        <w:rPr>
          <w:b w:val="0"/>
          <w:sz w:val="22"/>
          <w:szCs w:val="22"/>
        </w:rPr>
        <w:t>fair work instrument, state industrial instrument or transitional instrument applicable to an Australian worker who is:</w:t>
      </w:r>
    </w:p>
    <w:p w14:paraId="27476BF2" w14:textId="77F9AA9D" w:rsidR="00AE3A7E" w:rsidRDefault="00AE3A7E" w:rsidP="00C326C5">
      <w:pPr>
        <w:pStyle w:val="ActHead5"/>
        <w:numPr>
          <w:ilvl w:val="0"/>
          <w:numId w:val="20"/>
        </w:numPr>
        <w:spacing w:before="120" w:line="276" w:lineRule="auto"/>
        <w:ind w:left="1701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employed in the same workplace as the nominee;</w:t>
      </w:r>
      <w:r w:rsidR="00CA3074">
        <w:rPr>
          <w:b w:val="0"/>
          <w:sz w:val="22"/>
          <w:szCs w:val="22"/>
        </w:rPr>
        <w:t xml:space="preserve"> and</w:t>
      </w:r>
    </w:p>
    <w:p w14:paraId="317E007B" w14:textId="05D5F0E5" w:rsidR="00AE3A7E" w:rsidRDefault="00AE3A7E" w:rsidP="00C326C5">
      <w:pPr>
        <w:pStyle w:val="ActHead5"/>
        <w:numPr>
          <w:ilvl w:val="0"/>
          <w:numId w:val="20"/>
        </w:numPr>
        <w:spacing w:before="120" w:line="276" w:lineRule="auto"/>
        <w:ind w:left="1701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 the same location as the nominee; and</w:t>
      </w:r>
    </w:p>
    <w:p w14:paraId="127D4B45" w14:textId="77777777" w:rsidR="00513B3B" w:rsidRPr="00513B3B" w:rsidRDefault="00B17DB4" w:rsidP="00C326C5">
      <w:pPr>
        <w:pStyle w:val="subsection"/>
        <w:numPr>
          <w:ilvl w:val="0"/>
          <w:numId w:val="20"/>
        </w:numPr>
        <w:spacing w:before="120" w:line="276" w:lineRule="auto"/>
        <w:ind w:left="1701" w:hanging="567"/>
        <w:rPr>
          <w:szCs w:val="22"/>
        </w:rPr>
      </w:pPr>
      <w:r>
        <w:t>performing</w:t>
      </w:r>
      <w:r w:rsidR="00AE3A7E">
        <w:t xml:space="preserve"> </w:t>
      </w:r>
      <w:r>
        <w:t xml:space="preserve">equivalent work to </w:t>
      </w:r>
      <w:r w:rsidR="00AE3A7E">
        <w:t>the nominee;</w:t>
      </w:r>
    </w:p>
    <w:p w14:paraId="5B7BAE08" w14:textId="731C5861" w:rsidR="00513B3B" w:rsidRDefault="00513B3B" w:rsidP="00C326C5">
      <w:pPr>
        <w:pStyle w:val="subsection"/>
        <w:tabs>
          <w:tab w:val="clear" w:pos="1021"/>
        </w:tabs>
        <w:spacing w:before="120" w:line="276" w:lineRule="auto"/>
        <w:ind w:firstLine="0"/>
        <w:jc w:val="both"/>
        <w:rPr>
          <w:szCs w:val="22"/>
        </w:rPr>
      </w:pPr>
      <w:proofErr w:type="gramStart"/>
      <w:r w:rsidRPr="00513B3B">
        <w:rPr>
          <w:szCs w:val="22"/>
        </w:rPr>
        <w:t>the</w:t>
      </w:r>
      <w:proofErr w:type="gramEnd"/>
      <w:r w:rsidRPr="00513B3B">
        <w:rPr>
          <w:szCs w:val="22"/>
        </w:rPr>
        <w:t xml:space="preserve"> annual market salary rate for a</w:t>
      </w:r>
      <w:r w:rsidR="00147657">
        <w:rPr>
          <w:szCs w:val="22"/>
        </w:rPr>
        <w:t xml:space="preserve">n equivalent </w:t>
      </w:r>
      <w:r w:rsidRPr="00513B3B">
        <w:rPr>
          <w:szCs w:val="22"/>
        </w:rPr>
        <w:t xml:space="preserve">nominated occupation or an occupation in relation </w:t>
      </w:r>
      <w:r w:rsidR="00147657">
        <w:rPr>
          <w:szCs w:val="22"/>
        </w:rPr>
        <w:t xml:space="preserve">to </w:t>
      </w:r>
      <w:r w:rsidRPr="00513B3B">
        <w:rPr>
          <w:szCs w:val="22"/>
        </w:rPr>
        <w:t>which a positio</w:t>
      </w:r>
      <w:r w:rsidR="00156009">
        <w:rPr>
          <w:szCs w:val="22"/>
        </w:rPr>
        <w:t>n is nominated under regulation </w:t>
      </w:r>
      <w:r w:rsidRPr="00513B3B">
        <w:rPr>
          <w:szCs w:val="22"/>
        </w:rPr>
        <w:t>5.19</w:t>
      </w:r>
      <w:r w:rsidR="00643BCE">
        <w:rPr>
          <w:szCs w:val="22"/>
        </w:rPr>
        <w:t xml:space="preserve"> of the Regulations</w:t>
      </w:r>
      <w:r w:rsidR="00147657">
        <w:rPr>
          <w:szCs w:val="22"/>
        </w:rPr>
        <w:t>,</w:t>
      </w:r>
      <w:r w:rsidRPr="00513B3B">
        <w:rPr>
          <w:szCs w:val="22"/>
        </w:rPr>
        <w:t xml:space="preserve"> </w:t>
      </w:r>
      <w:r w:rsidR="0056095E">
        <w:rPr>
          <w:szCs w:val="22"/>
        </w:rPr>
        <w:t xml:space="preserve">is the annual earnings of an Australian worker </w:t>
      </w:r>
      <w:r w:rsidR="00B17DB4" w:rsidRPr="00513B3B">
        <w:rPr>
          <w:szCs w:val="22"/>
        </w:rPr>
        <w:t>contained in those instruments</w:t>
      </w:r>
      <w:r w:rsidRPr="00513B3B">
        <w:rPr>
          <w:szCs w:val="22"/>
        </w:rPr>
        <w:t>.</w:t>
      </w:r>
    </w:p>
    <w:p w14:paraId="7E4F2569" w14:textId="043A33C5" w:rsidR="00513B3B" w:rsidRDefault="00513B3B" w:rsidP="00C326C5">
      <w:pPr>
        <w:pStyle w:val="subsection"/>
        <w:tabs>
          <w:tab w:val="clear" w:pos="1021"/>
          <w:tab w:val="left" w:pos="1134"/>
        </w:tabs>
        <w:spacing w:before="120" w:line="276" w:lineRule="auto"/>
        <w:ind w:hanging="567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</w:r>
      <w:r w:rsidR="006079E3" w:rsidRPr="006079E3">
        <w:rPr>
          <w:szCs w:val="22"/>
        </w:rPr>
        <w:t xml:space="preserve">Where </w:t>
      </w:r>
      <w:r w:rsidR="00BE509A">
        <w:rPr>
          <w:szCs w:val="22"/>
        </w:rPr>
        <w:t xml:space="preserve">there is no </w:t>
      </w:r>
      <w:r w:rsidR="006079E3" w:rsidRPr="006079E3">
        <w:rPr>
          <w:szCs w:val="22"/>
        </w:rPr>
        <w:t xml:space="preserve">fair work instrument, state industrial instrument or transitional instrument that is applicable to </w:t>
      </w:r>
      <w:r>
        <w:rPr>
          <w:szCs w:val="22"/>
        </w:rPr>
        <w:t>an Australian work</w:t>
      </w:r>
      <w:r w:rsidR="00FB36A0">
        <w:rPr>
          <w:szCs w:val="22"/>
        </w:rPr>
        <w:t>er who is:</w:t>
      </w:r>
    </w:p>
    <w:p w14:paraId="03FA7975" w14:textId="388CEFC7" w:rsidR="00513B3B" w:rsidRDefault="00513B3B" w:rsidP="00C326C5">
      <w:pPr>
        <w:pStyle w:val="ActHead5"/>
        <w:numPr>
          <w:ilvl w:val="0"/>
          <w:numId w:val="21"/>
        </w:numPr>
        <w:spacing w:before="120" w:line="276" w:lineRule="auto"/>
        <w:ind w:left="1701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employed in the same workplace as the nominee;</w:t>
      </w:r>
      <w:r w:rsidR="00CA3074">
        <w:rPr>
          <w:b w:val="0"/>
          <w:sz w:val="22"/>
          <w:szCs w:val="22"/>
        </w:rPr>
        <w:t xml:space="preserve"> and</w:t>
      </w:r>
    </w:p>
    <w:p w14:paraId="3B123A6C" w14:textId="77777777" w:rsidR="00513B3B" w:rsidRDefault="00513B3B" w:rsidP="00C326C5">
      <w:pPr>
        <w:pStyle w:val="ActHead5"/>
        <w:numPr>
          <w:ilvl w:val="0"/>
          <w:numId w:val="21"/>
        </w:numPr>
        <w:spacing w:before="120" w:line="276" w:lineRule="auto"/>
        <w:ind w:left="1701" w:hanging="56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at the same location as the nominee; and</w:t>
      </w:r>
    </w:p>
    <w:p w14:paraId="45580E8F" w14:textId="77777777" w:rsidR="00513B3B" w:rsidRPr="00513B3B" w:rsidRDefault="00513B3B" w:rsidP="00C326C5">
      <w:pPr>
        <w:pStyle w:val="subsection"/>
        <w:numPr>
          <w:ilvl w:val="0"/>
          <w:numId w:val="21"/>
        </w:numPr>
        <w:spacing w:before="120" w:line="276" w:lineRule="auto"/>
        <w:ind w:left="1701" w:hanging="567"/>
        <w:rPr>
          <w:szCs w:val="22"/>
        </w:rPr>
      </w:pPr>
      <w:r>
        <w:t>performing equivalent work to the nominee;</w:t>
      </w:r>
    </w:p>
    <w:p w14:paraId="61432CAA" w14:textId="78CC5FC2" w:rsidR="00513B3B" w:rsidRDefault="006079E3" w:rsidP="00C326C5">
      <w:pPr>
        <w:pStyle w:val="subsection"/>
        <w:tabs>
          <w:tab w:val="clear" w:pos="1021"/>
          <w:tab w:val="right" w:pos="1134"/>
        </w:tabs>
        <w:spacing w:before="120" w:after="360" w:line="276" w:lineRule="auto"/>
        <w:ind w:firstLine="0"/>
        <w:jc w:val="both"/>
        <w:rPr>
          <w:szCs w:val="22"/>
        </w:rPr>
      </w:pPr>
      <w:proofErr w:type="gramStart"/>
      <w:r w:rsidRPr="006079E3">
        <w:rPr>
          <w:szCs w:val="22"/>
        </w:rPr>
        <w:t>the</w:t>
      </w:r>
      <w:proofErr w:type="gramEnd"/>
      <w:r w:rsidRPr="006079E3">
        <w:rPr>
          <w:szCs w:val="22"/>
        </w:rPr>
        <w:t xml:space="preserve"> </w:t>
      </w:r>
      <w:r w:rsidR="00FB36A0">
        <w:rPr>
          <w:szCs w:val="22"/>
        </w:rPr>
        <w:t>annual market salary r</w:t>
      </w:r>
      <w:r>
        <w:rPr>
          <w:szCs w:val="22"/>
        </w:rPr>
        <w:t xml:space="preserve">ate </w:t>
      </w:r>
      <w:r w:rsidR="000B7A16" w:rsidRPr="00513B3B">
        <w:rPr>
          <w:szCs w:val="22"/>
        </w:rPr>
        <w:t>for a</w:t>
      </w:r>
      <w:r w:rsidR="00147657">
        <w:rPr>
          <w:szCs w:val="22"/>
        </w:rPr>
        <w:t>n equivalent</w:t>
      </w:r>
      <w:r w:rsidR="000B7A16" w:rsidRPr="00513B3B">
        <w:rPr>
          <w:szCs w:val="22"/>
        </w:rPr>
        <w:t xml:space="preserve"> nominated occupation or an occupation in relation which a positio</w:t>
      </w:r>
      <w:r w:rsidR="00C326C5">
        <w:rPr>
          <w:szCs w:val="22"/>
        </w:rPr>
        <w:t>n is nominated under regulation </w:t>
      </w:r>
      <w:r w:rsidR="000B7A16" w:rsidRPr="00513B3B">
        <w:rPr>
          <w:szCs w:val="22"/>
        </w:rPr>
        <w:t>5.19</w:t>
      </w:r>
      <w:r w:rsidR="00643BCE">
        <w:rPr>
          <w:szCs w:val="22"/>
        </w:rPr>
        <w:t xml:space="preserve"> of the Regulations</w:t>
      </w:r>
      <w:r w:rsidR="00147657">
        <w:rPr>
          <w:szCs w:val="22"/>
        </w:rPr>
        <w:t>,</w:t>
      </w:r>
      <w:r w:rsidR="000B7A16">
        <w:rPr>
          <w:szCs w:val="22"/>
        </w:rPr>
        <w:t xml:space="preserve"> </w:t>
      </w:r>
      <w:r w:rsidR="00FB36A0">
        <w:rPr>
          <w:szCs w:val="22"/>
        </w:rPr>
        <w:t xml:space="preserve">must be </w:t>
      </w:r>
      <w:r w:rsidRPr="006079E3">
        <w:rPr>
          <w:szCs w:val="22"/>
        </w:rPr>
        <w:t xml:space="preserve">determined </w:t>
      </w:r>
      <w:r>
        <w:rPr>
          <w:szCs w:val="22"/>
        </w:rPr>
        <w:t xml:space="preserve">by reference to </w:t>
      </w:r>
      <w:r w:rsidR="00FB36A0">
        <w:rPr>
          <w:szCs w:val="22"/>
        </w:rPr>
        <w:t>relevant employment documents</w:t>
      </w:r>
      <w:r w:rsidR="000B7A16">
        <w:rPr>
          <w:szCs w:val="22"/>
        </w:rPr>
        <w:t>.</w:t>
      </w:r>
      <w:r w:rsidR="00FB36A0">
        <w:rPr>
          <w:szCs w:val="22"/>
        </w:rPr>
        <w:t xml:space="preserve"> </w:t>
      </w:r>
    </w:p>
    <w:p w14:paraId="530477D7" w14:textId="3994CE75" w:rsidR="00295269" w:rsidRPr="00295269" w:rsidRDefault="005E12D8" w:rsidP="000B7A16">
      <w:pPr>
        <w:pStyle w:val="subsection"/>
        <w:spacing w:before="120" w:after="240" w:line="276" w:lineRule="auto"/>
        <w:ind w:left="284" w:hanging="284"/>
        <w:rPr>
          <w:b/>
          <w:szCs w:val="22"/>
        </w:rPr>
      </w:pPr>
      <w:r>
        <w:rPr>
          <w:b/>
          <w:szCs w:val="22"/>
        </w:rPr>
        <w:t>8</w:t>
      </w:r>
      <w:r w:rsidR="00F14337" w:rsidRPr="00295269">
        <w:rPr>
          <w:b/>
          <w:szCs w:val="22"/>
        </w:rPr>
        <w:tab/>
      </w:r>
      <w:r w:rsidR="00295269">
        <w:rPr>
          <w:b/>
          <w:szCs w:val="22"/>
        </w:rPr>
        <w:t>Method of determining the annual market salary r</w:t>
      </w:r>
      <w:r w:rsidR="00F14337" w:rsidRPr="00295269">
        <w:rPr>
          <w:b/>
          <w:szCs w:val="22"/>
        </w:rPr>
        <w:t xml:space="preserve">ate where there is not an Australian worker performing equivalent work </w:t>
      </w:r>
    </w:p>
    <w:p w14:paraId="3DC1172A" w14:textId="67347D2B" w:rsidR="00295269" w:rsidRDefault="009E3597" w:rsidP="001C4E72">
      <w:pPr>
        <w:pStyle w:val="subsection"/>
        <w:tabs>
          <w:tab w:val="clear" w:pos="1021"/>
        </w:tabs>
        <w:spacing w:before="120" w:line="276" w:lineRule="auto"/>
        <w:ind w:firstLine="0"/>
        <w:rPr>
          <w:szCs w:val="22"/>
        </w:rPr>
      </w:pPr>
      <w:r w:rsidRPr="009E3597">
        <w:rPr>
          <w:szCs w:val="22"/>
        </w:rPr>
        <w:t xml:space="preserve">For the purposes of </w:t>
      </w:r>
      <w:proofErr w:type="spellStart"/>
      <w:r w:rsidR="00643BCE">
        <w:rPr>
          <w:szCs w:val="22"/>
        </w:rPr>
        <w:t>subregulation</w:t>
      </w:r>
      <w:proofErr w:type="spellEnd"/>
      <w:r w:rsidR="00643BCE">
        <w:rPr>
          <w:szCs w:val="22"/>
        </w:rPr>
        <w:t xml:space="preserve"> </w:t>
      </w:r>
      <w:r w:rsidRPr="009E3597">
        <w:rPr>
          <w:szCs w:val="22"/>
        </w:rPr>
        <w:t>2.72(17) of the Regulations, and w</w:t>
      </w:r>
      <w:r w:rsidR="00C326C5" w:rsidRPr="009E3597">
        <w:rPr>
          <w:szCs w:val="22"/>
        </w:rPr>
        <w:t>here</w:t>
      </w:r>
      <w:r w:rsidR="006C5935">
        <w:rPr>
          <w:szCs w:val="22"/>
        </w:rPr>
        <w:t xml:space="preserve"> section 7</w:t>
      </w:r>
      <w:r w:rsidR="00295269">
        <w:rPr>
          <w:szCs w:val="22"/>
        </w:rPr>
        <w:t xml:space="preserve"> </w:t>
      </w:r>
      <w:r w:rsidR="006C5935">
        <w:rPr>
          <w:szCs w:val="22"/>
        </w:rPr>
        <w:t xml:space="preserve">of this instrument </w:t>
      </w:r>
      <w:r w:rsidR="00295269">
        <w:rPr>
          <w:szCs w:val="22"/>
        </w:rPr>
        <w:t>does not apply and</w:t>
      </w:r>
      <w:r w:rsidR="007743F8">
        <w:rPr>
          <w:szCs w:val="22"/>
        </w:rPr>
        <w:t>:</w:t>
      </w:r>
    </w:p>
    <w:p w14:paraId="280C6474" w14:textId="07AC4A02" w:rsidR="00295269" w:rsidRDefault="00147657" w:rsidP="001C4E72">
      <w:pPr>
        <w:pStyle w:val="subsection"/>
        <w:numPr>
          <w:ilvl w:val="0"/>
          <w:numId w:val="22"/>
        </w:numPr>
        <w:tabs>
          <w:tab w:val="clear" w:pos="1021"/>
          <w:tab w:val="left" w:pos="1701"/>
        </w:tabs>
        <w:spacing w:before="120" w:line="276" w:lineRule="auto"/>
        <w:ind w:left="1701" w:hanging="567"/>
        <w:jc w:val="both"/>
        <w:rPr>
          <w:szCs w:val="22"/>
        </w:rPr>
      </w:pPr>
      <w:proofErr w:type="gramStart"/>
      <w:r>
        <w:rPr>
          <w:szCs w:val="22"/>
        </w:rPr>
        <w:t>w</w:t>
      </w:r>
      <w:r w:rsidR="000B7A16" w:rsidRPr="000B7A16">
        <w:rPr>
          <w:szCs w:val="22"/>
        </w:rPr>
        <w:t>here</w:t>
      </w:r>
      <w:proofErr w:type="gramEnd"/>
      <w:r w:rsidR="000B7A16">
        <w:rPr>
          <w:b/>
          <w:szCs w:val="22"/>
        </w:rPr>
        <w:t xml:space="preserve"> </w:t>
      </w:r>
      <w:r w:rsidR="000B7A16">
        <w:rPr>
          <w:szCs w:val="22"/>
        </w:rPr>
        <w:t>th</w:t>
      </w:r>
      <w:r w:rsidR="00C326C5">
        <w:rPr>
          <w:szCs w:val="22"/>
        </w:rPr>
        <w:t xml:space="preserve">ere is a fair work instrument, </w:t>
      </w:r>
      <w:r w:rsidR="00CA3074">
        <w:rPr>
          <w:szCs w:val="22"/>
        </w:rPr>
        <w:t xml:space="preserve">state </w:t>
      </w:r>
      <w:r w:rsidR="000B7A16">
        <w:rPr>
          <w:szCs w:val="22"/>
        </w:rPr>
        <w:t xml:space="preserve">industrial instrument or transitional </w:t>
      </w:r>
      <w:r w:rsidR="000B7A16" w:rsidRPr="000B7A16">
        <w:rPr>
          <w:szCs w:val="22"/>
        </w:rPr>
        <w:t xml:space="preserve">instrument applicable to </w:t>
      </w:r>
      <w:r w:rsidR="00BE509A">
        <w:rPr>
          <w:szCs w:val="22"/>
        </w:rPr>
        <w:t>a nominated occupation</w:t>
      </w:r>
      <w:r w:rsidR="000B7A16">
        <w:rPr>
          <w:szCs w:val="22"/>
        </w:rPr>
        <w:t xml:space="preserve">, the annual market salary rate </w:t>
      </w:r>
      <w:r w:rsidR="000B7A16" w:rsidRPr="00513B3B">
        <w:rPr>
          <w:szCs w:val="22"/>
        </w:rPr>
        <w:t>for a nominated occupation</w:t>
      </w:r>
      <w:r w:rsidR="00156009">
        <w:rPr>
          <w:szCs w:val="22"/>
        </w:rPr>
        <w:t>,</w:t>
      </w:r>
      <w:r w:rsidR="000B7A16" w:rsidRPr="00513B3B">
        <w:rPr>
          <w:szCs w:val="22"/>
        </w:rPr>
        <w:t xml:space="preserve"> or an occupation in relation </w:t>
      </w:r>
      <w:r w:rsidR="00156009">
        <w:rPr>
          <w:szCs w:val="22"/>
        </w:rPr>
        <w:t xml:space="preserve">to </w:t>
      </w:r>
      <w:r w:rsidR="000B7A16" w:rsidRPr="00513B3B">
        <w:rPr>
          <w:szCs w:val="22"/>
        </w:rPr>
        <w:t>which a positio</w:t>
      </w:r>
      <w:r w:rsidR="00C326C5">
        <w:rPr>
          <w:szCs w:val="22"/>
        </w:rPr>
        <w:t>n is nominated under regulation </w:t>
      </w:r>
      <w:r w:rsidR="000B7A16" w:rsidRPr="00513B3B">
        <w:rPr>
          <w:szCs w:val="22"/>
        </w:rPr>
        <w:t>5.19</w:t>
      </w:r>
      <w:r w:rsidR="00643BCE">
        <w:rPr>
          <w:szCs w:val="22"/>
        </w:rPr>
        <w:t xml:space="preserve"> of the Regulations</w:t>
      </w:r>
      <w:r>
        <w:rPr>
          <w:szCs w:val="22"/>
        </w:rPr>
        <w:t>,</w:t>
      </w:r>
      <w:r w:rsidR="0056095E" w:rsidRPr="0056095E">
        <w:rPr>
          <w:szCs w:val="22"/>
        </w:rPr>
        <w:t xml:space="preserve"> </w:t>
      </w:r>
      <w:r w:rsidR="0056095E">
        <w:rPr>
          <w:szCs w:val="22"/>
        </w:rPr>
        <w:t xml:space="preserve">is the annual earnings </w:t>
      </w:r>
      <w:r w:rsidR="00643F26">
        <w:rPr>
          <w:szCs w:val="22"/>
        </w:rPr>
        <w:t>of an</w:t>
      </w:r>
      <w:r w:rsidR="000B7A16">
        <w:rPr>
          <w:szCs w:val="22"/>
        </w:rPr>
        <w:t xml:space="preserve"> </w:t>
      </w:r>
      <w:r w:rsidR="00BE509A">
        <w:rPr>
          <w:szCs w:val="22"/>
        </w:rPr>
        <w:t xml:space="preserve">equivalent </w:t>
      </w:r>
      <w:r w:rsidR="000B7A16">
        <w:rPr>
          <w:szCs w:val="22"/>
        </w:rPr>
        <w:t>Australian worker</w:t>
      </w:r>
      <w:r w:rsidR="00BE509A">
        <w:rPr>
          <w:szCs w:val="22"/>
        </w:rPr>
        <w:t xml:space="preserve"> </w:t>
      </w:r>
      <w:r w:rsidR="000B7A16">
        <w:rPr>
          <w:szCs w:val="22"/>
        </w:rPr>
        <w:t>specified in those instruments.</w:t>
      </w:r>
    </w:p>
    <w:p w14:paraId="3E6ED12D" w14:textId="265B2474" w:rsidR="000B7A16" w:rsidRDefault="00BE509A" w:rsidP="001C4E72">
      <w:pPr>
        <w:pStyle w:val="subsection"/>
        <w:numPr>
          <w:ilvl w:val="0"/>
          <w:numId w:val="22"/>
        </w:numPr>
        <w:tabs>
          <w:tab w:val="clear" w:pos="1021"/>
          <w:tab w:val="left" w:pos="1701"/>
        </w:tabs>
        <w:spacing w:before="120" w:line="276" w:lineRule="auto"/>
        <w:ind w:left="1701" w:hanging="567"/>
        <w:jc w:val="both"/>
        <w:rPr>
          <w:szCs w:val="22"/>
        </w:rPr>
      </w:pPr>
      <w:r>
        <w:rPr>
          <w:szCs w:val="22"/>
        </w:rPr>
        <w:lastRenderedPageBreak/>
        <w:t>Where the</w:t>
      </w:r>
      <w:r w:rsidR="00C326C5">
        <w:rPr>
          <w:szCs w:val="22"/>
        </w:rPr>
        <w:t xml:space="preserve">re is no fair work instrument, </w:t>
      </w:r>
      <w:r w:rsidR="00CA3074">
        <w:rPr>
          <w:szCs w:val="22"/>
        </w:rPr>
        <w:t xml:space="preserve">state </w:t>
      </w:r>
      <w:r>
        <w:rPr>
          <w:szCs w:val="22"/>
        </w:rPr>
        <w:t xml:space="preserve">industrial instrument or transitional </w:t>
      </w:r>
      <w:r w:rsidRPr="000B7A16">
        <w:rPr>
          <w:szCs w:val="22"/>
        </w:rPr>
        <w:t>instrument applicable to a</w:t>
      </w:r>
      <w:r>
        <w:rPr>
          <w:szCs w:val="22"/>
        </w:rPr>
        <w:t xml:space="preserve"> nominated occupation</w:t>
      </w:r>
      <w:r w:rsidR="00147657">
        <w:rPr>
          <w:szCs w:val="22"/>
        </w:rPr>
        <w:t xml:space="preserve">, the annual market salary rate </w:t>
      </w:r>
      <w:r w:rsidR="00147657" w:rsidRPr="00513B3B">
        <w:rPr>
          <w:szCs w:val="22"/>
        </w:rPr>
        <w:t xml:space="preserve">for a nominated occupation or an occupation in relation </w:t>
      </w:r>
      <w:r w:rsidR="00156009">
        <w:rPr>
          <w:szCs w:val="22"/>
        </w:rPr>
        <w:t>to</w:t>
      </w:r>
      <w:r w:rsidR="00B413A7">
        <w:rPr>
          <w:szCs w:val="22"/>
        </w:rPr>
        <w:t xml:space="preserve"> </w:t>
      </w:r>
      <w:r w:rsidR="00147657" w:rsidRPr="00513B3B">
        <w:rPr>
          <w:szCs w:val="22"/>
        </w:rPr>
        <w:t>which a position is nominated under regulation</w:t>
      </w:r>
      <w:r w:rsidR="00C326C5">
        <w:rPr>
          <w:szCs w:val="22"/>
        </w:rPr>
        <w:t> </w:t>
      </w:r>
      <w:r w:rsidR="00147657" w:rsidRPr="00513B3B">
        <w:rPr>
          <w:szCs w:val="22"/>
        </w:rPr>
        <w:t>5.19</w:t>
      </w:r>
      <w:r w:rsidR="00643BCE">
        <w:rPr>
          <w:szCs w:val="22"/>
        </w:rPr>
        <w:t xml:space="preserve"> of the Regulations</w:t>
      </w:r>
      <w:r w:rsidR="0017796E">
        <w:rPr>
          <w:szCs w:val="22"/>
        </w:rPr>
        <w:t>,</w:t>
      </w:r>
      <w:r w:rsidR="00147657">
        <w:rPr>
          <w:szCs w:val="22"/>
        </w:rPr>
        <w:t xml:space="preserve"> </w:t>
      </w:r>
      <w:r w:rsidR="0056095E">
        <w:rPr>
          <w:szCs w:val="22"/>
        </w:rPr>
        <w:t xml:space="preserve">is the </w:t>
      </w:r>
      <w:r w:rsidR="00C131A5">
        <w:rPr>
          <w:szCs w:val="22"/>
        </w:rPr>
        <w:t>annual earnings</w:t>
      </w:r>
      <w:r w:rsidR="0056095E">
        <w:rPr>
          <w:szCs w:val="22"/>
        </w:rPr>
        <w:t xml:space="preserve"> </w:t>
      </w:r>
      <w:r>
        <w:rPr>
          <w:szCs w:val="22"/>
        </w:rPr>
        <w:t xml:space="preserve">that would apply to an </w:t>
      </w:r>
      <w:r w:rsidR="00643F26">
        <w:rPr>
          <w:szCs w:val="22"/>
        </w:rPr>
        <w:t>equivalent A</w:t>
      </w:r>
      <w:r w:rsidRPr="000B7A16">
        <w:rPr>
          <w:szCs w:val="22"/>
        </w:rPr>
        <w:t>ustralian worker</w:t>
      </w:r>
      <w:r>
        <w:rPr>
          <w:szCs w:val="22"/>
        </w:rPr>
        <w:t xml:space="preserve">, </w:t>
      </w:r>
      <w:r w:rsidR="0056095E">
        <w:rPr>
          <w:szCs w:val="22"/>
        </w:rPr>
        <w:t xml:space="preserve">which </w:t>
      </w:r>
      <w:r w:rsidR="00147657">
        <w:rPr>
          <w:szCs w:val="22"/>
        </w:rPr>
        <w:t>must be determined by reference to relevant information</w:t>
      </w:r>
      <w:r w:rsidR="00643F26">
        <w:rPr>
          <w:szCs w:val="22"/>
        </w:rPr>
        <w:t>.</w:t>
      </w:r>
    </w:p>
    <w:p w14:paraId="6AF518F2" w14:textId="379CF1C9" w:rsidR="009A2329" w:rsidRPr="009A2329" w:rsidRDefault="009A2329" w:rsidP="00C326C5">
      <w:pPr>
        <w:pStyle w:val="ItemHead"/>
        <w:ind w:left="0" w:firstLine="0"/>
      </w:pPr>
    </w:p>
    <w:p w14:paraId="5CA0CE65" w14:textId="30D1ADBA" w:rsidR="004157E5" w:rsidRPr="003567FE" w:rsidRDefault="004A697B" w:rsidP="004157E5">
      <w:pPr>
        <w:pStyle w:val="TOC6"/>
        <w:spacing w:after="240"/>
        <w:rPr>
          <w:noProof/>
          <w:sz w:val="36"/>
          <w:szCs w:val="36"/>
        </w:rPr>
      </w:pPr>
      <w:r>
        <w:br w:type="page"/>
      </w:r>
      <w:r w:rsidR="004157E5">
        <w:rPr>
          <w:noProof/>
          <w:sz w:val="36"/>
          <w:szCs w:val="36"/>
        </w:rPr>
        <w:lastRenderedPageBreak/>
        <w:t>Part 4</w:t>
      </w:r>
      <w:r w:rsidR="004157E5" w:rsidRPr="003567FE">
        <w:rPr>
          <w:sz w:val="32"/>
        </w:rPr>
        <w:t>—</w:t>
      </w:r>
      <w:r w:rsidR="004157E5" w:rsidRPr="00C451EE">
        <w:rPr>
          <w:sz w:val="36"/>
          <w:szCs w:val="36"/>
        </w:rPr>
        <w:t>Transitional Provision</w:t>
      </w:r>
    </w:p>
    <w:p w14:paraId="201AEDE2" w14:textId="50DAB42F" w:rsidR="004157E5" w:rsidRDefault="005E12D8" w:rsidP="004157E5">
      <w:pPr>
        <w:spacing w:after="240"/>
        <w:outlineLvl w:val="0"/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</w:pPr>
      <w:r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>9</w:t>
      </w:r>
      <w:r w:rsidR="004157E5"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 xml:space="preserve">  Application of </w:t>
      </w:r>
      <w:r w:rsidR="00DB198F"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 xml:space="preserve">Part 2 of </w:t>
      </w:r>
      <w:r w:rsidR="004157E5"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  <w:t>this Instrument</w:t>
      </w:r>
    </w:p>
    <w:p w14:paraId="7C0D7F8A" w14:textId="6390F207" w:rsidR="007563F6" w:rsidRDefault="004157E5" w:rsidP="004F48F3">
      <w:pPr>
        <w:spacing w:line="276" w:lineRule="auto"/>
        <w:ind w:left="1134"/>
        <w:outlineLvl w:val="0"/>
        <w:rPr>
          <w:rFonts w:eastAsia="Times New Roman" w:cs="Times New Roman"/>
          <w:noProof/>
          <w:kern w:val="28"/>
          <w:szCs w:val="22"/>
          <w:lang w:eastAsia="en-AU"/>
        </w:rPr>
      </w:pPr>
      <w:r w:rsidRPr="00DB689B">
        <w:rPr>
          <w:rFonts w:eastAsia="Times New Roman" w:cs="Times New Roman"/>
          <w:noProof/>
          <w:kern w:val="28"/>
          <w:szCs w:val="22"/>
          <w:lang w:eastAsia="en-AU"/>
        </w:rPr>
        <w:t xml:space="preserve">This instrument applies to </w:t>
      </w:r>
      <w:r>
        <w:rPr>
          <w:rFonts w:eastAsia="Times New Roman" w:cs="Times New Roman"/>
          <w:noProof/>
          <w:kern w:val="28"/>
          <w:szCs w:val="22"/>
          <w:lang w:eastAsia="en-AU"/>
        </w:rPr>
        <w:t>nomination</w:t>
      </w:r>
      <w:r w:rsidR="0079296E">
        <w:rPr>
          <w:rFonts w:eastAsia="Times New Roman" w:cs="Times New Roman"/>
          <w:noProof/>
          <w:kern w:val="28"/>
          <w:szCs w:val="22"/>
          <w:lang w:eastAsia="en-AU"/>
        </w:rPr>
        <w:t>s</w:t>
      </w: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="007563F6">
        <w:rPr>
          <w:rFonts w:eastAsia="Times New Roman" w:cs="Times New Roman"/>
          <w:noProof/>
          <w:kern w:val="28"/>
          <w:szCs w:val="22"/>
          <w:lang w:eastAsia="en-AU"/>
        </w:rPr>
        <w:t>for a proposed occupation</w:t>
      </w:r>
      <w:r w:rsidR="00112A6F">
        <w:rPr>
          <w:rFonts w:eastAsia="Times New Roman" w:cs="Times New Roman"/>
          <w:noProof/>
          <w:kern w:val="28"/>
          <w:szCs w:val="22"/>
          <w:lang w:eastAsia="en-AU"/>
        </w:rPr>
        <w:t xml:space="preserve"> by a standard business sponsor or a party to a work agreement (other than the Minister),</w:t>
      </w:r>
      <w:r w:rsidR="007563F6"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="007563F6" w:rsidRPr="007563F6">
        <w:rPr>
          <w:rFonts w:eastAsia="Times New Roman" w:cs="Times New Roman"/>
          <w:noProof/>
          <w:kern w:val="28"/>
          <w:szCs w:val="22"/>
          <w:lang w:eastAsia="en-AU"/>
        </w:rPr>
        <w:t xml:space="preserve">made on or after </w:t>
      </w:r>
      <w:r w:rsidR="007563F6" w:rsidRPr="00F608D9">
        <w:rPr>
          <w:rFonts w:eastAsia="Times New Roman" w:cs="Times New Roman"/>
          <w:noProof/>
          <w:kern w:val="28"/>
          <w:szCs w:val="22"/>
          <w:lang w:eastAsia="en-AU"/>
        </w:rPr>
        <w:t>1</w:t>
      </w:r>
      <w:r w:rsidR="003A2BA6" w:rsidRPr="00F608D9">
        <w:rPr>
          <w:rFonts w:eastAsia="Times New Roman" w:cs="Times New Roman"/>
          <w:noProof/>
          <w:kern w:val="28"/>
          <w:szCs w:val="22"/>
          <w:lang w:eastAsia="en-AU"/>
        </w:rPr>
        <w:t>8</w:t>
      </w:r>
      <w:r w:rsidR="007563F6" w:rsidRPr="00F608D9">
        <w:rPr>
          <w:rFonts w:eastAsia="Times New Roman" w:cs="Times New Roman"/>
          <w:noProof/>
          <w:kern w:val="28"/>
          <w:szCs w:val="22"/>
          <w:lang w:eastAsia="en-AU"/>
        </w:rPr>
        <w:t xml:space="preserve"> March 2018</w:t>
      </w:r>
      <w:r w:rsidR="007563F6"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="00112A6F">
        <w:rPr>
          <w:rFonts w:eastAsia="Times New Roman" w:cs="Times New Roman"/>
          <w:noProof/>
          <w:kern w:val="28"/>
          <w:szCs w:val="22"/>
          <w:lang w:eastAsia="en-AU"/>
        </w:rPr>
        <w:t>in relation to a</w:t>
      </w:r>
      <w:r w:rsidR="007563F6">
        <w:rPr>
          <w:rFonts w:eastAsia="Times New Roman" w:cs="Times New Roman"/>
          <w:noProof/>
          <w:kern w:val="28"/>
          <w:szCs w:val="22"/>
          <w:lang w:eastAsia="en-AU"/>
        </w:rPr>
        <w:t>:</w:t>
      </w:r>
    </w:p>
    <w:p w14:paraId="02716D7C" w14:textId="3A64F2BD" w:rsidR="007563F6" w:rsidRPr="007563F6" w:rsidRDefault="00112A6F" w:rsidP="007563F6">
      <w:pPr>
        <w:pStyle w:val="ListParagraph"/>
        <w:numPr>
          <w:ilvl w:val="0"/>
          <w:numId w:val="25"/>
        </w:numPr>
        <w:spacing w:before="120" w:line="276" w:lineRule="auto"/>
        <w:ind w:left="1701" w:hanging="567"/>
        <w:contextualSpacing w:val="0"/>
        <w:outlineLvl w:val="0"/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</w:pP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a holder of a </w:t>
      </w:r>
      <w:r w:rsidR="004157E5" w:rsidRPr="007563F6">
        <w:rPr>
          <w:rFonts w:eastAsia="Times New Roman" w:cs="Times New Roman"/>
          <w:noProof/>
          <w:kern w:val="28"/>
          <w:szCs w:val="22"/>
          <w:lang w:eastAsia="en-AU"/>
        </w:rPr>
        <w:t xml:space="preserve">Subclass 457 </w:t>
      </w:r>
      <w:r w:rsidR="007563F6">
        <w:rPr>
          <w:rFonts w:eastAsia="Times New Roman" w:cs="Times New Roman"/>
          <w:noProof/>
          <w:kern w:val="28"/>
          <w:szCs w:val="22"/>
          <w:lang w:eastAsia="en-AU"/>
        </w:rPr>
        <w:t xml:space="preserve">(Temporary Work (Skilled) </w:t>
      </w:r>
      <w:r w:rsidR="007563F6" w:rsidRPr="007563F6">
        <w:rPr>
          <w:rFonts w:eastAsia="Times New Roman" w:cs="Times New Roman"/>
          <w:noProof/>
          <w:kern w:val="28"/>
          <w:szCs w:val="22"/>
          <w:lang w:eastAsia="en-AU"/>
        </w:rPr>
        <w:t>visa</w:t>
      </w:r>
      <w:r w:rsidR="007563F6">
        <w:rPr>
          <w:rFonts w:eastAsia="Times New Roman" w:cs="Times New Roman"/>
          <w:noProof/>
          <w:kern w:val="28"/>
          <w:szCs w:val="22"/>
          <w:lang w:eastAsia="en-AU"/>
        </w:rPr>
        <w:t>;</w:t>
      </w:r>
      <w:r w:rsidR="007563F6" w:rsidRPr="007563F6"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</w:p>
    <w:p w14:paraId="3D0852E1" w14:textId="6E7C1064" w:rsidR="007563F6" w:rsidRPr="007563F6" w:rsidRDefault="007563F6" w:rsidP="007563F6">
      <w:pPr>
        <w:pStyle w:val="ListParagraph"/>
        <w:numPr>
          <w:ilvl w:val="0"/>
          <w:numId w:val="25"/>
        </w:numPr>
        <w:spacing w:before="120" w:line="276" w:lineRule="auto"/>
        <w:ind w:left="1701" w:hanging="567"/>
        <w:contextualSpacing w:val="0"/>
        <w:outlineLvl w:val="0"/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</w:pPr>
      <w:r w:rsidRPr="007563F6">
        <w:rPr>
          <w:rFonts w:eastAsia="Times New Roman" w:cs="Times New Roman"/>
          <w:noProof/>
          <w:kern w:val="28"/>
          <w:szCs w:val="22"/>
          <w:lang w:eastAsia="en-AU"/>
        </w:rPr>
        <w:t xml:space="preserve">a </w:t>
      </w:r>
      <w:r w:rsidR="00112A6F">
        <w:rPr>
          <w:rFonts w:eastAsia="Times New Roman" w:cs="Times New Roman"/>
          <w:noProof/>
          <w:kern w:val="28"/>
          <w:szCs w:val="22"/>
          <w:lang w:eastAsia="en-AU"/>
        </w:rPr>
        <w:t xml:space="preserve">holder of a </w:t>
      </w:r>
      <w:r w:rsidRPr="007563F6">
        <w:rPr>
          <w:rFonts w:eastAsia="Times New Roman" w:cs="Times New Roman"/>
          <w:noProof/>
          <w:kern w:val="28"/>
          <w:szCs w:val="22"/>
          <w:lang w:eastAsia="en-AU"/>
        </w:rPr>
        <w:t>Subclass 482</w:t>
      </w:r>
      <w:r w:rsidR="004157E5" w:rsidRPr="007563F6"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Pr="007563F6">
        <w:rPr>
          <w:rFonts w:eastAsia="Times New Roman" w:cs="Times New Roman"/>
          <w:noProof/>
          <w:kern w:val="28"/>
          <w:szCs w:val="22"/>
          <w:lang w:eastAsia="en-AU"/>
        </w:rPr>
        <w:t>(Temporary Skill Shortage)</w:t>
      </w: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Pr="007563F6">
        <w:rPr>
          <w:rFonts w:eastAsia="Times New Roman" w:cs="Times New Roman"/>
          <w:noProof/>
          <w:kern w:val="28"/>
          <w:szCs w:val="22"/>
          <w:lang w:eastAsia="en-AU"/>
        </w:rPr>
        <w:t>visa holder</w:t>
      </w: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; or </w:t>
      </w:r>
    </w:p>
    <w:p w14:paraId="4424ADE0" w14:textId="42477EE0" w:rsidR="004157E5" w:rsidRPr="007563F6" w:rsidRDefault="007563F6" w:rsidP="007563F6">
      <w:pPr>
        <w:pStyle w:val="ListParagraph"/>
        <w:numPr>
          <w:ilvl w:val="0"/>
          <w:numId w:val="25"/>
        </w:numPr>
        <w:spacing w:before="120" w:line="276" w:lineRule="auto"/>
        <w:ind w:left="1701" w:hanging="567"/>
        <w:contextualSpacing w:val="0"/>
        <w:outlineLvl w:val="0"/>
        <w:rPr>
          <w:rFonts w:eastAsia="Times New Roman" w:cs="Times New Roman"/>
          <w:b/>
          <w:noProof/>
          <w:kern w:val="28"/>
          <w:sz w:val="24"/>
          <w:szCs w:val="24"/>
          <w:lang w:eastAsia="en-AU"/>
        </w:rPr>
      </w:pPr>
      <w:r w:rsidRPr="007563F6">
        <w:rPr>
          <w:rFonts w:eastAsia="Times New Roman" w:cs="Times New Roman"/>
          <w:noProof/>
          <w:kern w:val="28"/>
          <w:szCs w:val="22"/>
          <w:lang w:eastAsia="en-AU"/>
        </w:rPr>
        <w:t>an applicant or proposed applicant for a Subclass 482</w:t>
      </w:r>
      <w:r>
        <w:rPr>
          <w:rFonts w:eastAsia="Times New Roman" w:cs="Times New Roman"/>
          <w:noProof/>
          <w:kern w:val="28"/>
          <w:szCs w:val="22"/>
          <w:lang w:eastAsia="en-AU"/>
        </w:rPr>
        <w:t xml:space="preserve"> </w:t>
      </w:r>
      <w:r w:rsidRPr="007563F6">
        <w:rPr>
          <w:rFonts w:eastAsia="Times New Roman" w:cs="Times New Roman"/>
          <w:noProof/>
          <w:kern w:val="28"/>
          <w:szCs w:val="22"/>
          <w:lang w:eastAsia="en-AU"/>
        </w:rPr>
        <w:t>(Temporary Skill Shortage) visa</w:t>
      </w:r>
      <w:r w:rsidR="004157E5" w:rsidRPr="007563F6">
        <w:rPr>
          <w:rFonts w:eastAsia="Times New Roman" w:cs="Times New Roman"/>
          <w:noProof/>
          <w:kern w:val="28"/>
          <w:szCs w:val="22"/>
          <w:lang w:eastAsia="en-AU"/>
        </w:rPr>
        <w:t>.</w:t>
      </w:r>
    </w:p>
    <w:p w14:paraId="57CAF4C6" w14:textId="77777777" w:rsidR="004A697B" w:rsidRDefault="004A697B">
      <w:pPr>
        <w:spacing w:line="240" w:lineRule="auto"/>
        <w:rPr>
          <w:rFonts w:ascii="Arial" w:eastAsia="Times New Roman" w:hAnsi="Arial" w:cs="Times New Roman"/>
          <w:b/>
          <w:kern w:val="28"/>
          <w:sz w:val="28"/>
          <w:lang w:eastAsia="en-AU"/>
        </w:rPr>
      </w:pPr>
    </w:p>
    <w:bookmarkEnd w:id="6"/>
    <w:sectPr w:rsidR="004A697B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7F75B" w14:textId="77777777" w:rsidR="009502A6" w:rsidRDefault="009502A6" w:rsidP="00715914">
      <w:pPr>
        <w:spacing w:line="240" w:lineRule="auto"/>
      </w:pPr>
      <w:r>
        <w:separator/>
      </w:r>
    </w:p>
  </w:endnote>
  <w:endnote w:type="continuationSeparator" w:id="0">
    <w:p w14:paraId="73818BC8" w14:textId="77777777" w:rsidR="009502A6" w:rsidRDefault="009502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6167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AE48E0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C929A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50A625" w14:textId="31A11D2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10F7">
            <w:rPr>
              <w:i/>
              <w:noProof/>
              <w:sz w:val="18"/>
            </w:rPr>
            <w:t>Migration (IMMI 18/033: Specification of Income Threshold and Annual Earnings and Methodology of Annual Market Salary Rate)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029A4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512584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2950E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BD1A73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368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8144E3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4EE7E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22C46F" w14:textId="2FCB5820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10F7">
            <w:rPr>
              <w:i/>
              <w:noProof/>
              <w:sz w:val="18"/>
            </w:rPr>
            <w:t>Migration (IMMI 18/033: Specification of Income Threshold and Annual Earnings and Methodology of Annual Market Salary Rate)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D6AF6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6A25A6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09BCF1" w14:textId="77777777" w:rsidR="0072147A" w:rsidRDefault="0072147A" w:rsidP="00A369E3">
          <w:pPr>
            <w:rPr>
              <w:sz w:val="18"/>
            </w:rPr>
          </w:pPr>
        </w:p>
      </w:tc>
    </w:tr>
  </w:tbl>
  <w:p w14:paraId="0D729D4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DAC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9F2F90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4CD59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C105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FB18C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947DD0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6F04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678DE96" w14:textId="77777777" w:rsidTr="00A87A58">
      <w:tc>
        <w:tcPr>
          <w:tcW w:w="365" w:type="pct"/>
        </w:tcPr>
        <w:p w14:paraId="291C77F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433CE1F" w14:textId="5D69529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A10F7">
            <w:rPr>
              <w:i/>
              <w:noProof/>
              <w:sz w:val="18"/>
            </w:rPr>
            <w:t>Migration (IMMI 18/033: Specification of Income Threshold and Annual Earnings and Methodology of Annual Market Salary Rate)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77515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4848AF9" w14:textId="77777777" w:rsidTr="00A87A58">
      <w:tc>
        <w:tcPr>
          <w:tcW w:w="5000" w:type="pct"/>
          <w:gridSpan w:val="3"/>
        </w:tcPr>
        <w:p w14:paraId="65FFE1C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BD42E7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F01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3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"/>
      <w:gridCol w:w="7550"/>
      <w:gridCol w:w="267"/>
    </w:tblGrid>
    <w:tr w:rsidR="00F504E0" w14:paraId="2AC57E32" w14:textId="77777777" w:rsidTr="006D29FD">
      <w:trPr>
        <w:trHeight w:val="646"/>
      </w:trPr>
      <w:tc>
        <w:tcPr>
          <w:tcW w:w="422" w:type="pct"/>
        </w:tcPr>
        <w:p w14:paraId="3EED6862" w14:textId="77777777" w:rsidR="00F504E0" w:rsidRDefault="00F504E0" w:rsidP="00F504E0"/>
      </w:tc>
      <w:tc>
        <w:tcPr>
          <w:tcW w:w="4422" w:type="pct"/>
        </w:tcPr>
        <w:p w14:paraId="34CA57E3" w14:textId="659F41D6" w:rsidR="00F504E0" w:rsidRPr="00F504E0" w:rsidRDefault="00F504E0" w:rsidP="0095773B">
          <w:pPr>
            <w:jc w:val="center"/>
            <w:rPr>
              <w:i/>
              <w:sz w:val="18"/>
              <w:szCs w:val="18"/>
            </w:rPr>
          </w:pPr>
          <w:r w:rsidRPr="00F504E0">
            <w:rPr>
              <w:i/>
              <w:sz w:val="18"/>
              <w:szCs w:val="18"/>
            </w:rPr>
            <w:t>Migration (IMMI 18/033: Specification of Income Threshold and Annual Earnings</w:t>
          </w:r>
          <w:r w:rsidR="0095773B">
            <w:rPr>
              <w:i/>
              <w:sz w:val="18"/>
              <w:szCs w:val="18"/>
            </w:rPr>
            <w:t xml:space="preserve"> and </w:t>
          </w:r>
          <w:r w:rsidR="003F6F12">
            <w:rPr>
              <w:i/>
              <w:sz w:val="18"/>
              <w:szCs w:val="18"/>
            </w:rPr>
            <w:t xml:space="preserve">Methodology of </w:t>
          </w:r>
          <w:r w:rsidR="0095773B">
            <w:rPr>
              <w:i/>
              <w:sz w:val="18"/>
              <w:szCs w:val="18"/>
            </w:rPr>
            <w:t>Annual Market Salary Rate</w:t>
          </w:r>
          <w:r w:rsidRPr="00F504E0">
            <w:rPr>
              <w:i/>
              <w:sz w:val="18"/>
              <w:szCs w:val="18"/>
            </w:rPr>
            <w:t>) Instrument 2018</w:t>
          </w:r>
        </w:p>
      </w:tc>
      <w:tc>
        <w:tcPr>
          <w:tcW w:w="156" w:type="pct"/>
        </w:tcPr>
        <w:p w14:paraId="519A629A" w14:textId="304504A0" w:rsidR="00F504E0" w:rsidRDefault="00F504E0" w:rsidP="00F504E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79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03DF0" w14:paraId="58ED9CAF" w14:textId="77777777" w:rsidTr="006D29FD">
      <w:trPr>
        <w:trHeight w:val="283"/>
      </w:trPr>
      <w:tc>
        <w:tcPr>
          <w:tcW w:w="5000" w:type="pct"/>
          <w:gridSpan w:val="3"/>
        </w:tcPr>
        <w:p w14:paraId="75870C3E" w14:textId="77777777" w:rsidR="00503DF0" w:rsidRDefault="00503DF0" w:rsidP="00503DF0">
          <w:pPr>
            <w:rPr>
              <w:sz w:val="18"/>
            </w:rPr>
          </w:pPr>
        </w:p>
      </w:tc>
    </w:tr>
  </w:tbl>
  <w:p w14:paraId="2EA0D0A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6F81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6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"/>
      <w:gridCol w:w="7373"/>
      <w:gridCol w:w="1893"/>
    </w:tblGrid>
    <w:tr w:rsidR="006D29FD" w14:paraId="29ABCA18" w14:textId="77777777" w:rsidTr="006D29FD">
      <w:trPr>
        <w:trHeight w:val="720"/>
      </w:trPr>
      <w:tc>
        <w:tcPr>
          <w:tcW w:w="365" w:type="pct"/>
        </w:tcPr>
        <w:p w14:paraId="06D76BBC" w14:textId="7E23EE5E" w:rsidR="006D29FD" w:rsidRDefault="006D29FD" w:rsidP="006D29F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14CD0C2" w14:textId="13BA8DAE" w:rsidR="006D29FD" w:rsidRDefault="00F504E0" w:rsidP="006D29FD">
          <w:pPr>
            <w:spacing w:line="0" w:lineRule="atLeast"/>
            <w:jc w:val="center"/>
            <w:rPr>
              <w:sz w:val="18"/>
            </w:rPr>
          </w:pPr>
          <w:r w:rsidRPr="00F504E0">
            <w:rPr>
              <w:i/>
              <w:sz w:val="18"/>
              <w:szCs w:val="18"/>
            </w:rPr>
            <w:t>Migration (IMMI 18/033: Specification of Income Threshold and Annual Earnings</w:t>
          </w:r>
          <w:r w:rsidR="003F6F12">
            <w:rPr>
              <w:i/>
              <w:sz w:val="18"/>
              <w:szCs w:val="18"/>
            </w:rPr>
            <w:t xml:space="preserve"> and Methodology of Annual Market Salary Rate</w:t>
          </w:r>
          <w:r w:rsidR="009B196E">
            <w:rPr>
              <w:i/>
              <w:sz w:val="18"/>
              <w:szCs w:val="18"/>
            </w:rPr>
            <w:t xml:space="preserve">) </w:t>
          </w:r>
          <w:r w:rsidRPr="00F504E0">
            <w:rPr>
              <w:i/>
              <w:sz w:val="18"/>
              <w:szCs w:val="18"/>
            </w:rPr>
            <w:t>Instrument 2018</w:t>
          </w:r>
        </w:p>
      </w:tc>
      <w:tc>
        <w:tcPr>
          <w:tcW w:w="947" w:type="pct"/>
        </w:tcPr>
        <w:p w14:paraId="4AF16490" w14:textId="36D33D01" w:rsidR="006D29FD" w:rsidRDefault="006645C8" w:rsidP="006645C8">
          <w:pPr>
            <w:spacing w:line="0" w:lineRule="atLeast"/>
            <w:ind w:right="860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79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29FD" w14:paraId="2347A0E8" w14:textId="77777777" w:rsidTr="00903AE1">
      <w:trPr>
        <w:trHeight w:val="316"/>
      </w:trPr>
      <w:tc>
        <w:tcPr>
          <w:tcW w:w="5000" w:type="pct"/>
          <w:gridSpan w:val="3"/>
        </w:tcPr>
        <w:p w14:paraId="3E74D622" w14:textId="77777777" w:rsidR="006D29FD" w:rsidRDefault="006D29FD" w:rsidP="006D29FD">
          <w:pPr>
            <w:jc w:val="right"/>
            <w:rPr>
              <w:sz w:val="18"/>
            </w:rPr>
          </w:pPr>
        </w:p>
      </w:tc>
    </w:tr>
  </w:tbl>
  <w:p w14:paraId="0DF4B3D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0B3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551" w:type="pct"/>
      <w:tblInd w:w="-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9"/>
      <w:gridCol w:w="7474"/>
      <w:gridCol w:w="676"/>
    </w:tblGrid>
    <w:tr w:rsidR="008C2EAC" w14:paraId="6D795E00" w14:textId="77777777" w:rsidTr="006D29FD">
      <w:trPr>
        <w:trHeight w:val="689"/>
      </w:trPr>
      <w:tc>
        <w:tcPr>
          <w:tcW w:w="585" w:type="pct"/>
        </w:tcPr>
        <w:p w14:paraId="34333E6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4049" w:type="pct"/>
        </w:tcPr>
        <w:p w14:paraId="2CEEBD88" w14:textId="7854223F" w:rsidR="008C2EAC" w:rsidRDefault="00F504E0" w:rsidP="000850AC">
          <w:pPr>
            <w:spacing w:line="0" w:lineRule="atLeast"/>
            <w:jc w:val="center"/>
            <w:rPr>
              <w:sz w:val="18"/>
            </w:rPr>
          </w:pPr>
          <w:r w:rsidRPr="00F504E0">
            <w:rPr>
              <w:i/>
              <w:sz w:val="18"/>
              <w:szCs w:val="18"/>
            </w:rPr>
            <w:t>Migration (IMMI 18/033: Specification of Income Threshold and Annual Earnings</w:t>
          </w:r>
          <w:r w:rsidR="003F6F12">
            <w:rPr>
              <w:i/>
              <w:sz w:val="18"/>
              <w:szCs w:val="18"/>
            </w:rPr>
            <w:t xml:space="preserve"> and Methodology of Annual Market Salary Rate</w:t>
          </w:r>
          <w:r w:rsidRPr="00F504E0">
            <w:rPr>
              <w:i/>
              <w:sz w:val="18"/>
              <w:szCs w:val="18"/>
            </w:rPr>
            <w:t>) Instrument 2018</w:t>
          </w:r>
        </w:p>
      </w:tc>
      <w:tc>
        <w:tcPr>
          <w:tcW w:w="366" w:type="pct"/>
        </w:tcPr>
        <w:p w14:paraId="5DE9CD64" w14:textId="28B579E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79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C115AFE" w14:textId="77777777" w:rsidTr="006D29FD">
      <w:trPr>
        <w:trHeight w:val="302"/>
      </w:trPr>
      <w:tc>
        <w:tcPr>
          <w:tcW w:w="5000" w:type="pct"/>
          <w:gridSpan w:val="3"/>
        </w:tcPr>
        <w:p w14:paraId="64181CAF" w14:textId="77777777" w:rsidR="008C2EAC" w:rsidRDefault="008C2EAC" w:rsidP="000850AC">
          <w:pPr>
            <w:rPr>
              <w:sz w:val="18"/>
            </w:rPr>
          </w:pPr>
        </w:p>
      </w:tc>
    </w:tr>
  </w:tbl>
  <w:p w14:paraId="10DC679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FA98" w14:textId="77777777" w:rsidR="009502A6" w:rsidRDefault="009502A6" w:rsidP="00715914">
      <w:pPr>
        <w:spacing w:line="240" w:lineRule="auto"/>
      </w:pPr>
      <w:r>
        <w:separator/>
      </w:r>
    </w:p>
  </w:footnote>
  <w:footnote w:type="continuationSeparator" w:id="0">
    <w:p w14:paraId="354ACF04" w14:textId="77777777" w:rsidR="009502A6" w:rsidRDefault="009502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3990" w14:textId="48BB289B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1D608" w14:textId="4F118CC9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432A" w14:textId="5AE7691F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EF94" w14:textId="7AB8BEC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3BF5" w14:textId="6F52E9FC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1E9F" w14:textId="4D45D883" w:rsidR="004E1307" w:rsidRDefault="004E1307" w:rsidP="00715914">
    <w:pPr>
      <w:rPr>
        <w:sz w:val="20"/>
      </w:rPr>
    </w:pPr>
  </w:p>
  <w:p w14:paraId="53C27D1F" w14:textId="77777777" w:rsidR="004E1307" w:rsidRPr="007A1328" w:rsidRDefault="004E1307" w:rsidP="00715914">
    <w:pPr>
      <w:rPr>
        <w:sz w:val="20"/>
      </w:rPr>
    </w:pPr>
  </w:p>
  <w:p w14:paraId="6746F36A" w14:textId="77777777" w:rsidR="004E1307" w:rsidRPr="007A1328" w:rsidRDefault="004E1307" w:rsidP="00715914">
    <w:pPr>
      <w:rPr>
        <w:b/>
        <w:sz w:val="24"/>
      </w:rPr>
    </w:pPr>
  </w:p>
  <w:p w14:paraId="27F50B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62BA" w14:textId="0B90080A" w:rsidR="004E1307" w:rsidRPr="007A1328" w:rsidRDefault="004E1307" w:rsidP="00715914">
    <w:pPr>
      <w:jc w:val="right"/>
      <w:rPr>
        <w:sz w:val="20"/>
      </w:rPr>
    </w:pPr>
  </w:p>
  <w:p w14:paraId="61B94AB7" w14:textId="77777777" w:rsidR="004E1307" w:rsidRPr="007A1328" w:rsidRDefault="004E1307" w:rsidP="00715914">
    <w:pPr>
      <w:jc w:val="right"/>
      <w:rPr>
        <w:sz w:val="20"/>
      </w:rPr>
    </w:pPr>
  </w:p>
  <w:p w14:paraId="1C7443D2" w14:textId="77777777" w:rsidR="004E1307" w:rsidRPr="007A1328" w:rsidRDefault="004E1307" w:rsidP="00715914">
    <w:pPr>
      <w:jc w:val="right"/>
      <w:rPr>
        <w:sz w:val="20"/>
      </w:rPr>
    </w:pPr>
  </w:p>
  <w:p w14:paraId="335A9400" w14:textId="77777777" w:rsidR="004E1307" w:rsidRPr="007A1328" w:rsidRDefault="004E1307" w:rsidP="00715914">
    <w:pPr>
      <w:jc w:val="right"/>
      <w:rPr>
        <w:b/>
        <w:sz w:val="24"/>
      </w:rPr>
    </w:pPr>
  </w:p>
  <w:p w14:paraId="34EC8D22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DCEE" w14:textId="1C7B9D14" w:rsidR="00643F26" w:rsidRDefault="00643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DD4FC4"/>
    <w:multiLevelType w:val="hybridMultilevel"/>
    <w:tmpl w:val="0C6CD0DA"/>
    <w:lvl w:ilvl="0" w:tplc="50AC2F68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1253CA"/>
    <w:multiLevelType w:val="hybridMultilevel"/>
    <w:tmpl w:val="9B6C1E56"/>
    <w:lvl w:ilvl="0" w:tplc="BD088FF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DF5BC8"/>
    <w:multiLevelType w:val="hybridMultilevel"/>
    <w:tmpl w:val="7E1EDD6E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5" w15:restartNumberingAfterBreak="0">
    <w:nsid w:val="37475F08"/>
    <w:multiLevelType w:val="hybridMultilevel"/>
    <w:tmpl w:val="12A20EC2"/>
    <w:lvl w:ilvl="0" w:tplc="D7CE877E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55938F5"/>
    <w:multiLevelType w:val="hybridMultilevel"/>
    <w:tmpl w:val="9996A8E2"/>
    <w:lvl w:ilvl="0" w:tplc="D7CE87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21D69"/>
    <w:multiLevelType w:val="hybridMultilevel"/>
    <w:tmpl w:val="1A1AB524"/>
    <w:lvl w:ilvl="0" w:tplc="2DAEF23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4F87E98"/>
    <w:multiLevelType w:val="hybridMultilevel"/>
    <w:tmpl w:val="BC9415D4"/>
    <w:lvl w:ilvl="0" w:tplc="0C463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C27B6D"/>
    <w:multiLevelType w:val="hybridMultilevel"/>
    <w:tmpl w:val="47D8B610"/>
    <w:lvl w:ilvl="0" w:tplc="D8CC9FC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763B13ED"/>
    <w:multiLevelType w:val="hybridMultilevel"/>
    <w:tmpl w:val="DD7EDE0A"/>
    <w:lvl w:ilvl="0" w:tplc="D7CE877E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2" w15:restartNumberingAfterBreak="0">
    <w:nsid w:val="78650AC6"/>
    <w:multiLevelType w:val="hybridMultilevel"/>
    <w:tmpl w:val="663EEFDE"/>
    <w:lvl w:ilvl="0" w:tplc="BB3224B0">
      <w:start w:val="1"/>
      <w:numFmt w:val="lowerLetter"/>
      <w:lvlText w:val="(%1)"/>
      <w:lvlJc w:val="left"/>
      <w:pPr>
        <w:ind w:left="190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 w15:restartNumberingAfterBreak="0">
    <w:nsid w:val="7C1451C2"/>
    <w:multiLevelType w:val="hybridMultilevel"/>
    <w:tmpl w:val="DD7EDE0A"/>
    <w:lvl w:ilvl="0" w:tplc="D7CE877E">
      <w:start w:val="1"/>
      <w:numFmt w:val="lowerLetter"/>
      <w:lvlText w:val="(%1)"/>
      <w:lvlJc w:val="left"/>
      <w:pPr>
        <w:ind w:left="19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 w15:restartNumberingAfterBreak="0">
    <w:nsid w:val="7D2E33C5"/>
    <w:multiLevelType w:val="hybridMultilevel"/>
    <w:tmpl w:val="50CC3468"/>
    <w:lvl w:ilvl="0" w:tplc="859C3A5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9"/>
  </w:num>
  <w:num w:numId="15">
    <w:abstractNumId w:val="24"/>
  </w:num>
  <w:num w:numId="16">
    <w:abstractNumId w:val="20"/>
  </w:num>
  <w:num w:numId="17">
    <w:abstractNumId w:val="18"/>
  </w:num>
  <w:num w:numId="18">
    <w:abstractNumId w:val="14"/>
  </w:num>
  <w:num w:numId="19">
    <w:abstractNumId w:val="17"/>
  </w:num>
  <w:num w:numId="20">
    <w:abstractNumId w:val="23"/>
  </w:num>
  <w:num w:numId="21">
    <w:abstractNumId w:val="21"/>
  </w:num>
  <w:num w:numId="22">
    <w:abstractNumId w:val="15"/>
  </w:num>
  <w:num w:numId="23">
    <w:abstractNumId w:val="13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6"/>
    <w:rsid w:val="00004174"/>
    <w:rsid w:val="00004470"/>
    <w:rsid w:val="000136AF"/>
    <w:rsid w:val="00014D5C"/>
    <w:rsid w:val="000258B1"/>
    <w:rsid w:val="00040A89"/>
    <w:rsid w:val="000437C1"/>
    <w:rsid w:val="0004455A"/>
    <w:rsid w:val="0005365D"/>
    <w:rsid w:val="0006131E"/>
    <w:rsid w:val="000614BF"/>
    <w:rsid w:val="0006709C"/>
    <w:rsid w:val="00074376"/>
    <w:rsid w:val="0008062F"/>
    <w:rsid w:val="00092BDA"/>
    <w:rsid w:val="00094A70"/>
    <w:rsid w:val="000978F5"/>
    <w:rsid w:val="000A2AE4"/>
    <w:rsid w:val="000B15CD"/>
    <w:rsid w:val="000B35EB"/>
    <w:rsid w:val="000B6508"/>
    <w:rsid w:val="000B6AEB"/>
    <w:rsid w:val="000B7A16"/>
    <w:rsid w:val="000D05EF"/>
    <w:rsid w:val="000D0A6E"/>
    <w:rsid w:val="000D1953"/>
    <w:rsid w:val="000E2261"/>
    <w:rsid w:val="000E2B50"/>
    <w:rsid w:val="000E78B7"/>
    <w:rsid w:val="000F21C1"/>
    <w:rsid w:val="000F7E38"/>
    <w:rsid w:val="00101B9F"/>
    <w:rsid w:val="0010745C"/>
    <w:rsid w:val="00112A6F"/>
    <w:rsid w:val="00132CEB"/>
    <w:rsid w:val="001339B0"/>
    <w:rsid w:val="00142B62"/>
    <w:rsid w:val="001441B7"/>
    <w:rsid w:val="00147657"/>
    <w:rsid w:val="001516CB"/>
    <w:rsid w:val="00151D80"/>
    <w:rsid w:val="00152336"/>
    <w:rsid w:val="00156009"/>
    <w:rsid w:val="00157B8B"/>
    <w:rsid w:val="00163EE7"/>
    <w:rsid w:val="00164CD1"/>
    <w:rsid w:val="00166C2F"/>
    <w:rsid w:val="00176C46"/>
    <w:rsid w:val="0017796E"/>
    <w:rsid w:val="001809D7"/>
    <w:rsid w:val="00185601"/>
    <w:rsid w:val="00192F95"/>
    <w:rsid w:val="001939E1"/>
    <w:rsid w:val="00194C3E"/>
    <w:rsid w:val="00195382"/>
    <w:rsid w:val="001A2A1A"/>
    <w:rsid w:val="001A35B5"/>
    <w:rsid w:val="001B2CB6"/>
    <w:rsid w:val="001B3435"/>
    <w:rsid w:val="001C3358"/>
    <w:rsid w:val="001C4433"/>
    <w:rsid w:val="001C4E72"/>
    <w:rsid w:val="001C61C5"/>
    <w:rsid w:val="001C69C4"/>
    <w:rsid w:val="001D37EF"/>
    <w:rsid w:val="001D5DD4"/>
    <w:rsid w:val="001D7DD5"/>
    <w:rsid w:val="001E3590"/>
    <w:rsid w:val="001E7407"/>
    <w:rsid w:val="001F0028"/>
    <w:rsid w:val="001F5D5E"/>
    <w:rsid w:val="001F6219"/>
    <w:rsid w:val="001F6CD4"/>
    <w:rsid w:val="00206C4D"/>
    <w:rsid w:val="00214041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544A"/>
    <w:rsid w:val="00295269"/>
    <w:rsid w:val="00297ECB"/>
    <w:rsid w:val="002A1F5F"/>
    <w:rsid w:val="002A7BCF"/>
    <w:rsid w:val="002B32B4"/>
    <w:rsid w:val="002C3FD1"/>
    <w:rsid w:val="002D043A"/>
    <w:rsid w:val="002D266B"/>
    <w:rsid w:val="002D36DC"/>
    <w:rsid w:val="002D399B"/>
    <w:rsid w:val="002D6224"/>
    <w:rsid w:val="002F6F20"/>
    <w:rsid w:val="00304F8B"/>
    <w:rsid w:val="003216BB"/>
    <w:rsid w:val="00335BC6"/>
    <w:rsid w:val="003415D3"/>
    <w:rsid w:val="00344338"/>
    <w:rsid w:val="00344701"/>
    <w:rsid w:val="00352B0F"/>
    <w:rsid w:val="0035302C"/>
    <w:rsid w:val="00360459"/>
    <w:rsid w:val="003625A0"/>
    <w:rsid w:val="00370EFC"/>
    <w:rsid w:val="0038049F"/>
    <w:rsid w:val="00397753"/>
    <w:rsid w:val="003A2BA6"/>
    <w:rsid w:val="003B4F6D"/>
    <w:rsid w:val="003B745B"/>
    <w:rsid w:val="003C6231"/>
    <w:rsid w:val="003D0BFE"/>
    <w:rsid w:val="003D5700"/>
    <w:rsid w:val="003E26D7"/>
    <w:rsid w:val="003E341B"/>
    <w:rsid w:val="003E3572"/>
    <w:rsid w:val="003E4D00"/>
    <w:rsid w:val="003E541D"/>
    <w:rsid w:val="003F6F12"/>
    <w:rsid w:val="004116CD"/>
    <w:rsid w:val="004157E5"/>
    <w:rsid w:val="00417EB9"/>
    <w:rsid w:val="00423914"/>
    <w:rsid w:val="00424CA9"/>
    <w:rsid w:val="004276DF"/>
    <w:rsid w:val="00431E9B"/>
    <w:rsid w:val="004340D3"/>
    <w:rsid w:val="004379E3"/>
    <w:rsid w:val="0044015E"/>
    <w:rsid w:val="0044291A"/>
    <w:rsid w:val="00454C3C"/>
    <w:rsid w:val="00467661"/>
    <w:rsid w:val="0047004F"/>
    <w:rsid w:val="00472DBE"/>
    <w:rsid w:val="00474A19"/>
    <w:rsid w:val="00477830"/>
    <w:rsid w:val="00483894"/>
    <w:rsid w:val="00487764"/>
    <w:rsid w:val="00496F97"/>
    <w:rsid w:val="004A697B"/>
    <w:rsid w:val="004A7B4C"/>
    <w:rsid w:val="004B6C48"/>
    <w:rsid w:val="004C4E59"/>
    <w:rsid w:val="004C6809"/>
    <w:rsid w:val="004D1C07"/>
    <w:rsid w:val="004E063A"/>
    <w:rsid w:val="004E1307"/>
    <w:rsid w:val="004E7BEC"/>
    <w:rsid w:val="004F48F3"/>
    <w:rsid w:val="004F6B2F"/>
    <w:rsid w:val="00503DF0"/>
    <w:rsid w:val="00505D3D"/>
    <w:rsid w:val="00506AF6"/>
    <w:rsid w:val="00507569"/>
    <w:rsid w:val="005137AE"/>
    <w:rsid w:val="00513B3B"/>
    <w:rsid w:val="00516B8D"/>
    <w:rsid w:val="005271B2"/>
    <w:rsid w:val="005303C8"/>
    <w:rsid w:val="00537FBC"/>
    <w:rsid w:val="005472A1"/>
    <w:rsid w:val="00554826"/>
    <w:rsid w:val="0056095E"/>
    <w:rsid w:val="0056235D"/>
    <w:rsid w:val="00573F6F"/>
    <w:rsid w:val="00584811"/>
    <w:rsid w:val="00585784"/>
    <w:rsid w:val="00587521"/>
    <w:rsid w:val="00593AA6"/>
    <w:rsid w:val="00594161"/>
    <w:rsid w:val="00594749"/>
    <w:rsid w:val="0059680D"/>
    <w:rsid w:val="005A10F7"/>
    <w:rsid w:val="005A3618"/>
    <w:rsid w:val="005A65D5"/>
    <w:rsid w:val="005B4067"/>
    <w:rsid w:val="005B43EE"/>
    <w:rsid w:val="005C3F41"/>
    <w:rsid w:val="005D1D92"/>
    <w:rsid w:val="005D2D09"/>
    <w:rsid w:val="005E12D8"/>
    <w:rsid w:val="005E7502"/>
    <w:rsid w:val="00600219"/>
    <w:rsid w:val="0060339C"/>
    <w:rsid w:val="00604F2A"/>
    <w:rsid w:val="006079E3"/>
    <w:rsid w:val="00620076"/>
    <w:rsid w:val="0062281D"/>
    <w:rsid w:val="00627E0A"/>
    <w:rsid w:val="00643BCE"/>
    <w:rsid w:val="00643F26"/>
    <w:rsid w:val="0065284E"/>
    <w:rsid w:val="0065488B"/>
    <w:rsid w:val="00661722"/>
    <w:rsid w:val="006645C8"/>
    <w:rsid w:val="00670EA1"/>
    <w:rsid w:val="00677CC2"/>
    <w:rsid w:val="0068744B"/>
    <w:rsid w:val="006905DE"/>
    <w:rsid w:val="00690952"/>
    <w:rsid w:val="0069207B"/>
    <w:rsid w:val="00694132"/>
    <w:rsid w:val="006A154F"/>
    <w:rsid w:val="006A437B"/>
    <w:rsid w:val="006B32DC"/>
    <w:rsid w:val="006B4B7C"/>
    <w:rsid w:val="006B5789"/>
    <w:rsid w:val="006C30BB"/>
    <w:rsid w:val="006C30C5"/>
    <w:rsid w:val="006C5935"/>
    <w:rsid w:val="006C7F8C"/>
    <w:rsid w:val="006D29FD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63F6"/>
    <w:rsid w:val="00762D38"/>
    <w:rsid w:val="007715C9"/>
    <w:rsid w:val="00771613"/>
    <w:rsid w:val="0077210C"/>
    <w:rsid w:val="007743F8"/>
    <w:rsid w:val="00774EDD"/>
    <w:rsid w:val="007757EC"/>
    <w:rsid w:val="00783E89"/>
    <w:rsid w:val="0079296E"/>
    <w:rsid w:val="00793915"/>
    <w:rsid w:val="007B1DE6"/>
    <w:rsid w:val="007C1C64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7253"/>
    <w:rsid w:val="00854D0B"/>
    <w:rsid w:val="00856A31"/>
    <w:rsid w:val="00860B4E"/>
    <w:rsid w:val="00867B37"/>
    <w:rsid w:val="008754D0"/>
    <w:rsid w:val="00875D13"/>
    <w:rsid w:val="008855C9"/>
    <w:rsid w:val="00886456"/>
    <w:rsid w:val="00886BE0"/>
    <w:rsid w:val="00896176"/>
    <w:rsid w:val="008A46E1"/>
    <w:rsid w:val="008A4F43"/>
    <w:rsid w:val="008A5451"/>
    <w:rsid w:val="008B2706"/>
    <w:rsid w:val="008B4D8D"/>
    <w:rsid w:val="008B77E5"/>
    <w:rsid w:val="008C2EAC"/>
    <w:rsid w:val="008C64A7"/>
    <w:rsid w:val="008D0EE0"/>
    <w:rsid w:val="008D19C0"/>
    <w:rsid w:val="008E0027"/>
    <w:rsid w:val="008E0251"/>
    <w:rsid w:val="008E6067"/>
    <w:rsid w:val="008E6680"/>
    <w:rsid w:val="008F54E7"/>
    <w:rsid w:val="00903422"/>
    <w:rsid w:val="00903AE1"/>
    <w:rsid w:val="009254C3"/>
    <w:rsid w:val="00932377"/>
    <w:rsid w:val="00935A72"/>
    <w:rsid w:val="00941236"/>
    <w:rsid w:val="00942566"/>
    <w:rsid w:val="00943FD5"/>
    <w:rsid w:val="00947D5A"/>
    <w:rsid w:val="009502A6"/>
    <w:rsid w:val="009532A5"/>
    <w:rsid w:val="009545BD"/>
    <w:rsid w:val="00955F19"/>
    <w:rsid w:val="0095773B"/>
    <w:rsid w:val="00964CF0"/>
    <w:rsid w:val="009718C8"/>
    <w:rsid w:val="00977806"/>
    <w:rsid w:val="00982242"/>
    <w:rsid w:val="0098677D"/>
    <w:rsid w:val="009868E9"/>
    <w:rsid w:val="0098785A"/>
    <w:rsid w:val="009900A3"/>
    <w:rsid w:val="009A2329"/>
    <w:rsid w:val="009A4183"/>
    <w:rsid w:val="009B196E"/>
    <w:rsid w:val="009C3413"/>
    <w:rsid w:val="009E16C9"/>
    <w:rsid w:val="009E3597"/>
    <w:rsid w:val="00A0441E"/>
    <w:rsid w:val="00A12128"/>
    <w:rsid w:val="00A1239A"/>
    <w:rsid w:val="00A17A28"/>
    <w:rsid w:val="00A22C98"/>
    <w:rsid w:val="00A231E2"/>
    <w:rsid w:val="00A369E3"/>
    <w:rsid w:val="00A37A3C"/>
    <w:rsid w:val="00A37CDB"/>
    <w:rsid w:val="00A57600"/>
    <w:rsid w:val="00A57D2D"/>
    <w:rsid w:val="00A641CD"/>
    <w:rsid w:val="00A64912"/>
    <w:rsid w:val="00A70A74"/>
    <w:rsid w:val="00A75FE9"/>
    <w:rsid w:val="00A855DE"/>
    <w:rsid w:val="00A95C21"/>
    <w:rsid w:val="00AA3E5F"/>
    <w:rsid w:val="00AB24A4"/>
    <w:rsid w:val="00AC31A1"/>
    <w:rsid w:val="00AD4B13"/>
    <w:rsid w:val="00AD53CC"/>
    <w:rsid w:val="00AD5641"/>
    <w:rsid w:val="00AE3A7E"/>
    <w:rsid w:val="00AF06CF"/>
    <w:rsid w:val="00B03C81"/>
    <w:rsid w:val="00B07CDB"/>
    <w:rsid w:val="00B16A31"/>
    <w:rsid w:val="00B17DB4"/>
    <w:rsid w:val="00B17DFD"/>
    <w:rsid w:val="00B21145"/>
    <w:rsid w:val="00B21A5D"/>
    <w:rsid w:val="00B25306"/>
    <w:rsid w:val="00B27831"/>
    <w:rsid w:val="00B308FE"/>
    <w:rsid w:val="00B33709"/>
    <w:rsid w:val="00B33B3C"/>
    <w:rsid w:val="00B36392"/>
    <w:rsid w:val="00B413A7"/>
    <w:rsid w:val="00B418CB"/>
    <w:rsid w:val="00B43DAA"/>
    <w:rsid w:val="00B47444"/>
    <w:rsid w:val="00B50ADC"/>
    <w:rsid w:val="00B566B1"/>
    <w:rsid w:val="00B63834"/>
    <w:rsid w:val="00B652EE"/>
    <w:rsid w:val="00B80199"/>
    <w:rsid w:val="00B83204"/>
    <w:rsid w:val="00B856E7"/>
    <w:rsid w:val="00BA220B"/>
    <w:rsid w:val="00BA2980"/>
    <w:rsid w:val="00BA3A57"/>
    <w:rsid w:val="00BB1533"/>
    <w:rsid w:val="00BB1A6A"/>
    <w:rsid w:val="00BB4E1A"/>
    <w:rsid w:val="00BB79EA"/>
    <w:rsid w:val="00BC015E"/>
    <w:rsid w:val="00BC76AC"/>
    <w:rsid w:val="00BD0ECB"/>
    <w:rsid w:val="00BE2155"/>
    <w:rsid w:val="00BE509A"/>
    <w:rsid w:val="00BE719A"/>
    <w:rsid w:val="00BE720A"/>
    <w:rsid w:val="00BF0D73"/>
    <w:rsid w:val="00BF2465"/>
    <w:rsid w:val="00C130EC"/>
    <w:rsid w:val="00C131A5"/>
    <w:rsid w:val="00C16619"/>
    <w:rsid w:val="00C166A5"/>
    <w:rsid w:val="00C25E7F"/>
    <w:rsid w:val="00C2746F"/>
    <w:rsid w:val="00C323D6"/>
    <w:rsid w:val="00C324A0"/>
    <w:rsid w:val="00C326C5"/>
    <w:rsid w:val="00C35413"/>
    <w:rsid w:val="00C42BF8"/>
    <w:rsid w:val="00C50043"/>
    <w:rsid w:val="00C6087E"/>
    <w:rsid w:val="00C614EE"/>
    <w:rsid w:val="00C7018A"/>
    <w:rsid w:val="00C7573B"/>
    <w:rsid w:val="00C846D6"/>
    <w:rsid w:val="00C97A54"/>
    <w:rsid w:val="00CA3074"/>
    <w:rsid w:val="00CA5B23"/>
    <w:rsid w:val="00CB602E"/>
    <w:rsid w:val="00CB7E90"/>
    <w:rsid w:val="00CC183C"/>
    <w:rsid w:val="00CE051D"/>
    <w:rsid w:val="00CE1335"/>
    <w:rsid w:val="00CE493D"/>
    <w:rsid w:val="00CF07FA"/>
    <w:rsid w:val="00CF08C5"/>
    <w:rsid w:val="00CF0BB2"/>
    <w:rsid w:val="00CF3EE8"/>
    <w:rsid w:val="00D13441"/>
    <w:rsid w:val="00D150E7"/>
    <w:rsid w:val="00D250D5"/>
    <w:rsid w:val="00D52DC2"/>
    <w:rsid w:val="00D53BCC"/>
    <w:rsid w:val="00D54C9E"/>
    <w:rsid w:val="00D6537E"/>
    <w:rsid w:val="00D70DFB"/>
    <w:rsid w:val="00D766DF"/>
    <w:rsid w:val="00D8206C"/>
    <w:rsid w:val="00D844C4"/>
    <w:rsid w:val="00D86334"/>
    <w:rsid w:val="00D8663E"/>
    <w:rsid w:val="00D91F10"/>
    <w:rsid w:val="00DA026D"/>
    <w:rsid w:val="00DA186E"/>
    <w:rsid w:val="00DA4116"/>
    <w:rsid w:val="00DB198F"/>
    <w:rsid w:val="00DB251C"/>
    <w:rsid w:val="00DB4630"/>
    <w:rsid w:val="00DC1C08"/>
    <w:rsid w:val="00DC4F88"/>
    <w:rsid w:val="00DE107C"/>
    <w:rsid w:val="00DE5A80"/>
    <w:rsid w:val="00DE720C"/>
    <w:rsid w:val="00DF0730"/>
    <w:rsid w:val="00DF2388"/>
    <w:rsid w:val="00E04663"/>
    <w:rsid w:val="00E05704"/>
    <w:rsid w:val="00E2491D"/>
    <w:rsid w:val="00E3172D"/>
    <w:rsid w:val="00E338EF"/>
    <w:rsid w:val="00E4580B"/>
    <w:rsid w:val="00E544BB"/>
    <w:rsid w:val="00E66B4F"/>
    <w:rsid w:val="00E74DC7"/>
    <w:rsid w:val="00E8075A"/>
    <w:rsid w:val="00E940D8"/>
    <w:rsid w:val="00E94D5E"/>
    <w:rsid w:val="00EA7100"/>
    <w:rsid w:val="00EA7F9F"/>
    <w:rsid w:val="00EB1274"/>
    <w:rsid w:val="00EC4919"/>
    <w:rsid w:val="00ED2BB6"/>
    <w:rsid w:val="00ED34E1"/>
    <w:rsid w:val="00ED3B8D"/>
    <w:rsid w:val="00EE5E36"/>
    <w:rsid w:val="00EF2E3A"/>
    <w:rsid w:val="00F02C7C"/>
    <w:rsid w:val="00F072A7"/>
    <w:rsid w:val="00F078DC"/>
    <w:rsid w:val="00F12341"/>
    <w:rsid w:val="00F14337"/>
    <w:rsid w:val="00F26B40"/>
    <w:rsid w:val="00F32BA8"/>
    <w:rsid w:val="00F32EE0"/>
    <w:rsid w:val="00F349F1"/>
    <w:rsid w:val="00F4350D"/>
    <w:rsid w:val="00F479C4"/>
    <w:rsid w:val="00F504E0"/>
    <w:rsid w:val="00F567F7"/>
    <w:rsid w:val="00F608D9"/>
    <w:rsid w:val="00F6696E"/>
    <w:rsid w:val="00F73BD6"/>
    <w:rsid w:val="00F83989"/>
    <w:rsid w:val="00F85099"/>
    <w:rsid w:val="00F87794"/>
    <w:rsid w:val="00F9379C"/>
    <w:rsid w:val="00F9632C"/>
    <w:rsid w:val="00FA1E52"/>
    <w:rsid w:val="00FA61B3"/>
    <w:rsid w:val="00FB36A0"/>
    <w:rsid w:val="00FB5A08"/>
    <w:rsid w:val="00FC6A80"/>
    <w:rsid w:val="00FD0485"/>
    <w:rsid w:val="00FD30E6"/>
    <w:rsid w:val="00FE27FD"/>
    <w:rsid w:val="00FE3AB4"/>
    <w:rsid w:val="00FE4688"/>
    <w:rsid w:val="00FE75E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219D64C"/>
  <w15:docId w15:val="{6BFF0B08-43F5-4098-8440-76E5A619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3216BB"/>
    <w:rPr>
      <w:strike w:val="0"/>
      <w:dstrike w:val="0"/>
      <w:color w:val="007AC3"/>
      <w:u w:val="none"/>
      <w:effect w:val="none"/>
    </w:rPr>
  </w:style>
  <w:style w:type="paragraph" w:customStyle="1" w:styleId="CharCharCharCharChar">
    <w:name w:val="Char Char Char Char Char"/>
    <w:basedOn w:val="Normal"/>
    <w:rsid w:val="005E7502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CharChar">
    <w:name w:val="Char Char"/>
    <w:basedOn w:val="Normal"/>
    <w:rsid w:val="00C166A5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customStyle="1" w:styleId="legsubtitle1">
    <w:name w:val="legsubtitle1"/>
    <w:basedOn w:val="DefaultParagraphFont"/>
    <w:rsid w:val="001A2A1A"/>
    <w:rPr>
      <w:b/>
      <w:bCs/>
    </w:rPr>
  </w:style>
  <w:style w:type="paragraph" w:customStyle="1" w:styleId="definition0">
    <w:name w:val="definition"/>
    <w:basedOn w:val="Normal"/>
    <w:rsid w:val="00F26B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32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329"/>
    <w:rPr>
      <w:b/>
      <w:bCs/>
    </w:rPr>
  </w:style>
  <w:style w:type="paragraph" w:styleId="ListParagraph">
    <w:name w:val="List Paragraph"/>
    <w:basedOn w:val="Normal"/>
    <w:uiPriority w:val="34"/>
    <w:qFormat/>
    <w:rsid w:val="0075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1E08-D916-4AE2-893F-4389251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HUBBARD</dc:creator>
  <cp:lastModifiedBy>Rhiannon DWYER</cp:lastModifiedBy>
  <cp:revision>2</cp:revision>
  <cp:lastPrinted>2018-03-06T04:39:00Z</cp:lastPrinted>
  <dcterms:created xsi:type="dcterms:W3CDTF">2018-03-16T03:09:00Z</dcterms:created>
  <dcterms:modified xsi:type="dcterms:W3CDTF">2018-03-16T03:09:00Z</dcterms:modified>
</cp:coreProperties>
</file>