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A2CF5" w14:textId="77777777" w:rsidR="00371BF5" w:rsidRPr="00C21613" w:rsidRDefault="00371BF5" w:rsidP="00C21613">
      <w:pPr>
        <w:pStyle w:val="Heading1"/>
      </w:pPr>
      <w:r w:rsidRPr="00C21613">
        <w:t>EXPLANATORY STATEMENT</w:t>
      </w:r>
    </w:p>
    <w:p w14:paraId="1CAB81AE" w14:textId="77777777" w:rsidR="00371BF5" w:rsidRPr="005709F2" w:rsidRDefault="00371BF5" w:rsidP="00C21613">
      <w:pPr>
        <w:rPr>
          <w:lang w:eastAsia="ja-JP"/>
        </w:rPr>
      </w:pPr>
    </w:p>
    <w:p w14:paraId="6BF2B45D" w14:textId="77777777" w:rsidR="00C96B7C" w:rsidRDefault="00371BF5" w:rsidP="00C96B7C">
      <w:pPr>
        <w:pStyle w:val="Heading2"/>
        <w:spacing w:after="0"/>
      </w:pPr>
      <w:r w:rsidRPr="00C21613">
        <w:t xml:space="preserve">Issued by Authority of the </w:t>
      </w:r>
      <w:r w:rsidR="00C96B7C">
        <w:t xml:space="preserve">Assistant </w:t>
      </w:r>
      <w:r w:rsidRPr="00C21613">
        <w:t>Minister for Agriculture and Water Resources</w:t>
      </w:r>
      <w:r w:rsidR="00C96B7C">
        <w:t xml:space="preserve">, Parliamentary Secretary to the Deputy Prime Minister and </w:t>
      </w:r>
    </w:p>
    <w:p w14:paraId="7A9ABF68" w14:textId="2E4AF548" w:rsidR="00371BF5" w:rsidRPr="00C21613" w:rsidRDefault="00C96B7C" w:rsidP="00C96B7C">
      <w:pPr>
        <w:pStyle w:val="Heading2"/>
        <w:spacing w:before="0"/>
      </w:pPr>
      <w:r>
        <w:t>Minister for Agriculture and Water Resources</w:t>
      </w:r>
    </w:p>
    <w:p w14:paraId="1DADF8C3" w14:textId="77777777" w:rsidR="00371BF5" w:rsidRPr="005709F2" w:rsidRDefault="00371BF5" w:rsidP="00C21613">
      <w:pPr>
        <w:rPr>
          <w:lang w:eastAsia="ja-JP"/>
        </w:rPr>
      </w:pPr>
    </w:p>
    <w:p w14:paraId="756696F4" w14:textId="7BB9F42A" w:rsidR="0053324B" w:rsidRDefault="0053324B" w:rsidP="00C21613">
      <w:pPr>
        <w:pStyle w:val="Heading4"/>
      </w:pPr>
      <w:r>
        <w:t>Wine Australia Act 2013</w:t>
      </w:r>
    </w:p>
    <w:p w14:paraId="362D0D9C" w14:textId="1AC66B48" w:rsidR="00371BF5" w:rsidRPr="00C21613" w:rsidRDefault="00261574" w:rsidP="00C21613">
      <w:pPr>
        <w:pStyle w:val="Heading4"/>
      </w:pPr>
      <w:r>
        <w:t>Wine Australia Regulations 2018</w:t>
      </w:r>
    </w:p>
    <w:p w14:paraId="796FD90F" w14:textId="77777777" w:rsidR="00371BF5" w:rsidRPr="005709F2" w:rsidRDefault="00371BF5" w:rsidP="00C21613">
      <w:pPr>
        <w:rPr>
          <w:lang w:eastAsia="ja-JP"/>
        </w:rPr>
      </w:pPr>
    </w:p>
    <w:p w14:paraId="52E707EA" w14:textId="77777777" w:rsidR="00371BF5" w:rsidRPr="00C21613" w:rsidRDefault="00371BF5" w:rsidP="00C21613">
      <w:pPr>
        <w:pStyle w:val="Heading5"/>
      </w:pPr>
      <w:r w:rsidRPr="00C21613">
        <w:t>Legislative Authority</w:t>
      </w:r>
    </w:p>
    <w:p w14:paraId="04277267" w14:textId="1C754520" w:rsidR="00371BF5" w:rsidRPr="005709F2" w:rsidRDefault="00371BF5" w:rsidP="00C21613">
      <w:pPr>
        <w:rPr>
          <w:lang w:eastAsia="ja-JP"/>
        </w:rPr>
      </w:pPr>
      <w:r w:rsidRPr="005709F2">
        <w:rPr>
          <w:lang w:eastAsia="ja-JP"/>
        </w:rPr>
        <w:t xml:space="preserve">The </w:t>
      </w:r>
      <w:r w:rsidRPr="005709F2">
        <w:rPr>
          <w:i/>
          <w:lang w:eastAsia="ja-JP"/>
        </w:rPr>
        <w:t>Wine Australia Act 2013</w:t>
      </w:r>
      <w:r w:rsidRPr="005709F2">
        <w:rPr>
          <w:lang w:eastAsia="ja-JP"/>
        </w:rPr>
        <w:t xml:space="preserve"> (the Wine Australia Act) establishes Wine Australia </w:t>
      </w:r>
      <w:r w:rsidR="00F010BE">
        <w:rPr>
          <w:lang w:eastAsia="ja-JP"/>
        </w:rPr>
        <w:t xml:space="preserve">(the </w:t>
      </w:r>
      <w:r w:rsidR="00F010BE" w:rsidRPr="00F010BE">
        <w:rPr>
          <w:b/>
          <w:i/>
          <w:lang w:eastAsia="ja-JP"/>
        </w:rPr>
        <w:t>Authority</w:t>
      </w:r>
      <w:r w:rsidR="00F010BE">
        <w:rPr>
          <w:lang w:eastAsia="ja-JP"/>
        </w:rPr>
        <w:t xml:space="preserve">) </w:t>
      </w:r>
      <w:r w:rsidRPr="005709F2">
        <w:rPr>
          <w:lang w:eastAsia="ja-JP"/>
        </w:rPr>
        <w:t xml:space="preserve">as a Statutory Authority </w:t>
      </w:r>
      <w:r w:rsidR="008E4D90">
        <w:rPr>
          <w:lang w:eastAsia="ja-JP"/>
        </w:rPr>
        <w:t>with the following functions</w:t>
      </w:r>
      <w:r w:rsidRPr="005709F2">
        <w:rPr>
          <w:lang w:eastAsia="ja-JP"/>
        </w:rPr>
        <w:t>:</w:t>
      </w:r>
    </w:p>
    <w:p w14:paraId="3A80DEDE" w14:textId="2F187DF0" w:rsidR="00F010BE" w:rsidRDefault="00F010BE" w:rsidP="00F164D2">
      <w:pPr>
        <w:pStyle w:val="ListParagraph"/>
        <w:numPr>
          <w:ilvl w:val="0"/>
          <w:numId w:val="4"/>
        </w:numPr>
        <w:rPr>
          <w:lang w:eastAsia="ja-JP"/>
        </w:rPr>
      </w:pPr>
      <w:r>
        <w:rPr>
          <w:lang w:eastAsia="ja-JP"/>
        </w:rPr>
        <w:t>investigate and evaluate the requirements for grape or wine re</w:t>
      </w:r>
      <w:r w:rsidR="008E4D90">
        <w:rPr>
          <w:lang w:eastAsia="ja-JP"/>
        </w:rPr>
        <w:t>se</w:t>
      </w:r>
      <w:r w:rsidR="00C463AB">
        <w:rPr>
          <w:lang w:eastAsia="ja-JP"/>
        </w:rPr>
        <w:t>arch and development</w:t>
      </w:r>
    </w:p>
    <w:p w14:paraId="72C7BE41" w14:textId="09C0ADD6" w:rsidR="00F010BE" w:rsidRDefault="00F010BE" w:rsidP="00F164D2">
      <w:pPr>
        <w:pStyle w:val="ListParagraph"/>
        <w:numPr>
          <w:ilvl w:val="0"/>
          <w:numId w:val="4"/>
        </w:numPr>
        <w:tabs>
          <w:tab w:val="left" w:pos="426"/>
        </w:tabs>
        <w:rPr>
          <w:lang w:eastAsia="ja-JP"/>
        </w:rPr>
      </w:pPr>
      <w:r>
        <w:rPr>
          <w:lang w:eastAsia="ja-JP"/>
        </w:rPr>
        <w:t>coordinate or fund the carrying out of grape or wine rese</w:t>
      </w:r>
      <w:r w:rsidR="00C463AB">
        <w:rPr>
          <w:lang w:eastAsia="ja-JP"/>
        </w:rPr>
        <w:t>arch and development activities</w:t>
      </w:r>
    </w:p>
    <w:p w14:paraId="74401CD6" w14:textId="7F427B3F" w:rsidR="00F010BE" w:rsidRDefault="00F010BE" w:rsidP="00F164D2">
      <w:pPr>
        <w:pStyle w:val="ListParagraph"/>
        <w:numPr>
          <w:ilvl w:val="0"/>
          <w:numId w:val="4"/>
        </w:numPr>
        <w:rPr>
          <w:lang w:eastAsia="ja-JP"/>
        </w:rPr>
      </w:pPr>
      <w:r>
        <w:rPr>
          <w:lang w:eastAsia="ja-JP"/>
        </w:rPr>
        <w:t>monitor</w:t>
      </w:r>
      <w:r w:rsidR="00C463AB">
        <w:rPr>
          <w:lang w:eastAsia="ja-JP"/>
        </w:rPr>
        <w:t>,</w:t>
      </w:r>
      <w:r>
        <w:rPr>
          <w:lang w:eastAsia="ja-JP"/>
        </w:rPr>
        <w:t xml:space="preserve"> evaluate</w:t>
      </w:r>
      <w:r w:rsidR="00C463AB">
        <w:rPr>
          <w:lang w:eastAsia="ja-JP"/>
        </w:rPr>
        <w:t>,</w:t>
      </w:r>
      <w:r>
        <w:rPr>
          <w:lang w:eastAsia="ja-JP"/>
        </w:rPr>
        <w:t xml:space="preserve"> and report to the Parliament, the Minister and the representative organisations on grape or wine research and development activities that are coordinated or funded, who</w:t>
      </w:r>
      <w:r w:rsidR="00C463AB">
        <w:rPr>
          <w:lang w:eastAsia="ja-JP"/>
        </w:rPr>
        <w:t>lly or partly, by the Authority</w:t>
      </w:r>
    </w:p>
    <w:p w14:paraId="6D53A8EE" w14:textId="253B42DF" w:rsidR="00F010BE" w:rsidRDefault="00C463AB" w:rsidP="00F164D2">
      <w:pPr>
        <w:pStyle w:val="ListParagraph"/>
        <w:numPr>
          <w:ilvl w:val="0"/>
          <w:numId w:val="4"/>
        </w:numPr>
        <w:rPr>
          <w:lang w:eastAsia="ja-JP"/>
        </w:rPr>
      </w:pPr>
      <w:r>
        <w:rPr>
          <w:lang w:eastAsia="ja-JP"/>
        </w:rPr>
        <w:t>assess,</w:t>
      </w:r>
      <w:r w:rsidR="00F010BE">
        <w:rPr>
          <w:lang w:eastAsia="ja-JP"/>
        </w:rPr>
        <w:t xml:space="preserve"> and report to the Parliament, the Minister and the </w:t>
      </w:r>
      <w:r w:rsidR="005817B3">
        <w:rPr>
          <w:lang w:eastAsia="ja-JP"/>
        </w:rPr>
        <w:t>representative organisations on,</w:t>
      </w:r>
      <w:r w:rsidR="00F010BE">
        <w:rPr>
          <w:lang w:eastAsia="ja-JP"/>
        </w:rPr>
        <w:t xml:space="preserve"> </w:t>
      </w:r>
      <w:r w:rsidR="00F010BE" w:rsidRPr="00F010BE">
        <w:rPr>
          <w:lang w:eastAsia="ja-JP"/>
        </w:rPr>
        <w:t>the impact, on the grape industry or wine industry, of grape or wine research and development activities that are coordinated or funded, wholly or partly, by the Authority</w:t>
      </w:r>
    </w:p>
    <w:p w14:paraId="705C8AEB" w14:textId="7C157F8E" w:rsidR="00F010BE" w:rsidRDefault="00F010BE" w:rsidP="00F164D2">
      <w:pPr>
        <w:pStyle w:val="ListParagraph"/>
        <w:numPr>
          <w:ilvl w:val="0"/>
          <w:numId w:val="4"/>
        </w:numPr>
        <w:rPr>
          <w:lang w:eastAsia="ja-JP"/>
        </w:rPr>
      </w:pPr>
      <w:r>
        <w:rPr>
          <w:lang w:eastAsia="ja-JP"/>
        </w:rPr>
        <w:t>facilitate the dissemination, adoption and commercialisation of the results of grape o</w:t>
      </w:r>
      <w:r w:rsidR="00C463AB">
        <w:rPr>
          <w:lang w:eastAsia="ja-JP"/>
        </w:rPr>
        <w:t>r wine research and development</w:t>
      </w:r>
    </w:p>
    <w:p w14:paraId="198B7297" w14:textId="04F47DA8" w:rsidR="00F010BE" w:rsidRDefault="00F010BE" w:rsidP="00F164D2">
      <w:pPr>
        <w:pStyle w:val="ListParagraph"/>
        <w:numPr>
          <w:ilvl w:val="0"/>
          <w:numId w:val="4"/>
        </w:numPr>
        <w:rPr>
          <w:lang w:eastAsia="ja-JP"/>
        </w:rPr>
      </w:pPr>
      <w:r>
        <w:rPr>
          <w:lang w:eastAsia="ja-JP"/>
        </w:rPr>
        <w:t xml:space="preserve">implement, facilitate and administer programs, as directed by the Minister, in relation to: </w:t>
      </w:r>
    </w:p>
    <w:p w14:paraId="36541124" w14:textId="6D813808" w:rsidR="00F010BE" w:rsidRDefault="00F010BE" w:rsidP="00F164D2">
      <w:pPr>
        <w:pStyle w:val="ListParagraph"/>
        <w:numPr>
          <w:ilvl w:val="1"/>
          <w:numId w:val="4"/>
        </w:numPr>
        <w:rPr>
          <w:lang w:eastAsia="ja-JP"/>
        </w:rPr>
      </w:pPr>
      <w:r>
        <w:rPr>
          <w:lang w:eastAsia="ja-JP"/>
        </w:rPr>
        <w:t xml:space="preserve">wine </w:t>
      </w:r>
    </w:p>
    <w:p w14:paraId="7337EEEB" w14:textId="3BE551B1" w:rsidR="00F010BE" w:rsidRDefault="00F010BE" w:rsidP="00F164D2">
      <w:pPr>
        <w:pStyle w:val="ListParagraph"/>
        <w:numPr>
          <w:ilvl w:val="1"/>
          <w:numId w:val="4"/>
        </w:numPr>
        <w:rPr>
          <w:lang w:eastAsia="ja-JP"/>
        </w:rPr>
      </w:pPr>
      <w:r>
        <w:rPr>
          <w:lang w:eastAsia="ja-JP"/>
        </w:rPr>
        <w:t>cider (as defined by section 33</w:t>
      </w:r>
      <w:r w:rsidR="003A6319">
        <w:rPr>
          <w:rFonts w:ascii="Cambria Math" w:hAnsi="Cambria Math" w:cs="Cambria Math"/>
          <w:lang w:eastAsia="ja-JP"/>
        </w:rPr>
        <w:t>–</w:t>
      </w:r>
      <w:r>
        <w:rPr>
          <w:lang w:eastAsia="ja-JP"/>
        </w:rPr>
        <w:t xml:space="preserve">1 of the </w:t>
      </w:r>
      <w:r w:rsidRPr="00F010BE">
        <w:rPr>
          <w:i/>
          <w:lang w:eastAsia="ja-JP"/>
        </w:rPr>
        <w:t>A New Tax System (Wine Equalisation Tax) Act 1999</w:t>
      </w:r>
      <w:r w:rsidR="005817B3">
        <w:rPr>
          <w:lang w:eastAsia="ja-JP"/>
        </w:rPr>
        <w:t>)</w:t>
      </w:r>
      <w:r>
        <w:rPr>
          <w:lang w:eastAsia="ja-JP"/>
        </w:rPr>
        <w:t xml:space="preserve"> </w:t>
      </w:r>
    </w:p>
    <w:p w14:paraId="11331015" w14:textId="199E9B34" w:rsidR="00F010BE" w:rsidRDefault="00F010BE" w:rsidP="00F164D2">
      <w:pPr>
        <w:pStyle w:val="ListParagraph"/>
        <w:numPr>
          <w:ilvl w:val="1"/>
          <w:numId w:val="4"/>
        </w:numPr>
        <w:rPr>
          <w:lang w:eastAsia="ja-JP"/>
        </w:rPr>
      </w:pPr>
      <w:r>
        <w:rPr>
          <w:lang w:eastAsia="ja-JP"/>
        </w:rPr>
        <w:t>international wine tourism, and services, products and experiences that comple</w:t>
      </w:r>
      <w:r w:rsidR="00C463AB">
        <w:rPr>
          <w:lang w:eastAsia="ja-JP"/>
        </w:rPr>
        <w:t>ment international wine tourism</w:t>
      </w:r>
    </w:p>
    <w:p w14:paraId="6D4C69D9" w14:textId="382D732F" w:rsidR="00F010BE" w:rsidRDefault="00F010BE" w:rsidP="00F164D2">
      <w:pPr>
        <w:pStyle w:val="ListParagraph"/>
        <w:numPr>
          <w:ilvl w:val="0"/>
          <w:numId w:val="4"/>
        </w:numPr>
        <w:rPr>
          <w:lang w:eastAsia="ja-JP"/>
        </w:rPr>
      </w:pPr>
      <w:r>
        <w:rPr>
          <w:lang w:eastAsia="ja-JP"/>
        </w:rPr>
        <w:t>administer grant programs in relation to wine (as defined by section 33</w:t>
      </w:r>
      <w:r w:rsidR="003A6319">
        <w:rPr>
          <w:rFonts w:ascii="Cambria Math" w:hAnsi="Cambria Math" w:cs="Cambria Math"/>
          <w:lang w:eastAsia="ja-JP"/>
        </w:rPr>
        <w:t>–</w:t>
      </w:r>
      <w:r>
        <w:rPr>
          <w:lang w:eastAsia="ja-JP"/>
        </w:rPr>
        <w:t xml:space="preserve">1 of the </w:t>
      </w:r>
      <w:r w:rsidRPr="003A6319">
        <w:rPr>
          <w:i/>
          <w:lang w:eastAsia="ja-JP"/>
        </w:rPr>
        <w:t>A</w:t>
      </w:r>
      <w:r w:rsidR="003A6319">
        <w:rPr>
          <w:i/>
          <w:lang w:eastAsia="ja-JP"/>
        </w:rPr>
        <w:t> </w:t>
      </w:r>
      <w:r w:rsidRPr="00F010BE">
        <w:rPr>
          <w:i/>
          <w:lang w:eastAsia="ja-JP"/>
        </w:rPr>
        <w:t>New Tax System (Wine Equalisation Tax) Act 1999</w:t>
      </w:r>
      <w:r w:rsidR="005817B3">
        <w:rPr>
          <w:lang w:eastAsia="ja-JP"/>
        </w:rPr>
        <w:t>), as directed by the Minister</w:t>
      </w:r>
    </w:p>
    <w:p w14:paraId="4E7FA584" w14:textId="56938831" w:rsidR="00F010BE" w:rsidRDefault="00F010BE" w:rsidP="00F164D2">
      <w:pPr>
        <w:pStyle w:val="ListParagraph"/>
        <w:numPr>
          <w:ilvl w:val="0"/>
          <w:numId w:val="4"/>
        </w:numPr>
        <w:rPr>
          <w:lang w:eastAsia="ja-JP"/>
        </w:rPr>
      </w:pPr>
      <w:r>
        <w:rPr>
          <w:lang w:eastAsia="ja-JP"/>
        </w:rPr>
        <w:t xml:space="preserve">control the export of grape products </w:t>
      </w:r>
      <w:r w:rsidR="00C463AB">
        <w:rPr>
          <w:lang w:eastAsia="ja-JP"/>
        </w:rPr>
        <w:t>from Australia</w:t>
      </w:r>
    </w:p>
    <w:p w14:paraId="479C2B6D" w14:textId="4EA5B2C0" w:rsidR="00F010BE" w:rsidRDefault="00F010BE" w:rsidP="00F164D2">
      <w:pPr>
        <w:pStyle w:val="ListParagraph"/>
        <w:numPr>
          <w:ilvl w:val="0"/>
          <w:numId w:val="4"/>
        </w:numPr>
        <w:rPr>
          <w:lang w:eastAsia="ja-JP"/>
        </w:rPr>
      </w:pPr>
      <w:r>
        <w:rPr>
          <w:lang w:eastAsia="ja-JP"/>
        </w:rPr>
        <w:t>promote the consumption and sale of grape products,</w:t>
      </w:r>
      <w:r w:rsidR="00C463AB">
        <w:rPr>
          <w:lang w:eastAsia="ja-JP"/>
        </w:rPr>
        <w:t xml:space="preserve"> both in Australia and overseas</w:t>
      </w:r>
    </w:p>
    <w:p w14:paraId="65E2FB47" w14:textId="6A677507" w:rsidR="00F010BE" w:rsidRDefault="00F010BE" w:rsidP="00F164D2">
      <w:pPr>
        <w:pStyle w:val="ListParagraph"/>
        <w:numPr>
          <w:ilvl w:val="0"/>
          <w:numId w:val="4"/>
        </w:numPr>
        <w:rPr>
          <w:lang w:eastAsia="ja-JP"/>
        </w:rPr>
      </w:pPr>
      <w:r>
        <w:rPr>
          <w:lang w:eastAsia="ja-JP"/>
        </w:rPr>
        <w:t>such other functions as are conferred on the Authority by:</w:t>
      </w:r>
    </w:p>
    <w:p w14:paraId="4981D4D7" w14:textId="527C2FFC" w:rsidR="00F010BE" w:rsidRDefault="00F010BE" w:rsidP="00F164D2">
      <w:pPr>
        <w:pStyle w:val="ListParagraph"/>
        <w:numPr>
          <w:ilvl w:val="1"/>
          <w:numId w:val="4"/>
        </w:numPr>
        <w:rPr>
          <w:lang w:eastAsia="ja-JP"/>
        </w:rPr>
      </w:pPr>
      <w:r>
        <w:rPr>
          <w:lang w:eastAsia="ja-JP"/>
        </w:rPr>
        <w:t>the Wine Australia Act</w:t>
      </w:r>
    </w:p>
    <w:p w14:paraId="65A3EC71" w14:textId="28C36632" w:rsidR="00F010BE" w:rsidRDefault="005817B3" w:rsidP="00F164D2">
      <w:pPr>
        <w:pStyle w:val="ListParagraph"/>
        <w:numPr>
          <w:ilvl w:val="1"/>
          <w:numId w:val="4"/>
        </w:numPr>
        <w:rPr>
          <w:lang w:eastAsia="ja-JP"/>
        </w:rPr>
      </w:pPr>
      <w:r>
        <w:rPr>
          <w:lang w:eastAsia="ja-JP"/>
        </w:rPr>
        <w:t>the regulations</w:t>
      </w:r>
    </w:p>
    <w:p w14:paraId="4872C70F" w14:textId="07FA8791" w:rsidR="00F010BE" w:rsidRDefault="00C463AB" w:rsidP="00F164D2">
      <w:pPr>
        <w:pStyle w:val="ListParagraph"/>
        <w:numPr>
          <w:ilvl w:val="1"/>
          <w:numId w:val="4"/>
        </w:numPr>
        <w:rPr>
          <w:lang w:eastAsia="ja-JP"/>
        </w:rPr>
      </w:pPr>
      <w:r>
        <w:rPr>
          <w:lang w:eastAsia="ja-JP"/>
        </w:rPr>
        <w:t>any other law, and</w:t>
      </w:r>
    </w:p>
    <w:p w14:paraId="7CF2B0EE" w14:textId="5BC4D754" w:rsidR="00F010BE" w:rsidRDefault="00F010BE" w:rsidP="00F164D2">
      <w:pPr>
        <w:pStyle w:val="ListParagraph"/>
        <w:numPr>
          <w:ilvl w:val="0"/>
          <w:numId w:val="4"/>
        </w:numPr>
        <w:rPr>
          <w:lang w:eastAsia="ja-JP"/>
        </w:rPr>
      </w:pPr>
      <w:r>
        <w:rPr>
          <w:lang w:eastAsia="ja-JP"/>
        </w:rPr>
        <w:lastRenderedPageBreak/>
        <w:t>do anything incidental to, or conducive to, the performance of any of the above functions.</w:t>
      </w:r>
    </w:p>
    <w:p w14:paraId="014702FF" w14:textId="47FB68A9" w:rsidR="00F010BE" w:rsidRDefault="00F010BE" w:rsidP="00C21613">
      <w:pPr>
        <w:rPr>
          <w:lang w:eastAsia="ja-JP"/>
        </w:rPr>
      </w:pPr>
      <w:r>
        <w:rPr>
          <w:lang w:eastAsia="ja-JP"/>
        </w:rPr>
        <w:t xml:space="preserve">Paragraph 8(2)(aaa) of the Wine Australia Act </w:t>
      </w:r>
      <w:r w:rsidR="00C301D7">
        <w:rPr>
          <w:lang w:eastAsia="ja-JP"/>
        </w:rPr>
        <w:t>provides that in performing its functions as listed above</w:t>
      </w:r>
      <w:r w:rsidR="00BB4A60">
        <w:rPr>
          <w:lang w:eastAsia="ja-JP"/>
        </w:rPr>
        <w:t>,</w:t>
      </w:r>
      <w:r w:rsidR="00C301D7">
        <w:rPr>
          <w:lang w:eastAsia="ja-JP"/>
        </w:rPr>
        <w:t xml:space="preserve"> the Authority </w:t>
      </w:r>
      <w:r w:rsidR="00BB4A60">
        <w:rPr>
          <w:lang w:eastAsia="ja-JP"/>
        </w:rPr>
        <w:t xml:space="preserve">also </w:t>
      </w:r>
      <w:r w:rsidR="00C301D7">
        <w:rPr>
          <w:lang w:eastAsia="ja-JP"/>
        </w:rPr>
        <w:t>has the power to do anything for the purpose of giving effect to a prescribe</w:t>
      </w:r>
      <w:r w:rsidR="00C463AB">
        <w:rPr>
          <w:lang w:eastAsia="ja-JP"/>
        </w:rPr>
        <w:t>d wine-</w:t>
      </w:r>
      <w:r w:rsidR="00C301D7">
        <w:rPr>
          <w:lang w:eastAsia="ja-JP"/>
        </w:rPr>
        <w:t xml:space="preserve">trading agreement.  </w:t>
      </w:r>
      <w:bookmarkStart w:id="0" w:name="_GoBack"/>
      <w:bookmarkEnd w:id="0"/>
    </w:p>
    <w:p w14:paraId="4ED3CF3E" w14:textId="4BFCA9E1" w:rsidR="00371BF5" w:rsidRPr="005709F2" w:rsidRDefault="00BB4A60" w:rsidP="00C21613">
      <w:pPr>
        <w:rPr>
          <w:lang w:eastAsia="ja-JP"/>
        </w:rPr>
      </w:pPr>
      <w:r>
        <w:rPr>
          <w:lang w:eastAsia="ja-JP"/>
        </w:rPr>
        <w:t>Section 46</w:t>
      </w:r>
      <w:r w:rsidR="00371BF5" w:rsidRPr="005709F2">
        <w:rPr>
          <w:lang w:eastAsia="ja-JP"/>
        </w:rPr>
        <w:t xml:space="preserve"> of the Wine Australia</w:t>
      </w:r>
      <w:r w:rsidR="00C463AB">
        <w:rPr>
          <w:lang w:eastAsia="ja-JP"/>
        </w:rPr>
        <w:t xml:space="preserve"> Act provides that the Governor-</w:t>
      </w:r>
      <w:r w:rsidR="00371BF5" w:rsidRPr="005709F2">
        <w:rPr>
          <w:lang w:eastAsia="ja-JP"/>
        </w:rPr>
        <w:t>General may make regulations prescribing matters required or permitted to be prescribed by the Act, or necessary or convenient to be prescribed for carrying out or giving effect to the Act.</w:t>
      </w:r>
    </w:p>
    <w:p w14:paraId="2EC26347" w14:textId="77777777" w:rsidR="00371BF5" w:rsidRPr="005709F2" w:rsidRDefault="00371BF5" w:rsidP="007D64B0">
      <w:pPr>
        <w:pStyle w:val="Heading5"/>
      </w:pPr>
      <w:r w:rsidRPr="005709F2">
        <w:t>Purpose</w:t>
      </w:r>
    </w:p>
    <w:p w14:paraId="726767E4" w14:textId="0FC70E96" w:rsidR="00371BF5" w:rsidRDefault="00371BF5" w:rsidP="00C21613">
      <w:pPr>
        <w:rPr>
          <w:lang w:eastAsia="ja-JP"/>
        </w:rPr>
      </w:pPr>
      <w:r>
        <w:rPr>
          <w:lang w:eastAsia="ja-JP"/>
        </w:rPr>
        <w:t xml:space="preserve">The </w:t>
      </w:r>
      <w:r w:rsidR="00C301D7">
        <w:rPr>
          <w:i/>
          <w:lang w:eastAsia="ja-JP"/>
        </w:rPr>
        <w:t xml:space="preserve">Wine Australia Regulations 2018 </w:t>
      </w:r>
      <w:r w:rsidR="00C301D7">
        <w:rPr>
          <w:lang w:eastAsia="ja-JP"/>
        </w:rPr>
        <w:t xml:space="preserve">(the </w:t>
      </w:r>
      <w:r>
        <w:rPr>
          <w:lang w:eastAsia="ja-JP"/>
        </w:rPr>
        <w:t>Regulations</w:t>
      </w:r>
      <w:r w:rsidR="00C301D7">
        <w:rPr>
          <w:lang w:eastAsia="ja-JP"/>
        </w:rPr>
        <w:t>)</w:t>
      </w:r>
      <w:r>
        <w:rPr>
          <w:lang w:eastAsia="ja-JP"/>
        </w:rPr>
        <w:t xml:space="preserve"> prescribe</w:t>
      </w:r>
      <w:r w:rsidRPr="005709F2">
        <w:rPr>
          <w:lang w:eastAsia="ja-JP"/>
        </w:rPr>
        <w:t xml:space="preserve"> controls to </w:t>
      </w:r>
      <w:r w:rsidR="007D64B0">
        <w:rPr>
          <w:lang w:eastAsia="ja-JP"/>
        </w:rPr>
        <w:t xml:space="preserve">ensure the quality of </w:t>
      </w:r>
      <w:r w:rsidR="00BB4A60">
        <w:rPr>
          <w:lang w:eastAsia="ja-JP"/>
        </w:rPr>
        <w:t xml:space="preserve">grape products that include </w:t>
      </w:r>
      <w:r w:rsidR="007D64B0">
        <w:rPr>
          <w:lang w:eastAsia="ja-JP"/>
        </w:rPr>
        <w:t>Australian wine</w:t>
      </w:r>
      <w:r w:rsidR="00BB4A60">
        <w:rPr>
          <w:lang w:eastAsia="ja-JP"/>
        </w:rPr>
        <w:t xml:space="preserve"> and are</w:t>
      </w:r>
      <w:r w:rsidR="007D64B0">
        <w:rPr>
          <w:lang w:eastAsia="ja-JP"/>
        </w:rPr>
        <w:t xml:space="preserve"> exported</w:t>
      </w:r>
      <w:r w:rsidR="003A6319">
        <w:rPr>
          <w:lang w:eastAsia="ja-JP"/>
        </w:rPr>
        <w:t>;</w:t>
      </w:r>
      <w:r>
        <w:rPr>
          <w:lang w:eastAsia="ja-JP"/>
        </w:rPr>
        <w:t xml:space="preserve"> </w:t>
      </w:r>
      <w:r w:rsidR="00BB4A60">
        <w:rPr>
          <w:lang w:eastAsia="ja-JP"/>
        </w:rPr>
        <w:t xml:space="preserve">to </w:t>
      </w:r>
      <w:r w:rsidRPr="005709F2">
        <w:rPr>
          <w:lang w:eastAsia="ja-JP"/>
        </w:rPr>
        <w:t xml:space="preserve">implement Australia’s </w:t>
      </w:r>
      <w:r>
        <w:rPr>
          <w:lang w:eastAsia="ja-JP"/>
        </w:rPr>
        <w:t xml:space="preserve">international </w:t>
      </w:r>
      <w:r w:rsidRPr="005709F2">
        <w:rPr>
          <w:lang w:eastAsia="ja-JP"/>
        </w:rPr>
        <w:t>obligations</w:t>
      </w:r>
      <w:r>
        <w:rPr>
          <w:lang w:eastAsia="ja-JP"/>
        </w:rPr>
        <w:t xml:space="preserve"> and to ensure Australian wine </w:t>
      </w:r>
      <w:r w:rsidR="007D64B0">
        <w:rPr>
          <w:lang w:eastAsia="ja-JP"/>
        </w:rPr>
        <w:t>that is exported complies</w:t>
      </w:r>
      <w:r>
        <w:rPr>
          <w:lang w:eastAsia="ja-JP"/>
        </w:rPr>
        <w:t xml:space="preserve"> with importing country requirements.</w:t>
      </w:r>
    </w:p>
    <w:p w14:paraId="04099283" w14:textId="4EFC592B" w:rsidR="00371BF5" w:rsidRDefault="00371BF5" w:rsidP="00C21613">
      <w:pPr>
        <w:rPr>
          <w:lang w:eastAsia="ja-JP"/>
        </w:rPr>
      </w:pPr>
      <w:r>
        <w:rPr>
          <w:lang w:eastAsia="ja-JP"/>
        </w:rPr>
        <w:t>Requirements for the export of grape products including wine from</w:t>
      </w:r>
      <w:r w:rsidR="007D64B0">
        <w:rPr>
          <w:lang w:eastAsia="ja-JP"/>
        </w:rPr>
        <w:t xml:space="preserve"> Australia</w:t>
      </w:r>
      <w:r>
        <w:rPr>
          <w:lang w:eastAsia="ja-JP"/>
        </w:rPr>
        <w:t xml:space="preserve"> are set out in the Regulations. The </w:t>
      </w:r>
      <w:r w:rsidR="00C301D7">
        <w:rPr>
          <w:lang w:eastAsia="ja-JP"/>
        </w:rPr>
        <w:t>Regulations</w:t>
      </w:r>
      <w:r>
        <w:rPr>
          <w:lang w:eastAsia="ja-JP"/>
        </w:rPr>
        <w:t xml:space="preserve"> prescribe the conditions that must be complied with and the exemptions to those conditions. For example, the</w:t>
      </w:r>
      <w:r w:rsidR="00C301D7">
        <w:rPr>
          <w:lang w:eastAsia="ja-JP"/>
        </w:rPr>
        <w:t xml:space="preserve"> Regulations</w:t>
      </w:r>
      <w:r>
        <w:rPr>
          <w:lang w:eastAsia="ja-JP"/>
        </w:rPr>
        <w:t xml:space="preserve"> require that:</w:t>
      </w:r>
    </w:p>
    <w:p w14:paraId="1C1495D7" w14:textId="1975A926" w:rsidR="00BB4A60" w:rsidRDefault="00BB4A60" w:rsidP="009C17F0">
      <w:pPr>
        <w:pStyle w:val="ListParagraph"/>
        <w:numPr>
          <w:ilvl w:val="0"/>
          <w:numId w:val="8"/>
        </w:numPr>
        <w:rPr>
          <w:lang w:eastAsia="ja-JP"/>
        </w:rPr>
      </w:pPr>
      <w:r>
        <w:rPr>
          <w:lang w:eastAsia="ja-JP"/>
        </w:rPr>
        <w:t>a grape product is app</w:t>
      </w:r>
      <w:r w:rsidR="00642A3B">
        <w:rPr>
          <w:lang w:eastAsia="ja-JP"/>
        </w:rPr>
        <w:t>roved for export by an exporter</w:t>
      </w:r>
      <w:r>
        <w:rPr>
          <w:lang w:eastAsia="ja-JP"/>
        </w:rPr>
        <w:t xml:space="preserve"> </w:t>
      </w:r>
    </w:p>
    <w:p w14:paraId="7E4668A7" w14:textId="51E6DE6F" w:rsidR="00371BF5" w:rsidRDefault="00371BF5" w:rsidP="009C17F0">
      <w:pPr>
        <w:pStyle w:val="ListParagraph"/>
        <w:numPr>
          <w:ilvl w:val="0"/>
          <w:numId w:val="8"/>
        </w:numPr>
        <w:rPr>
          <w:lang w:eastAsia="ja-JP"/>
        </w:rPr>
      </w:pPr>
      <w:r>
        <w:rPr>
          <w:lang w:eastAsia="ja-JP"/>
        </w:rPr>
        <w:t xml:space="preserve">a </w:t>
      </w:r>
      <w:r w:rsidR="00C301D7">
        <w:rPr>
          <w:lang w:eastAsia="ja-JP"/>
        </w:rPr>
        <w:t xml:space="preserve">grape </w:t>
      </w:r>
      <w:r>
        <w:rPr>
          <w:lang w:eastAsia="ja-JP"/>
        </w:rPr>
        <w:t>pro</w:t>
      </w:r>
      <w:r w:rsidR="00C301D7">
        <w:rPr>
          <w:lang w:eastAsia="ja-JP"/>
        </w:rPr>
        <w:t>duct is sound and merchantable</w:t>
      </w:r>
      <w:r w:rsidR="00BB4A60">
        <w:rPr>
          <w:lang w:eastAsia="ja-JP"/>
        </w:rPr>
        <w:t xml:space="preserve"> in order for it to be approved for export</w:t>
      </w:r>
    </w:p>
    <w:p w14:paraId="5528B060" w14:textId="4E3FB58D" w:rsidR="00371BF5" w:rsidRDefault="00371BF5" w:rsidP="009C17F0">
      <w:pPr>
        <w:pStyle w:val="ListParagraph"/>
        <w:numPr>
          <w:ilvl w:val="0"/>
          <w:numId w:val="8"/>
        </w:numPr>
        <w:rPr>
          <w:lang w:eastAsia="ja-JP"/>
        </w:rPr>
      </w:pPr>
      <w:r>
        <w:rPr>
          <w:lang w:eastAsia="ja-JP"/>
        </w:rPr>
        <w:t xml:space="preserve">an export licence has been </w:t>
      </w:r>
      <w:r w:rsidR="00642A3B">
        <w:rPr>
          <w:lang w:eastAsia="ja-JP"/>
        </w:rPr>
        <w:t>granted to the exporter, and</w:t>
      </w:r>
    </w:p>
    <w:p w14:paraId="150338B5" w14:textId="77777777" w:rsidR="00371BF5" w:rsidRPr="00CB5F6A" w:rsidRDefault="00371BF5" w:rsidP="009C17F0">
      <w:pPr>
        <w:pStyle w:val="ListParagraph"/>
        <w:numPr>
          <w:ilvl w:val="0"/>
          <w:numId w:val="8"/>
        </w:numPr>
        <w:rPr>
          <w:lang w:eastAsia="ja-JP"/>
        </w:rPr>
      </w:pPr>
      <w:r>
        <w:rPr>
          <w:lang w:eastAsia="ja-JP"/>
        </w:rPr>
        <w:t xml:space="preserve">an export certificate has been issued for the grape product. </w:t>
      </w:r>
    </w:p>
    <w:p w14:paraId="37A32576" w14:textId="6F7ABE58" w:rsidR="00371BF5" w:rsidRDefault="00371BF5" w:rsidP="00C21613">
      <w:pPr>
        <w:rPr>
          <w:lang w:eastAsia="ja-JP"/>
        </w:rPr>
      </w:pPr>
      <w:r>
        <w:rPr>
          <w:lang w:eastAsia="ja-JP"/>
        </w:rPr>
        <w:t xml:space="preserve">The Regulations set out the requirements for the description and presentation of wine that is made in Australia for domestic consumption and export, and for wine imported into Australia. The requirements contain conditions for use of terms including grape varieties, </w:t>
      </w:r>
      <w:r w:rsidR="00BB4A60">
        <w:rPr>
          <w:lang w:eastAsia="ja-JP"/>
        </w:rPr>
        <w:t xml:space="preserve">registered </w:t>
      </w:r>
      <w:r w:rsidRPr="005709F2">
        <w:rPr>
          <w:lang w:eastAsia="ja-JP"/>
        </w:rPr>
        <w:t>geographical indications (GI</w:t>
      </w:r>
      <w:r>
        <w:rPr>
          <w:lang w:eastAsia="ja-JP"/>
        </w:rPr>
        <w:t>s</w:t>
      </w:r>
      <w:r w:rsidRPr="005709F2">
        <w:rPr>
          <w:lang w:eastAsia="ja-JP"/>
        </w:rPr>
        <w:t>)</w:t>
      </w:r>
      <w:r>
        <w:rPr>
          <w:lang w:eastAsia="ja-JP"/>
        </w:rPr>
        <w:t xml:space="preserve"> and vintages. The Regulations also </w:t>
      </w:r>
      <w:r w:rsidR="00C04F95">
        <w:rPr>
          <w:lang w:eastAsia="ja-JP"/>
        </w:rPr>
        <w:t xml:space="preserve">prescribe </w:t>
      </w:r>
      <w:r>
        <w:rPr>
          <w:lang w:eastAsia="ja-JP"/>
        </w:rPr>
        <w:t>exemption</w:t>
      </w:r>
      <w:r w:rsidR="00C04F95">
        <w:rPr>
          <w:lang w:eastAsia="ja-JP"/>
        </w:rPr>
        <w:t>s</w:t>
      </w:r>
      <w:r>
        <w:rPr>
          <w:lang w:eastAsia="ja-JP"/>
        </w:rPr>
        <w:t xml:space="preserve"> from </w:t>
      </w:r>
      <w:r w:rsidR="00750913">
        <w:rPr>
          <w:lang w:eastAsia="ja-JP"/>
        </w:rPr>
        <w:t xml:space="preserve">the </w:t>
      </w:r>
      <w:r>
        <w:rPr>
          <w:lang w:eastAsia="ja-JP"/>
        </w:rPr>
        <w:t xml:space="preserve">offences for </w:t>
      </w:r>
      <w:r w:rsidR="009C17F0">
        <w:rPr>
          <w:lang w:eastAsia="ja-JP"/>
        </w:rPr>
        <w:t xml:space="preserve">false and </w:t>
      </w:r>
      <w:r>
        <w:rPr>
          <w:lang w:eastAsia="ja-JP"/>
        </w:rPr>
        <w:t>misleading description and presentation of wine</w:t>
      </w:r>
      <w:r w:rsidR="00750913">
        <w:rPr>
          <w:lang w:eastAsia="ja-JP"/>
        </w:rPr>
        <w:t xml:space="preserve"> </w:t>
      </w:r>
      <w:r w:rsidR="00750913" w:rsidRPr="004230DF">
        <w:t>in Part VIB of the Act</w:t>
      </w:r>
      <w:r>
        <w:rPr>
          <w:lang w:eastAsia="ja-JP"/>
        </w:rPr>
        <w:t xml:space="preserve">.    </w:t>
      </w:r>
    </w:p>
    <w:p w14:paraId="08E0F211" w14:textId="6130F78E" w:rsidR="00371BF5" w:rsidRPr="005709F2" w:rsidRDefault="00371BF5" w:rsidP="00C21613">
      <w:pPr>
        <w:rPr>
          <w:lang w:eastAsia="ja-JP"/>
        </w:rPr>
      </w:pPr>
      <w:r w:rsidRPr="005709F2">
        <w:rPr>
          <w:lang w:eastAsia="ja-JP"/>
        </w:rPr>
        <w:t>T</w:t>
      </w:r>
      <w:r>
        <w:rPr>
          <w:lang w:eastAsia="ja-JP"/>
        </w:rPr>
        <w:t>o give effect to Australia’s obligations under relevant international trade agreements, the</w:t>
      </w:r>
      <w:r w:rsidRPr="005709F2">
        <w:rPr>
          <w:lang w:eastAsia="ja-JP"/>
        </w:rPr>
        <w:t xml:space="preserve"> Regulations contain a number of provisions that enable Wine Australia to </w:t>
      </w:r>
      <w:r w:rsidR="00C04F95">
        <w:rPr>
          <w:lang w:eastAsia="ja-JP"/>
        </w:rPr>
        <w:t>regulate</w:t>
      </w:r>
      <w:r w:rsidRPr="005709F2">
        <w:rPr>
          <w:lang w:eastAsia="ja-JP"/>
        </w:rPr>
        <w:t xml:space="preserve"> the use of </w:t>
      </w:r>
      <w:r>
        <w:rPr>
          <w:lang w:eastAsia="ja-JP"/>
        </w:rPr>
        <w:t>GIs</w:t>
      </w:r>
      <w:r w:rsidRPr="005709F2">
        <w:rPr>
          <w:lang w:eastAsia="ja-JP"/>
        </w:rPr>
        <w:t xml:space="preserve"> on wine products, which include: </w:t>
      </w:r>
    </w:p>
    <w:p w14:paraId="38B3339E" w14:textId="077925A6" w:rsidR="00371BF5" w:rsidRPr="005709F2" w:rsidRDefault="00371BF5" w:rsidP="00C21613">
      <w:pPr>
        <w:pStyle w:val="ListParagraph"/>
        <w:numPr>
          <w:ilvl w:val="0"/>
          <w:numId w:val="6"/>
        </w:numPr>
        <w:rPr>
          <w:lang w:eastAsia="ja-JP"/>
        </w:rPr>
      </w:pPr>
      <w:r w:rsidRPr="005709F2">
        <w:rPr>
          <w:lang w:eastAsia="ja-JP"/>
        </w:rPr>
        <w:t xml:space="preserve">the requirements </w:t>
      </w:r>
      <w:r w:rsidR="00C04F95">
        <w:rPr>
          <w:lang w:eastAsia="ja-JP"/>
        </w:rPr>
        <w:t xml:space="preserve">for issuing an export certificate </w:t>
      </w:r>
      <w:r w:rsidRPr="005709F2">
        <w:rPr>
          <w:lang w:eastAsia="ja-JP"/>
        </w:rPr>
        <w:t>to export wine from Australia, ensuring label claims relating to G</w:t>
      </w:r>
      <w:r w:rsidR="00642A3B">
        <w:rPr>
          <w:lang w:eastAsia="ja-JP"/>
        </w:rPr>
        <w:t>Is on exported wine are correct</w:t>
      </w:r>
    </w:p>
    <w:p w14:paraId="4DD00C24" w14:textId="78063C50" w:rsidR="00371BF5" w:rsidRPr="005709F2" w:rsidRDefault="00371BF5" w:rsidP="00C21613">
      <w:pPr>
        <w:pStyle w:val="ListParagraph"/>
        <w:numPr>
          <w:ilvl w:val="0"/>
          <w:numId w:val="6"/>
        </w:numPr>
        <w:rPr>
          <w:lang w:eastAsia="ja-JP"/>
        </w:rPr>
      </w:pPr>
      <w:r w:rsidRPr="005709F2">
        <w:rPr>
          <w:lang w:eastAsia="ja-JP"/>
        </w:rPr>
        <w:t xml:space="preserve">the criteria for </w:t>
      </w:r>
      <w:r w:rsidR="00C04F95">
        <w:rPr>
          <w:lang w:eastAsia="ja-JP"/>
        </w:rPr>
        <w:t>the Geographical Indications Committee (the Committee) to determine</w:t>
      </w:r>
      <w:r w:rsidR="00642A3B">
        <w:rPr>
          <w:lang w:eastAsia="ja-JP"/>
        </w:rPr>
        <w:t xml:space="preserve"> Australian GIs</w:t>
      </w:r>
    </w:p>
    <w:p w14:paraId="416E8F74" w14:textId="4265F8D6" w:rsidR="00371BF5" w:rsidRPr="005709F2" w:rsidRDefault="00371BF5" w:rsidP="00C21613">
      <w:pPr>
        <w:pStyle w:val="ListParagraph"/>
        <w:numPr>
          <w:ilvl w:val="0"/>
          <w:numId w:val="6"/>
        </w:numPr>
        <w:rPr>
          <w:lang w:eastAsia="ja-JP"/>
        </w:rPr>
      </w:pPr>
      <w:r w:rsidRPr="005709F2">
        <w:rPr>
          <w:lang w:eastAsia="ja-JP"/>
        </w:rPr>
        <w:t xml:space="preserve">the procedures to be taken by the </w:t>
      </w:r>
      <w:r w:rsidR="00802321">
        <w:rPr>
          <w:lang w:eastAsia="ja-JP"/>
        </w:rPr>
        <w:t>Committee</w:t>
      </w:r>
      <w:r w:rsidR="00C04F95">
        <w:rPr>
          <w:lang w:eastAsia="ja-JP"/>
        </w:rPr>
        <w:t xml:space="preserve"> </w:t>
      </w:r>
      <w:r w:rsidRPr="005709F2">
        <w:rPr>
          <w:lang w:eastAsia="ja-JP"/>
        </w:rPr>
        <w:t xml:space="preserve">and the </w:t>
      </w:r>
      <w:r w:rsidR="00365FE0">
        <w:rPr>
          <w:lang w:eastAsia="ja-JP"/>
        </w:rPr>
        <w:t>Registrar of Trade Marks</w:t>
      </w:r>
      <w:r w:rsidRPr="005709F2">
        <w:rPr>
          <w:lang w:eastAsia="ja-JP"/>
        </w:rPr>
        <w:t xml:space="preserve"> when an objection is made against a de</w:t>
      </w:r>
      <w:r w:rsidR="00642A3B">
        <w:rPr>
          <w:lang w:eastAsia="ja-JP"/>
        </w:rPr>
        <w:t>termination of an Australian GI</w:t>
      </w:r>
    </w:p>
    <w:p w14:paraId="49822ED4" w14:textId="148FFE8F" w:rsidR="00371BF5" w:rsidRPr="005709F2" w:rsidRDefault="00371BF5" w:rsidP="00C21613">
      <w:pPr>
        <w:pStyle w:val="ListParagraph"/>
        <w:numPr>
          <w:ilvl w:val="0"/>
          <w:numId w:val="6"/>
        </w:numPr>
        <w:rPr>
          <w:lang w:eastAsia="ja-JP"/>
        </w:rPr>
      </w:pPr>
      <w:r w:rsidRPr="005709F2">
        <w:rPr>
          <w:lang w:eastAsia="ja-JP"/>
        </w:rPr>
        <w:t xml:space="preserve">the </w:t>
      </w:r>
      <w:r w:rsidR="00C04F95">
        <w:rPr>
          <w:lang w:eastAsia="ja-JP"/>
        </w:rPr>
        <w:t>procedure</w:t>
      </w:r>
      <w:r w:rsidRPr="005709F2">
        <w:rPr>
          <w:lang w:eastAsia="ja-JP"/>
        </w:rPr>
        <w:t xml:space="preserve"> for the </w:t>
      </w:r>
      <w:r w:rsidR="00C21613" w:rsidRPr="00C21613">
        <w:rPr>
          <w:lang w:eastAsia="ja-JP"/>
        </w:rPr>
        <w:t>Committee</w:t>
      </w:r>
      <w:r w:rsidRPr="005709F2">
        <w:rPr>
          <w:lang w:eastAsia="ja-JP"/>
        </w:rPr>
        <w:t xml:space="preserve"> to determine and omit foreign country GIs and </w:t>
      </w:r>
      <w:r w:rsidR="00642A3B">
        <w:rPr>
          <w:lang w:eastAsia="ja-JP"/>
        </w:rPr>
        <w:t>their translations in Australia</w:t>
      </w:r>
    </w:p>
    <w:p w14:paraId="224B651E" w14:textId="4C54AFC8" w:rsidR="00371BF5" w:rsidRPr="005709F2" w:rsidRDefault="00371BF5" w:rsidP="00C21613">
      <w:pPr>
        <w:pStyle w:val="ListParagraph"/>
        <w:numPr>
          <w:ilvl w:val="0"/>
          <w:numId w:val="6"/>
        </w:numPr>
        <w:rPr>
          <w:lang w:eastAsia="ja-JP"/>
        </w:rPr>
      </w:pPr>
      <w:r w:rsidRPr="005709F2">
        <w:rPr>
          <w:lang w:eastAsia="ja-JP"/>
        </w:rPr>
        <w:t>the phase-out periods for registered GIs and registered</w:t>
      </w:r>
      <w:r w:rsidR="003A6319">
        <w:rPr>
          <w:lang w:eastAsia="ja-JP"/>
        </w:rPr>
        <w:t xml:space="preserve"> Traditional Expressions</w:t>
      </w:r>
      <w:r w:rsidR="00642A3B">
        <w:rPr>
          <w:lang w:eastAsia="ja-JP"/>
        </w:rPr>
        <w:t>, an</w:t>
      </w:r>
      <w:r w:rsidR="003A6319">
        <w:rPr>
          <w:lang w:eastAsia="ja-JP"/>
        </w:rPr>
        <w:t>d</w:t>
      </w:r>
    </w:p>
    <w:p w14:paraId="4172EB2B" w14:textId="77777777" w:rsidR="00371BF5" w:rsidRPr="005709F2" w:rsidRDefault="00371BF5" w:rsidP="00C21613">
      <w:pPr>
        <w:pStyle w:val="ListParagraph"/>
        <w:numPr>
          <w:ilvl w:val="0"/>
          <w:numId w:val="6"/>
        </w:numPr>
        <w:rPr>
          <w:lang w:eastAsia="ja-JP"/>
        </w:rPr>
      </w:pPr>
      <w:r w:rsidRPr="005709F2">
        <w:rPr>
          <w:lang w:eastAsia="ja-JP"/>
        </w:rPr>
        <w:lastRenderedPageBreak/>
        <w:t xml:space="preserve">the rules for the use of pre-existing trade marks and rules for the use of GIs with vine-variety names and blended wines. </w:t>
      </w:r>
    </w:p>
    <w:p w14:paraId="70B49E18" w14:textId="67E85BE7" w:rsidR="00371BF5" w:rsidRPr="005709F2" w:rsidRDefault="00371BF5" w:rsidP="00C21613">
      <w:pPr>
        <w:rPr>
          <w:lang w:eastAsia="ja-JP"/>
        </w:rPr>
      </w:pPr>
      <w:r w:rsidRPr="005709F2">
        <w:rPr>
          <w:lang w:eastAsia="ja-JP"/>
        </w:rPr>
        <w:t>The</w:t>
      </w:r>
      <w:r w:rsidR="00BB4A60">
        <w:t xml:space="preserve"> </w:t>
      </w:r>
      <w:r w:rsidR="00BB4A60" w:rsidRPr="00BB4A60">
        <w:rPr>
          <w:i/>
        </w:rPr>
        <w:t>Wine Australia Legislation Amendment (Repeals and Consequential Amendments) Regulations 2018</w:t>
      </w:r>
      <w:r w:rsidRPr="005709F2">
        <w:rPr>
          <w:lang w:eastAsia="ja-JP"/>
        </w:rPr>
        <w:t xml:space="preserve"> will repeal the </w:t>
      </w:r>
      <w:r w:rsidRPr="005709F2">
        <w:rPr>
          <w:i/>
          <w:lang w:eastAsia="ja-JP"/>
        </w:rPr>
        <w:t>Australian Grape and Wine Authority Regulations 1981</w:t>
      </w:r>
      <w:r w:rsidRPr="005709F2">
        <w:rPr>
          <w:lang w:eastAsia="ja-JP"/>
        </w:rPr>
        <w:t xml:space="preserve"> (</w:t>
      </w:r>
      <w:r w:rsidR="003A6319">
        <w:rPr>
          <w:lang w:eastAsia="ja-JP"/>
        </w:rPr>
        <w:t xml:space="preserve">the </w:t>
      </w:r>
      <w:r w:rsidR="00BB4A60">
        <w:rPr>
          <w:lang w:eastAsia="ja-JP"/>
        </w:rPr>
        <w:t>old Regulations</w:t>
      </w:r>
      <w:r w:rsidRPr="005709F2">
        <w:rPr>
          <w:lang w:eastAsia="ja-JP"/>
        </w:rPr>
        <w:t>). The</w:t>
      </w:r>
      <w:r w:rsidR="00BB4A60">
        <w:rPr>
          <w:lang w:eastAsia="ja-JP"/>
        </w:rPr>
        <w:t>se</w:t>
      </w:r>
      <w:r w:rsidRPr="005709F2">
        <w:rPr>
          <w:lang w:eastAsia="ja-JP"/>
        </w:rPr>
        <w:t xml:space="preserve"> Regulations provide transitional provisions to ensure rights and obligations under the </w:t>
      </w:r>
      <w:r w:rsidR="00BB4A60">
        <w:rPr>
          <w:lang w:eastAsia="ja-JP"/>
        </w:rPr>
        <w:t>old</w:t>
      </w:r>
      <w:r w:rsidRPr="005709F2">
        <w:rPr>
          <w:lang w:eastAsia="ja-JP"/>
        </w:rPr>
        <w:t xml:space="preserve"> Regulations continue </w:t>
      </w:r>
      <w:r w:rsidR="00BB4A60">
        <w:rPr>
          <w:lang w:eastAsia="ja-JP"/>
        </w:rPr>
        <w:t xml:space="preserve">upon repeal of those Regulations. </w:t>
      </w:r>
    </w:p>
    <w:p w14:paraId="4205A6D3" w14:textId="77777777" w:rsidR="00E617DF" w:rsidRDefault="00E617DF">
      <w:pPr>
        <w:spacing w:before="0" w:line="264" w:lineRule="auto"/>
        <w:rPr>
          <w:b/>
          <w:lang w:eastAsia="ja-JP"/>
        </w:rPr>
      </w:pPr>
      <w:r>
        <w:br w:type="page"/>
      </w:r>
    </w:p>
    <w:p w14:paraId="5C21F7E0" w14:textId="755B1370" w:rsidR="00371BF5" w:rsidRPr="005709F2" w:rsidRDefault="00371BF5" w:rsidP="007D64B0">
      <w:pPr>
        <w:pStyle w:val="Heading5"/>
      </w:pPr>
      <w:r w:rsidRPr="005709F2">
        <w:lastRenderedPageBreak/>
        <w:t>Background</w:t>
      </w:r>
    </w:p>
    <w:p w14:paraId="1E2F41A4" w14:textId="36BC5E96" w:rsidR="00371BF5" w:rsidRPr="005709F2" w:rsidRDefault="00371BF5" w:rsidP="00F164D2">
      <w:pPr>
        <w:tabs>
          <w:tab w:val="left" w:pos="426"/>
        </w:tabs>
        <w:rPr>
          <w:lang w:eastAsia="ja-JP"/>
        </w:rPr>
      </w:pPr>
      <w:r w:rsidRPr="005709F2">
        <w:rPr>
          <w:lang w:eastAsia="ja-JP"/>
        </w:rPr>
        <w:t xml:space="preserve">The purpose of the Regulations is to remake and improve the </w:t>
      </w:r>
      <w:r w:rsidR="00642A3B" w:rsidRPr="00642A3B">
        <w:rPr>
          <w:i/>
          <w:lang w:eastAsia="ja-JP"/>
        </w:rPr>
        <w:t>Australian Grape and Wine Authority Regulations 1981</w:t>
      </w:r>
      <w:r w:rsidR="00642A3B">
        <w:rPr>
          <w:lang w:eastAsia="ja-JP"/>
        </w:rPr>
        <w:t xml:space="preserve"> (</w:t>
      </w:r>
      <w:r w:rsidR="003A6319">
        <w:rPr>
          <w:lang w:eastAsia="ja-JP"/>
        </w:rPr>
        <w:t xml:space="preserve">the </w:t>
      </w:r>
      <w:r w:rsidR="00590419">
        <w:rPr>
          <w:lang w:eastAsia="ja-JP"/>
        </w:rPr>
        <w:t>old</w:t>
      </w:r>
      <w:r w:rsidR="00642A3B" w:rsidRPr="005F5A62">
        <w:rPr>
          <w:lang w:eastAsia="ja-JP"/>
        </w:rPr>
        <w:t xml:space="preserve"> Regulations</w:t>
      </w:r>
      <w:r w:rsidR="00642A3B">
        <w:rPr>
          <w:lang w:eastAsia="ja-JP"/>
        </w:rPr>
        <w:t>)</w:t>
      </w:r>
      <w:r w:rsidR="00517E03">
        <w:rPr>
          <w:lang w:eastAsia="ja-JP"/>
        </w:rPr>
        <w:t xml:space="preserve"> </w:t>
      </w:r>
      <w:r w:rsidRPr="005709F2">
        <w:rPr>
          <w:lang w:eastAsia="ja-JP"/>
        </w:rPr>
        <w:t>prior to their automatic rep</w:t>
      </w:r>
      <w:r w:rsidR="00642A3B">
        <w:rPr>
          <w:lang w:eastAsia="ja-JP"/>
        </w:rPr>
        <w:t>eal (sunsetting) on 1 April 2018</w:t>
      </w:r>
      <w:r w:rsidRPr="005709F2">
        <w:rPr>
          <w:lang w:eastAsia="ja-JP"/>
        </w:rPr>
        <w:t xml:space="preserve">. The </w:t>
      </w:r>
      <w:r w:rsidRPr="005709F2">
        <w:rPr>
          <w:i/>
          <w:lang w:eastAsia="ja-JP"/>
        </w:rPr>
        <w:t>Legislation Act 2003</w:t>
      </w:r>
      <w:r w:rsidRPr="005709F2">
        <w:rPr>
          <w:lang w:eastAsia="ja-JP"/>
        </w:rPr>
        <w:t xml:space="preserve"> provides that all legislative instruments, other than exempt instruments, are automatically repealed according to the progressive timetable set out in section 50 of that Act. Legislative instruments generally cease to have effect after a specific date unless further legislative action is taken to extend their operation, such as remaking the instrument.</w:t>
      </w:r>
    </w:p>
    <w:p w14:paraId="15F5EE52" w14:textId="77777777" w:rsidR="00371BF5" w:rsidRPr="005709F2" w:rsidRDefault="00371BF5" w:rsidP="007D64B0">
      <w:pPr>
        <w:pStyle w:val="Heading5"/>
      </w:pPr>
      <w:r w:rsidRPr="005709F2">
        <w:t>Impact and Effect</w:t>
      </w:r>
    </w:p>
    <w:p w14:paraId="16C48D0B" w14:textId="4364E0E2" w:rsidR="00371BF5" w:rsidRPr="005709F2" w:rsidRDefault="00371BF5" w:rsidP="00C21613">
      <w:pPr>
        <w:rPr>
          <w:lang w:eastAsia="ja-JP"/>
        </w:rPr>
      </w:pPr>
      <w:r w:rsidRPr="005709F2">
        <w:rPr>
          <w:lang w:eastAsia="ja-JP"/>
        </w:rPr>
        <w:t>The Regulations pres</w:t>
      </w:r>
      <w:r w:rsidR="00BB4A60">
        <w:rPr>
          <w:lang w:eastAsia="ja-JP"/>
        </w:rPr>
        <w:t>cribe</w:t>
      </w:r>
      <w:r w:rsidRPr="005709F2">
        <w:rPr>
          <w:lang w:eastAsia="ja-JP"/>
        </w:rPr>
        <w:t xml:space="preserve"> a number of measures and obligations that are consistent with the </w:t>
      </w:r>
      <w:r w:rsidR="00590419">
        <w:rPr>
          <w:lang w:eastAsia="ja-JP"/>
        </w:rPr>
        <w:t>old</w:t>
      </w:r>
      <w:r w:rsidRPr="005709F2">
        <w:rPr>
          <w:lang w:eastAsia="ja-JP"/>
        </w:rPr>
        <w:t xml:space="preserve"> Regu</w:t>
      </w:r>
      <w:r w:rsidR="003A6319">
        <w:rPr>
          <w:lang w:eastAsia="ja-JP"/>
        </w:rPr>
        <w:t>lations. The Regulations remake and improve</w:t>
      </w:r>
      <w:r w:rsidRPr="005709F2">
        <w:rPr>
          <w:lang w:eastAsia="ja-JP"/>
        </w:rPr>
        <w:t xml:space="preserve"> the </w:t>
      </w:r>
      <w:r w:rsidR="00590419">
        <w:rPr>
          <w:iCs/>
          <w:lang w:eastAsia="ja-JP"/>
        </w:rPr>
        <w:t>old</w:t>
      </w:r>
      <w:r w:rsidRPr="005709F2">
        <w:rPr>
          <w:iCs/>
          <w:lang w:eastAsia="ja-JP"/>
        </w:rPr>
        <w:t xml:space="preserve"> Regulations</w:t>
      </w:r>
      <w:r w:rsidRPr="005709F2">
        <w:rPr>
          <w:lang w:eastAsia="ja-JP"/>
        </w:rPr>
        <w:t xml:space="preserve">, by </w:t>
      </w:r>
      <w:r w:rsidR="00BB4A60">
        <w:rPr>
          <w:lang w:eastAsia="ja-JP"/>
        </w:rPr>
        <w:t>not remaking</w:t>
      </w:r>
      <w:r w:rsidRPr="005709F2">
        <w:rPr>
          <w:lang w:eastAsia="ja-JP"/>
        </w:rPr>
        <w:t xml:space="preserve"> redundant provisions, simplifying language and restructuring provisions for ease of navigation</w:t>
      </w:r>
      <w:r w:rsidR="009C17F0">
        <w:rPr>
          <w:lang w:eastAsia="ja-JP"/>
        </w:rPr>
        <w:t xml:space="preserve"> and administration</w:t>
      </w:r>
      <w:r w:rsidRPr="005709F2">
        <w:rPr>
          <w:lang w:eastAsia="ja-JP"/>
        </w:rPr>
        <w:t>. The key changes are:</w:t>
      </w:r>
    </w:p>
    <w:p w14:paraId="0D639CE4" w14:textId="0B358F2C" w:rsidR="00371BF5" w:rsidRPr="005709F2" w:rsidRDefault="00E2464C" w:rsidP="00F164D2">
      <w:pPr>
        <w:pStyle w:val="ListParagraph"/>
        <w:numPr>
          <w:ilvl w:val="0"/>
          <w:numId w:val="4"/>
        </w:numPr>
        <w:tabs>
          <w:tab w:val="left" w:pos="426"/>
        </w:tabs>
        <w:rPr>
          <w:lang w:eastAsia="ja-JP"/>
        </w:rPr>
      </w:pPr>
      <w:r w:rsidRPr="005709F2">
        <w:rPr>
          <w:lang w:eastAsia="ja-JP"/>
        </w:rPr>
        <w:t>remo</w:t>
      </w:r>
      <w:r>
        <w:rPr>
          <w:lang w:eastAsia="ja-JP"/>
        </w:rPr>
        <w:t>ving</w:t>
      </w:r>
      <w:r w:rsidR="00371BF5" w:rsidRPr="005709F2">
        <w:rPr>
          <w:lang w:eastAsia="ja-JP"/>
        </w:rPr>
        <w:t xml:space="preserve"> spent provisions</w:t>
      </w:r>
    </w:p>
    <w:p w14:paraId="41868BA7" w14:textId="2594A098" w:rsidR="00371BF5" w:rsidRPr="005709F2" w:rsidRDefault="00371BF5" w:rsidP="00F164D2">
      <w:pPr>
        <w:pStyle w:val="ListParagraph"/>
        <w:numPr>
          <w:ilvl w:val="0"/>
          <w:numId w:val="4"/>
        </w:numPr>
        <w:tabs>
          <w:tab w:val="left" w:pos="426"/>
        </w:tabs>
        <w:rPr>
          <w:lang w:eastAsia="ja-JP"/>
        </w:rPr>
      </w:pPr>
      <w:r w:rsidRPr="005709F2">
        <w:rPr>
          <w:lang w:eastAsia="ja-JP"/>
        </w:rPr>
        <w:t xml:space="preserve">halving export </w:t>
      </w:r>
      <w:r w:rsidR="00BB4A60">
        <w:rPr>
          <w:lang w:eastAsia="ja-JP"/>
        </w:rPr>
        <w:t>certificate</w:t>
      </w:r>
      <w:r w:rsidR="00642A3B">
        <w:rPr>
          <w:lang w:eastAsia="ja-JP"/>
        </w:rPr>
        <w:t xml:space="preserve"> </w:t>
      </w:r>
      <w:r w:rsidR="00717EEF">
        <w:rPr>
          <w:lang w:eastAsia="ja-JP"/>
        </w:rPr>
        <w:t xml:space="preserve">notification </w:t>
      </w:r>
      <w:r w:rsidR="00642A3B">
        <w:rPr>
          <w:lang w:eastAsia="ja-JP"/>
        </w:rPr>
        <w:t>periods for exporters</w:t>
      </w:r>
    </w:p>
    <w:p w14:paraId="61A861AE" w14:textId="4242AF3E" w:rsidR="00371BF5" w:rsidRPr="005709F2" w:rsidRDefault="003A6319" w:rsidP="00F164D2">
      <w:pPr>
        <w:pStyle w:val="ListParagraph"/>
        <w:numPr>
          <w:ilvl w:val="0"/>
          <w:numId w:val="4"/>
        </w:numPr>
        <w:tabs>
          <w:tab w:val="left" w:pos="426"/>
        </w:tabs>
        <w:rPr>
          <w:lang w:eastAsia="ja-JP"/>
        </w:rPr>
      </w:pPr>
      <w:r>
        <w:rPr>
          <w:lang w:eastAsia="ja-JP"/>
        </w:rPr>
        <w:t>enabling the Authority</w:t>
      </w:r>
      <w:r w:rsidR="00371BF5" w:rsidRPr="005709F2">
        <w:rPr>
          <w:lang w:eastAsia="ja-JP"/>
        </w:rPr>
        <w:t xml:space="preserve"> to refuse or suspend export licences to individuals with a history of non-compliance or that fail to pay the Wine Export Charge</w:t>
      </w:r>
      <w:r w:rsidR="00BB4A60">
        <w:rPr>
          <w:lang w:eastAsia="ja-JP"/>
        </w:rPr>
        <w:t xml:space="preserve"> </w:t>
      </w:r>
    </w:p>
    <w:p w14:paraId="52E6667A" w14:textId="0B93D8EA" w:rsidR="00717EEF" w:rsidRDefault="003A6319" w:rsidP="00F164D2">
      <w:pPr>
        <w:pStyle w:val="ListParagraph"/>
        <w:numPr>
          <w:ilvl w:val="0"/>
          <w:numId w:val="4"/>
        </w:numPr>
        <w:tabs>
          <w:tab w:val="left" w:pos="426"/>
        </w:tabs>
        <w:rPr>
          <w:lang w:eastAsia="ja-JP"/>
        </w:rPr>
      </w:pPr>
      <w:r>
        <w:rPr>
          <w:lang w:eastAsia="ja-JP"/>
        </w:rPr>
        <w:t>requiring the Authority</w:t>
      </w:r>
      <w:r w:rsidR="00717EEF">
        <w:rPr>
          <w:lang w:eastAsia="ja-JP"/>
        </w:rPr>
        <w:t xml:space="preserve"> to consider, prior to approving a grape product for export, whether </w:t>
      </w:r>
      <w:r w:rsidR="00717EEF" w:rsidRPr="00BD14EF">
        <w:t xml:space="preserve">the description and presentation of </w:t>
      </w:r>
      <w:r w:rsidR="00717EEF">
        <w:t>a</w:t>
      </w:r>
      <w:r w:rsidR="00717EEF" w:rsidRPr="00BD14EF">
        <w:t xml:space="preserve"> grape product is appropriate having regard to requirements of the Act, other Australian laws </w:t>
      </w:r>
      <w:r w:rsidR="00717EEF">
        <w:t>and the laws of other countries, and</w:t>
      </w:r>
    </w:p>
    <w:p w14:paraId="13B82C27" w14:textId="41F52DF3" w:rsidR="00371BF5" w:rsidRPr="005709F2" w:rsidRDefault="00371BF5" w:rsidP="00F164D2">
      <w:pPr>
        <w:pStyle w:val="ListParagraph"/>
        <w:numPr>
          <w:ilvl w:val="0"/>
          <w:numId w:val="4"/>
        </w:numPr>
        <w:tabs>
          <w:tab w:val="left" w:pos="426"/>
        </w:tabs>
        <w:rPr>
          <w:lang w:eastAsia="ja-JP"/>
        </w:rPr>
      </w:pPr>
      <w:r w:rsidRPr="005709F2">
        <w:rPr>
          <w:lang w:eastAsia="ja-JP"/>
        </w:rPr>
        <w:t>clarify</w:t>
      </w:r>
      <w:r w:rsidR="003A6319">
        <w:rPr>
          <w:lang w:eastAsia="ja-JP"/>
        </w:rPr>
        <w:t>ing</w:t>
      </w:r>
      <w:r w:rsidRPr="005709F2">
        <w:rPr>
          <w:lang w:eastAsia="ja-JP"/>
        </w:rPr>
        <w:t xml:space="preserve"> criteria for determining Australian GIs</w:t>
      </w:r>
      <w:r w:rsidR="00BB4A60">
        <w:rPr>
          <w:lang w:eastAsia="ja-JP"/>
        </w:rPr>
        <w:t>.</w:t>
      </w:r>
    </w:p>
    <w:p w14:paraId="7CA3F0D2" w14:textId="28305772" w:rsidR="002441C4" w:rsidRDefault="005E3CEB" w:rsidP="00C21613">
      <w:pPr>
        <w:rPr>
          <w:lang w:eastAsia="ja-JP"/>
        </w:rPr>
      </w:pPr>
      <w:r>
        <w:rPr>
          <w:lang w:eastAsia="ja-JP"/>
        </w:rPr>
        <w:t xml:space="preserve">The spent provisions that have </w:t>
      </w:r>
      <w:r w:rsidR="00BB4A60">
        <w:rPr>
          <w:lang w:eastAsia="ja-JP"/>
        </w:rPr>
        <w:t>not been remade relate to</w:t>
      </w:r>
      <w:r>
        <w:rPr>
          <w:lang w:eastAsia="ja-JP"/>
        </w:rPr>
        <w:t xml:space="preserve"> vine varieties (Hermitage and Lambrusco) exempted from offence provisions for a transitional period after the </w:t>
      </w:r>
      <w:r w:rsidRPr="005E3CEB">
        <w:rPr>
          <w:lang w:eastAsia="ja-JP"/>
        </w:rPr>
        <w:t xml:space="preserve">Agreement between Australia and the European Community on </w:t>
      </w:r>
      <w:r w:rsidR="00642A3B">
        <w:rPr>
          <w:lang w:eastAsia="ja-JP"/>
        </w:rPr>
        <w:t>T</w:t>
      </w:r>
      <w:r w:rsidRPr="005E3CEB">
        <w:rPr>
          <w:lang w:eastAsia="ja-JP"/>
        </w:rPr>
        <w:t xml:space="preserve">rade in </w:t>
      </w:r>
      <w:r w:rsidR="00642A3B">
        <w:rPr>
          <w:lang w:eastAsia="ja-JP"/>
        </w:rPr>
        <w:t>W</w:t>
      </w:r>
      <w:r w:rsidRPr="005E3CEB">
        <w:rPr>
          <w:lang w:eastAsia="ja-JP"/>
        </w:rPr>
        <w:t>ine</w:t>
      </w:r>
      <w:r>
        <w:rPr>
          <w:i/>
          <w:lang w:eastAsia="ja-JP"/>
        </w:rPr>
        <w:t xml:space="preserve">, </w:t>
      </w:r>
      <w:r>
        <w:rPr>
          <w:lang w:eastAsia="ja-JP"/>
        </w:rPr>
        <w:t xml:space="preserve">done at Brussels on </w:t>
      </w:r>
      <w:r w:rsidR="00642A3B">
        <w:rPr>
          <w:lang w:eastAsia="ja-JP"/>
        </w:rPr>
        <w:br/>
      </w:r>
      <w:r>
        <w:rPr>
          <w:lang w:eastAsia="ja-JP"/>
        </w:rPr>
        <w:t>1 December 2008,</w:t>
      </w:r>
      <w:r>
        <w:rPr>
          <w:i/>
          <w:lang w:eastAsia="ja-JP"/>
        </w:rPr>
        <w:t xml:space="preserve"> </w:t>
      </w:r>
      <w:r>
        <w:rPr>
          <w:lang w:eastAsia="ja-JP"/>
        </w:rPr>
        <w:t xml:space="preserve">entered into force. These provisions were repealed as the </w:t>
      </w:r>
      <w:r w:rsidR="003A6319">
        <w:rPr>
          <w:lang w:eastAsia="ja-JP"/>
        </w:rPr>
        <w:t>transitional period set out has</w:t>
      </w:r>
      <w:r>
        <w:rPr>
          <w:lang w:eastAsia="ja-JP"/>
        </w:rPr>
        <w:t xml:space="preserve"> now expired. </w:t>
      </w:r>
    </w:p>
    <w:p w14:paraId="65A5EFF8" w14:textId="29CC4131" w:rsidR="00BF1BA6" w:rsidRDefault="002441C4" w:rsidP="00C21613">
      <w:pPr>
        <w:rPr>
          <w:lang w:eastAsia="ja-JP"/>
        </w:rPr>
      </w:pPr>
      <w:r>
        <w:rPr>
          <w:lang w:eastAsia="ja-JP"/>
        </w:rPr>
        <w:t xml:space="preserve">The </w:t>
      </w:r>
      <w:r w:rsidR="00717EEF">
        <w:rPr>
          <w:lang w:eastAsia="ja-JP"/>
        </w:rPr>
        <w:t xml:space="preserve">notification </w:t>
      </w:r>
      <w:r>
        <w:rPr>
          <w:lang w:eastAsia="ja-JP"/>
        </w:rPr>
        <w:t xml:space="preserve">period for an export </w:t>
      </w:r>
      <w:r w:rsidR="00BB4A60">
        <w:rPr>
          <w:lang w:eastAsia="ja-JP"/>
        </w:rPr>
        <w:t>certificate</w:t>
      </w:r>
      <w:r>
        <w:rPr>
          <w:lang w:eastAsia="ja-JP"/>
        </w:rPr>
        <w:t xml:space="preserve"> has been halved due to technological improvements</w:t>
      </w:r>
      <w:r w:rsidR="00BF1BA6">
        <w:rPr>
          <w:lang w:eastAsia="ja-JP"/>
        </w:rPr>
        <w:t xml:space="preserve">, meaning that the Authority no longer needs 10 </w:t>
      </w:r>
      <w:r w:rsidR="00E2464C">
        <w:rPr>
          <w:lang w:eastAsia="ja-JP"/>
        </w:rPr>
        <w:t>days’ notice</w:t>
      </w:r>
      <w:r w:rsidR="00BF1BA6">
        <w:rPr>
          <w:lang w:eastAsia="ja-JP"/>
        </w:rPr>
        <w:t xml:space="preserve"> that a grape product will be exported.</w:t>
      </w:r>
      <w:r w:rsidR="00BB4A60">
        <w:rPr>
          <w:lang w:eastAsia="ja-JP"/>
        </w:rPr>
        <w:t xml:space="preserve"> That is, licence holders may apply for an export certificate five days (or</w:t>
      </w:r>
      <w:r w:rsidR="0097259A">
        <w:rPr>
          <w:lang w:eastAsia="ja-JP"/>
        </w:rPr>
        <w:t xml:space="preserve"> more</w:t>
      </w:r>
      <w:r w:rsidR="00BB4A60">
        <w:rPr>
          <w:lang w:eastAsia="ja-JP"/>
        </w:rPr>
        <w:t xml:space="preserve">) before they intend to export a consignment of grape product. </w:t>
      </w:r>
    </w:p>
    <w:p w14:paraId="4F645CC0" w14:textId="5F9E4925" w:rsidR="00A82632" w:rsidRDefault="003A6319" w:rsidP="00C03873">
      <w:pPr>
        <w:rPr>
          <w:lang w:eastAsia="ja-JP"/>
        </w:rPr>
      </w:pPr>
      <w:r>
        <w:rPr>
          <w:lang w:eastAsia="ja-JP"/>
        </w:rPr>
        <w:t xml:space="preserve">The Authority </w:t>
      </w:r>
      <w:r w:rsidR="0097259A">
        <w:rPr>
          <w:lang w:eastAsia="ja-JP"/>
        </w:rPr>
        <w:t>can</w:t>
      </w:r>
      <w:r>
        <w:rPr>
          <w:lang w:eastAsia="ja-JP"/>
        </w:rPr>
        <w:t xml:space="preserve"> now</w:t>
      </w:r>
      <w:r w:rsidR="00BF1BA6">
        <w:rPr>
          <w:lang w:eastAsia="ja-JP"/>
        </w:rPr>
        <w:t xml:space="preserve"> refuse</w:t>
      </w:r>
      <w:r w:rsidR="00A82632">
        <w:rPr>
          <w:lang w:eastAsia="ja-JP"/>
        </w:rPr>
        <w:t>, cancel or</w:t>
      </w:r>
      <w:r w:rsidR="00BF1BA6">
        <w:rPr>
          <w:lang w:eastAsia="ja-JP"/>
        </w:rPr>
        <w:t xml:space="preserve"> suspend an export licence </w:t>
      </w:r>
      <w:r>
        <w:rPr>
          <w:lang w:eastAsia="ja-JP"/>
        </w:rPr>
        <w:t>of</w:t>
      </w:r>
      <w:r w:rsidR="00030317">
        <w:rPr>
          <w:lang w:eastAsia="ja-JP"/>
        </w:rPr>
        <w:t xml:space="preserve"> </w:t>
      </w:r>
      <w:r w:rsidR="00642A3B">
        <w:rPr>
          <w:lang w:eastAsia="ja-JP"/>
        </w:rPr>
        <w:t xml:space="preserve">a </w:t>
      </w:r>
      <w:r w:rsidR="00030317">
        <w:rPr>
          <w:lang w:eastAsia="ja-JP"/>
        </w:rPr>
        <w:t>person</w:t>
      </w:r>
      <w:r w:rsidR="00A82632">
        <w:rPr>
          <w:lang w:eastAsia="ja-JP"/>
        </w:rPr>
        <w:t>, or an associated person or entity, who ha</w:t>
      </w:r>
      <w:r w:rsidR="00642A3B">
        <w:rPr>
          <w:lang w:eastAsia="ja-JP"/>
        </w:rPr>
        <w:t>s</w:t>
      </w:r>
      <w:r w:rsidR="00A82632">
        <w:rPr>
          <w:lang w:eastAsia="ja-JP"/>
        </w:rPr>
        <w:t xml:space="preserve"> a history of non-compliance</w:t>
      </w:r>
      <w:r w:rsidR="00C03873">
        <w:rPr>
          <w:lang w:eastAsia="ja-JP"/>
        </w:rPr>
        <w:t xml:space="preserve"> with reference to any previous refusal, suspension or cancellation of a licence by the Authority</w:t>
      </w:r>
      <w:r w:rsidR="00A82632">
        <w:rPr>
          <w:lang w:eastAsia="ja-JP"/>
        </w:rPr>
        <w:t>.</w:t>
      </w:r>
      <w:r w:rsidR="00C03873">
        <w:rPr>
          <w:lang w:eastAsia="ja-JP"/>
        </w:rPr>
        <w:t xml:space="preserve"> </w:t>
      </w:r>
      <w:r w:rsidR="00C03873" w:rsidRPr="00C03873">
        <w:rPr>
          <w:lang w:eastAsia="ja-JP"/>
        </w:rPr>
        <w:t>This ensures the integrity of exports, as an exporter who has had their licence suspended or cancelled, or who has not been able to receive a licence</w:t>
      </w:r>
      <w:r w:rsidR="00C03873">
        <w:rPr>
          <w:lang w:eastAsia="ja-JP"/>
        </w:rPr>
        <w:t>,</w:t>
      </w:r>
      <w:r w:rsidR="00C03873" w:rsidRPr="00C03873">
        <w:rPr>
          <w:lang w:eastAsia="ja-JP"/>
        </w:rPr>
        <w:t xml:space="preserve"> cannot engage a licenced exporter to export on their behalf. </w:t>
      </w:r>
      <w:r w:rsidR="00C03873">
        <w:rPr>
          <w:lang w:eastAsia="ja-JP"/>
        </w:rPr>
        <w:t>This provision does</w:t>
      </w:r>
      <w:r w:rsidR="00C03873" w:rsidRPr="00C03873">
        <w:rPr>
          <w:lang w:eastAsia="ja-JP"/>
        </w:rPr>
        <w:t xml:space="preserve"> not prevent </w:t>
      </w:r>
      <w:r w:rsidR="00C03873">
        <w:rPr>
          <w:lang w:eastAsia="ja-JP"/>
        </w:rPr>
        <w:t xml:space="preserve">small producers </w:t>
      </w:r>
      <w:r w:rsidR="00C03873" w:rsidRPr="00C03873">
        <w:rPr>
          <w:lang w:eastAsia="ja-JP"/>
        </w:rPr>
        <w:t>from engaging a li</w:t>
      </w:r>
      <w:r w:rsidR="00642A3B">
        <w:rPr>
          <w:lang w:eastAsia="ja-JP"/>
        </w:rPr>
        <w:t>cenced exporter on their behalf,</w:t>
      </w:r>
      <w:r>
        <w:rPr>
          <w:lang w:eastAsia="ja-JP"/>
        </w:rPr>
        <w:t xml:space="preserve"> provided the producer is</w:t>
      </w:r>
      <w:r w:rsidR="00C03873" w:rsidRPr="00C03873">
        <w:rPr>
          <w:lang w:eastAsia="ja-JP"/>
        </w:rPr>
        <w:t xml:space="preserve"> eligible for an export licence.</w:t>
      </w:r>
    </w:p>
    <w:p w14:paraId="65EB7EBC" w14:textId="5847025F" w:rsidR="002441C4" w:rsidRDefault="00A82632" w:rsidP="00030317">
      <w:pPr>
        <w:rPr>
          <w:lang w:eastAsia="ja-JP"/>
        </w:rPr>
      </w:pPr>
      <w:r>
        <w:rPr>
          <w:lang w:eastAsia="ja-JP"/>
        </w:rPr>
        <w:t>The Authority also has the ability to refuse, cancel or suspend an export licence for</w:t>
      </w:r>
      <w:r w:rsidR="00030317">
        <w:rPr>
          <w:lang w:eastAsia="ja-JP"/>
        </w:rPr>
        <w:t xml:space="preserve"> non-payment of the Wine Export Charge payable under the </w:t>
      </w:r>
      <w:r w:rsidR="00030317" w:rsidRPr="00030317">
        <w:rPr>
          <w:i/>
          <w:lang w:eastAsia="ja-JP"/>
        </w:rPr>
        <w:t>Primary Industries (Customs) Charges Act 1999.</w:t>
      </w:r>
      <w:r w:rsidR="00030317">
        <w:rPr>
          <w:i/>
          <w:lang w:eastAsia="ja-JP"/>
        </w:rPr>
        <w:t xml:space="preserve"> </w:t>
      </w:r>
      <w:r w:rsidR="00030317">
        <w:rPr>
          <w:lang w:eastAsia="ja-JP"/>
        </w:rPr>
        <w:t>This change encourages</w:t>
      </w:r>
      <w:r w:rsidR="00030317" w:rsidRPr="00030317">
        <w:rPr>
          <w:lang w:eastAsia="ja-JP"/>
        </w:rPr>
        <w:t xml:space="preserve"> timely payment of the charge, </w:t>
      </w:r>
      <w:r w:rsidR="00030317" w:rsidRPr="00030317">
        <w:rPr>
          <w:lang w:eastAsia="ja-JP"/>
        </w:rPr>
        <w:lastRenderedPageBreak/>
        <w:t>and decrease</w:t>
      </w:r>
      <w:r w:rsidR="00030317">
        <w:rPr>
          <w:lang w:eastAsia="ja-JP"/>
        </w:rPr>
        <w:t>s</w:t>
      </w:r>
      <w:r w:rsidR="00030317" w:rsidRPr="00030317">
        <w:rPr>
          <w:lang w:eastAsia="ja-JP"/>
        </w:rPr>
        <w:t xml:space="preserve"> the administrative cost to the Australian Government in chasing up late payments and applying pena</w:t>
      </w:r>
      <w:r w:rsidR="00030317">
        <w:rPr>
          <w:lang w:eastAsia="ja-JP"/>
        </w:rPr>
        <w:t>lties</w:t>
      </w:r>
      <w:r w:rsidR="00030317" w:rsidRPr="00030317">
        <w:rPr>
          <w:lang w:eastAsia="ja-JP"/>
        </w:rPr>
        <w:t>.</w:t>
      </w:r>
    </w:p>
    <w:p w14:paraId="0041E56B" w14:textId="521080EC" w:rsidR="00C03873" w:rsidRDefault="00C03873" w:rsidP="00605A5C">
      <w:pPr>
        <w:keepLines/>
        <w:rPr>
          <w:lang w:eastAsia="ja-JP"/>
        </w:rPr>
      </w:pPr>
      <w:r>
        <w:rPr>
          <w:lang w:eastAsia="ja-JP"/>
        </w:rPr>
        <w:t>The criteria that the Committee must consider in determining Australian GIs has been clarified to make clearer which criterion is relevant to which component of the determination, that is: the determination</w:t>
      </w:r>
      <w:r w:rsidR="005817B3">
        <w:rPr>
          <w:lang w:eastAsia="ja-JP"/>
        </w:rPr>
        <w:t xml:space="preserve"> of the area and its boundaries,</w:t>
      </w:r>
      <w:r>
        <w:rPr>
          <w:lang w:eastAsia="ja-JP"/>
        </w:rPr>
        <w:t xml:space="preserve"> and the determination of the indication to be used. </w:t>
      </w:r>
    </w:p>
    <w:p w14:paraId="1B8282C7" w14:textId="6C0A1FB0" w:rsidR="00371BF5" w:rsidRPr="005709F2" w:rsidRDefault="00371BF5" w:rsidP="00C21613">
      <w:pPr>
        <w:rPr>
          <w:lang w:val="en-US" w:eastAsia="ja-JP"/>
        </w:rPr>
      </w:pPr>
      <w:r w:rsidRPr="005709F2">
        <w:rPr>
          <w:lang w:eastAsia="ja-JP"/>
        </w:rPr>
        <w:t>These changes do not change the substantive meaning or operation of the provisions</w:t>
      </w:r>
      <w:r w:rsidR="003A6319">
        <w:rPr>
          <w:lang w:eastAsia="ja-JP"/>
        </w:rPr>
        <w:t xml:space="preserve"> from</w:t>
      </w:r>
      <w:r>
        <w:rPr>
          <w:lang w:eastAsia="ja-JP"/>
        </w:rPr>
        <w:t xml:space="preserve"> the </w:t>
      </w:r>
      <w:r w:rsidR="00590419">
        <w:rPr>
          <w:lang w:eastAsia="ja-JP"/>
        </w:rPr>
        <w:t>old</w:t>
      </w:r>
      <w:r w:rsidR="003A6319">
        <w:rPr>
          <w:lang w:eastAsia="ja-JP"/>
        </w:rPr>
        <w:t xml:space="preserve"> </w:t>
      </w:r>
      <w:r>
        <w:rPr>
          <w:lang w:eastAsia="ja-JP"/>
        </w:rPr>
        <w:t>Regulations</w:t>
      </w:r>
      <w:r w:rsidRPr="005709F2">
        <w:rPr>
          <w:lang w:eastAsia="ja-JP"/>
        </w:rPr>
        <w:t>.</w:t>
      </w:r>
      <w:r w:rsidR="005E3CEB">
        <w:rPr>
          <w:lang w:eastAsia="ja-JP"/>
        </w:rPr>
        <w:t xml:space="preserve"> </w:t>
      </w:r>
    </w:p>
    <w:p w14:paraId="2AC1C06C" w14:textId="07930382" w:rsidR="00371BF5" w:rsidRPr="005709F2" w:rsidRDefault="00371BF5" w:rsidP="00C21613">
      <w:pPr>
        <w:rPr>
          <w:lang w:eastAsia="ja-JP"/>
        </w:rPr>
      </w:pPr>
      <w:r w:rsidRPr="007D64B0">
        <w:rPr>
          <w:rStyle w:val="Heading5Char"/>
        </w:rPr>
        <w:t>Consultation</w:t>
      </w:r>
    </w:p>
    <w:p w14:paraId="65FFB7D7" w14:textId="74502289" w:rsidR="00371BF5" w:rsidRPr="005709F2" w:rsidRDefault="00371BF5" w:rsidP="00C21613">
      <w:pPr>
        <w:rPr>
          <w:lang w:eastAsia="ja-JP"/>
        </w:rPr>
      </w:pPr>
      <w:r w:rsidRPr="005709F2">
        <w:rPr>
          <w:lang w:eastAsia="ja-JP"/>
        </w:rPr>
        <w:t xml:space="preserve">The Winemakers’ Federation of Australia and Australian Vignerons were consulted during the comprehensive review of the </w:t>
      </w:r>
      <w:r w:rsidR="00590419">
        <w:rPr>
          <w:lang w:eastAsia="ja-JP"/>
        </w:rPr>
        <w:t>old</w:t>
      </w:r>
      <w:r w:rsidRPr="005709F2">
        <w:rPr>
          <w:lang w:eastAsia="ja-JP"/>
        </w:rPr>
        <w:t xml:space="preserve"> Regulations. These industry representative bodies agreed that the </w:t>
      </w:r>
      <w:r w:rsidR="00590419">
        <w:rPr>
          <w:lang w:eastAsia="ja-JP"/>
        </w:rPr>
        <w:t>old</w:t>
      </w:r>
      <w:r w:rsidRPr="005709F2">
        <w:rPr>
          <w:lang w:eastAsia="ja-JP"/>
        </w:rPr>
        <w:t xml:space="preserve"> Regulations should be remade with minor amendments.</w:t>
      </w:r>
    </w:p>
    <w:p w14:paraId="1E3C8D52" w14:textId="4AF0394F" w:rsidR="00371BF5" w:rsidRDefault="00371BF5" w:rsidP="00C21613">
      <w:pPr>
        <w:rPr>
          <w:lang w:eastAsia="ja-JP"/>
        </w:rPr>
      </w:pPr>
      <w:r w:rsidRPr="005709F2">
        <w:rPr>
          <w:lang w:eastAsia="ja-JP"/>
        </w:rPr>
        <w:t xml:space="preserve">The Australian wine industry </w:t>
      </w:r>
      <w:r>
        <w:rPr>
          <w:lang w:eastAsia="ja-JP"/>
        </w:rPr>
        <w:t>was also</w:t>
      </w:r>
      <w:r w:rsidRPr="005709F2">
        <w:rPr>
          <w:lang w:eastAsia="ja-JP"/>
        </w:rPr>
        <w:t xml:space="preserve"> consulted through the Legislation Review </w:t>
      </w:r>
      <w:r w:rsidR="00C21613" w:rsidRPr="00C21613">
        <w:rPr>
          <w:lang w:eastAsia="ja-JP"/>
        </w:rPr>
        <w:t>Committee</w:t>
      </w:r>
      <w:r w:rsidRPr="005709F2">
        <w:rPr>
          <w:lang w:eastAsia="ja-JP"/>
        </w:rPr>
        <w:t xml:space="preserve"> (LRC) of Wine Australia. The LRC</w:t>
      </w:r>
      <w:r>
        <w:rPr>
          <w:lang w:eastAsia="ja-JP"/>
        </w:rPr>
        <w:t>, which</w:t>
      </w:r>
      <w:r w:rsidRPr="005709F2">
        <w:rPr>
          <w:lang w:eastAsia="ja-JP"/>
        </w:rPr>
        <w:t xml:space="preserve"> includes representatives of the Winemakers’ Federation of Australia and Australian Vignerons and othe</w:t>
      </w:r>
      <w:r w:rsidRPr="007D64B0">
        <w:rPr>
          <w:lang w:eastAsia="ja-JP"/>
        </w:rPr>
        <w:t>r private</w:t>
      </w:r>
      <w:r w:rsidR="007D64B0" w:rsidRPr="007D64B0">
        <w:rPr>
          <w:lang w:eastAsia="ja-JP"/>
        </w:rPr>
        <w:t xml:space="preserve"> </w:t>
      </w:r>
      <w:r w:rsidRPr="007D64B0">
        <w:rPr>
          <w:lang w:eastAsia="ja-JP"/>
        </w:rPr>
        <w:t>me</w:t>
      </w:r>
      <w:r w:rsidRPr="005709F2">
        <w:rPr>
          <w:lang w:eastAsia="ja-JP"/>
        </w:rPr>
        <w:t>mbers of the wine industry</w:t>
      </w:r>
      <w:r>
        <w:rPr>
          <w:lang w:eastAsia="ja-JP"/>
        </w:rPr>
        <w:t xml:space="preserve">, </w:t>
      </w:r>
      <w:r w:rsidRPr="005709F2">
        <w:rPr>
          <w:lang w:eastAsia="ja-JP"/>
        </w:rPr>
        <w:t>recommended a number of amendments</w:t>
      </w:r>
      <w:r>
        <w:rPr>
          <w:lang w:eastAsia="ja-JP"/>
        </w:rPr>
        <w:t xml:space="preserve"> to the </w:t>
      </w:r>
      <w:r w:rsidR="00590419">
        <w:rPr>
          <w:lang w:eastAsia="ja-JP"/>
        </w:rPr>
        <w:t>old</w:t>
      </w:r>
      <w:r>
        <w:rPr>
          <w:lang w:eastAsia="ja-JP"/>
        </w:rPr>
        <w:t xml:space="preserve"> Regulations</w:t>
      </w:r>
      <w:r w:rsidRPr="005709F2">
        <w:rPr>
          <w:lang w:eastAsia="ja-JP"/>
        </w:rPr>
        <w:t>.</w:t>
      </w:r>
    </w:p>
    <w:p w14:paraId="2B0A5F0A" w14:textId="0BA9608D" w:rsidR="005609C0" w:rsidRPr="005709F2" w:rsidRDefault="005609C0" w:rsidP="00C21613">
      <w:pPr>
        <w:rPr>
          <w:lang w:eastAsia="ja-JP"/>
        </w:rPr>
      </w:pPr>
      <w:r>
        <w:rPr>
          <w:lang w:eastAsia="ja-JP"/>
        </w:rPr>
        <w:t xml:space="preserve">The LRC </w:t>
      </w:r>
      <w:r w:rsidR="003A6319">
        <w:rPr>
          <w:lang w:eastAsia="ja-JP"/>
        </w:rPr>
        <w:t xml:space="preserve">also reviewed a draft of the Regulations </w:t>
      </w:r>
      <w:r>
        <w:rPr>
          <w:lang w:eastAsia="ja-JP"/>
        </w:rPr>
        <w:t>and provided comments and recommended changes.</w:t>
      </w:r>
    </w:p>
    <w:p w14:paraId="140650F1" w14:textId="55CE4696" w:rsidR="00371BF5" w:rsidRPr="005709F2" w:rsidRDefault="00371BF5" w:rsidP="00C21613">
      <w:pPr>
        <w:rPr>
          <w:lang w:val="en-US" w:eastAsia="ja-JP"/>
        </w:rPr>
      </w:pPr>
      <w:r w:rsidRPr="005709F2">
        <w:rPr>
          <w:lang w:eastAsia="ja-JP"/>
        </w:rPr>
        <w:t>Prior to the making of the Regulation</w:t>
      </w:r>
      <w:r>
        <w:rPr>
          <w:lang w:eastAsia="ja-JP"/>
        </w:rPr>
        <w:t>s</w:t>
      </w:r>
      <w:r w:rsidRPr="005709F2">
        <w:rPr>
          <w:lang w:eastAsia="ja-JP"/>
        </w:rPr>
        <w:t xml:space="preserve"> and in accordance with the Office of Best Practice Regulation’s Guidance Note on sunsetting instruments, the Department of Agriculture and Water Resources assessed that the </w:t>
      </w:r>
      <w:r w:rsidR="00590419">
        <w:rPr>
          <w:lang w:eastAsia="ja-JP"/>
        </w:rPr>
        <w:t>old</w:t>
      </w:r>
      <w:r w:rsidRPr="005709F2">
        <w:rPr>
          <w:lang w:eastAsia="ja-JP"/>
        </w:rPr>
        <w:t xml:space="preserve"> Regulations were operating effectively and efficiently, and therefore a Regulation Impact Statement was not required</w:t>
      </w:r>
      <w:r w:rsidR="005E3CEB">
        <w:rPr>
          <w:lang w:eastAsia="ja-JP"/>
        </w:rPr>
        <w:t xml:space="preserve"> (</w:t>
      </w:r>
      <w:r w:rsidR="005E3CEB">
        <w:t>OBPR ID: 22343)</w:t>
      </w:r>
      <w:r w:rsidR="00642A3B">
        <w:rPr>
          <w:lang w:eastAsia="ja-JP"/>
        </w:rPr>
        <w:t>. </w:t>
      </w:r>
      <w:r w:rsidRPr="005709F2">
        <w:rPr>
          <w:lang w:eastAsia="ja-JP"/>
        </w:rPr>
        <w:t xml:space="preserve">This assessment was informed by the </w:t>
      </w:r>
      <w:r w:rsidR="009C17F0">
        <w:rPr>
          <w:lang w:eastAsia="ja-JP"/>
        </w:rPr>
        <w:t xml:space="preserve">industry </w:t>
      </w:r>
      <w:r w:rsidRPr="005709F2">
        <w:rPr>
          <w:lang w:eastAsia="ja-JP"/>
        </w:rPr>
        <w:t>consultation process conducted during the sunsetting review.</w:t>
      </w:r>
    </w:p>
    <w:p w14:paraId="6596AB93" w14:textId="77777777" w:rsidR="00C04F95" w:rsidRPr="00FD7D96" w:rsidRDefault="00C04F95" w:rsidP="00C04F95">
      <w:pPr>
        <w:pStyle w:val="Heading5"/>
      </w:pPr>
      <w:r w:rsidRPr="00FD7D96">
        <w:t>Details/ Operation</w:t>
      </w:r>
    </w:p>
    <w:p w14:paraId="604102B6" w14:textId="77777777" w:rsidR="00C04F95" w:rsidRPr="005709F2" w:rsidRDefault="00C04F95" w:rsidP="00C04F95">
      <w:pPr>
        <w:rPr>
          <w:lang w:val="en-US" w:eastAsia="ja-JP"/>
        </w:rPr>
      </w:pPr>
      <w:r w:rsidRPr="005709F2">
        <w:rPr>
          <w:lang w:eastAsia="ja-JP"/>
        </w:rPr>
        <w:t>Further details of the Regulation</w:t>
      </w:r>
      <w:r>
        <w:rPr>
          <w:lang w:eastAsia="ja-JP"/>
        </w:rPr>
        <w:t>s</w:t>
      </w:r>
      <w:r w:rsidRPr="005709F2">
        <w:rPr>
          <w:lang w:eastAsia="ja-JP"/>
        </w:rPr>
        <w:t xml:space="preserve"> are set out in </w:t>
      </w:r>
      <w:r w:rsidRPr="005709F2">
        <w:rPr>
          <w:u w:val="single"/>
          <w:lang w:eastAsia="ja-JP"/>
        </w:rPr>
        <w:t>Attachment A</w:t>
      </w:r>
      <w:r w:rsidRPr="005709F2">
        <w:rPr>
          <w:lang w:eastAsia="ja-JP"/>
        </w:rPr>
        <w:t>.</w:t>
      </w:r>
    </w:p>
    <w:p w14:paraId="3911F7EE" w14:textId="77777777" w:rsidR="00C04F95" w:rsidRDefault="00C04F95" w:rsidP="00C04F95">
      <w:pPr>
        <w:rPr>
          <w:lang w:eastAsia="ja-JP"/>
        </w:rPr>
      </w:pPr>
      <w:r w:rsidRPr="005709F2">
        <w:rPr>
          <w:lang w:eastAsia="ja-JP"/>
        </w:rPr>
        <w:t>The Act does not specify any conditions that need to be met before the power to make the Regulation</w:t>
      </w:r>
      <w:r>
        <w:rPr>
          <w:lang w:eastAsia="ja-JP"/>
        </w:rPr>
        <w:t>s</w:t>
      </w:r>
      <w:r w:rsidRPr="005709F2">
        <w:rPr>
          <w:lang w:eastAsia="ja-JP"/>
        </w:rPr>
        <w:t xml:space="preserve"> may be exercised.</w:t>
      </w:r>
    </w:p>
    <w:p w14:paraId="27961D36" w14:textId="77777777" w:rsidR="00C04F95" w:rsidRPr="0053655E" w:rsidRDefault="00C04F95" w:rsidP="00C04F95">
      <w:pPr>
        <w:rPr>
          <w:lang w:val="en-US" w:eastAsia="ja-JP"/>
        </w:rPr>
      </w:pPr>
      <w:r>
        <w:rPr>
          <w:lang w:eastAsia="ja-JP"/>
        </w:rPr>
        <w:t xml:space="preserve">The Regulations are compatible with the human rights and freedoms recognised or declared under section 3 of the </w:t>
      </w:r>
      <w:r>
        <w:rPr>
          <w:i/>
          <w:lang w:eastAsia="ja-JP"/>
        </w:rPr>
        <w:t>Human Rights (Parliamentary Scrutiny) Act 2011</w:t>
      </w:r>
      <w:r>
        <w:rPr>
          <w:lang w:eastAsia="ja-JP"/>
        </w:rPr>
        <w:t xml:space="preserve">. A full statement of compatibility is set out in </w:t>
      </w:r>
      <w:r w:rsidRPr="00C04F95">
        <w:rPr>
          <w:u w:val="single"/>
          <w:lang w:eastAsia="ja-JP"/>
        </w:rPr>
        <w:t>Attachment B</w:t>
      </w:r>
      <w:r>
        <w:rPr>
          <w:lang w:eastAsia="ja-JP"/>
        </w:rPr>
        <w:t>.</w:t>
      </w:r>
    </w:p>
    <w:p w14:paraId="515BF256" w14:textId="016129F3" w:rsidR="00371BF5" w:rsidRPr="005709F2" w:rsidRDefault="00C04F95" w:rsidP="00C04F95">
      <w:pPr>
        <w:rPr>
          <w:lang w:eastAsia="ja-JP"/>
        </w:rPr>
      </w:pPr>
      <w:r w:rsidRPr="005709F2">
        <w:rPr>
          <w:lang w:eastAsia="ja-JP"/>
        </w:rPr>
        <w:t>The Regulation</w:t>
      </w:r>
      <w:r>
        <w:rPr>
          <w:lang w:eastAsia="ja-JP"/>
        </w:rPr>
        <w:t>s</w:t>
      </w:r>
      <w:r w:rsidRPr="005709F2">
        <w:rPr>
          <w:lang w:eastAsia="ja-JP"/>
        </w:rPr>
        <w:t xml:space="preserve"> is a legislative instrument for the purposes of the </w:t>
      </w:r>
      <w:r w:rsidRPr="005709F2">
        <w:rPr>
          <w:i/>
          <w:iCs/>
          <w:lang w:eastAsia="ja-JP"/>
        </w:rPr>
        <w:t>Legislation Act 2003</w:t>
      </w:r>
      <w:r w:rsidRPr="005709F2">
        <w:rPr>
          <w:lang w:eastAsia="ja-JP"/>
        </w:rPr>
        <w:t>.</w:t>
      </w:r>
      <w:r w:rsidR="00371BF5" w:rsidRPr="005709F2">
        <w:rPr>
          <w:lang w:eastAsia="ja-JP"/>
        </w:rPr>
        <w:br w:type="page"/>
      </w:r>
    </w:p>
    <w:p w14:paraId="3EE4FA7D" w14:textId="08DD1A87" w:rsidR="00C21613" w:rsidRDefault="00C21613" w:rsidP="00F164D2">
      <w:pPr>
        <w:pStyle w:val="Part"/>
      </w:pPr>
      <w:r w:rsidRPr="00C21613">
        <w:lastRenderedPageBreak/>
        <w:t>ACRONYMS, ABBREVIATIONS and commonly used terms</w:t>
      </w:r>
    </w:p>
    <w:p w14:paraId="757749DD" w14:textId="77777777" w:rsidR="00C21613" w:rsidRPr="00C21613" w:rsidRDefault="00C21613" w:rsidP="007D64B0"/>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2"/>
        <w:gridCol w:w="5558"/>
      </w:tblGrid>
      <w:tr w:rsidR="00C21613" w:rsidRPr="001E562C" w14:paraId="2948F1F1" w14:textId="77777777" w:rsidTr="00C21613">
        <w:trPr>
          <w:trHeight w:val="370"/>
        </w:trPr>
        <w:tc>
          <w:tcPr>
            <w:tcW w:w="3362" w:type="dxa"/>
            <w:vAlign w:val="center"/>
          </w:tcPr>
          <w:p w14:paraId="716A73C2" w14:textId="77777777" w:rsidR="00C21613" w:rsidRPr="00802321" w:rsidRDefault="00C21613" w:rsidP="00C21613">
            <w:r w:rsidRPr="00802321">
              <w:t>Act</w:t>
            </w:r>
          </w:p>
        </w:tc>
        <w:tc>
          <w:tcPr>
            <w:tcW w:w="5558" w:type="dxa"/>
            <w:vAlign w:val="center"/>
          </w:tcPr>
          <w:p w14:paraId="1BE7DE54" w14:textId="1A2D3DF2" w:rsidR="00C21613" w:rsidRPr="00802321" w:rsidRDefault="007409DB" w:rsidP="00C21613">
            <w:pPr>
              <w:rPr>
                <w:rFonts w:eastAsia="SimSun"/>
                <w:i/>
              </w:rPr>
            </w:pPr>
            <w:r w:rsidRPr="00802321">
              <w:rPr>
                <w:i/>
              </w:rPr>
              <w:t>Wine Australia Act 2013</w:t>
            </w:r>
          </w:p>
        </w:tc>
      </w:tr>
      <w:tr w:rsidR="00C21613" w:rsidRPr="001E562C" w14:paraId="2C3280E9" w14:textId="77777777" w:rsidTr="00C21613">
        <w:trPr>
          <w:trHeight w:val="384"/>
        </w:trPr>
        <w:tc>
          <w:tcPr>
            <w:tcW w:w="3362" w:type="dxa"/>
          </w:tcPr>
          <w:p w14:paraId="6E767195" w14:textId="77F835E9" w:rsidR="00C21613" w:rsidRPr="00802321" w:rsidRDefault="007409DB" w:rsidP="00C21613">
            <w:pPr>
              <w:rPr>
                <w:szCs w:val="22"/>
              </w:rPr>
            </w:pPr>
            <w:r w:rsidRPr="00802321">
              <w:t>AAT</w:t>
            </w:r>
          </w:p>
        </w:tc>
        <w:tc>
          <w:tcPr>
            <w:tcW w:w="5558" w:type="dxa"/>
          </w:tcPr>
          <w:p w14:paraId="50F04276" w14:textId="77777777" w:rsidR="00C21613" w:rsidRPr="00802321" w:rsidRDefault="00C21613" w:rsidP="00C21613">
            <w:pPr>
              <w:rPr>
                <w:i/>
                <w:szCs w:val="24"/>
              </w:rPr>
            </w:pPr>
            <w:r w:rsidRPr="00802321">
              <w:t xml:space="preserve">Administrative Appeals Tribunal </w:t>
            </w:r>
          </w:p>
        </w:tc>
      </w:tr>
      <w:tr w:rsidR="00802321" w:rsidRPr="001E562C" w14:paraId="38BD7335" w14:textId="77777777" w:rsidTr="00802321">
        <w:trPr>
          <w:trHeight w:val="384"/>
        </w:trPr>
        <w:tc>
          <w:tcPr>
            <w:tcW w:w="3362" w:type="dxa"/>
            <w:vAlign w:val="center"/>
          </w:tcPr>
          <w:p w14:paraId="3B1B848E" w14:textId="7F067C9B" w:rsidR="00802321" w:rsidRPr="00802321" w:rsidRDefault="00802321" w:rsidP="00802321">
            <w:r w:rsidRPr="00802321">
              <w:t>Authority</w:t>
            </w:r>
          </w:p>
        </w:tc>
        <w:tc>
          <w:tcPr>
            <w:tcW w:w="5558" w:type="dxa"/>
            <w:vAlign w:val="center"/>
          </w:tcPr>
          <w:p w14:paraId="29B8FC8D" w14:textId="36E74FE1" w:rsidR="00802321" w:rsidRPr="00802321" w:rsidRDefault="00802321" w:rsidP="00802321">
            <w:r w:rsidRPr="00802321">
              <w:t>Wine Australia</w:t>
            </w:r>
          </w:p>
        </w:tc>
      </w:tr>
      <w:tr w:rsidR="00590419" w:rsidRPr="001E562C" w14:paraId="51B0EB1A" w14:textId="77777777" w:rsidTr="00C21613">
        <w:trPr>
          <w:trHeight w:val="384"/>
        </w:trPr>
        <w:tc>
          <w:tcPr>
            <w:tcW w:w="3362" w:type="dxa"/>
            <w:vAlign w:val="center"/>
          </w:tcPr>
          <w:p w14:paraId="4FF7631F" w14:textId="4E729CD7" w:rsidR="00590419" w:rsidRPr="00802321" w:rsidRDefault="00590419" w:rsidP="00590419">
            <w:r w:rsidRPr="00802321">
              <w:t xml:space="preserve">Committee </w:t>
            </w:r>
          </w:p>
        </w:tc>
        <w:tc>
          <w:tcPr>
            <w:tcW w:w="5558" w:type="dxa"/>
            <w:vAlign w:val="center"/>
          </w:tcPr>
          <w:p w14:paraId="60A2695C" w14:textId="1DF7BA93" w:rsidR="00590419" w:rsidRPr="00802321" w:rsidRDefault="00590419" w:rsidP="00590419">
            <w:pPr>
              <w:rPr>
                <w:szCs w:val="24"/>
              </w:rPr>
            </w:pPr>
            <w:r w:rsidRPr="00802321">
              <w:t>the Geographical Indication</w:t>
            </w:r>
            <w:r>
              <w:t>s</w:t>
            </w:r>
            <w:r w:rsidRPr="00802321">
              <w:t xml:space="preserve"> Committee </w:t>
            </w:r>
          </w:p>
        </w:tc>
      </w:tr>
      <w:tr w:rsidR="00590419" w:rsidRPr="001E562C" w14:paraId="210BD837" w14:textId="77777777" w:rsidTr="00C21613">
        <w:trPr>
          <w:trHeight w:val="384"/>
        </w:trPr>
        <w:tc>
          <w:tcPr>
            <w:tcW w:w="3362" w:type="dxa"/>
            <w:vAlign w:val="center"/>
          </w:tcPr>
          <w:p w14:paraId="33880B38" w14:textId="05232177" w:rsidR="00590419" w:rsidRPr="00802321" w:rsidRDefault="00590419" w:rsidP="00590419">
            <w:r w:rsidRPr="00802321">
              <w:t>Food Standards Code</w:t>
            </w:r>
          </w:p>
          <w:p w14:paraId="1233A69D" w14:textId="62F03118" w:rsidR="00590419" w:rsidRPr="00802321" w:rsidRDefault="00590419" w:rsidP="00590419"/>
        </w:tc>
        <w:tc>
          <w:tcPr>
            <w:tcW w:w="5558" w:type="dxa"/>
            <w:vAlign w:val="center"/>
          </w:tcPr>
          <w:p w14:paraId="628B9CD1" w14:textId="63954B19" w:rsidR="00590419" w:rsidRPr="00802321" w:rsidRDefault="00590419" w:rsidP="00590419">
            <w:r w:rsidRPr="00802321">
              <w:rPr>
                <w:szCs w:val="24"/>
              </w:rPr>
              <w:t xml:space="preserve">the </w:t>
            </w:r>
            <w:r w:rsidRPr="00802321">
              <w:rPr>
                <w:b/>
                <w:i/>
                <w:szCs w:val="24"/>
              </w:rPr>
              <w:t>Australia New Zealand Food Standards Code</w:t>
            </w:r>
            <w:r w:rsidRPr="00802321">
              <w:rPr>
                <w:szCs w:val="24"/>
              </w:rPr>
              <w:t xml:space="preserve"> defined by subsection 4(1) of the </w:t>
            </w:r>
            <w:r w:rsidRPr="00802321">
              <w:rPr>
                <w:i/>
                <w:szCs w:val="24"/>
              </w:rPr>
              <w:t>Food Standards Australia New Zealand Act 1991</w:t>
            </w:r>
          </w:p>
        </w:tc>
      </w:tr>
      <w:tr w:rsidR="00590419" w:rsidRPr="001E562C" w14:paraId="72E2E240" w14:textId="77777777" w:rsidTr="00C21613">
        <w:trPr>
          <w:trHeight w:val="384"/>
        </w:trPr>
        <w:tc>
          <w:tcPr>
            <w:tcW w:w="3362" w:type="dxa"/>
            <w:vAlign w:val="center"/>
          </w:tcPr>
          <w:p w14:paraId="10480557" w14:textId="1C39A93D" w:rsidR="00590419" w:rsidRPr="00802321" w:rsidRDefault="00590419" w:rsidP="00590419">
            <w:r w:rsidRPr="00802321">
              <w:t>FSANZ Act</w:t>
            </w:r>
          </w:p>
        </w:tc>
        <w:tc>
          <w:tcPr>
            <w:tcW w:w="5558" w:type="dxa"/>
            <w:vAlign w:val="center"/>
          </w:tcPr>
          <w:p w14:paraId="360181F2" w14:textId="050E9A14" w:rsidR="00590419" w:rsidRPr="00802321" w:rsidRDefault="00590419" w:rsidP="00590419">
            <w:pPr>
              <w:rPr>
                <w:szCs w:val="24"/>
              </w:rPr>
            </w:pPr>
            <w:r w:rsidRPr="00802321">
              <w:rPr>
                <w:i/>
              </w:rPr>
              <w:t>Food Standards Australia New Zealand Act 1991</w:t>
            </w:r>
          </w:p>
        </w:tc>
      </w:tr>
      <w:tr w:rsidR="00590419" w:rsidRPr="001E562C" w14:paraId="564F73A5" w14:textId="77777777" w:rsidTr="00C21613">
        <w:trPr>
          <w:trHeight w:val="370"/>
        </w:trPr>
        <w:tc>
          <w:tcPr>
            <w:tcW w:w="3362" w:type="dxa"/>
            <w:vAlign w:val="center"/>
          </w:tcPr>
          <w:p w14:paraId="5E728B19" w14:textId="77777777" w:rsidR="00590419" w:rsidRPr="00802321" w:rsidRDefault="00590419" w:rsidP="00590419">
            <w:r w:rsidRPr="00802321">
              <w:t>GI</w:t>
            </w:r>
          </w:p>
        </w:tc>
        <w:tc>
          <w:tcPr>
            <w:tcW w:w="5558" w:type="dxa"/>
            <w:vAlign w:val="center"/>
          </w:tcPr>
          <w:p w14:paraId="6B4F251B" w14:textId="77777777" w:rsidR="00590419" w:rsidRPr="00802321" w:rsidRDefault="00590419" w:rsidP="00590419">
            <w:r w:rsidRPr="00802321">
              <w:t>Geographical Indication</w:t>
            </w:r>
          </w:p>
        </w:tc>
      </w:tr>
      <w:tr w:rsidR="00590419" w:rsidRPr="001E562C" w14:paraId="0D27AF19" w14:textId="77777777" w:rsidTr="00C21613">
        <w:trPr>
          <w:trHeight w:val="370"/>
        </w:trPr>
        <w:tc>
          <w:tcPr>
            <w:tcW w:w="3362" w:type="dxa"/>
            <w:vAlign w:val="center"/>
          </w:tcPr>
          <w:p w14:paraId="41145E14" w14:textId="59B6D855" w:rsidR="00590419" w:rsidRPr="00802321" w:rsidRDefault="00590419" w:rsidP="00590419">
            <w:r w:rsidRPr="00802321">
              <w:t>Legislation Act</w:t>
            </w:r>
          </w:p>
        </w:tc>
        <w:tc>
          <w:tcPr>
            <w:tcW w:w="5558" w:type="dxa"/>
            <w:vAlign w:val="center"/>
          </w:tcPr>
          <w:p w14:paraId="4569F6A3" w14:textId="56960CC5" w:rsidR="00590419" w:rsidRPr="00802321" w:rsidRDefault="00590419" w:rsidP="00590419">
            <w:r w:rsidRPr="00802321">
              <w:rPr>
                <w:i/>
              </w:rPr>
              <w:t>Legislation Act 2003</w:t>
            </w:r>
          </w:p>
        </w:tc>
      </w:tr>
      <w:tr w:rsidR="00590419" w:rsidRPr="001E562C" w14:paraId="6720FA75" w14:textId="77777777" w:rsidTr="00C21613">
        <w:trPr>
          <w:trHeight w:val="384"/>
        </w:trPr>
        <w:tc>
          <w:tcPr>
            <w:tcW w:w="3362" w:type="dxa"/>
            <w:vAlign w:val="center"/>
          </w:tcPr>
          <w:p w14:paraId="2BF08E2E" w14:textId="1D9F0111" w:rsidR="00590419" w:rsidRDefault="00590419" w:rsidP="00590419">
            <w:r>
              <w:t>old Regulations</w:t>
            </w:r>
          </w:p>
        </w:tc>
        <w:tc>
          <w:tcPr>
            <w:tcW w:w="5558" w:type="dxa"/>
            <w:vAlign w:val="center"/>
          </w:tcPr>
          <w:p w14:paraId="468B3FF2" w14:textId="77F8A33E" w:rsidR="00590419" w:rsidRPr="00590419" w:rsidRDefault="00590419" w:rsidP="00590419">
            <w:pPr>
              <w:rPr>
                <w:i/>
                <w:lang w:eastAsia="ja-JP"/>
              </w:rPr>
            </w:pPr>
            <w:r>
              <w:rPr>
                <w:i/>
                <w:lang w:eastAsia="ja-JP"/>
              </w:rPr>
              <w:t>Australian Grape and Wine Authority Regulations 1981</w:t>
            </w:r>
          </w:p>
        </w:tc>
      </w:tr>
      <w:tr w:rsidR="00590419" w:rsidRPr="001E562C" w14:paraId="798CF707" w14:textId="77777777" w:rsidTr="00C21613">
        <w:trPr>
          <w:trHeight w:val="384"/>
        </w:trPr>
        <w:tc>
          <w:tcPr>
            <w:tcW w:w="3362" w:type="dxa"/>
            <w:vAlign w:val="center"/>
          </w:tcPr>
          <w:p w14:paraId="79DEC96F" w14:textId="36296499" w:rsidR="00590419" w:rsidRPr="00802321" w:rsidRDefault="00590419" w:rsidP="00590419">
            <w:r>
              <w:t>registered trade mark</w:t>
            </w:r>
          </w:p>
        </w:tc>
        <w:tc>
          <w:tcPr>
            <w:tcW w:w="5558" w:type="dxa"/>
            <w:vAlign w:val="center"/>
          </w:tcPr>
          <w:p w14:paraId="72E29577" w14:textId="65404648" w:rsidR="00590419" w:rsidRPr="00802321" w:rsidRDefault="00590419" w:rsidP="00590419">
            <w:pPr>
              <w:rPr>
                <w:i/>
                <w:lang w:eastAsia="ja-JP"/>
              </w:rPr>
            </w:pPr>
            <w:r>
              <w:rPr>
                <w:lang w:eastAsia="ja-JP"/>
              </w:rPr>
              <w:t xml:space="preserve">a </w:t>
            </w:r>
            <w:r>
              <w:rPr>
                <w:b/>
                <w:i/>
                <w:lang w:eastAsia="ja-JP"/>
              </w:rPr>
              <w:t xml:space="preserve">registered trade mark </w:t>
            </w:r>
            <w:r>
              <w:rPr>
                <w:lang w:eastAsia="ja-JP"/>
              </w:rPr>
              <w:t xml:space="preserve">means a trade mark whose particulars are entered in the Register of Trade Marks under the </w:t>
            </w:r>
            <w:r>
              <w:rPr>
                <w:i/>
                <w:lang w:eastAsia="ja-JP"/>
              </w:rPr>
              <w:t xml:space="preserve">Trade Marks Act 1995 </w:t>
            </w:r>
          </w:p>
        </w:tc>
      </w:tr>
      <w:tr w:rsidR="00590419" w:rsidRPr="001E562C" w14:paraId="7D62600A" w14:textId="77777777" w:rsidTr="00C21613">
        <w:trPr>
          <w:trHeight w:val="384"/>
        </w:trPr>
        <w:tc>
          <w:tcPr>
            <w:tcW w:w="3362" w:type="dxa"/>
            <w:vAlign w:val="center"/>
          </w:tcPr>
          <w:p w14:paraId="46750A6E" w14:textId="77777777" w:rsidR="00590419" w:rsidRPr="00802321" w:rsidRDefault="00590419" w:rsidP="00590419">
            <w:r w:rsidRPr="00802321">
              <w:t>Regulations</w:t>
            </w:r>
          </w:p>
        </w:tc>
        <w:tc>
          <w:tcPr>
            <w:tcW w:w="5558" w:type="dxa"/>
            <w:vAlign w:val="center"/>
          </w:tcPr>
          <w:p w14:paraId="131DE838" w14:textId="77777777" w:rsidR="00590419" w:rsidRPr="00802321" w:rsidRDefault="00590419" w:rsidP="00590419">
            <w:pPr>
              <w:rPr>
                <w:i/>
              </w:rPr>
            </w:pPr>
            <w:r w:rsidRPr="00802321">
              <w:rPr>
                <w:i/>
              </w:rPr>
              <w:t>Wine Australia Regulations 2018</w:t>
            </w:r>
          </w:p>
        </w:tc>
      </w:tr>
      <w:tr w:rsidR="00590419" w:rsidRPr="001E562C" w14:paraId="7044FB74" w14:textId="77777777" w:rsidTr="00C21613">
        <w:trPr>
          <w:trHeight w:val="370"/>
        </w:trPr>
        <w:tc>
          <w:tcPr>
            <w:tcW w:w="3362" w:type="dxa"/>
          </w:tcPr>
          <w:p w14:paraId="279AF725" w14:textId="77777777" w:rsidR="00590419" w:rsidRPr="00802321" w:rsidRDefault="00590419" w:rsidP="00590419">
            <w:r w:rsidRPr="00802321">
              <w:t>Register</w:t>
            </w:r>
          </w:p>
        </w:tc>
        <w:tc>
          <w:tcPr>
            <w:tcW w:w="5558" w:type="dxa"/>
          </w:tcPr>
          <w:p w14:paraId="7F07FB6A" w14:textId="18192C54" w:rsidR="00590419" w:rsidRPr="00802321" w:rsidRDefault="00590419" w:rsidP="00590419">
            <w:pPr>
              <w:rPr>
                <w:i/>
              </w:rPr>
            </w:pPr>
            <w:r>
              <w:t>t</w:t>
            </w:r>
            <w:r w:rsidRPr="00802321">
              <w:t>he Register of Protected Geographical Indications an</w:t>
            </w:r>
            <w:r>
              <w:t>d Other Terms kept under section 40ZC of the Act</w:t>
            </w:r>
          </w:p>
        </w:tc>
      </w:tr>
      <w:tr w:rsidR="00590419" w:rsidRPr="001E562C" w14:paraId="0F968291" w14:textId="77777777" w:rsidTr="00C21613">
        <w:trPr>
          <w:trHeight w:val="370"/>
        </w:trPr>
        <w:tc>
          <w:tcPr>
            <w:tcW w:w="3362" w:type="dxa"/>
          </w:tcPr>
          <w:p w14:paraId="41196622" w14:textId="1C1BA18F" w:rsidR="00590419" w:rsidRDefault="00590419" w:rsidP="00590419">
            <w:r>
              <w:t>Registrar</w:t>
            </w:r>
          </w:p>
        </w:tc>
        <w:tc>
          <w:tcPr>
            <w:tcW w:w="5558" w:type="dxa"/>
          </w:tcPr>
          <w:p w14:paraId="066FF1A9" w14:textId="08D13A73" w:rsidR="00590419" w:rsidRDefault="00590419" w:rsidP="00590419">
            <w:r>
              <w:t xml:space="preserve">the Registrar </w:t>
            </w:r>
            <w:r w:rsidRPr="00802321">
              <w:t>of Protected Geographical Indications and Other Terms</w:t>
            </w:r>
            <w:r>
              <w:t xml:space="preserve"> established under subsection 40ZA(1) of the Act</w:t>
            </w:r>
          </w:p>
        </w:tc>
      </w:tr>
      <w:tr w:rsidR="00590419" w:rsidRPr="001E562C" w14:paraId="223BF973" w14:textId="77777777" w:rsidTr="00C21613">
        <w:trPr>
          <w:trHeight w:val="370"/>
        </w:trPr>
        <w:tc>
          <w:tcPr>
            <w:tcW w:w="3362" w:type="dxa"/>
          </w:tcPr>
          <w:p w14:paraId="14AF86F5" w14:textId="2E944B65" w:rsidR="00590419" w:rsidRPr="00802321" w:rsidRDefault="00590419" w:rsidP="00590419">
            <w:r>
              <w:t>Registrar of Trade Marks</w:t>
            </w:r>
          </w:p>
        </w:tc>
        <w:tc>
          <w:tcPr>
            <w:tcW w:w="5558" w:type="dxa"/>
          </w:tcPr>
          <w:p w14:paraId="2CD92A64" w14:textId="7E74A3AA" w:rsidR="00590419" w:rsidRPr="00E34C28" w:rsidRDefault="00590419" w:rsidP="00590419">
            <w:pPr>
              <w:rPr>
                <w:i/>
              </w:rPr>
            </w:pPr>
            <w:r>
              <w:t xml:space="preserve">the </w:t>
            </w:r>
            <w:r>
              <w:rPr>
                <w:b/>
                <w:i/>
              </w:rPr>
              <w:t>Registrar of Trade Marks</w:t>
            </w:r>
            <w:r>
              <w:t xml:space="preserve"> is the Registrar of Trade Marks defined in the </w:t>
            </w:r>
            <w:r>
              <w:rPr>
                <w:i/>
              </w:rPr>
              <w:t>Trade Marks Act 1995</w:t>
            </w:r>
          </w:p>
        </w:tc>
      </w:tr>
      <w:tr w:rsidR="00590419" w:rsidRPr="001E562C" w14:paraId="48DE1254" w14:textId="77777777" w:rsidTr="00C21613">
        <w:trPr>
          <w:trHeight w:val="384"/>
        </w:trPr>
        <w:tc>
          <w:tcPr>
            <w:tcW w:w="3362" w:type="dxa"/>
            <w:vAlign w:val="center"/>
          </w:tcPr>
          <w:p w14:paraId="78DD2BFC" w14:textId="5DF7EF0E" w:rsidR="00590419" w:rsidRPr="00802321" w:rsidRDefault="00590419" w:rsidP="00590419"/>
        </w:tc>
        <w:tc>
          <w:tcPr>
            <w:tcW w:w="5558" w:type="dxa"/>
            <w:vAlign w:val="center"/>
          </w:tcPr>
          <w:p w14:paraId="57ED6239" w14:textId="09CB7945" w:rsidR="00590419" w:rsidRPr="00802321" w:rsidRDefault="00590419" w:rsidP="00590419"/>
        </w:tc>
      </w:tr>
    </w:tbl>
    <w:p w14:paraId="27FA79ED" w14:textId="4F244E84" w:rsidR="00C21613" w:rsidRPr="005709F2" w:rsidRDefault="00C21613" w:rsidP="00C21613"/>
    <w:p w14:paraId="31D3E174" w14:textId="77777777" w:rsidR="00371BF5" w:rsidRPr="005709F2" w:rsidRDefault="00371BF5" w:rsidP="00C21613">
      <w:pPr>
        <w:rPr>
          <w:lang w:eastAsia="ja-JP"/>
        </w:rPr>
      </w:pPr>
      <w:r w:rsidRPr="005709F2">
        <w:rPr>
          <w:lang w:eastAsia="ja-JP"/>
        </w:rPr>
        <w:br w:type="page"/>
      </w:r>
    </w:p>
    <w:p w14:paraId="287CF503" w14:textId="590EE0D2" w:rsidR="00371BF5" w:rsidRPr="005709F2" w:rsidRDefault="00982D65" w:rsidP="00982D65">
      <w:pPr>
        <w:pStyle w:val="Attachment"/>
      </w:pPr>
      <w:r>
        <w:lastRenderedPageBreak/>
        <w:t>Attachment A</w:t>
      </w:r>
    </w:p>
    <w:p w14:paraId="39766CBE" w14:textId="772ABE6F" w:rsidR="00371BF5" w:rsidRPr="005709F2" w:rsidRDefault="00371BF5" w:rsidP="00F164D2">
      <w:pPr>
        <w:pStyle w:val="Part"/>
      </w:pPr>
      <w:r w:rsidRPr="005709F2">
        <w:rPr>
          <w:iCs/>
        </w:rPr>
        <w:t xml:space="preserve">Details of the </w:t>
      </w:r>
      <w:r w:rsidR="003A6319">
        <w:t>Wine Australia Regulations 2018</w:t>
      </w:r>
    </w:p>
    <w:p w14:paraId="0F3695C2" w14:textId="7C777A2A" w:rsidR="00371BF5" w:rsidRPr="005709F2" w:rsidRDefault="00371BF5" w:rsidP="00C21613">
      <w:pPr>
        <w:rPr>
          <w:lang w:val="en-US" w:eastAsia="en-AU"/>
        </w:rPr>
      </w:pPr>
      <w:r>
        <w:rPr>
          <w:lang w:val="en-US" w:eastAsia="en-AU"/>
        </w:rPr>
        <w:t>This a</w:t>
      </w:r>
      <w:r w:rsidRPr="005709F2">
        <w:rPr>
          <w:lang w:val="en-US" w:eastAsia="en-AU"/>
        </w:rPr>
        <w:t xml:space="preserve">ttachment </w:t>
      </w:r>
      <w:r w:rsidR="002707F4">
        <w:rPr>
          <w:lang w:val="en-US" w:eastAsia="en-AU"/>
        </w:rPr>
        <w:t xml:space="preserve">sets out further details of </w:t>
      </w:r>
      <w:r w:rsidR="0097259A">
        <w:rPr>
          <w:lang w:val="en-US" w:eastAsia="en-AU"/>
        </w:rPr>
        <w:t xml:space="preserve">the </w:t>
      </w:r>
      <w:r w:rsidR="002707F4">
        <w:rPr>
          <w:lang w:val="en-US" w:eastAsia="en-AU"/>
        </w:rPr>
        <w:t>Regulations</w:t>
      </w:r>
      <w:r>
        <w:rPr>
          <w:lang w:val="en-US" w:eastAsia="en-AU"/>
        </w:rPr>
        <w:t xml:space="preserve">. </w:t>
      </w:r>
    </w:p>
    <w:p w14:paraId="1854EF56" w14:textId="77777777" w:rsidR="00371BF5" w:rsidRPr="00C21613" w:rsidRDefault="00371BF5" w:rsidP="00F164D2">
      <w:pPr>
        <w:pStyle w:val="Part"/>
      </w:pPr>
      <w:r w:rsidRPr="00C21613">
        <w:t xml:space="preserve">Part 1—Preliminary </w:t>
      </w:r>
    </w:p>
    <w:p w14:paraId="0D6E8093" w14:textId="77777777" w:rsidR="00371BF5" w:rsidRPr="005709F2" w:rsidRDefault="00371BF5" w:rsidP="00C21613">
      <w:pPr>
        <w:pStyle w:val="Provision"/>
      </w:pPr>
      <w:r w:rsidRPr="005709F2">
        <w:t>Section 1 – Name</w:t>
      </w:r>
    </w:p>
    <w:p w14:paraId="63474212" w14:textId="10E42E59" w:rsidR="00371BF5" w:rsidRPr="005709F2" w:rsidRDefault="00371BF5" w:rsidP="00C21613">
      <w:r w:rsidRPr="005709F2">
        <w:t>This section provides that the name of the Regulations</w:t>
      </w:r>
      <w:r w:rsidRPr="005709F2">
        <w:rPr>
          <w:color w:val="FF0000"/>
        </w:rPr>
        <w:t xml:space="preserve"> </w:t>
      </w:r>
      <w:r>
        <w:t>is</w:t>
      </w:r>
      <w:r w:rsidRPr="005709F2">
        <w:t xml:space="preserve"> the </w:t>
      </w:r>
      <w:r w:rsidR="00802321">
        <w:rPr>
          <w:i/>
        </w:rPr>
        <w:t>Wine Australia Regulations 2018</w:t>
      </w:r>
      <w:r w:rsidRPr="005709F2">
        <w:rPr>
          <w:i/>
        </w:rPr>
        <w:t>.</w:t>
      </w:r>
    </w:p>
    <w:p w14:paraId="3FBE8EFF" w14:textId="77777777" w:rsidR="00371BF5" w:rsidRPr="005709F2" w:rsidRDefault="00371BF5" w:rsidP="00C21613">
      <w:pPr>
        <w:pStyle w:val="Provision"/>
      </w:pPr>
      <w:r w:rsidRPr="005709F2">
        <w:t xml:space="preserve">Section 2 – Commencement </w:t>
      </w:r>
    </w:p>
    <w:p w14:paraId="0C809A0B" w14:textId="77777777" w:rsidR="00371BF5" w:rsidRPr="005709F2" w:rsidRDefault="00371BF5" w:rsidP="00C21613">
      <w:r w:rsidRPr="005709F2">
        <w:t xml:space="preserve">This section provides for the Regulations to commence on 1 April 2018. </w:t>
      </w:r>
    </w:p>
    <w:p w14:paraId="3CA23D76" w14:textId="0E968A5B" w:rsidR="00371BF5" w:rsidRPr="005709F2" w:rsidRDefault="00371BF5" w:rsidP="00C21613">
      <w:pPr>
        <w:pStyle w:val="Provision"/>
      </w:pPr>
      <w:r w:rsidRPr="005709F2">
        <w:t xml:space="preserve">Section </w:t>
      </w:r>
      <w:r w:rsidR="00921B5A">
        <w:t>3</w:t>
      </w:r>
      <w:r w:rsidRPr="005709F2">
        <w:t xml:space="preserve"> –</w:t>
      </w:r>
      <w:r w:rsidR="002707F4">
        <w:t xml:space="preserve"> </w:t>
      </w:r>
      <w:r w:rsidRPr="005709F2">
        <w:t xml:space="preserve">Authority </w:t>
      </w:r>
    </w:p>
    <w:p w14:paraId="371CAAD0" w14:textId="77777777" w:rsidR="00371BF5" w:rsidRPr="00C21613" w:rsidRDefault="00371BF5" w:rsidP="00C21613">
      <w:pPr>
        <w:pStyle w:val="Normal-em"/>
      </w:pPr>
      <w:r w:rsidRPr="00C21613">
        <w:t>This section provides that the Regulations are made under the</w:t>
      </w:r>
      <w:r w:rsidRPr="00C21613">
        <w:rPr>
          <w:rFonts w:eastAsia="Calibri"/>
        </w:rPr>
        <w:t xml:space="preserve"> </w:t>
      </w:r>
      <w:r w:rsidRPr="00802321">
        <w:rPr>
          <w:i/>
        </w:rPr>
        <w:t>Wine Australia Act 2013</w:t>
      </w:r>
      <w:r w:rsidRPr="00C21613">
        <w:t>.</w:t>
      </w:r>
    </w:p>
    <w:p w14:paraId="61D1CA52" w14:textId="067044C7" w:rsidR="00371BF5" w:rsidRPr="005709F2" w:rsidRDefault="00371BF5" w:rsidP="00C21613">
      <w:pPr>
        <w:pStyle w:val="Provision"/>
      </w:pPr>
      <w:r w:rsidRPr="005709F2">
        <w:t>Secti</w:t>
      </w:r>
      <w:r w:rsidR="00921B5A">
        <w:t>on 4</w:t>
      </w:r>
      <w:r w:rsidRPr="005709F2">
        <w:t xml:space="preserve"> – Definitions</w:t>
      </w:r>
    </w:p>
    <w:p w14:paraId="484BA70C" w14:textId="77777777" w:rsidR="00371BF5" w:rsidRDefault="00371BF5" w:rsidP="00C21613">
      <w:r w:rsidRPr="00164B13">
        <w:t>This section contains defined terms used in the Regulations.</w:t>
      </w:r>
      <w:r w:rsidRPr="005709F2">
        <w:t xml:space="preserve"> </w:t>
      </w:r>
      <w:r>
        <w:t>These definitions are set out below.</w:t>
      </w:r>
    </w:p>
    <w:p w14:paraId="1954497C" w14:textId="77777777" w:rsidR="00371BF5" w:rsidRPr="00C21613" w:rsidRDefault="00371BF5" w:rsidP="00C21613">
      <w:pPr>
        <w:pStyle w:val="Normal-em"/>
        <w:rPr>
          <w:b/>
          <w:i/>
        </w:rPr>
      </w:pPr>
      <w:r w:rsidRPr="00C21613">
        <w:rPr>
          <w:b/>
          <w:i/>
        </w:rPr>
        <w:t xml:space="preserve">Act </w:t>
      </w:r>
    </w:p>
    <w:p w14:paraId="5193D085" w14:textId="77777777" w:rsidR="00371BF5" w:rsidRPr="00164B13" w:rsidRDefault="00371BF5" w:rsidP="00C21613">
      <w:pPr>
        <w:pStyle w:val="Normal-em"/>
        <w:rPr>
          <w:i/>
        </w:rPr>
      </w:pPr>
      <w:r>
        <w:t xml:space="preserve">This definition provides that the ‘Act’ means the </w:t>
      </w:r>
      <w:r>
        <w:rPr>
          <w:i/>
        </w:rPr>
        <w:t xml:space="preserve">Wine Australia Act 2013. </w:t>
      </w:r>
    </w:p>
    <w:p w14:paraId="63F3B0C2" w14:textId="6E7B3905" w:rsidR="00D432EB" w:rsidRDefault="00D432EB" w:rsidP="00C21613">
      <w:pPr>
        <w:pStyle w:val="Normal-em"/>
        <w:rPr>
          <w:b/>
          <w:i/>
        </w:rPr>
      </w:pPr>
      <w:r>
        <w:rPr>
          <w:b/>
          <w:i/>
        </w:rPr>
        <w:t>approval holder</w:t>
      </w:r>
    </w:p>
    <w:p w14:paraId="084774DF" w14:textId="6D3CD267" w:rsidR="00D432EB" w:rsidRPr="003E5162" w:rsidRDefault="00D432EB" w:rsidP="00C21613">
      <w:pPr>
        <w:pStyle w:val="Normal-em"/>
      </w:pPr>
      <w:r w:rsidRPr="003E5162">
        <w:t>This definition provides that an ‘approval holder’, for the purposes of section 14, means a person that has been granted a licence under section 9 w</w:t>
      </w:r>
      <w:r w:rsidR="002707F4">
        <w:t>ho has gained</w:t>
      </w:r>
      <w:r w:rsidRPr="003E5162">
        <w:t xml:space="preserve"> approval for a grape product to be exported under section 14. </w:t>
      </w:r>
    </w:p>
    <w:p w14:paraId="2EB35A2E" w14:textId="77777777" w:rsidR="00371BF5" w:rsidRPr="00C21613" w:rsidRDefault="00371BF5" w:rsidP="00C21613">
      <w:pPr>
        <w:pStyle w:val="Normal-em"/>
        <w:rPr>
          <w:b/>
          <w:i/>
        </w:rPr>
      </w:pPr>
      <w:r w:rsidRPr="00C21613">
        <w:rPr>
          <w:b/>
          <w:i/>
        </w:rPr>
        <w:t>associate</w:t>
      </w:r>
    </w:p>
    <w:p w14:paraId="319764B6" w14:textId="682CC814" w:rsidR="00371BF5" w:rsidRDefault="00371BF5" w:rsidP="00C21613">
      <w:pPr>
        <w:pStyle w:val="Normal-em"/>
      </w:pPr>
      <w:r>
        <w:t xml:space="preserve">This definition sets out the meaning of an ‘associate’ for the purposes of </w:t>
      </w:r>
      <w:r w:rsidR="002707F4">
        <w:t xml:space="preserve">determining whether a licence to export grape products should be granted under section 9 and </w:t>
      </w:r>
      <w:r>
        <w:t>considering whether an applicant is fit and proper (under section</w:t>
      </w:r>
      <w:r w:rsidR="0097259A">
        <w:t xml:space="preserve"> 10</w:t>
      </w:r>
      <w:r>
        <w:t>)</w:t>
      </w:r>
      <w:r w:rsidR="002707F4">
        <w:t>.</w:t>
      </w:r>
    </w:p>
    <w:p w14:paraId="17FF7755" w14:textId="77777777" w:rsidR="00371BF5" w:rsidRDefault="00371BF5" w:rsidP="00C21613">
      <w:pPr>
        <w:pStyle w:val="Normal-em"/>
      </w:pPr>
      <w:r>
        <w:t xml:space="preserve">An ‘associate’ can be a person or a corporation that is an associate of either: </w:t>
      </w:r>
    </w:p>
    <w:p w14:paraId="3E91A9DB" w14:textId="5376466C" w:rsidR="00371BF5" w:rsidRDefault="00371BF5" w:rsidP="003E5162">
      <w:pPr>
        <w:pStyle w:val="ListParagraph"/>
        <w:numPr>
          <w:ilvl w:val="0"/>
          <w:numId w:val="71"/>
        </w:numPr>
        <w:rPr>
          <w:lang w:eastAsia="ja-JP"/>
        </w:rPr>
      </w:pPr>
      <w:r>
        <w:rPr>
          <w:lang w:eastAsia="ja-JP"/>
        </w:rPr>
        <w:t xml:space="preserve">the person applying for the licence under section </w:t>
      </w:r>
      <w:r w:rsidR="007475CD">
        <w:rPr>
          <w:lang w:eastAsia="ja-JP"/>
        </w:rPr>
        <w:t>9</w:t>
      </w:r>
      <w:r>
        <w:rPr>
          <w:lang w:eastAsia="ja-JP"/>
        </w:rPr>
        <w:t xml:space="preserve"> (subsequently ref</w:t>
      </w:r>
      <w:r w:rsidR="00485804">
        <w:rPr>
          <w:lang w:eastAsia="ja-JP"/>
        </w:rPr>
        <w:t>erred to as the ‘first person’),</w:t>
      </w:r>
      <w:r>
        <w:rPr>
          <w:lang w:eastAsia="ja-JP"/>
        </w:rPr>
        <w:t xml:space="preserve"> or </w:t>
      </w:r>
    </w:p>
    <w:p w14:paraId="7C968A93" w14:textId="6534593A" w:rsidR="003E5162" w:rsidRDefault="00371BF5" w:rsidP="00C21613">
      <w:pPr>
        <w:pStyle w:val="ListParagraph"/>
        <w:numPr>
          <w:ilvl w:val="0"/>
          <w:numId w:val="71"/>
        </w:numPr>
        <w:rPr>
          <w:lang w:eastAsia="ja-JP"/>
        </w:rPr>
      </w:pPr>
      <w:r>
        <w:rPr>
          <w:lang w:eastAsia="ja-JP"/>
        </w:rPr>
        <w:t xml:space="preserve">a corporation that: employs the first person; the first person is an officer of; or the first person holds shares in. </w:t>
      </w:r>
    </w:p>
    <w:p w14:paraId="041B0084" w14:textId="77777777" w:rsidR="00371BF5" w:rsidRDefault="00371BF5" w:rsidP="00C21613">
      <w:pPr>
        <w:pStyle w:val="Normal-em"/>
      </w:pPr>
      <w:r>
        <w:t xml:space="preserve">An ‘associate’ in this definition means a person who is: </w:t>
      </w:r>
    </w:p>
    <w:p w14:paraId="1AEF6866" w14:textId="44F429A8" w:rsidR="00371BF5" w:rsidRDefault="00371BF5" w:rsidP="003E5162">
      <w:pPr>
        <w:pStyle w:val="ListParagraph"/>
        <w:numPr>
          <w:ilvl w:val="0"/>
          <w:numId w:val="71"/>
        </w:numPr>
        <w:rPr>
          <w:lang w:eastAsia="ja-JP"/>
        </w:rPr>
      </w:pPr>
      <w:r>
        <w:rPr>
          <w:lang w:eastAsia="ja-JP"/>
        </w:rPr>
        <w:t xml:space="preserve">or was, </w:t>
      </w:r>
      <w:r w:rsidRPr="00164B13">
        <w:rPr>
          <w:lang w:eastAsia="ja-JP"/>
        </w:rPr>
        <w:t xml:space="preserve">a consultant, adviser, partner, representative on retainer, employer or </w:t>
      </w:r>
      <w:r w:rsidR="005817B3">
        <w:rPr>
          <w:lang w:eastAsia="ja-JP"/>
        </w:rPr>
        <w:t>employee</w:t>
      </w:r>
    </w:p>
    <w:p w14:paraId="6D84DD7B" w14:textId="15B48862" w:rsidR="00371BF5" w:rsidRDefault="00371BF5" w:rsidP="003E5162">
      <w:pPr>
        <w:pStyle w:val="ListParagraph"/>
        <w:numPr>
          <w:ilvl w:val="0"/>
          <w:numId w:val="71"/>
        </w:numPr>
        <w:rPr>
          <w:lang w:eastAsia="ja-JP"/>
        </w:rPr>
      </w:pPr>
      <w:r w:rsidRPr="00164B13">
        <w:rPr>
          <w:lang w:eastAsia="ja-JP"/>
        </w:rPr>
        <w:lastRenderedPageBreak/>
        <w:t xml:space="preserve">a spouse, de facto partner, or </w:t>
      </w:r>
      <w:r w:rsidR="00982D65">
        <w:rPr>
          <w:lang w:eastAsia="ja-JP"/>
        </w:rPr>
        <w:t xml:space="preserve">other listed </w:t>
      </w:r>
      <w:r w:rsidRPr="00164B13">
        <w:rPr>
          <w:lang w:eastAsia="ja-JP"/>
        </w:rPr>
        <w:t>fam</w:t>
      </w:r>
      <w:r>
        <w:rPr>
          <w:lang w:eastAsia="ja-JP"/>
        </w:rPr>
        <w:t xml:space="preserve">ily member of the first person (a </w:t>
      </w:r>
      <w:r w:rsidRPr="002707F4">
        <w:rPr>
          <w:b/>
          <w:i/>
          <w:lang w:eastAsia="ja-JP"/>
        </w:rPr>
        <w:t>relative</w:t>
      </w:r>
      <w:r w:rsidRPr="003E5162">
        <w:rPr>
          <w:b/>
          <w:lang w:eastAsia="ja-JP"/>
        </w:rPr>
        <w:t>)</w:t>
      </w:r>
      <w:r w:rsidR="00485804">
        <w:rPr>
          <w:lang w:eastAsia="ja-JP"/>
        </w:rPr>
        <w:t>, or</w:t>
      </w:r>
    </w:p>
    <w:p w14:paraId="1D319C04" w14:textId="3F3F4ADA" w:rsidR="00371BF5" w:rsidRDefault="00371BF5" w:rsidP="003E5162">
      <w:pPr>
        <w:pStyle w:val="ListParagraph"/>
        <w:numPr>
          <w:ilvl w:val="0"/>
          <w:numId w:val="71"/>
        </w:numPr>
        <w:rPr>
          <w:lang w:eastAsia="ja-JP"/>
        </w:rPr>
      </w:pPr>
      <w:r>
        <w:rPr>
          <w:lang w:eastAsia="ja-JP"/>
        </w:rPr>
        <w:t>a</w:t>
      </w:r>
      <w:r w:rsidRPr="00164B13">
        <w:rPr>
          <w:lang w:eastAsia="ja-JP"/>
        </w:rPr>
        <w:t xml:space="preserve"> person who was directly or indirectly concerned with or in a position to control </w:t>
      </w:r>
      <w:r w:rsidR="002707F4">
        <w:rPr>
          <w:lang w:eastAsia="ja-JP"/>
        </w:rPr>
        <w:t>or influence the conduct of a</w:t>
      </w:r>
      <w:r w:rsidRPr="00164B13">
        <w:rPr>
          <w:lang w:eastAsia="ja-JP"/>
        </w:rPr>
        <w:t xml:space="preserve"> business or an undertaking of the first person. </w:t>
      </w:r>
    </w:p>
    <w:p w14:paraId="133B0153" w14:textId="77777777" w:rsidR="00371BF5" w:rsidRDefault="00371BF5" w:rsidP="00C21613">
      <w:pPr>
        <w:pStyle w:val="Normal-em"/>
      </w:pPr>
      <w:r>
        <w:t>An ‘associate’ in this definition also means a corporation that of any of the people taken to be an associate of the first person:</w:t>
      </w:r>
    </w:p>
    <w:p w14:paraId="59AE85A6" w14:textId="28002691" w:rsidR="00371BF5" w:rsidRDefault="00485804" w:rsidP="00F164D2">
      <w:pPr>
        <w:pStyle w:val="ListParagraph"/>
        <w:numPr>
          <w:ilvl w:val="0"/>
          <w:numId w:val="71"/>
        </w:numPr>
        <w:tabs>
          <w:tab w:val="left" w:pos="426"/>
        </w:tabs>
        <w:rPr>
          <w:lang w:eastAsia="ja-JP"/>
        </w:rPr>
      </w:pPr>
      <w:r>
        <w:rPr>
          <w:lang w:eastAsia="ja-JP"/>
        </w:rPr>
        <w:t>employs</w:t>
      </w:r>
    </w:p>
    <w:p w14:paraId="174A0980" w14:textId="755304F4" w:rsidR="00371BF5" w:rsidRDefault="00371BF5" w:rsidP="00F164D2">
      <w:pPr>
        <w:pStyle w:val="ListParagraph"/>
        <w:numPr>
          <w:ilvl w:val="0"/>
          <w:numId w:val="71"/>
        </w:numPr>
        <w:tabs>
          <w:tab w:val="left" w:pos="426"/>
        </w:tabs>
        <w:rPr>
          <w:lang w:eastAsia="ja-JP"/>
        </w:rPr>
      </w:pPr>
      <w:r>
        <w:rPr>
          <w:lang w:eastAsia="ja-JP"/>
        </w:rPr>
        <w:t>that</w:t>
      </w:r>
      <w:r w:rsidR="00485804">
        <w:rPr>
          <w:lang w:eastAsia="ja-JP"/>
        </w:rPr>
        <w:t xml:space="preserve"> the associate is an officer of, or</w:t>
      </w:r>
    </w:p>
    <w:p w14:paraId="0E5B1EF6" w14:textId="77777777" w:rsidR="00371BF5" w:rsidRDefault="00371BF5" w:rsidP="00F164D2">
      <w:pPr>
        <w:pStyle w:val="ListParagraph"/>
        <w:numPr>
          <w:ilvl w:val="0"/>
          <w:numId w:val="71"/>
        </w:numPr>
        <w:tabs>
          <w:tab w:val="left" w:pos="426"/>
        </w:tabs>
        <w:rPr>
          <w:lang w:eastAsia="ja-JP"/>
        </w:rPr>
      </w:pPr>
      <w:r>
        <w:rPr>
          <w:lang w:eastAsia="ja-JP"/>
        </w:rPr>
        <w:t xml:space="preserve">that the associate holds shares in. </w:t>
      </w:r>
    </w:p>
    <w:p w14:paraId="58BF8454" w14:textId="77777777" w:rsidR="00371BF5" w:rsidRPr="00164B13" w:rsidRDefault="00371BF5" w:rsidP="00C21613">
      <w:pPr>
        <w:pStyle w:val="Normal-em"/>
      </w:pPr>
      <w:r>
        <w:t xml:space="preserve">Definitions of </w:t>
      </w:r>
      <w:r>
        <w:rPr>
          <w:b/>
          <w:i/>
        </w:rPr>
        <w:t xml:space="preserve">relative, child </w:t>
      </w:r>
      <w:r w:rsidRPr="009003A9">
        <w:t>and</w:t>
      </w:r>
      <w:r>
        <w:rPr>
          <w:b/>
          <w:i/>
        </w:rPr>
        <w:t xml:space="preserve"> parent </w:t>
      </w:r>
      <w:r>
        <w:t xml:space="preserve">are also provided in this section. </w:t>
      </w:r>
    </w:p>
    <w:p w14:paraId="464476DD" w14:textId="77777777" w:rsidR="00371BF5" w:rsidRPr="00C21613" w:rsidRDefault="00371BF5" w:rsidP="00C21613">
      <w:pPr>
        <w:pStyle w:val="Normal-em"/>
        <w:rPr>
          <w:b/>
          <w:i/>
        </w:rPr>
      </w:pPr>
      <w:r w:rsidRPr="00C21613">
        <w:rPr>
          <w:b/>
          <w:i/>
        </w:rPr>
        <w:t>Australia New Zealand Food Standards Code</w:t>
      </w:r>
    </w:p>
    <w:p w14:paraId="4B90C8C9" w14:textId="62684BD1" w:rsidR="00371BF5" w:rsidRPr="00ED73F4" w:rsidRDefault="00371BF5" w:rsidP="00C21613">
      <w:pPr>
        <w:pStyle w:val="Normal-em"/>
        <w:rPr>
          <w:b/>
          <w:i/>
        </w:rPr>
      </w:pPr>
      <w:r>
        <w:t xml:space="preserve">This definition provides that references to the ‘Australia New Zealand Food Standards Code’ has the same meaning as in the </w:t>
      </w:r>
      <w:r>
        <w:rPr>
          <w:i/>
        </w:rPr>
        <w:t xml:space="preserve">Food Standards Australia New Zealand Act 1991. </w:t>
      </w:r>
    </w:p>
    <w:p w14:paraId="1C0B4C21" w14:textId="20A9B0C4" w:rsidR="00921B5A" w:rsidRDefault="00921B5A" w:rsidP="00C21613">
      <w:pPr>
        <w:pStyle w:val="Normal-em"/>
        <w:rPr>
          <w:b/>
          <w:i/>
        </w:rPr>
      </w:pPr>
      <w:r>
        <w:rPr>
          <w:b/>
          <w:i/>
        </w:rPr>
        <w:t>Australian law</w:t>
      </w:r>
    </w:p>
    <w:p w14:paraId="78744C8D" w14:textId="7A2753C6" w:rsidR="00921B5A" w:rsidRPr="00921B5A" w:rsidRDefault="00921B5A" w:rsidP="00C21613">
      <w:pPr>
        <w:pStyle w:val="Normal-em"/>
      </w:pPr>
      <w:r w:rsidRPr="00921B5A">
        <w:t>This de</w:t>
      </w:r>
      <w:r>
        <w:t>finition provides that an ‘Australian law’ is a law of the Commonwealth, or of a State or Territory</w:t>
      </w:r>
      <w:r w:rsidR="002707F4">
        <w:t xml:space="preserve"> of Australia</w:t>
      </w:r>
      <w:r>
        <w:t>.</w:t>
      </w:r>
    </w:p>
    <w:p w14:paraId="0C73B252" w14:textId="77777777" w:rsidR="00371BF5" w:rsidRPr="00C21613" w:rsidRDefault="00371BF5" w:rsidP="00C21613">
      <w:pPr>
        <w:pStyle w:val="Normal-em"/>
        <w:rPr>
          <w:b/>
          <w:i/>
        </w:rPr>
      </w:pPr>
      <w:r w:rsidRPr="00C21613">
        <w:rPr>
          <w:b/>
          <w:i/>
        </w:rPr>
        <w:t>child</w:t>
      </w:r>
    </w:p>
    <w:p w14:paraId="4D8CAB76" w14:textId="710A1897" w:rsidR="00371BF5" w:rsidRPr="009003A9" w:rsidRDefault="00371BF5" w:rsidP="00C21613">
      <w:pPr>
        <w:pStyle w:val="Normal-em"/>
        <w:rPr>
          <w:b/>
          <w:i/>
        </w:rPr>
      </w:pPr>
      <w:r>
        <w:t xml:space="preserve">This definition provides that a ‘child’ </w:t>
      </w:r>
      <w:r w:rsidR="0097259A">
        <w:t xml:space="preserve">is someone who is a child of a person within </w:t>
      </w:r>
      <w:r>
        <w:t>the meaning</w:t>
      </w:r>
      <w:r w:rsidR="0097259A">
        <w:t xml:space="preserve"> of</w:t>
      </w:r>
      <w:r>
        <w:t xml:space="preserve"> the </w:t>
      </w:r>
      <w:r>
        <w:rPr>
          <w:i/>
        </w:rPr>
        <w:t xml:space="preserve">Family Law Act 1975. </w:t>
      </w:r>
      <w:r>
        <w:t>This definition is not intended to limit the kinds of people that can be considered a ‘child’ for the purposes of the Regulations.</w:t>
      </w:r>
    </w:p>
    <w:p w14:paraId="289AA622" w14:textId="77777777" w:rsidR="00371BF5" w:rsidRPr="00C21613" w:rsidRDefault="00371BF5" w:rsidP="00C21613">
      <w:pPr>
        <w:pStyle w:val="Normal-em"/>
        <w:rPr>
          <w:b/>
          <w:i/>
        </w:rPr>
      </w:pPr>
      <w:r w:rsidRPr="00C21613">
        <w:rPr>
          <w:b/>
          <w:i/>
        </w:rPr>
        <w:t>export certificate</w:t>
      </w:r>
    </w:p>
    <w:p w14:paraId="4FE43F24" w14:textId="3409F7C1" w:rsidR="00371BF5" w:rsidRDefault="00371BF5" w:rsidP="00C21613">
      <w:pPr>
        <w:pStyle w:val="Normal-em"/>
        <w:rPr>
          <w:b/>
          <w:i/>
        </w:rPr>
      </w:pPr>
      <w:r>
        <w:t>This definition provides that an ‘export certificate’ is a certificate issued by the Authority unde</w:t>
      </w:r>
      <w:r w:rsidR="0097259A">
        <w:t>r section 20</w:t>
      </w:r>
      <w:r w:rsidR="00D432EB">
        <w:t xml:space="preserve"> to a person holding a licence granted under section 9</w:t>
      </w:r>
      <w:r>
        <w:t xml:space="preserve">. </w:t>
      </w:r>
    </w:p>
    <w:p w14:paraId="02572B4A" w14:textId="77777777" w:rsidR="00371BF5" w:rsidRPr="00C21613" w:rsidRDefault="00371BF5" w:rsidP="00C21613">
      <w:pPr>
        <w:pStyle w:val="Normal-em"/>
        <w:rPr>
          <w:b/>
          <w:i/>
        </w:rPr>
      </w:pPr>
      <w:r w:rsidRPr="00C21613">
        <w:rPr>
          <w:b/>
          <w:i/>
        </w:rPr>
        <w:t>foreign place name</w:t>
      </w:r>
    </w:p>
    <w:p w14:paraId="652455E0" w14:textId="0A42A28A" w:rsidR="00371BF5" w:rsidRDefault="00371BF5" w:rsidP="00C21613">
      <w:pPr>
        <w:pStyle w:val="Normal-em"/>
      </w:pPr>
      <w:r>
        <w:t>This definition provides that a ‘foreign place name’ has</w:t>
      </w:r>
      <w:r w:rsidR="00AA153B">
        <w:t xml:space="preserve"> the meaning given by </w:t>
      </w:r>
      <w:r w:rsidR="002707F4">
        <w:t>sub</w:t>
      </w:r>
      <w:r w:rsidR="00AA153B">
        <w:t>section 26(9), which</w:t>
      </w:r>
      <w:r>
        <w:t xml:space="preserve"> means</w:t>
      </w:r>
      <w:r w:rsidR="00AA153B">
        <w:t>, in relation to wine,</w:t>
      </w:r>
      <w:r>
        <w:t xml:space="preserve"> a word or expression that identifies a country, region or locality </w:t>
      </w:r>
      <w:r w:rsidR="00AA153B">
        <w:t xml:space="preserve">(other than </w:t>
      </w:r>
      <w:r>
        <w:t>Australia</w:t>
      </w:r>
      <w:r w:rsidR="00AA153B">
        <w:t>)</w:t>
      </w:r>
      <w:r>
        <w:t xml:space="preserve"> that is not a re</w:t>
      </w:r>
      <w:r w:rsidR="002707F4">
        <w:t>gistered GI</w:t>
      </w:r>
      <w:r>
        <w:t xml:space="preserve">. </w:t>
      </w:r>
    </w:p>
    <w:p w14:paraId="3DFF61B9" w14:textId="391362E3" w:rsidR="00371BF5" w:rsidRDefault="002707F4" w:rsidP="00C21613">
      <w:pPr>
        <w:pStyle w:val="Normal-em"/>
        <w:rPr>
          <w:b/>
          <w:i/>
        </w:rPr>
      </w:pPr>
      <w:r>
        <w:t>Subs</w:t>
      </w:r>
      <w:r w:rsidR="00371BF5">
        <w:t xml:space="preserve">ection 4(1) of the Act defines </w:t>
      </w:r>
      <w:r w:rsidR="00371BF5">
        <w:rPr>
          <w:b/>
          <w:i/>
        </w:rPr>
        <w:t xml:space="preserve">registered geographical indication </w:t>
      </w:r>
      <w:r>
        <w:t>as a GI</w:t>
      </w:r>
      <w:r w:rsidR="00371BF5">
        <w:t xml:space="preserve"> that is included in Part 1 of the Register of </w:t>
      </w:r>
      <w:r w:rsidR="00485804">
        <w:t xml:space="preserve">Protected </w:t>
      </w:r>
      <w:r w:rsidR="00371BF5">
        <w:t xml:space="preserve">Geographical Indications and Other Terms (the Register) kept under section 40ZC of the Act. </w:t>
      </w:r>
    </w:p>
    <w:p w14:paraId="0954BD8B" w14:textId="77777777" w:rsidR="00371BF5" w:rsidRPr="00C21613" w:rsidRDefault="00371BF5" w:rsidP="00C21613">
      <w:pPr>
        <w:pStyle w:val="Normal-em"/>
        <w:rPr>
          <w:b/>
          <w:i/>
        </w:rPr>
      </w:pPr>
      <w:r w:rsidRPr="00C21613">
        <w:rPr>
          <w:b/>
          <w:i/>
        </w:rPr>
        <w:t>GI</w:t>
      </w:r>
    </w:p>
    <w:p w14:paraId="12F82DFA" w14:textId="77777777" w:rsidR="00371BF5" w:rsidRDefault="00371BF5" w:rsidP="00C21613">
      <w:pPr>
        <w:pStyle w:val="Normal-em"/>
        <w:rPr>
          <w:b/>
          <w:i/>
        </w:rPr>
      </w:pPr>
      <w:r>
        <w:t xml:space="preserve">This definition provides that a ‘GI’ means geographical indication. </w:t>
      </w:r>
    </w:p>
    <w:p w14:paraId="5608974D" w14:textId="77777777" w:rsidR="00371BF5" w:rsidRPr="00C21613" w:rsidRDefault="00371BF5" w:rsidP="00C21613">
      <w:pPr>
        <w:pStyle w:val="Normal-em"/>
        <w:rPr>
          <w:b/>
          <w:i/>
        </w:rPr>
      </w:pPr>
      <w:r w:rsidRPr="00C21613">
        <w:rPr>
          <w:b/>
          <w:i/>
        </w:rPr>
        <w:t>licence</w:t>
      </w:r>
    </w:p>
    <w:p w14:paraId="2566C26D" w14:textId="5C580E5F" w:rsidR="003E5162" w:rsidRDefault="00371BF5" w:rsidP="00C21613">
      <w:pPr>
        <w:pStyle w:val="Normal-em"/>
        <w:rPr>
          <w:b/>
          <w:i/>
        </w:rPr>
      </w:pPr>
      <w:r>
        <w:t xml:space="preserve">This definition provides that a ‘licence’ is a licence </w:t>
      </w:r>
      <w:r w:rsidR="00AA153B">
        <w:t xml:space="preserve">granted under section </w:t>
      </w:r>
      <w:r w:rsidR="007475CD">
        <w:t>9</w:t>
      </w:r>
      <w:r w:rsidR="00AA153B">
        <w:t xml:space="preserve">, which is a licence </w:t>
      </w:r>
      <w:r>
        <w:t xml:space="preserve">to export grape products from Australia, granted by </w:t>
      </w:r>
      <w:r w:rsidR="00921B5A">
        <w:t>the Authority</w:t>
      </w:r>
      <w:r>
        <w:t xml:space="preserve">. </w:t>
      </w:r>
    </w:p>
    <w:p w14:paraId="2097305B" w14:textId="472BC295" w:rsidR="00371BF5" w:rsidRPr="00C21613" w:rsidRDefault="00C21613" w:rsidP="00C21613">
      <w:pPr>
        <w:pStyle w:val="Normal-em"/>
        <w:rPr>
          <w:b/>
          <w:i/>
        </w:rPr>
      </w:pPr>
      <w:r>
        <w:rPr>
          <w:b/>
          <w:i/>
        </w:rPr>
        <w:t>l</w:t>
      </w:r>
      <w:r w:rsidR="00371BF5" w:rsidRPr="00C21613">
        <w:rPr>
          <w:b/>
          <w:i/>
        </w:rPr>
        <w:t>icensee</w:t>
      </w:r>
    </w:p>
    <w:p w14:paraId="6326D239" w14:textId="77777777" w:rsidR="00371BF5" w:rsidRDefault="00371BF5" w:rsidP="00C21613">
      <w:pPr>
        <w:pStyle w:val="Normal-em"/>
        <w:rPr>
          <w:b/>
          <w:i/>
        </w:rPr>
      </w:pPr>
      <w:r>
        <w:lastRenderedPageBreak/>
        <w:t xml:space="preserve">This definition provides that a ‘licensee’ is the holder of a licence granted under the Regulations that is in force. </w:t>
      </w:r>
    </w:p>
    <w:p w14:paraId="635BB344" w14:textId="20086691" w:rsidR="00371BF5" w:rsidRPr="00C21613" w:rsidRDefault="00C21613" w:rsidP="00C21613">
      <w:pPr>
        <w:pStyle w:val="Normal-em"/>
        <w:rPr>
          <w:b/>
          <w:i/>
        </w:rPr>
      </w:pPr>
      <w:r>
        <w:rPr>
          <w:b/>
          <w:i/>
        </w:rPr>
        <w:t>p</w:t>
      </w:r>
      <w:r w:rsidR="00371BF5" w:rsidRPr="00C21613">
        <w:rPr>
          <w:b/>
          <w:i/>
        </w:rPr>
        <w:t>arent</w:t>
      </w:r>
    </w:p>
    <w:p w14:paraId="4FF91A62" w14:textId="77777777" w:rsidR="00371BF5" w:rsidRPr="00781222" w:rsidRDefault="00371BF5" w:rsidP="00C21613">
      <w:pPr>
        <w:pStyle w:val="Normal-em"/>
      </w:pPr>
      <w:r>
        <w:t xml:space="preserve">This definition provides that a ‘parent’ is someone that is a parent of a person, who is a child under the definition of </w:t>
      </w:r>
      <w:r>
        <w:rPr>
          <w:b/>
          <w:i/>
        </w:rPr>
        <w:t xml:space="preserve">child </w:t>
      </w:r>
      <w:r>
        <w:t xml:space="preserve">in this section. This definition is not intended to limit the kinds of people that can be considered a ‘parent’ for the purposes of the Regulations. </w:t>
      </w:r>
    </w:p>
    <w:p w14:paraId="392C272E" w14:textId="77777777" w:rsidR="00E02B67" w:rsidRDefault="00E02B67" w:rsidP="00C21613">
      <w:pPr>
        <w:pStyle w:val="Normal-em"/>
        <w:rPr>
          <w:b/>
          <w:i/>
        </w:rPr>
      </w:pPr>
    </w:p>
    <w:p w14:paraId="6DE7F34A" w14:textId="77777777" w:rsidR="00E02B67" w:rsidRDefault="00E02B67" w:rsidP="00C21613">
      <w:pPr>
        <w:pStyle w:val="Normal-em"/>
        <w:rPr>
          <w:b/>
          <w:i/>
        </w:rPr>
      </w:pPr>
    </w:p>
    <w:p w14:paraId="227603E9" w14:textId="083325CF" w:rsidR="00371BF5" w:rsidRPr="00C21613" w:rsidRDefault="00C21613" w:rsidP="00C21613">
      <w:pPr>
        <w:pStyle w:val="Normal-em"/>
        <w:rPr>
          <w:b/>
          <w:i/>
        </w:rPr>
      </w:pPr>
      <w:r>
        <w:rPr>
          <w:b/>
          <w:i/>
        </w:rPr>
        <w:t>p</w:t>
      </w:r>
      <w:r w:rsidR="00371BF5" w:rsidRPr="00C21613">
        <w:rPr>
          <w:b/>
          <w:i/>
        </w:rPr>
        <w:t>arty</w:t>
      </w:r>
    </w:p>
    <w:p w14:paraId="2480C11C" w14:textId="5404782B" w:rsidR="00371BF5" w:rsidRDefault="00371BF5" w:rsidP="00C21613">
      <w:pPr>
        <w:pStyle w:val="Normal-em"/>
      </w:pPr>
      <w:r>
        <w:t>This definition provides that a ‘party’ has different meanings in relation to proceedings set out in the Regulations. The following proceedings apply a corresponding definition of ‘party’</w:t>
      </w:r>
      <w:r w:rsidR="00AA153B">
        <w:t>, in relation to proceedings for</w:t>
      </w:r>
      <w:r>
        <w:t>:</w:t>
      </w:r>
    </w:p>
    <w:p w14:paraId="7A7D233D" w14:textId="48995611" w:rsidR="00371BF5" w:rsidRPr="003E5162" w:rsidRDefault="00371BF5" w:rsidP="00F164D2">
      <w:pPr>
        <w:pStyle w:val="ListParagraph"/>
        <w:numPr>
          <w:ilvl w:val="0"/>
          <w:numId w:val="71"/>
        </w:numPr>
        <w:rPr>
          <w:lang w:eastAsia="ja-JP"/>
        </w:rPr>
      </w:pPr>
      <w:r w:rsidRPr="008F1EA9">
        <w:rPr>
          <w:lang w:eastAsia="ja-JP"/>
        </w:rPr>
        <w:t>consideration of objections to determination of Australian GIs</w:t>
      </w:r>
      <w:r w:rsidR="00AA153B">
        <w:rPr>
          <w:lang w:eastAsia="ja-JP"/>
        </w:rPr>
        <w:t xml:space="preserve"> (Division 2 of Part 6)</w:t>
      </w:r>
      <w:r w:rsidRPr="008F1EA9">
        <w:rPr>
          <w:lang w:eastAsia="ja-JP"/>
        </w:rPr>
        <w:t xml:space="preserve">: section </w:t>
      </w:r>
      <w:r w:rsidR="00AA153B">
        <w:rPr>
          <w:lang w:eastAsia="ja-JP"/>
        </w:rPr>
        <w:t>35</w:t>
      </w:r>
    </w:p>
    <w:p w14:paraId="2DBDD3B9" w14:textId="3D8798C7" w:rsidR="00371BF5" w:rsidRPr="003E5162" w:rsidRDefault="00371BF5" w:rsidP="00F164D2">
      <w:pPr>
        <w:pStyle w:val="ListParagraph"/>
        <w:numPr>
          <w:ilvl w:val="0"/>
          <w:numId w:val="71"/>
        </w:numPr>
        <w:rPr>
          <w:lang w:eastAsia="ja-JP"/>
        </w:rPr>
      </w:pPr>
      <w:r w:rsidRPr="008F1EA9">
        <w:rPr>
          <w:lang w:eastAsia="ja-JP"/>
        </w:rPr>
        <w:t>decisions that a ground of objection to proposed GIs no longer exists</w:t>
      </w:r>
      <w:r w:rsidR="00AA153B">
        <w:rPr>
          <w:lang w:eastAsia="ja-JP"/>
        </w:rPr>
        <w:t xml:space="preserve"> (Division 3 of Part 6): section 46</w:t>
      </w:r>
    </w:p>
    <w:p w14:paraId="66701DB9" w14:textId="1F253C6B" w:rsidR="00371BF5" w:rsidRPr="003E5162" w:rsidRDefault="00371BF5" w:rsidP="00F164D2">
      <w:pPr>
        <w:pStyle w:val="ListParagraph"/>
        <w:numPr>
          <w:ilvl w:val="0"/>
          <w:numId w:val="71"/>
        </w:numPr>
        <w:rPr>
          <w:lang w:eastAsia="ja-JP"/>
        </w:rPr>
      </w:pPr>
      <w:r w:rsidRPr="008F1EA9">
        <w:rPr>
          <w:lang w:eastAsia="ja-JP"/>
        </w:rPr>
        <w:t>consideration of objections to determination of foreign GIs or translation of foreign GIs</w:t>
      </w:r>
      <w:r w:rsidR="00AA153B">
        <w:rPr>
          <w:lang w:eastAsia="ja-JP"/>
        </w:rPr>
        <w:t xml:space="preserve"> (Di</w:t>
      </w:r>
      <w:r w:rsidR="00485804">
        <w:rPr>
          <w:lang w:eastAsia="ja-JP"/>
        </w:rPr>
        <w:t>vision 3 of Part 7): section 65, and</w:t>
      </w:r>
    </w:p>
    <w:p w14:paraId="763120EA" w14:textId="14F5D3E1" w:rsidR="00371BF5" w:rsidRPr="003E5162" w:rsidRDefault="00371BF5" w:rsidP="00F164D2">
      <w:pPr>
        <w:pStyle w:val="ListParagraph"/>
        <w:numPr>
          <w:ilvl w:val="0"/>
          <w:numId w:val="71"/>
        </w:numPr>
        <w:rPr>
          <w:lang w:eastAsia="ja-JP"/>
        </w:rPr>
      </w:pPr>
      <w:r w:rsidRPr="008F1EA9">
        <w:rPr>
          <w:lang w:eastAsia="ja-JP"/>
        </w:rPr>
        <w:t>decisions that a ground of objection to proposed items no longer exists</w:t>
      </w:r>
      <w:r w:rsidR="00AA153B">
        <w:rPr>
          <w:lang w:eastAsia="ja-JP"/>
        </w:rPr>
        <w:t xml:space="preserve"> (Division 4 of Part 7): section 78</w:t>
      </w:r>
      <w:r w:rsidRPr="008F1EA9">
        <w:rPr>
          <w:lang w:eastAsia="ja-JP"/>
        </w:rPr>
        <w:t xml:space="preserve">. </w:t>
      </w:r>
    </w:p>
    <w:p w14:paraId="075364E4" w14:textId="77777777" w:rsidR="00371BF5" w:rsidRPr="00C21613" w:rsidRDefault="00371BF5" w:rsidP="00C21613">
      <w:pPr>
        <w:pStyle w:val="Normal-em"/>
        <w:rPr>
          <w:b/>
          <w:i/>
        </w:rPr>
      </w:pPr>
      <w:r w:rsidRPr="00C21613">
        <w:rPr>
          <w:b/>
          <w:i/>
        </w:rPr>
        <w:t xml:space="preserve">proposed item </w:t>
      </w:r>
    </w:p>
    <w:p w14:paraId="2552215F" w14:textId="3BB5C6AF" w:rsidR="00371BF5" w:rsidRDefault="00371BF5" w:rsidP="00C21613">
      <w:pPr>
        <w:pStyle w:val="Normal-em"/>
      </w:pPr>
      <w:r>
        <w:t xml:space="preserve">This definition provides that a ‘proposed item’ has the meaning </w:t>
      </w:r>
      <w:r w:rsidR="00C75A99">
        <w:t>given by subsection 61</w:t>
      </w:r>
      <w:r w:rsidR="00921B5A">
        <w:t>(1)</w:t>
      </w:r>
      <w:r>
        <w:t>, where the proposed item is either:</w:t>
      </w:r>
    </w:p>
    <w:p w14:paraId="5AD7093C" w14:textId="6F50A09D" w:rsidR="00371BF5" w:rsidRDefault="00371BF5" w:rsidP="003E5162">
      <w:pPr>
        <w:pStyle w:val="ListParagraph"/>
        <w:numPr>
          <w:ilvl w:val="0"/>
          <w:numId w:val="71"/>
        </w:numPr>
        <w:rPr>
          <w:lang w:eastAsia="ja-JP"/>
        </w:rPr>
      </w:pPr>
      <w:r>
        <w:rPr>
          <w:lang w:eastAsia="ja-JP"/>
        </w:rPr>
        <w:t>an application for the determination of a GI, made under subse</w:t>
      </w:r>
      <w:r w:rsidR="007475CD">
        <w:rPr>
          <w:lang w:eastAsia="ja-JP"/>
        </w:rPr>
        <w:t>ction 60</w:t>
      </w:r>
      <w:r>
        <w:rPr>
          <w:lang w:eastAsia="ja-JP"/>
        </w:rPr>
        <w:t>(1)</w:t>
      </w:r>
      <w:r w:rsidR="00485804">
        <w:rPr>
          <w:lang w:eastAsia="ja-JP"/>
        </w:rPr>
        <w:t>,</w:t>
      </w:r>
      <w:r>
        <w:rPr>
          <w:lang w:eastAsia="ja-JP"/>
        </w:rPr>
        <w:t xml:space="preserve"> or</w:t>
      </w:r>
    </w:p>
    <w:p w14:paraId="068A26D4" w14:textId="48FA8011" w:rsidR="00371BF5" w:rsidRPr="008F1EA9" w:rsidRDefault="00371BF5" w:rsidP="003E5162">
      <w:pPr>
        <w:pStyle w:val="ListParagraph"/>
        <w:numPr>
          <w:ilvl w:val="0"/>
          <w:numId w:val="71"/>
        </w:numPr>
        <w:rPr>
          <w:lang w:eastAsia="ja-JP"/>
        </w:rPr>
      </w:pPr>
      <w:r>
        <w:rPr>
          <w:lang w:eastAsia="ja-JP"/>
        </w:rPr>
        <w:t xml:space="preserve">an application </w:t>
      </w:r>
      <w:r w:rsidR="00485804">
        <w:rPr>
          <w:lang w:eastAsia="ja-JP"/>
        </w:rPr>
        <w:t>for</w:t>
      </w:r>
      <w:r>
        <w:rPr>
          <w:lang w:eastAsia="ja-JP"/>
        </w:rPr>
        <w:t xml:space="preserve"> the determination of a translation o</w:t>
      </w:r>
      <w:r w:rsidR="00C75A99">
        <w:rPr>
          <w:lang w:eastAsia="ja-JP"/>
        </w:rPr>
        <w:t xml:space="preserve">f a </w:t>
      </w:r>
      <w:r w:rsidR="007475CD">
        <w:rPr>
          <w:lang w:eastAsia="ja-JP"/>
        </w:rPr>
        <w:t>GI, made under subsection 60</w:t>
      </w:r>
      <w:r>
        <w:rPr>
          <w:lang w:eastAsia="ja-JP"/>
        </w:rPr>
        <w:t xml:space="preserve">(2).  </w:t>
      </w:r>
    </w:p>
    <w:p w14:paraId="7D00594C" w14:textId="77777777" w:rsidR="00371BF5" w:rsidRPr="00C21613" w:rsidRDefault="00371BF5" w:rsidP="00C21613">
      <w:pPr>
        <w:pStyle w:val="Normal-em"/>
        <w:rPr>
          <w:b/>
          <w:i/>
        </w:rPr>
      </w:pPr>
      <w:r w:rsidRPr="00C21613">
        <w:rPr>
          <w:b/>
          <w:i/>
        </w:rPr>
        <w:t>relative</w:t>
      </w:r>
    </w:p>
    <w:p w14:paraId="116EA0FD" w14:textId="77777777" w:rsidR="00371BF5" w:rsidRDefault="00371BF5" w:rsidP="00C21613">
      <w:pPr>
        <w:pStyle w:val="Normal-em"/>
      </w:pPr>
      <w:r>
        <w:t>This definition provides that a ‘relative’, in relation to an individual, means the spouse, de facto partner, parent or other ancestor, child, or other descendant, brother or sister of the individual.</w:t>
      </w:r>
    </w:p>
    <w:p w14:paraId="5C22BE6F" w14:textId="77777777" w:rsidR="00371BF5" w:rsidRPr="00164B13" w:rsidRDefault="00371BF5" w:rsidP="00C21613">
      <w:pPr>
        <w:pStyle w:val="Normal-em"/>
        <w:rPr>
          <w:b/>
          <w:i/>
        </w:rPr>
      </w:pPr>
      <w:r>
        <w:t xml:space="preserve">‘De facto partner’ has the same meaning as in the </w:t>
      </w:r>
      <w:r>
        <w:rPr>
          <w:i/>
        </w:rPr>
        <w:t xml:space="preserve">Acts Interpretation Act 1901. </w:t>
      </w:r>
      <w:r>
        <w:t xml:space="preserve"> </w:t>
      </w:r>
    </w:p>
    <w:p w14:paraId="3BF08ED4" w14:textId="6DDDBF4C" w:rsidR="00371BF5" w:rsidRPr="00BA0B58" w:rsidRDefault="00371BF5" w:rsidP="00F164D2">
      <w:pPr>
        <w:pStyle w:val="Part"/>
      </w:pPr>
      <w:r w:rsidRPr="00BA0B58">
        <w:t xml:space="preserve">Part 2—Definitions for the purposes of the Act </w:t>
      </w:r>
    </w:p>
    <w:p w14:paraId="16A42114" w14:textId="1CCFD913" w:rsidR="00371BF5" w:rsidRPr="00C21613" w:rsidRDefault="00921B5A" w:rsidP="00C21613">
      <w:pPr>
        <w:pStyle w:val="Provision"/>
      </w:pPr>
      <w:r>
        <w:t>Section 5</w:t>
      </w:r>
      <w:r w:rsidR="00371BF5" w:rsidRPr="00C21613">
        <w:t xml:space="preserve"> – Grape product</w:t>
      </w:r>
    </w:p>
    <w:p w14:paraId="3195A960" w14:textId="544EB2F3" w:rsidR="00371BF5" w:rsidRPr="005709F2" w:rsidRDefault="00371BF5" w:rsidP="00C21613">
      <w:r w:rsidRPr="005709F2">
        <w:t xml:space="preserve">This section provides that for the purposes of paragraph (d) of the definition of grape product in subsection 4(1) of the Act, a product is a </w:t>
      </w:r>
      <w:r w:rsidRPr="007D64B0">
        <w:rPr>
          <w:b/>
          <w:i/>
        </w:rPr>
        <w:t>grape product</w:t>
      </w:r>
      <w:r>
        <w:t xml:space="preserve"> </w:t>
      </w:r>
      <w:r w:rsidRPr="005709F2">
        <w:t>if:</w:t>
      </w:r>
    </w:p>
    <w:p w14:paraId="558F88B0" w14:textId="20B7ECA8" w:rsidR="00371BF5" w:rsidRPr="001235FA" w:rsidRDefault="00EC7AA2" w:rsidP="00F164D2">
      <w:pPr>
        <w:pStyle w:val="ListParagraph"/>
        <w:numPr>
          <w:ilvl w:val="0"/>
          <w:numId w:val="71"/>
        </w:numPr>
      </w:pPr>
      <w:r>
        <w:t>it includes wine</w:t>
      </w:r>
    </w:p>
    <w:p w14:paraId="7E7BA658" w14:textId="27509BAC" w:rsidR="00371BF5" w:rsidRPr="001235FA" w:rsidRDefault="00371BF5" w:rsidP="00F164D2">
      <w:pPr>
        <w:pStyle w:val="ListParagraph"/>
        <w:numPr>
          <w:ilvl w:val="0"/>
          <w:numId w:val="71"/>
        </w:numPr>
      </w:pPr>
      <w:r w:rsidRPr="001235FA">
        <w:t>it is derived in whole or in part from prescribed goods</w:t>
      </w:r>
      <w:r w:rsidR="00EC7AA2">
        <w:t>,</w:t>
      </w:r>
      <w:r w:rsidRPr="001235FA">
        <w:t xml:space="preserve"> and</w:t>
      </w:r>
    </w:p>
    <w:p w14:paraId="68A97913" w14:textId="77777777" w:rsidR="00371BF5" w:rsidRDefault="00371BF5" w:rsidP="00F164D2">
      <w:pPr>
        <w:pStyle w:val="ListParagraph"/>
        <w:numPr>
          <w:ilvl w:val="0"/>
          <w:numId w:val="71"/>
        </w:numPr>
      </w:pPr>
      <w:r w:rsidRPr="001235FA">
        <w:lastRenderedPageBreak/>
        <w:t xml:space="preserve">a standard, within the meaning of the </w:t>
      </w:r>
      <w:r w:rsidRPr="001235FA">
        <w:rPr>
          <w:i/>
        </w:rPr>
        <w:t>Food Standards Australia New Zealand Act 1991</w:t>
      </w:r>
      <w:r>
        <w:rPr>
          <w:i/>
        </w:rPr>
        <w:t xml:space="preserve"> </w:t>
      </w:r>
      <w:r w:rsidRPr="001235FA">
        <w:t>(FSANZ Act), applies to it.</w:t>
      </w:r>
    </w:p>
    <w:p w14:paraId="4896B886" w14:textId="245A1268" w:rsidR="00371BF5" w:rsidRPr="001235FA" w:rsidRDefault="00371BF5" w:rsidP="00C21613">
      <w:pPr>
        <w:rPr>
          <w:lang w:val="en-US"/>
        </w:rPr>
      </w:pPr>
      <w:r>
        <w:t xml:space="preserve">Under section 4 of the FSANZ Act, a ‘standard’ includes a standard </w:t>
      </w:r>
      <w:r w:rsidR="00C75A99">
        <w:t xml:space="preserve">that is included </w:t>
      </w:r>
      <w:r>
        <w:t xml:space="preserve">in the </w:t>
      </w:r>
      <w:r w:rsidRPr="00D40754">
        <w:rPr>
          <w:i/>
        </w:rPr>
        <w:t>Australia New Zealand Food Standards Code</w:t>
      </w:r>
      <w:r w:rsidR="00D40754">
        <w:t xml:space="preserve"> (Food Standards Code)</w:t>
      </w:r>
      <w:r>
        <w:t>.</w:t>
      </w:r>
    </w:p>
    <w:p w14:paraId="68542E8F" w14:textId="44C3DEC3" w:rsidR="00371BF5" w:rsidRPr="007C719B" w:rsidRDefault="00371BF5" w:rsidP="00C21613">
      <w:pPr>
        <w:pStyle w:val="Provision"/>
      </w:pPr>
      <w:r w:rsidRPr="005709F2">
        <w:t>Secti</w:t>
      </w:r>
      <w:r w:rsidRPr="007C719B">
        <w:t xml:space="preserve">on </w:t>
      </w:r>
      <w:r w:rsidR="00921B5A">
        <w:t>6</w:t>
      </w:r>
      <w:r w:rsidRPr="007C719B">
        <w:t xml:space="preserve"> – Prescribed geographical indication</w:t>
      </w:r>
    </w:p>
    <w:p w14:paraId="008B1FBC" w14:textId="594CCB5E" w:rsidR="00371BF5" w:rsidRPr="005709F2" w:rsidRDefault="007475CD" w:rsidP="00F164D2">
      <w:pPr>
        <w:tabs>
          <w:tab w:val="left" w:pos="284"/>
          <w:tab w:val="left" w:pos="426"/>
        </w:tabs>
      </w:pPr>
      <w:r>
        <w:t xml:space="preserve">This section </w:t>
      </w:r>
      <w:r w:rsidR="00371BF5" w:rsidRPr="007C719B">
        <w:t xml:space="preserve">provides </w:t>
      </w:r>
      <w:r w:rsidR="00982D65">
        <w:t xml:space="preserve">that </w:t>
      </w:r>
      <w:r w:rsidR="00371BF5">
        <w:t xml:space="preserve">a GI that </w:t>
      </w:r>
      <w:r w:rsidR="00C75A99">
        <w:t xml:space="preserve">relates to Australia and </w:t>
      </w:r>
      <w:r w:rsidR="00371BF5">
        <w:t>is included in the Register of</w:t>
      </w:r>
      <w:r w:rsidR="00371BF5" w:rsidRPr="005709F2">
        <w:t xml:space="preserve"> </w:t>
      </w:r>
      <w:r w:rsidR="00485804">
        <w:t xml:space="preserve">Protected </w:t>
      </w:r>
      <w:r w:rsidR="00371BF5" w:rsidRPr="005709F2">
        <w:t>Geographical Indications and Other Terms</w:t>
      </w:r>
      <w:r w:rsidR="00371BF5">
        <w:t xml:space="preserve"> (the Register)</w:t>
      </w:r>
      <w:r w:rsidR="00982D65">
        <w:t xml:space="preserve"> is a pr</w:t>
      </w:r>
      <w:r w:rsidR="00E02B67">
        <w:t>escribed GI</w:t>
      </w:r>
      <w:r w:rsidR="00982D65">
        <w:t xml:space="preserve"> for the purposes of subsection 4(1) of the Act</w:t>
      </w:r>
      <w:r w:rsidR="00371BF5">
        <w:t xml:space="preserve">. The definition </w:t>
      </w:r>
      <w:r w:rsidR="00C75A99">
        <w:t>only includes</w:t>
      </w:r>
      <w:r w:rsidR="00371BF5">
        <w:t xml:space="preserve"> GIs relating to Australia, and excludes foreign GIs listed in the Register, because it is used to verify label claims made on wines originating in Australia. </w:t>
      </w:r>
    </w:p>
    <w:p w14:paraId="3B20D7D3" w14:textId="25234DA2" w:rsidR="00464639" w:rsidRDefault="0026116C" w:rsidP="00F164D2">
      <w:pPr>
        <w:pStyle w:val="Part"/>
      </w:pPr>
      <w:r>
        <w:t>Part 3—</w:t>
      </w:r>
      <w:r w:rsidR="00390448">
        <w:t xml:space="preserve">Export controls </w:t>
      </w:r>
    </w:p>
    <w:p w14:paraId="349F4E5A" w14:textId="77777777" w:rsidR="0088376F" w:rsidRPr="0088376F" w:rsidRDefault="0088376F" w:rsidP="0088376F">
      <w:pPr>
        <w:pStyle w:val="Heading3"/>
      </w:pPr>
      <w:bookmarkStart w:id="1" w:name="_Toc501464018"/>
      <w:r w:rsidRPr="0088376F">
        <w:rPr>
          <w:rStyle w:val="CharDivNo"/>
        </w:rPr>
        <w:t>Division 1—Export conditions and exemptions</w:t>
      </w:r>
      <w:bookmarkStart w:id="2" w:name="BK_S3P5L2C44"/>
      <w:bookmarkEnd w:id="1"/>
      <w:bookmarkEnd w:id="2"/>
    </w:p>
    <w:p w14:paraId="25A55DFA" w14:textId="648B95EE" w:rsidR="005E6643" w:rsidRDefault="00365A70" w:rsidP="005E6643">
      <w:pPr>
        <w:rPr>
          <w:lang w:eastAsia="ja-JP"/>
        </w:rPr>
      </w:pPr>
      <w:r>
        <w:rPr>
          <w:lang w:eastAsia="ja-JP"/>
        </w:rPr>
        <w:t>This division</w:t>
      </w:r>
      <w:r w:rsidR="005E6643">
        <w:rPr>
          <w:lang w:eastAsia="ja-JP"/>
        </w:rPr>
        <w:t xml:space="preserve"> sets out the export conditions and exemptions for the export of </w:t>
      </w:r>
      <w:r w:rsidR="00C75A99">
        <w:rPr>
          <w:lang w:eastAsia="ja-JP"/>
        </w:rPr>
        <w:t xml:space="preserve">consignments of </w:t>
      </w:r>
      <w:r w:rsidR="005E6643">
        <w:rPr>
          <w:lang w:eastAsia="ja-JP"/>
        </w:rPr>
        <w:t xml:space="preserve">grape products. </w:t>
      </w:r>
    </w:p>
    <w:p w14:paraId="6C862150" w14:textId="3FE50FB4" w:rsidR="002B5AD9" w:rsidRDefault="0088376F" w:rsidP="0088376F">
      <w:pPr>
        <w:pStyle w:val="Provision"/>
      </w:pPr>
      <w:r>
        <w:t>Section 7</w:t>
      </w:r>
      <w:r w:rsidR="002B5AD9">
        <w:t xml:space="preserve"> – Conditions of export</w:t>
      </w:r>
    </w:p>
    <w:p w14:paraId="3F040E67" w14:textId="42031C02" w:rsidR="00BC6ABE" w:rsidRDefault="005E6643" w:rsidP="005E6643">
      <w:pPr>
        <w:rPr>
          <w:lang w:eastAsia="ja-JP"/>
        </w:rPr>
      </w:pPr>
      <w:r>
        <w:rPr>
          <w:lang w:eastAsia="ja-JP"/>
        </w:rPr>
        <w:t xml:space="preserve">This section </w:t>
      </w:r>
      <w:r w:rsidR="00C75A99">
        <w:rPr>
          <w:lang w:eastAsia="ja-JP"/>
        </w:rPr>
        <w:t>sets out</w:t>
      </w:r>
      <w:r>
        <w:rPr>
          <w:lang w:eastAsia="ja-JP"/>
        </w:rPr>
        <w:t xml:space="preserve"> the co</w:t>
      </w:r>
      <w:r w:rsidR="00365FE0">
        <w:rPr>
          <w:lang w:eastAsia="ja-JP"/>
        </w:rPr>
        <w:t>nditions that must be met in order for a</w:t>
      </w:r>
      <w:r>
        <w:rPr>
          <w:lang w:eastAsia="ja-JP"/>
        </w:rPr>
        <w:t xml:space="preserve"> consignment of </w:t>
      </w:r>
      <w:r w:rsidR="00C75A99">
        <w:rPr>
          <w:lang w:eastAsia="ja-JP"/>
        </w:rPr>
        <w:t xml:space="preserve">a </w:t>
      </w:r>
      <w:r>
        <w:rPr>
          <w:lang w:eastAsia="ja-JP"/>
        </w:rPr>
        <w:t>grape product</w:t>
      </w:r>
      <w:r w:rsidR="00365FE0">
        <w:rPr>
          <w:lang w:eastAsia="ja-JP"/>
        </w:rPr>
        <w:t xml:space="preserve"> to be exported</w:t>
      </w:r>
      <w:r w:rsidR="00BC6ABE">
        <w:rPr>
          <w:lang w:eastAsia="ja-JP"/>
        </w:rPr>
        <w:t>, for the purposes of paragraph 46(1)(c) of the Act and subject to the exemptions provided by section 8</w:t>
      </w:r>
      <w:r>
        <w:rPr>
          <w:lang w:eastAsia="ja-JP"/>
        </w:rPr>
        <w:t xml:space="preserve">. </w:t>
      </w:r>
    </w:p>
    <w:p w14:paraId="155946B7" w14:textId="19A966AD" w:rsidR="005E6643" w:rsidRDefault="00BC6ABE" w:rsidP="005E6643">
      <w:pPr>
        <w:rPr>
          <w:lang w:eastAsia="ja-JP"/>
        </w:rPr>
      </w:pPr>
      <w:r>
        <w:rPr>
          <w:lang w:eastAsia="ja-JP"/>
        </w:rPr>
        <w:t>A</w:t>
      </w:r>
      <w:r w:rsidR="00365FE0">
        <w:rPr>
          <w:lang w:eastAsia="ja-JP"/>
        </w:rPr>
        <w:t xml:space="preserve"> consignment will be prohibited from export unless</w:t>
      </w:r>
      <w:r w:rsidR="005E6643">
        <w:rPr>
          <w:lang w:eastAsia="ja-JP"/>
        </w:rPr>
        <w:t>:</w:t>
      </w:r>
    </w:p>
    <w:p w14:paraId="1CFA8890" w14:textId="566609F4" w:rsidR="005E6643" w:rsidRDefault="005E6643" w:rsidP="001369C0">
      <w:pPr>
        <w:pStyle w:val="ListParagraph"/>
        <w:numPr>
          <w:ilvl w:val="0"/>
          <w:numId w:val="71"/>
        </w:numPr>
        <w:rPr>
          <w:lang w:eastAsia="ja-JP"/>
        </w:rPr>
      </w:pPr>
      <w:r>
        <w:rPr>
          <w:lang w:eastAsia="ja-JP"/>
        </w:rPr>
        <w:t>the exporter of the consignment is the holder of the export licence</w:t>
      </w:r>
    </w:p>
    <w:p w14:paraId="5255CAFD" w14:textId="50ACAEBA" w:rsidR="005E6643" w:rsidRDefault="005E6643" w:rsidP="001369C0">
      <w:pPr>
        <w:pStyle w:val="ListParagraph"/>
        <w:numPr>
          <w:ilvl w:val="0"/>
          <w:numId w:val="71"/>
        </w:numPr>
        <w:rPr>
          <w:lang w:eastAsia="ja-JP"/>
        </w:rPr>
      </w:pPr>
      <w:r>
        <w:rPr>
          <w:lang w:eastAsia="ja-JP"/>
        </w:rPr>
        <w:t>the grape product is approved under section 1</w:t>
      </w:r>
      <w:r w:rsidR="0030109A">
        <w:rPr>
          <w:lang w:eastAsia="ja-JP"/>
        </w:rPr>
        <w:t>4</w:t>
      </w:r>
      <w:r>
        <w:rPr>
          <w:lang w:eastAsia="ja-JP"/>
        </w:rPr>
        <w:t xml:space="preserve"> for export by the exporter</w:t>
      </w:r>
      <w:r w:rsidR="00750913">
        <w:rPr>
          <w:lang w:eastAsia="ja-JP"/>
        </w:rPr>
        <w:t xml:space="preserve"> (or a licensee authorised to export the grape product under section 15)</w:t>
      </w:r>
    </w:p>
    <w:p w14:paraId="40591B1C" w14:textId="374288CF" w:rsidR="005E6643" w:rsidRDefault="005E6643" w:rsidP="001369C0">
      <w:pPr>
        <w:pStyle w:val="ListParagraph"/>
        <w:numPr>
          <w:ilvl w:val="0"/>
          <w:numId w:val="71"/>
        </w:numPr>
        <w:rPr>
          <w:lang w:eastAsia="ja-JP"/>
        </w:rPr>
      </w:pPr>
      <w:r>
        <w:rPr>
          <w:lang w:eastAsia="ja-JP"/>
        </w:rPr>
        <w:t>if there are conditions on the approval, the export complies with the conditions</w:t>
      </w:r>
    </w:p>
    <w:p w14:paraId="6BE33426" w14:textId="0E87397B" w:rsidR="005E6643" w:rsidRDefault="005E6643" w:rsidP="00821539">
      <w:pPr>
        <w:pStyle w:val="ListParagraph"/>
        <w:numPr>
          <w:ilvl w:val="0"/>
          <w:numId w:val="71"/>
        </w:numPr>
        <w:rPr>
          <w:lang w:eastAsia="ja-JP"/>
        </w:rPr>
      </w:pPr>
      <w:r>
        <w:rPr>
          <w:lang w:eastAsia="ja-JP"/>
        </w:rPr>
        <w:t xml:space="preserve">the export certificate for the consignment is </w:t>
      </w:r>
      <w:r w:rsidR="00C75A99">
        <w:rPr>
          <w:lang w:eastAsia="ja-JP"/>
        </w:rPr>
        <w:t>in force</w:t>
      </w:r>
    </w:p>
    <w:p w14:paraId="0261EB1E" w14:textId="7E9ABA17" w:rsidR="00BC6ABE" w:rsidRDefault="005E6643" w:rsidP="001369C0">
      <w:pPr>
        <w:pStyle w:val="ListParagraph"/>
        <w:numPr>
          <w:ilvl w:val="0"/>
          <w:numId w:val="71"/>
        </w:numPr>
        <w:rPr>
          <w:lang w:eastAsia="ja-JP"/>
        </w:rPr>
      </w:pPr>
      <w:r>
        <w:rPr>
          <w:lang w:eastAsia="ja-JP"/>
        </w:rPr>
        <w:t>if there are conditions set for the validity of the export certificate, the export is in accordance with the conditions</w:t>
      </w:r>
      <w:r w:rsidR="0026116C">
        <w:rPr>
          <w:lang w:eastAsia="ja-JP"/>
        </w:rPr>
        <w:t>, and</w:t>
      </w:r>
    </w:p>
    <w:p w14:paraId="06547B90" w14:textId="5300A07A" w:rsidR="005E6643" w:rsidRDefault="00BC6ABE" w:rsidP="001369C0">
      <w:pPr>
        <w:pStyle w:val="ListParagraph"/>
        <w:numPr>
          <w:ilvl w:val="0"/>
          <w:numId w:val="71"/>
        </w:numPr>
        <w:rPr>
          <w:lang w:eastAsia="ja-JP"/>
        </w:rPr>
      </w:pPr>
      <w:r>
        <w:rPr>
          <w:lang w:eastAsia="ja-JP"/>
        </w:rPr>
        <w:t xml:space="preserve">if the Authority has given a direction </w:t>
      </w:r>
      <w:r w:rsidR="007475CD">
        <w:rPr>
          <w:lang w:eastAsia="ja-JP"/>
        </w:rPr>
        <w:t>to the exporter under section 22</w:t>
      </w:r>
      <w:r>
        <w:rPr>
          <w:lang w:eastAsia="ja-JP"/>
        </w:rPr>
        <w:t>, the export compl</w:t>
      </w:r>
      <w:r w:rsidR="00C75A99">
        <w:rPr>
          <w:lang w:eastAsia="ja-JP"/>
        </w:rPr>
        <w:t>ies</w:t>
      </w:r>
      <w:r>
        <w:rPr>
          <w:lang w:eastAsia="ja-JP"/>
        </w:rPr>
        <w:t xml:space="preserve"> with the direction</w:t>
      </w:r>
      <w:r w:rsidR="005E6643">
        <w:rPr>
          <w:lang w:eastAsia="ja-JP"/>
        </w:rPr>
        <w:t>.</w:t>
      </w:r>
    </w:p>
    <w:p w14:paraId="7214EA33" w14:textId="2C00AC9E" w:rsidR="005E6643" w:rsidRPr="009D679D" w:rsidRDefault="005E6643" w:rsidP="005E6643">
      <w:pPr>
        <w:rPr>
          <w:lang w:eastAsia="ja-JP"/>
        </w:rPr>
      </w:pPr>
      <w:r>
        <w:rPr>
          <w:lang w:eastAsia="ja-JP"/>
        </w:rPr>
        <w:t xml:space="preserve">This section includes a note </w:t>
      </w:r>
      <w:r w:rsidR="00365FE0">
        <w:rPr>
          <w:lang w:eastAsia="ja-JP"/>
        </w:rPr>
        <w:t xml:space="preserve">stating </w:t>
      </w:r>
      <w:r>
        <w:rPr>
          <w:lang w:eastAsia="ja-JP"/>
        </w:rPr>
        <w:t>that it is an offence</w:t>
      </w:r>
      <w:r w:rsidR="00365FE0">
        <w:rPr>
          <w:lang w:eastAsia="ja-JP"/>
        </w:rPr>
        <w:t>, under section 44 of the Act,</w:t>
      </w:r>
      <w:r>
        <w:rPr>
          <w:lang w:eastAsia="ja-JP"/>
        </w:rPr>
        <w:t xml:space="preserve"> to export a grape product if the export </w:t>
      </w:r>
      <w:r w:rsidR="00982D65">
        <w:rPr>
          <w:lang w:eastAsia="ja-JP"/>
        </w:rPr>
        <w:t>contravenes</w:t>
      </w:r>
      <w:r>
        <w:rPr>
          <w:lang w:eastAsia="ja-JP"/>
        </w:rPr>
        <w:t xml:space="preserve"> the</w:t>
      </w:r>
      <w:r w:rsidR="00365FE0">
        <w:rPr>
          <w:lang w:eastAsia="ja-JP"/>
        </w:rPr>
        <w:t xml:space="preserve"> </w:t>
      </w:r>
      <w:r>
        <w:rPr>
          <w:lang w:eastAsia="ja-JP"/>
        </w:rPr>
        <w:t>Regulations</w:t>
      </w:r>
      <w:r w:rsidR="00C75A99">
        <w:rPr>
          <w:lang w:eastAsia="ja-JP"/>
        </w:rPr>
        <w:t>, which includes the conditions of export set out in section 7</w:t>
      </w:r>
      <w:r>
        <w:rPr>
          <w:lang w:eastAsia="ja-JP"/>
        </w:rPr>
        <w:t>.</w:t>
      </w:r>
    </w:p>
    <w:p w14:paraId="6B615FC9" w14:textId="081AB674" w:rsidR="002B5AD9" w:rsidRDefault="002B5AD9" w:rsidP="00C21613">
      <w:pPr>
        <w:pStyle w:val="Provision"/>
      </w:pPr>
      <w:r w:rsidRPr="00734523">
        <w:t>Section</w:t>
      </w:r>
      <w:r w:rsidR="0088376F" w:rsidRPr="00734523">
        <w:t xml:space="preserve"> 8</w:t>
      </w:r>
      <w:r w:rsidRPr="00734523">
        <w:t xml:space="preserve"> – </w:t>
      </w:r>
      <w:r w:rsidR="0088376F" w:rsidRPr="00734523">
        <w:t>Exemptions</w:t>
      </w:r>
    </w:p>
    <w:p w14:paraId="5D5803C1" w14:textId="27BE8345" w:rsidR="005E6643" w:rsidRDefault="005E6643" w:rsidP="005E6643">
      <w:pPr>
        <w:rPr>
          <w:lang w:eastAsia="ja-JP"/>
        </w:rPr>
      </w:pPr>
      <w:r w:rsidRPr="009D679D">
        <w:rPr>
          <w:lang w:eastAsia="ja-JP"/>
        </w:rPr>
        <w:t xml:space="preserve">This section </w:t>
      </w:r>
      <w:r>
        <w:rPr>
          <w:lang w:eastAsia="ja-JP"/>
        </w:rPr>
        <w:t xml:space="preserve">sets out the </w:t>
      </w:r>
      <w:r w:rsidR="00365FE0">
        <w:rPr>
          <w:lang w:eastAsia="ja-JP"/>
        </w:rPr>
        <w:t>exemption</w:t>
      </w:r>
      <w:r w:rsidR="00C75A99">
        <w:rPr>
          <w:lang w:eastAsia="ja-JP"/>
        </w:rPr>
        <w:t>s</w:t>
      </w:r>
      <w:r w:rsidR="00365FE0">
        <w:rPr>
          <w:lang w:eastAsia="ja-JP"/>
        </w:rPr>
        <w:t xml:space="preserve"> from conditions </w:t>
      </w:r>
      <w:r w:rsidR="0030109A">
        <w:rPr>
          <w:lang w:eastAsia="ja-JP"/>
        </w:rPr>
        <w:t xml:space="preserve">for the </w:t>
      </w:r>
      <w:r w:rsidR="00365FE0">
        <w:rPr>
          <w:lang w:eastAsia="ja-JP"/>
        </w:rPr>
        <w:t xml:space="preserve">export </w:t>
      </w:r>
      <w:r w:rsidR="00C75A99">
        <w:rPr>
          <w:lang w:eastAsia="ja-JP"/>
        </w:rPr>
        <w:t>of consignments of</w:t>
      </w:r>
      <w:r w:rsidR="00365FE0">
        <w:rPr>
          <w:lang w:eastAsia="ja-JP"/>
        </w:rPr>
        <w:t xml:space="preserve"> grape </w:t>
      </w:r>
      <w:r>
        <w:rPr>
          <w:lang w:eastAsia="ja-JP"/>
        </w:rPr>
        <w:t xml:space="preserve">products. </w:t>
      </w:r>
    </w:p>
    <w:p w14:paraId="75E1518B" w14:textId="4E3B28D4" w:rsidR="00365FE0" w:rsidRPr="00365FE0" w:rsidRDefault="00365FE0" w:rsidP="005E6643">
      <w:pPr>
        <w:rPr>
          <w:i/>
          <w:lang w:eastAsia="ja-JP"/>
        </w:rPr>
      </w:pPr>
      <w:r>
        <w:rPr>
          <w:i/>
          <w:lang w:eastAsia="ja-JP"/>
        </w:rPr>
        <w:t>Exemptions for small quantities</w:t>
      </w:r>
    </w:p>
    <w:p w14:paraId="04E34AB3" w14:textId="4BAC5420" w:rsidR="00EA60B1" w:rsidRDefault="00E02B67" w:rsidP="005E6643">
      <w:pPr>
        <w:rPr>
          <w:lang w:eastAsia="ja-JP"/>
        </w:rPr>
      </w:pPr>
      <w:r>
        <w:rPr>
          <w:lang w:eastAsia="ja-JP"/>
        </w:rPr>
        <w:lastRenderedPageBreak/>
        <w:t>I</w:t>
      </w:r>
      <w:r w:rsidR="005E6643">
        <w:rPr>
          <w:lang w:eastAsia="ja-JP"/>
        </w:rPr>
        <w:t>f the total q</w:t>
      </w:r>
      <w:r w:rsidR="00C75A99">
        <w:rPr>
          <w:lang w:eastAsia="ja-JP"/>
        </w:rPr>
        <w:t>uantity of grape products in a</w:t>
      </w:r>
      <w:r w:rsidR="005E6643">
        <w:rPr>
          <w:lang w:eastAsia="ja-JP"/>
        </w:rPr>
        <w:t xml:space="preserve"> consignment is 100 litres or less, </w:t>
      </w:r>
      <w:r w:rsidR="00C75A99">
        <w:rPr>
          <w:lang w:eastAsia="ja-JP"/>
        </w:rPr>
        <w:t xml:space="preserve">the conditions of export in </w:t>
      </w:r>
      <w:r w:rsidR="005E6643">
        <w:rPr>
          <w:lang w:eastAsia="ja-JP"/>
        </w:rPr>
        <w:t>section 7 do not apply</w:t>
      </w:r>
      <w:r w:rsidR="00C75A99">
        <w:rPr>
          <w:lang w:eastAsia="ja-JP"/>
        </w:rPr>
        <w:t xml:space="preserve"> to the export of that consignment</w:t>
      </w:r>
      <w:r w:rsidR="005E6643">
        <w:rPr>
          <w:lang w:eastAsia="ja-JP"/>
        </w:rPr>
        <w:t xml:space="preserve">. </w:t>
      </w:r>
    </w:p>
    <w:p w14:paraId="1494E7E5" w14:textId="60CA5B38" w:rsidR="005E6643" w:rsidRDefault="00E02B67" w:rsidP="005E6643">
      <w:pPr>
        <w:rPr>
          <w:lang w:eastAsia="ja-JP"/>
        </w:rPr>
      </w:pPr>
      <w:r>
        <w:rPr>
          <w:lang w:eastAsia="ja-JP"/>
        </w:rPr>
        <w:t>F</w:t>
      </w:r>
      <w:r w:rsidR="00C75A99">
        <w:rPr>
          <w:lang w:eastAsia="ja-JP"/>
        </w:rPr>
        <w:t>or the purposes of this exemption,</w:t>
      </w:r>
      <w:r w:rsidR="005E6643">
        <w:rPr>
          <w:lang w:eastAsia="ja-JP"/>
        </w:rPr>
        <w:t xml:space="preserve"> consignments exported by two or more exporters will be considered a single consignment if the consignments are exported on a single sh</w:t>
      </w:r>
      <w:r w:rsidR="00982D65">
        <w:rPr>
          <w:lang w:eastAsia="ja-JP"/>
        </w:rPr>
        <w:t>ip or aircraft</w:t>
      </w:r>
      <w:r w:rsidR="0030109A">
        <w:rPr>
          <w:lang w:eastAsia="ja-JP"/>
        </w:rPr>
        <w:t>,</w:t>
      </w:r>
      <w:r w:rsidR="00982D65">
        <w:rPr>
          <w:lang w:eastAsia="ja-JP"/>
        </w:rPr>
        <w:t xml:space="preserve"> to a single port and the exporters are</w:t>
      </w:r>
      <w:r w:rsidR="00734523">
        <w:rPr>
          <w:lang w:eastAsia="ja-JP"/>
        </w:rPr>
        <w:t xml:space="preserve"> a single exporter, or two or more exporters who are</w:t>
      </w:r>
      <w:r w:rsidR="005E6643">
        <w:rPr>
          <w:lang w:eastAsia="ja-JP"/>
        </w:rPr>
        <w:t>:</w:t>
      </w:r>
    </w:p>
    <w:p w14:paraId="2F90FB6F" w14:textId="79E2D7E7" w:rsidR="005E6643" w:rsidRDefault="0030109A" w:rsidP="00892CB7">
      <w:pPr>
        <w:pStyle w:val="ListParagraph"/>
        <w:numPr>
          <w:ilvl w:val="0"/>
          <w:numId w:val="71"/>
        </w:numPr>
      </w:pPr>
      <w:r>
        <w:t xml:space="preserve">associated entities, as defined in section 50AAA of the </w:t>
      </w:r>
      <w:r w:rsidRPr="00892CB7">
        <w:rPr>
          <w:i/>
        </w:rPr>
        <w:t xml:space="preserve">Corporations Act 2001 </w:t>
      </w:r>
      <w:r>
        <w:t>(including individuals)</w:t>
      </w:r>
    </w:p>
    <w:p w14:paraId="680A907D" w14:textId="1FDBC0B4" w:rsidR="005E6643" w:rsidRDefault="0026116C" w:rsidP="00892CB7">
      <w:pPr>
        <w:pStyle w:val="ListParagraph"/>
        <w:numPr>
          <w:ilvl w:val="0"/>
          <w:numId w:val="71"/>
        </w:numPr>
      </w:pPr>
      <w:r>
        <w:t>individuals who are relatives,</w:t>
      </w:r>
      <w:r w:rsidR="00734523">
        <w:t xml:space="preserve"> or</w:t>
      </w:r>
    </w:p>
    <w:p w14:paraId="07BF24DB" w14:textId="15CE27B6" w:rsidR="00734523" w:rsidRDefault="00734523" w:rsidP="00892CB7">
      <w:pPr>
        <w:pStyle w:val="ListParagraph"/>
        <w:numPr>
          <w:ilvl w:val="0"/>
          <w:numId w:val="71"/>
        </w:numPr>
      </w:pPr>
      <w:r>
        <w:t>acting in concert with each other</w:t>
      </w:r>
      <w:r w:rsidR="005E6643">
        <w:t>.</w:t>
      </w:r>
    </w:p>
    <w:p w14:paraId="12FDB1C7" w14:textId="2A7D9A69" w:rsidR="005E6643" w:rsidRDefault="00734523" w:rsidP="00C047AC">
      <w:pPr>
        <w:rPr>
          <w:lang w:eastAsia="ja-JP"/>
        </w:rPr>
      </w:pPr>
      <w:r>
        <w:rPr>
          <w:lang w:eastAsia="ja-JP"/>
        </w:rPr>
        <w:t xml:space="preserve">This section is intended to prevent an individual or </w:t>
      </w:r>
      <w:r w:rsidR="00E2464C">
        <w:rPr>
          <w:lang w:eastAsia="ja-JP"/>
        </w:rPr>
        <w:t>multiple</w:t>
      </w:r>
      <w:r>
        <w:rPr>
          <w:lang w:eastAsia="ja-JP"/>
        </w:rPr>
        <w:t xml:space="preserve"> exporters from using the exemption for small </w:t>
      </w:r>
      <w:r w:rsidR="00E2464C">
        <w:rPr>
          <w:lang w:eastAsia="ja-JP"/>
        </w:rPr>
        <w:t>quantities</w:t>
      </w:r>
      <w:r>
        <w:rPr>
          <w:lang w:eastAsia="ja-JP"/>
        </w:rPr>
        <w:t xml:space="preserve"> in subsection </w:t>
      </w:r>
      <w:r w:rsidR="0026116C">
        <w:rPr>
          <w:lang w:eastAsia="ja-JP"/>
        </w:rPr>
        <w:t>8</w:t>
      </w:r>
      <w:r>
        <w:rPr>
          <w:lang w:eastAsia="ja-JP"/>
        </w:rPr>
        <w:t xml:space="preserve">(1) to circumvent the conditions of export set out in section 7. That is, an exporter or exporters cannot send multiple small consignments in the same shipment when they are in fact associated entities, relatives or are acting in concert with each other. </w:t>
      </w:r>
      <w:r w:rsidR="005E6643">
        <w:rPr>
          <w:lang w:eastAsia="ja-JP"/>
        </w:rPr>
        <w:t xml:space="preserve"> </w:t>
      </w:r>
    </w:p>
    <w:p w14:paraId="0AFD03B9" w14:textId="78DD8192" w:rsidR="00365FE0" w:rsidRPr="00365FE0" w:rsidRDefault="00605A5C" w:rsidP="00365FE0">
      <w:pPr>
        <w:rPr>
          <w:i/>
          <w:lang w:eastAsia="ja-JP"/>
        </w:rPr>
      </w:pPr>
      <w:r>
        <w:rPr>
          <w:i/>
          <w:lang w:eastAsia="ja-JP"/>
        </w:rPr>
        <w:br w:type="column"/>
      </w:r>
      <w:r w:rsidR="00365FE0" w:rsidRPr="00365FE0">
        <w:rPr>
          <w:i/>
          <w:lang w:eastAsia="ja-JP"/>
        </w:rPr>
        <w:lastRenderedPageBreak/>
        <w:t>Exemption for certain purposes</w:t>
      </w:r>
    </w:p>
    <w:p w14:paraId="2999DB50" w14:textId="4E1A5234" w:rsidR="005E6643" w:rsidRDefault="00365FE0" w:rsidP="005E6643">
      <w:pPr>
        <w:rPr>
          <w:lang w:eastAsia="ja-JP"/>
        </w:rPr>
      </w:pPr>
      <w:r>
        <w:rPr>
          <w:lang w:eastAsia="ja-JP"/>
        </w:rPr>
        <w:t>The conditions for export (in s</w:t>
      </w:r>
      <w:r w:rsidR="005E6643">
        <w:rPr>
          <w:lang w:eastAsia="ja-JP"/>
        </w:rPr>
        <w:t>ection 7</w:t>
      </w:r>
      <w:r>
        <w:rPr>
          <w:lang w:eastAsia="ja-JP"/>
        </w:rPr>
        <w:t>) do</w:t>
      </w:r>
      <w:r w:rsidR="005E6643">
        <w:rPr>
          <w:lang w:eastAsia="ja-JP"/>
        </w:rPr>
        <w:t xml:space="preserve"> not apply to the export of grape product if </w:t>
      </w:r>
      <w:r w:rsidR="00C75A99">
        <w:rPr>
          <w:lang w:eastAsia="ja-JP"/>
        </w:rPr>
        <w:t>the grape product</w:t>
      </w:r>
      <w:r w:rsidR="00E02B67">
        <w:rPr>
          <w:lang w:eastAsia="ja-JP"/>
        </w:rPr>
        <w:t xml:space="preserve"> is</w:t>
      </w:r>
      <w:r w:rsidR="005E6643">
        <w:rPr>
          <w:lang w:eastAsia="ja-JP"/>
        </w:rPr>
        <w:t>:</w:t>
      </w:r>
    </w:p>
    <w:p w14:paraId="0E7F5280" w14:textId="62D06D14" w:rsidR="005E6643" w:rsidRDefault="005E6643" w:rsidP="00F164D2">
      <w:pPr>
        <w:pStyle w:val="ListParagraph"/>
        <w:numPr>
          <w:ilvl w:val="0"/>
          <w:numId w:val="71"/>
        </w:numPr>
        <w:tabs>
          <w:tab w:val="left" w:pos="426"/>
        </w:tabs>
      </w:pPr>
      <w:r>
        <w:t>contained in the personal luggage of a traveller</w:t>
      </w:r>
    </w:p>
    <w:p w14:paraId="458CA216" w14:textId="70F59073" w:rsidR="005E6643" w:rsidRDefault="00C75A99" w:rsidP="00F164D2">
      <w:pPr>
        <w:pStyle w:val="ListParagraph"/>
        <w:numPr>
          <w:ilvl w:val="0"/>
          <w:numId w:val="71"/>
        </w:numPr>
        <w:tabs>
          <w:tab w:val="left" w:pos="426"/>
        </w:tabs>
      </w:pPr>
      <w:r>
        <w:t xml:space="preserve">for domestic use and </w:t>
      </w:r>
      <w:r w:rsidR="005E6643">
        <w:t>belongs to an individual who is moving house</w:t>
      </w:r>
    </w:p>
    <w:p w14:paraId="3F32F890" w14:textId="17B3731B" w:rsidR="005E6643" w:rsidRDefault="005E6643" w:rsidP="00F164D2">
      <w:pPr>
        <w:pStyle w:val="ListParagraph"/>
        <w:numPr>
          <w:ilvl w:val="0"/>
          <w:numId w:val="71"/>
        </w:numPr>
        <w:tabs>
          <w:tab w:val="left" w:pos="426"/>
        </w:tabs>
      </w:pPr>
      <w:r>
        <w:t>intended for display at a trade fair or comparable event</w:t>
      </w:r>
    </w:p>
    <w:p w14:paraId="21768C99" w14:textId="5A5398DE" w:rsidR="005E6643" w:rsidRDefault="005E6643" w:rsidP="00F164D2">
      <w:pPr>
        <w:pStyle w:val="ListParagraph"/>
        <w:numPr>
          <w:ilvl w:val="0"/>
          <w:numId w:val="71"/>
        </w:numPr>
        <w:tabs>
          <w:tab w:val="left" w:pos="426"/>
        </w:tabs>
      </w:pPr>
      <w:r>
        <w:t>exported for a scientific or technical purpose</w:t>
      </w:r>
    </w:p>
    <w:p w14:paraId="5BFC8CB7" w14:textId="541C501E" w:rsidR="005E6643" w:rsidRDefault="005E6643" w:rsidP="00F164D2">
      <w:pPr>
        <w:pStyle w:val="ListParagraph"/>
        <w:numPr>
          <w:ilvl w:val="0"/>
          <w:numId w:val="71"/>
        </w:numPr>
        <w:tabs>
          <w:tab w:val="left" w:pos="426"/>
        </w:tabs>
      </w:pPr>
      <w:r>
        <w:t>exported by a diplomatic, consular or similar establishment as part of the duty free allowance of the establishment</w:t>
      </w:r>
    </w:p>
    <w:p w14:paraId="02AF3F19" w14:textId="5D3A7613" w:rsidR="005E6643" w:rsidRDefault="005E6643" w:rsidP="00F164D2">
      <w:pPr>
        <w:pStyle w:val="ListParagraph"/>
        <w:numPr>
          <w:ilvl w:val="0"/>
          <w:numId w:val="71"/>
        </w:numPr>
        <w:tabs>
          <w:tab w:val="left" w:pos="426"/>
        </w:tabs>
      </w:pPr>
      <w:r>
        <w:t xml:space="preserve">held on board a plane or vessel as part of its </w:t>
      </w:r>
      <w:r w:rsidR="00C75A99">
        <w:t>victuall</w:t>
      </w:r>
      <w:r w:rsidR="00E2464C">
        <w:t>ing</w:t>
      </w:r>
      <w:r w:rsidR="00C75A99">
        <w:t xml:space="preserve"> supplies (that is, its </w:t>
      </w:r>
      <w:r>
        <w:t>beverage supply on international routes</w:t>
      </w:r>
      <w:r w:rsidR="00C75A99">
        <w:t>)</w:t>
      </w:r>
      <w:r w:rsidR="0026116C">
        <w:t>,</w:t>
      </w:r>
      <w:r>
        <w:t xml:space="preserve"> or</w:t>
      </w:r>
    </w:p>
    <w:p w14:paraId="181443CD" w14:textId="26D09550" w:rsidR="005E6643" w:rsidRDefault="005E6643" w:rsidP="00F164D2">
      <w:pPr>
        <w:pStyle w:val="ListParagraph"/>
        <w:numPr>
          <w:ilvl w:val="0"/>
          <w:numId w:val="71"/>
        </w:numPr>
        <w:tabs>
          <w:tab w:val="left" w:pos="426"/>
        </w:tabs>
      </w:pPr>
      <w:r>
        <w:t>a commercial sample for a prospective buyer.</w:t>
      </w:r>
    </w:p>
    <w:p w14:paraId="292E7198" w14:textId="41BF672A" w:rsidR="0088376F" w:rsidRDefault="0088376F" w:rsidP="0088376F">
      <w:pPr>
        <w:pStyle w:val="Heading3"/>
      </w:pPr>
      <w:bookmarkStart w:id="3" w:name="_Toc501464021"/>
      <w:r>
        <w:t>Division 2—Export licences</w:t>
      </w:r>
      <w:bookmarkEnd w:id="3"/>
    </w:p>
    <w:p w14:paraId="7AC7D21C" w14:textId="77777777" w:rsidR="0088376F" w:rsidRDefault="0088376F" w:rsidP="00C21613">
      <w:pPr>
        <w:pStyle w:val="Provision"/>
      </w:pPr>
      <w:r>
        <w:t xml:space="preserve">Section 9 </w:t>
      </w:r>
      <w:r w:rsidR="002B5AD9">
        <w:t xml:space="preserve">– </w:t>
      </w:r>
      <w:r>
        <w:t>Grant of licence</w:t>
      </w:r>
    </w:p>
    <w:p w14:paraId="1D43C6AC" w14:textId="0A6965FB" w:rsidR="001656F9" w:rsidRDefault="006D4309" w:rsidP="00C77010">
      <w:r>
        <w:t>This section provides that f</w:t>
      </w:r>
      <w:r w:rsidR="00332AF1">
        <w:t xml:space="preserve">or a consignment of a grape product to be exported, the </w:t>
      </w:r>
      <w:r w:rsidR="007728FD">
        <w:t>exporter of the consignment must hold</w:t>
      </w:r>
      <w:r w:rsidR="00332AF1">
        <w:t xml:space="preserve"> a lice</w:t>
      </w:r>
      <w:r w:rsidR="00D62EBD">
        <w:t xml:space="preserve">nce granted under this section as required under </w:t>
      </w:r>
      <w:r w:rsidR="00365FE0">
        <w:t>paragraph 7(a)</w:t>
      </w:r>
      <w:r w:rsidR="00C77010">
        <w:t xml:space="preserve">. </w:t>
      </w:r>
    </w:p>
    <w:p w14:paraId="2B2D51A6" w14:textId="08153437" w:rsidR="00BC6ABE" w:rsidRDefault="00332AF1" w:rsidP="00C77010">
      <w:r>
        <w:t xml:space="preserve">A licence to export grape products from Australia may be granted by the Authority when a person applies for a licence under this section. </w:t>
      </w:r>
      <w:r w:rsidR="00BC6ABE">
        <w:t>An application for a licence must be made in a form approved by the Authority, in writin</w:t>
      </w:r>
      <w:r w:rsidR="00E646A8">
        <w:t>g</w:t>
      </w:r>
      <w:r w:rsidR="00BC6ABE">
        <w:t>.</w:t>
      </w:r>
    </w:p>
    <w:p w14:paraId="79EC48B3" w14:textId="3D929FC3" w:rsidR="00C77010" w:rsidRDefault="00BC6ABE" w:rsidP="00C77010">
      <w:r>
        <w:t xml:space="preserve">On receiving an application for a licence as per subsection </w:t>
      </w:r>
      <w:r w:rsidR="0026116C">
        <w:t>9</w:t>
      </w:r>
      <w:r>
        <w:t xml:space="preserve">(1), the </w:t>
      </w:r>
      <w:r w:rsidR="00C77010">
        <w:t>Authority</w:t>
      </w:r>
      <w:r>
        <w:t xml:space="preserve"> must either grant the licence or refuse to grant the licence. A licence</w:t>
      </w:r>
      <w:r w:rsidR="00C77010">
        <w:t xml:space="preserve"> is grant</w:t>
      </w:r>
      <w:r>
        <w:t>ed</w:t>
      </w:r>
      <w:r w:rsidR="00C77010">
        <w:t xml:space="preserve"> when it is given to the person in writing. </w:t>
      </w:r>
      <w:r w:rsidR="001656F9">
        <w:t>If the Authority decides not to grant a licence, it must notify the applicant in writing of its decision</w:t>
      </w:r>
      <w:r w:rsidR="003E5D34">
        <w:t>.</w:t>
      </w:r>
      <w:r w:rsidR="00525198">
        <w:t xml:space="preserve"> </w:t>
      </w:r>
      <w:r w:rsidR="003E5D34">
        <w:t xml:space="preserve">The notice must </w:t>
      </w:r>
      <w:r w:rsidR="007A4DE3">
        <w:t>sta</w:t>
      </w:r>
      <w:r w:rsidR="00525198">
        <w:t>te the reasons for the decision</w:t>
      </w:r>
      <w:r w:rsidR="001656F9">
        <w:t>.</w:t>
      </w:r>
    </w:p>
    <w:p w14:paraId="1B6C7679" w14:textId="24C8B476" w:rsidR="00C77010" w:rsidRDefault="007728FD" w:rsidP="00C77010">
      <w:r>
        <w:t xml:space="preserve">This section also prescribes the matters that the Authority must consider when deciding whether to grant a licence to a person to export grape products from Australia. </w:t>
      </w:r>
      <w:r w:rsidR="00C77010">
        <w:t>In deciding whether to gr</w:t>
      </w:r>
      <w:r w:rsidR="005D6484">
        <w:t>ant a licence under section 9</w:t>
      </w:r>
      <w:r w:rsidR="00C77010">
        <w:t>, the Authority must consider</w:t>
      </w:r>
      <w:r w:rsidR="00DC0542">
        <w:t xml:space="preserve"> </w:t>
      </w:r>
      <w:r w:rsidR="001656F9">
        <w:t>the following matters</w:t>
      </w:r>
      <w:r w:rsidR="00C77010">
        <w:t xml:space="preserve">: </w:t>
      </w:r>
    </w:p>
    <w:p w14:paraId="70A7F31D" w14:textId="42FB7D82" w:rsidR="00C77010" w:rsidRDefault="00C77010" w:rsidP="00F164D2">
      <w:pPr>
        <w:pStyle w:val="ListParagraph"/>
        <w:numPr>
          <w:ilvl w:val="0"/>
          <w:numId w:val="71"/>
        </w:numPr>
      </w:pPr>
      <w:r>
        <w:t>the</w:t>
      </w:r>
      <w:r w:rsidR="0026116C">
        <w:t xml:space="preserve"> applicant’s financial standing</w:t>
      </w:r>
    </w:p>
    <w:p w14:paraId="354EB305" w14:textId="2AFCF2CF" w:rsidR="00C77010" w:rsidRDefault="00C77010" w:rsidP="00F164D2">
      <w:pPr>
        <w:pStyle w:val="ListParagraph"/>
        <w:numPr>
          <w:ilvl w:val="0"/>
          <w:numId w:val="71"/>
        </w:numPr>
      </w:pPr>
      <w:r>
        <w:t xml:space="preserve">the applicant’s place </w:t>
      </w:r>
      <w:r w:rsidR="00E02B67">
        <w:t xml:space="preserve">(or places) </w:t>
      </w:r>
      <w:r>
        <w:t>of business,</w:t>
      </w:r>
      <w:r w:rsidR="0026116C">
        <w:t xml:space="preserve"> and whether it is in Australia</w:t>
      </w:r>
    </w:p>
    <w:p w14:paraId="59529D12" w14:textId="5826C3BD" w:rsidR="00C77010" w:rsidRDefault="00C77010" w:rsidP="00F164D2">
      <w:pPr>
        <w:pStyle w:val="ListParagraph"/>
        <w:numPr>
          <w:ilvl w:val="0"/>
          <w:numId w:val="71"/>
        </w:numPr>
      </w:pPr>
      <w:r>
        <w:t>the applicant’s ability to source Australian grape products</w:t>
      </w:r>
    </w:p>
    <w:p w14:paraId="5BDE1A57" w14:textId="6B2AA752" w:rsidR="00E646A8" w:rsidRDefault="00E646A8" w:rsidP="00F164D2">
      <w:pPr>
        <w:pStyle w:val="ListParagraph"/>
        <w:numPr>
          <w:ilvl w:val="0"/>
          <w:numId w:val="71"/>
        </w:numPr>
      </w:pPr>
      <w:r>
        <w:t>matters relat</w:t>
      </w:r>
      <w:r w:rsidR="00A56E09">
        <w:t>ing</w:t>
      </w:r>
      <w:r>
        <w:t xml:space="preserve"> to the applicant that may have or have had a negative impact on the </w:t>
      </w:r>
      <w:r w:rsidR="0026116C">
        <w:t>export trade in grape products</w:t>
      </w:r>
    </w:p>
    <w:p w14:paraId="266CCDA9" w14:textId="65EEE26D" w:rsidR="00E646A8" w:rsidRDefault="00E646A8" w:rsidP="00F164D2">
      <w:pPr>
        <w:pStyle w:val="ListParagraph"/>
        <w:numPr>
          <w:ilvl w:val="0"/>
          <w:numId w:val="71"/>
        </w:numPr>
      </w:pPr>
      <w:r>
        <w:t>matters relat</w:t>
      </w:r>
      <w:r w:rsidR="00A56E09">
        <w:t>ing</w:t>
      </w:r>
      <w:r>
        <w:t xml:space="preserve"> to the applicant and the promotion of the export of grape products </w:t>
      </w:r>
    </w:p>
    <w:p w14:paraId="725CE39C" w14:textId="25A6C8DD" w:rsidR="00C77010" w:rsidRDefault="001656F9" w:rsidP="00F164D2">
      <w:pPr>
        <w:pStyle w:val="ListParagraph"/>
        <w:numPr>
          <w:ilvl w:val="0"/>
          <w:numId w:val="71"/>
        </w:numPr>
      </w:pPr>
      <w:r>
        <w:t>whether the Authority has suspended or cancelled a licence held by:</w:t>
      </w:r>
    </w:p>
    <w:p w14:paraId="67CC5A08" w14:textId="0D800D41" w:rsidR="001656F9" w:rsidRDefault="001656F9" w:rsidP="00F164D2">
      <w:pPr>
        <w:pStyle w:val="ListParagraph"/>
        <w:numPr>
          <w:ilvl w:val="1"/>
          <w:numId w:val="67"/>
        </w:numPr>
      </w:pPr>
      <w:r>
        <w:t>the applicant</w:t>
      </w:r>
      <w:r w:rsidR="00833C44">
        <w:t>, or</w:t>
      </w:r>
    </w:p>
    <w:p w14:paraId="401F78B4" w14:textId="2DB55AA7" w:rsidR="001656F9" w:rsidRDefault="00C876E8" w:rsidP="00F164D2">
      <w:pPr>
        <w:pStyle w:val="ListParagraph"/>
        <w:numPr>
          <w:ilvl w:val="1"/>
          <w:numId w:val="67"/>
        </w:numPr>
      </w:pPr>
      <w:r>
        <w:t xml:space="preserve">an associate of the applicant, and </w:t>
      </w:r>
    </w:p>
    <w:p w14:paraId="0F337926" w14:textId="76ACAF2F" w:rsidR="007A4DE3" w:rsidRDefault="001656F9" w:rsidP="00F164D2">
      <w:pPr>
        <w:pStyle w:val="ListParagraph"/>
        <w:numPr>
          <w:ilvl w:val="0"/>
          <w:numId w:val="71"/>
        </w:numPr>
      </w:pPr>
      <w:r>
        <w:t>whether the applicant is a fit and proper person (</w:t>
      </w:r>
      <w:r w:rsidR="007728FD">
        <w:t>as set out in</w:t>
      </w:r>
      <w:r>
        <w:t xml:space="preserve"> section 10). </w:t>
      </w:r>
    </w:p>
    <w:p w14:paraId="57E6E527" w14:textId="0C881677" w:rsidR="007A4DE3" w:rsidRDefault="007A4DE3" w:rsidP="007A4DE3">
      <w:r>
        <w:lastRenderedPageBreak/>
        <w:t xml:space="preserve">The Authority may also consider any other matter relating to the promotion of the export of grape products, </w:t>
      </w:r>
      <w:r w:rsidR="00C44C9A">
        <w:t>for example,</w:t>
      </w:r>
      <w:r>
        <w:t xml:space="preserve"> the </w:t>
      </w:r>
      <w:r w:rsidRPr="007A4DE3">
        <w:t>number of licences in force authorising the export of grape products in respect of which the applicant has applied for a licence</w:t>
      </w:r>
      <w:r>
        <w:t>.</w:t>
      </w:r>
      <w:r w:rsidR="00C44C9A">
        <w:t xml:space="preserve"> </w:t>
      </w:r>
    </w:p>
    <w:p w14:paraId="63E26E55" w14:textId="64C0B21A" w:rsidR="002B5AD9" w:rsidRDefault="00605A5C" w:rsidP="00C21613">
      <w:pPr>
        <w:pStyle w:val="Provision"/>
      </w:pPr>
      <w:r>
        <w:br w:type="column"/>
      </w:r>
      <w:r w:rsidR="0088376F">
        <w:lastRenderedPageBreak/>
        <w:t xml:space="preserve">Section 10 – </w:t>
      </w:r>
      <w:r w:rsidR="002B5AD9">
        <w:t>Fit and proper person test for grant of licence</w:t>
      </w:r>
    </w:p>
    <w:p w14:paraId="4D6A749C" w14:textId="57D9F96E" w:rsidR="001656F9" w:rsidRDefault="00C77010" w:rsidP="00C77010">
      <w:r>
        <w:t xml:space="preserve">This section sets out the </w:t>
      </w:r>
      <w:r w:rsidR="001656F9">
        <w:t>fit and proper person test that the Author</w:t>
      </w:r>
      <w:r w:rsidR="00E2464C">
        <w:t>it</w:t>
      </w:r>
      <w:r w:rsidR="001656F9">
        <w:t xml:space="preserve">y must consider in deciding whether to grant a licence for a person to export grape products from Australia (under section 9). </w:t>
      </w:r>
    </w:p>
    <w:p w14:paraId="42B4698F" w14:textId="7B49B66E" w:rsidR="001656F9" w:rsidRDefault="001656F9" w:rsidP="00C77010">
      <w:r>
        <w:t>In determining whether the applicant is a fit and proper person, the Authority must have regard to whether the applicant or their associate has:</w:t>
      </w:r>
    </w:p>
    <w:p w14:paraId="3F347F1D" w14:textId="487AC9B0" w:rsidR="001656F9" w:rsidRDefault="001656F9" w:rsidP="00F164D2">
      <w:pPr>
        <w:pStyle w:val="ListParagraph"/>
        <w:numPr>
          <w:ilvl w:val="0"/>
          <w:numId w:val="71"/>
        </w:numPr>
      </w:pPr>
      <w:r>
        <w:t>any conviction</w:t>
      </w:r>
      <w:r w:rsidR="0026116C">
        <w:t>s for offences against the Act</w:t>
      </w:r>
    </w:p>
    <w:p w14:paraId="691A599E" w14:textId="5073AC8D" w:rsidR="00C77010" w:rsidRDefault="001656F9" w:rsidP="00F164D2">
      <w:pPr>
        <w:pStyle w:val="ListParagraph"/>
        <w:numPr>
          <w:ilvl w:val="0"/>
          <w:numId w:val="71"/>
        </w:numPr>
      </w:pPr>
      <w:r>
        <w:t>any debts</w:t>
      </w:r>
      <w:r w:rsidR="0026116C">
        <w:t xml:space="preserve"> due and payable under the Act</w:t>
      </w:r>
    </w:p>
    <w:p w14:paraId="56B9F713" w14:textId="6740A96E" w:rsidR="001656F9" w:rsidRDefault="001656F9" w:rsidP="00F164D2">
      <w:pPr>
        <w:pStyle w:val="ListParagraph"/>
        <w:numPr>
          <w:ilvl w:val="0"/>
          <w:numId w:val="71"/>
        </w:numPr>
      </w:pPr>
      <w:r>
        <w:t xml:space="preserve">any wine export </w:t>
      </w:r>
      <w:r w:rsidR="00097587">
        <w:t>charges due and payable that have</w:t>
      </w:r>
      <w:r w:rsidR="0026116C">
        <w:t xml:space="preserve"> not been paid, or</w:t>
      </w:r>
    </w:p>
    <w:p w14:paraId="40E235AB" w14:textId="29771CB7" w:rsidR="001656F9" w:rsidRDefault="001656F9" w:rsidP="00F164D2">
      <w:pPr>
        <w:pStyle w:val="ListParagraph"/>
        <w:numPr>
          <w:ilvl w:val="0"/>
          <w:numId w:val="71"/>
        </w:numPr>
        <w:rPr>
          <w:lang w:eastAsia="ja-JP"/>
        </w:rPr>
      </w:pPr>
      <w:r>
        <w:t>had a previous application for an approval of a grape product, an export certificate or any other form of approval under the Act refused or revoked</w:t>
      </w:r>
      <w:r>
        <w:rPr>
          <w:lang w:eastAsia="ja-JP"/>
        </w:rPr>
        <w:t xml:space="preserve">. </w:t>
      </w:r>
    </w:p>
    <w:p w14:paraId="5995716B" w14:textId="7D65F274" w:rsidR="001656F9" w:rsidRDefault="001656F9" w:rsidP="001656F9">
      <w:r>
        <w:t xml:space="preserve">The Authority may also have regard to </w:t>
      </w:r>
      <w:r w:rsidR="007728FD">
        <w:t xml:space="preserve">whether the applicant has </w:t>
      </w:r>
      <w:r>
        <w:t>other convictions or orders to pay pecuniary penalties under any Australian law, or any other relevant matter.</w:t>
      </w:r>
    </w:p>
    <w:p w14:paraId="62B04102" w14:textId="60C73B1F" w:rsidR="001656F9" w:rsidRPr="001656F9" w:rsidRDefault="001656F9" w:rsidP="001656F9">
      <w:r>
        <w:t xml:space="preserve">This section does not affect the operation of Part VIIC of the </w:t>
      </w:r>
      <w:r>
        <w:rPr>
          <w:i/>
        </w:rPr>
        <w:t xml:space="preserve">Crimes Act 1914. </w:t>
      </w:r>
    </w:p>
    <w:p w14:paraId="7348930C" w14:textId="72D820BC" w:rsidR="002B5AD9" w:rsidRDefault="0088376F" w:rsidP="00C21613">
      <w:pPr>
        <w:pStyle w:val="Provision"/>
      </w:pPr>
      <w:r>
        <w:t>Section 11 – Period of licence</w:t>
      </w:r>
    </w:p>
    <w:p w14:paraId="45D7EA2A" w14:textId="071D9BAF" w:rsidR="00C77010" w:rsidRDefault="00C77010" w:rsidP="00C77010">
      <w:r>
        <w:t>This section provides</w:t>
      </w:r>
      <w:r w:rsidR="001656F9">
        <w:t xml:space="preserve"> for the </w:t>
      </w:r>
      <w:r w:rsidR="00E02B67">
        <w:t>period that a licence granted under</w:t>
      </w:r>
      <w:r w:rsidR="001656F9">
        <w:t xml:space="preserve"> </w:t>
      </w:r>
      <w:r w:rsidR="00365A70">
        <w:t>this division</w:t>
      </w:r>
      <w:r w:rsidR="001656F9">
        <w:t xml:space="preserve"> is in force. Licences are in force for the period set out in</w:t>
      </w:r>
      <w:r w:rsidR="0026116C">
        <w:t xml:space="preserve"> the licence, for a maximum of three</w:t>
      </w:r>
      <w:r w:rsidR="001656F9">
        <w:t xml:space="preserve"> years for the first period of the licence. </w:t>
      </w:r>
    </w:p>
    <w:p w14:paraId="4577012F" w14:textId="2FB56F8E" w:rsidR="001656F9" w:rsidRPr="00C77010" w:rsidRDefault="001656F9" w:rsidP="00C77010">
      <w:r>
        <w:t>Licensees may apply, in writing, for the period of their licence to be extended. The Authority</w:t>
      </w:r>
      <w:r w:rsidR="0026116C">
        <w:t xml:space="preserve"> may grant extensions of up to three</w:t>
      </w:r>
      <w:r>
        <w:t xml:space="preserve"> years upon </w:t>
      </w:r>
      <w:r w:rsidR="007728FD">
        <w:t>such application</w:t>
      </w:r>
      <w:r w:rsidR="00E646A8">
        <w:t xml:space="preserve"> in a notice to the </w:t>
      </w:r>
      <w:r w:rsidR="00E2464C">
        <w:t>licensee</w:t>
      </w:r>
      <w:r>
        <w:t xml:space="preserve">. </w:t>
      </w:r>
    </w:p>
    <w:p w14:paraId="28BF8533" w14:textId="4C3EFDCB" w:rsidR="00AD1275" w:rsidRDefault="00AD1275" w:rsidP="00C21613">
      <w:pPr>
        <w:pStyle w:val="Provision"/>
      </w:pPr>
      <w:r w:rsidRPr="008A4DDF">
        <w:t>Section 12 – Authority may request information from licensee</w:t>
      </w:r>
    </w:p>
    <w:p w14:paraId="5943557F" w14:textId="5CB506BE" w:rsidR="00822B2B" w:rsidRDefault="00822B2B" w:rsidP="008A4DDF">
      <w:r>
        <w:t xml:space="preserve">This section provides that the Authority may request particular information from a person </w:t>
      </w:r>
      <w:r w:rsidR="00AD2088">
        <w:t xml:space="preserve">who was </w:t>
      </w:r>
      <w:r>
        <w:t xml:space="preserve">granted a licence under section 9. If the person holding the licence (the licensee) fails to comply with a request made under this section, they may have their licence suspended by the Authority under subsection 13(2). </w:t>
      </w:r>
    </w:p>
    <w:p w14:paraId="4EF15499" w14:textId="1B85E035" w:rsidR="00822B2B" w:rsidRDefault="00822B2B" w:rsidP="008A4DDF">
      <w:r>
        <w:t xml:space="preserve">The </w:t>
      </w:r>
      <w:r w:rsidR="00E2464C">
        <w:t>Authority</w:t>
      </w:r>
      <w:r>
        <w:t xml:space="preserve"> may ask the licensee to provide information:</w:t>
      </w:r>
    </w:p>
    <w:p w14:paraId="1A64518E" w14:textId="15EA3D54" w:rsidR="00822B2B" w:rsidRDefault="00822B2B" w:rsidP="00F164D2">
      <w:pPr>
        <w:pStyle w:val="ListParagraph"/>
        <w:numPr>
          <w:ilvl w:val="0"/>
          <w:numId w:val="71"/>
        </w:numPr>
      </w:pPr>
      <w:r>
        <w:t xml:space="preserve">about a matter listed in subsection 9(3) </w:t>
      </w:r>
      <w:r w:rsidR="00E02B67">
        <w:t xml:space="preserve">that </w:t>
      </w:r>
      <w:r>
        <w:t>the Authority relied upon in granting the licence to the licensee</w:t>
      </w:r>
    </w:p>
    <w:p w14:paraId="68246200" w14:textId="531B1567" w:rsidR="00822B2B" w:rsidRDefault="00822B2B" w:rsidP="00F164D2">
      <w:pPr>
        <w:pStyle w:val="ListParagraph"/>
        <w:numPr>
          <w:ilvl w:val="0"/>
          <w:numId w:val="71"/>
        </w:numPr>
      </w:pPr>
      <w:r>
        <w:t>about the licensee’s export, or int</w:t>
      </w:r>
      <w:r w:rsidR="0002114B">
        <w:t>ended export, of grape products,</w:t>
      </w:r>
      <w:r>
        <w:t xml:space="preserve"> or</w:t>
      </w:r>
    </w:p>
    <w:p w14:paraId="74D54DE9" w14:textId="1E08B369" w:rsidR="00822B2B" w:rsidRDefault="00822B2B" w:rsidP="00F164D2">
      <w:pPr>
        <w:pStyle w:val="ListParagraph"/>
        <w:numPr>
          <w:ilvl w:val="0"/>
          <w:numId w:val="71"/>
        </w:numPr>
      </w:pPr>
      <w:r>
        <w:t xml:space="preserve">that the Authority can use to calculate the wine export charge payable by the licensee.  </w:t>
      </w:r>
    </w:p>
    <w:p w14:paraId="0AA751B9" w14:textId="6DAD1B9E" w:rsidR="00525198" w:rsidRPr="00A56E09" w:rsidRDefault="008A4DDF" w:rsidP="00C21613">
      <w:pPr>
        <w:pStyle w:val="Provision"/>
        <w:rPr>
          <w:rFonts w:eastAsia="Times New Roman"/>
          <w:i w:val="0"/>
          <w:lang w:eastAsia="en-US"/>
        </w:rPr>
      </w:pPr>
      <w:r w:rsidRPr="00A56E09">
        <w:rPr>
          <w:rFonts w:eastAsia="Times New Roman"/>
          <w:i w:val="0"/>
          <w:lang w:eastAsia="en-US"/>
        </w:rPr>
        <w:t xml:space="preserve">For the Authority to request information from a licensee under this section it must be in writing, clearly identify the information required and state the deadline for the licensee to provide the information to the Authority.  </w:t>
      </w:r>
    </w:p>
    <w:p w14:paraId="541A2B08" w14:textId="2EA0D815" w:rsidR="002B5AD9" w:rsidRDefault="002B5AD9" w:rsidP="00C21613">
      <w:pPr>
        <w:pStyle w:val="Provision"/>
      </w:pPr>
      <w:r>
        <w:t xml:space="preserve">Section </w:t>
      </w:r>
      <w:r w:rsidR="00AD1275">
        <w:t>13</w:t>
      </w:r>
      <w:r>
        <w:t xml:space="preserve"> – Suspension and cance</w:t>
      </w:r>
      <w:r w:rsidR="00AD1275">
        <w:t>llation of licence</w:t>
      </w:r>
    </w:p>
    <w:p w14:paraId="1EB185E6" w14:textId="3F46ADAB" w:rsidR="00C77010" w:rsidRDefault="00C77010" w:rsidP="00C77010">
      <w:r>
        <w:t>This section provides</w:t>
      </w:r>
      <w:r w:rsidR="001656F9">
        <w:t xml:space="preserve"> that the Authority may suspend or cancel a licence under </w:t>
      </w:r>
      <w:r w:rsidR="00365A70">
        <w:t>this division</w:t>
      </w:r>
      <w:r w:rsidR="001656F9">
        <w:t xml:space="preserve"> by notice to the licensee. A suspension or cancellation can be issued where:</w:t>
      </w:r>
    </w:p>
    <w:p w14:paraId="4A33653C" w14:textId="1BECAFA0" w:rsidR="001656F9" w:rsidRDefault="001656F9" w:rsidP="00F164D2">
      <w:pPr>
        <w:pStyle w:val="ListParagraph"/>
        <w:numPr>
          <w:ilvl w:val="0"/>
          <w:numId w:val="71"/>
        </w:numPr>
      </w:pPr>
      <w:r>
        <w:lastRenderedPageBreak/>
        <w:t xml:space="preserve">a material change has occurred that affects the </w:t>
      </w:r>
      <w:r w:rsidR="007728FD">
        <w:t>matters that the Authority has considered</w:t>
      </w:r>
      <w:r>
        <w:t xml:space="preserve"> under </w:t>
      </w:r>
      <w:r w:rsidR="0002114B">
        <w:t>sub</w:t>
      </w:r>
      <w:r>
        <w:t>section 9</w:t>
      </w:r>
      <w:r w:rsidR="007728FD">
        <w:t>(3)</w:t>
      </w:r>
    </w:p>
    <w:p w14:paraId="1AA6BE7B" w14:textId="4E685FA6" w:rsidR="001656F9" w:rsidRDefault="001656F9" w:rsidP="00F164D2">
      <w:pPr>
        <w:pStyle w:val="ListParagraph"/>
        <w:numPr>
          <w:ilvl w:val="0"/>
          <w:numId w:val="71"/>
        </w:numPr>
      </w:pPr>
      <w:r>
        <w:t>the licensee changes their</w:t>
      </w:r>
      <w:r w:rsidRPr="001656F9">
        <w:t xml:space="preserve"> </w:t>
      </w:r>
      <w:r>
        <w:t>Australian place of business and does not inform the Authority of the new place of busines</w:t>
      </w:r>
      <w:r w:rsidR="0002114B">
        <w:t>s within 14 days of the change</w:t>
      </w:r>
    </w:p>
    <w:p w14:paraId="1DD0204D" w14:textId="105607AB" w:rsidR="001656F9" w:rsidRDefault="001656F9" w:rsidP="00F164D2">
      <w:pPr>
        <w:pStyle w:val="ListParagraph"/>
        <w:numPr>
          <w:ilvl w:val="0"/>
          <w:numId w:val="71"/>
        </w:numPr>
      </w:pPr>
      <w:r>
        <w:t xml:space="preserve">the licensee </w:t>
      </w:r>
      <w:r w:rsidR="007728FD">
        <w:t xml:space="preserve">exports a grape product in contravention of the Act or Regulations, for example if the applicant </w:t>
      </w:r>
      <w:r>
        <w:t>does not comply with the conditions of export as se</w:t>
      </w:r>
      <w:r w:rsidR="0002114B">
        <w:t>t out in the Act or Regulations</w:t>
      </w:r>
    </w:p>
    <w:p w14:paraId="28C35FF7" w14:textId="563F6E32" w:rsidR="00545F31" w:rsidRDefault="00A72B16" w:rsidP="00F164D2">
      <w:pPr>
        <w:pStyle w:val="ListParagraph"/>
        <w:numPr>
          <w:ilvl w:val="0"/>
          <w:numId w:val="71"/>
        </w:numPr>
      </w:pPr>
      <w:r>
        <w:t xml:space="preserve">the licensee has not paid a wine export charge that they are liable to pay, and </w:t>
      </w:r>
      <w:r w:rsidR="00E02B67">
        <w:t xml:space="preserve">it </w:t>
      </w:r>
      <w:r>
        <w:t>is due for payment</w:t>
      </w:r>
      <w:r w:rsidR="0002114B">
        <w:t>, or</w:t>
      </w:r>
    </w:p>
    <w:p w14:paraId="71B4D146" w14:textId="7AD57322" w:rsidR="00A72B16" w:rsidRDefault="00E646A8" w:rsidP="00F164D2">
      <w:pPr>
        <w:pStyle w:val="ListParagraph"/>
        <w:numPr>
          <w:ilvl w:val="0"/>
          <w:numId w:val="71"/>
        </w:numPr>
      </w:pPr>
      <w:r>
        <w:t xml:space="preserve">a </w:t>
      </w:r>
      <w:r w:rsidR="00545F31">
        <w:t xml:space="preserve">request </w:t>
      </w:r>
      <w:r>
        <w:t xml:space="preserve">has been </w:t>
      </w:r>
      <w:r w:rsidR="00545F31">
        <w:t xml:space="preserve">made under section 12 and </w:t>
      </w:r>
      <w:r>
        <w:t xml:space="preserve">the </w:t>
      </w:r>
      <w:r w:rsidR="00545F31">
        <w:t xml:space="preserve">licensee </w:t>
      </w:r>
      <w:r>
        <w:t>has failed</w:t>
      </w:r>
      <w:r w:rsidR="00545F31">
        <w:t xml:space="preserve"> to comply</w:t>
      </w:r>
      <w:r>
        <w:t xml:space="preserve"> with the request</w:t>
      </w:r>
      <w:r w:rsidR="00A72B16">
        <w:t xml:space="preserve">. </w:t>
      </w:r>
    </w:p>
    <w:p w14:paraId="1016A79D" w14:textId="0B63852E" w:rsidR="00A72B16" w:rsidRDefault="00A72B16" w:rsidP="00A72B16">
      <w:r>
        <w:t xml:space="preserve">If the Authority decides to suspend or cancel the licence in </w:t>
      </w:r>
      <w:r w:rsidR="007728FD">
        <w:t>any</w:t>
      </w:r>
      <w:r>
        <w:t xml:space="preserve"> of the circumstances above, the Authority must notify the licensee</w:t>
      </w:r>
      <w:r w:rsidR="007728FD">
        <w:t xml:space="preserve"> in writing</w:t>
      </w:r>
      <w:r>
        <w:t xml:space="preserve"> and:</w:t>
      </w:r>
    </w:p>
    <w:p w14:paraId="375DE6D2" w14:textId="1572E34E" w:rsidR="00A72B16" w:rsidRDefault="00E02B67" w:rsidP="00F164D2">
      <w:pPr>
        <w:pStyle w:val="ListParagraph"/>
        <w:numPr>
          <w:ilvl w:val="0"/>
          <w:numId w:val="71"/>
        </w:numPr>
      </w:pPr>
      <w:r>
        <w:t xml:space="preserve">state </w:t>
      </w:r>
      <w:r w:rsidR="00A72B16">
        <w:t>the period of suspens</w:t>
      </w:r>
      <w:r w:rsidR="0002114B">
        <w:t>ion if the licence is suspended,</w:t>
      </w:r>
      <w:r w:rsidR="00A72B16">
        <w:t xml:space="preserve"> and</w:t>
      </w:r>
    </w:p>
    <w:p w14:paraId="73F062E2" w14:textId="77777777" w:rsidR="00A72B16" w:rsidRDefault="00A72B16" w:rsidP="00F164D2">
      <w:pPr>
        <w:pStyle w:val="ListParagraph"/>
        <w:numPr>
          <w:ilvl w:val="0"/>
          <w:numId w:val="71"/>
        </w:numPr>
      </w:pPr>
      <w:r>
        <w:t>state the reasons for the suspension or cancellation.</w:t>
      </w:r>
    </w:p>
    <w:p w14:paraId="6E8FE787" w14:textId="1F960561" w:rsidR="00A72B16" w:rsidRPr="00C77010" w:rsidRDefault="00A72B16" w:rsidP="00A72B16">
      <w:r>
        <w:t xml:space="preserve">The suspension or cancellation </w:t>
      </w:r>
      <w:r w:rsidR="00332AF1">
        <w:t xml:space="preserve">of the licence </w:t>
      </w:r>
      <w:r>
        <w:t>will be in force from the date of the notice</w:t>
      </w:r>
      <w:r w:rsidR="007728FD">
        <w:t xml:space="preserve"> and ends at the end of the period stated in the notice, unless the Authority ends the suspension at an earlier time by giving written notice to the licensee.</w:t>
      </w:r>
      <w:r w:rsidR="00545F31">
        <w:t xml:space="preserve"> </w:t>
      </w:r>
      <w:r>
        <w:t xml:space="preserve">  </w:t>
      </w:r>
    </w:p>
    <w:p w14:paraId="4BBDE656" w14:textId="77777777" w:rsidR="0088376F" w:rsidRDefault="0088376F" w:rsidP="0088376F">
      <w:pPr>
        <w:pStyle w:val="Heading3"/>
        <w:rPr>
          <w:rFonts w:eastAsia="Calibri"/>
        </w:rPr>
      </w:pPr>
      <w:bookmarkStart w:id="4" w:name="_Toc501464026"/>
      <w:r w:rsidRPr="0088376F">
        <w:rPr>
          <w:rFonts w:eastAsia="Calibri"/>
        </w:rPr>
        <w:t>Division 3—Approved grape products</w:t>
      </w:r>
      <w:bookmarkEnd w:id="4"/>
    </w:p>
    <w:p w14:paraId="0B4E5414" w14:textId="5325E442" w:rsidR="007F01F9" w:rsidRDefault="00365A70" w:rsidP="007F01F9">
      <w:r>
        <w:t>This division</w:t>
      </w:r>
      <w:r w:rsidR="007F01F9">
        <w:t xml:space="preserve"> </w:t>
      </w:r>
      <w:r w:rsidR="00332AF1">
        <w:t>provides</w:t>
      </w:r>
      <w:r w:rsidR="007F01F9">
        <w:t xml:space="preserve"> the procedures and relevant conditions for</w:t>
      </w:r>
      <w:r w:rsidR="00332AF1">
        <w:t xml:space="preserve"> a</w:t>
      </w:r>
      <w:r w:rsidR="007F01F9">
        <w:t xml:space="preserve"> grape product to be approved for export from Australia.</w:t>
      </w:r>
      <w:r w:rsidR="00332AF1">
        <w:t xml:space="preserve"> A grape product must be approved for export under section 1</w:t>
      </w:r>
      <w:r w:rsidR="005D6484">
        <w:t>4</w:t>
      </w:r>
      <w:r w:rsidR="00332AF1">
        <w:t xml:space="preserve"> in order to meet the conditions of export in section 7 (paragraph 7(b)). </w:t>
      </w:r>
      <w:r w:rsidR="007F01F9">
        <w:t xml:space="preserve"> </w:t>
      </w:r>
    </w:p>
    <w:p w14:paraId="0A5F364E" w14:textId="07FDBAAB" w:rsidR="0088376F" w:rsidRDefault="00AD1275" w:rsidP="00C21613">
      <w:pPr>
        <w:pStyle w:val="Provision"/>
      </w:pPr>
      <w:r>
        <w:t>Section 14</w:t>
      </w:r>
      <w:r w:rsidR="0088376F" w:rsidRPr="007F01F9">
        <w:t xml:space="preserve"> – Approval of grape product for export</w:t>
      </w:r>
    </w:p>
    <w:p w14:paraId="5B0B84FA" w14:textId="45FCAD03" w:rsidR="007F01F9" w:rsidRPr="00A11F99" w:rsidRDefault="007F01F9" w:rsidP="00D40754">
      <w:r w:rsidRPr="00A11F99">
        <w:t>This section sets out the conditions under which the Authority may approve a grape product for export from Australia</w:t>
      </w:r>
      <w:r w:rsidR="00332AF1">
        <w:t>, for the purposes of meeting the</w:t>
      </w:r>
      <w:r w:rsidR="005D6484">
        <w:t xml:space="preserve"> conditions of export in paragraph</w:t>
      </w:r>
      <w:r w:rsidR="00332AF1">
        <w:t xml:space="preserve"> 7</w:t>
      </w:r>
      <w:r w:rsidR="005D6484">
        <w:t>(b)</w:t>
      </w:r>
      <w:r w:rsidRPr="00A11F99">
        <w:t>.</w:t>
      </w:r>
    </w:p>
    <w:p w14:paraId="4AA43CEA" w14:textId="0002D796" w:rsidR="00E646A8" w:rsidRDefault="00E646A8" w:rsidP="00E646A8">
      <w:r>
        <w:t>An application for approval of a grape product for export must be made in a form approved by the Authority, in writing.</w:t>
      </w:r>
    </w:p>
    <w:p w14:paraId="63F96447" w14:textId="3A0E6D55" w:rsidR="007F01F9" w:rsidRPr="00A11F99" w:rsidRDefault="00E646A8" w:rsidP="00E646A8">
      <w:r>
        <w:t xml:space="preserve">On receiving an application for approval of a grape product for export as per subsection </w:t>
      </w:r>
      <w:r w:rsidR="0002114B">
        <w:t>14</w:t>
      </w:r>
      <w:r>
        <w:t>(1), the Authority must either approve</w:t>
      </w:r>
      <w:r w:rsidR="00650EC4">
        <w:t xml:space="preserve"> the grape product (with or without conditions)</w:t>
      </w:r>
      <w:r>
        <w:t xml:space="preserve"> or refuse to approve the grape product. </w:t>
      </w:r>
    </w:p>
    <w:p w14:paraId="78AEC120" w14:textId="77777777" w:rsidR="00A11F99" w:rsidRPr="00A11F99" w:rsidRDefault="007F01F9" w:rsidP="00D40754">
      <w:r w:rsidRPr="00A11F99">
        <w:t>In determining whether to approve the grape product for export, the Authority must be satisfied that</w:t>
      </w:r>
      <w:r w:rsidR="00A11F99" w:rsidRPr="00A11F99">
        <w:t>:</w:t>
      </w:r>
    </w:p>
    <w:p w14:paraId="4A5B4E1F" w14:textId="380FF2A9" w:rsidR="00A11F99" w:rsidRPr="00A11F99" w:rsidRDefault="007F01F9" w:rsidP="00F164D2">
      <w:pPr>
        <w:pStyle w:val="ListParagraph"/>
        <w:numPr>
          <w:ilvl w:val="0"/>
          <w:numId w:val="71"/>
        </w:numPr>
      </w:pPr>
      <w:r w:rsidRPr="00A11F99">
        <w:t xml:space="preserve">the grape product is sound and </w:t>
      </w:r>
      <w:r w:rsidR="007728FD">
        <w:t xml:space="preserve">merchantable </w:t>
      </w:r>
      <w:r w:rsidRPr="00A11F99">
        <w:t xml:space="preserve"> </w:t>
      </w:r>
    </w:p>
    <w:p w14:paraId="6CCA4BAC" w14:textId="7C15FBDA" w:rsidR="00A11F99" w:rsidRDefault="007F01F9" w:rsidP="00F164D2">
      <w:pPr>
        <w:pStyle w:val="ListParagraph"/>
        <w:numPr>
          <w:ilvl w:val="0"/>
          <w:numId w:val="71"/>
        </w:numPr>
      </w:pPr>
      <w:r w:rsidRPr="00A11F99">
        <w:t xml:space="preserve">the description and presentation of the grape product is appropriate – having regard to requirements of the Act, other Australian laws and the laws of other </w:t>
      </w:r>
      <w:r w:rsidR="00A11F99">
        <w:t xml:space="preserve">relevant </w:t>
      </w:r>
      <w:r w:rsidRPr="00A11F99">
        <w:t>countries</w:t>
      </w:r>
      <w:r w:rsidR="00EC7AA2">
        <w:t>,</w:t>
      </w:r>
      <w:r w:rsidR="00A11F99">
        <w:t xml:space="preserve"> and</w:t>
      </w:r>
    </w:p>
    <w:p w14:paraId="0B97EC5F" w14:textId="524843BD" w:rsidR="00A11F99" w:rsidRDefault="00A11F99" w:rsidP="00F164D2">
      <w:pPr>
        <w:pStyle w:val="ListParagraph"/>
        <w:numPr>
          <w:ilvl w:val="0"/>
          <w:numId w:val="71"/>
        </w:numPr>
      </w:pPr>
      <w:r>
        <w:t xml:space="preserve">the grape product complies with the </w:t>
      </w:r>
      <w:r w:rsidR="007F01F9" w:rsidRPr="00D40754">
        <w:t>Food Standards Code</w:t>
      </w:r>
      <w:r w:rsidR="005817B3">
        <w:t>,</w:t>
      </w:r>
      <w:r w:rsidR="007F01F9" w:rsidRPr="00A11F99">
        <w:t xml:space="preserve"> </w:t>
      </w:r>
      <w:r w:rsidRPr="00A11F99">
        <w:t>or</w:t>
      </w:r>
    </w:p>
    <w:p w14:paraId="7188E27D" w14:textId="5E66CB0E" w:rsidR="007F01F9" w:rsidRDefault="007F01F9" w:rsidP="00F164D2">
      <w:pPr>
        <w:pStyle w:val="ListParagraph"/>
        <w:numPr>
          <w:ilvl w:val="1"/>
          <w:numId w:val="75"/>
        </w:numPr>
      </w:pPr>
      <w:r w:rsidRPr="00A11F99">
        <w:lastRenderedPageBreak/>
        <w:t xml:space="preserve">if it does not comply, </w:t>
      </w:r>
      <w:r w:rsidR="00A11F99">
        <w:t xml:space="preserve">that the quality or presentation of the grape product is not compromised to the extent that it would negatively impact the </w:t>
      </w:r>
      <w:r w:rsidRPr="00A11F99">
        <w:t>reputation of Australian grape products.</w:t>
      </w:r>
    </w:p>
    <w:p w14:paraId="4F5830C9" w14:textId="4B309187" w:rsidR="00630798" w:rsidRPr="00527619" w:rsidRDefault="00630798" w:rsidP="00630798">
      <w:r>
        <w:t>In considering whether the description and presentation of the grape product is appropriate</w:t>
      </w:r>
      <w:r w:rsidR="00E02B67">
        <w:t>,</w:t>
      </w:r>
      <w:r>
        <w:t xml:space="preserve"> the Authority would likely have regard to laws relating to labelling requirements such as alcohol percentage and warning l</w:t>
      </w:r>
      <w:r w:rsidR="00E02B67">
        <w:t>abels, and GIs</w:t>
      </w:r>
      <w:r>
        <w:t>, as some countries recognise grape varieties used by Australian produ</w:t>
      </w:r>
      <w:r w:rsidR="00E02B67">
        <w:t>cers as GIs for use by a particular region</w:t>
      </w:r>
      <w:r>
        <w:t xml:space="preserve"> or country.</w:t>
      </w:r>
    </w:p>
    <w:p w14:paraId="4BD9CCC1" w14:textId="6C5353E3" w:rsidR="00A11F99" w:rsidRPr="00A11F99" w:rsidRDefault="00A11F99" w:rsidP="00A11F99">
      <w:r>
        <w:t xml:space="preserve">In considering whether the grape product complies with the </w:t>
      </w:r>
      <w:r w:rsidR="00D40754">
        <w:t>Food Standards Code</w:t>
      </w:r>
      <w:r>
        <w:rPr>
          <w:i/>
        </w:rPr>
        <w:t xml:space="preserve">, </w:t>
      </w:r>
      <w:r>
        <w:t xml:space="preserve">the Authority will likely have regard to the requirements of the intended importing country. For example, the importing country may have a different definition of ‘wine’ for the purposes of labelling and </w:t>
      </w:r>
      <w:r w:rsidR="00E2464C">
        <w:t>presentation</w:t>
      </w:r>
      <w:r>
        <w:t xml:space="preserve"> </w:t>
      </w:r>
      <w:r w:rsidR="00951C09">
        <w:t xml:space="preserve">than the definition in the </w:t>
      </w:r>
      <w:r w:rsidR="00951C09" w:rsidRPr="00D40754">
        <w:t>Food Standards Code</w:t>
      </w:r>
      <w:r w:rsidR="00951C09">
        <w:rPr>
          <w:i/>
        </w:rPr>
        <w:t xml:space="preserve">. </w:t>
      </w:r>
    </w:p>
    <w:p w14:paraId="2B65C86D" w14:textId="3A660769" w:rsidR="007F01F9" w:rsidRDefault="007F01F9" w:rsidP="007F01F9">
      <w:r w:rsidRPr="00A11F99">
        <w:t xml:space="preserve">The Authority must not approve a grape product other than wine, brandy or grape spirit if the description and presentation of the product includes a registered </w:t>
      </w:r>
      <w:r w:rsidR="00951C09">
        <w:t xml:space="preserve">GI </w:t>
      </w:r>
      <w:r w:rsidRPr="00A11F99">
        <w:t>other than the term ‘Australia’</w:t>
      </w:r>
      <w:r w:rsidR="007728FD">
        <w:t xml:space="preserve"> </w:t>
      </w:r>
      <w:r w:rsidRPr="00A11F99">
        <w:t>or a registered translation.</w:t>
      </w:r>
    </w:p>
    <w:p w14:paraId="47CAD806" w14:textId="6401263D" w:rsidR="00545F31" w:rsidRDefault="001234F9" w:rsidP="007F01F9">
      <w:r>
        <w:t xml:space="preserve">If the Authority has requested information from the licensee about the grape product under section 16, and the licensee fails to comply with the request, then the Authority must refuse to approve the grape product for export. </w:t>
      </w:r>
    </w:p>
    <w:p w14:paraId="04472CDF" w14:textId="39910FD9" w:rsidR="00650EC4" w:rsidRDefault="00650EC4" w:rsidP="007F01F9">
      <w:pPr>
        <w:rPr>
          <w:i/>
        </w:rPr>
      </w:pPr>
      <w:r>
        <w:rPr>
          <w:i/>
        </w:rPr>
        <w:t>Conditions</w:t>
      </w:r>
    </w:p>
    <w:p w14:paraId="11C6A136" w14:textId="7636D307" w:rsidR="00650EC4" w:rsidRPr="00A11F99" w:rsidRDefault="00650EC4" w:rsidP="00650EC4">
      <w:r w:rsidRPr="00A11F99">
        <w:t>The Authority may impose conditions on the approval of grape product for export. This may include imposing a condition that limits the countries to which the grape product can be exported. For example, the Authority might only approve export to countries where the Authority is satisfied the grape product meets the requirements of the importing country.</w:t>
      </w:r>
      <w:r>
        <w:t xml:space="preserve"> The discretion to impose conditions on the approval of grape products for export does not limit the Authority’s ability to refuse to approve the grape product under subsection </w:t>
      </w:r>
      <w:r w:rsidR="0002114B">
        <w:t>14</w:t>
      </w:r>
      <w:r>
        <w:t>(4).</w:t>
      </w:r>
    </w:p>
    <w:p w14:paraId="0C234BC5" w14:textId="4EED0B5F" w:rsidR="00650EC4" w:rsidRDefault="00650EC4" w:rsidP="00650EC4">
      <w:r w:rsidRPr="00A11F99">
        <w:t>The Authority may vary the conditions, by notifying the licensee in writing</w:t>
      </w:r>
      <w:r>
        <w:t xml:space="preserve"> of its decision, and the reasons for the variation</w:t>
      </w:r>
      <w:r w:rsidRPr="00A11F99">
        <w:t>.</w:t>
      </w:r>
    </w:p>
    <w:p w14:paraId="6868A674" w14:textId="1EEF3D2D" w:rsidR="00650EC4" w:rsidRPr="00F748B1" w:rsidRDefault="00650EC4" w:rsidP="007F01F9">
      <w:pPr>
        <w:rPr>
          <w:i/>
        </w:rPr>
      </w:pPr>
      <w:r>
        <w:rPr>
          <w:i/>
        </w:rPr>
        <w:t>Notice of decision</w:t>
      </w:r>
    </w:p>
    <w:p w14:paraId="7AC6D08A" w14:textId="4429BC90" w:rsidR="007F01F9" w:rsidRPr="00A11F99" w:rsidRDefault="00650EC4" w:rsidP="007F01F9">
      <w:r>
        <w:t>T</w:t>
      </w:r>
      <w:r w:rsidRPr="00A11F99">
        <w:t>he Authority</w:t>
      </w:r>
      <w:r>
        <w:t xml:space="preserve"> must notify the licensee who applied for approval of a grape product under this section of its decision in writing. </w:t>
      </w:r>
      <w:r w:rsidR="007F01F9" w:rsidRPr="00A11F99">
        <w:t>If the Authority refuses to approve the grape product,</w:t>
      </w:r>
      <w:r>
        <w:t xml:space="preserve"> or imposes conditions on its approval under subsection </w:t>
      </w:r>
      <w:r w:rsidR="00E02B67">
        <w:t>14</w:t>
      </w:r>
      <w:r>
        <w:t>(6), the</w:t>
      </w:r>
      <w:r w:rsidR="003E5D34">
        <w:t xml:space="preserve"> notice must sta</w:t>
      </w:r>
      <w:r w:rsidR="00525198">
        <w:t>te the reasons for the decision</w:t>
      </w:r>
      <w:r w:rsidR="007F01F9" w:rsidRPr="00A11F99">
        <w:t>.</w:t>
      </w:r>
    </w:p>
    <w:p w14:paraId="44ADEF4D" w14:textId="0586804B" w:rsidR="009C6820" w:rsidRPr="009C6820" w:rsidRDefault="009C6820" w:rsidP="007F01F9">
      <w:pPr>
        <w:rPr>
          <w:i/>
        </w:rPr>
      </w:pPr>
      <w:r>
        <w:rPr>
          <w:i/>
        </w:rPr>
        <w:t>Description and presentation</w:t>
      </w:r>
    </w:p>
    <w:p w14:paraId="7BB61F22" w14:textId="77777777" w:rsidR="00BA1CE8" w:rsidRDefault="009C6820" w:rsidP="007F01F9">
      <w:r>
        <w:t>In t</w:t>
      </w:r>
      <w:r w:rsidR="007F01F9" w:rsidRPr="00A11F99">
        <w:t>his section</w:t>
      </w:r>
      <w:r>
        <w:t>, the meaning of ‘description and presentation’ provided by section 5C of the Act is applied</w:t>
      </w:r>
      <w:r w:rsidR="008B3851">
        <w:t xml:space="preserve"> to ‘grape products’ as it applies to ‘wine’ under that section</w:t>
      </w:r>
      <w:r>
        <w:t>.</w:t>
      </w:r>
      <w:r w:rsidR="00BA1CE8">
        <w:t xml:space="preserve"> </w:t>
      </w:r>
    </w:p>
    <w:p w14:paraId="3647DDE0" w14:textId="1033AB9E" w:rsidR="007F01F9" w:rsidRPr="00A11F99" w:rsidRDefault="00BA1CE8" w:rsidP="007F01F9">
      <w:r>
        <w:t xml:space="preserve">Under </w:t>
      </w:r>
      <w:r w:rsidR="006852D2">
        <w:t xml:space="preserve">section </w:t>
      </w:r>
      <w:r>
        <w:t xml:space="preserve">5C of the Act, </w:t>
      </w:r>
      <w:r>
        <w:rPr>
          <w:b/>
          <w:i/>
        </w:rPr>
        <w:t xml:space="preserve">description and presentation </w:t>
      </w:r>
      <w:r>
        <w:t xml:space="preserve">is a reference to all names (including business names) or other descriptions, references (including addresses), indications, signs, designs and trade marks that are used to distinguish a wine. The ways of </w:t>
      </w:r>
      <w:r w:rsidR="00E2464C">
        <w:t>describing</w:t>
      </w:r>
      <w:r>
        <w:t xml:space="preserve"> and presenting wine are taken to include appear</w:t>
      </w:r>
      <w:r w:rsidR="002B2A6E">
        <w:t xml:space="preserve">ing on </w:t>
      </w:r>
      <w:r w:rsidR="002B2A6E">
        <w:lastRenderedPageBreak/>
        <w:t>the container, protective wrappings, and in documents and advertisements relating to the wine, as described in section 5C</w:t>
      </w:r>
      <w:r w:rsidR="00E02B67">
        <w:t xml:space="preserve"> of the Act</w:t>
      </w:r>
      <w:r w:rsidR="002B2A6E">
        <w:t xml:space="preserve">. </w:t>
      </w:r>
    </w:p>
    <w:p w14:paraId="06395591" w14:textId="377AABE7" w:rsidR="0088376F" w:rsidRDefault="0088376F" w:rsidP="0088376F">
      <w:pPr>
        <w:pStyle w:val="Provision"/>
      </w:pPr>
      <w:r w:rsidRPr="007F01F9">
        <w:t xml:space="preserve">Section 15 – </w:t>
      </w:r>
      <w:r w:rsidR="00AD1275">
        <w:t xml:space="preserve">Approval holder </w:t>
      </w:r>
      <w:r w:rsidRPr="007F01F9">
        <w:t>may authorise another licensee to export grape product</w:t>
      </w:r>
    </w:p>
    <w:p w14:paraId="2A1FF013" w14:textId="3BCD6458" w:rsidR="007F01F9" w:rsidRPr="002B2A6E" w:rsidRDefault="007F01F9" w:rsidP="007F01F9">
      <w:r w:rsidRPr="002B2A6E">
        <w:t xml:space="preserve">This section </w:t>
      </w:r>
      <w:r w:rsidR="006852D2">
        <w:t>provides</w:t>
      </w:r>
      <w:r w:rsidRPr="002B2A6E">
        <w:t xml:space="preserve"> that if a grape product is approved under section 1</w:t>
      </w:r>
      <w:r w:rsidR="005D6484">
        <w:t>4</w:t>
      </w:r>
      <w:r w:rsidRPr="002B2A6E">
        <w:t xml:space="preserve"> for export by a licensee, that licensee </w:t>
      </w:r>
      <w:r w:rsidR="002364C1">
        <w:t xml:space="preserve">or </w:t>
      </w:r>
      <w:r w:rsidR="00D432EB">
        <w:t xml:space="preserve">approval holder </w:t>
      </w:r>
      <w:r w:rsidRPr="002B2A6E">
        <w:t xml:space="preserve">may authorise another licensee to export the grape product. The authorisation must be </w:t>
      </w:r>
      <w:r w:rsidR="0002114B">
        <w:t xml:space="preserve">provided </w:t>
      </w:r>
      <w:r w:rsidRPr="002B2A6E">
        <w:t>in writing</w:t>
      </w:r>
      <w:r w:rsidR="0002114B">
        <w:t xml:space="preserve"> to the Authority</w:t>
      </w:r>
      <w:r w:rsidRPr="002B2A6E">
        <w:t>.</w:t>
      </w:r>
    </w:p>
    <w:p w14:paraId="2649D28F" w14:textId="77777777" w:rsidR="007F01F9" w:rsidRPr="002B2A6E" w:rsidRDefault="007F01F9" w:rsidP="007F01F9">
      <w:r w:rsidRPr="002B2A6E">
        <w:t>While the authorisation is in force, the authorised licensee is permitted to export the approved grape product.</w:t>
      </w:r>
    </w:p>
    <w:p w14:paraId="6D567DAB" w14:textId="294B94EE" w:rsidR="007F01F9" w:rsidRPr="007F01F9" w:rsidRDefault="007F01F9" w:rsidP="007F01F9">
      <w:r w:rsidRPr="002B2A6E">
        <w:t xml:space="preserve">Only the original licensee </w:t>
      </w:r>
      <w:r w:rsidR="00E02B67">
        <w:t xml:space="preserve">(the approval holder) </w:t>
      </w:r>
      <w:r w:rsidRPr="002B2A6E">
        <w:t>is permitted to authorise other licensees. An authorised licensee is not permitted to authorise other licensees.</w:t>
      </w:r>
    </w:p>
    <w:p w14:paraId="0ADEE2E2" w14:textId="3FD19E66" w:rsidR="0088376F" w:rsidRDefault="00605A5C" w:rsidP="00C21613">
      <w:pPr>
        <w:pStyle w:val="Provision"/>
      </w:pPr>
      <w:r>
        <w:br w:type="column"/>
      </w:r>
      <w:r w:rsidR="0088376F" w:rsidRPr="007F01F9">
        <w:lastRenderedPageBreak/>
        <w:t>Section 16 – Authority may request information about grape product</w:t>
      </w:r>
    </w:p>
    <w:p w14:paraId="1AFA6407" w14:textId="4DB2575E" w:rsidR="003E5D34" w:rsidRDefault="007F01F9" w:rsidP="007F01F9">
      <w:r w:rsidRPr="007330A1">
        <w:t xml:space="preserve">This section </w:t>
      </w:r>
      <w:r w:rsidR="002B2A6E" w:rsidRPr="007330A1">
        <w:t>provides</w:t>
      </w:r>
      <w:r w:rsidRPr="007330A1">
        <w:t xml:space="preserve"> that the Authority can ask the licensee</w:t>
      </w:r>
      <w:r w:rsidR="00822B2B">
        <w:t>,</w:t>
      </w:r>
      <w:r w:rsidRPr="007330A1">
        <w:t xml:space="preserve"> who has applied for export approval of a grape product, or who already has export approval of a grape product (according to section 1</w:t>
      </w:r>
      <w:r w:rsidR="00545F31">
        <w:t>4</w:t>
      </w:r>
      <w:r w:rsidRPr="007330A1">
        <w:t>)</w:t>
      </w:r>
      <w:r w:rsidR="00822B2B">
        <w:t>,</w:t>
      </w:r>
      <w:r w:rsidRPr="007330A1">
        <w:t xml:space="preserve"> to</w:t>
      </w:r>
      <w:r w:rsidR="003E5D34">
        <w:t>:</w:t>
      </w:r>
    </w:p>
    <w:p w14:paraId="6498E2C0" w14:textId="73C82E54" w:rsidR="003E5D34" w:rsidRDefault="00545F31" w:rsidP="00F164D2">
      <w:pPr>
        <w:pStyle w:val="ListParagraph"/>
        <w:numPr>
          <w:ilvl w:val="0"/>
          <w:numId w:val="71"/>
        </w:numPr>
      </w:pPr>
      <w:r>
        <w:t xml:space="preserve">provide records that </w:t>
      </w:r>
      <w:r w:rsidR="007F01F9" w:rsidRPr="007330A1">
        <w:t>show that the grape product complies with the Food Standards Code</w:t>
      </w:r>
    </w:p>
    <w:p w14:paraId="3BE83D29" w14:textId="45A8B22C" w:rsidR="00545F31" w:rsidRDefault="00545F31" w:rsidP="00F164D2">
      <w:pPr>
        <w:pStyle w:val="ListParagraph"/>
        <w:numPr>
          <w:ilvl w:val="0"/>
          <w:numId w:val="71"/>
        </w:numPr>
      </w:pPr>
      <w:r>
        <w:t>provide records or samples that show that the grape pr</w:t>
      </w:r>
      <w:r w:rsidR="005817B3">
        <w:t>oduct is sound and merchantable,</w:t>
      </w:r>
      <w:r>
        <w:t xml:space="preserve"> or</w:t>
      </w:r>
    </w:p>
    <w:p w14:paraId="495F58F8" w14:textId="0828EBAF" w:rsidR="007F01F9" w:rsidRPr="007330A1" w:rsidRDefault="00545F31" w:rsidP="00F164D2">
      <w:pPr>
        <w:pStyle w:val="ListParagraph"/>
        <w:numPr>
          <w:ilvl w:val="0"/>
          <w:numId w:val="71"/>
        </w:numPr>
      </w:pPr>
      <w:r>
        <w:t xml:space="preserve">provide a copy of records </w:t>
      </w:r>
      <w:r w:rsidR="007F01F9" w:rsidRPr="007330A1">
        <w:t>to verify label claims</w:t>
      </w:r>
      <w:r w:rsidR="003E5D34">
        <w:t xml:space="preserve"> relating to vintage, variety or GI</w:t>
      </w:r>
      <w:r>
        <w:t>, kept for the purposes of section 39F of the Act</w:t>
      </w:r>
      <w:r w:rsidR="007F01F9" w:rsidRPr="007330A1">
        <w:t>.</w:t>
      </w:r>
    </w:p>
    <w:p w14:paraId="3FA9B204" w14:textId="466146EC" w:rsidR="00BF1181" w:rsidRDefault="00BF1181" w:rsidP="007F01F9">
      <w:pPr>
        <w:rPr>
          <w:highlight w:val="yellow"/>
        </w:rPr>
      </w:pPr>
      <w:r>
        <w:t xml:space="preserve">For the Authority to request information from a licensee or approval holder of a grape product under this section the request must be in writing and clearly state the deadline for the licensee to provide the information to the Authority.  </w:t>
      </w:r>
    </w:p>
    <w:p w14:paraId="75148B43" w14:textId="3487BFFA" w:rsidR="00545F31" w:rsidRDefault="00BF1181" w:rsidP="007F01F9">
      <w:r>
        <w:t xml:space="preserve">Where a licensee does not comply with a request made under this section, the </w:t>
      </w:r>
      <w:r w:rsidR="00A2022F">
        <w:t>grape product will be refused approval for export (under subsection 14(5))</w:t>
      </w:r>
      <w:r w:rsidR="00545F31">
        <w:t xml:space="preserve">. </w:t>
      </w:r>
      <w:r w:rsidR="00D2226A">
        <w:t xml:space="preserve">Where an approval holder does not comply with a request made under this section, the approval of the grape product will be suspended (under </w:t>
      </w:r>
      <w:r w:rsidR="005D6484">
        <w:t>sub</w:t>
      </w:r>
      <w:r w:rsidR="00D2226A">
        <w:t>section 17</w:t>
      </w:r>
      <w:r w:rsidR="005D6484">
        <w:t>(1)</w:t>
      </w:r>
      <w:r w:rsidR="00D2226A">
        <w:t xml:space="preserve">). </w:t>
      </w:r>
    </w:p>
    <w:p w14:paraId="7E63CDF6" w14:textId="3A151D18" w:rsidR="00AD1275" w:rsidRDefault="00AD1275" w:rsidP="00AD1275">
      <w:pPr>
        <w:pStyle w:val="Provision"/>
      </w:pPr>
      <w:r w:rsidRPr="007F01F9">
        <w:t>Section 1</w:t>
      </w:r>
      <w:r>
        <w:t>7</w:t>
      </w:r>
      <w:r w:rsidRPr="007F01F9">
        <w:t xml:space="preserve"> – </w:t>
      </w:r>
      <w:r>
        <w:t xml:space="preserve">Suspension and revocation of </w:t>
      </w:r>
      <w:r w:rsidRPr="007F01F9">
        <w:t xml:space="preserve">approval </w:t>
      </w:r>
    </w:p>
    <w:p w14:paraId="1BB8C461" w14:textId="69BAF7B5" w:rsidR="00A2022F" w:rsidRPr="00D2226A" w:rsidRDefault="00A2022F" w:rsidP="00AD1275">
      <w:r w:rsidRPr="00D2226A">
        <w:t>This section sets out the procedures for the Authority to suspend or revoke an approval of a grape product for export made under section 14.</w:t>
      </w:r>
    </w:p>
    <w:p w14:paraId="78217B41" w14:textId="3782719D" w:rsidR="00AD1275" w:rsidRPr="00D2226A" w:rsidRDefault="00AD1275" w:rsidP="00AD1275">
      <w:pPr>
        <w:rPr>
          <w:i/>
        </w:rPr>
      </w:pPr>
      <w:r w:rsidRPr="00D2226A">
        <w:rPr>
          <w:i/>
        </w:rPr>
        <w:t>Suspension</w:t>
      </w:r>
    </w:p>
    <w:p w14:paraId="5A46A20E" w14:textId="2F474CB5" w:rsidR="00D2226A" w:rsidRDefault="00A2022F" w:rsidP="00D2226A">
      <w:r w:rsidRPr="00D2226A">
        <w:t xml:space="preserve">The Authority </w:t>
      </w:r>
      <w:r w:rsidR="00D2226A" w:rsidRPr="00D2226A">
        <w:t>m</w:t>
      </w:r>
      <w:r w:rsidR="00D2226A">
        <w:t>ust</w:t>
      </w:r>
      <w:r w:rsidR="00D2226A" w:rsidRPr="00D2226A">
        <w:t xml:space="preserve"> suspend an approval of a grape product for export</w:t>
      </w:r>
      <w:r w:rsidR="002364C1">
        <w:t xml:space="preserve">, in writing, </w:t>
      </w:r>
      <w:r w:rsidR="00D2226A" w:rsidRPr="00D2226A">
        <w:t xml:space="preserve">if </w:t>
      </w:r>
      <w:r w:rsidR="00D2226A">
        <w:t xml:space="preserve">the approval holder fails to comply with a request for a record or sample made by the Authority under section 16. However, when the requested record or sample is given to the Authority, the suspension must be </w:t>
      </w:r>
      <w:r w:rsidR="002364C1">
        <w:t>removed</w:t>
      </w:r>
      <w:r w:rsidR="00D2226A">
        <w:t xml:space="preserve">, in writing to the approval holder. </w:t>
      </w:r>
    </w:p>
    <w:p w14:paraId="224D5766" w14:textId="3043BFE0" w:rsidR="00AD1275" w:rsidRPr="00D2226A" w:rsidRDefault="00AD1275" w:rsidP="00AD1275">
      <w:pPr>
        <w:rPr>
          <w:i/>
        </w:rPr>
      </w:pPr>
      <w:r w:rsidRPr="00D2226A">
        <w:rPr>
          <w:i/>
        </w:rPr>
        <w:t>Revocation</w:t>
      </w:r>
    </w:p>
    <w:p w14:paraId="55E145C9" w14:textId="1D57C03F" w:rsidR="00AD1275" w:rsidRPr="007F01F9" w:rsidRDefault="00A2022F" w:rsidP="00AD1275">
      <w:r w:rsidRPr="00D2226A">
        <w:t>T</w:t>
      </w:r>
      <w:r w:rsidR="00AD1275" w:rsidRPr="00D2226A">
        <w:t>he Authority may revoke the approval of a grape product for export if the Authority is no longer satisfied the grape product meets the requir</w:t>
      </w:r>
      <w:r w:rsidR="005D6484">
        <w:t>ements (under subsections 14</w:t>
      </w:r>
      <w:r w:rsidR="00AD1275" w:rsidRPr="00D2226A">
        <w:t>(</w:t>
      </w:r>
      <w:r w:rsidR="00535300" w:rsidRPr="00D2226A">
        <w:t>3</w:t>
      </w:r>
      <w:r w:rsidR="005D6484">
        <w:t xml:space="preserve">) and </w:t>
      </w:r>
      <w:r w:rsidR="00AD1275" w:rsidRPr="00D2226A">
        <w:t>(</w:t>
      </w:r>
      <w:r w:rsidR="00535300" w:rsidRPr="00D2226A">
        <w:t>4</w:t>
      </w:r>
      <w:r w:rsidR="00AD1275" w:rsidRPr="00D2226A">
        <w:t>)). The Authority must notify the licensee in writing of the revocation of approval. The notice must state the</w:t>
      </w:r>
      <w:r w:rsidR="00AD1275" w:rsidRPr="00525198">
        <w:t xml:space="preserve"> reasons for the decision.</w:t>
      </w:r>
    </w:p>
    <w:p w14:paraId="57D6A06D" w14:textId="57CB4231" w:rsidR="0088376F" w:rsidRDefault="00C77010" w:rsidP="00C77010">
      <w:pPr>
        <w:pStyle w:val="Heading3"/>
        <w:rPr>
          <w:i/>
        </w:rPr>
      </w:pPr>
      <w:r w:rsidRPr="0002114B">
        <w:t>Division 4</w:t>
      </w:r>
      <w:r>
        <w:t>—Export certificates</w:t>
      </w:r>
      <w:r>
        <w:rPr>
          <w:i/>
        </w:rPr>
        <w:t xml:space="preserve"> </w:t>
      </w:r>
    </w:p>
    <w:p w14:paraId="6FAA8678" w14:textId="62365C6D" w:rsidR="00C77010" w:rsidRDefault="00AD1275" w:rsidP="00C77010">
      <w:pPr>
        <w:pStyle w:val="Provision"/>
      </w:pPr>
      <w:bookmarkStart w:id="5" w:name="_Toc501464032"/>
      <w:r>
        <w:t>Section 18 – Application</w:t>
      </w:r>
      <w:r w:rsidR="00C77010">
        <w:t xml:space="preserve"> for export certificate</w:t>
      </w:r>
      <w:bookmarkEnd w:id="5"/>
    </w:p>
    <w:p w14:paraId="0D4D23DF" w14:textId="60F387E0" w:rsidR="005E6643" w:rsidRDefault="00570832" w:rsidP="005E6643">
      <w:pPr>
        <w:rPr>
          <w:lang w:eastAsia="ja-JP"/>
        </w:rPr>
      </w:pPr>
      <w:r>
        <w:rPr>
          <w:lang w:eastAsia="ja-JP"/>
        </w:rPr>
        <w:t>This section provides</w:t>
      </w:r>
      <w:r w:rsidR="005E6643">
        <w:rPr>
          <w:lang w:eastAsia="ja-JP"/>
        </w:rPr>
        <w:t xml:space="preserve"> the process of applying for an export certificate</w:t>
      </w:r>
      <w:r w:rsidR="00097587">
        <w:rPr>
          <w:lang w:eastAsia="ja-JP"/>
        </w:rPr>
        <w:t xml:space="preserve"> in relation to a consignment of grape products</w:t>
      </w:r>
      <w:r w:rsidR="005E6643">
        <w:rPr>
          <w:lang w:eastAsia="ja-JP"/>
        </w:rPr>
        <w:t xml:space="preserve">. This involves the holder of the export licence submitting </w:t>
      </w:r>
      <w:r w:rsidR="002364C1">
        <w:rPr>
          <w:lang w:eastAsia="ja-JP"/>
        </w:rPr>
        <w:t>a</w:t>
      </w:r>
      <w:r w:rsidR="005E6643">
        <w:rPr>
          <w:lang w:eastAsia="ja-JP"/>
        </w:rPr>
        <w:t xml:space="preserve"> written application </w:t>
      </w:r>
      <w:r w:rsidR="0002114B">
        <w:rPr>
          <w:lang w:eastAsia="ja-JP"/>
        </w:rPr>
        <w:t xml:space="preserve">to the Authority </w:t>
      </w:r>
      <w:r w:rsidR="005E6643">
        <w:rPr>
          <w:lang w:eastAsia="ja-JP"/>
        </w:rPr>
        <w:t>at least five days before the grape product is to be exported.</w:t>
      </w:r>
    </w:p>
    <w:p w14:paraId="21491F94" w14:textId="0284C308" w:rsidR="005E6643" w:rsidRDefault="005E6643" w:rsidP="005E6643">
      <w:pPr>
        <w:rPr>
          <w:lang w:eastAsia="ja-JP"/>
        </w:rPr>
      </w:pPr>
      <w:r>
        <w:rPr>
          <w:lang w:eastAsia="ja-JP"/>
        </w:rPr>
        <w:t xml:space="preserve">The application form for the export certificate must be approved by the Authority and </w:t>
      </w:r>
      <w:r w:rsidR="002364C1">
        <w:rPr>
          <w:lang w:eastAsia="ja-JP"/>
        </w:rPr>
        <w:t>identify</w:t>
      </w:r>
      <w:r w:rsidR="00650EC4">
        <w:rPr>
          <w:lang w:eastAsia="ja-JP"/>
        </w:rPr>
        <w:t xml:space="preserve"> the date the grape product is intended to be exported, </w:t>
      </w:r>
      <w:r w:rsidR="00AD1275">
        <w:rPr>
          <w:lang w:eastAsia="ja-JP"/>
        </w:rPr>
        <w:t xml:space="preserve">the </w:t>
      </w:r>
      <w:r>
        <w:rPr>
          <w:lang w:eastAsia="ja-JP"/>
        </w:rPr>
        <w:t xml:space="preserve">country that </w:t>
      </w:r>
      <w:r>
        <w:rPr>
          <w:lang w:eastAsia="ja-JP"/>
        </w:rPr>
        <w:lastRenderedPageBreak/>
        <w:t>the grape product is to be exported to and the person who will be receiving the consignment.</w:t>
      </w:r>
    </w:p>
    <w:p w14:paraId="7BF59D34" w14:textId="67B675C9" w:rsidR="00C77010" w:rsidRDefault="00605A5C" w:rsidP="00C77010">
      <w:pPr>
        <w:pStyle w:val="Provision"/>
      </w:pPr>
      <w:bookmarkStart w:id="6" w:name="_Toc501464033"/>
      <w:r>
        <w:br w:type="column"/>
      </w:r>
      <w:r w:rsidR="00AD1275">
        <w:lastRenderedPageBreak/>
        <w:t>Section 19</w:t>
      </w:r>
      <w:r w:rsidR="00C77010">
        <w:t xml:space="preserve"> – Authority may request information about compliance with other laws</w:t>
      </w:r>
      <w:bookmarkEnd w:id="6"/>
    </w:p>
    <w:p w14:paraId="0BC3AF21" w14:textId="6F1B8458" w:rsidR="005E6643" w:rsidRDefault="005E6643" w:rsidP="005E6643">
      <w:pPr>
        <w:rPr>
          <w:lang w:eastAsia="ja-JP"/>
        </w:rPr>
      </w:pPr>
      <w:r w:rsidRPr="009D679D">
        <w:rPr>
          <w:lang w:eastAsia="ja-JP"/>
        </w:rPr>
        <w:t>This section</w:t>
      </w:r>
      <w:r>
        <w:rPr>
          <w:lang w:eastAsia="ja-JP"/>
        </w:rPr>
        <w:t xml:space="preserve"> </w:t>
      </w:r>
      <w:r w:rsidR="002364C1">
        <w:rPr>
          <w:lang w:eastAsia="ja-JP"/>
        </w:rPr>
        <w:t>provides that the Authority can ask a licensee</w:t>
      </w:r>
      <w:r>
        <w:rPr>
          <w:lang w:eastAsia="ja-JP"/>
        </w:rPr>
        <w:t>, who has applied for an</w:t>
      </w:r>
      <w:r w:rsidR="005D6484">
        <w:rPr>
          <w:lang w:eastAsia="ja-JP"/>
        </w:rPr>
        <w:t xml:space="preserve"> export certificate in accordance with section 18</w:t>
      </w:r>
      <w:r>
        <w:rPr>
          <w:lang w:eastAsia="ja-JP"/>
        </w:rPr>
        <w:t xml:space="preserve">, to show that a requirement under an Australian law relating to the description and presentation of the grape product has been met. </w:t>
      </w:r>
    </w:p>
    <w:p w14:paraId="6D2243ED" w14:textId="63F11BF4" w:rsidR="005E6643" w:rsidRPr="00BA413B" w:rsidRDefault="005E6643" w:rsidP="005E6643">
      <w:r>
        <w:rPr>
          <w:lang w:eastAsia="ja-JP"/>
        </w:rPr>
        <w:t xml:space="preserve">For example, if a </w:t>
      </w:r>
      <w:r w:rsidR="0002114B">
        <w:t>grape product is described as ‘organic’</w:t>
      </w:r>
      <w:r>
        <w:t xml:space="preserve"> and is a product to which the </w:t>
      </w:r>
      <w:r w:rsidRPr="009C7C75">
        <w:rPr>
          <w:i/>
        </w:rPr>
        <w:t>Export Control (Organic Produce Certification) Orders</w:t>
      </w:r>
      <w:r>
        <w:t xml:space="preserve"> </w:t>
      </w:r>
      <w:r w:rsidR="00336D5E">
        <w:t xml:space="preserve">(Organic Orders) </w:t>
      </w:r>
      <w:r>
        <w:t>appl</w:t>
      </w:r>
      <w:r w:rsidR="00237BC7">
        <w:t>ies</w:t>
      </w:r>
      <w:r>
        <w:t>, the Authority may ask the export licence holder to give the Authority information demonstrating that an organic produce certificate has bee</w:t>
      </w:r>
      <w:r w:rsidRPr="00BA413B">
        <w:t>n issued for the product</w:t>
      </w:r>
      <w:r w:rsidR="002364C1">
        <w:t>.</w:t>
      </w:r>
    </w:p>
    <w:p w14:paraId="5694CB1D" w14:textId="686BB0F0" w:rsidR="005E6643" w:rsidRDefault="005E6643" w:rsidP="005E6643">
      <w:pPr>
        <w:rPr>
          <w:lang w:eastAsia="ja-JP"/>
        </w:rPr>
      </w:pPr>
      <w:r w:rsidRPr="00BA413B">
        <w:rPr>
          <w:lang w:eastAsia="ja-JP"/>
        </w:rPr>
        <w:t xml:space="preserve">Any such request by the Authority must be made in writing at least two days before the grape product is </w:t>
      </w:r>
      <w:r w:rsidR="00237BC7" w:rsidRPr="00BA413B">
        <w:rPr>
          <w:lang w:eastAsia="ja-JP"/>
        </w:rPr>
        <w:t xml:space="preserve">intended </w:t>
      </w:r>
      <w:r w:rsidRPr="00BA413B">
        <w:rPr>
          <w:lang w:eastAsia="ja-JP"/>
        </w:rPr>
        <w:t xml:space="preserve">to be exported, identify the requirement and the law under which it applies, and state </w:t>
      </w:r>
      <w:r w:rsidR="00BA413B" w:rsidRPr="00BA413B">
        <w:rPr>
          <w:lang w:eastAsia="ja-JP"/>
        </w:rPr>
        <w:t xml:space="preserve">the deadline for </w:t>
      </w:r>
      <w:r w:rsidRPr="00BA413B">
        <w:rPr>
          <w:lang w:eastAsia="ja-JP"/>
        </w:rPr>
        <w:t>the export licence applicant</w:t>
      </w:r>
      <w:r w:rsidR="00BA413B" w:rsidRPr="00BA413B">
        <w:rPr>
          <w:lang w:eastAsia="ja-JP"/>
        </w:rPr>
        <w:t xml:space="preserve"> </w:t>
      </w:r>
      <w:r w:rsidR="00E2464C" w:rsidRPr="00BA413B">
        <w:rPr>
          <w:lang w:eastAsia="ja-JP"/>
        </w:rPr>
        <w:t>to provide</w:t>
      </w:r>
      <w:r w:rsidRPr="00BA413B">
        <w:rPr>
          <w:lang w:eastAsia="ja-JP"/>
        </w:rPr>
        <w:t xml:space="preserve"> the information</w:t>
      </w:r>
      <w:r w:rsidR="00BA413B" w:rsidRPr="00BA413B">
        <w:rPr>
          <w:lang w:eastAsia="ja-JP"/>
        </w:rPr>
        <w:t>. The deadline to provide information must be</w:t>
      </w:r>
      <w:r w:rsidRPr="00BA413B">
        <w:rPr>
          <w:lang w:eastAsia="ja-JP"/>
        </w:rPr>
        <w:t xml:space="preserve"> </w:t>
      </w:r>
      <w:r w:rsidR="00237BC7" w:rsidRPr="00BA413B">
        <w:rPr>
          <w:lang w:eastAsia="ja-JP"/>
        </w:rPr>
        <w:t>before the intended date of export</w:t>
      </w:r>
      <w:r w:rsidRPr="00BA413B">
        <w:rPr>
          <w:lang w:eastAsia="ja-JP"/>
        </w:rPr>
        <w:t>.</w:t>
      </w:r>
    </w:p>
    <w:p w14:paraId="7317E003" w14:textId="21EE0AD9" w:rsidR="00BA413B" w:rsidRDefault="00BA413B" w:rsidP="005E6643">
      <w:pPr>
        <w:rPr>
          <w:lang w:eastAsia="ja-JP"/>
        </w:rPr>
      </w:pPr>
      <w:r>
        <w:rPr>
          <w:lang w:eastAsia="ja-JP"/>
        </w:rPr>
        <w:t xml:space="preserve">A minimum of two </w:t>
      </w:r>
      <w:r w:rsidR="00E2464C">
        <w:rPr>
          <w:lang w:eastAsia="ja-JP"/>
        </w:rPr>
        <w:t>days’ notice</w:t>
      </w:r>
      <w:r>
        <w:rPr>
          <w:lang w:eastAsia="ja-JP"/>
        </w:rPr>
        <w:t xml:space="preserve"> is provided for the Authority to make a request under this section as a licensee can apply f</w:t>
      </w:r>
      <w:r w:rsidR="0002114B">
        <w:rPr>
          <w:lang w:eastAsia="ja-JP"/>
        </w:rPr>
        <w:t>or an export certificate up to five</w:t>
      </w:r>
      <w:r>
        <w:rPr>
          <w:lang w:eastAsia="ja-JP"/>
        </w:rPr>
        <w:t xml:space="preserve"> days before the intended date of export (under </w:t>
      </w:r>
      <w:r w:rsidR="005D6484">
        <w:rPr>
          <w:lang w:eastAsia="ja-JP"/>
        </w:rPr>
        <w:t>sub</w:t>
      </w:r>
      <w:r>
        <w:rPr>
          <w:lang w:eastAsia="ja-JP"/>
        </w:rPr>
        <w:t>section 18</w:t>
      </w:r>
      <w:r w:rsidR="005D6484">
        <w:rPr>
          <w:lang w:eastAsia="ja-JP"/>
        </w:rPr>
        <w:t>(2)</w:t>
      </w:r>
      <w:r>
        <w:rPr>
          <w:lang w:eastAsia="ja-JP"/>
        </w:rPr>
        <w:t xml:space="preserve">). Given this short window for consideration, the two-day period before export for a request to be made is reasonable. In practice, it is not uncommon for exports to be delayed and as exporters are only required to provide an intended day of export, this provides greater flexibility for a licensee to respond to requests made under this section. </w:t>
      </w:r>
    </w:p>
    <w:p w14:paraId="35BE8A52" w14:textId="1D53CC3E" w:rsidR="00D40754" w:rsidRDefault="00D40754" w:rsidP="00D40754">
      <w:bookmarkStart w:id="7" w:name="_Toc501464034"/>
      <w:r>
        <w:t>In t</w:t>
      </w:r>
      <w:r w:rsidRPr="00A11F99">
        <w:t>his section</w:t>
      </w:r>
      <w:r>
        <w:t xml:space="preserve">, the meaning of ‘description and presentation’ provided by section 5C of the Act is applied to ‘grape products’ as it applies to ‘wine’ under that section. </w:t>
      </w:r>
    </w:p>
    <w:p w14:paraId="69B6FBFD" w14:textId="52005299" w:rsidR="00BF3086" w:rsidRPr="00662054" w:rsidRDefault="00BF3086" w:rsidP="00D40754">
      <w:r w:rsidRPr="00662054">
        <w:t>Under paragraph 8(2)(c) of the Act, the Authority has the power to issue certificates</w:t>
      </w:r>
      <w:r w:rsidR="00341101" w:rsidRPr="00662054">
        <w:t xml:space="preserve"> that grape products proposed for export meet importing country requirements. In this section, the Authority has the a</w:t>
      </w:r>
      <w:r w:rsidR="00662054">
        <w:t>bility to ask for information to show that</w:t>
      </w:r>
      <w:r w:rsidR="00341101" w:rsidRPr="00662054">
        <w:t xml:space="preserve"> a grape product complies with an Australian law. This ability enables the Authority to demonstrate </w:t>
      </w:r>
      <w:r w:rsidR="00336D5E" w:rsidRPr="00662054">
        <w:t>to importing countries that the grape product meets Australian law</w:t>
      </w:r>
      <w:r w:rsidR="00662054">
        <w:t xml:space="preserve"> (</w:t>
      </w:r>
      <w:r w:rsidR="008B6D8B">
        <w:t xml:space="preserve">which is </w:t>
      </w:r>
      <w:r w:rsidR="00662054">
        <w:t>broader than the Act)</w:t>
      </w:r>
      <w:r w:rsidR="008B6D8B">
        <w:t>. This generally</w:t>
      </w:r>
      <w:r w:rsidR="00336D5E" w:rsidRPr="00662054">
        <w:t xml:space="preserve"> ensures the reputation of Australian wine </w:t>
      </w:r>
      <w:r w:rsidR="00662054" w:rsidRPr="00662054">
        <w:t>and grape product</w:t>
      </w:r>
      <w:r w:rsidR="008B6D8B">
        <w:t>s</w:t>
      </w:r>
      <w:r w:rsidR="00662054" w:rsidRPr="00662054">
        <w:t xml:space="preserve"> </w:t>
      </w:r>
      <w:r w:rsidR="00336D5E" w:rsidRPr="00662054">
        <w:t xml:space="preserve">is upheld and is also a specific requirement of some countries. </w:t>
      </w:r>
    </w:p>
    <w:p w14:paraId="5503F59D" w14:textId="17A948AC" w:rsidR="00336D5E" w:rsidRPr="00336D5E" w:rsidRDefault="002364C1" w:rsidP="00D40754">
      <w:r>
        <w:t xml:space="preserve">An example of a relevant Australian law is the Organic Orders. </w:t>
      </w:r>
      <w:r w:rsidR="00336D5E" w:rsidRPr="00662054">
        <w:t xml:space="preserve">Under section 1.06 of the Organic Orders, which applies to all organic produce including wine, </w:t>
      </w:r>
      <w:r w:rsidR="00336D5E" w:rsidRPr="00662054">
        <w:rPr>
          <w:b/>
          <w:i/>
        </w:rPr>
        <w:t xml:space="preserve">organic produce </w:t>
      </w:r>
      <w:r w:rsidR="00336D5E" w:rsidRPr="00662054">
        <w:t>is defined as produce that, for the purpose of marketing, is described as such. The description is not limited to the label of the product, and is therefore captured by the definition of ‘description and presentation’</w:t>
      </w:r>
      <w:r w:rsidR="008B6D8B">
        <w:t xml:space="preserve"> in</w:t>
      </w:r>
      <w:r w:rsidR="00336D5E" w:rsidRPr="00662054">
        <w:t xml:space="preserve"> section 5C of the Act. Another example of an Australian law that must be complied with is the </w:t>
      </w:r>
      <w:r w:rsidR="00336D5E" w:rsidRPr="00662054">
        <w:rPr>
          <w:rFonts w:ascii="Helvetica Neue" w:hAnsi="Helvetica Neue"/>
          <w:i/>
        </w:rPr>
        <w:t>National Measurement Act 1960</w:t>
      </w:r>
      <w:r w:rsidR="00637C1F" w:rsidRPr="00662054">
        <w:rPr>
          <w:rFonts w:ascii="Helvetica Neue" w:hAnsi="Helvetica Neue"/>
          <w:i/>
        </w:rPr>
        <w:t xml:space="preserve">, </w:t>
      </w:r>
      <w:r w:rsidR="008B6D8B">
        <w:rPr>
          <w:rFonts w:ascii="Helvetica Neue" w:hAnsi="Helvetica Neue"/>
        </w:rPr>
        <w:t>which</w:t>
      </w:r>
      <w:r w:rsidR="00637C1F" w:rsidRPr="00662054">
        <w:rPr>
          <w:rFonts w:ascii="Helvetica Neue" w:hAnsi="Helvetica Neue"/>
        </w:rPr>
        <w:t xml:space="preserve"> applies to all articles that are ‘</w:t>
      </w:r>
      <w:r w:rsidR="00637C1F" w:rsidRPr="00662054">
        <w:rPr>
          <w:rFonts w:ascii="Helvetica Neue" w:hAnsi="Helvetica Neue"/>
          <w:bCs/>
          <w:iCs/>
        </w:rPr>
        <w:t xml:space="preserve">packed in advance ready for sale’ (including grape products) </w:t>
      </w:r>
      <w:r w:rsidR="008B6D8B">
        <w:rPr>
          <w:rFonts w:ascii="Helvetica Neue" w:hAnsi="Helvetica Neue"/>
          <w:bCs/>
          <w:iCs/>
        </w:rPr>
        <w:t xml:space="preserve">and </w:t>
      </w:r>
      <w:r w:rsidR="00637C1F" w:rsidRPr="00662054">
        <w:rPr>
          <w:rFonts w:ascii="Helvetica Neue" w:hAnsi="Helvetica Neue"/>
          <w:bCs/>
          <w:iCs/>
        </w:rPr>
        <w:t>must be sold by measurement. The required marking must be applied on the package itself or on a label attached to or enclosed with, but visible within, the package.</w:t>
      </w:r>
      <w:r w:rsidR="00637C1F" w:rsidRPr="00637C1F">
        <w:rPr>
          <w:rFonts w:ascii="Helvetica Neue" w:hAnsi="Helvetica Neue"/>
        </w:rPr>
        <w:t xml:space="preserve"> </w:t>
      </w:r>
      <w:r w:rsidR="00336D5E" w:rsidRPr="00336D5E">
        <w:rPr>
          <w:i/>
        </w:rPr>
        <w:t xml:space="preserve"> </w:t>
      </w:r>
      <w:r w:rsidR="00336D5E" w:rsidRPr="00336D5E">
        <w:rPr>
          <w:b/>
          <w:i/>
        </w:rPr>
        <w:t xml:space="preserve"> </w:t>
      </w:r>
      <w:r w:rsidR="00336D5E" w:rsidRPr="00336D5E">
        <w:rPr>
          <w:i/>
        </w:rPr>
        <w:t xml:space="preserve">  </w:t>
      </w:r>
    </w:p>
    <w:p w14:paraId="69CD4F11" w14:textId="47FFCD8D" w:rsidR="00D40754" w:rsidRPr="00A11F99" w:rsidRDefault="00D40754" w:rsidP="00D40754">
      <w:r>
        <w:lastRenderedPageBreak/>
        <w:t xml:space="preserve">Under </w:t>
      </w:r>
      <w:r w:rsidR="008B6D8B">
        <w:t xml:space="preserve">section </w:t>
      </w:r>
      <w:r>
        <w:t xml:space="preserve">5C of the Act, </w:t>
      </w:r>
      <w:r>
        <w:rPr>
          <w:b/>
          <w:i/>
        </w:rPr>
        <w:t xml:space="preserve">description and presentation </w:t>
      </w:r>
      <w:r>
        <w:t>is a reference to all names (including business names) or other descriptions, references (including addresses), indications, signs, designs and trade marks that</w:t>
      </w:r>
      <w:r w:rsidR="008B6D8B">
        <w:t xml:space="preserve"> are used to distinguish a wine</w:t>
      </w:r>
      <w:r>
        <w:t xml:space="preserve">. The ways of </w:t>
      </w:r>
      <w:r w:rsidR="00E2464C">
        <w:t>describing</w:t>
      </w:r>
      <w:r>
        <w:t xml:space="preserve"> and presenting wine are taken to include appearing on the container, protective wrappings, and in documents and advertisements relating to the wine, as described in section 5C</w:t>
      </w:r>
      <w:r w:rsidR="005D6484">
        <w:t xml:space="preserve"> of the Act</w:t>
      </w:r>
      <w:r>
        <w:t xml:space="preserve">. </w:t>
      </w:r>
    </w:p>
    <w:p w14:paraId="189CDE96" w14:textId="5DD18BD7" w:rsidR="00C77010" w:rsidRDefault="00605A5C" w:rsidP="00C77010">
      <w:pPr>
        <w:pStyle w:val="Provision"/>
      </w:pPr>
      <w:r>
        <w:br w:type="column"/>
      </w:r>
      <w:r w:rsidR="008610CD">
        <w:lastRenderedPageBreak/>
        <w:t>Section 20</w:t>
      </w:r>
      <w:r w:rsidR="00C77010">
        <w:t xml:space="preserve"> – Issue of export certificate</w:t>
      </w:r>
      <w:bookmarkEnd w:id="7"/>
    </w:p>
    <w:p w14:paraId="208DB7A9" w14:textId="033ADC11" w:rsidR="005E6643" w:rsidRDefault="005E6643" w:rsidP="005E6643">
      <w:pPr>
        <w:rPr>
          <w:lang w:eastAsia="ja-JP"/>
        </w:rPr>
      </w:pPr>
      <w:r w:rsidRPr="009D679D">
        <w:rPr>
          <w:lang w:eastAsia="ja-JP"/>
        </w:rPr>
        <w:t xml:space="preserve">This section </w:t>
      </w:r>
      <w:r w:rsidR="00570832">
        <w:rPr>
          <w:lang w:eastAsia="ja-JP"/>
        </w:rPr>
        <w:t xml:space="preserve">sets out </w:t>
      </w:r>
      <w:r>
        <w:rPr>
          <w:lang w:eastAsia="ja-JP"/>
        </w:rPr>
        <w:t>the conditions under which the Authority can issue an export certificate.</w:t>
      </w:r>
    </w:p>
    <w:p w14:paraId="77CB9C64" w14:textId="55A9A931" w:rsidR="005E6643" w:rsidRDefault="005E6643" w:rsidP="005E6643">
      <w:pPr>
        <w:rPr>
          <w:lang w:eastAsia="ja-JP"/>
        </w:rPr>
      </w:pPr>
      <w:r>
        <w:rPr>
          <w:lang w:eastAsia="ja-JP"/>
        </w:rPr>
        <w:t xml:space="preserve">If </w:t>
      </w:r>
      <w:r w:rsidR="00D95F6C">
        <w:rPr>
          <w:lang w:eastAsia="ja-JP"/>
        </w:rPr>
        <w:t>a licensee applies for an</w:t>
      </w:r>
      <w:r>
        <w:rPr>
          <w:lang w:eastAsia="ja-JP"/>
        </w:rPr>
        <w:t xml:space="preserve"> export certificate </w:t>
      </w:r>
      <w:r w:rsidR="004925E2">
        <w:rPr>
          <w:lang w:eastAsia="ja-JP"/>
        </w:rPr>
        <w:t>in accordance with section 1</w:t>
      </w:r>
      <w:r w:rsidR="005D6484">
        <w:rPr>
          <w:lang w:eastAsia="ja-JP"/>
        </w:rPr>
        <w:t>8</w:t>
      </w:r>
      <w:r>
        <w:rPr>
          <w:lang w:eastAsia="ja-JP"/>
        </w:rPr>
        <w:t>, the Authority must decide whether to issue the export certificate before the day on which the consignment is to be exported.</w:t>
      </w:r>
    </w:p>
    <w:p w14:paraId="593BABE7" w14:textId="77777777" w:rsidR="005E6643" w:rsidRDefault="005E6643" w:rsidP="005E6643">
      <w:pPr>
        <w:rPr>
          <w:lang w:eastAsia="ja-JP"/>
        </w:rPr>
      </w:pPr>
      <w:r>
        <w:rPr>
          <w:lang w:eastAsia="ja-JP"/>
        </w:rPr>
        <w:t>The Authority may issue an export certificate if it is satisfied that:</w:t>
      </w:r>
    </w:p>
    <w:p w14:paraId="613E9542" w14:textId="620138AE" w:rsidR="005E6643" w:rsidRDefault="005E6643" w:rsidP="00F164D2">
      <w:pPr>
        <w:pStyle w:val="ListParagraph"/>
        <w:numPr>
          <w:ilvl w:val="0"/>
          <w:numId w:val="71"/>
        </w:numPr>
      </w:pPr>
      <w:r>
        <w:t>the grape prod</w:t>
      </w:r>
      <w:r w:rsidR="008610CD">
        <w:t>uct is approved under section 1</w:t>
      </w:r>
      <w:r w:rsidR="005D6484">
        <w:t>4</w:t>
      </w:r>
      <w:r>
        <w:t xml:space="preserve"> for export by the </w:t>
      </w:r>
      <w:r w:rsidR="00D95F6C">
        <w:t>licensee</w:t>
      </w:r>
    </w:p>
    <w:p w14:paraId="38F0E4BC" w14:textId="63E85396" w:rsidR="005E6643" w:rsidRDefault="005E6643" w:rsidP="00F164D2">
      <w:pPr>
        <w:pStyle w:val="ListParagraph"/>
        <w:numPr>
          <w:ilvl w:val="0"/>
          <w:numId w:val="71"/>
        </w:numPr>
      </w:pPr>
      <w:r w:rsidRPr="004D5FC4">
        <w:t xml:space="preserve">the export will meet any conditions required </w:t>
      </w:r>
      <w:r w:rsidR="00D95F6C">
        <w:t>of approval</w:t>
      </w:r>
    </w:p>
    <w:p w14:paraId="0C83DF62" w14:textId="621A4142" w:rsidR="005E6643" w:rsidRDefault="00D95F6C" w:rsidP="00F164D2">
      <w:pPr>
        <w:pStyle w:val="ListParagraph"/>
        <w:numPr>
          <w:ilvl w:val="0"/>
          <w:numId w:val="71"/>
        </w:numPr>
      </w:pPr>
      <w:r>
        <w:t>if a</w:t>
      </w:r>
      <w:r w:rsidR="005E6643">
        <w:t xml:space="preserve"> request </w:t>
      </w:r>
      <w:r w:rsidR="008610CD">
        <w:t xml:space="preserve">for information </w:t>
      </w:r>
      <w:r>
        <w:t xml:space="preserve">is made </w:t>
      </w:r>
      <w:r w:rsidR="008610CD">
        <w:t>under section 1</w:t>
      </w:r>
      <w:r w:rsidR="005D6484">
        <w:t>9</w:t>
      </w:r>
      <w:r w:rsidR="005E6643">
        <w:t xml:space="preserve"> in relation to a requirement</w:t>
      </w:r>
      <w:r>
        <w:t xml:space="preserve"> of an Australian law</w:t>
      </w:r>
      <w:r w:rsidR="005E6643">
        <w:t xml:space="preserve">, the description and presentation of the grape product </w:t>
      </w:r>
      <w:r>
        <w:t xml:space="preserve">meets those </w:t>
      </w:r>
      <w:r w:rsidR="005E6643">
        <w:t>requirements</w:t>
      </w:r>
    </w:p>
    <w:p w14:paraId="3A1D7956" w14:textId="26D9D8D9" w:rsidR="005E6643" w:rsidRDefault="005E6643" w:rsidP="00224D29">
      <w:pPr>
        <w:pStyle w:val="ListParagraph"/>
        <w:numPr>
          <w:ilvl w:val="0"/>
          <w:numId w:val="71"/>
        </w:numPr>
      </w:pPr>
      <w:r>
        <w:t>if a direction on quantity o</w:t>
      </w:r>
      <w:r w:rsidR="008610CD">
        <w:t>f export (under section 2</w:t>
      </w:r>
      <w:r w:rsidR="005D6484">
        <w:t>2</w:t>
      </w:r>
      <w:r>
        <w:t xml:space="preserve">) from the Authority is given to the prospective licence holder the export </w:t>
      </w:r>
      <w:r w:rsidR="00224D29">
        <w:t>would comply with the direction, and</w:t>
      </w:r>
    </w:p>
    <w:p w14:paraId="17C49DB4" w14:textId="091A8AB1" w:rsidR="005E6643" w:rsidRDefault="005E6643" w:rsidP="005E6643">
      <w:pPr>
        <w:rPr>
          <w:lang w:eastAsia="ja-JP"/>
        </w:rPr>
      </w:pPr>
      <w:r>
        <w:rPr>
          <w:lang w:eastAsia="ja-JP"/>
        </w:rPr>
        <w:t>The Authority may also have regard to</w:t>
      </w:r>
      <w:r w:rsidR="00D95F6C">
        <w:rPr>
          <w:lang w:eastAsia="ja-JP"/>
        </w:rPr>
        <w:t xml:space="preserve"> the person</w:t>
      </w:r>
      <w:r>
        <w:rPr>
          <w:lang w:eastAsia="ja-JP"/>
        </w:rPr>
        <w:t xml:space="preserve"> who</w:t>
      </w:r>
      <w:r w:rsidR="00D95F6C">
        <w:rPr>
          <w:lang w:eastAsia="ja-JP"/>
        </w:rPr>
        <w:t>m</w:t>
      </w:r>
      <w:r>
        <w:rPr>
          <w:lang w:eastAsia="ja-JP"/>
        </w:rPr>
        <w:t xml:space="preserve"> the product may be consigned in the country of destination.</w:t>
      </w:r>
    </w:p>
    <w:p w14:paraId="14E1BEFF" w14:textId="04193A57" w:rsidR="0045437B" w:rsidRPr="00527619" w:rsidRDefault="00833C44" w:rsidP="0045437B">
      <w:r>
        <w:t xml:space="preserve">If the Authority reasonably believes that the grape product cannot be lawfully sold in the country which it is to be exported to, then the Authority must refuse to approve the grape product for export. </w:t>
      </w:r>
      <w:r w:rsidR="0045437B">
        <w:t>In considering whether a grape product is not lawfully saleable in the destination country</w:t>
      </w:r>
      <w:r w:rsidR="00570832">
        <w:t>,</w:t>
      </w:r>
      <w:r w:rsidR="0045437B">
        <w:t xml:space="preserve"> the Authority is likely to have regard to whether the grape product meets the compositional and oenological (winemaking) practice standards of the intended importing country. </w:t>
      </w:r>
    </w:p>
    <w:p w14:paraId="73112C11" w14:textId="6554478E" w:rsidR="00BA413B" w:rsidRDefault="00570832" w:rsidP="00BA413B">
      <w:r>
        <w:t>If the Authority</w:t>
      </w:r>
      <w:r w:rsidR="00BA413B">
        <w:t xml:space="preserve"> requested information from the licensee about </w:t>
      </w:r>
      <w:r w:rsidR="00821539">
        <w:t>compliance with other laws</w:t>
      </w:r>
      <w:r w:rsidR="00BA413B">
        <w:t xml:space="preserve"> under section 19, and the licensee fails to comply with the request, then the Authority must refuse to approve the grape product for export. </w:t>
      </w:r>
    </w:p>
    <w:p w14:paraId="6CE2C47A" w14:textId="157278E2" w:rsidR="005E6643" w:rsidRDefault="005E6643" w:rsidP="005E6643">
      <w:pPr>
        <w:rPr>
          <w:lang w:eastAsia="ja-JP"/>
        </w:rPr>
      </w:pPr>
      <w:r>
        <w:rPr>
          <w:lang w:eastAsia="ja-JP"/>
        </w:rPr>
        <w:t>The Authority may impose conditions on the</w:t>
      </w:r>
      <w:r w:rsidR="00097587">
        <w:rPr>
          <w:lang w:eastAsia="ja-JP"/>
        </w:rPr>
        <w:t xml:space="preserve"> validity of export certificates</w:t>
      </w:r>
      <w:r>
        <w:rPr>
          <w:lang w:eastAsia="ja-JP"/>
        </w:rPr>
        <w:t>.</w:t>
      </w:r>
    </w:p>
    <w:p w14:paraId="52985E1A" w14:textId="77777777" w:rsidR="005E6643" w:rsidRDefault="005E6643" w:rsidP="005E6643">
      <w:pPr>
        <w:rPr>
          <w:lang w:eastAsia="ja-JP"/>
        </w:rPr>
      </w:pPr>
      <w:r>
        <w:rPr>
          <w:lang w:eastAsia="ja-JP"/>
        </w:rPr>
        <w:t>If the Authority decides not to issue the export certificate, it must notify the applicant in writing the reasons for this decision.</w:t>
      </w:r>
    </w:p>
    <w:p w14:paraId="5A8B4EE3" w14:textId="5C031ACD" w:rsidR="005E6643" w:rsidRPr="009D679D" w:rsidRDefault="005E6643" w:rsidP="005E6643">
      <w:pPr>
        <w:pStyle w:val="Provision"/>
      </w:pPr>
      <w:r w:rsidRPr="009D679D">
        <w:t xml:space="preserve">Section </w:t>
      </w:r>
      <w:r>
        <w:t>2</w:t>
      </w:r>
      <w:r w:rsidR="008610CD">
        <w:t>1</w:t>
      </w:r>
      <w:r w:rsidRPr="009D679D">
        <w:t xml:space="preserve">– </w:t>
      </w:r>
      <w:r>
        <w:t>Revocation of export certificate</w:t>
      </w:r>
      <w:r w:rsidRPr="009D679D">
        <w:t xml:space="preserve"> </w:t>
      </w:r>
    </w:p>
    <w:p w14:paraId="35535FB4" w14:textId="7E280C67" w:rsidR="005E6643" w:rsidRDefault="005E6643" w:rsidP="005E6643">
      <w:pPr>
        <w:rPr>
          <w:lang w:eastAsia="ja-JP"/>
        </w:rPr>
      </w:pPr>
      <w:r w:rsidRPr="009D679D">
        <w:rPr>
          <w:lang w:eastAsia="ja-JP"/>
        </w:rPr>
        <w:t xml:space="preserve">This section </w:t>
      </w:r>
      <w:r w:rsidR="00D95F6C">
        <w:rPr>
          <w:lang w:eastAsia="ja-JP"/>
        </w:rPr>
        <w:t>provides</w:t>
      </w:r>
      <w:r>
        <w:rPr>
          <w:lang w:eastAsia="ja-JP"/>
        </w:rPr>
        <w:t xml:space="preserve"> that the Authority may revoke</w:t>
      </w:r>
      <w:r w:rsidR="00D95F6C">
        <w:rPr>
          <w:lang w:eastAsia="ja-JP"/>
        </w:rPr>
        <w:t>, by notice in writing,</w:t>
      </w:r>
      <w:r>
        <w:rPr>
          <w:lang w:eastAsia="ja-JP"/>
        </w:rPr>
        <w:t xml:space="preserve"> an export certificate if the export of the grape product by the </w:t>
      </w:r>
      <w:r w:rsidR="00D95F6C">
        <w:rPr>
          <w:lang w:eastAsia="ja-JP"/>
        </w:rPr>
        <w:t>licensee</w:t>
      </w:r>
      <w:r>
        <w:rPr>
          <w:lang w:eastAsia="ja-JP"/>
        </w:rPr>
        <w:t xml:space="preserve"> no longer complies with the requi</w:t>
      </w:r>
      <w:r w:rsidR="008610CD">
        <w:rPr>
          <w:lang w:eastAsia="ja-JP"/>
        </w:rPr>
        <w:t>rements outlined in subsection 20</w:t>
      </w:r>
      <w:r>
        <w:rPr>
          <w:lang w:eastAsia="ja-JP"/>
        </w:rPr>
        <w:t>(2).</w:t>
      </w:r>
      <w:r w:rsidR="003E5D34">
        <w:rPr>
          <w:lang w:eastAsia="ja-JP"/>
        </w:rPr>
        <w:t xml:space="preserve"> </w:t>
      </w:r>
      <w:r w:rsidR="003E5D34">
        <w:t xml:space="preserve">The notice must state the reasons for the </w:t>
      </w:r>
      <w:r w:rsidR="00C437CE">
        <w:t>revocation</w:t>
      </w:r>
      <w:r w:rsidR="003E5D34" w:rsidRPr="00A11F99">
        <w:t>.</w:t>
      </w:r>
    </w:p>
    <w:p w14:paraId="30D71E87" w14:textId="255B6673" w:rsidR="00C77010" w:rsidRDefault="00C77010" w:rsidP="00C77010">
      <w:pPr>
        <w:pStyle w:val="Heading3"/>
      </w:pPr>
      <w:r>
        <w:t>Division 5—Other matters</w:t>
      </w:r>
    </w:p>
    <w:p w14:paraId="3A0C7C61" w14:textId="7CCB4F8E" w:rsidR="00C77010" w:rsidRDefault="008610CD" w:rsidP="008A123F">
      <w:pPr>
        <w:pStyle w:val="Provision"/>
        <w:tabs>
          <w:tab w:val="left" w:pos="426"/>
        </w:tabs>
      </w:pPr>
      <w:bookmarkStart w:id="8" w:name="_Toc501464037"/>
      <w:r>
        <w:rPr>
          <w:rStyle w:val="CharSectno"/>
        </w:rPr>
        <w:t>Section 22</w:t>
      </w:r>
      <w:r w:rsidR="00C77010" w:rsidRPr="007F01F9">
        <w:rPr>
          <w:rStyle w:val="CharSectno"/>
        </w:rPr>
        <w:t xml:space="preserve"> </w:t>
      </w:r>
      <w:r w:rsidR="00C77010" w:rsidRPr="007F01F9">
        <w:t>– Direction by Authority on quantity of exports</w:t>
      </w:r>
      <w:bookmarkEnd w:id="8"/>
    </w:p>
    <w:p w14:paraId="7C1FB5FA" w14:textId="77777777" w:rsidR="00C44C9A" w:rsidRDefault="007F01F9" w:rsidP="007F01F9">
      <w:r w:rsidRPr="007330A1">
        <w:t>This section provides that the Authority may direct the quantity of grape product that the licensee may export. The direction must be in writing and may relate to the quantity</w:t>
      </w:r>
      <w:r w:rsidR="00C44C9A">
        <w:t>:</w:t>
      </w:r>
    </w:p>
    <w:p w14:paraId="428BA07F" w14:textId="76801C8C" w:rsidR="00C44C9A" w:rsidRDefault="007F01F9" w:rsidP="008A123F">
      <w:pPr>
        <w:pStyle w:val="ListParagraph"/>
        <w:numPr>
          <w:ilvl w:val="0"/>
          <w:numId w:val="71"/>
        </w:numPr>
      </w:pPr>
      <w:r w:rsidRPr="007330A1">
        <w:lastRenderedPageBreak/>
        <w:t xml:space="preserve">generally </w:t>
      </w:r>
    </w:p>
    <w:p w14:paraId="43797EC6" w14:textId="02E31A0C" w:rsidR="00C44C9A" w:rsidRDefault="007F01F9" w:rsidP="008A123F">
      <w:pPr>
        <w:pStyle w:val="ListParagraph"/>
        <w:numPr>
          <w:ilvl w:val="0"/>
          <w:numId w:val="71"/>
        </w:numPr>
      </w:pPr>
      <w:r w:rsidRPr="007330A1">
        <w:t>to a country specified in the direction</w:t>
      </w:r>
      <w:r w:rsidR="0002114B">
        <w:t>,</w:t>
      </w:r>
      <w:r w:rsidRPr="007330A1">
        <w:t xml:space="preserve"> or </w:t>
      </w:r>
    </w:p>
    <w:p w14:paraId="4BDD125E" w14:textId="2701573C" w:rsidR="007F01F9" w:rsidRPr="007330A1" w:rsidRDefault="007F01F9" w:rsidP="008A123F">
      <w:pPr>
        <w:pStyle w:val="ListParagraph"/>
        <w:numPr>
          <w:ilvl w:val="0"/>
          <w:numId w:val="71"/>
        </w:numPr>
      </w:pPr>
      <w:r w:rsidRPr="007330A1">
        <w:t>to a person, agent or representative specified in the direction.</w:t>
      </w:r>
    </w:p>
    <w:p w14:paraId="5E493894" w14:textId="4AEE9F8E" w:rsidR="00C77010" w:rsidRDefault="00605A5C" w:rsidP="00C77010">
      <w:pPr>
        <w:pStyle w:val="Provision"/>
      </w:pPr>
      <w:bookmarkStart w:id="9" w:name="_Toc501464038"/>
      <w:r>
        <w:rPr>
          <w:rStyle w:val="CharSectno"/>
        </w:rPr>
        <w:br w:type="column"/>
      </w:r>
      <w:r w:rsidR="00C77010" w:rsidRPr="007F01F9">
        <w:rPr>
          <w:rStyle w:val="CharSectno"/>
        </w:rPr>
        <w:lastRenderedPageBreak/>
        <w:t>Section 2</w:t>
      </w:r>
      <w:r w:rsidR="008610CD">
        <w:rPr>
          <w:rStyle w:val="CharSectno"/>
        </w:rPr>
        <w:t>3</w:t>
      </w:r>
      <w:r w:rsidR="00C77010" w:rsidRPr="007F01F9">
        <w:t xml:space="preserve"> – Applications for review of decisions</w:t>
      </w:r>
      <w:bookmarkEnd w:id="9"/>
    </w:p>
    <w:p w14:paraId="39711E20" w14:textId="204578F1" w:rsidR="007F01F9" w:rsidRPr="007330A1" w:rsidRDefault="007F01F9" w:rsidP="007F01F9">
      <w:r w:rsidRPr="007330A1">
        <w:t>This section describes certain decisions made by the Authority that a person may apply to the Administrative Appeals Tribunal for review</w:t>
      </w:r>
      <w:r w:rsidR="00570832">
        <w:t>. The decisions are to:</w:t>
      </w:r>
    </w:p>
    <w:p w14:paraId="439D8326" w14:textId="6629CF27" w:rsidR="007F01F9" w:rsidRPr="007330A1" w:rsidRDefault="007F01F9" w:rsidP="00892CB7">
      <w:pPr>
        <w:pStyle w:val="ListParagraph"/>
        <w:numPr>
          <w:ilvl w:val="0"/>
          <w:numId w:val="71"/>
        </w:numPr>
      </w:pPr>
      <w:r w:rsidRPr="007330A1">
        <w:t>refuse to gr</w:t>
      </w:r>
      <w:r w:rsidR="0002114B">
        <w:t>ant a licence (under section 9)</w:t>
      </w:r>
    </w:p>
    <w:p w14:paraId="0CBD1443" w14:textId="42E24661" w:rsidR="007F01F9" w:rsidRPr="007330A1" w:rsidRDefault="007F01F9" w:rsidP="00892CB7">
      <w:pPr>
        <w:pStyle w:val="ListParagraph"/>
        <w:numPr>
          <w:ilvl w:val="0"/>
          <w:numId w:val="71"/>
        </w:numPr>
      </w:pPr>
      <w:r w:rsidRPr="007330A1">
        <w:t>suspend or ca</w:t>
      </w:r>
      <w:r w:rsidR="008610CD">
        <w:t>ncel a licence (under section 13</w:t>
      </w:r>
      <w:r w:rsidR="0002114B">
        <w:t>)</w:t>
      </w:r>
    </w:p>
    <w:p w14:paraId="4CBEFE72" w14:textId="51FD0790" w:rsidR="007F01F9" w:rsidRPr="007330A1" w:rsidRDefault="007F01F9" w:rsidP="00892CB7">
      <w:pPr>
        <w:pStyle w:val="ListParagraph"/>
        <w:numPr>
          <w:ilvl w:val="0"/>
          <w:numId w:val="71"/>
        </w:numPr>
      </w:pPr>
      <w:r w:rsidRPr="007330A1">
        <w:t>refuse to approve a grape prod</w:t>
      </w:r>
      <w:r w:rsidR="008610CD">
        <w:t>uct for export (under section 14</w:t>
      </w:r>
      <w:r w:rsidR="0002114B">
        <w:t>)</w:t>
      </w:r>
    </w:p>
    <w:p w14:paraId="5634266B" w14:textId="629FA6F7" w:rsidR="007F01F9" w:rsidRPr="007330A1" w:rsidRDefault="007F01F9" w:rsidP="00892CB7">
      <w:pPr>
        <w:pStyle w:val="ListParagraph"/>
        <w:numPr>
          <w:ilvl w:val="0"/>
          <w:numId w:val="71"/>
        </w:numPr>
      </w:pPr>
      <w:r w:rsidRPr="007330A1">
        <w:t>impose conditions on the approval of a grape prod</w:t>
      </w:r>
      <w:r w:rsidR="008610CD">
        <w:t xml:space="preserve">uct for export </w:t>
      </w:r>
      <w:r w:rsidR="00570832">
        <w:t>(including</w:t>
      </w:r>
      <w:r w:rsidR="00C437CE">
        <w:t xml:space="preserve"> variation of the conditions on an existing approval)</w:t>
      </w:r>
      <w:r w:rsidR="00C437CE" w:rsidRPr="00C437CE">
        <w:t xml:space="preserve"> </w:t>
      </w:r>
      <w:r w:rsidR="00C437CE">
        <w:t>(under section 14</w:t>
      </w:r>
      <w:r w:rsidR="00C437CE" w:rsidRPr="007330A1">
        <w:t>)</w:t>
      </w:r>
    </w:p>
    <w:p w14:paraId="29B2A9E5" w14:textId="26E800E8" w:rsidR="007F01F9" w:rsidRPr="007330A1" w:rsidRDefault="007F01F9" w:rsidP="00892CB7">
      <w:pPr>
        <w:pStyle w:val="ListParagraph"/>
        <w:numPr>
          <w:ilvl w:val="0"/>
          <w:numId w:val="71"/>
        </w:numPr>
      </w:pPr>
      <w:r w:rsidRPr="007330A1">
        <w:t xml:space="preserve">approve a grape product that does not comply with the Food </w:t>
      </w:r>
      <w:r w:rsidR="008610CD">
        <w:t>Standards Code (under section 14</w:t>
      </w:r>
      <w:r w:rsidR="0002114B">
        <w:t>)</w:t>
      </w:r>
    </w:p>
    <w:p w14:paraId="462C738F" w14:textId="5BC418F0" w:rsidR="007F01F9" w:rsidRPr="007330A1" w:rsidRDefault="008610CD" w:rsidP="00892CB7">
      <w:pPr>
        <w:pStyle w:val="ListParagraph"/>
        <w:numPr>
          <w:ilvl w:val="0"/>
          <w:numId w:val="71"/>
        </w:numPr>
      </w:pPr>
      <w:r>
        <w:t>r</w:t>
      </w:r>
      <w:r w:rsidR="007F01F9" w:rsidRPr="007330A1">
        <w:t>evoke the approval of a grape prod</w:t>
      </w:r>
      <w:r>
        <w:t>uct for export (under section 17</w:t>
      </w:r>
      <w:r w:rsidR="0002114B">
        <w:t>)</w:t>
      </w:r>
    </w:p>
    <w:p w14:paraId="325A05B9" w14:textId="5B202303" w:rsidR="007F01F9" w:rsidRDefault="007F01F9" w:rsidP="00892CB7">
      <w:pPr>
        <w:pStyle w:val="ListParagraph"/>
        <w:numPr>
          <w:ilvl w:val="0"/>
          <w:numId w:val="71"/>
        </w:numPr>
      </w:pPr>
      <w:r w:rsidRPr="007330A1">
        <w:t>refuse to issue an expo</w:t>
      </w:r>
      <w:r w:rsidR="008610CD">
        <w:t>rt certificate (under section 20</w:t>
      </w:r>
      <w:r w:rsidR="0002114B">
        <w:t>)</w:t>
      </w:r>
    </w:p>
    <w:p w14:paraId="33D9C4D2" w14:textId="0A8DAADC" w:rsidR="00C44C9A" w:rsidRPr="007330A1" w:rsidRDefault="00C437CE" w:rsidP="00892CB7">
      <w:pPr>
        <w:pStyle w:val="ListParagraph"/>
        <w:numPr>
          <w:ilvl w:val="0"/>
          <w:numId w:val="71"/>
        </w:numPr>
      </w:pPr>
      <w:r>
        <w:t xml:space="preserve">specify </w:t>
      </w:r>
      <w:r w:rsidR="00C44C9A">
        <w:t>conditions</w:t>
      </w:r>
      <w:r w:rsidR="00570832">
        <w:t xml:space="preserve"> on</w:t>
      </w:r>
      <w:r>
        <w:t xml:space="preserve"> the validity of</w:t>
      </w:r>
      <w:r w:rsidR="00C44C9A">
        <w:t xml:space="preserve"> an expo</w:t>
      </w:r>
      <w:r w:rsidR="008610CD">
        <w:t>rt certificate (under section 20</w:t>
      </w:r>
      <w:r w:rsidR="0002114B">
        <w:t>)</w:t>
      </w:r>
    </w:p>
    <w:p w14:paraId="429A5CB4" w14:textId="36F8B147" w:rsidR="007F01F9" w:rsidRPr="007330A1" w:rsidRDefault="007F01F9" w:rsidP="00892CB7">
      <w:pPr>
        <w:pStyle w:val="ListParagraph"/>
        <w:numPr>
          <w:ilvl w:val="0"/>
          <w:numId w:val="71"/>
        </w:numPr>
      </w:pPr>
      <w:r w:rsidRPr="007330A1">
        <w:t xml:space="preserve">revoke an export certificate (under section </w:t>
      </w:r>
      <w:r w:rsidR="008610CD">
        <w:t>21</w:t>
      </w:r>
      <w:r w:rsidR="0002114B">
        <w:t>), and</w:t>
      </w:r>
    </w:p>
    <w:p w14:paraId="0370E168" w14:textId="384F0549" w:rsidR="007F01F9" w:rsidRPr="007330A1" w:rsidRDefault="007F01F9" w:rsidP="00892CB7">
      <w:pPr>
        <w:pStyle w:val="ListParagraph"/>
        <w:numPr>
          <w:ilvl w:val="0"/>
          <w:numId w:val="71"/>
        </w:numPr>
      </w:pPr>
      <w:r w:rsidRPr="007330A1">
        <w:t>gi</w:t>
      </w:r>
      <w:r w:rsidR="008610CD">
        <w:t>ve a direction (under section 22</w:t>
      </w:r>
      <w:r w:rsidRPr="007330A1">
        <w:t>).</w:t>
      </w:r>
    </w:p>
    <w:p w14:paraId="06C3C42E" w14:textId="77777777" w:rsidR="004230DF" w:rsidRPr="002C2DA7" w:rsidRDefault="004230DF" w:rsidP="00F164D2">
      <w:pPr>
        <w:pStyle w:val="Part"/>
      </w:pPr>
      <w:r w:rsidRPr="002C2DA7">
        <w:t>Part 4—Description and presentation of wine</w:t>
      </w:r>
    </w:p>
    <w:p w14:paraId="1F49D64E" w14:textId="5EC164B9" w:rsidR="004230DF" w:rsidRPr="004230DF" w:rsidRDefault="004260C3" w:rsidP="00C21613">
      <w:r>
        <w:t>This p</w:t>
      </w:r>
      <w:r w:rsidR="004230DF" w:rsidRPr="004230DF">
        <w:t>art prescribes the circumstances where the description and presentation of wine will not be misleading for the purposes of the offence in section 40E of the Act, to sell, export or import wine with a misleading description</w:t>
      </w:r>
      <w:r w:rsidR="0002114B">
        <w:t xml:space="preserve"> and presentation</w:t>
      </w:r>
      <w:r w:rsidR="004230DF" w:rsidRPr="004230DF">
        <w:t>.</w:t>
      </w:r>
    </w:p>
    <w:p w14:paraId="6EAF2DA6" w14:textId="77777777" w:rsidR="004230DF" w:rsidRPr="004230DF" w:rsidRDefault="004230DF" w:rsidP="00C21613">
      <w:r w:rsidRPr="004230DF">
        <w:t xml:space="preserve">Subsection 40F(6) of the Act provides that the description and presentation of wine is misleading if it is not in accordance with any provisions relating to the description and presentation of wine set out in the Regulations for the purposes of the subsection. </w:t>
      </w:r>
    </w:p>
    <w:p w14:paraId="517725CD" w14:textId="665DB5B6" w:rsidR="004230DF" w:rsidRPr="004230DF" w:rsidRDefault="004260C3" w:rsidP="00C21613">
      <w:r>
        <w:t>All the sections in this p</w:t>
      </w:r>
      <w:r w:rsidR="004230DF" w:rsidRPr="004230DF">
        <w:t>art are made for the purposes of subsection 40F(6) of the Act.</w:t>
      </w:r>
    </w:p>
    <w:p w14:paraId="62F203E9" w14:textId="3F6BEC5E" w:rsidR="004230DF" w:rsidRPr="00570832" w:rsidRDefault="004260C3" w:rsidP="00570832">
      <w:pPr>
        <w:pStyle w:val="Provision"/>
      </w:pPr>
      <w:r>
        <w:t>Section 24</w:t>
      </w:r>
      <w:r w:rsidR="004230DF" w:rsidRPr="004230DF">
        <w:t xml:space="preserve"> – Wine originating in more than one country</w:t>
      </w:r>
    </w:p>
    <w:p w14:paraId="798CE4B2" w14:textId="23659FEF" w:rsidR="004230DF" w:rsidRPr="004230DF" w:rsidRDefault="004230DF" w:rsidP="00C21613">
      <w:r w:rsidRPr="004230DF">
        <w:t xml:space="preserve">This section provides for the description and presentation of wine that is made from grapes grown in more than one country. </w:t>
      </w:r>
      <w:r w:rsidR="009C17F0">
        <w:t>The description and presentation of w</w:t>
      </w:r>
      <w:r w:rsidRPr="004230DF">
        <w:t>ine made from grapes grown in more than one country must identify the proportion of wine made from grapes grown in each country.</w:t>
      </w:r>
    </w:p>
    <w:p w14:paraId="2D2E85D0" w14:textId="66D4773C" w:rsidR="004230DF" w:rsidRPr="004230DF" w:rsidRDefault="004230DF" w:rsidP="00C21613">
      <w:r w:rsidRPr="004230DF">
        <w:t xml:space="preserve">In determining countries of origin, the quantity of additives derived from grapes up to two </w:t>
      </w:r>
      <w:r w:rsidR="0002114B">
        <w:br/>
      </w:r>
      <w:r w:rsidRPr="004230DF">
        <w:t xml:space="preserve">per cent (20ml/L) of the wine, is excluded. </w:t>
      </w:r>
    </w:p>
    <w:p w14:paraId="6CD04DDB" w14:textId="4E10E441" w:rsidR="004230DF" w:rsidRPr="004230DF" w:rsidRDefault="004230DF" w:rsidP="00C21613">
      <w:pPr>
        <w:pStyle w:val="Provision"/>
      </w:pPr>
      <w:r w:rsidRPr="004230DF">
        <w:t>Section 2</w:t>
      </w:r>
      <w:r w:rsidR="004260C3">
        <w:t>5</w:t>
      </w:r>
      <w:r w:rsidRPr="004230DF">
        <w:t xml:space="preserve"> – Grape varieties</w:t>
      </w:r>
    </w:p>
    <w:p w14:paraId="0E47CDD6" w14:textId="77777777" w:rsidR="004230DF" w:rsidRPr="004230DF" w:rsidRDefault="004230DF" w:rsidP="00C21613">
      <w:r w:rsidRPr="004230DF">
        <w:t>This section outlines the description and presentation requirements for grape varieties to be applied to wine originating in Australia.</w:t>
      </w:r>
    </w:p>
    <w:p w14:paraId="73B04735" w14:textId="77777777" w:rsidR="004230DF" w:rsidRPr="004230DF" w:rsidRDefault="004230DF" w:rsidP="00C21613">
      <w:r w:rsidRPr="004230DF">
        <w:t xml:space="preserve">Section 4 of the Act provides that a </w:t>
      </w:r>
      <w:r w:rsidRPr="004230DF">
        <w:rPr>
          <w:b/>
          <w:i/>
        </w:rPr>
        <w:t>variety</w:t>
      </w:r>
      <w:r w:rsidRPr="004230DF">
        <w:t xml:space="preserve">, in relation to wine or grape extract, means the variety of the grapes from which the wine or grape extract was obtained. </w:t>
      </w:r>
    </w:p>
    <w:p w14:paraId="4CA8AC7F" w14:textId="77777777" w:rsidR="004230DF" w:rsidRPr="004230DF" w:rsidRDefault="004230DF" w:rsidP="00C21613">
      <w:r w:rsidRPr="004230DF">
        <w:lastRenderedPageBreak/>
        <w:t>A wine which includes the name of a grape variety in its description and presentation, must only use a name of a variety, or a synonym of a name of a variety that is recognised by one of the following organisations:</w:t>
      </w:r>
    </w:p>
    <w:p w14:paraId="493FC931" w14:textId="41F37FC9" w:rsidR="0002114B" w:rsidRDefault="004230DF" w:rsidP="002D5623">
      <w:pPr>
        <w:pStyle w:val="ListParagraph"/>
        <w:numPr>
          <w:ilvl w:val="0"/>
          <w:numId w:val="71"/>
        </w:numPr>
      </w:pPr>
      <w:r w:rsidRPr="004230DF">
        <w:t>International Organisation of Vine and Wine</w:t>
      </w:r>
    </w:p>
    <w:p w14:paraId="3D2D8AC5" w14:textId="20DEA24D" w:rsidR="004230DF" w:rsidRPr="004230DF" w:rsidRDefault="004230DF" w:rsidP="002D5623">
      <w:pPr>
        <w:pStyle w:val="ListParagraph"/>
        <w:numPr>
          <w:ilvl w:val="0"/>
          <w:numId w:val="71"/>
        </w:numPr>
      </w:pPr>
      <w:r w:rsidRPr="004230DF">
        <w:t>International Union for the Protection of New Varieties of Plants</w:t>
      </w:r>
      <w:r w:rsidR="0002114B">
        <w:t>,</w:t>
      </w:r>
      <w:r w:rsidRPr="004230DF">
        <w:t xml:space="preserve"> or</w:t>
      </w:r>
    </w:p>
    <w:p w14:paraId="17316AA1" w14:textId="77777777" w:rsidR="004230DF" w:rsidRPr="004230DF" w:rsidRDefault="004230DF" w:rsidP="002D5623">
      <w:pPr>
        <w:pStyle w:val="ListParagraph"/>
        <w:numPr>
          <w:ilvl w:val="0"/>
          <w:numId w:val="71"/>
        </w:numPr>
        <w:rPr>
          <w:lang w:eastAsia="ja-JP"/>
        </w:rPr>
      </w:pPr>
      <w:r w:rsidRPr="004230DF">
        <w:t>International Plant Genetic Resources Institute</w:t>
      </w:r>
      <w:r w:rsidRPr="004230DF">
        <w:rPr>
          <w:lang w:eastAsia="ja-JP"/>
        </w:rPr>
        <w:t>.</w:t>
      </w:r>
    </w:p>
    <w:p w14:paraId="5DD46BC4" w14:textId="77777777" w:rsidR="004230DF" w:rsidRPr="004230DF" w:rsidRDefault="004230DF" w:rsidP="00C21613">
      <w:r w:rsidRPr="004230DF">
        <w:t>A wine which is made from two or more varieties, may be described and presented as being made from single variety, if at least 85 per cent (850ml/L) of the wine is obtained from that variety.</w:t>
      </w:r>
    </w:p>
    <w:p w14:paraId="393730C5" w14:textId="77777777" w:rsidR="004230DF" w:rsidRPr="004230DF" w:rsidRDefault="004230DF" w:rsidP="00C21613">
      <w:r w:rsidRPr="004230DF">
        <w:t>A wine may be described and presented as more than one variety. However, to do so:</w:t>
      </w:r>
    </w:p>
    <w:p w14:paraId="1556C4FE" w14:textId="15416D0D" w:rsidR="004230DF" w:rsidRPr="004230DF" w:rsidRDefault="004230DF" w:rsidP="002D5623">
      <w:pPr>
        <w:pStyle w:val="ListParagraph"/>
        <w:numPr>
          <w:ilvl w:val="0"/>
          <w:numId w:val="71"/>
        </w:numPr>
      </w:pPr>
      <w:r w:rsidRPr="004230DF">
        <w:t>the varieties must be listed in descending order of their proportions in the wine (largest to smallest)</w:t>
      </w:r>
    </w:p>
    <w:p w14:paraId="3CD00C6E" w14:textId="7023F3B1" w:rsidR="004230DF" w:rsidRPr="004230DF" w:rsidRDefault="004230DF" w:rsidP="002D5623">
      <w:pPr>
        <w:pStyle w:val="ListParagraph"/>
        <w:numPr>
          <w:ilvl w:val="0"/>
          <w:numId w:val="71"/>
        </w:numPr>
      </w:pPr>
      <w:r w:rsidRPr="004230DF">
        <w:t>each variety named must be present in a greater proportion than an</w:t>
      </w:r>
      <w:r w:rsidR="00A23658">
        <w:t>y varieties which are not named,</w:t>
      </w:r>
      <w:r w:rsidRPr="004230DF">
        <w:t xml:space="preserve"> and</w:t>
      </w:r>
    </w:p>
    <w:p w14:paraId="1479AEBB" w14:textId="71C78490" w:rsidR="004230DF" w:rsidRPr="004230DF" w:rsidRDefault="004230DF" w:rsidP="002D5623">
      <w:pPr>
        <w:pStyle w:val="ListParagraph"/>
        <w:numPr>
          <w:ilvl w:val="0"/>
          <w:numId w:val="71"/>
        </w:numPr>
        <w:rPr>
          <w:lang w:eastAsia="ja-JP"/>
        </w:rPr>
      </w:pPr>
      <w:r w:rsidRPr="004230DF">
        <w:t>at least 85 per cent (850</w:t>
      </w:r>
      <w:r w:rsidR="000C76F3">
        <w:t xml:space="preserve">ml/L) </w:t>
      </w:r>
      <w:r w:rsidRPr="004230DF">
        <w:t>of the wine must be made from the named</w:t>
      </w:r>
      <w:r w:rsidRPr="004230DF">
        <w:rPr>
          <w:lang w:eastAsia="ja-JP"/>
        </w:rPr>
        <w:t xml:space="preserve"> varieties.</w:t>
      </w:r>
    </w:p>
    <w:p w14:paraId="41518A50" w14:textId="78CF3379" w:rsidR="004230DF" w:rsidRPr="004230DF" w:rsidRDefault="004230DF" w:rsidP="00C21613">
      <w:r w:rsidRPr="004230DF">
        <w:t xml:space="preserve">In determining the proportion of grape varieties, the quantity of products used in the wine intended to sweeten and provide cultures of microorganisms, up to five per cent (50ml/L) of the wine, is excluded. </w:t>
      </w:r>
    </w:p>
    <w:p w14:paraId="7034044A" w14:textId="77777777" w:rsidR="004230DF" w:rsidRPr="004230DF" w:rsidRDefault="004230DF" w:rsidP="00C21613">
      <w:r w:rsidRPr="004230DF">
        <w:t>In determining the volume of a fortified wine, any added grape spirit or brandy (or both) are also excluded.</w:t>
      </w:r>
    </w:p>
    <w:p w14:paraId="169573EF" w14:textId="28C73361" w:rsidR="004230DF" w:rsidRPr="004230DF" w:rsidRDefault="004230DF" w:rsidP="00C21613">
      <w:pPr>
        <w:pStyle w:val="Provision"/>
      </w:pPr>
      <w:r w:rsidRPr="004230DF">
        <w:t>S</w:t>
      </w:r>
      <w:r w:rsidR="004260C3">
        <w:t>ection 26</w:t>
      </w:r>
      <w:r w:rsidRPr="004230DF">
        <w:t xml:space="preserve"> –</w:t>
      </w:r>
      <w:r w:rsidR="004260C3">
        <w:t xml:space="preserve"> </w:t>
      </w:r>
      <w:r w:rsidRPr="004230DF">
        <w:t>Use of registered geographical indications</w:t>
      </w:r>
    </w:p>
    <w:p w14:paraId="7E8D64C6" w14:textId="2E48C736" w:rsidR="004230DF" w:rsidRPr="004230DF" w:rsidRDefault="004230DF" w:rsidP="00C21613">
      <w:r w:rsidRPr="004230DF">
        <w:t xml:space="preserve">This section outlines the requirements for using a registered GI or a foreign place name, in the description and presentation of wine. A registered GI is an Australian GI (for example, ‘Barossa Valley’) or foreign GI (for example, ‘Bordeaux’) which is included in Part 1 of the Register made under section 40ZC of the Act. The Register contains a list of GIs and traditional wine terms that are protected under Australian law. </w:t>
      </w:r>
    </w:p>
    <w:p w14:paraId="115FEEAD" w14:textId="2D8630BF" w:rsidR="004230DF" w:rsidRPr="004230DF" w:rsidRDefault="000C76F3" w:rsidP="00C21613">
      <w:r>
        <w:t>This</w:t>
      </w:r>
      <w:r w:rsidR="004230DF" w:rsidRPr="004230DF">
        <w:t xml:space="preserve"> section limits the number of registered Australian GIs which can be used to describe and present a wine. In the </w:t>
      </w:r>
      <w:r>
        <w:t xml:space="preserve">description and </w:t>
      </w:r>
      <w:r w:rsidR="004230DF" w:rsidRPr="004230DF">
        <w:t xml:space="preserve">presentation of wine, a maximum of three registered Australian GIs and foreign place names in total can be used. The subsections provide the requirements for each combination of Australian GIs and foreign place names that can be used in total, in describing and presenting the wine. </w:t>
      </w:r>
    </w:p>
    <w:p w14:paraId="2854284F" w14:textId="60C3DA9A" w:rsidR="004230DF" w:rsidRPr="004230DF" w:rsidRDefault="004230DF" w:rsidP="00C21613">
      <w:r w:rsidRPr="004230DF">
        <w:t xml:space="preserve">A </w:t>
      </w:r>
      <w:r w:rsidRPr="00A868E0">
        <w:rPr>
          <w:b/>
          <w:i/>
        </w:rPr>
        <w:t>foreign place name</w:t>
      </w:r>
      <w:r w:rsidRPr="004230DF">
        <w:t xml:space="preserve"> is a word or expression which identifies a country, region or locality (other than Australia) in which the wine originated, and is not a registered foreign GI (for example, </w:t>
      </w:r>
      <w:r w:rsidR="00A23658">
        <w:t>‘</w:t>
      </w:r>
      <w:r w:rsidRPr="004230DF">
        <w:t>Central Otago, New Zealand</w:t>
      </w:r>
      <w:r w:rsidR="00A23658">
        <w:t>’</w:t>
      </w:r>
      <w:r w:rsidRPr="004230DF">
        <w:t>).</w:t>
      </w:r>
    </w:p>
    <w:p w14:paraId="3336B3E3" w14:textId="6C3BE8CF" w:rsidR="004230DF" w:rsidRPr="004230DF" w:rsidRDefault="004230DF" w:rsidP="000C76F3">
      <w:r w:rsidRPr="004230DF">
        <w:t>A wine may be described and presented as being from only one registered Australian GI</w:t>
      </w:r>
      <w:r w:rsidR="000C76F3">
        <w:t xml:space="preserve"> and not any registered foreign GIs or foreign names. However to do so, </w:t>
      </w:r>
      <w:r w:rsidRPr="004230DF">
        <w:t>at least 85 p</w:t>
      </w:r>
      <w:r w:rsidR="000C76F3">
        <w:t>er cent (850ml/L) of the wine must be</w:t>
      </w:r>
      <w:r w:rsidRPr="004230DF">
        <w:t xml:space="preserve"> obtained from grapes grown in the region or locality of the Australian GI. </w:t>
      </w:r>
    </w:p>
    <w:p w14:paraId="6EEBBCC2" w14:textId="4B7AFE25" w:rsidR="004230DF" w:rsidRPr="004230DF" w:rsidRDefault="004230DF" w:rsidP="000C76F3">
      <w:r w:rsidRPr="004230DF">
        <w:lastRenderedPageBreak/>
        <w:t>A wine may be described and presented as being from only one registered foreign GI</w:t>
      </w:r>
      <w:r w:rsidR="000C76F3">
        <w:t xml:space="preserve"> and not any registered Australian GIs. However to do so, </w:t>
      </w:r>
      <w:r w:rsidRPr="004230DF">
        <w:t xml:space="preserve">at least 85 per cent (850ml/L) of the wine </w:t>
      </w:r>
      <w:r w:rsidR="000C76F3">
        <w:t xml:space="preserve">must be </w:t>
      </w:r>
      <w:r w:rsidRPr="004230DF">
        <w:t xml:space="preserve">obtained from grapes grown in the region or locality indicated by the GI. </w:t>
      </w:r>
    </w:p>
    <w:p w14:paraId="194F3561" w14:textId="04E6A948" w:rsidR="004230DF" w:rsidRPr="004230DF" w:rsidRDefault="004230DF" w:rsidP="00C21613">
      <w:r w:rsidRPr="004230DF">
        <w:t>A wine may be described and presented as being from one Australian GI and up to an additional two registered GIs (</w:t>
      </w:r>
      <w:r w:rsidR="000C76F3">
        <w:t>regardless of whether they are</w:t>
      </w:r>
      <w:r w:rsidRPr="004230DF">
        <w:t xml:space="preserve"> Australian or foreign GIs)</w:t>
      </w:r>
      <w:r w:rsidR="000C76F3">
        <w:t xml:space="preserve"> and does not use a foreign place name. However</w:t>
      </w:r>
      <w:r w:rsidRPr="004230DF">
        <w:t xml:space="preserve"> to do so:</w:t>
      </w:r>
    </w:p>
    <w:p w14:paraId="6599AC61" w14:textId="4874BA1E" w:rsidR="004230DF" w:rsidRPr="004230DF" w:rsidRDefault="004230DF" w:rsidP="002D5623">
      <w:pPr>
        <w:pStyle w:val="ListParagraph"/>
        <w:numPr>
          <w:ilvl w:val="0"/>
          <w:numId w:val="71"/>
        </w:numPr>
      </w:pPr>
      <w:r w:rsidRPr="004230DF">
        <w:t xml:space="preserve">at least 95 per cent (950ml/L) of the wine </w:t>
      </w:r>
      <w:r w:rsidR="000C76F3">
        <w:t>must be</w:t>
      </w:r>
      <w:r w:rsidRPr="004230DF">
        <w:t xml:space="preserve"> obtained from grapes grown in the region or locality indicated by the GIs</w:t>
      </w:r>
    </w:p>
    <w:p w14:paraId="5376FBED" w14:textId="49F2DBCA" w:rsidR="004230DF" w:rsidRPr="004230DF" w:rsidRDefault="004230DF" w:rsidP="002D5623">
      <w:pPr>
        <w:pStyle w:val="ListParagraph"/>
        <w:numPr>
          <w:ilvl w:val="0"/>
          <w:numId w:val="71"/>
        </w:numPr>
      </w:pPr>
      <w:r w:rsidRPr="004230DF">
        <w:t xml:space="preserve">at least five per </w:t>
      </w:r>
      <w:r w:rsidR="000C76F3">
        <w:t>cent (50ml/L) of the wine must be</w:t>
      </w:r>
      <w:r w:rsidRPr="004230DF">
        <w:t xml:space="preserve"> obtained from each of the regions or localities</w:t>
      </w:r>
      <w:r w:rsidR="00A23658">
        <w:t>,</w:t>
      </w:r>
      <w:r w:rsidRPr="004230DF">
        <w:t xml:space="preserve"> and</w:t>
      </w:r>
    </w:p>
    <w:p w14:paraId="16AB8226" w14:textId="77777777" w:rsidR="004230DF" w:rsidRPr="004230DF" w:rsidRDefault="004230DF" w:rsidP="002D5623">
      <w:pPr>
        <w:pStyle w:val="ListParagraph"/>
        <w:numPr>
          <w:ilvl w:val="0"/>
          <w:numId w:val="71"/>
        </w:numPr>
      </w:pPr>
      <w:r w:rsidRPr="004230DF">
        <w:t>the registered GIs are listed in descending order of the proportion of the relevant grapes in the wine (largest to smallest).</w:t>
      </w:r>
    </w:p>
    <w:p w14:paraId="1907D50F" w14:textId="4AC50658" w:rsidR="004230DF" w:rsidRPr="004230DF" w:rsidRDefault="000C76F3" w:rsidP="00C21613">
      <w:r>
        <w:t>If a</w:t>
      </w:r>
      <w:r w:rsidR="004230DF" w:rsidRPr="004230DF">
        <w:t xml:space="preserve"> wine </w:t>
      </w:r>
      <w:r>
        <w:t>is</w:t>
      </w:r>
      <w:r w:rsidR="004230DF" w:rsidRPr="004230DF">
        <w:t xml:space="preserve"> described and presented as being from one Australian GI and up to two foreign place names</w:t>
      </w:r>
      <w:r>
        <w:t>, then</w:t>
      </w:r>
      <w:r w:rsidR="004230DF" w:rsidRPr="004230DF">
        <w:t>:</w:t>
      </w:r>
    </w:p>
    <w:p w14:paraId="5C855F16" w14:textId="17F480E7" w:rsidR="004230DF" w:rsidRPr="004230DF" w:rsidRDefault="004230DF" w:rsidP="002D5623">
      <w:pPr>
        <w:pStyle w:val="ListParagraph"/>
        <w:numPr>
          <w:ilvl w:val="0"/>
          <w:numId w:val="71"/>
        </w:numPr>
      </w:pPr>
      <w:r w:rsidRPr="004230DF">
        <w:t xml:space="preserve">at least 95 per cent (950ml/L) of the wine </w:t>
      </w:r>
      <w:r w:rsidR="000C76F3">
        <w:t>must be</w:t>
      </w:r>
      <w:r w:rsidRPr="004230DF">
        <w:t xml:space="preserve"> obtained from grapes grown in the region or locality indicated by the Australian GI, and the countries, regions or localities identi</w:t>
      </w:r>
      <w:r w:rsidR="00A23658">
        <w:t>fied by the foreign place names</w:t>
      </w:r>
    </w:p>
    <w:p w14:paraId="039DC981" w14:textId="083DDBF4" w:rsidR="004230DF" w:rsidRPr="004230DF" w:rsidRDefault="004230DF" w:rsidP="002D5623">
      <w:pPr>
        <w:pStyle w:val="ListParagraph"/>
        <w:numPr>
          <w:ilvl w:val="0"/>
          <w:numId w:val="71"/>
        </w:numPr>
      </w:pPr>
      <w:r w:rsidRPr="004230DF">
        <w:t xml:space="preserve">at least five per cent (50ml/L) of the wine </w:t>
      </w:r>
      <w:r w:rsidR="000C76F3">
        <w:t xml:space="preserve">must be </w:t>
      </w:r>
      <w:r w:rsidRPr="004230DF">
        <w:t>obtained from each of the countries, regions or localities</w:t>
      </w:r>
      <w:r w:rsidR="00A23658">
        <w:t>,</w:t>
      </w:r>
      <w:r w:rsidRPr="004230DF">
        <w:t xml:space="preserve"> and</w:t>
      </w:r>
    </w:p>
    <w:p w14:paraId="57480CAA" w14:textId="77777777" w:rsidR="004230DF" w:rsidRPr="004230DF" w:rsidRDefault="004230DF" w:rsidP="002D5623">
      <w:pPr>
        <w:pStyle w:val="ListParagraph"/>
        <w:numPr>
          <w:ilvl w:val="0"/>
          <w:numId w:val="71"/>
        </w:numPr>
      </w:pPr>
      <w:r w:rsidRPr="004230DF">
        <w:t>the registered GI and foreign place names are listed in descending order of the proportion of the relevant grapes in the wine (largest to smallest).</w:t>
      </w:r>
    </w:p>
    <w:p w14:paraId="55AF882A" w14:textId="0FB05567" w:rsidR="004230DF" w:rsidRPr="004230DF" w:rsidRDefault="000C76F3" w:rsidP="00C21613">
      <w:r>
        <w:t>For this section, w</w:t>
      </w:r>
      <w:r w:rsidR="004230DF" w:rsidRPr="004230DF">
        <w:t xml:space="preserve">here a word or term </w:t>
      </w:r>
      <w:r w:rsidR="00C07212">
        <w:t>(</w:t>
      </w:r>
      <w:r w:rsidR="004230DF" w:rsidRPr="004230DF">
        <w:t>such as a place</w:t>
      </w:r>
      <w:r w:rsidR="00C07212">
        <w:t>,</w:t>
      </w:r>
      <w:r w:rsidR="004230DF" w:rsidRPr="004230DF">
        <w:t xml:space="preserve"> name or country</w:t>
      </w:r>
      <w:r w:rsidR="00C07212">
        <w:t>)</w:t>
      </w:r>
      <w:r w:rsidR="004230DF" w:rsidRPr="004230DF">
        <w:t xml:space="preserve"> is required to be used on a label by another law, the word or term is not to be treated as a registered GI. For example, Standard 1.2.2 </w:t>
      </w:r>
      <w:r w:rsidR="00570832">
        <w:t xml:space="preserve">of </w:t>
      </w:r>
      <w:r w:rsidR="004230DF" w:rsidRPr="004230DF">
        <w:t xml:space="preserve">the </w:t>
      </w:r>
      <w:r w:rsidR="004230DF" w:rsidRPr="00D40754">
        <w:t>Food Standards Code</w:t>
      </w:r>
      <w:r w:rsidR="004230DF" w:rsidRPr="004230DF">
        <w:t xml:space="preserve"> requires wine labels to provide the name and business address of the supplier of the wine. In practice, the address w</w:t>
      </w:r>
      <w:r w:rsidR="00C07212">
        <w:t>ill be of the wine bottler, and</w:t>
      </w:r>
      <w:r w:rsidR="004230DF" w:rsidRPr="004230DF">
        <w:t xml:space="preserve"> may not be located in the GI from which the grapes were grown. </w:t>
      </w:r>
    </w:p>
    <w:p w14:paraId="4A07A47A" w14:textId="77777777" w:rsidR="004230DF" w:rsidRPr="004230DF" w:rsidRDefault="004230DF" w:rsidP="00C21613">
      <w:r w:rsidRPr="004230DF">
        <w:t>In determining the volume of a fortified wine for the purposes of this section, any added grape spirit or brandy (or both) are excluded.</w:t>
      </w:r>
    </w:p>
    <w:p w14:paraId="223DB869" w14:textId="2408525E" w:rsidR="004230DF" w:rsidRPr="004230DF" w:rsidRDefault="004260C3" w:rsidP="00C21613">
      <w:pPr>
        <w:pStyle w:val="Provision"/>
      </w:pPr>
      <w:r>
        <w:t>Section 27</w:t>
      </w:r>
      <w:r w:rsidR="004230DF" w:rsidRPr="004230DF">
        <w:t xml:space="preserve"> – Vintages</w:t>
      </w:r>
    </w:p>
    <w:p w14:paraId="34D850B0" w14:textId="77777777" w:rsidR="004230DF" w:rsidRPr="004230DF" w:rsidRDefault="004230DF" w:rsidP="00C21613">
      <w:r w:rsidRPr="004230DF">
        <w:t>This section outlines the requirements for wine originating in Australia using vintages (year that grapes are harvested), in the description and presentation of wine.</w:t>
      </w:r>
    </w:p>
    <w:p w14:paraId="699C40C8" w14:textId="77777777" w:rsidR="004230DF" w:rsidRPr="004230DF" w:rsidRDefault="004230DF" w:rsidP="00C21613">
      <w:r w:rsidRPr="004230DF">
        <w:t xml:space="preserve">A wine may be described and presented as being of one vintage. However, to do so, at least 85 per cent (850ml/L) of the wine must be obtained from that grapes harvested in that vintage. </w:t>
      </w:r>
    </w:p>
    <w:p w14:paraId="2A6E387C" w14:textId="77777777" w:rsidR="004230DF" w:rsidRPr="004230DF" w:rsidRDefault="004230DF" w:rsidP="00C21613">
      <w:r w:rsidRPr="004230DF">
        <w:t>In determining the volume of a fortified wine for the purposes of this section, any added grape spirit or brandy (or both) are excluded.</w:t>
      </w:r>
    </w:p>
    <w:p w14:paraId="258D0977" w14:textId="668A82A4" w:rsidR="004230DF" w:rsidRPr="004230DF" w:rsidRDefault="004230DF" w:rsidP="00C21613">
      <w:r w:rsidRPr="004230DF">
        <w:t>A wine may be described and presented as being from more than one vintage. The description and presentation of wine must refer to all vintages in descending order of the proportions of the relevant grapes in the wine.</w:t>
      </w:r>
    </w:p>
    <w:p w14:paraId="364E5AAC" w14:textId="4F987740" w:rsidR="00293BF3" w:rsidRDefault="004230DF" w:rsidP="00F164D2">
      <w:pPr>
        <w:pStyle w:val="Part"/>
      </w:pPr>
      <w:r w:rsidRPr="004230DF">
        <w:lastRenderedPageBreak/>
        <w:t>Part 5—Exemption of wines from offences relating to description and presentation</w:t>
      </w:r>
    </w:p>
    <w:p w14:paraId="4CAA837D" w14:textId="0F61BA71" w:rsidR="004230DF" w:rsidRPr="004230DF" w:rsidRDefault="003C06B4" w:rsidP="00C21613">
      <w:r>
        <w:t>This p</w:t>
      </w:r>
      <w:r w:rsidR="004230DF" w:rsidRPr="004230DF">
        <w:t>art outlines the exemptions to t</w:t>
      </w:r>
      <w:r w:rsidR="00570832">
        <w:t>he</w:t>
      </w:r>
      <w:r w:rsidR="004230DF" w:rsidRPr="004230DF">
        <w:t xml:space="preserve"> offences in Part VIB of the Act relating to the sale, export and import of wine:</w:t>
      </w:r>
    </w:p>
    <w:p w14:paraId="448326DB" w14:textId="1FFD25FF" w:rsidR="004230DF" w:rsidRPr="004230DF" w:rsidRDefault="004230DF" w:rsidP="002D5623">
      <w:pPr>
        <w:pStyle w:val="ListParagraph"/>
        <w:numPr>
          <w:ilvl w:val="0"/>
          <w:numId w:val="71"/>
        </w:numPr>
        <w:tabs>
          <w:tab w:val="left" w:pos="426"/>
        </w:tabs>
      </w:pPr>
      <w:r w:rsidRPr="004230DF">
        <w:t>with a false description and presentation (subsection 40C(1)</w:t>
      </w:r>
      <w:r w:rsidR="000F2539">
        <w:t xml:space="preserve"> of the Act</w:t>
      </w:r>
      <w:r w:rsidRPr="004230DF">
        <w:t>)</w:t>
      </w:r>
    </w:p>
    <w:p w14:paraId="76766E3B" w14:textId="29BB098F" w:rsidR="004230DF" w:rsidRPr="004230DF" w:rsidRDefault="004230DF" w:rsidP="002D5623">
      <w:pPr>
        <w:pStyle w:val="ListParagraph"/>
        <w:numPr>
          <w:ilvl w:val="0"/>
          <w:numId w:val="71"/>
        </w:numPr>
        <w:tabs>
          <w:tab w:val="left" w:pos="426"/>
        </w:tabs>
      </w:pPr>
      <w:r w:rsidRPr="004230DF">
        <w:t>with a misleading description and presentation (subsection 40E(1)</w:t>
      </w:r>
      <w:r w:rsidR="000F2539">
        <w:t xml:space="preserve"> of the Act)</w:t>
      </w:r>
      <w:r w:rsidR="00A23658">
        <w:t>,</w:t>
      </w:r>
      <w:r w:rsidRPr="004230DF">
        <w:t xml:space="preserve"> and</w:t>
      </w:r>
    </w:p>
    <w:p w14:paraId="386FC2FF" w14:textId="7E804A3F" w:rsidR="004230DF" w:rsidRPr="004230DF" w:rsidRDefault="004230DF" w:rsidP="002D5623">
      <w:pPr>
        <w:pStyle w:val="ListParagraph"/>
        <w:numPr>
          <w:ilvl w:val="0"/>
          <w:numId w:val="71"/>
        </w:numPr>
        <w:tabs>
          <w:tab w:val="left" w:pos="426"/>
        </w:tabs>
      </w:pPr>
      <w:r w:rsidRPr="004230DF">
        <w:t>in contravention of a registered condition of use relating to a GI, translation, traditional expression, quality wine term or additional term (subsection 40G(1)</w:t>
      </w:r>
      <w:r w:rsidR="000F2539">
        <w:t xml:space="preserve"> of the Act</w:t>
      </w:r>
      <w:r w:rsidRPr="004230DF">
        <w:t>)</w:t>
      </w:r>
      <w:r w:rsidR="00CA30A4">
        <w:t>.</w:t>
      </w:r>
    </w:p>
    <w:p w14:paraId="32988A54" w14:textId="5A573837" w:rsidR="004230DF" w:rsidRPr="003C06B4" w:rsidRDefault="00F5423C" w:rsidP="00C21613">
      <w:r>
        <w:t xml:space="preserve">The object of </w:t>
      </w:r>
      <w:r w:rsidR="003C06B4">
        <w:t>Part VIB of the Act</w:t>
      </w:r>
      <w:r>
        <w:t xml:space="preserve"> is to regulate the sale, export and import of wine with respect to the description and presentation of wine for the primary purpose of enabling Australia to meet its inter</w:t>
      </w:r>
      <w:r w:rsidR="00570832">
        <w:t>national obligations under wine-</w:t>
      </w:r>
      <w:r>
        <w:t>trading agreements. Part VIB of the Act sets out</w:t>
      </w:r>
      <w:r w:rsidR="003C06B4">
        <w:t xml:space="preserve"> </w:t>
      </w:r>
      <w:r w:rsidR="00972BC5">
        <w:t>the circumstances in which the description and presentation of wine is</w:t>
      </w:r>
      <w:r w:rsidR="005817B3">
        <w:t xml:space="preserve"> considered false or misleading,</w:t>
      </w:r>
      <w:r w:rsidR="00972BC5">
        <w:t xml:space="preserve"> and establishes the Committee and arrangements for the determination and </w:t>
      </w:r>
      <w:r w:rsidR="006B794A">
        <w:t>protection</w:t>
      </w:r>
      <w:r w:rsidR="00972BC5">
        <w:t xml:space="preserve"> of Australian and foreign GIs.  </w:t>
      </w:r>
    </w:p>
    <w:p w14:paraId="044E84E3" w14:textId="385B4D17" w:rsidR="004230DF" w:rsidRPr="004230DF" w:rsidRDefault="003C06B4" w:rsidP="00C21613">
      <w:r>
        <w:t>Subsections 40J(2)–(4</w:t>
      </w:r>
      <w:r w:rsidR="004230DF" w:rsidRPr="004230DF">
        <w:t>)</w:t>
      </w:r>
      <w:r w:rsidR="000F2539">
        <w:t xml:space="preserve"> of the Act</w:t>
      </w:r>
      <w:r w:rsidR="004230DF" w:rsidRPr="004230DF">
        <w:t xml:space="preserve"> provide that the offence provisions do not apply in relation to wines that:</w:t>
      </w:r>
    </w:p>
    <w:p w14:paraId="16714F3D" w14:textId="6D414279" w:rsidR="003C06B4" w:rsidRDefault="003C06B4" w:rsidP="002D5623">
      <w:pPr>
        <w:pStyle w:val="ListParagraph"/>
        <w:numPr>
          <w:ilvl w:val="0"/>
          <w:numId w:val="71"/>
        </w:numPr>
      </w:pPr>
      <w:r>
        <w:t>were made before the commencement of Part VIB of the Act</w:t>
      </w:r>
    </w:p>
    <w:p w14:paraId="69310AE6" w14:textId="7BA004EE" w:rsidR="003C06B4" w:rsidRDefault="003C06B4" w:rsidP="002D5623">
      <w:pPr>
        <w:pStyle w:val="ListParagraph"/>
        <w:numPr>
          <w:ilvl w:val="0"/>
          <w:numId w:val="71"/>
        </w:numPr>
      </w:pPr>
      <w:r>
        <w:t>are in transit through Australia</w:t>
      </w:r>
    </w:p>
    <w:p w14:paraId="534C9F94" w14:textId="61AA93E7" w:rsidR="004230DF" w:rsidRPr="004230DF" w:rsidRDefault="004230DF" w:rsidP="002D5623">
      <w:pPr>
        <w:pStyle w:val="ListParagraph"/>
        <w:numPr>
          <w:ilvl w:val="0"/>
          <w:numId w:val="71"/>
        </w:numPr>
      </w:pPr>
      <w:r w:rsidRPr="004230DF">
        <w:t>originate in Australia or an agreement country</w:t>
      </w:r>
      <w:r w:rsidR="00A23658">
        <w:t>, or</w:t>
      </w:r>
    </w:p>
    <w:p w14:paraId="3D92C390" w14:textId="77777777" w:rsidR="004230DF" w:rsidRPr="004230DF" w:rsidRDefault="004230DF" w:rsidP="002D5623">
      <w:pPr>
        <w:pStyle w:val="ListParagraph"/>
        <w:numPr>
          <w:ilvl w:val="0"/>
          <w:numId w:val="71"/>
        </w:numPr>
      </w:pPr>
      <w:r w:rsidRPr="004230DF">
        <w:t>are consigned in ‘small quantities’ as declared by the regulations (subsection 40J(1) of the Act) between Australia and an agreement country in accordance with any conditions or procedures set out in the regulations.</w:t>
      </w:r>
    </w:p>
    <w:p w14:paraId="14E97E40" w14:textId="77777777" w:rsidR="00C07212" w:rsidRPr="004230DF" w:rsidRDefault="00C07212" w:rsidP="00C07212">
      <w:r>
        <w:t>Subsection 40J(5</w:t>
      </w:r>
      <w:r w:rsidRPr="004230DF">
        <w:t xml:space="preserve">) of the Act provides that the regulations may exempt wine from the offences listed above, subject to any conditions, generally or for a period of time. </w:t>
      </w:r>
    </w:p>
    <w:p w14:paraId="42653A23" w14:textId="1C68916A" w:rsidR="004230DF" w:rsidRPr="004230DF" w:rsidRDefault="00570832" w:rsidP="00C21613">
      <w:r>
        <w:t>All the sections in this p</w:t>
      </w:r>
      <w:r w:rsidR="004230DF" w:rsidRPr="004230DF">
        <w:t>art are made f</w:t>
      </w:r>
      <w:r>
        <w:t>or the purposes of section 40</w:t>
      </w:r>
      <w:r w:rsidR="004230DF" w:rsidRPr="004230DF">
        <w:t xml:space="preserve"> of the Act.</w:t>
      </w:r>
    </w:p>
    <w:p w14:paraId="40742DDA" w14:textId="0B522C98" w:rsidR="004230DF" w:rsidRPr="004230DF" w:rsidRDefault="004260C3" w:rsidP="00C21613">
      <w:pPr>
        <w:pStyle w:val="Provision"/>
      </w:pPr>
      <w:r>
        <w:t>Section 28</w:t>
      </w:r>
      <w:r w:rsidR="004230DF" w:rsidRPr="004230DF">
        <w:t xml:space="preserve"> – Small quantities of wine</w:t>
      </w:r>
    </w:p>
    <w:p w14:paraId="440FD591" w14:textId="14A48A56" w:rsidR="004230DF" w:rsidRPr="004230DF" w:rsidRDefault="004230DF" w:rsidP="00C21613">
      <w:r w:rsidRPr="004230DF">
        <w:t xml:space="preserve">This section declares ‘small quantities’ of wine, for the purposes of </w:t>
      </w:r>
      <w:r w:rsidR="00C07212">
        <w:t xml:space="preserve">subsection 40J(1) of the Act, which </w:t>
      </w:r>
      <w:r w:rsidRPr="004230DF">
        <w:t>exempt</w:t>
      </w:r>
      <w:r w:rsidR="00C07212">
        <w:t>s small quantities of</w:t>
      </w:r>
      <w:r w:rsidRPr="004230DF">
        <w:t xml:space="preserve"> wine from </w:t>
      </w:r>
      <w:r w:rsidR="00097587">
        <w:t>offences</w:t>
      </w:r>
      <w:r w:rsidRPr="004230DF">
        <w:t xml:space="preserve"> set out in </w:t>
      </w:r>
      <w:r w:rsidR="00097587">
        <w:t xml:space="preserve">subsections 40C(1), 40E(1) and 40G(1) </w:t>
      </w:r>
      <w:r w:rsidRPr="004230DF">
        <w:t xml:space="preserve">of the Act. </w:t>
      </w:r>
    </w:p>
    <w:p w14:paraId="2E80FF8E" w14:textId="1F4B777E" w:rsidR="004230DF" w:rsidRPr="004230DF" w:rsidRDefault="004230DF" w:rsidP="00C21613">
      <w:r w:rsidRPr="004230DF">
        <w:t xml:space="preserve">The following </w:t>
      </w:r>
      <w:r w:rsidR="00C07212">
        <w:t xml:space="preserve">quantities </w:t>
      </w:r>
      <w:r w:rsidRPr="004230DF">
        <w:t xml:space="preserve">are declared to be </w:t>
      </w:r>
      <w:r w:rsidRPr="004230DF">
        <w:rPr>
          <w:b/>
          <w:i/>
        </w:rPr>
        <w:t>small quantities</w:t>
      </w:r>
      <w:r w:rsidRPr="004230DF">
        <w:t xml:space="preserve"> of wine:</w:t>
      </w:r>
    </w:p>
    <w:p w14:paraId="25D8C94C" w14:textId="77777777" w:rsidR="004230DF" w:rsidRPr="004230DF" w:rsidRDefault="004230DF" w:rsidP="002D5623">
      <w:pPr>
        <w:pStyle w:val="ListParagraph"/>
        <w:numPr>
          <w:ilvl w:val="0"/>
          <w:numId w:val="71"/>
        </w:numPr>
      </w:pPr>
      <w:r w:rsidRPr="004230DF">
        <w:t>up to, and including, 100 litres of wine, that is:</w:t>
      </w:r>
    </w:p>
    <w:p w14:paraId="08AF32DE" w14:textId="61A63F61" w:rsidR="004230DF" w:rsidRPr="004230DF" w:rsidRDefault="004230DF" w:rsidP="002D5623">
      <w:pPr>
        <w:pStyle w:val="ListParagraph"/>
        <w:numPr>
          <w:ilvl w:val="1"/>
          <w:numId w:val="18"/>
        </w:numPr>
      </w:pPr>
      <w:r w:rsidRPr="004230DF">
        <w:t>exported in one consignment</w:t>
      </w:r>
    </w:p>
    <w:p w14:paraId="443F2259" w14:textId="08CA640B" w:rsidR="004230DF" w:rsidRPr="004230DF" w:rsidRDefault="004230DF" w:rsidP="002D5623">
      <w:pPr>
        <w:pStyle w:val="ListParagraph"/>
        <w:numPr>
          <w:ilvl w:val="1"/>
          <w:numId w:val="18"/>
        </w:numPr>
      </w:pPr>
      <w:r w:rsidRPr="004230DF">
        <w:t xml:space="preserve">packed in labelled containers, not </w:t>
      </w:r>
      <w:r w:rsidR="00E2464C" w:rsidRPr="004230DF">
        <w:t>exceeding</w:t>
      </w:r>
      <w:r w:rsidRPr="004230DF">
        <w:t xml:space="preserve"> 5 litres in capacity, which are fitted wit</w:t>
      </w:r>
      <w:r w:rsidR="00A23658">
        <w:t>h a non-reusable closing device</w:t>
      </w:r>
    </w:p>
    <w:p w14:paraId="451596E9" w14:textId="7F368D67" w:rsidR="004230DF" w:rsidRPr="004230DF" w:rsidRDefault="004230DF" w:rsidP="002D5623">
      <w:pPr>
        <w:pStyle w:val="ListParagraph"/>
        <w:numPr>
          <w:ilvl w:val="0"/>
          <w:numId w:val="71"/>
        </w:numPr>
      </w:pPr>
      <w:r w:rsidRPr="004230DF">
        <w:t xml:space="preserve">up to, and including, 30 litres of wine that is in the </w:t>
      </w:r>
      <w:r w:rsidR="00A23658">
        <w:t>personal luggage of a traveller</w:t>
      </w:r>
    </w:p>
    <w:p w14:paraId="684B35AB" w14:textId="05C445D3" w:rsidR="004230DF" w:rsidRPr="004230DF" w:rsidRDefault="004230DF" w:rsidP="002D5623">
      <w:pPr>
        <w:pStyle w:val="ListParagraph"/>
        <w:numPr>
          <w:ilvl w:val="0"/>
          <w:numId w:val="71"/>
        </w:numPr>
      </w:pPr>
      <w:r w:rsidRPr="004230DF">
        <w:t>up to, and including, 30 litres of wine that is sent by consign</w:t>
      </w:r>
      <w:r w:rsidR="00A23658">
        <w:t>ment from one person to another</w:t>
      </w:r>
    </w:p>
    <w:p w14:paraId="2856D6D6" w14:textId="797F2258" w:rsidR="004230DF" w:rsidRPr="004230DF" w:rsidRDefault="00C07212" w:rsidP="002D5623">
      <w:pPr>
        <w:pStyle w:val="ListParagraph"/>
        <w:numPr>
          <w:ilvl w:val="0"/>
          <w:numId w:val="71"/>
        </w:numPr>
      </w:pPr>
      <w:r>
        <w:lastRenderedPageBreak/>
        <w:t>wine that belongs to a</w:t>
      </w:r>
      <w:r w:rsidR="004230DF" w:rsidRPr="004230DF">
        <w:t xml:space="preserve"> person who is moving house. This win</w:t>
      </w:r>
      <w:r w:rsidR="00A23658">
        <w:t>e must be for domestic use only</w:t>
      </w:r>
    </w:p>
    <w:p w14:paraId="267C90EF" w14:textId="77777777" w:rsidR="004230DF" w:rsidRPr="004230DF" w:rsidRDefault="004230DF" w:rsidP="002D5623">
      <w:pPr>
        <w:pStyle w:val="ListParagraph"/>
        <w:numPr>
          <w:ilvl w:val="0"/>
          <w:numId w:val="71"/>
        </w:numPr>
      </w:pPr>
      <w:r w:rsidRPr="004230DF">
        <w:t>wine that is:</w:t>
      </w:r>
    </w:p>
    <w:p w14:paraId="13D0D55A" w14:textId="41DA579C" w:rsidR="004230DF" w:rsidRPr="004230DF" w:rsidRDefault="004230DF" w:rsidP="002D5623">
      <w:pPr>
        <w:pStyle w:val="ListParagraph"/>
        <w:numPr>
          <w:ilvl w:val="1"/>
          <w:numId w:val="18"/>
        </w:numPr>
      </w:pPr>
      <w:r w:rsidRPr="004230DF">
        <w:t>intended to be displayed at a trade fair or comparable event, in Australia or an agreement country, for the purposes of the customs laws of the relevant country</w:t>
      </w:r>
    </w:p>
    <w:p w14:paraId="4D959DD5" w14:textId="729F5078" w:rsidR="004230DF" w:rsidRPr="004230DF" w:rsidRDefault="004230DF" w:rsidP="002D5623">
      <w:pPr>
        <w:pStyle w:val="ListParagraph"/>
        <w:numPr>
          <w:ilvl w:val="1"/>
          <w:numId w:val="18"/>
        </w:numPr>
      </w:pPr>
      <w:r w:rsidRPr="004230DF">
        <w:t xml:space="preserve">packed in labelled containers, not </w:t>
      </w:r>
      <w:r w:rsidR="00E2464C" w:rsidRPr="004230DF">
        <w:t>exceeding</w:t>
      </w:r>
      <w:r w:rsidRPr="004230DF">
        <w:t xml:space="preserve"> 2 litres in capacity, which are fitted with a non-reusable closing devi</w:t>
      </w:r>
      <w:r w:rsidR="005817B3">
        <w:t>ce</w:t>
      </w:r>
    </w:p>
    <w:p w14:paraId="24C0EBF2" w14:textId="7471D970" w:rsidR="004230DF" w:rsidRPr="004230DF" w:rsidRDefault="004230DF" w:rsidP="002D5623">
      <w:pPr>
        <w:pStyle w:val="ListParagraph"/>
        <w:numPr>
          <w:ilvl w:val="0"/>
          <w:numId w:val="71"/>
        </w:numPr>
      </w:pPr>
      <w:r w:rsidRPr="004230DF">
        <w:t xml:space="preserve">up to, and including, 100 litres imported into Australia or exported to an agreement country for a </w:t>
      </w:r>
      <w:r w:rsidR="00A23658">
        <w:t>scientific or technical purpose</w:t>
      </w:r>
    </w:p>
    <w:p w14:paraId="182863E1" w14:textId="28B7C951" w:rsidR="004230DF" w:rsidRPr="004230DF" w:rsidRDefault="004230DF" w:rsidP="002D5623">
      <w:pPr>
        <w:pStyle w:val="ListParagraph"/>
        <w:numPr>
          <w:ilvl w:val="0"/>
          <w:numId w:val="71"/>
        </w:numPr>
      </w:pPr>
      <w:r w:rsidRPr="004230DF">
        <w:t>wine that is imported into Australia, or exported to an agreement country, by a diplomatic, consular, or similar establishment as part of the duty-free</w:t>
      </w:r>
      <w:r w:rsidR="00A23658">
        <w:t xml:space="preserve"> allowance of the establishment, or</w:t>
      </w:r>
    </w:p>
    <w:p w14:paraId="608C74B8" w14:textId="1FC00C16" w:rsidR="004230DF" w:rsidRPr="004230DF" w:rsidRDefault="004230DF" w:rsidP="002D5623">
      <w:pPr>
        <w:pStyle w:val="ListParagraph"/>
        <w:numPr>
          <w:ilvl w:val="0"/>
          <w:numId w:val="71"/>
        </w:numPr>
      </w:pPr>
      <w:r w:rsidRPr="004230DF">
        <w:t>wine that is held on board a means of international transport as</w:t>
      </w:r>
      <w:r w:rsidR="00E2464C">
        <w:t xml:space="preserve"> victualling</w:t>
      </w:r>
      <w:r w:rsidR="008B4D19">
        <w:t xml:space="preserve"> supplies (that is,</w:t>
      </w:r>
      <w:r w:rsidRPr="004230DF">
        <w:t xml:space="preserve"> food and beverage supplies</w:t>
      </w:r>
      <w:r w:rsidR="008B4D19">
        <w:t>)</w:t>
      </w:r>
      <w:r w:rsidRPr="004230DF">
        <w:t xml:space="preserve">. </w:t>
      </w:r>
    </w:p>
    <w:p w14:paraId="07465272" w14:textId="614BCA6B" w:rsidR="00821539" w:rsidRPr="00821539" w:rsidRDefault="004230DF" w:rsidP="00821539">
      <w:pPr>
        <w:rPr>
          <w:lang w:eastAsia="ja-JP"/>
        </w:rPr>
      </w:pPr>
      <w:r w:rsidRPr="00821539">
        <w:t>The section also provides that</w:t>
      </w:r>
      <w:r w:rsidR="00821539" w:rsidRPr="00821539">
        <w:t xml:space="preserve"> </w:t>
      </w:r>
      <w:r w:rsidR="00821539" w:rsidRPr="006F279D">
        <w:rPr>
          <w:lang w:eastAsia="ja-JP"/>
        </w:rPr>
        <w:t>consignments exported by two or more exporters will be considered a single consignment if the consignments are exported on a single sh</w:t>
      </w:r>
      <w:r w:rsidR="00821539" w:rsidRPr="00821539">
        <w:rPr>
          <w:lang w:eastAsia="ja-JP"/>
        </w:rPr>
        <w:t>ip or aircraft, to a single port and the exporters are a single exporter, or two or more exporters who are:</w:t>
      </w:r>
    </w:p>
    <w:p w14:paraId="2FD5839B" w14:textId="04CC77D3" w:rsidR="00821539" w:rsidRPr="00821539" w:rsidRDefault="00821539" w:rsidP="00892CB7">
      <w:pPr>
        <w:pStyle w:val="ListParagraph"/>
        <w:numPr>
          <w:ilvl w:val="0"/>
          <w:numId w:val="71"/>
        </w:numPr>
      </w:pPr>
      <w:r w:rsidRPr="00821539">
        <w:t xml:space="preserve">associated entities, as defined in section 50AAA of the </w:t>
      </w:r>
      <w:r w:rsidRPr="00892CB7">
        <w:rPr>
          <w:i/>
        </w:rPr>
        <w:t>Corporations Act 2001</w:t>
      </w:r>
      <w:r w:rsidRPr="00892CB7">
        <w:t xml:space="preserve"> </w:t>
      </w:r>
      <w:r w:rsidR="00A23658">
        <w:t>(including individuals)</w:t>
      </w:r>
    </w:p>
    <w:p w14:paraId="2D26A0E2" w14:textId="3A552D36" w:rsidR="00821539" w:rsidRPr="00821539" w:rsidRDefault="00821539" w:rsidP="00892CB7">
      <w:pPr>
        <w:pStyle w:val="ListParagraph"/>
        <w:numPr>
          <w:ilvl w:val="0"/>
          <w:numId w:val="71"/>
        </w:numPr>
      </w:pPr>
      <w:r w:rsidRPr="00821539">
        <w:t>individuals who are relatives</w:t>
      </w:r>
      <w:r w:rsidR="00A23658">
        <w:t>, or</w:t>
      </w:r>
    </w:p>
    <w:p w14:paraId="3DF6D432" w14:textId="77777777" w:rsidR="00821539" w:rsidRPr="00821539" w:rsidRDefault="00821539" w:rsidP="00892CB7">
      <w:pPr>
        <w:pStyle w:val="ListParagraph"/>
        <w:numPr>
          <w:ilvl w:val="0"/>
          <w:numId w:val="71"/>
        </w:numPr>
      </w:pPr>
      <w:r w:rsidRPr="00821539">
        <w:t>acting in concert with each other.</w:t>
      </w:r>
    </w:p>
    <w:p w14:paraId="44EDB5C5" w14:textId="7F4157D7" w:rsidR="004230DF" w:rsidRPr="004230DF" w:rsidRDefault="004230DF" w:rsidP="00C21613">
      <w:r w:rsidRPr="00821539">
        <w:t>This ensures that individuals and entities are</w:t>
      </w:r>
      <w:r w:rsidR="00DC0542" w:rsidRPr="00821539">
        <w:t xml:space="preserve"> no</w:t>
      </w:r>
      <w:r w:rsidRPr="00821539">
        <w:t xml:space="preserve">t able to circumvent the quantity restrictions by sending </w:t>
      </w:r>
      <w:r w:rsidR="00E2464C" w:rsidRPr="00821539">
        <w:t>multiple</w:t>
      </w:r>
      <w:r w:rsidRPr="00821539">
        <w:t xml:space="preserve"> consignments from different, but related, entities.</w:t>
      </w:r>
    </w:p>
    <w:p w14:paraId="6A122DC9" w14:textId="0CE8018E" w:rsidR="00821539" w:rsidRDefault="00821539" w:rsidP="00821539">
      <w:pPr>
        <w:rPr>
          <w:lang w:eastAsia="ja-JP"/>
        </w:rPr>
      </w:pPr>
      <w:r>
        <w:rPr>
          <w:lang w:eastAsia="ja-JP"/>
        </w:rPr>
        <w:t xml:space="preserve">This prevents an individual or </w:t>
      </w:r>
      <w:r w:rsidR="00E2464C">
        <w:rPr>
          <w:lang w:eastAsia="ja-JP"/>
        </w:rPr>
        <w:t>multiple</w:t>
      </w:r>
      <w:r>
        <w:rPr>
          <w:lang w:eastAsia="ja-JP"/>
        </w:rPr>
        <w:t xml:space="preserve"> exporters from using the exemption for small </w:t>
      </w:r>
      <w:r w:rsidR="00E2464C">
        <w:rPr>
          <w:lang w:eastAsia="ja-JP"/>
        </w:rPr>
        <w:t>quantities</w:t>
      </w:r>
      <w:r>
        <w:rPr>
          <w:lang w:eastAsia="ja-JP"/>
        </w:rPr>
        <w:t xml:space="preserve"> in sub</w:t>
      </w:r>
      <w:r w:rsidR="000F2539">
        <w:rPr>
          <w:lang w:eastAsia="ja-JP"/>
        </w:rPr>
        <w:t>paragraph</w:t>
      </w:r>
      <w:r>
        <w:rPr>
          <w:lang w:eastAsia="ja-JP"/>
        </w:rPr>
        <w:t xml:space="preserve"> </w:t>
      </w:r>
      <w:r w:rsidR="00A23658">
        <w:rPr>
          <w:lang w:eastAsia="ja-JP"/>
        </w:rPr>
        <w:t>28</w:t>
      </w:r>
      <w:r>
        <w:rPr>
          <w:lang w:eastAsia="ja-JP"/>
        </w:rPr>
        <w:t xml:space="preserve">(1)(a)(i) to circumvent the requirements for description and presentation in subsection 40J(1) of the Act. That is, an exporter or exporters cannot send multiple small consignments in the same shipment when they are in fact associated entities, relatives or are acting in concert with each other.  </w:t>
      </w:r>
    </w:p>
    <w:p w14:paraId="6E630CEC" w14:textId="77777777" w:rsidR="004230DF" w:rsidRPr="004230DF" w:rsidRDefault="004230DF" w:rsidP="00C21613">
      <w:r w:rsidRPr="004230DF">
        <w:t xml:space="preserve">This section also clarifies that the conditions and procedures set out in the declaration of </w:t>
      </w:r>
      <w:r w:rsidRPr="004230DF">
        <w:rPr>
          <w:b/>
          <w:i/>
        </w:rPr>
        <w:t xml:space="preserve">small quantities </w:t>
      </w:r>
      <w:r w:rsidRPr="004230DF">
        <w:t xml:space="preserve">are prescribed for those small quantities, for the purposes of paragraph </w:t>
      </w:r>
      <w:r w:rsidRPr="00794F4C">
        <w:t>40J(4)(b) of t</w:t>
      </w:r>
      <w:r w:rsidRPr="004230DF">
        <w:t xml:space="preserve">he Act. </w:t>
      </w:r>
    </w:p>
    <w:p w14:paraId="68F3A913" w14:textId="1C35E734" w:rsidR="004230DF" w:rsidRPr="004230DF" w:rsidRDefault="004260C3" w:rsidP="00C21613">
      <w:pPr>
        <w:pStyle w:val="Provision"/>
      </w:pPr>
      <w:r>
        <w:t>Section 29</w:t>
      </w:r>
      <w:r w:rsidR="004230DF" w:rsidRPr="004230DF">
        <w:t xml:space="preserve"> – Geographical indication: Tokay</w:t>
      </w:r>
    </w:p>
    <w:p w14:paraId="66AA3B1B" w14:textId="709E23FC" w:rsidR="004230DF" w:rsidRPr="004230DF" w:rsidRDefault="004230DF" w:rsidP="00C21613">
      <w:r w:rsidRPr="004230DF">
        <w:t xml:space="preserve">This section provides an exemption for wine with the description and presentation of the GI ‘Tokay’ from the offences in subsections 40C(1) and 40E(1) of the Act. This section will be repealed </w:t>
      </w:r>
      <w:r w:rsidR="00535300">
        <w:t>at the start of</w:t>
      </w:r>
      <w:r w:rsidRPr="004230DF">
        <w:t xml:space="preserve"> 1 September 2020.</w:t>
      </w:r>
    </w:p>
    <w:p w14:paraId="2BAA68A8" w14:textId="265DFF0D" w:rsidR="004230DF" w:rsidRPr="004230DF" w:rsidRDefault="004230DF" w:rsidP="00C21613">
      <w:r w:rsidRPr="004230DF">
        <w:t>This is consistent with Australia’s international obligations under the Agreement</w:t>
      </w:r>
      <w:r w:rsidR="00097587">
        <w:t xml:space="preserve"> between Australia and the European Community on </w:t>
      </w:r>
      <w:r w:rsidR="00A23658">
        <w:t>T</w:t>
      </w:r>
      <w:r w:rsidR="00097587">
        <w:t xml:space="preserve">rade in </w:t>
      </w:r>
      <w:r w:rsidR="00A23658">
        <w:t>W</w:t>
      </w:r>
      <w:r w:rsidR="00097587">
        <w:t xml:space="preserve">ine, done at Brussels on </w:t>
      </w:r>
      <w:r w:rsidR="00A23658">
        <w:br/>
      </w:r>
      <w:r w:rsidR="00097587">
        <w:t>1 December 2008</w:t>
      </w:r>
      <w:r w:rsidRPr="004230DF">
        <w:t>, to phase out the use of ‘Tokay’ after a period of 10 years after its entry into force.</w:t>
      </w:r>
    </w:p>
    <w:p w14:paraId="437DB372" w14:textId="1B4E2532" w:rsidR="004230DF" w:rsidRPr="004230DF" w:rsidRDefault="00D24CD7" w:rsidP="00C21613">
      <w:pPr>
        <w:pStyle w:val="Provision"/>
      </w:pPr>
      <w:r>
        <w:lastRenderedPageBreak/>
        <w:t xml:space="preserve">Section </w:t>
      </w:r>
      <w:r w:rsidR="00D060CC">
        <w:t>30</w:t>
      </w:r>
      <w:r w:rsidR="00D060CC" w:rsidRPr="004230DF">
        <w:t xml:space="preserve"> </w:t>
      </w:r>
      <w:r w:rsidR="004230DF" w:rsidRPr="004230DF">
        <w:t xml:space="preserve">– Variety names that are also geographical indications </w:t>
      </w:r>
    </w:p>
    <w:p w14:paraId="485A0204" w14:textId="77777777" w:rsidR="004230DF" w:rsidRPr="004230DF" w:rsidRDefault="004230DF" w:rsidP="00C21613">
      <w:r w:rsidRPr="004230DF">
        <w:t>This section provides an exemption from the following offences:</w:t>
      </w:r>
    </w:p>
    <w:p w14:paraId="400C38FB" w14:textId="1A77E3D7" w:rsidR="004230DF" w:rsidRPr="004230DF" w:rsidRDefault="004230DF" w:rsidP="002D5623">
      <w:pPr>
        <w:pStyle w:val="ListParagraph"/>
        <w:numPr>
          <w:ilvl w:val="0"/>
          <w:numId w:val="71"/>
        </w:numPr>
      </w:pPr>
      <w:r w:rsidRPr="004230DF">
        <w:t>false descripti</w:t>
      </w:r>
      <w:r w:rsidR="008B4D19">
        <w:t>on and presentation (subsection</w:t>
      </w:r>
      <w:r w:rsidR="00A23658">
        <w:t xml:space="preserve"> 40C(1) of the Act),</w:t>
      </w:r>
      <w:r w:rsidRPr="004230DF">
        <w:t xml:space="preserve"> and</w:t>
      </w:r>
    </w:p>
    <w:p w14:paraId="2FF2D3BF" w14:textId="7C5B679B" w:rsidR="004230DF" w:rsidRPr="004230DF" w:rsidRDefault="004230DF" w:rsidP="002D5623">
      <w:pPr>
        <w:pStyle w:val="ListParagraph"/>
        <w:numPr>
          <w:ilvl w:val="0"/>
          <w:numId w:val="71"/>
        </w:numPr>
      </w:pPr>
      <w:r w:rsidRPr="004230DF">
        <w:t>contravention of registered conditions of use (</w:t>
      </w:r>
      <w:r w:rsidR="008B4D19">
        <w:t xml:space="preserve">subsection </w:t>
      </w:r>
      <w:r w:rsidRPr="004230DF">
        <w:t xml:space="preserve">40G(1) of the Act). </w:t>
      </w:r>
    </w:p>
    <w:p w14:paraId="11B202B5" w14:textId="77777777" w:rsidR="004230DF" w:rsidRPr="004230DF" w:rsidRDefault="004230DF" w:rsidP="002D5623">
      <w:r w:rsidRPr="004230DF">
        <w:t>The exemption applies to wine where:</w:t>
      </w:r>
    </w:p>
    <w:p w14:paraId="751E95B2" w14:textId="77777777" w:rsidR="004230DF" w:rsidRPr="004230DF" w:rsidRDefault="004230DF" w:rsidP="002D5623">
      <w:pPr>
        <w:pStyle w:val="ListParagraph"/>
        <w:numPr>
          <w:ilvl w:val="0"/>
          <w:numId w:val="71"/>
        </w:numPr>
      </w:pPr>
      <w:r w:rsidRPr="004230DF">
        <w:t>the description and presentation of the wine is false or does not comply with registered conditions of use, only because the term is recognised as the name of a variety, or a synonym of a name of a variety by one of the following organisations:</w:t>
      </w:r>
    </w:p>
    <w:p w14:paraId="3161B37E" w14:textId="7478332A" w:rsidR="004230DF" w:rsidRPr="004230DF" w:rsidRDefault="004230DF" w:rsidP="002D5623">
      <w:pPr>
        <w:pStyle w:val="ListParagraph"/>
        <w:numPr>
          <w:ilvl w:val="1"/>
          <w:numId w:val="71"/>
        </w:numPr>
        <w:tabs>
          <w:tab w:val="left" w:pos="1134"/>
        </w:tabs>
      </w:pPr>
      <w:r w:rsidRPr="004230DF">
        <w:t>Internationa</w:t>
      </w:r>
      <w:r w:rsidR="00A23658">
        <w:t>l Organisation of Vine and Wine</w:t>
      </w:r>
    </w:p>
    <w:p w14:paraId="0C2FBCEC" w14:textId="5C2B4284" w:rsidR="004230DF" w:rsidRPr="004230DF" w:rsidRDefault="004230DF" w:rsidP="002D5623">
      <w:pPr>
        <w:pStyle w:val="ListParagraph"/>
        <w:numPr>
          <w:ilvl w:val="1"/>
          <w:numId w:val="71"/>
        </w:numPr>
      </w:pPr>
      <w:r w:rsidRPr="004230DF">
        <w:t>International Union for the Protec</w:t>
      </w:r>
      <w:r w:rsidR="00A23658">
        <w:t>tion of New Varieties of Plants,</w:t>
      </w:r>
      <w:r w:rsidRPr="004230DF">
        <w:t xml:space="preserve"> or</w:t>
      </w:r>
    </w:p>
    <w:p w14:paraId="1E6F5C8A" w14:textId="5DF21A7F" w:rsidR="004230DF" w:rsidRPr="004230DF" w:rsidRDefault="004230DF" w:rsidP="002D5623">
      <w:pPr>
        <w:pStyle w:val="ListParagraph"/>
        <w:numPr>
          <w:ilvl w:val="1"/>
          <w:numId w:val="71"/>
        </w:numPr>
      </w:pPr>
      <w:r w:rsidRPr="004230DF">
        <w:t>International Pl</w:t>
      </w:r>
      <w:r w:rsidR="00A23658">
        <w:t>ant Genetic Resources Institute,</w:t>
      </w:r>
      <w:r w:rsidRPr="004230DF">
        <w:t xml:space="preserve"> and</w:t>
      </w:r>
    </w:p>
    <w:p w14:paraId="313DD374" w14:textId="7D500BE4" w:rsidR="004230DF" w:rsidRPr="004230DF" w:rsidRDefault="008B4D19" w:rsidP="002D5623">
      <w:pPr>
        <w:pStyle w:val="ListParagraph"/>
        <w:numPr>
          <w:ilvl w:val="0"/>
          <w:numId w:val="71"/>
        </w:numPr>
      </w:pPr>
      <w:r>
        <w:t>the term is used to des</w:t>
      </w:r>
      <w:r w:rsidR="004230DF" w:rsidRPr="004230DF">
        <w:t>c</w:t>
      </w:r>
      <w:r>
        <w:t>r</w:t>
      </w:r>
      <w:r w:rsidR="004230DF" w:rsidRPr="004230DF">
        <w:t>ibe a variety of grapes from which the wine is made.</w:t>
      </w:r>
    </w:p>
    <w:p w14:paraId="2BE5E142" w14:textId="08500CF7" w:rsidR="004230DF" w:rsidRPr="004230DF" w:rsidRDefault="004230DF" w:rsidP="00C21613">
      <w:r w:rsidRPr="004230DF">
        <w:t>This section allows wine to be described and presented as coming from grape varieties which may be similar to a registered GI. For example, it ensures that a producer can label their wine as being made from the grape variety ‘Alicante Bouschet’, despi</w:t>
      </w:r>
      <w:r w:rsidR="0053111F">
        <w:t>te the term ‘Alicante’ being a r</w:t>
      </w:r>
      <w:r w:rsidRPr="004230DF">
        <w:t>egistered GI (from Spain).</w:t>
      </w:r>
    </w:p>
    <w:p w14:paraId="2CFF6BD5" w14:textId="7589C4F3" w:rsidR="004230DF" w:rsidRPr="004230DF" w:rsidRDefault="00573EE4" w:rsidP="00C21613">
      <w:pPr>
        <w:pStyle w:val="Provision"/>
      </w:pPr>
      <w:r>
        <w:t>Section 3</w:t>
      </w:r>
      <w:r w:rsidR="00D24CD7">
        <w:t>1</w:t>
      </w:r>
      <w:r w:rsidR="004230DF" w:rsidRPr="004230DF">
        <w:t xml:space="preserve"> – Marketing periods for use of geographical indications, registered traditional expressions and registered additional terms</w:t>
      </w:r>
    </w:p>
    <w:p w14:paraId="5DD88F76" w14:textId="1EC973E8" w:rsidR="004230DF" w:rsidRPr="004230DF" w:rsidRDefault="004230DF" w:rsidP="00C21613">
      <w:r w:rsidRPr="004230DF">
        <w:t xml:space="preserve">This section provides an exemption to a wholesaler, or retailer of wine, from the offences in subsections 40C(1), 40E(1), and 40G(1) of the Act. The </w:t>
      </w:r>
      <w:r w:rsidR="00E2464C" w:rsidRPr="004230DF">
        <w:t>exemption</w:t>
      </w:r>
      <w:r w:rsidRPr="004230DF">
        <w:t xml:space="preserve"> applies to wine where:</w:t>
      </w:r>
    </w:p>
    <w:p w14:paraId="58048DD6" w14:textId="64BBD257" w:rsidR="004230DF" w:rsidRPr="004230DF" w:rsidRDefault="004230DF" w:rsidP="00892CB7">
      <w:pPr>
        <w:pStyle w:val="ListParagraph"/>
        <w:numPr>
          <w:ilvl w:val="0"/>
          <w:numId w:val="71"/>
        </w:numPr>
      </w:pPr>
      <w:r w:rsidRPr="004230DF">
        <w:t xml:space="preserve">the description and presentation of the wine is false or misleading or does not comply with registered conditions of use of a registered GI, registered translation, registered traditional expression </w:t>
      </w:r>
      <w:r w:rsidR="00A23658">
        <w:t>or a registered additional term</w:t>
      </w:r>
    </w:p>
    <w:p w14:paraId="41C24121" w14:textId="3C73EC2C" w:rsidR="004230DF" w:rsidRPr="004230DF" w:rsidRDefault="004230DF" w:rsidP="00892CB7">
      <w:pPr>
        <w:pStyle w:val="ListParagraph"/>
        <w:numPr>
          <w:ilvl w:val="0"/>
          <w:numId w:val="71"/>
        </w:numPr>
      </w:pPr>
      <w:r w:rsidRPr="004230DF">
        <w:t>the wine was lawfully produced before the day on which the provisions first applied to the use of the GI, translation, expression or term</w:t>
      </w:r>
      <w:r w:rsidR="00A23658">
        <w:t xml:space="preserve">, </w:t>
      </w:r>
      <w:r w:rsidRPr="004230DF">
        <w:t>and</w:t>
      </w:r>
    </w:p>
    <w:p w14:paraId="54496887" w14:textId="77777777" w:rsidR="004230DF" w:rsidRPr="004230DF" w:rsidRDefault="004230DF" w:rsidP="00892CB7">
      <w:pPr>
        <w:pStyle w:val="ListParagraph"/>
        <w:numPr>
          <w:ilvl w:val="0"/>
          <w:numId w:val="71"/>
        </w:numPr>
      </w:pPr>
      <w:r w:rsidRPr="004230DF">
        <w:t>the GI, translation, expression or term is used by the wholesaler or retailer in the course of their business.</w:t>
      </w:r>
    </w:p>
    <w:p w14:paraId="1F3BDF35" w14:textId="77777777" w:rsidR="004230DF" w:rsidRPr="004230DF" w:rsidRDefault="004230DF" w:rsidP="00C21613">
      <w:r w:rsidRPr="004230DF">
        <w:t>The timeframes for the exemption, as they apply to wholesalers, are:</w:t>
      </w:r>
    </w:p>
    <w:p w14:paraId="56EEB7C3" w14:textId="6BB95E33" w:rsidR="004230DF" w:rsidRPr="004230DF" w:rsidRDefault="004230DF" w:rsidP="002D5623">
      <w:pPr>
        <w:pStyle w:val="ListParagraph"/>
        <w:numPr>
          <w:ilvl w:val="0"/>
          <w:numId w:val="71"/>
        </w:numPr>
        <w:tabs>
          <w:tab w:val="left" w:pos="426"/>
        </w:tabs>
      </w:pPr>
      <w:r w:rsidRPr="004230DF">
        <w:t>five years after the offence provisions first apply, for fortified wines</w:t>
      </w:r>
      <w:r w:rsidR="00A23658">
        <w:t>,</w:t>
      </w:r>
      <w:r w:rsidRPr="004230DF">
        <w:t xml:space="preserve"> and</w:t>
      </w:r>
    </w:p>
    <w:p w14:paraId="1F0CA6EF" w14:textId="77777777" w:rsidR="004230DF" w:rsidRPr="004230DF" w:rsidRDefault="004230DF" w:rsidP="002D5623">
      <w:pPr>
        <w:pStyle w:val="ListParagraph"/>
        <w:numPr>
          <w:ilvl w:val="0"/>
          <w:numId w:val="71"/>
        </w:numPr>
        <w:tabs>
          <w:tab w:val="left" w:pos="426"/>
        </w:tabs>
      </w:pPr>
      <w:r w:rsidRPr="004230DF">
        <w:t>three years after the offence provisions first apply, for all other wines.</w:t>
      </w:r>
    </w:p>
    <w:p w14:paraId="436CD24D" w14:textId="77777777" w:rsidR="004230DF" w:rsidRPr="004230DF" w:rsidRDefault="004230DF" w:rsidP="00C21613">
      <w:r w:rsidRPr="004230DF">
        <w:t>The timeframes for the exemption, as they apply to retailers, are:</w:t>
      </w:r>
    </w:p>
    <w:p w14:paraId="40CCA5A5" w14:textId="7DA5F39C" w:rsidR="004230DF" w:rsidRPr="004230DF" w:rsidRDefault="004230DF" w:rsidP="002D5623">
      <w:pPr>
        <w:pStyle w:val="ListParagraph"/>
        <w:numPr>
          <w:ilvl w:val="0"/>
          <w:numId w:val="71"/>
        </w:numPr>
        <w:tabs>
          <w:tab w:val="left" w:pos="426"/>
        </w:tabs>
      </w:pPr>
      <w:r w:rsidRPr="004230DF">
        <w:t>five years after the offence provisions first apply, or until the retailer has exhausted all stock of forti</w:t>
      </w:r>
      <w:r w:rsidR="00A23658">
        <w:t>fied wines, for fortified wines,</w:t>
      </w:r>
      <w:r w:rsidRPr="004230DF">
        <w:t xml:space="preserve"> and</w:t>
      </w:r>
    </w:p>
    <w:p w14:paraId="05FB8456" w14:textId="77777777" w:rsidR="004230DF" w:rsidRPr="004230DF" w:rsidRDefault="004230DF" w:rsidP="002D5623">
      <w:pPr>
        <w:pStyle w:val="ListParagraph"/>
        <w:numPr>
          <w:ilvl w:val="0"/>
          <w:numId w:val="71"/>
        </w:numPr>
        <w:tabs>
          <w:tab w:val="left" w:pos="426"/>
        </w:tabs>
      </w:pPr>
      <w:r w:rsidRPr="004230DF">
        <w:t xml:space="preserve">three years after the offence provisions first apply, or until all stock is exhausted, for all other wines. </w:t>
      </w:r>
    </w:p>
    <w:p w14:paraId="1D107F1B" w14:textId="7B616D9E" w:rsidR="004230DF" w:rsidRPr="004230DF" w:rsidRDefault="004230DF" w:rsidP="00C21613">
      <w:r w:rsidRPr="004230DF">
        <w:t>This section ensure</w:t>
      </w:r>
      <w:r w:rsidR="008B4D19">
        <w:t>s</w:t>
      </w:r>
      <w:r w:rsidRPr="004230DF">
        <w:t xml:space="preserve"> that retailers and wholesalers are able to sell, export or import wine which they have in stock, despite the registration of </w:t>
      </w:r>
      <w:r w:rsidR="008B4D19">
        <w:t xml:space="preserve">a </w:t>
      </w:r>
      <w:r w:rsidRPr="004230DF">
        <w:t>n</w:t>
      </w:r>
      <w:r w:rsidR="008B4D19">
        <w:t>ew GI, translation, expression</w:t>
      </w:r>
      <w:r w:rsidRPr="004230DF">
        <w:t xml:space="preserve"> or term. </w:t>
      </w:r>
    </w:p>
    <w:p w14:paraId="1CE8FA90" w14:textId="09D38748" w:rsidR="004230DF" w:rsidRPr="004230DF" w:rsidRDefault="00573EE4" w:rsidP="00C21613">
      <w:pPr>
        <w:pStyle w:val="Provision"/>
      </w:pPr>
      <w:r>
        <w:lastRenderedPageBreak/>
        <w:t>Sec</w:t>
      </w:r>
      <w:r w:rsidR="00D24CD7">
        <w:t>tion 32</w:t>
      </w:r>
      <w:r w:rsidR="004230DF" w:rsidRPr="004230DF">
        <w:t xml:space="preserve"> – Use of trade marks in description of wine</w:t>
      </w:r>
    </w:p>
    <w:p w14:paraId="30E1324B" w14:textId="77777777" w:rsidR="004230DF" w:rsidRPr="004230DF" w:rsidRDefault="004230DF" w:rsidP="00C21613">
      <w:r w:rsidRPr="004230DF">
        <w:t>This section provides an exemption to wine from the offences in subsections 40C(1), 40E(1), and 40G(1) of the Act. The section applies if:</w:t>
      </w:r>
    </w:p>
    <w:p w14:paraId="4A5321C4" w14:textId="3CF55ABE" w:rsidR="004230DF" w:rsidRPr="00794F4C" w:rsidRDefault="004230DF" w:rsidP="00892CB7">
      <w:pPr>
        <w:pStyle w:val="ListParagraph"/>
        <w:numPr>
          <w:ilvl w:val="0"/>
          <w:numId w:val="71"/>
        </w:numPr>
      </w:pPr>
      <w:r w:rsidRPr="004230DF">
        <w:t xml:space="preserve">the </w:t>
      </w:r>
      <w:r w:rsidR="00365FE0">
        <w:t>Registrar of Trade Marks</w:t>
      </w:r>
      <w:r w:rsidRPr="004230DF">
        <w:t xml:space="preserve"> decides that an objection to a p</w:t>
      </w:r>
      <w:r w:rsidRPr="00794F4C">
        <w:t>roposed GI is made out under either subsection 40RC(2) of the Ac</w:t>
      </w:r>
      <w:r w:rsidR="00323925">
        <w:t>t (Australian GI), or section 71</w:t>
      </w:r>
      <w:r w:rsidRPr="00794F4C">
        <w:t xml:space="preserve"> (foreign GI), and the GI is then registered in Part 1 of the Register (under subsection 40ZD(2) of the Act)</w:t>
      </w:r>
    </w:p>
    <w:p w14:paraId="724330B8" w14:textId="2BA70384" w:rsidR="004230DF" w:rsidRPr="00794F4C" w:rsidRDefault="004230DF" w:rsidP="00892CB7">
      <w:pPr>
        <w:pStyle w:val="ListParagraph"/>
        <w:numPr>
          <w:ilvl w:val="0"/>
          <w:numId w:val="71"/>
        </w:numPr>
      </w:pPr>
      <w:r w:rsidRPr="00794F4C">
        <w:t xml:space="preserve">a trade mark is either registered or is the subject of a pending application under the </w:t>
      </w:r>
      <w:r w:rsidRPr="00892CB7">
        <w:rPr>
          <w:i/>
        </w:rPr>
        <w:t>Trade Marks Act 1995</w:t>
      </w:r>
      <w:r w:rsidRPr="00794F4C">
        <w:t xml:space="preserve"> and the GI, or a GI that is identical or likely to cause confusion with the trade mark or translation, is proposed and registered</w:t>
      </w:r>
    </w:p>
    <w:p w14:paraId="16B0FEDA" w14:textId="1B7E155D" w:rsidR="004230DF" w:rsidRPr="00794F4C" w:rsidRDefault="004230DF" w:rsidP="00892CB7">
      <w:pPr>
        <w:pStyle w:val="ListParagraph"/>
        <w:numPr>
          <w:ilvl w:val="0"/>
          <w:numId w:val="71"/>
        </w:numPr>
      </w:pPr>
      <w:r w:rsidRPr="00794F4C">
        <w:t xml:space="preserve">a trade mark listed in </w:t>
      </w:r>
      <w:r w:rsidR="008F7062">
        <w:t>subsection 32(3)</w:t>
      </w:r>
      <w:r w:rsidRPr="00794F4C">
        <w:t xml:space="preserve"> is identical to a registered GI or a region or locality in an agreement country, or a registered translation of such a GI</w:t>
      </w:r>
      <w:r w:rsidR="005D041C">
        <w:t>,</w:t>
      </w:r>
      <w:r w:rsidRPr="00794F4C">
        <w:t xml:space="preserve"> or</w:t>
      </w:r>
    </w:p>
    <w:p w14:paraId="1F2DBC5A" w14:textId="069BC84B" w:rsidR="004230DF" w:rsidRPr="004230DF" w:rsidRDefault="004230DF" w:rsidP="00892CB7">
      <w:pPr>
        <w:pStyle w:val="ListParagraph"/>
        <w:numPr>
          <w:ilvl w:val="0"/>
          <w:numId w:val="71"/>
        </w:numPr>
      </w:pPr>
      <w:r w:rsidRPr="00794F4C">
        <w:t xml:space="preserve">a trade mark listed in subsection </w:t>
      </w:r>
      <w:r w:rsidR="000F2539">
        <w:t>32</w:t>
      </w:r>
      <w:r w:rsidRPr="00794F4C">
        <w:t>(3) is likely to ca</w:t>
      </w:r>
      <w:r w:rsidRPr="004230DF">
        <w:t xml:space="preserve">use confusion with a registered GI or a region or locality from a foreign country, or a registered translation of such a GI. </w:t>
      </w:r>
    </w:p>
    <w:p w14:paraId="5F7F1A05" w14:textId="0FF02B7A" w:rsidR="00A65535" w:rsidRDefault="009B2296" w:rsidP="00C21613">
      <w:r>
        <w:t xml:space="preserve">In the first instance </w:t>
      </w:r>
      <w:r w:rsidR="00DB70B8">
        <w:t>described</w:t>
      </w:r>
      <w:r>
        <w:t xml:space="preserve"> above (paragraphs 32(1)(a) and (b)), where a </w:t>
      </w:r>
      <w:r w:rsidR="00352003">
        <w:t>proposed GI or item</w:t>
      </w:r>
      <w:r>
        <w:t xml:space="preserve"> has been registered after an objection is made out, subsection 32</w:t>
      </w:r>
      <w:r w:rsidR="004230DF" w:rsidRPr="004230DF">
        <w:t xml:space="preserve">(2) provides that </w:t>
      </w:r>
      <w:r w:rsidR="00A65535">
        <w:t xml:space="preserve">the exemption in subsection 32(4) applies to a name </w:t>
      </w:r>
      <w:r w:rsidR="004230DF" w:rsidRPr="004230DF">
        <w:t>where</w:t>
      </w:r>
      <w:r w:rsidR="00A65535">
        <w:t>:</w:t>
      </w:r>
    </w:p>
    <w:p w14:paraId="55318554" w14:textId="6A71AD8F" w:rsidR="00A65535" w:rsidRDefault="00352003" w:rsidP="00892CB7">
      <w:pPr>
        <w:pStyle w:val="ListParagraph"/>
        <w:numPr>
          <w:ilvl w:val="0"/>
          <w:numId w:val="71"/>
        </w:numPr>
      </w:pPr>
      <w:r>
        <w:t>the</w:t>
      </w:r>
      <w:r w:rsidR="004230DF" w:rsidRPr="004230DF">
        <w:t xml:space="preserve"> objec</w:t>
      </w:r>
      <w:r w:rsidR="009B2296">
        <w:t>tion was made on the ground</w:t>
      </w:r>
      <w:r w:rsidR="004230DF" w:rsidRPr="004230DF">
        <w:t xml:space="preserve"> that the proposed GI or item is a common n</w:t>
      </w:r>
      <w:r w:rsidR="005817B3">
        <w:t>ame of a type or style of wine,</w:t>
      </w:r>
      <w:r w:rsidR="00A65535">
        <w:t xml:space="preserve"> or</w:t>
      </w:r>
    </w:p>
    <w:p w14:paraId="389F834A" w14:textId="18974D76" w:rsidR="004230DF" w:rsidRPr="004230DF" w:rsidRDefault="00A65535" w:rsidP="00892CB7">
      <w:pPr>
        <w:pStyle w:val="ListParagraph"/>
        <w:numPr>
          <w:ilvl w:val="0"/>
          <w:numId w:val="71"/>
        </w:numPr>
      </w:pPr>
      <w:r>
        <w:t xml:space="preserve">the objection was made on the ground that the proposed GI or item is the name of </w:t>
      </w:r>
      <w:r w:rsidR="004230DF" w:rsidRPr="004230DF">
        <w:t>a variety of grapes.</w:t>
      </w:r>
    </w:p>
    <w:p w14:paraId="5A7C895E" w14:textId="6AB50B69" w:rsidR="004230DF" w:rsidRDefault="009B2296" w:rsidP="00C21613">
      <w:r>
        <w:t>Subsection 32</w:t>
      </w:r>
      <w:r w:rsidR="004230DF" w:rsidRPr="004230DF">
        <w:t xml:space="preserve">(3) contains a list of </w:t>
      </w:r>
      <w:r w:rsidR="00352003">
        <w:t>t</w:t>
      </w:r>
      <w:r w:rsidR="004230DF" w:rsidRPr="004230DF">
        <w:t>rade</w:t>
      </w:r>
      <w:r w:rsidR="00352003">
        <w:t xml:space="preserve"> </w:t>
      </w:r>
      <w:r w:rsidR="004230DF" w:rsidRPr="004230DF">
        <w:t>marks to which the exemption applies</w:t>
      </w:r>
      <w:r w:rsidR="00352003">
        <w:t xml:space="preserve"> for the purposes of paragraphs 32(1)(d) and (e)</w:t>
      </w:r>
      <w:r w:rsidR="004230DF" w:rsidRPr="004230DF">
        <w:t>. These trade marks existed prior to the protect</w:t>
      </w:r>
      <w:r w:rsidR="000F2539">
        <w:t>ion of the GIs and t</w:t>
      </w:r>
      <w:r w:rsidR="00352003">
        <w:t>ranslations.</w:t>
      </w:r>
    </w:p>
    <w:p w14:paraId="1579E00C" w14:textId="00AA37DF" w:rsidR="00A65535" w:rsidRPr="00A65535" w:rsidRDefault="00605A5C" w:rsidP="00C21613">
      <w:pPr>
        <w:rPr>
          <w:i/>
        </w:rPr>
      </w:pPr>
      <w:r>
        <w:rPr>
          <w:i/>
        </w:rPr>
        <w:br w:type="column"/>
      </w:r>
      <w:r w:rsidR="00A65535">
        <w:rPr>
          <w:i/>
        </w:rPr>
        <w:lastRenderedPageBreak/>
        <w:t>Exemption</w:t>
      </w:r>
    </w:p>
    <w:p w14:paraId="76AED308" w14:textId="5FD6E3EC" w:rsidR="004230DF" w:rsidRDefault="004230DF" w:rsidP="00C21613">
      <w:r w:rsidRPr="004230DF">
        <w:t xml:space="preserve">The section provides an exemption </w:t>
      </w:r>
      <w:r w:rsidR="00B425C6">
        <w:t xml:space="preserve">from the offences in subsections </w:t>
      </w:r>
      <w:r w:rsidR="00B425C6" w:rsidRPr="004230DF">
        <w:t>40C(1), 40E(1), and 40G(1) of the Act</w:t>
      </w:r>
      <w:r w:rsidR="00B425C6">
        <w:t xml:space="preserve"> in relation to a GI or translation if the description and presentation of wine </w:t>
      </w:r>
      <w:r w:rsidR="00DB70B8">
        <w:t>uses a trade mark that is the same as or resembles the GI or translation and</w:t>
      </w:r>
      <w:r w:rsidR="00A65535">
        <w:t>:</w:t>
      </w:r>
    </w:p>
    <w:p w14:paraId="61B9802C" w14:textId="71414D3D" w:rsidR="00DB70B8" w:rsidRDefault="00DB70B8" w:rsidP="00892CB7">
      <w:pPr>
        <w:pStyle w:val="ListParagraph"/>
        <w:numPr>
          <w:ilvl w:val="0"/>
          <w:numId w:val="71"/>
        </w:numPr>
      </w:pPr>
      <w:r>
        <w:t>the wine did not originate in the same country, region or locality indicated by th</w:t>
      </w:r>
      <w:r w:rsidR="005817B3">
        <w:t xml:space="preserve">e registered GI or translation, </w:t>
      </w:r>
      <w:r>
        <w:t xml:space="preserve">and </w:t>
      </w:r>
    </w:p>
    <w:p w14:paraId="0255FB42" w14:textId="4A12F606" w:rsidR="00DB70B8" w:rsidRDefault="00DB70B8" w:rsidP="00892CB7">
      <w:pPr>
        <w:pStyle w:val="ListParagraph"/>
        <w:numPr>
          <w:ilvl w:val="0"/>
          <w:numId w:val="71"/>
        </w:numPr>
      </w:pPr>
      <w:r>
        <w:t>the origin</w:t>
      </w:r>
      <w:r w:rsidR="008D3592">
        <w:t>,</w:t>
      </w:r>
      <w:r>
        <w:t xml:space="preserve"> as described and presented on the wine</w:t>
      </w:r>
      <w:r w:rsidR="008D3592">
        <w:t>,</w:t>
      </w:r>
      <w:r>
        <w:t xml:space="preserve"> is not likely to be misleading. </w:t>
      </w:r>
    </w:p>
    <w:p w14:paraId="580FEDB8" w14:textId="25064AA9" w:rsidR="004230DF" w:rsidRPr="004230DF" w:rsidRDefault="004230DF" w:rsidP="00C21613">
      <w:r w:rsidRPr="004230DF">
        <w:t>For example, ‘Salena Estate’ is a registered trade mark in Australia which is listed in the Regulations and the term ‘Salina’ is an Italian GI which is protected under the Agreement</w:t>
      </w:r>
      <w:r w:rsidR="0053111F">
        <w:t xml:space="preserve"> between Australia and the European Community on Trade in Wine</w:t>
      </w:r>
      <w:r w:rsidRPr="004230DF">
        <w:t xml:space="preserve"> and the Act. </w:t>
      </w:r>
      <w:r w:rsidR="008D3592">
        <w:t>Section</w:t>
      </w:r>
      <w:r w:rsidRPr="004230DF">
        <w:t xml:space="preserve"> </w:t>
      </w:r>
      <w:r w:rsidR="008D3592">
        <w:t>32</w:t>
      </w:r>
      <w:r w:rsidRPr="004230DF">
        <w:t xml:space="preserve"> provide</w:t>
      </w:r>
      <w:r w:rsidR="008D3592">
        <w:t>s</w:t>
      </w:r>
      <w:r w:rsidRPr="004230DF">
        <w:t xml:space="preserve"> that the trade mark ‘Salena Estate’ can continue to be used providing that the origin of the wine is shown in the description and presentation in such a way that is not likely to be misleading. Therefore, if a ‘Salena Estate’ Chardonnay were to use the GI ‘South Australia’ in its description and presentation, th</w:t>
      </w:r>
      <w:r w:rsidR="0053111F">
        <w:t>is would be accepted under the R</w:t>
      </w:r>
      <w:r w:rsidRPr="004230DF">
        <w:t>egulations, as it mitigates against a consumer being misled that the wine was from Salina in Italy.</w:t>
      </w:r>
    </w:p>
    <w:p w14:paraId="19BC35FE" w14:textId="3CF33D6F" w:rsidR="0067681C" w:rsidRDefault="00D07635" w:rsidP="00F164D2">
      <w:pPr>
        <w:pStyle w:val="Part"/>
      </w:pPr>
      <w:r>
        <w:t>Part 6</w:t>
      </w:r>
      <w:r w:rsidR="0067681C" w:rsidRPr="00CE078E">
        <w:t>—Determination of Australian GIs</w:t>
      </w:r>
    </w:p>
    <w:p w14:paraId="6470092C" w14:textId="40454967" w:rsidR="0067681C" w:rsidRPr="00E235D8" w:rsidRDefault="0067681C" w:rsidP="0088376F">
      <w:pPr>
        <w:pStyle w:val="Heading3"/>
      </w:pPr>
      <w:r w:rsidRPr="00E235D8">
        <w:t>Div</w:t>
      </w:r>
      <w:r w:rsidR="00D24CD7">
        <w:t>ision 1</w:t>
      </w:r>
      <w:r w:rsidR="000C3C04" w:rsidRPr="009E5369">
        <w:t>—</w:t>
      </w:r>
      <w:r w:rsidR="00D24CD7">
        <w:t>Modifications of the A</w:t>
      </w:r>
      <w:r w:rsidRPr="00E235D8">
        <w:t xml:space="preserve">ct </w:t>
      </w:r>
    </w:p>
    <w:p w14:paraId="391CBACC" w14:textId="5DC67602" w:rsidR="0067681C" w:rsidRPr="00E235D8" w:rsidRDefault="00D24CD7" w:rsidP="00C21613">
      <w:pPr>
        <w:pStyle w:val="Provision"/>
      </w:pPr>
      <w:r>
        <w:t>Section 33</w:t>
      </w:r>
      <w:r w:rsidR="0067681C" w:rsidRPr="00E235D8">
        <w:t xml:space="preserve"> – Modifications of Division 4 of Part VIB of the Act</w:t>
      </w:r>
    </w:p>
    <w:p w14:paraId="1E36E779" w14:textId="0BB36AD2" w:rsidR="0067681C" w:rsidRDefault="0067681C" w:rsidP="00C21613">
      <w:pPr>
        <w:rPr>
          <w:lang w:eastAsia="ja-JP"/>
        </w:rPr>
      </w:pPr>
      <w:r>
        <w:rPr>
          <w:lang w:eastAsia="ja-JP"/>
        </w:rPr>
        <w:t xml:space="preserve">Under section </w:t>
      </w:r>
      <w:r w:rsidRPr="00E235D8">
        <w:rPr>
          <w:lang w:eastAsia="ja-JP"/>
        </w:rPr>
        <w:t xml:space="preserve">40PA of the Act, the </w:t>
      </w:r>
      <w:r>
        <w:rPr>
          <w:lang w:eastAsia="ja-JP"/>
        </w:rPr>
        <w:t>R</w:t>
      </w:r>
      <w:r w:rsidRPr="00E235D8">
        <w:rPr>
          <w:lang w:eastAsia="ja-JP"/>
        </w:rPr>
        <w:t xml:space="preserve">egulations may modify the </w:t>
      </w:r>
      <w:r>
        <w:rPr>
          <w:lang w:eastAsia="ja-JP"/>
        </w:rPr>
        <w:t>A</w:t>
      </w:r>
      <w:r w:rsidRPr="00E235D8">
        <w:rPr>
          <w:lang w:eastAsia="ja-JP"/>
        </w:rPr>
        <w:t xml:space="preserve">ct to </w:t>
      </w:r>
      <w:r>
        <w:rPr>
          <w:lang w:eastAsia="ja-JP"/>
        </w:rPr>
        <w:t xml:space="preserve">ensure the operation of determining </w:t>
      </w:r>
      <w:r w:rsidRPr="00E235D8">
        <w:rPr>
          <w:lang w:eastAsia="ja-JP"/>
        </w:rPr>
        <w:t xml:space="preserve">Australian </w:t>
      </w:r>
      <w:r>
        <w:rPr>
          <w:lang w:eastAsia="ja-JP"/>
        </w:rPr>
        <w:t xml:space="preserve">and foreign </w:t>
      </w:r>
      <w:r w:rsidRPr="00E235D8">
        <w:rPr>
          <w:lang w:eastAsia="ja-JP"/>
        </w:rPr>
        <w:t>GIs</w:t>
      </w:r>
      <w:r>
        <w:rPr>
          <w:lang w:eastAsia="ja-JP"/>
        </w:rPr>
        <w:t xml:space="preserve"> are aligned</w:t>
      </w:r>
      <w:r w:rsidRPr="00E235D8">
        <w:rPr>
          <w:lang w:eastAsia="ja-JP"/>
        </w:rPr>
        <w:t>.</w:t>
      </w:r>
      <w:r>
        <w:rPr>
          <w:lang w:eastAsia="ja-JP"/>
        </w:rPr>
        <w:t xml:space="preserve"> The procedures for determining Australian and foreign GIs are to </w:t>
      </w:r>
      <w:r w:rsidR="009C17F0">
        <w:rPr>
          <w:lang w:eastAsia="ja-JP"/>
        </w:rPr>
        <w:t xml:space="preserve">be </w:t>
      </w:r>
      <w:r>
        <w:rPr>
          <w:lang w:eastAsia="ja-JP"/>
        </w:rPr>
        <w:t>align</w:t>
      </w:r>
      <w:r w:rsidR="009C17F0">
        <w:rPr>
          <w:lang w:eastAsia="ja-JP"/>
        </w:rPr>
        <w:t>ed</w:t>
      </w:r>
      <w:r>
        <w:rPr>
          <w:lang w:eastAsia="ja-JP"/>
        </w:rPr>
        <w:t>, in order to meet Australia’s international obligations u</w:t>
      </w:r>
      <w:r w:rsidR="0053111F">
        <w:rPr>
          <w:lang w:eastAsia="ja-JP"/>
        </w:rPr>
        <w:t>nder wine-</w:t>
      </w:r>
      <w:r w:rsidR="009C17F0">
        <w:rPr>
          <w:lang w:eastAsia="ja-JP"/>
        </w:rPr>
        <w:t>trading agreements</w:t>
      </w:r>
      <w:r>
        <w:rPr>
          <w:lang w:eastAsia="ja-JP"/>
        </w:rPr>
        <w:t>.</w:t>
      </w:r>
      <w:r w:rsidRPr="00E235D8">
        <w:rPr>
          <w:lang w:eastAsia="ja-JP"/>
        </w:rPr>
        <w:t xml:space="preserve"> </w:t>
      </w:r>
    </w:p>
    <w:p w14:paraId="3B5ACBBF" w14:textId="1E102D01" w:rsidR="0067681C" w:rsidRDefault="0067681C" w:rsidP="00C21613">
      <w:pPr>
        <w:rPr>
          <w:lang w:eastAsia="ja-JP"/>
        </w:rPr>
      </w:pPr>
      <w:r w:rsidRPr="00E235D8">
        <w:rPr>
          <w:lang w:eastAsia="ja-JP"/>
        </w:rPr>
        <w:t xml:space="preserve">This </w:t>
      </w:r>
      <w:r>
        <w:rPr>
          <w:lang w:eastAsia="ja-JP"/>
        </w:rPr>
        <w:t>section</w:t>
      </w:r>
      <w:r w:rsidRPr="00E235D8">
        <w:rPr>
          <w:lang w:eastAsia="ja-JP"/>
        </w:rPr>
        <w:t xml:space="preserve"> </w:t>
      </w:r>
      <w:r>
        <w:rPr>
          <w:lang w:eastAsia="ja-JP"/>
        </w:rPr>
        <w:t>modifies</w:t>
      </w:r>
      <w:r w:rsidRPr="00E235D8">
        <w:rPr>
          <w:lang w:eastAsia="ja-JP"/>
        </w:rPr>
        <w:t xml:space="preserve"> the operation of </w:t>
      </w:r>
      <w:r>
        <w:rPr>
          <w:lang w:eastAsia="ja-JP"/>
        </w:rPr>
        <w:t xml:space="preserve">Division 4 of Part VIB </w:t>
      </w:r>
      <w:r w:rsidRPr="00E235D8">
        <w:rPr>
          <w:lang w:eastAsia="ja-JP"/>
        </w:rPr>
        <w:t>of the Act</w:t>
      </w:r>
      <w:r>
        <w:rPr>
          <w:lang w:eastAsia="ja-JP"/>
        </w:rPr>
        <w:t xml:space="preserve"> as set out in Schedule 1 to the Regulations. The modification</w:t>
      </w:r>
      <w:r w:rsidRPr="00E235D8">
        <w:rPr>
          <w:lang w:eastAsia="ja-JP"/>
        </w:rPr>
        <w:t xml:space="preserve"> add</w:t>
      </w:r>
      <w:r>
        <w:rPr>
          <w:lang w:eastAsia="ja-JP"/>
        </w:rPr>
        <w:t>s a</w:t>
      </w:r>
      <w:r w:rsidRPr="00E235D8">
        <w:rPr>
          <w:lang w:eastAsia="ja-JP"/>
        </w:rPr>
        <w:t xml:space="preserve"> ground of objection to determinations of Australian </w:t>
      </w:r>
      <w:r>
        <w:rPr>
          <w:lang w:eastAsia="ja-JP"/>
        </w:rPr>
        <w:t xml:space="preserve">GIs to section 40RB of the Act. </w:t>
      </w:r>
      <w:r w:rsidRPr="00E235D8">
        <w:rPr>
          <w:lang w:eastAsia="ja-JP"/>
        </w:rPr>
        <w:t xml:space="preserve">The </w:t>
      </w:r>
      <w:r>
        <w:rPr>
          <w:lang w:eastAsia="ja-JP"/>
        </w:rPr>
        <w:t>additional ground i</w:t>
      </w:r>
      <w:r w:rsidRPr="00E235D8">
        <w:rPr>
          <w:lang w:eastAsia="ja-JP"/>
        </w:rPr>
        <w:t xml:space="preserve">s that a person may object to a proposed GI on the ground that it is used in Australia, as a common name of a type or style of wine or as a name of a grape variety. </w:t>
      </w:r>
      <w:r>
        <w:rPr>
          <w:lang w:eastAsia="ja-JP"/>
        </w:rPr>
        <w:t xml:space="preserve">This ground is consistent with the ground of objection to determinations of foreign GIs and translations of foreign GIs set out in </w:t>
      </w:r>
      <w:r w:rsidR="007B2D8C">
        <w:rPr>
          <w:lang w:eastAsia="ja-JP"/>
        </w:rPr>
        <w:t>sub</w:t>
      </w:r>
      <w:r>
        <w:rPr>
          <w:lang w:eastAsia="ja-JP"/>
        </w:rPr>
        <w:t xml:space="preserve">section </w:t>
      </w:r>
      <w:r w:rsidR="000F2539">
        <w:rPr>
          <w:lang w:eastAsia="ja-JP"/>
        </w:rPr>
        <w:t>62(5</w:t>
      </w:r>
      <w:r>
        <w:rPr>
          <w:lang w:eastAsia="ja-JP"/>
        </w:rPr>
        <w:t xml:space="preserve">). </w:t>
      </w:r>
    </w:p>
    <w:p w14:paraId="25474078" w14:textId="3C1F8468" w:rsidR="0067681C" w:rsidRPr="0067681C" w:rsidRDefault="0067681C" w:rsidP="0088376F">
      <w:pPr>
        <w:pStyle w:val="Heading3"/>
      </w:pPr>
      <w:r w:rsidRPr="0067681C">
        <w:t>Division 2</w:t>
      </w:r>
      <w:r w:rsidR="000C3C04" w:rsidRPr="009E5369">
        <w:t>—</w:t>
      </w:r>
      <w:r w:rsidRPr="0067681C">
        <w:t>Consideration of objections to determination of Australia GIs</w:t>
      </w:r>
    </w:p>
    <w:p w14:paraId="3675EF0F" w14:textId="2BC2E695" w:rsidR="00815CA8" w:rsidRDefault="00815CA8" w:rsidP="00815CA8">
      <w:pPr>
        <w:rPr>
          <w:lang w:eastAsia="ja-JP"/>
        </w:rPr>
      </w:pPr>
      <w:r w:rsidRPr="00D81B0F">
        <w:rPr>
          <w:lang w:eastAsia="ja-JP"/>
        </w:rPr>
        <w:t>This division sets out the procedure</w:t>
      </w:r>
      <w:r>
        <w:rPr>
          <w:lang w:eastAsia="ja-JP"/>
        </w:rPr>
        <w:t xml:space="preserve">s for the </w:t>
      </w:r>
      <w:r w:rsidR="00365FE0">
        <w:rPr>
          <w:lang w:eastAsia="ja-JP"/>
        </w:rPr>
        <w:t>Registrar of Trade Marks</w:t>
      </w:r>
      <w:r>
        <w:rPr>
          <w:lang w:eastAsia="ja-JP"/>
        </w:rPr>
        <w:t xml:space="preserve"> to follow in deciding whether there are grounds of objection to </w:t>
      </w:r>
      <w:r w:rsidR="005D041C">
        <w:rPr>
          <w:lang w:eastAsia="ja-JP"/>
        </w:rPr>
        <w:t xml:space="preserve">the </w:t>
      </w:r>
      <w:r>
        <w:rPr>
          <w:lang w:eastAsia="ja-JP"/>
        </w:rPr>
        <w:t>determination of an Australian GI. This decision would be made where:</w:t>
      </w:r>
    </w:p>
    <w:p w14:paraId="6560ED1C" w14:textId="713D1784" w:rsidR="00815CA8" w:rsidRDefault="00815CA8" w:rsidP="00892CB7">
      <w:pPr>
        <w:pStyle w:val="ListParagraph"/>
        <w:numPr>
          <w:ilvl w:val="0"/>
          <w:numId w:val="71"/>
        </w:numPr>
      </w:pPr>
      <w:r>
        <w:t>the Committee has published a notice that an Australian GI is proposed (under section 40RA of the Act)</w:t>
      </w:r>
    </w:p>
    <w:p w14:paraId="52754322" w14:textId="4FBC149E" w:rsidR="00815CA8" w:rsidRDefault="00815CA8" w:rsidP="00892CB7">
      <w:pPr>
        <w:pStyle w:val="ListParagraph"/>
        <w:numPr>
          <w:ilvl w:val="0"/>
          <w:numId w:val="71"/>
        </w:numPr>
      </w:pPr>
      <w:r>
        <w:lastRenderedPageBreak/>
        <w:t xml:space="preserve">an objection in relation to the proposed Australian GI has been received by the </w:t>
      </w:r>
      <w:r w:rsidR="00365FE0">
        <w:t>Registrar of Trade Marks</w:t>
      </w:r>
      <w:r>
        <w:t xml:space="preserve"> </w:t>
      </w:r>
    </w:p>
    <w:p w14:paraId="779D41C5" w14:textId="47FF505D" w:rsidR="00815CA8" w:rsidRDefault="00815CA8" w:rsidP="00892CB7">
      <w:pPr>
        <w:pStyle w:val="ListParagraph"/>
        <w:numPr>
          <w:ilvl w:val="0"/>
          <w:numId w:val="71"/>
        </w:numPr>
      </w:pPr>
      <w:r>
        <w:t>the objection is made on a ground set out in section 40RB of the Act</w:t>
      </w:r>
      <w:r w:rsidR="005817B3">
        <w:t>,</w:t>
      </w:r>
      <w:r>
        <w:t xml:space="preserve"> and</w:t>
      </w:r>
    </w:p>
    <w:p w14:paraId="66F11B46" w14:textId="77777777" w:rsidR="00815CA8" w:rsidRDefault="00815CA8" w:rsidP="00892CB7">
      <w:pPr>
        <w:pStyle w:val="ListParagraph"/>
        <w:numPr>
          <w:ilvl w:val="0"/>
          <w:numId w:val="71"/>
        </w:numPr>
      </w:pPr>
      <w:r>
        <w:t xml:space="preserve">the objection is received within the timeframe set out in the notice of the proposed GI (which is at least one month)(under section 40RC of the Act). </w:t>
      </w:r>
    </w:p>
    <w:p w14:paraId="4AB03E3F" w14:textId="6A26B918" w:rsidR="00815CA8" w:rsidRDefault="00815CA8" w:rsidP="00815CA8">
      <w:pPr>
        <w:rPr>
          <w:lang w:eastAsia="ja-JP"/>
        </w:rPr>
      </w:pPr>
      <w:r>
        <w:rPr>
          <w:lang w:eastAsia="ja-JP"/>
        </w:rPr>
        <w:t xml:space="preserve">Under subsection 40RC(2) of the Act, the </w:t>
      </w:r>
      <w:r w:rsidR="00365FE0">
        <w:rPr>
          <w:lang w:eastAsia="ja-JP"/>
        </w:rPr>
        <w:t>Registrar of Trade Marks</w:t>
      </w:r>
      <w:r>
        <w:rPr>
          <w:lang w:eastAsia="ja-JP"/>
        </w:rPr>
        <w:t xml:space="preserve"> must decide whether a ground of objection made in these circumstances is supported by the evidence provided, subject to the procedures set out in </w:t>
      </w:r>
      <w:r w:rsidR="00365A70">
        <w:rPr>
          <w:lang w:eastAsia="ja-JP"/>
        </w:rPr>
        <w:t>this division</w:t>
      </w:r>
      <w:r>
        <w:rPr>
          <w:lang w:eastAsia="ja-JP"/>
        </w:rPr>
        <w:t xml:space="preserve">. </w:t>
      </w:r>
    </w:p>
    <w:p w14:paraId="2C8A49A7" w14:textId="7E295763" w:rsidR="00F23575" w:rsidRDefault="008D3592" w:rsidP="00815CA8">
      <w:pPr>
        <w:rPr>
          <w:lang w:eastAsia="ja-JP"/>
        </w:rPr>
      </w:pPr>
      <w:r w:rsidRPr="008D3592">
        <w:rPr>
          <w:lang w:eastAsia="ja-JP"/>
        </w:rPr>
        <w:t>If the Registrar of Trade Marks decides that there is a ground of objection (under subsection 40RC(2)</w:t>
      </w:r>
      <w:r w:rsidR="000F2539">
        <w:rPr>
          <w:lang w:eastAsia="ja-JP"/>
        </w:rPr>
        <w:t xml:space="preserve"> of the Act</w:t>
      </w:r>
      <w:r w:rsidRPr="008D3592">
        <w:rPr>
          <w:lang w:eastAsia="ja-JP"/>
        </w:rPr>
        <w:t>), subsection 40RC(3) of</w:t>
      </w:r>
      <w:r w:rsidR="0053111F">
        <w:rPr>
          <w:lang w:eastAsia="ja-JP"/>
        </w:rPr>
        <w:t xml:space="preserve"> the Act provides that the Registrar of Trade Marks</w:t>
      </w:r>
      <w:r w:rsidRPr="008D3592">
        <w:rPr>
          <w:lang w:eastAsia="ja-JP"/>
        </w:rPr>
        <w:t xml:space="preserve"> may make a recommendation to the Committee that th</w:t>
      </w:r>
      <w:r w:rsidR="0053111F">
        <w:rPr>
          <w:lang w:eastAsia="ja-JP"/>
        </w:rPr>
        <w:t xml:space="preserve">e GI be determined, if the Registrar of Trade Marks </w:t>
      </w:r>
      <w:r w:rsidRPr="008D3592">
        <w:rPr>
          <w:lang w:eastAsia="ja-JP"/>
        </w:rPr>
        <w:t>is satisfied that it would be reasonable to determine the GI, despite the existence of the objection.</w:t>
      </w:r>
      <w:r>
        <w:rPr>
          <w:lang w:eastAsia="ja-JP"/>
        </w:rPr>
        <w:t xml:space="preserve"> </w:t>
      </w:r>
    </w:p>
    <w:p w14:paraId="6650CD5A" w14:textId="40774B37" w:rsidR="00815CA8" w:rsidRDefault="00815CA8" w:rsidP="00815CA8">
      <w:pPr>
        <w:rPr>
          <w:lang w:eastAsia="ja-JP"/>
        </w:rPr>
      </w:pPr>
      <w:r>
        <w:rPr>
          <w:lang w:eastAsia="ja-JP"/>
        </w:rPr>
        <w:t xml:space="preserve">The procedures set out in </w:t>
      </w:r>
      <w:r w:rsidR="00365A70">
        <w:rPr>
          <w:lang w:eastAsia="ja-JP"/>
        </w:rPr>
        <w:t>this division</w:t>
      </w:r>
      <w:r>
        <w:rPr>
          <w:lang w:eastAsia="ja-JP"/>
        </w:rPr>
        <w:t xml:space="preserve"> are intended to be consistent with the procedures regarding a decision that there is a ground of objection to a proposed foreign GI or translation of a foreign GI, in Division 3 of Part 7. </w:t>
      </w:r>
    </w:p>
    <w:p w14:paraId="39810C84" w14:textId="012313FC" w:rsidR="0067681C" w:rsidRDefault="00D24CD7" w:rsidP="00C21613">
      <w:pPr>
        <w:pStyle w:val="Provision"/>
      </w:pPr>
      <w:r>
        <w:t>Section 34</w:t>
      </w:r>
      <w:r w:rsidR="0067681C" w:rsidRPr="00E235D8">
        <w:t xml:space="preserve"> – Application of </w:t>
      </w:r>
      <w:r>
        <w:t>this D</w:t>
      </w:r>
      <w:r w:rsidR="00365A70">
        <w:t>ivision</w:t>
      </w:r>
    </w:p>
    <w:p w14:paraId="24394D20" w14:textId="71FD03BD" w:rsidR="00815CA8" w:rsidRDefault="00A30BC7" w:rsidP="00815CA8">
      <w:pPr>
        <w:rPr>
          <w:lang w:eastAsia="ja-JP"/>
        </w:rPr>
      </w:pPr>
      <w:r>
        <w:rPr>
          <w:lang w:eastAsia="ja-JP"/>
        </w:rPr>
        <w:t xml:space="preserve">This section provides for the application of this division. </w:t>
      </w:r>
      <w:r w:rsidR="00815CA8">
        <w:rPr>
          <w:lang w:eastAsia="ja-JP"/>
        </w:rPr>
        <w:t xml:space="preserve">Under subsection 40RC(5) of the Act, the Regulations may set out the procedure to be followed by the </w:t>
      </w:r>
      <w:r w:rsidR="00365FE0">
        <w:rPr>
          <w:lang w:eastAsia="ja-JP"/>
        </w:rPr>
        <w:t>Registrar of Trade Marks</w:t>
      </w:r>
      <w:r w:rsidR="00815CA8">
        <w:rPr>
          <w:lang w:eastAsia="ja-JP"/>
        </w:rPr>
        <w:t xml:space="preserve"> to make a decision that there is a ground of objection to a proposed Australian GI, under subsection</w:t>
      </w:r>
      <w:r w:rsidR="008D3592">
        <w:rPr>
          <w:lang w:eastAsia="ja-JP"/>
        </w:rPr>
        <w:t>s</w:t>
      </w:r>
      <w:r w:rsidR="00815CA8">
        <w:rPr>
          <w:lang w:eastAsia="ja-JP"/>
        </w:rPr>
        <w:t xml:space="preserve"> 40RC(2) </w:t>
      </w:r>
      <w:r w:rsidR="008D3592">
        <w:rPr>
          <w:lang w:eastAsia="ja-JP"/>
        </w:rPr>
        <w:t xml:space="preserve">and (3) </w:t>
      </w:r>
      <w:r w:rsidR="00815CA8">
        <w:rPr>
          <w:lang w:eastAsia="ja-JP"/>
        </w:rPr>
        <w:t xml:space="preserve">of the Act. The procedures may include, but are not limited to, </w:t>
      </w:r>
      <w:r w:rsidR="000F2539">
        <w:rPr>
          <w:lang w:eastAsia="ja-JP"/>
        </w:rPr>
        <w:t>the charging of fees (section 42</w:t>
      </w:r>
      <w:r w:rsidR="00815CA8">
        <w:rPr>
          <w:lang w:eastAsia="ja-JP"/>
        </w:rPr>
        <w:t>), the holding of hearings (section 3</w:t>
      </w:r>
      <w:r w:rsidR="000F2539">
        <w:rPr>
          <w:lang w:eastAsia="ja-JP"/>
        </w:rPr>
        <w:t>9</w:t>
      </w:r>
      <w:r w:rsidR="00815CA8">
        <w:rPr>
          <w:lang w:eastAsia="ja-JP"/>
        </w:rPr>
        <w:t>) and the</w:t>
      </w:r>
      <w:r w:rsidR="008D09C7">
        <w:rPr>
          <w:lang w:eastAsia="ja-JP"/>
        </w:rPr>
        <w:t xml:space="preserve"> taking of evidence (sections 3</w:t>
      </w:r>
      <w:r w:rsidR="000F2539">
        <w:rPr>
          <w:lang w:eastAsia="ja-JP"/>
        </w:rPr>
        <w:t>6</w:t>
      </w:r>
      <w:r w:rsidR="008D09C7">
        <w:rPr>
          <w:lang w:eastAsia="ja-JP"/>
        </w:rPr>
        <w:t>, 3</w:t>
      </w:r>
      <w:r w:rsidR="000F2539">
        <w:rPr>
          <w:lang w:eastAsia="ja-JP"/>
        </w:rPr>
        <w:t>7 and</w:t>
      </w:r>
      <w:r w:rsidR="008D09C7">
        <w:rPr>
          <w:lang w:eastAsia="ja-JP"/>
        </w:rPr>
        <w:t xml:space="preserve"> 3</w:t>
      </w:r>
      <w:r w:rsidR="000F2539">
        <w:rPr>
          <w:lang w:eastAsia="ja-JP"/>
        </w:rPr>
        <w:t>8</w:t>
      </w:r>
      <w:r w:rsidR="00815CA8">
        <w:rPr>
          <w:lang w:eastAsia="ja-JP"/>
        </w:rPr>
        <w:t>).</w:t>
      </w:r>
    </w:p>
    <w:p w14:paraId="015ACED1" w14:textId="70FF9974" w:rsidR="0067681C" w:rsidRPr="00E235D8" w:rsidRDefault="00D24CD7" w:rsidP="00C21613">
      <w:pPr>
        <w:pStyle w:val="Provision"/>
      </w:pPr>
      <w:r>
        <w:t>Section 35</w:t>
      </w:r>
      <w:r w:rsidR="0067681C" w:rsidRPr="00E235D8">
        <w:t xml:space="preserve"> – Parties to proceedings</w:t>
      </w:r>
    </w:p>
    <w:p w14:paraId="32172B1A" w14:textId="43126797" w:rsidR="000A20CE" w:rsidRDefault="0067681C" w:rsidP="00C21613">
      <w:pPr>
        <w:rPr>
          <w:lang w:eastAsia="ja-JP"/>
        </w:rPr>
      </w:pPr>
      <w:r w:rsidRPr="00E235D8">
        <w:rPr>
          <w:lang w:eastAsia="ja-JP"/>
        </w:rPr>
        <w:t xml:space="preserve">This section </w:t>
      </w:r>
      <w:r w:rsidR="000A20CE">
        <w:rPr>
          <w:lang w:eastAsia="ja-JP"/>
        </w:rPr>
        <w:t>sets out</w:t>
      </w:r>
      <w:r w:rsidRPr="00E235D8">
        <w:rPr>
          <w:lang w:eastAsia="ja-JP"/>
        </w:rPr>
        <w:t xml:space="preserve"> who </w:t>
      </w:r>
      <w:r>
        <w:rPr>
          <w:lang w:eastAsia="ja-JP"/>
        </w:rPr>
        <w:t>is a ‘</w:t>
      </w:r>
      <w:r w:rsidRPr="00E235D8">
        <w:rPr>
          <w:lang w:eastAsia="ja-JP"/>
        </w:rPr>
        <w:t>part</w:t>
      </w:r>
      <w:r>
        <w:rPr>
          <w:lang w:eastAsia="ja-JP"/>
        </w:rPr>
        <w:t>y’</w:t>
      </w:r>
      <w:r w:rsidRPr="00E235D8">
        <w:rPr>
          <w:lang w:eastAsia="ja-JP"/>
        </w:rPr>
        <w:t xml:space="preserve"> </w:t>
      </w:r>
      <w:r w:rsidR="000A20CE">
        <w:rPr>
          <w:lang w:eastAsia="ja-JP"/>
        </w:rPr>
        <w:t>in relation to an objection to a proposed Australian GI</w:t>
      </w:r>
      <w:r w:rsidRPr="00E235D8">
        <w:rPr>
          <w:lang w:eastAsia="ja-JP"/>
        </w:rPr>
        <w:t xml:space="preserve">.  </w:t>
      </w:r>
    </w:p>
    <w:p w14:paraId="13BCD509" w14:textId="13649948" w:rsidR="0067681C" w:rsidRPr="00E235D8" w:rsidRDefault="000A20CE" w:rsidP="00C21613">
      <w:pPr>
        <w:rPr>
          <w:lang w:eastAsia="ja-JP"/>
        </w:rPr>
      </w:pPr>
      <w:r>
        <w:rPr>
          <w:lang w:eastAsia="ja-JP"/>
        </w:rPr>
        <w:t xml:space="preserve">For the purposes of </w:t>
      </w:r>
      <w:r w:rsidR="00365A70">
        <w:rPr>
          <w:lang w:eastAsia="ja-JP"/>
        </w:rPr>
        <w:t>this division</w:t>
      </w:r>
      <w:r>
        <w:rPr>
          <w:lang w:eastAsia="ja-JP"/>
        </w:rPr>
        <w:t>, and section 40RC of the Act, a</w:t>
      </w:r>
      <w:r w:rsidR="0067681C">
        <w:rPr>
          <w:lang w:eastAsia="ja-JP"/>
        </w:rPr>
        <w:t xml:space="preserve"> </w:t>
      </w:r>
      <w:r w:rsidR="0067681C">
        <w:rPr>
          <w:b/>
          <w:i/>
          <w:lang w:eastAsia="ja-JP"/>
        </w:rPr>
        <w:t>p</w:t>
      </w:r>
      <w:r w:rsidR="0067681C" w:rsidRPr="00E235D8">
        <w:rPr>
          <w:b/>
          <w:i/>
          <w:lang w:eastAsia="ja-JP"/>
        </w:rPr>
        <w:t>art</w:t>
      </w:r>
      <w:r w:rsidR="0067681C" w:rsidRPr="000077BC">
        <w:rPr>
          <w:b/>
          <w:i/>
          <w:lang w:eastAsia="ja-JP"/>
        </w:rPr>
        <w:t>y</w:t>
      </w:r>
      <w:r>
        <w:rPr>
          <w:lang w:eastAsia="ja-JP"/>
        </w:rPr>
        <w:t xml:space="preserve"> to proceedings</w:t>
      </w:r>
      <w:r w:rsidR="0067681C" w:rsidRPr="00E235D8">
        <w:rPr>
          <w:lang w:eastAsia="ja-JP"/>
        </w:rPr>
        <w:t xml:space="preserve"> </w:t>
      </w:r>
      <w:r w:rsidR="0067681C">
        <w:rPr>
          <w:lang w:eastAsia="ja-JP"/>
        </w:rPr>
        <w:t>is</w:t>
      </w:r>
      <w:r w:rsidR="0067681C" w:rsidRPr="00E235D8">
        <w:rPr>
          <w:lang w:eastAsia="ja-JP"/>
        </w:rPr>
        <w:t xml:space="preserve">: </w:t>
      </w:r>
    </w:p>
    <w:p w14:paraId="34FF0F3E" w14:textId="67E9EFDC" w:rsidR="000A20CE" w:rsidRDefault="000A20CE" w:rsidP="002D5623">
      <w:pPr>
        <w:pStyle w:val="ListParagraph"/>
        <w:numPr>
          <w:ilvl w:val="0"/>
          <w:numId w:val="71"/>
        </w:numPr>
        <w:tabs>
          <w:tab w:val="left" w:pos="426"/>
        </w:tabs>
        <w:rPr>
          <w:lang w:eastAsia="ja-JP"/>
        </w:rPr>
      </w:pPr>
      <w:r>
        <w:t>the</w:t>
      </w:r>
      <w:r>
        <w:rPr>
          <w:lang w:eastAsia="ja-JP"/>
        </w:rPr>
        <w:t xml:space="preserve"> person who made the objection, either:</w:t>
      </w:r>
    </w:p>
    <w:p w14:paraId="37F889A7" w14:textId="11355C25" w:rsidR="000A20CE" w:rsidRDefault="000A20CE" w:rsidP="002D5623">
      <w:pPr>
        <w:pStyle w:val="ListParagraph"/>
        <w:numPr>
          <w:ilvl w:val="1"/>
          <w:numId w:val="24"/>
        </w:numPr>
        <w:tabs>
          <w:tab w:val="left" w:pos="426"/>
        </w:tabs>
        <w:spacing w:after="0"/>
        <w:rPr>
          <w:lang w:eastAsia="ja-JP"/>
        </w:rPr>
      </w:pPr>
      <w:r>
        <w:rPr>
          <w:lang w:eastAsia="ja-JP"/>
        </w:rPr>
        <w:t>the registered owner of the registered trade mark (under subsection 40RB(1) of the Act)</w:t>
      </w:r>
    </w:p>
    <w:p w14:paraId="54C5941F" w14:textId="3481EC44" w:rsidR="000A20CE" w:rsidRDefault="000A20CE" w:rsidP="002D5623">
      <w:pPr>
        <w:pStyle w:val="ListParagraph"/>
        <w:numPr>
          <w:ilvl w:val="1"/>
          <w:numId w:val="24"/>
        </w:numPr>
        <w:tabs>
          <w:tab w:val="left" w:pos="426"/>
        </w:tabs>
        <w:spacing w:after="0"/>
        <w:rPr>
          <w:lang w:eastAsia="ja-JP"/>
        </w:rPr>
      </w:pPr>
      <w:r>
        <w:rPr>
          <w:lang w:eastAsia="ja-JP"/>
        </w:rPr>
        <w:t xml:space="preserve">a person who has an application pending for the registration of the trade mark under the </w:t>
      </w:r>
      <w:r>
        <w:rPr>
          <w:i/>
          <w:lang w:eastAsia="ja-JP"/>
        </w:rPr>
        <w:t xml:space="preserve">Trade Marks Act 1995 </w:t>
      </w:r>
      <w:r>
        <w:rPr>
          <w:lang w:eastAsia="ja-JP"/>
        </w:rPr>
        <w:t>(under subsection 40RB(3) of the Act)</w:t>
      </w:r>
    </w:p>
    <w:p w14:paraId="3AD05BE7" w14:textId="3BE89F86" w:rsidR="000A20CE" w:rsidRDefault="000A20CE" w:rsidP="002D5623">
      <w:pPr>
        <w:pStyle w:val="ListParagraph"/>
        <w:numPr>
          <w:ilvl w:val="1"/>
          <w:numId w:val="24"/>
        </w:numPr>
        <w:tabs>
          <w:tab w:val="left" w:pos="426"/>
        </w:tabs>
        <w:spacing w:after="0"/>
        <w:rPr>
          <w:lang w:eastAsia="ja-JP"/>
        </w:rPr>
      </w:pPr>
      <w:r>
        <w:rPr>
          <w:lang w:eastAsia="ja-JP"/>
        </w:rPr>
        <w:t>a person who claims to have trade mark rights in the trade mark that is not registered (under subsection 40RB(4) of the Act</w:t>
      </w:r>
      <w:r w:rsidR="005D041C">
        <w:rPr>
          <w:lang w:eastAsia="ja-JP"/>
        </w:rPr>
        <w:t>),</w:t>
      </w:r>
      <w:r>
        <w:rPr>
          <w:lang w:eastAsia="ja-JP"/>
        </w:rPr>
        <w:t xml:space="preserve"> or</w:t>
      </w:r>
    </w:p>
    <w:p w14:paraId="6662834F" w14:textId="426D21BD" w:rsidR="000A20CE" w:rsidRDefault="000A20CE" w:rsidP="002D5623">
      <w:pPr>
        <w:pStyle w:val="ListParagraph"/>
        <w:numPr>
          <w:ilvl w:val="1"/>
          <w:numId w:val="24"/>
        </w:numPr>
        <w:tabs>
          <w:tab w:val="left" w:pos="426"/>
        </w:tabs>
        <w:spacing w:after="0"/>
        <w:rPr>
          <w:lang w:eastAsia="ja-JP"/>
        </w:rPr>
      </w:pPr>
      <w:r>
        <w:rPr>
          <w:lang w:eastAsia="ja-JP"/>
        </w:rPr>
        <w:t>a person who objects to the proposed GI on the ground that it is used in Austral</w:t>
      </w:r>
      <w:r w:rsidR="005D041C">
        <w:rPr>
          <w:lang w:eastAsia="ja-JP"/>
        </w:rPr>
        <w:t>ia (by operation of Schedule 1), and</w:t>
      </w:r>
      <w:r>
        <w:rPr>
          <w:lang w:eastAsia="ja-JP"/>
        </w:rPr>
        <w:t xml:space="preserve"> </w:t>
      </w:r>
    </w:p>
    <w:p w14:paraId="7C9015FE" w14:textId="77ADF4D2" w:rsidR="000A20CE" w:rsidRDefault="000A20CE" w:rsidP="002D5623">
      <w:pPr>
        <w:pStyle w:val="ListParagraph"/>
        <w:numPr>
          <w:ilvl w:val="0"/>
          <w:numId w:val="71"/>
        </w:numPr>
        <w:tabs>
          <w:tab w:val="left" w:pos="426"/>
        </w:tabs>
        <w:rPr>
          <w:lang w:eastAsia="ja-JP"/>
        </w:rPr>
      </w:pPr>
      <w:r>
        <w:rPr>
          <w:lang w:eastAsia="ja-JP"/>
        </w:rPr>
        <w:t>the applicant for the determination of the proposed Australian GI (under section 40R of the Act).</w:t>
      </w:r>
    </w:p>
    <w:p w14:paraId="22DE58FE" w14:textId="25A9AC93" w:rsidR="00461012" w:rsidRPr="00461012" w:rsidRDefault="00461012" w:rsidP="00461012">
      <w:pPr>
        <w:spacing w:after="0"/>
        <w:rPr>
          <w:i/>
          <w:lang w:eastAsia="ja-JP"/>
        </w:rPr>
      </w:pPr>
      <w:r>
        <w:rPr>
          <w:lang w:eastAsia="ja-JP"/>
        </w:rPr>
        <w:lastRenderedPageBreak/>
        <w:t xml:space="preserve">Under </w:t>
      </w:r>
      <w:r w:rsidR="00801915">
        <w:rPr>
          <w:lang w:eastAsia="ja-JP"/>
        </w:rPr>
        <w:t>sub</w:t>
      </w:r>
      <w:r>
        <w:rPr>
          <w:lang w:eastAsia="ja-JP"/>
        </w:rPr>
        <w:t>section 4</w:t>
      </w:r>
      <w:r w:rsidR="00801915">
        <w:rPr>
          <w:lang w:eastAsia="ja-JP"/>
        </w:rPr>
        <w:t>(1)</w:t>
      </w:r>
      <w:r>
        <w:rPr>
          <w:lang w:eastAsia="ja-JP"/>
        </w:rPr>
        <w:t xml:space="preserve"> of the Act, a </w:t>
      </w:r>
      <w:r>
        <w:rPr>
          <w:b/>
          <w:i/>
          <w:lang w:eastAsia="ja-JP"/>
        </w:rPr>
        <w:t xml:space="preserve">registered trade mark </w:t>
      </w:r>
      <w:r>
        <w:rPr>
          <w:lang w:eastAsia="ja-JP"/>
        </w:rPr>
        <w:t xml:space="preserve">means a trade mark whose particulars are entered in the Register of Trade Marks under the </w:t>
      </w:r>
      <w:r>
        <w:rPr>
          <w:i/>
          <w:lang w:eastAsia="ja-JP"/>
        </w:rPr>
        <w:t xml:space="preserve">Trade Marks Act 1995. </w:t>
      </w:r>
    </w:p>
    <w:p w14:paraId="02A471CC" w14:textId="093A34D4" w:rsidR="0067681C" w:rsidRDefault="00D24CD7" w:rsidP="00C21613">
      <w:pPr>
        <w:pStyle w:val="Provision"/>
      </w:pPr>
      <w:r>
        <w:t>Section 36</w:t>
      </w:r>
      <w:r w:rsidR="0067681C" w:rsidRPr="00A732E6">
        <w:t xml:space="preserve"> – Evidence in relation to ground of objection and recommendation</w:t>
      </w:r>
    </w:p>
    <w:p w14:paraId="16B9D2A0" w14:textId="640AFA82" w:rsidR="00DD3AE9" w:rsidRDefault="0067681C" w:rsidP="00C21613">
      <w:pPr>
        <w:rPr>
          <w:lang w:eastAsia="ja-JP"/>
        </w:rPr>
      </w:pPr>
      <w:r>
        <w:rPr>
          <w:lang w:eastAsia="ja-JP"/>
        </w:rPr>
        <w:t xml:space="preserve">This section </w:t>
      </w:r>
      <w:r w:rsidR="009C17F0">
        <w:rPr>
          <w:lang w:eastAsia="ja-JP"/>
        </w:rPr>
        <w:t>sets out</w:t>
      </w:r>
      <w:r>
        <w:rPr>
          <w:lang w:eastAsia="ja-JP"/>
        </w:rPr>
        <w:t xml:space="preserve"> the procedure the </w:t>
      </w:r>
      <w:r w:rsidR="00365FE0">
        <w:rPr>
          <w:lang w:eastAsia="ja-JP"/>
        </w:rPr>
        <w:t>Registrar of Trade Marks</w:t>
      </w:r>
      <w:r>
        <w:rPr>
          <w:lang w:eastAsia="ja-JP"/>
        </w:rPr>
        <w:t xml:space="preserve"> </w:t>
      </w:r>
      <w:r w:rsidR="00DD3AE9">
        <w:rPr>
          <w:lang w:eastAsia="ja-JP"/>
        </w:rPr>
        <w:t xml:space="preserve">must follow after notifying the Committee that an objection has been received, and specifies the content of the notice the </w:t>
      </w:r>
      <w:r w:rsidR="00365FE0">
        <w:rPr>
          <w:lang w:eastAsia="ja-JP"/>
        </w:rPr>
        <w:t>Registrar of Trade Marks</w:t>
      </w:r>
      <w:r w:rsidR="00DD3AE9">
        <w:rPr>
          <w:lang w:eastAsia="ja-JP"/>
        </w:rPr>
        <w:t xml:space="preserve"> must provide to parties in proceedings.</w:t>
      </w:r>
    </w:p>
    <w:p w14:paraId="2E3326B9" w14:textId="0B0AD3CE" w:rsidR="0067681C" w:rsidRPr="00A979E6" w:rsidRDefault="00605A5C" w:rsidP="00C21613">
      <w:pPr>
        <w:rPr>
          <w:lang w:eastAsia="ja-JP"/>
        </w:rPr>
      </w:pPr>
      <w:r>
        <w:rPr>
          <w:lang w:eastAsia="ja-JP"/>
        </w:rPr>
        <w:br w:type="column"/>
      </w:r>
      <w:r w:rsidR="00DD3AE9">
        <w:rPr>
          <w:lang w:eastAsia="ja-JP"/>
        </w:rPr>
        <w:lastRenderedPageBreak/>
        <w:t xml:space="preserve">After notifying the Committee under </w:t>
      </w:r>
      <w:r w:rsidR="0067681C" w:rsidRPr="00A979E6">
        <w:rPr>
          <w:lang w:eastAsia="ja-JP"/>
        </w:rPr>
        <w:t>subsection 40RC(1)</w:t>
      </w:r>
      <w:r w:rsidR="0067681C">
        <w:rPr>
          <w:lang w:eastAsia="ja-JP"/>
        </w:rPr>
        <w:t xml:space="preserve"> of the Act</w:t>
      </w:r>
      <w:r w:rsidR="0067681C" w:rsidRPr="00A979E6">
        <w:rPr>
          <w:lang w:eastAsia="ja-JP"/>
        </w:rPr>
        <w:t xml:space="preserve"> that </w:t>
      </w:r>
      <w:r w:rsidR="0067681C">
        <w:rPr>
          <w:lang w:eastAsia="ja-JP"/>
        </w:rPr>
        <w:t xml:space="preserve">an </w:t>
      </w:r>
      <w:r w:rsidR="0067681C" w:rsidRPr="00A979E6">
        <w:rPr>
          <w:lang w:eastAsia="ja-JP"/>
        </w:rPr>
        <w:t xml:space="preserve">objection </w:t>
      </w:r>
      <w:r w:rsidR="0067681C">
        <w:rPr>
          <w:lang w:eastAsia="ja-JP"/>
        </w:rPr>
        <w:t>has been received</w:t>
      </w:r>
      <w:r w:rsidR="00DD3AE9">
        <w:rPr>
          <w:lang w:eastAsia="ja-JP"/>
        </w:rPr>
        <w:t>,</w:t>
      </w:r>
      <w:r w:rsidR="00C23867" w:rsidRPr="00C23867">
        <w:rPr>
          <w:lang w:eastAsia="ja-JP"/>
        </w:rPr>
        <w:t xml:space="preserve"> </w:t>
      </w:r>
      <w:r w:rsidR="00C23867">
        <w:rPr>
          <w:lang w:eastAsia="ja-JP"/>
        </w:rPr>
        <w:t>and the person making the objection has paid the relevant fee for dealing with the objection (prescribed by section 4</w:t>
      </w:r>
      <w:r w:rsidR="000E49E5">
        <w:rPr>
          <w:lang w:eastAsia="ja-JP"/>
        </w:rPr>
        <w:t>2</w:t>
      </w:r>
      <w:r w:rsidR="00C23867">
        <w:rPr>
          <w:lang w:eastAsia="ja-JP"/>
        </w:rPr>
        <w:t>),</w:t>
      </w:r>
      <w:r w:rsidR="00DD3AE9">
        <w:rPr>
          <w:lang w:eastAsia="ja-JP"/>
        </w:rPr>
        <w:t xml:space="preserve"> t</w:t>
      </w:r>
      <w:r w:rsidR="0067681C" w:rsidRPr="00A979E6">
        <w:rPr>
          <w:lang w:eastAsia="ja-JP"/>
        </w:rPr>
        <w:t xml:space="preserve">he </w:t>
      </w:r>
      <w:r w:rsidR="00365FE0">
        <w:rPr>
          <w:lang w:eastAsia="ja-JP"/>
        </w:rPr>
        <w:t>Registrar of Trade Marks</w:t>
      </w:r>
      <w:r w:rsidR="0067681C" w:rsidRPr="00A979E6">
        <w:rPr>
          <w:lang w:eastAsia="ja-JP"/>
        </w:rPr>
        <w:t xml:space="preserve"> </w:t>
      </w:r>
      <w:r w:rsidR="00DD3AE9">
        <w:rPr>
          <w:lang w:eastAsia="ja-JP"/>
        </w:rPr>
        <w:t>must send each party a written notice that</w:t>
      </w:r>
      <w:r w:rsidR="0067681C">
        <w:rPr>
          <w:lang w:eastAsia="ja-JP"/>
        </w:rPr>
        <w:t>:</w:t>
      </w:r>
    </w:p>
    <w:p w14:paraId="7B6147B8" w14:textId="6121D501" w:rsidR="0067681C" w:rsidRPr="00A979E6" w:rsidRDefault="00DD3AE9" w:rsidP="002D5623">
      <w:pPr>
        <w:pStyle w:val="ListParagraph"/>
        <w:numPr>
          <w:ilvl w:val="0"/>
          <w:numId w:val="71"/>
        </w:numPr>
        <w:tabs>
          <w:tab w:val="left" w:pos="426"/>
        </w:tabs>
      </w:pPr>
      <w:r>
        <w:t>provides</w:t>
      </w:r>
      <w:r w:rsidR="0067681C">
        <w:t xml:space="preserve"> </w:t>
      </w:r>
      <w:r w:rsidR="0067681C" w:rsidRPr="00A979E6">
        <w:t xml:space="preserve">the name and address of </w:t>
      </w:r>
      <w:r>
        <w:t xml:space="preserve">each </w:t>
      </w:r>
      <w:r w:rsidR="0067681C" w:rsidRPr="00A979E6">
        <w:t>other party</w:t>
      </w:r>
    </w:p>
    <w:p w14:paraId="7FC70F38" w14:textId="486E92AC" w:rsidR="00DD3AE9" w:rsidRDefault="0067681C" w:rsidP="00892CB7">
      <w:pPr>
        <w:pStyle w:val="ListParagraph"/>
        <w:numPr>
          <w:ilvl w:val="0"/>
          <w:numId w:val="71"/>
        </w:numPr>
      </w:pPr>
      <w:r w:rsidRPr="00A979E6">
        <w:t xml:space="preserve">invites </w:t>
      </w:r>
      <w:r w:rsidR="00DD3AE9">
        <w:t xml:space="preserve">each </w:t>
      </w:r>
      <w:r w:rsidRPr="00A979E6">
        <w:t>part</w:t>
      </w:r>
      <w:r w:rsidR="00DD3AE9">
        <w:t>y</w:t>
      </w:r>
      <w:r w:rsidRPr="00A979E6">
        <w:t xml:space="preserve"> to file evidence</w:t>
      </w:r>
      <w:r w:rsidR="00DD3AE9">
        <w:t xml:space="preserve"> </w:t>
      </w:r>
      <w:r w:rsidR="008D3592">
        <w:t>relevant to</w:t>
      </w:r>
      <w:r w:rsidR="00DD3AE9">
        <w:t>:</w:t>
      </w:r>
    </w:p>
    <w:p w14:paraId="38EC2807" w14:textId="2FD29459" w:rsidR="00DD3AE9" w:rsidRDefault="00DD3AE9" w:rsidP="00DD3AE9">
      <w:pPr>
        <w:pStyle w:val="ListParagraph"/>
        <w:numPr>
          <w:ilvl w:val="1"/>
          <w:numId w:val="25"/>
        </w:numPr>
        <w:rPr>
          <w:lang w:eastAsia="ja-JP"/>
        </w:rPr>
      </w:pPr>
      <w:r>
        <w:rPr>
          <w:lang w:eastAsia="ja-JP"/>
        </w:rPr>
        <w:t>the objection to the proposed Australian GI</w:t>
      </w:r>
      <w:r w:rsidR="005D041C">
        <w:rPr>
          <w:lang w:eastAsia="ja-JP"/>
        </w:rPr>
        <w:t>,</w:t>
      </w:r>
      <w:r>
        <w:rPr>
          <w:lang w:eastAsia="ja-JP"/>
        </w:rPr>
        <w:t xml:space="preserve"> or </w:t>
      </w:r>
    </w:p>
    <w:p w14:paraId="05079C4E" w14:textId="035B7234" w:rsidR="0067681C" w:rsidRPr="00A979E6" w:rsidRDefault="00DD3AE9" w:rsidP="00DD3AE9">
      <w:pPr>
        <w:pStyle w:val="ListParagraph"/>
        <w:numPr>
          <w:ilvl w:val="1"/>
          <w:numId w:val="25"/>
        </w:numPr>
        <w:rPr>
          <w:lang w:eastAsia="ja-JP"/>
        </w:rPr>
      </w:pPr>
      <w:r>
        <w:rPr>
          <w:lang w:eastAsia="ja-JP"/>
        </w:rPr>
        <w:t xml:space="preserve">whether the </w:t>
      </w:r>
      <w:r w:rsidR="00365FE0">
        <w:rPr>
          <w:lang w:eastAsia="ja-JP"/>
        </w:rPr>
        <w:t>Registrar of Trade Marks</w:t>
      </w:r>
      <w:r>
        <w:rPr>
          <w:lang w:eastAsia="ja-JP"/>
        </w:rPr>
        <w:t xml:space="preserve"> should recommend that </w:t>
      </w:r>
      <w:r w:rsidR="0067681C" w:rsidRPr="00A979E6">
        <w:rPr>
          <w:lang w:eastAsia="ja-JP"/>
        </w:rPr>
        <w:t xml:space="preserve">the proposed </w:t>
      </w:r>
      <w:r w:rsidR="005D041C">
        <w:rPr>
          <w:lang w:eastAsia="ja-JP"/>
        </w:rPr>
        <w:t xml:space="preserve">Australian </w:t>
      </w:r>
      <w:r w:rsidR="0067681C" w:rsidRPr="00A979E6">
        <w:rPr>
          <w:lang w:eastAsia="ja-JP"/>
        </w:rPr>
        <w:t xml:space="preserve">GI be determined despite the </w:t>
      </w:r>
      <w:r>
        <w:rPr>
          <w:lang w:eastAsia="ja-JP"/>
        </w:rPr>
        <w:t>objection</w:t>
      </w:r>
      <w:r w:rsidR="005D041C">
        <w:rPr>
          <w:lang w:eastAsia="ja-JP"/>
        </w:rPr>
        <w:t>,</w:t>
      </w:r>
      <w:r w:rsidR="0067681C" w:rsidRPr="00A979E6">
        <w:rPr>
          <w:lang w:eastAsia="ja-JP"/>
        </w:rPr>
        <w:t xml:space="preserve"> and</w:t>
      </w:r>
    </w:p>
    <w:p w14:paraId="100402C7" w14:textId="0BA2A71A" w:rsidR="0067681C" w:rsidRDefault="0067681C" w:rsidP="009C17F0">
      <w:pPr>
        <w:pStyle w:val="ListParagraph"/>
        <w:numPr>
          <w:ilvl w:val="0"/>
          <w:numId w:val="25"/>
        </w:numPr>
        <w:rPr>
          <w:lang w:eastAsia="ja-JP"/>
        </w:rPr>
      </w:pPr>
      <w:r>
        <w:t>s</w:t>
      </w:r>
      <w:r w:rsidRPr="00A979E6">
        <w:t xml:space="preserve">tates that evidence must be filed </w:t>
      </w:r>
      <w:r>
        <w:t>with</w:t>
      </w:r>
      <w:r w:rsidRPr="00A979E6">
        <w:t xml:space="preserve">in </w:t>
      </w:r>
      <w:r>
        <w:t>three</w:t>
      </w:r>
      <w:r w:rsidRPr="00A979E6">
        <w:t xml:space="preserve"> month</w:t>
      </w:r>
      <w:r>
        <w:t>s</w:t>
      </w:r>
      <w:r w:rsidRPr="00A979E6">
        <w:t xml:space="preserve"> from the date of th</w:t>
      </w:r>
      <w:r w:rsidR="00DD3AE9">
        <w:t>e</w:t>
      </w:r>
      <w:r w:rsidRPr="00A979E6">
        <w:t xml:space="preserve"> notice</w:t>
      </w:r>
      <w:r w:rsidRPr="00A979E6">
        <w:rPr>
          <w:lang w:eastAsia="ja-JP"/>
        </w:rPr>
        <w:t>.</w:t>
      </w:r>
    </w:p>
    <w:p w14:paraId="4E1F64F8" w14:textId="77777777" w:rsidR="00CA1740" w:rsidRDefault="00D80EF4" w:rsidP="00CA1740">
      <w:pPr>
        <w:rPr>
          <w:lang w:eastAsia="ja-JP"/>
        </w:rPr>
      </w:pPr>
      <w:r>
        <w:rPr>
          <w:lang w:eastAsia="ja-JP"/>
        </w:rPr>
        <w:t xml:space="preserve">This section also includes a note that there may only be one party in some proceedings under </w:t>
      </w:r>
      <w:r w:rsidR="00365A70">
        <w:rPr>
          <w:lang w:eastAsia="ja-JP"/>
        </w:rPr>
        <w:t>this division</w:t>
      </w:r>
      <w:r>
        <w:rPr>
          <w:lang w:eastAsia="ja-JP"/>
        </w:rPr>
        <w:t>. In these circumstances, the one party would be the person who made the objection. There may be no appli</w:t>
      </w:r>
      <w:r w:rsidR="00B95FAE">
        <w:rPr>
          <w:lang w:eastAsia="ja-JP"/>
        </w:rPr>
        <w:t xml:space="preserve">cant for the determination of the </w:t>
      </w:r>
      <w:r>
        <w:rPr>
          <w:lang w:eastAsia="ja-JP"/>
        </w:rPr>
        <w:t xml:space="preserve">proposed Australian GI subject to an objection that would be considered a party to proceedings, as the Committee may determine an Australian GI on its own initiative (under subsection 40Q(1) of the Act). </w:t>
      </w:r>
    </w:p>
    <w:p w14:paraId="5EF30C0B" w14:textId="25715F0E" w:rsidR="00D80EF4" w:rsidRDefault="00290820" w:rsidP="00CA1740">
      <w:pPr>
        <w:rPr>
          <w:lang w:eastAsia="ja-JP"/>
        </w:rPr>
      </w:pPr>
      <w:r w:rsidRPr="00CA1740">
        <w:rPr>
          <w:lang w:eastAsia="ja-JP"/>
        </w:rPr>
        <w:t>After the Committee has given notice under section 40RA of the Act, a</w:t>
      </w:r>
      <w:r w:rsidR="00D80EF4" w:rsidRPr="00CA1740">
        <w:rPr>
          <w:lang w:eastAsia="ja-JP"/>
        </w:rPr>
        <w:t xml:space="preserve"> person may make an objection to a proposed Australian GI </w:t>
      </w:r>
      <w:r w:rsidRPr="00CA1740">
        <w:rPr>
          <w:lang w:eastAsia="ja-JP"/>
        </w:rPr>
        <w:t xml:space="preserve">that </w:t>
      </w:r>
      <w:r w:rsidR="00CA1740" w:rsidRPr="00CA1740">
        <w:rPr>
          <w:lang w:eastAsia="ja-JP"/>
        </w:rPr>
        <w:t>the Committee is</w:t>
      </w:r>
      <w:r w:rsidR="00D80EF4" w:rsidRPr="00CA1740">
        <w:rPr>
          <w:lang w:eastAsia="ja-JP"/>
        </w:rPr>
        <w:t xml:space="preserve"> considering determining</w:t>
      </w:r>
      <w:r w:rsidR="00CA1740" w:rsidRPr="00CA1740">
        <w:rPr>
          <w:lang w:eastAsia="ja-JP"/>
        </w:rPr>
        <w:t xml:space="preserve"> on its own initiative, or that is </w:t>
      </w:r>
      <w:r w:rsidRPr="00CA1740">
        <w:rPr>
          <w:lang w:eastAsia="ja-JP"/>
        </w:rPr>
        <w:t>different to a proposed GI applied for determination under section 40R of the Act (under paragraph 40T(3)(b) of the Act).</w:t>
      </w:r>
      <w:r w:rsidR="00CA1740" w:rsidRPr="00CA1740">
        <w:rPr>
          <w:lang w:eastAsia="ja-JP"/>
        </w:rPr>
        <w:t xml:space="preserve"> That is, persons may object to proposed Australian GIs that are not a result of an application for a determination made under section 40R of the Act. </w:t>
      </w:r>
    </w:p>
    <w:p w14:paraId="51058E36" w14:textId="179E3A68" w:rsidR="0067681C" w:rsidRDefault="00D24CD7" w:rsidP="00C21613">
      <w:pPr>
        <w:pStyle w:val="Provision"/>
      </w:pPr>
      <w:r>
        <w:t>Section 37</w:t>
      </w:r>
      <w:r w:rsidR="0067681C" w:rsidRPr="00A732E6">
        <w:t xml:space="preserve"> – Evidence in answer</w:t>
      </w:r>
    </w:p>
    <w:p w14:paraId="4D3523A0" w14:textId="27BB38AE" w:rsidR="00FA5BDC" w:rsidRDefault="00FA5BDC" w:rsidP="00FA5BDC">
      <w:pPr>
        <w:rPr>
          <w:lang w:eastAsia="ja-JP"/>
        </w:rPr>
      </w:pPr>
      <w:r>
        <w:rPr>
          <w:lang w:eastAsia="ja-JP"/>
        </w:rPr>
        <w:t xml:space="preserve">This section sets out the procedures the </w:t>
      </w:r>
      <w:r w:rsidR="00365FE0">
        <w:rPr>
          <w:lang w:eastAsia="ja-JP"/>
        </w:rPr>
        <w:t>Registrar of Trade Marks</w:t>
      </w:r>
      <w:r>
        <w:rPr>
          <w:lang w:eastAsia="ja-JP"/>
        </w:rPr>
        <w:t xml:space="preserve"> must follow if a party files evidence in response to t</w:t>
      </w:r>
      <w:r w:rsidR="000E49E5">
        <w:rPr>
          <w:lang w:eastAsia="ja-JP"/>
        </w:rPr>
        <w:t>he notice under section 36</w:t>
      </w:r>
      <w:r>
        <w:rPr>
          <w:lang w:eastAsia="ja-JP"/>
        </w:rPr>
        <w:t>.</w:t>
      </w:r>
    </w:p>
    <w:p w14:paraId="0AA47F34" w14:textId="08595A24" w:rsidR="00FA5BDC" w:rsidRDefault="00FA5BDC" w:rsidP="00FA5BDC">
      <w:pPr>
        <w:rPr>
          <w:lang w:eastAsia="ja-JP"/>
        </w:rPr>
      </w:pPr>
      <w:r>
        <w:rPr>
          <w:lang w:eastAsia="ja-JP"/>
        </w:rPr>
        <w:t>If a party files evidence in response t</w:t>
      </w:r>
      <w:r w:rsidR="000E49E5">
        <w:rPr>
          <w:lang w:eastAsia="ja-JP"/>
        </w:rPr>
        <w:t>o a notice sent under section 36</w:t>
      </w:r>
      <w:r>
        <w:rPr>
          <w:lang w:eastAsia="ja-JP"/>
        </w:rPr>
        <w:t xml:space="preserve">, the </w:t>
      </w:r>
      <w:r w:rsidR="00365FE0">
        <w:rPr>
          <w:lang w:eastAsia="ja-JP"/>
        </w:rPr>
        <w:t>Registrar of Trade Marks</w:t>
      </w:r>
      <w:r>
        <w:rPr>
          <w:lang w:eastAsia="ja-JP"/>
        </w:rPr>
        <w:t xml:space="preserve"> must send each other party a written notice invitin</w:t>
      </w:r>
      <w:r w:rsidR="00FC074E">
        <w:rPr>
          <w:lang w:eastAsia="ja-JP"/>
        </w:rPr>
        <w:t>g evidence in answer</w:t>
      </w:r>
      <w:r w:rsidR="005817B3">
        <w:rPr>
          <w:lang w:eastAsia="ja-JP"/>
        </w:rPr>
        <w:t>,</w:t>
      </w:r>
      <w:r w:rsidR="00FC074E">
        <w:rPr>
          <w:lang w:eastAsia="ja-JP"/>
        </w:rPr>
        <w:t xml:space="preserve"> and stating</w:t>
      </w:r>
      <w:r>
        <w:rPr>
          <w:lang w:eastAsia="ja-JP"/>
        </w:rPr>
        <w:t xml:space="preserve"> the period from the date of the notice in which evidence in answer may be filed. The period stated to file evide</w:t>
      </w:r>
      <w:r w:rsidR="005D041C">
        <w:rPr>
          <w:lang w:eastAsia="ja-JP"/>
        </w:rPr>
        <w:t>nce in answer must be at least two</w:t>
      </w:r>
      <w:r>
        <w:rPr>
          <w:lang w:eastAsia="ja-JP"/>
        </w:rPr>
        <w:t xml:space="preserve"> months.</w:t>
      </w:r>
    </w:p>
    <w:p w14:paraId="63B0ABB4" w14:textId="2F27EB56" w:rsidR="00FA5BDC" w:rsidRDefault="00FA5BDC" w:rsidP="00FA5BDC">
      <w:pPr>
        <w:rPr>
          <w:lang w:eastAsia="ja-JP"/>
        </w:rPr>
      </w:pPr>
      <w:r>
        <w:rPr>
          <w:lang w:eastAsia="ja-JP"/>
        </w:rPr>
        <w:t xml:space="preserve">The </w:t>
      </w:r>
      <w:r w:rsidR="00365FE0">
        <w:rPr>
          <w:lang w:eastAsia="ja-JP"/>
        </w:rPr>
        <w:t>Registrar of Trade Marks</w:t>
      </w:r>
      <w:r>
        <w:rPr>
          <w:lang w:eastAsia="ja-JP"/>
        </w:rPr>
        <w:t xml:space="preserve"> must also notify all parties, in writing, of the deadline if they wish to request a hearing under section 3</w:t>
      </w:r>
      <w:r w:rsidR="00535300">
        <w:rPr>
          <w:lang w:eastAsia="ja-JP"/>
        </w:rPr>
        <w:t>9</w:t>
      </w:r>
      <w:r>
        <w:rPr>
          <w:lang w:eastAsia="ja-JP"/>
        </w:rPr>
        <w:t xml:space="preserve">. As per </w:t>
      </w:r>
      <w:r w:rsidR="00F3678A">
        <w:rPr>
          <w:lang w:eastAsia="ja-JP"/>
        </w:rPr>
        <w:t xml:space="preserve">subsection </w:t>
      </w:r>
      <w:r>
        <w:rPr>
          <w:lang w:eastAsia="ja-JP"/>
        </w:rPr>
        <w:t>3</w:t>
      </w:r>
      <w:r w:rsidR="00535300">
        <w:rPr>
          <w:lang w:eastAsia="ja-JP"/>
        </w:rPr>
        <w:t>9</w:t>
      </w:r>
      <w:r>
        <w:rPr>
          <w:lang w:eastAsia="ja-JP"/>
        </w:rPr>
        <w:t xml:space="preserve">(2), the deadline </w:t>
      </w:r>
      <w:r w:rsidR="00FC074E">
        <w:rPr>
          <w:lang w:eastAsia="ja-JP"/>
        </w:rPr>
        <w:t xml:space="preserve">must </w:t>
      </w:r>
      <w:r>
        <w:rPr>
          <w:lang w:eastAsia="ja-JP"/>
        </w:rPr>
        <w:t xml:space="preserve">be </w:t>
      </w:r>
      <w:r w:rsidR="00FC074E">
        <w:rPr>
          <w:lang w:eastAsia="ja-JP"/>
        </w:rPr>
        <w:t xml:space="preserve">no later than </w:t>
      </w:r>
      <w:r>
        <w:rPr>
          <w:lang w:eastAsia="ja-JP"/>
        </w:rPr>
        <w:t xml:space="preserve">one month after the last day of the period for filing of evidence. </w:t>
      </w:r>
    </w:p>
    <w:p w14:paraId="466B1D48" w14:textId="0B1FFB1B" w:rsidR="00821539" w:rsidRDefault="00821539" w:rsidP="00FA5BDC">
      <w:pPr>
        <w:rPr>
          <w:lang w:eastAsia="ja-JP"/>
        </w:rPr>
      </w:pPr>
      <w:r>
        <w:rPr>
          <w:lang w:eastAsia="ja-JP"/>
        </w:rPr>
        <w:t xml:space="preserve">This section includes a note that there may be only one party in some proceedings in this division, due to the circumstances noted for </w:t>
      </w:r>
      <w:r w:rsidR="000E49E5">
        <w:rPr>
          <w:lang w:eastAsia="ja-JP"/>
        </w:rPr>
        <w:t>subsection</w:t>
      </w:r>
      <w:r>
        <w:rPr>
          <w:lang w:eastAsia="ja-JP"/>
        </w:rPr>
        <w:t xml:space="preserve"> 36</w:t>
      </w:r>
      <w:r w:rsidR="000E49E5">
        <w:rPr>
          <w:lang w:eastAsia="ja-JP"/>
        </w:rPr>
        <w:t>(1)</w:t>
      </w:r>
      <w:r>
        <w:rPr>
          <w:lang w:eastAsia="ja-JP"/>
        </w:rPr>
        <w:t xml:space="preserve">. </w:t>
      </w:r>
    </w:p>
    <w:p w14:paraId="00893B21" w14:textId="77777777" w:rsidR="00D24CD7" w:rsidRDefault="00D24CD7" w:rsidP="00D24CD7">
      <w:pPr>
        <w:pStyle w:val="Provision"/>
      </w:pPr>
      <w:r>
        <w:t>Section 38</w:t>
      </w:r>
      <w:r w:rsidRPr="00A732E6">
        <w:t xml:space="preserve"> – New evidence</w:t>
      </w:r>
    </w:p>
    <w:p w14:paraId="2BAE11D8" w14:textId="77777777" w:rsidR="00D24CD7" w:rsidRDefault="00D24CD7" w:rsidP="00D24CD7">
      <w:pPr>
        <w:rPr>
          <w:lang w:eastAsia="ja-JP"/>
        </w:rPr>
      </w:pPr>
      <w:r>
        <w:rPr>
          <w:lang w:eastAsia="ja-JP"/>
        </w:rPr>
        <w:t>This section sets out the procedures for parties to apply to file new evidence and for the Registrar of Trade Marks to respond.</w:t>
      </w:r>
    </w:p>
    <w:p w14:paraId="4FEF4F6E" w14:textId="4AA66DD3" w:rsidR="00D24CD7" w:rsidRDefault="00D24CD7" w:rsidP="00D24CD7">
      <w:pPr>
        <w:rPr>
          <w:lang w:eastAsia="ja-JP"/>
        </w:rPr>
      </w:pPr>
      <w:r>
        <w:rPr>
          <w:lang w:eastAsia="ja-JP"/>
        </w:rPr>
        <w:t xml:space="preserve">A party may apply to the Registrar of Trade Marks, in writing, to file new evidence after the end of a period specified by the Registrar of Trade Marks for the party to </w:t>
      </w:r>
      <w:r>
        <w:rPr>
          <w:lang w:eastAsia="ja-JP"/>
        </w:rPr>
        <w:lastRenderedPageBreak/>
        <w:t>file evidence</w:t>
      </w:r>
      <w:r w:rsidR="00FC074E">
        <w:rPr>
          <w:lang w:eastAsia="ja-JP"/>
        </w:rPr>
        <w:t xml:space="preserve"> and </w:t>
      </w:r>
      <w:r>
        <w:rPr>
          <w:lang w:eastAsia="ja-JP"/>
        </w:rPr>
        <w:t xml:space="preserve">before the Registrar of Trade Marks decides whether there is a ground of objection (under subsection 40RC(2) of the Act) or before the Registrar of Trade Marks makes a recommendation to the Committee </w:t>
      </w:r>
      <w:r w:rsidR="00FC074E">
        <w:rPr>
          <w:lang w:eastAsia="ja-JP"/>
        </w:rPr>
        <w:t>(</w:t>
      </w:r>
      <w:r>
        <w:rPr>
          <w:lang w:eastAsia="ja-JP"/>
        </w:rPr>
        <w:t>under subsection 40RC(3) of the Act</w:t>
      </w:r>
      <w:r w:rsidR="00FC074E">
        <w:rPr>
          <w:lang w:eastAsia="ja-JP"/>
        </w:rPr>
        <w:t>)</w:t>
      </w:r>
      <w:r>
        <w:rPr>
          <w:lang w:eastAsia="ja-JP"/>
        </w:rPr>
        <w:t>.</w:t>
      </w:r>
    </w:p>
    <w:p w14:paraId="2AC70AA3" w14:textId="437EA4D5" w:rsidR="00D24CD7" w:rsidRDefault="00D24CD7" w:rsidP="00605A5C">
      <w:pPr>
        <w:keepLines/>
        <w:rPr>
          <w:lang w:eastAsia="ja-JP"/>
        </w:rPr>
      </w:pPr>
      <w:r>
        <w:rPr>
          <w:lang w:eastAsia="ja-JP"/>
        </w:rPr>
        <w:t xml:space="preserve">The application must be submitted with payment of the fee for applying to file new evidence prescribed in section 42. </w:t>
      </w:r>
      <w:r w:rsidR="00FC074E">
        <w:rPr>
          <w:lang w:eastAsia="ja-JP"/>
        </w:rPr>
        <w:t>I</w:t>
      </w:r>
      <w:r>
        <w:rPr>
          <w:lang w:eastAsia="ja-JP"/>
        </w:rPr>
        <w:t xml:space="preserve">f approved, the new evidence must be filed in accordance with section </w:t>
      </w:r>
      <w:r w:rsidR="006F279D">
        <w:rPr>
          <w:lang w:eastAsia="ja-JP"/>
        </w:rPr>
        <w:t>40</w:t>
      </w:r>
      <w:r>
        <w:rPr>
          <w:lang w:eastAsia="ja-JP"/>
        </w:rPr>
        <w:t>, including payment of the relevant fee prescribed by section 42. The application to file new evidence must also include a statement describing the new evidence and giv</w:t>
      </w:r>
      <w:r w:rsidR="005D041C">
        <w:rPr>
          <w:lang w:eastAsia="ja-JP"/>
        </w:rPr>
        <w:t>e</w:t>
      </w:r>
      <w:r>
        <w:rPr>
          <w:lang w:eastAsia="ja-JP"/>
        </w:rPr>
        <w:t xml:space="preserve"> the reasons why the new evidence was not filed within the specified period. </w:t>
      </w:r>
    </w:p>
    <w:p w14:paraId="30EFDEF1" w14:textId="31EF67F1" w:rsidR="00D24CD7" w:rsidRDefault="00D24CD7" w:rsidP="00D24CD7">
      <w:pPr>
        <w:rPr>
          <w:lang w:eastAsia="ja-JP"/>
        </w:rPr>
      </w:pPr>
      <w:r>
        <w:rPr>
          <w:lang w:eastAsia="ja-JP"/>
        </w:rPr>
        <w:t>If, after considering the application, the Registrar of Trade Marks decides that it is reasonable to allow the filin</w:t>
      </w:r>
      <w:r w:rsidR="0053111F">
        <w:rPr>
          <w:lang w:eastAsia="ja-JP"/>
        </w:rPr>
        <w:t>g of the new evidence, the Registrar of Trade Marks</w:t>
      </w:r>
      <w:r>
        <w:rPr>
          <w:lang w:eastAsia="ja-JP"/>
        </w:rPr>
        <w:t xml:space="preserve"> must set a period within which</w:t>
      </w:r>
      <w:r w:rsidR="005D041C">
        <w:rPr>
          <w:lang w:eastAsia="ja-JP"/>
        </w:rPr>
        <w:t xml:space="preserve"> the new evidence must be filed,</w:t>
      </w:r>
      <w:r>
        <w:rPr>
          <w:lang w:eastAsia="ja-JP"/>
        </w:rPr>
        <w:t xml:space="preserve"> and notify the applying party of the final date for filing in writing.</w:t>
      </w:r>
    </w:p>
    <w:p w14:paraId="524965A1" w14:textId="0C4AB6BF" w:rsidR="00535300" w:rsidRDefault="00535300" w:rsidP="00535300">
      <w:pPr>
        <w:rPr>
          <w:lang w:eastAsia="ja-JP"/>
        </w:rPr>
      </w:pPr>
      <w:r w:rsidRPr="002C6AA5">
        <w:rPr>
          <w:lang w:eastAsia="ja-JP"/>
        </w:rPr>
        <w:t>If the Registrar of Trade Marks decides that it is not reasonable to allow the filin</w:t>
      </w:r>
      <w:r w:rsidR="0053111F">
        <w:rPr>
          <w:lang w:eastAsia="ja-JP"/>
        </w:rPr>
        <w:t>g of the new evidence, the Registrar of Trade Marks</w:t>
      </w:r>
      <w:r w:rsidRPr="002C6AA5">
        <w:rPr>
          <w:lang w:eastAsia="ja-JP"/>
        </w:rPr>
        <w:t xml:space="preserve"> must notify the applying party in writing that new evidence may not be filed.</w:t>
      </w:r>
    </w:p>
    <w:p w14:paraId="7DA98196" w14:textId="0D80D71F" w:rsidR="006F279D" w:rsidRPr="006F279D" w:rsidRDefault="006F279D" w:rsidP="00535300">
      <w:pPr>
        <w:rPr>
          <w:i/>
          <w:lang w:eastAsia="ja-JP"/>
        </w:rPr>
      </w:pPr>
      <w:r>
        <w:rPr>
          <w:i/>
          <w:lang w:eastAsia="ja-JP"/>
        </w:rPr>
        <w:t>Evidence in answer to new evidence</w:t>
      </w:r>
    </w:p>
    <w:p w14:paraId="7D488137" w14:textId="6E0CC45A" w:rsidR="00D24CD7" w:rsidRDefault="00D24CD7" w:rsidP="00D24CD7">
      <w:pPr>
        <w:rPr>
          <w:lang w:eastAsia="ja-JP"/>
        </w:rPr>
      </w:pPr>
      <w:r>
        <w:rPr>
          <w:lang w:eastAsia="ja-JP"/>
        </w:rPr>
        <w:t>If the new evidence has been filed within the specified period, the Registrar of Trade Marks must send a written notice to each other party informing them that the new evidence has been filed</w:t>
      </w:r>
      <w:r w:rsidR="005D041C">
        <w:rPr>
          <w:lang w:eastAsia="ja-JP"/>
        </w:rPr>
        <w:t>,</w:t>
      </w:r>
      <w:r>
        <w:rPr>
          <w:lang w:eastAsia="ja-JP"/>
        </w:rPr>
        <w:t xml:space="preserve"> and set a reasonable period for the parties to file evidence in answer to it.</w:t>
      </w:r>
    </w:p>
    <w:p w14:paraId="295179DB" w14:textId="77777777" w:rsidR="0053111F" w:rsidRDefault="006F279D" w:rsidP="00821539">
      <w:pPr>
        <w:rPr>
          <w:lang w:eastAsia="ja-JP"/>
        </w:rPr>
      </w:pPr>
      <w:r>
        <w:rPr>
          <w:lang w:eastAsia="ja-JP"/>
        </w:rPr>
        <w:t xml:space="preserve">The Registrar of Trade Marks must also notify all parties, in writing, of the deadline if they wish to request a hearing under section 39. As per subsection 39(2), the deadline will be one month after the last day of the period for filing of evidence. </w:t>
      </w:r>
    </w:p>
    <w:p w14:paraId="3D6B7CE1" w14:textId="35BC9070" w:rsidR="00821539" w:rsidRDefault="00821539" w:rsidP="00821539">
      <w:pPr>
        <w:rPr>
          <w:lang w:eastAsia="ja-JP"/>
        </w:rPr>
      </w:pPr>
      <w:r>
        <w:rPr>
          <w:lang w:eastAsia="ja-JP"/>
        </w:rPr>
        <w:t xml:space="preserve">This section includes a note that there may be only one party in some proceedings in this division, due to the circumstances noted for </w:t>
      </w:r>
      <w:r w:rsidR="000E49E5">
        <w:rPr>
          <w:lang w:eastAsia="ja-JP"/>
        </w:rPr>
        <w:t>sub</w:t>
      </w:r>
      <w:r>
        <w:rPr>
          <w:lang w:eastAsia="ja-JP"/>
        </w:rPr>
        <w:t>section 36</w:t>
      </w:r>
      <w:r w:rsidR="000E49E5">
        <w:rPr>
          <w:lang w:eastAsia="ja-JP"/>
        </w:rPr>
        <w:t>(1)</w:t>
      </w:r>
      <w:r>
        <w:rPr>
          <w:lang w:eastAsia="ja-JP"/>
        </w:rPr>
        <w:t xml:space="preserve">. </w:t>
      </w:r>
    </w:p>
    <w:p w14:paraId="64089284" w14:textId="7EC08A60" w:rsidR="0067681C" w:rsidRDefault="00573EE4" w:rsidP="00C21613">
      <w:pPr>
        <w:pStyle w:val="Provision"/>
      </w:pPr>
      <w:r>
        <w:t>Section 3</w:t>
      </w:r>
      <w:r w:rsidR="00D24CD7">
        <w:t>9</w:t>
      </w:r>
      <w:r w:rsidR="0067681C" w:rsidRPr="00A732E6">
        <w:t xml:space="preserve"> – Hearing and submissions</w:t>
      </w:r>
    </w:p>
    <w:p w14:paraId="5D1A97F6" w14:textId="1DFDF646" w:rsidR="00FA5BDC" w:rsidRDefault="00FA5BDC" w:rsidP="00FA5BDC">
      <w:pPr>
        <w:rPr>
          <w:lang w:eastAsia="ja-JP"/>
        </w:rPr>
      </w:pPr>
      <w:r>
        <w:rPr>
          <w:lang w:eastAsia="ja-JP"/>
        </w:rPr>
        <w:t xml:space="preserve">This section sets out the procedures the </w:t>
      </w:r>
      <w:r w:rsidR="00365FE0">
        <w:rPr>
          <w:lang w:eastAsia="ja-JP"/>
        </w:rPr>
        <w:t>Registrar of Trade Marks</w:t>
      </w:r>
      <w:r>
        <w:rPr>
          <w:lang w:eastAsia="ja-JP"/>
        </w:rPr>
        <w:t xml:space="preserve"> and parties to proceedings must follow if a notice inviting evidence in answer has been given (under </w:t>
      </w:r>
      <w:r w:rsidR="000E49E5">
        <w:rPr>
          <w:lang w:eastAsia="ja-JP"/>
        </w:rPr>
        <w:t>subsection 37 or subsection 38(5</w:t>
      </w:r>
      <w:r w:rsidR="00535300">
        <w:rPr>
          <w:lang w:eastAsia="ja-JP"/>
        </w:rPr>
        <w:t>)</w:t>
      </w:r>
      <w:r>
        <w:rPr>
          <w:lang w:eastAsia="ja-JP"/>
        </w:rPr>
        <w:t xml:space="preserve">) and a party requests </w:t>
      </w:r>
      <w:r w:rsidR="0053111F">
        <w:rPr>
          <w:lang w:eastAsia="ja-JP"/>
        </w:rPr>
        <w:t xml:space="preserve">that </w:t>
      </w:r>
      <w:r>
        <w:rPr>
          <w:lang w:eastAsia="ja-JP"/>
        </w:rPr>
        <w:t xml:space="preserve">the </w:t>
      </w:r>
      <w:r w:rsidR="00365FE0">
        <w:rPr>
          <w:lang w:eastAsia="ja-JP"/>
        </w:rPr>
        <w:t>Registrar of Trade Marks</w:t>
      </w:r>
      <w:r>
        <w:rPr>
          <w:lang w:eastAsia="ja-JP"/>
        </w:rPr>
        <w:t xml:space="preserve"> conduct a hearing.</w:t>
      </w:r>
    </w:p>
    <w:p w14:paraId="60449367" w14:textId="44C26A1F" w:rsidR="00FA5BDC" w:rsidRDefault="00FA5BDC" w:rsidP="00FA5BDC">
      <w:pPr>
        <w:rPr>
          <w:lang w:eastAsia="ja-JP"/>
        </w:rPr>
      </w:pPr>
      <w:r>
        <w:rPr>
          <w:lang w:eastAsia="ja-JP"/>
        </w:rPr>
        <w:t>The request to conduct a hearing must be</w:t>
      </w:r>
      <w:r w:rsidR="005D041C">
        <w:rPr>
          <w:lang w:eastAsia="ja-JP"/>
        </w:rPr>
        <w:t xml:space="preserve"> made in writing no later than one</w:t>
      </w:r>
      <w:r>
        <w:rPr>
          <w:lang w:eastAsia="ja-JP"/>
        </w:rPr>
        <w:t xml:space="preserve"> month after the last day on which evidence may be filed in accordance with a</w:t>
      </w:r>
      <w:r w:rsidR="000E49E5">
        <w:rPr>
          <w:lang w:eastAsia="ja-JP"/>
        </w:rPr>
        <w:t>ny notice given under section 37</w:t>
      </w:r>
      <w:r w:rsidR="00535300">
        <w:rPr>
          <w:lang w:eastAsia="ja-JP"/>
        </w:rPr>
        <w:t xml:space="preserve"> or subsection 38(5)</w:t>
      </w:r>
      <w:r>
        <w:rPr>
          <w:lang w:eastAsia="ja-JP"/>
        </w:rPr>
        <w:t>.</w:t>
      </w:r>
      <w:r w:rsidR="00C23867">
        <w:rPr>
          <w:lang w:eastAsia="ja-JP"/>
        </w:rPr>
        <w:t xml:space="preserve"> The request must be submitted with </w:t>
      </w:r>
      <w:r w:rsidR="00DB6AF5">
        <w:rPr>
          <w:lang w:eastAsia="ja-JP"/>
        </w:rPr>
        <w:t xml:space="preserve">payment of </w:t>
      </w:r>
      <w:r w:rsidR="00C23867">
        <w:rPr>
          <w:lang w:eastAsia="ja-JP"/>
        </w:rPr>
        <w:t xml:space="preserve">the fee for requesting a </w:t>
      </w:r>
      <w:r w:rsidR="00D24CD7">
        <w:rPr>
          <w:lang w:eastAsia="ja-JP"/>
        </w:rPr>
        <w:t>hearing prescribed in section 42</w:t>
      </w:r>
      <w:r w:rsidR="00C23867">
        <w:rPr>
          <w:lang w:eastAsia="ja-JP"/>
        </w:rPr>
        <w:t>.</w:t>
      </w:r>
    </w:p>
    <w:p w14:paraId="41D7CADB" w14:textId="5E0FFD93" w:rsidR="00FA5BDC" w:rsidRDefault="00FA5BDC" w:rsidP="00FA5BDC">
      <w:pPr>
        <w:rPr>
          <w:lang w:eastAsia="ja-JP"/>
        </w:rPr>
      </w:pPr>
      <w:r>
        <w:rPr>
          <w:lang w:eastAsia="ja-JP"/>
        </w:rPr>
        <w:t xml:space="preserve">The </w:t>
      </w:r>
      <w:r w:rsidR="00365FE0">
        <w:rPr>
          <w:lang w:eastAsia="ja-JP"/>
        </w:rPr>
        <w:t>Registrar of Trade Marks</w:t>
      </w:r>
      <w:r>
        <w:rPr>
          <w:lang w:eastAsia="ja-JP"/>
        </w:rPr>
        <w:t xml:space="preserve"> must conduct a hearing if he or she receives a request to do so.</w:t>
      </w:r>
    </w:p>
    <w:p w14:paraId="0E8E17BE" w14:textId="7DBF5266" w:rsidR="00FA5BDC" w:rsidRDefault="00FA5BDC" w:rsidP="00FA5BDC">
      <w:pPr>
        <w:rPr>
          <w:lang w:eastAsia="ja-JP"/>
        </w:rPr>
      </w:pPr>
      <w:r>
        <w:rPr>
          <w:lang w:eastAsia="ja-JP"/>
        </w:rPr>
        <w:t xml:space="preserve">If the </w:t>
      </w:r>
      <w:r w:rsidR="00365FE0">
        <w:rPr>
          <w:lang w:eastAsia="ja-JP"/>
        </w:rPr>
        <w:t>Registrar of Trade Marks</w:t>
      </w:r>
      <w:r>
        <w:rPr>
          <w:lang w:eastAsia="ja-JP"/>
        </w:rPr>
        <w:t xml:space="preserve"> receives a reques</w:t>
      </w:r>
      <w:r w:rsidR="0053111F">
        <w:rPr>
          <w:lang w:eastAsia="ja-JP"/>
        </w:rPr>
        <w:t>t to conduct a hearing, the Registrar of Trade Marks</w:t>
      </w:r>
      <w:r>
        <w:rPr>
          <w:lang w:eastAsia="ja-JP"/>
        </w:rPr>
        <w:t xml:space="preserve"> must send each party a written notice that informs t</w:t>
      </w:r>
      <w:r w:rsidR="005D041C">
        <w:rPr>
          <w:lang w:eastAsia="ja-JP"/>
        </w:rPr>
        <w:t>he party a hearing will be held,</w:t>
      </w:r>
      <w:r>
        <w:rPr>
          <w:lang w:eastAsia="ja-JP"/>
        </w:rPr>
        <w:t xml:space="preserve"> and invites written submissions to be made before the hearing.</w:t>
      </w:r>
    </w:p>
    <w:p w14:paraId="7C3181E0" w14:textId="5105B083" w:rsidR="00FA5BDC" w:rsidRDefault="00FA5BDC" w:rsidP="00FA5BDC">
      <w:pPr>
        <w:rPr>
          <w:lang w:eastAsia="ja-JP"/>
        </w:rPr>
      </w:pPr>
      <w:r>
        <w:rPr>
          <w:lang w:eastAsia="ja-JP"/>
        </w:rPr>
        <w:lastRenderedPageBreak/>
        <w:t xml:space="preserve">The </w:t>
      </w:r>
      <w:r w:rsidR="00365FE0">
        <w:rPr>
          <w:lang w:eastAsia="ja-JP"/>
        </w:rPr>
        <w:t>Registrar of Trade Marks</w:t>
      </w:r>
      <w:r>
        <w:rPr>
          <w:lang w:eastAsia="ja-JP"/>
        </w:rPr>
        <w:t xml:space="preserve"> must not conduct the hearing until </w:t>
      </w:r>
      <w:r w:rsidR="00FC074E">
        <w:rPr>
          <w:lang w:eastAsia="ja-JP"/>
        </w:rPr>
        <w:t>any</w:t>
      </w:r>
      <w:r>
        <w:rPr>
          <w:lang w:eastAsia="ja-JP"/>
        </w:rPr>
        <w:t xml:space="preserve"> removal or cancellation proceedings are </w:t>
      </w:r>
      <w:r w:rsidR="0053111F">
        <w:rPr>
          <w:lang w:eastAsia="ja-JP"/>
        </w:rPr>
        <w:t>complete, if</w:t>
      </w:r>
      <w:r>
        <w:rPr>
          <w:lang w:eastAsia="ja-JP"/>
        </w:rPr>
        <w:t>:</w:t>
      </w:r>
    </w:p>
    <w:p w14:paraId="125074E0" w14:textId="05C35F1D" w:rsidR="00FA5BDC" w:rsidRDefault="00FA5BDC" w:rsidP="00892CB7">
      <w:pPr>
        <w:pStyle w:val="ListParagraph"/>
        <w:numPr>
          <w:ilvl w:val="0"/>
          <w:numId w:val="71"/>
        </w:numPr>
      </w:pPr>
      <w:r>
        <w:t>the objection relates to a registered trade mark</w:t>
      </w:r>
      <w:r w:rsidR="005D041C">
        <w:t>,</w:t>
      </w:r>
      <w:r>
        <w:t xml:space="preserve"> and</w:t>
      </w:r>
    </w:p>
    <w:p w14:paraId="34E2DEB8" w14:textId="60BB88EF" w:rsidR="00FA5BDC" w:rsidRDefault="00FA5BDC" w:rsidP="00892CB7">
      <w:pPr>
        <w:pStyle w:val="ListParagraph"/>
        <w:numPr>
          <w:ilvl w:val="0"/>
          <w:numId w:val="71"/>
        </w:numPr>
      </w:pPr>
      <w:r>
        <w:t xml:space="preserve">the registered trade mark is the subject of </w:t>
      </w:r>
      <w:r w:rsidR="00FC074E">
        <w:t xml:space="preserve">those </w:t>
      </w:r>
      <w:r>
        <w:t>removal or cancellation proceedings.</w:t>
      </w:r>
    </w:p>
    <w:p w14:paraId="66BD2CD3" w14:textId="696AC2EE" w:rsidR="00CD1757" w:rsidRDefault="002F0EE7" w:rsidP="00CD1757">
      <w:r>
        <w:t xml:space="preserve">Each party that attends the hearing is liable to pay the fee for attendance at a </w:t>
      </w:r>
      <w:r w:rsidR="00D24CD7">
        <w:t>hearing prescribed in section 42</w:t>
      </w:r>
      <w:r>
        <w:t>, regardless of whether</w:t>
      </w:r>
      <w:r w:rsidR="0053111F">
        <w:t xml:space="preserve"> the</w:t>
      </w:r>
      <w:r>
        <w:t xml:space="preserve"> party attend</w:t>
      </w:r>
      <w:r w:rsidR="00C23867">
        <w:t>s a whole, or part of, a day.</w:t>
      </w:r>
    </w:p>
    <w:p w14:paraId="62EA614F" w14:textId="15D41E21" w:rsidR="0067681C" w:rsidRDefault="0067681C" w:rsidP="00C21613">
      <w:pPr>
        <w:pStyle w:val="Provision"/>
      </w:pPr>
      <w:r w:rsidRPr="00A732E6">
        <w:t xml:space="preserve">Section </w:t>
      </w:r>
      <w:r w:rsidR="00D24CD7">
        <w:t>40 – Parties must</w:t>
      </w:r>
      <w:r w:rsidRPr="00A732E6">
        <w:t xml:space="preserve"> </w:t>
      </w:r>
      <w:r w:rsidR="00D24CD7">
        <w:t>give</w:t>
      </w:r>
      <w:r w:rsidRPr="00A732E6">
        <w:t xml:space="preserve"> copies of evidence to each other</w:t>
      </w:r>
      <w:r w:rsidR="00D24CD7">
        <w:t xml:space="preserve"> and pay filing fee</w:t>
      </w:r>
    </w:p>
    <w:p w14:paraId="2CE10A0B" w14:textId="3FC5220B" w:rsidR="00B95FAE" w:rsidRDefault="0067681C" w:rsidP="00C21613">
      <w:r>
        <w:t xml:space="preserve">This section provides for the procedures to be followed for evidence filed </w:t>
      </w:r>
      <w:r w:rsidR="0053111F">
        <w:t xml:space="preserve">by parties </w:t>
      </w:r>
      <w:r>
        <w:t>to be considered valid</w:t>
      </w:r>
      <w:r w:rsidR="00B95FAE">
        <w:t>ly filed</w:t>
      </w:r>
      <w:r>
        <w:t xml:space="preserve">. </w:t>
      </w:r>
    </w:p>
    <w:p w14:paraId="54A3F794" w14:textId="5435E69E" w:rsidR="0067681C" w:rsidRDefault="0067681C" w:rsidP="00C21613">
      <w:r>
        <w:t xml:space="preserve">For evidence </w:t>
      </w:r>
      <w:r w:rsidR="00B95FAE">
        <w:t>to be considered validly filed, the party filing the evidence must</w:t>
      </w:r>
      <w:r>
        <w:t xml:space="preserve">: </w:t>
      </w:r>
    </w:p>
    <w:p w14:paraId="52EC51FD" w14:textId="2981BD98" w:rsidR="00B95FAE" w:rsidRDefault="00B95FAE" w:rsidP="00892CB7">
      <w:pPr>
        <w:pStyle w:val="ListParagraph"/>
        <w:numPr>
          <w:ilvl w:val="0"/>
          <w:numId w:val="71"/>
        </w:numPr>
      </w:pPr>
      <w:r>
        <w:t>give a copy of the evidence to each other party</w:t>
      </w:r>
    </w:p>
    <w:p w14:paraId="4F124701" w14:textId="226F9D15" w:rsidR="00B95FAE" w:rsidRDefault="00B95FAE" w:rsidP="00892CB7">
      <w:pPr>
        <w:pStyle w:val="ListParagraph"/>
        <w:numPr>
          <w:ilvl w:val="0"/>
          <w:numId w:val="71"/>
        </w:numPr>
      </w:pPr>
      <w:r>
        <w:t>include, with the evidence being filed, a statement setting out when and how a cop</w:t>
      </w:r>
      <w:r w:rsidR="005D041C">
        <w:t>y was given to each other party,</w:t>
      </w:r>
      <w:r>
        <w:t xml:space="preserve"> and</w:t>
      </w:r>
    </w:p>
    <w:p w14:paraId="4B08B8DE" w14:textId="1091F336" w:rsidR="00B95FAE" w:rsidRDefault="00B95FAE" w:rsidP="00892CB7">
      <w:pPr>
        <w:pStyle w:val="ListParagraph"/>
        <w:numPr>
          <w:ilvl w:val="0"/>
          <w:numId w:val="71"/>
        </w:numPr>
      </w:pPr>
      <w:r>
        <w:t>pay the fee for filing of evidence prescribed in sec</w:t>
      </w:r>
      <w:r w:rsidR="00D24CD7">
        <w:t>tion 42</w:t>
      </w:r>
      <w:r>
        <w:t xml:space="preserve">.  </w:t>
      </w:r>
    </w:p>
    <w:p w14:paraId="0D2C7DF6" w14:textId="2EF38330" w:rsidR="0067681C" w:rsidRDefault="00D24CD7" w:rsidP="00B95FAE">
      <w:pPr>
        <w:pStyle w:val="Provision"/>
      </w:pPr>
      <w:r>
        <w:t>Section 41</w:t>
      </w:r>
      <w:r w:rsidR="0067681C" w:rsidRPr="00A732E6">
        <w:t xml:space="preserve"> – Decision by </w:t>
      </w:r>
      <w:r w:rsidR="00365FE0">
        <w:t>Registrar of Trade Marks</w:t>
      </w:r>
    </w:p>
    <w:p w14:paraId="28C0E6FE" w14:textId="28A2DF84" w:rsidR="00B95FAE" w:rsidRDefault="00B95FAE" w:rsidP="00B95FAE">
      <w:pPr>
        <w:rPr>
          <w:rFonts w:eastAsiaTheme="majorEastAsia"/>
          <w:i/>
          <w:szCs w:val="24"/>
        </w:rPr>
      </w:pPr>
      <w:r>
        <w:rPr>
          <w:lang w:eastAsia="ja-JP"/>
        </w:rPr>
        <w:t xml:space="preserve">This section sets out the procedures, including the timeline, for the </w:t>
      </w:r>
      <w:r w:rsidR="00365FE0">
        <w:rPr>
          <w:lang w:eastAsia="ja-JP"/>
        </w:rPr>
        <w:t>Registrar of Trade Marks</w:t>
      </w:r>
      <w:r>
        <w:rPr>
          <w:lang w:eastAsia="ja-JP"/>
        </w:rPr>
        <w:t xml:space="preserve"> to make a decision on the objection to the proposed Australian GI</w:t>
      </w:r>
      <w:r>
        <w:rPr>
          <w:rFonts w:eastAsia="Calibri"/>
          <w:lang w:eastAsia="ja-JP"/>
        </w:rPr>
        <w:t>.</w:t>
      </w:r>
    </w:p>
    <w:p w14:paraId="0B6A5AF8" w14:textId="4B34E2E3" w:rsidR="00B95FAE" w:rsidRDefault="00B95FAE" w:rsidP="00B95FAE">
      <w:pPr>
        <w:rPr>
          <w:rFonts w:eastAsiaTheme="minorEastAsia"/>
          <w:lang w:eastAsia="ja-JP"/>
        </w:rPr>
      </w:pPr>
      <w:r>
        <w:rPr>
          <w:lang w:eastAsia="ja-JP"/>
        </w:rPr>
        <w:t xml:space="preserve">The </w:t>
      </w:r>
      <w:r w:rsidR="00365FE0">
        <w:rPr>
          <w:lang w:eastAsia="ja-JP"/>
        </w:rPr>
        <w:t>Registrar of Trade Marks</w:t>
      </w:r>
      <w:r>
        <w:rPr>
          <w:lang w:eastAsia="ja-JP"/>
        </w:rPr>
        <w:t xml:space="preserve"> must, as soon as practicable after all periods for the filing of evidence or requesting conduct of a hearing have ended (and, if a hearing was requested, after this hearing was held), make a decision on whether</w:t>
      </w:r>
      <w:r w:rsidR="005817B3">
        <w:rPr>
          <w:lang w:eastAsia="ja-JP"/>
        </w:rPr>
        <w:t xml:space="preserve"> there is a ground of objection,</w:t>
      </w:r>
      <w:r>
        <w:rPr>
          <w:lang w:eastAsia="ja-JP"/>
        </w:rPr>
        <w:t xml:space="preserve"> and if </w:t>
      </w:r>
      <w:r w:rsidR="005D4753">
        <w:rPr>
          <w:lang w:eastAsia="ja-JP"/>
        </w:rPr>
        <w:t xml:space="preserve">so, whether </w:t>
      </w:r>
      <w:r>
        <w:rPr>
          <w:lang w:eastAsia="ja-JP"/>
        </w:rPr>
        <w:t xml:space="preserve">a recommendation should be made to the Committee </w:t>
      </w:r>
      <w:r w:rsidR="00991581">
        <w:rPr>
          <w:lang w:eastAsia="ja-JP"/>
        </w:rPr>
        <w:t>to determine the proposed GI</w:t>
      </w:r>
      <w:r>
        <w:rPr>
          <w:lang w:eastAsia="ja-JP"/>
        </w:rPr>
        <w:t xml:space="preserve">. </w:t>
      </w:r>
    </w:p>
    <w:p w14:paraId="0A309485" w14:textId="6A1B19DF" w:rsidR="00B95FAE" w:rsidRDefault="00B95FAE" w:rsidP="00B95FAE">
      <w:pPr>
        <w:rPr>
          <w:lang w:eastAsia="ja-JP"/>
        </w:rPr>
      </w:pPr>
      <w:r>
        <w:rPr>
          <w:lang w:eastAsia="ja-JP"/>
        </w:rPr>
        <w:t xml:space="preserve">The </w:t>
      </w:r>
      <w:r w:rsidR="00365FE0">
        <w:rPr>
          <w:lang w:eastAsia="ja-JP"/>
        </w:rPr>
        <w:t>Registrar of Trade Marks</w:t>
      </w:r>
      <w:r w:rsidR="006D411B">
        <w:rPr>
          <w:lang w:eastAsia="ja-JP"/>
        </w:rPr>
        <w:t xml:space="preserve"> must</w:t>
      </w:r>
      <w:r>
        <w:rPr>
          <w:lang w:eastAsia="ja-JP"/>
        </w:rPr>
        <w:t xml:space="preserve"> do this by considering:</w:t>
      </w:r>
    </w:p>
    <w:p w14:paraId="1D8F0B97" w14:textId="0A3113EA" w:rsidR="00991581" w:rsidRDefault="00991581" w:rsidP="00892CB7">
      <w:pPr>
        <w:pStyle w:val="ListParagraph"/>
        <w:numPr>
          <w:ilvl w:val="0"/>
          <w:numId w:val="71"/>
        </w:numPr>
      </w:pPr>
      <w:r>
        <w:t>the</w:t>
      </w:r>
      <w:r w:rsidRPr="009B28E0">
        <w:t xml:space="preserve"> notice of the proposed</w:t>
      </w:r>
      <w:r>
        <w:t xml:space="preserve"> Australian</w:t>
      </w:r>
      <w:r w:rsidRPr="009B28E0">
        <w:t xml:space="preserve"> GI </w:t>
      </w:r>
      <w:r>
        <w:t>(as per sub</w:t>
      </w:r>
      <w:r w:rsidRPr="00D71658">
        <w:t>section 40RA(2) of</w:t>
      </w:r>
      <w:r w:rsidRPr="005C7AB5">
        <w:t xml:space="preserve"> the Act</w:t>
      </w:r>
      <w:r w:rsidR="005D041C">
        <w:t>)</w:t>
      </w:r>
    </w:p>
    <w:p w14:paraId="5A8B6198" w14:textId="7AAAAB05" w:rsidR="00991581" w:rsidRDefault="005D041C" w:rsidP="00892CB7">
      <w:pPr>
        <w:pStyle w:val="ListParagraph"/>
        <w:numPr>
          <w:ilvl w:val="0"/>
          <w:numId w:val="71"/>
        </w:numPr>
      </w:pPr>
      <w:r>
        <w:t>the objection</w:t>
      </w:r>
    </w:p>
    <w:p w14:paraId="04BE5D2E" w14:textId="5B4D9CB5" w:rsidR="00B95FAE" w:rsidRDefault="00B95FAE" w:rsidP="00892CB7">
      <w:pPr>
        <w:pStyle w:val="ListParagraph"/>
        <w:numPr>
          <w:ilvl w:val="0"/>
          <w:numId w:val="71"/>
        </w:numPr>
      </w:pPr>
      <w:r>
        <w:t>the ev</w:t>
      </w:r>
      <w:r w:rsidR="005D041C">
        <w:t>idence filed by the parties</w:t>
      </w:r>
    </w:p>
    <w:p w14:paraId="16095D4B" w14:textId="0CE55E2E" w:rsidR="00B95FAE" w:rsidRDefault="0053111F" w:rsidP="00892CB7">
      <w:pPr>
        <w:pStyle w:val="ListParagraph"/>
        <w:numPr>
          <w:ilvl w:val="0"/>
          <w:numId w:val="71"/>
        </w:numPr>
      </w:pPr>
      <w:r>
        <w:t>if a hearing was</w:t>
      </w:r>
      <w:r w:rsidR="00B95FAE">
        <w:t xml:space="preserve"> held—representations and material from the hearing and any writ</w:t>
      </w:r>
      <w:r w:rsidR="005D041C">
        <w:t xml:space="preserve">ten submissions by the parties, </w:t>
      </w:r>
      <w:r w:rsidR="00B95FAE">
        <w:t>and</w:t>
      </w:r>
    </w:p>
    <w:p w14:paraId="004CC6D7" w14:textId="18E4908C" w:rsidR="00B95FAE" w:rsidRDefault="00B95FAE" w:rsidP="00892CB7">
      <w:pPr>
        <w:pStyle w:val="ListParagraph"/>
        <w:numPr>
          <w:ilvl w:val="0"/>
          <w:numId w:val="71"/>
        </w:numPr>
      </w:pPr>
      <w:r>
        <w:t xml:space="preserve">any other matter that the </w:t>
      </w:r>
      <w:r w:rsidR="00365FE0">
        <w:t>Registrar of Trade Marks</w:t>
      </w:r>
      <w:r>
        <w:t xml:space="preserve"> considers relevant.</w:t>
      </w:r>
    </w:p>
    <w:p w14:paraId="475956FF" w14:textId="67506DF8" w:rsidR="00B95FAE" w:rsidRDefault="00B95FAE" w:rsidP="00B95FAE">
      <w:pPr>
        <w:rPr>
          <w:lang w:eastAsia="ja-JP"/>
        </w:rPr>
      </w:pPr>
      <w:r>
        <w:rPr>
          <w:lang w:eastAsia="ja-JP"/>
        </w:rPr>
        <w:t xml:space="preserve">The </w:t>
      </w:r>
      <w:r w:rsidR="00365FE0">
        <w:rPr>
          <w:lang w:eastAsia="ja-JP"/>
        </w:rPr>
        <w:t>Registrar of Trade Marks</w:t>
      </w:r>
      <w:r>
        <w:rPr>
          <w:lang w:eastAsia="ja-JP"/>
        </w:rPr>
        <w:t xml:space="preserve"> must not make a decision on whether the</w:t>
      </w:r>
      <w:r w:rsidR="00991581">
        <w:rPr>
          <w:lang w:eastAsia="ja-JP"/>
        </w:rPr>
        <w:t>re is a</w:t>
      </w:r>
      <w:r>
        <w:rPr>
          <w:lang w:eastAsia="ja-JP"/>
        </w:rPr>
        <w:t xml:space="preserve"> ground of objection </w:t>
      </w:r>
      <w:r w:rsidR="00991581">
        <w:rPr>
          <w:lang w:eastAsia="ja-JP"/>
        </w:rPr>
        <w:t xml:space="preserve">to the proposed Australian GI </w:t>
      </w:r>
      <w:r w:rsidR="007C38A5">
        <w:rPr>
          <w:lang w:eastAsia="ja-JP"/>
        </w:rPr>
        <w:t>until any</w:t>
      </w:r>
      <w:r>
        <w:rPr>
          <w:lang w:eastAsia="ja-JP"/>
        </w:rPr>
        <w:t xml:space="preserve"> removal or cancellation proceedings are </w:t>
      </w:r>
      <w:r w:rsidR="007C38A5">
        <w:rPr>
          <w:lang w:eastAsia="ja-JP"/>
        </w:rPr>
        <w:t>complete, if</w:t>
      </w:r>
      <w:r>
        <w:rPr>
          <w:lang w:eastAsia="ja-JP"/>
        </w:rPr>
        <w:t>:</w:t>
      </w:r>
    </w:p>
    <w:p w14:paraId="496B4615" w14:textId="4C858A54" w:rsidR="00B95FAE" w:rsidRDefault="00B95FAE" w:rsidP="00892CB7">
      <w:pPr>
        <w:pStyle w:val="ListParagraph"/>
        <w:numPr>
          <w:ilvl w:val="0"/>
          <w:numId w:val="71"/>
        </w:numPr>
      </w:pPr>
      <w:r>
        <w:t>the objection rel</w:t>
      </w:r>
      <w:r w:rsidR="005D041C">
        <w:t>ates to a registered trade mark,</w:t>
      </w:r>
      <w:r>
        <w:t xml:space="preserve"> and</w:t>
      </w:r>
    </w:p>
    <w:p w14:paraId="336C7E7A" w14:textId="7D02ABF9" w:rsidR="00B95FAE" w:rsidRDefault="00B95FAE" w:rsidP="00892CB7">
      <w:pPr>
        <w:pStyle w:val="ListParagraph"/>
        <w:numPr>
          <w:ilvl w:val="0"/>
          <w:numId w:val="71"/>
        </w:numPr>
      </w:pPr>
      <w:r>
        <w:t>the registered trade mark is the subject of</w:t>
      </w:r>
      <w:r w:rsidR="007E5322">
        <w:t xml:space="preserve"> those</w:t>
      </w:r>
      <w:r>
        <w:t xml:space="preserve"> removal or cancellation proceedings.</w:t>
      </w:r>
    </w:p>
    <w:p w14:paraId="0FBFFD47" w14:textId="43DA8AA1" w:rsidR="00B95FAE" w:rsidRDefault="00B95FAE" w:rsidP="00B95FAE">
      <w:pPr>
        <w:rPr>
          <w:lang w:eastAsia="ja-JP"/>
        </w:rPr>
      </w:pPr>
      <w:r>
        <w:rPr>
          <w:lang w:eastAsia="ja-JP"/>
        </w:rPr>
        <w:t xml:space="preserve">The </w:t>
      </w:r>
      <w:r w:rsidR="00365FE0">
        <w:rPr>
          <w:lang w:eastAsia="ja-JP"/>
        </w:rPr>
        <w:t>Registrar of Trade Marks</w:t>
      </w:r>
      <w:r>
        <w:rPr>
          <w:lang w:eastAsia="ja-JP"/>
        </w:rPr>
        <w:t xml:space="preserve"> must decide that </w:t>
      </w:r>
      <w:r w:rsidR="007E5322">
        <w:rPr>
          <w:lang w:eastAsia="ja-JP"/>
        </w:rPr>
        <w:t>the</w:t>
      </w:r>
      <w:r>
        <w:rPr>
          <w:lang w:eastAsia="ja-JP"/>
        </w:rPr>
        <w:t xml:space="preserve"> ground of objection</w:t>
      </w:r>
      <w:r w:rsidR="007E5322">
        <w:rPr>
          <w:lang w:eastAsia="ja-JP"/>
        </w:rPr>
        <w:t xml:space="preserve"> is not made out</w:t>
      </w:r>
      <w:r>
        <w:rPr>
          <w:lang w:eastAsia="ja-JP"/>
        </w:rPr>
        <w:t xml:space="preserve"> if</w:t>
      </w:r>
      <w:r w:rsidR="00991581">
        <w:rPr>
          <w:lang w:eastAsia="ja-JP"/>
        </w:rPr>
        <w:t xml:space="preserve"> the person objecting to the proposed Australia GI doe</w:t>
      </w:r>
      <w:r w:rsidR="007C38A5">
        <w:rPr>
          <w:lang w:eastAsia="ja-JP"/>
        </w:rPr>
        <w:t xml:space="preserve">s not file any evidence </w:t>
      </w:r>
      <w:r w:rsidR="007C38A5">
        <w:rPr>
          <w:lang w:eastAsia="ja-JP"/>
        </w:rPr>
        <w:lastRenderedPageBreak/>
        <w:t>within three</w:t>
      </w:r>
      <w:r w:rsidR="00991581">
        <w:rPr>
          <w:lang w:eastAsia="ja-JP"/>
        </w:rPr>
        <w:t xml:space="preserve"> months from the date of the</w:t>
      </w:r>
      <w:r w:rsidR="000E49E5">
        <w:rPr>
          <w:lang w:eastAsia="ja-JP"/>
        </w:rPr>
        <w:t xml:space="preserve"> notice (set out in paragraph 36</w:t>
      </w:r>
      <w:r w:rsidR="00991581">
        <w:rPr>
          <w:lang w:eastAsia="ja-JP"/>
        </w:rPr>
        <w:t xml:space="preserve">(1)(c)) or withdraws the notice of objection before the </w:t>
      </w:r>
      <w:r w:rsidR="00365FE0">
        <w:rPr>
          <w:lang w:eastAsia="ja-JP"/>
        </w:rPr>
        <w:t>Registrar of Trade Marks</w:t>
      </w:r>
      <w:r w:rsidR="00991581">
        <w:rPr>
          <w:lang w:eastAsia="ja-JP"/>
        </w:rPr>
        <w:t xml:space="preserve"> has made a decision</w:t>
      </w:r>
      <w:r>
        <w:rPr>
          <w:lang w:eastAsia="ja-JP"/>
        </w:rPr>
        <w:t>.</w:t>
      </w:r>
    </w:p>
    <w:p w14:paraId="25B909F9" w14:textId="4306CBD7" w:rsidR="0067681C" w:rsidRPr="00E235D8" w:rsidRDefault="0067681C" w:rsidP="00C21613">
      <w:r w:rsidRPr="00E235D8">
        <w:t xml:space="preserve">This section also </w:t>
      </w:r>
      <w:r>
        <w:t xml:space="preserve">includes a </w:t>
      </w:r>
      <w:r w:rsidRPr="00E235D8">
        <w:t xml:space="preserve">note that the </w:t>
      </w:r>
      <w:r w:rsidR="00365FE0">
        <w:t>Registrar of Trade Marks</w:t>
      </w:r>
      <w:r w:rsidRPr="00E235D8">
        <w:t xml:space="preserve"> must notify </w:t>
      </w:r>
      <w:r w:rsidR="00991581">
        <w:t>each party</w:t>
      </w:r>
      <w:r w:rsidRPr="00E235D8">
        <w:t xml:space="preserve"> and the </w:t>
      </w:r>
      <w:r w:rsidR="00C21613" w:rsidRPr="00C21613">
        <w:t>Committee</w:t>
      </w:r>
      <w:r w:rsidRPr="00E235D8">
        <w:t xml:space="preserve"> </w:t>
      </w:r>
      <w:r w:rsidR="00CD1757">
        <w:t xml:space="preserve">of </w:t>
      </w:r>
      <w:r w:rsidR="007C38A5">
        <w:t>the Registrar of Trade Marks’</w:t>
      </w:r>
      <w:r w:rsidRPr="00E235D8">
        <w:t xml:space="preserve"> decision as per </w:t>
      </w:r>
      <w:r w:rsidR="007E5322">
        <w:t>sub</w:t>
      </w:r>
      <w:r w:rsidRPr="00E235D8">
        <w:t>section 40RD(1) of the Act.</w:t>
      </w:r>
    </w:p>
    <w:p w14:paraId="46C05E5D" w14:textId="4B60812F" w:rsidR="0067681C" w:rsidRDefault="00573EE4" w:rsidP="00C21613">
      <w:pPr>
        <w:pStyle w:val="Provision"/>
      </w:pPr>
      <w:r>
        <w:t>Section 4</w:t>
      </w:r>
      <w:r w:rsidR="00D24CD7">
        <w:t>2</w:t>
      </w:r>
      <w:r w:rsidR="0067681C" w:rsidRPr="00A732E6">
        <w:t xml:space="preserve"> – Fees </w:t>
      </w:r>
    </w:p>
    <w:p w14:paraId="45999607" w14:textId="3E229422" w:rsidR="00CD1757" w:rsidRDefault="00CD1757" w:rsidP="00C21613">
      <w:r>
        <w:t>This section specifies the fees to be charged by</w:t>
      </w:r>
      <w:r w:rsidR="0067681C">
        <w:t xml:space="preserve"> the </w:t>
      </w:r>
      <w:r w:rsidR="00365FE0">
        <w:t>Registrar of Trade Marks</w:t>
      </w:r>
      <w:r w:rsidR="0067681C">
        <w:t xml:space="preserve"> in relation to dealing with an objection</w:t>
      </w:r>
      <w:r>
        <w:t xml:space="preserve"> to a proposed Australian GI</w:t>
      </w:r>
      <w:r w:rsidR="0067681C">
        <w:t>.</w:t>
      </w:r>
      <w:r>
        <w:t xml:space="preserve"> </w:t>
      </w:r>
    </w:p>
    <w:p w14:paraId="1B9DEEB9" w14:textId="575C828F" w:rsidR="00CD1757" w:rsidRDefault="00CD1757" w:rsidP="00C21613">
      <w:r>
        <w:t xml:space="preserve">The section includes a table of fees for proceedings for the purposes of </w:t>
      </w:r>
      <w:r w:rsidR="00365A70">
        <w:t>this division</w:t>
      </w:r>
      <w:r>
        <w:t xml:space="preserve">. Five matters are set out in Column 1 of the table, for which each party may be liable to pay the corresponding fee in Column 2 to the </w:t>
      </w:r>
      <w:r w:rsidR="00365FE0">
        <w:t>Registrar of Trade Marks</w:t>
      </w:r>
      <w:r>
        <w:t>:</w:t>
      </w:r>
    </w:p>
    <w:p w14:paraId="3C83E087" w14:textId="57EBA62A" w:rsidR="00CD1757" w:rsidRDefault="005D041C" w:rsidP="00892CB7">
      <w:pPr>
        <w:pStyle w:val="ListParagraph"/>
        <w:numPr>
          <w:ilvl w:val="0"/>
          <w:numId w:val="71"/>
        </w:numPr>
      </w:pPr>
      <w:r>
        <w:t>d</w:t>
      </w:r>
      <w:r w:rsidR="00CD1757">
        <w:t>ealing with an objection</w:t>
      </w:r>
      <w:r w:rsidR="00A441ED">
        <w:t xml:space="preserve"> (payable by the party making the objection)</w:t>
      </w:r>
      <w:r w:rsidR="00CE17E9">
        <w:t xml:space="preserve">: </w:t>
      </w:r>
      <w:r>
        <w:t>$500</w:t>
      </w:r>
    </w:p>
    <w:p w14:paraId="7294B820" w14:textId="73430ABF" w:rsidR="00CD1757" w:rsidRDefault="005D041C" w:rsidP="00892CB7">
      <w:pPr>
        <w:pStyle w:val="ListParagraph"/>
        <w:numPr>
          <w:ilvl w:val="0"/>
          <w:numId w:val="71"/>
        </w:numPr>
      </w:pPr>
      <w:r>
        <w:t>f</w:t>
      </w:r>
      <w:r w:rsidR="00CD1757">
        <w:t xml:space="preserve">iling evidence in </w:t>
      </w:r>
      <w:r w:rsidR="000E49E5">
        <w:t>relation to the objection (section 36</w:t>
      </w:r>
      <w:r w:rsidR="00CD1757">
        <w:t>)</w:t>
      </w:r>
      <w:r w:rsidR="000E49E5">
        <w:t>, evidence in answer (section 37</w:t>
      </w:r>
      <w:r w:rsidR="00CD1757">
        <w:t xml:space="preserve">) or </w:t>
      </w:r>
      <w:r>
        <w:t>new evidence (section 38): $375</w:t>
      </w:r>
    </w:p>
    <w:p w14:paraId="26DAFDCF" w14:textId="1ADE2FCF" w:rsidR="00CD1757" w:rsidRDefault="005D041C" w:rsidP="00892CB7">
      <w:pPr>
        <w:pStyle w:val="ListParagraph"/>
        <w:numPr>
          <w:ilvl w:val="0"/>
          <w:numId w:val="71"/>
        </w:numPr>
      </w:pPr>
      <w:r>
        <w:t>r</w:t>
      </w:r>
      <w:r w:rsidR="00CD1757">
        <w:t>eque</w:t>
      </w:r>
      <w:r w:rsidR="000E49E5">
        <w:t>sting a hearing under section 39</w:t>
      </w:r>
      <w:r>
        <w:t>: $500</w:t>
      </w:r>
    </w:p>
    <w:p w14:paraId="720AC4DD" w14:textId="2C24DF00" w:rsidR="00CD1757" w:rsidRDefault="005D041C" w:rsidP="00892CB7">
      <w:pPr>
        <w:pStyle w:val="ListParagraph"/>
        <w:numPr>
          <w:ilvl w:val="0"/>
          <w:numId w:val="71"/>
        </w:numPr>
      </w:pPr>
      <w:r>
        <w:t>a</w:t>
      </w:r>
      <w:r w:rsidR="00CD1757">
        <w:t>ttendance at a hearing: $500 per day or part of a day</w:t>
      </w:r>
      <w:r w:rsidR="002F0EE7">
        <w:t xml:space="preserve"> that the hearing is attended, with the fee for requesting a hearing deducte</w:t>
      </w:r>
      <w:r>
        <w:t>d from the total amount payable, and</w:t>
      </w:r>
    </w:p>
    <w:p w14:paraId="69FEB820" w14:textId="77777777" w:rsidR="00750913" w:rsidRDefault="005D041C" w:rsidP="00750913">
      <w:pPr>
        <w:pStyle w:val="ListParagraph"/>
        <w:numPr>
          <w:ilvl w:val="0"/>
          <w:numId w:val="71"/>
        </w:numPr>
      </w:pPr>
      <w:r>
        <w:t>a</w:t>
      </w:r>
      <w:r w:rsidR="002F0EE7">
        <w:t xml:space="preserve">pplying to file new evidence under section 38: $100. </w:t>
      </w:r>
    </w:p>
    <w:p w14:paraId="49A7D363" w14:textId="58F8AEE7" w:rsidR="00750913" w:rsidRDefault="00750913" w:rsidP="00750913">
      <w:r>
        <w:t xml:space="preserve">These fees have been calculated by reference to identified costs for dealing with an objection and are broadly aligned with the fees payable to the Registrar of Trade Marks prescribed in Schedule 9 of the </w:t>
      </w:r>
      <w:r>
        <w:rPr>
          <w:i/>
        </w:rPr>
        <w:t>Trade Marks Regulations 1995</w:t>
      </w:r>
      <w:r>
        <w:t>.</w:t>
      </w:r>
    </w:p>
    <w:p w14:paraId="25B89E5B" w14:textId="3E47E144" w:rsidR="0067681C" w:rsidRPr="00A732E6" w:rsidRDefault="00D24CD7" w:rsidP="00C21613">
      <w:pPr>
        <w:pStyle w:val="Provision"/>
      </w:pPr>
      <w:r>
        <w:t>Section 43</w:t>
      </w:r>
      <w:r w:rsidR="0067681C" w:rsidRPr="00A732E6">
        <w:t xml:space="preserve"> – Costs</w:t>
      </w:r>
    </w:p>
    <w:p w14:paraId="369FBD96" w14:textId="6E3AFA43" w:rsidR="0067681C" w:rsidRDefault="0067681C" w:rsidP="00C21613">
      <w:pPr>
        <w:rPr>
          <w:lang w:eastAsia="ja-JP"/>
        </w:rPr>
      </w:pPr>
      <w:r>
        <w:t>This section provides that t</w:t>
      </w:r>
      <w:r w:rsidRPr="00AB153C">
        <w:t xml:space="preserve">he </w:t>
      </w:r>
      <w:r w:rsidR="00365FE0">
        <w:t>Registrar of Trade Marks</w:t>
      </w:r>
      <w:r w:rsidRPr="00AB153C">
        <w:t xml:space="preserve"> must not make an order for costs in </w:t>
      </w:r>
      <w:r>
        <w:t xml:space="preserve">the </w:t>
      </w:r>
      <w:r w:rsidRPr="00AB153C">
        <w:t xml:space="preserve">proceedings </w:t>
      </w:r>
      <w:r>
        <w:t>for consideration of grounds of objection to the determination of a</w:t>
      </w:r>
      <w:r w:rsidR="00CD1757">
        <w:t xml:space="preserve"> proposed Australian</w:t>
      </w:r>
      <w:r>
        <w:t xml:space="preserve"> GI</w:t>
      </w:r>
      <w:r w:rsidRPr="00AB153C">
        <w:t>.</w:t>
      </w:r>
    </w:p>
    <w:p w14:paraId="1395053C" w14:textId="21FD5E3F" w:rsidR="008763EC" w:rsidRDefault="008763EC" w:rsidP="0088376F">
      <w:pPr>
        <w:pStyle w:val="Heading3"/>
      </w:pPr>
      <w:r w:rsidRPr="009D679D">
        <w:t>Division 3</w:t>
      </w:r>
      <w:r w:rsidR="000C3C04" w:rsidRPr="009E5369">
        <w:t>—</w:t>
      </w:r>
      <w:r w:rsidRPr="009D679D">
        <w:t>Decision that ground of objection to proposed GI no longer exists</w:t>
      </w:r>
    </w:p>
    <w:p w14:paraId="56F69454" w14:textId="7B33A138" w:rsidR="008763EC" w:rsidRDefault="00365A70" w:rsidP="00C21613">
      <w:pPr>
        <w:rPr>
          <w:lang w:eastAsia="ja-JP"/>
        </w:rPr>
      </w:pPr>
      <w:r>
        <w:rPr>
          <w:lang w:eastAsia="ja-JP"/>
        </w:rPr>
        <w:t>This division</w:t>
      </w:r>
      <w:r w:rsidR="008763EC" w:rsidRPr="009D679D">
        <w:rPr>
          <w:lang w:eastAsia="ja-JP"/>
        </w:rPr>
        <w:t xml:space="preserve"> sets out the procedures for the </w:t>
      </w:r>
      <w:r w:rsidR="00365FE0">
        <w:rPr>
          <w:lang w:eastAsia="ja-JP"/>
        </w:rPr>
        <w:t>Registrar of Trade Marks</w:t>
      </w:r>
      <w:r w:rsidR="008763EC" w:rsidRPr="009D679D">
        <w:rPr>
          <w:lang w:eastAsia="ja-JP"/>
        </w:rPr>
        <w:t xml:space="preserve"> t</w:t>
      </w:r>
      <w:r w:rsidR="007C38A5">
        <w:rPr>
          <w:lang w:eastAsia="ja-JP"/>
        </w:rPr>
        <w:t>o follow in deciding whether a</w:t>
      </w:r>
      <w:r w:rsidR="008763EC" w:rsidRPr="009D679D">
        <w:rPr>
          <w:lang w:eastAsia="ja-JP"/>
        </w:rPr>
        <w:t xml:space="preserve"> ground of objection to a proposed </w:t>
      </w:r>
      <w:r w:rsidR="00903277">
        <w:rPr>
          <w:lang w:eastAsia="ja-JP"/>
        </w:rPr>
        <w:t>Australia</w:t>
      </w:r>
      <w:r w:rsidR="007C38A5">
        <w:rPr>
          <w:lang w:eastAsia="ja-JP"/>
        </w:rPr>
        <w:t>n</w:t>
      </w:r>
      <w:r w:rsidR="00903277">
        <w:rPr>
          <w:lang w:eastAsia="ja-JP"/>
        </w:rPr>
        <w:t xml:space="preserve"> </w:t>
      </w:r>
      <w:r w:rsidR="007C38A5">
        <w:rPr>
          <w:lang w:eastAsia="ja-JP"/>
        </w:rPr>
        <w:t xml:space="preserve">GI no longer exists. </w:t>
      </w:r>
      <w:r w:rsidR="008763EC" w:rsidRPr="009D679D">
        <w:rPr>
          <w:lang w:eastAsia="ja-JP"/>
        </w:rPr>
        <w:t>This decision would be made where</w:t>
      </w:r>
      <w:r w:rsidR="008763EC">
        <w:rPr>
          <w:lang w:eastAsia="ja-JP"/>
        </w:rPr>
        <w:t>:</w:t>
      </w:r>
    </w:p>
    <w:p w14:paraId="4CA549EF" w14:textId="3CD7F597" w:rsidR="008763EC" w:rsidRDefault="008763EC" w:rsidP="00892CB7">
      <w:pPr>
        <w:pStyle w:val="ListParagraph"/>
        <w:numPr>
          <w:ilvl w:val="0"/>
          <w:numId w:val="71"/>
        </w:numPr>
      </w:pPr>
      <w:r w:rsidRPr="009D679D">
        <w:t xml:space="preserve">a decision has been made that a ground of objection to a proposed GI </w:t>
      </w:r>
      <w:r>
        <w:t xml:space="preserve">is supported by the evidence provided (under </w:t>
      </w:r>
      <w:r w:rsidR="00CE17E9">
        <w:t>sub</w:t>
      </w:r>
      <w:r>
        <w:t>section 40RC(2) of the Act)</w:t>
      </w:r>
      <w:r w:rsidR="00CE17E9">
        <w:t>,</w:t>
      </w:r>
      <w:r w:rsidRPr="009D679D">
        <w:t xml:space="preserve"> and </w:t>
      </w:r>
    </w:p>
    <w:p w14:paraId="7C12337B" w14:textId="1FC150F7" w:rsidR="008763EC" w:rsidRPr="009D679D" w:rsidRDefault="008763EC" w:rsidP="00892CB7">
      <w:pPr>
        <w:pStyle w:val="ListParagraph"/>
        <w:numPr>
          <w:ilvl w:val="0"/>
          <w:numId w:val="71"/>
        </w:numPr>
      </w:pPr>
      <w:r w:rsidRPr="009D679D">
        <w:t xml:space="preserve">a person applies in writing to the </w:t>
      </w:r>
      <w:r w:rsidR="00365FE0">
        <w:t>Registrar of Trade Marks</w:t>
      </w:r>
      <w:r w:rsidRPr="009D679D">
        <w:t xml:space="preserve"> for a decision that circumstances have changed since that decision</w:t>
      </w:r>
      <w:r>
        <w:t xml:space="preserve">, </w:t>
      </w:r>
      <w:r w:rsidRPr="009D679D">
        <w:t>such that the ground of objection no longer exists</w:t>
      </w:r>
      <w:r w:rsidR="007C38A5">
        <w:t xml:space="preserve"> (under </w:t>
      </w:r>
      <w:r w:rsidR="00CE17E9">
        <w:t>paragraph</w:t>
      </w:r>
      <w:r>
        <w:t xml:space="preserve"> 40RE(1)(b) of the Act)</w:t>
      </w:r>
      <w:r w:rsidRPr="009D679D">
        <w:t>.</w:t>
      </w:r>
    </w:p>
    <w:p w14:paraId="614DF7D5" w14:textId="68D71829" w:rsidR="008763EC" w:rsidRDefault="008763EC" w:rsidP="00C21613">
      <w:pPr>
        <w:rPr>
          <w:lang w:eastAsia="ja-JP"/>
        </w:rPr>
      </w:pPr>
      <w:r w:rsidRPr="009D679D">
        <w:rPr>
          <w:lang w:eastAsia="ja-JP"/>
        </w:rPr>
        <w:t xml:space="preserve">Under subsection 40RE(1) of the Act, the </w:t>
      </w:r>
      <w:r w:rsidR="00365FE0">
        <w:rPr>
          <w:lang w:eastAsia="ja-JP"/>
        </w:rPr>
        <w:t>Registrar of Trade Marks</w:t>
      </w:r>
      <w:r w:rsidRPr="009D679D">
        <w:rPr>
          <w:lang w:eastAsia="ja-JP"/>
        </w:rPr>
        <w:t xml:space="preserve"> may decide that </w:t>
      </w:r>
      <w:r w:rsidR="00E15B4E">
        <w:rPr>
          <w:lang w:eastAsia="ja-JP"/>
        </w:rPr>
        <w:t xml:space="preserve">a </w:t>
      </w:r>
      <w:r w:rsidRPr="009D679D">
        <w:rPr>
          <w:lang w:eastAsia="ja-JP"/>
        </w:rPr>
        <w:t>ground of objection no longer exists</w:t>
      </w:r>
      <w:r>
        <w:rPr>
          <w:lang w:eastAsia="ja-JP"/>
        </w:rPr>
        <w:t xml:space="preserve">, subject to the procedures set out in </w:t>
      </w:r>
      <w:r w:rsidR="00365A70">
        <w:rPr>
          <w:lang w:eastAsia="ja-JP"/>
        </w:rPr>
        <w:t>this division</w:t>
      </w:r>
      <w:r w:rsidRPr="009D679D">
        <w:rPr>
          <w:lang w:eastAsia="ja-JP"/>
        </w:rPr>
        <w:t>.</w:t>
      </w:r>
    </w:p>
    <w:p w14:paraId="099FA5B3" w14:textId="77083E4B" w:rsidR="00E617DF" w:rsidRDefault="008763EC" w:rsidP="00CC6AD2">
      <w:pPr>
        <w:rPr>
          <w:rFonts w:eastAsia="Calibri"/>
          <w:i/>
          <w:lang w:eastAsia="en-AU"/>
        </w:rPr>
      </w:pPr>
      <w:r>
        <w:rPr>
          <w:lang w:eastAsia="ja-JP"/>
        </w:rPr>
        <w:lastRenderedPageBreak/>
        <w:t xml:space="preserve">The procedures set out in </w:t>
      </w:r>
      <w:r w:rsidR="00365A70">
        <w:rPr>
          <w:lang w:eastAsia="ja-JP"/>
        </w:rPr>
        <w:t>this division</w:t>
      </w:r>
      <w:r>
        <w:rPr>
          <w:lang w:eastAsia="ja-JP"/>
        </w:rPr>
        <w:t xml:space="preserve"> are intended to be consistent with the procedures regarding a decision that a ground of objection to a proposed foreign GI or translation of a foreign GI</w:t>
      </w:r>
      <w:r w:rsidR="00815CA8">
        <w:rPr>
          <w:lang w:eastAsia="ja-JP"/>
        </w:rPr>
        <w:t xml:space="preserve"> no longer exists</w:t>
      </w:r>
      <w:r>
        <w:rPr>
          <w:lang w:eastAsia="ja-JP"/>
        </w:rPr>
        <w:t xml:space="preserve">, in Division 4 of Part 7. </w:t>
      </w:r>
    </w:p>
    <w:p w14:paraId="6119D421" w14:textId="2682F938" w:rsidR="008763EC" w:rsidRPr="008763EC" w:rsidRDefault="008763EC" w:rsidP="00C21613">
      <w:pPr>
        <w:pStyle w:val="Provision"/>
      </w:pPr>
      <w:r w:rsidRPr="008763EC">
        <w:t>Section 4</w:t>
      </w:r>
      <w:r w:rsidR="00D24CD7">
        <w:t>4 – Application of this D</w:t>
      </w:r>
      <w:r w:rsidRPr="008763EC">
        <w:t>ivision</w:t>
      </w:r>
    </w:p>
    <w:p w14:paraId="36EBF032" w14:textId="2F8A1104" w:rsidR="008763EC" w:rsidRPr="009D679D" w:rsidRDefault="001B6688" w:rsidP="00C21613">
      <w:pPr>
        <w:rPr>
          <w:lang w:eastAsia="ja-JP"/>
        </w:rPr>
      </w:pPr>
      <w:r>
        <w:rPr>
          <w:lang w:eastAsia="en-AU"/>
        </w:rPr>
        <w:t xml:space="preserve">This section provides for the application of this division. </w:t>
      </w:r>
      <w:r w:rsidR="008763EC" w:rsidRPr="009D679D">
        <w:rPr>
          <w:lang w:eastAsia="ja-JP"/>
        </w:rPr>
        <w:t>Under subs</w:t>
      </w:r>
      <w:r w:rsidR="000E70B2">
        <w:rPr>
          <w:lang w:eastAsia="ja-JP"/>
        </w:rPr>
        <w:t>ection 40RE(2) of the Act, the R</w:t>
      </w:r>
      <w:r w:rsidR="008763EC" w:rsidRPr="009D679D">
        <w:rPr>
          <w:lang w:eastAsia="ja-JP"/>
        </w:rPr>
        <w:t xml:space="preserve">egulations may set out the procedure to be followed by the </w:t>
      </w:r>
      <w:r w:rsidR="00365FE0">
        <w:rPr>
          <w:lang w:eastAsia="ja-JP"/>
        </w:rPr>
        <w:t>Registrar of Trade Marks</w:t>
      </w:r>
      <w:r w:rsidR="008763EC" w:rsidRPr="009D679D">
        <w:rPr>
          <w:lang w:eastAsia="ja-JP"/>
        </w:rPr>
        <w:t xml:space="preserve"> to make a decision</w:t>
      </w:r>
      <w:r w:rsidR="008763EC">
        <w:rPr>
          <w:lang w:eastAsia="ja-JP"/>
        </w:rPr>
        <w:t xml:space="preserve"> that a ground of objection to a proposed Australian GI no longer exists,</w:t>
      </w:r>
      <w:r w:rsidR="008763EC" w:rsidRPr="009D679D">
        <w:rPr>
          <w:lang w:eastAsia="ja-JP"/>
        </w:rPr>
        <w:t xml:space="preserve"> under subsection 40RE(1) of the Act. The procedures may include</w:t>
      </w:r>
      <w:r w:rsidR="008763EC">
        <w:rPr>
          <w:lang w:eastAsia="ja-JP"/>
        </w:rPr>
        <w:t>, but are not limited to,</w:t>
      </w:r>
      <w:r w:rsidR="008763EC" w:rsidRPr="009D679D">
        <w:rPr>
          <w:lang w:eastAsia="ja-JP"/>
        </w:rPr>
        <w:t xml:space="preserve"> the charging of fees</w:t>
      </w:r>
      <w:r w:rsidR="008763EC">
        <w:rPr>
          <w:lang w:eastAsia="ja-JP"/>
        </w:rPr>
        <w:t xml:space="preserve"> (section 55)</w:t>
      </w:r>
      <w:r w:rsidR="008763EC" w:rsidRPr="009D679D">
        <w:rPr>
          <w:lang w:eastAsia="ja-JP"/>
        </w:rPr>
        <w:t>, the holding of hearings</w:t>
      </w:r>
      <w:r w:rsidR="008763EC">
        <w:rPr>
          <w:lang w:eastAsia="ja-JP"/>
        </w:rPr>
        <w:t xml:space="preserve"> (section 50)</w:t>
      </w:r>
      <w:r w:rsidR="008763EC" w:rsidRPr="009D679D">
        <w:rPr>
          <w:lang w:eastAsia="ja-JP"/>
        </w:rPr>
        <w:t xml:space="preserve"> and the taking of </w:t>
      </w:r>
      <w:r w:rsidR="008763EC" w:rsidRPr="00794F4C">
        <w:rPr>
          <w:lang w:eastAsia="ja-JP"/>
        </w:rPr>
        <w:t>ev</w:t>
      </w:r>
      <w:r w:rsidR="000E49E5">
        <w:rPr>
          <w:lang w:eastAsia="ja-JP"/>
        </w:rPr>
        <w:t xml:space="preserve">idence (sections 47, 48 and </w:t>
      </w:r>
      <w:r w:rsidR="007E5322">
        <w:rPr>
          <w:lang w:eastAsia="ja-JP"/>
        </w:rPr>
        <w:t>49</w:t>
      </w:r>
      <w:r w:rsidR="008763EC" w:rsidRPr="00794F4C">
        <w:rPr>
          <w:lang w:eastAsia="ja-JP"/>
        </w:rPr>
        <w:t>).</w:t>
      </w:r>
    </w:p>
    <w:p w14:paraId="21C1221F" w14:textId="2AB1CE2B" w:rsidR="00573EE4" w:rsidRPr="009D679D" w:rsidRDefault="00D24CD7" w:rsidP="00573EE4">
      <w:pPr>
        <w:pStyle w:val="Provision"/>
      </w:pPr>
      <w:r>
        <w:t>Section 45</w:t>
      </w:r>
      <w:r w:rsidR="00573EE4" w:rsidRPr="009D679D">
        <w:t xml:space="preserve"> – Notice of application</w:t>
      </w:r>
    </w:p>
    <w:p w14:paraId="0946D4D5" w14:textId="5C33D871" w:rsidR="00573EE4" w:rsidRPr="009D679D" w:rsidRDefault="00573EE4" w:rsidP="00573EE4">
      <w:pPr>
        <w:rPr>
          <w:lang w:eastAsia="ja-JP"/>
        </w:rPr>
      </w:pPr>
      <w:r w:rsidRPr="009D679D">
        <w:rPr>
          <w:lang w:eastAsia="ja-JP"/>
        </w:rPr>
        <w:t xml:space="preserve">This section </w:t>
      </w:r>
      <w:r w:rsidR="007E5322">
        <w:rPr>
          <w:lang w:eastAsia="ja-JP"/>
        </w:rPr>
        <w:t>provides that the</w:t>
      </w:r>
      <w:r w:rsidRPr="009D679D">
        <w:rPr>
          <w:lang w:eastAsia="ja-JP"/>
        </w:rPr>
        <w:t xml:space="preserve"> </w:t>
      </w:r>
      <w:r w:rsidR="00365FE0">
        <w:rPr>
          <w:lang w:eastAsia="ja-JP"/>
        </w:rPr>
        <w:t>Registrar of Trade Marks</w:t>
      </w:r>
      <w:r w:rsidRPr="009D679D">
        <w:rPr>
          <w:lang w:eastAsia="ja-JP"/>
        </w:rPr>
        <w:t xml:space="preserve"> must notify the </w:t>
      </w:r>
      <w:r w:rsidR="00802321">
        <w:rPr>
          <w:lang w:eastAsia="ja-JP"/>
        </w:rPr>
        <w:t>Committee</w:t>
      </w:r>
      <w:r w:rsidRPr="009D679D">
        <w:rPr>
          <w:lang w:eastAsia="ja-JP"/>
        </w:rPr>
        <w:t xml:space="preserve"> in writing of the receipt and terms of the application under paragraph 40RE(1)(b) of the Act.</w:t>
      </w:r>
    </w:p>
    <w:p w14:paraId="146A91D2" w14:textId="474D4792" w:rsidR="008763EC" w:rsidRPr="009D679D" w:rsidRDefault="008763EC" w:rsidP="00C21613">
      <w:pPr>
        <w:pStyle w:val="Provision"/>
      </w:pPr>
      <w:r w:rsidRPr="009D679D">
        <w:t>Section 4</w:t>
      </w:r>
      <w:r w:rsidR="00D24CD7">
        <w:t>6</w:t>
      </w:r>
      <w:r w:rsidRPr="009D679D">
        <w:t xml:space="preserve"> – Parties to proceedings </w:t>
      </w:r>
    </w:p>
    <w:p w14:paraId="5768EF18" w14:textId="1EC6D05D" w:rsidR="008763EC" w:rsidRPr="009D679D" w:rsidRDefault="008763EC" w:rsidP="00C21613">
      <w:pPr>
        <w:rPr>
          <w:lang w:eastAsia="ja-JP"/>
        </w:rPr>
      </w:pPr>
      <w:r w:rsidRPr="009D679D">
        <w:rPr>
          <w:lang w:eastAsia="ja-JP"/>
        </w:rPr>
        <w:t xml:space="preserve">This section sets out who is a ‘party’ in relation to an application that a ground of objection to a proposed </w:t>
      </w:r>
      <w:r w:rsidR="00E15B4E">
        <w:rPr>
          <w:lang w:eastAsia="ja-JP"/>
        </w:rPr>
        <w:t xml:space="preserve">Australian </w:t>
      </w:r>
      <w:r w:rsidRPr="009D679D">
        <w:rPr>
          <w:lang w:eastAsia="ja-JP"/>
        </w:rPr>
        <w:t>GI no longer exists.</w:t>
      </w:r>
    </w:p>
    <w:p w14:paraId="6FA94255" w14:textId="7389ED20" w:rsidR="008763EC" w:rsidRPr="009D679D" w:rsidRDefault="00605A5C" w:rsidP="00C21613">
      <w:pPr>
        <w:rPr>
          <w:lang w:eastAsia="ja-JP"/>
        </w:rPr>
      </w:pPr>
      <w:r>
        <w:rPr>
          <w:lang w:eastAsia="ja-JP"/>
        </w:rPr>
        <w:br w:type="column"/>
      </w:r>
      <w:r w:rsidR="008763EC">
        <w:rPr>
          <w:lang w:eastAsia="ja-JP"/>
        </w:rPr>
        <w:lastRenderedPageBreak/>
        <w:t xml:space="preserve">For the purposes of </w:t>
      </w:r>
      <w:r w:rsidR="00365A70">
        <w:rPr>
          <w:lang w:eastAsia="ja-JP"/>
        </w:rPr>
        <w:t>this division</w:t>
      </w:r>
      <w:r w:rsidR="008763EC">
        <w:rPr>
          <w:lang w:eastAsia="ja-JP"/>
        </w:rPr>
        <w:t xml:space="preserve">, and section 40RE of the Act, a </w:t>
      </w:r>
      <w:r w:rsidR="008763EC">
        <w:rPr>
          <w:b/>
          <w:i/>
          <w:lang w:eastAsia="ja-JP"/>
        </w:rPr>
        <w:t xml:space="preserve">party </w:t>
      </w:r>
      <w:r w:rsidR="008763EC" w:rsidRPr="009D679D">
        <w:rPr>
          <w:lang w:eastAsia="ja-JP"/>
        </w:rPr>
        <w:t>to proceedings in relation to determination of an application</w:t>
      </w:r>
      <w:r w:rsidR="008763EC">
        <w:rPr>
          <w:lang w:eastAsia="ja-JP"/>
        </w:rPr>
        <w:t xml:space="preserve"> is</w:t>
      </w:r>
      <w:r w:rsidR="008763EC" w:rsidRPr="009D679D">
        <w:rPr>
          <w:lang w:eastAsia="ja-JP"/>
        </w:rPr>
        <w:t>:</w:t>
      </w:r>
    </w:p>
    <w:p w14:paraId="4B62B62F" w14:textId="4C342FBD" w:rsidR="008763EC" w:rsidRPr="009D679D" w:rsidRDefault="00903277" w:rsidP="00892CB7">
      <w:pPr>
        <w:pStyle w:val="ListParagraph"/>
        <w:numPr>
          <w:ilvl w:val="0"/>
          <w:numId w:val="71"/>
        </w:numPr>
      </w:pPr>
      <w:r>
        <w:t>t</w:t>
      </w:r>
      <w:r w:rsidR="008763EC" w:rsidRPr="009D679D">
        <w:t xml:space="preserve">he person who made the application that a ground of objection to a proposed </w:t>
      </w:r>
      <w:r w:rsidR="00E15B4E">
        <w:t xml:space="preserve">Australian </w:t>
      </w:r>
      <w:r w:rsidR="008763EC" w:rsidRPr="009D679D">
        <w:t>GI no longer exists</w:t>
      </w:r>
    </w:p>
    <w:p w14:paraId="24F3F3EE" w14:textId="144058DF" w:rsidR="008763EC" w:rsidRDefault="00903277" w:rsidP="00892CB7">
      <w:pPr>
        <w:pStyle w:val="ListParagraph"/>
        <w:numPr>
          <w:ilvl w:val="0"/>
          <w:numId w:val="71"/>
        </w:numPr>
      </w:pPr>
      <w:r>
        <w:t>t</w:t>
      </w:r>
      <w:r w:rsidR="008763EC">
        <w:t>he person who made the objection, either:</w:t>
      </w:r>
    </w:p>
    <w:p w14:paraId="3DE1B68C" w14:textId="519EECA9" w:rsidR="008763EC" w:rsidRDefault="008763EC" w:rsidP="001369C0">
      <w:pPr>
        <w:pStyle w:val="ListParagraph"/>
        <w:numPr>
          <w:ilvl w:val="1"/>
          <w:numId w:val="33"/>
        </w:numPr>
        <w:rPr>
          <w:lang w:eastAsia="ja-JP"/>
        </w:rPr>
      </w:pPr>
      <w:r w:rsidRPr="009D679D">
        <w:rPr>
          <w:lang w:eastAsia="ja-JP"/>
        </w:rPr>
        <w:t>the registered own</w:t>
      </w:r>
      <w:r>
        <w:rPr>
          <w:lang w:eastAsia="ja-JP"/>
        </w:rPr>
        <w:t xml:space="preserve">er of the registered trade mark (under </w:t>
      </w:r>
      <w:r w:rsidR="00903277">
        <w:rPr>
          <w:lang w:eastAsia="ja-JP"/>
        </w:rPr>
        <w:t>subsection 40RB(1) of the Act)</w:t>
      </w:r>
    </w:p>
    <w:p w14:paraId="1724DE78" w14:textId="7856E2D7" w:rsidR="008763EC" w:rsidRPr="00EA18FD" w:rsidRDefault="008763EC" w:rsidP="001369C0">
      <w:pPr>
        <w:pStyle w:val="ListParagraph"/>
        <w:numPr>
          <w:ilvl w:val="1"/>
          <w:numId w:val="33"/>
        </w:numPr>
        <w:rPr>
          <w:lang w:eastAsia="ja-JP"/>
        </w:rPr>
      </w:pPr>
      <w:r w:rsidRPr="009D679D">
        <w:rPr>
          <w:lang w:eastAsia="ja-JP"/>
        </w:rPr>
        <w:t>a person who has an application pe</w:t>
      </w:r>
      <w:r>
        <w:rPr>
          <w:lang w:eastAsia="ja-JP"/>
        </w:rPr>
        <w:t xml:space="preserve">nding for the registration of the </w:t>
      </w:r>
      <w:r w:rsidRPr="009D679D">
        <w:rPr>
          <w:lang w:eastAsia="ja-JP"/>
        </w:rPr>
        <w:t xml:space="preserve">trade mark under the </w:t>
      </w:r>
      <w:r w:rsidRPr="00C66405">
        <w:rPr>
          <w:i/>
          <w:lang w:eastAsia="ja-JP"/>
        </w:rPr>
        <w:t>Trade Marks Act 1995</w:t>
      </w:r>
      <w:r w:rsidRPr="00DC0542">
        <w:rPr>
          <w:lang w:eastAsia="ja-JP"/>
        </w:rPr>
        <w:t xml:space="preserve"> </w:t>
      </w:r>
      <w:r>
        <w:rPr>
          <w:lang w:eastAsia="ja-JP"/>
        </w:rPr>
        <w:t xml:space="preserve">(under </w:t>
      </w:r>
      <w:r w:rsidR="00903277">
        <w:rPr>
          <w:lang w:eastAsia="ja-JP"/>
        </w:rPr>
        <w:t>sub</w:t>
      </w:r>
      <w:r>
        <w:rPr>
          <w:lang w:eastAsia="ja-JP"/>
        </w:rPr>
        <w:t>section 40RB(3) of the Act)</w:t>
      </w:r>
    </w:p>
    <w:p w14:paraId="7C77719D" w14:textId="70D607C9" w:rsidR="008763EC" w:rsidRDefault="008763EC" w:rsidP="001369C0">
      <w:pPr>
        <w:pStyle w:val="ListParagraph"/>
        <w:numPr>
          <w:ilvl w:val="1"/>
          <w:numId w:val="33"/>
        </w:numPr>
        <w:rPr>
          <w:lang w:eastAsia="ja-JP"/>
        </w:rPr>
      </w:pPr>
      <w:r w:rsidRPr="009D679D">
        <w:rPr>
          <w:lang w:eastAsia="ja-JP"/>
        </w:rPr>
        <w:t>a person who claim</w:t>
      </w:r>
      <w:r>
        <w:rPr>
          <w:lang w:eastAsia="ja-JP"/>
        </w:rPr>
        <w:t>s to have trade mark rights in the</w:t>
      </w:r>
      <w:r w:rsidRPr="009D679D">
        <w:rPr>
          <w:lang w:eastAsia="ja-JP"/>
        </w:rPr>
        <w:t xml:space="preserve"> tra</w:t>
      </w:r>
      <w:r>
        <w:rPr>
          <w:lang w:eastAsia="ja-JP"/>
        </w:rPr>
        <w:t xml:space="preserve">de mark that is not registered (under </w:t>
      </w:r>
      <w:r w:rsidR="00903277">
        <w:rPr>
          <w:lang w:eastAsia="ja-JP"/>
        </w:rPr>
        <w:t xml:space="preserve">subsection 40RB(4) of the Act), or </w:t>
      </w:r>
    </w:p>
    <w:p w14:paraId="0D4E93F1" w14:textId="315163E8" w:rsidR="008763EC" w:rsidRPr="009D679D" w:rsidRDefault="008763EC" w:rsidP="001369C0">
      <w:pPr>
        <w:pStyle w:val="ListParagraph"/>
        <w:numPr>
          <w:ilvl w:val="1"/>
          <w:numId w:val="33"/>
        </w:numPr>
        <w:rPr>
          <w:lang w:eastAsia="ja-JP"/>
        </w:rPr>
      </w:pPr>
      <w:r>
        <w:rPr>
          <w:lang w:eastAsia="ja-JP"/>
        </w:rPr>
        <w:t xml:space="preserve">a person who objects to the proposed GI on the ground that it is used in Australia (by operation </w:t>
      </w:r>
      <w:r w:rsidRPr="009D679D">
        <w:rPr>
          <w:lang w:eastAsia="ja-JP"/>
        </w:rPr>
        <w:t>of Schedule 1</w:t>
      </w:r>
      <w:r>
        <w:rPr>
          <w:lang w:eastAsia="ja-JP"/>
        </w:rPr>
        <w:t>)</w:t>
      </w:r>
      <w:r w:rsidR="00903277">
        <w:rPr>
          <w:lang w:eastAsia="ja-JP"/>
        </w:rPr>
        <w:t>, and</w:t>
      </w:r>
      <w:r>
        <w:rPr>
          <w:lang w:eastAsia="ja-JP"/>
        </w:rPr>
        <w:t xml:space="preserve"> </w:t>
      </w:r>
    </w:p>
    <w:p w14:paraId="1A8E3A6D" w14:textId="6227F2B6" w:rsidR="008763EC" w:rsidRDefault="00903277" w:rsidP="00892CB7">
      <w:pPr>
        <w:pStyle w:val="ListParagraph"/>
        <w:numPr>
          <w:ilvl w:val="0"/>
          <w:numId w:val="71"/>
        </w:numPr>
      </w:pPr>
      <w:r>
        <w:t>t</w:t>
      </w:r>
      <w:r w:rsidR="008763EC" w:rsidRPr="009D679D">
        <w:t>he applicant for the determination of the proposed GI</w:t>
      </w:r>
      <w:r w:rsidR="008763EC">
        <w:t xml:space="preserve"> (under section 40R of the Act).</w:t>
      </w:r>
    </w:p>
    <w:p w14:paraId="5D643213" w14:textId="7D29B254" w:rsidR="008763EC" w:rsidRDefault="008763EC" w:rsidP="00C21613">
      <w:pPr>
        <w:rPr>
          <w:lang w:eastAsia="ja-JP"/>
        </w:rPr>
      </w:pPr>
      <w:r>
        <w:rPr>
          <w:lang w:eastAsia="ja-JP"/>
        </w:rPr>
        <w:t>In th</w:t>
      </w:r>
      <w:r w:rsidR="00887806">
        <w:rPr>
          <w:lang w:eastAsia="ja-JP"/>
        </w:rPr>
        <w:t>is section, the person who made</w:t>
      </w:r>
      <w:r>
        <w:rPr>
          <w:lang w:eastAsia="ja-JP"/>
        </w:rPr>
        <w:t xml:space="preserve"> an application that a ground of objection no longer exists (under paragraph 40RE(1)(b) of the Act) may be different to the person who made the application for the Australian GI (under section 40R of the Act). Both of these people are considered parties for the purposes of </w:t>
      </w:r>
      <w:r w:rsidR="00365A70">
        <w:rPr>
          <w:lang w:eastAsia="ja-JP"/>
        </w:rPr>
        <w:t>this division</w:t>
      </w:r>
      <w:r>
        <w:rPr>
          <w:lang w:eastAsia="ja-JP"/>
        </w:rPr>
        <w:t>.</w:t>
      </w:r>
    </w:p>
    <w:p w14:paraId="67E1F1DE" w14:textId="03B8D29F" w:rsidR="008763EC" w:rsidRPr="009D679D" w:rsidRDefault="008763EC" w:rsidP="00C21613">
      <w:pPr>
        <w:rPr>
          <w:lang w:eastAsia="ja-JP"/>
        </w:rPr>
      </w:pPr>
      <w:r w:rsidRPr="009D679D">
        <w:rPr>
          <w:lang w:eastAsia="ja-JP"/>
        </w:rPr>
        <w:t xml:space="preserve">This section of the regulation includes a note </w:t>
      </w:r>
      <w:r w:rsidR="00E15B4E">
        <w:rPr>
          <w:lang w:eastAsia="ja-JP"/>
        </w:rPr>
        <w:t xml:space="preserve">stating </w:t>
      </w:r>
      <w:r w:rsidRPr="009D679D">
        <w:rPr>
          <w:lang w:eastAsia="ja-JP"/>
        </w:rPr>
        <w:t>that Schedule 1 modifies the operation of section 40RB of the Act</w:t>
      </w:r>
      <w:r>
        <w:rPr>
          <w:lang w:eastAsia="ja-JP"/>
        </w:rPr>
        <w:t>, which sets out the grounds of objection to determination of an Australian GI</w:t>
      </w:r>
      <w:r w:rsidRPr="009D679D">
        <w:rPr>
          <w:lang w:eastAsia="ja-JP"/>
        </w:rPr>
        <w:t>.</w:t>
      </w:r>
    </w:p>
    <w:p w14:paraId="4CB5547E" w14:textId="1FED5803" w:rsidR="008763EC" w:rsidRPr="009D679D" w:rsidRDefault="00573EE4" w:rsidP="00C21613">
      <w:pPr>
        <w:pStyle w:val="Provision"/>
      </w:pPr>
      <w:r>
        <w:t>Section 4</w:t>
      </w:r>
      <w:r w:rsidR="00D24CD7">
        <w:t>7</w:t>
      </w:r>
      <w:r w:rsidR="008763EC" w:rsidRPr="009D679D">
        <w:t xml:space="preserve"> – Evidence in relation to whether ground of objection no longer exists</w:t>
      </w:r>
    </w:p>
    <w:p w14:paraId="637735DF" w14:textId="68CD28C7" w:rsidR="008763EC" w:rsidRPr="009D679D" w:rsidRDefault="008763EC" w:rsidP="00C21613">
      <w:pPr>
        <w:rPr>
          <w:lang w:eastAsia="ja-JP"/>
        </w:rPr>
      </w:pPr>
      <w:r w:rsidRPr="009D679D">
        <w:rPr>
          <w:lang w:eastAsia="ja-JP"/>
        </w:rPr>
        <w:t xml:space="preserve">This section sets out the procedure the </w:t>
      </w:r>
      <w:r w:rsidR="00365FE0">
        <w:rPr>
          <w:lang w:eastAsia="ja-JP"/>
        </w:rPr>
        <w:t>Registrar of Trade Marks</w:t>
      </w:r>
      <w:r w:rsidRPr="009D679D">
        <w:rPr>
          <w:lang w:eastAsia="ja-JP"/>
        </w:rPr>
        <w:t xml:space="preserve"> mus</w:t>
      </w:r>
      <w:r w:rsidR="00462666">
        <w:rPr>
          <w:lang w:eastAsia="ja-JP"/>
        </w:rPr>
        <w:t xml:space="preserve">t follow after notifying the </w:t>
      </w:r>
      <w:r w:rsidR="00C21613" w:rsidRPr="00C21613">
        <w:rPr>
          <w:lang w:eastAsia="ja-JP"/>
        </w:rPr>
        <w:t>Committee</w:t>
      </w:r>
      <w:r w:rsidRPr="009D679D">
        <w:rPr>
          <w:lang w:eastAsia="ja-JP"/>
        </w:rPr>
        <w:t xml:space="preserve"> that an application has been received, and specifies the content of the notice the </w:t>
      </w:r>
      <w:r w:rsidR="00365FE0">
        <w:rPr>
          <w:lang w:eastAsia="ja-JP"/>
        </w:rPr>
        <w:t>Registrar of Trade Marks</w:t>
      </w:r>
      <w:r w:rsidRPr="009D679D">
        <w:rPr>
          <w:lang w:eastAsia="ja-JP"/>
        </w:rPr>
        <w:t xml:space="preserve"> must provide to parties to proceedings.</w:t>
      </w:r>
    </w:p>
    <w:p w14:paraId="6F5A8C84" w14:textId="4CA47B06" w:rsidR="008763EC" w:rsidRPr="009D679D" w:rsidRDefault="00462666" w:rsidP="00C21613">
      <w:pPr>
        <w:rPr>
          <w:lang w:eastAsia="ja-JP"/>
        </w:rPr>
      </w:pPr>
      <w:r>
        <w:rPr>
          <w:lang w:eastAsia="ja-JP"/>
        </w:rPr>
        <w:t xml:space="preserve">After notifying the </w:t>
      </w:r>
      <w:r w:rsidR="00C21613" w:rsidRPr="00C21613">
        <w:rPr>
          <w:lang w:eastAsia="ja-JP"/>
        </w:rPr>
        <w:t>Committee</w:t>
      </w:r>
      <w:r w:rsidR="00C23867">
        <w:rPr>
          <w:lang w:eastAsia="ja-JP"/>
        </w:rPr>
        <w:t xml:space="preserve"> under paragraph 40RE(1)(b) of the Act, and the person making the objection has paid the relevant fee prescribed by section 5</w:t>
      </w:r>
      <w:r w:rsidR="000E49E5">
        <w:rPr>
          <w:lang w:eastAsia="ja-JP"/>
        </w:rPr>
        <w:t>5</w:t>
      </w:r>
      <w:r w:rsidR="008763EC" w:rsidRPr="009D679D">
        <w:rPr>
          <w:lang w:eastAsia="ja-JP"/>
        </w:rPr>
        <w:t xml:space="preserve">, the </w:t>
      </w:r>
      <w:r w:rsidR="00365FE0">
        <w:rPr>
          <w:lang w:eastAsia="ja-JP"/>
        </w:rPr>
        <w:t xml:space="preserve">Registrar of </w:t>
      </w:r>
      <w:r w:rsidR="000E49E5">
        <w:rPr>
          <w:lang w:eastAsia="ja-JP"/>
        </w:rPr>
        <w:t>T</w:t>
      </w:r>
      <w:r w:rsidR="00365FE0">
        <w:rPr>
          <w:lang w:eastAsia="ja-JP"/>
        </w:rPr>
        <w:t>rade Marks</w:t>
      </w:r>
      <w:r w:rsidR="008763EC" w:rsidRPr="009D679D">
        <w:rPr>
          <w:lang w:eastAsia="ja-JP"/>
        </w:rPr>
        <w:t xml:space="preserve"> must send each party a written notice that:</w:t>
      </w:r>
    </w:p>
    <w:p w14:paraId="7FCDA25B" w14:textId="5219DAA9" w:rsidR="008763EC" w:rsidRPr="009D679D" w:rsidRDefault="00C66405" w:rsidP="00892CB7">
      <w:pPr>
        <w:pStyle w:val="ListParagraph"/>
        <w:numPr>
          <w:ilvl w:val="0"/>
          <w:numId w:val="71"/>
        </w:numPr>
      </w:pPr>
      <w:r>
        <w:t>provides</w:t>
      </w:r>
      <w:r w:rsidRPr="009D679D">
        <w:t xml:space="preserve"> </w:t>
      </w:r>
      <w:r w:rsidR="008763EC" w:rsidRPr="009D679D">
        <w:t>the name and address of each other party</w:t>
      </w:r>
    </w:p>
    <w:p w14:paraId="0EDA6763" w14:textId="54DA92BA" w:rsidR="008763EC" w:rsidRPr="009D679D" w:rsidRDefault="008763EC" w:rsidP="00892CB7">
      <w:pPr>
        <w:pStyle w:val="ListParagraph"/>
        <w:numPr>
          <w:ilvl w:val="0"/>
          <w:numId w:val="71"/>
        </w:numPr>
      </w:pPr>
      <w:r w:rsidRPr="009D679D">
        <w:t xml:space="preserve">invites each party to file evidence </w:t>
      </w:r>
      <w:r w:rsidR="007E5322">
        <w:t>r</w:t>
      </w:r>
      <w:r>
        <w:t xml:space="preserve">elevant to </w:t>
      </w:r>
      <w:r w:rsidRPr="009D679D">
        <w:t xml:space="preserve">whether the </w:t>
      </w:r>
      <w:r w:rsidR="00365FE0">
        <w:t>Registrar of Trade Marks</w:t>
      </w:r>
      <w:r w:rsidRPr="009D679D">
        <w:t xml:space="preserve"> should decide that the groun</w:t>
      </w:r>
      <w:r w:rsidR="00903277">
        <w:t>d of objection no longer exists,</w:t>
      </w:r>
      <w:r w:rsidRPr="009D679D">
        <w:t xml:space="preserve"> and</w:t>
      </w:r>
    </w:p>
    <w:p w14:paraId="6BBCEAD9" w14:textId="77777777" w:rsidR="008763EC" w:rsidRDefault="008763EC" w:rsidP="00892CB7">
      <w:pPr>
        <w:pStyle w:val="ListParagraph"/>
        <w:numPr>
          <w:ilvl w:val="0"/>
          <w:numId w:val="71"/>
        </w:numPr>
      </w:pPr>
      <w:r w:rsidRPr="009D679D">
        <w:t xml:space="preserve">states that evidence must be filed </w:t>
      </w:r>
      <w:r>
        <w:t xml:space="preserve">within three months </w:t>
      </w:r>
      <w:r w:rsidRPr="009D679D">
        <w:t>from the date of the notice.</w:t>
      </w:r>
    </w:p>
    <w:p w14:paraId="498A7547" w14:textId="573862D4" w:rsidR="008763EC" w:rsidRPr="009D679D" w:rsidRDefault="00573EE4" w:rsidP="00C21613">
      <w:pPr>
        <w:pStyle w:val="Provision"/>
      </w:pPr>
      <w:r>
        <w:t>Section 4</w:t>
      </w:r>
      <w:r w:rsidR="00D24CD7">
        <w:t>8</w:t>
      </w:r>
      <w:r w:rsidR="008763EC" w:rsidRPr="009D679D">
        <w:t xml:space="preserve"> – Evidence in answer </w:t>
      </w:r>
    </w:p>
    <w:p w14:paraId="5FC1F4BD" w14:textId="3C872F8D" w:rsidR="008763EC" w:rsidRPr="009D679D" w:rsidRDefault="008763EC" w:rsidP="00C21613">
      <w:pPr>
        <w:rPr>
          <w:lang w:eastAsia="ja-JP"/>
        </w:rPr>
      </w:pPr>
      <w:r w:rsidRPr="009D679D">
        <w:rPr>
          <w:lang w:eastAsia="ja-JP"/>
        </w:rPr>
        <w:t xml:space="preserve">This section sets out the procedures the </w:t>
      </w:r>
      <w:r w:rsidR="00365FE0">
        <w:rPr>
          <w:lang w:eastAsia="ja-JP"/>
        </w:rPr>
        <w:t>Registrar of Trade Marks</w:t>
      </w:r>
      <w:r w:rsidRPr="009D679D">
        <w:rPr>
          <w:lang w:eastAsia="ja-JP"/>
        </w:rPr>
        <w:t xml:space="preserve"> must follow if a party files evidence in response to the notice under section 47.</w:t>
      </w:r>
    </w:p>
    <w:p w14:paraId="2ED6EF99" w14:textId="5CE6F177" w:rsidR="008763EC" w:rsidRPr="009D679D" w:rsidRDefault="008763EC" w:rsidP="00C21613">
      <w:pPr>
        <w:rPr>
          <w:lang w:eastAsia="ja-JP"/>
        </w:rPr>
      </w:pPr>
      <w:r w:rsidRPr="009D679D">
        <w:rPr>
          <w:lang w:eastAsia="ja-JP"/>
        </w:rPr>
        <w:t xml:space="preserve">If a party files evidence in response to a notice sent under section 47, the </w:t>
      </w:r>
      <w:r w:rsidR="00365FE0">
        <w:rPr>
          <w:lang w:eastAsia="ja-JP"/>
        </w:rPr>
        <w:t>Registrar of Trade Marks</w:t>
      </w:r>
      <w:r w:rsidRPr="009D679D">
        <w:rPr>
          <w:lang w:eastAsia="ja-JP"/>
        </w:rPr>
        <w:t xml:space="preserve"> must send each other party a written notice that invites each other party to</w:t>
      </w:r>
      <w:r w:rsidR="00903277">
        <w:rPr>
          <w:lang w:eastAsia="ja-JP"/>
        </w:rPr>
        <w:t xml:space="preserve"> file evidence in answer,</w:t>
      </w:r>
      <w:r w:rsidRPr="009D679D">
        <w:rPr>
          <w:lang w:eastAsia="ja-JP"/>
        </w:rPr>
        <w:t xml:space="preserve"> and states the period from the date of the notice in </w:t>
      </w:r>
      <w:r w:rsidRPr="009D679D">
        <w:rPr>
          <w:lang w:eastAsia="ja-JP"/>
        </w:rPr>
        <w:lastRenderedPageBreak/>
        <w:t xml:space="preserve">which evidence in answer may be filed. The period stated to file evidence in answer must be at least </w:t>
      </w:r>
      <w:r w:rsidR="00903277">
        <w:rPr>
          <w:lang w:eastAsia="ja-JP"/>
        </w:rPr>
        <w:t>two</w:t>
      </w:r>
      <w:r w:rsidRPr="009D679D">
        <w:rPr>
          <w:lang w:eastAsia="ja-JP"/>
        </w:rPr>
        <w:t xml:space="preserve"> months.</w:t>
      </w:r>
    </w:p>
    <w:p w14:paraId="06B27A81" w14:textId="0BBE1C92" w:rsidR="008763EC" w:rsidRPr="009D679D" w:rsidRDefault="008763EC" w:rsidP="00C21613">
      <w:pPr>
        <w:rPr>
          <w:lang w:eastAsia="ja-JP"/>
        </w:rPr>
      </w:pPr>
      <w:r w:rsidRPr="009D679D">
        <w:rPr>
          <w:lang w:eastAsia="ja-JP"/>
        </w:rPr>
        <w:t xml:space="preserve">The </w:t>
      </w:r>
      <w:r w:rsidR="00365FE0">
        <w:rPr>
          <w:lang w:eastAsia="ja-JP"/>
        </w:rPr>
        <w:t>Registrar of Trade Marks</w:t>
      </w:r>
      <w:r w:rsidRPr="009D679D">
        <w:rPr>
          <w:lang w:eastAsia="ja-JP"/>
        </w:rPr>
        <w:t xml:space="preserve"> must also notify all parties, in writing, of the </w:t>
      </w:r>
      <w:r>
        <w:rPr>
          <w:lang w:eastAsia="ja-JP"/>
        </w:rPr>
        <w:t xml:space="preserve">deadline if they wish to </w:t>
      </w:r>
      <w:r w:rsidRPr="009D679D">
        <w:rPr>
          <w:lang w:eastAsia="ja-JP"/>
        </w:rPr>
        <w:t>request</w:t>
      </w:r>
      <w:r>
        <w:rPr>
          <w:lang w:eastAsia="ja-JP"/>
        </w:rPr>
        <w:t xml:space="preserve"> a hearing under section 50</w:t>
      </w:r>
      <w:r w:rsidRPr="009D679D">
        <w:rPr>
          <w:lang w:eastAsia="ja-JP"/>
        </w:rPr>
        <w:t>.</w:t>
      </w:r>
      <w:r>
        <w:rPr>
          <w:lang w:eastAsia="ja-JP"/>
        </w:rPr>
        <w:t xml:space="preserve"> As per </w:t>
      </w:r>
      <w:r w:rsidR="003C1871">
        <w:rPr>
          <w:lang w:eastAsia="ja-JP"/>
        </w:rPr>
        <w:t>subsection</w:t>
      </w:r>
      <w:r>
        <w:rPr>
          <w:lang w:eastAsia="ja-JP"/>
        </w:rPr>
        <w:t xml:space="preserve"> 50(2), the deadline </w:t>
      </w:r>
      <w:r w:rsidR="007E5322">
        <w:rPr>
          <w:lang w:eastAsia="ja-JP"/>
        </w:rPr>
        <w:t>must</w:t>
      </w:r>
      <w:r>
        <w:rPr>
          <w:lang w:eastAsia="ja-JP"/>
        </w:rPr>
        <w:t xml:space="preserve"> </w:t>
      </w:r>
      <w:r w:rsidR="007E5322">
        <w:rPr>
          <w:lang w:eastAsia="ja-JP"/>
        </w:rPr>
        <w:t>no later than</w:t>
      </w:r>
      <w:r>
        <w:rPr>
          <w:lang w:eastAsia="ja-JP"/>
        </w:rPr>
        <w:t xml:space="preserve"> one month after the last day of the period for filing of evidence. </w:t>
      </w:r>
    </w:p>
    <w:p w14:paraId="37F92094" w14:textId="4F18556E" w:rsidR="00D24CD7" w:rsidRPr="009D679D" w:rsidRDefault="00D24CD7" w:rsidP="00D24CD7">
      <w:pPr>
        <w:pStyle w:val="Provision"/>
      </w:pPr>
      <w:r>
        <w:t>Section 49</w:t>
      </w:r>
      <w:r w:rsidRPr="009D679D">
        <w:t xml:space="preserve"> </w:t>
      </w:r>
      <w:r w:rsidR="00E15B4E" w:rsidRPr="009D679D">
        <w:t>–</w:t>
      </w:r>
      <w:r w:rsidRPr="009D679D">
        <w:t xml:space="preserve"> New evidence</w:t>
      </w:r>
    </w:p>
    <w:p w14:paraId="6B6391CC" w14:textId="77777777" w:rsidR="00D24CD7" w:rsidRPr="009D679D" w:rsidRDefault="00D24CD7" w:rsidP="00D24CD7">
      <w:pPr>
        <w:rPr>
          <w:lang w:eastAsia="ja-JP"/>
        </w:rPr>
      </w:pPr>
      <w:r w:rsidRPr="009D679D">
        <w:rPr>
          <w:lang w:eastAsia="ja-JP"/>
        </w:rPr>
        <w:t xml:space="preserve">This section sets out the procedures for parties to file new evidence and for the </w:t>
      </w:r>
      <w:r>
        <w:rPr>
          <w:lang w:eastAsia="ja-JP"/>
        </w:rPr>
        <w:t>Registrar of Trade Marks</w:t>
      </w:r>
      <w:r w:rsidRPr="009D679D">
        <w:rPr>
          <w:lang w:eastAsia="ja-JP"/>
        </w:rPr>
        <w:t xml:space="preserve"> to respond.</w:t>
      </w:r>
    </w:p>
    <w:p w14:paraId="65DD3C9D" w14:textId="32A59FE7" w:rsidR="00D24CD7" w:rsidRPr="009D679D" w:rsidRDefault="00D24CD7" w:rsidP="00D24CD7">
      <w:pPr>
        <w:rPr>
          <w:lang w:eastAsia="ja-JP"/>
        </w:rPr>
      </w:pPr>
      <w:r w:rsidRPr="009D679D">
        <w:rPr>
          <w:lang w:eastAsia="ja-JP"/>
        </w:rPr>
        <w:t xml:space="preserve">A party may apply to the </w:t>
      </w:r>
      <w:r>
        <w:rPr>
          <w:lang w:eastAsia="ja-JP"/>
        </w:rPr>
        <w:t>Registrar of Trade Marks</w:t>
      </w:r>
      <w:r w:rsidRPr="009D679D">
        <w:rPr>
          <w:lang w:eastAsia="ja-JP"/>
        </w:rPr>
        <w:t xml:space="preserve">, in writing, to file new evidence after the end of a period specified by the </w:t>
      </w:r>
      <w:r>
        <w:rPr>
          <w:lang w:eastAsia="ja-JP"/>
        </w:rPr>
        <w:t>Registrar of Trade Marks</w:t>
      </w:r>
      <w:r w:rsidR="005817B3">
        <w:rPr>
          <w:lang w:eastAsia="ja-JP"/>
        </w:rPr>
        <w:t xml:space="preserve"> for the party to file evidence,</w:t>
      </w:r>
      <w:r w:rsidRPr="009D679D">
        <w:rPr>
          <w:lang w:eastAsia="ja-JP"/>
        </w:rPr>
        <w:t xml:space="preserve"> and before the </w:t>
      </w:r>
      <w:r>
        <w:rPr>
          <w:lang w:eastAsia="ja-JP"/>
        </w:rPr>
        <w:t>Registrar of Trade Marks</w:t>
      </w:r>
      <w:r w:rsidRPr="009D679D">
        <w:rPr>
          <w:lang w:eastAsia="ja-JP"/>
        </w:rPr>
        <w:t xml:space="preserve"> makes a decision under subsection 40RE(1) of the Act.</w:t>
      </w:r>
    </w:p>
    <w:p w14:paraId="736B3676" w14:textId="4A34ABEA" w:rsidR="00D24CD7" w:rsidRPr="009D679D" w:rsidRDefault="00D24CD7" w:rsidP="00D24CD7">
      <w:pPr>
        <w:rPr>
          <w:lang w:eastAsia="ja-JP"/>
        </w:rPr>
      </w:pPr>
      <w:r>
        <w:rPr>
          <w:lang w:eastAsia="ja-JP"/>
        </w:rPr>
        <w:t>The</w:t>
      </w:r>
      <w:r w:rsidRPr="009D679D">
        <w:rPr>
          <w:lang w:eastAsia="ja-JP"/>
        </w:rPr>
        <w:t xml:space="preserve"> application </w:t>
      </w:r>
      <w:r>
        <w:rPr>
          <w:lang w:eastAsia="ja-JP"/>
        </w:rPr>
        <w:t xml:space="preserve">must be submitted with payment of the fee for applying to file new evidence prescribed in section 55. </w:t>
      </w:r>
      <w:r w:rsidR="007E5322">
        <w:rPr>
          <w:lang w:eastAsia="ja-JP"/>
        </w:rPr>
        <w:t>I</w:t>
      </w:r>
      <w:r>
        <w:rPr>
          <w:lang w:eastAsia="ja-JP"/>
        </w:rPr>
        <w:t xml:space="preserve">f approved, the new evidence must be filed in accordance with </w:t>
      </w:r>
      <w:r w:rsidRPr="00DB6AF5">
        <w:rPr>
          <w:lang w:eastAsia="ja-JP"/>
        </w:rPr>
        <w:t>section 5</w:t>
      </w:r>
      <w:r w:rsidR="00EE68D4">
        <w:rPr>
          <w:lang w:eastAsia="ja-JP"/>
        </w:rPr>
        <w:t>1</w:t>
      </w:r>
      <w:r w:rsidRPr="00DB6AF5">
        <w:rPr>
          <w:lang w:eastAsia="ja-JP"/>
        </w:rPr>
        <w:t>,</w:t>
      </w:r>
      <w:r>
        <w:rPr>
          <w:lang w:eastAsia="ja-JP"/>
        </w:rPr>
        <w:t xml:space="preserve"> including payment of the relevant fee prescribed by section 55. The application must also i</w:t>
      </w:r>
      <w:r w:rsidRPr="009D679D">
        <w:rPr>
          <w:lang w:eastAsia="ja-JP"/>
        </w:rPr>
        <w:t>nclude a statement describing the new evidence and giving the reasons why the new evidence was not filed within the specified period.</w:t>
      </w:r>
      <w:r>
        <w:rPr>
          <w:lang w:eastAsia="ja-JP"/>
        </w:rPr>
        <w:t xml:space="preserve"> </w:t>
      </w:r>
    </w:p>
    <w:p w14:paraId="73154E7E" w14:textId="6123A9FD" w:rsidR="00D24CD7" w:rsidRPr="009D679D" w:rsidRDefault="00D24CD7" w:rsidP="00D24CD7">
      <w:pPr>
        <w:rPr>
          <w:lang w:eastAsia="ja-JP"/>
        </w:rPr>
      </w:pPr>
      <w:r w:rsidRPr="009D679D">
        <w:rPr>
          <w:lang w:eastAsia="ja-JP"/>
        </w:rPr>
        <w:t xml:space="preserve">If, after considering the application, the </w:t>
      </w:r>
      <w:r>
        <w:rPr>
          <w:lang w:eastAsia="ja-JP"/>
        </w:rPr>
        <w:t>Registrar of Trade Marks</w:t>
      </w:r>
      <w:r w:rsidRPr="009D679D">
        <w:rPr>
          <w:lang w:eastAsia="ja-JP"/>
        </w:rPr>
        <w:t xml:space="preserve"> decides that it is reasonable to allow the filing of the new evidence, </w:t>
      </w:r>
      <w:r w:rsidR="00E15B4E" w:rsidRPr="009D679D">
        <w:rPr>
          <w:lang w:eastAsia="ja-JP"/>
        </w:rPr>
        <w:t xml:space="preserve">the </w:t>
      </w:r>
      <w:r w:rsidR="00E15B4E">
        <w:rPr>
          <w:lang w:eastAsia="ja-JP"/>
        </w:rPr>
        <w:t>Registrar of Trade Marks</w:t>
      </w:r>
      <w:r w:rsidRPr="009D679D">
        <w:rPr>
          <w:lang w:eastAsia="ja-JP"/>
        </w:rPr>
        <w:t xml:space="preserve"> must set a date by which</w:t>
      </w:r>
      <w:r w:rsidR="00903277">
        <w:rPr>
          <w:lang w:eastAsia="ja-JP"/>
        </w:rPr>
        <w:t xml:space="preserve"> the new evidence must be filed,</w:t>
      </w:r>
      <w:r w:rsidRPr="009D679D">
        <w:rPr>
          <w:lang w:eastAsia="ja-JP"/>
        </w:rPr>
        <w:t xml:space="preserve"> and notify the applying party of the date in writing.</w:t>
      </w:r>
    </w:p>
    <w:p w14:paraId="07036F42" w14:textId="38873A6F" w:rsidR="00EE68D4" w:rsidRDefault="00EE68D4" w:rsidP="00EE68D4">
      <w:pPr>
        <w:rPr>
          <w:lang w:eastAsia="ja-JP"/>
        </w:rPr>
      </w:pPr>
      <w:r>
        <w:rPr>
          <w:lang w:eastAsia="ja-JP"/>
        </w:rPr>
        <w:t xml:space="preserve">If the Registrar of Trade Marks decides that it is not reasonable to allow the filing of the new evidence, </w:t>
      </w:r>
      <w:r w:rsidR="00E15B4E" w:rsidRPr="009D679D">
        <w:rPr>
          <w:lang w:eastAsia="ja-JP"/>
        </w:rPr>
        <w:t xml:space="preserve">the </w:t>
      </w:r>
      <w:r w:rsidR="00E15B4E">
        <w:rPr>
          <w:lang w:eastAsia="ja-JP"/>
        </w:rPr>
        <w:t>Registrar of Trade Marks</w:t>
      </w:r>
      <w:r>
        <w:rPr>
          <w:lang w:eastAsia="ja-JP"/>
        </w:rPr>
        <w:t xml:space="preserve"> must notify the applying party in writing that new evidence may not be filed.</w:t>
      </w:r>
    </w:p>
    <w:p w14:paraId="29CFD8C5" w14:textId="77777777" w:rsidR="00EE68D4" w:rsidRPr="006F279D" w:rsidRDefault="00EE68D4" w:rsidP="00EE68D4">
      <w:pPr>
        <w:rPr>
          <w:i/>
          <w:lang w:eastAsia="ja-JP"/>
        </w:rPr>
      </w:pPr>
      <w:r>
        <w:rPr>
          <w:i/>
          <w:lang w:eastAsia="ja-JP"/>
        </w:rPr>
        <w:t>Evidence in answer to new evidence</w:t>
      </w:r>
    </w:p>
    <w:p w14:paraId="13711AE8" w14:textId="382390B5" w:rsidR="00D24CD7" w:rsidRPr="009D679D" w:rsidRDefault="00D24CD7" w:rsidP="00D24CD7">
      <w:pPr>
        <w:rPr>
          <w:lang w:eastAsia="ja-JP"/>
        </w:rPr>
      </w:pPr>
      <w:r w:rsidRPr="009D679D">
        <w:rPr>
          <w:lang w:eastAsia="ja-JP"/>
        </w:rPr>
        <w:t xml:space="preserve">If the new evidence has been filed by the set date, the </w:t>
      </w:r>
      <w:r>
        <w:rPr>
          <w:lang w:eastAsia="ja-JP"/>
        </w:rPr>
        <w:t>Registrar of Trade Marks</w:t>
      </w:r>
      <w:r w:rsidRPr="009D679D">
        <w:rPr>
          <w:lang w:eastAsia="ja-JP"/>
        </w:rPr>
        <w:t xml:space="preserve"> must send a written notice to the other parties that new evidence has been filed</w:t>
      </w:r>
      <w:r w:rsidR="00013206">
        <w:rPr>
          <w:lang w:eastAsia="ja-JP"/>
        </w:rPr>
        <w:t>,</w:t>
      </w:r>
      <w:r w:rsidRPr="009D679D">
        <w:rPr>
          <w:lang w:eastAsia="ja-JP"/>
        </w:rPr>
        <w:t xml:space="preserve"> and set a reasonable period for the parties to file evidence in answer to it.</w:t>
      </w:r>
    </w:p>
    <w:p w14:paraId="404F3F17" w14:textId="6BD7BCA3" w:rsidR="00EE68D4" w:rsidRDefault="00EE68D4" w:rsidP="00EE68D4">
      <w:pPr>
        <w:rPr>
          <w:lang w:eastAsia="ja-JP"/>
        </w:rPr>
      </w:pPr>
      <w:r>
        <w:rPr>
          <w:lang w:eastAsia="ja-JP"/>
        </w:rPr>
        <w:t xml:space="preserve">The Registrar of Trade Marks must also notify all parties, in writing, of the deadline if they wish to request a hearing under section 50. As per subsection 50(2), the deadline will be one month after the last day of the period for filing of evidence. </w:t>
      </w:r>
    </w:p>
    <w:p w14:paraId="08126A01" w14:textId="74C97ED9" w:rsidR="008763EC" w:rsidRPr="009D679D" w:rsidRDefault="00D24CD7" w:rsidP="00C21613">
      <w:pPr>
        <w:pStyle w:val="Provision"/>
      </w:pPr>
      <w:r>
        <w:t>Section 50</w:t>
      </w:r>
      <w:r w:rsidR="008763EC" w:rsidRPr="009D679D">
        <w:t xml:space="preserve"> – Hearing and submissions </w:t>
      </w:r>
    </w:p>
    <w:p w14:paraId="45795240" w14:textId="2B4004FE" w:rsidR="008763EC" w:rsidRPr="009D679D" w:rsidRDefault="008763EC" w:rsidP="00C21613">
      <w:pPr>
        <w:rPr>
          <w:lang w:eastAsia="ja-JP"/>
        </w:rPr>
      </w:pPr>
      <w:r w:rsidRPr="009D679D">
        <w:rPr>
          <w:lang w:eastAsia="ja-JP"/>
        </w:rPr>
        <w:t xml:space="preserve">This section sets out the procedures the </w:t>
      </w:r>
      <w:r w:rsidR="00365FE0">
        <w:rPr>
          <w:lang w:eastAsia="ja-JP"/>
        </w:rPr>
        <w:t>Registrar of Trade Marks</w:t>
      </w:r>
      <w:r w:rsidRPr="009D679D">
        <w:rPr>
          <w:lang w:eastAsia="ja-JP"/>
        </w:rPr>
        <w:t xml:space="preserve"> and parties to proceedings must follow if a notice</w:t>
      </w:r>
      <w:r>
        <w:rPr>
          <w:lang w:eastAsia="ja-JP"/>
        </w:rPr>
        <w:t xml:space="preserve"> inviting evidence in answer</w:t>
      </w:r>
      <w:r w:rsidRPr="009D679D">
        <w:rPr>
          <w:lang w:eastAsia="ja-JP"/>
        </w:rPr>
        <w:t xml:space="preserve"> has been given </w:t>
      </w:r>
      <w:r>
        <w:rPr>
          <w:lang w:eastAsia="ja-JP"/>
        </w:rPr>
        <w:t>(</w:t>
      </w:r>
      <w:r w:rsidRPr="009D679D">
        <w:rPr>
          <w:lang w:eastAsia="ja-JP"/>
        </w:rPr>
        <w:t>under</w:t>
      </w:r>
      <w:r>
        <w:rPr>
          <w:lang w:eastAsia="ja-JP"/>
        </w:rPr>
        <w:t xml:space="preserve"> section 4</w:t>
      </w:r>
      <w:r w:rsidR="00EE68D4">
        <w:rPr>
          <w:lang w:eastAsia="ja-JP"/>
        </w:rPr>
        <w:t>8 or subsection 49(5)</w:t>
      </w:r>
      <w:r>
        <w:rPr>
          <w:lang w:eastAsia="ja-JP"/>
        </w:rPr>
        <w:t>)</w:t>
      </w:r>
      <w:r w:rsidRPr="009D679D">
        <w:rPr>
          <w:lang w:eastAsia="ja-JP"/>
        </w:rPr>
        <w:t xml:space="preserve"> and a party requests the </w:t>
      </w:r>
      <w:r w:rsidR="00365FE0">
        <w:rPr>
          <w:lang w:eastAsia="ja-JP"/>
        </w:rPr>
        <w:t>Registrar of Trade Marks</w:t>
      </w:r>
      <w:r w:rsidRPr="009D679D">
        <w:rPr>
          <w:lang w:eastAsia="ja-JP"/>
        </w:rPr>
        <w:t xml:space="preserve"> conduct a hearing.</w:t>
      </w:r>
    </w:p>
    <w:p w14:paraId="1B51BF34" w14:textId="2C69F6A0" w:rsidR="00C23867" w:rsidRDefault="008763EC" w:rsidP="00C23867">
      <w:pPr>
        <w:rPr>
          <w:lang w:eastAsia="ja-JP"/>
        </w:rPr>
      </w:pPr>
      <w:r w:rsidRPr="009D679D">
        <w:rPr>
          <w:lang w:eastAsia="ja-JP"/>
        </w:rPr>
        <w:t xml:space="preserve">The request </w:t>
      </w:r>
      <w:r>
        <w:rPr>
          <w:lang w:eastAsia="ja-JP"/>
        </w:rPr>
        <w:t xml:space="preserve">to conduct a hearing </w:t>
      </w:r>
      <w:r w:rsidRPr="009D679D">
        <w:rPr>
          <w:lang w:eastAsia="ja-JP"/>
        </w:rPr>
        <w:t xml:space="preserve">must be made in writing no later than </w:t>
      </w:r>
      <w:r w:rsidR="00013206">
        <w:rPr>
          <w:lang w:eastAsia="ja-JP"/>
        </w:rPr>
        <w:t>one</w:t>
      </w:r>
      <w:r w:rsidRPr="009D679D">
        <w:rPr>
          <w:lang w:eastAsia="ja-JP"/>
        </w:rPr>
        <w:t xml:space="preserve"> month after the last day on which evidence may be filed in accordance with a</w:t>
      </w:r>
      <w:r w:rsidR="005A264A">
        <w:rPr>
          <w:lang w:eastAsia="ja-JP"/>
        </w:rPr>
        <w:t xml:space="preserve">ny notice </w:t>
      </w:r>
      <w:r w:rsidR="005A264A">
        <w:rPr>
          <w:lang w:eastAsia="ja-JP"/>
        </w:rPr>
        <w:lastRenderedPageBreak/>
        <w:t>given under section 48</w:t>
      </w:r>
      <w:r w:rsidR="00EE68D4" w:rsidRPr="00EE68D4">
        <w:rPr>
          <w:lang w:eastAsia="ja-JP"/>
        </w:rPr>
        <w:t xml:space="preserve"> </w:t>
      </w:r>
      <w:r w:rsidR="00EE68D4">
        <w:rPr>
          <w:lang w:eastAsia="ja-JP"/>
        </w:rPr>
        <w:t>or subsection 49(5)</w:t>
      </w:r>
      <w:r w:rsidRPr="009D679D">
        <w:rPr>
          <w:lang w:eastAsia="ja-JP"/>
        </w:rPr>
        <w:t>.</w:t>
      </w:r>
      <w:r w:rsidR="00C23867">
        <w:rPr>
          <w:lang w:eastAsia="ja-JP"/>
        </w:rPr>
        <w:t xml:space="preserve"> The request must be submitted with </w:t>
      </w:r>
      <w:r w:rsidR="00DB6AF5">
        <w:rPr>
          <w:lang w:eastAsia="ja-JP"/>
        </w:rPr>
        <w:t>payment of the</w:t>
      </w:r>
      <w:r w:rsidR="00C23867">
        <w:rPr>
          <w:lang w:eastAsia="ja-JP"/>
        </w:rPr>
        <w:t xml:space="preserve"> fee for requesting a hearing prescribed in section 5</w:t>
      </w:r>
      <w:r w:rsidR="00D24CD7">
        <w:rPr>
          <w:lang w:eastAsia="ja-JP"/>
        </w:rPr>
        <w:t>5</w:t>
      </w:r>
      <w:r w:rsidR="00C23867">
        <w:rPr>
          <w:lang w:eastAsia="ja-JP"/>
        </w:rPr>
        <w:t>.</w:t>
      </w:r>
    </w:p>
    <w:p w14:paraId="101F71AE" w14:textId="33154126" w:rsidR="008763EC" w:rsidRPr="009D679D" w:rsidRDefault="008763EC" w:rsidP="00C21613">
      <w:pPr>
        <w:rPr>
          <w:lang w:eastAsia="ja-JP"/>
        </w:rPr>
      </w:pPr>
      <w:r w:rsidRPr="009D679D">
        <w:rPr>
          <w:lang w:eastAsia="ja-JP"/>
        </w:rPr>
        <w:t xml:space="preserve">The </w:t>
      </w:r>
      <w:r w:rsidR="00365FE0">
        <w:rPr>
          <w:lang w:eastAsia="ja-JP"/>
        </w:rPr>
        <w:t>Registrar of Trade Marks</w:t>
      </w:r>
      <w:r w:rsidRPr="009D679D">
        <w:rPr>
          <w:lang w:eastAsia="ja-JP"/>
        </w:rPr>
        <w:t xml:space="preserve"> must conduct a hearing if he or she receives a request to do so.</w:t>
      </w:r>
    </w:p>
    <w:p w14:paraId="2158E4D9" w14:textId="55266008" w:rsidR="008763EC" w:rsidRPr="009D679D" w:rsidRDefault="008763EC" w:rsidP="00C21613">
      <w:pPr>
        <w:rPr>
          <w:lang w:eastAsia="ja-JP"/>
        </w:rPr>
      </w:pPr>
      <w:r w:rsidRPr="009D679D">
        <w:rPr>
          <w:lang w:eastAsia="ja-JP"/>
        </w:rPr>
        <w:t xml:space="preserve">If the </w:t>
      </w:r>
      <w:r w:rsidR="00365FE0">
        <w:rPr>
          <w:lang w:eastAsia="ja-JP"/>
        </w:rPr>
        <w:t>Registrar of Trade Marks</w:t>
      </w:r>
      <w:r w:rsidRPr="009D679D">
        <w:rPr>
          <w:lang w:eastAsia="ja-JP"/>
        </w:rPr>
        <w:t xml:space="preserve"> receives a request to conduct a hearing he or she must send each party a written notice that informs t</w:t>
      </w:r>
      <w:r w:rsidR="00013206">
        <w:rPr>
          <w:lang w:eastAsia="ja-JP"/>
        </w:rPr>
        <w:t>he party a hearing will be held,</w:t>
      </w:r>
      <w:r w:rsidRPr="009D679D">
        <w:rPr>
          <w:lang w:eastAsia="ja-JP"/>
        </w:rPr>
        <w:t xml:space="preserve"> and invites written submissions to be made before the hearing.</w:t>
      </w:r>
    </w:p>
    <w:p w14:paraId="6A501AFE" w14:textId="36D9985B" w:rsidR="008763EC" w:rsidRPr="009D679D" w:rsidRDefault="008763EC" w:rsidP="00C21613">
      <w:pPr>
        <w:rPr>
          <w:lang w:eastAsia="ja-JP"/>
        </w:rPr>
      </w:pPr>
      <w:r w:rsidRPr="009D679D">
        <w:rPr>
          <w:lang w:eastAsia="ja-JP"/>
        </w:rPr>
        <w:t xml:space="preserve">The </w:t>
      </w:r>
      <w:r w:rsidR="00365FE0">
        <w:rPr>
          <w:lang w:eastAsia="ja-JP"/>
        </w:rPr>
        <w:t>Registrar of Trade Marks</w:t>
      </w:r>
      <w:r w:rsidRPr="009D679D">
        <w:rPr>
          <w:lang w:eastAsia="ja-JP"/>
        </w:rPr>
        <w:t xml:space="preserve"> must n</w:t>
      </w:r>
      <w:r w:rsidR="007E5322">
        <w:rPr>
          <w:lang w:eastAsia="ja-JP"/>
        </w:rPr>
        <w:t>ot conduct the hearing until any</w:t>
      </w:r>
      <w:r w:rsidRPr="009D679D">
        <w:rPr>
          <w:lang w:eastAsia="ja-JP"/>
        </w:rPr>
        <w:t xml:space="preserve"> removal or cancellation proceedings are complete, if:</w:t>
      </w:r>
    </w:p>
    <w:p w14:paraId="1E286B07" w14:textId="101CA048" w:rsidR="008763EC" w:rsidRPr="009D679D" w:rsidRDefault="008763EC" w:rsidP="00892CB7">
      <w:pPr>
        <w:pStyle w:val="ListParagraph"/>
        <w:numPr>
          <w:ilvl w:val="0"/>
          <w:numId w:val="71"/>
        </w:numPr>
      </w:pPr>
      <w:r w:rsidRPr="009D679D">
        <w:t>the objection relates to a registered trade mark</w:t>
      </w:r>
      <w:r w:rsidR="00013206">
        <w:t>,</w:t>
      </w:r>
      <w:r w:rsidRPr="009D679D">
        <w:t xml:space="preserve"> and</w:t>
      </w:r>
    </w:p>
    <w:p w14:paraId="52E598E2" w14:textId="175ABBB9" w:rsidR="008763EC" w:rsidRDefault="008763EC" w:rsidP="00892CB7">
      <w:pPr>
        <w:pStyle w:val="ListParagraph"/>
        <w:numPr>
          <w:ilvl w:val="0"/>
          <w:numId w:val="71"/>
        </w:numPr>
      </w:pPr>
      <w:r w:rsidRPr="009D679D">
        <w:t>the registered trade mark is the subject of</w:t>
      </w:r>
      <w:r w:rsidR="007E5322">
        <w:t xml:space="preserve"> those</w:t>
      </w:r>
      <w:r w:rsidRPr="009D679D">
        <w:t xml:space="preserve"> removal or cancellation proceedings.</w:t>
      </w:r>
    </w:p>
    <w:p w14:paraId="3823761A" w14:textId="7D586EFA" w:rsidR="00C23867" w:rsidRPr="008763EC" w:rsidRDefault="00C23867" w:rsidP="00C23867">
      <w:r>
        <w:t xml:space="preserve">Each party that attends the hearing is liable to pay the fee for attendance at a </w:t>
      </w:r>
      <w:r w:rsidR="00DB6AF5">
        <w:t>hearing prescribed in section 5</w:t>
      </w:r>
      <w:r w:rsidR="00D24CD7">
        <w:t>5</w:t>
      </w:r>
      <w:r>
        <w:t xml:space="preserve">, </w:t>
      </w:r>
      <w:r w:rsidR="00E15B4E">
        <w:t>regardless of whether the</w:t>
      </w:r>
      <w:r>
        <w:t xml:space="preserve"> party attends a whole, or part of, a day.</w:t>
      </w:r>
    </w:p>
    <w:p w14:paraId="6730B395" w14:textId="38D39656" w:rsidR="008763EC" w:rsidRPr="009D679D" w:rsidRDefault="00D24CD7" w:rsidP="00C21613">
      <w:pPr>
        <w:pStyle w:val="Provision"/>
      </w:pPr>
      <w:r>
        <w:t>Section 51</w:t>
      </w:r>
      <w:r w:rsidR="00573EE4">
        <w:t xml:space="preserve"> – Parties must</w:t>
      </w:r>
      <w:r w:rsidR="008763EC" w:rsidRPr="009D679D">
        <w:t xml:space="preserve"> </w:t>
      </w:r>
      <w:r>
        <w:t>give</w:t>
      </w:r>
      <w:r w:rsidR="008763EC" w:rsidRPr="009D679D">
        <w:t xml:space="preserve"> copies of evidence to each other</w:t>
      </w:r>
      <w:r>
        <w:t xml:space="preserve"> and pay filing fee</w:t>
      </w:r>
    </w:p>
    <w:p w14:paraId="52665171" w14:textId="77777777" w:rsidR="008763EC" w:rsidRPr="009D679D" w:rsidRDefault="008763EC" w:rsidP="00C21613">
      <w:pPr>
        <w:rPr>
          <w:lang w:eastAsia="ja-JP"/>
        </w:rPr>
      </w:pPr>
      <w:r w:rsidRPr="009D679D">
        <w:rPr>
          <w:lang w:eastAsia="ja-JP"/>
        </w:rPr>
        <w:t>This section sets out the procedures for evidence filed by parties to be considered validly filed.</w:t>
      </w:r>
    </w:p>
    <w:p w14:paraId="3A4F2E9F" w14:textId="2A0AF52A" w:rsidR="008763EC" w:rsidRPr="009D679D" w:rsidRDefault="008763EC" w:rsidP="00C21613">
      <w:pPr>
        <w:rPr>
          <w:lang w:eastAsia="ja-JP"/>
        </w:rPr>
      </w:pPr>
      <w:r w:rsidRPr="009D679D">
        <w:rPr>
          <w:lang w:eastAsia="ja-JP"/>
        </w:rPr>
        <w:t>For evid</w:t>
      </w:r>
      <w:r w:rsidR="00E15B4E">
        <w:rPr>
          <w:lang w:eastAsia="ja-JP"/>
        </w:rPr>
        <w:t>ence to be considered</w:t>
      </w:r>
      <w:r w:rsidRPr="009D679D">
        <w:rPr>
          <w:lang w:eastAsia="ja-JP"/>
        </w:rPr>
        <w:t xml:space="preserve"> validly filed, the party filing the evidence must:</w:t>
      </w:r>
    </w:p>
    <w:p w14:paraId="0ABC6A0C" w14:textId="5F0B51BB" w:rsidR="008763EC" w:rsidRPr="009D679D" w:rsidRDefault="008763EC" w:rsidP="00892CB7">
      <w:pPr>
        <w:pStyle w:val="ListParagraph"/>
        <w:numPr>
          <w:ilvl w:val="0"/>
          <w:numId w:val="71"/>
        </w:numPr>
      </w:pPr>
      <w:r w:rsidRPr="009D679D">
        <w:t>give a copy of the evidence to each other party</w:t>
      </w:r>
    </w:p>
    <w:p w14:paraId="36D50563" w14:textId="75AA4421" w:rsidR="008763EC" w:rsidRDefault="008763EC" w:rsidP="00892CB7">
      <w:pPr>
        <w:pStyle w:val="ListParagraph"/>
        <w:numPr>
          <w:ilvl w:val="0"/>
          <w:numId w:val="71"/>
        </w:numPr>
      </w:pPr>
      <w:r w:rsidRPr="009D679D">
        <w:t>include, with the evidence being filed, a statement setting out when and how a cop</w:t>
      </w:r>
      <w:r w:rsidR="00013206">
        <w:t>y was given to each other party,</w:t>
      </w:r>
      <w:r w:rsidR="00B95FAE">
        <w:t xml:space="preserve"> and</w:t>
      </w:r>
    </w:p>
    <w:p w14:paraId="537A84A1" w14:textId="65CBA0D6" w:rsidR="00B95FAE" w:rsidRDefault="00B95FAE" w:rsidP="00892CB7">
      <w:pPr>
        <w:pStyle w:val="ListParagraph"/>
        <w:numPr>
          <w:ilvl w:val="0"/>
          <w:numId w:val="71"/>
        </w:numPr>
      </w:pPr>
      <w:r>
        <w:t>pay the fee for filing of e</w:t>
      </w:r>
      <w:r w:rsidR="00D24CD7">
        <w:t>vidence prescribed in section 55</w:t>
      </w:r>
      <w:r>
        <w:t xml:space="preserve">.  </w:t>
      </w:r>
    </w:p>
    <w:p w14:paraId="4096D9C6" w14:textId="01008134" w:rsidR="008763EC" w:rsidRPr="009D679D" w:rsidRDefault="00D24CD7" w:rsidP="00C21613">
      <w:pPr>
        <w:pStyle w:val="Provision"/>
      </w:pPr>
      <w:r>
        <w:t>Section 52</w:t>
      </w:r>
      <w:r w:rsidR="008763EC" w:rsidRPr="009D679D">
        <w:t xml:space="preserve"> – Withdrawal of application</w:t>
      </w:r>
    </w:p>
    <w:p w14:paraId="1A7FCF08" w14:textId="57F92D51" w:rsidR="008763EC" w:rsidRPr="008763EC" w:rsidRDefault="008763EC" w:rsidP="00C21613">
      <w:pPr>
        <w:rPr>
          <w:rFonts w:eastAsia="Calibri"/>
          <w:i/>
          <w:lang w:eastAsia="ja-JP"/>
        </w:rPr>
      </w:pPr>
      <w:r w:rsidRPr="008763EC">
        <w:rPr>
          <w:lang w:eastAsia="ja-JP"/>
        </w:rPr>
        <w:t xml:space="preserve">This section sets out the procedures for the </w:t>
      </w:r>
      <w:r w:rsidR="00365FE0">
        <w:rPr>
          <w:lang w:eastAsia="ja-JP"/>
        </w:rPr>
        <w:t>Registrar of Trade Marks</w:t>
      </w:r>
      <w:r w:rsidRPr="008763EC">
        <w:rPr>
          <w:lang w:eastAsia="ja-JP"/>
        </w:rPr>
        <w:t xml:space="preserve"> to respond</w:t>
      </w:r>
      <w:r w:rsidRPr="008763EC">
        <w:rPr>
          <w:rFonts w:eastAsia="Calibri"/>
          <w:lang w:eastAsia="ja-JP"/>
        </w:rPr>
        <w:t xml:space="preserve"> if the application is withdrawn.</w:t>
      </w:r>
    </w:p>
    <w:p w14:paraId="3436266C" w14:textId="191A7B94" w:rsidR="008763EC" w:rsidRPr="008763EC" w:rsidRDefault="008763EC" w:rsidP="00C21613">
      <w:pPr>
        <w:rPr>
          <w:rFonts w:eastAsia="Calibri"/>
          <w:i/>
          <w:lang w:eastAsia="ja-JP"/>
        </w:rPr>
      </w:pPr>
      <w:r w:rsidRPr="008763EC">
        <w:rPr>
          <w:rFonts w:eastAsia="Calibri"/>
          <w:lang w:eastAsia="ja-JP"/>
        </w:rPr>
        <w:t xml:space="preserve">The </w:t>
      </w:r>
      <w:r w:rsidR="00365FE0">
        <w:rPr>
          <w:rFonts w:eastAsia="Calibri"/>
          <w:lang w:eastAsia="ja-JP"/>
        </w:rPr>
        <w:t>Registrar of Trade Marks</w:t>
      </w:r>
      <w:r w:rsidRPr="008763EC">
        <w:rPr>
          <w:rFonts w:eastAsia="Calibri"/>
          <w:lang w:eastAsia="ja-JP"/>
        </w:rPr>
        <w:t xml:space="preserve"> must notify the other parties in writing if the applicant under paragraph 40RE(1)(b) of the Act withdraws the application before the </w:t>
      </w:r>
      <w:r w:rsidR="00365FE0">
        <w:rPr>
          <w:rFonts w:eastAsia="Calibri"/>
          <w:lang w:eastAsia="ja-JP"/>
        </w:rPr>
        <w:t>Registrar of Trade Marks</w:t>
      </w:r>
      <w:r w:rsidRPr="008763EC">
        <w:rPr>
          <w:rFonts w:eastAsia="Calibri"/>
          <w:lang w:eastAsia="ja-JP"/>
        </w:rPr>
        <w:t xml:space="preserve"> has made a decision under subsection 40RE(1) of the Act.</w:t>
      </w:r>
    </w:p>
    <w:p w14:paraId="1C6CBFC6" w14:textId="6E4E6D33" w:rsidR="008763EC" w:rsidRPr="008763EC" w:rsidRDefault="008763EC" w:rsidP="00C21613">
      <w:pPr>
        <w:rPr>
          <w:rFonts w:eastAsia="Calibri"/>
          <w:i/>
          <w:lang w:eastAsia="ja-JP"/>
        </w:rPr>
      </w:pPr>
      <w:r w:rsidRPr="008763EC">
        <w:rPr>
          <w:rFonts w:eastAsia="Calibri"/>
          <w:lang w:eastAsia="ja-JP"/>
        </w:rPr>
        <w:t xml:space="preserve">The </w:t>
      </w:r>
      <w:r w:rsidR="00365FE0">
        <w:rPr>
          <w:rFonts w:eastAsia="Calibri"/>
          <w:lang w:eastAsia="ja-JP"/>
        </w:rPr>
        <w:t>Registrar of Trade Marks</w:t>
      </w:r>
      <w:r w:rsidRPr="008763EC">
        <w:rPr>
          <w:rFonts w:eastAsia="Calibri"/>
          <w:lang w:eastAsia="ja-JP"/>
        </w:rPr>
        <w:t xml:space="preserve"> must continue the proceedings if requested to do so by another pa</w:t>
      </w:r>
      <w:r w:rsidR="00013206">
        <w:rPr>
          <w:rFonts w:eastAsia="Calibri"/>
          <w:lang w:eastAsia="ja-JP"/>
        </w:rPr>
        <w:t>rty, in writing, no later than one</w:t>
      </w:r>
      <w:r w:rsidRPr="008763EC">
        <w:rPr>
          <w:rFonts w:eastAsia="Calibri"/>
          <w:lang w:eastAsia="ja-JP"/>
        </w:rPr>
        <w:t> month of the date of the notification of withdrawal.</w:t>
      </w:r>
    </w:p>
    <w:p w14:paraId="1305CDCC" w14:textId="555C89E0" w:rsidR="008763EC" w:rsidRPr="008763EC" w:rsidRDefault="008763EC" w:rsidP="00C21613">
      <w:pPr>
        <w:rPr>
          <w:rFonts w:eastAsia="Calibri"/>
          <w:i/>
          <w:lang w:eastAsia="ja-JP"/>
        </w:rPr>
      </w:pPr>
      <w:r w:rsidRPr="008763EC">
        <w:rPr>
          <w:rFonts w:eastAsia="Calibri"/>
          <w:lang w:eastAsia="ja-JP"/>
        </w:rPr>
        <w:t xml:space="preserve">This section includes a note that states if no party makes a request to continue the proceedings, the </w:t>
      </w:r>
      <w:r w:rsidR="00365FE0">
        <w:rPr>
          <w:rFonts w:eastAsia="Calibri"/>
          <w:lang w:eastAsia="ja-JP"/>
        </w:rPr>
        <w:t>Registrar of Trade Marks</w:t>
      </w:r>
      <w:r w:rsidRPr="008763EC">
        <w:rPr>
          <w:rFonts w:eastAsia="Calibri"/>
          <w:lang w:eastAsia="ja-JP"/>
        </w:rPr>
        <w:t xml:space="preserve"> must decide that the ground of objection continues to exist, as per section 5</w:t>
      </w:r>
      <w:r w:rsidR="005A264A">
        <w:rPr>
          <w:rFonts w:eastAsia="Calibri"/>
          <w:lang w:eastAsia="ja-JP"/>
        </w:rPr>
        <w:t>3</w:t>
      </w:r>
      <w:r w:rsidRPr="008763EC">
        <w:rPr>
          <w:rFonts w:eastAsia="Calibri"/>
          <w:lang w:eastAsia="ja-JP"/>
        </w:rPr>
        <w:t>.</w:t>
      </w:r>
    </w:p>
    <w:p w14:paraId="17E7E464" w14:textId="51067F10" w:rsidR="008763EC" w:rsidRDefault="008763EC" w:rsidP="00C21613">
      <w:pPr>
        <w:pStyle w:val="Provision"/>
      </w:pPr>
      <w:r w:rsidRPr="009D679D">
        <w:t>Section 5</w:t>
      </w:r>
      <w:r w:rsidR="00D24CD7">
        <w:t>3</w:t>
      </w:r>
      <w:r w:rsidRPr="009D679D">
        <w:t xml:space="preserve"> – Decision by </w:t>
      </w:r>
      <w:r w:rsidR="00365FE0">
        <w:t>Registrar of Trade Marks</w:t>
      </w:r>
    </w:p>
    <w:p w14:paraId="1347D7EA" w14:textId="0CB978AC" w:rsidR="008763EC" w:rsidRPr="008763EC" w:rsidRDefault="008763EC" w:rsidP="00C21613">
      <w:pPr>
        <w:rPr>
          <w:rFonts w:eastAsiaTheme="majorEastAsia"/>
          <w:i/>
          <w:szCs w:val="24"/>
        </w:rPr>
      </w:pPr>
      <w:r w:rsidRPr="009D679D">
        <w:rPr>
          <w:lang w:eastAsia="ja-JP"/>
        </w:rPr>
        <w:t xml:space="preserve">This section sets out the procedures including </w:t>
      </w:r>
      <w:r w:rsidR="007E5322">
        <w:rPr>
          <w:lang w:eastAsia="ja-JP"/>
        </w:rPr>
        <w:t xml:space="preserve">the </w:t>
      </w:r>
      <w:r w:rsidRPr="009D679D">
        <w:rPr>
          <w:lang w:eastAsia="ja-JP"/>
        </w:rPr>
        <w:t xml:space="preserve">timeline for the </w:t>
      </w:r>
      <w:r w:rsidR="00365FE0">
        <w:rPr>
          <w:lang w:eastAsia="ja-JP"/>
        </w:rPr>
        <w:t>Registrar of Trade Marks</w:t>
      </w:r>
      <w:r w:rsidRPr="009D679D">
        <w:rPr>
          <w:lang w:eastAsia="ja-JP"/>
        </w:rPr>
        <w:t xml:space="preserve"> to make a decision on the application</w:t>
      </w:r>
      <w:r w:rsidRPr="009D679D">
        <w:rPr>
          <w:rFonts w:eastAsia="Calibri"/>
          <w:lang w:eastAsia="ja-JP"/>
        </w:rPr>
        <w:t>.</w:t>
      </w:r>
    </w:p>
    <w:p w14:paraId="4632E674" w14:textId="24C5A019" w:rsidR="008763EC" w:rsidRPr="009D679D" w:rsidRDefault="008763EC" w:rsidP="00C21613">
      <w:pPr>
        <w:rPr>
          <w:lang w:eastAsia="ja-JP"/>
        </w:rPr>
      </w:pPr>
      <w:r w:rsidRPr="009D679D">
        <w:rPr>
          <w:lang w:eastAsia="ja-JP"/>
        </w:rPr>
        <w:lastRenderedPageBreak/>
        <w:t xml:space="preserve">The </w:t>
      </w:r>
      <w:r w:rsidR="00365FE0">
        <w:rPr>
          <w:lang w:eastAsia="ja-JP"/>
        </w:rPr>
        <w:t>Registrar of Trade Marks</w:t>
      </w:r>
      <w:r w:rsidRPr="009D679D">
        <w:rPr>
          <w:lang w:eastAsia="ja-JP"/>
        </w:rPr>
        <w:t xml:space="preserve"> must, as soon as practicable after all periods for the filing of evidence or requesting conduct of a hearing have ended (and, if a hearing was requested, after this hearing was held), make a decision on whether the ground of objection no longer exists. The </w:t>
      </w:r>
      <w:r w:rsidR="00365FE0">
        <w:rPr>
          <w:lang w:eastAsia="ja-JP"/>
        </w:rPr>
        <w:t>Registrar of Trade Marks</w:t>
      </w:r>
      <w:r w:rsidR="007E5322">
        <w:rPr>
          <w:lang w:eastAsia="ja-JP"/>
        </w:rPr>
        <w:t xml:space="preserve"> must</w:t>
      </w:r>
      <w:r w:rsidRPr="009D679D">
        <w:rPr>
          <w:lang w:eastAsia="ja-JP"/>
        </w:rPr>
        <w:t xml:space="preserve"> do this by considering:</w:t>
      </w:r>
    </w:p>
    <w:p w14:paraId="29BFBDB1" w14:textId="1CADC077" w:rsidR="008763EC" w:rsidRPr="009D679D" w:rsidRDefault="008763EC" w:rsidP="00892CB7">
      <w:pPr>
        <w:pStyle w:val="ListParagraph"/>
        <w:numPr>
          <w:ilvl w:val="0"/>
          <w:numId w:val="71"/>
        </w:numPr>
      </w:pPr>
      <w:r w:rsidRPr="009D679D">
        <w:t>the evidence filed by the parties</w:t>
      </w:r>
    </w:p>
    <w:p w14:paraId="3BDD0911" w14:textId="70C4B157" w:rsidR="008763EC" w:rsidRPr="009D679D" w:rsidRDefault="008763EC" w:rsidP="00892CB7">
      <w:pPr>
        <w:pStyle w:val="ListParagraph"/>
        <w:numPr>
          <w:ilvl w:val="0"/>
          <w:numId w:val="71"/>
        </w:numPr>
      </w:pPr>
      <w:r w:rsidRPr="009D679D">
        <w:t xml:space="preserve">if a hearing </w:t>
      </w:r>
      <w:r w:rsidR="00E15B4E">
        <w:t>was</w:t>
      </w:r>
      <w:r w:rsidRPr="009D679D">
        <w:t xml:space="preserve"> held—representations and material from the hearing and any wri</w:t>
      </w:r>
      <w:r w:rsidR="006A1F55">
        <w:t>tten submissions by the parties,</w:t>
      </w:r>
      <w:r w:rsidRPr="009D679D">
        <w:t xml:space="preserve"> and</w:t>
      </w:r>
    </w:p>
    <w:p w14:paraId="29B19BE2" w14:textId="25B8AF1A" w:rsidR="008763EC" w:rsidRPr="009D679D" w:rsidRDefault="008763EC" w:rsidP="00892CB7">
      <w:pPr>
        <w:pStyle w:val="ListParagraph"/>
        <w:numPr>
          <w:ilvl w:val="0"/>
          <w:numId w:val="71"/>
        </w:numPr>
      </w:pPr>
      <w:r w:rsidRPr="009D679D">
        <w:t xml:space="preserve">any other matter that the </w:t>
      </w:r>
      <w:r w:rsidR="00365FE0">
        <w:t>Registrar of Trade Marks</w:t>
      </w:r>
      <w:r w:rsidRPr="009D679D">
        <w:t xml:space="preserve"> considers relevant.</w:t>
      </w:r>
    </w:p>
    <w:p w14:paraId="1DB5E440" w14:textId="44D45B57" w:rsidR="008763EC" w:rsidRPr="009D679D" w:rsidRDefault="008763EC" w:rsidP="00C21613">
      <w:pPr>
        <w:rPr>
          <w:lang w:eastAsia="ja-JP"/>
        </w:rPr>
      </w:pPr>
      <w:r w:rsidRPr="009D679D">
        <w:rPr>
          <w:lang w:eastAsia="ja-JP"/>
        </w:rPr>
        <w:t xml:space="preserve">The </w:t>
      </w:r>
      <w:r w:rsidR="00365FE0">
        <w:rPr>
          <w:lang w:eastAsia="ja-JP"/>
        </w:rPr>
        <w:t>Registrar of Trade Marks</w:t>
      </w:r>
      <w:r w:rsidRPr="009D679D">
        <w:rPr>
          <w:lang w:eastAsia="ja-JP"/>
        </w:rPr>
        <w:t xml:space="preserve"> must not make a decision on whether the ground of obje</w:t>
      </w:r>
      <w:r w:rsidR="007E5322">
        <w:rPr>
          <w:lang w:eastAsia="ja-JP"/>
        </w:rPr>
        <w:t>ction no longer exists until any</w:t>
      </w:r>
      <w:r w:rsidRPr="009D679D">
        <w:rPr>
          <w:lang w:eastAsia="ja-JP"/>
        </w:rPr>
        <w:t xml:space="preserve"> removal or cancellation proceedings are complete, if:</w:t>
      </w:r>
    </w:p>
    <w:p w14:paraId="66023919" w14:textId="619E5099" w:rsidR="008763EC" w:rsidRPr="009D679D" w:rsidRDefault="008763EC" w:rsidP="00892CB7">
      <w:pPr>
        <w:pStyle w:val="ListParagraph"/>
        <w:numPr>
          <w:ilvl w:val="0"/>
          <w:numId w:val="71"/>
        </w:numPr>
      </w:pPr>
      <w:r w:rsidRPr="009D679D">
        <w:t>the objection rel</w:t>
      </w:r>
      <w:r w:rsidR="006A1F55">
        <w:t>ates to a registered trade mark,</w:t>
      </w:r>
      <w:r w:rsidRPr="009D679D">
        <w:t xml:space="preserve"> and</w:t>
      </w:r>
    </w:p>
    <w:p w14:paraId="7E5569B7" w14:textId="7269D625" w:rsidR="008763EC" w:rsidRPr="009D679D" w:rsidRDefault="008763EC" w:rsidP="00892CB7">
      <w:pPr>
        <w:pStyle w:val="ListParagraph"/>
        <w:numPr>
          <w:ilvl w:val="0"/>
          <w:numId w:val="71"/>
        </w:numPr>
      </w:pPr>
      <w:r w:rsidRPr="009D679D">
        <w:t xml:space="preserve">the registered trade mark is the subject of </w:t>
      </w:r>
      <w:r w:rsidR="007E5322">
        <w:t xml:space="preserve">those </w:t>
      </w:r>
      <w:r w:rsidRPr="009D679D">
        <w:t>removal or cancellation proceedings.</w:t>
      </w:r>
    </w:p>
    <w:p w14:paraId="2DC5986E" w14:textId="2AE134A7" w:rsidR="008763EC" w:rsidRPr="009D679D" w:rsidRDefault="008763EC" w:rsidP="00C21613">
      <w:pPr>
        <w:rPr>
          <w:lang w:eastAsia="ja-JP"/>
        </w:rPr>
      </w:pPr>
      <w:r w:rsidRPr="009D679D">
        <w:rPr>
          <w:lang w:eastAsia="ja-JP"/>
        </w:rPr>
        <w:t xml:space="preserve">The </w:t>
      </w:r>
      <w:r w:rsidR="00365FE0">
        <w:rPr>
          <w:lang w:eastAsia="ja-JP"/>
        </w:rPr>
        <w:t>Registrar of Trade Marks</w:t>
      </w:r>
      <w:r w:rsidRPr="009D679D">
        <w:rPr>
          <w:lang w:eastAsia="ja-JP"/>
        </w:rPr>
        <w:t xml:space="preserve"> must decide that the ground of objection continues to exist if no party files evidence within the </w:t>
      </w:r>
      <w:r>
        <w:rPr>
          <w:lang w:eastAsia="ja-JP"/>
        </w:rPr>
        <w:t xml:space="preserve">period mentioned in </w:t>
      </w:r>
      <w:r w:rsidR="007E5322">
        <w:rPr>
          <w:lang w:eastAsia="ja-JP"/>
        </w:rPr>
        <w:t>paragraph</w:t>
      </w:r>
      <w:r>
        <w:rPr>
          <w:lang w:eastAsia="ja-JP"/>
        </w:rPr>
        <w:t xml:space="preserve"> 47</w:t>
      </w:r>
      <w:r w:rsidR="007E5322">
        <w:rPr>
          <w:lang w:eastAsia="ja-JP"/>
        </w:rPr>
        <w:t>(1)(c)</w:t>
      </w:r>
      <w:r>
        <w:rPr>
          <w:lang w:eastAsia="ja-JP"/>
        </w:rPr>
        <w:t xml:space="preserve"> (</w:t>
      </w:r>
      <w:r w:rsidR="006A1F55">
        <w:rPr>
          <w:lang w:eastAsia="ja-JP"/>
        </w:rPr>
        <w:t>three</w:t>
      </w:r>
      <w:r w:rsidRPr="009D679D">
        <w:rPr>
          <w:lang w:eastAsia="ja-JP"/>
        </w:rPr>
        <w:t xml:space="preserve"> months from the date of the notice</w:t>
      </w:r>
      <w:r>
        <w:rPr>
          <w:lang w:eastAsia="ja-JP"/>
        </w:rPr>
        <w:t>)</w:t>
      </w:r>
      <w:r w:rsidRPr="009D679D">
        <w:rPr>
          <w:lang w:eastAsia="ja-JP"/>
        </w:rPr>
        <w:t>.</w:t>
      </w:r>
    </w:p>
    <w:p w14:paraId="10756CAF" w14:textId="3119C886" w:rsidR="008763EC" w:rsidRPr="009D679D" w:rsidRDefault="008763EC" w:rsidP="00C21613">
      <w:pPr>
        <w:rPr>
          <w:lang w:eastAsia="ja-JP"/>
        </w:rPr>
      </w:pPr>
      <w:r w:rsidRPr="009D679D">
        <w:rPr>
          <w:lang w:eastAsia="ja-JP"/>
        </w:rPr>
        <w:t xml:space="preserve">The </w:t>
      </w:r>
      <w:r w:rsidR="00365FE0">
        <w:rPr>
          <w:lang w:eastAsia="ja-JP"/>
        </w:rPr>
        <w:t>Registrar of Trade Marks</w:t>
      </w:r>
      <w:r w:rsidRPr="009D679D">
        <w:rPr>
          <w:lang w:eastAsia="ja-JP"/>
        </w:rPr>
        <w:t xml:space="preserve"> must decide that the ground of objection continues to exist if:</w:t>
      </w:r>
    </w:p>
    <w:p w14:paraId="03D73C4F" w14:textId="0F949CE8" w:rsidR="008763EC" w:rsidRPr="009D679D" w:rsidRDefault="008763EC" w:rsidP="00892CB7">
      <w:pPr>
        <w:pStyle w:val="ListParagraph"/>
        <w:numPr>
          <w:ilvl w:val="0"/>
          <w:numId w:val="71"/>
        </w:numPr>
      </w:pPr>
      <w:r w:rsidRPr="009D679D">
        <w:t>the applicant</w:t>
      </w:r>
      <w:r>
        <w:t>,</w:t>
      </w:r>
      <w:r w:rsidRPr="009D679D">
        <w:t xml:space="preserve"> </w:t>
      </w:r>
      <w:r>
        <w:t xml:space="preserve">for a decision that the ground of objection no longer exists, </w:t>
      </w:r>
      <w:r w:rsidR="006A1F55">
        <w:t>withdraws the application,</w:t>
      </w:r>
      <w:r w:rsidRPr="009D679D">
        <w:t xml:space="preserve"> and</w:t>
      </w:r>
    </w:p>
    <w:p w14:paraId="73316828" w14:textId="6D33190E" w:rsidR="008763EC" w:rsidRPr="009D679D" w:rsidRDefault="008763EC" w:rsidP="00892CB7">
      <w:pPr>
        <w:pStyle w:val="ListParagraph"/>
        <w:numPr>
          <w:ilvl w:val="0"/>
          <w:numId w:val="71"/>
        </w:numPr>
      </w:pPr>
      <w:r w:rsidRPr="009D679D">
        <w:t xml:space="preserve">no other party makes a request to continue </w:t>
      </w:r>
      <w:r w:rsidR="005A264A">
        <w:t>the proceedings under section 52</w:t>
      </w:r>
      <w:r w:rsidRPr="009D679D">
        <w:t>.</w:t>
      </w:r>
    </w:p>
    <w:p w14:paraId="42C6B51D" w14:textId="5E2E4F1B" w:rsidR="008763EC" w:rsidRPr="009D679D" w:rsidRDefault="008763EC" w:rsidP="00C21613">
      <w:pPr>
        <w:pStyle w:val="Provision"/>
      </w:pPr>
      <w:r w:rsidRPr="009D679D">
        <w:t>Section 5</w:t>
      </w:r>
      <w:r w:rsidR="00D24CD7">
        <w:t>4</w:t>
      </w:r>
      <w:r w:rsidRPr="009D679D">
        <w:t xml:space="preserve"> – Notice of decision</w:t>
      </w:r>
    </w:p>
    <w:p w14:paraId="2CBE80C7" w14:textId="7A6F2600" w:rsidR="008763EC" w:rsidRDefault="008763EC" w:rsidP="00C21613">
      <w:pPr>
        <w:rPr>
          <w:rFonts w:eastAsia="Calibri"/>
          <w:i/>
          <w:lang w:eastAsia="ja-JP"/>
        </w:rPr>
      </w:pPr>
      <w:r w:rsidRPr="009D679D">
        <w:rPr>
          <w:rFonts w:eastAsia="Calibri"/>
          <w:lang w:eastAsia="ja-JP"/>
        </w:rPr>
        <w:t xml:space="preserve">This section sets out the procedures the </w:t>
      </w:r>
      <w:r w:rsidR="00365FE0">
        <w:rPr>
          <w:rFonts w:eastAsia="Calibri"/>
          <w:lang w:eastAsia="ja-JP"/>
        </w:rPr>
        <w:t>Registrar of Trade Marks</w:t>
      </w:r>
      <w:r w:rsidRPr="009D679D">
        <w:rPr>
          <w:rFonts w:eastAsia="Calibri"/>
          <w:lang w:eastAsia="ja-JP"/>
        </w:rPr>
        <w:t xml:space="preserve"> and the Presiding Member of the </w:t>
      </w:r>
      <w:r w:rsidR="00802321">
        <w:rPr>
          <w:rFonts w:eastAsia="Calibri"/>
          <w:lang w:eastAsia="ja-JP"/>
        </w:rPr>
        <w:t>Committee</w:t>
      </w:r>
      <w:r w:rsidRPr="009D679D">
        <w:rPr>
          <w:rFonts w:eastAsia="Calibri"/>
          <w:lang w:eastAsia="ja-JP"/>
        </w:rPr>
        <w:t xml:space="preserve"> must undertake, once the </w:t>
      </w:r>
      <w:r w:rsidR="00365FE0">
        <w:rPr>
          <w:rFonts w:eastAsia="Calibri"/>
          <w:lang w:eastAsia="ja-JP"/>
        </w:rPr>
        <w:t>Registrar of Trade Marks</w:t>
      </w:r>
      <w:r w:rsidRPr="009D679D">
        <w:rPr>
          <w:rFonts w:eastAsia="Calibri"/>
          <w:lang w:eastAsia="ja-JP"/>
        </w:rPr>
        <w:t xml:space="preserve"> has made a decision.</w:t>
      </w:r>
    </w:p>
    <w:p w14:paraId="13BFD673" w14:textId="34DD922B" w:rsidR="008763EC" w:rsidRPr="009D679D" w:rsidRDefault="008763EC" w:rsidP="00C21613">
      <w:pPr>
        <w:rPr>
          <w:rFonts w:eastAsia="Calibri"/>
          <w:i/>
          <w:lang w:eastAsia="ja-JP"/>
        </w:rPr>
      </w:pPr>
      <w:r w:rsidRPr="009D679D">
        <w:rPr>
          <w:rFonts w:eastAsia="Calibri"/>
          <w:lang w:eastAsia="ja-JP"/>
        </w:rPr>
        <w:t xml:space="preserve">The </w:t>
      </w:r>
      <w:r w:rsidR="00365FE0">
        <w:rPr>
          <w:rFonts w:eastAsia="Calibri"/>
          <w:lang w:eastAsia="ja-JP"/>
        </w:rPr>
        <w:t>Registrar of Trade Marks</w:t>
      </w:r>
      <w:r w:rsidRPr="009D679D">
        <w:rPr>
          <w:rFonts w:eastAsia="Calibri"/>
          <w:lang w:eastAsia="ja-JP"/>
        </w:rPr>
        <w:t xml:space="preserve"> must inform, in writing, the </w:t>
      </w:r>
      <w:r w:rsidR="00802321">
        <w:rPr>
          <w:rFonts w:eastAsia="Calibri"/>
          <w:lang w:eastAsia="ja-JP"/>
        </w:rPr>
        <w:t>Committee</w:t>
      </w:r>
      <w:r w:rsidRPr="009D679D">
        <w:rPr>
          <w:rFonts w:eastAsia="Calibri"/>
          <w:lang w:eastAsia="ja-JP"/>
        </w:rPr>
        <w:t xml:space="preserve"> and each party of </w:t>
      </w:r>
      <w:r w:rsidR="00E15B4E" w:rsidRPr="009D679D">
        <w:rPr>
          <w:lang w:eastAsia="ja-JP"/>
        </w:rPr>
        <w:t xml:space="preserve">the </w:t>
      </w:r>
      <w:r w:rsidR="00E15B4E">
        <w:rPr>
          <w:lang w:eastAsia="ja-JP"/>
        </w:rPr>
        <w:t>Registrar of Trade Marks’</w:t>
      </w:r>
      <w:r w:rsidR="007E5322">
        <w:rPr>
          <w:rFonts w:eastAsia="Calibri"/>
          <w:lang w:eastAsia="ja-JP"/>
        </w:rPr>
        <w:t xml:space="preserve"> decision in relation to the existence of the ground of objection (under section 53)</w:t>
      </w:r>
      <w:r w:rsidRPr="009D679D">
        <w:rPr>
          <w:rFonts w:eastAsia="Calibri"/>
          <w:lang w:eastAsia="ja-JP"/>
        </w:rPr>
        <w:t>.</w:t>
      </w:r>
    </w:p>
    <w:p w14:paraId="4192C575" w14:textId="503AB9B5" w:rsidR="008763EC" w:rsidRPr="009D679D" w:rsidRDefault="008763EC" w:rsidP="00C21613">
      <w:pPr>
        <w:rPr>
          <w:rFonts w:eastAsia="Calibri"/>
          <w:i/>
          <w:lang w:eastAsia="ja-JP"/>
        </w:rPr>
      </w:pPr>
      <w:r w:rsidRPr="009D679D">
        <w:rPr>
          <w:rFonts w:eastAsia="Calibri"/>
          <w:lang w:eastAsia="ja-JP"/>
        </w:rPr>
        <w:t xml:space="preserve">After receiving notice of a decision from the </w:t>
      </w:r>
      <w:r w:rsidR="00365FE0">
        <w:rPr>
          <w:rFonts w:eastAsia="Calibri"/>
          <w:lang w:eastAsia="ja-JP"/>
        </w:rPr>
        <w:t>Registrar of Trade Marks</w:t>
      </w:r>
      <w:r w:rsidRPr="009D679D">
        <w:rPr>
          <w:rFonts w:eastAsia="Calibri"/>
          <w:lang w:eastAsia="ja-JP"/>
        </w:rPr>
        <w:t xml:space="preserve">, the Presiding Member of the </w:t>
      </w:r>
      <w:r w:rsidR="00802321">
        <w:rPr>
          <w:rFonts w:eastAsia="Calibri"/>
          <w:lang w:eastAsia="ja-JP"/>
        </w:rPr>
        <w:t>Committee</w:t>
      </w:r>
      <w:r w:rsidRPr="009D679D">
        <w:rPr>
          <w:rFonts w:eastAsia="Calibri"/>
          <w:lang w:eastAsia="ja-JP"/>
        </w:rPr>
        <w:t xml:space="preserve"> must publish a notice:</w:t>
      </w:r>
    </w:p>
    <w:p w14:paraId="36ADDE84" w14:textId="332F9AE0" w:rsidR="008763EC" w:rsidRPr="00892CB7" w:rsidRDefault="006A1F55" w:rsidP="00892CB7">
      <w:pPr>
        <w:pStyle w:val="ListParagraph"/>
        <w:numPr>
          <w:ilvl w:val="0"/>
          <w:numId w:val="71"/>
        </w:numPr>
      </w:pPr>
      <w:r>
        <w:t>setting out the proposed GI</w:t>
      </w:r>
    </w:p>
    <w:p w14:paraId="473E2C98" w14:textId="1B168AF2" w:rsidR="008763EC" w:rsidRPr="00892CB7" w:rsidRDefault="008763EC" w:rsidP="00892CB7">
      <w:pPr>
        <w:pStyle w:val="ListParagraph"/>
        <w:numPr>
          <w:ilvl w:val="0"/>
          <w:numId w:val="71"/>
        </w:numPr>
      </w:pPr>
      <w:r w:rsidRPr="00892CB7">
        <w:t xml:space="preserve">stating that a decision of the </w:t>
      </w:r>
      <w:r w:rsidR="00365FE0" w:rsidRPr="00892CB7">
        <w:t>Registrar of Trade Marks</w:t>
      </w:r>
      <w:r w:rsidRPr="00892CB7">
        <w:t xml:space="preserve"> has been made</w:t>
      </w:r>
      <w:r w:rsidR="006A1F55">
        <w:t xml:space="preserve"> in relation to the proposed GI,</w:t>
      </w:r>
      <w:r w:rsidRPr="00892CB7">
        <w:t xml:space="preserve"> and</w:t>
      </w:r>
    </w:p>
    <w:p w14:paraId="6A58A3F3" w14:textId="267332C4" w:rsidR="008763EC" w:rsidRPr="00892CB7" w:rsidRDefault="008763EC" w:rsidP="00892CB7">
      <w:pPr>
        <w:pStyle w:val="ListParagraph"/>
        <w:numPr>
          <w:ilvl w:val="0"/>
          <w:numId w:val="71"/>
        </w:numPr>
      </w:pPr>
      <w:r w:rsidRPr="00892CB7">
        <w:t>setting out the terms of the decision.</w:t>
      </w:r>
    </w:p>
    <w:p w14:paraId="659680F5" w14:textId="333D3D42" w:rsidR="008763EC" w:rsidRPr="009D679D" w:rsidRDefault="008763EC" w:rsidP="00C21613">
      <w:pPr>
        <w:rPr>
          <w:rFonts w:eastAsia="Calibri"/>
          <w:i/>
          <w:lang w:eastAsia="ja-JP"/>
        </w:rPr>
      </w:pPr>
      <w:r w:rsidRPr="009D679D">
        <w:rPr>
          <w:rFonts w:eastAsia="Calibri"/>
          <w:lang w:eastAsia="ja-JP"/>
        </w:rPr>
        <w:t xml:space="preserve">The notice is to be published in the manner that the </w:t>
      </w:r>
      <w:r w:rsidR="00C21613" w:rsidRPr="00C21613">
        <w:rPr>
          <w:rFonts w:eastAsia="Calibri"/>
          <w:lang w:eastAsia="ja-JP"/>
        </w:rPr>
        <w:t>Committee</w:t>
      </w:r>
      <w:r w:rsidRPr="009D679D">
        <w:rPr>
          <w:rFonts w:eastAsia="Calibri"/>
          <w:lang w:eastAsia="ja-JP"/>
        </w:rPr>
        <w:t xml:space="preserve"> thinks appropriate.</w:t>
      </w:r>
      <w:r>
        <w:rPr>
          <w:rFonts w:eastAsia="Calibri"/>
          <w:lang w:eastAsia="ja-JP"/>
        </w:rPr>
        <w:t xml:space="preserve"> </w:t>
      </w:r>
      <w:r w:rsidRPr="00C21613">
        <w:rPr>
          <w:rFonts w:eastAsia="Calibri"/>
          <w:lang w:eastAsia="ja-JP"/>
        </w:rPr>
        <w:t xml:space="preserve">For example, the Presiding Member </w:t>
      </w:r>
      <w:r w:rsidR="00E15B4E">
        <w:rPr>
          <w:rFonts w:eastAsia="Calibri"/>
          <w:lang w:eastAsia="ja-JP"/>
        </w:rPr>
        <w:t xml:space="preserve">of the Committee </w:t>
      </w:r>
      <w:r w:rsidRPr="00C21613">
        <w:rPr>
          <w:rFonts w:eastAsia="Calibri"/>
          <w:lang w:eastAsia="ja-JP"/>
        </w:rPr>
        <w:t>may publish a notice on the Authority’s website.</w:t>
      </w:r>
      <w:r>
        <w:rPr>
          <w:rFonts w:eastAsia="Calibri"/>
          <w:lang w:eastAsia="ja-JP"/>
        </w:rPr>
        <w:t xml:space="preserve"> </w:t>
      </w:r>
    </w:p>
    <w:p w14:paraId="59DE357B" w14:textId="07B38166" w:rsidR="008763EC" w:rsidRPr="009D679D" w:rsidRDefault="008763EC" w:rsidP="00C21613">
      <w:pPr>
        <w:pStyle w:val="Provision"/>
      </w:pPr>
      <w:r w:rsidRPr="009D679D">
        <w:t>Section 5</w:t>
      </w:r>
      <w:r w:rsidR="00D24CD7">
        <w:t>5</w:t>
      </w:r>
      <w:r w:rsidRPr="009D679D">
        <w:t xml:space="preserve"> – Fees </w:t>
      </w:r>
    </w:p>
    <w:p w14:paraId="1A7FADDE" w14:textId="6D9C9FFF" w:rsidR="00DB6AF5" w:rsidRDefault="00DB6AF5" w:rsidP="00DB6AF5">
      <w:r>
        <w:lastRenderedPageBreak/>
        <w:t xml:space="preserve">This section specifies the fees to be charged by the </w:t>
      </w:r>
      <w:r w:rsidR="00365FE0">
        <w:t>Registrar of Trade Marks</w:t>
      </w:r>
      <w:r>
        <w:t xml:space="preserve"> in relation to dealing with an application for a decision that a ground of objection to a proposed Australian GI no longer exists. </w:t>
      </w:r>
    </w:p>
    <w:p w14:paraId="0C0758A4" w14:textId="5C5D0F05" w:rsidR="00DB6AF5" w:rsidRDefault="00DB6AF5" w:rsidP="00DB6AF5">
      <w:r>
        <w:t xml:space="preserve">The section includes a table of fees for proceedings for the purposes of </w:t>
      </w:r>
      <w:r w:rsidR="00365A70">
        <w:t>this division</w:t>
      </w:r>
      <w:r>
        <w:t xml:space="preserve">. Five matters are set out in Column 1 of the table, for which each party may be liable to pay the corresponding fee in Column 2 to the </w:t>
      </w:r>
      <w:r w:rsidR="00365FE0">
        <w:t>Registrar of Trade Marks</w:t>
      </w:r>
      <w:r>
        <w:t>:</w:t>
      </w:r>
    </w:p>
    <w:p w14:paraId="10E05456" w14:textId="40E8A4D7" w:rsidR="00DB6AF5" w:rsidRDefault="007E1D91" w:rsidP="00892CB7">
      <w:pPr>
        <w:pStyle w:val="ListParagraph"/>
        <w:numPr>
          <w:ilvl w:val="0"/>
          <w:numId w:val="71"/>
        </w:numPr>
      </w:pPr>
      <w:r>
        <w:t>d</w:t>
      </w:r>
      <w:r w:rsidR="00DB6AF5">
        <w:t xml:space="preserve">ealing with an application </w:t>
      </w:r>
      <w:r w:rsidR="006500CD">
        <w:t xml:space="preserve">for a decision that a ground of objection no longer exists </w:t>
      </w:r>
      <w:r w:rsidR="00DB6AF5">
        <w:t xml:space="preserve">(payable by the </w:t>
      </w:r>
      <w:r>
        <w:t>party making the application): $500</w:t>
      </w:r>
    </w:p>
    <w:p w14:paraId="09102908" w14:textId="1521C611" w:rsidR="00DB6AF5" w:rsidRDefault="007E1D91" w:rsidP="00892CB7">
      <w:pPr>
        <w:pStyle w:val="ListParagraph"/>
        <w:numPr>
          <w:ilvl w:val="0"/>
          <w:numId w:val="71"/>
        </w:numPr>
      </w:pPr>
      <w:r>
        <w:t>f</w:t>
      </w:r>
      <w:r w:rsidR="00DB6AF5">
        <w:t xml:space="preserve">iling evidence in </w:t>
      </w:r>
      <w:r w:rsidR="005A264A">
        <w:t>relation to</w:t>
      </w:r>
      <w:r w:rsidR="00DB6AF5">
        <w:t xml:space="preserve"> the </w:t>
      </w:r>
      <w:r w:rsidR="006500CD">
        <w:t>application (sectio</w:t>
      </w:r>
      <w:r w:rsidR="005A264A">
        <w:t>n 47</w:t>
      </w:r>
      <w:r w:rsidR="00DB6AF5">
        <w:t>)</w:t>
      </w:r>
      <w:r w:rsidR="005A264A">
        <w:t>, evidence in answer (section 48</w:t>
      </w:r>
      <w:r w:rsidR="006500CD">
        <w:t>) or new evidence (section 49</w:t>
      </w:r>
      <w:r>
        <w:t>): $375</w:t>
      </w:r>
    </w:p>
    <w:p w14:paraId="4C02DDD0" w14:textId="7E0A4CB5" w:rsidR="00DB6AF5" w:rsidRDefault="007E1D91" w:rsidP="00892CB7">
      <w:pPr>
        <w:pStyle w:val="ListParagraph"/>
        <w:numPr>
          <w:ilvl w:val="0"/>
          <w:numId w:val="71"/>
        </w:numPr>
      </w:pPr>
      <w:r>
        <w:t>r</w:t>
      </w:r>
      <w:r w:rsidR="00DB6AF5">
        <w:t>equ</w:t>
      </w:r>
      <w:r w:rsidR="006500CD">
        <w:t>e</w:t>
      </w:r>
      <w:r w:rsidR="005A264A">
        <w:t>sting a hearing under section 50</w:t>
      </w:r>
      <w:r>
        <w:t>: $500</w:t>
      </w:r>
    </w:p>
    <w:p w14:paraId="25046076" w14:textId="74891A93" w:rsidR="00DB6AF5" w:rsidRDefault="007E1D91" w:rsidP="00892CB7">
      <w:pPr>
        <w:pStyle w:val="ListParagraph"/>
        <w:numPr>
          <w:ilvl w:val="0"/>
          <w:numId w:val="71"/>
        </w:numPr>
      </w:pPr>
      <w:r>
        <w:t>a</w:t>
      </w:r>
      <w:r w:rsidR="00DB6AF5">
        <w:t>ttendance at a hearing: $500 per day or part of a day that the hearing is attended, with the fee for requesting a hearing deducte</w:t>
      </w:r>
      <w:r>
        <w:t>d from the total amount payable, and</w:t>
      </w:r>
    </w:p>
    <w:p w14:paraId="3CB6A0E7" w14:textId="559DDA1F" w:rsidR="008763EC" w:rsidRDefault="00DB6AF5" w:rsidP="00892CB7">
      <w:pPr>
        <w:pStyle w:val="ListParagraph"/>
        <w:numPr>
          <w:ilvl w:val="0"/>
          <w:numId w:val="71"/>
        </w:numPr>
      </w:pPr>
      <w:r>
        <w:t>Applying to fi</w:t>
      </w:r>
      <w:r w:rsidR="006500CD">
        <w:t>le new evidence under section 49</w:t>
      </w:r>
      <w:r>
        <w:t xml:space="preserve">: $100. </w:t>
      </w:r>
    </w:p>
    <w:p w14:paraId="34A1F4F2" w14:textId="77777777" w:rsidR="00750913" w:rsidRDefault="00750913" w:rsidP="00750913">
      <w:r>
        <w:t xml:space="preserve">These fees have been calculated by reference to identified costs for dealing with an objection and are broadly aligned with the fees payable to the Registrar of Trade Marks prescribed in Schedule 9 of the </w:t>
      </w:r>
      <w:r w:rsidRPr="00750913">
        <w:rPr>
          <w:i/>
        </w:rPr>
        <w:t>Trade Marks Regulations 1995</w:t>
      </w:r>
      <w:r>
        <w:t>.</w:t>
      </w:r>
    </w:p>
    <w:p w14:paraId="45478300" w14:textId="6D9EBF8A" w:rsidR="008763EC" w:rsidRPr="009D679D" w:rsidRDefault="008763EC" w:rsidP="00C21613">
      <w:pPr>
        <w:pStyle w:val="Provision"/>
      </w:pPr>
      <w:r w:rsidRPr="009D679D">
        <w:t xml:space="preserve">Section </w:t>
      </w:r>
      <w:r w:rsidR="00D24CD7">
        <w:t>56</w:t>
      </w:r>
      <w:r w:rsidRPr="009D679D">
        <w:t xml:space="preserve"> – Costs</w:t>
      </w:r>
    </w:p>
    <w:p w14:paraId="637982F8" w14:textId="4D6E154A" w:rsidR="008763EC" w:rsidRPr="00F8766A" w:rsidRDefault="008763EC" w:rsidP="00C21613">
      <w:pPr>
        <w:rPr>
          <w:lang w:eastAsia="ja-JP"/>
        </w:rPr>
      </w:pPr>
      <w:r>
        <w:rPr>
          <w:lang w:eastAsia="ja-JP"/>
        </w:rPr>
        <w:t>This section provides that t</w:t>
      </w:r>
      <w:r w:rsidRPr="009D679D">
        <w:rPr>
          <w:lang w:eastAsia="ja-JP"/>
        </w:rPr>
        <w:t xml:space="preserve">he </w:t>
      </w:r>
      <w:r w:rsidR="00365FE0">
        <w:rPr>
          <w:lang w:eastAsia="ja-JP"/>
        </w:rPr>
        <w:t>Registrar of Trade Marks</w:t>
      </w:r>
      <w:r w:rsidRPr="009D679D">
        <w:rPr>
          <w:lang w:eastAsia="ja-JP"/>
        </w:rPr>
        <w:t xml:space="preserve"> must not make an order for costs in proceedings mentioned in </w:t>
      </w:r>
      <w:r w:rsidR="00365A70">
        <w:rPr>
          <w:lang w:eastAsia="ja-JP"/>
        </w:rPr>
        <w:t>this division</w:t>
      </w:r>
      <w:r w:rsidRPr="009D679D">
        <w:rPr>
          <w:lang w:eastAsia="ja-JP"/>
        </w:rPr>
        <w:t>.</w:t>
      </w:r>
    </w:p>
    <w:p w14:paraId="2B4CA478" w14:textId="1EA702DF" w:rsidR="00293BF3" w:rsidRPr="008763EC" w:rsidRDefault="00A80AAF" w:rsidP="0088376F">
      <w:pPr>
        <w:pStyle w:val="Heading3"/>
      </w:pPr>
      <w:r w:rsidRPr="00A80AAF">
        <w:t>Division 4</w:t>
      </w:r>
      <w:r w:rsidR="000C3C04" w:rsidRPr="009E5369">
        <w:t>—</w:t>
      </w:r>
      <w:r w:rsidRPr="00A80AAF">
        <w:t>Criteria for determining Australian GIs</w:t>
      </w:r>
    </w:p>
    <w:p w14:paraId="0E7CCA21" w14:textId="12BA4407" w:rsidR="004230DF" w:rsidRPr="004230DF" w:rsidRDefault="00D24CD7" w:rsidP="00C21613">
      <w:pPr>
        <w:pStyle w:val="Provision"/>
      </w:pPr>
      <w:r>
        <w:t>Section 57</w:t>
      </w:r>
      <w:r w:rsidR="004230DF" w:rsidRPr="004230DF">
        <w:t xml:space="preserve"> – </w:t>
      </w:r>
      <w:r>
        <w:t>Criteria for determining g</w:t>
      </w:r>
      <w:r w:rsidR="004230DF" w:rsidRPr="004230DF">
        <w:t xml:space="preserve">eographical </w:t>
      </w:r>
      <w:r>
        <w:t>indications</w:t>
      </w:r>
    </w:p>
    <w:p w14:paraId="64631759" w14:textId="4F63EB50" w:rsidR="004230DF" w:rsidRDefault="004230DF" w:rsidP="00C21613">
      <w:pPr>
        <w:rPr>
          <w:rFonts w:eastAsia="Calibri"/>
        </w:rPr>
      </w:pPr>
      <w:r w:rsidRPr="004230DF">
        <w:rPr>
          <w:rFonts w:eastAsia="Calibri"/>
        </w:rPr>
        <w:t xml:space="preserve">This section outlines the criteria which the </w:t>
      </w:r>
      <w:r w:rsidR="00C21613" w:rsidRPr="00C21613">
        <w:rPr>
          <w:rFonts w:eastAsia="Calibri"/>
        </w:rPr>
        <w:t>Committee</w:t>
      </w:r>
      <w:r w:rsidRPr="004230DF">
        <w:rPr>
          <w:rFonts w:eastAsia="Calibri"/>
        </w:rPr>
        <w:t xml:space="preserve"> must have regard to when determining a</w:t>
      </w:r>
      <w:r w:rsidR="00E15B4E">
        <w:rPr>
          <w:rFonts w:eastAsia="Calibri"/>
        </w:rPr>
        <w:t>n Australian</w:t>
      </w:r>
      <w:r w:rsidRPr="004230DF">
        <w:rPr>
          <w:rFonts w:eastAsia="Calibri"/>
        </w:rPr>
        <w:t xml:space="preserve"> GI under section 40T of the Act. The section sets out the criteria for determining the boundaries of the GI, and the name of the GI (the indication).</w:t>
      </w:r>
    </w:p>
    <w:p w14:paraId="60914AA3" w14:textId="40E93471" w:rsidR="00573EE4" w:rsidRPr="00573EE4" w:rsidRDefault="00573EE4" w:rsidP="00C21613">
      <w:pPr>
        <w:rPr>
          <w:rFonts w:eastAsia="Calibri"/>
          <w:i/>
        </w:rPr>
      </w:pPr>
      <w:r>
        <w:rPr>
          <w:rFonts w:eastAsia="Calibri"/>
          <w:i/>
        </w:rPr>
        <w:t>Determining the area and identifying its boundaries</w:t>
      </w:r>
    </w:p>
    <w:p w14:paraId="4883967C" w14:textId="299AA540" w:rsidR="004230DF" w:rsidRPr="004230DF" w:rsidRDefault="004230DF" w:rsidP="00C21613">
      <w:pPr>
        <w:rPr>
          <w:rFonts w:eastAsia="Calibri"/>
        </w:rPr>
      </w:pPr>
      <w:r w:rsidRPr="004230DF">
        <w:rPr>
          <w:rFonts w:eastAsia="Calibri"/>
        </w:rPr>
        <w:t xml:space="preserve">In determining the area of the GI, and the boundaries of the area, the </w:t>
      </w:r>
      <w:r w:rsidR="00C21613" w:rsidRPr="00C21613">
        <w:rPr>
          <w:rFonts w:eastAsia="Calibri"/>
        </w:rPr>
        <w:t>Committee</w:t>
      </w:r>
      <w:r w:rsidRPr="004230DF">
        <w:rPr>
          <w:rFonts w:eastAsia="Calibri"/>
        </w:rPr>
        <w:t xml:space="preserve"> is to have regard to the following criteria:</w:t>
      </w:r>
    </w:p>
    <w:p w14:paraId="7B30F520" w14:textId="77777777" w:rsidR="004230DF" w:rsidRPr="00892CB7" w:rsidRDefault="004230DF" w:rsidP="00892CB7">
      <w:pPr>
        <w:pStyle w:val="ListParagraph"/>
        <w:numPr>
          <w:ilvl w:val="0"/>
          <w:numId w:val="71"/>
        </w:numPr>
      </w:pPr>
      <w:r w:rsidRPr="00892CB7">
        <w:t>whether the area usually produces at least 500 tonnes of wine grapes in a year</w:t>
      </w:r>
    </w:p>
    <w:p w14:paraId="2038C3EA" w14:textId="77777777" w:rsidR="004230DF" w:rsidRPr="00892CB7" w:rsidRDefault="004230DF" w:rsidP="00892CB7">
      <w:pPr>
        <w:pStyle w:val="ListParagraph"/>
        <w:numPr>
          <w:ilvl w:val="0"/>
          <w:numId w:val="71"/>
        </w:numPr>
      </w:pPr>
      <w:r w:rsidRPr="00892CB7">
        <w:t>whether the area includes at least five wine grape vineyards of at least five hectares each, that have different owners</w:t>
      </w:r>
    </w:p>
    <w:p w14:paraId="5BBAD1C4" w14:textId="290E4105" w:rsidR="008867F7" w:rsidRDefault="008867F7" w:rsidP="00892CB7">
      <w:pPr>
        <w:pStyle w:val="ListParagraph"/>
        <w:numPr>
          <w:ilvl w:val="0"/>
          <w:numId w:val="71"/>
        </w:numPr>
      </w:pPr>
      <w:r>
        <w:t>whether the area is a single tract of land</w:t>
      </w:r>
    </w:p>
    <w:p w14:paraId="3CC0A214" w14:textId="68DA13F9" w:rsidR="004230DF" w:rsidRPr="00892CB7" w:rsidRDefault="004230DF" w:rsidP="00892CB7">
      <w:pPr>
        <w:pStyle w:val="ListParagraph"/>
        <w:numPr>
          <w:ilvl w:val="0"/>
          <w:numId w:val="71"/>
        </w:numPr>
      </w:pPr>
      <w:r w:rsidRPr="00892CB7">
        <w:t>the degree of uniformi</w:t>
      </w:r>
      <w:r w:rsidR="007E5322" w:rsidRPr="00892CB7">
        <w:t>ty of grape growing attributes and any</w:t>
      </w:r>
      <w:r w:rsidRPr="00892CB7">
        <w:t xml:space="preserve"> difference</w:t>
      </w:r>
      <w:r w:rsidR="007E5322" w:rsidRPr="00892CB7">
        <w:t>s</w:t>
      </w:r>
      <w:r w:rsidR="00933174" w:rsidRPr="00892CB7">
        <w:t xml:space="preserve"> in attributes </w:t>
      </w:r>
      <w:r w:rsidRPr="00892CB7">
        <w:t xml:space="preserve"> from the neighbouring areas</w:t>
      </w:r>
    </w:p>
    <w:p w14:paraId="4516AA57" w14:textId="77777777" w:rsidR="004230DF" w:rsidRPr="00892CB7" w:rsidRDefault="004230DF" w:rsidP="00892CB7">
      <w:pPr>
        <w:pStyle w:val="ListParagraph"/>
        <w:numPr>
          <w:ilvl w:val="0"/>
          <w:numId w:val="71"/>
        </w:numPr>
      </w:pPr>
      <w:r w:rsidRPr="00892CB7">
        <w:t>the history of the founding and development of the area</w:t>
      </w:r>
    </w:p>
    <w:p w14:paraId="1191939D" w14:textId="77777777" w:rsidR="004230DF" w:rsidRPr="00892CB7" w:rsidRDefault="004230DF" w:rsidP="00892CB7">
      <w:pPr>
        <w:pStyle w:val="ListParagraph"/>
        <w:numPr>
          <w:ilvl w:val="0"/>
          <w:numId w:val="71"/>
        </w:numPr>
      </w:pPr>
      <w:r w:rsidRPr="00892CB7">
        <w:t>natural features, landscape and topography of the area</w:t>
      </w:r>
    </w:p>
    <w:p w14:paraId="18D8B6DE" w14:textId="08E46A54" w:rsidR="004230DF" w:rsidRPr="00892CB7" w:rsidRDefault="004230DF" w:rsidP="00892CB7">
      <w:pPr>
        <w:pStyle w:val="ListParagraph"/>
        <w:numPr>
          <w:ilvl w:val="0"/>
          <w:numId w:val="71"/>
        </w:numPr>
      </w:pPr>
      <w:r w:rsidRPr="00892CB7">
        <w:t>man-made structures in the area, including roads, railways,</w:t>
      </w:r>
      <w:r w:rsidR="00933174" w:rsidRPr="00892CB7">
        <w:t xml:space="preserve"> towns and</w:t>
      </w:r>
      <w:r w:rsidRPr="00892CB7">
        <w:t xml:space="preserve"> buildings</w:t>
      </w:r>
    </w:p>
    <w:p w14:paraId="4CEC2B67" w14:textId="3DCFC8D8" w:rsidR="004230DF" w:rsidRPr="00892CB7" w:rsidRDefault="004230DF" w:rsidP="00892CB7">
      <w:pPr>
        <w:pStyle w:val="ListParagraph"/>
        <w:numPr>
          <w:ilvl w:val="0"/>
          <w:numId w:val="71"/>
        </w:numPr>
      </w:pPr>
      <w:r w:rsidRPr="00892CB7">
        <w:lastRenderedPageBreak/>
        <w:t>the boundary suggested by the applicant</w:t>
      </w:r>
      <w:r w:rsidR="00933174" w:rsidRPr="00892CB7">
        <w:t xml:space="preserve"> (if any)</w:t>
      </w:r>
      <w:r w:rsidRPr="00892CB7">
        <w:t xml:space="preserve"> in seeking a determination of a GI</w:t>
      </w:r>
    </w:p>
    <w:p w14:paraId="1B49F692" w14:textId="35F6AB55" w:rsidR="004230DF" w:rsidRPr="00892CB7" w:rsidRDefault="004230DF" w:rsidP="00892CB7">
      <w:pPr>
        <w:pStyle w:val="ListParagraph"/>
        <w:numPr>
          <w:ilvl w:val="0"/>
          <w:numId w:val="71"/>
        </w:numPr>
      </w:pPr>
      <w:r w:rsidRPr="00892CB7">
        <w:t>the degree of uniformity in geolo</w:t>
      </w:r>
      <w:r w:rsidR="006500CD" w:rsidRPr="00892CB7">
        <w:t>gic</w:t>
      </w:r>
      <w:r w:rsidR="00933174" w:rsidRPr="00892CB7">
        <w:t>al formation and</w:t>
      </w:r>
      <w:r w:rsidRPr="00892CB7">
        <w:t xml:space="preserve"> any differences </w:t>
      </w:r>
      <w:r w:rsidR="00933174" w:rsidRPr="00892CB7">
        <w:t xml:space="preserve">in formations in </w:t>
      </w:r>
      <w:r w:rsidRPr="00892CB7">
        <w:t>neighbouring areas</w:t>
      </w:r>
    </w:p>
    <w:p w14:paraId="7F8504F2" w14:textId="5A1EECBF" w:rsidR="004230DF" w:rsidRPr="00892CB7" w:rsidRDefault="00C21613" w:rsidP="00892CB7">
      <w:pPr>
        <w:pStyle w:val="ListParagraph"/>
        <w:numPr>
          <w:ilvl w:val="0"/>
          <w:numId w:val="71"/>
        </w:numPr>
      </w:pPr>
      <w:r w:rsidRPr="00892CB7">
        <w:t>the degree of uniformity in</w:t>
      </w:r>
      <w:r w:rsidR="004230DF" w:rsidRPr="00892CB7">
        <w:t xml:space="preserve"> the climate, including: temperature, atmospheric pressure, humidity, rainfall and number of hours of sunshine and other weather experienced in the year</w:t>
      </w:r>
    </w:p>
    <w:p w14:paraId="2D1BA3D0" w14:textId="1F7A695A" w:rsidR="004230DF" w:rsidRPr="00892CB7" w:rsidRDefault="004230DF" w:rsidP="00892CB7">
      <w:pPr>
        <w:pStyle w:val="ListParagraph"/>
        <w:numPr>
          <w:ilvl w:val="0"/>
          <w:numId w:val="71"/>
        </w:numPr>
      </w:pPr>
      <w:r w:rsidRPr="00892CB7">
        <w:t xml:space="preserve">the </w:t>
      </w:r>
      <w:r w:rsidR="00933174" w:rsidRPr="00892CB7">
        <w:t xml:space="preserve">expected </w:t>
      </w:r>
      <w:r w:rsidRPr="00892CB7">
        <w:t xml:space="preserve">harvesting date of grape varieties in the proposed area, </w:t>
      </w:r>
      <w:r w:rsidR="00933174" w:rsidRPr="00892CB7">
        <w:t>and whether this is different</w:t>
      </w:r>
      <w:r w:rsidRPr="00892CB7">
        <w:t xml:space="preserve"> from neighbouring areas</w:t>
      </w:r>
    </w:p>
    <w:p w14:paraId="18682B9F" w14:textId="36286B5A" w:rsidR="004230DF" w:rsidRPr="00892CB7" w:rsidRDefault="004230DF" w:rsidP="00892CB7">
      <w:pPr>
        <w:pStyle w:val="ListParagraph"/>
        <w:numPr>
          <w:ilvl w:val="0"/>
          <w:numId w:val="71"/>
        </w:numPr>
      </w:pPr>
      <w:r w:rsidRPr="00892CB7">
        <w:t>whether</w:t>
      </w:r>
      <w:r w:rsidR="00933174" w:rsidRPr="00892CB7">
        <w:t xml:space="preserve"> all of</w:t>
      </w:r>
      <w:r w:rsidRPr="00892CB7">
        <w:t xml:space="preserve"> the area is within a natural drainage basin</w:t>
      </w:r>
    </w:p>
    <w:p w14:paraId="6F5E2A0E" w14:textId="77777777" w:rsidR="004230DF" w:rsidRPr="00892CB7" w:rsidRDefault="004230DF" w:rsidP="00892CB7">
      <w:pPr>
        <w:pStyle w:val="ListParagraph"/>
        <w:numPr>
          <w:ilvl w:val="0"/>
          <w:numId w:val="71"/>
        </w:numPr>
      </w:pPr>
      <w:r w:rsidRPr="00892CB7">
        <w:t>irrigation water availability, and whether it is consistent throughout the area, and different to neighbouring areas</w:t>
      </w:r>
    </w:p>
    <w:p w14:paraId="0A805D3D" w14:textId="7B02017A" w:rsidR="004230DF" w:rsidRPr="00892CB7" w:rsidRDefault="00C21613" w:rsidP="00892CB7">
      <w:pPr>
        <w:pStyle w:val="ListParagraph"/>
        <w:numPr>
          <w:ilvl w:val="0"/>
          <w:numId w:val="71"/>
        </w:numPr>
      </w:pPr>
      <w:r w:rsidRPr="00892CB7">
        <w:t>the degree of uniformity in</w:t>
      </w:r>
      <w:r w:rsidR="004230DF" w:rsidRPr="00892CB7">
        <w:t xml:space="preserve"> elevation, including any differences </w:t>
      </w:r>
      <w:r w:rsidR="00933174" w:rsidRPr="00892CB7">
        <w:t xml:space="preserve">in elevation </w:t>
      </w:r>
      <w:r w:rsidR="004230DF" w:rsidRPr="00892CB7">
        <w:t>from neighbouring areas</w:t>
      </w:r>
    </w:p>
    <w:p w14:paraId="7985B444" w14:textId="77777777" w:rsidR="004230DF" w:rsidRPr="00892CB7" w:rsidRDefault="004230DF" w:rsidP="00892CB7">
      <w:pPr>
        <w:pStyle w:val="ListParagraph"/>
        <w:numPr>
          <w:ilvl w:val="0"/>
          <w:numId w:val="71"/>
        </w:numPr>
      </w:pPr>
      <w:r w:rsidRPr="00892CB7">
        <w:t>proposals for development by all levels of government</w:t>
      </w:r>
    </w:p>
    <w:p w14:paraId="19617D02" w14:textId="5CC6549F" w:rsidR="004230DF" w:rsidRPr="00892CB7" w:rsidRDefault="004230DF" w:rsidP="00892CB7">
      <w:pPr>
        <w:pStyle w:val="ListParagraph"/>
        <w:numPr>
          <w:ilvl w:val="0"/>
          <w:numId w:val="71"/>
        </w:numPr>
      </w:pPr>
      <w:r w:rsidRPr="00892CB7">
        <w:t>traditional divisions in the area</w:t>
      </w:r>
      <w:r w:rsidR="008867F7">
        <w:t>, and</w:t>
      </w:r>
    </w:p>
    <w:p w14:paraId="4C056335" w14:textId="16FF90D8" w:rsidR="004230DF" w:rsidRPr="00892CB7" w:rsidRDefault="004230DF" w:rsidP="00892CB7">
      <w:pPr>
        <w:pStyle w:val="ListParagraph"/>
        <w:numPr>
          <w:ilvl w:val="0"/>
          <w:numId w:val="71"/>
        </w:numPr>
      </w:pPr>
      <w:r w:rsidRPr="00892CB7">
        <w:t>the history of grape and wine production in the area, including any differences</w:t>
      </w:r>
      <w:r w:rsidR="00933174" w:rsidRPr="00892CB7">
        <w:t xml:space="preserve"> in the history</w:t>
      </w:r>
      <w:r w:rsidRPr="00892CB7">
        <w:t xml:space="preserve"> from neighbouring areas.</w:t>
      </w:r>
    </w:p>
    <w:p w14:paraId="05BBCBEA" w14:textId="474729D7" w:rsidR="004230DF" w:rsidRPr="004230DF" w:rsidRDefault="004230DF" w:rsidP="00C21613">
      <w:pPr>
        <w:rPr>
          <w:rFonts w:eastAsia="Calibri"/>
        </w:rPr>
      </w:pPr>
      <w:r w:rsidRPr="004230DF">
        <w:rPr>
          <w:rFonts w:eastAsia="Calibri"/>
        </w:rPr>
        <w:t xml:space="preserve">The </w:t>
      </w:r>
      <w:r w:rsidR="00C21613" w:rsidRPr="00C21613">
        <w:rPr>
          <w:rFonts w:eastAsia="Calibri"/>
        </w:rPr>
        <w:t>Committee</w:t>
      </w:r>
      <w:r w:rsidRPr="004230DF">
        <w:rPr>
          <w:rFonts w:eastAsia="Calibri"/>
        </w:rPr>
        <w:t xml:space="preserve"> must have regar</w:t>
      </w:r>
      <w:r w:rsidR="008C79B6">
        <w:rPr>
          <w:rFonts w:eastAsia="Calibri"/>
        </w:rPr>
        <w:t>d to each of these criteria, and</w:t>
      </w:r>
      <w:r w:rsidRPr="004230DF">
        <w:rPr>
          <w:rFonts w:eastAsia="Calibri"/>
        </w:rPr>
        <w:t xml:space="preserve"> is able to make its own assessment as to the importance of each criteria. The weight given to each criteria will vary depending on the specific facts and circumstances of the application or proposed area. </w:t>
      </w:r>
      <w:r w:rsidR="00B33C04">
        <w:rPr>
          <w:rFonts w:eastAsia="Calibri"/>
        </w:rPr>
        <w:t>In determining a GI</w:t>
      </w:r>
      <w:r w:rsidR="00E15B4E">
        <w:rPr>
          <w:rFonts w:eastAsia="Calibri"/>
        </w:rPr>
        <w:t>,</w:t>
      </w:r>
      <w:r w:rsidR="00B33C04">
        <w:rPr>
          <w:rFonts w:eastAsia="Calibri"/>
        </w:rPr>
        <w:t xml:space="preserve"> the Committee is not prohibited from having regard to other relevant matters.</w:t>
      </w:r>
    </w:p>
    <w:p w14:paraId="108A7374" w14:textId="77777777" w:rsidR="004230DF" w:rsidRPr="00C21613" w:rsidRDefault="004230DF" w:rsidP="00C21613">
      <w:pPr>
        <w:rPr>
          <w:rFonts w:eastAsia="Calibri"/>
        </w:rPr>
      </w:pPr>
      <w:r w:rsidRPr="004230DF">
        <w:rPr>
          <w:rFonts w:eastAsia="Calibri"/>
        </w:rPr>
        <w:t xml:space="preserve">The section defines a </w:t>
      </w:r>
      <w:r w:rsidRPr="00E15B4E">
        <w:rPr>
          <w:rFonts w:eastAsia="Calibri"/>
          <w:b/>
          <w:i/>
        </w:rPr>
        <w:t>wine grape vineyard</w:t>
      </w:r>
      <w:r w:rsidRPr="004230DF">
        <w:rPr>
          <w:rFonts w:eastAsia="Calibri"/>
        </w:rPr>
        <w:t xml:space="preserve"> as a single parcel of land which is planted with wine grap</w:t>
      </w:r>
      <w:r w:rsidRPr="00C21613">
        <w:rPr>
          <w:rFonts w:eastAsia="Calibri"/>
        </w:rPr>
        <w:t>es, and is operated by the owner, or manager on behalf of the owner or lessee.</w:t>
      </w:r>
    </w:p>
    <w:p w14:paraId="2A7BD965" w14:textId="338E5AD0" w:rsidR="004230DF" w:rsidRDefault="004230DF" w:rsidP="00C21613">
      <w:pPr>
        <w:rPr>
          <w:rFonts w:eastAsia="Calibri"/>
        </w:rPr>
      </w:pPr>
      <w:r w:rsidRPr="00C21613">
        <w:rPr>
          <w:rFonts w:eastAsia="Calibri"/>
        </w:rPr>
        <w:t xml:space="preserve">The </w:t>
      </w:r>
      <w:r w:rsidR="00C21613" w:rsidRPr="00C21613">
        <w:rPr>
          <w:rFonts w:eastAsia="Calibri"/>
        </w:rPr>
        <w:t>Committee</w:t>
      </w:r>
      <w:r w:rsidRPr="00C21613">
        <w:rPr>
          <w:rFonts w:eastAsia="Calibri"/>
        </w:rPr>
        <w:t xml:space="preserve"> is to have regard to the size of an area, when considering the degree of uniformity of the area in relation to the criteria in subsection </w:t>
      </w:r>
      <w:r w:rsidR="008867F7">
        <w:rPr>
          <w:rFonts w:eastAsia="Calibri"/>
        </w:rPr>
        <w:t>57</w:t>
      </w:r>
      <w:r w:rsidRPr="00C21613">
        <w:rPr>
          <w:rFonts w:eastAsia="Calibri"/>
        </w:rPr>
        <w:t xml:space="preserve">(1). In general, a smaller sized area is likely to have a higher degree of uniformity than a larger area. </w:t>
      </w:r>
    </w:p>
    <w:p w14:paraId="45156F04" w14:textId="738D006D" w:rsidR="008C79B6" w:rsidRDefault="008C79B6" w:rsidP="008C79B6">
      <w:pPr>
        <w:rPr>
          <w:rFonts w:eastAsia="Calibri"/>
        </w:rPr>
      </w:pPr>
      <w:r>
        <w:rPr>
          <w:rFonts w:eastAsia="Calibri"/>
        </w:rPr>
        <w:t>Where the Committee is considering an area that is part of a larger area for which a GI has already been determined, the Committee must have regard to the degree of uniformity and distinct attributes of the smaller area compared with the larger. Similarly, the Committee must have regard to the degree of uniformity and distinct attributes of the smaller area compared with the larger when considering determining a GI for an area that includes a smaller area for which a GI has already been determined.</w:t>
      </w:r>
    </w:p>
    <w:p w14:paraId="6C4FD0A1" w14:textId="681F6F36" w:rsidR="004230DF" w:rsidRDefault="004230DF" w:rsidP="00C21613">
      <w:pPr>
        <w:rPr>
          <w:rFonts w:eastAsia="Calibri"/>
        </w:rPr>
      </w:pPr>
      <w:r w:rsidRPr="00C21613">
        <w:rPr>
          <w:rFonts w:eastAsia="Calibri"/>
        </w:rPr>
        <w:t xml:space="preserve">The </w:t>
      </w:r>
      <w:r w:rsidR="00C21613" w:rsidRPr="00C21613">
        <w:rPr>
          <w:rFonts w:eastAsia="Calibri"/>
        </w:rPr>
        <w:t>Committee</w:t>
      </w:r>
      <w:r w:rsidRPr="00C21613">
        <w:rPr>
          <w:rFonts w:eastAsia="Calibri"/>
        </w:rPr>
        <w:t xml:space="preserve"> is able to use a range of maps to identify the boundaries of an area.</w:t>
      </w:r>
    </w:p>
    <w:p w14:paraId="048B8218" w14:textId="7E8E5300" w:rsidR="00573EE4" w:rsidRPr="00573EE4" w:rsidRDefault="00916DDF" w:rsidP="00C21613">
      <w:pPr>
        <w:rPr>
          <w:rFonts w:eastAsia="Calibri"/>
          <w:i/>
        </w:rPr>
      </w:pPr>
      <w:r>
        <w:rPr>
          <w:rFonts w:eastAsia="Calibri"/>
          <w:i/>
        </w:rPr>
        <w:t xml:space="preserve">Determining the indication </w:t>
      </w:r>
      <w:r w:rsidR="00573EE4">
        <w:rPr>
          <w:rFonts w:eastAsia="Calibri"/>
          <w:i/>
        </w:rPr>
        <w:t>to be used</w:t>
      </w:r>
    </w:p>
    <w:p w14:paraId="4D03A1A1" w14:textId="101CE56A" w:rsidR="004230DF" w:rsidRPr="00C21613" w:rsidRDefault="004230DF" w:rsidP="00C21613">
      <w:pPr>
        <w:rPr>
          <w:rFonts w:eastAsia="Calibri"/>
        </w:rPr>
      </w:pPr>
      <w:r w:rsidRPr="00C21613">
        <w:rPr>
          <w:rFonts w:eastAsia="Calibri"/>
        </w:rPr>
        <w:t>In determining the name of a GI</w:t>
      </w:r>
      <w:r w:rsidR="00E15B4E">
        <w:rPr>
          <w:rFonts w:eastAsia="Calibri"/>
        </w:rPr>
        <w:t>,</w:t>
      </w:r>
      <w:r w:rsidRPr="00C21613">
        <w:rPr>
          <w:rFonts w:eastAsia="Calibri"/>
        </w:rPr>
        <w:t xml:space="preserve"> the </w:t>
      </w:r>
      <w:r w:rsidR="00C21613" w:rsidRPr="00C21613">
        <w:rPr>
          <w:rFonts w:eastAsia="Calibri"/>
        </w:rPr>
        <w:t>Committee</w:t>
      </w:r>
      <w:r w:rsidRPr="00C21613">
        <w:rPr>
          <w:rFonts w:eastAsia="Calibri"/>
        </w:rPr>
        <w:t xml:space="preserve"> is to have regard to the criteria in subsection </w:t>
      </w:r>
      <w:r w:rsidR="005A264A">
        <w:rPr>
          <w:rFonts w:eastAsia="Calibri"/>
        </w:rPr>
        <w:t>57</w:t>
      </w:r>
      <w:r w:rsidR="00C21613" w:rsidRPr="00C21613">
        <w:rPr>
          <w:rFonts w:eastAsia="Calibri"/>
        </w:rPr>
        <w:t>(6</w:t>
      </w:r>
      <w:r w:rsidRPr="00C21613">
        <w:rPr>
          <w:rFonts w:eastAsia="Calibri"/>
        </w:rPr>
        <w:t>). The criteria can be summarised as:</w:t>
      </w:r>
    </w:p>
    <w:p w14:paraId="1F5C821F" w14:textId="77777777" w:rsidR="004230DF" w:rsidRPr="00892CB7" w:rsidRDefault="004230DF" w:rsidP="00892CB7">
      <w:pPr>
        <w:pStyle w:val="ListParagraph"/>
        <w:numPr>
          <w:ilvl w:val="0"/>
          <w:numId w:val="71"/>
        </w:numPr>
      </w:pPr>
      <w:r w:rsidRPr="00892CB7">
        <w:t xml:space="preserve">history of the name </w:t>
      </w:r>
    </w:p>
    <w:p w14:paraId="3AF89091" w14:textId="77777777" w:rsidR="004230DF" w:rsidRPr="00892CB7" w:rsidRDefault="004230DF" w:rsidP="00892CB7">
      <w:pPr>
        <w:pStyle w:val="ListParagraph"/>
        <w:numPr>
          <w:ilvl w:val="0"/>
          <w:numId w:val="71"/>
        </w:numPr>
      </w:pPr>
      <w:r w:rsidRPr="00892CB7">
        <w:t xml:space="preserve">how well the name is known by wine retailers outside the area </w:t>
      </w:r>
    </w:p>
    <w:p w14:paraId="6CCED214" w14:textId="155CA454" w:rsidR="004230DF" w:rsidRPr="00892CB7" w:rsidRDefault="004230DF" w:rsidP="00892CB7">
      <w:pPr>
        <w:pStyle w:val="ListParagraph"/>
        <w:numPr>
          <w:ilvl w:val="0"/>
          <w:numId w:val="71"/>
        </w:numPr>
      </w:pPr>
      <w:r w:rsidRPr="00892CB7">
        <w:t xml:space="preserve">traditional </w:t>
      </w:r>
      <w:r w:rsidR="00B33C04">
        <w:t>use of name to describe the area, and</w:t>
      </w:r>
    </w:p>
    <w:p w14:paraId="555E4D70" w14:textId="77777777" w:rsidR="004230DF" w:rsidRPr="00892CB7" w:rsidRDefault="004230DF" w:rsidP="00892CB7">
      <w:pPr>
        <w:pStyle w:val="ListParagraph"/>
        <w:numPr>
          <w:ilvl w:val="0"/>
          <w:numId w:val="71"/>
        </w:numPr>
      </w:pPr>
      <w:r w:rsidRPr="00892CB7">
        <w:lastRenderedPageBreak/>
        <w:t>the appropriateness of the name.</w:t>
      </w:r>
    </w:p>
    <w:p w14:paraId="1DCDAB6A" w14:textId="0AF479B6" w:rsidR="004230DF" w:rsidRPr="004230DF" w:rsidRDefault="004230DF" w:rsidP="00C21613">
      <w:pPr>
        <w:rPr>
          <w:rFonts w:eastAsia="Calibri"/>
        </w:rPr>
      </w:pPr>
      <w:r w:rsidRPr="00C21613">
        <w:rPr>
          <w:rFonts w:eastAsia="Calibri"/>
        </w:rPr>
        <w:t xml:space="preserve">The note to </w:t>
      </w:r>
      <w:r w:rsidR="00573EE4">
        <w:rPr>
          <w:rFonts w:eastAsia="Calibri"/>
        </w:rPr>
        <w:t>this section</w:t>
      </w:r>
      <w:r w:rsidRPr="00C21613">
        <w:rPr>
          <w:rFonts w:eastAsia="Calibri"/>
        </w:rPr>
        <w:t xml:space="preserve"> makes clear that the list of prescribed criteria to which the </w:t>
      </w:r>
      <w:r w:rsidR="00C21613" w:rsidRPr="00C21613">
        <w:rPr>
          <w:rFonts w:eastAsia="Calibri"/>
        </w:rPr>
        <w:t>Committee</w:t>
      </w:r>
      <w:r w:rsidRPr="00C21613">
        <w:rPr>
          <w:rFonts w:eastAsia="Calibri"/>
        </w:rPr>
        <w:t xml:space="preserve"> is to have regard to in determining the area and name of a GI are not intended as an exhaustive list.</w:t>
      </w:r>
      <w:r w:rsidRPr="004230DF">
        <w:rPr>
          <w:rFonts w:eastAsia="Calibri"/>
        </w:rPr>
        <w:t xml:space="preserve"> </w:t>
      </w:r>
    </w:p>
    <w:p w14:paraId="5634E70B" w14:textId="687FC37D" w:rsidR="00390448" w:rsidRDefault="00390448" w:rsidP="00F164D2">
      <w:pPr>
        <w:pStyle w:val="Part"/>
      </w:pPr>
      <w:r>
        <w:t>Part 7—Determination of foreign GIs and translations of foreign GIs</w:t>
      </w:r>
    </w:p>
    <w:p w14:paraId="34668BB3" w14:textId="2E764A84" w:rsidR="00A80AAF" w:rsidRPr="00D5103E" w:rsidRDefault="00A80AAF" w:rsidP="0088376F">
      <w:pPr>
        <w:pStyle w:val="Heading3"/>
      </w:pPr>
      <w:r w:rsidRPr="00D5103E">
        <w:t>Division 1</w:t>
      </w:r>
      <w:r w:rsidR="000C3C04" w:rsidRPr="009E5369">
        <w:t>—</w:t>
      </w:r>
      <w:r w:rsidRPr="00D5103E">
        <w:t xml:space="preserve">Preliminary </w:t>
      </w:r>
    </w:p>
    <w:p w14:paraId="58CD9827" w14:textId="08C84F6C" w:rsidR="00D24CD7" w:rsidRDefault="00D24CD7" w:rsidP="00C21613">
      <w:pPr>
        <w:pStyle w:val="Provision"/>
      </w:pPr>
      <w:bookmarkStart w:id="10" w:name="_Toc500497033"/>
      <w:r>
        <w:t>Section 58 – Simplified outline of this Part</w:t>
      </w:r>
    </w:p>
    <w:p w14:paraId="43F0D280" w14:textId="21D8C225" w:rsidR="00D24CD7" w:rsidRPr="00D24CD7" w:rsidRDefault="00D24CD7" w:rsidP="00906BCB">
      <w:r>
        <w:t xml:space="preserve">This section provides a simplified outline of the procedures for determining foreign GIs and translations of foreign GIs, set out in Part 7. </w:t>
      </w:r>
    </w:p>
    <w:p w14:paraId="4920CDCE" w14:textId="5ED6505B" w:rsidR="00D5103E" w:rsidRDefault="00D5103E" w:rsidP="00C21613">
      <w:pPr>
        <w:pStyle w:val="Provision"/>
      </w:pPr>
      <w:r>
        <w:t xml:space="preserve">Section </w:t>
      </w:r>
      <w:r w:rsidR="00916DDF">
        <w:t>5</w:t>
      </w:r>
      <w:r w:rsidR="00D24CD7">
        <w:t>9</w:t>
      </w:r>
      <w:r w:rsidRPr="00D5103E">
        <w:t xml:space="preserve"> </w:t>
      </w:r>
      <w:r w:rsidR="00B33C04" w:rsidRPr="005F5A62">
        <w:t>–</w:t>
      </w:r>
      <w:r w:rsidRPr="00D5103E">
        <w:t xml:space="preserve"> Purpose of Part</w:t>
      </w:r>
      <w:bookmarkEnd w:id="10"/>
    </w:p>
    <w:p w14:paraId="5C4B4AA5" w14:textId="0B145078" w:rsidR="001E2EB7" w:rsidRDefault="006500CD" w:rsidP="00C21613">
      <w:r>
        <w:rPr>
          <w:szCs w:val="24"/>
          <w:lang w:eastAsia="en-AU"/>
        </w:rPr>
        <w:t xml:space="preserve">This section provides that this </w:t>
      </w:r>
      <w:r w:rsidR="00E15B4E">
        <w:rPr>
          <w:szCs w:val="24"/>
          <w:lang w:eastAsia="en-AU"/>
        </w:rPr>
        <w:t>p</w:t>
      </w:r>
      <w:r w:rsidR="00D5103E" w:rsidRPr="00D5103E">
        <w:t>art</w:t>
      </w:r>
      <w:r w:rsidR="000B057F">
        <w:t xml:space="preserve"> (other than Division 5)</w:t>
      </w:r>
      <w:r>
        <w:t xml:space="preserve"> sets out the pr</w:t>
      </w:r>
      <w:r w:rsidR="00D5103E" w:rsidRPr="00D5103E">
        <w:t>ocedures</w:t>
      </w:r>
      <w:r>
        <w:t xml:space="preserve"> for </w:t>
      </w:r>
      <w:r w:rsidR="00D5103E" w:rsidRPr="00D5103E">
        <w:t xml:space="preserve">the determination of foreign GIs and the translations of </w:t>
      </w:r>
      <w:r w:rsidR="001E2EB7">
        <w:t xml:space="preserve">foreign </w:t>
      </w:r>
      <w:r w:rsidR="00D5103E" w:rsidRPr="00D5103E">
        <w:t>GIs, relating to wine originating in a foreign country</w:t>
      </w:r>
      <w:r w:rsidR="001E2EB7">
        <w:t xml:space="preserve">, for the purposes of </w:t>
      </w:r>
      <w:r w:rsidR="00D5103E" w:rsidRPr="00D5103E">
        <w:t>subsection</w:t>
      </w:r>
      <w:r w:rsidR="001E2EB7">
        <w:t xml:space="preserve"> 40ZAQ(1) of the Act.</w:t>
      </w:r>
      <w:r w:rsidR="00D5103E" w:rsidRPr="00D5103E">
        <w:t xml:space="preserve"> </w:t>
      </w:r>
    </w:p>
    <w:p w14:paraId="6A62BE49" w14:textId="67906BEC" w:rsidR="00D5103E" w:rsidRPr="00D5103E" w:rsidRDefault="001E2EB7" w:rsidP="00C21613">
      <w:r>
        <w:t xml:space="preserve">Division 5 of this </w:t>
      </w:r>
      <w:r w:rsidR="00E15B4E">
        <w:t>p</w:t>
      </w:r>
      <w:r>
        <w:t>art</w:t>
      </w:r>
      <w:r w:rsidR="008C79B6">
        <w:t xml:space="preserve"> relates to appeals against a decision of the Registrar of Trade Marks and</w:t>
      </w:r>
      <w:r>
        <w:t xml:space="preserve"> is not made for the purposes of </w:t>
      </w:r>
      <w:r w:rsidRPr="00D5103E">
        <w:t>subsection</w:t>
      </w:r>
      <w:r>
        <w:t xml:space="preserve"> 40ZAQ(1) of the Act</w:t>
      </w:r>
      <w:r w:rsidR="00D5103E" w:rsidRPr="00D5103E">
        <w:t>.</w:t>
      </w:r>
      <w:r>
        <w:t xml:space="preserve"> The decisions of the </w:t>
      </w:r>
      <w:r w:rsidR="00365FE0">
        <w:t>Registrar of Trade Marks</w:t>
      </w:r>
      <w:r>
        <w:t xml:space="preserve"> that can be appealed to the Federal court are set out in section 87 for the purposes of subsection 40ZAR(1) of the Act.  </w:t>
      </w:r>
    </w:p>
    <w:p w14:paraId="692AF692" w14:textId="1AD19D7B" w:rsidR="00D5103E" w:rsidRPr="00E969D6" w:rsidRDefault="00D24CD7" w:rsidP="00C21613">
      <w:pPr>
        <w:pStyle w:val="Provision"/>
      </w:pPr>
      <w:bookmarkStart w:id="11" w:name="_Toc500497034"/>
      <w:r>
        <w:t>Section 60</w:t>
      </w:r>
      <w:r w:rsidR="00D5103E" w:rsidRPr="00E969D6">
        <w:t xml:space="preserve"> </w:t>
      </w:r>
      <w:r w:rsidR="00B33C04" w:rsidRPr="005F5A62">
        <w:t>–</w:t>
      </w:r>
      <w:r w:rsidR="00D5103E" w:rsidRPr="00E969D6">
        <w:t xml:space="preserve"> Applications for determination</w:t>
      </w:r>
      <w:bookmarkEnd w:id="11"/>
    </w:p>
    <w:p w14:paraId="30422924" w14:textId="21E3A965" w:rsidR="00D5103E" w:rsidRPr="00347CD4" w:rsidRDefault="001E2EB7" w:rsidP="001E2EB7">
      <w:pPr>
        <w:rPr>
          <w:rFonts w:eastAsia="Calibri"/>
        </w:rPr>
      </w:pPr>
      <w:r>
        <w:rPr>
          <w:lang w:eastAsia="en-AU"/>
        </w:rPr>
        <w:t>This section provides that a</w:t>
      </w:r>
      <w:r w:rsidR="00D5103E" w:rsidRPr="00BA1C6B">
        <w:rPr>
          <w:lang w:eastAsia="en-AU"/>
        </w:rPr>
        <w:t xml:space="preserve"> person may apply in writing to the </w:t>
      </w:r>
      <w:r w:rsidR="00C21613" w:rsidRPr="00C21613">
        <w:rPr>
          <w:lang w:eastAsia="en-AU"/>
        </w:rPr>
        <w:t>Committee</w:t>
      </w:r>
      <w:r w:rsidR="00D5103E">
        <w:rPr>
          <w:lang w:eastAsia="en-AU"/>
        </w:rPr>
        <w:t xml:space="preserve"> </w:t>
      </w:r>
      <w:r w:rsidR="00D5103E" w:rsidRPr="00BA1C6B">
        <w:rPr>
          <w:lang w:eastAsia="en-AU"/>
        </w:rPr>
        <w:t>for the determination of a GI</w:t>
      </w:r>
      <w:r w:rsidR="00347CD4">
        <w:rPr>
          <w:lang w:eastAsia="en-AU"/>
        </w:rPr>
        <w:t xml:space="preserve"> or translation of a GI</w:t>
      </w:r>
      <w:r w:rsidR="00D5103E">
        <w:rPr>
          <w:lang w:eastAsia="en-AU"/>
        </w:rPr>
        <w:t xml:space="preserve"> </w:t>
      </w:r>
      <w:r w:rsidR="00D5103E" w:rsidRPr="00BA1C6B">
        <w:rPr>
          <w:lang w:eastAsia="en-AU"/>
        </w:rPr>
        <w:t>in relation to a foreign region, locality or</w:t>
      </w:r>
      <w:r w:rsidR="00D5103E" w:rsidRPr="00834C4B">
        <w:rPr>
          <w:lang w:eastAsia="en-AU"/>
        </w:rPr>
        <w:t xml:space="preserve"> </w:t>
      </w:r>
      <w:r w:rsidR="00D5103E" w:rsidRPr="00BA1C6B">
        <w:rPr>
          <w:lang w:eastAsia="en-AU"/>
        </w:rPr>
        <w:t>country.</w:t>
      </w:r>
      <w:r w:rsidR="00D5103E" w:rsidRPr="00347CD4">
        <w:t xml:space="preserve"> </w:t>
      </w:r>
    </w:p>
    <w:p w14:paraId="75310558" w14:textId="2A8922F0" w:rsidR="00D5103E" w:rsidRPr="00BA1C6B" w:rsidRDefault="00D5103E" w:rsidP="001E2EB7">
      <w:pPr>
        <w:rPr>
          <w:lang w:eastAsia="en-AU"/>
        </w:rPr>
      </w:pPr>
      <w:r w:rsidRPr="00BA1C6B">
        <w:rPr>
          <w:lang w:eastAsia="en-AU"/>
        </w:rPr>
        <w:t xml:space="preserve">An application for the determination of a translation of a </w:t>
      </w:r>
      <w:r w:rsidR="00E15B4E">
        <w:rPr>
          <w:lang w:eastAsia="en-AU"/>
        </w:rPr>
        <w:t xml:space="preserve">foreign </w:t>
      </w:r>
      <w:r w:rsidR="00347CD4">
        <w:rPr>
          <w:lang w:eastAsia="en-AU"/>
        </w:rPr>
        <w:t>GI</w:t>
      </w:r>
      <w:r w:rsidRPr="00BA1C6B">
        <w:rPr>
          <w:lang w:eastAsia="en-AU"/>
        </w:rPr>
        <w:t xml:space="preserve"> may be made:</w:t>
      </w:r>
    </w:p>
    <w:p w14:paraId="74A6F4CE" w14:textId="3B310D40" w:rsidR="00D5103E" w:rsidRPr="00BA1C6B" w:rsidRDefault="00B33C04" w:rsidP="00892CB7">
      <w:pPr>
        <w:pStyle w:val="ListParagraph"/>
        <w:numPr>
          <w:ilvl w:val="0"/>
          <w:numId w:val="71"/>
        </w:numPr>
      </w:pPr>
      <w:r>
        <w:t xml:space="preserve">after the </w:t>
      </w:r>
      <w:r w:rsidR="00E15B4E">
        <w:t xml:space="preserve">foreign </w:t>
      </w:r>
      <w:r>
        <w:t>GI is registered,</w:t>
      </w:r>
      <w:r w:rsidR="00D5103E" w:rsidRPr="00BA1C6B">
        <w:t xml:space="preserve"> or</w:t>
      </w:r>
    </w:p>
    <w:p w14:paraId="440A7C25" w14:textId="6A0E21BC" w:rsidR="00D5103E" w:rsidRPr="00BA1C6B" w:rsidRDefault="00D5103E" w:rsidP="00892CB7">
      <w:pPr>
        <w:pStyle w:val="ListParagraph"/>
        <w:numPr>
          <w:ilvl w:val="0"/>
          <w:numId w:val="71"/>
        </w:numPr>
      </w:pPr>
      <w:r w:rsidRPr="00BA1C6B">
        <w:t xml:space="preserve">at the same time as an application for determination of the </w:t>
      </w:r>
      <w:r w:rsidR="00E15B4E">
        <w:t xml:space="preserve">foreign </w:t>
      </w:r>
      <w:r w:rsidRPr="00BA1C6B">
        <w:t>GI.</w:t>
      </w:r>
    </w:p>
    <w:p w14:paraId="031A3ECB" w14:textId="508DF586" w:rsidR="00245226" w:rsidRDefault="00245226" w:rsidP="0088376F">
      <w:pPr>
        <w:pStyle w:val="Heading3"/>
      </w:pPr>
      <w:r w:rsidRPr="00245226">
        <w:t>Division 2</w:t>
      </w:r>
      <w:r w:rsidR="000C3C04" w:rsidRPr="009E5369">
        <w:t>—</w:t>
      </w:r>
      <w:r w:rsidRPr="00245226">
        <w:t xml:space="preserve">Objections to determination of foreign GIs </w:t>
      </w:r>
      <w:r w:rsidR="00E0042C">
        <w:t>and</w:t>
      </w:r>
      <w:r w:rsidR="00441BF4">
        <w:t xml:space="preserve"> </w:t>
      </w:r>
      <w:r w:rsidR="00801915">
        <w:t>translations of foreign GIs</w:t>
      </w:r>
    </w:p>
    <w:p w14:paraId="497C5D53" w14:textId="2BDFB198" w:rsidR="00801915" w:rsidRPr="00801915" w:rsidRDefault="00801915" w:rsidP="00801915">
      <w:pPr>
        <w:rPr>
          <w:lang w:eastAsia="ja-JP"/>
        </w:rPr>
      </w:pPr>
      <w:r w:rsidRPr="00D81B0F">
        <w:rPr>
          <w:lang w:eastAsia="ja-JP"/>
        </w:rPr>
        <w:t>This division sets out the procedure</w:t>
      </w:r>
      <w:r>
        <w:rPr>
          <w:lang w:eastAsia="ja-JP"/>
        </w:rPr>
        <w:t xml:space="preserve">s and grounds </w:t>
      </w:r>
      <w:r w:rsidR="00B33C04">
        <w:rPr>
          <w:lang w:eastAsia="ja-JP"/>
        </w:rPr>
        <w:t>of</w:t>
      </w:r>
      <w:r w:rsidR="00E43386">
        <w:rPr>
          <w:lang w:eastAsia="ja-JP"/>
        </w:rPr>
        <w:t xml:space="preserve"> </w:t>
      </w:r>
      <w:r>
        <w:rPr>
          <w:lang w:eastAsia="ja-JP"/>
        </w:rPr>
        <w:t>objection to determination of a foreign GI or translation of a foreign GI</w:t>
      </w:r>
      <w:r w:rsidR="000578C6">
        <w:rPr>
          <w:lang w:eastAsia="ja-JP"/>
        </w:rPr>
        <w:t xml:space="preserve"> for the purposes of subsection 40ZAQ(3) of the Act</w:t>
      </w:r>
      <w:r>
        <w:rPr>
          <w:lang w:eastAsia="ja-JP"/>
        </w:rPr>
        <w:t>. The procedures for determining Australian and foreign GIs are to be aligned, in order to meet Australia’s inter</w:t>
      </w:r>
      <w:r w:rsidR="00E15B4E">
        <w:rPr>
          <w:lang w:eastAsia="ja-JP"/>
        </w:rPr>
        <w:t>national obligations under wine-</w:t>
      </w:r>
      <w:r>
        <w:rPr>
          <w:lang w:eastAsia="ja-JP"/>
        </w:rPr>
        <w:t xml:space="preserve">trading agreements. This division is made for the purposes of aligning the process for foreign GIs with Australian GIs </w:t>
      </w:r>
      <w:r w:rsidR="00A00537">
        <w:rPr>
          <w:lang w:eastAsia="ja-JP"/>
        </w:rPr>
        <w:t xml:space="preserve">set out in sections 40RA and 40RB of the Act. </w:t>
      </w:r>
    </w:p>
    <w:p w14:paraId="20E7AFA4" w14:textId="72B8EE61" w:rsidR="00245226" w:rsidRPr="00C21613" w:rsidRDefault="00605A5C" w:rsidP="00C21613">
      <w:pPr>
        <w:pStyle w:val="Provision"/>
        <w:rPr>
          <w:rStyle w:val="ProvisionChar"/>
          <w:i/>
          <w:color w:val="auto"/>
          <w:szCs w:val="20"/>
          <w:u w:val="none"/>
        </w:rPr>
      </w:pPr>
      <w:r>
        <w:br w:type="column"/>
      </w:r>
      <w:r w:rsidR="00245226" w:rsidRPr="00C21613">
        <w:lastRenderedPageBreak/>
        <w:t>S</w:t>
      </w:r>
      <w:r w:rsidR="00E0042C">
        <w:rPr>
          <w:rStyle w:val="ProvisionChar"/>
          <w:i/>
          <w:color w:val="auto"/>
          <w:szCs w:val="20"/>
          <w:u w:val="none"/>
        </w:rPr>
        <w:t>ection 61</w:t>
      </w:r>
      <w:r w:rsidR="00245226" w:rsidRPr="00C21613">
        <w:rPr>
          <w:rStyle w:val="ProvisionChar"/>
          <w:i/>
          <w:color w:val="auto"/>
          <w:szCs w:val="20"/>
          <w:u w:val="none"/>
        </w:rPr>
        <w:t xml:space="preserve"> – Notice to be given of proposed foreign GI or translation of foreign GI</w:t>
      </w:r>
    </w:p>
    <w:p w14:paraId="7349DB67" w14:textId="3A2598C2" w:rsidR="00245226" w:rsidRPr="00245226" w:rsidRDefault="000D19B2" w:rsidP="00C21613">
      <w:r>
        <w:t>This section outlines the procedure</w:t>
      </w:r>
      <w:r w:rsidR="00245226" w:rsidRPr="00245226">
        <w:t xml:space="preserve"> for publishing an application for a determination of a foreign GI or translation of a foreign GI.</w:t>
      </w:r>
    </w:p>
    <w:p w14:paraId="1BA50246" w14:textId="5F448A37" w:rsidR="00245226" w:rsidRPr="00245226" w:rsidRDefault="00245226" w:rsidP="00C21613">
      <w:r w:rsidRPr="00245226">
        <w:t xml:space="preserve">This section provides the definition of ‘proposed item’ for the purpose of dealing with applications for foreign GIs and translations of foreign GIs in the Regulations. A </w:t>
      </w:r>
      <w:r w:rsidRPr="00245226">
        <w:rPr>
          <w:b/>
          <w:i/>
        </w:rPr>
        <w:t>proposed item</w:t>
      </w:r>
      <w:r w:rsidRPr="00245226">
        <w:t xml:space="preserve"> is </w:t>
      </w:r>
      <w:r w:rsidR="000D19B2">
        <w:t>either</w:t>
      </w:r>
      <w:r w:rsidRPr="00245226">
        <w:t>:</w:t>
      </w:r>
    </w:p>
    <w:p w14:paraId="2454EDE8" w14:textId="04DCE833" w:rsidR="00245226" w:rsidRPr="00245226" w:rsidRDefault="00245226" w:rsidP="00892CB7">
      <w:pPr>
        <w:pStyle w:val="ListParagraph"/>
        <w:numPr>
          <w:ilvl w:val="0"/>
          <w:numId w:val="71"/>
        </w:numPr>
      </w:pPr>
      <w:r w:rsidRPr="00245226">
        <w:t xml:space="preserve">an application, that has been made in writing, to the </w:t>
      </w:r>
      <w:r w:rsidR="00C21613" w:rsidRPr="00C21613">
        <w:t>Committee</w:t>
      </w:r>
      <w:r w:rsidRPr="00245226">
        <w:t xml:space="preserve"> for the determination of a GI in relation to a foreign country or a region or area in a foreign c</w:t>
      </w:r>
      <w:r w:rsidR="000D19B2">
        <w:t>ountry u</w:t>
      </w:r>
      <w:r w:rsidR="008C79B6">
        <w:t>nder subsection 60</w:t>
      </w:r>
      <w:r w:rsidR="00B33C04">
        <w:t>(1),</w:t>
      </w:r>
      <w:r w:rsidR="000D19B2">
        <w:t xml:space="preserve"> or</w:t>
      </w:r>
    </w:p>
    <w:p w14:paraId="693792C7" w14:textId="3C35039D" w:rsidR="00245226" w:rsidRPr="00245226" w:rsidRDefault="00245226" w:rsidP="00892CB7">
      <w:pPr>
        <w:pStyle w:val="ListParagraph"/>
        <w:numPr>
          <w:ilvl w:val="0"/>
          <w:numId w:val="71"/>
        </w:numPr>
      </w:pPr>
      <w:r w:rsidRPr="00245226">
        <w:t xml:space="preserve">an </w:t>
      </w:r>
      <w:r w:rsidR="00DB70B8" w:rsidRPr="00245226">
        <w:t>application, which</w:t>
      </w:r>
      <w:r w:rsidRPr="00245226">
        <w:t xml:space="preserve"> has been made in writing, to the </w:t>
      </w:r>
      <w:r w:rsidR="00C21613" w:rsidRPr="00C21613">
        <w:t>Committee</w:t>
      </w:r>
      <w:r w:rsidRPr="00245226">
        <w:t xml:space="preserve"> for the translation of a GI in relation to a foreign country or a region or area in a for</w:t>
      </w:r>
      <w:r w:rsidR="008C79B6">
        <w:t>eign country under subsection 60</w:t>
      </w:r>
      <w:r w:rsidRPr="00245226">
        <w:t>(2).</w:t>
      </w:r>
    </w:p>
    <w:p w14:paraId="1406D0A9" w14:textId="3FACEEA8" w:rsidR="00245226" w:rsidRPr="00245226" w:rsidRDefault="00245226" w:rsidP="00C21613">
      <w:r w:rsidRPr="00245226">
        <w:t xml:space="preserve">Proposed items must be published in a notice by the Presiding Member of the </w:t>
      </w:r>
      <w:r w:rsidR="00C21613" w:rsidRPr="00C21613">
        <w:t>Committee</w:t>
      </w:r>
      <w:r w:rsidRPr="00245226">
        <w:t>.</w:t>
      </w:r>
      <w:r w:rsidR="000D19B2">
        <w:t xml:space="preserve"> </w:t>
      </w:r>
      <w:r w:rsidRPr="00245226">
        <w:t xml:space="preserve">The notice must set out the details of the proposed item and invite written objections to be made to the </w:t>
      </w:r>
      <w:r w:rsidR="00365FE0">
        <w:t>Registrar of Trade Marks</w:t>
      </w:r>
      <w:r w:rsidRPr="00245226">
        <w:t xml:space="preserve"> on </w:t>
      </w:r>
      <w:r w:rsidR="005A264A">
        <w:t>a ground set out in section 62</w:t>
      </w:r>
      <w:r w:rsidR="00604C3B">
        <w:t xml:space="preserve">, on </w:t>
      </w:r>
      <w:r w:rsidRPr="00245226">
        <w:t>the basis that</w:t>
      </w:r>
      <w:r w:rsidR="00604C3B">
        <w:t xml:space="preserve"> the proposed item</w:t>
      </w:r>
      <w:r w:rsidR="00E15B4E">
        <w:t xml:space="preserve"> is</w:t>
      </w:r>
      <w:r w:rsidRPr="00245226">
        <w:t>:</w:t>
      </w:r>
    </w:p>
    <w:p w14:paraId="647F9A3D" w14:textId="684C8616" w:rsidR="00245226" w:rsidRPr="00245226" w:rsidRDefault="00245226" w:rsidP="00892CB7">
      <w:pPr>
        <w:pStyle w:val="ListParagraph"/>
        <w:numPr>
          <w:ilvl w:val="0"/>
          <w:numId w:val="71"/>
        </w:numPr>
      </w:pPr>
      <w:r w:rsidRPr="00245226">
        <w:t>identical to a trade mark</w:t>
      </w:r>
    </w:p>
    <w:p w14:paraId="3B2A5A6D" w14:textId="5AC0D8C6" w:rsidR="00245226" w:rsidRPr="00245226" w:rsidRDefault="008C79B6" w:rsidP="00892CB7">
      <w:pPr>
        <w:pStyle w:val="ListParagraph"/>
        <w:numPr>
          <w:ilvl w:val="0"/>
          <w:numId w:val="71"/>
        </w:numPr>
      </w:pPr>
      <w:r>
        <w:t>likely to cause</w:t>
      </w:r>
      <w:r w:rsidR="00B33C04">
        <w:t xml:space="preserve"> confusion with a trade mark,</w:t>
      </w:r>
      <w:r w:rsidR="00245226" w:rsidRPr="00245226">
        <w:t xml:space="preserve"> or </w:t>
      </w:r>
    </w:p>
    <w:p w14:paraId="3E26420B" w14:textId="33491B84" w:rsidR="00245226" w:rsidRPr="00245226" w:rsidRDefault="00245226" w:rsidP="00892CB7">
      <w:pPr>
        <w:pStyle w:val="ListParagraph"/>
        <w:numPr>
          <w:ilvl w:val="0"/>
          <w:numId w:val="71"/>
        </w:numPr>
      </w:pPr>
      <w:r w:rsidRPr="00245226">
        <w:t xml:space="preserve">used in Australia as the common name of a type or style of wine, or as name of </w:t>
      </w:r>
      <w:r w:rsidR="00604C3B">
        <w:t>a variety of grapes</w:t>
      </w:r>
      <w:r w:rsidRPr="00245226">
        <w:t xml:space="preserve">. </w:t>
      </w:r>
    </w:p>
    <w:p w14:paraId="5CC07F14" w14:textId="37182256" w:rsidR="00245226" w:rsidRPr="00245226" w:rsidRDefault="00245226" w:rsidP="00C21613">
      <w:r w:rsidRPr="00245226">
        <w:t xml:space="preserve">The period for objections </w:t>
      </w:r>
      <w:r w:rsidR="00604C3B">
        <w:t xml:space="preserve">to be made </w:t>
      </w:r>
      <w:r w:rsidRPr="00245226">
        <w:t xml:space="preserve">must also be stated in the notice, </w:t>
      </w:r>
      <w:r w:rsidR="00604C3B">
        <w:t>at</w:t>
      </w:r>
      <w:r w:rsidRPr="00245226">
        <w:t xml:space="preserve"> a minimum of </w:t>
      </w:r>
      <w:r w:rsidR="00604C3B">
        <w:t>one month</w:t>
      </w:r>
      <w:r w:rsidRPr="00245226">
        <w:t xml:space="preserve">, to enable interested persons reasonable opportunity to consider and respond to the proposed item. </w:t>
      </w:r>
    </w:p>
    <w:p w14:paraId="5FD80F5C" w14:textId="2BD15CA5" w:rsidR="00245226" w:rsidRPr="00245226" w:rsidRDefault="00245226" w:rsidP="00C21613">
      <w:r w:rsidRPr="00245226">
        <w:t xml:space="preserve">A single notice can be published </w:t>
      </w:r>
      <w:r w:rsidR="00604C3B">
        <w:t xml:space="preserve">if an </w:t>
      </w:r>
      <w:r w:rsidRPr="00245226">
        <w:t xml:space="preserve">application for a determination </w:t>
      </w:r>
      <w:r w:rsidR="00604C3B">
        <w:t xml:space="preserve">of a foreign GI and </w:t>
      </w:r>
      <w:r w:rsidR="00461012">
        <w:t xml:space="preserve">a </w:t>
      </w:r>
      <w:r w:rsidR="00604C3B">
        <w:t>translation</w:t>
      </w:r>
      <w:r w:rsidR="00461012">
        <w:t xml:space="preserve"> of the GI</w:t>
      </w:r>
      <w:r w:rsidRPr="00245226">
        <w:t xml:space="preserve"> </w:t>
      </w:r>
      <w:r w:rsidR="00461012" w:rsidRPr="00461012">
        <w:t xml:space="preserve">is made </w:t>
      </w:r>
      <w:r w:rsidRPr="00245226">
        <w:t>at the same time. This facilitates proper consideration of the proposed foreign GI as it applies to labelling of wine in Australia because the translat</w:t>
      </w:r>
      <w:r w:rsidR="00461012">
        <w:t>ion</w:t>
      </w:r>
      <w:r w:rsidRPr="00245226">
        <w:t xml:space="preserve"> i</w:t>
      </w:r>
      <w:r w:rsidR="00461012">
        <w:t>s what will appear on the label</w:t>
      </w:r>
      <w:r w:rsidRPr="00245226">
        <w:t xml:space="preserve"> of the wine sold in Australia that may interact with a trade mark</w:t>
      </w:r>
      <w:r w:rsidR="00461012">
        <w:t xml:space="preserve">. </w:t>
      </w:r>
    </w:p>
    <w:p w14:paraId="7ED2283D" w14:textId="265F5E9C" w:rsidR="00245226" w:rsidRDefault="00E0042C" w:rsidP="00C21613">
      <w:pPr>
        <w:pStyle w:val="Provision"/>
      </w:pPr>
      <w:r>
        <w:t xml:space="preserve">Section 62 </w:t>
      </w:r>
      <w:r w:rsidR="00245226" w:rsidRPr="00245226">
        <w:t>– Grounds of objection to determination of foreign GI or translation of foreign GI</w:t>
      </w:r>
    </w:p>
    <w:p w14:paraId="5F5EBAF9" w14:textId="6459C527" w:rsidR="00245226" w:rsidRPr="00245226" w:rsidRDefault="00B33C04" w:rsidP="00C21613">
      <w:r>
        <w:t>This</w:t>
      </w:r>
      <w:r w:rsidR="00245226" w:rsidRPr="00245226">
        <w:t xml:space="preserve"> section outlines the reasons for which an objection can be made in relation to the determination of a foreign GI or translation of a foreign GI. Objections can be made by a person with respect to </w:t>
      </w:r>
      <w:r w:rsidR="00461012">
        <w:t>a trade mark</w:t>
      </w:r>
      <w:r w:rsidR="00245226" w:rsidRPr="00245226">
        <w:t xml:space="preserve"> or if the proposed item is otherwise used in Australia. The grounds for each of these objections is set out below. </w:t>
      </w:r>
    </w:p>
    <w:p w14:paraId="5037C463" w14:textId="77777777" w:rsidR="00245226" w:rsidRPr="00C21613" w:rsidRDefault="00245226" w:rsidP="00C21613">
      <w:pPr>
        <w:rPr>
          <w:rFonts w:eastAsia="Calibri"/>
          <w:i/>
          <w:lang w:eastAsia="ja-JP"/>
        </w:rPr>
      </w:pPr>
      <w:r w:rsidRPr="00C21613">
        <w:rPr>
          <w:rFonts w:eastAsia="Calibri"/>
          <w:i/>
          <w:lang w:eastAsia="ja-JP"/>
        </w:rPr>
        <w:t>Registered owner of a registered trade mark</w:t>
      </w:r>
    </w:p>
    <w:p w14:paraId="0675F351" w14:textId="77777777" w:rsidR="00245226" w:rsidRPr="00245226" w:rsidRDefault="00245226" w:rsidP="00C21613">
      <w:pPr>
        <w:rPr>
          <w:rFonts w:eastAsia="Calibri"/>
          <w:lang w:eastAsia="ja-JP"/>
        </w:rPr>
      </w:pPr>
      <w:r w:rsidRPr="00245226">
        <w:rPr>
          <w:rFonts w:eastAsia="Calibri"/>
          <w:lang w:eastAsia="ja-JP"/>
        </w:rPr>
        <w:t xml:space="preserve">A registered owner of a registered trade mark for the purposes of the </w:t>
      </w:r>
      <w:r w:rsidRPr="00245226">
        <w:rPr>
          <w:rFonts w:eastAsia="Calibri"/>
          <w:i/>
          <w:lang w:eastAsia="ja-JP"/>
        </w:rPr>
        <w:t xml:space="preserve">Trade Marks Act 1995 </w:t>
      </w:r>
      <w:r w:rsidRPr="00245226">
        <w:rPr>
          <w:rFonts w:eastAsia="Calibri"/>
          <w:lang w:eastAsia="ja-JP"/>
        </w:rPr>
        <w:t>may object that:</w:t>
      </w:r>
    </w:p>
    <w:p w14:paraId="76042CBC" w14:textId="62ED5117" w:rsidR="00245226" w:rsidRPr="00892CB7" w:rsidRDefault="00245226" w:rsidP="00892CB7">
      <w:pPr>
        <w:pStyle w:val="ListParagraph"/>
        <w:numPr>
          <w:ilvl w:val="0"/>
          <w:numId w:val="71"/>
        </w:numPr>
      </w:pPr>
      <w:r w:rsidRPr="00892CB7">
        <w:t xml:space="preserve">their trade mark consists of a word, expression or other indication that is identical to the proposed item </w:t>
      </w:r>
    </w:p>
    <w:p w14:paraId="19351EFC" w14:textId="30CA66E4" w:rsidR="00245226" w:rsidRPr="00892CB7" w:rsidRDefault="00245226" w:rsidP="00892CB7">
      <w:pPr>
        <w:pStyle w:val="ListParagraph"/>
        <w:numPr>
          <w:ilvl w:val="0"/>
          <w:numId w:val="71"/>
        </w:numPr>
      </w:pPr>
      <w:r w:rsidRPr="00892CB7">
        <w:t xml:space="preserve">their trade mark consists of a word, expression or other indication that the proposed item </w:t>
      </w:r>
      <w:r w:rsidR="008C79B6" w:rsidRPr="00892CB7">
        <w:t>is likely to</w:t>
      </w:r>
      <w:r w:rsidR="00B33C04">
        <w:t xml:space="preserve"> be confused with,</w:t>
      </w:r>
      <w:r w:rsidRPr="00892CB7">
        <w:t xml:space="preserve"> or</w:t>
      </w:r>
    </w:p>
    <w:p w14:paraId="25F27899" w14:textId="65BEDD61" w:rsidR="00245226" w:rsidRPr="00892CB7" w:rsidRDefault="00245226" w:rsidP="00892CB7">
      <w:pPr>
        <w:pStyle w:val="ListParagraph"/>
        <w:numPr>
          <w:ilvl w:val="0"/>
          <w:numId w:val="71"/>
        </w:numPr>
      </w:pPr>
      <w:r w:rsidRPr="00892CB7">
        <w:lastRenderedPageBreak/>
        <w:t>they have trade mark rights in the word, expression or other indication contained in the tra</w:t>
      </w:r>
      <w:r w:rsidR="008C79B6" w:rsidRPr="00892CB7">
        <w:t>de mark that the proposed item is likely to</w:t>
      </w:r>
      <w:r w:rsidRPr="00892CB7">
        <w:t xml:space="preserve"> be confused with.</w:t>
      </w:r>
    </w:p>
    <w:p w14:paraId="62095142" w14:textId="77777777" w:rsidR="00245226" w:rsidRPr="00245226" w:rsidRDefault="00245226" w:rsidP="00C21613">
      <w:pPr>
        <w:rPr>
          <w:rFonts w:eastAsia="Calibri"/>
          <w:lang w:eastAsia="ja-JP"/>
        </w:rPr>
      </w:pPr>
      <w:r w:rsidRPr="00245226">
        <w:rPr>
          <w:rFonts w:eastAsia="Calibri"/>
          <w:lang w:eastAsia="ja-JP"/>
        </w:rPr>
        <w:t>An owner may object that they have trade mark rights in that word, expression or other indication even if the Register of Trade Marks suggests that the owner does not have trade mark rights to that word, expression or other indication.</w:t>
      </w:r>
    </w:p>
    <w:p w14:paraId="1A7F3C5A" w14:textId="77777777" w:rsidR="00245226" w:rsidRPr="00C21613" w:rsidRDefault="00245226" w:rsidP="00C21613">
      <w:pPr>
        <w:rPr>
          <w:rFonts w:eastAsia="Calibri"/>
          <w:i/>
          <w:lang w:eastAsia="ja-JP"/>
        </w:rPr>
      </w:pPr>
      <w:r w:rsidRPr="00C21613">
        <w:rPr>
          <w:rFonts w:eastAsia="Calibri"/>
          <w:i/>
          <w:lang w:eastAsia="ja-JP"/>
        </w:rPr>
        <w:t>Trade mark pending</w:t>
      </w:r>
    </w:p>
    <w:p w14:paraId="1E3B0756" w14:textId="77777777" w:rsidR="00245226" w:rsidRPr="00245226" w:rsidRDefault="00245226" w:rsidP="00C21613">
      <w:pPr>
        <w:rPr>
          <w:rFonts w:eastAsia="Calibri"/>
          <w:lang w:eastAsia="ja-JP"/>
        </w:rPr>
      </w:pPr>
      <w:r w:rsidRPr="00245226">
        <w:rPr>
          <w:rFonts w:eastAsia="Calibri"/>
          <w:lang w:eastAsia="ja-JP"/>
        </w:rPr>
        <w:t xml:space="preserve">A person who has an application pending for the registration of a trade mark under the </w:t>
      </w:r>
      <w:r w:rsidRPr="00245226">
        <w:rPr>
          <w:rFonts w:eastAsia="Calibri"/>
          <w:i/>
          <w:lang w:eastAsia="ja-JP"/>
        </w:rPr>
        <w:t>Trade Marks Act 1995</w:t>
      </w:r>
      <w:r w:rsidRPr="00245226">
        <w:rPr>
          <w:rFonts w:eastAsia="Calibri"/>
          <w:lang w:eastAsia="ja-JP"/>
        </w:rPr>
        <w:t>, may object to a proposed item where:</w:t>
      </w:r>
    </w:p>
    <w:p w14:paraId="59954263" w14:textId="6F749092" w:rsidR="00245226" w:rsidRPr="00C21613" w:rsidRDefault="00245226" w:rsidP="00892CB7">
      <w:pPr>
        <w:pStyle w:val="ListParagraph"/>
        <w:numPr>
          <w:ilvl w:val="0"/>
          <w:numId w:val="71"/>
        </w:numPr>
        <w:rPr>
          <w:rFonts w:eastAsia="Calibri"/>
          <w:lang w:eastAsia="ja-JP"/>
        </w:rPr>
      </w:pPr>
      <w:r w:rsidRPr="00C21613">
        <w:rPr>
          <w:rFonts w:eastAsia="Calibri"/>
          <w:lang w:eastAsia="ja-JP"/>
        </w:rPr>
        <w:t>the app</w:t>
      </w:r>
      <w:r w:rsidR="00B33C04">
        <w:rPr>
          <w:rFonts w:eastAsia="Calibri"/>
          <w:lang w:eastAsia="ja-JP"/>
        </w:rPr>
        <w:t>lication was made in good faith:</w:t>
      </w:r>
    </w:p>
    <w:p w14:paraId="4E20A921" w14:textId="2197481E" w:rsidR="00245226" w:rsidRPr="00C21613" w:rsidRDefault="00245226" w:rsidP="001369C0">
      <w:pPr>
        <w:pStyle w:val="ListParagraph"/>
        <w:numPr>
          <w:ilvl w:val="1"/>
          <w:numId w:val="29"/>
        </w:numPr>
        <w:rPr>
          <w:rFonts w:eastAsia="Calibri"/>
          <w:lang w:eastAsia="ja-JP"/>
        </w:rPr>
      </w:pPr>
      <w:r w:rsidRPr="00C21613">
        <w:rPr>
          <w:rFonts w:eastAsia="Calibri"/>
          <w:lang w:eastAsia="ja-JP"/>
        </w:rPr>
        <w:t>the trade mark consists of a word, expression or other indication that is identical</w:t>
      </w:r>
      <w:r w:rsidR="00B33C04">
        <w:rPr>
          <w:rFonts w:eastAsia="Calibri"/>
          <w:lang w:eastAsia="ja-JP"/>
        </w:rPr>
        <w:t xml:space="preserve"> to the proposed item,</w:t>
      </w:r>
      <w:r w:rsidRPr="00C21613">
        <w:rPr>
          <w:rFonts w:eastAsia="Calibri"/>
          <w:lang w:eastAsia="ja-JP"/>
        </w:rPr>
        <w:t xml:space="preserve"> or</w:t>
      </w:r>
    </w:p>
    <w:p w14:paraId="560536AC" w14:textId="45C16608" w:rsidR="00245226" w:rsidRPr="00C21613" w:rsidRDefault="008C79B6" w:rsidP="001369C0">
      <w:pPr>
        <w:pStyle w:val="ListParagraph"/>
        <w:numPr>
          <w:ilvl w:val="1"/>
          <w:numId w:val="29"/>
        </w:numPr>
        <w:rPr>
          <w:rFonts w:eastAsia="Calibri"/>
          <w:lang w:eastAsia="ja-JP"/>
        </w:rPr>
      </w:pPr>
      <w:r>
        <w:rPr>
          <w:rFonts w:eastAsia="Calibri"/>
          <w:lang w:eastAsia="ja-JP"/>
        </w:rPr>
        <w:t>the proposed item is likely to</w:t>
      </w:r>
      <w:r w:rsidR="00245226" w:rsidRPr="00C21613">
        <w:rPr>
          <w:rFonts w:eastAsia="Calibri"/>
          <w:lang w:eastAsia="ja-JP"/>
        </w:rPr>
        <w:t xml:space="preserve"> be confused with that word,</w:t>
      </w:r>
      <w:r w:rsidR="00B33C04">
        <w:rPr>
          <w:rFonts w:eastAsia="Calibri"/>
          <w:lang w:eastAsia="ja-JP"/>
        </w:rPr>
        <w:t xml:space="preserve"> expression or other indication,</w:t>
      </w:r>
      <w:r w:rsidR="00245226" w:rsidRPr="00C21613">
        <w:rPr>
          <w:rFonts w:eastAsia="Calibri"/>
          <w:lang w:eastAsia="ja-JP"/>
        </w:rPr>
        <w:t xml:space="preserve"> </w:t>
      </w:r>
      <w:r>
        <w:rPr>
          <w:rFonts w:eastAsia="Calibri"/>
          <w:lang w:eastAsia="ja-JP"/>
        </w:rPr>
        <w:t>and</w:t>
      </w:r>
    </w:p>
    <w:p w14:paraId="210F3C9A" w14:textId="51B206A6" w:rsidR="00245226" w:rsidRPr="00C21613" w:rsidRDefault="00245226" w:rsidP="00892CB7">
      <w:pPr>
        <w:pStyle w:val="ListParagraph"/>
        <w:numPr>
          <w:ilvl w:val="0"/>
          <w:numId w:val="71"/>
        </w:numPr>
        <w:rPr>
          <w:rFonts w:eastAsia="Calibri"/>
          <w:lang w:eastAsia="ja-JP"/>
        </w:rPr>
      </w:pPr>
      <w:r w:rsidRPr="00892CB7">
        <w:t>the</w:t>
      </w:r>
      <w:r w:rsidRPr="00C21613">
        <w:rPr>
          <w:rFonts w:eastAsia="Calibri"/>
          <w:lang w:eastAsia="ja-JP"/>
        </w:rPr>
        <w:t xml:space="preserve"> requirements under the </w:t>
      </w:r>
      <w:r w:rsidRPr="00C21613">
        <w:rPr>
          <w:rFonts w:eastAsia="Calibri"/>
          <w:i/>
          <w:lang w:eastAsia="ja-JP"/>
        </w:rPr>
        <w:t>Trade Marks Act 1995</w:t>
      </w:r>
      <w:r w:rsidRPr="00C21613">
        <w:rPr>
          <w:rFonts w:eastAsia="Calibri"/>
          <w:lang w:eastAsia="ja-JP"/>
        </w:rPr>
        <w:t xml:space="preserve"> for accepting an application for registration of a trade mark appear to have been met regard</w:t>
      </w:r>
      <w:r w:rsidR="008C79B6">
        <w:rPr>
          <w:rFonts w:eastAsia="Calibri"/>
          <w:lang w:eastAsia="ja-JP"/>
        </w:rPr>
        <w:t>ing the trade mark applied for.</w:t>
      </w:r>
    </w:p>
    <w:p w14:paraId="6094AACC" w14:textId="5E383A5C" w:rsidR="00245226" w:rsidRPr="00245226" w:rsidRDefault="00245226" w:rsidP="00C21613">
      <w:pPr>
        <w:rPr>
          <w:rFonts w:eastAsia="Calibri"/>
          <w:lang w:eastAsia="ja-JP"/>
        </w:rPr>
      </w:pPr>
      <w:r w:rsidRPr="00245226">
        <w:rPr>
          <w:rFonts w:eastAsia="Calibri"/>
          <w:lang w:eastAsia="ja-JP"/>
        </w:rPr>
        <w:t>An additional ground can be included if after registration, the person (applicant) would have trade mark rights in the word, expression or other indication that the proposed item may be co</w:t>
      </w:r>
      <w:r w:rsidR="008C79B6">
        <w:rPr>
          <w:rFonts w:eastAsia="Calibri"/>
          <w:lang w:eastAsia="ja-JP"/>
        </w:rPr>
        <w:t>nfused with (</w:t>
      </w:r>
      <w:r w:rsidR="00E43386">
        <w:rPr>
          <w:rFonts w:eastAsia="Calibri"/>
          <w:lang w:eastAsia="ja-JP"/>
        </w:rPr>
        <w:t>sub</w:t>
      </w:r>
      <w:r w:rsidR="005A264A">
        <w:rPr>
          <w:rFonts w:eastAsia="Calibri"/>
          <w:lang w:eastAsia="ja-JP"/>
        </w:rPr>
        <w:t>paragraph</w:t>
      </w:r>
      <w:r w:rsidR="008C79B6">
        <w:rPr>
          <w:rFonts w:eastAsia="Calibri"/>
          <w:lang w:eastAsia="ja-JP"/>
        </w:rPr>
        <w:t xml:space="preserve"> 62(3)(c)</w:t>
      </w:r>
      <w:r w:rsidR="00E43386">
        <w:rPr>
          <w:rFonts w:eastAsia="Calibri"/>
          <w:lang w:eastAsia="ja-JP"/>
        </w:rPr>
        <w:t>(v)</w:t>
      </w:r>
      <w:r w:rsidRPr="00245226">
        <w:rPr>
          <w:rFonts w:eastAsia="Calibri"/>
          <w:lang w:eastAsia="ja-JP"/>
        </w:rPr>
        <w:t xml:space="preserve">). </w:t>
      </w:r>
    </w:p>
    <w:p w14:paraId="42693F8F" w14:textId="43D58AD8" w:rsidR="00245226" w:rsidRPr="00C21613" w:rsidRDefault="00245226" w:rsidP="00C21613">
      <w:pPr>
        <w:rPr>
          <w:rFonts w:eastAsia="Calibri"/>
          <w:i/>
          <w:lang w:eastAsia="ja-JP"/>
        </w:rPr>
      </w:pPr>
      <w:r w:rsidRPr="00C21613">
        <w:rPr>
          <w:rFonts w:eastAsia="Calibri"/>
          <w:i/>
          <w:lang w:eastAsia="ja-JP"/>
        </w:rPr>
        <w:t>Trade mark not registered</w:t>
      </w:r>
    </w:p>
    <w:p w14:paraId="5AB8168E" w14:textId="77777777" w:rsidR="00245226" w:rsidRPr="00245226" w:rsidRDefault="00245226" w:rsidP="00C21613">
      <w:pPr>
        <w:rPr>
          <w:rFonts w:eastAsia="Calibri"/>
          <w:lang w:eastAsia="ja-JP"/>
        </w:rPr>
      </w:pPr>
      <w:r w:rsidRPr="00245226">
        <w:rPr>
          <w:rFonts w:eastAsia="Calibri"/>
          <w:lang w:eastAsia="ja-JP"/>
        </w:rPr>
        <w:t xml:space="preserve">A person who claims to have trade mark rights in a trade mark that is not registered under the </w:t>
      </w:r>
      <w:r w:rsidRPr="00245226">
        <w:rPr>
          <w:rFonts w:eastAsia="Calibri"/>
          <w:i/>
          <w:lang w:eastAsia="ja-JP"/>
        </w:rPr>
        <w:t xml:space="preserve">Trade Marks Act 1995 </w:t>
      </w:r>
      <w:r w:rsidRPr="00245226">
        <w:rPr>
          <w:rFonts w:eastAsia="Calibri"/>
          <w:lang w:eastAsia="ja-JP"/>
        </w:rPr>
        <w:t>may object to a proposed item where:</w:t>
      </w:r>
    </w:p>
    <w:p w14:paraId="63463BF9" w14:textId="77777777" w:rsidR="00245226" w:rsidRPr="00C21613" w:rsidRDefault="00245226" w:rsidP="00892CB7">
      <w:pPr>
        <w:pStyle w:val="ListParagraph"/>
        <w:numPr>
          <w:ilvl w:val="0"/>
          <w:numId w:val="71"/>
        </w:numPr>
        <w:rPr>
          <w:rFonts w:eastAsia="Calibri"/>
          <w:lang w:eastAsia="ja-JP"/>
        </w:rPr>
      </w:pPr>
      <w:r w:rsidRPr="00C21613">
        <w:rPr>
          <w:rFonts w:eastAsia="Calibri"/>
          <w:lang w:eastAsia="ja-JP"/>
        </w:rPr>
        <w:t xml:space="preserve">the </w:t>
      </w:r>
      <w:r w:rsidRPr="00892CB7">
        <w:t>trade</w:t>
      </w:r>
      <w:r w:rsidRPr="00C21613">
        <w:rPr>
          <w:rFonts w:eastAsia="Calibri"/>
          <w:lang w:eastAsia="ja-JP"/>
        </w:rPr>
        <w:t xml:space="preserve"> mark consists of a word, expression or other indication that: </w:t>
      </w:r>
    </w:p>
    <w:p w14:paraId="18779900" w14:textId="3AF0AB28" w:rsidR="00245226" w:rsidRPr="00C21613" w:rsidRDefault="00245226" w:rsidP="001369C0">
      <w:pPr>
        <w:pStyle w:val="ListParagraph"/>
        <w:numPr>
          <w:ilvl w:val="1"/>
          <w:numId w:val="30"/>
        </w:numPr>
        <w:rPr>
          <w:rFonts w:eastAsia="Calibri"/>
          <w:lang w:eastAsia="ja-JP"/>
        </w:rPr>
      </w:pPr>
      <w:r w:rsidRPr="00C21613">
        <w:rPr>
          <w:rFonts w:eastAsia="Calibri"/>
          <w:lang w:eastAsia="ja-JP"/>
        </w:rPr>
        <w:t>is</w:t>
      </w:r>
      <w:r w:rsidR="00B33C04">
        <w:rPr>
          <w:rFonts w:eastAsia="Calibri"/>
          <w:lang w:eastAsia="ja-JP"/>
        </w:rPr>
        <w:t xml:space="preserve"> identical to the proposed item, </w:t>
      </w:r>
      <w:r w:rsidRPr="00C21613">
        <w:rPr>
          <w:rFonts w:eastAsia="Calibri"/>
          <w:lang w:eastAsia="ja-JP"/>
        </w:rPr>
        <w:t xml:space="preserve">or </w:t>
      </w:r>
    </w:p>
    <w:p w14:paraId="3F354ACD" w14:textId="71F156FC" w:rsidR="00245226" w:rsidRPr="00C21613" w:rsidRDefault="008C79B6" w:rsidP="001369C0">
      <w:pPr>
        <w:pStyle w:val="ListParagraph"/>
        <w:numPr>
          <w:ilvl w:val="1"/>
          <w:numId w:val="30"/>
        </w:numPr>
        <w:rPr>
          <w:rFonts w:eastAsia="Calibri"/>
          <w:lang w:eastAsia="ja-JP"/>
        </w:rPr>
      </w:pPr>
      <w:r>
        <w:rPr>
          <w:rFonts w:eastAsia="Calibri"/>
          <w:lang w:eastAsia="ja-JP"/>
        </w:rPr>
        <w:t>the proposed item is likely to</w:t>
      </w:r>
      <w:r w:rsidR="00245226" w:rsidRPr="00C21613">
        <w:rPr>
          <w:rFonts w:eastAsia="Calibri"/>
          <w:lang w:eastAsia="ja-JP"/>
        </w:rPr>
        <w:t xml:space="preserve"> be confused with </w:t>
      </w:r>
    </w:p>
    <w:p w14:paraId="7A835DFB" w14:textId="287A2BDC" w:rsidR="00245226" w:rsidRPr="00892CB7" w:rsidRDefault="00245226" w:rsidP="00892CB7">
      <w:pPr>
        <w:pStyle w:val="ListParagraph"/>
        <w:numPr>
          <w:ilvl w:val="0"/>
          <w:numId w:val="71"/>
        </w:numPr>
      </w:pPr>
      <w:r w:rsidRPr="00C21613">
        <w:rPr>
          <w:rFonts w:eastAsia="Calibri"/>
          <w:lang w:eastAsia="ja-JP"/>
        </w:rPr>
        <w:t xml:space="preserve">the </w:t>
      </w:r>
      <w:r w:rsidRPr="00892CB7">
        <w:t>person has trade mark rights in that word, expression or other indi</w:t>
      </w:r>
      <w:r w:rsidR="005817B3">
        <w:t>cation,</w:t>
      </w:r>
      <w:r w:rsidRPr="00892CB7">
        <w:t xml:space="preserve"> and</w:t>
      </w:r>
    </w:p>
    <w:p w14:paraId="1CB95947" w14:textId="77777777" w:rsidR="00245226" w:rsidRPr="00892CB7" w:rsidRDefault="00245226" w:rsidP="00892CB7">
      <w:pPr>
        <w:pStyle w:val="ListParagraph"/>
        <w:numPr>
          <w:ilvl w:val="0"/>
          <w:numId w:val="71"/>
        </w:numPr>
      </w:pPr>
      <w:r w:rsidRPr="00892CB7">
        <w:t>their rights were attained through use in good faith.</w:t>
      </w:r>
    </w:p>
    <w:p w14:paraId="0DA2AC46" w14:textId="77777777" w:rsidR="00245226" w:rsidRPr="00C21613" w:rsidRDefault="00245226" w:rsidP="00C21613">
      <w:pPr>
        <w:rPr>
          <w:rFonts w:eastAsia="Calibri"/>
          <w:i/>
          <w:lang w:eastAsia="ja-JP"/>
        </w:rPr>
      </w:pPr>
      <w:r w:rsidRPr="00C21613">
        <w:rPr>
          <w:rFonts w:eastAsia="Calibri"/>
          <w:i/>
          <w:lang w:eastAsia="ja-JP"/>
        </w:rPr>
        <w:t>Common use</w:t>
      </w:r>
    </w:p>
    <w:p w14:paraId="6230703E" w14:textId="77777777" w:rsidR="00245226" w:rsidRDefault="00245226" w:rsidP="00C21613">
      <w:pPr>
        <w:rPr>
          <w:rFonts w:eastAsia="Calibri"/>
          <w:lang w:eastAsia="ja-JP"/>
        </w:rPr>
      </w:pPr>
      <w:r w:rsidRPr="00245226">
        <w:rPr>
          <w:rFonts w:eastAsia="Calibri"/>
          <w:lang w:eastAsia="ja-JP"/>
        </w:rPr>
        <w:t xml:space="preserve">A person may otherwise object to a proposed item if it is used in Australia as the common name of a type or style of wine, or as the name of a variety of grapes. </w:t>
      </w:r>
    </w:p>
    <w:p w14:paraId="50DB702D" w14:textId="0E53E851" w:rsidR="00A80AAF" w:rsidRDefault="00A80AAF" w:rsidP="0088376F">
      <w:pPr>
        <w:pStyle w:val="Heading3"/>
      </w:pPr>
      <w:r w:rsidRPr="00AE519B">
        <w:t>Division 3</w:t>
      </w:r>
      <w:r w:rsidR="00E0042C">
        <w:t>―</w:t>
      </w:r>
      <w:r w:rsidRPr="00AE519B">
        <w:t>Consideration of objection</w:t>
      </w:r>
      <w:r w:rsidR="00A00537">
        <w:t>s to determination of foreign GI</w:t>
      </w:r>
      <w:r w:rsidR="00E0042C">
        <w:t>s or translation of foreign GIs</w:t>
      </w:r>
    </w:p>
    <w:p w14:paraId="20BC5846" w14:textId="25E4BC82" w:rsidR="00A00537" w:rsidRPr="00A30BC7" w:rsidRDefault="00A00537" w:rsidP="00A00537">
      <w:pPr>
        <w:rPr>
          <w:lang w:eastAsia="ja-JP"/>
        </w:rPr>
      </w:pPr>
      <w:r w:rsidRPr="00334924">
        <w:rPr>
          <w:lang w:eastAsia="ja-JP"/>
        </w:rPr>
        <w:t xml:space="preserve">This division sets out the procedures for the </w:t>
      </w:r>
      <w:r w:rsidR="00365FE0">
        <w:rPr>
          <w:lang w:eastAsia="ja-JP"/>
        </w:rPr>
        <w:t>Registrar of Trade Marks</w:t>
      </w:r>
      <w:r w:rsidRPr="00334924">
        <w:rPr>
          <w:lang w:eastAsia="ja-JP"/>
        </w:rPr>
        <w:t xml:space="preserve"> to follow in deciding whether there are grounds of objection to </w:t>
      </w:r>
      <w:r w:rsidR="000578C6">
        <w:rPr>
          <w:lang w:eastAsia="ja-JP"/>
        </w:rPr>
        <w:t xml:space="preserve">the </w:t>
      </w:r>
      <w:r w:rsidRPr="00334924">
        <w:rPr>
          <w:lang w:eastAsia="ja-JP"/>
        </w:rPr>
        <w:t>determination of a foreign GI or translation of a foreign GI</w:t>
      </w:r>
      <w:r w:rsidR="00946DA3">
        <w:rPr>
          <w:lang w:eastAsia="ja-JP"/>
        </w:rPr>
        <w:t xml:space="preserve">, for </w:t>
      </w:r>
      <w:r w:rsidR="00946DA3" w:rsidRPr="00A30BC7">
        <w:rPr>
          <w:lang w:eastAsia="ja-JP"/>
        </w:rPr>
        <w:t>the purposes of subsection 40ZAQ(3) of the Act</w:t>
      </w:r>
      <w:r w:rsidRPr="00A30BC7">
        <w:rPr>
          <w:lang w:eastAsia="ja-JP"/>
        </w:rPr>
        <w:t xml:space="preserve">.  </w:t>
      </w:r>
    </w:p>
    <w:p w14:paraId="19F6FE9E" w14:textId="1B46DA7D" w:rsidR="00A00537" w:rsidRPr="00A00537" w:rsidRDefault="00A00537" w:rsidP="00A00537">
      <w:pPr>
        <w:rPr>
          <w:lang w:eastAsia="ja-JP"/>
        </w:rPr>
      </w:pPr>
      <w:r w:rsidRPr="00A30BC7">
        <w:rPr>
          <w:lang w:eastAsia="ja-JP"/>
        </w:rPr>
        <w:t xml:space="preserve">This division is made for the purposes of aligning the process for foreign GIs with Australian GIs set out in sections 40RC and 40RD of the Act. The procedures set out in this division are therefore also intended to be consistent with the procedures </w:t>
      </w:r>
      <w:r w:rsidRPr="00A30BC7">
        <w:rPr>
          <w:lang w:eastAsia="ja-JP"/>
        </w:rPr>
        <w:lastRenderedPageBreak/>
        <w:t>regarding a decision that there is a ground of objection to a proposed Australian GI, in Division 2 of Part 6.</w:t>
      </w:r>
      <w:r w:rsidRPr="00A00537">
        <w:rPr>
          <w:lang w:eastAsia="ja-JP"/>
        </w:rPr>
        <w:t xml:space="preserve"> </w:t>
      </w:r>
    </w:p>
    <w:p w14:paraId="48C3BCED" w14:textId="3862F81B" w:rsidR="00D5103E" w:rsidRPr="00BA1C6B" w:rsidRDefault="00605A5C" w:rsidP="00C21613">
      <w:pPr>
        <w:pStyle w:val="Provision"/>
      </w:pPr>
      <w:bookmarkStart w:id="12" w:name="_Toc500497039"/>
      <w:r>
        <w:br w:type="column"/>
      </w:r>
      <w:r w:rsidR="00441BF4">
        <w:lastRenderedPageBreak/>
        <w:t>Section 6</w:t>
      </w:r>
      <w:r w:rsidR="00E0042C">
        <w:t>3</w:t>
      </w:r>
      <w:r w:rsidR="00D5103E">
        <w:t xml:space="preserve"> </w:t>
      </w:r>
      <w:r w:rsidR="00E43386" w:rsidRPr="00245226">
        <w:t>–</w:t>
      </w:r>
      <w:r w:rsidR="00D5103E">
        <w:t xml:space="preserve"> </w:t>
      </w:r>
      <w:r w:rsidR="00D5103E" w:rsidRPr="00BA1C6B">
        <w:t xml:space="preserve">Application of </w:t>
      </w:r>
      <w:r w:rsidR="00365A70">
        <w:t xml:space="preserve">this </w:t>
      </w:r>
      <w:r w:rsidR="00E0042C">
        <w:t>D</w:t>
      </w:r>
      <w:r w:rsidR="00365A70">
        <w:t>ivision</w:t>
      </w:r>
      <w:bookmarkEnd w:id="12"/>
    </w:p>
    <w:p w14:paraId="18339B41" w14:textId="2235245D" w:rsidR="00D5103E" w:rsidRDefault="00A30BC7" w:rsidP="00C21613">
      <w:pPr>
        <w:rPr>
          <w:lang w:eastAsia="en-AU"/>
        </w:rPr>
      </w:pPr>
      <w:r>
        <w:rPr>
          <w:lang w:eastAsia="en-AU"/>
        </w:rPr>
        <w:t>This section provides for the application of this division. This d</w:t>
      </w:r>
      <w:r w:rsidR="00D5103E" w:rsidRPr="00CA7892">
        <w:rPr>
          <w:lang w:eastAsia="en-AU"/>
        </w:rPr>
        <w:t xml:space="preserve">ivision sets out the procedure to be followed </w:t>
      </w:r>
      <w:r w:rsidR="000B04AB">
        <w:rPr>
          <w:lang w:eastAsia="en-AU"/>
        </w:rPr>
        <w:t xml:space="preserve">by the </w:t>
      </w:r>
      <w:r w:rsidR="00365FE0">
        <w:rPr>
          <w:lang w:eastAsia="en-AU"/>
        </w:rPr>
        <w:t>Registrar of Trade Marks</w:t>
      </w:r>
      <w:r w:rsidR="000B04AB">
        <w:rPr>
          <w:lang w:eastAsia="en-AU"/>
        </w:rPr>
        <w:t xml:space="preserve"> where</w:t>
      </w:r>
      <w:r>
        <w:rPr>
          <w:lang w:eastAsia="en-AU"/>
        </w:rPr>
        <w:t>:</w:t>
      </w:r>
    </w:p>
    <w:p w14:paraId="79AB5103" w14:textId="21A0321D" w:rsidR="00A30BC7" w:rsidRPr="00334924" w:rsidRDefault="00A30BC7" w:rsidP="00892CB7">
      <w:pPr>
        <w:pStyle w:val="ListParagraph"/>
        <w:numPr>
          <w:ilvl w:val="0"/>
          <w:numId w:val="71"/>
        </w:numPr>
      </w:pPr>
      <w:bookmarkStart w:id="13" w:name="_Toc500497041"/>
      <w:bookmarkStart w:id="14" w:name="_Toc500497040"/>
      <w:r w:rsidRPr="00334924">
        <w:t>the Committee has published a notice that a foreign GI or translat</w:t>
      </w:r>
      <w:r w:rsidR="008C79B6">
        <w:t>ion is proposed (under section 61</w:t>
      </w:r>
      <w:r w:rsidR="00E43386">
        <w:t>)</w:t>
      </w:r>
    </w:p>
    <w:p w14:paraId="3C4FDE0B" w14:textId="19AF3530" w:rsidR="00A30BC7" w:rsidRPr="00334924" w:rsidRDefault="00A30BC7" w:rsidP="00892CB7">
      <w:pPr>
        <w:pStyle w:val="ListParagraph"/>
        <w:numPr>
          <w:ilvl w:val="0"/>
          <w:numId w:val="71"/>
        </w:numPr>
      </w:pPr>
      <w:r w:rsidRPr="00334924">
        <w:t xml:space="preserve">an objection in relation to the proposed foreign GI or translation has been received by the </w:t>
      </w:r>
      <w:r w:rsidR="00365FE0">
        <w:t>Registrar of Trade Marks</w:t>
      </w:r>
      <w:r w:rsidRPr="00334924">
        <w:t xml:space="preserve"> </w:t>
      </w:r>
    </w:p>
    <w:p w14:paraId="5F0632DF" w14:textId="797C9F6E" w:rsidR="00A30BC7" w:rsidRPr="00334924" w:rsidRDefault="00A30BC7" w:rsidP="00892CB7">
      <w:pPr>
        <w:pStyle w:val="ListParagraph"/>
        <w:numPr>
          <w:ilvl w:val="0"/>
          <w:numId w:val="71"/>
        </w:numPr>
      </w:pPr>
      <w:r w:rsidRPr="00334924">
        <w:t>the objection is made on a ground set out in section 6</w:t>
      </w:r>
      <w:r w:rsidR="008C79B6">
        <w:t>2</w:t>
      </w:r>
      <w:r w:rsidR="00E43386">
        <w:t>,</w:t>
      </w:r>
      <w:r w:rsidRPr="00334924">
        <w:t xml:space="preserve"> and</w:t>
      </w:r>
    </w:p>
    <w:p w14:paraId="0BDA7DEA" w14:textId="7738BF50" w:rsidR="00A30BC7" w:rsidRPr="00334924" w:rsidRDefault="00A30BC7" w:rsidP="00892CB7">
      <w:pPr>
        <w:pStyle w:val="ListParagraph"/>
        <w:numPr>
          <w:ilvl w:val="0"/>
          <w:numId w:val="71"/>
        </w:numPr>
      </w:pPr>
      <w:r w:rsidRPr="00334924">
        <w:t>the objection is received within the timeframe set out in the notice of the proposed foreign GI or translation</w:t>
      </w:r>
      <w:r w:rsidR="008C79B6">
        <w:t xml:space="preserve"> under section 61</w:t>
      </w:r>
      <w:r w:rsidRPr="00334924">
        <w:t xml:space="preserve"> (which is at l</w:t>
      </w:r>
      <w:r w:rsidR="008C79B6">
        <w:t>east one month)</w:t>
      </w:r>
      <w:r w:rsidRPr="00334924">
        <w:t xml:space="preserve">. </w:t>
      </w:r>
    </w:p>
    <w:p w14:paraId="02E9E29C" w14:textId="17FC8810" w:rsidR="00441BF4" w:rsidRPr="00BA1C6B" w:rsidRDefault="00441BF4" w:rsidP="00441BF4">
      <w:pPr>
        <w:pStyle w:val="Provision"/>
      </w:pPr>
      <w:r>
        <w:t>Section 6</w:t>
      </w:r>
      <w:r w:rsidR="00E0042C">
        <w:t>4</w:t>
      </w:r>
      <w:r w:rsidRPr="00BA1C6B">
        <w:t xml:space="preserve"> </w:t>
      </w:r>
      <w:r w:rsidR="00E43386" w:rsidRPr="00245226">
        <w:t>–</w:t>
      </w:r>
      <w:r w:rsidRPr="00BA1C6B">
        <w:t xml:space="preserve"> Notice of objection</w:t>
      </w:r>
      <w:bookmarkEnd w:id="13"/>
    </w:p>
    <w:p w14:paraId="61A72F1F" w14:textId="4B3088A5" w:rsidR="00441BF4" w:rsidRPr="00CA7892" w:rsidRDefault="00441BF4" w:rsidP="00441BF4">
      <w:pPr>
        <w:rPr>
          <w:lang w:eastAsia="en-AU"/>
        </w:rPr>
      </w:pPr>
      <w:r>
        <w:rPr>
          <w:lang w:eastAsia="en-AU"/>
        </w:rPr>
        <w:t>This section provides that t</w:t>
      </w:r>
      <w:r w:rsidRPr="00441BF4">
        <w:rPr>
          <w:rFonts w:eastAsia="Calibri"/>
          <w:lang w:eastAsia="en-AU"/>
        </w:rPr>
        <w:t xml:space="preserve">he </w:t>
      </w:r>
      <w:r w:rsidR="00365FE0">
        <w:rPr>
          <w:rFonts w:eastAsia="Calibri"/>
          <w:lang w:eastAsia="en-AU"/>
        </w:rPr>
        <w:t>Registrar of Trade Marks</w:t>
      </w:r>
      <w:r w:rsidRPr="00441BF4">
        <w:rPr>
          <w:rFonts w:eastAsia="Calibri"/>
          <w:lang w:eastAsia="en-AU"/>
        </w:rPr>
        <w:t xml:space="preserve"> must notify the </w:t>
      </w:r>
      <w:r w:rsidRPr="00C21613">
        <w:rPr>
          <w:lang w:eastAsia="en-AU"/>
        </w:rPr>
        <w:t>Committee</w:t>
      </w:r>
      <w:r>
        <w:rPr>
          <w:lang w:eastAsia="en-AU"/>
        </w:rPr>
        <w:t xml:space="preserve"> </w:t>
      </w:r>
      <w:r w:rsidRPr="00441BF4">
        <w:rPr>
          <w:rFonts w:eastAsia="Calibri"/>
          <w:lang w:eastAsia="en-AU"/>
        </w:rPr>
        <w:t xml:space="preserve">in writing </w:t>
      </w:r>
      <w:r w:rsidR="00C90B80">
        <w:rPr>
          <w:rFonts w:eastAsia="Calibri"/>
          <w:lang w:eastAsia="en-AU"/>
        </w:rPr>
        <w:t>that he or she has received an</w:t>
      </w:r>
      <w:r w:rsidR="000D0022">
        <w:rPr>
          <w:rFonts w:eastAsia="Calibri"/>
          <w:lang w:eastAsia="en-AU"/>
        </w:rPr>
        <w:t xml:space="preserve"> </w:t>
      </w:r>
      <w:r w:rsidRPr="00441BF4">
        <w:rPr>
          <w:rFonts w:eastAsia="Calibri"/>
          <w:lang w:eastAsia="en-AU"/>
        </w:rPr>
        <w:t>objection</w:t>
      </w:r>
      <w:r w:rsidR="000D0022">
        <w:rPr>
          <w:rFonts w:eastAsia="Calibri"/>
          <w:lang w:eastAsia="en-AU"/>
        </w:rPr>
        <w:t xml:space="preserve"> to a proposed foreign GI or translation of a foreign GI</w:t>
      </w:r>
      <w:r w:rsidR="00C90B80">
        <w:rPr>
          <w:rFonts w:eastAsia="Calibri"/>
          <w:lang w:eastAsia="en-AU"/>
        </w:rPr>
        <w:t xml:space="preserve"> and outline the terms of the objection in the notice</w:t>
      </w:r>
      <w:r w:rsidRPr="00441BF4">
        <w:rPr>
          <w:rFonts w:eastAsia="Calibri"/>
          <w:lang w:eastAsia="en-AU"/>
        </w:rPr>
        <w:t>.</w:t>
      </w:r>
    </w:p>
    <w:p w14:paraId="7655A58B" w14:textId="58171AE7" w:rsidR="00D5103E" w:rsidRPr="00BA1C6B" w:rsidRDefault="00D5103E" w:rsidP="00C21613">
      <w:pPr>
        <w:pStyle w:val="Provision"/>
      </w:pPr>
      <w:r w:rsidRPr="00BA1C6B">
        <w:t>Section 6</w:t>
      </w:r>
      <w:r w:rsidR="00E0042C">
        <w:t>5</w:t>
      </w:r>
      <w:r>
        <w:t xml:space="preserve"> </w:t>
      </w:r>
      <w:r w:rsidR="00E43386" w:rsidRPr="00245226">
        <w:t>–</w:t>
      </w:r>
      <w:r w:rsidRPr="00BA1C6B">
        <w:t xml:space="preserve"> Parties to proceedings</w:t>
      </w:r>
      <w:bookmarkEnd w:id="14"/>
    </w:p>
    <w:p w14:paraId="0476A799" w14:textId="16B16CE6" w:rsidR="00C90B80" w:rsidRDefault="00C90B80" w:rsidP="00C90B80">
      <w:pPr>
        <w:rPr>
          <w:lang w:eastAsia="ja-JP"/>
        </w:rPr>
      </w:pPr>
      <w:r w:rsidRPr="00E235D8">
        <w:rPr>
          <w:lang w:eastAsia="ja-JP"/>
        </w:rPr>
        <w:t xml:space="preserve">This section </w:t>
      </w:r>
      <w:r>
        <w:rPr>
          <w:lang w:eastAsia="ja-JP"/>
        </w:rPr>
        <w:t>sets out</w:t>
      </w:r>
      <w:r w:rsidRPr="00E235D8">
        <w:rPr>
          <w:lang w:eastAsia="ja-JP"/>
        </w:rPr>
        <w:t xml:space="preserve"> who </w:t>
      </w:r>
      <w:r>
        <w:rPr>
          <w:lang w:eastAsia="ja-JP"/>
        </w:rPr>
        <w:t>is a ‘</w:t>
      </w:r>
      <w:r w:rsidRPr="00E235D8">
        <w:rPr>
          <w:lang w:eastAsia="ja-JP"/>
        </w:rPr>
        <w:t>part</w:t>
      </w:r>
      <w:r>
        <w:rPr>
          <w:lang w:eastAsia="ja-JP"/>
        </w:rPr>
        <w:t>y’</w:t>
      </w:r>
      <w:r w:rsidRPr="00E235D8">
        <w:rPr>
          <w:lang w:eastAsia="ja-JP"/>
        </w:rPr>
        <w:t xml:space="preserve"> </w:t>
      </w:r>
      <w:r>
        <w:rPr>
          <w:lang w:eastAsia="ja-JP"/>
        </w:rPr>
        <w:t>in relation to an objection to a proposed foreign GI or translation</w:t>
      </w:r>
      <w:r w:rsidR="00E15B4E">
        <w:rPr>
          <w:lang w:eastAsia="ja-JP"/>
        </w:rPr>
        <w:t xml:space="preserve"> of a foreign GI</w:t>
      </w:r>
      <w:r w:rsidRPr="00E235D8">
        <w:rPr>
          <w:lang w:eastAsia="ja-JP"/>
        </w:rPr>
        <w:t xml:space="preserve">.  </w:t>
      </w:r>
    </w:p>
    <w:p w14:paraId="57085712" w14:textId="10CE9576" w:rsidR="00C90B80" w:rsidRPr="00E235D8" w:rsidRDefault="00C90B80" w:rsidP="00C90B80">
      <w:pPr>
        <w:rPr>
          <w:lang w:eastAsia="ja-JP"/>
        </w:rPr>
      </w:pPr>
      <w:r>
        <w:rPr>
          <w:lang w:eastAsia="ja-JP"/>
        </w:rPr>
        <w:t xml:space="preserve">For the purposes of this division, a </w:t>
      </w:r>
      <w:r>
        <w:rPr>
          <w:b/>
          <w:i/>
          <w:lang w:eastAsia="ja-JP"/>
        </w:rPr>
        <w:t>p</w:t>
      </w:r>
      <w:r w:rsidRPr="00E235D8">
        <w:rPr>
          <w:b/>
          <w:i/>
          <w:lang w:eastAsia="ja-JP"/>
        </w:rPr>
        <w:t>art</w:t>
      </w:r>
      <w:r>
        <w:rPr>
          <w:lang w:eastAsia="ja-JP"/>
        </w:rPr>
        <w:t>y to proceedings</w:t>
      </w:r>
      <w:r w:rsidRPr="00E235D8">
        <w:rPr>
          <w:lang w:eastAsia="ja-JP"/>
        </w:rPr>
        <w:t xml:space="preserve"> </w:t>
      </w:r>
      <w:r>
        <w:rPr>
          <w:lang w:eastAsia="ja-JP"/>
        </w:rPr>
        <w:t>is</w:t>
      </w:r>
      <w:r w:rsidRPr="00E235D8">
        <w:rPr>
          <w:lang w:eastAsia="ja-JP"/>
        </w:rPr>
        <w:t xml:space="preserve">: </w:t>
      </w:r>
    </w:p>
    <w:p w14:paraId="76013A1B" w14:textId="77777777" w:rsidR="00C90B80" w:rsidRDefault="00C90B80" w:rsidP="00892CB7">
      <w:pPr>
        <w:pStyle w:val="ListParagraph"/>
        <w:numPr>
          <w:ilvl w:val="0"/>
          <w:numId w:val="71"/>
        </w:numPr>
        <w:rPr>
          <w:lang w:eastAsia="ja-JP"/>
        </w:rPr>
      </w:pPr>
      <w:r>
        <w:rPr>
          <w:lang w:eastAsia="ja-JP"/>
        </w:rPr>
        <w:t>the person who made the objection, either:</w:t>
      </w:r>
    </w:p>
    <w:p w14:paraId="281F2595" w14:textId="68878AE7" w:rsidR="00C90B80" w:rsidRDefault="00C90B80" w:rsidP="00C90B80">
      <w:pPr>
        <w:pStyle w:val="ListParagraph"/>
        <w:numPr>
          <w:ilvl w:val="1"/>
          <w:numId w:val="24"/>
        </w:numPr>
        <w:spacing w:after="0"/>
        <w:rPr>
          <w:lang w:eastAsia="ja-JP"/>
        </w:rPr>
      </w:pPr>
      <w:r>
        <w:rPr>
          <w:lang w:eastAsia="ja-JP"/>
        </w:rPr>
        <w:t>the registered owner of the registered trade mark (under subsection 6</w:t>
      </w:r>
      <w:r w:rsidR="005A264A">
        <w:rPr>
          <w:lang w:eastAsia="ja-JP"/>
        </w:rPr>
        <w:t>2</w:t>
      </w:r>
      <w:r>
        <w:rPr>
          <w:lang w:eastAsia="ja-JP"/>
        </w:rPr>
        <w:t>(1)</w:t>
      </w:r>
    </w:p>
    <w:p w14:paraId="4DF17DB3" w14:textId="477520F3" w:rsidR="00C90B80" w:rsidRDefault="00C90B80" w:rsidP="00C90B80">
      <w:pPr>
        <w:pStyle w:val="ListParagraph"/>
        <w:numPr>
          <w:ilvl w:val="1"/>
          <w:numId w:val="24"/>
        </w:numPr>
        <w:spacing w:after="0"/>
        <w:rPr>
          <w:lang w:eastAsia="ja-JP"/>
        </w:rPr>
      </w:pPr>
      <w:r>
        <w:rPr>
          <w:lang w:eastAsia="ja-JP"/>
        </w:rPr>
        <w:t xml:space="preserve">a person who has an application pending for the registration of the trade mark under the </w:t>
      </w:r>
      <w:r>
        <w:rPr>
          <w:i/>
          <w:lang w:eastAsia="ja-JP"/>
        </w:rPr>
        <w:t xml:space="preserve">Trade Marks Act 1995 </w:t>
      </w:r>
      <w:r>
        <w:rPr>
          <w:lang w:eastAsia="ja-JP"/>
        </w:rPr>
        <w:t>(under subsection 6</w:t>
      </w:r>
      <w:r w:rsidR="005A264A">
        <w:rPr>
          <w:lang w:eastAsia="ja-JP"/>
        </w:rPr>
        <w:t>2</w:t>
      </w:r>
      <w:r>
        <w:rPr>
          <w:lang w:eastAsia="ja-JP"/>
        </w:rPr>
        <w:t>(3))</w:t>
      </w:r>
    </w:p>
    <w:p w14:paraId="44701B30" w14:textId="6A905FB4" w:rsidR="00C90B80" w:rsidRDefault="00C90B80" w:rsidP="00C90B80">
      <w:pPr>
        <w:pStyle w:val="ListParagraph"/>
        <w:numPr>
          <w:ilvl w:val="1"/>
          <w:numId w:val="24"/>
        </w:numPr>
        <w:spacing w:after="0"/>
        <w:rPr>
          <w:lang w:eastAsia="ja-JP"/>
        </w:rPr>
      </w:pPr>
      <w:r>
        <w:rPr>
          <w:lang w:eastAsia="ja-JP"/>
        </w:rPr>
        <w:t>a person who claims to have trade mark rights in the trade mark that is not registered (under subsection 6</w:t>
      </w:r>
      <w:r w:rsidR="005A264A">
        <w:rPr>
          <w:lang w:eastAsia="ja-JP"/>
        </w:rPr>
        <w:t>2</w:t>
      </w:r>
      <w:r w:rsidR="00E43386">
        <w:rPr>
          <w:lang w:eastAsia="ja-JP"/>
        </w:rPr>
        <w:t>(4)),</w:t>
      </w:r>
      <w:r>
        <w:rPr>
          <w:lang w:eastAsia="ja-JP"/>
        </w:rPr>
        <w:t xml:space="preserve"> or</w:t>
      </w:r>
    </w:p>
    <w:p w14:paraId="1BCFCE24" w14:textId="3793BD06" w:rsidR="00C90B80" w:rsidRDefault="00C90B80" w:rsidP="00C90B80">
      <w:pPr>
        <w:pStyle w:val="ListParagraph"/>
        <w:numPr>
          <w:ilvl w:val="1"/>
          <w:numId w:val="24"/>
        </w:numPr>
        <w:spacing w:after="0"/>
        <w:rPr>
          <w:lang w:eastAsia="ja-JP"/>
        </w:rPr>
      </w:pPr>
      <w:r>
        <w:rPr>
          <w:lang w:eastAsia="ja-JP"/>
        </w:rPr>
        <w:t xml:space="preserve">a person who objects to the proposed </w:t>
      </w:r>
      <w:r w:rsidR="00E15B4E">
        <w:rPr>
          <w:lang w:eastAsia="ja-JP"/>
        </w:rPr>
        <w:t>item</w:t>
      </w:r>
      <w:r>
        <w:rPr>
          <w:lang w:eastAsia="ja-JP"/>
        </w:rPr>
        <w:t xml:space="preserve"> on the ground that it is used in Australia (under subsection 6</w:t>
      </w:r>
      <w:r w:rsidR="005A264A">
        <w:rPr>
          <w:lang w:eastAsia="ja-JP"/>
        </w:rPr>
        <w:t>2</w:t>
      </w:r>
      <w:r w:rsidR="00E43386">
        <w:rPr>
          <w:lang w:eastAsia="ja-JP"/>
        </w:rPr>
        <w:t>(5)), and</w:t>
      </w:r>
      <w:r>
        <w:rPr>
          <w:lang w:eastAsia="ja-JP"/>
        </w:rPr>
        <w:t xml:space="preserve"> </w:t>
      </w:r>
    </w:p>
    <w:p w14:paraId="0E23FC6B" w14:textId="39C7523E" w:rsidR="00C90B80" w:rsidRDefault="00C90B80" w:rsidP="00892CB7">
      <w:pPr>
        <w:pStyle w:val="ListParagraph"/>
        <w:numPr>
          <w:ilvl w:val="0"/>
          <w:numId w:val="71"/>
        </w:numPr>
        <w:rPr>
          <w:lang w:eastAsia="ja-JP"/>
        </w:rPr>
      </w:pPr>
      <w:r>
        <w:rPr>
          <w:lang w:eastAsia="ja-JP"/>
        </w:rPr>
        <w:t xml:space="preserve">the applicant for the determination of the proposed foreign GI </w:t>
      </w:r>
      <w:r w:rsidR="00F94DA7">
        <w:rPr>
          <w:lang w:eastAsia="ja-JP"/>
        </w:rPr>
        <w:t>or translation</w:t>
      </w:r>
      <w:r w:rsidR="00E15B4E">
        <w:rPr>
          <w:lang w:eastAsia="ja-JP"/>
        </w:rPr>
        <w:t xml:space="preserve"> of the foreign GI</w:t>
      </w:r>
      <w:r w:rsidR="00F94DA7">
        <w:rPr>
          <w:lang w:eastAsia="ja-JP"/>
        </w:rPr>
        <w:t xml:space="preserve"> (under section 60</w:t>
      </w:r>
      <w:r>
        <w:rPr>
          <w:lang w:eastAsia="ja-JP"/>
        </w:rPr>
        <w:t>).</w:t>
      </w:r>
    </w:p>
    <w:p w14:paraId="15975756" w14:textId="77777777" w:rsidR="00C90B80" w:rsidRPr="00461012" w:rsidRDefault="00C90B80" w:rsidP="00C90B80">
      <w:pPr>
        <w:spacing w:after="0"/>
        <w:rPr>
          <w:i/>
          <w:lang w:eastAsia="ja-JP"/>
        </w:rPr>
      </w:pPr>
      <w:r>
        <w:rPr>
          <w:lang w:eastAsia="ja-JP"/>
        </w:rPr>
        <w:t xml:space="preserve">Under subsection 4(1) of the Act, a </w:t>
      </w:r>
      <w:r>
        <w:rPr>
          <w:b/>
          <w:i/>
          <w:lang w:eastAsia="ja-JP"/>
        </w:rPr>
        <w:t xml:space="preserve">registered trade mark </w:t>
      </w:r>
      <w:r>
        <w:rPr>
          <w:lang w:eastAsia="ja-JP"/>
        </w:rPr>
        <w:t xml:space="preserve">means a trade mark whose particulars are entered in the Register of Trade Marks under the </w:t>
      </w:r>
      <w:r>
        <w:rPr>
          <w:i/>
          <w:lang w:eastAsia="ja-JP"/>
        </w:rPr>
        <w:t xml:space="preserve">Trade Marks Act 1995. </w:t>
      </w:r>
    </w:p>
    <w:p w14:paraId="6FE7190D" w14:textId="43824E9B" w:rsidR="00D5103E" w:rsidRPr="00BA1C6B" w:rsidRDefault="00D5103E" w:rsidP="00C21613">
      <w:pPr>
        <w:pStyle w:val="Provision"/>
      </w:pPr>
      <w:bookmarkStart w:id="15" w:name="_Toc500497042"/>
      <w:r w:rsidRPr="00BA1C6B">
        <w:t>Section 6</w:t>
      </w:r>
      <w:r w:rsidR="00E0042C">
        <w:t>6</w:t>
      </w:r>
      <w:r w:rsidRPr="00BA1C6B">
        <w:t xml:space="preserve"> </w:t>
      </w:r>
      <w:r w:rsidR="00E15B4E" w:rsidRPr="00245226">
        <w:t>–</w:t>
      </w:r>
      <w:r w:rsidRPr="00BA1C6B">
        <w:t xml:space="preserve"> Evidence in relation to ground of objection and recommendation</w:t>
      </w:r>
      <w:bookmarkEnd w:id="15"/>
    </w:p>
    <w:p w14:paraId="0744E9AB" w14:textId="71C91CDD" w:rsidR="00C90B80" w:rsidRDefault="00C90B80" w:rsidP="00C90B80">
      <w:pPr>
        <w:rPr>
          <w:lang w:eastAsia="ja-JP"/>
        </w:rPr>
      </w:pPr>
      <w:r>
        <w:rPr>
          <w:lang w:eastAsia="ja-JP"/>
        </w:rPr>
        <w:t xml:space="preserve">This section sets out the procedure the </w:t>
      </w:r>
      <w:r w:rsidR="00365FE0">
        <w:rPr>
          <w:lang w:eastAsia="ja-JP"/>
        </w:rPr>
        <w:t>Registrar of Trade Marks</w:t>
      </w:r>
      <w:r>
        <w:rPr>
          <w:lang w:eastAsia="ja-JP"/>
        </w:rPr>
        <w:t xml:space="preserve"> must follow after notifying the Committee that an objection has been received, and specifies the content of the notice the </w:t>
      </w:r>
      <w:r w:rsidR="00365FE0">
        <w:rPr>
          <w:lang w:eastAsia="ja-JP"/>
        </w:rPr>
        <w:t>Registrar of Trade Marks</w:t>
      </w:r>
      <w:r>
        <w:rPr>
          <w:lang w:eastAsia="ja-JP"/>
        </w:rPr>
        <w:t xml:space="preserve"> must provide to parties in proceedings.</w:t>
      </w:r>
    </w:p>
    <w:p w14:paraId="79C4F4EC" w14:textId="378E19A6" w:rsidR="00C90B80" w:rsidRPr="00A979E6" w:rsidRDefault="00C90B80" w:rsidP="00C90B80">
      <w:pPr>
        <w:rPr>
          <w:lang w:eastAsia="ja-JP"/>
        </w:rPr>
      </w:pPr>
      <w:r>
        <w:rPr>
          <w:lang w:eastAsia="ja-JP"/>
        </w:rPr>
        <w:t>After notifyin</w:t>
      </w:r>
      <w:r w:rsidR="00F94DA7">
        <w:rPr>
          <w:lang w:eastAsia="ja-JP"/>
        </w:rPr>
        <w:t>g the Committee under section 64</w:t>
      </w:r>
      <w:r w:rsidRPr="00A979E6">
        <w:rPr>
          <w:lang w:eastAsia="ja-JP"/>
        </w:rPr>
        <w:t xml:space="preserve"> that </w:t>
      </w:r>
      <w:r>
        <w:rPr>
          <w:lang w:eastAsia="ja-JP"/>
        </w:rPr>
        <w:t xml:space="preserve">an </w:t>
      </w:r>
      <w:r w:rsidRPr="00A979E6">
        <w:rPr>
          <w:lang w:eastAsia="ja-JP"/>
        </w:rPr>
        <w:t xml:space="preserve">objection </w:t>
      </w:r>
      <w:r>
        <w:rPr>
          <w:lang w:eastAsia="ja-JP"/>
        </w:rPr>
        <w:t>has been received,</w:t>
      </w:r>
      <w:r w:rsidRPr="00C23867">
        <w:rPr>
          <w:lang w:eastAsia="ja-JP"/>
        </w:rPr>
        <w:t xml:space="preserve"> </w:t>
      </w:r>
      <w:r>
        <w:rPr>
          <w:lang w:eastAsia="ja-JP"/>
        </w:rPr>
        <w:t xml:space="preserve">and the person making the objection has paid the relevant fee for dealing with the </w:t>
      </w:r>
      <w:r>
        <w:rPr>
          <w:lang w:eastAsia="ja-JP"/>
        </w:rPr>
        <w:lastRenderedPageBreak/>
        <w:t>obj</w:t>
      </w:r>
      <w:r w:rsidR="00E0042C">
        <w:rPr>
          <w:lang w:eastAsia="ja-JP"/>
        </w:rPr>
        <w:t>ection (prescribed by section 74</w:t>
      </w:r>
      <w:r>
        <w:rPr>
          <w:lang w:eastAsia="ja-JP"/>
        </w:rPr>
        <w:t>), t</w:t>
      </w:r>
      <w:r w:rsidRPr="00A979E6">
        <w:rPr>
          <w:lang w:eastAsia="ja-JP"/>
        </w:rPr>
        <w:t xml:space="preserve">he </w:t>
      </w:r>
      <w:r w:rsidR="00365FE0">
        <w:rPr>
          <w:lang w:eastAsia="ja-JP"/>
        </w:rPr>
        <w:t>Registrar of Trade Marks</w:t>
      </w:r>
      <w:r w:rsidRPr="00A979E6">
        <w:rPr>
          <w:lang w:eastAsia="ja-JP"/>
        </w:rPr>
        <w:t xml:space="preserve"> </w:t>
      </w:r>
      <w:r>
        <w:rPr>
          <w:lang w:eastAsia="ja-JP"/>
        </w:rPr>
        <w:t>must send each party a written notice that:</w:t>
      </w:r>
    </w:p>
    <w:p w14:paraId="13F4FD98" w14:textId="52A2E700" w:rsidR="00C90B80" w:rsidRPr="00A979E6" w:rsidRDefault="00C90B80" w:rsidP="00892CB7">
      <w:pPr>
        <w:pStyle w:val="ListParagraph"/>
        <w:numPr>
          <w:ilvl w:val="0"/>
          <w:numId w:val="71"/>
        </w:numPr>
        <w:rPr>
          <w:lang w:eastAsia="ja-JP"/>
        </w:rPr>
      </w:pPr>
      <w:r>
        <w:t>provides</w:t>
      </w:r>
      <w:r>
        <w:rPr>
          <w:lang w:eastAsia="ja-JP"/>
        </w:rPr>
        <w:t xml:space="preserve"> </w:t>
      </w:r>
      <w:r w:rsidRPr="00A979E6">
        <w:rPr>
          <w:lang w:eastAsia="ja-JP"/>
        </w:rPr>
        <w:t xml:space="preserve">the name and address of </w:t>
      </w:r>
      <w:r>
        <w:rPr>
          <w:lang w:eastAsia="ja-JP"/>
        </w:rPr>
        <w:t xml:space="preserve">each </w:t>
      </w:r>
      <w:r w:rsidRPr="00A979E6">
        <w:rPr>
          <w:lang w:eastAsia="ja-JP"/>
        </w:rPr>
        <w:t>other party</w:t>
      </w:r>
    </w:p>
    <w:p w14:paraId="38B16D70" w14:textId="680906BF" w:rsidR="00C90B80" w:rsidRDefault="00C90B80" w:rsidP="00892CB7">
      <w:pPr>
        <w:pStyle w:val="ListParagraph"/>
        <w:numPr>
          <w:ilvl w:val="0"/>
          <w:numId w:val="71"/>
        </w:numPr>
        <w:rPr>
          <w:lang w:eastAsia="ja-JP"/>
        </w:rPr>
      </w:pPr>
      <w:r w:rsidRPr="00A979E6">
        <w:t>invites</w:t>
      </w:r>
      <w:r w:rsidRPr="00A979E6">
        <w:rPr>
          <w:lang w:eastAsia="ja-JP"/>
        </w:rPr>
        <w:t xml:space="preserve"> </w:t>
      </w:r>
      <w:r>
        <w:rPr>
          <w:lang w:eastAsia="ja-JP"/>
        </w:rPr>
        <w:t xml:space="preserve">each </w:t>
      </w:r>
      <w:r w:rsidRPr="00A979E6">
        <w:rPr>
          <w:lang w:eastAsia="ja-JP"/>
        </w:rPr>
        <w:t>part</w:t>
      </w:r>
      <w:r>
        <w:rPr>
          <w:lang w:eastAsia="ja-JP"/>
        </w:rPr>
        <w:t>y</w:t>
      </w:r>
      <w:r w:rsidRPr="00A979E6">
        <w:rPr>
          <w:lang w:eastAsia="ja-JP"/>
        </w:rPr>
        <w:t xml:space="preserve"> to file evidence</w:t>
      </w:r>
      <w:r>
        <w:rPr>
          <w:lang w:eastAsia="ja-JP"/>
        </w:rPr>
        <w:t xml:space="preserve"> </w:t>
      </w:r>
      <w:r w:rsidR="008C79B6">
        <w:rPr>
          <w:lang w:eastAsia="ja-JP"/>
        </w:rPr>
        <w:t>relevant to</w:t>
      </w:r>
      <w:r>
        <w:rPr>
          <w:lang w:eastAsia="ja-JP"/>
        </w:rPr>
        <w:t>:</w:t>
      </w:r>
    </w:p>
    <w:p w14:paraId="09C02487" w14:textId="232AF155" w:rsidR="00C90B80" w:rsidRDefault="00C90B80" w:rsidP="00C90B80">
      <w:pPr>
        <w:pStyle w:val="ListParagraph"/>
        <w:numPr>
          <w:ilvl w:val="1"/>
          <w:numId w:val="25"/>
        </w:numPr>
        <w:rPr>
          <w:lang w:eastAsia="ja-JP"/>
        </w:rPr>
      </w:pPr>
      <w:r>
        <w:rPr>
          <w:lang w:eastAsia="ja-JP"/>
        </w:rPr>
        <w:t xml:space="preserve">the objection to the proposed </w:t>
      </w:r>
      <w:r w:rsidR="00C66405">
        <w:rPr>
          <w:lang w:eastAsia="ja-JP"/>
        </w:rPr>
        <w:t xml:space="preserve">foreign </w:t>
      </w:r>
      <w:r w:rsidR="00E43386">
        <w:rPr>
          <w:lang w:eastAsia="ja-JP"/>
        </w:rPr>
        <w:t>GI,</w:t>
      </w:r>
      <w:r>
        <w:rPr>
          <w:lang w:eastAsia="ja-JP"/>
        </w:rPr>
        <w:t xml:space="preserve"> or </w:t>
      </w:r>
    </w:p>
    <w:p w14:paraId="2B46036B" w14:textId="417914BC" w:rsidR="00C90B80" w:rsidRPr="00A979E6" w:rsidRDefault="00C90B80" w:rsidP="00C90B80">
      <w:pPr>
        <w:pStyle w:val="ListParagraph"/>
        <w:numPr>
          <w:ilvl w:val="1"/>
          <w:numId w:val="25"/>
        </w:numPr>
        <w:rPr>
          <w:lang w:eastAsia="ja-JP"/>
        </w:rPr>
      </w:pPr>
      <w:r>
        <w:rPr>
          <w:lang w:eastAsia="ja-JP"/>
        </w:rPr>
        <w:t xml:space="preserve">whether the </w:t>
      </w:r>
      <w:r w:rsidR="00365FE0">
        <w:rPr>
          <w:lang w:eastAsia="ja-JP"/>
        </w:rPr>
        <w:t>Registrar of Trade Marks</w:t>
      </w:r>
      <w:r>
        <w:rPr>
          <w:lang w:eastAsia="ja-JP"/>
        </w:rPr>
        <w:t xml:space="preserve"> should recommend that </w:t>
      </w:r>
      <w:r w:rsidRPr="00A979E6">
        <w:rPr>
          <w:lang w:eastAsia="ja-JP"/>
        </w:rPr>
        <w:t>the proposed</w:t>
      </w:r>
      <w:r w:rsidR="00E43386">
        <w:rPr>
          <w:lang w:eastAsia="ja-JP"/>
        </w:rPr>
        <w:t xml:space="preserve"> foreign</w:t>
      </w:r>
      <w:r w:rsidRPr="00A979E6">
        <w:rPr>
          <w:lang w:eastAsia="ja-JP"/>
        </w:rPr>
        <w:t xml:space="preserve"> GI be determined despite the </w:t>
      </w:r>
      <w:r>
        <w:rPr>
          <w:lang w:eastAsia="ja-JP"/>
        </w:rPr>
        <w:t>objection</w:t>
      </w:r>
      <w:r w:rsidR="00E43386">
        <w:rPr>
          <w:lang w:eastAsia="ja-JP"/>
        </w:rPr>
        <w:t>,</w:t>
      </w:r>
      <w:r w:rsidRPr="00A979E6">
        <w:rPr>
          <w:lang w:eastAsia="ja-JP"/>
        </w:rPr>
        <w:t xml:space="preserve"> and</w:t>
      </w:r>
    </w:p>
    <w:p w14:paraId="37FDF870" w14:textId="77777777" w:rsidR="00C90B80" w:rsidRDefault="00C90B80" w:rsidP="00892CB7">
      <w:pPr>
        <w:pStyle w:val="ListParagraph"/>
        <w:numPr>
          <w:ilvl w:val="0"/>
          <w:numId w:val="71"/>
        </w:numPr>
        <w:rPr>
          <w:lang w:eastAsia="ja-JP"/>
        </w:rPr>
      </w:pPr>
      <w:r>
        <w:t>s</w:t>
      </w:r>
      <w:r w:rsidRPr="00A979E6">
        <w:t>tates</w:t>
      </w:r>
      <w:r w:rsidRPr="00A979E6">
        <w:rPr>
          <w:lang w:eastAsia="ja-JP"/>
        </w:rPr>
        <w:t xml:space="preserve"> that evidence must be filed </w:t>
      </w:r>
      <w:r>
        <w:rPr>
          <w:lang w:eastAsia="ja-JP"/>
        </w:rPr>
        <w:t>with</w:t>
      </w:r>
      <w:r w:rsidRPr="00A979E6">
        <w:rPr>
          <w:lang w:eastAsia="ja-JP"/>
        </w:rPr>
        <w:t xml:space="preserve">in </w:t>
      </w:r>
      <w:r>
        <w:rPr>
          <w:lang w:eastAsia="ja-JP"/>
        </w:rPr>
        <w:t>three</w:t>
      </w:r>
      <w:r w:rsidRPr="00A979E6">
        <w:rPr>
          <w:lang w:eastAsia="ja-JP"/>
        </w:rPr>
        <w:t xml:space="preserve"> month</w:t>
      </w:r>
      <w:r>
        <w:rPr>
          <w:lang w:eastAsia="ja-JP"/>
        </w:rPr>
        <w:t>s</w:t>
      </w:r>
      <w:r w:rsidRPr="00A979E6">
        <w:rPr>
          <w:lang w:eastAsia="ja-JP"/>
        </w:rPr>
        <w:t xml:space="preserve"> from the date of th</w:t>
      </w:r>
      <w:r>
        <w:rPr>
          <w:lang w:eastAsia="ja-JP"/>
        </w:rPr>
        <w:t>e</w:t>
      </w:r>
      <w:r w:rsidRPr="00A979E6">
        <w:rPr>
          <w:lang w:eastAsia="ja-JP"/>
        </w:rPr>
        <w:t xml:space="preserve"> notice.</w:t>
      </w:r>
    </w:p>
    <w:p w14:paraId="416562C9" w14:textId="7DC86414" w:rsidR="00D5103E" w:rsidRDefault="009B3F04" w:rsidP="00C21613">
      <w:pPr>
        <w:pStyle w:val="Provision"/>
      </w:pPr>
      <w:bookmarkStart w:id="16" w:name="_Toc500497043"/>
      <w:r>
        <w:t>Section 6</w:t>
      </w:r>
      <w:r w:rsidR="00E0042C">
        <w:t>7</w:t>
      </w:r>
      <w:r w:rsidR="00D5103E" w:rsidRPr="00BA1C6B">
        <w:t xml:space="preserve"> </w:t>
      </w:r>
      <w:r w:rsidR="00E43386" w:rsidRPr="00245226">
        <w:t>–</w:t>
      </w:r>
      <w:r w:rsidR="00D5103E" w:rsidRPr="00BA1C6B">
        <w:t xml:space="preserve"> Evidence in answer</w:t>
      </w:r>
      <w:bookmarkEnd w:id="16"/>
    </w:p>
    <w:p w14:paraId="52BFDA3D" w14:textId="38952AC8" w:rsidR="00C90B80" w:rsidRDefault="00C90B80" w:rsidP="00C90B80">
      <w:pPr>
        <w:rPr>
          <w:lang w:eastAsia="ja-JP"/>
        </w:rPr>
      </w:pPr>
      <w:r>
        <w:rPr>
          <w:lang w:eastAsia="ja-JP"/>
        </w:rPr>
        <w:t xml:space="preserve">This section sets out the procedures the </w:t>
      </w:r>
      <w:r w:rsidR="00365FE0">
        <w:rPr>
          <w:lang w:eastAsia="ja-JP"/>
        </w:rPr>
        <w:t>Registrar of Trade Marks</w:t>
      </w:r>
      <w:r>
        <w:rPr>
          <w:lang w:eastAsia="ja-JP"/>
        </w:rPr>
        <w:t xml:space="preserve"> must follow if a party files evidence in respons</w:t>
      </w:r>
      <w:r w:rsidR="00F94DA7">
        <w:rPr>
          <w:lang w:eastAsia="ja-JP"/>
        </w:rPr>
        <w:t xml:space="preserve">e to </w:t>
      </w:r>
      <w:r w:rsidR="00E15B4E">
        <w:rPr>
          <w:lang w:eastAsia="ja-JP"/>
        </w:rPr>
        <w:t>a</w:t>
      </w:r>
      <w:r w:rsidR="00F94DA7">
        <w:rPr>
          <w:lang w:eastAsia="ja-JP"/>
        </w:rPr>
        <w:t xml:space="preserve"> notice under section 66</w:t>
      </w:r>
      <w:r>
        <w:rPr>
          <w:lang w:eastAsia="ja-JP"/>
        </w:rPr>
        <w:t>.</w:t>
      </w:r>
    </w:p>
    <w:p w14:paraId="252446E4" w14:textId="011B3FBF" w:rsidR="00C90B80" w:rsidRDefault="00C90B80" w:rsidP="00C90B80">
      <w:pPr>
        <w:rPr>
          <w:lang w:eastAsia="ja-JP"/>
        </w:rPr>
      </w:pPr>
      <w:r>
        <w:rPr>
          <w:lang w:eastAsia="ja-JP"/>
        </w:rPr>
        <w:t>If a party files evidence in response to a notice sent under section 6</w:t>
      </w:r>
      <w:r w:rsidR="00F94DA7">
        <w:rPr>
          <w:lang w:eastAsia="ja-JP"/>
        </w:rPr>
        <w:t>6</w:t>
      </w:r>
      <w:r>
        <w:rPr>
          <w:lang w:eastAsia="ja-JP"/>
        </w:rPr>
        <w:t xml:space="preserve">, the </w:t>
      </w:r>
      <w:r w:rsidR="00365FE0">
        <w:rPr>
          <w:lang w:eastAsia="ja-JP"/>
        </w:rPr>
        <w:t>Registrar of Trade Marks</w:t>
      </w:r>
      <w:r>
        <w:rPr>
          <w:lang w:eastAsia="ja-JP"/>
        </w:rPr>
        <w:t xml:space="preserve"> must send each other party a written notice inviting evidence in answer</w:t>
      </w:r>
      <w:r w:rsidR="005817B3">
        <w:rPr>
          <w:lang w:eastAsia="ja-JP"/>
        </w:rPr>
        <w:t>, stating</w:t>
      </w:r>
      <w:r>
        <w:rPr>
          <w:lang w:eastAsia="ja-JP"/>
        </w:rPr>
        <w:t xml:space="preserve"> the period from the date of the notice in which evidence in answer may be filed. The period stated to file evidence in answer must be at least </w:t>
      </w:r>
      <w:r w:rsidR="00E43386">
        <w:rPr>
          <w:lang w:eastAsia="ja-JP"/>
        </w:rPr>
        <w:t>two</w:t>
      </w:r>
      <w:r>
        <w:rPr>
          <w:lang w:eastAsia="ja-JP"/>
        </w:rPr>
        <w:t xml:space="preserve"> months.</w:t>
      </w:r>
    </w:p>
    <w:p w14:paraId="7BC06A32" w14:textId="1BB07A33" w:rsidR="00C90B80" w:rsidRDefault="00C90B80" w:rsidP="00C90B80">
      <w:pPr>
        <w:rPr>
          <w:lang w:eastAsia="ja-JP"/>
        </w:rPr>
      </w:pPr>
      <w:r>
        <w:rPr>
          <w:lang w:eastAsia="ja-JP"/>
        </w:rPr>
        <w:t xml:space="preserve">The </w:t>
      </w:r>
      <w:r w:rsidR="00365FE0">
        <w:rPr>
          <w:lang w:eastAsia="ja-JP"/>
        </w:rPr>
        <w:t>Registrar of Trade Marks</w:t>
      </w:r>
      <w:r>
        <w:rPr>
          <w:lang w:eastAsia="ja-JP"/>
        </w:rPr>
        <w:t xml:space="preserve"> must also notify all parties, in writing, of the deadline if they wish to request a hearing under section </w:t>
      </w:r>
      <w:r w:rsidR="00F94DA7">
        <w:rPr>
          <w:lang w:eastAsia="ja-JP"/>
        </w:rPr>
        <w:t>69</w:t>
      </w:r>
      <w:r>
        <w:rPr>
          <w:lang w:eastAsia="ja-JP"/>
        </w:rPr>
        <w:t xml:space="preserve">. As per </w:t>
      </w:r>
      <w:r w:rsidR="00F3678A">
        <w:rPr>
          <w:lang w:eastAsia="ja-JP"/>
        </w:rPr>
        <w:t>subsection</w:t>
      </w:r>
      <w:r w:rsidR="008C79B6">
        <w:rPr>
          <w:lang w:eastAsia="ja-JP"/>
        </w:rPr>
        <w:t xml:space="preserve"> 69</w:t>
      </w:r>
      <w:r>
        <w:rPr>
          <w:lang w:eastAsia="ja-JP"/>
        </w:rPr>
        <w:t xml:space="preserve">(2), the deadline </w:t>
      </w:r>
      <w:r w:rsidR="008C79B6">
        <w:rPr>
          <w:lang w:eastAsia="ja-JP"/>
        </w:rPr>
        <w:t xml:space="preserve">must </w:t>
      </w:r>
      <w:r>
        <w:rPr>
          <w:lang w:eastAsia="ja-JP"/>
        </w:rPr>
        <w:t xml:space="preserve">be </w:t>
      </w:r>
      <w:r w:rsidR="008C79B6">
        <w:rPr>
          <w:lang w:eastAsia="ja-JP"/>
        </w:rPr>
        <w:t xml:space="preserve">no longer than </w:t>
      </w:r>
      <w:r>
        <w:rPr>
          <w:lang w:eastAsia="ja-JP"/>
        </w:rPr>
        <w:t xml:space="preserve">one month after the last day of the period for filing of evidence. </w:t>
      </w:r>
    </w:p>
    <w:p w14:paraId="189B0509" w14:textId="5AAA4670" w:rsidR="00E0042C" w:rsidRPr="00BA1C6B" w:rsidRDefault="00E0042C" w:rsidP="00E0042C">
      <w:pPr>
        <w:pStyle w:val="Provision"/>
      </w:pPr>
      <w:bookmarkStart w:id="17" w:name="BK_S3P36L35C72"/>
      <w:bookmarkStart w:id="18" w:name="_Toc500497045"/>
      <w:bookmarkStart w:id="19" w:name="_Toc500497044"/>
      <w:bookmarkEnd w:id="17"/>
      <w:r>
        <w:t>Section 68</w:t>
      </w:r>
      <w:r w:rsidRPr="00BA1C6B">
        <w:t xml:space="preserve"> </w:t>
      </w:r>
      <w:r w:rsidR="00E43386" w:rsidRPr="00245226">
        <w:t>–</w:t>
      </w:r>
      <w:r w:rsidRPr="00BA1C6B">
        <w:t xml:space="preserve"> New evidence</w:t>
      </w:r>
      <w:bookmarkEnd w:id="18"/>
    </w:p>
    <w:p w14:paraId="0E1CDFEC" w14:textId="77777777" w:rsidR="00E0042C" w:rsidRDefault="00E0042C" w:rsidP="00E0042C">
      <w:pPr>
        <w:rPr>
          <w:lang w:eastAsia="ja-JP"/>
        </w:rPr>
      </w:pPr>
      <w:r>
        <w:rPr>
          <w:lang w:eastAsia="ja-JP"/>
        </w:rPr>
        <w:t>This section sets out the procedures for parties to apply to file new evidence and for the Registrar of Trade Marks to respond.</w:t>
      </w:r>
    </w:p>
    <w:p w14:paraId="04C71650" w14:textId="58599ED9" w:rsidR="00E0042C" w:rsidRDefault="00E0042C" w:rsidP="00E0042C">
      <w:pPr>
        <w:rPr>
          <w:lang w:eastAsia="ja-JP"/>
        </w:rPr>
      </w:pPr>
      <w:r>
        <w:rPr>
          <w:lang w:eastAsia="ja-JP"/>
        </w:rPr>
        <w:t xml:space="preserve">A party may apply to the Registrar of Trade Marks, in writing, to file new evidence after the end of a period specified by the Registrar of Trade Marks </w:t>
      </w:r>
      <w:r w:rsidR="00932C02">
        <w:rPr>
          <w:lang w:eastAsia="ja-JP"/>
        </w:rPr>
        <w:t xml:space="preserve">for the party to file evidence and </w:t>
      </w:r>
      <w:r>
        <w:rPr>
          <w:lang w:eastAsia="ja-JP"/>
        </w:rPr>
        <w:t xml:space="preserve">before the Registrar of Trade Marks decides whether there is a ground of objection (under section </w:t>
      </w:r>
      <w:r w:rsidR="00F94DA7">
        <w:rPr>
          <w:lang w:eastAsia="ja-JP"/>
        </w:rPr>
        <w:t>71</w:t>
      </w:r>
      <w:r>
        <w:rPr>
          <w:lang w:eastAsia="ja-JP"/>
        </w:rPr>
        <w:t>) or before the Registrar of Trade Marks makes a recommendation to the Committee under section 7</w:t>
      </w:r>
      <w:r w:rsidR="00F94DA7">
        <w:rPr>
          <w:lang w:eastAsia="ja-JP"/>
        </w:rPr>
        <w:t>2</w:t>
      </w:r>
      <w:r>
        <w:rPr>
          <w:lang w:eastAsia="ja-JP"/>
        </w:rPr>
        <w:t>.</w:t>
      </w:r>
    </w:p>
    <w:p w14:paraId="64AFA9AA" w14:textId="4AC2AD0A" w:rsidR="00E0042C" w:rsidRDefault="00E0042C" w:rsidP="00E0042C">
      <w:pPr>
        <w:rPr>
          <w:lang w:eastAsia="ja-JP"/>
        </w:rPr>
      </w:pPr>
      <w:r>
        <w:rPr>
          <w:lang w:eastAsia="ja-JP"/>
        </w:rPr>
        <w:t>The application must be submitted with payment of the fee for applying to file new evidence prescri</w:t>
      </w:r>
      <w:r w:rsidR="008C79B6">
        <w:rPr>
          <w:lang w:eastAsia="ja-JP"/>
        </w:rPr>
        <w:t>bed in section 74. I</w:t>
      </w:r>
      <w:r>
        <w:rPr>
          <w:lang w:eastAsia="ja-JP"/>
        </w:rPr>
        <w:t>f approved, the new evidence must be fil</w:t>
      </w:r>
      <w:r w:rsidR="00F94DA7">
        <w:rPr>
          <w:lang w:eastAsia="ja-JP"/>
        </w:rPr>
        <w:t>ed in accordance with section 70</w:t>
      </w:r>
      <w:r>
        <w:rPr>
          <w:lang w:eastAsia="ja-JP"/>
        </w:rPr>
        <w:t xml:space="preserve">, including payment of the relevant fee prescribed by section 74. The application to file new evidence must also include a statement describing the new evidence and giving the reasons why the new evidence was not filed within the specified period. </w:t>
      </w:r>
    </w:p>
    <w:p w14:paraId="420CDE36" w14:textId="1AB3F4E6" w:rsidR="00E0042C" w:rsidRDefault="00E0042C" w:rsidP="00E0042C">
      <w:pPr>
        <w:rPr>
          <w:lang w:eastAsia="ja-JP"/>
        </w:rPr>
      </w:pPr>
      <w:r>
        <w:rPr>
          <w:lang w:eastAsia="ja-JP"/>
        </w:rPr>
        <w:t>If, after considering the application, the Registrar of Trade Marks decides that it is reasonable to allow the filing of the new evidence, he or she must set a period within which</w:t>
      </w:r>
      <w:r w:rsidR="005817B3">
        <w:rPr>
          <w:lang w:eastAsia="ja-JP"/>
        </w:rPr>
        <w:t xml:space="preserve"> the new evidence must be filed,</w:t>
      </w:r>
      <w:r>
        <w:rPr>
          <w:lang w:eastAsia="ja-JP"/>
        </w:rPr>
        <w:t xml:space="preserve"> and notify the applying party of the final date for filing in writing.</w:t>
      </w:r>
    </w:p>
    <w:p w14:paraId="00E67C7E" w14:textId="77777777" w:rsidR="006F279D" w:rsidRDefault="006F279D" w:rsidP="006F279D">
      <w:pPr>
        <w:rPr>
          <w:lang w:eastAsia="ja-JP"/>
        </w:rPr>
      </w:pPr>
      <w:r>
        <w:rPr>
          <w:lang w:eastAsia="ja-JP"/>
        </w:rPr>
        <w:t>If the Registrar of Trade Marks decides that it is not reasonable to allow the filing of the new evidence, he or she must notify the applying party in writing that new evidence may not be filed.</w:t>
      </w:r>
    </w:p>
    <w:p w14:paraId="4B8C42A1" w14:textId="77777777" w:rsidR="006F279D" w:rsidRPr="00BD6B3A" w:rsidRDefault="006F279D" w:rsidP="006F279D">
      <w:pPr>
        <w:rPr>
          <w:i/>
          <w:lang w:eastAsia="ja-JP"/>
        </w:rPr>
      </w:pPr>
      <w:r>
        <w:rPr>
          <w:i/>
          <w:lang w:eastAsia="ja-JP"/>
        </w:rPr>
        <w:lastRenderedPageBreak/>
        <w:t>Evidence in answer to new evidence</w:t>
      </w:r>
    </w:p>
    <w:p w14:paraId="5EE4E8F0" w14:textId="4AA6CAE1" w:rsidR="006F279D" w:rsidRDefault="006F279D" w:rsidP="006F279D">
      <w:pPr>
        <w:rPr>
          <w:lang w:eastAsia="ja-JP"/>
        </w:rPr>
      </w:pPr>
      <w:r>
        <w:rPr>
          <w:lang w:eastAsia="ja-JP"/>
        </w:rPr>
        <w:t>If the new evidence has been filed within the specified period, the Registrar of Trade Marks must send a written notice to each other party informing them that the new evidence has been filed</w:t>
      </w:r>
      <w:r w:rsidR="00E43386">
        <w:rPr>
          <w:lang w:eastAsia="ja-JP"/>
        </w:rPr>
        <w:t>,</w:t>
      </w:r>
      <w:r>
        <w:rPr>
          <w:lang w:eastAsia="ja-JP"/>
        </w:rPr>
        <w:t xml:space="preserve"> and set a reasonable period for the parties to file evidence in answer to it.</w:t>
      </w:r>
    </w:p>
    <w:p w14:paraId="0EC91FD9" w14:textId="4207ECD8" w:rsidR="006F279D" w:rsidRPr="006F279D" w:rsidRDefault="006F279D" w:rsidP="006F279D">
      <w:pPr>
        <w:pStyle w:val="Provision"/>
        <w:rPr>
          <w:i w:val="0"/>
        </w:rPr>
      </w:pPr>
      <w:r w:rsidRPr="006F279D">
        <w:rPr>
          <w:i w:val="0"/>
          <w:lang w:eastAsia="ja-JP"/>
        </w:rPr>
        <w:t>The Registrar of Trade Marks must also notify all parties, in writing, of the deadline if they wish to r</w:t>
      </w:r>
      <w:r>
        <w:rPr>
          <w:i w:val="0"/>
          <w:lang w:eastAsia="ja-JP"/>
        </w:rPr>
        <w:t>equest a hearing under section 6</w:t>
      </w:r>
      <w:r w:rsidRPr="006F279D">
        <w:rPr>
          <w:i w:val="0"/>
          <w:lang w:eastAsia="ja-JP"/>
        </w:rPr>
        <w:t xml:space="preserve">9. As per subsection </w:t>
      </w:r>
      <w:r>
        <w:rPr>
          <w:i w:val="0"/>
          <w:lang w:eastAsia="ja-JP"/>
        </w:rPr>
        <w:t>69</w:t>
      </w:r>
      <w:r w:rsidRPr="006F279D">
        <w:rPr>
          <w:i w:val="0"/>
          <w:lang w:eastAsia="ja-JP"/>
        </w:rPr>
        <w:t>(2), the deadline will be one month after the last day of the period for filing of evidence.</w:t>
      </w:r>
    </w:p>
    <w:p w14:paraId="6705CF5F" w14:textId="7E7D7FEF" w:rsidR="00D5103E" w:rsidRDefault="00605A5C" w:rsidP="00C21613">
      <w:pPr>
        <w:pStyle w:val="Provision"/>
      </w:pPr>
      <w:r>
        <w:br w:type="column"/>
      </w:r>
      <w:r w:rsidR="00E0042C">
        <w:lastRenderedPageBreak/>
        <w:t>Section 69</w:t>
      </w:r>
      <w:r w:rsidR="00D5103E" w:rsidRPr="00BA1C6B">
        <w:t xml:space="preserve"> </w:t>
      </w:r>
      <w:r w:rsidR="00E43386" w:rsidRPr="00245226">
        <w:t>–</w:t>
      </w:r>
      <w:r w:rsidR="00D5103E" w:rsidRPr="00BA1C6B">
        <w:t xml:space="preserve"> Hearing and submission</w:t>
      </w:r>
      <w:r w:rsidR="00D5103E">
        <w:t>s</w:t>
      </w:r>
    </w:p>
    <w:p w14:paraId="77A0B9DA" w14:textId="4D96FD44" w:rsidR="00F3678A" w:rsidRDefault="00F3678A" w:rsidP="00F3678A">
      <w:pPr>
        <w:rPr>
          <w:lang w:eastAsia="ja-JP"/>
        </w:rPr>
      </w:pPr>
      <w:r>
        <w:rPr>
          <w:lang w:eastAsia="ja-JP"/>
        </w:rPr>
        <w:t xml:space="preserve">This section sets out the procedures the </w:t>
      </w:r>
      <w:r w:rsidR="00365FE0">
        <w:rPr>
          <w:lang w:eastAsia="ja-JP"/>
        </w:rPr>
        <w:t>Registrar of Trade Marks</w:t>
      </w:r>
      <w:r>
        <w:rPr>
          <w:lang w:eastAsia="ja-JP"/>
        </w:rPr>
        <w:t xml:space="preserve"> and parties to proceedings must follow if a notice inviting evidence in answer has been given (under section 6</w:t>
      </w:r>
      <w:r w:rsidR="006F279D">
        <w:rPr>
          <w:lang w:eastAsia="ja-JP"/>
        </w:rPr>
        <w:t>7</w:t>
      </w:r>
      <w:r w:rsidR="006F279D" w:rsidRPr="006F279D">
        <w:rPr>
          <w:lang w:eastAsia="ja-JP"/>
        </w:rPr>
        <w:t xml:space="preserve"> </w:t>
      </w:r>
      <w:r w:rsidR="006F279D">
        <w:rPr>
          <w:lang w:eastAsia="ja-JP"/>
        </w:rPr>
        <w:t>or subsection 68</w:t>
      </w:r>
      <w:r w:rsidR="00F94DA7">
        <w:rPr>
          <w:lang w:eastAsia="ja-JP"/>
        </w:rPr>
        <w:t>(5)</w:t>
      </w:r>
      <w:r>
        <w:rPr>
          <w:lang w:eastAsia="ja-JP"/>
        </w:rPr>
        <w:t xml:space="preserve">) and a party requests </w:t>
      </w:r>
      <w:r w:rsidR="00E15B4E">
        <w:rPr>
          <w:lang w:eastAsia="ja-JP"/>
        </w:rPr>
        <w:t xml:space="preserve">that </w:t>
      </w:r>
      <w:r>
        <w:rPr>
          <w:lang w:eastAsia="ja-JP"/>
        </w:rPr>
        <w:t xml:space="preserve">the </w:t>
      </w:r>
      <w:r w:rsidR="00365FE0">
        <w:rPr>
          <w:lang w:eastAsia="ja-JP"/>
        </w:rPr>
        <w:t>Registrar of Trade Marks</w:t>
      </w:r>
      <w:r>
        <w:rPr>
          <w:lang w:eastAsia="ja-JP"/>
        </w:rPr>
        <w:t xml:space="preserve"> conduct a hearing.</w:t>
      </w:r>
    </w:p>
    <w:p w14:paraId="6C06D5FB" w14:textId="4C420E7C" w:rsidR="00F3678A" w:rsidRDefault="00F3678A" w:rsidP="00F3678A">
      <w:pPr>
        <w:rPr>
          <w:lang w:eastAsia="ja-JP"/>
        </w:rPr>
      </w:pPr>
      <w:r>
        <w:rPr>
          <w:lang w:eastAsia="ja-JP"/>
        </w:rPr>
        <w:t>The request to conduct a hearing must be</w:t>
      </w:r>
      <w:r w:rsidR="00E43386">
        <w:rPr>
          <w:lang w:eastAsia="ja-JP"/>
        </w:rPr>
        <w:t xml:space="preserve"> made in writing no later than one</w:t>
      </w:r>
      <w:r>
        <w:rPr>
          <w:lang w:eastAsia="ja-JP"/>
        </w:rPr>
        <w:t xml:space="preserve"> month after the last day on which evidence may be filed in accordance with any notice given under section </w:t>
      </w:r>
      <w:r w:rsidR="006F279D">
        <w:rPr>
          <w:lang w:eastAsia="ja-JP"/>
        </w:rPr>
        <w:t>67 or subsection 68</w:t>
      </w:r>
      <w:r w:rsidR="00F94DA7">
        <w:rPr>
          <w:lang w:eastAsia="ja-JP"/>
        </w:rPr>
        <w:t>(5)</w:t>
      </w:r>
      <w:r>
        <w:rPr>
          <w:lang w:eastAsia="ja-JP"/>
        </w:rPr>
        <w:t xml:space="preserve">. The request must be submitted with payment of the fee for requesting a </w:t>
      </w:r>
      <w:r w:rsidR="00E0042C">
        <w:rPr>
          <w:lang w:eastAsia="ja-JP"/>
        </w:rPr>
        <w:t>hearing prescribed in section 74</w:t>
      </w:r>
      <w:r>
        <w:rPr>
          <w:lang w:eastAsia="ja-JP"/>
        </w:rPr>
        <w:t>.</w:t>
      </w:r>
    </w:p>
    <w:p w14:paraId="5D4BECB4" w14:textId="728656FD" w:rsidR="00F3678A" w:rsidRDefault="00F3678A" w:rsidP="00F3678A">
      <w:pPr>
        <w:rPr>
          <w:lang w:eastAsia="ja-JP"/>
        </w:rPr>
      </w:pPr>
      <w:r>
        <w:rPr>
          <w:lang w:eastAsia="ja-JP"/>
        </w:rPr>
        <w:t xml:space="preserve">The </w:t>
      </w:r>
      <w:r w:rsidR="00365FE0">
        <w:rPr>
          <w:lang w:eastAsia="ja-JP"/>
        </w:rPr>
        <w:t>Registrar of Trade Marks</w:t>
      </w:r>
      <w:r>
        <w:rPr>
          <w:lang w:eastAsia="ja-JP"/>
        </w:rPr>
        <w:t xml:space="preserve"> must conduct a hearing if </w:t>
      </w:r>
      <w:r w:rsidR="00E15B4E">
        <w:rPr>
          <w:lang w:eastAsia="ja-JP"/>
        </w:rPr>
        <w:t>the Registrar of Trade Marks</w:t>
      </w:r>
      <w:r>
        <w:rPr>
          <w:lang w:eastAsia="ja-JP"/>
        </w:rPr>
        <w:t xml:space="preserve"> receives a request to do so.</w:t>
      </w:r>
    </w:p>
    <w:p w14:paraId="44C48C3C" w14:textId="4F1588C4" w:rsidR="00F3678A" w:rsidRDefault="00F3678A" w:rsidP="00F3678A">
      <w:pPr>
        <w:rPr>
          <w:lang w:eastAsia="ja-JP"/>
        </w:rPr>
      </w:pPr>
      <w:r>
        <w:rPr>
          <w:lang w:eastAsia="ja-JP"/>
        </w:rPr>
        <w:t xml:space="preserve">If the </w:t>
      </w:r>
      <w:r w:rsidR="00365FE0">
        <w:rPr>
          <w:lang w:eastAsia="ja-JP"/>
        </w:rPr>
        <w:t>Registrar of Trade Marks</w:t>
      </w:r>
      <w:r>
        <w:rPr>
          <w:lang w:eastAsia="ja-JP"/>
        </w:rPr>
        <w:t xml:space="preserve"> receives a request to conduct a hearing </w:t>
      </w:r>
      <w:r w:rsidR="00E15B4E">
        <w:rPr>
          <w:lang w:eastAsia="ja-JP"/>
        </w:rPr>
        <w:t>the Registrar of Trade Marks</w:t>
      </w:r>
      <w:r>
        <w:rPr>
          <w:lang w:eastAsia="ja-JP"/>
        </w:rPr>
        <w:t xml:space="preserve"> must send each party a written notice that informs t</w:t>
      </w:r>
      <w:r w:rsidR="00E43386">
        <w:rPr>
          <w:lang w:eastAsia="ja-JP"/>
        </w:rPr>
        <w:t>he party a hearing will be held,</w:t>
      </w:r>
      <w:r>
        <w:rPr>
          <w:lang w:eastAsia="ja-JP"/>
        </w:rPr>
        <w:t xml:space="preserve"> and invites written submissions to be made before the hearing.</w:t>
      </w:r>
    </w:p>
    <w:p w14:paraId="4344A147" w14:textId="082CA6AA" w:rsidR="00F3678A" w:rsidRDefault="00F3678A" w:rsidP="00F3678A">
      <w:pPr>
        <w:rPr>
          <w:lang w:eastAsia="ja-JP"/>
        </w:rPr>
      </w:pPr>
      <w:r>
        <w:rPr>
          <w:lang w:eastAsia="ja-JP"/>
        </w:rPr>
        <w:t xml:space="preserve">The </w:t>
      </w:r>
      <w:r w:rsidR="00365FE0">
        <w:rPr>
          <w:lang w:eastAsia="ja-JP"/>
        </w:rPr>
        <w:t>Registrar of Trade Marks</w:t>
      </w:r>
      <w:r>
        <w:rPr>
          <w:lang w:eastAsia="ja-JP"/>
        </w:rPr>
        <w:t xml:space="preserve"> must n</w:t>
      </w:r>
      <w:r w:rsidR="008C79B6">
        <w:rPr>
          <w:lang w:eastAsia="ja-JP"/>
        </w:rPr>
        <w:t>ot conduct the hearing until any</w:t>
      </w:r>
      <w:r>
        <w:rPr>
          <w:lang w:eastAsia="ja-JP"/>
        </w:rPr>
        <w:t xml:space="preserve"> removal or cancellation proceedings are complete, if:</w:t>
      </w:r>
    </w:p>
    <w:p w14:paraId="3AEC0592" w14:textId="53CE4928" w:rsidR="00F3678A" w:rsidRDefault="00F3678A" w:rsidP="00F3678A">
      <w:pPr>
        <w:pStyle w:val="ListParagraph"/>
        <w:numPr>
          <w:ilvl w:val="0"/>
          <w:numId w:val="63"/>
        </w:numPr>
      </w:pPr>
      <w:r>
        <w:t>the objection rel</w:t>
      </w:r>
      <w:r w:rsidR="00E43386">
        <w:t>ates to a registered trade mark,</w:t>
      </w:r>
      <w:r>
        <w:t xml:space="preserve"> and</w:t>
      </w:r>
    </w:p>
    <w:p w14:paraId="0B9E97A5" w14:textId="43B71E03" w:rsidR="00F3678A" w:rsidRDefault="00F3678A" w:rsidP="00F3678A">
      <w:pPr>
        <w:pStyle w:val="ListParagraph"/>
        <w:numPr>
          <w:ilvl w:val="0"/>
          <w:numId w:val="63"/>
        </w:numPr>
      </w:pPr>
      <w:r>
        <w:t xml:space="preserve">the registered trade mark is the subject of </w:t>
      </w:r>
      <w:r w:rsidR="008C79B6">
        <w:t xml:space="preserve">those </w:t>
      </w:r>
      <w:r>
        <w:t>removal or cancellation proceedings.</w:t>
      </w:r>
    </w:p>
    <w:p w14:paraId="5E2C541B" w14:textId="609A234F" w:rsidR="00F3678A" w:rsidRDefault="00F3678A" w:rsidP="00F3678A">
      <w:r>
        <w:t>Each party that attends the hearing is liable to pay the fee for attendance at a hearing prescribed in section 7</w:t>
      </w:r>
      <w:r w:rsidR="00E0042C">
        <w:t>4</w:t>
      </w:r>
      <w:r w:rsidR="00E15B4E">
        <w:t>, regardless of whether the</w:t>
      </w:r>
      <w:r>
        <w:t xml:space="preserve"> party attends a whole, or part of, a day.</w:t>
      </w:r>
    </w:p>
    <w:p w14:paraId="44F28917" w14:textId="216D8297" w:rsidR="00D5103E" w:rsidRPr="00BA1C6B" w:rsidRDefault="00E0042C" w:rsidP="00C21613">
      <w:pPr>
        <w:pStyle w:val="Provision"/>
      </w:pPr>
      <w:bookmarkStart w:id="20" w:name="_Toc500497046"/>
      <w:bookmarkEnd w:id="19"/>
      <w:r>
        <w:t>Section 70</w:t>
      </w:r>
      <w:r w:rsidR="00D5103E" w:rsidRPr="00BA1C6B">
        <w:t xml:space="preserve"> </w:t>
      </w:r>
      <w:r w:rsidR="00E43386" w:rsidRPr="00245226">
        <w:t>–</w:t>
      </w:r>
      <w:r w:rsidR="00D5103E" w:rsidRPr="00BA1C6B">
        <w:t xml:space="preserve"> Parties </w:t>
      </w:r>
      <w:r w:rsidR="009B3F04">
        <w:t>must</w:t>
      </w:r>
      <w:r w:rsidR="00D5103E" w:rsidRPr="00BA1C6B">
        <w:t xml:space="preserve"> </w:t>
      </w:r>
      <w:r>
        <w:t>give</w:t>
      </w:r>
      <w:r w:rsidR="00D5103E" w:rsidRPr="00BA1C6B">
        <w:t xml:space="preserve"> copies of evidence to each other</w:t>
      </w:r>
      <w:bookmarkEnd w:id="20"/>
      <w:r>
        <w:t xml:space="preserve"> and pay filing fee</w:t>
      </w:r>
    </w:p>
    <w:p w14:paraId="19C2F0FC" w14:textId="618E4E5A" w:rsidR="00F3678A" w:rsidRDefault="00F3678A" w:rsidP="00F3678A">
      <w:bookmarkStart w:id="21" w:name="_Toc500497047"/>
      <w:r>
        <w:t xml:space="preserve">This section provides for the procedures to be followed for evidence filed </w:t>
      </w:r>
      <w:r w:rsidR="00E15B4E">
        <w:t xml:space="preserve">by parties </w:t>
      </w:r>
      <w:r>
        <w:t xml:space="preserve">to be considered validly filed. </w:t>
      </w:r>
    </w:p>
    <w:p w14:paraId="66A3C332" w14:textId="77777777" w:rsidR="00F3678A" w:rsidRDefault="00F3678A" w:rsidP="00F3678A">
      <w:r>
        <w:t xml:space="preserve">For evidence to be considered validly filed, the party filing the evidence must: </w:t>
      </w:r>
    </w:p>
    <w:p w14:paraId="3384323A" w14:textId="42039DBF" w:rsidR="00F3678A" w:rsidRDefault="00F3678A" w:rsidP="00892CB7">
      <w:pPr>
        <w:pStyle w:val="ListParagraph"/>
        <w:numPr>
          <w:ilvl w:val="0"/>
          <w:numId w:val="71"/>
        </w:numPr>
      </w:pPr>
      <w:r>
        <w:t>give a copy of t</w:t>
      </w:r>
      <w:r w:rsidR="00E43386">
        <w:t>he evidence to each other party</w:t>
      </w:r>
    </w:p>
    <w:p w14:paraId="7187A579" w14:textId="424F0E97" w:rsidR="00F3678A" w:rsidRDefault="00F3678A" w:rsidP="00892CB7">
      <w:pPr>
        <w:pStyle w:val="ListParagraph"/>
        <w:numPr>
          <w:ilvl w:val="0"/>
          <w:numId w:val="71"/>
        </w:numPr>
      </w:pPr>
      <w:r>
        <w:t>include, with the evidence being filed, a statement setting out when and how a copy was given to each</w:t>
      </w:r>
      <w:r w:rsidR="00E43386">
        <w:t xml:space="preserve"> other party,</w:t>
      </w:r>
      <w:r>
        <w:t xml:space="preserve"> and</w:t>
      </w:r>
    </w:p>
    <w:p w14:paraId="7BE3FAF4" w14:textId="346A96A8" w:rsidR="00F3678A" w:rsidRDefault="00F3678A" w:rsidP="00892CB7">
      <w:pPr>
        <w:pStyle w:val="ListParagraph"/>
        <w:numPr>
          <w:ilvl w:val="0"/>
          <w:numId w:val="71"/>
        </w:numPr>
      </w:pPr>
      <w:r>
        <w:t>pay the fee for filing of e</w:t>
      </w:r>
      <w:r w:rsidR="00E0042C">
        <w:t>vidence prescribed in section 74</w:t>
      </w:r>
      <w:r>
        <w:t xml:space="preserve">.  </w:t>
      </w:r>
    </w:p>
    <w:p w14:paraId="4A121C8A" w14:textId="159C1FA7" w:rsidR="00D5103E" w:rsidRPr="00BA1C6B" w:rsidRDefault="00E0042C" w:rsidP="00C21613">
      <w:pPr>
        <w:pStyle w:val="Provision"/>
      </w:pPr>
      <w:r>
        <w:t>Section 71</w:t>
      </w:r>
      <w:r w:rsidR="00D5103E" w:rsidRPr="00BA1C6B">
        <w:t xml:space="preserve"> </w:t>
      </w:r>
      <w:r w:rsidR="00E43386" w:rsidRPr="00245226">
        <w:t>–</w:t>
      </w:r>
      <w:r w:rsidR="00D5103E" w:rsidRPr="00BA1C6B">
        <w:t xml:space="preserve"> Decision by </w:t>
      </w:r>
      <w:r w:rsidR="00365FE0">
        <w:t>Registrar of Trade Marks</w:t>
      </w:r>
      <w:bookmarkEnd w:id="21"/>
    </w:p>
    <w:p w14:paraId="51220C32" w14:textId="2B60BA2C" w:rsidR="00F3678A" w:rsidRDefault="00F3678A" w:rsidP="00F3678A">
      <w:pPr>
        <w:rPr>
          <w:rFonts w:eastAsiaTheme="majorEastAsia"/>
          <w:i/>
          <w:szCs w:val="24"/>
        </w:rPr>
      </w:pPr>
      <w:r>
        <w:rPr>
          <w:lang w:eastAsia="ja-JP"/>
        </w:rPr>
        <w:t xml:space="preserve">This section sets out the procedures, including the timeline, for the </w:t>
      </w:r>
      <w:r w:rsidR="00365FE0">
        <w:rPr>
          <w:lang w:eastAsia="ja-JP"/>
        </w:rPr>
        <w:t>Registrar of Trade Marks</w:t>
      </w:r>
      <w:r>
        <w:rPr>
          <w:lang w:eastAsia="ja-JP"/>
        </w:rPr>
        <w:t xml:space="preserve"> to make a decision on the objection to the proposed foreign GI or translation</w:t>
      </w:r>
      <w:r w:rsidR="00E15B4E">
        <w:rPr>
          <w:lang w:eastAsia="ja-JP"/>
        </w:rPr>
        <w:t xml:space="preserve"> of a foreign GI</w:t>
      </w:r>
      <w:r>
        <w:rPr>
          <w:rFonts w:eastAsia="Calibri"/>
          <w:lang w:eastAsia="ja-JP"/>
        </w:rPr>
        <w:t>.</w:t>
      </w:r>
    </w:p>
    <w:p w14:paraId="223AC29E" w14:textId="5A87786D" w:rsidR="00F3678A" w:rsidRDefault="00F3678A" w:rsidP="00F3678A">
      <w:pPr>
        <w:rPr>
          <w:rFonts w:eastAsiaTheme="minorEastAsia"/>
          <w:lang w:eastAsia="ja-JP"/>
        </w:rPr>
      </w:pPr>
      <w:r>
        <w:rPr>
          <w:lang w:eastAsia="ja-JP"/>
        </w:rPr>
        <w:t xml:space="preserve">The </w:t>
      </w:r>
      <w:r w:rsidR="00365FE0">
        <w:rPr>
          <w:lang w:eastAsia="ja-JP"/>
        </w:rPr>
        <w:t>Registrar of Trade Marks</w:t>
      </w:r>
      <w:r>
        <w:rPr>
          <w:lang w:eastAsia="ja-JP"/>
        </w:rPr>
        <w:t xml:space="preserve"> must, as soon as practicable after all periods for the filing of evidence or requesting conduct of a hearing have ended (and, if a hearing was requested, after this hearing was held), make a decision on whether there is a ground of objection. </w:t>
      </w:r>
    </w:p>
    <w:p w14:paraId="4348E2D1" w14:textId="7FE9E565" w:rsidR="00F3678A" w:rsidRDefault="00F3678A" w:rsidP="00F3678A">
      <w:pPr>
        <w:rPr>
          <w:lang w:eastAsia="ja-JP"/>
        </w:rPr>
      </w:pPr>
      <w:r>
        <w:rPr>
          <w:lang w:eastAsia="ja-JP"/>
        </w:rPr>
        <w:t xml:space="preserve">The </w:t>
      </w:r>
      <w:r w:rsidR="00365FE0">
        <w:rPr>
          <w:lang w:eastAsia="ja-JP"/>
        </w:rPr>
        <w:t>Registrar of Trade Marks</w:t>
      </w:r>
      <w:r w:rsidR="008C79B6">
        <w:rPr>
          <w:lang w:eastAsia="ja-JP"/>
        </w:rPr>
        <w:t xml:space="preserve"> must</w:t>
      </w:r>
      <w:r>
        <w:rPr>
          <w:lang w:eastAsia="ja-JP"/>
        </w:rPr>
        <w:t xml:space="preserve"> do this by considering:</w:t>
      </w:r>
    </w:p>
    <w:p w14:paraId="5E324756" w14:textId="38D2FDE8" w:rsidR="00F3678A" w:rsidRDefault="00F3678A" w:rsidP="00892CB7">
      <w:pPr>
        <w:pStyle w:val="ListParagraph"/>
        <w:numPr>
          <w:ilvl w:val="0"/>
          <w:numId w:val="71"/>
        </w:numPr>
      </w:pPr>
      <w:r>
        <w:lastRenderedPageBreak/>
        <w:t>the</w:t>
      </w:r>
      <w:r w:rsidRPr="009B28E0">
        <w:t xml:space="preserve"> notice of the proposed</w:t>
      </w:r>
      <w:r>
        <w:t xml:space="preserve"> foreign GI or translation</w:t>
      </w:r>
      <w:r w:rsidR="00E15B4E">
        <w:t xml:space="preserve"> of a foreign GI</w:t>
      </w:r>
      <w:r w:rsidRPr="009B28E0">
        <w:t xml:space="preserve"> </w:t>
      </w:r>
      <w:r w:rsidR="00F94DA7">
        <w:t>(as per section 61</w:t>
      </w:r>
      <w:r w:rsidR="00E43386">
        <w:t>)</w:t>
      </w:r>
      <w:r>
        <w:t xml:space="preserve"> </w:t>
      </w:r>
    </w:p>
    <w:p w14:paraId="49E79F29" w14:textId="3E50A1CA" w:rsidR="00F3678A" w:rsidRDefault="00E43386" w:rsidP="00892CB7">
      <w:pPr>
        <w:pStyle w:val="ListParagraph"/>
        <w:numPr>
          <w:ilvl w:val="0"/>
          <w:numId w:val="71"/>
        </w:numPr>
      </w:pPr>
      <w:r>
        <w:t>the objection</w:t>
      </w:r>
    </w:p>
    <w:p w14:paraId="55D1B778" w14:textId="3FC69769" w:rsidR="00F3678A" w:rsidRDefault="00F3678A" w:rsidP="00892CB7">
      <w:pPr>
        <w:pStyle w:val="ListParagraph"/>
        <w:numPr>
          <w:ilvl w:val="0"/>
          <w:numId w:val="71"/>
        </w:numPr>
      </w:pPr>
      <w:r>
        <w:t>th</w:t>
      </w:r>
      <w:r w:rsidR="00E43386">
        <w:t>e evidence filed by the parties</w:t>
      </w:r>
    </w:p>
    <w:p w14:paraId="69784CAF" w14:textId="53A566B4" w:rsidR="00F3678A" w:rsidRDefault="00F3678A" w:rsidP="00892CB7">
      <w:pPr>
        <w:pStyle w:val="ListParagraph"/>
        <w:numPr>
          <w:ilvl w:val="0"/>
          <w:numId w:val="71"/>
        </w:numPr>
      </w:pPr>
      <w:r>
        <w:t xml:space="preserve">if a hearing </w:t>
      </w:r>
      <w:r w:rsidR="00E15B4E">
        <w:t xml:space="preserve">was </w:t>
      </w:r>
      <w:r>
        <w:t>held—representations and material from the hearing and any written submissions by the parties</w:t>
      </w:r>
      <w:r w:rsidR="00E43386">
        <w:t>,</w:t>
      </w:r>
      <w:r>
        <w:t xml:space="preserve"> and</w:t>
      </w:r>
    </w:p>
    <w:p w14:paraId="4722CA76" w14:textId="044A61B7" w:rsidR="00F3678A" w:rsidRDefault="00F3678A" w:rsidP="00892CB7">
      <w:pPr>
        <w:pStyle w:val="ListParagraph"/>
        <w:numPr>
          <w:ilvl w:val="0"/>
          <w:numId w:val="71"/>
        </w:numPr>
      </w:pPr>
      <w:r>
        <w:t xml:space="preserve">any other matter that the </w:t>
      </w:r>
      <w:r w:rsidR="00365FE0">
        <w:t>Registrar of Trade Marks</w:t>
      </w:r>
      <w:r>
        <w:t xml:space="preserve"> considers relevant.</w:t>
      </w:r>
    </w:p>
    <w:p w14:paraId="1CBDF87F" w14:textId="0B61DCD0" w:rsidR="00F3678A" w:rsidRDefault="00F3678A" w:rsidP="00F3678A">
      <w:pPr>
        <w:rPr>
          <w:lang w:eastAsia="ja-JP"/>
        </w:rPr>
      </w:pPr>
      <w:r>
        <w:rPr>
          <w:lang w:eastAsia="ja-JP"/>
        </w:rPr>
        <w:t xml:space="preserve">The </w:t>
      </w:r>
      <w:r w:rsidR="00365FE0">
        <w:rPr>
          <w:lang w:eastAsia="ja-JP"/>
        </w:rPr>
        <w:t>Registrar of Trade Marks</w:t>
      </w:r>
      <w:r>
        <w:rPr>
          <w:lang w:eastAsia="ja-JP"/>
        </w:rPr>
        <w:t xml:space="preserve"> must not make a decision on whether there is a ground of objection to the proposed fore</w:t>
      </w:r>
      <w:r w:rsidR="008C79B6">
        <w:rPr>
          <w:lang w:eastAsia="ja-JP"/>
        </w:rPr>
        <w:t xml:space="preserve">ign GI or translation until any </w:t>
      </w:r>
      <w:r>
        <w:rPr>
          <w:lang w:eastAsia="ja-JP"/>
        </w:rPr>
        <w:t>removal or cancellation proceedings are complete, if:</w:t>
      </w:r>
    </w:p>
    <w:p w14:paraId="3EF2DBA1" w14:textId="7FFB1E9D" w:rsidR="00F3678A" w:rsidRDefault="00F3678A" w:rsidP="00892CB7">
      <w:pPr>
        <w:pStyle w:val="ListParagraph"/>
        <w:numPr>
          <w:ilvl w:val="0"/>
          <w:numId w:val="71"/>
        </w:numPr>
      </w:pPr>
      <w:r>
        <w:t>the objection relates to a registered trade mark</w:t>
      </w:r>
      <w:r w:rsidR="00244484">
        <w:t>,</w:t>
      </w:r>
      <w:r>
        <w:t xml:space="preserve"> and</w:t>
      </w:r>
    </w:p>
    <w:p w14:paraId="05E091DF" w14:textId="29500D7A" w:rsidR="00F3678A" w:rsidRDefault="00F3678A" w:rsidP="00892CB7">
      <w:pPr>
        <w:pStyle w:val="ListParagraph"/>
        <w:numPr>
          <w:ilvl w:val="0"/>
          <w:numId w:val="71"/>
        </w:numPr>
      </w:pPr>
      <w:r>
        <w:t>the registered trade mark is the subject of</w:t>
      </w:r>
      <w:r w:rsidR="008C79B6">
        <w:t xml:space="preserve"> those</w:t>
      </w:r>
      <w:r>
        <w:t xml:space="preserve"> removal or cancellation proceedings.</w:t>
      </w:r>
    </w:p>
    <w:p w14:paraId="1348DE73" w14:textId="24FAE2D3" w:rsidR="00F3678A" w:rsidRDefault="00F3678A" w:rsidP="00F3678A">
      <w:pPr>
        <w:rPr>
          <w:lang w:eastAsia="ja-JP"/>
        </w:rPr>
      </w:pPr>
      <w:r>
        <w:rPr>
          <w:lang w:eastAsia="ja-JP"/>
        </w:rPr>
        <w:t xml:space="preserve">The </w:t>
      </w:r>
      <w:r w:rsidR="00365FE0">
        <w:rPr>
          <w:lang w:eastAsia="ja-JP"/>
        </w:rPr>
        <w:t>Registrar of Trade Marks</w:t>
      </w:r>
      <w:r>
        <w:rPr>
          <w:lang w:eastAsia="ja-JP"/>
        </w:rPr>
        <w:t xml:space="preserve"> must decide that there is no ground of objection if the person objecting to the proposed foreign GI or translation doe</w:t>
      </w:r>
      <w:r w:rsidR="00244484">
        <w:rPr>
          <w:lang w:eastAsia="ja-JP"/>
        </w:rPr>
        <w:t>s not file any evidence within three</w:t>
      </w:r>
      <w:r>
        <w:rPr>
          <w:lang w:eastAsia="ja-JP"/>
        </w:rPr>
        <w:t xml:space="preserve"> months from the date of the notice (set out </w:t>
      </w:r>
      <w:r w:rsidR="00F94DA7">
        <w:rPr>
          <w:lang w:eastAsia="ja-JP"/>
        </w:rPr>
        <w:t>in paragraph</w:t>
      </w:r>
      <w:r>
        <w:rPr>
          <w:lang w:eastAsia="ja-JP"/>
        </w:rPr>
        <w:t xml:space="preserve"> </w:t>
      </w:r>
      <w:r w:rsidR="00F94DA7">
        <w:rPr>
          <w:lang w:eastAsia="ja-JP"/>
        </w:rPr>
        <w:t>66(1)</w:t>
      </w:r>
      <w:r>
        <w:rPr>
          <w:lang w:eastAsia="ja-JP"/>
        </w:rPr>
        <w:t xml:space="preserve">(c)) or withdraws the notice of objection before the </w:t>
      </w:r>
      <w:r w:rsidR="00365FE0">
        <w:rPr>
          <w:lang w:eastAsia="ja-JP"/>
        </w:rPr>
        <w:t>Registrar of Trade Marks</w:t>
      </w:r>
      <w:r>
        <w:rPr>
          <w:lang w:eastAsia="ja-JP"/>
        </w:rPr>
        <w:t xml:space="preserve"> has made a decision.</w:t>
      </w:r>
    </w:p>
    <w:p w14:paraId="460D1AF2" w14:textId="50F67A67" w:rsidR="00D5103E" w:rsidRPr="00BA1C6B" w:rsidRDefault="00D5103E" w:rsidP="00C21613">
      <w:pPr>
        <w:pStyle w:val="Provision"/>
      </w:pPr>
      <w:bookmarkStart w:id="22" w:name="_Toc500497048"/>
      <w:r>
        <w:t>Section</w:t>
      </w:r>
      <w:r w:rsidR="00E0042C">
        <w:t xml:space="preserve"> 72</w:t>
      </w:r>
      <w:r>
        <w:t xml:space="preserve"> </w:t>
      </w:r>
      <w:r w:rsidR="00244484" w:rsidRPr="00245226">
        <w:t>–</w:t>
      </w:r>
      <w:r>
        <w:t xml:space="preserve"> </w:t>
      </w:r>
      <w:r w:rsidRPr="00BA1C6B">
        <w:t xml:space="preserve">Recommendation by </w:t>
      </w:r>
      <w:r w:rsidR="00365FE0">
        <w:t>Registrar of Trade Marks</w:t>
      </w:r>
      <w:r w:rsidRPr="00BA1C6B">
        <w:t xml:space="preserve"> to determine foreign GI or translation of foreign GI despite objection being made out</w:t>
      </w:r>
      <w:bookmarkEnd w:id="22"/>
    </w:p>
    <w:p w14:paraId="075BB8D6" w14:textId="53C8164E" w:rsidR="001D1AB3" w:rsidRDefault="00D5103E" w:rsidP="001D1AB3">
      <w:pPr>
        <w:rPr>
          <w:lang w:eastAsia="en-AU"/>
        </w:rPr>
      </w:pPr>
      <w:r w:rsidRPr="00BA1C6B">
        <w:rPr>
          <w:lang w:eastAsia="en-AU"/>
        </w:rPr>
        <w:t xml:space="preserve">This section provides that </w:t>
      </w:r>
      <w:r>
        <w:rPr>
          <w:lang w:eastAsia="en-AU"/>
        </w:rPr>
        <w:t>t</w:t>
      </w:r>
      <w:r w:rsidRPr="00BA1C6B">
        <w:rPr>
          <w:rFonts w:eastAsia="Calibri"/>
          <w:lang w:eastAsia="en-AU"/>
        </w:rPr>
        <w:t xml:space="preserve">he </w:t>
      </w:r>
      <w:r w:rsidR="00365FE0">
        <w:rPr>
          <w:rFonts w:eastAsia="Calibri"/>
          <w:lang w:eastAsia="en-AU"/>
        </w:rPr>
        <w:t>Registrar of Trade Marks</w:t>
      </w:r>
      <w:r w:rsidRPr="00BA1C6B">
        <w:rPr>
          <w:rFonts w:eastAsia="Calibri"/>
          <w:lang w:eastAsia="en-AU"/>
        </w:rPr>
        <w:t xml:space="preserve"> may make</w:t>
      </w:r>
      <w:r>
        <w:rPr>
          <w:lang w:eastAsia="en-AU"/>
        </w:rPr>
        <w:t xml:space="preserve"> a</w:t>
      </w:r>
      <w:r w:rsidRPr="00BA1C6B">
        <w:rPr>
          <w:rFonts w:eastAsia="Calibri"/>
          <w:lang w:eastAsia="en-AU"/>
        </w:rPr>
        <w:t xml:space="preserve"> recommendation to the </w:t>
      </w:r>
      <w:r w:rsidR="00C21613" w:rsidRPr="00C21613">
        <w:rPr>
          <w:rFonts w:eastAsia="Calibri"/>
          <w:lang w:eastAsia="en-AU"/>
        </w:rPr>
        <w:t>Committee</w:t>
      </w:r>
      <w:r w:rsidR="001D1AB3">
        <w:rPr>
          <w:lang w:eastAsia="en-AU"/>
        </w:rPr>
        <w:t xml:space="preserve"> regard</w:t>
      </w:r>
      <w:r w:rsidR="008C79B6">
        <w:rPr>
          <w:lang w:eastAsia="en-AU"/>
        </w:rPr>
        <w:t xml:space="preserve">ing </w:t>
      </w:r>
      <w:r w:rsidR="00E15B4E">
        <w:rPr>
          <w:lang w:eastAsia="ja-JP"/>
        </w:rPr>
        <w:t>the Registrar of Trade Marks’</w:t>
      </w:r>
      <w:r w:rsidR="008C79B6">
        <w:rPr>
          <w:lang w:eastAsia="en-AU"/>
        </w:rPr>
        <w:t xml:space="preserve"> decision, if </w:t>
      </w:r>
      <w:r w:rsidR="00E15B4E">
        <w:rPr>
          <w:lang w:eastAsia="ja-JP"/>
        </w:rPr>
        <w:t>the Registrar of Trade Marks</w:t>
      </w:r>
      <w:r w:rsidR="008C79B6">
        <w:rPr>
          <w:lang w:eastAsia="en-AU"/>
        </w:rPr>
        <w:t xml:space="preserve"> has</w:t>
      </w:r>
      <w:r w:rsidR="001D1AB3">
        <w:rPr>
          <w:lang w:eastAsia="en-AU"/>
        </w:rPr>
        <w:t xml:space="preserve"> decided there is a ground of objection to the proposed foreign GI or translation (under subsection </w:t>
      </w:r>
      <w:r w:rsidR="00F94DA7">
        <w:rPr>
          <w:lang w:eastAsia="en-AU"/>
        </w:rPr>
        <w:t>71</w:t>
      </w:r>
      <w:r w:rsidR="001D1AB3">
        <w:rPr>
          <w:lang w:eastAsia="en-AU"/>
        </w:rPr>
        <w:t xml:space="preserve">(1)). </w:t>
      </w:r>
    </w:p>
    <w:p w14:paraId="64CB8684" w14:textId="50C18BA6" w:rsidR="001D1AB3" w:rsidRDefault="001D1AB3" w:rsidP="001D1AB3">
      <w:pPr>
        <w:rPr>
          <w:lang w:eastAsia="ja-JP"/>
        </w:rPr>
      </w:pPr>
      <w:r>
        <w:rPr>
          <w:lang w:eastAsia="en-AU"/>
        </w:rPr>
        <w:t xml:space="preserve">The </w:t>
      </w:r>
      <w:r w:rsidR="00365FE0">
        <w:rPr>
          <w:lang w:eastAsia="en-AU"/>
        </w:rPr>
        <w:t>Registrar of Trade Marks</w:t>
      </w:r>
      <w:r>
        <w:rPr>
          <w:lang w:eastAsia="en-AU"/>
        </w:rPr>
        <w:t xml:space="preserve"> may make a recommendation, in writing, that the Committee determine the proposed GI or translation regardless of the ground of objection if </w:t>
      </w:r>
      <w:r w:rsidR="00E15B4E">
        <w:rPr>
          <w:lang w:eastAsia="ja-JP"/>
        </w:rPr>
        <w:t>the Registrar of Trade Marks</w:t>
      </w:r>
      <w:r>
        <w:rPr>
          <w:lang w:eastAsia="en-AU"/>
        </w:rPr>
        <w:t xml:space="preserve"> is satisfied that it is reasonable in the circumstances to make that recommendation. </w:t>
      </w:r>
    </w:p>
    <w:p w14:paraId="1E1DDB04" w14:textId="3E0C9391" w:rsidR="001027F5" w:rsidRDefault="001D1AB3" w:rsidP="00C21613">
      <w:pPr>
        <w:rPr>
          <w:lang w:eastAsia="en-AU"/>
        </w:rPr>
      </w:pPr>
      <w:r>
        <w:rPr>
          <w:lang w:eastAsia="en-AU"/>
        </w:rPr>
        <w:t xml:space="preserve">The section </w:t>
      </w:r>
      <w:r w:rsidR="00DB70B8">
        <w:rPr>
          <w:lang w:eastAsia="en-AU"/>
        </w:rPr>
        <w:t>includes</w:t>
      </w:r>
      <w:r w:rsidR="00D5103E" w:rsidRPr="00BA1C6B">
        <w:rPr>
          <w:lang w:eastAsia="en-AU"/>
        </w:rPr>
        <w:t xml:space="preserve"> two notes</w:t>
      </w:r>
      <w:r>
        <w:rPr>
          <w:lang w:eastAsia="en-AU"/>
        </w:rPr>
        <w:t xml:space="preserve"> for guidance</w:t>
      </w:r>
      <w:r w:rsidR="00D5103E" w:rsidRPr="00BA1C6B">
        <w:rPr>
          <w:lang w:eastAsia="en-AU"/>
        </w:rPr>
        <w:t>. Note 1</w:t>
      </w:r>
      <w:r w:rsidR="00D5103E">
        <w:rPr>
          <w:lang w:eastAsia="en-AU"/>
        </w:rPr>
        <w:t xml:space="preserve"> </w:t>
      </w:r>
      <w:r w:rsidR="00D5103E" w:rsidRPr="00BA1C6B">
        <w:rPr>
          <w:lang w:eastAsia="en-AU"/>
        </w:rPr>
        <w:t xml:space="preserve">provides an example </w:t>
      </w:r>
      <w:r w:rsidR="008C79B6">
        <w:rPr>
          <w:lang w:eastAsia="en-AU"/>
        </w:rPr>
        <w:t>of a circumstance in which the Registrar of Trade Marks</w:t>
      </w:r>
      <w:r w:rsidR="001027F5">
        <w:rPr>
          <w:lang w:eastAsia="en-AU"/>
        </w:rPr>
        <w:t xml:space="preserve"> may determine that it is reasonable to make a recommendation to the Committee. The example is where the </w:t>
      </w:r>
      <w:r w:rsidR="00365FE0">
        <w:rPr>
          <w:lang w:eastAsia="en-AU"/>
        </w:rPr>
        <w:t>Registrar of Trade Marks</w:t>
      </w:r>
      <w:r w:rsidR="001027F5">
        <w:rPr>
          <w:lang w:eastAsia="en-AU"/>
        </w:rPr>
        <w:t xml:space="preserve"> is satisfied that the proposed foreign GI or translation </w:t>
      </w:r>
      <w:r w:rsidR="00E15B4E">
        <w:rPr>
          <w:lang w:eastAsia="en-AU"/>
        </w:rPr>
        <w:t xml:space="preserve">of a foreign GI </w:t>
      </w:r>
      <w:r w:rsidR="001027F5">
        <w:rPr>
          <w:lang w:eastAsia="en-AU"/>
        </w:rPr>
        <w:t xml:space="preserve">was already in use in Australia before the relevant trade mark rights existed or were claimed by the person who made the objection. </w:t>
      </w:r>
    </w:p>
    <w:p w14:paraId="236EFD37" w14:textId="0385FB5E" w:rsidR="00D5103E" w:rsidRPr="00BA1C6B" w:rsidRDefault="00D5103E" w:rsidP="00C21613">
      <w:pPr>
        <w:rPr>
          <w:rFonts w:eastAsia="Calibri"/>
          <w:lang w:eastAsia="en-AU"/>
        </w:rPr>
      </w:pPr>
      <w:r w:rsidRPr="00BA1C6B">
        <w:rPr>
          <w:rFonts w:eastAsia="Calibri"/>
          <w:lang w:eastAsia="en-AU"/>
        </w:rPr>
        <w:t>Note 2</w:t>
      </w:r>
      <w:r w:rsidRPr="00BA1C6B">
        <w:rPr>
          <w:lang w:eastAsia="en-AU"/>
        </w:rPr>
        <w:t xml:space="preserve"> states that i</w:t>
      </w:r>
      <w:r w:rsidRPr="00BA1C6B">
        <w:rPr>
          <w:rFonts w:eastAsia="Calibri"/>
          <w:lang w:eastAsia="en-AU"/>
        </w:rPr>
        <w:t xml:space="preserve">f a recommendation is made </w:t>
      </w:r>
      <w:r w:rsidR="001027F5">
        <w:rPr>
          <w:rFonts w:eastAsia="Calibri"/>
          <w:lang w:eastAsia="en-AU"/>
        </w:rPr>
        <w:t>under this section</w:t>
      </w:r>
      <w:r w:rsidRPr="00BA1C6B">
        <w:rPr>
          <w:rFonts w:eastAsia="Calibri"/>
          <w:lang w:eastAsia="en-AU"/>
        </w:rPr>
        <w:t xml:space="preserve">, the </w:t>
      </w:r>
      <w:r w:rsidR="00C21613" w:rsidRPr="00C21613">
        <w:rPr>
          <w:rFonts w:eastAsia="Calibri"/>
          <w:lang w:eastAsia="en-AU"/>
        </w:rPr>
        <w:t>Committee</w:t>
      </w:r>
      <w:r w:rsidRPr="00BA1C6B">
        <w:rPr>
          <w:rFonts w:eastAsia="Calibri"/>
          <w:lang w:eastAsia="en-AU"/>
        </w:rPr>
        <w:t xml:space="preserve"> </w:t>
      </w:r>
      <w:r w:rsidR="001027F5">
        <w:rPr>
          <w:rFonts w:eastAsia="Calibri"/>
          <w:lang w:eastAsia="en-AU"/>
        </w:rPr>
        <w:t>will be empowered to</w:t>
      </w:r>
      <w:r w:rsidRPr="00BA1C6B">
        <w:rPr>
          <w:rFonts w:eastAsia="Calibri"/>
          <w:lang w:eastAsia="en-AU"/>
        </w:rPr>
        <w:t xml:space="preserve"> determine</w:t>
      </w:r>
      <w:r>
        <w:rPr>
          <w:lang w:eastAsia="en-AU"/>
        </w:rPr>
        <w:t xml:space="preserve"> a </w:t>
      </w:r>
      <w:r w:rsidR="001027F5">
        <w:rPr>
          <w:lang w:eastAsia="en-AU"/>
        </w:rPr>
        <w:t xml:space="preserve">foreign </w:t>
      </w:r>
      <w:r>
        <w:rPr>
          <w:lang w:eastAsia="en-AU"/>
        </w:rPr>
        <w:t>GI or a translation of a</w:t>
      </w:r>
      <w:r w:rsidR="00E15B4E">
        <w:rPr>
          <w:lang w:eastAsia="en-AU"/>
        </w:rPr>
        <w:t xml:space="preserve"> foreign</w:t>
      </w:r>
      <w:r>
        <w:rPr>
          <w:lang w:eastAsia="en-AU"/>
        </w:rPr>
        <w:t xml:space="preserve"> GI</w:t>
      </w:r>
      <w:r w:rsidR="001027F5">
        <w:rPr>
          <w:lang w:eastAsia="en-AU"/>
        </w:rPr>
        <w:t>,</w:t>
      </w:r>
      <w:r>
        <w:rPr>
          <w:lang w:eastAsia="en-AU"/>
        </w:rPr>
        <w:t xml:space="preserve"> under </w:t>
      </w:r>
      <w:r w:rsidR="00F94DA7">
        <w:rPr>
          <w:rFonts w:eastAsia="Calibri"/>
          <w:lang w:eastAsia="en-AU"/>
        </w:rPr>
        <w:t>subsection 90</w:t>
      </w:r>
      <w:r w:rsidRPr="00BA1C6B">
        <w:rPr>
          <w:rFonts w:eastAsia="Calibri"/>
          <w:lang w:eastAsia="en-AU"/>
        </w:rPr>
        <w:t>(5).</w:t>
      </w:r>
    </w:p>
    <w:p w14:paraId="73F4F6DA" w14:textId="78B7CA11" w:rsidR="00D5103E" w:rsidRPr="00CA7892" w:rsidRDefault="001027F5" w:rsidP="00C21613">
      <w:pPr>
        <w:rPr>
          <w:lang w:eastAsia="en-AU"/>
        </w:rPr>
      </w:pPr>
      <w:r>
        <w:rPr>
          <w:lang w:eastAsia="en-AU"/>
        </w:rPr>
        <w:t>In deciding whether to make a recommendation to the Committee, t</w:t>
      </w:r>
      <w:r w:rsidR="00D5103E" w:rsidRPr="0039034C">
        <w:rPr>
          <w:lang w:eastAsia="en-AU"/>
        </w:rPr>
        <w:t xml:space="preserve">he </w:t>
      </w:r>
      <w:r w:rsidR="00365FE0">
        <w:rPr>
          <w:lang w:eastAsia="en-AU"/>
        </w:rPr>
        <w:t>Registrar of Trade Marks</w:t>
      </w:r>
      <w:r w:rsidR="00D5103E" w:rsidRPr="0039034C">
        <w:rPr>
          <w:lang w:eastAsia="en-AU"/>
        </w:rPr>
        <w:t xml:space="preserve"> must have regard to Australia’s international obligations</w:t>
      </w:r>
      <w:r w:rsidR="00D5103E" w:rsidRPr="00BA1C6B">
        <w:rPr>
          <w:lang w:eastAsia="en-AU"/>
        </w:rPr>
        <w:t xml:space="preserve"> in determining whether it is reasonable in the circumstances to make the recommendation</w:t>
      </w:r>
      <w:r w:rsidR="00D5103E" w:rsidRPr="0039034C">
        <w:rPr>
          <w:lang w:eastAsia="en-AU"/>
        </w:rPr>
        <w:t>.</w:t>
      </w:r>
    </w:p>
    <w:p w14:paraId="17AEFB2A" w14:textId="44880040" w:rsidR="00D5103E" w:rsidRPr="00BA1C6B" w:rsidRDefault="00E0042C" w:rsidP="00C21613">
      <w:pPr>
        <w:pStyle w:val="Provision"/>
      </w:pPr>
      <w:bookmarkStart w:id="23" w:name="_Toc500497049"/>
      <w:r>
        <w:t>Section 73</w:t>
      </w:r>
      <w:r w:rsidR="00D5103E" w:rsidRPr="00BA1C6B">
        <w:t xml:space="preserve"> </w:t>
      </w:r>
      <w:r w:rsidR="00244484" w:rsidRPr="00245226">
        <w:t>–</w:t>
      </w:r>
      <w:r w:rsidR="00D5103E" w:rsidRPr="00BA1C6B">
        <w:t xml:space="preserve"> Notice of decision</w:t>
      </w:r>
      <w:bookmarkEnd w:id="23"/>
    </w:p>
    <w:p w14:paraId="2EE63860" w14:textId="7FB13651" w:rsidR="00D5103E" w:rsidRPr="00BA1C6B" w:rsidRDefault="00D5103E" w:rsidP="00C21613">
      <w:pPr>
        <w:rPr>
          <w:rFonts w:eastAsia="Calibri"/>
          <w:lang w:eastAsia="en-AU"/>
        </w:rPr>
      </w:pPr>
      <w:r>
        <w:rPr>
          <w:lang w:eastAsia="en-AU"/>
        </w:rPr>
        <w:lastRenderedPageBreak/>
        <w:t>This section provides that t</w:t>
      </w:r>
      <w:r w:rsidRPr="00BA1C6B">
        <w:rPr>
          <w:rFonts w:eastAsia="Calibri"/>
          <w:lang w:eastAsia="en-AU"/>
        </w:rPr>
        <w:t xml:space="preserve">he </w:t>
      </w:r>
      <w:r w:rsidR="00365FE0">
        <w:rPr>
          <w:rFonts w:eastAsia="Calibri"/>
          <w:lang w:eastAsia="en-AU"/>
        </w:rPr>
        <w:t>Registrar of Trade Marks</w:t>
      </w:r>
      <w:r w:rsidRPr="00BA1C6B">
        <w:rPr>
          <w:lang w:eastAsia="en-AU"/>
        </w:rPr>
        <w:t xml:space="preserve"> must </w:t>
      </w:r>
      <w:r w:rsidRPr="00BA1C6B">
        <w:rPr>
          <w:rFonts w:eastAsia="Calibri"/>
          <w:lang w:eastAsia="en-AU"/>
        </w:rPr>
        <w:t>inform</w:t>
      </w:r>
      <w:r w:rsidRPr="00BA1C6B">
        <w:rPr>
          <w:lang w:eastAsia="en-AU"/>
        </w:rPr>
        <w:t xml:space="preserve"> </w:t>
      </w:r>
      <w:r w:rsidRPr="00BA1C6B">
        <w:rPr>
          <w:rFonts w:eastAsia="Calibri"/>
          <w:lang w:eastAsia="en-AU"/>
        </w:rPr>
        <w:t xml:space="preserve">the </w:t>
      </w:r>
      <w:r w:rsidR="00C21613" w:rsidRPr="00C21613">
        <w:rPr>
          <w:lang w:eastAsia="en-AU"/>
        </w:rPr>
        <w:t>Committee</w:t>
      </w:r>
      <w:r>
        <w:rPr>
          <w:lang w:eastAsia="en-AU"/>
        </w:rPr>
        <w:t xml:space="preserve"> and each party, in writing, of a </w:t>
      </w:r>
      <w:r w:rsidRPr="00BA1C6B">
        <w:rPr>
          <w:rFonts w:eastAsia="Calibri"/>
          <w:lang w:eastAsia="en-AU"/>
        </w:rPr>
        <w:t xml:space="preserve">decision in relation to the objection under section </w:t>
      </w:r>
      <w:r w:rsidR="00F94DA7">
        <w:rPr>
          <w:rFonts w:eastAsia="Calibri"/>
          <w:lang w:eastAsia="en-AU"/>
        </w:rPr>
        <w:t>71</w:t>
      </w:r>
      <w:r w:rsidRPr="00BA1C6B">
        <w:rPr>
          <w:rFonts w:eastAsia="Calibri"/>
          <w:lang w:eastAsia="en-AU"/>
        </w:rPr>
        <w:t xml:space="preserve"> and any recommendation tha</w:t>
      </w:r>
      <w:r w:rsidR="00F94DA7">
        <w:rPr>
          <w:rFonts w:eastAsia="Calibri"/>
          <w:lang w:eastAsia="en-AU"/>
        </w:rPr>
        <w:t>t has been made under section 72</w:t>
      </w:r>
      <w:r w:rsidRPr="00BA1C6B">
        <w:rPr>
          <w:rFonts w:eastAsia="Calibri"/>
          <w:lang w:eastAsia="en-AU"/>
        </w:rPr>
        <w:t>.</w:t>
      </w:r>
    </w:p>
    <w:p w14:paraId="510D849B" w14:textId="51F2F89A" w:rsidR="00D5103E" w:rsidRPr="00BA1C6B" w:rsidRDefault="00D5103E" w:rsidP="00C21613">
      <w:pPr>
        <w:rPr>
          <w:rFonts w:eastAsia="Calibri"/>
          <w:lang w:eastAsia="en-AU"/>
        </w:rPr>
      </w:pPr>
      <w:r w:rsidRPr="00BA1C6B">
        <w:rPr>
          <w:rFonts w:eastAsia="Calibri"/>
          <w:lang w:eastAsia="en-AU"/>
        </w:rPr>
        <w:t>After receiving notice of a decision</w:t>
      </w:r>
      <w:r w:rsidR="001027F5">
        <w:rPr>
          <w:rFonts w:eastAsia="Calibri"/>
          <w:lang w:eastAsia="en-AU"/>
        </w:rPr>
        <w:t xml:space="preserve"> from the </w:t>
      </w:r>
      <w:r w:rsidR="00365FE0">
        <w:rPr>
          <w:rFonts w:eastAsia="Calibri"/>
          <w:lang w:eastAsia="en-AU"/>
        </w:rPr>
        <w:t>Registrar of Trade Marks</w:t>
      </w:r>
      <w:r w:rsidRPr="00BA1C6B">
        <w:rPr>
          <w:rFonts w:eastAsia="Calibri"/>
          <w:lang w:eastAsia="en-AU"/>
        </w:rPr>
        <w:t xml:space="preserve">, the Presiding Member of the </w:t>
      </w:r>
      <w:r w:rsidR="00C21613" w:rsidRPr="00C21613">
        <w:rPr>
          <w:rFonts w:eastAsia="Calibri"/>
          <w:lang w:eastAsia="en-AU"/>
        </w:rPr>
        <w:t>Committee</w:t>
      </w:r>
      <w:r w:rsidRPr="00BA1C6B">
        <w:rPr>
          <w:rFonts w:eastAsia="Calibri"/>
          <w:lang w:eastAsia="en-AU"/>
        </w:rPr>
        <w:t xml:space="preserve"> must publish a notice</w:t>
      </w:r>
      <w:r w:rsidR="001027F5">
        <w:rPr>
          <w:rFonts w:eastAsia="Calibri"/>
          <w:lang w:eastAsia="en-AU"/>
        </w:rPr>
        <w:t xml:space="preserve"> that</w:t>
      </w:r>
      <w:r w:rsidRPr="00BA1C6B">
        <w:rPr>
          <w:rFonts w:eastAsia="Calibri"/>
          <w:lang w:eastAsia="en-AU"/>
        </w:rPr>
        <w:t>:</w:t>
      </w:r>
    </w:p>
    <w:p w14:paraId="0EA4FDF6" w14:textId="3EBBD214" w:rsidR="00D5103E" w:rsidRPr="005F3C45" w:rsidRDefault="00D5103E" w:rsidP="00892CB7">
      <w:pPr>
        <w:pStyle w:val="ListParagraph"/>
        <w:numPr>
          <w:ilvl w:val="0"/>
          <w:numId w:val="71"/>
        </w:numPr>
      </w:pPr>
      <w:r w:rsidRPr="005F3C45">
        <w:t>s</w:t>
      </w:r>
      <w:r w:rsidR="001027F5">
        <w:t>e</w:t>
      </w:r>
      <w:r w:rsidRPr="005F3C45">
        <w:t>t</w:t>
      </w:r>
      <w:r w:rsidR="001027F5">
        <w:t>s</w:t>
      </w:r>
      <w:r w:rsidRPr="005F3C45">
        <w:t xml:space="preserve"> out the proposed </w:t>
      </w:r>
      <w:r w:rsidR="00244484">
        <w:t xml:space="preserve">foreign </w:t>
      </w:r>
      <w:r w:rsidR="001027F5">
        <w:t>GI or translation</w:t>
      </w:r>
    </w:p>
    <w:p w14:paraId="6AAF7D10" w14:textId="5B93A931" w:rsidR="00D5103E" w:rsidRPr="005F3C45" w:rsidRDefault="00D5103E" w:rsidP="00892CB7">
      <w:pPr>
        <w:pStyle w:val="ListParagraph"/>
        <w:numPr>
          <w:ilvl w:val="0"/>
          <w:numId w:val="71"/>
        </w:numPr>
      </w:pPr>
      <w:r w:rsidRPr="005F3C45">
        <w:t>stat</w:t>
      </w:r>
      <w:r w:rsidR="001027F5">
        <w:t>es</w:t>
      </w:r>
      <w:r w:rsidRPr="005F3C45">
        <w:t xml:space="preserve"> that a decision of the </w:t>
      </w:r>
      <w:r w:rsidR="00365FE0">
        <w:t>Registrar of Trade Marks</w:t>
      </w:r>
      <w:r w:rsidRPr="005F3C45">
        <w:t xml:space="preserve"> has been made in relation to the proposed </w:t>
      </w:r>
      <w:r w:rsidR="001027F5">
        <w:t>foreign GI or translation</w:t>
      </w:r>
      <w:r w:rsidR="00244484">
        <w:t>, and</w:t>
      </w:r>
    </w:p>
    <w:p w14:paraId="695DBF94" w14:textId="460908E2" w:rsidR="00D5103E" w:rsidRPr="005F3C45" w:rsidRDefault="00365A70" w:rsidP="00892CB7">
      <w:pPr>
        <w:pStyle w:val="ListParagraph"/>
        <w:numPr>
          <w:ilvl w:val="0"/>
          <w:numId w:val="71"/>
        </w:numPr>
      </w:pPr>
      <w:r>
        <w:t>sets</w:t>
      </w:r>
      <w:r w:rsidR="00D5103E" w:rsidRPr="005F3C45">
        <w:t xml:space="preserve"> out the terms of t</w:t>
      </w:r>
      <w:r w:rsidR="00F94DA7">
        <w:t>he decision made under section 71</w:t>
      </w:r>
      <w:r w:rsidR="00D5103E" w:rsidRPr="005F3C45">
        <w:t xml:space="preserve"> and any recommendation made under se</w:t>
      </w:r>
      <w:r w:rsidR="00F94DA7">
        <w:t>ction 72</w:t>
      </w:r>
      <w:r w:rsidR="00D5103E" w:rsidRPr="005F3C45">
        <w:t xml:space="preserve"> in relation to the proposed </w:t>
      </w:r>
      <w:r w:rsidR="001027F5">
        <w:t>foreign GI or translation</w:t>
      </w:r>
      <w:r w:rsidR="00E15B4E">
        <w:t xml:space="preserve"> of a foreign GI</w:t>
      </w:r>
      <w:r w:rsidR="00D5103E" w:rsidRPr="005F3C45">
        <w:t>.</w:t>
      </w:r>
    </w:p>
    <w:p w14:paraId="4C8B78C4" w14:textId="0B7DA4C7" w:rsidR="00D5103E" w:rsidRPr="00BA1C6B" w:rsidRDefault="001027F5" w:rsidP="00C21613">
      <w:pPr>
        <w:rPr>
          <w:rFonts w:eastAsia="Calibri"/>
          <w:lang w:eastAsia="en-AU"/>
        </w:rPr>
      </w:pPr>
      <w:r>
        <w:rPr>
          <w:rFonts w:eastAsia="Calibri"/>
          <w:lang w:eastAsia="en-AU"/>
        </w:rPr>
        <w:t xml:space="preserve">The Committee may publish the notice in any manner it considers appropriate. </w:t>
      </w:r>
      <w:r w:rsidR="00E15B4E">
        <w:rPr>
          <w:rFonts w:eastAsiaTheme="minorEastAsia"/>
          <w:szCs w:val="24"/>
        </w:rPr>
        <w:t>For example, the Presiding Member of the Committee could publish a notice on the Authority’s website.</w:t>
      </w:r>
    </w:p>
    <w:p w14:paraId="1DA4D58A" w14:textId="746CC4CF" w:rsidR="00D5103E" w:rsidRPr="00BA1C6B" w:rsidRDefault="009B3F04" w:rsidP="00C21613">
      <w:pPr>
        <w:pStyle w:val="Provision"/>
      </w:pPr>
      <w:bookmarkStart w:id="24" w:name="_Toc500497050"/>
      <w:r>
        <w:t>Section 7</w:t>
      </w:r>
      <w:r w:rsidR="00E0042C">
        <w:t>4</w:t>
      </w:r>
      <w:r w:rsidR="00D5103E" w:rsidRPr="00BA1C6B">
        <w:t xml:space="preserve"> </w:t>
      </w:r>
      <w:r w:rsidR="00244484" w:rsidRPr="00245226">
        <w:t>–</w:t>
      </w:r>
      <w:r w:rsidR="00244484" w:rsidRPr="00BA1C6B">
        <w:t xml:space="preserve"> </w:t>
      </w:r>
      <w:r w:rsidR="00D5103E" w:rsidRPr="00BA1C6B">
        <w:t>Fees</w:t>
      </w:r>
      <w:bookmarkEnd w:id="24"/>
    </w:p>
    <w:p w14:paraId="4A51F053" w14:textId="6E2712B9" w:rsidR="001027F5" w:rsidRDefault="001027F5" w:rsidP="001027F5">
      <w:bookmarkStart w:id="25" w:name="_Toc500497051"/>
      <w:r>
        <w:t xml:space="preserve">This section specifies the fees to be charged by the </w:t>
      </w:r>
      <w:r w:rsidR="00365FE0">
        <w:t>Registrar of Trade Marks</w:t>
      </w:r>
      <w:r>
        <w:t xml:space="preserve"> in relation to dealing with an objection to a proposed foreign GI or translation</w:t>
      </w:r>
      <w:r w:rsidR="00E15B4E">
        <w:t xml:space="preserve"> of a foreign GI</w:t>
      </w:r>
      <w:r>
        <w:t xml:space="preserve">. </w:t>
      </w:r>
    </w:p>
    <w:p w14:paraId="447D8874" w14:textId="51AF277E" w:rsidR="001027F5" w:rsidRDefault="001027F5" w:rsidP="001027F5">
      <w:r>
        <w:t xml:space="preserve">The section includes a table of fees for proceedings for the purposes of this division. Five matters are set out in Column 1 of the table, for which each party may be liable to pay the corresponding fee in Column 2 to the </w:t>
      </w:r>
      <w:r w:rsidR="00365FE0">
        <w:t>Registrar of Trade Marks</w:t>
      </w:r>
      <w:r>
        <w:t>:</w:t>
      </w:r>
    </w:p>
    <w:p w14:paraId="1EE89DFD" w14:textId="7C30678E" w:rsidR="001027F5" w:rsidRDefault="00244484" w:rsidP="00366E06">
      <w:pPr>
        <w:pStyle w:val="ListParagraph"/>
        <w:numPr>
          <w:ilvl w:val="0"/>
          <w:numId w:val="71"/>
        </w:numPr>
      </w:pPr>
      <w:r>
        <w:t>d</w:t>
      </w:r>
      <w:r w:rsidR="001027F5">
        <w:t>ealing with an objection (payable by the par</w:t>
      </w:r>
      <w:r>
        <w:t>ty making the objection): $500</w:t>
      </w:r>
    </w:p>
    <w:p w14:paraId="5D01B033" w14:textId="760C8B65" w:rsidR="001027F5" w:rsidRDefault="00244484" w:rsidP="00366E06">
      <w:pPr>
        <w:pStyle w:val="ListParagraph"/>
        <w:numPr>
          <w:ilvl w:val="0"/>
          <w:numId w:val="71"/>
        </w:numPr>
      </w:pPr>
      <w:r>
        <w:t>f</w:t>
      </w:r>
      <w:r w:rsidR="001027F5">
        <w:t xml:space="preserve">iling evidence in </w:t>
      </w:r>
      <w:r w:rsidR="00F94DA7">
        <w:t xml:space="preserve">relation </w:t>
      </w:r>
      <w:r w:rsidR="001B6688">
        <w:t xml:space="preserve">to </w:t>
      </w:r>
      <w:r w:rsidR="00F94DA7">
        <w:t>the objection (section 66</w:t>
      </w:r>
      <w:r w:rsidR="001027F5">
        <w:t>)</w:t>
      </w:r>
      <w:r w:rsidR="00F94DA7">
        <w:t>, evidence in answer (section 67</w:t>
      </w:r>
      <w:r w:rsidR="001B6688">
        <w:t>) or new evidenc</w:t>
      </w:r>
      <w:r w:rsidR="00F94DA7">
        <w:t>e (section 68</w:t>
      </w:r>
      <w:r>
        <w:t>): $375</w:t>
      </w:r>
    </w:p>
    <w:p w14:paraId="24D184B2" w14:textId="4A0DF2CD" w:rsidR="001027F5" w:rsidRDefault="00244484" w:rsidP="00366E06">
      <w:pPr>
        <w:pStyle w:val="ListParagraph"/>
        <w:numPr>
          <w:ilvl w:val="0"/>
          <w:numId w:val="71"/>
        </w:numPr>
      </w:pPr>
      <w:r>
        <w:t>r</w:t>
      </w:r>
      <w:r w:rsidR="001027F5">
        <w:t>eque</w:t>
      </w:r>
      <w:r w:rsidR="001B6688">
        <w:t>sting a hearing under section 6</w:t>
      </w:r>
      <w:r w:rsidR="00F94DA7">
        <w:t>9</w:t>
      </w:r>
      <w:r>
        <w:t>: $500</w:t>
      </w:r>
    </w:p>
    <w:p w14:paraId="14DC7749" w14:textId="7101F18D" w:rsidR="001027F5" w:rsidRDefault="00244484" w:rsidP="00366E06">
      <w:pPr>
        <w:pStyle w:val="ListParagraph"/>
        <w:numPr>
          <w:ilvl w:val="0"/>
          <w:numId w:val="71"/>
        </w:numPr>
      </w:pPr>
      <w:r>
        <w:t>a</w:t>
      </w:r>
      <w:r w:rsidR="001027F5">
        <w:t>ttendance at a hearing: $500 per day or part of a day that the hearing is attended, with the fee for requesting a hearing deducte</w:t>
      </w:r>
      <w:r>
        <w:t>d from the total amount payable, and</w:t>
      </w:r>
    </w:p>
    <w:p w14:paraId="68D8DE18" w14:textId="54221B9D" w:rsidR="001027F5" w:rsidRDefault="00244484" w:rsidP="00366E06">
      <w:pPr>
        <w:pStyle w:val="ListParagraph"/>
        <w:numPr>
          <w:ilvl w:val="0"/>
          <w:numId w:val="71"/>
        </w:numPr>
      </w:pPr>
      <w:r>
        <w:t>a</w:t>
      </w:r>
      <w:r w:rsidR="001027F5">
        <w:t>pplying to fi</w:t>
      </w:r>
      <w:r w:rsidR="001B6688">
        <w:t>le new evidence under section 6</w:t>
      </w:r>
      <w:r w:rsidR="00F94DA7">
        <w:t>8</w:t>
      </w:r>
      <w:r w:rsidR="001027F5">
        <w:t xml:space="preserve">: $100. </w:t>
      </w:r>
    </w:p>
    <w:p w14:paraId="7A1F1BA0" w14:textId="77777777" w:rsidR="00750913" w:rsidRDefault="00750913" w:rsidP="00750913">
      <w:r>
        <w:t xml:space="preserve">These fees have been calculated by reference to identified costs for dealing with an objection and are broadly aligned with the fees payable to the Registrar of Trade Marks prescribed in Schedule 9 of the </w:t>
      </w:r>
      <w:r w:rsidRPr="00750913">
        <w:rPr>
          <w:i/>
        </w:rPr>
        <w:t>Trade Marks Regulations 1995</w:t>
      </w:r>
      <w:r>
        <w:t>.</w:t>
      </w:r>
    </w:p>
    <w:p w14:paraId="51479EF3" w14:textId="713FEDD4" w:rsidR="00D5103E" w:rsidRPr="00BA1C6B" w:rsidRDefault="009B3F04" w:rsidP="00C21613">
      <w:pPr>
        <w:pStyle w:val="Provision"/>
      </w:pPr>
      <w:r>
        <w:t>Section 7</w:t>
      </w:r>
      <w:r w:rsidR="00E0042C">
        <w:t>5</w:t>
      </w:r>
      <w:r w:rsidR="00D5103E" w:rsidRPr="00BA1C6B">
        <w:t xml:space="preserve"> </w:t>
      </w:r>
      <w:r w:rsidR="00244484" w:rsidRPr="00245226">
        <w:t>–</w:t>
      </w:r>
      <w:r w:rsidR="00D5103E" w:rsidRPr="00BA1C6B">
        <w:t xml:space="preserve"> Costs </w:t>
      </w:r>
    </w:p>
    <w:bookmarkEnd w:id="25"/>
    <w:p w14:paraId="46D74203" w14:textId="6C063864" w:rsidR="001B6688" w:rsidRDefault="001B6688" w:rsidP="001B6688">
      <w:pPr>
        <w:rPr>
          <w:lang w:eastAsia="ja-JP"/>
        </w:rPr>
      </w:pPr>
      <w:r>
        <w:t>This section provides that t</w:t>
      </w:r>
      <w:r w:rsidRPr="00AB153C">
        <w:t xml:space="preserve">he </w:t>
      </w:r>
      <w:r w:rsidR="00365FE0">
        <w:t>Registrar of Trade Marks</w:t>
      </w:r>
      <w:r w:rsidRPr="00AB153C">
        <w:t xml:space="preserve"> must not make an order for costs in </w:t>
      </w:r>
      <w:r>
        <w:t xml:space="preserve">the </w:t>
      </w:r>
      <w:r w:rsidRPr="00AB153C">
        <w:t xml:space="preserve">proceedings </w:t>
      </w:r>
      <w:r>
        <w:t>for consideration of grounds of objection to the determination of a proposed foreign GI or translation</w:t>
      </w:r>
      <w:r w:rsidR="00E15B4E">
        <w:t xml:space="preserve"> of a foreign GI</w:t>
      </w:r>
      <w:r w:rsidRPr="00AB153C">
        <w:t>.</w:t>
      </w:r>
    </w:p>
    <w:p w14:paraId="4674F196" w14:textId="70B33908" w:rsidR="00D82FDA" w:rsidRDefault="00D82FDA" w:rsidP="0088376F">
      <w:pPr>
        <w:pStyle w:val="Heading3"/>
      </w:pPr>
      <w:r w:rsidRPr="00D82FDA">
        <w:t>Division 4</w:t>
      </w:r>
      <w:r w:rsidR="000C3C04" w:rsidRPr="009E5369">
        <w:t>—</w:t>
      </w:r>
      <w:r w:rsidRPr="00D82FDA">
        <w:t>Decision that ground of objection to proposed item no longer exists</w:t>
      </w:r>
    </w:p>
    <w:p w14:paraId="6568A475" w14:textId="4C6C3176" w:rsidR="008C79B6" w:rsidRDefault="001B6688" w:rsidP="001B6688">
      <w:pPr>
        <w:rPr>
          <w:lang w:eastAsia="ja-JP"/>
        </w:rPr>
      </w:pPr>
      <w:r>
        <w:rPr>
          <w:lang w:eastAsia="ja-JP"/>
        </w:rPr>
        <w:t>This d</w:t>
      </w:r>
      <w:r w:rsidRPr="009D679D">
        <w:rPr>
          <w:lang w:eastAsia="ja-JP"/>
        </w:rPr>
        <w:t xml:space="preserve">ivision sets out the procedures for the </w:t>
      </w:r>
      <w:r w:rsidR="00365FE0">
        <w:rPr>
          <w:lang w:eastAsia="ja-JP"/>
        </w:rPr>
        <w:t>Registrar of Trade Marks</w:t>
      </w:r>
      <w:r w:rsidRPr="009D679D">
        <w:rPr>
          <w:lang w:eastAsia="ja-JP"/>
        </w:rPr>
        <w:t xml:space="preserve"> to follow in deciding whether </w:t>
      </w:r>
      <w:r>
        <w:rPr>
          <w:lang w:eastAsia="ja-JP"/>
        </w:rPr>
        <w:t>a</w:t>
      </w:r>
      <w:r w:rsidRPr="009D679D">
        <w:rPr>
          <w:lang w:eastAsia="ja-JP"/>
        </w:rPr>
        <w:t xml:space="preserve"> ground of objection to a proposed </w:t>
      </w:r>
      <w:r>
        <w:rPr>
          <w:lang w:eastAsia="ja-JP"/>
        </w:rPr>
        <w:t xml:space="preserve">foreign </w:t>
      </w:r>
      <w:r w:rsidRPr="009D679D">
        <w:rPr>
          <w:lang w:eastAsia="ja-JP"/>
        </w:rPr>
        <w:t>GI</w:t>
      </w:r>
      <w:r>
        <w:rPr>
          <w:lang w:eastAsia="ja-JP"/>
        </w:rPr>
        <w:t xml:space="preserve"> or translation</w:t>
      </w:r>
      <w:r w:rsidR="00E15B4E">
        <w:rPr>
          <w:lang w:eastAsia="ja-JP"/>
        </w:rPr>
        <w:t xml:space="preserve"> of a foreign GI</w:t>
      </w:r>
      <w:r w:rsidRPr="009D679D">
        <w:rPr>
          <w:lang w:eastAsia="ja-JP"/>
        </w:rPr>
        <w:t xml:space="preserve"> no longer exists. </w:t>
      </w:r>
    </w:p>
    <w:p w14:paraId="34DDD4C7" w14:textId="77777777" w:rsidR="008C79B6" w:rsidRDefault="008C79B6" w:rsidP="008C79B6">
      <w:pPr>
        <w:rPr>
          <w:lang w:eastAsia="ja-JP"/>
        </w:rPr>
      </w:pPr>
      <w:r w:rsidRPr="009D679D">
        <w:rPr>
          <w:lang w:eastAsia="ja-JP"/>
        </w:rPr>
        <w:lastRenderedPageBreak/>
        <w:t>This decision would be made where</w:t>
      </w:r>
      <w:r>
        <w:rPr>
          <w:lang w:eastAsia="ja-JP"/>
        </w:rPr>
        <w:t>:</w:t>
      </w:r>
    </w:p>
    <w:p w14:paraId="3D38AEEF" w14:textId="639B5E3E" w:rsidR="008C79B6" w:rsidRDefault="008C79B6" w:rsidP="00892CB7">
      <w:pPr>
        <w:pStyle w:val="ListParagraph"/>
        <w:numPr>
          <w:ilvl w:val="0"/>
          <w:numId w:val="71"/>
        </w:numPr>
      </w:pPr>
      <w:r w:rsidRPr="009D679D">
        <w:t xml:space="preserve">a decision has been made that a ground of objection to a proposed </w:t>
      </w:r>
      <w:r w:rsidR="00E15B4E">
        <w:t>item</w:t>
      </w:r>
      <w:r w:rsidRPr="009D679D">
        <w:t xml:space="preserve"> </w:t>
      </w:r>
      <w:r>
        <w:t xml:space="preserve">is supported by the evidence provided (under section </w:t>
      </w:r>
      <w:r w:rsidR="00362C7C">
        <w:t>71</w:t>
      </w:r>
      <w:r>
        <w:t>)</w:t>
      </w:r>
      <w:r w:rsidR="00244484">
        <w:t>,</w:t>
      </w:r>
      <w:r w:rsidRPr="009D679D">
        <w:t xml:space="preserve"> and </w:t>
      </w:r>
    </w:p>
    <w:p w14:paraId="1C441AD3" w14:textId="35D27201" w:rsidR="001B6688" w:rsidRDefault="008C79B6" w:rsidP="00892CB7">
      <w:pPr>
        <w:pStyle w:val="ListParagraph"/>
        <w:numPr>
          <w:ilvl w:val="0"/>
          <w:numId w:val="71"/>
        </w:numPr>
      </w:pPr>
      <w:r w:rsidRPr="009D679D">
        <w:t xml:space="preserve">a person applies in writing to the </w:t>
      </w:r>
      <w:r>
        <w:t>Registrar of Trade Marks</w:t>
      </w:r>
      <w:r w:rsidRPr="009D679D">
        <w:t xml:space="preserve"> for a decision that circumstances have changed since that decision</w:t>
      </w:r>
      <w:r>
        <w:t xml:space="preserve">, </w:t>
      </w:r>
      <w:r w:rsidRPr="009D679D">
        <w:t>such that the ground of objection no longer exists</w:t>
      </w:r>
      <w:r>
        <w:t xml:space="preserve"> (und</w:t>
      </w:r>
      <w:r w:rsidR="00362C7C">
        <w:t>er section 76</w:t>
      </w:r>
      <w:r>
        <w:t>)</w:t>
      </w:r>
      <w:r w:rsidRPr="009D679D">
        <w:t>.</w:t>
      </w:r>
      <w:r w:rsidR="001B6688" w:rsidRPr="009D679D">
        <w:t xml:space="preserve"> </w:t>
      </w:r>
    </w:p>
    <w:p w14:paraId="7BC5D74E" w14:textId="3E6D471E" w:rsidR="001B6688" w:rsidRPr="009D679D" w:rsidRDefault="001B6688" w:rsidP="001B6688">
      <w:pPr>
        <w:rPr>
          <w:lang w:eastAsia="ja-JP"/>
        </w:rPr>
      </w:pPr>
      <w:r>
        <w:rPr>
          <w:lang w:eastAsia="ja-JP"/>
        </w:rPr>
        <w:t xml:space="preserve">The procedures set out in this division are intended to be consistent with the procedures regarding a decision that a ground of objection to a proposed Australian GI no longer exists, in Division 3 of Part 6. </w:t>
      </w:r>
    </w:p>
    <w:p w14:paraId="3DE3D0D7" w14:textId="456D78C8" w:rsidR="00D82FDA" w:rsidRDefault="00881117" w:rsidP="00C21613">
      <w:pPr>
        <w:pStyle w:val="Provision"/>
      </w:pPr>
      <w:r>
        <w:t>Section 76</w:t>
      </w:r>
      <w:r w:rsidR="00D82FDA">
        <w:t xml:space="preserve"> – Application for decision </w:t>
      </w:r>
    </w:p>
    <w:p w14:paraId="0F25305D" w14:textId="1E53BEE5" w:rsidR="001B6688" w:rsidRDefault="001B6688" w:rsidP="001B6688">
      <w:pPr>
        <w:rPr>
          <w:lang w:eastAsia="en-AU"/>
        </w:rPr>
      </w:pPr>
      <w:r>
        <w:rPr>
          <w:lang w:eastAsia="en-AU"/>
        </w:rPr>
        <w:t>This section provides for the application of this division. This d</w:t>
      </w:r>
      <w:r w:rsidRPr="00CA7892">
        <w:rPr>
          <w:lang w:eastAsia="en-AU"/>
        </w:rPr>
        <w:t xml:space="preserve">ivision sets out the procedure to be followed </w:t>
      </w:r>
      <w:r>
        <w:rPr>
          <w:lang w:eastAsia="en-AU"/>
        </w:rPr>
        <w:t xml:space="preserve">by the </w:t>
      </w:r>
      <w:r w:rsidR="00365FE0">
        <w:rPr>
          <w:lang w:eastAsia="en-AU"/>
        </w:rPr>
        <w:t>Registrar of Trade Marks</w:t>
      </w:r>
      <w:r>
        <w:rPr>
          <w:lang w:eastAsia="en-AU"/>
        </w:rPr>
        <w:t xml:space="preserve"> in deciding that a ground of objection to a proposed foreign GI or translation no longer exists, where:</w:t>
      </w:r>
    </w:p>
    <w:p w14:paraId="6831DCDE" w14:textId="5A7B4E1C" w:rsidR="001B6688" w:rsidRDefault="001B6688" w:rsidP="00892CB7">
      <w:pPr>
        <w:pStyle w:val="ListParagraph"/>
        <w:numPr>
          <w:ilvl w:val="0"/>
          <w:numId w:val="71"/>
        </w:numPr>
      </w:pPr>
      <w:r>
        <w:t xml:space="preserve">the </w:t>
      </w:r>
      <w:r w:rsidR="00365FE0">
        <w:t>Registrar of Trade Marks</w:t>
      </w:r>
      <w:r>
        <w:t xml:space="preserve"> has decided</w:t>
      </w:r>
      <w:r w:rsidRPr="009D679D">
        <w:t xml:space="preserve"> that </w:t>
      </w:r>
      <w:r w:rsidR="00887806">
        <w:t xml:space="preserve">there is </w:t>
      </w:r>
      <w:r w:rsidRPr="009D679D">
        <w:t xml:space="preserve">a ground of objection to a proposed </w:t>
      </w:r>
      <w:r w:rsidR="00887806">
        <w:t xml:space="preserve">foreign </w:t>
      </w:r>
      <w:r w:rsidRPr="009D679D">
        <w:t>GI</w:t>
      </w:r>
      <w:r w:rsidR="00887806">
        <w:t xml:space="preserve"> or translation</w:t>
      </w:r>
      <w:r w:rsidR="00E15B4E">
        <w:t xml:space="preserve"> of a foreign GI</w:t>
      </w:r>
      <w:r w:rsidRPr="009D679D">
        <w:t xml:space="preserve"> </w:t>
      </w:r>
      <w:r>
        <w:t xml:space="preserve">(under section </w:t>
      </w:r>
      <w:r w:rsidR="00F94DA7">
        <w:t>71</w:t>
      </w:r>
      <w:r>
        <w:t>)</w:t>
      </w:r>
      <w:r w:rsidR="008D129F">
        <w:t>,</w:t>
      </w:r>
      <w:r w:rsidRPr="009D679D">
        <w:t xml:space="preserve"> and </w:t>
      </w:r>
    </w:p>
    <w:p w14:paraId="5BF3260F" w14:textId="03350D18" w:rsidR="001B6688" w:rsidRPr="009D679D" w:rsidRDefault="001B6688" w:rsidP="00892CB7">
      <w:pPr>
        <w:pStyle w:val="ListParagraph"/>
        <w:numPr>
          <w:ilvl w:val="0"/>
          <w:numId w:val="71"/>
        </w:numPr>
      </w:pPr>
      <w:r w:rsidRPr="009D679D">
        <w:t xml:space="preserve">a person applies in writing to the </w:t>
      </w:r>
      <w:r w:rsidR="00365FE0">
        <w:t>Registrar of Trade Marks</w:t>
      </w:r>
      <w:r w:rsidRPr="009D679D">
        <w:t xml:space="preserve"> for a decision that circumstances have changed since that decision</w:t>
      </w:r>
      <w:r>
        <w:t xml:space="preserve">, </w:t>
      </w:r>
      <w:r w:rsidRPr="009D679D">
        <w:t>such that the ground of objection no longer exists.</w:t>
      </w:r>
    </w:p>
    <w:p w14:paraId="1028EE03" w14:textId="336224EB" w:rsidR="00D82FDA" w:rsidRDefault="00D82FDA" w:rsidP="00C21613">
      <w:pPr>
        <w:pStyle w:val="Provision"/>
      </w:pPr>
      <w:r>
        <w:t>Section 7</w:t>
      </w:r>
      <w:r w:rsidR="00881117">
        <w:t>7</w:t>
      </w:r>
      <w:r>
        <w:t xml:space="preserve"> – Notice of application </w:t>
      </w:r>
    </w:p>
    <w:p w14:paraId="3FD61916" w14:textId="17718014" w:rsidR="00887806" w:rsidRPr="00CA7892" w:rsidRDefault="00887806" w:rsidP="00887806">
      <w:pPr>
        <w:rPr>
          <w:lang w:eastAsia="en-AU"/>
        </w:rPr>
      </w:pPr>
      <w:r>
        <w:rPr>
          <w:lang w:eastAsia="en-AU"/>
        </w:rPr>
        <w:t>This section provides that t</w:t>
      </w:r>
      <w:r w:rsidRPr="00441BF4">
        <w:rPr>
          <w:rFonts w:eastAsia="Calibri"/>
          <w:lang w:eastAsia="en-AU"/>
        </w:rPr>
        <w:t xml:space="preserve">he </w:t>
      </w:r>
      <w:r w:rsidR="00365FE0">
        <w:rPr>
          <w:rFonts w:eastAsia="Calibri"/>
          <w:lang w:eastAsia="en-AU"/>
        </w:rPr>
        <w:t>Registrar of Trade Marks</w:t>
      </w:r>
      <w:r w:rsidRPr="00441BF4">
        <w:rPr>
          <w:rFonts w:eastAsia="Calibri"/>
          <w:lang w:eastAsia="en-AU"/>
        </w:rPr>
        <w:t xml:space="preserve"> must notify the </w:t>
      </w:r>
      <w:r w:rsidRPr="00C21613">
        <w:rPr>
          <w:lang w:eastAsia="en-AU"/>
        </w:rPr>
        <w:t>Committee</w:t>
      </w:r>
      <w:r>
        <w:rPr>
          <w:lang w:eastAsia="en-AU"/>
        </w:rPr>
        <w:t xml:space="preserve"> </w:t>
      </w:r>
      <w:r w:rsidRPr="00441BF4">
        <w:rPr>
          <w:rFonts w:eastAsia="Calibri"/>
          <w:lang w:eastAsia="en-AU"/>
        </w:rPr>
        <w:t xml:space="preserve">in writing </w:t>
      </w:r>
      <w:r>
        <w:rPr>
          <w:rFonts w:eastAsia="Calibri"/>
          <w:lang w:eastAsia="en-AU"/>
        </w:rPr>
        <w:t xml:space="preserve">that </w:t>
      </w:r>
      <w:r w:rsidR="00E15B4E">
        <w:rPr>
          <w:lang w:eastAsia="en-AU"/>
        </w:rPr>
        <w:t>t</w:t>
      </w:r>
      <w:r w:rsidR="00E15B4E" w:rsidRPr="00441BF4">
        <w:rPr>
          <w:rFonts w:eastAsia="Calibri"/>
          <w:lang w:eastAsia="en-AU"/>
        </w:rPr>
        <w:t xml:space="preserve">he </w:t>
      </w:r>
      <w:r w:rsidR="00E15B4E">
        <w:rPr>
          <w:rFonts w:eastAsia="Calibri"/>
          <w:lang w:eastAsia="en-AU"/>
        </w:rPr>
        <w:t>Registrar of Trade Marks</w:t>
      </w:r>
      <w:r>
        <w:rPr>
          <w:rFonts w:eastAsia="Calibri"/>
          <w:lang w:eastAsia="en-AU"/>
        </w:rPr>
        <w:t xml:space="preserve"> has received an application </w:t>
      </w:r>
      <w:r w:rsidR="00362C7C">
        <w:rPr>
          <w:rFonts w:eastAsia="Calibri"/>
          <w:lang w:eastAsia="en-AU"/>
        </w:rPr>
        <w:t xml:space="preserve">under section 76 </w:t>
      </w:r>
      <w:r>
        <w:rPr>
          <w:rFonts w:eastAsia="Calibri"/>
          <w:lang w:eastAsia="en-AU"/>
        </w:rPr>
        <w:t>that a ground of objection to a proposed foreign GI or translation of a foreign GI no longer exists and outline the terms of the application in the notice</w:t>
      </w:r>
      <w:r w:rsidRPr="00441BF4">
        <w:rPr>
          <w:rFonts w:eastAsia="Calibri"/>
          <w:lang w:eastAsia="en-AU"/>
        </w:rPr>
        <w:t>.</w:t>
      </w:r>
    </w:p>
    <w:p w14:paraId="25DA7D4D" w14:textId="468DFBF8" w:rsidR="00D82FDA" w:rsidRDefault="009B3F04" w:rsidP="00C21613">
      <w:pPr>
        <w:pStyle w:val="Provision"/>
      </w:pPr>
      <w:r>
        <w:t>Section 7</w:t>
      </w:r>
      <w:r w:rsidR="00881117">
        <w:t>8</w:t>
      </w:r>
      <w:r w:rsidR="0041558C">
        <w:t xml:space="preserve"> – P</w:t>
      </w:r>
      <w:r w:rsidR="00D82FDA">
        <w:t xml:space="preserve">arties to proceedings </w:t>
      </w:r>
    </w:p>
    <w:p w14:paraId="3598DD5A" w14:textId="56DC08CD" w:rsidR="00887806" w:rsidRPr="009D679D" w:rsidRDefault="00887806" w:rsidP="00887806">
      <w:pPr>
        <w:rPr>
          <w:lang w:eastAsia="ja-JP"/>
        </w:rPr>
      </w:pPr>
      <w:r w:rsidRPr="009D679D">
        <w:rPr>
          <w:lang w:eastAsia="ja-JP"/>
        </w:rPr>
        <w:t xml:space="preserve">This section sets out who is a ‘party’ in relation to an application that a ground of objection to a proposed </w:t>
      </w:r>
      <w:r>
        <w:rPr>
          <w:lang w:eastAsia="ja-JP"/>
        </w:rPr>
        <w:t xml:space="preserve">foreign </w:t>
      </w:r>
      <w:r w:rsidRPr="009D679D">
        <w:rPr>
          <w:lang w:eastAsia="ja-JP"/>
        </w:rPr>
        <w:t>GI</w:t>
      </w:r>
      <w:r>
        <w:rPr>
          <w:lang w:eastAsia="ja-JP"/>
        </w:rPr>
        <w:t xml:space="preserve"> or translation</w:t>
      </w:r>
      <w:r w:rsidRPr="009D679D">
        <w:rPr>
          <w:lang w:eastAsia="ja-JP"/>
        </w:rPr>
        <w:t xml:space="preserve"> no longer exists.</w:t>
      </w:r>
    </w:p>
    <w:p w14:paraId="4470962B" w14:textId="3240BA99" w:rsidR="00887806" w:rsidRPr="009D679D" w:rsidRDefault="00887806" w:rsidP="00887806">
      <w:pPr>
        <w:rPr>
          <w:lang w:eastAsia="ja-JP"/>
        </w:rPr>
      </w:pPr>
      <w:r>
        <w:rPr>
          <w:lang w:eastAsia="ja-JP"/>
        </w:rPr>
        <w:t xml:space="preserve">For the purposes of this division, a </w:t>
      </w:r>
      <w:r>
        <w:rPr>
          <w:b/>
          <w:i/>
          <w:lang w:eastAsia="ja-JP"/>
        </w:rPr>
        <w:t xml:space="preserve">party </w:t>
      </w:r>
      <w:r w:rsidRPr="009D679D">
        <w:rPr>
          <w:lang w:eastAsia="ja-JP"/>
        </w:rPr>
        <w:t>to proceedings in relation to determination of an application</w:t>
      </w:r>
      <w:r>
        <w:rPr>
          <w:lang w:eastAsia="ja-JP"/>
        </w:rPr>
        <w:t xml:space="preserve"> is</w:t>
      </w:r>
      <w:r w:rsidRPr="009D679D">
        <w:rPr>
          <w:lang w:eastAsia="ja-JP"/>
        </w:rPr>
        <w:t>:</w:t>
      </w:r>
    </w:p>
    <w:p w14:paraId="2E3DCC9C" w14:textId="0E8FC045" w:rsidR="00887806" w:rsidRPr="009D679D" w:rsidRDefault="00244484" w:rsidP="00892CB7">
      <w:pPr>
        <w:pStyle w:val="ListParagraph"/>
        <w:numPr>
          <w:ilvl w:val="0"/>
          <w:numId w:val="71"/>
        </w:numPr>
      </w:pPr>
      <w:r>
        <w:t>t</w:t>
      </w:r>
      <w:r w:rsidR="00887806" w:rsidRPr="009D679D">
        <w:t xml:space="preserve">he person who made the application that a ground of objection to a proposed </w:t>
      </w:r>
      <w:r w:rsidR="00E15B4E">
        <w:t>item</w:t>
      </w:r>
      <w:r w:rsidR="00887806" w:rsidRPr="009D679D">
        <w:t xml:space="preserve"> no longer exists</w:t>
      </w:r>
    </w:p>
    <w:p w14:paraId="13DF401C" w14:textId="0961584F" w:rsidR="00887806" w:rsidRDefault="00244484" w:rsidP="00892CB7">
      <w:pPr>
        <w:pStyle w:val="ListParagraph"/>
        <w:numPr>
          <w:ilvl w:val="0"/>
          <w:numId w:val="71"/>
        </w:numPr>
      </w:pPr>
      <w:r>
        <w:t>t</w:t>
      </w:r>
      <w:r w:rsidR="00887806">
        <w:t>he person who made the objection, either:</w:t>
      </w:r>
    </w:p>
    <w:p w14:paraId="76AB37ED" w14:textId="67D5B467" w:rsidR="00887806" w:rsidRDefault="00887806" w:rsidP="00DC0542">
      <w:pPr>
        <w:pStyle w:val="ListParagraph"/>
        <w:numPr>
          <w:ilvl w:val="1"/>
          <w:numId w:val="83"/>
        </w:numPr>
      </w:pPr>
      <w:r w:rsidRPr="009D679D">
        <w:t>the registered own</w:t>
      </w:r>
      <w:r>
        <w:t>er of the registered trade mark (under subsec</w:t>
      </w:r>
      <w:r w:rsidR="00F94DA7">
        <w:t>tion 62</w:t>
      </w:r>
      <w:r w:rsidR="00244484">
        <w:t>(1))</w:t>
      </w:r>
    </w:p>
    <w:p w14:paraId="218D836C" w14:textId="6630FC8C" w:rsidR="00887806" w:rsidRPr="00EA18FD" w:rsidRDefault="00887806" w:rsidP="00DC0542">
      <w:pPr>
        <w:pStyle w:val="ListParagraph"/>
        <w:numPr>
          <w:ilvl w:val="1"/>
          <w:numId w:val="83"/>
        </w:numPr>
      </w:pPr>
      <w:r w:rsidRPr="009D679D">
        <w:t>a person who has an application pe</w:t>
      </w:r>
      <w:r>
        <w:t xml:space="preserve">nding for the registration of the </w:t>
      </w:r>
      <w:r w:rsidRPr="009D679D">
        <w:t xml:space="preserve">trade mark under the </w:t>
      </w:r>
      <w:r w:rsidRPr="00244484">
        <w:rPr>
          <w:i/>
        </w:rPr>
        <w:t>Trade Marks Act 1995</w:t>
      </w:r>
      <w:r w:rsidRPr="00DC0542">
        <w:t xml:space="preserve"> </w:t>
      </w:r>
      <w:r w:rsidR="00F94DA7">
        <w:t>(under subsection 62</w:t>
      </w:r>
      <w:r>
        <w:t>(3))</w:t>
      </w:r>
    </w:p>
    <w:p w14:paraId="4CF797AE" w14:textId="43619F14" w:rsidR="00887806" w:rsidRDefault="00887806" w:rsidP="00DC0542">
      <w:pPr>
        <w:pStyle w:val="ListParagraph"/>
        <w:numPr>
          <w:ilvl w:val="1"/>
          <w:numId w:val="83"/>
        </w:numPr>
      </w:pPr>
      <w:r w:rsidRPr="009D679D">
        <w:t>a person who claim</w:t>
      </w:r>
      <w:r>
        <w:t>s to have trade mark rights in the</w:t>
      </w:r>
      <w:r w:rsidRPr="009D679D">
        <w:t xml:space="preserve"> tra</w:t>
      </w:r>
      <w:r>
        <w:t>de mark that is not registered (under subsect</w:t>
      </w:r>
      <w:r w:rsidR="00F94DA7">
        <w:t>ion 62</w:t>
      </w:r>
      <w:r w:rsidR="00244484">
        <w:t>(4)), or</w:t>
      </w:r>
    </w:p>
    <w:p w14:paraId="5182D90F" w14:textId="3BCFC2C0" w:rsidR="00887806" w:rsidRPr="009D679D" w:rsidRDefault="00887806" w:rsidP="00DC0542">
      <w:pPr>
        <w:pStyle w:val="ListParagraph"/>
        <w:numPr>
          <w:ilvl w:val="1"/>
          <w:numId w:val="83"/>
        </w:numPr>
      </w:pPr>
      <w:r>
        <w:t xml:space="preserve">a person who objects to the proposed foreign GI or translation </w:t>
      </w:r>
      <w:r w:rsidR="00E15B4E">
        <w:t xml:space="preserve">of a foreign GI </w:t>
      </w:r>
      <w:r>
        <w:t xml:space="preserve">on the ground that it is </w:t>
      </w:r>
      <w:r w:rsidR="00F94DA7">
        <w:t>used in Australia (</w:t>
      </w:r>
      <w:r w:rsidR="007C7609">
        <w:t xml:space="preserve">under </w:t>
      </w:r>
      <w:r w:rsidR="00F94DA7">
        <w:t>subsection 62</w:t>
      </w:r>
      <w:r w:rsidR="00244484">
        <w:t>(5)), and</w:t>
      </w:r>
    </w:p>
    <w:p w14:paraId="23CDEF0A" w14:textId="75093339" w:rsidR="00887806" w:rsidRDefault="00244484" w:rsidP="00892CB7">
      <w:pPr>
        <w:pStyle w:val="ListParagraph"/>
        <w:numPr>
          <w:ilvl w:val="0"/>
          <w:numId w:val="71"/>
        </w:numPr>
      </w:pPr>
      <w:r>
        <w:lastRenderedPageBreak/>
        <w:t>t</w:t>
      </w:r>
      <w:r w:rsidR="00887806" w:rsidRPr="009D679D">
        <w:t xml:space="preserve">he applicant for the determination of the proposed </w:t>
      </w:r>
      <w:r w:rsidR="00E15B4E">
        <w:t>item</w:t>
      </w:r>
      <w:r w:rsidR="00887806">
        <w:t xml:space="preserve"> (under section </w:t>
      </w:r>
      <w:r w:rsidR="00F94DA7">
        <w:t>60</w:t>
      </w:r>
      <w:r w:rsidR="00887806">
        <w:t>).</w:t>
      </w:r>
    </w:p>
    <w:p w14:paraId="2E581D43" w14:textId="7CFF18CD" w:rsidR="00887806" w:rsidRDefault="00887806" w:rsidP="00887806">
      <w:pPr>
        <w:rPr>
          <w:lang w:eastAsia="ja-JP"/>
        </w:rPr>
      </w:pPr>
      <w:r>
        <w:rPr>
          <w:lang w:eastAsia="ja-JP"/>
        </w:rPr>
        <w:t>In this section, the person who made an application that a ground of objection no</w:t>
      </w:r>
      <w:r w:rsidR="00F94DA7">
        <w:rPr>
          <w:lang w:eastAsia="ja-JP"/>
        </w:rPr>
        <w:t xml:space="preserve"> longer exists (under section 76</w:t>
      </w:r>
      <w:r>
        <w:rPr>
          <w:lang w:eastAsia="ja-JP"/>
        </w:rPr>
        <w:t xml:space="preserve">) may be different to the person who made the application for the foreign GI </w:t>
      </w:r>
      <w:r w:rsidR="00F94DA7">
        <w:rPr>
          <w:lang w:eastAsia="ja-JP"/>
        </w:rPr>
        <w:t xml:space="preserve">or translation </w:t>
      </w:r>
      <w:r w:rsidR="00E15B4E">
        <w:rPr>
          <w:lang w:eastAsia="ja-JP"/>
        </w:rPr>
        <w:t xml:space="preserve">of a foreign GI </w:t>
      </w:r>
      <w:r w:rsidR="00F94DA7">
        <w:rPr>
          <w:lang w:eastAsia="ja-JP"/>
        </w:rPr>
        <w:t>(under section 60</w:t>
      </w:r>
      <w:r>
        <w:rPr>
          <w:lang w:eastAsia="ja-JP"/>
        </w:rPr>
        <w:t xml:space="preserve">). Both of these people are considered parties for the purposes of </w:t>
      </w:r>
      <w:r w:rsidR="00365A70">
        <w:rPr>
          <w:lang w:eastAsia="ja-JP"/>
        </w:rPr>
        <w:t>this division</w:t>
      </w:r>
      <w:r>
        <w:rPr>
          <w:lang w:eastAsia="ja-JP"/>
        </w:rPr>
        <w:t>.</w:t>
      </w:r>
    </w:p>
    <w:p w14:paraId="57E42391" w14:textId="67CD1304" w:rsidR="00D82FDA" w:rsidRDefault="00D82FDA" w:rsidP="00C21613">
      <w:pPr>
        <w:pStyle w:val="Provision"/>
      </w:pPr>
      <w:r>
        <w:t>Section 7</w:t>
      </w:r>
      <w:r w:rsidR="00881117">
        <w:t>9</w:t>
      </w:r>
      <w:r>
        <w:t xml:space="preserve"> – Evidence relevant to whether ground of objection no longer exists</w:t>
      </w:r>
    </w:p>
    <w:p w14:paraId="2A0ACF9D" w14:textId="78F9B9B7" w:rsidR="00887806" w:rsidRPr="009D679D" w:rsidRDefault="00887806" w:rsidP="00887806">
      <w:pPr>
        <w:rPr>
          <w:lang w:eastAsia="ja-JP"/>
        </w:rPr>
      </w:pPr>
      <w:r w:rsidRPr="009D679D">
        <w:rPr>
          <w:lang w:eastAsia="ja-JP"/>
        </w:rPr>
        <w:t xml:space="preserve">This section sets out the procedure the </w:t>
      </w:r>
      <w:r w:rsidR="00365FE0">
        <w:rPr>
          <w:lang w:eastAsia="ja-JP"/>
        </w:rPr>
        <w:t>Registrar of Trade Marks</w:t>
      </w:r>
      <w:r w:rsidRPr="009D679D">
        <w:rPr>
          <w:lang w:eastAsia="ja-JP"/>
        </w:rPr>
        <w:t xml:space="preserve"> mus</w:t>
      </w:r>
      <w:r>
        <w:rPr>
          <w:lang w:eastAsia="ja-JP"/>
        </w:rPr>
        <w:t xml:space="preserve">t follow after notifying the </w:t>
      </w:r>
      <w:r w:rsidRPr="00C21613">
        <w:rPr>
          <w:lang w:eastAsia="ja-JP"/>
        </w:rPr>
        <w:t>Committee</w:t>
      </w:r>
      <w:r w:rsidRPr="009D679D">
        <w:rPr>
          <w:lang w:eastAsia="ja-JP"/>
        </w:rPr>
        <w:t xml:space="preserve"> that an application has been received, and specifies the content of the notice the </w:t>
      </w:r>
      <w:r w:rsidR="00365FE0">
        <w:rPr>
          <w:lang w:eastAsia="ja-JP"/>
        </w:rPr>
        <w:t>Registrar of Trade Marks</w:t>
      </w:r>
      <w:r w:rsidRPr="009D679D">
        <w:rPr>
          <w:lang w:eastAsia="ja-JP"/>
        </w:rPr>
        <w:t xml:space="preserve"> must provide to parties to proceedings.</w:t>
      </w:r>
    </w:p>
    <w:p w14:paraId="7BCB83FC" w14:textId="207E5BD9" w:rsidR="00887806" w:rsidRPr="009D679D" w:rsidRDefault="00887806" w:rsidP="00887806">
      <w:pPr>
        <w:rPr>
          <w:lang w:eastAsia="ja-JP"/>
        </w:rPr>
      </w:pPr>
      <w:r>
        <w:rPr>
          <w:lang w:eastAsia="ja-JP"/>
        </w:rPr>
        <w:t xml:space="preserve">After notifying the </w:t>
      </w:r>
      <w:r w:rsidRPr="00C21613">
        <w:rPr>
          <w:lang w:eastAsia="ja-JP"/>
        </w:rPr>
        <w:t>Committee</w:t>
      </w:r>
      <w:r>
        <w:rPr>
          <w:lang w:eastAsia="ja-JP"/>
        </w:rPr>
        <w:t xml:space="preserve"> under section </w:t>
      </w:r>
      <w:r w:rsidR="00F94DA7">
        <w:rPr>
          <w:lang w:eastAsia="ja-JP"/>
        </w:rPr>
        <w:t>77</w:t>
      </w:r>
      <w:r>
        <w:rPr>
          <w:lang w:eastAsia="ja-JP"/>
        </w:rPr>
        <w:t>, and the person making the objection has paid the relev</w:t>
      </w:r>
      <w:r w:rsidR="00F94DA7">
        <w:rPr>
          <w:lang w:eastAsia="ja-JP"/>
        </w:rPr>
        <w:t>ant fee prescribed by section 87</w:t>
      </w:r>
      <w:r w:rsidRPr="009D679D">
        <w:rPr>
          <w:lang w:eastAsia="ja-JP"/>
        </w:rPr>
        <w:t xml:space="preserve">, the </w:t>
      </w:r>
      <w:r w:rsidR="00365FE0">
        <w:rPr>
          <w:lang w:eastAsia="ja-JP"/>
        </w:rPr>
        <w:t>Registrar of Trade Marks</w:t>
      </w:r>
      <w:r w:rsidRPr="009D679D">
        <w:rPr>
          <w:lang w:eastAsia="ja-JP"/>
        </w:rPr>
        <w:t xml:space="preserve"> must send each party a written notice that:</w:t>
      </w:r>
    </w:p>
    <w:p w14:paraId="49936577" w14:textId="3255336A" w:rsidR="00887806" w:rsidRPr="009D679D" w:rsidRDefault="00887806" w:rsidP="00892CB7">
      <w:pPr>
        <w:pStyle w:val="ListParagraph"/>
        <w:numPr>
          <w:ilvl w:val="0"/>
          <w:numId w:val="71"/>
        </w:numPr>
      </w:pPr>
      <w:r w:rsidRPr="009D679D">
        <w:t>gives the name a</w:t>
      </w:r>
      <w:r w:rsidR="008D129F">
        <w:t>nd address of each other party</w:t>
      </w:r>
    </w:p>
    <w:p w14:paraId="36A85714" w14:textId="2D7DA75B" w:rsidR="00887806" w:rsidRPr="009D679D" w:rsidRDefault="00887806" w:rsidP="00892CB7">
      <w:pPr>
        <w:pStyle w:val="ListParagraph"/>
        <w:numPr>
          <w:ilvl w:val="0"/>
          <w:numId w:val="71"/>
        </w:numPr>
      </w:pPr>
      <w:r w:rsidRPr="009D679D">
        <w:t xml:space="preserve">invites each party to file evidence </w:t>
      </w:r>
      <w:r>
        <w:t xml:space="preserve">relevant to </w:t>
      </w:r>
      <w:r w:rsidRPr="009D679D">
        <w:t xml:space="preserve">whether the </w:t>
      </w:r>
      <w:r w:rsidR="00365FE0">
        <w:t>Registrar of Trade Marks</w:t>
      </w:r>
      <w:r w:rsidRPr="009D679D">
        <w:t xml:space="preserve"> should decide that the groun</w:t>
      </w:r>
      <w:r w:rsidR="008D129F">
        <w:t>d of objection no longer exists,</w:t>
      </w:r>
      <w:r w:rsidRPr="009D679D">
        <w:t xml:space="preserve"> and</w:t>
      </w:r>
    </w:p>
    <w:p w14:paraId="732173BA" w14:textId="44EEC78F" w:rsidR="00887806" w:rsidRDefault="00887806" w:rsidP="00892CB7">
      <w:pPr>
        <w:pStyle w:val="ListParagraph"/>
        <w:numPr>
          <w:ilvl w:val="0"/>
          <w:numId w:val="71"/>
        </w:numPr>
      </w:pPr>
      <w:r w:rsidRPr="009D679D">
        <w:t xml:space="preserve">states that evidence must be filed </w:t>
      </w:r>
      <w:r>
        <w:t xml:space="preserve">within three months </w:t>
      </w:r>
      <w:r w:rsidRPr="009D679D">
        <w:t>from the date of the notice.</w:t>
      </w:r>
    </w:p>
    <w:p w14:paraId="56624291" w14:textId="06D7AA38" w:rsidR="00D82FDA" w:rsidRDefault="009B3F04" w:rsidP="00C21613">
      <w:pPr>
        <w:pStyle w:val="Provision"/>
      </w:pPr>
      <w:r>
        <w:t>Section 8</w:t>
      </w:r>
      <w:r w:rsidR="00881117">
        <w:t>0</w:t>
      </w:r>
      <w:r w:rsidR="00D82FDA">
        <w:t xml:space="preserve"> – Evidence in answer</w:t>
      </w:r>
    </w:p>
    <w:p w14:paraId="10F7E3B7" w14:textId="557A8FB3" w:rsidR="00887806" w:rsidRPr="009D679D" w:rsidRDefault="00887806" w:rsidP="00887806">
      <w:pPr>
        <w:rPr>
          <w:lang w:eastAsia="ja-JP"/>
        </w:rPr>
      </w:pPr>
      <w:r w:rsidRPr="009D679D">
        <w:rPr>
          <w:lang w:eastAsia="ja-JP"/>
        </w:rPr>
        <w:t xml:space="preserve">This section sets out the procedures the </w:t>
      </w:r>
      <w:r w:rsidR="00365FE0">
        <w:rPr>
          <w:lang w:eastAsia="ja-JP"/>
        </w:rPr>
        <w:t>Registrar of Trade Marks</w:t>
      </w:r>
      <w:r w:rsidRPr="009D679D">
        <w:rPr>
          <w:lang w:eastAsia="ja-JP"/>
        </w:rPr>
        <w:t xml:space="preserve"> must follow if a party files evidence in response to </w:t>
      </w:r>
      <w:r w:rsidR="00E15B4E">
        <w:rPr>
          <w:lang w:eastAsia="ja-JP"/>
        </w:rPr>
        <w:t>a</w:t>
      </w:r>
      <w:r w:rsidRPr="009D679D">
        <w:rPr>
          <w:lang w:eastAsia="ja-JP"/>
        </w:rPr>
        <w:t xml:space="preserve"> notice under section</w:t>
      </w:r>
      <w:r w:rsidR="00F94DA7">
        <w:rPr>
          <w:lang w:eastAsia="ja-JP"/>
        </w:rPr>
        <w:t xml:space="preserve"> 79</w:t>
      </w:r>
      <w:r w:rsidRPr="009D679D">
        <w:rPr>
          <w:lang w:eastAsia="ja-JP"/>
        </w:rPr>
        <w:t>.</w:t>
      </w:r>
    </w:p>
    <w:p w14:paraId="10E7AF9C" w14:textId="59E02910" w:rsidR="00887806" w:rsidRPr="009D679D" w:rsidRDefault="00887806" w:rsidP="00887806">
      <w:pPr>
        <w:rPr>
          <w:lang w:eastAsia="ja-JP"/>
        </w:rPr>
      </w:pPr>
      <w:r w:rsidRPr="009D679D">
        <w:rPr>
          <w:lang w:eastAsia="ja-JP"/>
        </w:rPr>
        <w:t>If a party files evidence in response to a notice sent und</w:t>
      </w:r>
      <w:r w:rsidR="00F94DA7">
        <w:rPr>
          <w:lang w:eastAsia="ja-JP"/>
        </w:rPr>
        <w:t>er section 79</w:t>
      </w:r>
      <w:r w:rsidRPr="009D679D">
        <w:rPr>
          <w:lang w:eastAsia="ja-JP"/>
        </w:rPr>
        <w:t xml:space="preserve">, the </w:t>
      </w:r>
      <w:r w:rsidR="00365FE0">
        <w:rPr>
          <w:lang w:eastAsia="ja-JP"/>
        </w:rPr>
        <w:t>Registrar of Trade Marks</w:t>
      </w:r>
      <w:r w:rsidRPr="009D679D">
        <w:rPr>
          <w:lang w:eastAsia="ja-JP"/>
        </w:rPr>
        <w:t xml:space="preserve"> must send each other party a written notice that invites each other party to file evidence in answer</w:t>
      </w:r>
      <w:r w:rsidR="005817B3">
        <w:rPr>
          <w:lang w:eastAsia="ja-JP"/>
        </w:rPr>
        <w:t>,</w:t>
      </w:r>
      <w:r w:rsidRPr="009D679D">
        <w:rPr>
          <w:lang w:eastAsia="ja-JP"/>
        </w:rPr>
        <w:t xml:space="preserve"> and states the period from the date of the notice in which evidence in answer may be filed. The period stated to file evide</w:t>
      </w:r>
      <w:r w:rsidR="005509A1">
        <w:rPr>
          <w:lang w:eastAsia="ja-JP"/>
        </w:rPr>
        <w:t>nce in answer must be at least two</w:t>
      </w:r>
      <w:r w:rsidRPr="009D679D">
        <w:rPr>
          <w:lang w:eastAsia="ja-JP"/>
        </w:rPr>
        <w:t xml:space="preserve"> months.</w:t>
      </w:r>
    </w:p>
    <w:p w14:paraId="4FB4C6B0" w14:textId="5DEA8C6A" w:rsidR="00887806" w:rsidRDefault="00887806" w:rsidP="00887806">
      <w:pPr>
        <w:rPr>
          <w:lang w:eastAsia="ja-JP"/>
        </w:rPr>
      </w:pPr>
      <w:r w:rsidRPr="009D679D">
        <w:rPr>
          <w:lang w:eastAsia="ja-JP"/>
        </w:rPr>
        <w:t xml:space="preserve">The </w:t>
      </w:r>
      <w:r w:rsidR="00365FE0">
        <w:rPr>
          <w:lang w:eastAsia="ja-JP"/>
        </w:rPr>
        <w:t>Registrar of Trade Marks</w:t>
      </w:r>
      <w:r w:rsidRPr="009D679D">
        <w:rPr>
          <w:lang w:eastAsia="ja-JP"/>
        </w:rPr>
        <w:t xml:space="preserve"> must also notify all parties, in writing, of the </w:t>
      </w:r>
      <w:r>
        <w:rPr>
          <w:lang w:eastAsia="ja-JP"/>
        </w:rPr>
        <w:t xml:space="preserve">deadline if they wish to </w:t>
      </w:r>
      <w:r w:rsidRPr="009D679D">
        <w:rPr>
          <w:lang w:eastAsia="ja-JP"/>
        </w:rPr>
        <w:t>request</w:t>
      </w:r>
      <w:r w:rsidR="00F94DA7">
        <w:rPr>
          <w:lang w:eastAsia="ja-JP"/>
        </w:rPr>
        <w:t xml:space="preserve"> a hearing under section 82</w:t>
      </w:r>
      <w:r w:rsidRPr="009D679D">
        <w:rPr>
          <w:lang w:eastAsia="ja-JP"/>
        </w:rPr>
        <w:t>.</w:t>
      </w:r>
      <w:r w:rsidR="003C1871">
        <w:rPr>
          <w:lang w:eastAsia="ja-JP"/>
        </w:rPr>
        <w:t xml:space="preserve"> As per subsec</w:t>
      </w:r>
      <w:r w:rsidR="00F94DA7">
        <w:rPr>
          <w:lang w:eastAsia="ja-JP"/>
        </w:rPr>
        <w:t>tion 82</w:t>
      </w:r>
      <w:r w:rsidR="00362C7C">
        <w:rPr>
          <w:lang w:eastAsia="ja-JP"/>
        </w:rPr>
        <w:t xml:space="preserve">(2), the deadline must </w:t>
      </w:r>
      <w:r>
        <w:rPr>
          <w:lang w:eastAsia="ja-JP"/>
        </w:rPr>
        <w:t>be</w:t>
      </w:r>
      <w:r w:rsidR="00362C7C">
        <w:rPr>
          <w:lang w:eastAsia="ja-JP"/>
        </w:rPr>
        <w:t xml:space="preserve"> no later than</w:t>
      </w:r>
      <w:r>
        <w:rPr>
          <w:lang w:eastAsia="ja-JP"/>
        </w:rPr>
        <w:t xml:space="preserve"> one month after the last day of the period for filing of </w:t>
      </w:r>
      <w:r w:rsidR="00E2464C">
        <w:rPr>
          <w:lang w:eastAsia="ja-JP"/>
        </w:rPr>
        <w:t>evidence.</w:t>
      </w:r>
    </w:p>
    <w:p w14:paraId="4639BC6A" w14:textId="0C04427B" w:rsidR="00881117" w:rsidRDefault="00881117" w:rsidP="00881117">
      <w:pPr>
        <w:pStyle w:val="Provision"/>
      </w:pPr>
      <w:r>
        <w:t>Section 81 – New evidence</w:t>
      </w:r>
    </w:p>
    <w:p w14:paraId="2FFE0D71" w14:textId="77777777" w:rsidR="00881117" w:rsidRPr="009D679D" w:rsidRDefault="00881117" w:rsidP="00881117">
      <w:pPr>
        <w:rPr>
          <w:lang w:eastAsia="ja-JP"/>
        </w:rPr>
      </w:pPr>
      <w:r w:rsidRPr="009D679D">
        <w:rPr>
          <w:lang w:eastAsia="ja-JP"/>
        </w:rPr>
        <w:t xml:space="preserve">This section sets out the procedures for parties to file new evidence and for the </w:t>
      </w:r>
      <w:r>
        <w:rPr>
          <w:lang w:eastAsia="ja-JP"/>
        </w:rPr>
        <w:t>Registrar of Trade Marks</w:t>
      </w:r>
      <w:r w:rsidRPr="009D679D">
        <w:rPr>
          <w:lang w:eastAsia="ja-JP"/>
        </w:rPr>
        <w:t xml:space="preserve"> to respond.</w:t>
      </w:r>
    </w:p>
    <w:p w14:paraId="40568736" w14:textId="7F783BE2" w:rsidR="00881117" w:rsidRPr="009D679D" w:rsidRDefault="00881117" w:rsidP="00881117">
      <w:pPr>
        <w:rPr>
          <w:lang w:eastAsia="ja-JP"/>
        </w:rPr>
      </w:pPr>
      <w:r w:rsidRPr="009D679D">
        <w:rPr>
          <w:lang w:eastAsia="ja-JP"/>
        </w:rPr>
        <w:t xml:space="preserve">A party may apply to the </w:t>
      </w:r>
      <w:r>
        <w:rPr>
          <w:lang w:eastAsia="ja-JP"/>
        </w:rPr>
        <w:t>Registrar of Trade Marks</w:t>
      </w:r>
      <w:r w:rsidRPr="009D679D">
        <w:rPr>
          <w:lang w:eastAsia="ja-JP"/>
        </w:rPr>
        <w:t xml:space="preserve">, in writing, to file new evidence after the end of a period specified by the </w:t>
      </w:r>
      <w:r>
        <w:rPr>
          <w:lang w:eastAsia="ja-JP"/>
        </w:rPr>
        <w:t>Registrar of Trade Marks</w:t>
      </w:r>
      <w:r w:rsidR="005817B3">
        <w:rPr>
          <w:lang w:eastAsia="ja-JP"/>
        </w:rPr>
        <w:t xml:space="preserve"> for the party to file evidence,</w:t>
      </w:r>
      <w:r w:rsidRPr="009D679D">
        <w:rPr>
          <w:lang w:eastAsia="ja-JP"/>
        </w:rPr>
        <w:t xml:space="preserve"> and before the </w:t>
      </w:r>
      <w:r>
        <w:rPr>
          <w:lang w:eastAsia="ja-JP"/>
        </w:rPr>
        <w:t>Registrar of Trade Marks</w:t>
      </w:r>
      <w:r w:rsidRPr="009D679D">
        <w:rPr>
          <w:lang w:eastAsia="ja-JP"/>
        </w:rPr>
        <w:t xml:space="preserve"> makes a decision under </w:t>
      </w:r>
      <w:r>
        <w:rPr>
          <w:lang w:eastAsia="ja-JP"/>
        </w:rPr>
        <w:t>sectio</w:t>
      </w:r>
      <w:r w:rsidR="00F94DA7">
        <w:rPr>
          <w:lang w:eastAsia="ja-JP"/>
        </w:rPr>
        <w:t>n 85</w:t>
      </w:r>
      <w:r w:rsidRPr="009D679D">
        <w:rPr>
          <w:lang w:eastAsia="ja-JP"/>
        </w:rPr>
        <w:t>.</w:t>
      </w:r>
    </w:p>
    <w:p w14:paraId="528DF051" w14:textId="3BD189A4" w:rsidR="00881117" w:rsidRPr="009D679D" w:rsidRDefault="00881117" w:rsidP="00881117">
      <w:pPr>
        <w:rPr>
          <w:lang w:eastAsia="ja-JP"/>
        </w:rPr>
      </w:pPr>
      <w:r>
        <w:rPr>
          <w:lang w:eastAsia="ja-JP"/>
        </w:rPr>
        <w:t>The</w:t>
      </w:r>
      <w:r w:rsidRPr="009D679D">
        <w:rPr>
          <w:lang w:eastAsia="ja-JP"/>
        </w:rPr>
        <w:t xml:space="preserve"> application </w:t>
      </w:r>
      <w:r>
        <w:rPr>
          <w:lang w:eastAsia="ja-JP"/>
        </w:rPr>
        <w:t>must be submitted with payment of the fee for applying to file new evidence pres</w:t>
      </w:r>
      <w:r w:rsidR="00F94DA7">
        <w:rPr>
          <w:lang w:eastAsia="ja-JP"/>
        </w:rPr>
        <w:t>cribed in section 87</w:t>
      </w:r>
      <w:r w:rsidR="00362C7C">
        <w:rPr>
          <w:lang w:eastAsia="ja-JP"/>
        </w:rPr>
        <w:t>. I</w:t>
      </w:r>
      <w:r>
        <w:rPr>
          <w:lang w:eastAsia="ja-JP"/>
        </w:rPr>
        <w:t>f approved, the new evidence must be fil</w:t>
      </w:r>
      <w:r w:rsidR="00F94DA7">
        <w:rPr>
          <w:lang w:eastAsia="ja-JP"/>
        </w:rPr>
        <w:t xml:space="preserve">ed in </w:t>
      </w:r>
      <w:r w:rsidR="00F94DA7">
        <w:rPr>
          <w:lang w:eastAsia="ja-JP"/>
        </w:rPr>
        <w:lastRenderedPageBreak/>
        <w:t>accordance with section 83</w:t>
      </w:r>
      <w:r w:rsidRPr="00DB6AF5">
        <w:rPr>
          <w:lang w:eastAsia="ja-JP"/>
        </w:rPr>
        <w:t>,</w:t>
      </w:r>
      <w:r>
        <w:rPr>
          <w:lang w:eastAsia="ja-JP"/>
        </w:rPr>
        <w:t xml:space="preserve"> including payment of the relevant fee prescribed by secti</w:t>
      </w:r>
      <w:r w:rsidR="00F94DA7">
        <w:rPr>
          <w:lang w:eastAsia="ja-JP"/>
        </w:rPr>
        <w:t>on 87</w:t>
      </w:r>
      <w:r>
        <w:rPr>
          <w:lang w:eastAsia="ja-JP"/>
        </w:rPr>
        <w:t>. The application must also i</w:t>
      </w:r>
      <w:r w:rsidRPr="009D679D">
        <w:rPr>
          <w:lang w:eastAsia="ja-JP"/>
        </w:rPr>
        <w:t>nclude a statement describing the new evidence and giving the reasons why the new evidence was not filed within the specified period.</w:t>
      </w:r>
      <w:r>
        <w:rPr>
          <w:lang w:eastAsia="ja-JP"/>
        </w:rPr>
        <w:t xml:space="preserve"> </w:t>
      </w:r>
    </w:p>
    <w:p w14:paraId="2A493B21" w14:textId="2F5A957A" w:rsidR="00881117" w:rsidRDefault="00881117" w:rsidP="00881117">
      <w:pPr>
        <w:rPr>
          <w:lang w:eastAsia="ja-JP"/>
        </w:rPr>
      </w:pPr>
      <w:r w:rsidRPr="009D679D">
        <w:rPr>
          <w:lang w:eastAsia="ja-JP"/>
        </w:rPr>
        <w:t xml:space="preserve">If, after considering the application, the </w:t>
      </w:r>
      <w:r>
        <w:rPr>
          <w:lang w:eastAsia="ja-JP"/>
        </w:rPr>
        <w:t>Registrar of Trade Marks</w:t>
      </w:r>
      <w:r w:rsidRPr="009D679D">
        <w:rPr>
          <w:lang w:eastAsia="ja-JP"/>
        </w:rPr>
        <w:t xml:space="preserve"> decides that it is reasonable to allow the filing of the new evidence, he or she must set a date by which the new evidence must be filed</w:t>
      </w:r>
      <w:r w:rsidR="005509A1">
        <w:rPr>
          <w:lang w:eastAsia="ja-JP"/>
        </w:rPr>
        <w:t>,</w:t>
      </w:r>
      <w:r w:rsidRPr="009D679D">
        <w:rPr>
          <w:lang w:eastAsia="ja-JP"/>
        </w:rPr>
        <w:t xml:space="preserve"> and notify the applying party of the date in writing.</w:t>
      </w:r>
    </w:p>
    <w:p w14:paraId="6D91DCCA" w14:textId="77777777" w:rsidR="007A5810" w:rsidRDefault="007A5810" w:rsidP="007A5810">
      <w:pPr>
        <w:rPr>
          <w:lang w:eastAsia="ja-JP"/>
        </w:rPr>
      </w:pPr>
      <w:r>
        <w:rPr>
          <w:lang w:eastAsia="ja-JP"/>
        </w:rPr>
        <w:t>If the Registrar of Trade Marks decides that it is not reasonable to allow the filing of the new evidence, he or she must notify the applying party in writing that new evidence may not be filed.</w:t>
      </w:r>
    </w:p>
    <w:p w14:paraId="0FD01258" w14:textId="77777777" w:rsidR="007A5810" w:rsidRPr="006F279D" w:rsidRDefault="007A5810" w:rsidP="007A5810">
      <w:pPr>
        <w:rPr>
          <w:i/>
          <w:lang w:eastAsia="ja-JP"/>
        </w:rPr>
      </w:pPr>
      <w:r>
        <w:rPr>
          <w:i/>
          <w:lang w:eastAsia="ja-JP"/>
        </w:rPr>
        <w:t>Evidence in answer to new evidence</w:t>
      </w:r>
    </w:p>
    <w:p w14:paraId="566E2373" w14:textId="5CB46F8D" w:rsidR="00881117" w:rsidRPr="009D679D" w:rsidRDefault="00881117" w:rsidP="00881117">
      <w:pPr>
        <w:rPr>
          <w:lang w:eastAsia="ja-JP"/>
        </w:rPr>
      </w:pPr>
      <w:r w:rsidRPr="009D679D">
        <w:rPr>
          <w:lang w:eastAsia="ja-JP"/>
        </w:rPr>
        <w:t xml:space="preserve">If the new evidence has been filed by the set date, the </w:t>
      </w:r>
      <w:r>
        <w:rPr>
          <w:lang w:eastAsia="ja-JP"/>
        </w:rPr>
        <w:t>Registrar of Trade Marks</w:t>
      </w:r>
      <w:r w:rsidRPr="009D679D">
        <w:rPr>
          <w:lang w:eastAsia="ja-JP"/>
        </w:rPr>
        <w:t xml:space="preserve"> must send a written notice to the other parties that tells them that </w:t>
      </w:r>
      <w:r w:rsidR="005817B3">
        <w:rPr>
          <w:lang w:eastAsia="ja-JP"/>
        </w:rPr>
        <w:t>the new evidence has been filed,</w:t>
      </w:r>
      <w:r w:rsidRPr="009D679D">
        <w:rPr>
          <w:lang w:eastAsia="ja-JP"/>
        </w:rPr>
        <w:t xml:space="preserve"> and set a reasonable period for the parties to file evidence in answer to it.</w:t>
      </w:r>
    </w:p>
    <w:p w14:paraId="279C14A0" w14:textId="44DDBAA4" w:rsidR="00892CB7" w:rsidRDefault="007A5810" w:rsidP="00C21613">
      <w:pPr>
        <w:pStyle w:val="Provision"/>
        <w:rPr>
          <w:i w:val="0"/>
          <w:lang w:eastAsia="ja-JP"/>
        </w:rPr>
      </w:pPr>
      <w:r w:rsidRPr="00892CB7">
        <w:rPr>
          <w:i w:val="0"/>
          <w:lang w:eastAsia="ja-JP"/>
        </w:rPr>
        <w:t>The Registrar of Trade Marks must also notify all parties, in writing, of the deadline if they wish to re</w:t>
      </w:r>
      <w:r w:rsidR="00F94DA7">
        <w:rPr>
          <w:i w:val="0"/>
          <w:lang w:eastAsia="ja-JP"/>
        </w:rPr>
        <w:t>quest a hearing under section 82. As per subsection 82</w:t>
      </w:r>
      <w:r w:rsidRPr="00892CB7">
        <w:rPr>
          <w:i w:val="0"/>
          <w:lang w:eastAsia="ja-JP"/>
        </w:rPr>
        <w:t xml:space="preserve">(2), the deadline will be one month after the last day of the period for filing of evidence. </w:t>
      </w:r>
    </w:p>
    <w:p w14:paraId="3059117E" w14:textId="5807ACC9" w:rsidR="00D82FDA" w:rsidRPr="00395034" w:rsidRDefault="00881117" w:rsidP="00395034">
      <w:pPr>
        <w:pStyle w:val="Provision"/>
      </w:pPr>
      <w:r w:rsidRPr="00395034">
        <w:t>Section 82</w:t>
      </w:r>
      <w:r w:rsidR="00D82FDA" w:rsidRPr="00395034">
        <w:t xml:space="preserve"> – Hearing and submissions</w:t>
      </w:r>
    </w:p>
    <w:p w14:paraId="3F4F7858" w14:textId="4722C418" w:rsidR="003C1871" w:rsidRPr="009D679D" w:rsidRDefault="003C1871" w:rsidP="003C1871">
      <w:pPr>
        <w:rPr>
          <w:lang w:eastAsia="ja-JP"/>
        </w:rPr>
      </w:pPr>
      <w:r w:rsidRPr="009D679D">
        <w:rPr>
          <w:lang w:eastAsia="ja-JP"/>
        </w:rPr>
        <w:t xml:space="preserve">This section sets out the procedures the </w:t>
      </w:r>
      <w:r w:rsidR="00365FE0">
        <w:rPr>
          <w:lang w:eastAsia="ja-JP"/>
        </w:rPr>
        <w:t>Registrar of Trade Marks</w:t>
      </w:r>
      <w:r w:rsidRPr="009D679D">
        <w:rPr>
          <w:lang w:eastAsia="ja-JP"/>
        </w:rPr>
        <w:t xml:space="preserve"> and parties to proceedings must follow if a notice</w:t>
      </w:r>
      <w:r>
        <w:rPr>
          <w:lang w:eastAsia="ja-JP"/>
        </w:rPr>
        <w:t xml:space="preserve"> inviting evidence in answer</w:t>
      </w:r>
      <w:r w:rsidRPr="009D679D">
        <w:rPr>
          <w:lang w:eastAsia="ja-JP"/>
        </w:rPr>
        <w:t xml:space="preserve"> has been given </w:t>
      </w:r>
      <w:r>
        <w:rPr>
          <w:lang w:eastAsia="ja-JP"/>
        </w:rPr>
        <w:t>(</w:t>
      </w:r>
      <w:r w:rsidRPr="009D679D">
        <w:rPr>
          <w:lang w:eastAsia="ja-JP"/>
        </w:rPr>
        <w:t>under</w:t>
      </w:r>
      <w:r>
        <w:rPr>
          <w:lang w:eastAsia="ja-JP"/>
        </w:rPr>
        <w:t xml:space="preserve"> section </w:t>
      </w:r>
      <w:r w:rsidR="007A5810">
        <w:rPr>
          <w:lang w:eastAsia="ja-JP"/>
        </w:rPr>
        <w:t>80 or subsection 81(5)</w:t>
      </w:r>
      <w:r>
        <w:rPr>
          <w:lang w:eastAsia="ja-JP"/>
        </w:rPr>
        <w:t>)</w:t>
      </w:r>
      <w:r w:rsidRPr="009D679D">
        <w:rPr>
          <w:lang w:eastAsia="ja-JP"/>
        </w:rPr>
        <w:t xml:space="preserve"> and a party requests the </w:t>
      </w:r>
      <w:r w:rsidR="00365FE0">
        <w:rPr>
          <w:lang w:eastAsia="ja-JP"/>
        </w:rPr>
        <w:t>Registrar of Trade Marks</w:t>
      </w:r>
      <w:r w:rsidRPr="009D679D">
        <w:rPr>
          <w:lang w:eastAsia="ja-JP"/>
        </w:rPr>
        <w:t xml:space="preserve"> conduct a hearing.</w:t>
      </w:r>
    </w:p>
    <w:p w14:paraId="66C89AF8" w14:textId="4EC59441" w:rsidR="003C1871" w:rsidRDefault="003C1871" w:rsidP="003C1871">
      <w:pPr>
        <w:rPr>
          <w:lang w:eastAsia="ja-JP"/>
        </w:rPr>
      </w:pPr>
      <w:r w:rsidRPr="009D679D">
        <w:rPr>
          <w:lang w:eastAsia="ja-JP"/>
        </w:rPr>
        <w:t xml:space="preserve">The request </w:t>
      </w:r>
      <w:r>
        <w:rPr>
          <w:lang w:eastAsia="ja-JP"/>
        </w:rPr>
        <w:t xml:space="preserve">to conduct a hearing </w:t>
      </w:r>
      <w:r w:rsidRPr="009D679D">
        <w:rPr>
          <w:lang w:eastAsia="ja-JP"/>
        </w:rPr>
        <w:t>must be</w:t>
      </w:r>
      <w:r>
        <w:rPr>
          <w:lang w:eastAsia="ja-JP"/>
        </w:rPr>
        <w:t xml:space="preserve"> made in </w:t>
      </w:r>
      <w:r w:rsidR="0048148D">
        <w:rPr>
          <w:lang w:eastAsia="ja-JP"/>
        </w:rPr>
        <w:t>writing no later than one</w:t>
      </w:r>
      <w:r w:rsidRPr="009D679D">
        <w:rPr>
          <w:lang w:eastAsia="ja-JP"/>
        </w:rPr>
        <w:t xml:space="preserve"> month after the last day on which evidence may be filed in accordance with a</w:t>
      </w:r>
      <w:r>
        <w:rPr>
          <w:lang w:eastAsia="ja-JP"/>
        </w:rPr>
        <w:t xml:space="preserve">ny notice given under section </w:t>
      </w:r>
      <w:r w:rsidR="007A5810">
        <w:rPr>
          <w:lang w:eastAsia="ja-JP"/>
        </w:rPr>
        <w:t>80 or subsection 81(5)</w:t>
      </w:r>
      <w:r w:rsidRPr="009D679D">
        <w:rPr>
          <w:lang w:eastAsia="ja-JP"/>
        </w:rPr>
        <w:t>.</w:t>
      </w:r>
      <w:r>
        <w:rPr>
          <w:lang w:eastAsia="ja-JP"/>
        </w:rPr>
        <w:t xml:space="preserve"> The request must be submitted with payment of the fee for requesting a hearing prescribed in section 8</w:t>
      </w:r>
      <w:r w:rsidR="00A52050">
        <w:rPr>
          <w:lang w:eastAsia="ja-JP"/>
        </w:rPr>
        <w:t>7</w:t>
      </w:r>
      <w:r>
        <w:rPr>
          <w:lang w:eastAsia="ja-JP"/>
        </w:rPr>
        <w:t>.</w:t>
      </w:r>
    </w:p>
    <w:p w14:paraId="38EE07B1" w14:textId="3A19A270" w:rsidR="003C1871" w:rsidRPr="009D679D" w:rsidRDefault="003C1871" w:rsidP="003C1871">
      <w:pPr>
        <w:rPr>
          <w:lang w:eastAsia="ja-JP"/>
        </w:rPr>
      </w:pPr>
      <w:r w:rsidRPr="009D679D">
        <w:rPr>
          <w:lang w:eastAsia="ja-JP"/>
        </w:rPr>
        <w:t xml:space="preserve">The </w:t>
      </w:r>
      <w:r w:rsidR="00365FE0">
        <w:rPr>
          <w:lang w:eastAsia="ja-JP"/>
        </w:rPr>
        <w:t>Registrar of Trade Marks</w:t>
      </w:r>
      <w:r w:rsidRPr="009D679D">
        <w:rPr>
          <w:lang w:eastAsia="ja-JP"/>
        </w:rPr>
        <w:t xml:space="preserve"> must conduct a hearing if </w:t>
      </w:r>
      <w:r w:rsidR="00E729C6" w:rsidRPr="009D679D">
        <w:rPr>
          <w:lang w:eastAsia="ja-JP"/>
        </w:rPr>
        <w:t xml:space="preserve">the </w:t>
      </w:r>
      <w:r w:rsidR="00E729C6">
        <w:rPr>
          <w:lang w:eastAsia="ja-JP"/>
        </w:rPr>
        <w:t>Registrar of Trade Marks</w:t>
      </w:r>
      <w:r w:rsidRPr="009D679D">
        <w:rPr>
          <w:lang w:eastAsia="ja-JP"/>
        </w:rPr>
        <w:t xml:space="preserve"> receives a request to do so.</w:t>
      </w:r>
    </w:p>
    <w:p w14:paraId="1EA9E4D9" w14:textId="023F83B3" w:rsidR="003C1871" w:rsidRPr="009D679D" w:rsidRDefault="003C1871" w:rsidP="003C1871">
      <w:pPr>
        <w:rPr>
          <w:lang w:eastAsia="ja-JP"/>
        </w:rPr>
      </w:pPr>
      <w:r w:rsidRPr="009D679D">
        <w:rPr>
          <w:lang w:eastAsia="ja-JP"/>
        </w:rPr>
        <w:t xml:space="preserve">If the </w:t>
      </w:r>
      <w:r w:rsidR="00365FE0">
        <w:rPr>
          <w:lang w:eastAsia="ja-JP"/>
        </w:rPr>
        <w:t>Registrar of Trade Marks</w:t>
      </w:r>
      <w:r w:rsidRPr="009D679D">
        <w:rPr>
          <w:lang w:eastAsia="ja-JP"/>
        </w:rPr>
        <w:t xml:space="preserve"> receives a request to conduct a hearing</w:t>
      </w:r>
      <w:r w:rsidR="00E729C6" w:rsidRPr="00E729C6">
        <w:rPr>
          <w:lang w:eastAsia="ja-JP"/>
        </w:rPr>
        <w:t xml:space="preserve"> </w:t>
      </w:r>
      <w:r w:rsidR="00E729C6" w:rsidRPr="009D679D">
        <w:rPr>
          <w:lang w:eastAsia="ja-JP"/>
        </w:rPr>
        <w:t xml:space="preserve">the </w:t>
      </w:r>
      <w:r w:rsidR="00E729C6">
        <w:rPr>
          <w:lang w:eastAsia="ja-JP"/>
        </w:rPr>
        <w:t>Registrar of Trade Marks</w:t>
      </w:r>
      <w:r w:rsidRPr="009D679D">
        <w:rPr>
          <w:lang w:eastAsia="ja-JP"/>
        </w:rPr>
        <w:t xml:space="preserve"> must send each party a written notice that informs the party a hearing will be held</w:t>
      </w:r>
      <w:r w:rsidR="0048148D">
        <w:rPr>
          <w:lang w:eastAsia="ja-JP"/>
        </w:rPr>
        <w:t>,</w:t>
      </w:r>
      <w:r w:rsidRPr="009D679D">
        <w:rPr>
          <w:lang w:eastAsia="ja-JP"/>
        </w:rPr>
        <w:t xml:space="preserve"> and invites written submissions to be made before the hearing.</w:t>
      </w:r>
    </w:p>
    <w:p w14:paraId="76BD209C" w14:textId="59AC2B24" w:rsidR="003C1871" w:rsidRPr="009D679D" w:rsidRDefault="003C1871" w:rsidP="003C1871">
      <w:pPr>
        <w:rPr>
          <w:lang w:eastAsia="ja-JP"/>
        </w:rPr>
      </w:pPr>
      <w:r w:rsidRPr="009D679D">
        <w:rPr>
          <w:lang w:eastAsia="ja-JP"/>
        </w:rPr>
        <w:t xml:space="preserve">The </w:t>
      </w:r>
      <w:r w:rsidR="00365FE0">
        <w:rPr>
          <w:lang w:eastAsia="ja-JP"/>
        </w:rPr>
        <w:t>Registrar of Trade Marks</w:t>
      </w:r>
      <w:r w:rsidRPr="009D679D">
        <w:rPr>
          <w:lang w:eastAsia="ja-JP"/>
        </w:rPr>
        <w:t xml:space="preserve"> must no</w:t>
      </w:r>
      <w:r w:rsidR="00362C7C">
        <w:rPr>
          <w:lang w:eastAsia="ja-JP"/>
        </w:rPr>
        <w:t xml:space="preserve">t conduct the hearing until any </w:t>
      </w:r>
      <w:r w:rsidRPr="009D679D">
        <w:rPr>
          <w:lang w:eastAsia="ja-JP"/>
        </w:rPr>
        <w:t>removal or cancellation proceedings are complete, if:</w:t>
      </w:r>
    </w:p>
    <w:p w14:paraId="50990153" w14:textId="7098213B" w:rsidR="003C1871" w:rsidRPr="009D679D" w:rsidRDefault="003C1871" w:rsidP="00892CB7">
      <w:pPr>
        <w:pStyle w:val="ListParagraph"/>
        <w:numPr>
          <w:ilvl w:val="0"/>
          <w:numId w:val="71"/>
        </w:numPr>
      </w:pPr>
      <w:r w:rsidRPr="009D679D">
        <w:t>the objection relates to a registered trade</w:t>
      </w:r>
      <w:r w:rsidR="0048148D">
        <w:t xml:space="preserve"> mark,</w:t>
      </w:r>
      <w:r w:rsidRPr="009D679D">
        <w:t xml:space="preserve"> and</w:t>
      </w:r>
    </w:p>
    <w:p w14:paraId="18D4A259" w14:textId="2EB2C4A4" w:rsidR="003C1871" w:rsidRDefault="003C1871" w:rsidP="00892CB7">
      <w:pPr>
        <w:pStyle w:val="ListParagraph"/>
        <w:numPr>
          <w:ilvl w:val="0"/>
          <w:numId w:val="71"/>
        </w:numPr>
      </w:pPr>
      <w:r w:rsidRPr="009D679D">
        <w:t xml:space="preserve">the registered trade mark is the subject of </w:t>
      </w:r>
      <w:r w:rsidR="00362C7C">
        <w:t xml:space="preserve">those </w:t>
      </w:r>
      <w:r w:rsidRPr="009D679D">
        <w:t>removal or cancellation proceedings.</w:t>
      </w:r>
    </w:p>
    <w:p w14:paraId="3064F7F7" w14:textId="3E0E5343" w:rsidR="003C1871" w:rsidRPr="008763EC" w:rsidRDefault="003C1871" w:rsidP="003C1871">
      <w:r>
        <w:t>Each party that attends the hearing is liable to pay the fee for attendance at a hearing prescribed in section 8</w:t>
      </w:r>
      <w:r w:rsidR="00A52050">
        <w:t>7</w:t>
      </w:r>
      <w:r w:rsidR="00E729C6">
        <w:t>, regardless of whether the</w:t>
      </w:r>
      <w:r>
        <w:t xml:space="preserve"> party attends a whole, or part of, a day.</w:t>
      </w:r>
    </w:p>
    <w:p w14:paraId="0EA71D18" w14:textId="63E9876D" w:rsidR="00D82FDA" w:rsidRDefault="00A52050" w:rsidP="00C21613">
      <w:pPr>
        <w:pStyle w:val="Provision"/>
      </w:pPr>
      <w:r>
        <w:lastRenderedPageBreak/>
        <w:t>Section 83</w:t>
      </w:r>
      <w:r w:rsidR="009B3F04">
        <w:t xml:space="preserve"> – Parties must</w:t>
      </w:r>
      <w:r w:rsidR="00D82FDA">
        <w:t xml:space="preserve"> </w:t>
      </w:r>
      <w:r>
        <w:t>give</w:t>
      </w:r>
      <w:r w:rsidR="00D82FDA">
        <w:t xml:space="preserve"> copies of evidence to each other</w:t>
      </w:r>
      <w:r>
        <w:t xml:space="preserve"> and pay filing fee</w:t>
      </w:r>
    </w:p>
    <w:p w14:paraId="5B516604" w14:textId="77777777" w:rsidR="003C1871" w:rsidRPr="009D679D" w:rsidRDefault="003C1871" w:rsidP="003C1871">
      <w:pPr>
        <w:rPr>
          <w:lang w:eastAsia="ja-JP"/>
        </w:rPr>
      </w:pPr>
      <w:r w:rsidRPr="009D679D">
        <w:rPr>
          <w:lang w:eastAsia="ja-JP"/>
        </w:rPr>
        <w:t>This section sets out the procedures for evidence filed by parties to be considered validly filed.</w:t>
      </w:r>
    </w:p>
    <w:p w14:paraId="5CC37F6B" w14:textId="0343C0A8" w:rsidR="003C1871" w:rsidRPr="009D679D" w:rsidRDefault="003C1871" w:rsidP="003C1871">
      <w:pPr>
        <w:rPr>
          <w:lang w:eastAsia="ja-JP"/>
        </w:rPr>
      </w:pPr>
      <w:r w:rsidRPr="009D679D">
        <w:rPr>
          <w:lang w:eastAsia="ja-JP"/>
        </w:rPr>
        <w:t>For evidence to be considered validly filed, the party filing the evidence must:</w:t>
      </w:r>
    </w:p>
    <w:p w14:paraId="52FC2627" w14:textId="1688CD53" w:rsidR="003C1871" w:rsidRPr="009D679D" w:rsidRDefault="003C1871" w:rsidP="00892CB7">
      <w:pPr>
        <w:pStyle w:val="ListParagraph"/>
        <w:numPr>
          <w:ilvl w:val="0"/>
          <w:numId w:val="71"/>
        </w:numPr>
      </w:pPr>
      <w:r w:rsidRPr="009D679D">
        <w:t>give a copy of the evidence to each other party</w:t>
      </w:r>
    </w:p>
    <w:p w14:paraId="2E5090CB" w14:textId="732E9132" w:rsidR="003C1871" w:rsidRDefault="003C1871" w:rsidP="00892CB7">
      <w:pPr>
        <w:pStyle w:val="ListParagraph"/>
        <w:numPr>
          <w:ilvl w:val="0"/>
          <w:numId w:val="71"/>
        </w:numPr>
      </w:pPr>
      <w:r w:rsidRPr="009D679D">
        <w:t>include, with the evidence being filed, a statement setting out when and how a cop</w:t>
      </w:r>
      <w:r w:rsidR="008D129F">
        <w:t>y was given to each other party,</w:t>
      </w:r>
      <w:r>
        <w:t xml:space="preserve"> and</w:t>
      </w:r>
    </w:p>
    <w:p w14:paraId="63CF816D" w14:textId="5F0DBCF8" w:rsidR="003C1871" w:rsidRDefault="003C1871" w:rsidP="00892CB7">
      <w:pPr>
        <w:pStyle w:val="ListParagraph"/>
        <w:numPr>
          <w:ilvl w:val="0"/>
          <w:numId w:val="71"/>
        </w:numPr>
      </w:pPr>
      <w:r>
        <w:t>pay the fee for filing of evidence prescribed in section 8</w:t>
      </w:r>
      <w:r w:rsidR="00A52050">
        <w:t>7</w:t>
      </w:r>
      <w:r>
        <w:t xml:space="preserve">.  </w:t>
      </w:r>
    </w:p>
    <w:p w14:paraId="02714C34" w14:textId="739027EA" w:rsidR="00D82FDA" w:rsidRDefault="00D82FDA" w:rsidP="00C21613">
      <w:pPr>
        <w:pStyle w:val="Provision"/>
      </w:pPr>
      <w:r>
        <w:t>Section 8</w:t>
      </w:r>
      <w:r w:rsidR="00A52050">
        <w:t>4</w:t>
      </w:r>
      <w:r>
        <w:t xml:space="preserve"> – Withdrawal of application </w:t>
      </w:r>
    </w:p>
    <w:p w14:paraId="0AA80866" w14:textId="568AFBE9" w:rsidR="003C1871" w:rsidRPr="008763EC" w:rsidRDefault="003C1871" w:rsidP="003C1871">
      <w:pPr>
        <w:rPr>
          <w:rFonts w:eastAsia="Calibri"/>
          <w:i/>
          <w:lang w:eastAsia="ja-JP"/>
        </w:rPr>
      </w:pPr>
      <w:r w:rsidRPr="008763EC">
        <w:rPr>
          <w:lang w:eastAsia="ja-JP"/>
        </w:rPr>
        <w:t xml:space="preserve">This section sets out the procedures for the </w:t>
      </w:r>
      <w:r w:rsidR="00365FE0">
        <w:rPr>
          <w:lang w:eastAsia="ja-JP"/>
        </w:rPr>
        <w:t>Registrar of Trade Marks</w:t>
      </w:r>
      <w:r w:rsidRPr="008763EC">
        <w:rPr>
          <w:lang w:eastAsia="ja-JP"/>
        </w:rPr>
        <w:t xml:space="preserve"> to respond</w:t>
      </w:r>
      <w:r w:rsidRPr="008763EC">
        <w:rPr>
          <w:rFonts w:eastAsia="Calibri"/>
          <w:lang w:eastAsia="ja-JP"/>
        </w:rPr>
        <w:t xml:space="preserve"> if the application is withdrawn.</w:t>
      </w:r>
    </w:p>
    <w:p w14:paraId="6B56F038" w14:textId="158E9C99" w:rsidR="003C1871" w:rsidRPr="008763EC" w:rsidRDefault="003C1871" w:rsidP="003C1871">
      <w:pPr>
        <w:rPr>
          <w:rFonts w:eastAsia="Calibri"/>
          <w:i/>
          <w:lang w:eastAsia="ja-JP"/>
        </w:rPr>
      </w:pPr>
      <w:r w:rsidRPr="008763EC">
        <w:rPr>
          <w:rFonts w:eastAsia="Calibri"/>
          <w:lang w:eastAsia="ja-JP"/>
        </w:rPr>
        <w:t xml:space="preserve">The </w:t>
      </w:r>
      <w:r w:rsidR="00365FE0">
        <w:rPr>
          <w:rFonts w:eastAsia="Calibri"/>
          <w:lang w:eastAsia="ja-JP"/>
        </w:rPr>
        <w:t>Registrar of Trade Marks</w:t>
      </w:r>
      <w:r w:rsidRPr="008763EC">
        <w:rPr>
          <w:rFonts w:eastAsia="Calibri"/>
          <w:lang w:eastAsia="ja-JP"/>
        </w:rPr>
        <w:t xml:space="preserve"> must notify the other parties in </w:t>
      </w:r>
      <w:r>
        <w:rPr>
          <w:rFonts w:eastAsia="Calibri"/>
          <w:lang w:eastAsia="ja-JP"/>
        </w:rPr>
        <w:t xml:space="preserve">writing if the applicant under section </w:t>
      </w:r>
      <w:r w:rsidR="00F94DA7">
        <w:rPr>
          <w:rFonts w:eastAsia="Calibri"/>
          <w:lang w:eastAsia="ja-JP"/>
        </w:rPr>
        <w:t>76</w:t>
      </w:r>
      <w:r w:rsidRPr="008763EC">
        <w:rPr>
          <w:rFonts w:eastAsia="Calibri"/>
          <w:lang w:eastAsia="ja-JP"/>
        </w:rPr>
        <w:t xml:space="preserve"> withdraws the application before the </w:t>
      </w:r>
      <w:r w:rsidR="00365FE0">
        <w:rPr>
          <w:rFonts w:eastAsia="Calibri"/>
          <w:lang w:eastAsia="ja-JP"/>
        </w:rPr>
        <w:t>Registrar of Trade Marks</w:t>
      </w:r>
      <w:r w:rsidRPr="008763EC">
        <w:rPr>
          <w:rFonts w:eastAsia="Calibri"/>
          <w:lang w:eastAsia="ja-JP"/>
        </w:rPr>
        <w:t xml:space="preserve"> has made a decision under </w:t>
      </w:r>
      <w:r>
        <w:rPr>
          <w:rFonts w:eastAsia="Calibri"/>
          <w:lang w:eastAsia="ja-JP"/>
        </w:rPr>
        <w:t xml:space="preserve">section </w:t>
      </w:r>
      <w:r w:rsidR="00F94DA7">
        <w:rPr>
          <w:rFonts w:eastAsia="Calibri"/>
          <w:lang w:eastAsia="ja-JP"/>
        </w:rPr>
        <w:t>85</w:t>
      </w:r>
      <w:r w:rsidRPr="008763EC">
        <w:rPr>
          <w:rFonts w:eastAsia="Calibri"/>
          <w:lang w:eastAsia="ja-JP"/>
        </w:rPr>
        <w:t>.</w:t>
      </w:r>
    </w:p>
    <w:p w14:paraId="014A72E8" w14:textId="4ABAB9DD" w:rsidR="003C1871" w:rsidRPr="008763EC" w:rsidRDefault="003C1871" w:rsidP="003C1871">
      <w:pPr>
        <w:rPr>
          <w:rFonts w:eastAsia="Calibri"/>
          <w:i/>
          <w:lang w:eastAsia="ja-JP"/>
        </w:rPr>
      </w:pPr>
      <w:r w:rsidRPr="008763EC">
        <w:rPr>
          <w:rFonts w:eastAsia="Calibri"/>
          <w:lang w:eastAsia="ja-JP"/>
        </w:rPr>
        <w:t xml:space="preserve">The </w:t>
      </w:r>
      <w:r w:rsidR="00365FE0">
        <w:rPr>
          <w:rFonts w:eastAsia="Calibri"/>
          <w:lang w:eastAsia="ja-JP"/>
        </w:rPr>
        <w:t>Registrar of Trade Marks</w:t>
      </w:r>
      <w:r w:rsidRPr="008763EC">
        <w:rPr>
          <w:rFonts w:eastAsia="Calibri"/>
          <w:lang w:eastAsia="ja-JP"/>
        </w:rPr>
        <w:t xml:space="preserve"> must continue the proceedings if requested to do so by another party, in writing, no later than </w:t>
      </w:r>
      <w:r w:rsidR="00191392">
        <w:rPr>
          <w:rFonts w:eastAsia="Calibri"/>
          <w:lang w:eastAsia="ja-JP"/>
        </w:rPr>
        <w:t>one</w:t>
      </w:r>
      <w:r w:rsidRPr="008763EC">
        <w:rPr>
          <w:rFonts w:eastAsia="Calibri"/>
          <w:lang w:eastAsia="ja-JP"/>
        </w:rPr>
        <w:t xml:space="preserve"> month </w:t>
      </w:r>
      <w:r w:rsidR="00191392">
        <w:rPr>
          <w:rFonts w:eastAsia="Calibri"/>
          <w:lang w:eastAsia="ja-JP"/>
        </w:rPr>
        <w:t>after</w:t>
      </w:r>
      <w:r w:rsidRPr="008763EC">
        <w:rPr>
          <w:rFonts w:eastAsia="Calibri"/>
          <w:lang w:eastAsia="ja-JP"/>
        </w:rPr>
        <w:t xml:space="preserve"> the date of the notification of withdrawal.</w:t>
      </w:r>
    </w:p>
    <w:p w14:paraId="2026EAC0" w14:textId="5B7E04F2" w:rsidR="003C1871" w:rsidRPr="008763EC" w:rsidRDefault="003C1871" w:rsidP="003C1871">
      <w:pPr>
        <w:rPr>
          <w:rFonts w:eastAsia="Calibri"/>
          <w:i/>
          <w:lang w:eastAsia="ja-JP"/>
        </w:rPr>
      </w:pPr>
      <w:r w:rsidRPr="008763EC">
        <w:rPr>
          <w:rFonts w:eastAsia="Calibri"/>
          <w:lang w:eastAsia="ja-JP"/>
        </w:rPr>
        <w:t xml:space="preserve">This section includes a note that states if no party makes a request to continue the proceedings, the </w:t>
      </w:r>
      <w:r w:rsidR="00365FE0">
        <w:rPr>
          <w:rFonts w:eastAsia="Calibri"/>
          <w:lang w:eastAsia="ja-JP"/>
        </w:rPr>
        <w:t>Registrar of Trade Marks</w:t>
      </w:r>
      <w:r w:rsidRPr="008763EC">
        <w:rPr>
          <w:rFonts w:eastAsia="Calibri"/>
          <w:lang w:eastAsia="ja-JP"/>
        </w:rPr>
        <w:t xml:space="preserve"> must decide that the ground of objection conti</w:t>
      </w:r>
      <w:r w:rsidR="00F94DA7">
        <w:rPr>
          <w:rFonts w:eastAsia="Calibri"/>
          <w:lang w:eastAsia="ja-JP"/>
        </w:rPr>
        <w:t>nues to exist, as per section 85</w:t>
      </w:r>
      <w:r w:rsidRPr="008763EC">
        <w:rPr>
          <w:rFonts w:eastAsia="Calibri"/>
          <w:lang w:eastAsia="ja-JP"/>
        </w:rPr>
        <w:t>.</w:t>
      </w:r>
    </w:p>
    <w:p w14:paraId="4250A022" w14:textId="5E5E68B5" w:rsidR="00D82FDA" w:rsidRDefault="009B3F04" w:rsidP="00C21613">
      <w:pPr>
        <w:pStyle w:val="Provision"/>
      </w:pPr>
      <w:r>
        <w:t>Section 8</w:t>
      </w:r>
      <w:r w:rsidR="00A52050">
        <w:t>5</w:t>
      </w:r>
      <w:r w:rsidR="00D82FDA">
        <w:t xml:space="preserve"> – Decision by </w:t>
      </w:r>
      <w:r w:rsidR="00365FE0">
        <w:t>Registrar of Trade Marks</w:t>
      </w:r>
    </w:p>
    <w:p w14:paraId="612D07B4" w14:textId="1801AF11" w:rsidR="00D5103E" w:rsidRPr="00127557" w:rsidRDefault="00D5103E" w:rsidP="00C21613">
      <w:pPr>
        <w:rPr>
          <w:lang w:eastAsia="ja-JP"/>
        </w:rPr>
      </w:pPr>
      <w:r w:rsidRPr="00127557">
        <w:rPr>
          <w:lang w:eastAsia="ja-JP"/>
        </w:rPr>
        <w:t>This section sets out the procedures including</w:t>
      </w:r>
      <w:r w:rsidR="00362C7C">
        <w:rPr>
          <w:lang w:eastAsia="ja-JP"/>
        </w:rPr>
        <w:t xml:space="preserve"> the</w:t>
      </w:r>
      <w:r w:rsidRPr="00127557">
        <w:rPr>
          <w:lang w:eastAsia="ja-JP"/>
        </w:rPr>
        <w:t xml:space="preserve"> timeline for the </w:t>
      </w:r>
      <w:r w:rsidR="00365FE0">
        <w:rPr>
          <w:lang w:eastAsia="ja-JP"/>
        </w:rPr>
        <w:t>Registrar of Trade Marks</w:t>
      </w:r>
      <w:r w:rsidRPr="00127557">
        <w:rPr>
          <w:lang w:eastAsia="ja-JP"/>
        </w:rPr>
        <w:t xml:space="preserve"> to make a decision on the application.</w:t>
      </w:r>
    </w:p>
    <w:p w14:paraId="3803F01B" w14:textId="77777777" w:rsidR="00362C7C" w:rsidRDefault="00D5103E" w:rsidP="00C21613">
      <w:pPr>
        <w:rPr>
          <w:lang w:eastAsia="ja-JP"/>
        </w:rPr>
      </w:pPr>
      <w:r w:rsidRPr="00127557">
        <w:rPr>
          <w:lang w:eastAsia="ja-JP"/>
        </w:rPr>
        <w:t xml:space="preserve">The </w:t>
      </w:r>
      <w:r w:rsidR="00365FE0">
        <w:rPr>
          <w:lang w:eastAsia="ja-JP"/>
        </w:rPr>
        <w:t>Registrar of Trade Marks</w:t>
      </w:r>
      <w:r w:rsidRPr="00127557">
        <w:rPr>
          <w:lang w:eastAsia="ja-JP"/>
        </w:rPr>
        <w:t xml:space="preserve"> must, as soon as practicable after all periods for the filing of evidence or requesting conduct of a hearing have ended (and, if a hearing was requested, after this hearing was held), make a decision on whether the ground of objection no longer exists. </w:t>
      </w:r>
    </w:p>
    <w:p w14:paraId="178D60B4" w14:textId="0A1EFCB3" w:rsidR="00D5103E" w:rsidRPr="00127557" w:rsidRDefault="00D5103E" w:rsidP="00C21613">
      <w:pPr>
        <w:rPr>
          <w:lang w:eastAsia="ja-JP"/>
        </w:rPr>
      </w:pPr>
      <w:r w:rsidRPr="00127557">
        <w:rPr>
          <w:lang w:eastAsia="ja-JP"/>
        </w:rPr>
        <w:t xml:space="preserve">The </w:t>
      </w:r>
      <w:r w:rsidR="00365FE0">
        <w:rPr>
          <w:lang w:eastAsia="ja-JP"/>
        </w:rPr>
        <w:t>Registrar of Trade Marks</w:t>
      </w:r>
      <w:r w:rsidR="00362C7C">
        <w:rPr>
          <w:lang w:eastAsia="ja-JP"/>
        </w:rPr>
        <w:t xml:space="preserve"> must</w:t>
      </w:r>
      <w:r w:rsidRPr="00127557">
        <w:rPr>
          <w:lang w:eastAsia="ja-JP"/>
        </w:rPr>
        <w:t xml:space="preserve"> do this by considering:</w:t>
      </w:r>
    </w:p>
    <w:p w14:paraId="25C3AAD7" w14:textId="27CCA456" w:rsidR="00D5103E" w:rsidRPr="00127557" w:rsidRDefault="00D5103E" w:rsidP="00892CB7">
      <w:pPr>
        <w:pStyle w:val="ListParagraph"/>
        <w:numPr>
          <w:ilvl w:val="0"/>
          <w:numId w:val="71"/>
        </w:numPr>
      </w:pPr>
      <w:r w:rsidRPr="00127557">
        <w:t>the evidence filed by the parties</w:t>
      </w:r>
    </w:p>
    <w:p w14:paraId="5E7DBE97" w14:textId="58F5102E" w:rsidR="00D5103E" w:rsidRPr="00127557" w:rsidRDefault="00D5103E" w:rsidP="00892CB7">
      <w:pPr>
        <w:pStyle w:val="ListParagraph"/>
        <w:numPr>
          <w:ilvl w:val="0"/>
          <w:numId w:val="71"/>
        </w:numPr>
      </w:pPr>
      <w:r w:rsidRPr="00127557">
        <w:t xml:space="preserve">if a hearing </w:t>
      </w:r>
      <w:r w:rsidR="00E729C6">
        <w:t>was</w:t>
      </w:r>
      <w:r w:rsidRPr="00127557">
        <w:t xml:space="preserve"> held—representations and material from the hearing and any written submissions by the parties</w:t>
      </w:r>
      <w:r w:rsidR="00191392">
        <w:t>,</w:t>
      </w:r>
      <w:r w:rsidRPr="00127557">
        <w:t xml:space="preserve"> and</w:t>
      </w:r>
    </w:p>
    <w:p w14:paraId="19058172" w14:textId="1E1C341E" w:rsidR="00D5103E" w:rsidRPr="00127557" w:rsidRDefault="00D5103E" w:rsidP="00892CB7">
      <w:pPr>
        <w:pStyle w:val="ListParagraph"/>
        <w:numPr>
          <w:ilvl w:val="0"/>
          <w:numId w:val="71"/>
        </w:numPr>
      </w:pPr>
      <w:r w:rsidRPr="00127557">
        <w:t xml:space="preserve">any other matter that the </w:t>
      </w:r>
      <w:r w:rsidR="00365FE0">
        <w:t>Registrar of Trade Marks</w:t>
      </w:r>
      <w:r w:rsidRPr="00127557">
        <w:t xml:space="preserve"> considers relevant.</w:t>
      </w:r>
    </w:p>
    <w:p w14:paraId="0343BD0C" w14:textId="4C7A8AF4" w:rsidR="00D5103E" w:rsidRPr="00127557" w:rsidRDefault="00D5103E" w:rsidP="00C21613">
      <w:pPr>
        <w:rPr>
          <w:lang w:eastAsia="ja-JP"/>
        </w:rPr>
      </w:pPr>
      <w:r w:rsidRPr="00127557">
        <w:rPr>
          <w:lang w:eastAsia="ja-JP"/>
        </w:rPr>
        <w:t xml:space="preserve">The </w:t>
      </w:r>
      <w:r w:rsidR="00365FE0">
        <w:rPr>
          <w:lang w:eastAsia="ja-JP"/>
        </w:rPr>
        <w:t>Registrar of Trade Marks</w:t>
      </w:r>
      <w:r w:rsidRPr="00127557">
        <w:rPr>
          <w:lang w:eastAsia="ja-JP"/>
        </w:rPr>
        <w:t xml:space="preserve"> must not make a decision on whether the ground of object</w:t>
      </w:r>
      <w:r w:rsidR="00362C7C">
        <w:rPr>
          <w:lang w:eastAsia="ja-JP"/>
        </w:rPr>
        <w:t>ion no longer exists until any</w:t>
      </w:r>
      <w:r w:rsidRPr="00127557">
        <w:rPr>
          <w:lang w:eastAsia="ja-JP"/>
        </w:rPr>
        <w:t xml:space="preserve"> removal or cancellation proceedings are complete, if:</w:t>
      </w:r>
    </w:p>
    <w:p w14:paraId="58B82589" w14:textId="7AFC1BEE" w:rsidR="00D5103E" w:rsidRPr="00127557" w:rsidRDefault="00D5103E" w:rsidP="00892CB7">
      <w:pPr>
        <w:pStyle w:val="ListParagraph"/>
        <w:numPr>
          <w:ilvl w:val="0"/>
          <w:numId w:val="71"/>
        </w:numPr>
      </w:pPr>
      <w:r w:rsidRPr="00127557">
        <w:t>the objection relates to a registered trade mark</w:t>
      </w:r>
      <w:r w:rsidR="00191392">
        <w:t>,</w:t>
      </w:r>
      <w:r w:rsidRPr="00127557">
        <w:t xml:space="preserve"> and</w:t>
      </w:r>
    </w:p>
    <w:p w14:paraId="2B84F11C" w14:textId="27400453" w:rsidR="00D5103E" w:rsidRPr="00127557" w:rsidRDefault="00D5103E" w:rsidP="00892CB7">
      <w:pPr>
        <w:pStyle w:val="ListParagraph"/>
        <w:numPr>
          <w:ilvl w:val="0"/>
          <w:numId w:val="71"/>
        </w:numPr>
      </w:pPr>
      <w:r w:rsidRPr="00127557">
        <w:t xml:space="preserve">the registered trade mark is the subject of </w:t>
      </w:r>
      <w:r w:rsidR="00362C7C">
        <w:t xml:space="preserve">those </w:t>
      </w:r>
      <w:r w:rsidRPr="00127557">
        <w:t>removal or cancellation proceedings.</w:t>
      </w:r>
    </w:p>
    <w:p w14:paraId="57B31205" w14:textId="09F3A17C" w:rsidR="00362C7C" w:rsidRDefault="00362C7C" w:rsidP="00362C7C">
      <w:pPr>
        <w:rPr>
          <w:lang w:eastAsia="ja-JP"/>
        </w:rPr>
      </w:pPr>
      <w:r w:rsidRPr="00127557">
        <w:rPr>
          <w:lang w:eastAsia="ja-JP"/>
        </w:rPr>
        <w:lastRenderedPageBreak/>
        <w:t xml:space="preserve">The </w:t>
      </w:r>
      <w:r>
        <w:rPr>
          <w:lang w:eastAsia="ja-JP"/>
        </w:rPr>
        <w:t>Registrar of Trade Marks</w:t>
      </w:r>
      <w:r w:rsidRPr="00127557">
        <w:rPr>
          <w:lang w:eastAsia="ja-JP"/>
        </w:rPr>
        <w:t xml:space="preserve"> must decide that the ground of objection continues to exist if</w:t>
      </w:r>
      <w:r w:rsidRPr="00646841">
        <w:rPr>
          <w:lang w:eastAsia="ja-JP"/>
        </w:rPr>
        <w:t xml:space="preserve"> </w:t>
      </w:r>
      <w:r w:rsidRPr="00127557">
        <w:rPr>
          <w:lang w:eastAsia="ja-JP"/>
        </w:rPr>
        <w:t>no party files evidence within th</w:t>
      </w:r>
      <w:r>
        <w:rPr>
          <w:lang w:eastAsia="ja-JP"/>
        </w:rPr>
        <w:t>e period mentioned in paragraph 79(1)</w:t>
      </w:r>
      <w:r w:rsidR="00191392">
        <w:rPr>
          <w:lang w:eastAsia="ja-JP"/>
        </w:rPr>
        <w:t>(c) (three</w:t>
      </w:r>
      <w:r w:rsidRPr="00127557">
        <w:rPr>
          <w:lang w:eastAsia="ja-JP"/>
        </w:rPr>
        <w:t xml:space="preserve"> mont</w:t>
      </w:r>
      <w:r>
        <w:rPr>
          <w:lang w:eastAsia="ja-JP"/>
        </w:rPr>
        <w:t>hs from the date of the notice).</w:t>
      </w:r>
    </w:p>
    <w:p w14:paraId="26227EB7" w14:textId="0BCBE024" w:rsidR="00D5103E" w:rsidRPr="00127557" w:rsidRDefault="00D5103E" w:rsidP="00C21613">
      <w:pPr>
        <w:rPr>
          <w:lang w:eastAsia="ja-JP"/>
        </w:rPr>
      </w:pPr>
      <w:r w:rsidRPr="00127557">
        <w:rPr>
          <w:lang w:eastAsia="ja-JP"/>
        </w:rPr>
        <w:t xml:space="preserve">The </w:t>
      </w:r>
      <w:r w:rsidR="00365FE0">
        <w:rPr>
          <w:lang w:eastAsia="ja-JP"/>
        </w:rPr>
        <w:t>Registrar of Trade Marks</w:t>
      </w:r>
      <w:r w:rsidRPr="00127557">
        <w:rPr>
          <w:lang w:eastAsia="ja-JP"/>
        </w:rPr>
        <w:t xml:space="preserve"> must decide that the ground of objection continues to exist if</w:t>
      </w:r>
      <w:r w:rsidR="003C1871">
        <w:rPr>
          <w:lang w:eastAsia="ja-JP"/>
        </w:rPr>
        <w:t>:</w:t>
      </w:r>
      <w:r w:rsidRPr="00127557">
        <w:rPr>
          <w:lang w:eastAsia="ja-JP"/>
        </w:rPr>
        <w:t xml:space="preserve"> </w:t>
      </w:r>
    </w:p>
    <w:p w14:paraId="57A7B79B" w14:textId="53AB026B" w:rsidR="00D5103E" w:rsidRPr="00127557" w:rsidRDefault="00D5103E" w:rsidP="00892CB7">
      <w:pPr>
        <w:pStyle w:val="ListParagraph"/>
        <w:numPr>
          <w:ilvl w:val="0"/>
          <w:numId w:val="71"/>
        </w:numPr>
      </w:pPr>
      <w:r w:rsidRPr="00127557">
        <w:t>the applicant, for a decision that the ground of objection no longer exists, withdraws the a</w:t>
      </w:r>
      <w:r w:rsidR="00F94DA7">
        <w:t>pplication made under section 76</w:t>
      </w:r>
      <w:r w:rsidR="00BE1842">
        <w:t>,</w:t>
      </w:r>
      <w:r w:rsidRPr="00127557">
        <w:t xml:space="preserve"> and</w:t>
      </w:r>
    </w:p>
    <w:p w14:paraId="583B997D" w14:textId="4478C426" w:rsidR="00D5103E" w:rsidRPr="00127557" w:rsidRDefault="00D5103E" w:rsidP="00892CB7">
      <w:pPr>
        <w:pStyle w:val="ListParagraph"/>
        <w:numPr>
          <w:ilvl w:val="0"/>
          <w:numId w:val="71"/>
        </w:numPr>
      </w:pPr>
      <w:r w:rsidRPr="00127557">
        <w:t xml:space="preserve">no other party makes a request to continue </w:t>
      </w:r>
      <w:r w:rsidR="00F94DA7">
        <w:t>the proceedings under section 84</w:t>
      </w:r>
      <w:r w:rsidRPr="00127557">
        <w:t>.</w:t>
      </w:r>
    </w:p>
    <w:p w14:paraId="6081E2F3" w14:textId="4C979E18" w:rsidR="00D82FDA" w:rsidRDefault="00A217A7" w:rsidP="00C21613">
      <w:pPr>
        <w:pStyle w:val="Provision"/>
      </w:pPr>
      <w:r>
        <w:t>Section 8</w:t>
      </w:r>
      <w:r w:rsidR="00A52050">
        <w:t>6</w:t>
      </w:r>
      <w:r w:rsidR="00D82FDA">
        <w:t xml:space="preserve"> </w:t>
      </w:r>
      <w:r w:rsidR="002B4516">
        <w:t>–</w:t>
      </w:r>
      <w:r w:rsidR="00D82FDA">
        <w:t xml:space="preserve"> </w:t>
      </w:r>
      <w:r w:rsidR="002B4516">
        <w:t>Notice of decision</w:t>
      </w:r>
    </w:p>
    <w:p w14:paraId="6F35F01E" w14:textId="59D8E54D" w:rsidR="00365A70" w:rsidRPr="00127557" w:rsidRDefault="00365A70" w:rsidP="00365A70">
      <w:pPr>
        <w:rPr>
          <w:lang w:eastAsia="ja-JP"/>
        </w:rPr>
      </w:pPr>
      <w:r w:rsidRPr="00127557">
        <w:rPr>
          <w:lang w:eastAsia="ja-JP"/>
        </w:rPr>
        <w:t xml:space="preserve">This section sets out the procedures the </w:t>
      </w:r>
      <w:r w:rsidR="00365FE0">
        <w:rPr>
          <w:lang w:eastAsia="ja-JP"/>
        </w:rPr>
        <w:t>Registrar of Trade Marks</w:t>
      </w:r>
      <w:r w:rsidRPr="00127557">
        <w:rPr>
          <w:lang w:eastAsia="ja-JP"/>
        </w:rPr>
        <w:t xml:space="preserve"> and the Presiding Member of the </w:t>
      </w:r>
      <w:r>
        <w:rPr>
          <w:lang w:eastAsia="ja-JP"/>
        </w:rPr>
        <w:t>Committee</w:t>
      </w:r>
      <w:r w:rsidRPr="00127557">
        <w:rPr>
          <w:lang w:eastAsia="ja-JP"/>
        </w:rPr>
        <w:t xml:space="preserve"> must undertake, once the </w:t>
      </w:r>
      <w:r w:rsidR="00365FE0">
        <w:rPr>
          <w:lang w:eastAsia="ja-JP"/>
        </w:rPr>
        <w:t>Registrar of Trade Marks</w:t>
      </w:r>
      <w:r w:rsidRPr="00127557">
        <w:rPr>
          <w:lang w:eastAsia="ja-JP"/>
        </w:rPr>
        <w:t xml:space="preserve"> has made a decision</w:t>
      </w:r>
      <w:r>
        <w:rPr>
          <w:lang w:eastAsia="ja-JP"/>
        </w:rPr>
        <w:t xml:space="preserve"> under se</w:t>
      </w:r>
      <w:r w:rsidR="00F94DA7">
        <w:rPr>
          <w:lang w:eastAsia="ja-JP"/>
        </w:rPr>
        <w:t>ction 85</w:t>
      </w:r>
      <w:r w:rsidRPr="00127557">
        <w:rPr>
          <w:lang w:eastAsia="ja-JP"/>
        </w:rPr>
        <w:t>.</w:t>
      </w:r>
    </w:p>
    <w:p w14:paraId="7A619188" w14:textId="14318F1B" w:rsidR="00365A70" w:rsidRPr="00BA1C6B" w:rsidRDefault="00365A70" w:rsidP="00365A70">
      <w:pPr>
        <w:rPr>
          <w:rFonts w:eastAsia="Calibri"/>
          <w:lang w:eastAsia="en-AU"/>
        </w:rPr>
      </w:pPr>
      <w:r>
        <w:rPr>
          <w:rFonts w:eastAsia="Calibri"/>
          <w:lang w:eastAsia="en-AU"/>
        </w:rPr>
        <w:t>T</w:t>
      </w:r>
      <w:r w:rsidRPr="00BA1C6B">
        <w:rPr>
          <w:rFonts w:eastAsia="Calibri"/>
          <w:lang w:eastAsia="en-AU"/>
        </w:rPr>
        <w:t xml:space="preserve">he </w:t>
      </w:r>
      <w:r w:rsidR="00365FE0">
        <w:rPr>
          <w:rFonts w:eastAsia="Calibri"/>
          <w:lang w:eastAsia="en-AU"/>
        </w:rPr>
        <w:t>Registrar of Trade Marks</w:t>
      </w:r>
      <w:r w:rsidRPr="00BA1C6B">
        <w:rPr>
          <w:lang w:eastAsia="en-AU"/>
        </w:rPr>
        <w:t xml:space="preserve"> must </w:t>
      </w:r>
      <w:r w:rsidRPr="00BA1C6B">
        <w:rPr>
          <w:rFonts w:eastAsia="Calibri"/>
          <w:lang w:eastAsia="en-AU"/>
        </w:rPr>
        <w:t>inform</w:t>
      </w:r>
      <w:r w:rsidRPr="00BA1C6B">
        <w:rPr>
          <w:lang w:eastAsia="en-AU"/>
        </w:rPr>
        <w:t xml:space="preserve"> </w:t>
      </w:r>
      <w:r w:rsidRPr="00BA1C6B">
        <w:rPr>
          <w:rFonts w:eastAsia="Calibri"/>
          <w:lang w:eastAsia="en-AU"/>
        </w:rPr>
        <w:t xml:space="preserve">the </w:t>
      </w:r>
      <w:r w:rsidRPr="00C21613">
        <w:rPr>
          <w:lang w:eastAsia="en-AU"/>
        </w:rPr>
        <w:t>Committee</w:t>
      </w:r>
      <w:r>
        <w:rPr>
          <w:lang w:eastAsia="en-AU"/>
        </w:rPr>
        <w:t xml:space="preserve"> and each party, in writing, of his or her </w:t>
      </w:r>
      <w:r w:rsidRPr="00BA1C6B">
        <w:rPr>
          <w:rFonts w:eastAsia="Calibri"/>
          <w:lang w:eastAsia="en-AU"/>
        </w:rPr>
        <w:t xml:space="preserve">decision in relation </w:t>
      </w:r>
      <w:r>
        <w:rPr>
          <w:rFonts w:eastAsia="Calibri"/>
          <w:lang w:eastAsia="en-AU"/>
        </w:rPr>
        <w:t xml:space="preserve">to the existence of the ground of </w:t>
      </w:r>
      <w:r w:rsidRPr="00BA1C6B">
        <w:rPr>
          <w:rFonts w:eastAsia="Calibri"/>
          <w:lang w:eastAsia="en-AU"/>
        </w:rPr>
        <w:t xml:space="preserve">objection </w:t>
      </w:r>
      <w:r>
        <w:rPr>
          <w:rFonts w:eastAsia="Calibri"/>
          <w:lang w:eastAsia="en-AU"/>
        </w:rPr>
        <w:t xml:space="preserve">to the proposed foreign GI or </w:t>
      </w:r>
      <w:r w:rsidR="00E2464C">
        <w:rPr>
          <w:rFonts w:eastAsia="Calibri"/>
          <w:lang w:eastAsia="en-AU"/>
        </w:rPr>
        <w:t>translation</w:t>
      </w:r>
      <w:r w:rsidR="00E729C6">
        <w:rPr>
          <w:rFonts w:eastAsia="Calibri"/>
          <w:lang w:eastAsia="en-AU"/>
        </w:rPr>
        <w:t xml:space="preserve"> of a foreign GI</w:t>
      </w:r>
      <w:r>
        <w:rPr>
          <w:rFonts w:eastAsia="Calibri"/>
          <w:lang w:eastAsia="en-AU"/>
        </w:rPr>
        <w:t xml:space="preserve"> (</w:t>
      </w:r>
      <w:r w:rsidRPr="00BA1C6B">
        <w:rPr>
          <w:rFonts w:eastAsia="Calibri"/>
          <w:lang w:eastAsia="en-AU"/>
        </w:rPr>
        <w:t xml:space="preserve">under section </w:t>
      </w:r>
      <w:r w:rsidR="003D20F2">
        <w:rPr>
          <w:rFonts w:eastAsia="Calibri"/>
          <w:lang w:eastAsia="en-AU"/>
        </w:rPr>
        <w:t>85</w:t>
      </w:r>
      <w:r>
        <w:rPr>
          <w:rFonts w:eastAsia="Calibri"/>
          <w:lang w:eastAsia="en-AU"/>
        </w:rPr>
        <w:t>)</w:t>
      </w:r>
      <w:r w:rsidRPr="00BA1C6B">
        <w:rPr>
          <w:rFonts w:eastAsia="Calibri"/>
          <w:lang w:eastAsia="en-AU"/>
        </w:rPr>
        <w:t>.</w:t>
      </w:r>
    </w:p>
    <w:p w14:paraId="0C190A91" w14:textId="5DBE0155" w:rsidR="00365A70" w:rsidRPr="00BA1C6B" w:rsidRDefault="00365A70" w:rsidP="00365A70">
      <w:pPr>
        <w:rPr>
          <w:rFonts w:eastAsia="Calibri"/>
          <w:lang w:eastAsia="en-AU"/>
        </w:rPr>
      </w:pPr>
      <w:r w:rsidRPr="00BA1C6B">
        <w:rPr>
          <w:rFonts w:eastAsia="Calibri"/>
          <w:lang w:eastAsia="en-AU"/>
        </w:rPr>
        <w:t>After receiving notice of a decision</w:t>
      </w:r>
      <w:r>
        <w:rPr>
          <w:rFonts w:eastAsia="Calibri"/>
          <w:lang w:eastAsia="en-AU"/>
        </w:rPr>
        <w:t xml:space="preserve"> from the </w:t>
      </w:r>
      <w:r w:rsidR="00365FE0">
        <w:rPr>
          <w:rFonts w:eastAsia="Calibri"/>
          <w:lang w:eastAsia="en-AU"/>
        </w:rPr>
        <w:t>Registrar of Trade Marks</w:t>
      </w:r>
      <w:r w:rsidRPr="00BA1C6B">
        <w:rPr>
          <w:rFonts w:eastAsia="Calibri"/>
          <w:lang w:eastAsia="en-AU"/>
        </w:rPr>
        <w:t xml:space="preserve">, the Presiding Member of the </w:t>
      </w:r>
      <w:r w:rsidRPr="00C21613">
        <w:rPr>
          <w:rFonts w:eastAsia="Calibri"/>
          <w:lang w:eastAsia="en-AU"/>
        </w:rPr>
        <w:t>Committee</w:t>
      </w:r>
      <w:r w:rsidRPr="00BA1C6B">
        <w:rPr>
          <w:rFonts w:eastAsia="Calibri"/>
          <w:lang w:eastAsia="en-AU"/>
        </w:rPr>
        <w:t xml:space="preserve"> must publish a notice:</w:t>
      </w:r>
    </w:p>
    <w:p w14:paraId="37B70F67" w14:textId="4C4BB7D4" w:rsidR="00365A70" w:rsidRPr="005F3C45" w:rsidRDefault="00365A70" w:rsidP="00892CB7">
      <w:pPr>
        <w:pStyle w:val="ListParagraph"/>
        <w:numPr>
          <w:ilvl w:val="0"/>
          <w:numId w:val="71"/>
        </w:numPr>
      </w:pPr>
      <w:r w:rsidRPr="005F3C45">
        <w:t>s</w:t>
      </w:r>
      <w:r>
        <w:t>e</w:t>
      </w:r>
      <w:r w:rsidRPr="005F3C45">
        <w:t>t</w:t>
      </w:r>
      <w:r w:rsidR="00362C7C">
        <w:t>ting</w:t>
      </w:r>
      <w:r w:rsidRPr="005F3C45">
        <w:t xml:space="preserve"> out the proposed </w:t>
      </w:r>
      <w:r>
        <w:t>foreign GI or translation</w:t>
      </w:r>
      <w:r w:rsidR="00E729C6">
        <w:t xml:space="preserve"> of a foreign GI</w:t>
      </w:r>
    </w:p>
    <w:p w14:paraId="04D6BB23" w14:textId="0FD822A0" w:rsidR="00365A70" w:rsidRPr="005F3C45" w:rsidRDefault="00365A70" w:rsidP="00892CB7">
      <w:pPr>
        <w:pStyle w:val="ListParagraph"/>
        <w:numPr>
          <w:ilvl w:val="0"/>
          <w:numId w:val="71"/>
        </w:numPr>
      </w:pPr>
      <w:r w:rsidRPr="005F3C45">
        <w:t>stat</w:t>
      </w:r>
      <w:r w:rsidR="00362C7C">
        <w:t>ing</w:t>
      </w:r>
      <w:r w:rsidRPr="005F3C45">
        <w:t xml:space="preserve"> that a decision of the </w:t>
      </w:r>
      <w:r w:rsidR="00365FE0">
        <w:t>Registrar of Trade Marks</w:t>
      </w:r>
      <w:r w:rsidRPr="005F3C45">
        <w:t xml:space="preserve"> has been made in relation to the proposed </w:t>
      </w:r>
      <w:r>
        <w:t>foreign GI or translation</w:t>
      </w:r>
      <w:r w:rsidR="00E729C6">
        <w:t xml:space="preserve"> of a foreign GI</w:t>
      </w:r>
      <w:r w:rsidR="00BE1842">
        <w:t>,</w:t>
      </w:r>
      <w:r w:rsidRPr="005F3C45">
        <w:t xml:space="preserve"> and</w:t>
      </w:r>
    </w:p>
    <w:p w14:paraId="3CD5E397" w14:textId="46699BB1" w:rsidR="00365A70" w:rsidRPr="005F3C45" w:rsidRDefault="00362C7C" w:rsidP="00892CB7">
      <w:pPr>
        <w:pStyle w:val="ListParagraph"/>
        <w:numPr>
          <w:ilvl w:val="0"/>
          <w:numId w:val="71"/>
        </w:numPr>
      </w:pPr>
      <w:r>
        <w:t>setting</w:t>
      </w:r>
      <w:r w:rsidR="00365A70" w:rsidRPr="005F3C45">
        <w:t xml:space="preserve"> out the terms of t</w:t>
      </w:r>
      <w:r w:rsidR="00365A70">
        <w:t>h</w:t>
      </w:r>
      <w:r w:rsidR="003D20F2">
        <w:t>e decision made under section 85</w:t>
      </w:r>
      <w:r w:rsidR="00365A70" w:rsidRPr="005F3C45">
        <w:t>.</w:t>
      </w:r>
    </w:p>
    <w:p w14:paraId="63A0B96C" w14:textId="77777777" w:rsidR="00362C7C" w:rsidRPr="00365A70" w:rsidRDefault="00365A70" w:rsidP="00362C7C">
      <w:pPr>
        <w:rPr>
          <w:rFonts w:eastAsia="Calibri"/>
          <w:lang w:eastAsia="en-AU"/>
        </w:rPr>
      </w:pPr>
      <w:r>
        <w:rPr>
          <w:rFonts w:eastAsia="Calibri"/>
          <w:lang w:eastAsia="en-AU"/>
        </w:rPr>
        <w:t xml:space="preserve">The Committee may publish the notice in any manner it considers appropriate. </w:t>
      </w:r>
      <w:r w:rsidR="00362C7C" w:rsidRPr="00C21613">
        <w:rPr>
          <w:rFonts w:eastAsia="Calibri"/>
          <w:lang w:eastAsia="ja-JP"/>
        </w:rPr>
        <w:t>For example, the Presiding Member may publish a notice on the Authority’s website.</w:t>
      </w:r>
    </w:p>
    <w:p w14:paraId="0AC8D9FF" w14:textId="570068E0" w:rsidR="002B4516" w:rsidRDefault="00A52050" w:rsidP="00C21613">
      <w:pPr>
        <w:pStyle w:val="Provision"/>
      </w:pPr>
      <w:r>
        <w:t>Section 87</w:t>
      </w:r>
      <w:r w:rsidR="002B4516">
        <w:t xml:space="preserve"> – Fees</w:t>
      </w:r>
    </w:p>
    <w:p w14:paraId="168A6E7E" w14:textId="3416DF7A" w:rsidR="00365A70" w:rsidRDefault="00365A70" w:rsidP="00365A70">
      <w:pPr>
        <w:rPr>
          <w:lang w:eastAsia="ja-JP"/>
        </w:rPr>
      </w:pPr>
      <w:r>
        <w:t xml:space="preserve">This section specifies the fees to be charged by the </w:t>
      </w:r>
      <w:r w:rsidR="00365FE0">
        <w:t>Registrar of Trade Marks</w:t>
      </w:r>
      <w:r>
        <w:t xml:space="preserve"> in relation to dealing with</w:t>
      </w:r>
      <w:r w:rsidRPr="00365A70">
        <w:rPr>
          <w:lang w:eastAsia="ja-JP"/>
        </w:rPr>
        <w:t xml:space="preserve"> </w:t>
      </w:r>
      <w:r w:rsidRPr="00127557">
        <w:rPr>
          <w:lang w:eastAsia="ja-JP"/>
        </w:rPr>
        <w:t xml:space="preserve">application </w:t>
      </w:r>
      <w:r w:rsidR="003D20F2">
        <w:rPr>
          <w:lang w:eastAsia="ja-JP"/>
        </w:rPr>
        <w:t>made under section 76</w:t>
      </w:r>
      <w:r w:rsidRPr="00127557">
        <w:rPr>
          <w:lang w:eastAsia="ja-JP"/>
        </w:rPr>
        <w:t xml:space="preserve">. </w:t>
      </w:r>
    </w:p>
    <w:p w14:paraId="4B924E83" w14:textId="592EBFDB" w:rsidR="00365A70" w:rsidRDefault="00365A70" w:rsidP="00365A70">
      <w:r>
        <w:t xml:space="preserve">The section includes a table of fees for proceedings for the purposes of this division. Five matters are set out in Column 1 of the table, for which each party may be liable to pay the corresponding fee in Column 2 to the </w:t>
      </w:r>
      <w:r w:rsidR="00365FE0">
        <w:t>Registrar of Trade Marks</w:t>
      </w:r>
      <w:r>
        <w:t>:</w:t>
      </w:r>
    </w:p>
    <w:p w14:paraId="46DACAAF" w14:textId="71B50919" w:rsidR="00365A70" w:rsidRDefault="0060406D" w:rsidP="00892CB7">
      <w:pPr>
        <w:pStyle w:val="ListParagraph"/>
        <w:numPr>
          <w:ilvl w:val="0"/>
          <w:numId w:val="71"/>
        </w:numPr>
      </w:pPr>
      <w:r>
        <w:t>making an application under section 76</w:t>
      </w:r>
      <w:r w:rsidR="00BE1842">
        <w:t>: $500</w:t>
      </w:r>
    </w:p>
    <w:p w14:paraId="529E8645" w14:textId="2821ED24" w:rsidR="00365A70" w:rsidRDefault="00BE1842" w:rsidP="00892CB7">
      <w:pPr>
        <w:pStyle w:val="ListParagraph"/>
        <w:numPr>
          <w:ilvl w:val="0"/>
          <w:numId w:val="71"/>
        </w:numPr>
      </w:pPr>
      <w:r>
        <w:t>f</w:t>
      </w:r>
      <w:r w:rsidR="00365A70">
        <w:t xml:space="preserve">iling evidence in </w:t>
      </w:r>
      <w:r w:rsidR="003D20F2">
        <w:t>relation to the objection (section 79</w:t>
      </w:r>
      <w:r w:rsidR="00365A70">
        <w:t>), evidence in answer (section</w:t>
      </w:r>
      <w:r w:rsidR="003D20F2">
        <w:t xml:space="preserve"> 80) or new evidence (section 81</w:t>
      </w:r>
      <w:r>
        <w:t>): $375</w:t>
      </w:r>
    </w:p>
    <w:p w14:paraId="2691F815" w14:textId="6E8F4085" w:rsidR="00365A70" w:rsidRDefault="00BE1842" w:rsidP="00892CB7">
      <w:pPr>
        <w:pStyle w:val="ListParagraph"/>
        <w:numPr>
          <w:ilvl w:val="0"/>
          <w:numId w:val="71"/>
        </w:numPr>
      </w:pPr>
      <w:r>
        <w:t>r</w:t>
      </w:r>
      <w:r w:rsidR="00365A70">
        <w:t>eque</w:t>
      </w:r>
      <w:r w:rsidR="003D20F2">
        <w:t>sting a hearing under section 82</w:t>
      </w:r>
      <w:r>
        <w:t>: $500</w:t>
      </w:r>
    </w:p>
    <w:p w14:paraId="48E71080" w14:textId="4D62AE60" w:rsidR="00365A70" w:rsidRDefault="00BE1842" w:rsidP="00892CB7">
      <w:pPr>
        <w:pStyle w:val="ListParagraph"/>
        <w:numPr>
          <w:ilvl w:val="0"/>
          <w:numId w:val="71"/>
        </w:numPr>
      </w:pPr>
      <w:r>
        <w:t>a</w:t>
      </w:r>
      <w:r w:rsidR="00365A70">
        <w:t>ttendance at a hearing: $500 per day or part of a day that the hearing is attended, with the fee for requesting a hearing deducte</w:t>
      </w:r>
      <w:r>
        <w:t>d from the total amount payable, and</w:t>
      </w:r>
    </w:p>
    <w:p w14:paraId="6370D44B" w14:textId="509DC1D6" w:rsidR="00365A70" w:rsidRDefault="00BE1842" w:rsidP="00892CB7">
      <w:pPr>
        <w:pStyle w:val="ListParagraph"/>
        <w:numPr>
          <w:ilvl w:val="0"/>
          <w:numId w:val="71"/>
        </w:numPr>
      </w:pPr>
      <w:r>
        <w:t>a</w:t>
      </w:r>
      <w:r w:rsidR="00365A70">
        <w:t>pplying to fi</w:t>
      </w:r>
      <w:r w:rsidR="003D20F2">
        <w:t>le new evidence under section 81</w:t>
      </w:r>
      <w:r w:rsidR="00365A70">
        <w:t xml:space="preserve">: $100. </w:t>
      </w:r>
    </w:p>
    <w:p w14:paraId="74ACFAEF" w14:textId="77777777" w:rsidR="00750913" w:rsidRDefault="00750913" w:rsidP="00750913">
      <w:r>
        <w:t xml:space="preserve">These fees have been calculated by reference to identified costs for dealing with an objection and are broadly aligned with the fees payable to the Registrar of Trade Marks prescribed in Schedule 9 of the </w:t>
      </w:r>
      <w:r w:rsidRPr="00750913">
        <w:rPr>
          <w:i/>
        </w:rPr>
        <w:t>Trade Marks Regulations 1995</w:t>
      </w:r>
      <w:r>
        <w:t>.</w:t>
      </w:r>
    </w:p>
    <w:p w14:paraId="25BFBDC7" w14:textId="1731E583" w:rsidR="002B4516" w:rsidRDefault="00A217A7" w:rsidP="00366E06">
      <w:pPr>
        <w:pStyle w:val="Provision"/>
        <w:tabs>
          <w:tab w:val="left" w:pos="426"/>
        </w:tabs>
      </w:pPr>
      <w:r>
        <w:lastRenderedPageBreak/>
        <w:t>Section 8</w:t>
      </w:r>
      <w:r w:rsidR="00A52050">
        <w:t>8</w:t>
      </w:r>
      <w:r w:rsidR="002B4516">
        <w:t xml:space="preserve"> – Costs</w:t>
      </w:r>
    </w:p>
    <w:p w14:paraId="5B2E5183" w14:textId="4D19A1B9" w:rsidR="00D5103E" w:rsidRPr="00D5103E" w:rsidRDefault="00D5103E" w:rsidP="00C21613">
      <w:pPr>
        <w:rPr>
          <w:lang w:eastAsia="ja-JP"/>
        </w:rPr>
      </w:pPr>
      <w:r w:rsidRPr="00127557">
        <w:rPr>
          <w:lang w:eastAsia="ja-JP"/>
        </w:rPr>
        <w:t xml:space="preserve">This section provides that the </w:t>
      </w:r>
      <w:r w:rsidR="00365FE0">
        <w:rPr>
          <w:lang w:eastAsia="ja-JP"/>
        </w:rPr>
        <w:t>Registrar of Trade Marks</w:t>
      </w:r>
      <w:r w:rsidRPr="00127557">
        <w:rPr>
          <w:lang w:eastAsia="ja-JP"/>
        </w:rPr>
        <w:t xml:space="preserve"> must not make an order for costs in proceedings men</w:t>
      </w:r>
      <w:r w:rsidR="00365A70">
        <w:rPr>
          <w:lang w:eastAsia="ja-JP"/>
        </w:rPr>
        <w:t>tioned in this d</w:t>
      </w:r>
      <w:r w:rsidRPr="00127557">
        <w:rPr>
          <w:lang w:eastAsia="ja-JP"/>
        </w:rPr>
        <w:t>ivision.</w:t>
      </w:r>
    </w:p>
    <w:p w14:paraId="31C93F11" w14:textId="25C723E4" w:rsidR="00F11F75" w:rsidRPr="004B1023" w:rsidRDefault="00F11F75" w:rsidP="0088376F">
      <w:pPr>
        <w:pStyle w:val="Heading3"/>
      </w:pPr>
      <w:r w:rsidRPr="004B1023">
        <w:t>Division 5</w:t>
      </w:r>
      <w:r w:rsidR="000C3C04" w:rsidRPr="009E5369">
        <w:t>—</w:t>
      </w:r>
      <w:r w:rsidRPr="004B1023">
        <w:t xml:space="preserve">Appeals against decisions of </w:t>
      </w:r>
      <w:r w:rsidR="00365FE0">
        <w:t>Registrar of Trade Marks</w:t>
      </w:r>
    </w:p>
    <w:p w14:paraId="1085347D" w14:textId="2AA140BA" w:rsidR="00F11F75" w:rsidRDefault="00A52050" w:rsidP="00C21613">
      <w:pPr>
        <w:pStyle w:val="Provision"/>
      </w:pPr>
      <w:r>
        <w:t>Section 89</w:t>
      </w:r>
      <w:r w:rsidR="00F11F75" w:rsidRPr="004B1023">
        <w:t xml:space="preserve"> – Decisions appellable to Federal Court</w:t>
      </w:r>
    </w:p>
    <w:p w14:paraId="613B5F0F" w14:textId="492AEE08" w:rsidR="00F11F75" w:rsidRDefault="00F11F75" w:rsidP="00C21613">
      <w:pPr>
        <w:rPr>
          <w:i/>
        </w:rPr>
      </w:pPr>
      <w:r>
        <w:t xml:space="preserve">This section outlines the decisions made by the </w:t>
      </w:r>
      <w:r w:rsidR="00365FE0">
        <w:t>Registrar of Trade Marks</w:t>
      </w:r>
      <w:r>
        <w:t xml:space="preserve"> in relation to a foreign GI or translation of a </w:t>
      </w:r>
      <w:r w:rsidR="00E729C6">
        <w:t xml:space="preserve">foreign </w:t>
      </w:r>
      <w:r>
        <w:t>GI that can be appe</w:t>
      </w:r>
      <w:r w:rsidRPr="00C21613">
        <w:t>aled to the Federal Court.</w:t>
      </w:r>
    </w:p>
    <w:p w14:paraId="3DBABB1F" w14:textId="7BF07F89" w:rsidR="00F11F75" w:rsidRDefault="00F11F75" w:rsidP="00C21613">
      <w:pPr>
        <w:rPr>
          <w:i/>
        </w:rPr>
      </w:pPr>
      <w:r>
        <w:t xml:space="preserve">Subsection 40ZAR(1) of the Act provides the </w:t>
      </w:r>
      <w:r w:rsidR="00E2464C">
        <w:t>jurisdiction</w:t>
      </w:r>
      <w:r>
        <w:t xml:space="preserve"> of the Federal Court to hear and determine appeals against prescribed decisions of the </w:t>
      </w:r>
      <w:r w:rsidR="00365FE0">
        <w:t>Registrar of Trade Marks</w:t>
      </w:r>
      <w:r>
        <w:t>. The following decisions of the Register of Trade Marks are prescribed:</w:t>
      </w:r>
    </w:p>
    <w:p w14:paraId="3FA96F60" w14:textId="6B9781BD" w:rsidR="00F11F75" w:rsidRPr="00892CB7" w:rsidRDefault="00F11F75" w:rsidP="00892CB7">
      <w:pPr>
        <w:pStyle w:val="ListParagraph"/>
        <w:numPr>
          <w:ilvl w:val="0"/>
          <w:numId w:val="71"/>
        </w:numPr>
      </w:pPr>
      <w:r>
        <w:t xml:space="preserve">a decision that a ground of objection is </w:t>
      </w:r>
      <w:r w:rsidR="00895C0F">
        <w:t>or is not made out (subsection 71</w:t>
      </w:r>
      <w:r w:rsidR="00323051">
        <w:t>(1))</w:t>
      </w:r>
    </w:p>
    <w:p w14:paraId="62228AEB" w14:textId="3833055E" w:rsidR="00F11F75" w:rsidRPr="00892CB7" w:rsidRDefault="00F11F75" w:rsidP="00892CB7">
      <w:pPr>
        <w:pStyle w:val="ListParagraph"/>
        <w:numPr>
          <w:ilvl w:val="0"/>
          <w:numId w:val="71"/>
        </w:numPr>
      </w:pPr>
      <w:r>
        <w:t>a recommendation that a proposed foreign GI or proposed translation of a foreign GI (the proposed item) be determined or a refusal to make such</w:t>
      </w:r>
      <w:r w:rsidR="00895C0F">
        <w:t xml:space="preserve"> a recommendation (subsection 72</w:t>
      </w:r>
      <w:r w:rsidR="00323051">
        <w:t>(1)), and</w:t>
      </w:r>
    </w:p>
    <w:p w14:paraId="6238396D" w14:textId="3744EA70" w:rsidR="00F11F75" w:rsidRPr="00892CB7" w:rsidRDefault="00F11F75" w:rsidP="00892CB7">
      <w:pPr>
        <w:pStyle w:val="ListParagraph"/>
        <w:numPr>
          <w:ilvl w:val="0"/>
          <w:numId w:val="71"/>
        </w:numPr>
      </w:pPr>
      <w:r>
        <w:t>a decision that a ground of objection no longer exists or a refusal to mak</w:t>
      </w:r>
      <w:r w:rsidR="00895C0F">
        <w:t>e such a decision (subsection 85</w:t>
      </w:r>
      <w:r>
        <w:t>(1)).</w:t>
      </w:r>
    </w:p>
    <w:p w14:paraId="2200058F" w14:textId="786F3713" w:rsidR="00F11F75" w:rsidRPr="009B1CE1" w:rsidRDefault="00F11F75" w:rsidP="0088376F">
      <w:pPr>
        <w:pStyle w:val="Heading3"/>
      </w:pPr>
      <w:r w:rsidRPr="009B1CE1">
        <w:t>Division 6</w:t>
      </w:r>
      <w:r w:rsidR="000C3C04" w:rsidRPr="009E5369">
        <w:t>—</w:t>
      </w:r>
      <w:r w:rsidRPr="009B1CE1">
        <w:t xml:space="preserve">Determination of foreign GIs </w:t>
      </w:r>
      <w:r w:rsidR="00BB3EB3">
        <w:t>and translations of foreign GIs</w:t>
      </w:r>
    </w:p>
    <w:p w14:paraId="75E1F532" w14:textId="53348343" w:rsidR="00F11F75" w:rsidRPr="004B1023" w:rsidRDefault="00A52050" w:rsidP="00C21613">
      <w:pPr>
        <w:pStyle w:val="Provision"/>
      </w:pPr>
      <w:r>
        <w:t>Section 90</w:t>
      </w:r>
      <w:r w:rsidR="00F11F75" w:rsidRPr="004B1023">
        <w:t xml:space="preserve"> – When </w:t>
      </w:r>
      <w:r>
        <w:t xml:space="preserve">Geographical Indications </w:t>
      </w:r>
      <w:r w:rsidR="00802321">
        <w:t>Committee</w:t>
      </w:r>
      <w:r w:rsidR="00F11F75" w:rsidRPr="004B1023">
        <w:t xml:space="preserve"> may proceed to make a determination</w:t>
      </w:r>
    </w:p>
    <w:p w14:paraId="78886C7B" w14:textId="5459A713" w:rsidR="00F11F75" w:rsidRDefault="00F11F75" w:rsidP="00C21613">
      <w:pPr>
        <w:rPr>
          <w:i/>
        </w:rPr>
      </w:pPr>
      <w:r>
        <w:t xml:space="preserve">This section provides the circumstances under which the </w:t>
      </w:r>
      <w:r w:rsidR="00C21613" w:rsidRPr="00C21613">
        <w:t>Committee</w:t>
      </w:r>
      <w:r>
        <w:t xml:space="preserve"> may make a determination</w:t>
      </w:r>
      <w:r w:rsidR="00362C7C">
        <w:t xml:space="preserve"> of a foreign GI</w:t>
      </w:r>
      <w:r>
        <w:t xml:space="preserve"> or translation of a foreign GI.</w:t>
      </w:r>
    </w:p>
    <w:p w14:paraId="24B6AB7D" w14:textId="36FC9EA5" w:rsidR="00F11F75" w:rsidRDefault="00F11F75" w:rsidP="00C21613">
      <w:pPr>
        <w:rPr>
          <w:i/>
        </w:rPr>
      </w:pPr>
      <w:r>
        <w:t xml:space="preserve">The </w:t>
      </w:r>
      <w:r w:rsidR="00C21613" w:rsidRPr="00C21613">
        <w:t>Committee</w:t>
      </w:r>
      <w:r>
        <w:t xml:space="preserve"> may make a determination regarding a proposed item if no objection was made </w:t>
      </w:r>
      <w:r w:rsidR="00895C0F">
        <w:t>to the proposed item (section 62</w:t>
      </w:r>
      <w:r>
        <w:t xml:space="preserve">) within the period outlined in </w:t>
      </w:r>
      <w:r w:rsidR="00362C7C">
        <w:t>the published notice (section 61</w:t>
      </w:r>
      <w:r>
        <w:t>).</w:t>
      </w:r>
    </w:p>
    <w:p w14:paraId="0EDD972E" w14:textId="28FC67D1" w:rsidR="00F11F75" w:rsidRPr="008F6D82" w:rsidRDefault="00F11F75" w:rsidP="00C21613">
      <w:pPr>
        <w:rPr>
          <w:i/>
        </w:rPr>
      </w:pPr>
      <w:r>
        <w:t xml:space="preserve">If an objection was made, the </w:t>
      </w:r>
      <w:r w:rsidR="00C21613" w:rsidRPr="00C21613">
        <w:t>Committee</w:t>
      </w:r>
      <w:r>
        <w:t xml:space="preserve"> must not make a determination until it has published a notice of the </w:t>
      </w:r>
      <w:r w:rsidR="00362C7C">
        <w:t>Registrar of Trade Mark</w:t>
      </w:r>
      <w:r>
        <w:t>’s decision regard</w:t>
      </w:r>
      <w:r w:rsidR="00362C7C">
        <w:t xml:space="preserve">ing the objection (subsection </w:t>
      </w:r>
      <w:r w:rsidR="00895C0F">
        <w:t>73</w:t>
      </w:r>
      <w:r>
        <w:t xml:space="preserve">(2)). The circumstances under which the </w:t>
      </w:r>
      <w:r w:rsidR="00C21613" w:rsidRPr="00C21613">
        <w:t>Committee</w:t>
      </w:r>
      <w:r>
        <w:t xml:space="preserve"> may </w:t>
      </w:r>
      <w:r w:rsidRPr="008F6D82">
        <w:t xml:space="preserve">make a determination </w:t>
      </w:r>
      <w:r>
        <w:t>when an objection is made are set out below.</w:t>
      </w:r>
    </w:p>
    <w:p w14:paraId="65FD7F19" w14:textId="77777777" w:rsidR="00F11F75" w:rsidRPr="00C21613" w:rsidRDefault="00F11F75" w:rsidP="00C21613">
      <w:pPr>
        <w:rPr>
          <w:i/>
        </w:rPr>
      </w:pPr>
      <w:r w:rsidRPr="00C21613">
        <w:rPr>
          <w:i/>
        </w:rPr>
        <w:t>Ground of objection not made out</w:t>
      </w:r>
    </w:p>
    <w:p w14:paraId="4901D58C" w14:textId="672B975E" w:rsidR="00F11F75" w:rsidRDefault="00F11F75" w:rsidP="00C21613">
      <w:pPr>
        <w:rPr>
          <w:i/>
        </w:rPr>
      </w:pPr>
      <w:r>
        <w:t xml:space="preserve">The </w:t>
      </w:r>
      <w:r w:rsidR="00C21613" w:rsidRPr="00C21613">
        <w:t>Committee</w:t>
      </w:r>
      <w:r>
        <w:t xml:space="preserve"> may determine a foreign GI or translation of a foreign GI where the </w:t>
      </w:r>
      <w:r w:rsidR="00365FE0">
        <w:t>Registrar of Trade Marks</w:t>
      </w:r>
      <w:r>
        <w:t xml:space="preserve"> has decided an objection to the proposed item i</w:t>
      </w:r>
      <w:r w:rsidR="00362C7C">
        <w:t>s not made out (under section 71</w:t>
      </w:r>
      <w:r>
        <w:t>) if:</w:t>
      </w:r>
    </w:p>
    <w:p w14:paraId="5DEB61F3" w14:textId="3678836B" w:rsidR="00362C7C" w:rsidRPr="00892CB7" w:rsidRDefault="00F11F75" w:rsidP="00892CB7">
      <w:pPr>
        <w:pStyle w:val="ListParagraph"/>
        <w:numPr>
          <w:ilvl w:val="0"/>
          <w:numId w:val="71"/>
        </w:numPr>
      </w:pPr>
      <w:r>
        <w:t>all appeals and reviews of the decision regarding the pr</w:t>
      </w:r>
      <w:r w:rsidR="003A27A9">
        <w:t>oposed item have been finalised,</w:t>
      </w:r>
      <w:r>
        <w:t xml:space="preserve"> and </w:t>
      </w:r>
    </w:p>
    <w:p w14:paraId="1313CBC8" w14:textId="03565534" w:rsidR="00F11F75" w:rsidRPr="00892CB7" w:rsidRDefault="00F11F75" w:rsidP="00892CB7">
      <w:pPr>
        <w:pStyle w:val="ListParagraph"/>
        <w:numPr>
          <w:ilvl w:val="0"/>
          <w:numId w:val="71"/>
        </w:numPr>
      </w:pPr>
      <w:r>
        <w:t xml:space="preserve">following this, the </w:t>
      </w:r>
      <w:r w:rsidR="00362C7C">
        <w:t xml:space="preserve">decision following after any finalised appeals or reviews is </w:t>
      </w:r>
      <w:r>
        <w:t xml:space="preserve">that an objection has not been made out in relation to the proposed item. </w:t>
      </w:r>
    </w:p>
    <w:p w14:paraId="797D6C8D" w14:textId="77777777" w:rsidR="00F11F75" w:rsidRPr="00C21613" w:rsidRDefault="00F11F75" w:rsidP="00C21613">
      <w:pPr>
        <w:rPr>
          <w:i/>
        </w:rPr>
      </w:pPr>
      <w:r w:rsidRPr="00C21613">
        <w:rPr>
          <w:i/>
        </w:rPr>
        <w:t>Ground of objection made out and person agrees to determination being made</w:t>
      </w:r>
    </w:p>
    <w:p w14:paraId="5BBA6691" w14:textId="456AF390" w:rsidR="00F11F75" w:rsidRDefault="00F11F75" w:rsidP="00C21613">
      <w:pPr>
        <w:rPr>
          <w:i/>
        </w:rPr>
      </w:pPr>
      <w:r>
        <w:lastRenderedPageBreak/>
        <w:t xml:space="preserve">The </w:t>
      </w:r>
      <w:r w:rsidR="00C21613" w:rsidRPr="00C21613">
        <w:t>Committee</w:t>
      </w:r>
      <w:r>
        <w:t xml:space="preserve"> may determine a foreign GI or a translation of a foreign GI where a ground of objection is supported, if the person who objected to the proposed item agrees, in writing to the </w:t>
      </w:r>
      <w:r w:rsidR="00C21613" w:rsidRPr="00C21613">
        <w:t>Committee</w:t>
      </w:r>
      <w:r>
        <w:t>, to the determination of the proposed item.</w:t>
      </w:r>
    </w:p>
    <w:p w14:paraId="18FDA092" w14:textId="6811CBE6" w:rsidR="00F11F75" w:rsidRPr="00C21613" w:rsidRDefault="00F11F75" w:rsidP="00C21613">
      <w:pPr>
        <w:rPr>
          <w:i/>
        </w:rPr>
      </w:pPr>
      <w:r w:rsidRPr="00C21613">
        <w:rPr>
          <w:i/>
        </w:rPr>
        <w:t>Ground of objection made out and a recommendati</w:t>
      </w:r>
      <w:r w:rsidR="00895C0F">
        <w:rPr>
          <w:i/>
        </w:rPr>
        <w:t>on is made under section 72</w:t>
      </w:r>
    </w:p>
    <w:p w14:paraId="5505B6FD" w14:textId="5833F4B9" w:rsidR="00F11F75" w:rsidRDefault="00F11F75" w:rsidP="00C21613">
      <w:pPr>
        <w:rPr>
          <w:i/>
        </w:rPr>
      </w:pPr>
      <w:r>
        <w:t xml:space="preserve">The </w:t>
      </w:r>
      <w:r w:rsidR="00C21613" w:rsidRPr="00C21613">
        <w:t>Committee</w:t>
      </w:r>
      <w:r>
        <w:t xml:space="preserve"> may determine a foreign GI or a translation of a foreign GI where a ground of objection is supported if:</w:t>
      </w:r>
    </w:p>
    <w:p w14:paraId="5749D95B" w14:textId="7E466587" w:rsidR="00F11F75" w:rsidRPr="00892CB7" w:rsidRDefault="00F11F75" w:rsidP="00892CB7">
      <w:pPr>
        <w:pStyle w:val="ListParagraph"/>
        <w:numPr>
          <w:ilvl w:val="0"/>
          <w:numId w:val="71"/>
        </w:numPr>
      </w:pPr>
      <w:r>
        <w:t xml:space="preserve">a recommendation has been made by the </w:t>
      </w:r>
      <w:r w:rsidR="00365FE0">
        <w:t>Registrar of Trade Marks</w:t>
      </w:r>
      <w:r w:rsidR="00362C7C">
        <w:t xml:space="preserve"> to the Committee</w:t>
      </w:r>
      <w:r>
        <w:t xml:space="preserve"> that the proposed item should be determined despite the objection (section </w:t>
      </w:r>
      <w:r w:rsidR="00362C7C">
        <w:t>72</w:t>
      </w:r>
      <w:r w:rsidR="003A27A9">
        <w:t>)</w:t>
      </w:r>
      <w:r>
        <w:t xml:space="preserve"> </w:t>
      </w:r>
    </w:p>
    <w:p w14:paraId="472462E8" w14:textId="0EFA7CC1" w:rsidR="00F11F75" w:rsidRPr="00892CB7" w:rsidRDefault="00F11F75" w:rsidP="00892CB7">
      <w:pPr>
        <w:pStyle w:val="ListParagraph"/>
        <w:numPr>
          <w:ilvl w:val="0"/>
          <w:numId w:val="71"/>
        </w:numPr>
      </w:pPr>
      <w:r>
        <w:t>all appeals and reviews of the decision regarding the proposed item have been finalised</w:t>
      </w:r>
      <w:r w:rsidR="005817B3">
        <w:t>,</w:t>
      </w:r>
      <w:r>
        <w:t xml:space="preserve"> </w:t>
      </w:r>
      <w:r w:rsidR="003A27A9">
        <w:t>and</w:t>
      </w:r>
      <w:r>
        <w:t xml:space="preserve"> </w:t>
      </w:r>
    </w:p>
    <w:p w14:paraId="59F338DE" w14:textId="63120C9C" w:rsidR="00F11F75" w:rsidRPr="00892CB7" w:rsidRDefault="00F11F75" w:rsidP="00892CB7">
      <w:pPr>
        <w:pStyle w:val="ListParagraph"/>
        <w:numPr>
          <w:ilvl w:val="0"/>
          <w:numId w:val="71"/>
        </w:numPr>
      </w:pPr>
      <w:r>
        <w:t xml:space="preserve">the </w:t>
      </w:r>
      <w:r w:rsidR="00365FE0">
        <w:t>Registrar of Trade Marks</w:t>
      </w:r>
      <w:r>
        <w:t>’s recommendation to determine the proposed item still stands</w:t>
      </w:r>
      <w:r w:rsidRPr="00B36283">
        <w:t>.</w:t>
      </w:r>
    </w:p>
    <w:p w14:paraId="62D98DA3" w14:textId="522661F6" w:rsidR="00F11F75" w:rsidRPr="00C21613" w:rsidRDefault="00F11F75" w:rsidP="00C21613">
      <w:pPr>
        <w:rPr>
          <w:i/>
        </w:rPr>
      </w:pPr>
      <w:r w:rsidRPr="00C21613">
        <w:rPr>
          <w:i/>
        </w:rPr>
        <w:t>Ground of objection made out an</w:t>
      </w:r>
      <w:r w:rsidR="00895C0F">
        <w:rPr>
          <w:i/>
        </w:rPr>
        <w:t>d decision made under section 85</w:t>
      </w:r>
    </w:p>
    <w:p w14:paraId="4F1BA31F" w14:textId="2A1BD009" w:rsidR="00F11F75" w:rsidRDefault="00F11F75" w:rsidP="00C21613">
      <w:pPr>
        <w:rPr>
          <w:i/>
        </w:rPr>
      </w:pPr>
      <w:r>
        <w:t xml:space="preserve">The </w:t>
      </w:r>
      <w:r w:rsidR="00C21613" w:rsidRPr="00C21613">
        <w:t>Committee</w:t>
      </w:r>
      <w:r>
        <w:t xml:space="preserve"> may determine a foreign GI or a translation of a foreign GI where a ground of objection is supported if:</w:t>
      </w:r>
    </w:p>
    <w:p w14:paraId="724DAE3B" w14:textId="6B554DCE" w:rsidR="00F11F75" w:rsidRPr="00892CB7" w:rsidRDefault="00F11F75" w:rsidP="00892CB7">
      <w:pPr>
        <w:pStyle w:val="ListParagraph"/>
        <w:numPr>
          <w:ilvl w:val="0"/>
          <w:numId w:val="71"/>
        </w:numPr>
      </w:pPr>
      <w:r>
        <w:t xml:space="preserve">a decision has been made by the </w:t>
      </w:r>
      <w:r w:rsidR="00365FE0">
        <w:t>Registrar of Trade Marks</w:t>
      </w:r>
      <w:r>
        <w:t xml:space="preserve"> t</w:t>
      </w:r>
      <w:r w:rsidR="00362C7C">
        <w:t>hat the grounds for objection no longer</w:t>
      </w:r>
      <w:r>
        <w:t xml:space="preserve"> exist</w:t>
      </w:r>
      <w:r w:rsidR="00362C7C">
        <w:t>s</w:t>
      </w:r>
      <w:r>
        <w:t xml:space="preserve"> (section 8</w:t>
      </w:r>
      <w:r w:rsidR="00362C7C">
        <w:t>5</w:t>
      </w:r>
      <w:r w:rsidR="003A27A9">
        <w:t>)</w:t>
      </w:r>
    </w:p>
    <w:p w14:paraId="292202B3" w14:textId="3A90B568" w:rsidR="00F11F75" w:rsidRPr="00892CB7" w:rsidRDefault="00F11F75" w:rsidP="00892CB7">
      <w:pPr>
        <w:pStyle w:val="ListParagraph"/>
        <w:numPr>
          <w:ilvl w:val="0"/>
          <w:numId w:val="71"/>
        </w:numPr>
      </w:pPr>
      <w:r>
        <w:t>all appeals and reviews of the decision regarding the</w:t>
      </w:r>
      <w:r w:rsidR="005817B3">
        <w:t xml:space="preserve"> objection have been finalised, </w:t>
      </w:r>
      <w:r w:rsidR="003A27A9">
        <w:t>and</w:t>
      </w:r>
    </w:p>
    <w:p w14:paraId="18CE4AD9" w14:textId="06CAF11D" w:rsidR="00F11F75" w:rsidRPr="00892CB7" w:rsidRDefault="00F11F75" w:rsidP="00892CB7">
      <w:pPr>
        <w:pStyle w:val="ListParagraph"/>
        <w:numPr>
          <w:ilvl w:val="0"/>
          <w:numId w:val="71"/>
        </w:numPr>
      </w:pPr>
      <w:r>
        <w:t xml:space="preserve">the </w:t>
      </w:r>
      <w:r w:rsidR="00365FE0">
        <w:t>Registrar of Trade Marks</w:t>
      </w:r>
      <w:r w:rsidR="00E729C6">
        <w:t>’</w:t>
      </w:r>
      <w:r>
        <w:t xml:space="preserve"> decision that the ground of objection </w:t>
      </w:r>
      <w:r w:rsidRPr="00B36283">
        <w:t>no longer exists</w:t>
      </w:r>
      <w:r>
        <w:t xml:space="preserve"> still stands</w:t>
      </w:r>
      <w:r w:rsidRPr="00B36283">
        <w:t>.</w:t>
      </w:r>
    </w:p>
    <w:p w14:paraId="3D1A14B0" w14:textId="77777777" w:rsidR="00F11F75" w:rsidRPr="00C21613" w:rsidRDefault="00F11F75" w:rsidP="00C21613">
      <w:pPr>
        <w:rPr>
          <w:i/>
        </w:rPr>
      </w:pPr>
      <w:r w:rsidRPr="00C21613">
        <w:rPr>
          <w:i/>
        </w:rPr>
        <w:t>No determination of translation without corresponding GI</w:t>
      </w:r>
    </w:p>
    <w:p w14:paraId="2C988412" w14:textId="5743F08A" w:rsidR="00F11F75" w:rsidRPr="00617D1B" w:rsidRDefault="00F11F75" w:rsidP="00C21613">
      <w:pPr>
        <w:rPr>
          <w:i/>
        </w:rPr>
      </w:pPr>
      <w:r>
        <w:t xml:space="preserve">The </w:t>
      </w:r>
      <w:r w:rsidR="00C21613" w:rsidRPr="00C21613">
        <w:t>Committee</w:t>
      </w:r>
      <w:r>
        <w:t xml:space="preserve"> must not determine a translation of a </w:t>
      </w:r>
      <w:r w:rsidR="003A27A9">
        <w:t xml:space="preserve">foreign </w:t>
      </w:r>
      <w:r>
        <w:t xml:space="preserve">GI </w:t>
      </w:r>
      <w:r w:rsidR="000B057F">
        <w:t xml:space="preserve">if the application for the determination </w:t>
      </w:r>
      <w:r w:rsidR="00E729C6">
        <w:t xml:space="preserve">of the translation </w:t>
      </w:r>
      <w:r w:rsidR="000B057F">
        <w:t xml:space="preserve">was made at the same time as an application for the determination of the GI and </w:t>
      </w:r>
      <w:r>
        <w:t xml:space="preserve">the </w:t>
      </w:r>
      <w:r w:rsidR="00C21613" w:rsidRPr="00C21613">
        <w:t>Committee</w:t>
      </w:r>
      <w:r w:rsidR="00E729C6">
        <w:t xml:space="preserve"> decided not to determine the corresponding foreign GI</w:t>
      </w:r>
      <w:r>
        <w:t xml:space="preserve"> due to one of the reasons outlined above in this section.</w:t>
      </w:r>
    </w:p>
    <w:p w14:paraId="720F8219" w14:textId="2E445FAA" w:rsidR="00F11F75" w:rsidRPr="00F11F75" w:rsidRDefault="00F11F75" w:rsidP="00C21613">
      <w:pPr>
        <w:pStyle w:val="Provision"/>
      </w:pPr>
      <w:r w:rsidRPr="00F11F75">
        <w:t>S</w:t>
      </w:r>
      <w:r w:rsidR="00A52050">
        <w:t>ection 91</w:t>
      </w:r>
      <w:r w:rsidRPr="00F11F75">
        <w:t xml:space="preserve"> – Consultation by </w:t>
      </w:r>
      <w:r w:rsidR="00A52050">
        <w:t xml:space="preserve">Geographical Indications </w:t>
      </w:r>
      <w:r w:rsidR="00C21613" w:rsidRPr="00C21613">
        <w:t>Committee</w:t>
      </w:r>
    </w:p>
    <w:p w14:paraId="6B7A7998" w14:textId="79ED75B9" w:rsidR="00F11F75" w:rsidRPr="00833CDB" w:rsidRDefault="00F11F75" w:rsidP="00C21613">
      <w:pPr>
        <w:rPr>
          <w:i/>
        </w:rPr>
      </w:pPr>
      <w:r>
        <w:t xml:space="preserve">This section outlines who the </w:t>
      </w:r>
      <w:r w:rsidR="00C21613" w:rsidRPr="00C21613">
        <w:t>Committee</w:t>
      </w:r>
      <w:r>
        <w:t xml:space="preserve"> may consult with in the determination or translation of a GI.</w:t>
      </w:r>
      <w:r w:rsidR="00C21613">
        <w:t xml:space="preserve"> </w:t>
      </w:r>
      <w:r>
        <w:t xml:space="preserve">The </w:t>
      </w:r>
      <w:r w:rsidR="00C21613" w:rsidRPr="00C21613">
        <w:t>Committee</w:t>
      </w:r>
      <w:r>
        <w:t xml:space="preserve"> may consult with any person or organisation it considers appropriate in the determination </w:t>
      </w:r>
      <w:r w:rsidR="00362C7C">
        <w:t xml:space="preserve">of a foreign GI </w:t>
      </w:r>
      <w:r>
        <w:t>or translation of a foreign GI.</w:t>
      </w:r>
    </w:p>
    <w:p w14:paraId="54979A07" w14:textId="2224FE77" w:rsidR="00F11F75" w:rsidRPr="00F11F75" w:rsidRDefault="005F31AE" w:rsidP="00C21613">
      <w:pPr>
        <w:pStyle w:val="Provision"/>
      </w:pPr>
      <w:r>
        <w:t>Section 92</w:t>
      </w:r>
      <w:r w:rsidR="00F11F75" w:rsidRPr="00F11F75">
        <w:t xml:space="preserve"> – Determining foreign GIs </w:t>
      </w:r>
    </w:p>
    <w:p w14:paraId="56FCE844" w14:textId="2A1D17CC" w:rsidR="00F11F75" w:rsidRDefault="00F11F75" w:rsidP="00C21613">
      <w:pPr>
        <w:rPr>
          <w:i/>
        </w:rPr>
      </w:pPr>
      <w:r>
        <w:t xml:space="preserve">This section outlines the information the </w:t>
      </w:r>
      <w:r w:rsidR="00C21613" w:rsidRPr="00C21613">
        <w:t>Committee</w:t>
      </w:r>
      <w:r>
        <w:t xml:space="preserve"> </w:t>
      </w:r>
      <w:r w:rsidR="00E729C6">
        <w:t xml:space="preserve">must consider </w:t>
      </w:r>
      <w:r>
        <w:t xml:space="preserve">in determining a foreign GI. </w:t>
      </w:r>
    </w:p>
    <w:p w14:paraId="3F675DDB" w14:textId="6E03CC52" w:rsidR="00F11F75" w:rsidRDefault="00F11F75" w:rsidP="00C21613">
      <w:pPr>
        <w:rPr>
          <w:i/>
        </w:rPr>
      </w:pPr>
      <w:r>
        <w:t xml:space="preserve">When determining a foreign GI the </w:t>
      </w:r>
      <w:r w:rsidR="00C21613" w:rsidRPr="00C21613">
        <w:t>Committee</w:t>
      </w:r>
      <w:r>
        <w:t xml:space="preserve"> must: </w:t>
      </w:r>
    </w:p>
    <w:p w14:paraId="7B887CA3" w14:textId="3C2C9ADF" w:rsidR="00F11F75" w:rsidRPr="00892CB7" w:rsidRDefault="00F11F75" w:rsidP="00892CB7">
      <w:pPr>
        <w:pStyle w:val="ListParagraph"/>
        <w:numPr>
          <w:ilvl w:val="0"/>
          <w:numId w:val="71"/>
        </w:numPr>
      </w:pPr>
      <w:r>
        <w:t>identify the boundaries</w:t>
      </w:r>
      <w:r w:rsidR="003A27A9">
        <w:t xml:space="preserve"> of the area of the proposed GI</w:t>
      </w:r>
    </w:p>
    <w:p w14:paraId="3E227080" w14:textId="68682066" w:rsidR="00F11F75" w:rsidRPr="00892CB7" w:rsidRDefault="00F11F75" w:rsidP="00892CB7">
      <w:pPr>
        <w:pStyle w:val="ListParagraph"/>
        <w:numPr>
          <w:ilvl w:val="0"/>
          <w:numId w:val="71"/>
        </w:numPr>
      </w:pPr>
      <w:r>
        <w:t>determine the details to</w:t>
      </w:r>
      <w:r w:rsidR="003A27A9">
        <w:t xml:space="preserve"> be used to indicate that area</w:t>
      </w:r>
    </w:p>
    <w:p w14:paraId="4A42BEEF" w14:textId="5F77C773" w:rsidR="00F11F75" w:rsidRPr="00892CB7" w:rsidRDefault="00F11F75" w:rsidP="00892CB7">
      <w:pPr>
        <w:pStyle w:val="ListParagraph"/>
        <w:numPr>
          <w:ilvl w:val="0"/>
          <w:numId w:val="71"/>
        </w:numPr>
      </w:pPr>
      <w:r>
        <w:t>determine a</w:t>
      </w:r>
      <w:r w:rsidR="003A27A9">
        <w:t>ny conditions of use for the GI,</w:t>
      </w:r>
      <w:r>
        <w:t xml:space="preserve"> and</w:t>
      </w:r>
    </w:p>
    <w:p w14:paraId="7DA3A7E5" w14:textId="77777777" w:rsidR="00F11F75" w:rsidRPr="00892CB7" w:rsidRDefault="00F11F75" w:rsidP="00892CB7">
      <w:pPr>
        <w:pStyle w:val="ListParagraph"/>
        <w:numPr>
          <w:ilvl w:val="0"/>
          <w:numId w:val="71"/>
        </w:numPr>
      </w:pPr>
      <w:r>
        <w:t>consider whether the GI is protected by law in the country it is located in.</w:t>
      </w:r>
    </w:p>
    <w:p w14:paraId="0A6CEA90" w14:textId="1309BE7A" w:rsidR="00F11F75" w:rsidRDefault="00F11F75" w:rsidP="00C21613">
      <w:pPr>
        <w:rPr>
          <w:i/>
        </w:rPr>
      </w:pPr>
      <w:r>
        <w:lastRenderedPageBreak/>
        <w:t xml:space="preserve">When determining a foreign GI, the </w:t>
      </w:r>
      <w:r w:rsidR="00C21613" w:rsidRPr="00C21613">
        <w:t>Committee</w:t>
      </w:r>
      <w:r>
        <w:t xml:space="preserve"> must not:</w:t>
      </w:r>
    </w:p>
    <w:p w14:paraId="0F6F5F39" w14:textId="146AF7C6" w:rsidR="00F11F75" w:rsidRPr="00892CB7" w:rsidRDefault="00F11F75" w:rsidP="00892CB7">
      <w:pPr>
        <w:pStyle w:val="ListParagraph"/>
        <w:numPr>
          <w:ilvl w:val="0"/>
          <w:numId w:val="71"/>
        </w:numPr>
      </w:pPr>
      <w:r>
        <w:t xml:space="preserve">determine a GI different to that proposed in the application (subsection </w:t>
      </w:r>
      <w:r w:rsidR="00810F84">
        <w:t>60</w:t>
      </w:r>
      <w:r w:rsidR="003A27A9">
        <w:t>(1))</w:t>
      </w:r>
    </w:p>
    <w:p w14:paraId="3EA4B711" w14:textId="0B96091B" w:rsidR="00F11F75" w:rsidRPr="00892CB7" w:rsidRDefault="00F11F75" w:rsidP="00892CB7">
      <w:pPr>
        <w:pStyle w:val="ListParagraph"/>
        <w:numPr>
          <w:ilvl w:val="0"/>
          <w:numId w:val="71"/>
        </w:numPr>
      </w:pPr>
      <w:r>
        <w:t>determine boundaries different to th</w:t>
      </w:r>
      <w:r w:rsidR="003A27A9">
        <w:t xml:space="preserve">at proposed in the application, </w:t>
      </w:r>
      <w:r>
        <w:t>or</w:t>
      </w:r>
    </w:p>
    <w:p w14:paraId="500FEB34" w14:textId="769D9869" w:rsidR="00F11F75" w:rsidRPr="00892CB7" w:rsidRDefault="00F11F75" w:rsidP="00892CB7">
      <w:pPr>
        <w:pStyle w:val="ListParagraph"/>
        <w:numPr>
          <w:ilvl w:val="0"/>
          <w:numId w:val="71"/>
        </w:numPr>
      </w:pPr>
      <w:r>
        <w:t>consider any submissions</w:t>
      </w:r>
      <w:r w:rsidR="00362C7C">
        <w:t xml:space="preserve"> to the extent</w:t>
      </w:r>
      <w:r>
        <w:t xml:space="preserve"> that</w:t>
      </w:r>
      <w:r w:rsidR="00362C7C">
        <w:t xml:space="preserve"> the submission</w:t>
      </w:r>
      <w:r>
        <w:t xml:space="preserve"> a</w:t>
      </w:r>
      <w:r w:rsidR="00362C7C">
        <w:t>s</w:t>
      </w:r>
      <w:r>
        <w:t>sert</w:t>
      </w:r>
      <w:r w:rsidR="00362C7C">
        <w:t>s</w:t>
      </w:r>
      <w:r>
        <w:t xml:space="preserve"> a trade mark right regarding the proposed GI.</w:t>
      </w:r>
    </w:p>
    <w:p w14:paraId="0DBF168A" w14:textId="761ECF52" w:rsidR="00F11F75" w:rsidRPr="006A1734" w:rsidRDefault="00F11F75" w:rsidP="00C21613">
      <w:pPr>
        <w:rPr>
          <w:i/>
        </w:rPr>
      </w:pPr>
      <w:r>
        <w:t xml:space="preserve">The </w:t>
      </w:r>
      <w:r w:rsidR="00C21613" w:rsidRPr="00C21613">
        <w:t>Committee</w:t>
      </w:r>
      <w:r>
        <w:t xml:space="preserve"> may consider in its determination any other material it considers relevant.</w:t>
      </w:r>
    </w:p>
    <w:p w14:paraId="76D06E24" w14:textId="229B5267" w:rsidR="00F11F75" w:rsidRPr="00F11F75" w:rsidRDefault="005F31AE" w:rsidP="00C21613">
      <w:pPr>
        <w:pStyle w:val="Provision"/>
      </w:pPr>
      <w:r>
        <w:t>Section 93</w:t>
      </w:r>
      <w:r w:rsidR="00F11F75" w:rsidRPr="00F11F75">
        <w:t xml:space="preserve"> – Determining translations</w:t>
      </w:r>
    </w:p>
    <w:p w14:paraId="351E5C41" w14:textId="1F4ACFE8" w:rsidR="00F11F75" w:rsidRDefault="00F11F75" w:rsidP="00C21613">
      <w:pPr>
        <w:rPr>
          <w:i/>
        </w:rPr>
      </w:pPr>
      <w:r>
        <w:t xml:space="preserve">This section outlines the information the </w:t>
      </w:r>
      <w:r w:rsidR="00C21613" w:rsidRPr="00C21613">
        <w:t>Committee</w:t>
      </w:r>
      <w:r>
        <w:t xml:space="preserve"> must consider in determining a translation of a foreign GI. </w:t>
      </w:r>
    </w:p>
    <w:p w14:paraId="68C60925" w14:textId="3CB5DB49" w:rsidR="00F11F75" w:rsidRDefault="00F11F75" w:rsidP="00C21613">
      <w:pPr>
        <w:rPr>
          <w:i/>
        </w:rPr>
      </w:pPr>
      <w:r>
        <w:t xml:space="preserve">When determining a </w:t>
      </w:r>
      <w:r w:rsidR="00E13A88">
        <w:t xml:space="preserve">translation of a </w:t>
      </w:r>
      <w:r>
        <w:t xml:space="preserve">foreign GI the </w:t>
      </w:r>
      <w:r w:rsidR="00C21613" w:rsidRPr="00C21613">
        <w:t>Committee</w:t>
      </w:r>
      <w:r>
        <w:t xml:space="preserve"> must: </w:t>
      </w:r>
    </w:p>
    <w:p w14:paraId="1059C0FD" w14:textId="00E5171A" w:rsidR="00F11F75" w:rsidRPr="00892CB7" w:rsidRDefault="00F11F75" w:rsidP="00892CB7">
      <w:pPr>
        <w:pStyle w:val="ListParagraph"/>
        <w:numPr>
          <w:ilvl w:val="0"/>
          <w:numId w:val="71"/>
        </w:numPr>
      </w:pPr>
      <w:r>
        <w:t xml:space="preserve">identify the </w:t>
      </w:r>
      <w:r w:rsidR="00E13A88">
        <w:t xml:space="preserve">relevant </w:t>
      </w:r>
      <w:r>
        <w:t xml:space="preserve">GI </w:t>
      </w:r>
      <w:r w:rsidR="00E13A88">
        <w:t>to the translation</w:t>
      </w:r>
    </w:p>
    <w:p w14:paraId="5E4D56A4" w14:textId="33B35554" w:rsidR="00F11F75" w:rsidRPr="00892CB7" w:rsidRDefault="00F11F75" w:rsidP="00892CB7">
      <w:pPr>
        <w:pStyle w:val="ListParagraph"/>
        <w:numPr>
          <w:ilvl w:val="0"/>
          <w:numId w:val="71"/>
        </w:numPr>
      </w:pPr>
      <w:r>
        <w:t>determ</w:t>
      </w:r>
      <w:r w:rsidR="003A27A9">
        <w:t>ine the translation to be used</w:t>
      </w:r>
    </w:p>
    <w:p w14:paraId="5801BC46" w14:textId="1FF49F59" w:rsidR="00F11F75" w:rsidRPr="00892CB7" w:rsidRDefault="00F11F75" w:rsidP="00892CB7">
      <w:pPr>
        <w:pStyle w:val="ListParagraph"/>
        <w:numPr>
          <w:ilvl w:val="0"/>
          <w:numId w:val="71"/>
        </w:numPr>
      </w:pPr>
      <w:r>
        <w:t>determine any conditions of use for the translation</w:t>
      </w:r>
      <w:r w:rsidR="003A27A9">
        <w:t>,</w:t>
      </w:r>
      <w:r>
        <w:t xml:space="preserve"> and</w:t>
      </w:r>
    </w:p>
    <w:p w14:paraId="55A0BC72" w14:textId="4F5D3827" w:rsidR="00F11F75" w:rsidRPr="00892CB7" w:rsidRDefault="00F11F75" w:rsidP="002D5623">
      <w:pPr>
        <w:pStyle w:val="ListParagraph"/>
        <w:numPr>
          <w:ilvl w:val="0"/>
          <w:numId w:val="71"/>
        </w:numPr>
        <w:tabs>
          <w:tab w:val="left" w:pos="426"/>
        </w:tabs>
      </w:pPr>
      <w:r>
        <w:t xml:space="preserve">consider whether the translation expresses or suggests the significance of the </w:t>
      </w:r>
      <w:r w:rsidR="00E13A88">
        <w:t xml:space="preserve">relevant </w:t>
      </w:r>
      <w:r>
        <w:t xml:space="preserve">GI. </w:t>
      </w:r>
    </w:p>
    <w:p w14:paraId="126A344A" w14:textId="10A36B6C" w:rsidR="00F11F75" w:rsidRDefault="00F11F75" w:rsidP="00C21613">
      <w:pPr>
        <w:rPr>
          <w:i/>
        </w:rPr>
      </w:pPr>
      <w:r>
        <w:t xml:space="preserve">When determining a </w:t>
      </w:r>
      <w:r w:rsidR="00E13A88">
        <w:t xml:space="preserve">translation of a </w:t>
      </w:r>
      <w:r w:rsidR="00E2464C">
        <w:t>foreign</w:t>
      </w:r>
      <w:r>
        <w:t xml:space="preserve"> GI, the </w:t>
      </w:r>
      <w:r w:rsidR="00C21613" w:rsidRPr="00C21613">
        <w:t>Committee</w:t>
      </w:r>
      <w:r>
        <w:t xml:space="preserve"> must not:</w:t>
      </w:r>
    </w:p>
    <w:p w14:paraId="0F64AA51" w14:textId="25CC42F3" w:rsidR="00F11F75" w:rsidRPr="00892CB7" w:rsidRDefault="00F11F75" w:rsidP="002D5623">
      <w:pPr>
        <w:pStyle w:val="ListParagraph"/>
        <w:numPr>
          <w:ilvl w:val="0"/>
          <w:numId w:val="71"/>
        </w:numPr>
        <w:tabs>
          <w:tab w:val="left" w:pos="426"/>
        </w:tabs>
      </w:pPr>
      <w:r>
        <w:t xml:space="preserve">determine a different translation to that proposed in the application (subsection </w:t>
      </w:r>
      <w:r w:rsidR="00810F84">
        <w:t>60</w:t>
      </w:r>
      <w:r w:rsidR="003A27A9">
        <w:t>(2)),</w:t>
      </w:r>
      <w:r>
        <w:t xml:space="preserve"> or</w:t>
      </w:r>
    </w:p>
    <w:p w14:paraId="23E69814" w14:textId="6DE7AC11" w:rsidR="00F11F75" w:rsidRPr="00892CB7" w:rsidRDefault="00F11F75" w:rsidP="002D5623">
      <w:pPr>
        <w:pStyle w:val="ListParagraph"/>
        <w:numPr>
          <w:ilvl w:val="0"/>
          <w:numId w:val="71"/>
        </w:numPr>
        <w:tabs>
          <w:tab w:val="left" w:pos="426"/>
        </w:tabs>
      </w:pPr>
      <w:r>
        <w:t xml:space="preserve">consider any submissions </w:t>
      </w:r>
      <w:r w:rsidR="00362C7C">
        <w:t xml:space="preserve">to the extent </w:t>
      </w:r>
      <w:r>
        <w:t>that</w:t>
      </w:r>
      <w:r w:rsidR="00362C7C">
        <w:t xml:space="preserve"> the submission</w:t>
      </w:r>
      <w:r>
        <w:t xml:space="preserve"> as</w:t>
      </w:r>
      <w:r w:rsidR="00E13A88">
        <w:t>s</w:t>
      </w:r>
      <w:r>
        <w:t>ert</w:t>
      </w:r>
      <w:r w:rsidR="009327FC">
        <w:t>s</w:t>
      </w:r>
      <w:r>
        <w:t xml:space="preserve"> a trade mark right regarding the proposed translation.</w:t>
      </w:r>
    </w:p>
    <w:p w14:paraId="60650903" w14:textId="75EA968A" w:rsidR="00F11F75" w:rsidRPr="00B11C0A" w:rsidRDefault="00F11F75" w:rsidP="00C21613">
      <w:pPr>
        <w:rPr>
          <w:i/>
        </w:rPr>
      </w:pPr>
      <w:r>
        <w:t xml:space="preserve">The </w:t>
      </w:r>
      <w:r w:rsidR="00C21613" w:rsidRPr="00C21613">
        <w:t>Committee</w:t>
      </w:r>
      <w:r>
        <w:t xml:space="preserve"> may consider in its determination any other material it considers relevant.</w:t>
      </w:r>
    </w:p>
    <w:p w14:paraId="2A7801CD" w14:textId="58E9F1B6" w:rsidR="00F11F75" w:rsidRPr="00F11F75" w:rsidRDefault="005F31AE" w:rsidP="00C21613">
      <w:pPr>
        <w:pStyle w:val="Provision"/>
      </w:pPr>
      <w:r>
        <w:t>Section 94</w:t>
      </w:r>
      <w:r w:rsidR="00F11F75" w:rsidRPr="00F11F75">
        <w:t xml:space="preserve"> – Interim determination</w:t>
      </w:r>
    </w:p>
    <w:p w14:paraId="67403DE1" w14:textId="2659CE17" w:rsidR="00F11F75" w:rsidRDefault="00F11F75" w:rsidP="00C21613">
      <w:pPr>
        <w:rPr>
          <w:i/>
        </w:rPr>
      </w:pPr>
      <w:r>
        <w:t xml:space="preserve">This section outlines when a determination of the </w:t>
      </w:r>
      <w:r w:rsidR="00C21613" w:rsidRPr="00C21613">
        <w:t>Committee</w:t>
      </w:r>
      <w:r>
        <w:t xml:space="preserve"> is considered an interim determination. </w:t>
      </w:r>
    </w:p>
    <w:p w14:paraId="2692D33B" w14:textId="1BEE0573" w:rsidR="00F11F75" w:rsidRPr="007E27FA" w:rsidRDefault="00F11F75" w:rsidP="00C21613">
      <w:pPr>
        <w:rPr>
          <w:i/>
        </w:rPr>
      </w:pPr>
      <w:r>
        <w:t>An interim determination</w:t>
      </w:r>
      <w:r w:rsidRPr="00780EB4">
        <w:t xml:space="preserve"> </w:t>
      </w:r>
      <w:r>
        <w:t xml:space="preserve">is a determination made by the </w:t>
      </w:r>
      <w:r w:rsidR="00C21613" w:rsidRPr="00C21613">
        <w:t>Committee</w:t>
      </w:r>
      <w:r>
        <w:t xml:space="preserve"> regarding the determination or translation </w:t>
      </w:r>
      <w:r w:rsidR="00810F84">
        <w:t>of a foreign GI (under section</w:t>
      </w:r>
      <w:r w:rsidR="003A27A9">
        <w:t>s</w:t>
      </w:r>
      <w:r w:rsidR="00810F84">
        <w:t xml:space="preserve"> 92 and 93</w:t>
      </w:r>
      <w:r>
        <w:t>). This</w:t>
      </w:r>
      <w:r w:rsidR="00362C7C">
        <w:t xml:space="preserve"> interim</w:t>
      </w:r>
      <w:r>
        <w:t xml:space="preserve"> determination</w:t>
      </w:r>
      <w:r w:rsidR="00362C7C">
        <w:t xml:space="preserve"> does not come into force until it is</w:t>
      </w:r>
      <w:r>
        <w:t xml:space="preserve"> finalised</w:t>
      </w:r>
      <w:r w:rsidR="00810F84">
        <w:t xml:space="preserve"> under section 96</w:t>
      </w:r>
      <w:r>
        <w:t xml:space="preserve">.   </w:t>
      </w:r>
    </w:p>
    <w:p w14:paraId="69BE46E3" w14:textId="479ED138" w:rsidR="00F11F75" w:rsidRPr="00F11F75" w:rsidRDefault="005F31AE" w:rsidP="00C21613">
      <w:pPr>
        <w:pStyle w:val="Provision"/>
      </w:pPr>
      <w:r>
        <w:t>Section 95</w:t>
      </w:r>
      <w:r w:rsidR="00F11F75" w:rsidRPr="00F11F75">
        <w:t xml:space="preserve"> – Publication of notice of interim determination</w:t>
      </w:r>
    </w:p>
    <w:p w14:paraId="43B2651B" w14:textId="77777777" w:rsidR="00F11F75" w:rsidRDefault="00F11F75" w:rsidP="00C21613">
      <w:pPr>
        <w:rPr>
          <w:rFonts w:eastAsiaTheme="majorEastAsia"/>
        </w:rPr>
      </w:pPr>
      <w:r>
        <w:rPr>
          <w:rFonts w:eastAsiaTheme="majorEastAsia"/>
        </w:rPr>
        <w:t xml:space="preserve">This section outlines the process for publishing an interim determination for determination of a foreign GI or translation of a foreign GI. </w:t>
      </w:r>
    </w:p>
    <w:p w14:paraId="2DDD9334" w14:textId="61BF320A" w:rsidR="00F11F75" w:rsidRPr="002A4118" w:rsidRDefault="00F11F75" w:rsidP="00C21613">
      <w:pPr>
        <w:rPr>
          <w:rFonts w:eastAsiaTheme="majorEastAsia"/>
        </w:rPr>
      </w:pPr>
      <w:r>
        <w:rPr>
          <w:rFonts w:eastAsiaTheme="majorEastAsia"/>
        </w:rPr>
        <w:t>Interim determinations must be published in a notice by t</w:t>
      </w:r>
      <w:r w:rsidRPr="002A4118">
        <w:rPr>
          <w:rFonts w:eastAsiaTheme="majorEastAsia"/>
        </w:rPr>
        <w:t xml:space="preserve">he Presiding Member </w:t>
      </w:r>
      <w:r>
        <w:rPr>
          <w:rFonts w:eastAsiaTheme="majorEastAsia"/>
        </w:rPr>
        <w:t xml:space="preserve">of the </w:t>
      </w:r>
      <w:r w:rsidR="00C21613" w:rsidRPr="00C21613">
        <w:rPr>
          <w:rFonts w:eastAsiaTheme="majorEastAsia"/>
        </w:rPr>
        <w:t>Committee</w:t>
      </w:r>
      <w:r>
        <w:rPr>
          <w:rFonts w:eastAsiaTheme="majorEastAsia"/>
        </w:rPr>
        <w:t>. The</w:t>
      </w:r>
      <w:r w:rsidRPr="002A4118">
        <w:rPr>
          <w:rFonts w:eastAsiaTheme="majorEastAsia"/>
        </w:rPr>
        <w:t xml:space="preserve"> notice </w:t>
      </w:r>
      <w:r w:rsidR="00362C7C">
        <w:rPr>
          <w:rFonts w:eastAsiaTheme="majorEastAsia"/>
        </w:rPr>
        <w:t xml:space="preserve">must state </w:t>
      </w:r>
      <w:r>
        <w:rPr>
          <w:rFonts w:eastAsiaTheme="majorEastAsia"/>
        </w:rPr>
        <w:t xml:space="preserve">that the interim </w:t>
      </w:r>
      <w:r w:rsidRPr="00E80E1A">
        <w:rPr>
          <w:rFonts w:eastAsiaTheme="majorEastAsia"/>
        </w:rPr>
        <w:t>determination</w:t>
      </w:r>
      <w:r>
        <w:rPr>
          <w:rFonts w:eastAsiaTheme="majorEastAsia"/>
        </w:rPr>
        <w:t xml:space="preserve"> has been made, the terms of the determination and invite persons to make </w:t>
      </w:r>
      <w:r w:rsidR="00E2464C">
        <w:rPr>
          <w:rFonts w:eastAsiaTheme="majorEastAsia"/>
        </w:rPr>
        <w:t>written</w:t>
      </w:r>
      <w:r>
        <w:rPr>
          <w:rFonts w:eastAsiaTheme="majorEastAsia"/>
        </w:rPr>
        <w:t xml:space="preserve"> submissions to the </w:t>
      </w:r>
      <w:r w:rsidR="00C21613" w:rsidRPr="00C21613">
        <w:rPr>
          <w:rFonts w:eastAsiaTheme="majorEastAsia"/>
        </w:rPr>
        <w:t>Committee</w:t>
      </w:r>
      <w:r w:rsidRPr="002A4118">
        <w:rPr>
          <w:rFonts w:eastAsiaTheme="majorEastAsia"/>
        </w:rPr>
        <w:t>.</w:t>
      </w:r>
      <w:r>
        <w:rPr>
          <w:rFonts w:eastAsiaTheme="majorEastAsia"/>
        </w:rPr>
        <w:t xml:space="preserve"> The closing period for submission must also be stated in the notice, with a minimum of one month provided for submissions to be made.</w:t>
      </w:r>
    </w:p>
    <w:p w14:paraId="2864F5ED" w14:textId="1D6963F2" w:rsidR="00F11F75" w:rsidRDefault="00F11F75" w:rsidP="00C21613">
      <w:pPr>
        <w:rPr>
          <w:rFonts w:eastAsiaTheme="majorEastAsia"/>
        </w:rPr>
      </w:pPr>
      <w:r w:rsidRPr="002A4118">
        <w:rPr>
          <w:rFonts w:eastAsiaTheme="majorEastAsia"/>
        </w:rPr>
        <w:lastRenderedPageBreak/>
        <w:t>A single notice can be published by the Pr</w:t>
      </w:r>
      <w:r>
        <w:rPr>
          <w:rFonts w:eastAsiaTheme="majorEastAsia"/>
        </w:rPr>
        <w:t xml:space="preserve">esiding Member </w:t>
      </w:r>
      <w:r w:rsidR="00E729C6">
        <w:rPr>
          <w:rFonts w:eastAsiaTheme="majorEastAsia"/>
        </w:rPr>
        <w:t xml:space="preserve">of the Committee </w:t>
      </w:r>
      <w:r>
        <w:rPr>
          <w:rFonts w:eastAsiaTheme="majorEastAsia"/>
        </w:rPr>
        <w:t xml:space="preserve">if interim determinations are made for both a </w:t>
      </w:r>
      <w:r w:rsidR="00362C7C">
        <w:rPr>
          <w:rFonts w:eastAsiaTheme="majorEastAsia"/>
        </w:rPr>
        <w:t xml:space="preserve">foreign </w:t>
      </w:r>
      <w:r>
        <w:rPr>
          <w:rFonts w:eastAsiaTheme="majorEastAsia"/>
        </w:rPr>
        <w:t xml:space="preserve">GI and a translation of the </w:t>
      </w:r>
      <w:r w:rsidR="00362C7C">
        <w:rPr>
          <w:rFonts w:eastAsiaTheme="majorEastAsia"/>
        </w:rPr>
        <w:t xml:space="preserve">foreign </w:t>
      </w:r>
      <w:r>
        <w:rPr>
          <w:rFonts w:eastAsiaTheme="majorEastAsia"/>
        </w:rPr>
        <w:t>GI.</w:t>
      </w:r>
    </w:p>
    <w:p w14:paraId="45830B24" w14:textId="6F2C04A4" w:rsidR="00362C7C" w:rsidRPr="00362C7C" w:rsidRDefault="00362C7C" w:rsidP="00C21613">
      <w:pPr>
        <w:rPr>
          <w:rFonts w:eastAsia="Calibri"/>
          <w:lang w:eastAsia="en-AU"/>
        </w:rPr>
      </w:pPr>
      <w:r>
        <w:rPr>
          <w:rFonts w:eastAsia="Calibri"/>
          <w:lang w:eastAsia="en-AU"/>
        </w:rPr>
        <w:t xml:space="preserve">The Committee may publish the notice in any manner it considers appropriate. </w:t>
      </w:r>
      <w:r w:rsidRPr="00C21613">
        <w:rPr>
          <w:rFonts w:eastAsia="Calibri"/>
          <w:lang w:eastAsia="ja-JP"/>
        </w:rPr>
        <w:t xml:space="preserve">For example, the Presiding Member </w:t>
      </w:r>
      <w:r w:rsidR="00E729C6">
        <w:rPr>
          <w:rFonts w:eastAsia="Calibri"/>
          <w:lang w:eastAsia="ja-JP"/>
        </w:rPr>
        <w:t xml:space="preserve">of the Committee </w:t>
      </w:r>
      <w:r w:rsidRPr="00C21613">
        <w:rPr>
          <w:rFonts w:eastAsia="Calibri"/>
          <w:lang w:eastAsia="ja-JP"/>
        </w:rPr>
        <w:t>may publish a notice on the Authority’s website.</w:t>
      </w:r>
    </w:p>
    <w:p w14:paraId="443B5C3D" w14:textId="0471820A" w:rsidR="00F11F75" w:rsidRPr="00F11F75" w:rsidRDefault="00F11F75" w:rsidP="00C21613">
      <w:pPr>
        <w:pStyle w:val="Provision"/>
      </w:pPr>
      <w:r w:rsidRPr="00F11F75">
        <w:t>Section 9</w:t>
      </w:r>
      <w:r w:rsidR="005F31AE">
        <w:t>6</w:t>
      </w:r>
      <w:r w:rsidRPr="00F11F75">
        <w:t xml:space="preserve"> – Final determination</w:t>
      </w:r>
    </w:p>
    <w:p w14:paraId="344E7384" w14:textId="61434E4A" w:rsidR="00F11F75" w:rsidRPr="007E27FA" w:rsidRDefault="00F11F75" w:rsidP="00C21613">
      <w:pPr>
        <w:rPr>
          <w:i/>
        </w:rPr>
      </w:pPr>
      <w:r>
        <w:t xml:space="preserve">This section outlines when the </w:t>
      </w:r>
      <w:r w:rsidR="00C21613" w:rsidRPr="00C21613">
        <w:t>Committee</w:t>
      </w:r>
      <w:r>
        <w:t xml:space="preserve"> may make a final determination. The </w:t>
      </w:r>
      <w:r w:rsidR="00C21613" w:rsidRPr="00C21613">
        <w:t>Committee</w:t>
      </w:r>
      <w:r>
        <w:t xml:space="preserve"> may make a final determination after considering any submission made to it.</w:t>
      </w:r>
    </w:p>
    <w:p w14:paraId="40B2633F" w14:textId="55AA9CE6" w:rsidR="00F11F75" w:rsidRPr="00F11F75" w:rsidRDefault="00F11F75" w:rsidP="00C21613">
      <w:pPr>
        <w:pStyle w:val="Provision"/>
      </w:pPr>
      <w:r w:rsidRPr="00F11F75">
        <w:t>Section 9</w:t>
      </w:r>
      <w:r w:rsidR="005F31AE">
        <w:t>7</w:t>
      </w:r>
      <w:r w:rsidRPr="00F11F75">
        <w:t xml:space="preserve"> – Publication of notice of final determination</w:t>
      </w:r>
    </w:p>
    <w:p w14:paraId="16964EFE" w14:textId="1162DEF3" w:rsidR="00F11F75" w:rsidRDefault="00F11F75" w:rsidP="00C21613">
      <w:pPr>
        <w:rPr>
          <w:i/>
        </w:rPr>
      </w:pPr>
      <w:r>
        <w:t>This section outlines the process for publishing a final determination</w:t>
      </w:r>
      <w:r w:rsidR="00AD152C">
        <w:t xml:space="preserve"> made under section 96.</w:t>
      </w:r>
    </w:p>
    <w:p w14:paraId="1F61175B" w14:textId="3E6D8141" w:rsidR="00F11F75" w:rsidRDefault="00F11F75" w:rsidP="00C21613">
      <w:pPr>
        <w:rPr>
          <w:i/>
        </w:rPr>
      </w:pPr>
      <w:r>
        <w:t xml:space="preserve">Final determinations must be published in a notice by the Presiding Member of the </w:t>
      </w:r>
      <w:r w:rsidR="00C21613" w:rsidRPr="00C21613">
        <w:t>Committee</w:t>
      </w:r>
      <w:r w:rsidR="00362C7C">
        <w:t>.</w:t>
      </w:r>
      <w:r w:rsidR="00833C44">
        <w:t xml:space="preserve"> The Presiding Member of the Committee must also give notice to the person who applied for the determination of a foreign GI or translation of a foreign GI (under section 60) and any person who has made an objection that has been considered by the Registrar of Trade Marks under Division 3. </w:t>
      </w:r>
      <w:r w:rsidR="00362C7C">
        <w:t>The notice must state</w:t>
      </w:r>
      <w:r>
        <w:t xml:space="preserve"> that the final determination has been made and the terms of the determination. The notice must also include a statement that communicates the following:</w:t>
      </w:r>
    </w:p>
    <w:p w14:paraId="509B52A1" w14:textId="632A4453" w:rsidR="00C21613" w:rsidRPr="00C21613" w:rsidRDefault="00F11F75" w:rsidP="002D5623">
      <w:pPr>
        <w:pStyle w:val="ListParagraph"/>
        <w:numPr>
          <w:ilvl w:val="0"/>
          <w:numId w:val="71"/>
        </w:numPr>
        <w:rPr>
          <w:i/>
        </w:rPr>
      </w:pPr>
      <w:r>
        <w:t>Applications for review of the determination may be made to the Administrative Appeals Tribunal by a person, or on behalf of a person, whose interests ar</w:t>
      </w:r>
      <w:r w:rsidR="005817B3">
        <w:t>e affected by the determination:</w:t>
      </w:r>
    </w:p>
    <w:p w14:paraId="5687481F" w14:textId="400A531E" w:rsidR="00F11F75" w:rsidRPr="00362C7C" w:rsidRDefault="001C5FB8" w:rsidP="002D5623">
      <w:pPr>
        <w:pStyle w:val="ListParagraph"/>
        <w:numPr>
          <w:ilvl w:val="1"/>
          <w:numId w:val="42"/>
        </w:numPr>
        <w:rPr>
          <w:i/>
        </w:rPr>
      </w:pPr>
      <w:r>
        <w:t>a</w:t>
      </w:r>
      <w:r w:rsidR="00F11F75" w:rsidRPr="0075600C">
        <w:t xml:space="preserve">pplications may be made in writing and request a statement of reasons for the decision in accordance with section 28 of the </w:t>
      </w:r>
      <w:r w:rsidR="00F11F75" w:rsidRPr="00362C7C">
        <w:rPr>
          <w:i/>
        </w:rPr>
        <w:t>Administrative Appeals Tribunal Act 1975.</w:t>
      </w:r>
    </w:p>
    <w:p w14:paraId="66004187" w14:textId="06BAFD98" w:rsidR="00C21613" w:rsidRPr="00C21613" w:rsidRDefault="00F11F75" w:rsidP="002D5623">
      <w:pPr>
        <w:pStyle w:val="ListParagraph"/>
        <w:numPr>
          <w:ilvl w:val="0"/>
          <w:numId w:val="71"/>
        </w:numPr>
        <w:rPr>
          <w:i/>
        </w:rPr>
      </w:pPr>
      <w:r>
        <w:t>Application</w:t>
      </w:r>
      <w:r w:rsidR="00E729C6">
        <w:t>s</w:t>
      </w:r>
      <w:r>
        <w:t xml:space="preserve"> to the Administrative Appeals Tribunal cannot be made regarding the </w:t>
      </w:r>
      <w:r w:rsidR="00362C7C">
        <w:t>decisions below (</w:t>
      </w:r>
      <w:r>
        <w:t>rather, appeals ma</w:t>
      </w:r>
      <w:r w:rsidR="00362C7C">
        <w:t>y be made to the Federal Court under section 89</w:t>
      </w:r>
      <w:r>
        <w:t xml:space="preserve">): </w:t>
      </w:r>
    </w:p>
    <w:p w14:paraId="13DE8883" w14:textId="5B8F85C3" w:rsidR="00F11F75" w:rsidRPr="00C21613" w:rsidRDefault="00F11F75" w:rsidP="002D5623">
      <w:pPr>
        <w:pStyle w:val="ListParagraph"/>
        <w:numPr>
          <w:ilvl w:val="1"/>
          <w:numId w:val="42"/>
        </w:numPr>
      </w:pPr>
      <w:r>
        <w:t xml:space="preserve">decisions by the </w:t>
      </w:r>
      <w:r w:rsidR="00365FE0">
        <w:t>Registrar of Trade Marks</w:t>
      </w:r>
      <w:r>
        <w:t xml:space="preserve"> that a ground of objection is or is not supported (section </w:t>
      </w:r>
      <w:r w:rsidR="00810F84">
        <w:t>71</w:t>
      </w:r>
      <w:r>
        <w:t>)</w:t>
      </w:r>
    </w:p>
    <w:p w14:paraId="5B27D8A3" w14:textId="4DA268DF" w:rsidR="00F11F75" w:rsidRPr="00C21613" w:rsidRDefault="00F11F75" w:rsidP="002D5623">
      <w:pPr>
        <w:pStyle w:val="ListParagraph"/>
        <w:numPr>
          <w:ilvl w:val="1"/>
          <w:numId w:val="42"/>
        </w:numPr>
      </w:pPr>
      <w:r>
        <w:t xml:space="preserve">recommendations by the </w:t>
      </w:r>
      <w:r w:rsidR="00365FE0">
        <w:t>Registrar of Trade Marks</w:t>
      </w:r>
      <w:r>
        <w:t xml:space="preserve"> to determine or tr</w:t>
      </w:r>
      <w:r w:rsidR="00810F84">
        <w:t>anslate a foreign GI (section 72</w:t>
      </w:r>
      <w:r>
        <w:t>)</w:t>
      </w:r>
      <w:r w:rsidR="003A27A9">
        <w:t>,</w:t>
      </w:r>
      <w:r>
        <w:t xml:space="preserve"> or </w:t>
      </w:r>
    </w:p>
    <w:p w14:paraId="22AED742" w14:textId="301B3E64" w:rsidR="00F11F75" w:rsidRPr="00C21613" w:rsidRDefault="00F11F75" w:rsidP="002D5623">
      <w:pPr>
        <w:pStyle w:val="ListParagraph"/>
        <w:numPr>
          <w:ilvl w:val="1"/>
          <w:numId w:val="42"/>
        </w:numPr>
      </w:pPr>
      <w:r>
        <w:t>decisions by the Register of Trade Marks in relation to a ground of objection no longer existing (section 8</w:t>
      </w:r>
      <w:r w:rsidR="00810F84">
        <w:t>5</w:t>
      </w:r>
      <w:r>
        <w:t xml:space="preserve">). </w:t>
      </w:r>
    </w:p>
    <w:p w14:paraId="2884C3FD" w14:textId="14C6EAF2" w:rsidR="00F11F75" w:rsidRDefault="00F11F75" w:rsidP="00C21613">
      <w:pPr>
        <w:rPr>
          <w:rFonts w:eastAsiaTheme="majorEastAsia"/>
        </w:rPr>
      </w:pPr>
      <w:r>
        <w:rPr>
          <w:rFonts w:eastAsiaTheme="majorEastAsia"/>
        </w:rPr>
        <w:t xml:space="preserve">If the above information is not included as a statement in the published notice, it does not affect the validity of the </w:t>
      </w:r>
      <w:r w:rsidR="00362C7C">
        <w:rPr>
          <w:rFonts w:eastAsiaTheme="majorEastAsia"/>
        </w:rPr>
        <w:t xml:space="preserve">final </w:t>
      </w:r>
      <w:r>
        <w:rPr>
          <w:rFonts w:eastAsiaTheme="majorEastAsia"/>
        </w:rPr>
        <w:t>determination.</w:t>
      </w:r>
    </w:p>
    <w:p w14:paraId="085F7F8E" w14:textId="4E9F66FE" w:rsidR="00F11F75" w:rsidRDefault="00F11F75" w:rsidP="00C21613">
      <w:pPr>
        <w:rPr>
          <w:rFonts w:eastAsiaTheme="majorEastAsia"/>
        </w:rPr>
      </w:pPr>
      <w:r w:rsidRPr="002A4118">
        <w:rPr>
          <w:rFonts w:eastAsiaTheme="majorEastAsia"/>
        </w:rPr>
        <w:t>A single notice can be published by the Pr</w:t>
      </w:r>
      <w:r>
        <w:rPr>
          <w:rFonts w:eastAsiaTheme="majorEastAsia"/>
        </w:rPr>
        <w:t xml:space="preserve">esiding Member </w:t>
      </w:r>
      <w:r w:rsidR="00E729C6">
        <w:rPr>
          <w:rFonts w:eastAsiaTheme="majorEastAsia"/>
        </w:rPr>
        <w:t xml:space="preserve">of the Committee </w:t>
      </w:r>
      <w:r>
        <w:rPr>
          <w:rFonts w:eastAsiaTheme="majorEastAsia"/>
        </w:rPr>
        <w:t xml:space="preserve">if final determinations are made for both a </w:t>
      </w:r>
      <w:r w:rsidR="00362C7C">
        <w:rPr>
          <w:rFonts w:eastAsiaTheme="majorEastAsia"/>
        </w:rPr>
        <w:t xml:space="preserve">foreign </w:t>
      </w:r>
      <w:r>
        <w:rPr>
          <w:rFonts w:eastAsiaTheme="majorEastAsia"/>
        </w:rPr>
        <w:t>GI and a translation of the</w:t>
      </w:r>
      <w:r w:rsidR="00362C7C">
        <w:rPr>
          <w:rFonts w:eastAsiaTheme="majorEastAsia"/>
        </w:rPr>
        <w:t xml:space="preserve"> foreign</w:t>
      </w:r>
      <w:r>
        <w:rPr>
          <w:rFonts w:eastAsiaTheme="majorEastAsia"/>
        </w:rPr>
        <w:t xml:space="preserve"> GI.</w:t>
      </w:r>
    </w:p>
    <w:p w14:paraId="6EC69A25" w14:textId="543EEFA5" w:rsidR="00362C7C" w:rsidRPr="00362C7C" w:rsidRDefault="00362C7C" w:rsidP="00C21613">
      <w:pPr>
        <w:rPr>
          <w:rFonts w:eastAsia="Calibri"/>
          <w:lang w:eastAsia="en-AU"/>
        </w:rPr>
      </w:pPr>
      <w:r>
        <w:rPr>
          <w:rFonts w:eastAsia="Calibri"/>
          <w:lang w:eastAsia="en-AU"/>
        </w:rPr>
        <w:t xml:space="preserve">The Committee may publish the notice in any manner it considers appropriate. </w:t>
      </w:r>
      <w:r w:rsidRPr="00C21613">
        <w:rPr>
          <w:rFonts w:eastAsia="Calibri"/>
          <w:lang w:eastAsia="ja-JP"/>
        </w:rPr>
        <w:t xml:space="preserve">For example, the Presiding Member </w:t>
      </w:r>
      <w:r w:rsidR="00E729C6">
        <w:rPr>
          <w:rFonts w:eastAsia="Calibri"/>
          <w:lang w:eastAsia="ja-JP"/>
        </w:rPr>
        <w:t xml:space="preserve">of the Committee </w:t>
      </w:r>
      <w:r w:rsidRPr="00C21613">
        <w:rPr>
          <w:rFonts w:eastAsia="Calibri"/>
          <w:lang w:eastAsia="ja-JP"/>
        </w:rPr>
        <w:t>may publish a notice on the Authority’s website</w:t>
      </w:r>
      <w:r w:rsidR="00AD152C">
        <w:rPr>
          <w:rFonts w:eastAsia="Calibri"/>
          <w:lang w:eastAsia="ja-JP"/>
        </w:rPr>
        <w:t xml:space="preserve"> or in a national newspaper</w:t>
      </w:r>
      <w:r w:rsidRPr="00C21613">
        <w:rPr>
          <w:rFonts w:eastAsia="Calibri"/>
          <w:lang w:eastAsia="ja-JP"/>
        </w:rPr>
        <w:t>.</w:t>
      </w:r>
    </w:p>
    <w:p w14:paraId="52AD185E" w14:textId="20109F3C" w:rsidR="00F11F75" w:rsidRPr="00F11F75" w:rsidRDefault="00F11F75" w:rsidP="00C21613">
      <w:pPr>
        <w:pStyle w:val="Provision"/>
      </w:pPr>
      <w:r w:rsidRPr="00F11F75">
        <w:lastRenderedPageBreak/>
        <w:t>Section 9</w:t>
      </w:r>
      <w:r w:rsidR="005F31AE">
        <w:t>8</w:t>
      </w:r>
      <w:r w:rsidRPr="00F11F75">
        <w:t xml:space="preserve"> – Review of final determination</w:t>
      </w:r>
    </w:p>
    <w:p w14:paraId="558CA750" w14:textId="23351CDC" w:rsidR="00F11F75" w:rsidRDefault="003A27A9" w:rsidP="00C21613">
      <w:pPr>
        <w:rPr>
          <w:i/>
        </w:rPr>
      </w:pPr>
      <w:r>
        <w:t>This</w:t>
      </w:r>
      <w:r w:rsidR="00F11F75">
        <w:t xml:space="preserve"> section provides the circumstances under which </w:t>
      </w:r>
      <w:r w:rsidR="000B057F">
        <w:t xml:space="preserve">an application for </w:t>
      </w:r>
      <w:r w:rsidR="00F11F75">
        <w:t xml:space="preserve">review of final determinations </w:t>
      </w:r>
      <w:r w:rsidR="00AD152C">
        <w:t xml:space="preserve">made under section 96 </w:t>
      </w:r>
      <w:r w:rsidR="00F11F75">
        <w:t>can be made.</w:t>
      </w:r>
    </w:p>
    <w:p w14:paraId="0FFB87C0" w14:textId="19BA1EDC" w:rsidR="00F11F75" w:rsidRDefault="00F11F75" w:rsidP="00C21613">
      <w:pPr>
        <w:rPr>
          <w:i/>
        </w:rPr>
      </w:pPr>
      <w:r>
        <w:t xml:space="preserve">Applications can be made to the Administrative Appeals Tribunal for review of final determinations made by the </w:t>
      </w:r>
      <w:r w:rsidR="00C21613" w:rsidRPr="00C21613">
        <w:t>Committee</w:t>
      </w:r>
      <w:r>
        <w:t xml:space="preserve">. For decisions made by the </w:t>
      </w:r>
      <w:r w:rsidR="00365FE0">
        <w:t>Registrar of Trade Marks</w:t>
      </w:r>
      <w:r w:rsidR="00810F84">
        <w:t xml:space="preserve"> (section 71, 72 and 85</w:t>
      </w:r>
      <w:r>
        <w:t xml:space="preserve">), appeals may be made to the Federal Court (further details on this are provided in section </w:t>
      </w:r>
      <w:r w:rsidR="00810F84">
        <w:t>89</w:t>
      </w:r>
      <w:r>
        <w:t>).</w:t>
      </w:r>
    </w:p>
    <w:p w14:paraId="3F938281" w14:textId="0F49FA49" w:rsidR="00F11F75" w:rsidRDefault="00F11F75" w:rsidP="00C21613">
      <w:r>
        <w:t xml:space="preserve">An application to the </w:t>
      </w:r>
      <w:r w:rsidR="001C5FB8">
        <w:t xml:space="preserve">Administrative Appeals </w:t>
      </w:r>
      <w:r>
        <w:t>Tribunal must be made within 28 days of the publication of the notice of determination and include the terms of the determination and the required statement (section 9</w:t>
      </w:r>
      <w:r w:rsidR="00810F84">
        <w:t>7</w:t>
      </w:r>
      <w:r>
        <w:t xml:space="preserve">). </w:t>
      </w:r>
      <w:r w:rsidRPr="00E11899">
        <w:t xml:space="preserve">While subsection 29(8) of the </w:t>
      </w:r>
      <w:r w:rsidRPr="000B057F">
        <w:rPr>
          <w:i/>
        </w:rPr>
        <w:t xml:space="preserve">Administrative Appeals Tribunal Act 1975 </w:t>
      </w:r>
      <w:r w:rsidRPr="00E11899">
        <w:t>provides that extensions of application deadlines may be granted, the Regulations do not provide for extensions beyond 28 days after publication of the notice of determination.</w:t>
      </w:r>
      <w:r>
        <w:t xml:space="preserve"> </w:t>
      </w:r>
    </w:p>
    <w:p w14:paraId="42800CC1" w14:textId="7A0106FF" w:rsidR="002C6AA5" w:rsidRDefault="00553399" w:rsidP="00810F84">
      <w:r>
        <w:t xml:space="preserve">No extensions are provided as interested persons are given ample opportunity to comment on the determination of a foreign GI. </w:t>
      </w:r>
      <w:r w:rsidR="00B33B56">
        <w:t>Before the final determination is made, the Committee must publish notifications that a foreign GI or translation</w:t>
      </w:r>
      <w:r w:rsidR="00E729C6">
        <w:t xml:space="preserve"> of a foreign GI</w:t>
      </w:r>
      <w:r w:rsidR="00B33B56">
        <w:t xml:space="preserve"> is proposed </w:t>
      </w:r>
      <w:r>
        <w:t>(see se</w:t>
      </w:r>
      <w:r w:rsidR="00810F84">
        <w:t>ction 61</w:t>
      </w:r>
      <w:r>
        <w:t xml:space="preserve">) </w:t>
      </w:r>
      <w:r w:rsidR="00B33B56">
        <w:t xml:space="preserve">and an interim determination </w:t>
      </w:r>
      <w:r w:rsidR="00362C7C">
        <w:t>must be</w:t>
      </w:r>
      <w:r w:rsidR="00B33B56">
        <w:t xml:space="preserve"> made regarding the foreign GI or translation</w:t>
      </w:r>
      <w:r w:rsidR="00810F84">
        <w:t xml:space="preserve"> </w:t>
      </w:r>
      <w:r w:rsidR="00E729C6">
        <w:t xml:space="preserve">of a foreign GI </w:t>
      </w:r>
      <w:r w:rsidR="00810F84">
        <w:t>(see section 95</w:t>
      </w:r>
      <w:r>
        <w:t>)</w:t>
      </w:r>
      <w:r w:rsidR="00B33B56">
        <w:t xml:space="preserve">. </w:t>
      </w:r>
    </w:p>
    <w:p w14:paraId="227CF72D" w14:textId="373804D6" w:rsidR="00B33B56" w:rsidRPr="00B33B56" w:rsidRDefault="00B33B56" w:rsidP="00810F84">
      <w:r>
        <w:t xml:space="preserve">Each of these notices </w:t>
      </w:r>
      <w:r w:rsidR="00553399">
        <w:t>must provide at least</w:t>
      </w:r>
      <w:r>
        <w:t xml:space="preserve"> </w:t>
      </w:r>
      <w:r w:rsidR="00553399">
        <w:t xml:space="preserve">a </w:t>
      </w:r>
      <w:r>
        <w:t xml:space="preserve">one month period for interested persons </w:t>
      </w:r>
      <w:r w:rsidR="00553399">
        <w:t xml:space="preserve">to respond accordingly. </w:t>
      </w:r>
      <w:r w:rsidR="00362C7C">
        <w:t xml:space="preserve">Further, </w:t>
      </w:r>
      <w:r w:rsidR="00553399">
        <w:t>in circumstances where a person has objected to the proposed foreign GI or translation, parties to those proceedings can appeal decisions of the Registrar of Trade Marks to t</w:t>
      </w:r>
      <w:r w:rsidR="00810F84">
        <w:t>he Federal Court (see section 89</w:t>
      </w:r>
      <w:r w:rsidR="00553399">
        <w:t>). Any appeals must be finalised before the Com</w:t>
      </w:r>
      <w:r w:rsidR="00362C7C">
        <w:t xml:space="preserve">mittee makes its determination. These procedures </w:t>
      </w:r>
      <w:r w:rsidR="00553399">
        <w:t xml:space="preserve">afford </w:t>
      </w:r>
      <w:r w:rsidR="00362C7C">
        <w:t>further</w:t>
      </w:r>
      <w:r w:rsidR="00553399">
        <w:t xml:space="preserve"> time for consideration of the determination before it </w:t>
      </w:r>
      <w:r w:rsidR="001C5FB8">
        <w:t xml:space="preserve">was </w:t>
      </w:r>
      <w:r w:rsidR="00362C7C">
        <w:t>finalised</w:t>
      </w:r>
      <w:r w:rsidR="00553399">
        <w:t xml:space="preserve">.   </w:t>
      </w:r>
    </w:p>
    <w:p w14:paraId="190259B8" w14:textId="3D7215D1" w:rsidR="00F11F75" w:rsidRPr="00F11F75" w:rsidRDefault="00F11F75" w:rsidP="00C21613">
      <w:pPr>
        <w:pStyle w:val="Provision"/>
      </w:pPr>
      <w:r w:rsidRPr="00F11F75">
        <w:t>Section 9</w:t>
      </w:r>
      <w:r w:rsidR="005F31AE">
        <w:t>9</w:t>
      </w:r>
      <w:r w:rsidRPr="00F11F75">
        <w:t xml:space="preserve"> – Date of effect of final determination</w:t>
      </w:r>
    </w:p>
    <w:p w14:paraId="0A38ACEE" w14:textId="14765542" w:rsidR="00F11F75" w:rsidRDefault="00F11F75" w:rsidP="00C21613">
      <w:pPr>
        <w:rPr>
          <w:i/>
        </w:rPr>
      </w:pPr>
      <w:r>
        <w:t>This section outlines the process for how a determination</w:t>
      </w:r>
      <w:r w:rsidR="00E729C6">
        <w:t xml:space="preserve"> of a foreign GI</w:t>
      </w:r>
      <w:r>
        <w:t xml:space="preserve"> or translation of a foreign GI comes into force.</w:t>
      </w:r>
    </w:p>
    <w:p w14:paraId="3B4EEC12" w14:textId="39D1185F" w:rsidR="00F11F75" w:rsidRDefault="00F11F75" w:rsidP="00C21613">
      <w:pPr>
        <w:rPr>
          <w:i/>
        </w:rPr>
      </w:pPr>
      <w:r w:rsidRPr="00321D83">
        <w:t>The Pres</w:t>
      </w:r>
      <w:r>
        <w:t xml:space="preserve">iding Member of the </w:t>
      </w:r>
      <w:r w:rsidR="00C21613" w:rsidRPr="00C21613">
        <w:t>Committee</w:t>
      </w:r>
      <w:r>
        <w:t xml:space="preserve"> must give the </w:t>
      </w:r>
      <w:r w:rsidR="00365FE0">
        <w:t>Registrar of Trade Marks</w:t>
      </w:r>
      <w:r>
        <w:t xml:space="preserve"> and the Chair of the Authority a copy of the final determination so that </w:t>
      </w:r>
      <w:r w:rsidR="00362C7C">
        <w:t xml:space="preserve">the particulars or </w:t>
      </w:r>
      <w:r>
        <w:t xml:space="preserve">textual descriptions regarding the determination can be included in the Register of Protected Geographical Indications. </w:t>
      </w:r>
    </w:p>
    <w:p w14:paraId="5DC33E90" w14:textId="25F95A48" w:rsidR="00F11F75" w:rsidRDefault="00F11F75" w:rsidP="00C21613">
      <w:pPr>
        <w:rPr>
          <w:i/>
        </w:rPr>
      </w:pPr>
      <w:r>
        <w:t>A copy of the final determination should</w:t>
      </w:r>
      <w:r w:rsidR="00362C7C">
        <w:t xml:space="preserve"> be provided as soon as practicable</w:t>
      </w:r>
      <w:r>
        <w:t xml:space="preserve"> after notice of the determination has been published for 28 days. </w:t>
      </w:r>
    </w:p>
    <w:p w14:paraId="2643F3DB" w14:textId="1AB178C1" w:rsidR="00F11F75" w:rsidRDefault="00F11F75" w:rsidP="00C21613">
      <w:pPr>
        <w:rPr>
          <w:i/>
        </w:rPr>
      </w:pPr>
      <w:r>
        <w:t>If an application is made to the Administrative Appeals Tribunal for review of the determination, a copy of the final determination should</w:t>
      </w:r>
      <w:r w:rsidR="00362C7C">
        <w:t xml:space="preserve"> be provided as soon as practicable</w:t>
      </w:r>
      <w:r>
        <w:t xml:space="preserve"> after the </w:t>
      </w:r>
      <w:r w:rsidR="00E729C6">
        <w:t xml:space="preserve">Administrative Appeals </w:t>
      </w:r>
      <w:r>
        <w:t xml:space="preserve">Tribunal has made a decision.  </w:t>
      </w:r>
    </w:p>
    <w:p w14:paraId="17EECE5C" w14:textId="07503CF4" w:rsidR="00F11F75" w:rsidRDefault="00F11F75" w:rsidP="00C21613">
      <w:pPr>
        <w:rPr>
          <w:i/>
        </w:rPr>
      </w:pPr>
      <w:r>
        <w:t>The final determination co</w:t>
      </w:r>
      <w:r w:rsidR="00362C7C">
        <w:t xml:space="preserve">mes into force on the day the particulars or </w:t>
      </w:r>
      <w:r>
        <w:t>textual descriptions of the determination are added to the Register.</w:t>
      </w:r>
    </w:p>
    <w:p w14:paraId="44B93A6E" w14:textId="25724B4C" w:rsidR="00F11F75" w:rsidRPr="00F11F75" w:rsidRDefault="00F11F75" w:rsidP="00C21613">
      <w:pPr>
        <w:rPr>
          <w:rFonts w:eastAsiaTheme="majorEastAsia"/>
        </w:rPr>
      </w:pPr>
      <w:r>
        <w:t xml:space="preserve">If a final determination is made regarding the translation of a </w:t>
      </w:r>
      <w:r w:rsidR="00F926F7">
        <w:t xml:space="preserve">foreign </w:t>
      </w:r>
      <w:r>
        <w:t xml:space="preserve">GI, it does not come into force and textual descriptions must not be included in the Register if the </w:t>
      </w:r>
      <w:r w:rsidR="00E729C6">
        <w:t xml:space="preserve">foreign </w:t>
      </w:r>
      <w:r>
        <w:t>GI to which the translation relates is not included in the Register.</w:t>
      </w:r>
    </w:p>
    <w:p w14:paraId="3A53BD51" w14:textId="77777777" w:rsidR="004230DF" w:rsidRPr="004230DF" w:rsidRDefault="004230DF" w:rsidP="00F164D2">
      <w:pPr>
        <w:pStyle w:val="Part"/>
      </w:pPr>
      <w:r w:rsidRPr="004230DF">
        <w:lastRenderedPageBreak/>
        <w:t>Part 8—Omission from the Register of foreign GIs and translations of foreign GIs</w:t>
      </w:r>
    </w:p>
    <w:p w14:paraId="3992AB36" w14:textId="370CBD18" w:rsidR="004230DF" w:rsidRPr="004230DF" w:rsidRDefault="004230DF" w:rsidP="002D5623">
      <w:pPr>
        <w:pStyle w:val="Heading3"/>
        <w:tabs>
          <w:tab w:val="left" w:pos="426"/>
        </w:tabs>
      </w:pPr>
      <w:r w:rsidRPr="004230DF">
        <w:t>Division 1</w:t>
      </w:r>
      <w:r w:rsidR="000C3C04" w:rsidRPr="009E5369">
        <w:t>—</w:t>
      </w:r>
      <w:r w:rsidRPr="004230DF">
        <w:t>Preliminary</w:t>
      </w:r>
    </w:p>
    <w:p w14:paraId="5CBBD621" w14:textId="74B56A40" w:rsidR="005F31AE" w:rsidRDefault="005F31AE" w:rsidP="00C21613">
      <w:pPr>
        <w:pStyle w:val="Provision"/>
      </w:pPr>
      <w:r>
        <w:t>Section 100 – Simplified outline of this Part</w:t>
      </w:r>
    </w:p>
    <w:p w14:paraId="510FF823" w14:textId="57590706" w:rsidR="00906BCB" w:rsidRPr="00D24CD7" w:rsidRDefault="00906BCB" w:rsidP="00906BCB">
      <w:r>
        <w:t xml:space="preserve">This section provides a simplified outline of the procedures for omission of foreign GIs and translations of foreign GIs from the Register, set out in Part 8. </w:t>
      </w:r>
    </w:p>
    <w:p w14:paraId="4ABF07D7" w14:textId="5048511A" w:rsidR="004230DF" w:rsidRPr="004230DF" w:rsidRDefault="00906BCB" w:rsidP="00C21613">
      <w:pPr>
        <w:pStyle w:val="Provision"/>
      </w:pPr>
      <w:r>
        <w:t>Section 101</w:t>
      </w:r>
      <w:r w:rsidR="00976396">
        <w:t xml:space="preserve"> </w:t>
      </w:r>
      <w:r w:rsidR="00F926F7" w:rsidRPr="00245226">
        <w:t>–</w:t>
      </w:r>
      <w:r w:rsidR="00976396">
        <w:t xml:space="preserve"> Purpose of P</w:t>
      </w:r>
      <w:r w:rsidR="004230DF" w:rsidRPr="004230DF">
        <w:t>art</w:t>
      </w:r>
    </w:p>
    <w:p w14:paraId="1D9C990D" w14:textId="2C3F125E" w:rsidR="004230DF" w:rsidRDefault="004230DF" w:rsidP="00C21613">
      <w:pPr>
        <w:rPr>
          <w:lang w:eastAsia="ja-JP"/>
        </w:rPr>
      </w:pPr>
      <w:r w:rsidRPr="004230DF">
        <w:rPr>
          <w:lang w:eastAsia="ja-JP"/>
        </w:rPr>
        <w:t xml:space="preserve">This </w:t>
      </w:r>
      <w:r w:rsidR="00976396">
        <w:rPr>
          <w:lang w:eastAsia="ja-JP"/>
        </w:rPr>
        <w:t>section</w:t>
      </w:r>
      <w:r w:rsidRPr="004230DF">
        <w:rPr>
          <w:lang w:eastAsia="ja-JP"/>
        </w:rPr>
        <w:t xml:space="preserve"> details the purpose of Part 8, which is to provide for the omission </w:t>
      </w:r>
      <w:r w:rsidR="00961A5A">
        <w:rPr>
          <w:lang w:eastAsia="ja-JP"/>
        </w:rPr>
        <w:t xml:space="preserve">of foreign GIs </w:t>
      </w:r>
      <w:r w:rsidRPr="004230DF">
        <w:rPr>
          <w:lang w:eastAsia="ja-JP"/>
        </w:rPr>
        <w:t xml:space="preserve">from the Register and for registered translations relating to </w:t>
      </w:r>
      <w:r w:rsidR="00961A5A">
        <w:rPr>
          <w:lang w:eastAsia="ja-JP"/>
        </w:rPr>
        <w:t>foreign GIs</w:t>
      </w:r>
      <w:r w:rsidRPr="004230DF">
        <w:rPr>
          <w:lang w:eastAsia="ja-JP"/>
        </w:rPr>
        <w:t>.</w:t>
      </w:r>
      <w:r w:rsidR="00F6246D">
        <w:rPr>
          <w:lang w:eastAsia="ja-JP"/>
        </w:rPr>
        <w:t xml:space="preserve"> This part is made for the purposes of subsection 40ZAT(1) of the Act.</w:t>
      </w:r>
    </w:p>
    <w:p w14:paraId="6B3CE17F" w14:textId="468C76AD" w:rsidR="00C96E98" w:rsidRDefault="00976396" w:rsidP="00976396">
      <w:pPr>
        <w:rPr>
          <w:lang w:eastAsia="ja-JP"/>
        </w:rPr>
      </w:pPr>
      <w:r>
        <w:rPr>
          <w:lang w:eastAsia="ja-JP"/>
        </w:rPr>
        <w:t>The procedures for determining and omitting Australian and foreign GIs are to be aligned, in order to meet Australia’s inter</w:t>
      </w:r>
      <w:r w:rsidR="00E729C6">
        <w:rPr>
          <w:lang w:eastAsia="ja-JP"/>
        </w:rPr>
        <w:t>national obligations under wine-</w:t>
      </w:r>
      <w:r>
        <w:rPr>
          <w:lang w:eastAsia="ja-JP"/>
        </w:rPr>
        <w:t xml:space="preserve">trading agreements. </w:t>
      </w:r>
    </w:p>
    <w:p w14:paraId="52ED9E27" w14:textId="10E8D14A" w:rsidR="00F6246D" w:rsidRDefault="00F6246D" w:rsidP="00976396">
      <w:pPr>
        <w:rPr>
          <w:lang w:eastAsia="ja-JP"/>
        </w:rPr>
      </w:pPr>
      <w:r>
        <w:rPr>
          <w:lang w:eastAsia="ja-JP"/>
        </w:rPr>
        <w:t xml:space="preserve">Division 2 of this part is intended to align with </w:t>
      </w:r>
      <w:r w:rsidR="00976396">
        <w:rPr>
          <w:lang w:eastAsia="ja-JP"/>
        </w:rPr>
        <w:t xml:space="preserve">the process for </w:t>
      </w:r>
      <w:r>
        <w:rPr>
          <w:lang w:eastAsia="ja-JP"/>
        </w:rPr>
        <w:t xml:space="preserve">omission of </w:t>
      </w:r>
      <w:r w:rsidR="00C96E98">
        <w:rPr>
          <w:lang w:eastAsia="ja-JP"/>
        </w:rPr>
        <w:t>an Australian GI</w:t>
      </w:r>
      <w:r w:rsidR="00976396">
        <w:rPr>
          <w:lang w:eastAsia="ja-JP"/>
        </w:rPr>
        <w:t xml:space="preserve"> </w:t>
      </w:r>
      <w:r w:rsidR="00C96E98">
        <w:rPr>
          <w:lang w:eastAsia="ja-JP"/>
        </w:rPr>
        <w:t>on the ground that it is not being used,</w:t>
      </w:r>
      <w:r>
        <w:rPr>
          <w:lang w:eastAsia="ja-JP"/>
        </w:rPr>
        <w:t xml:space="preserve"> as </w:t>
      </w:r>
      <w:r w:rsidR="00976396">
        <w:rPr>
          <w:lang w:eastAsia="ja-JP"/>
        </w:rPr>
        <w:t xml:space="preserve">set out in </w:t>
      </w:r>
      <w:r>
        <w:rPr>
          <w:lang w:eastAsia="ja-JP"/>
        </w:rPr>
        <w:t>Part VIB</w:t>
      </w:r>
      <w:r w:rsidR="00C96E98">
        <w:rPr>
          <w:lang w:eastAsia="ja-JP"/>
        </w:rPr>
        <w:t>,</w:t>
      </w:r>
      <w:r w:rsidR="00C96E98" w:rsidRPr="00C96E98">
        <w:rPr>
          <w:lang w:eastAsia="ja-JP"/>
        </w:rPr>
        <w:t xml:space="preserve"> </w:t>
      </w:r>
      <w:r w:rsidR="00C96E98">
        <w:rPr>
          <w:lang w:eastAsia="ja-JP"/>
        </w:rPr>
        <w:t>Division 4A,</w:t>
      </w:r>
      <w:r w:rsidR="00C96E98" w:rsidRPr="00C96E98">
        <w:rPr>
          <w:lang w:eastAsia="ja-JP"/>
        </w:rPr>
        <w:t xml:space="preserve"> </w:t>
      </w:r>
      <w:r w:rsidR="00C96E98">
        <w:rPr>
          <w:lang w:eastAsia="ja-JP"/>
        </w:rPr>
        <w:t>Subdivision B of</w:t>
      </w:r>
      <w:r>
        <w:rPr>
          <w:lang w:eastAsia="ja-JP"/>
        </w:rPr>
        <w:t xml:space="preserve"> </w:t>
      </w:r>
      <w:r w:rsidR="00976396">
        <w:rPr>
          <w:lang w:eastAsia="ja-JP"/>
        </w:rPr>
        <w:t xml:space="preserve">the Act. As this division </w:t>
      </w:r>
      <w:r>
        <w:rPr>
          <w:lang w:eastAsia="ja-JP"/>
        </w:rPr>
        <w:t>also applies to</w:t>
      </w:r>
      <w:r w:rsidR="00CE7E37">
        <w:rPr>
          <w:lang w:eastAsia="ja-JP"/>
        </w:rPr>
        <w:t xml:space="preserve"> translations</w:t>
      </w:r>
      <w:r>
        <w:rPr>
          <w:lang w:eastAsia="ja-JP"/>
        </w:rPr>
        <w:t xml:space="preserve"> of foreign GIs</w:t>
      </w:r>
      <w:r w:rsidR="00CE7E37">
        <w:rPr>
          <w:lang w:eastAsia="ja-JP"/>
        </w:rPr>
        <w:t>, the procedures take into account how translations are to be considered in determining omission from the Register.</w:t>
      </w:r>
      <w:r>
        <w:rPr>
          <w:lang w:eastAsia="ja-JP"/>
        </w:rPr>
        <w:t xml:space="preserve"> It is for this reason that a person may apply for omission of a translation of a foreign GI due to loss of significance</w:t>
      </w:r>
      <w:r w:rsidR="00C96E98">
        <w:rPr>
          <w:lang w:eastAsia="ja-JP"/>
        </w:rPr>
        <w:t xml:space="preserve"> under Division 2</w:t>
      </w:r>
      <w:r>
        <w:rPr>
          <w:lang w:eastAsia="ja-JP"/>
        </w:rPr>
        <w:t xml:space="preserve">. </w:t>
      </w:r>
    </w:p>
    <w:p w14:paraId="078E34B7" w14:textId="0AB05CB2" w:rsidR="00C96E98" w:rsidRPr="00801915" w:rsidRDefault="00C96E98" w:rsidP="00C96E98">
      <w:pPr>
        <w:rPr>
          <w:lang w:eastAsia="ja-JP"/>
        </w:rPr>
      </w:pPr>
      <w:r>
        <w:rPr>
          <w:lang w:eastAsia="ja-JP"/>
        </w:rPr>
        <w:t>Distinct from section 40ZAB of the Act, the Committee cannot make a determination to omit a foreign GI or translation of a foreign GI due to non-use on its own initiative</w:t>
      </w:r>
      <w:r w:rsidR="00362C7C">
        <w:rPr>
          <w:lang w:eastAsia="ja-JP"/>
        </w:rPr>
        <w:t xml:space="preserve"> under this Part</w:t>
      </w:r>
      <w:r>
        <w:rPr>
          <w:lang w:eastAsia="ja-JP"/>
        </w:rPr>
        <w:t xml:space="preserve">.    </w:t>
      </w:r>
    </w:p>
    <w:p w14:paraId="28F21C85" w14:textId="53557FD0" w:rsidR="00C96E98" w:rsidRDefault="00C96E98" w:rsidP="00976396">
      <w:pPr>
        <w:rPr>
          <w:lang w:eastAsia="ja-JP"/>
        </w:rPr>
      </w:pPr>
      <w:r>
        <w:rPr>
          <w:lang w:eastAsia="ja-JP"/>
        </w:rPr>
        <w:t>Division 3 of this part is intended to align with the process for omission of an Australian GI on the ground that it is no longer required, as set out in Part VIB,</w:t>
      </w:r>
      <w:r w:rsidRPr="00C96E98">
        <w:rPr>
          <w:lang w:eastAsia="ja-JP"/>
        </w:rPr>
        <w:t xml:space="preserve"> </w:t>
      </w:r>
      <w:r>
        <w:rPr>
          <w:lang w:eastAsia="ja-JP"/>
        </w:rPr>
        <w:t>Division 4A,</w:t>
      </w:r>
      <w:r w:rsidRPr="00C96E98">
        <w:rPr>
          <w:lang w:eastAsia="ja-JP"/>
        </w:rPr>
        <w:t xml:space="preserve"> </w:t>
      </w:r>
      <w:r w:rsidR="00E2464C">
        <w:rPr>
          <w:lang w:eastAsia="ja-JP"/>
        </w:rPr>
        <w:t>Subdivision</w:t>
      </w:r>
      <w:r>
        <w:rPr>
          <w:lang w:eastAsia="ja-JP"/>
        </w:rPr>
        <w:t xml:space="preserve"> C of the Act. </w:t>
      </w:r>
    </w:p>
    <w:p w14:paraId="4AA46107" w14:textId="01B6EF79" w:rsidR="00366CD1" w:rsidRPr="00366CD1" w:rsidRDefault="00366CD1" w:rsidP="00366CD1">
      <w:pPr>
        <w:pStyle w:val="Heading3"/>
      </w:pPr>
      <w:r>
        <w:t>Division 2</w:t>
      </w:r>
      <w:r w:rsidR="000C3C04" w:rsidRPr="009E5369">
        <w:t>—</w:t>
      </w:r>
      <w:r>
        <w:t>Omission for non-use or loss of significance</w:t>
      </w:r>
    </w:p>
    <w:p w14:paraId="1BA84850" w14:textId="7FEF6E17" w:rsidR="004230DF" w:rsidRPr="004230DF" w:rsidRDefault="00906BCB" w:rsidP="00C21613">
      <w:pPr>
        <w:pStyle w:val="Provision"/>
      </w:pPr>
      <w:r>
        <w:t>Section 102</w:t>
      </w:r>
      <w:r w:rsidR="004230DF" w:rsidRPr="004230DF">
        <w:t xml:space="preserve"> – Application for omission of foreign GI or translation of foreign GI </w:t>
      </w:r>
    </w:p>
    <w:p w14:paraId="21EAEE92" w14:textId="54694A0C" w:rsidR="004230DF" w:rsidRPr="004230DF" w:rsidRDefault="004230DF" w:rsidP="00C21613">
      <w:pPr>
        <w:rPr>
          <w:lang w:eastAsia="ja-JP"/>
        </w:rPr>
      </w:pPr>
      <w:r w:rsidRPr="004230DF">
        <w:rPr>
          <w:lang w:eastAsia="ja-JP"/>
        </w:rPr>
        <w:t>This section provides for the application for the omission of a foreign GI on the ground that it is no</w:t>
      </w:r>
      <w:r w:rsidR="00961A5A">
        <w:rPr>
          <w:lang w:eastAsia="ja-JP"/>
        </w:rPr>
        <w:t xml:space="preserve"> longer</w:t>
      </w:r>
      <w:r w:rsidRPr="004230DF">
        <w:rPr>
          <w:lang w:eastAsia="ja-JP"/>
        </w:rPr>
        <w:t xml:space="preserve"> in use.</w:t>
      </w:r>
    </w:p>
    <w:p w14:paraId="4CCF11C8" w14:textId="4F575920" w:rsidR="004230DF" w:rsidRPr="004230DF" w:rsidRDefault="004230DF" w:rsidP="00C21613">
      <w:pPr>
        <w:rPr>
          <w:lang w:eastAsia="ja-JP"/>
        </w:rPr>
      </w:pPr>
      <w:r w:rsidRPr="004230DF">
        <w:rPr>
          <w:lang w:eastAsia="ja-JP"/>
        </w:rPr>
        <w:t xml:space="preserve">If an application is made to omit a </w:t>
      </w:r>
      <w:r w:rsidR="00961A5A">
        <w:rPr>
          <w:lang w:eastAsia="ja-JP"/>
        </w:rPr>
        <w:t xml:space="preserve">foreign </w:t>
      </w:r>
      <w:r w:rsidRPr="004230DF">
        <w:rPr>
          <w:lang w:eastAsia="ja-JP"/>
        </w:rPr>
        <w:t xml:space="preserve">GI from the Register, and a translation of that GI is included in the Register, the application is taken to be for omission of both the </w:t>
      </w:r>
      <w:r w:rsidR="00961A5A">
        <w:rPr>
          <w:lang w:eastAsia="ja-JP"/>
        </w:rPr>
        <w:t xml:space="preserve">foreign </w:t>
      </w:r>
      <w:r w:rsidRPr="004230DF">
        <w:rPr>
          <w:lang w:eastAsia="ja-JP"/>
        </w:rPr>
        <w:t xml:space="preserve">GI and the translation. This is </w:t>
      </w:r>
      <w:r w:rsidR="00961A5A">
        <w:rPr>
          <w:lang w:eastAsia="ja-JP"/>
        </w:rPr>
        <w:t xml:space="preserve">because </w:t>
      </w:r>
      <w:r w:rsidRPr="004230DF">
        <w:rPr>
          <w:lang w:eastAsia="ja-JP"/>
        </w:rPr>
        <w:t xml:space="preserve">a translation </w:t>
      </w:r>
      <w:r w:rsidR="00E2464C" w:rsidRPr="004230DF">
        <w:rPr>
          <w:lang w:eastAsia="ja-JP"/>
        </w:rPr>
        <w:t>cannot</w:t>
      </w:r>
      <w:r w:rsidRPr="004230DF">
        <w:rPr>
          <w:lang w:eastAsia="ja-JP"/>
        </w:rPr>
        <w:t xml:space="preserve"> exist without an associated registered GI.</w:t>
      </w:r>
    </w:p>
    <w:p w14:paraId="3EEA0F15" w14:textId="6F187FCE" w:rsidR="004230DF" w:rsidRPr="004230DF" w:rsidRDefault="004230DF" w:rsidP="00C21613">
      <w:pPr>
        <w:rPr>
          <w:lang w:eastAsia="ja-JP"/>
        </w:rPr>
      </w:pPr>
      <w:r w:rsidRPr="004230DF">
        <w:rPr>
          <w:lang w:eastAsia="ja-JP"/>
        </w:rPr>
        <w:t xml:space="preserve">A person may separately apply to the </w:t>
      </w:r>
      <w:r w:rsidR="00C21613" w:rsidRPr="00C21613">
        <w:rPr>
          <w:lang w:eastAsia="ja-JP"/>
        </w:rPr>
        <w:t>Committee</w:t>
      </w:r>
      <w:r w:rsidRPr="004230DF">
        <w:rPr>
          <w:lang w:eastAsia="ja-JP"/>
        </w:rPr>
        <w:t xml:space="preserve"> to omit a translation of a foreign GI from the Register on the basis that it no longer</w:t>
      </w:r>
      <w:r w:rsidR="00362C7C">
        <w:rPr>
          <w:lang w:eastAsia="ja-JP"/>
        </w:rPr>
        <w:t xml:space="preserve"> expresses or suggests the</w:t>
      </w:r>
      <w:r w:rsidRPr="004230DF">
        <w:rPr>
          <w:lang w:eastAsia="ja-JP"/>
        </w:rPr>
        <w:t xml:space="preserve"> significan</w:t>
      </w:r>
      <w:r w:rsidR="00362C7C">
        <w:rPr>
          <w:lang w:eastAsia="ja-JP"/>
        </w:rPr>
        <w:t>ce</w:t>
      </w:r>
      <w:r w:rsidRPr="004230DF">
        <w:rPr>
          <w:lang w:eastAsia="ja-JP"/>
        </w:rPr>
        <w:t xml:space="preserve"> </w:t>
      </w:r>
      <w:r w:rsidR="00362C7C">
        <w:rPr>
          <w:lang w:eastAsia="ja-JP"/>
        </w:rPr>
        <w:t>of</w:t>
      </w:r>
      <w:r w:rsidRPr="004230DF">
        <w:rPr>
          <w:lang w:eastAsia="ja-JP"/>
        </w:rPr>
        <w:t xml:space="preserve"> the GI for which it was registered.</w:t>
      </w:r>
    </w:p>
    <w:p w14:paraId="345161E9" w14:textId="415EC6D7" w:rsidR="004230DF" w:rsidRPr="004230DF" w:rsidRDefault="004230DF" w:rsidP="00C21613">
      <w:pPr>
        <w:pStyle w:val="Provision"/>
      </w:pPr>
      <w:r w:rsidRPr="004230DF">
        <w:t xml:space="preserve">Section </w:t>
      </w:r>
      <w:r w:rsidR="00A217A7">
        <w:t>10</w:t>
      </w:r>
      <w:r w:rsidR="00906BCB">
        <w:t>3</w:t>
      </w:r>
      <w:r w:rsidRPr="004230DF">
        <w:t xml:space="preserve"> – Further information concerning application </w:t>
      </w:r>
    </w:p>
    <w:p w14:paraId="18089B42" w14:textId="1874CC74" w:rsidR="004230DF" w:rsidRPr="004230DF" w:rsidRDefault="004230DF" w:rsidP="00C21613">
      <w:r w:rsidRPr="004230DF">
        <w:rPr>
          <w:szCs w:val="24"/>
          <w:lang w:eastAsia="ja-JP"/>
        </w:rPr>
        <w:lastRenderedPageBreak/>
        <w:t>This section</w:t>
      </w:r>
      <w:r w:rsidRPr="004230DF">
        <w:t xml:space="preserve"> provides that the </w:t>
      </w:r>
      <w:r w:rsidR="00C21613" w:rsidRPr="00C21613">
        <w:t>Committee</w:t>
      </w:r>
      <w:r w:rsidRPr="004230DF">
        <w:t xml:space="preserve"> may require the applicant to provide further information. If the applicant does not comply with the request to provide further information, the application is taken to have been withdrawn.</w:t>
      </w:r>
    </w:p>
    <w:p w14:paraId="1D38FB23" w14:textId="75D15A0B" w:rsidR="004230DF" w:rsidRPr="004230DF" w:rsidRDefault="004230DF" w:rsidP="00C21613">
      <w:pPr>
        <w:pStyle w:val="Provision"/>
      </w:pPr>
      <w:r w:rsidRPr="004230DF">
        <w:t xml:space="preserve">Section </w:t>
      </w:r>
      <w:r w:rsidR="00A217A7">
        <w:t>10</w:t>
      </w:r>
      <w:r w:rsidR="00906BCB">
        <w:t>4</w:t>
      </w:r>
      <w:r w:rsidRPr="004230DF">
        <w:t xml:space="preserve"> – Notice by </w:t>
      </w:r>
      <w:r w:rsidR="00906BCB">
        <w:t xml:space="preserve">Geographical Indications </w:t>
      </w:r>
      <w:r w:rsidR="00C21613" w:rsidRPr="00C21613">
        <w:t>Committee</w:t>
      </w:r>
      <w:r w:rsidRPr="004230DF">
        <w:t xml:space="preserve"> </w:t>
      </w:r>
    </w:p>
    <w:p w14:paraId="68CB6042" w14:textId="699D0C30" w:rsidR="00B77973" w:rsidRDefault="00B77973" w:rsidP="00B77973">
      <w:r>
        <w:t xml:space="preserve">This section sets out the procedure the Committee must follow when an application to omit a foreign GI or translation </w:t>
      </w:r>
      <w:r w:rsidR="00E729C6">
        <w:t xml:space="preserve">of a foreign GI </w:t>
      </w:r>
      <w:r>
        <w:t xml:space="preserve">under section </w:t>
      </w:r>
      <w:r w:rsidR="00810F84">
        <w:t>102</w:t>
      </w:r>
      <w:r>
        <w:t xml:space="preserve"> is received. The Presiding Member </w:t>
      </w:r>
      <w:r w:rsidR="00E729C6">
        <w:t xml:space="preserve">of the Committee </w:t>
      </w:r>
      <w:r>
        <w:t>must publish a notice that:</w:t>
      </w:r>
    </w:p>
    <w:p w14:paraId="5D38A1A3" w14:textId="52713270" w:rsidR="00B77973" w:rsidRDefault="00B77973" w:rsidP="002D5623">
      <w:pPr>
        <w:pStyle w:val="ListParagraph"/>
        <w:numPr>
          <w:ilvl w:val="0"/>
          <w:numId w:val="71"/>
        </w:numPr>
        <w:tabs>
          <w:tab w:val="left" w:pos="426"/>
        </w:tabs>
      </w:pPr>
      <w:r>
        <w:t xml:space="preserve">states that an application for the omission of a foreign GI </w:t>
      </w:r>
      <w:r w:rsidR="00E729C6">
        <w:t xml:space="preserve">or translation of a foreign GI </w:t>
      </w:r>
      <w:r w:rsidR="00362C7C">
        <w:t>has been made (under section 102</w:t>
      </w:r>
      <w:r w:rsidR="003C36C5">
        <w:t>)</w:t>
      </w:r>
    </w:p>
    <w:p w14:paraId="609DC600" w14:textId="7DB63737" w:rsidR="00B77973" w:rsidRDefault="00B77973" w:rsidP="002D5623">
      <w:pPr>
        <w:pStyle w:val="ListParagraph"/>
        <w:numPr>
          <w:ilvl w:val="0"/>
          <w:numId w:val="71"/>
        </w:numPr>
        <w:tabs>
          <w:tab w:val="left" w:pos="426"/>
        </w:tabs>
      </w:pPr>
      <w:r>
        <w:t>sets out the</w:t>
      </w:r>
      <w:r w:rsidR="00362C7C">
        <w:t xml:space="preserve"> foreign</w:t>
      </w:r>
      <w:r>
        <w:t xml:space="preserve"> GI</w:t>
      </w:r>
      <w:r w:rsidR="00362C7C">
        <w:t xml:space="preserve"> or translation</w:t>
      </w:r>
      <w:r>
        <w:t xml:space="preserve"> </w:t>
      </w:r>
      <w:r w:rsidR="00E729C6">
        <w:t xml:space="preserve">of a foreign GI </w:t>
      </w:r>
      <w:r>
        <w:t>referred to in the application</w:t>
      </w:r>
      <w:r w:rsidR="003C36C5">
        <w:t>,</w:t>
      </w:r>
      <w:r>
        <w:t xml:space="preserve"> and </w:t>
      </w:r>
    </w:p>
    <w:p w14:paraId="1FC1DB66" w14:textId="74A4AE7E" w:rsidR="00B77973" w:rsidRPr="004230DF" w:rsidRDefault="00B77973" w:rsidP="002D5623">
      <w:pPr>
        <w:pStyle w:val="ListParagraph"/>
        <w:numPr>
          <w:ilvl w:val="0"/>
          <w:numId w:val="71"/>
        </w:numPr>
        <w:tabs>
          <w:tab w:val="left" w:pos="426"/>
        </w:tabs>
      </w:pPr>
      <w:r>
        <w:t>invites written submissions to the Committee reg</w:t>
      </w:r>
      <w:r w:rsidR="00876BE9">
        <w:t>arding the application, within one</w:t>
      </w:r>
      <w:r>
        <w:t xml:space="preserve"> month of the notice. </w:t>
      </w:r>
    </w:p>
    <w:p w14:paraId="2E071E1F" w14:textId="4310FC92" w:rsidR="004230DF" w:rsidRPr="004230DF" w:rsidRDefault="00961A5A" w:rsidP="00C21613">
      <w:r>
        <w:t xml:space="preserve">The notice may be published in any matter the Committee </w:t>
      </w:r>
      <w:r w:rsidR="00976396">
        <w:t>considers</w:t>
      </w:r>
      <w:r>
        <w:t xml:space="preserve"> appropriate. </w:t>
      </w:r>
      <w:r w:rsidR="00E729C6">
        <w:rPr>
          <w:rFonts w:eastAsiaTheme="minorEastAsia"/>
          <w:szCs w:val="24"/>
        </w:rPr>
        <w:t>For example, the Presiding Member of the Committee could publish a notice on the Authority’s website.</w:t>
      </w:r>
    </w:p>
    <w:p w14:paraId="621B4BC6" w14:textId="03BE80E0" w:rsidR="004230DF" w:rsidRPr="004230DF" w:rsidRDefault="004230DF" w:rsidP="00C21613">
      <w:pPr>
        <w:pStyle w:val="Provision"/>
      </w:pPr>
      <w:r w:rsidRPr="004230DF">
        <w:t>Section 10</w:t>
      </w:r>
      <w:r w:rsidR="00906BCB">
        <w:t>5</w:t>
      </w:r>
      <w:r w:rsidRPr="004230DF">
        <w:t xml:space="preserve"> – Determination by </w:t>
      </w:r>
      <w:r w:rsidR="00906BCB">
        <w:t xml:space="preserve">Geographical Indications </w:t>
      </w:r>
      <w:r w:rsidR="00C21613" w:rsidRPr="00C21613">
        <w:t>Committee</w:t>
      </w:r>
    </w:p>
    <w:p w14:paraId="72BBC174" w14:textId="241EA0AC" w:rsidR="00B914DF" w:rsidRDefault="004230DF" w:rsidP="00C21613">
      <w:r w:rsidRPr="004230DF">
        <w:t xml:space="preserve">This section </w:t>
      </w:r>
      <w:r w:rsidR="00B914DF">
        <w:t xml:space="preserve">sets out the procedures and matters the Committee must have regard to in making a determination </w:t>
      </w:r>
      <w:r w:rsidR="00876BE9">
        <w:t xml:space="preserve">on </w:t>
      </w:r>
      <w:r w:rsidR="00B914DF">
        <w:t>whether to omit a registered GI, registered translation of a GI, or both, after the Committee has considered the a</w:t>
      </w:r>
      <w:r w:rsidR="00810F84">
        <w:t>pplication made under section 102</w:t>
      </w:r>
      <w:r w:rsidR="00B914DF">
        <w:t xml:space="preserve"> and any submissions made in response (u</w:t>
      </w:r>
      <w:r w:rsidR="00362C7C">
        <w:t>nder section 104</w:t>
      </w:r>
      <w:r w:rsidR="00B914DF">
        <w:t xml:space="preserve">). </w:t>
      </w:r>
    </w:p>
    <w:p w14:paraId="7C02687C" w14:textId="5F739EE6" w:rsidR="00B914DF" w:rsidRDefault="00B914DF" w:rsidP="00C21613">
      <w:r>
        <w:t xml:space="preserve">The Committee must determine whether to omit the GI or translation that is the subject of the application for omission or not. </w:t>
      </w:r>
    </w:p>
    <w:p w14:paraId="3516DD4F" w14:textId="70AE9E39" w:rsidR="00B914DF" w:rsidRDefault="00605A5C" w:rsidP="00C21613">
      <w:pPr>
        <w:rPr>
          <w:i/>
        </w:rPr>
      </w:pPr>
      <w:r>
        <w:rPr>
          <w:i/>
        </w:rPr>
        <w:br w:type="column"/>
      </w:r>
      <w:r w:rsidR="00B914DF">
        <w:rPr>
          <w:i/>
        </w:rPr>
        <w:lastRenderedPageBreak/>
        <w:t>Omission of GI</w:t>
      </w:r>
    </w:p>
    <w:p w14:paraId="6E69513E" w14:textId="2A3538BF" w:rsidR="004230DF" w:rsidRPr="004230DF" w:rsidRDefault="00B914DF" w:rsidP="00805504">
      <w:r>
        <w:t>The Committee may make a determination to om</w:t>
      </w:r>
      <w:r w:rsidR="004230DF" w:rsidRPr="004230DF">
        <w:t xml:space="preserve">it a registered GI on the grounds of non-use </w:t>
      </w:r>
      <w:r w:rsidR="00961A5A">
        <w:t>wher</w:t>
      </w:r>
      <w:r w:rsidR="00362C7C">
        <w:t>e it is satisfied</w:t>
      </w:r>
      <w:r w:rsidR="00961A5A">
        <w:t xml:space="preserve"> that the foreign GI</w:t>
      </w:r>
      <w:r w:rsidR="004230DF" w:rsidRPr="004230DF">
        <w:t xml:space="preserve"> has been registered for more than five years before the dat</w:t>
      </w:r>
      <w:r w:rsidR="00E13A88">
        <w:t>e</w:t>
      </w:r>
      <w:r w:rsidR="00362C7C">
        <w:t xml:space="preserve"> of the notice under section 104</w:t>
      </w:r>
      <w:r w:rsidR="00805504">
        <w:t xml:space="preserve">, </w:t>
      </w:r>
      <w:r w:rsidR="00362C7C">
        <w:t xml:space="preserve">the GI has not been used in the three years before the date of the notice published under section 104, </w:t>
      </w:r>
      <w:r w:rsidR="00805504">
        <w:t xml:space="preserve">and there are no special circumstances that have caused the non-use. </w:t>
      </w:r>
    </w:p>
    <w:p w14:paraId="1C4E275D" w14:textId="44830AD8" w:rsidR="004230DF" w:rsidRPr="004230DF" w:rsidRDefault="00805504" w:rsidP="00C21613">
      <w:r>
        <w:t>The Committee must be satisfied that the</w:t>
      </w:r>
      <w:r w:rsidR="004230DF" w:rsidRPr="004230DF">
        <w:t xml:space="preserve"> </w:t>
      </w:r>
      <w:r>
        <w:t xml:space="preserve">foreign </w:t>
      </w:r>
      <w:r w:rsidR="004230DF" w:rsidRPr="004230DF">
        <w:t>GI</w:t>
      </w:r>
      <w:r>
        <w:t xml:space="preserve"> has not</w:t>
      </w:r>
      <w:r w:rsidR="004230DF" w:rsidRPr="004230DF">
        <w:t xml:space="preserve"> been used if:</w:t>
      </w:r>
    </w:p>
    <w:p w14:paraId="7D48CEEF" w14:textId="78AB8254" w:rsidR="004230DF" w:rsidRPr="004230DF" w:rsidRDefault="00805504" w:rsidP="002D5623">
      <w:pPr>
        <w:pStyle w:val="ListParagraph"/>
        <w:numPr>
          <w:ilvl w:val="0"/>
          <w:numId w:val="71"/>
        </w:numPr>
      </w:pPr>
      <w:r>
        <w:t xml:space="preserve">wine for commercial use </w:t>
      </w:r>
      <w:r w:rsidRPr="004230DF">
        <w:t>originating in the country, regional or locality indicated by the GI</w:t>
      </w:r>
      <w:r>
        <w:t xml:space="preserve"> has not been produced</w:t>
      </w:r>
    </w:p>
    <w:p w14:paraId="6D3790D8" w14:textId="1852D783" w:rsidR="004230DF" w:rsidRPr="004230DF" w:rsidRDefault="004230DF" w:rsidP="002D5623">
      <w:pPr>
        <w:pStyle w:val="ListParagraph"/>
        <w:numPr>
          <w:ilvl w:val="0"/>
          <w:numId w:val="71"/>
        </w:numPr>
      </w:pPr>
      <w:r w:rsidRPr="004230DF">
        <w:t>wine originating in the country, region or locality indicated by the GI has not been described and presented for sale in Australia using the GI or a registered translation of the GI</w:t>
      </w:r>
      <w:r w:rsidR="003C36C5">
        <w:t>,</w:t>
      </w:r>
      <w:r w:rsidRPr="004230DF">
        <w:t xml:space="preserve"> and</w:t>
      </w:r>
    </w:p>
    <w:p w14:paraId="07BCAF93" w14:textId="77777777" w:rsidR="004230DF" w:rsidRPr="004230DF" w:rsidRDefault="004230DF" w:rsidP="002D5623">
      <w:pPr>
        <w:pStyle w:val="ListParagraph"/>
        <w:numPr>
          <w:ilvl w:val="0"/>
          <w:numId w:val="71"/>
        </w:numPr>
      </w:pPr>
      <w:r w:rsidRPr="004230DF">
        <w:t>wine originating in the country, region or locality indicated by the GI has not been described and presented for sale in the country of origin using the GI or a registered translation of the GI.</w:t>
      </w:r>
    </w:p>
    <w:p w14:paraId="441F377C" w14:textId="7CA06B15" w:rsidR="004230DF" w:rsidRPr="004230DF" w:rsidRDefault="00362C7C" w:rsidP="00366E06">
      <w:pPr>
        <w:tabs>
          <w:tab w:val="left" w:pos="426"/>
        </w:tabs>
        <w:spacing w:before="0" w:line="264" w:lineRule="auto"/>
      </w:pPr>
      <w:r>
        <w:t>For the purposes of being</w:t>
      </w:r>
      <w:r w:rsidR="00805504">
        <w:t xml:space="preserve"> satisfied that no s</w:t>
      </w:r>
      <w:r w:rsidR="004230DF" w:rsidRPr="004230DF">
        <w:t xml:space="preserve">pecial circumstances </w:t>
      </w:r>
      <w:r w:rsidR="00805504">
        <w:t>exist,</w:t>
      </w:r>
      <w:r>
        <w:t xml:space="preserve"> special circumstances exist</w:t>
      </w:r>
      <w:r w:rsidR="00805504">
        <w:t xml:space="preserve"> </w:t>
      </w:r>
      <w:r w:rsidR="004230DF" w:rsidRPr="004230DF">
        <w:t>if:</w:t>
      </w:r>
    </w:p>
    <w:p w14:paraId="0F92847C" w14:textId="6E31E256" w:rsidR="004230DF" w:rsidRPr="004230DF" w:rsidRDefault="004230DF" w:rsidP="002D5623">
      <w:pPr>
        <w:pStyle w:val="ListParagraph"/>
        <w:numPr>
          <w:ilvl w:val="0"/>
          <w:numId w:val="71"/>
        </w:numPr>
      </w:pPr>
      <w:r w:rsidRPr="004230DF">
        <w:t>the country, region or locality indicated by the GI has been affected by a natural disaster such as fire,</w:t>
      </w:r>
      <w:r w:rsidR="003C36C5">
        <w:t xml:space="preserve"> drought or some other disaster,</w:t>
      </w:r>
      <w:r w:rsidRPr="004230DF">
        <w:t xml:space="preserve"> and</w:t>
      </w:r>
    </w:p>
    <w:p w14:paraId="02F13170" w14:textId="374EA2F9" w:rsidR="004230DF" w:rsidRDefault="004230DF" w:rsidP="002D5623">
      <w:pPr>
        <w:pStyle w:val="ListParagraph"/>
        <w:numPr>
          <w:ilvl w:val="0"/>
          <w:numId w:val="71"/>
        </w:numPr>
      </w:pPr>
      <w:r w:rsidRPr="004230DF">
        <w:t xml:space="preserve">as a result of </w:t>
      </w:r>
      <w:r w:rsidR="00362C7C">
        <w:t xml:space="preserve">being affected by </w:t>
      </w:r>
      <w:r w:rsidRPr="004230DF">
        <w:t>this disaster, there has not been a production of wine for commercial use originating in the country, region or locality indicated by the GI during the period of three years immediately before</w:t>
      </w:r>
      <w:r w:rsidR="00E13A88">
        <w:t xml:space="preserve"> the date of the notice (under s</w:t>
      </w:r>
      <w:r w:rsidR="00362C7C">
        <w:t>ection 104</w:t>
      </w:r>
      <w:r w:rsidRPr="004230DF">
        <w:t>).</w:t>
      </w:r>
    </w:p>
    <w:p w14:paraId="42E9F5A4" w14:textId="4FF6BEFB" w:rsidR="00B914DF" w:rsidRPr="00B914DF" w:rsidRDefault="00B914DF" w:rsidP="00B914DF">
      <w:pPr>
        <w:rPr>
          <w:i/>
        </w:rPr>
      </w:pPr>
      <w:r>
        <w:rPr>
          <w:i/>
        </w:rPr>
        <w:t>Omission of translation of GI</w:t>
      </w:r>
    </w:p>
    <w:p w14:paraId="1E7FD337" w14:textId="70E0F145" w:rsidR="004230DF" w:rsidRPr="004230DF" w:rsidRDefault="004230DF" w:rsidP="00C21613">
      <w:r w:rsidRPr="004230DF">
        <w:t xml:space="preserve">The </w:t>
      </w:r>
      <w:r w:rsidR="00C21613" w:rsidRPr="00C21613">
        <w:t>Committee</w:t>
      </w:r>
      <w:r w:rsidRPr="004230DF">
        <w:t xml:space="preserve"> may make a </w:t>
      </w:r>
      <w:r w:rsidR="00362C7C">
        <w:t xml:space="preserve">written </w:t>
      </w:r>
      <w:r w:rsidRPr="004230DF">
        <w:t xml:space="preserve">determination to omit a translation of a GI if it is satisfied that the translation no longer </w:t>
      </w:r>
      <w:r w:rsidR="00362C7C">
        <w:t>expresses or suggests</w:t>
      </w:r>
      <w:r w:rsidRPr="004230DF">
        <w:t xml:space="preserve"> the significance of the GI for which it is registered. </w:t>
      </w:r>
      <w:r w:rsidR="00B914DF">
        <w:t>The translation can be omitted on this basis without the relevant GI being omi</w:t>
      </w:r>
      <w:r w:rsidR="00810F84">
        <w:t>tted, if the application under section 102</w:t>
      </w:r>
      <w:r w:rsidR="00B914DF">
        <w:t xml:space="preserve"> was for omission of both the GI and its translation. However, t</w:t>
      </w:r>
      <w:r w:rsidRPr="004230DF">
        <w:t xml:space="preserve">he </w:t>
      </w:r>
      <w:r w:rsidR="00C21613" w:rsidRPr="00C21613">
        <w:t>Committee</w:t>
      </w:r>
      <w:r w:rsidRPr="004230DF">
        <w:t xml:space="preserve"> must make a determination to omit a translation of a GI if it makes a determination to omit the </w:t>
      </w:r>
      <w:r w:rsidR="00E13A88">
        <w:t xml:space="preserve">relevant </w:t>
      </w:r>
      <w:r w:rsidRPr="004230DF">
        <w:t xml:space="preserve">GI. This is </w:t>
      </w:r>
      <w:r w:rsidR="00B914DF">
        <w:t xml:space="preserve">because </w:t>
      </w:r>
      <w:r w:rsidRPr="004230DF">
        <w:t xml:space="preserve">a translation cannot exist without an associated registered GI. </w:t>
      </w:r>
    </w:p>
    <w:p w14:paraId="4B89B357" w14:textId="6CCAE083" w:rsidR="004230DF" w:rsidRPr="004230DF" w:rsidRDefault="004230DF" w:rsidP="00C21613">
      <w:pPr>
        <w:pStyle w:val="Provision"/>
      </w:pPr>
      <w:r w:rsidRPr="004230DF">
        <w:t>Section 10</w:t>
      </w:r>
      <w:r w:rsidR="00906BCB">
        <w:t>6</w:t>
      </w:r>
      <w:r w:rsidRPr="004230DF">
        <w:t xml:space="preserve"> – Notice of determination</w:t>
      </w:r>
    </w:p>
    <w:p w14:paraId="7CB1E8B8" w14:textId="4B98BBEE" w:rsidR="004230DF" w:rsidRPr="004230DF" w:rsidRDefault="004230DF" w:rsidP="00C21613">
      <w:r w:rsidRPr="004230DF">
        <w:t xml:space="preserve">This section </w:t>
      </w:r>
      <w:r w:rsidR="00E13A88">
        <w:t>provides that where a determination is made under section 10</w:t>
      </w:r>
      <w:r w:rsidR="00362C7C">
        <w:t>5</w:t>
      </w:r>
      <w:r w:rsidR="00E13A88">
        <w:t xml:space="preserve">, </w:t>
      </w:r>
      <w:r w:rsidRPr="004230DF">
        <w:t xml:space="preserve">the Presiding Member of the </w:t>
      </w:r>
      <w:r w:rsidR="00C21613" w:rsidRPr="00C21613">
        <w:t>Committee</w:t>
      </w:r>
      <w:r w:rsidRPr="004230DF">
        <w:t xml:space="preserve"> must: </w:t>
      </w:r>
    </w:p>
    <w:p w14:paraId="5039CC0F" w14:textId="3EF19621" w:rsidR="004230DF" w:rsidRPr="00C21613" w:rsidRDefault="00805504" w:rsidP="00FB10D2">
      <w:pPr>
        <w:pStyle w:val="ListParagraph"/>
        <w:numPr>
          <w:ilvl w:val="0"/>
          <w:numId w:val="71"/>
        </w:numPr>
        <w:tabs>
          <w:tab w:val="left" w:pos="426"/>
        </w:tabs>
      </w:pPr>
      <w:r>
        <w:t>inform the applicant in writing of the Committee’</w:t>
      </w:r>
      <w:r w:rsidR="00976396">
        <w:t>s determination</w:t>
      </w:r>
      <w:r w:rsidR="003C36C5">
        <w:t>,</w:t>
      </w:r>
      <w:r w:rsidR="004230DF" w:rsidRPr="00C21613">
        <w:t xml:space="preserve"> and </w:t>
      </w:r>
    </w:p>
    <w:p w14:paraId="545646F8" w14:textId="62EF2429" w:rsidR="004230DF" w:rsidRPr="004230DF" w:rsidRDefault="004230DF" w:rsidP="00FB10D2">
      <w:pPr>
        <w:pStyle w:val="ListParagraph"/>
        <w:numPr>
          <w:ilvl w:val="0"/>
          <w:numId w:val="71"/>
        </w:numPr>
        <w:tabs>
          <w:tab w:val="left" w:pos="426"/>
        </w:tabs>
      </w:pPr>
      <w:r w:rsidRPr="00C21613">
        <w:t>if a determination to omit a GI, a GI translation, or both, from the Register is made,</w:t>
      </w:r>
      <w:r w:rsidRPr="004230DF">
        <w:t xml:space="preserve"> publish a notice setting out the terms of the determination</w:t>
      </w:r>
      <w:r w:rsidR="00976396">
        <w:t xml:space="preserve"> in any manner the Committee considers appropriate</w:t>
      </w:r>
      <w:r w:rsidRPr="004230DF">
        <w:t xml:space="preserve">. </w:t>
      </w:r>
    </w:p>
    <w:p w14:paraId="0FFBA42D" w14:textId="284FB8C5" w:rsidR="004230DF" w:rsidRPr="004230DF" w:rsidRDefault="00605A5C" w:rsidP="00C21613">
      <w:pPr>
        <w:pStyle w:val="Provision"/>
      </w:pPr>
      <w:r>
        <w:br w:type="column"/>
      </w:r>
      <w:r w:rsidR="004230DF" w:rsidRPr="004230DF">
        <w:lastRenderedPageBreak/>
        <w:t>Section 10</w:t>
      </w:r>
      <w:r w:rsidR="00906BCB">
        <w:t>7</w:t>
      </w:r>
      <w:r w:rsidR="004230DF" w:rsidRPr="004230DF">
        <w:t xml:space="preserve"> – AAT review of determinations</w:t>
      </w:r>
    </w:p>
    <w:p w14:paraId="43D605E6" w14:textId="56BA4969" w:rsidR="004230DF" w:rsidRDefault="00362C7C" w:rsidP="00605A5C">
      <w:pPr>
        <w:keepLines/>
      </w:pPr>
      <w:r>
        <w:t>This section provides</w:t>
      </w:r>
      <w:r w:rsidR="004230DF" w:rsidRPr="004230DF">
        <w:t xml:space="preserve"> </w:t>
      </w:r>
      <w:r w:rsidR="00976396">
        <w:t xml:space="preserve">that </w:t>
      </w:r>
      <w:r w:rsidR="004230DF" w:rsidRPr="004230DF">
        <w:t>an application may be made to the Administrative Appeals Tribunal</w:t>
      </w:r>
      <w:r w:rsidR="004230DF" w:rsidRPr="004230DF">
        <w:rPr>
          <w:i/>
        </w:rPr>
        <w:t xml:space="preserve"> </w:t>
      </w:r>
      <w:r w:rsidR="004230DF" w:rsidRPr="004230DF">
        <w:t xml:space="preserve">to review determinations made by the </w:t>
      </w:r>
      <w:r w:rsidR="00C21613" w:rsidRPr="00C21613">
        <w:t>Committee</w:t>
      </w:r>
      <w:r w:rsidR="004230DF" w:rsidRPr="004230DF">
        <w:t xml:space="preserve"> in relation to the omission of GIs</w:t>
      </w:r>
      <w:r>
        <w:t xml:space="preserve"> under section 105</w:t>
      </w:r>
      <w:r w:rsidR="004230DF" w:rsidRPr="004230DF">
        <w:t>. The application must be made within 28 days after notice of the determination is published in accordance with the notice of determination (</w:t>
      </w:r>
      <w:r w:rsidR="00E13A88">
        <w:t>under s</w:t>
      </w:r>
      <w:r>
        <w:t>ection 106</w:t>
      </w:r>
      <w:r w:rsidR="004230DF" w:rsidRPr="004230DF">
        <w:t xml:space="preserve">). </w:t>
      </w:r>
    </w:p>
    <w:p w14:paraId="4E1F5613" w14:textId="6AE35894" w:rsidR="00362C7C" w:rsidRPr="00362C7C" w:rsidRDefault="000E2FAF" w:rsidP="00FB10D2">
      <w:pPr>
        <w:tabs>
          <w:tab w:val="left" w:pos="426"/>
        </w:tabs>
      </w:pPr>
      <w:r w:rsidRPr="00362C7C">
        <w:t xml:space="preserve">No extensions are provided as interested persons are given ample opportunity to comment on the </w:t>
      </w:r>
      <w:r>
        <w:t xml:space="preserve">omission </w:t>
      </w:r>
      <w:r w:rsidRPr="00362C7C">
        <w:t>of a foreign GI</w:t>
      </w:r>
      <w:r>
        <w:t xml:space="preserve"> or translation</w:t>
      </w:r>
      <w:r w:rsidRPr="00362C7C">
        <w:t>. Before the determination is made, the Comm</w:t>
      </w:r>
      <w:r>
        <w:t>ittee must publish a notification</w:t>
      </w:r>
      <w:r w:rsidRPr="00362C7C">
        <w:t xml:space="preserve"> that a</w:t>
      </w:r>
      <w:r>
        <w:t>n application to omit a</w:t>
      </w:r>
      <w:r w:rsidRPr="00362C7C">
        <w:t xml:space="preserve"> foreign GI or translation </w:t>
      </w:r>
      <w:r>
        <w:t>has been made</w:t>
      </w:r>
      <w:r w:rsidRPr="00362C7C">
        <w:t xml:space="preserve"> (see section </w:t>
      </w:r>
      <w:r>
        <w:t>104</w:t>
      </w:r>
      <w:r w:rsidRPr="00362C7C">
        <w:t>)</w:t>
      </w:r>
      <w:r>
        <w:t>. T</w:t>
      </w:r>
      <w:r w:rsidRPr="00362C7C">
        <w:t>h</w:t>
      </w:r>
      <w:r>
        <w:t>e</w:t>
      </w:r>
      <w:r w:rsidRPr="00362C7C">
        <w:t xml:space="preserve"> notice must provide at least a one month period for interested persons to respond accordingly. </w:t>
      </w:r>
      <w:r>
        <w:t>Further, the ground for application to omit a for</w:t>
      </w:r>
      <w:r w:rsidR="00810F84">
        <w:t>eign GI or translation in this division is non-use or</w:t>
      </w:r>
      <w:r>
        <w:t xml:space="preserve"> loss of significance (section 102). In these circumstances it is not deemed necessary to provide additional time for review of the determination as the Committee must be satisfied the GI or translation has not been used (under section 105), and it is unlikely that other persons would be interested in maintaining a GI or translation that is no longer used or significant.</w:t>
      </w:r>
    </w:p>
    <w:p w14:paraId="00DF5070" w14:textId="1532AB26" w:rsidR="004230DF" w:rsidRPr="004230DF" w:rsidRDefault="004230DF" w:rsidP="00C21613">
      <w:pPr>
        <w:pStyle w:val="Provision"/>
      </w:pPr>
      <w:r w:rsidRPr="004230DF">
        <w:t>Section 10</w:t>
      </w:r>
      <w:r w:rsidR="00906BCB">
        <w:t>8</w:t>
      </w:r>
      <w:r w:rsidRPr="004230DF">
        <w:t xml:space="preserve"> – Date of effect of determination to omit item</w:t>
      </w:r>
    </w:p>
    <w:p w14:paraId="175FF171" w14:textId="25AB794E" w:rsidR="00955F89" w:rsidRPr="004230DF" w:rsidRDefault="00955F89" w:rsidP="00955F89">
      <w:r w:rsidRPr="004230DF">
        <w:t xml:space="preserve">This section </w:t>
      </w:r>
      <w:r>
        <w:t xml:space="preserve">provides </w:t>
      </w:r>
      <w:r w:rsidR="000E2FAF">
        <w:t>the date of effect for the</w:t>
      </w:r>
      <w:r w:rsidRPr="004230DF">
        <w:t xml:space="preserve"> determination to omit a foreign GI and related procedural matters.</w:t>
      </w:r>
    </w:p>
    <w:p w14:paraId="4C5864CA" w14:textId="5BA8DD75" w:rsidR="00976396" w:rsidRDefault="00955F89" w:rsidP="00FB10D2">
      <w:pPr>
        <w:tabs>
          <w:tab w:val="left" w:pos="426"/>
        </w:tabs>
      </w:pPr>
      <w:r w:rsidRPr="004230DF">
        <w:t xml:space="preserve">If the </w:t>
      </w:r>
      <w:r w:rsidRPr="00C21613">
        <w:t>Committee</w:t>
      </w:r>
      <w:r w:rsidRPr="004230DF">
        <w:t xml:space="preserve"> decides to omit a </w:t>
      </w:r>
      <w:r>
        <w:t xml:space="preserve">foreign </w:t>
      </w:r>
      <w:r w:rsidRPr="004230DF">
        <w:t>GI</w:t>
      </w:r>
      <w:r>
        <w:t xml:space="preserve"> or a translation of a foreign GI, or both,</w:t>
      </w:r>
      <w:r w:rsidRPr="004230DF">
        <w:t xml:space="preserve"> from the Register,</w:t>
      </w:r>
      <w:r w:rsidR="004230DF" w:rsidRPr="004230DF">
        <w:t xml:space="preserve"> the </w:t>
      </w:r>
      <w:r>
        <w:t>Presiding Member</w:t>
      </w:r>
      <w:r w:rsidR="00E729C6">
        <w:t xml:space="preserve"> of the Committee</w:t>
      </w:r>
      <w:r>
        <w:t xml:space="preserve"> </w:t>
      </w:r>
      <w:r w:rsidR="004230DF" w:rsidRPr="004230DF">
        <w:t xml:space="preserve">must </w:t>
      </w:r>
      <w:r>
        <w:t xml:space="preserve">give the </w:t>
      </w:r>
      <w:r w:rsidR="00365FE0">
        <w:t xml:space="preserve">Registrar </w:t>
      </w:r>
      <w:r w:rsidR="004230DF" w:rsidRPr="004230DF">
        <w:t>of Protected Geographical Indications and Other Terms</w:t>
      </w:r>
      <w:r>
        <w:t xml:space="preserve"> </w:t>
      </w:r>
      <w:r w:rsidR="00BB70E4">
        <w:t xml:space="preserve">(the </w:t>
      </w:r>
      <w:r w:rsidR="00365FE0">
        <w:t>Registrar</w:t>
      </w:r>
      <w:r w:rsidR="00BB70E4">
        <w:t xml:space="preserve">) </w:t>
      </w:r>
      <w:r>
        <w:t>a copy of the dete</w:t>
      </w:r>
      <w:r w:rsidR="00810F84">
        <w:t>rmination made under section 105</w:t>
      </w:r>
      <w:r w:rsidR="00976396">
        <w:t xml:space="preserve">. </w:t>
      </w:r>
    </w:p>
    <w:p w14:paraId="26EA3137" w14:textId="7844CB7C" w:rsidR="00955F89" w:rsidRDefault="00D30AFB" w:rsidP="00C477F5">
      <w:pPr>
        <w:spacing w:before="0" w:line="264" w:lineRule="auto"/>
      </w:pPr>
      <w:r>
        <w:t>On receiving th</w:t>
      </w:r>
      <w:r w:rsidR="00976396">
        <w:t xml:space="preserve">e </w:t>
      </w:r>
      <w:r w:rsidR="00955F89">
        <w:t>copy</w:t>
      </w:r>
      <w:r w:rsidR="00976396">
        <w:t xml:space="preserve"> of </w:t>
      </w:r>
      <w:r w:rsidR="00955F89">
        <w:t xml:space="preserve">the </w:t>
      </w:r>
      <w:r w:rsidR="00976396">
        <w:t xml:space="preserve">determination, the </w:t>
      </w:r>
      <w:r w:rsidR="000E2FAF">
        <w:t xml:space="preserve">Presiding Member </w:t>
      </w:r>
      <w:r w:rsidR="00E729C6">
        <w:t xml:space="preserve">of the Committee </w:t>
      </w:r>
      <w:r w:rsidR="004230DF" w:rsidRPr="004230DF">
        <w:t>must</w:t>
      </w:r>
      <w:r w:rsidR="000E2FAF">
        <w:t xml:space="preserve"> also</w:t>
      </w:r>
      <w:r w:rsidR="00BB70E4">
        <w:t xml:space="preserve"> give a copy to the Chair of the Authority and</w:t>
      </w:r>
      <w:r w:rsidR="004230DF" w:rsidRPr="004230DF">
        <w:t xml:space="preserve"> </w:t>
      </w:r>
      <w:r w:rsidR="000E2FAF">
        <w:t xml:space="preserve">the Registrar must </w:t>
      </w:r>
      <w:r w:rsidR="004230DF" w:rsidRPr="004230DF">
        <w:t xml:space="preserve">remove the </w:t>
      </w:r>
      <w:r w:rsidR="00955F89">
        <w:t>item from the Register as soon as practicable after:</w:t>
      </w:r>
    </w:p>
    <w:p w14:paraId="25868C42" w14:textId="658D6AB1" w:rsidR="00955F89" w:rsidRDefault="00955F89" w:rsidP="00892CB7">
      <w:pPr>
        <w:pStyle w:val="ListParagraph"/>
        <w:numPr>
          <w:ilvl w:val="0"/>
          <w:numId w:val="71"/>
        </w:numPr>
      </w:pPr>
      <w:r>
        <w:t>the A</w:t>
      </w:r>
      <w:r w:rsidR="00AA599A">
        <w:t>dministrative Appeals Tribunal</w:t>
      </w:r>
      <w:r>
        <w:t xml:space="preserve"> has made a decision, if there has been a review of the</w:t>
      </w:r>
      <w:r w:rsidR="00810F84">
        <w:t xml:space="preserve"> determinatio</w:t>
      </w:r>
      <w:r w:rsidR="003C36C5">
        <w:t>n under section 107,</w:t>
      </w:r>
      <w:r>
        <w:t xml:space="preserve"> or</w:t>
      </w:r>
    </w:p>
    <w:p w14:paraId="326C9ADD" w14:textId="3BB6BC5C" w:rsidR="00955F89" w:rsidRPr="00C21613" w:rsidRDefault="00955F89" w:rsidP="00892CB7">
      <w:pPr>
        <w:pStyle w:val="ListParagraph"/>
        <w:numPr>
          <w:ilvl w:val="0"/>
          <w:numId w:val="71"/>
        </w:numPr>
      </w:pPr>
      <w:r>
        <w:t>the 28th day after notice of the determination is published under section 10</w:t>
      </w:r>
      <w:r w:rsidR="00810F84">
        <w:t>6</w:t>
      </w:r>
      <w:r>
        <w:t xml:space="preserve">. </w:t>
      </w:r>
    </w:p>
    <w:p w14:paraId="448FD564" w14:textId="77777777" w:rsidR="00955F89" w:rsidRDefault="00955F89" w:rsidP="00955F89">
      <w:r w:rsidRPr="00955F89">
        <w:t>The determination of the Committee takes effect on the day on which the foreign GI or translation, or both, are omitted from the Register.</w:t>
      </w:r>
    </w:p>
    <w:p w14:paraId="49C2A32B" w14:textId="38CE4D17" w:rsidR="00976396" w:rsidRPr="00976396" w:rsidRDefault="00976396" w:rsidP="00C21613">
      <w:r>
        <w:t>The ‘</w:t>
      </w:r>
      <w:r w:rsidR="00365FE0">
        <w:t xml:space="preserve">Registrar </w:t>
      </w:r>
      <w:r w:rsidRPr="00976396">
        <w:t>of Protected Geographical Indications and Other Terms</w:t>
      </w:r>
      <w:r>
        <w:t>’</w:t>
      </w:r>
      <w:r>
        <w:rPr>
          <w:b/>
          <w:i/>
        </w:rPr>
        <w:t xml:space="preserve"> </w:t>
      </w:r>
      <w:r>
        <w:t xml:space="preserve">is established under subsection 40ZA(1) of the Act. </w:t>
      </w:r>
    </w:p>
    <w:p w14:paraId="64C41AEF" w14:textId="4295E9E5" w:rsidR="00366CD1" w:rsidRDefault="00366CD1" w:rsidP="00366CD1">
      <w:pPr>
        <w:pStyle w:val="Heading3"/>
      </w:pPr>
      <w:r>
        <w:t>Division 3</w:t>
      </w:r>
      <w:r w:rsidR="000C3C04" w:rsidRPr="009E5369">
        <w:t>—</w:t>
      </w:r>
      <w:r>
        <w:t>Omission because GI not protected in country of origin and not used in Australia</w:t>
      </w:r>
    </w:p>
    <w:p w14:paraId="6CC3E38D" w14:textId="00F743D6" w:rsidR="00835CCC" w:rsidRDefault="00365A70" w:rsidP="00835CCC">
      <w:pPr>
        <w:rPr>
          <w:lang w:eastAsia="ja-JP"/>
        </w:rPr>
      </w:pPr>
      <w:r>
        <w:rPr>
          <w:lang w:eastAsia="ja-JP"/>
        </w:rPr>
        <w:t>This division</w:t>
      </w:r>
      <w:r w:rsidR="00835CCC">
        <w:rPr>
          <w:lang w:eastAsia="ja-JP"/>
        </w:rPr>
        <w:t xml:space="preserve"> provides for applications to be made to the Committee for a </w:t>
      </w:r>
      <w:r w:rsidR="00976396">
        <w:rPr>
          <w:lang w:eastAsia="ja-JP"/>
        </w:rPr>
        <w:t xml:space="preserve">foreign </w:t>
      </w:r>
      <w:r w:rsidR="00835CCC">
        <w:rPr>
          <w:lang w:eastAsia="ja-JP"/>
        </w:rPr>
        <w:t>GI to be removed from the Register because the GI is not protected in the country the GI originates from</w:t>
      </w:r>
      <w:r w:rsidR="00C96E98">
        <w:rPr>
          <w:lang w:eastAsia="ja-JP"/>
        </w:rPr>
        <w:t>,</w:t>
      </w:r>
      <w:r w:rsidR="00835CCC">
        <w:rPr>
          <w:lang w:eastAsia="ja-JP"/>
        </w:rPr>
        <w:t xml:space="preserve"> and it is not in use in Australia. </w:t>
      </w:r>
    </w:p>
    <w:p w14:paraId="5898EE06" w14:textId="4C385EF0" w:rsidR="00835CCC" w:rsidRPr="00835CCC" w:rsidRDefault="00835CCC" w:rsidP="00835CCC">
      <w:pPr>
        <w:rPr>
          <w:lang w:eastAsia="ja-JP"/>
        </w:rPr>
      </w:pPr>
      <w:r>
        <w:rPr>
          <w:lang w:eastAsia="ja-JP"/>
        </w:rPr>
        <w:t xml:space="preserve">There is no review mechanism for a decision that a GI be removed in the circumstances set out in </w:t>
      </w:r>
      <w:r w:rsidR="00365A70">
        <w:rPr>
          <w:lang w:eastAsia="ja-JP"/>
        </w:rPr>
        <w:t>this division</w:t>
      </w:r>
      <w:r>
        <w:rPr>
          <w:lang w:eastAsia="ja-JP"/>
        </w:rPr>
        <w:t xml:space="preserve"> as it is intended to mirror the procedure for omission </w:t>
      </w:r>
      <w:r>
        <w:rPr>
          <w:lang w:eastAsia="ja-JP"/>
        </w:rPr>
        <w:lastRenderedPageBreak/>
        <w:t xml:space="preserve">of Australian GIs from the Register because they are no longer required, as set out in Part VIB, Division 4A, Subdivision C of the Act. Under international trade agreements, Australia is obliged to ensure consistency in dealing with the registration of Australian and foreign GIs under the Act and the Regulations.   </w:t>
      </w:r>
    </w:p>
    <w:p w14:paraId="27969BC1" w14:textId="4F60DD98" w:rsidR="004230DF" w:rsidRPr="004230DF" w:rsidRDefault="004230DF" w:rsidP="00C21613">
      <w:pPr>
        <w:pStyle w:val="Provision"/>
      </w:pPr>
      <w:r w:rsidRPr="004230DF">
        <w:t>Section 10</w:t>
      </w:r>
      <w:r w:rsidR="00906BCB">
        <w:t>9</w:t>
      </w:r>
      <w:r w:rsidRPr="004230DF">
        <w:t xml:space="preserve"> – Application for omission of foreign GI</w:t>
      </w:r>
    </w:p>
    <w:p w14:paraId="57E20627" w14:textId="648D911B" w:rsidR="004230DF" w:rsidRPr="004230DF" w:rsidRDefault="004230DF" w:rsidP="00C21613">
      <w:r w:rsidRPr="004230DF">
        <w:t xml:space="preserve">This section provides for the application to omit a foreign GI from the Register, based on the </w:t>
      </w:r>
      <w:r w:rsidR="000E2FAF">
        <w:t>ground</w:t>
      </w:r>
      <w:r w:rsidRPr="004230DF">
        <w:t xml:space="preserve"> that it is not protected in its country of origin and is not in use in Australia. These requirements ensure Australia meets its international obligations. </w:t>
      </w:r>
    </w:p>
    <w:p w14:paraId="1512EFDB" w14:textId="642BE481" w:rsidR="004230DF" w:rsidRPr="004230DF" w:rsidRDefault="004230DF" w:rsidP="00C21613">
      <w:pPr>
        <w:pStyle w:val="Provision"/>
      </w:pPr>
      <w:r w:rsidRPr="004230DF">
        <w:t>Section 1</w:t>
      </w:r>
      <w:r w:rsidR="00906BCB">
        <w:t>10</w:t>
      </w:r>
      <w:r w:rsidRPr="004230DF">
        <w:t xml:space="preserve"> – Further information concerning application</w:t>
      </w:r>
    </w:p>
    <w:p w14:paraId="12887316" w14:textId="7E3F20A0" w:rsidR="004230DF" w:rsidRPr="004230DF" w:rsidRDefault="004230DF" w:rsidP="00C21613">
      <w:r w:rsidRPr="004230DF">
        <w:t xml:space="preserve">This section provides that for the purposes of determining an application, the </w:t>
      </w:r>
      <w:r w:rsidR="00C21613" w:rsidRPr="00C21613">
        <w:t>Committee</w:t>
      </w:r>
      <w:r w:rsidRPr="004230DF">
        <w:t xml:space="preserve"> may</w:t>
      </w:r>
      <w:r w:rsidR="000B057F">
        <w:t>, by notice in writing,</w:t>
      </w:r>
      <w:r w:rsidRPr="004230DF">
        <w:t xml:space="preserve"> require the applicant to provide further information. </w:t>
      </w:r>
    </w:p>
    <w:p w14:paraId="17B3D442" w14:textId="77777777" w:rsidR="004230DF" w:rsidRPr="004230DF" w:rsidRDefault="004230DF" w:rsidP="00C21613">
      <w:r w:rsidRPr="004230DF">
        <w:t>If the applicant does not comply with the request to provide the further information, the application will be taken to have been withdrawn.</w:t>
      </w:r>
    </w:p>
    <w:p w14:paraId="68E2A378" w14:textId="5B895E33" w:rsidR="004230DF" w:rsidRPr="004230DF" w:rsidRDefault="004230DF" w:rsidP="00C21613">
      <w:pPr>
        <w:pStyle w:val="Provision"/>
      </w:pPr>
      <w:r w:rsidRPr="004230DF">
        <w:t>Section 1</w:t>
      </w:r>
      <w:r w:rsidR="00906BCB">
        <w:t>11</w:t>
      </w:r>
      <w:r w:rsidRPr="004230DF">
        <w:t xml:space="preserve"> – Notice by </w:t>
      </w:r>
      <w:r w:rsidR="00906BCB">
        <w:t xml:space="preserve">Geographical Indications </w:t>
      </w:r>
      <w:r w:rsidR="00C21613" w:rsidRPr="00C21613">
        <w:t>Committee</w:t>
      </w:r>
    </w:p>
    <w:p w14:paraId="59A614F9" w14:textId="023F492A" w:rsidR="004230DF" w:rsidRDefault="00B77973" w:rsidP="00C21613">
      <w:r>
        <w:t>This section sets out the procedure the Committee must follow when an application to omi</w:t>
      </w:r>
      <w:r w:rsidR="00810F84">
        <w:t>t a foreign GI under section 109</w:t>
      </w:r>
      <w:r>
        <w:t xml:space="preserve"> is received. The Presiding Member </w:t>
      </w:r>
      <w:r w:rsidR="00E729C6">
        <w:t xml:space="preserve">of the Committee </w:t>
      </w:r>
      <w:r>
        <w:t>must publish a notice that:</w:t>
      </w:r>
    </w:p>
    <w:p w14:paraId="4155642F" w14:textId="64C6B8A9" w:rsidR="00B77973" w:rsidRDefault="00B77973" w:rsidP="00892CB7">
      <w:pPr>
        <w:pStyle w:val="ListParagraph"/>
        <w:numPr>
          <w:ilvl w:val="0"/>
          <w:numId w:val="71"/>
        </w:numPr>
      </w:pPr>
      <w:r>
        <w:t>states that an application</w:t>
      </w:r>
      <w:r w:rsidR="000E2FAF">
        <w:t xml:space="preserve"> has been made</w:t>
      </w:r>
      <w:r>
        <w:t xml:space="preserve"> for the omission of a foreign GI because it is not protected in its originating country or used</w:t>
      </w:r>
      <w:r w:rsidR="00810F84">
        <w:t xml:space="preserve"> in Australia (under section 109</w:t>
      </w:r>
      <w:r w:rsidR="003C36C5">
        <w:t>)</w:t>
      </w:r>
    </w:p>
    <w:p w14:paraId="4404DBF9" w14:textId="41891492" w:rsidR="00B77973" w:rsidRDefault="00B77973" w:rsidP="00892CB7">
      <w:pPr>
        <w:pStyle w:val="ListParagraph"/>
        <w:numPr>
          <w:ilvl w:val="0"/>
          <w:numId w:val="71"/>
        </w:numPr>
      </w:pPr>
      <w:r>
        <w:t>sets out the GI referred to in the application</w:t>
      </w:r>
      <w:r w:rsidR="003C36C5">
        <w:t>,</w:t>
      </w:r>
      <w:r>
        <w:t xml:space="preserve"> and </w:t>
      </w:r>
    </w:p>
    <w:p w14:paraId="3279A946" w14:textId="77777777" w:rsidR="00C477F5" w:rsidRDefault="00B77973" w:rsidP="00C21613">
      <w:pPr>
        <w:pStyle w:val="ListParagraph"/>
        <w:numPr>
          <w:ilvl w:val="0"/>
          <w:numId w:val="71"/>
        </w:numPr>
      </w:pPr>
      <w:r>
        <w:t>invites written submissions to the Committee reg</w:t>
      </w:r>
      <w:r w:rsidR="00C15CA1">
        <w:t>arding the application, within one</w:t>
      </w:r>
      <w:r>
        <w:t xml:space="preserve"> month of the notice. </w:t>
      </w:r>
    </w:p>
    <w:p w14:paraId="00681C06" w14:textId="32A19CCB" w:rsidR="00007CBF" w:rsidRDefault="00B77973" w:rsidP="00C477F5">
      <w:pPr>
        <w:rPr>
          <w:rFonts w:eastAsia="Calibri"/>
          <w:i/>
          <w:lang w:eastAsia="en-AU"/>
        </w:rPr>
      </w:pPr>
      <w:r w:rsidRPr="00C477F5">
        <w:rPr>
          <w:rFonts w:eastAsia="Calibri"/>
          <w:lang w:eastAsia="ja-JP"/>
        </w:rPr>
        <w:t xml:space="preserve">The notice is to be published in any manner that the Committee </w:t>
      </w:r>
      <w:r w:rsidR="00E729C6">
        <w:rPr>
          <w:rFonts w:eastAsia="Calibri"/>
          <w:lang w:eastAsia="ja-JP"/>
        </w:rPr>
        <w:t>considers</w:t>
      </w:r>
      <w:r w:rsidRPr="00C477F5">
        <w:rPr>
          <w:rFonts w:eastAsia="Calibri"/>
          <w:lang w:eastAsia="ja-JP"/>
        </w:rPr>
        <w:t xml:space="preserve"> appropriate.</w:t>
      </w:r>
      <w:r w:rsidR="00E729C6">
        <w:rPr>
          <w:rFonts w:eastAsia="Calibri"/>
          <w:lang w:eastAsia="ja-JP"/>
        </w:rPr>
        <w:t xml:space="preserve"> </w:t>
      </w:r>
      <w:r w:rsidR="00E729C6">
        <w:rPr>
          <w:rFonts w:eastAsiaTheme="minorEastAsia"/>
          <w:szCs w:val="24"/>
        </w:rPr>
        <w:t>For example, the Presiding Member of the Committee could publish a notice on the Authority’s website.</w:t>
      </w:r>
    </w:p>
    <w:p w14:paraId="537F8141" w14:textId="5E29B095" w:rsidR="004230DF" w:rsidRPr="004230DF" w:rsidRDefault="00906BCB" w:rsidP="00C21613">
      <w:pPr>
        <w:pStyle w:val="Provision"/>
      </w:pPr>
      <w:r>
        <w:t>Section 112</w:t>
      </w:r>
      <w:r w:rsidR="004230DF" w:rsidRPr="004230DF">
        <w:t xml:space="preserve"> – Determination by </w:t>
      </w:r>
      <w:r>
        <w:t xml:space="preserve">Geographical Indications </w:t>
      </w:r>
      <w:r w:rsidR="00C21613" w:rsidRPr="00C21613">
        <w:t>Committee</w:t>
      </w:r>
    </w:p>
    <w:p w14:paraId="5D8E6A8F" w14:textId="544F6D56" w:rsidR="004230DF" w:rsidRPr="004230DF" w:rsidRDefault="004230DF" w:rsidP="00C21613">
      <w:r w:rsidRPr="004230DF">
        <w:t xml:space="preserve">This section provides that the </w:t>
      </w:r>
      <w:r w:rsidR="00C21613" w:rsidRPr="00C21613">
        <w:t>Committee</w:t>
      </w:r>
      <w:r w:rsidRPr="004230DF">
        <w:t xml:space="preserve"> must make a determination to omit the GI from the Register if it is satisfied that:</w:t>
      </w:r>
    </w:p>
    <w:p w14:paraId="3B9AE8E2" w14:textId="3368086D" w:rsidR="004230DF" w:rsidRPr="004230DF" w:rsidRDefault="004230DF" w:rsidP="00892CB7">
      <w:pPr>
        <w:pStyle w:val="ListParagraph"/>
        <w:numPr>
          <w:ilvl w:val="0"/>
          <w:numId w:val="71"/>
        </w:numPr>
      </w:pPr>
      <w:r w:rsidRPr="004230DF">
        <w:t>the GI is not protected by the laws of the country where the GI is located</w:t>
      </w:r>
      <w:r w:rsidR="003C36C5">
        <w:t>,</w:t>
      </w:r>
      <w:r w:rsidRPr="004230DF">
        <w:t xml:space="preserve"> and</w:t>
      </w:r>
    </w:p>
    <w:p w14:paraId="40E50662" w14:textId="7BB2CA7F" w:rsidR="004230DF" w:rsidRDefault="004230DF" w:rsidP="00892CB7">
      <w:pPr>
        <w:pStyle w:val="ListParagraph"/>
        <w:numPr>
          <w:ilvl w:val="0"/>
          <w:numId w:val="71"/>
        </w:numPr>
      </w:pPr>
      <w:r w:rsidRPr="004230DF">
        <w:t xml:space="preserve">in the </w:t>
      </w:r>
      <w:r w:rsidR="00C15CA1">
        <w:t>three</w:t>
      </w:r>
      <w:r w:rsidRPr="004230DF">
        <w:t xml:space="preserve"> years before the date of the notice </w:t>
      </w:r>
      <w:r w:rsidR="00AA599A">
        <w:t>(</w:t>
      </w:r>
      <w:r w:rsidRPr="004230DF">
        <w:t xml:space="preserve">under </w:t>
      </w:r>
      <w:r w:rsidR="000E2FAF">
        <w:t>section 111</w:t>
      </w:r>
      <w:r w:rsidR="00AA599A">
        <w:t>)</w:t>
      </w:r>
      <w:r w:rsidRPr="004230DF">
        <w:t xml:space="preserve">, wine originating in the country, region or locality indicated by the GI has not been described and presented for sale in Australia using the GI or a registered translation of the GI. </w:t>
      </w:r>
    </w:p>
    <w:p w14:paraId="74133AAA" w14:textId="61D3B0F5" w:rsidR="000E2FAF" w:rsidRPr="004230DF" w:rsidRDefault="000E2FAF" w:rsidP="000E2FAF">
      <w:r>
        <w:t xml:space="preserve">If the Committee is not satisfied of these two matters, it must make a determination in writing not to omit the GI or translation. </w:t>
      </w:r>
    </w:p>
    <w:p w14:paraId="100D00B2" w14:textId="4015A478" w:rsidR="004230DF" w:rsidRPr="004230DF" w:rsidRDefault="004230DF" w:rsidP="00C21613">
      <w:r w:rsidRPr="004230DF">
        <w:lastRenderedPageBreak/>
        <w:t xml:space="preserve">If the </w:t>
      </w:r>
      <w:r w:rsidR="00C21613" w:rsidRPr="00C21613">
        <w:t>Committee</w:t>
      </w:r>
      <w:r w:rsidRPr="004230DF">
        <w:t xml:space="preserve"> makes a determination to omit a GI and this GI has an associated registered translation, then this translation must also be omitted. This is due to the fact that a translation </w:t>
      </w:r>
      <w:r w:rsidR="00E2464C" w:rsidRPr="004230DF">
        <w:t>cannot</w:t>
      </w:r>
      <w:r w:rsidRPr="004230DF">
        <w:t xml:space="preserve"> exist without an associated registered GI. </w:t>
      </w:r>
    </w:p>
    <w:p w14:paraId="5DE074BE" w14:textId="75363EBE" w:rsidR="004230DF" w:rsidRPr="004230DF" w:rsidRDefault="00A217A7" w:rsidP="00C21613">
      <w:pPr>
        <w:pStyle w:val="Provision"/>
      </w:pPr>
      <w:r>
        <w:t>Section 1</w:t>
      </w:r>
      <w:r w:rsidR="00906BCB">
        <w:t>13</w:t>
      </w:r>
      <w:r w:rsidR="004230DF" w:rsidRPr="004230DF">
        <w:t xml:space="preserve"> – Notice of Determination</w:t>
      </w:r>
    </w:p>
    <w:p w14:paraId="06EB9330" w14:textId="29912FEB" w:rsidR="004230DF" w:rsidRPr="004230DF" w:rsidRDefault="004230DF" w:rsidP="00C21613">
      <w:r w:rsidRPr="004230DF">
        <w:t xml:space="preserve">This section </w:t>
      </w:r>
      <w:r w:rsidR="008C75F6">
        <w:t xml:space="preserve">sets out </w:t>
      </w:r>
      <w:r w:rsidRPr="004230DF">
        <w:t>the requirement</w:t>
      </w:r>
      <w:r w:rsidR="008C75F6">
        <w:t>s for the Committee to notify persons of its decision to omit a foreign GI from the Register. T</w:t>
      </w:r>
      <w:r w:rsidRPr="004230DF">
        <w:t xml:space="preserve">he Presiding Member </w:t>
      </w:r>
      <w:r w:rsidR="00E729C6">
        <w:t xml:space="preserve">of the Committee </w:t>
      </w:r>
      <w:r w:rsidRPr="004230DF">
        <w:t>must:</w:t>
      </w:r>
    </w:p>
    <w:p w14:paraId="167A5D13" w14:textId="6D5BE8F1" w:rsidR="004230DF" w:rsidRPr="004230DF" w:rsidRDefault="004230DF" w:rsidP="00892CB7">
      <w:pPr>
        <w:pStyle w:val="ListParagraph"/>
        <w:numPr>
          <w:ilvl w:val="0"/>
          <w:numId w:val="71"/>
        </w:numPr>
      </w:pPr>
      <w:r w:rsidRPr="004230DF">
        <w:t xml:space="preserve">give a notice of the </w:t>
      </w:r>
      <w:r w:rsidR="00C21613" w:rsidRPr="00C21613">
        <w:t>Committee</w:t>
      </w:r>
      <w:r w:rsidRPr="004230DF">
        <w:t>’s determination to the applicant</w:t>
      </w:r>
      <w:r w:rsidR="00B77973">
        <w:t xml:space="preserve"> for the omission</w:t>
      </w:r>
      <w:r w:rsidR="003C36C5">
        <w:t>,</w:t>
      </w:r>
      <w:r w:rsidRPr="004230DF">
        <w:t xml:space="preserve"> and </w:t>
      </w:r>
    </w:p>
    <w:p w14:paraId="6F516410" w14:textId="66FD96DB" w:rsidR="004230DF" w:rsidRPr="004230DF" w:rsidRDefault="004230DF" w:rsidP="00892CB7">
      <w:pPr>
        <w:pStyle w:val="ListParagraph"/>
        <w:numPr>
          <w:ilvl w:val="0"/>
          <w:numId w:val="71"/>
        </w:numPr>
      </w:pPr>
      <w:r w:rsidRPr="004230DF">
        <w:t>publish a notice setting out the determination and its terms in a</w:t>
      </w:r>
      <w:r w:rsidR="00B77973">
        <w:t>ny</w:t>
      </w:r>
      <w:r w:rsidRPr="004230DF">
        <w:t xml:space="preserve"> manner </w:t>
      </w:r>
      <w:r w:rsidR="00B77973">
        <w:t xml:space="preserve">the Committee </w:t>
      </w:r>
      <w:r w:rsidR="00E729C6">
        <w:t>considers</w:t>
      </w:r>
      <w:r w:rsidRPr="004230DF">
        <w:t xml:space="preserve"> appropriate.</w:t>
      </w:r>
    </w:p>
    <w:p w14:paraId="2078A291" w14:textId="157032B0" w:rsidR="004230DF" w:rsidRPr="004230DF" w:rsidRDefault="00605A5C" w:rsidP="00C21613">
      <w:pPr>
        <w:pStyle w:val="Provision"/>
      </w:pPr>
      <w:r>
        <w:br w:type="column"/>
      </w:r>
      <w:r w:rsidR="004230DF" w:rsidRPr="004230DF">
        <w:lastRenderedPageBreak/>
        <w:t>Section 1</w:t>
      </w:r>
      <w:r w:rsidR="00906BCB">
        <w:t>14</w:t>
      </w:r>
      <w:r w:rsidR="004230DF" w:rsidRPr="004230DF">
        <w:t xml:space="preserve"> – Date of </w:t>
      </w:r>
      <w:r w:rsidR="00906BCB">
        <w:t xml:space="preserve">effect of </w:t>
      </w:r>
      <w:r w:rsidR="004230DF" w:rsidRPr="004230DF">
        <w:t>determination to omit foreign GI</w:t>
      </w:r>
    </w:p>
    <w:p w14:paraId="4F0145C1" w14:textId="6682AE6E" w:rsidR="004230DF" w:rsidRPr="004230DF" w:rsidRDefault="004230DF" w:rsidP="00C21613">
      <w:r w:rsidRPr="004230DF">
        <w:t xml:space="preserve">This section </w:t>
      </w:r>
      <w:r w:rsidR="008C75F6">
        <w:t xml:space="preserve">provides </w:t>
      </w:r>
      <w:r w:rsidRPr="004230DF">
        <w:t>the date of effect for the final determination to omit a foreign GI and related procedural matters.</w:t>
      </w:r>
    </w:p>
    <w:p w14:paraId="7EDDD5FA" w14:textId="0D0ABC06" w:rsidR="004230DF" w:rsidRPr="008C75F6" w:rsidRDefault="004230DF" w:rsidP="00C21613">
      <w:r w:rsidRPr="004230DF">
        <w:t xml:space="preserve">If the </w:t>
      </w:r>
      <w:r w:rsidR="00C21613" w:rsidRPr="00C21613">
        <w:t>Committee</w:t>
      </w:r>
      <w:r w:rsidRPr="004230DF">
        <w:t xml:space="preserve"> decides to omit a GI from the Register, the Presiding Member must give a </w:t>
      </w:r>
      <w:r w:rsidRPr="008C75F6">
        <w:t xml:space="preserve">copy of the </w:t>
      </w:r>
      <w:r w:rsidR="00BB70E4">
        <w:t xml:space="preserve">determination to the </w:t>
      </w:r>
      <w:r w:rsidR="00365FE0">
        <w:t xml:space="preserve">Registrar </w:t>
      </w:r>
      <w:r w:rsidRPr="008C75F6">
        <w:t>so that the particulars of the determination can be omitted from the Register as soon as practicable.</w:t>
      </w:r>
      <w:r w:rsidR="00BB70E4">
        <w:t xml:space="preserve"> No timing is prescribed for the </w:t>
      </w:r>
      <w:r w:rsidR="00365FE0">
        <w:t xml:space="preserve">Registrar </w:t>
      </w:r>
      <w:r w:rsidR="00BB70E4">
        <w:t>to remove the GI from the Register as there is no review mechanism for the ground of omission that a GI is not protected in its originating country or used in Australia.</w:t>
      </w:r>
    </w:p>
    <w:p w14:paraId="1F66C1FF" w14:textId="41E8147A" w:rsidR="004230DF" w:rsidRPr="004230DF" w:rsidRDefault="004230DF" w:rsidP="00C21613">
      <w:r w:rsidRPr="008C75F6">
        <w:t xml:space="preserve">When the Presiding Member </w:t>
      </w:r>
      <w:r w:rsidR="00E729C6">
        <w:t xml:space="preserve">of the Committee </w:t>
      </w:r>
      <w:r w:rsidRPr="008C75F6">
        <w:t xml:space="preserve">provides a copy of the determination to the </w:t>
      </w:r>
      <w:r w:rsidR="00365FE0">
        <w:t>Registrar</w:t>
      </w:r>
      <w:r w:rsidRPr="008C75F6">
        <w:t>, a copy of the determination must also be given to the Chair</w:t>
      </w:r>
      <w:r w:rsidRPr="004230DF">
        <w:t xml:space="preserve"> of the </w:t>
      </w:r>
      <w:r w:rsidR="00C21613">
        <w:t>Authority</w:t>
      </w:r>
      <w:r w:rsidRPr="004230DF">
        <w:t>.</w:t>
      </w:r>
    </w:p>
    <w:p w14:paraId="442D15F3" w14:textId="719CF022" w:rsidR="004230DF" w:rsidRPr="004230DF" w:rsidRDefault="004230DF" w:rsidP="00C21613">
      <w:r w:rsidRPr="004230DF">
        <w:t xml:space="preserve">The determination of the </w:t>
      </w:r>
      <w:r w:rsidR="00C21613" w:rsidRPr="00C21613">
        <w:t>Committee</w:t>
      </w:r>
      <w:r w:rsidRPr="004230DF">
        <w:t xml:space="preserve"> takes effect on the day on which particulars of the GI are omitted from the Register.</w:t>
      </w:r>
    </w:p>
    <w:p w14:paraId="10AFDB9B" w14:textId="0C554A9B" w:rsidR="004230DF" w:rsidRPr="004230DF" w:rsidRDefault="004230DF" w:rsidP="00F164D2">
      <w:pPr>
        <w:pStyle w:val="Part"/>
      </w:pPr>
      <w:r w:rsidRPr="004230DF">
        <w:t>Part 9—Miscellaneous</w:t>
      </w:r>
    </w:p>
    <w:p w14:paraId="458871FF" w14:textId="76480C76" w:rsidR="004230DF" w:rsidRPr="004230DF" w:rsidRDefault="004230DF" w:rsidP="00C21613">
      <w:pPr>
        <w:pStyle w:val="Provision"/>
      </w:pPr>
      <w:r w:rsidRPr="004230DF">
        <w:t>Section 11</w:t>
      </w:r>
      <w:r w:rsidR="00906BCB">
        <w:t>5</w:t>
      </w:r>
      <w:r w:rsidRPr="004230DF">
        <w:t xml:space="preserve"> – Delegation</w:t>
      </w:r>
    </w:p>
    <w:p w14:paraId="7DA99E2C" w14:textId="12FF5595" w:rsidR="00C2747B" w:rsidRDefault="004230DF" w:rsidP="00C21613">
      <w:r w:rsidRPr="004230DF">
        <w:t>This section provides that the Authority may, by writing under its common seal, delegate any or all of its powers under these Regulations to a</w:t>
      </w:r>
      <w:r w:rsidR="00BC6D1E">
        <w:t>n employee of the Authority.</w:t>
      </w:r>
    </w:p>
    <w:p w14:paraId="1FAC4827" w14:textId="6882DEDD" w:rsidR="00C2747B" w:rsidRDefault="00C2747B" w:rsidP="00C2747B">
      <w:r>
        <w:t>The section would provide that the Authority would not be able to delegate the power to</w:t>
      </w:r>
      <w:r w:rsidR="0027088F">
        <w:t xml:space="preserve"> delegate, or to</w:t>
      </w:r>
      <w:r>
        <w:t xml:space="preserve"> suspend or cancel an export licence under section 13. This limitation is appropriate, as the license holder (and potentially its associates) would no longer be able to export any grape products.</w:t>
      </w:r>
    </w:p>
    <w:p w14:paraId="2CDA75DA" w14:textId="513AD406" w:rsidR="00553399" w:rsidRDefault="00553399" w:rsidP="00C21613">
      <w:r>
        <w:t xml:space="preserve">The </w:t>
      </w:r>
      <w:r w:rsidR="00A44C78">
        <w:t>ability to delegate powers under the Regulations is required because under section 13 of t</w:t>
      </w:r>
      <w:r w:rsidR="000E2FAF">
        <w:t xml:space="preserve">he Act, the Authority is made up of </w:t>
      </w:r>
      <w:r w:rsidR="00A44C78">
        <w:t>the directors of the Authority (including a Chair). The delegation of powers in this arrangement is intended to be to the employees o</w:t>
      </w:r>
      <w:r w:rsidR="000E2FAF">
        <w:t>f the Authority, who are engaged</w:t>
      </w:r>
      <w:r w:rsidR="00A44C78">
        <w:t xml:space="preserve"> under section 30 of the Act. It would be impractical for all of the powers and functions of the Authority, under the Act or Regulations, to be exercised by its directors. It is for this reason that section 43 of the Act similarly empowers the Authority to delegate all of its powers under the Act to a person or committee established under section 11 of the Act</w:t>
      </w:r>
      <w:r w:rsidR="000E2FAF">
        <w:t xml:space="preserve"> (other than the power of delegation or the powers under subsection 30(2) of the Act to determine the terms and conditions of employment)</w:t>
      </w:r>
      <w:r w:rsidR="00A44C78">
        <w:t>. For the purposes of the Regulations, the powers to be delegated primarily sit within Part 3, which involves making decisions and requesting information for the control of grape products for export.</w:t>
      </w:r>
    </w:p>
    <w:p w14:paraId="7C4AE708" w14:textId="77777777" w:rsidR="000D1436" w:rsidRDefault="000D1436" w:rsidP="000D1436">
      <w:r>
        <w:t>It is appropriate for the Authority to be able to delegate powers to employees in relation to:</w:t>
      </w:r>
    </w:p>
    <w:p w14:paraId="608E297F" w14:textId="5CBCB480" w:rsidR="000D1436" w:rsidRDefault="000D1436" w:rsidP="00FB10D2">
      <w:pPr>
        <w:pStyle w:val="ListParagraph"/>
        <w:numPr>
          <w:ilvl w:val="0"/>
          <w:numId w:val="71"/>
        </w:numPr>
        <w:tabs>
          <w:tab w:val="left" w:pos="426"/>
        </w:tabs>
      </w:pPr>
      <w:r>
        <w:t>approving (section 1</w:t>
      </w:r>
      <w:r w:rsidR="0086404C">
        <w:t>4</w:t>
      </w:r>
      <w:r>
        <w:t>), su</w:t>
      </w:r>
      <w:r w:rsidR="0086404C">
        <w:t>spending or revoking (section 17</w:t>
      </w:r>
      <w:r>
        <w:t>) a product approval, and</w:t>
      </w:r>
    </w:p>
    <w:p w14:paraId="48DAD643" w14:textId="690F5AF4" w:rsidR="000D1436" w:rsidRDefault="000D1436" w:rsidP="00FB10D2">
      <w:pPr>
        <w:pStyle w:val="ListParagraph"/>
        <w:numPr>
          <w:ilvl w:val="0"/>
          <w:numId w:val="71"/>
        </w:numPr>
        <w:tabs>
          <w:tab w:val="left" w:pos="426"/>
        </w:tabs>
      </w:pPr>
      <w:r>
        <w:t>issuing (section 20) and revoking (section 21) an export certificate.</w:t>
      </w:r>
    </w:p>
    <w:p w14:paraId="40809C51" w14:textId="77777777" w:rsidR="00547E44" w:rsidRDefault="000D1436" w:rsidP="00547E44">
      <w:pPr>
        <w:pStyle w:val="CommentText"/>
      </w:pPr>
      <w:r>
        <w:lastRenderedPageBreak/>
        <w:t>These powers are required to be used in a timely manner, to enable licence holders to export grape product, but more importantly stop non-compliant product</w:t>
      </w:r>
      <w:r w:rsidR="0086404C">
        <w:t>s</w:t>
      </w:r>
      <w:r>
        <w:t>—which could affect the reputation o</w:t>
      </w:r>
      <w:r w:rsidR="009327FC">
        <w:t>f</w:t>
      </w:r>
      <w:r>
        <w:t xml:space="preserve"> Australian wine more broadly—from being </w:t>
      </w:r>
      <w:r w:rsidRPr="009C1BBD">
        <w:t>exported.</w:t>
      </w:r>
      <w:r w:rsidR="00547E44" w:rsidRPr="00547E44">
        <w:t xml:space="preserve"> </w:t>
      </w:r>
      <w:r w:rsidR="00547E44">
        <w:t>The powers are therefore delegated broadly to employees of the Authority for the purposes of administrative necessity.</w:t>
      </w:r>
      <w:r w:rsidR="00547E44" w:rsidRPr="00547E44">
        <w:t xml:space="preserve"> </w:t>
      </w:r>
    </w:p>
    <w:p w14:paraId="4098BE8E" w14:textId="3F1BC66B" w:rsidR="00547E44" w:rsidRDefault="00605A5C" w:rsidP="00547E44">
      <w:pPr>
        <w:pStyle w:val="CommentText"/>
      </w:pPr>
      <w:r>
        <w:br w:type="column"/>
      </w:r>
      <w:r w:rsidR="00547E44">
        <w:lastRenderedPageBreak/>
        <w:t>When determining whether it is necessary or reasonable for an employee of the Authority to be delegated a power under these Regulations, it is intended that regard will be had to any skills, training or relevant experience of that person, including whether appropriate training is required. For instance, in practice the following employees would exercise these powers:</w:t>
      </w:r>
    </w:p>
    <w:p w14:paraId="3ED31272" w14:textId="77777777" w:rsidR="00547E44" w:rsidRDefault="00547E44" w:rsidP="00547E44">
      <w:pPr>
        <w:pStyle w:val="ListParagraph"/>
        <w:keepLines/>
        <w:numPr>
          <w:ilvl w:val="0"/>
          <w:numId w:val="90"/>
        </w:numPr>
        <w:spacing w:before="0" w:line="264" w:lineRule="auto"/>
      </w:pPr>
      <w:r>
        <w:t>auditors for the purposes of the Label Integrity Scheme</w:t>
      </w:r>
    </w:p>
    <w:p w14:paraId="4277767B" w14:textId="77777777" w:rsidR="00547E44" w:rsidRDefault="00547E44" w:rsidP="00547E44">
      <w:pPr>
        <w:pStyle w:val="ListParagraph"/>
        <w:keepLines/>
        <w:numPr>
          <w:ilvl w:val="0"/>
          <w:numId w:val="90"/>
        </w:numPr>
        <w:spacing w:before="0" w:line="264" w:lineRule="auto"/>
      </w:pPr>
      <w:r>
        <w:t>administrators of the Wine Export Approvals system, and</w:t>
      </w:r>
    </w:p>
    <w:p w14:paraId="7C092911" w14:textId="77777777" w:rsidR="00547E44" w:rsidRDefault="00547E44" w:rsidP="00547E44">
      <w:pPr>
        <w:pStyle w:val="ListParagraph"/>
        <w:keepLines/>
        <w:numPr>
          <w:ilvl w:val="0"/>
          <w:numId w:val="90"/>
        </w:numPr>
        <w:spacing w:before="0" w:line="264" w:lineRule="auto"/>
      </w:pPr>
      <w:r>
        <w:t xml:space="preserve">wine sample analysts. </w:t>
      </w:r>
    </w:p>
    <w:p w14:paraId="06796FF5" w14:textId="77777777" w:rsidR="00547E44" w:rsidRDefault="00547E44" w:rsidP="00547E44">
      <w:r>
        <w:t>The Authority’s audit team conducts over 400 audits of records each year</w:t>
      </w:r>
      <w:r w:rsidRPr="00A060F9">
        <w:t xml:space="preserve"> to ensure claims made about regional, varietal or vintage provenance of wine can be substantiated</w:t>
      </w:r>
      <w:r>
        <w:t xml:space="preserve"> (that would be required by proposed paragraph 14(3)(c)), making it impractical for senior officers to carry out this function. The Wine Export Approvals (WEA) system is operated by the Authority to manage documentation for the application, assessment and issuing of wine export approvals that would be made under proposed Part 3. While each year</w:t>
      </w:r>
      <w:r w:rsidRPr="0085155F">
        <w:t>, approximately 1,200 samples are collected and submitted for chemical analysis to ensure compliance with the Food Standards Code</w:t>
      </w:r>
      <w:r>
        <w:t xml:space="preserve"> (that would be required by proposed sections 14 and 16)</w:t>
      </w:r>
      <w:r w:rsidRPr="0085155F">
        <w:t>. </w:t>
      </w:r>
    </w:p>
    <w:p w14:paraId="06A7625C" w14:textId="5E75292E" w:rsidR="007A5810" w:rsidRDefault="007A5810" w:rsidP="007A5810">
      <w:pPr>
        <w:pStyle w:val="Provision"/>
      </w:pPr>
      <w:r w:rsidRPr="004230DF">
        <w:t>Section 11</w:t>
      </w:r>
      <w:r>
        <w:t>6</w:t>
      </w:r>
      <w:r w:rsidRPr="004230DF">
        <w:t xml:space="preserve"> – </w:t>
      </w:r>
      <w:r>
        <w:t>Authority may use computer programs to make decisions</w:t>
      </w:r>
    </w:p>
    <w:p w14:paraId="28F82854" w14:textId="77777777" w:rsidR="007A5810" w:rsidRDefault="007A5810" w:rsidP="007A5810">
      <w:r>
        <w:t xml:space="preserve">This section provides that the Authority may use computer programs to make decisions under the Regulations. </w:t>
      </w:r>
    </w:p>
    <w:p w14:paraId="532FF5BB" w14:textId="77777777" w:rsidR="007A5810" w:rsidRDefault="007A5810" w:rsidP="007A5810">
      <w:r>
        <w:t xml:space="preserve">Where a computer program makes a decision under the Regulations, this decision is deemed to be made by the Authority. However, if the computer program has made a decision in error, the Authority can make a decision that replaces the decision of the computer program or arrange for the computer program to make another decision. </w:t>
      </w:r>
    </w:p>
    <w:p w14:paraId="3D197F10" w14:textId="74E29039" w:rsidR="000D1436" w:rsidRDefault="000D1436" w:rsidP="000D1436">
      <w:r>
        <w:t>The section provides that a computer program cannot make a decision to:</w:t>
      </w:r>
    </w:p>
    <w:p w14:paraId="162C6188" w14:textId="173DCD2B" w:rsidR="000D1436" w:rsidRDefault="000D1436" w:rsidP="000D1436">
      <w:pPr>
        <w:pStyle w:val="ListParagraph"/>
        <w:numPr>
          <w:ilvl w:val="0"/>
          <w:numId w:val="71"/>
        </w:numPr>
      </w:pPr>
      <w:r>
        <w:t>su</w:t>
      </w:r>
      <w:r w:rsidR="00E729C6">
        <w:t>spend or cancel an export licenc</w:t>
      </w:r>
      <w:r>
        <w:t>e (section 13)</w:t>
      </w:r>
    </w:p>
    <w:p w14:paraId="3FA65448" w14:textId="4D734825" w:rsidR="000D1436" w:rsidRDefault="000D1436" w:rsidP="000D1436">
      <w:pPr>
        <w:pStyle w:val="ListParagraph"/>
        <w:numPr>
          <w:ilvl w:val="0"/>
          <w:numId w:val="71"/>
        </w:numPr>
      </w:pPr>
      <w:r>
        <w:t>suspend or revoke a product approval (section 17), or</w:t>
      </w:r>
    </w:p>
    <w:p w14:paraId="6AFC18A2" w14:textId="0D213177" w:rsidR="000D1436" w:rsidRDefault="000D1436" w:rsidP="000D1436">
      <w:pPr>
        <w:pStyle w:val="ListParagraph"/>
        <w:numPr>
          <w:ilvl w:val="0"/>
          <w:numId w:val="71"/>
        </w:numPr>
      </w:pPr>
      <w:r>
        <w:t>revoke an export certificate (section 21).</w:t>
      </w:r>
    </w:p>
    <w:p w14:paraId="4EEB9AC7" w14:textId="70056CC3" w:rsidR="000D1436" w:rsidRDefault="000D1436" w:rsidP="007A5810">
      <w:r>
        <w:t>This limitation is appropriate as these decisions require evidence of non-compliance.</w:t>
      </w:r>
    </w:p>
    <w:p w14:paraId="71F2F141" w14:textId="145BFC3C" w:rsidR="007A5810" w:rsidRPr="00906BCB" w:rsidRDefault="007A5810" w:rsidP="007A5810">
      <w:r>
        <w:t>This section is intended to apply for the operation of the Wine Export Approvals (WEA) system, controlled by the Authority. The WEA is a web-based system that allows persons intending to export grape products to obtain documentation electronically. The decisions that are made by the WEA relate to the granting of export licences, approval of grape products and issuing of export certificates under Part 3. This section would also apply were another computer program used by the Authority for decision-making under the Regulations, including new versions or replacement programs of the WEA.</w:t>
      </w:r>
    </w:p>
    <w:p w14:paraId="7CABEC9C" w14:textId="1B3BB666" w:rsidR="00A217A7" w:rsidRDefault="00A217A7" w:rsidP="00F164D2">
      <w:pPr>
        <w:pStyle w:val="Part"/>
      </w:pPr>
      <w:r>
        <w:t>Part 10</w:t>
      </w:r>
      <w:r w:rsidRPr="004230DF">
        <w:t>—</w:t>
      </w:r>
      <w:r>
        <w:t>Transitional provisions</w:t>
      </w:r>
    </w:p>
    <w:p w14:paraId="6A65B43E" w14:textId="01794361" w:rsidR="00A217A7" w:rsidRDefault="00A217A7" w:rsidP="00A217A7">
      <w:pPr>
        <w:pStyle w:val="Heading3"/>
      </w:pPr>
      <w:r w:rsidRPr="006F5C02">
        <w:t>Division 1―On commencement</w:t>
      </w:r>
    </w:p>
    <w:p w14:paraId="5EA0E7D8" w14:textId="29D160D7" w:rsidR="00501ED9" w:rsidRPr="00810F84" w:rsidRDefault="00501ED9" w:rsidP="00810F84">
      <w:pPr>
        <w:rPr>
          <w:i/>
        </w:rPr>
      </w:pPr>
      <w:r w:rsidRPr="006F5C02">
        <w:lastRenderedPageBreak/>
        <w:t>This</w:t>
      </w:r>
      <w:r>
        <w:t xml:space="preserve"> division provides transitional arrangements for the export of grape products and the determination of GIs on commencement of the Regulations, with regard to the repeal of the </w:t>
      </w:r>
      <w:r w:rsidRPr="00810F84">
        <w:rPr>
          <w:i/>
        </w:rPr>
        <w:t>Australian Grape and Wine Authority Regulations 1981</w:t>
      </w:r>
      <w:r>
        <w:t xml:space="preserve"> (the </w:t>
      </w:r>
      <w:r w:rsidRPr="00E729C6">
        <w:rPr>
          <w:b/>
          <w:i/>
        </w:rPr>
        <w:t>old Regulations</w:t>
      </w:r>
      <w:r>
        <w:t xml:space="preserve">) by the </w:t>
      </w:r>
      <w:r w:rsidRPr="00810F84">
        <w:rPr>
          <w:i/>
        </w:rPr>
        <w:t xml:space="preserve">Wine Australia Legislation Amendment (Repeals and Consequential Amendments) Regulations 2018. </w:t>
      </w:r>
    </w:p>
    <w:p w14:paraId="360E34DF" w14:textId="6974EB6A" w:rsidR="00A217A7" w:rsidRPr="006F5C02" w:rsidRDefault="00973BED" w:rsidP="00A217A7">
      <w:pPr>
        <w:pStyle w:val="Provision"/>
      </w:pPr>
      <w:r>
        <w:t>Section 117</w:t>
      </w:r>
      <w:r w:rsidR="00A217A7" w:rsidRPr="006F5C02">
        <w:t xml:space="preserve"> – Export controls</w:t>
      </w:r>
    </w:p>
    <w:p w14:paraId="79287793" w14:textId="77777777" w:rsidR="00501ED9" w:rsidRDefault="00501ED9" w:rsidP="00810F84">
      <w:r>
        <w:t xml:space="preserve">This section provides transitional arrangements for the export of grape products controlled under the old Regulations. </w:t>
      </w:r>
    </w:p>
    <w:p w14:paraId="6AC08727" w14:textId="77777777" w:rsidR="00501ED9" w:rsidRDefault="00501ED9" w:rsidP="00810F84">
      <w:r>
        <w:t>If a licence was granted to a person to export grape products under regulation 5 of the old Regulations and that licence was:</w:t>
      </w:r>
    </w:p>
    <w:p w14:paraId="0B08F2F1" w14:textId="1136D021" w:rsidR="00501ED9" w:rsidRPr="00892CB7" w:rsidRDefault="00501ED9" w:rsidP="00FB10D2">
      <w:pPr>
        <w:pStyle w:val="ListParagraph"/>
        <w:numPr>
          <w:ilvl w:val="0"/>
          <w:numId w:val="71"/>
        </w:numPr>
        <w:tabs>
          <w:tab w:val="left" w:pos="426"/>
        </w:tabs>
      </w:pPr>
      <w:r w:rsidRPr="00C66405">
        <w:t xml:space="preserve">in force </w:t>
      </w:r>
      <w:r w:rsidR="002B68C6" w:rsidRPr="00C66405">
        <w:t xml:space="preserve">or suspended </w:t>
      </w:r>
      <w:r w:rsidRPr="00C66405">
        <w:t>immediately before the commencement of the Regulations, the licence is deemed to be gr</w:t>
      </w:r>
      <w:r w:rsidR="00117430">
        <w:t>anted under section 9, and</w:t>
      </w:r>
    </w:p>
    <w:p w14:paraId="471D4029" w14:textId="4E93CFC3" w:rsidR="00501ED9" w:rsidRPr="00892CB7" w:rsidRDefault="00501ED9" w:rsidP="00FB10D2">
      <w:pPr>
        <w:pStyle w:val="ListParagraph"/>
        <w:numPr>
          <w:ilvl w:val="0"/>
          <w:numId w:val="71"/>
        </w:numPr>
        <w:tabs>
          <w:tab w:val="left" w:pos="426"/>
        </w:tabs>
      </w:pPr>
      <w:r w:rsidRPr="002A062E">
        <w:t xml:space="preserve">suspended </w:t>
      </w:r>
      <w:r w:rsidR="002B68C6" w:rsidRPr="00DC0542">
        <w:t>immediately before the commencement of the Regulations, the licence is deemed to</w:t>
      </w:r>
      <w:r w:rsidR="000E2FAF">
        <w:t xml:space="preserve"> be granted under section 9 and</w:t>
      </w:r>
      <w:r w:rsidR="00810F84">
        <w:t xml:space="preserve"> suspended under section 13</w:t>
      </w:r>
      <w:r w:rsidR="002B68C6" w:rsidRPr="00DC0542">
        <w:t xml:space="preserve"> for the same period. </w:t>
      </w:r>
    </w:p>
    <w:p w14:paraId="3C7B4FC9" w14:textId="08657B9B" w:rsidR="002B68C6" w:rsidRDefault="002B68C6" w:rsidP="00810F84">
      <w:r>
        <w:t>If an export certificate was issued for the export of a grape product under regulation 7 of the old Regulations and th</w:t>
      </w:r>
      <w:r w:rsidR="000E2FAF">
        <w:t>e certificate was not revoked and</w:t>
      </w:r>
      <w:r>
        <w:t xml:space="preserve"> the relevant export had not occurred immediately before the commencement of the Regulations, the certificate is dee</w:t>
      </w:r>
      <w:r w:rsidR="00810F84">
        <w:t>med to be issued under section 20</w:t>
      </w:r>
      <w:r>
        <w:t>.</w:t>
      </w:r>
    </w:p>
    <w:p w14:paraId="1818525E" w14:textId="142D84D8" w:rsidR="002B68C6" w:rsidRDefault="002B68C6" w:rsidP="00810F84">
      <w:r>
        <w:t>If an export certificate was issued by the Authority to a licensee for an export of a grape product under regulation 7 of the old Regulations, that grape product is deemed</w:t>
      </w:r>
      <w:r w:rsidR="00810F84">
        <w:t xml:space="preserve"> to be approved under section 14</w:t>
      </w:r>
      <w:r>
        <w:t xml:space="preserve"> for export by the licensee. </w:t>
      </w:r>
    </w:p>
    <w:p w14:paraId="135B2BB0" w14:textId="17DF96C1" w:rsidR="002B68C6" w:rsidRPr="00501ED9" w:rsidRDefault="002B68C6" w:rsidP="00810F84">
      <w:r>
        <w:t xml:space="preserve">If a direction was given under regulation </w:t>
      </w:r>
      <w:r w:rsidR="005270BB">
        <w:t>8 of the old Regulations and was in force immediately before the commencement of the Regulations, the direction is deemed to be given under section 2</w:t>
      </w:r>
      <w:r w:rsidR="00810F84">
        <w:t>2</w:t>
      </w:r>
      <w:r w:rsidR="005270BB">
        <w:t xml:space="preserve">. </w:t>
      </w:r>
    </w:p>
    <w:p w14:paraId="40AE8035" w14:textId="2DCBFF57" w:rsidR="00A217A7" w:rsidRDefault="00973BED" w:rsidP="00A217A7">
      <w:pPr>
        <w:pStyle w:val="Provision"/>
      </w:pPr>
      <w:r>
        <w:t>Section 118</w:t>
      </w:r>
      <w:r w:rsidR="00A217A7" w:rsidRPr="006F5C02">
        <w:t xml:space="preserve"> – Determination of GIs</w:t>
      </w:r>
    </w:p>
    <w:p w14:paraId="1C3CD2DB" w14:textId="155A10EF" w:rsidR="005270BB" w:rsidRDefault="005270BB" w:rsidP="00FB10D2">
      <w:pPr>
        <w:pStyle w:val="Provision"/>
        <w:tabs>
          <w:tab w:val="left" w:pos="426"/>
        </w:tabs>
        <w:rPr>
          <w:i w:val="0"/>
        </w:rPr>
      </w:pPr>
      <w:r>
        <w:rPr>
          <w:i w:val="0"/>
        </w:rPr>
        <w:t xml:space="preserve">This section provides transitional arrangements for the determination of GIs on commencement of the Regulations, and </w:t>
      </w:r>
      <w:r w:rsidR="000E2FAF">
        <w:rPr>
          <w:i w:val="0"/>
        </w:rPr>
        <w:t>repeal of the old Regulations. Parts of t</w:t>
      </w:r>
      <w:r>
        <w:rPr>
          <w:i w:val="0"/>
        </w:rPr>
        <w:t>he old Regulations continue to apply in the following circumstances in relation to:</w:t>
      </w:r>
    </w:p>
    <w:p w14:paraId="0B196D9D" w14:textId="3B6DDE97" w:rsidR="005270BB" w:rsidRPr="007B1DD0" w:rsidRDefault="005270BB" w:rsidP="00892CB7">
      <w:pPr>
        <w:pStyle w:val="ListParagraph"/>
        <w:numPr>
          <w:ilvl w:val="0"/>
          <w:numId w:val="71"/>
        </w:numPr>
      </w:pPr>
      <w:r w:rsidRPr="00C66405">
        <w:t>the determination of a GI under Part VIB, Division 4 of the Act, if a notice about the determination was published un</w:t>
      </w:r>
      <w:r w:rsidRPr="007B1DD0">
        <w:t>der section 40RA o</w:t>
      </w:r>
      <w:r w:rsidR="00117430">
        <w:t>f the Act before the repeal</w:t>
      </w:r>
    </w:p>
    <w:p w14:paraId="3B486B01" w14:textId="724FE6DF" w:rsidR="000E2FAF" w:rsidRPr="00892CB7" w:rsidRDefault="005270BB" w:rsidP="00892CB7">
      <w:pPr>
        <w:pStyle w:val="ListParagraph"/>
        <w:numPr>
          <w:ilvl w:val="0"/>
          <w:numId w:val="71"/>
        </w:numPr>
      </w:pPr>
      <w:r w:rsidRPr="002A062E">
        <w:t>an application under subsection 40RE(1) of the Act t</w:t>
      </w:r>
      <w:r w:rsidR="00117430">
        <w:t>hat was made before the repeal</w:t>
      </w:r>
      <w:r w:rsidR="00E2464C" w:rsidRPr="00C66405">
        <w:t xml:space="preserve"> </w:t>
      </w:r>
    </w:p>
    <w:p w14:paraId="38B9169E" w14:textId="34F07514" w:rsidR="005270BB" w:rsidRPr="00892CB7" w:rsidRDefault="00E2464C" w:rsidP="00892CB7">
      <w:pPr>
        <w:pStyle w:val="ListParagraph"/>
        <w:numPr>
          <w:ilvl w:val="0"/>
          <w:numId w:val="71"/>
        </w:numPr>
      </w:pPr>
      <w:r w:rsidRPr="00C66405">
        <w:t>the</w:t>
      </w:r>
      <w:r w:rsidR="005270BB" w:rsidRPr="00C66405">
        <w:t xml:space="preserve"> determination of a foreign GI or translation if a notice about the </w:t>
      </w:r>
      <w:r w:rsidR="008C75F6" w:rsidRPr="00C66405">
        <w:t>proposed</w:t>
      </w:r>
      <w:r w:rsidR="008C75F6" w:rsidRPr="007B1DD0">
        <w:t xml:space="preserve"> foreign GI or translation</w:t>
      </w:r>
      <w:r w:rsidR="005270BB" w:rsidRPr="002A062E">
        <w:t xml:space="preserve"> was published under regul</w:t>
      </w:r>
      <w:r w:rsidR="00117430">
        <w:t>ation 57 of the old Regulations,</w:t>
      </w:r>
      <w:r w:rsidR="005270BB" w:rsidRPr="002A062E">
        <w:t xml:space="preserve"> and  </w:t>
      </w:r>
    </w:p>
    <w:p w14:paraId="7999A1FD" w14:textId="051C7717" w:rsidR="005270BB" w:rsidRPr="00892CB7" w:rsidRDefault="005270BB" w:rsidP="00892CB7">
      <w:pPr>
        <w:pStyle w:val="ListParagraph"/>
        <w:numPr>
          <w:ilvl w:val="0"/>
          <w:numId w:val="71"/>
        </w:numPr>
      </w:pPr>
      <w:r w:rsidRPr="002A062E">
        <w:t xml:space="preserve">an application </w:t>
      </w:r>
      <w:r w:rsidR="008C75F6" w:rsidRPr="00DC0542">
        <w:t>that a ground of objection no longer exists (</w:t>
      </w:r>
      <w:r w:rsidRPr="00DC0542">
        <w:t>made under regulation 73</w:t>
      </w:r>
      <w:r w:rsidR="008C75F6" w:rsidRPr="00DC0542">
        <w:t>)</w:t>
      </w:r>
      <w:r w:rsidR="005817B3">
        <w:t>,</w:t>
      </w:r>
      <w:r w:rsidR="008C75F6" w:rsidRPr="00DC0542">
        <w:t xml:space="preserve"> or for omission of a foreign GI (made under regulation 97 or 104) or translation of a foreign GI (made under regulation </w:t>
      </w:r>
      <w:r w:rsidRPr="00DC0542">
        <w:t>97</w:t>
      </w:r>
      <w:r w:rsidR="008C75F6" w:rsidRPr="00DC0542">
        <w:t>)</w:t>
      </w:r>
      <w:r w:rsidRPr="00DC0542">
        <w:t xml:space="preserve"> of the old Regulations. </w:t>
      </w:r>
    </w:p>
    <w:p w14:paraId="317A5B70" w14:textId="61BF0DDB" w:rsidR="004230DF" w:rsidRPr="004230DF" w:rsidRDefault="004230DF" w:rsidP="00F164D2">
      <w:pPr>
        <w:pStyle w:val="Part"/>
      </w:pPr>
      <w:r w:rsidRPr="004230DF">
        <w:lastRenderedPageBreak/>
        <w:t>Schedule 1—Modifications of Division 4 of Part VIB of the Act</w:t>
      </w:r>
    </w:p>
    <w:p w14:paraId="327B5071" w14:textId="02BDAEE8" w:rsidR="000B057F" w:rsidRPr="000B057F" w:rsidRDefault="000B057F" w:rsidP="000F0908">
      <w:r>
        <w:t xml:space="preserve">This schedule relates to modifications of Division 4 of Part VIB of the Act (section </w:t>
      </w:r>
      <w:r w:rsidR="00E15343">
        <w:t>33</w:t>
      </w:r>
      <w:r>
        <w:t xml:space="preserve">). </w:t>
      </w:r>
    </w:p>
    <w:p w14:paraId="186B9B9C" w14:textId="14595A6E" w:rsidR="00A217A7" w:rsidRDefault="00A217A7" w:rsidP="00A217A7">
      <w:pPr>
        <w:pStyle w:val="Provision"/>
      </w:pPr>
      <w:r w:rsidRPr="006F5C02">
        <w:t>Clause 1</w:t>
      </w:r>
      <w:r w:rsidR="006F5C02">
        <w:t xml:space="preserve"> </w:t>
      </w:r>
      <w:r w:rsidR="006F5C02" w:rsidRPr="006F5C02">
        <w:t xml:space="preserve">– </w:t>
      </w:r>
      <w:r>
        <w:t>Grounds of objection to the determination of a geographical indication</w:t>
      </w:r>
    </w:p>
    <w:p w14:paraId="18737490" w14:textId="19ECCD5B" w:rsidR="004230DF" w:rsidRDefault="004230DF" w:rsidP="00C21613">
      <w:pPr>
        <w:rPr>
          <w:rFonts w:eastAsia="Calibri"/>
          <w:lang w:eastAsia="en-AU"/>
        </w:rPr>
      </w:pPr>
      <w:bookmarkStart w:id="26" w:name="_Toc500497101"/>
      <w:r w:rsidRPr="004230DF">
        <w:rPr>
          <w:rFonts w:eastAsia="Calibri"/>
          <w:lang w:eastAsia="en-AU"/>
        </w:rPr>
        <w:t xml:space="preserve">This schedule provides the grounds for objection to the determination of a </w:t>
      </w:r>
      <w:bookmarkEnd w:id="26"/>
      <w:r w:rsidR="00E729C6">
        <w:rPr>
          <w:rFonts w:eastAsia="Calibri"/>
          <w:lang w:eastAsia="en-AU"/>
        </w:rPr>
        <w:t>GI</w:t>
      </w:r>
      <w:r w:rsidRPr="004230DF">
        <w:rPr>
          <w:rFonts w:eastAsia="Calibri"/>
          <w:lang w:eastAsia="en-AU"/>
        </w:rPr>
        <w:t xml:space="preserve"> (as per 40RB of the Act) are now modified by adding the additional ground of objection. This is whereby a person may object to the determination of a proposed GI on the ground that the proposed GI is used in Australia either as the common name of a type or style of wine, or as the name of a variety of grapes.</w:t>
      </w:r>
    </w:p>
    <w:p w14:paraId="2AE583AE" w14:textId="7F91175C" w:rsidR="000F0908" w:rsidRDefault="000F0908" w:rsidP="000F0908">
      <w:pPr>
        <w:rPr>
          <w:lang w:eastAsia="ja-JP"/>
        </w:rPr>
      </w:pPr>
      <w:r>
        <w:rPr>
          <w:lang w:eastAsia="ja-JP"/>
        </w:rPr>
        <w:t xml:space="preserve">Under section </w:t>
      </w:r>
      <w:r w:rsidRPr="00E235D8">
        <w:rPr>
          <w:lang w:eastAsia="ja-JP"/>
        </w:rPr>
        <w:t xml:space="preserve">40PA of the Act, the </w:t>
      </w:r>
      <w:r>
        <w:rPr>
          <w:lang w:eastAsia="ja-JP"/>
        </w:rPr>
        <w:t>R</w:t>
      </w:r>
      <w:r w:rsidRPr="00E235D8">
        <w:rPr>
          <w:lang w:eastAsia="ja-JP"/>
        </w:rPr>
        <w:t xml:space="preserve">egulations may modify the </w:t>
      </w:r>
      <w:r>
        <w:rPr>
          <w:lang w:eastAsia="ja-JP"/>
        </w:rPr>
        <w:t>A</w:t>
      </w:r>
      <w:r w:rsidRPr="00E235D8">
        <w:rPr>
          <w:lang w:eastAsia="ja-JP"/>
        </w:rPr>
        <w:t xml:space="preserve">ct to </w:t>
      </w:r>
      <w:r>
        <w:rPr>
          <w:lang w:eastAsia="ja-JP"/>
        </w:rPr>
        <w:t xml:space="preserve">ensure the operation of determining </w:t>
      </w:r>
      <w:r w:rsidRPr="00E235D8">
        <w:rPr>
          <w:lang w:eastAsia="ja-JP"/>
        </w:rPr>
        <w:t xml:space="preserve">Australian </w:t>
      </w:r>
      <w:r>
        <w:rPr>
          <w:lang w:eastAsia="ja-JP"/>
        </w:rPr>
        <w:t xml:space="preserve">and foreign </w:t>
      </w:r>
      <w:r w:rsidRPr="00E235D8">
        <w:rPr>
          <w:lang w:eastAsia="ja-JP"/>
        </w:rPr>
        <w:t>GIs</w:t>
      </w:r>
      <w:r>
        <w:rPr>
          <w:lang w:eastAsia="ja-JP"/>
        </w:rPr>
        <w:t xml:space="preserve"> are aligned</w:t>
      </w:r>
      <w:r w:rsidRPr="00E235D8">
        <w:rPr>
          <w:lang w:eastAsia="ja-JP"/>
        </w:rPr>
        <w:t>.</w:t>
      </w:r>
      <w:r>
        <w:rPr>
          <w:lang w:eastAsia="ja-JP"/>
        </w:rPr>
        <w:t xml:space="preserve"> The procedures for determining Australian and foreign GIs are to be aligned, in order to meet Australia’s inter</w:t>
      </w:r>
      <w:r w:rsidR="00E729C6">
        <w:rPr>
          <w:lang w:eastAsia="ja-JP"/>
        </w:rPr>
        <w:t>national obligations under wine-</w:t>
      </w:r>
      <w:r>
        <w:rPr>
          <w:lang w:eastAsia="ja-JP"/>
        </w:rPr>
        <w:t>trading agreements.</w:t>
      </w:r>
      <w:r w:rsidRPr="00E235D8">
        <w:rPr>
          <w:lang w:eastAsia="ja-JP"/>
        </w:rPr>
        <w:t xml:space="preserve"> </w:t>
      </w:r>
      <w:r>
        <w:rPr>
          <w:lang w:eastAsia="ja-JP"/>
        </w:rPr>
        <w:t>The modification</w:t>
      </w:r>
      <w:r w:rsidRPr="00E235D8">
        <w:rPr>
          <w:lang w:eastAsia="ja-JP"/>
        </w:rPr>
        <w:t xml:space="preserve"> add</w:t>
      </w:r>
      <w:r>
        <w:rPr>
          <w:lang w:eastAsia="ja-JP"/>
        </w:rPr>
        <w:t>s a</w:t>
      </w:r>
      <w:r w:rsidRPr="00E235D8">
        <w:rPr>
          <w:lang w:eastAsia="ja-JP"/>
        </w:rPr>
        <w:t xml:space="preserve"> ground of objection to determinations of Australian </w:t>
      </w:r>
      <w:r>
        <w:rPr>
          <w:lang w:eastAsia="ja-JP"/>
        </w:rPr>
        <w:t>GIs to section 40RB of the Act. This ground is consistent with the ground of objection to determinations of foreign GIs and translations of f</w:t>
      </w:r>
      <w:r w:rsidR="000E2FAF">
        <w:rPr>
          <w:lang w:eastAsia="ja-JP"/>
        </w:rPr>
        <w:t xml:space="preserve">oreign GIs set out in </w:t>
      </w:r>
      <w:r w:rsidR="00E15343">
        <w:rPr>
          <w:lang w:eastAsia="ja-JP"/>
        </w:rPr>
        <w:t>sub</w:t>
      </w:r>
      <w:r w:rsidR="000E2FAF">
        <w:rPr>
          <w:lang w:eastAsia="ja-JP"/>
        </w:rPr>
        <w:t>section 62(5</w:t>
      </w:r>
      <w:r>
        <w:rPr>
          <w:lang w:eastAsia="ja-JP"/>
        </w:rPr>
        <w:t xml:space="preserve">). </w:t>
      </w:r>
    </w:p>
    <w:p w14:paraId="3CBD7A63" w14:textId="77777777" w:rsidR="000F0908" w:rsidRPr="004230DF" w:rsidRDefault="000F0908" w:rsidP="00C21613">
      <w:pPr>
        <w:rPr>
          <w:rFonts w:eastAsia="Calibri"/>
          <w:lang w:eastAsia="en-AU"/>
        </w:rPr>
      </w:pPr>
    </w:p>
    <w:p w14:paraId="354511BA" w14:textId="22F3A589" w:rsidR="003229AF" w:rsidRDefault="003229AF" w:rsidP="00982D65">
      <w:pPr>
        <w:pStyle w:val="Attachment"/>
        <w:rPr>
          <w:lang w:val="en-US"/>
        </w:rPr>
      </w:pPr>
    </w:p>
    <w:p w14:paraId="707328C8" w14:textId="77777777" w:rsidR="00982D65" w:rsidRDefault="00982D65" w:rsidP="00982D65">
      <w:pPr>
        <w:pStyle w:val="Attachment"/>
      </w:pPr>
      <w:r>
        <w:br w:type="column"/>
      </w:r>
      <w:r>
        <w:lastRenderedPageBreak/>
        <w:t>A</w:t>
      </w:r>
      <w:r w:rsidRPr="00982D65">
        <w:t>ttachment B</w:t>
      </w:r>
    </w:p>
    <w:p w14:paraId="0CF065BD" w14:textId="77777777" w:rsidR="00982D65" w:rsidRPr="00C21613" w:rsidRDefault="00982D65" w:rsidP="00982D65">
      <w:pPr>
        <w:pStyle w:val="Heading1"/>
      </w:pPr>
      <w:r w:rsidRPr="00C21613">
        <w:t>Statement of Compatibility with Human Rights</w:t>
      </w:r>
    </w:p>
    <w:p w14:paraId="7D7BB87B" w14:textId="7C3A109D" w:rsidR="00982D65" w:rsidRPr="005709F2" w:rsidRDefault="00982D65" w:rsidP="00982D65">
      <w:r w:rsidRPr="005709F2">
        <w:t xml:space="preserve">Prepared in accordance with Part 3 of the </w:t>
      </w:r>
      <w:r w:rsidRPr="00E729C6">
        <w:rPr>
          <w:i/>
        </w:rPr>
        <w:t>Human Rights (Parliamentary Scrutiny) Act 2011</w:t>
      </w:r>
      <w:r w:rsidR="00E729C6">
        <w:rPr>
          <w:i/>
        </w:rPr>
        <w:t>.</w:t>
      </w:r>
    </w:p>
    <w:p w14:paraId="453CA063" w14:textId="6000FBC7" w:rsidR="00982D65" w:rsidRDefault="00973BED" w:rsidP="00547E44">
      <w:pPr>
        <w:pStyle w:val="Heading6"/>
        <w:spacing w:before="240"/>
        <w:rPr>
          <w:b w:val="0"/>
          <w:i/>
        </w:rPr>
      </w:pPr>
      <w:r w:rsidRPr="00547E44">
        <w:rPr>
          <w:b w:val="0"/>
          <w:i/>
        </w:rPr>
        <w:t>Wine Australia Regulations 2018</w:t>
      </w:r>
    </w:p>
    <w:p w14:paraId="41E1CAEF" w14:textId="77777777" w:rsidR="00982D65" w:rsidRPr="005709F2" w:rsidRDefault="00982D65" w:rsidP="00547E44">
      <w:pPr>
        <w:spacing w:before="240"/>
        <w:jc w:val="center"/>
      </w:pPr>
      <w:r w:rsidRPr="005709F2">
        <w:t xml:space="preserve">This Legislative Instrument is compatible with the human rights and freedoms recognised or declared in the international instruments listed in section 3 of the </w:t>
      </w:r>
      <w:r w:rsidRPr="005709F2">
        <w:rPr>
          <w:i/>
        </w:rPr>
        <w:t>Human Rights (Parliamentary Scrutiny) Act 2011</w:t>
      </w:r>
      <w:r w:rsidRPr="005709F2">
        <w:t>.</w:t>
      </w:r>
    </w:p>
    <w:p w14:paraId="0E330BEB" w14:textId="08B2E402" w:rsidR="00982D65" w:rsidRPr="007D64B0" w:rsidRDefault="00982D65" w:rsidP="00547E44">
      <w:pPr>
        <w:pStyle w:val="Heading7"/>
        <w:spacing w:before="240"/>
      </w:pPr>
      <w:r w:rsidRPr="007D64B0">
        <w:t xml:space="preserve">1 </w:t>
      </w:r>
      <w:r w:rsidRPr="007D64B0">
        <w:tab/>
        <w:t>Overview of the</w:t>
      </w:r>
      <w:r w:rsidR="00973BED">
        <w:t xml:space="preserve"> Wine Australia Regulations 2018</w:t>
      </w:r>
    </w:p>
    <w:p w14:paraId="575CE8B9" w14:textId="14494394" w:rsidR="00982D65" w:rsidRPr="005709F2" w:rsidRDefault="00982D65" w:rsidP="00982D65">
      <w:r w:rsidRPr="005709F2">
        <w:t xml:space="preserve">The </w:t>
      </w:r>
      <w:r w:rsidRPr="005709F2">
        <w:rPr>
          <w:i/>
        </w:rPr>
        <w:t>Australian Grape and Wine Authority Regulations 198</w:t>
      </w:r>
      <w:r w:rsidRPr="00BA0B58">
        <w:rPr>
          <w:i/>
        </w:rPr>
        <w:t>1</w:t>
      </w:r>
      <w:r w:rsidRPr="005709F2">
        <w:t xml:space="preserve"> </w:t>
      </w:r>
      <w:r w:rsidR="00A8447B">
        <w:t>(</w:t>
      </w:r>
      <w:r w:rsidR="00590419">
        <w:t>old</w:t>
      </w:r>
      <w:r w:rsidR="00A8447B">
        <w:t xml:space="preserve"> Regulations) </w:t>
      </w:r>
      <w:r w:rsidRPr="005709F2">
        <w:t xml:space="preserve">are scheduled to sunset under section 50 of the </w:t>
      </w:r>
      <w:r w:rsidRPr="00023130">
        <w:rPr>
          <w:i/>
        </w:rPr>
        <w:t>Legislation Act 2003</w:t>
      </w:r>
      <w:r w:rsidRPr="005709F2">
        <w:t xml:space="preserve">. This Disallowable Legislative Instrument will enable the </w:t>
      </w:r>
      <w:r w:rsidR="00590419">
        <w:t>old</w:t>
      </w:r>
      <w:r>
        <w:t xml:space="preserve"> </w:t>
      </w:r>
      <w:r w:rsidRPr="005709F2">
        <w:t>Regulations to be remade without significant amendments. The amendments, technical in nature, include repealing spent provisions and halving export licence approval waiting periods for exporters.</w:t>
      </w:r>
    </w:p>
    <w:p w14:paraId="2258DD72" w14:textId="77777777" w:rsidR="00982D65" w:rsidRPr="007D64B0" w:rsidRDefault="00982D65" w:rsidP="00982D65">
      <w:pPr>
        <w:pStyle w:val="Heading7"/>
      </w:pPr>
      <w:r w:rsidRPr="007D64B0">
        <w:t>2</w:t>
      </w:r>
      <w:r w:rsidRPr="007D64B0">
        <w:tab/>
        <w:t>Human rights implications</w:t>
      </w:r>
    </w:p>
    <w:p w14:paraId="08606223" w14:textId="3501CF80" w:rsidR="00547E44" w:rsidRDefault="00547E44" w:rsidP="00547E44">
      <w:pPr>
        <w:spacing w:after="0"/>
        <w:rPr>
          <w:szCs w:val="24"/>
        </w:rPr>
      </w:pPr>
      <w:r w:rsidRPr="007555CC">
        <w:rPr>
          <w:szCs w:val="24"/>
        </w:rPr>
        <w:t xml:space="preserve">This Legislative Instrument engages the right to privacy in relation to matters which must be considered in deciding whether to grant an export licence. Section 9 of the Regulations </w:t>
      </w:r>
      <w:r w:rsidRPr="007555CC">
        <w:rPr>
          <w:iCs/>
          <w:szCs w:val="24"/>
        </w:rPr>
        <w:t xml:space="preserve">requires that the Authority (Wine Australia) must consider a range of matters, including </w:t>
      </w:r>
      <w:r w:rsidRPr="007555CC">
        <w:rPr>
          <w:szCs w:val="24"/>
        </w:rPr>
        <w:t xml:space="preserve">the financial standing of the applicant and whether the applicant is a fit and proper person. In determining whether an applicant is a fit and proper person, </w:t>
      </w:r>
      <w:r>
        <w:rPr>
          <w:szCs w:val="24"/>
        </w:rPr>
        <w:t>Wine Australia</w:t>
      </w:r>
      <w:r w:rsidRPr="007555CC">
        <w:rPr>
          <w:szCs w:val="24"/>
        </w:rPr>
        <w:t xml:space="preserve"> is required to have regard to whether the applicant or an associate of the applicant has been convicted of an offence against the </w:t>
      </w:r>
      <w:r w:rsidRPr="007555CC">
        <w:rPr>
          <w:i/>
          <w:szCs w:val="24"/>
        </w:rPr>
        <w:t>Wine Australia Act 2013</w:t>
      </w:r>
      <w:r w:rsidRPr="007555CC">
        <w:rPr>
          <w:szCs w:val="24"/>
        </w:rPr>
        <w:t xml:space="preserve"> (Cth) (the Wine Australia Act) and whether the applicant has been convicted of an offence against, or ordered to pay a pecuniary penalty, under any Australian law.</w:t>
      </w:r>
      <w:r>
        <w:rPr>
          <w:rStyle w:val="FootnoteReference"/>
          <w:szCs w:val="24"/>
        </w:rPr>
        <w:footnoteReference w:id="1"/>
      </w:r>
    </w:p>
    <w:p w14:paraId="76E7AA50" w14:textId="63D01A98" w:rsidR="00547E44" w:rsidRPr="007555CC" w:rsidRDefault="00547E44" w:rsidP="00547E44">
      <w:pPr>
        <w:spacing w:after="0"/>
        <w:rPr>
          <w:szCs w:val="24"/>
        </w:rPr>
      </w:pPr>
      <w:r>
        <w:rPr>
          <w:szCs w:val="24"/>
        </w:rPr>
        <w:t xml:space="preserve">The right to privacy is also engaged in section 12 of the Regulations which permits Wine Australia to request the same information as under section 9 of the Regulations from an export licensee. In accordance with section 13 of the Regulations, this information may be used to suspend or cancel an export licence in circumstances where a material change has occurred. </w:t>
      </w:r>
    </w:p>
    <w:p w14:paraId="5FD80B36" w14:textId="77777777" w:rsidR="00547E44" w:rsidRPr="007555CC" w:rsidRDefault="00547E44" w:rsidP="00547E44">
      <w:pPr>
        <w:spacing w:after="0"/>
        <w:rPr>
          <w:szCs w:val="24"/>
        </w:rPr>
      </w:pPr>
      <w:r w:rsidRPr="007555CC">
        <w:rPr>
          <w:szCs w:val="24"/>
        </w:rPr>
        <w:t>The right to privacy is protected under Article 17 of the International Covenant on Civil and Political Rights (ICCPR). Article 17 of the ICCPR provides that no person should be subjected to any arbitrary or unlawful interference with their privacy and that everyone has the protection of the law against this type of interference. Interference with a person’s privacy must only be in circumstances where it is ‘necessary for reaching a legitimate aim, as well as in proportion to the aim and the least intrusive option available’.</w:t>
      </w:r>
      <w:r w:rsidRPr="007555CC">
        <w:rPr>
          <w:rStyle w:val="FootnoteReference"/>
          <w:szCs w:val="24"/>
        </w:rPr>
        <w:footnoteReference w:id="2"/>
      </w:r>
      <w:r w:rsidRPr="007555CC">
        <w:rPr>
          <w:szCs w:val="24"/>
        </w:rPr>
        <w:t xml:space="preserve">   </w:t>
      </w:r>
    </w:p>
    <w:p w14:paraId="0656069D" w14:textId="77777777" w:rsidR="00547E44" w:rsidRDefault="00547E44" w:rsidP="00605A5C">
      <w:pPr>
        <w:keepLines/>
        <w:spacing w:after="0"/>
        <w:rPr>
          <w:szCs w:val="24"/>
        </w:rPr>
      </w:pPr>
      <w:r>
        <w:rPr>
          <w:szCs w:val="24"/>
        </w:rPr>
        <w:lastRenderedPageBreak/>
        <w:t xml:space="preserve">The privacy principles of the ICCP are embodied in the </w:t>
      </w:r>
      <w:r w:rsidRPr="007555CC">
        <w:rPr>
          <w:i/>
          <w:szCs w:val="24"/>
        </w:rPr>
        <w:t>Privacy Act 1988</w:t>
      </w:r>
      <w:r w:rsidRPr="007555CC">
        <w:rPr>
          <w:szCs w:val="24"/>
        </w:rPr>
        <w:t xml:space="preserve"> (Cth)</w:t>
      </w:r>
      <w:r>
        <w:rPr>
          <w:szCs w:val="24"/>
        </w:rPr>
        <w:t xml:space="preserve"> </w:t>
      </w:r>
      <w:r w:rsidRPr="007555CC">
        <w:rPr>
          <w:szCs w:val="24"/>
        </w:rPr>
        <w:t>(the Privacy Act)</w:t>
      </w:r>
      <w:r>
        <w:rPr>
          <w:szCs w:val="24"/>
        </w:rPr>
        <w:t xml:space="preserve">. The Privacy Act </w:t>
      </w:r>
      <w:r w:rsidRPr="007555CC">
        <w:rPr>
          <w:szCs w:val="24"/>
        </w:rPr>
        <w:t>includes 13 Australian Privacy Principles (APPs) which set out the requirements in relation to a number of aspects of privacy law, including collection</w:t>
      </w:r>
      <w:r>
        <w:rPr>
          <w:szCs w:val="24"/>
        </w:rPr>
        <w:t>, use and disclosure</w:t>
      </w:r>
      <w:r w:rsidRPr="007555CC">
        <w:rPr>
          <w:szCs w:val="24"/>
        </w:rPr>
        <w:t xml:space="preserve">. </w:t>
      </w:r>
      <w:r>
        <w:rPr>
          <w:szCs w:val="24"/>
        </w:rPr>
        <w:t xml:space="preserve">Under section 6 of the Privacy Act, information such as the financial standing of a person constitutes personal information. Information relating to a person’s criminal record is considered sensitive information, which is a subset of personal information. </w:t>
      </w:r>
    </w:p>
    <w:p w14:paraId="50735D84" w14:textId="56BA212B" w:rsidR="00547E44" w:rsidRDefault="00547E44" w:rsidP="00547E44">
      <w:pPr>
        <w:spacing w:after="0"/>
        <w:rPr>
          <w:szCs w:val="24"/>
        </w:rPr>
      </w:pPr>
      <w:r>
        <w:rPr>
          <w:szCs w:val="24"/>
        </w:rPr>
        <w:t xml:space="preserve">APP 3 of the Privacy Act outlines the requirements for the collection of personal information. Subclause 3.1 of APP 3 of the Privacy Act states that </w:t>
      </w:r>
      <w:r w:rsidRPr="007555CC">
        <w:rPr>
          <w:szCs w:val="24"/>
        </w:rPr>
        <w:t xml:space="preserve">an agency (such as Wine Australia) must not collect personal information unless the information is reasonably necessary for, or directly related to, one or more of the agency’s functions or activities. </w:t>
      </w:r>
    </w:p>
    <w:p w14:paraId="08C6ACCC" w14:textId="77777777" w:rsidR="00547E44" w:rsidRDefault="00547E44" w:rsidP="00547E44">
      <w:pPr>
        <w:spacing w:after="0"/>
        <w:rPr>
          <w:szCs w:val="24"/>
        </w:rPr>
      </w:pPr>
      <w:r>
        <w:rPr>
          <w:szCs w:val="24"/>
        </w:rPr>
        <w:t>Pursuant to paragraph</w:t>
      </w:r>
      <w:r w:rsidRPr="007555CC">
        <w:rPr>
          <w:szCs w:val="24"/>
        </w:rPr>
        <w:t xml:space="preserve"> 7(f) of the Wine Australia Act, </w:t>
      </w:r>
      <w:r>
        <w:rPr>
          <w:szCs w:val="24"/>
        </w:rPr>
        <w:t xml:space="preserve">Wine Australia is required to </w:t>
      </w:r>
      <w:r w:rsidRPr="007555CC">
        <w:rPr>
          <w:szCs w:val="24"/>
        </w:rPr>
        <w:t xml:space="preserve">control the export of grape products from Australia. </w:t>
      </w:r>
      <w:r>
        <w:rPr>
          <w:szCs w:val="24"/>
        </w:rPr>
        <w:t>One of the methods by which W</w:t>
      </w:r>
      <w:r w:rsidRPr="007555CC">
        <w:rPr>
          <w:szCs w:val="24"/>
        </w:rPr>
        <w:t>ine Australia</w:t>
      </w:r>
      <w:r>
        <w:rPr>
          <w:szCs w:val="24"/>
        </w:rPr>
        <w:t xml:space="preserve"> does this by </w:t>
      </w:r>
      <w:r w:rsidRPr="007555CC">
        <w:rPr>
          <w:szCs w:val="24"/>
        </w:rPr>
        <w:t xml:space="preserve">requiring exporters to hold an export licence. </w:t>
      </w:r>
      <w:r>
        <w:rPr>
          <w:szCs w:val="24"/>
        </w:rPr>
        <w:t xml:space="preserve">Taking into account the </w:t>
      </w:r>
      <w:r w:rsidRPr="007555CC">
        <w:rPr>
          <w:szCs w:val="24"/>
        </w:rPr>
        <w:t xml:space="preserve">financial standing of </w:t>
      </w:r>
      <w:r>
        <w:rPr>
          <w:szCs w:val="24"/>
        </w:rPr>
        <w:t xml:space="preserve">an applicant for an export </w:t>
      </w:r>
      <w:r w:rsidRPr="007555CC">
        <w:rPr>
          <w:szCs w:val="24"/>
        </w:rPr>
        <w:t>licence</w:t>
      </w:r>
      <w:r>
        <w:rPr>
          <w:szCs w:val="24"/>
        </w:rPr>
        <w:t xml:space="preserve"> allows Wine Australia to assess the </w:t>
      </w:r>
      <w:r w:rsidRPr="00914FE8">
        <w:rPr>
          <w:szCs w:val="24"/>
        </w:rPr>
        <w:t>financial stability of the applicant and whether the applicant has the necessary means to conduct an export wine business.</w:t>
      </w:r>
      <w:r>
        <w:rPr>
          <w:szCs w:val="24"/>
        </w:rPr>
        <w:t xml:space="preserve"> </w:t>
      </w:r>
    </w:p>
    <w:p w14:paraId="4E14C681" w14:textId="77777777" w:rsidR="00547E44" w:rsidRDefault="00547E44" w:rsidP="00547E44">
      <w:pPr>
        <w:spacing w:after="0"/>
        <w:rPr>
          <w:szCs w:val="24"/>
        </w:rPr>
      </w:pPr>
      <w:r>
        <w:rPr>
          <w:szCs w:val="24"/>
        </w:rPr>
        <w:t xml:space="preserve">Subclause 3.1 of APP 3 of the Privacy Act deals with the collection of sensitive information and states that an agency must not collect sensitive information about an individual unless the individual consents to the collection of the information and the information is reasonably necessary for, or directly related to, one or more of the agency’s functions or activities. </w:t>
      </w:r>
    </w:p>
    <w:p w14:paraId="1C4F29E0" w14:textId="77777777" w:rsidR="00547E44" w:rsidRDefault="00547E44" w:rsidP="00547E44">
      <w:pPr>
        <w:spacing w:after="0"/>
        <w:rPr>
          <w:szCs w:val="24"/>
        </w:rPr>
      </w:pPr>
      <w:r>
        <w:rPr>
          <w:szCs w:val="24"/>
        </w:rPr>
        <w:t>Collection of information such as a</w:t>
      </w:r>
      <w:r w:rsidRPr="007555CC">
        <w:rPr>
          <w:szCs w:val="24"/>
        </w:rPr>
        <w:t>n export licence applicant’s criminal record, including whether an exporter</w:t>
      </w:r>
      <w:r>
        <w:rPr>
          <w:szCs w:val="24"/>
        </w:rPr>
        <w:t xml:space="preserve"> or an associate of an exporter</w:t>
      </w:r>
      <w:r w:rsidRPr="007555CC">
        <w:rPr>
          <w:szCs w:val="24"/>
        </w:rPr>
        <w:t xml:space="preserve"> has been convicted of an offence against the Wine Australia Act</w:t>
      </w:r>
      <w:r>
        <w:rPr>
          <w:szCs w:val="24"/>
        </w:rPr>
        <w:t>,</w:t>
      </w:r>
      <w:r w:rsidRPr="007555CC">
        <w:rPr>
          <w:szCs w:val="24"/>
        </w:rPr>
        <w:t xml:space="preserve"> is information which an individual has consented to provide as part of the application process for an export licence. Provision of this information is reasonably necessary for Wine Australia</w:t>
      </w:r>
      <w:r>
        <w:rPr>
          <w:szCs w:val="24"/>
        </w:rPr>
        <w:t xml:space="preserve"> to perform its function of controlling the export of grapes, as it allows Wine Australia to assess whether an applicant is likely to comply with the Wine Australia Act, which is a condition of an export licence. </w:t>
      </w:r>
    </w:p>
    <w:p w14:paraId="1BAE5FCD" w14:textId="77777777" w:rsidR="00547E44" w:rsidRPr="007555CC" w:rsidRDefault="00547E44" w:rsidP="00547E44">
      <w:pPr>
        <w:spacing w:after="0"/>
        <w:rPr>
          <w:szCs w:val="24"/>
        </w:rPr>
      </w:pPr>
      <w:r>
        <w:rPr>
          <w:szCs w:val="24"/>
        </w:rPr>
        <w:t xml:space="preserve">APP 6 of the Privacy Act regulates the use and disclosure of personal information. In compliance with this provision, the personal information collected from export licence applicants will </w:t>
      </w:r>
      <w:r w:rsidRPr="007555CC">
        <w:rPr>
          <w:szCs w:val="24"/>
        </w:rPr>
        <w:t>only</w:t>
      </w:r>
      <w:r>
        <w:rPr>
          <w:szCs w:val="24"/>
        </w:rPr>
        <w:t xml:space="preserve"> be</w:t>
      </w:r>
      <w:r w:rsidRPr="007555CC">
        <w:rPr>
          <w:szCs w:val="24"/>
        </w:rPr>
        <w:t xml:space="preserve"> use</w:t>
      </w:r>
      <w:r>
        <w:rPr>
          <w:szCs w:val="24"/>
        </w:rPr>
        <w:t>d</w:t>
      </w:r>
      <w:r w:rsidRPr="007555CC">
        <w:rPr>
          <w:szCs w:val="24"/>
        </w:rPr>
        <w:t xml:space="preserve"> for the</w:t>
      </w:r>
      <w:r>
        <w:rPr>
          <w:szCs w:val="24"/>
        </w:rPr>
        <w:t xml:space="preserve"> </w:t>
      </w:r>
      <w:r w:rsidRPr="007555CC">
        <w:rPr>
          <w:szCs w:val="24"/>
        </w:rPr>
        <w:t>purpose</w:t>
      </w:r>
      <w:r>
        <w:rPr>
          <w:szCs w:val="24"/>
        </w:rPr>
        <w:t>s</w:t>
      </w:r>
      <w:r w:rsidRPr="007555CC">
        <w:rPr>
          <w:szCs w:val="24"/>
        </w:rPr>
        <w:t xml:space="preserve"> of deciding whether to grant</w:t>
      </w:r>
      <w:r>
        <w:rPr>
          <w:szCs w:val="24"/>
        </w:rPr>
        <w:t xml:space="preserve"> </w:t>
      </w:r>
      <w:r w:rsidRPr="007555CC">
        <w:rPr>
          <w:szCs w:val="24"/>
        </w:rPr>
        <w:t>an export licence</w:t>
      </w:r>
      <w:r>
        <w:rPr>
          <w:szCs w:val="24"/>
        </w:rPr>
        <w:t xml:space="preserve"> or determining whether to suspend or cancel a licence, unless otherwise permitted under the APPs. </w:t>
      </w:r>
    </w:p>
    <w:p w14:paraId="5A11A1CC" w14:textId="77777777" w:rsidR="00982D65" w:rsidRPr="007D64B0" w:rsidRDefault="00982D65" w:rsidP="00982D65">
      <w:pPr>
        <w:pStyle w:val="Heading7"/>
      </w:pPr>
      <w:r w:rsidRPr="007D64B0">
        <w:t>3</w:t>
      </w:r>
      <w:r w:rsidRPr="007D64B0">
        <w:tab/>
        <w:t>Conclusion</w:t>
      </w:r>
    </w:p>
    <w:p w14:paraId="6B8E45FA" w14:textId="77777777" w:rsidR="00444F47" w:rsidRDefault="00444F47" w:rsidP="00444F47">
      <w:pPr>
        <w:spacing w:after="0"/>
        <w:rPr>
          <w:szCs w:val="24"/>
        </w:rPr>
      </w:pPr>
      <w:r w:rsidRPr="007555CC">
        <w:rPr>
          <w:szCs w:val="24"/>
        </w:rPr>
        <w:t>This Legislative Instrument is compatible with human rights as the collection</w:t>
      </w:r>
      <w:r>
        <w:rPr>
          <w:szCs w:val="24"/>
        </w:rPr>
        <w:t xml:space="preserve"> and use of </w:t>
      </w:r>
      <w:r w:rsidRPr="007555CC">
        <w:rPr>
          <w:szCs w:val="24"/>
        </w:rPr>
        <w:t>personal information</w:t>
      </w:r>
      <w:r>
        <w:rPr>
          <w:szCs w:val="24"/>
        </w:rPr>
        <w:t xml:space="preserve"> complies with both the privacy principles in the </w:t>
      </w:r>
      <w:r w:rsidRPr="007555CC">
        <w:rPr>
          <w:szCs w:val="24"/>
        </w:rPr>
        <w:t>ICCPR and the requirements under the Privacy Act.</w:t>
      </w:r>
      <w:r>
        <w:rPr>
          <w:szCs w:val="24"/>
        </w:rPr>
        <w:t xml:space="preserve">    </w:t>
      </w:r>
    </w:p>
    <w:p w14:paraId="4C1F68C7" w14:textId="77777777" w:rsidR="00444F47" w:rsidRDefault="00444F47" w:rsidP="00444F47">
      <w:pPr>
        <w:spacing w:after="0"/>
        <w:rPr>
          <w:szCs w:val="24"/>
        </w:rPr>
      </w:pPr>
    </w:p>
    <w:p w14:paraId="656BEC31" w14:textId="56FD65E2" w:rsidR="00982D65" w:rsidRPr="00973BED" w:rsidRDefault="00973BED" w:rsidP="00982D65">
      <w:pPr>
        <w:pStyle w:val="Heading6"/>
      </w:pPr>
      <w:r w:rsidRPr="00973BED">
        <w:t>Senator the Hon. Anne Ruston</w:t>
      </w:r>
    </w:p>
    <w:p w14:paraId="7851113A" w14:textId="523A7647" w:rsidR="00982D65" w:rsidRPr="00973BED" w:rsidRDefault="00973BED" w:rsidP="00982D65">
      <w:pPr>
        <w:pStyle w:val="Heading6"/>
      </w:pPr>
      <w:r w:rsidRPr="00973BED">
        <w:t xml:space="preserve">Assistant </w:t>
      </w:r>
      <w:r w:rsidR="00982D65" w:rsidRPr="00973BED">
        <w:t>Minister for Agriculture and Water Resources</w:t>
      </w:r>
    </w:p>
    <w:p w14:paraId="27D86034" w14:textId="32EF7FA3" w:rsidR="00973BED" w:rsidRPr="00973BED" w:rsidRDefault="00973BED" w:rsidP="00973BED">
      <w:pPr>
        <w:jc w:val="center"/>
        <w:rPr>
          <w:b/>
          <w:lang w:eastAsia="ja-JP"/>
        </w:rPr>
      </w:pPr>
      <w:r w:rsidRPr="00973BED">
        <w:rPr>
          <w:b/>
          <w:lang w:eastAsia="ja-JP"/>
        </w:rPr>
        <w:lastRenderedPageBreak/>
        <w:t>Parliamentary Secretary for the Deputy Prime Minister and Minister for Agriculture and Water Resources</w:t>
      </w:r>
    </w:p>
    <w:p w14:paraId="640631FD" w14:textId="254F5B6D" w:rsidR="003229AF" w:rsidRDefault="003229AF" w:rsidP="00C21613"/>
    <w:sectPr w:rsidR="003229AF" w:rsidSect="002517F0">
      <w:footerReference w:type="default" r:id="rId8"/>
      <w:pgSz w:w="11907" w:h="16840" w:code="9"/>
      <w:pgMar w:top="1440" w:right="1440" w:bottom="1440" w:left="1440"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3828B" w14:textId="77777777" w:rsidR="00750913" w:rsidRDefault="00750913" w:rsidP="00C21613">
      <w:r>
        <w:separator/>
      </w:r>
    </w:p>
  </w:endnote>
  <w:endnote w:type="continuationSeparator" w:id="0">
    <w:p w14:paraId="18A8CF78" w14:textId="77777777" w:rsidR="00750913" w:rsidRDefault="00750913" w:rsidP="00C2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rPr>
      <w:id w:val="2126727523"/>
      <w:docPartObj>
        <w:docPartGallery w:val="Page Numbers (Bottom of Page)"/>
        <w:docPartUnique/>
      </w:docPartObj>
    </w:sdtPr>
    <w:sdtEndPr/>
    <w:sdtContent>
      <w:p w14:paraId="4C23FAC7" w14:textId="64D624F0" w:rsidR="00750913" w:rsidRPr="007530D1" w:rsidRDefault="00750913" w:rsidP="007530D1">
        <w:pPr>
          <w:jc w:val="center"/>
          <w:rPr>
            <w:rFonts w:ascii="Arial" w:hAnsi="Arial" w:cs="Arial"/>
            <w:b/>
            <w:sz w:val="36"/>
          </w:rPr>
        </w:pPr>
        <w:r w:rsidRPr="007530D1">
          <w:rPr>
            <w:sz w:val="22"/>
          </w:rPr>
          <w:fldChar w:fldCharType="begin"/>
        </w:r>
        <w:r w:rsidRPr="007530D1">
          <w:rPr>
            <w:sz w:val="22"/>
          </w:rPr>
          <w:instrText xml:space="preserve"> PAGE   \* MERGEFORMAT </w:instrText>
        </w:r>
        <w:r w:rsidRPr="007530D1">
          <w:rPr>
            <w:sz w:val="22"/>
          </w:rPr>
          <w:fldChar w:fldCharType="separate"/>
        </w:r>
        <w:r w:rsidR="0041560A">
          <w:rPr>
            <w:noProof/>
            <w:sz w:val="22"/>
          </w:rPr>
          <w:t>2</w:t>
        </w:r>
        <w:r w:rsidRPr="007530D1">
          <w:rPr>
            <w:sz w:val="22"/>
          </w:rPr>
          <w:fldChar w:fldCharType="end"/>
        </w:r>
      </w:p>
      <w:p w14:paraId="739AA68B" w14:textId="77777777" w:rsidR="00750913" w:rsidRDefault="0041560A" w:rsidP="00C21613">
        <w:pPr>
          <w:pStyle w:val="Footer"/>
        </w:pPr>
      </w:p>
    </w:sdtContent>
  </w:sdt>
  <w:p w14:paraId="0EF40900" w14:textId="77777777" w:rsidR="00750913" w:rsidRPr="00273C11" w:rsidRDefault="00750913" w:rsidP="00C21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3F00" w14:textId="77777777" w:rsidR="00750913" w:rsidRDefault="00750913" w:rsidP="00C21613">
      <w:r>
        <w:separator/>
      </w:r>
    </w:p>
  </w:footnote>
  <w:footnote w:type="continuationSeparator" w:id="0">
    <w:p w14:paraId="0602EAFE" w14:textId="77777777" w:rsidR="00750913" w:rsidRDefault="00750913" w:rsidP="00C21613">
      <w:r>
        <w:continuationSeparator/>
      </w:r>
    </w:p>
  </w:footnote>
  <w:footnote w:id="1">
    <w:p w14:paraId="0680A595" w14:textId="77777777" w:rsidR="00547E44" w:rsidRPr="009C7E72" w:rsidRDefault="00547E44" w:rsidP="00605A5C">
      <w:pPr>
        <w:pStyle w:val="FootnoteText"/>
        <w:spacing w:line="240" w:lineRule="auto"/>
        <w:rPr>
          <w:lang w:val="en-AU"/>
        </w:rPr>
      </w:pPr>
      <w:r>
        <w:rPr>
          <w:rStyle w:val="FootnoteReference"/>
        </w:rPr>
        <w:footnoteRef/>
      </w:r>
      <w:r>
        <w:t xml:space="preserve"> </w:t>
      </w:r>
      <w:r>
        <w:rPr>
          <w:lang w:val="en-AU"/>
        </w:rPr>
        <w:t>Section 10 of the Consequential Regulations.</w:t>
      </w:r>
    </w:p>
  </w:footnote>
  <w:footnote w:id="2">
    <w:p w14:paraId="105CFA55" w14:textId="77777777" w:rsidR="00547E44" w:rsidRPr="00990E28" w:rsidRDefault="00547E44" w:rsidP="00605A5C">
      <w:pPr>
        <w:spacing w:before="0" w:after="0"/>
      </w:pPr>
      <w:r>
        <w:rPr>
          <w:rStyle w:val="FootnoteReference"/>
        </w:rPr>
        <w:footnoteRef/>
      </w:r>
      <w:r>
        <w:t xml:space="preserve"> </w:t>
      </w:r>
      <w:r w:rsidRPr="005A6450">
        <w:rPr>
          <w:sz w:val="18"/>
          <w:szCs w:val="18"/>
        </w:rPr>
        <w:t>Office of United Nations High C</w:t>
      </w:r>
      <w:r w:rsidRPr="00500C28">
        <w:rPr>
          <w:sz w:val="18"/>
          <w:szCs w:val="18"/>
        </w:rPr>
        <w:t>ommissioner for Human Rights,</w:t>
      </w:r>
      <w:r w:rsidRPr="00500C28">
        <w:rPr>
          <w:i/>
          <w:sz w:val="18"/>
          <w:szCs w:val="18"/>
        </w:rPr>
        <w:t xml:space="preserve"> The Right to Privacy in the Digital Age </w:t>
      </w:r>
      <w:r w:rsidRPr="00500C28">
        <w:rPr>
          <w:sz w:val="18"/>
          <w:szCs w:val="18"/>
        </w:rPr>
        <w:t>UN Doc A/HRC/27/37 (2014), paragraph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2C72C1"/>
    <w:multiLevelType w:val="hybridMultilevel"/>
    <w:tmpl w:val="5EDCB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F32E5"/>
    <w:multiLevelType w:val="hybridMultilevel"/>
    <w:tmpl w:val="7FDC9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C50554"/>
    <w:multiLevelType w:val="hybridMultilevel"/>
    <w:tmpl w:val="339403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CE6586"/>
    <w:multiLevelType w:val="hybridMultilevel"/>
    <w:tmpl w:val="1776685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A0E25"/>
    <w:multiLevelType w:val="hybridMultilevel"/>
    <w:tmpl w:val="AC4E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313DF4"/>
    <w:multiLevelType w:val="hybridMultilevel"/>
    <w:tmpl w:val="FA9264F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5E4A82"/>
    <w:multiLevelType w:val="hybridMultilevel"/>
    <w:tmpl w:val="55946B8C"/>
    <w:lvl w:ilvl="0" w:tplc="0C090001">
      <w:start w:val="1"/>
      <w:numFmt w:val="bullet"/>
      <w:lvlText w:val=""/>
      <w:lvlJc w:val="left"/>
      <w:pPr>
        <w:ind w:left="720" w:hanging="360"/>
      </w:pPr>
      <w:rPr>
        <w:rFonts w:ascii="Symbol" w:hAnsi="Symbol" w:hint="default"/>
      </w:rPr>
    </w:lvl>
    <w:lvl w:ilvl="1" w:tplc="3064DA76">
      <w:numFmt w:val="bullet"/>
      <w:lvlText w:val="•"/>
      <w:lvlJc w:val="left"/>
      <w:pPr>
        <w:ind w:left="1800" w:hanging="7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75B7A"/>
    <w:multiLevelType w:val="hybridMultilevel"/>
    <w:tmpl w:val="4570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F20069"/>
    <w:multiLevelType w:val="hybridMultilevel"/>
    <w:tmpl w:val="F2149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BE074A"/>
    <w:multiLevelType w:val="hybridMultilevel"/>
    <w:tmpl w:val="B1CA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727DA0"/>
    <w:multiLevelType w:val="hybridMultilevel"/>
    <w:tmpl w:val="770EC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CA1643"/>
    <w:multiLevelType w:val="hybridMultilevel"/>
    <w:tmpl w:val="5ABC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E11D0E"/>
    <w:multiLevelType w:val="hybridMultilevel"/>
    <w:tmpl w:val="C7A47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3D2925"/>
    <w:multiLevelType w:val="hybridMultilevel"/>
    <w:tmpl w:val="6244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397137"/>
    <w:multiLevelType w:val="hybridMultilevel"/>
    <w:tmpl w:val="4FE80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85CA4"/>
    <w:multiLevelType w:val="hybridMultilevel"/>
    <w:tmpl w:val="B2D89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064B9C"/>
    <w:multiLevelType w:val="hybridMultilevel"/>
    <w:tmpl w:val="B1A83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5368DE"/>
    <w:multiLevelType w:val="hybridMultilevel"/>
    <w:tmpl w:val="B35C6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881A40"/>
    <w:multiLevelType w:val="hybridMultilevel"/>
    <w:tmpl w:val="646AA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DB57B5"/>
    <w:multiLevelType w:val="hybridMultilevel"/>
    <w:tmpl w:val="07F819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932FF0"/>
    <w:multiLevelType w:val="hybridMultilevel"/>
    <w:tmpl w:val="D180B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943708"/>
    <w:multiLevelType w:val="hybridMultilevel"/>
    <w:tmpl w:val="DB5AA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6916FD"/>
    <w:multiLevelType w:val="hybridMultilevel"/>
    <w:tmpl w:val="4FA4C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DE171E"/>
    <w:multiLevelType w:val="hybridMultilevel"/>
    <w:tmpl w:val="18967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97412A"/>
    <w:multiLevelType w:val="hybridMultilevel"/>
    <w:tmpl w:val="3DF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644F1"/>
    <w:multiLevelType w:val="hybridMultilevel"/>
    <w:tmpl w:val="7BA4DA3C"/>
    <w:lvl w:ilvl="0" w:tplc="4EAC798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B610E1"/>
    <w:multiLevelType w:val="hybridMultilevel"/>
    <w:tmpl w:val="951E4A4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15:restartNumberingAfterBreak="0">
    <w:nsid w:val="2C1719FE"/>
    <w:multiLevelType w:val="hybridMultilevel"/>
    <w:tmpl w:val="B784C9C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9" w15:restartNumberingAfterBreak="0">
    <w:nsid w:val="2E4F4C08"/>
    <w:multiLevelType w:val="hybridMultilevel"/>
    <w:tmpl w:val="33E8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E54E66"/>
    <w:multiLevelType w:val="hybridMultilevel"/>
    <w:tmpl w:val="B9E8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1278B0"/>
    <w:multiLevelType w:val="hybridMultilevel"/>
    <w:tmpl w:val="A2E4A4CC"/>
    <w:lvl w:ilvl="0" w:tplc="0C090001">
      <w:start w:val="1"/>
      <w:numFmt w:val="bullet"/>
      <w:lvlText w:val=""/>
      <w:lvlJc w:val="left"/>
      <w:pPr>
        <w:tabs>
          <w:tab w:val="num" w:pos="1080"/>
        </w:tabs>
        <w:ind w:left="1080" w:hanging="720"/>
      </w:pPr>
      <w:rPr>
        <w:rFonts w:ascii="Symbol" w:hAnsi="Symbol"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4142A49"/>
    <w:multiLevelType w:val="hybridMultilevel"/>
    <w:tmpl w:val="F42CF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D90F3E"/>
    <w:multiLevelType w:val="hybridMultilevel"/>
    <w:tmpl w:val="47887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5" w15:restartNumberingAfterBreak="0">
    <w:nsid w:val="38042A21"/>
    <w:multiLevelType w:val="hybridMultilevel"/>
    <w:tmpl w:val="030E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98381E"/>
    <w:multiLevelType w:val="hybridMultilevel"/>
    <w:tmpl w:val="1AFC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DE4401"/>
    <w:multiLevelType w:val="hybridMultilevel"/>
    <w:tmpl w:val="44D2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F6106"/>
    <w:multiLevelType w:val="hybridMultilevel"/>
    <w:tmpl w:val="D5F6C61E"/>
    <w:lvl w:ilvl="0" w:tplc="0C090001">
      <w:start w:val="1"/>
      <w:numFmt w:val="bullet"/>
      <w:lvlText w:val=""/>
      <w:lvlJc w:val="left"/>
      <w:pPr>
        <w:ind w:left="720" w:hanging="360"/>
      </w:pPr>
      <w:rPr>
        <w:rFonts w:ascii="Symbol" w:hAnsi="Symbol" w:hint="default"/>
      </w:rPr>
    </w:lvl>
    <w:lvl w:ilvl="1" w:tplc="F14C75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281F5B"/>
    <w:multiLevelType w:val="hybridMultilevel"/>
    <w:tmpl w:val="2E32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41" w15:restartNumberingAfterBreak="0">
    <w:nsid w:val="40F071B5"/>
    <w:multiLevelType w:val="hybridMultilevel"/>
    <w:tmpl w:val="077C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0FE7EF1"/>
    <w:multiLevelType w:val="hybridMultilevel"/>
    <w:tmpl w:val="7FDEDEF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3" w15:restartNumberingAfterBreak="0">
    <w:nsid w:val="43456A6E"/>
    <w:multiLevelType w:val="hybridMultilevel"/>
    <w:tmpl w:val="B1F4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4012A2E"/>
    <w:multiLevelType w:val="hybridMultilevel"/>
    <w:tmpl w:val="A0CE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49C5D86"/>
    <w:multiLevelType w:val="hybridMultilevel"/>
    <w:tmpl w:val="32204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7C5A7B"/>
    <w:multiLevelType w:val="hybridMultilevel"/>
    <w:tmpl w:val="D4C8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84109A"/>
    <w:multiLevelType w:val="hybridMultilevel"/>
    <w:tmpl w:val="49689FD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8" w15:restartNumberingAfterBreak="0">
    <w:nsid w:val="462B27FD"/>
    <w:multiLevelType w:val="hybridMultilevel"/>
    <w:tmpl w:val="B4549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6976558"/>
    <w:multiLevelType w:val="hybridMultilevel"/>
    <w:tmpl w:val="5254C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75B3B52"/>
    <w:multiLevelType w:val="hybridMultilevel"/>
    <w:tmpl w:val="E8D6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86D4543"/>
    <w:multiLevelType w:val="hybridMultilevel"/>
    <w:tmpl w:val="C9AE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B7005A"/>
    <w:multiLevelType w:val="hybridMultilevel"/>
    <w:tmpl w:val="71681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ADD45F0"/>
    <w:multiLevelType w:val="hybridMultilevel"/>
    <w:tmpl w:val="7374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B437D2E"/>
    <w:multiLevelType w:val="hybridMultilevel"/>
    <w:tmpl w:val="9DAAF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BE250EB"/>
    <w:multiLevelType w:val="hybridMultilevel"/>
    <w:tmpl w:val="1DBC1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1B2B6E"/>
    <w:multiLevelType w:val="hybridMultilevel"/>
    <w:tmpl w:val="9B7A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EB379D2"/>
    <w:multiLevelType w:val="hybridMultilevel"/>
    <w:tmpl w:val="0CDCC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4D66AC7"/>
    <w:multiLevelType w:val="hybridMultilevel"/>
    <w:tmpl w:val="57EE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2C5322"/>
    <w:multiLevelType w:val="hybridMultilevel"/>
    <w:tmpl w:val="334EA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6165E93"/>
    <w:multiLevelType w:val="hybridMultilevel"/>
    <w:tmpl w:val="D7A2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735531E"/>
    <w:multiLevelType w:val="hybridMultilevel"/>
    <w:tmpl w:val="0038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786758F"/>
    <w:multiLevelType w:val="hybridMultilevel"/>
    <w:tmpl w:val="9A568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C630166"/>
    <w:multiLevelType w:val="hybridMultilevel"/>
    <w:tmpl w:val="C74E7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C794A76"/>
    <w:multiLevelType w:val="hybridMultilevel"/>
    <w:tmpl w:val="C026E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CB97A06"/>
    <w:multiLevelType w:val="hybridMultilevel"/>
    <w:tmpl w:val="EFE60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F43707"/>
    <w:multiLevelType w:val="hybridMultilevel"/>
    <w:tmpl w:val="7F8E0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F967D5"/>
    <w:multiLevelType w:val="hybridMultilevel"/>
    <w:tmpl w:val="2342D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44B6C29"/>
    <w:multiLevelType w:val="hybridMultilevel"/>
    <w:tmpl w:val="5B44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960C43"/>
    <w:multiLevelType w:val="hybridMultilevel"/>
    <w:tmpl w:val="5502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5456429"/>
    <w:multiLevelType w:val="multilevel"/>
    <w:tmpl w:val="C52251C6"/>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1" w15:restartNumberingAfterBreak="0">
    <w:nsid w:val="657C10D8"/>
    <w:multiLevelType w:val="hybridMultilevel"/>
    <w:tmpl w:val="B07C1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6F87294"/>
    <w:multiLevelType w:val="hybridMultilevel"/>
    <w:tmpl w:val="D916D81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3" w15:restartNumberingAfterBreak="0">
    <w:nsid w:val="674D3D17"/>
    <w:multiLevelType w:val="hybridMultilevel"/>
    <w:tmpl w:val="A6B0276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4" w15:restartNumberingAfterBreak="0">
    <w:nsid w:val="698E2909"/>
    <w:multiLevelType w:val="hybridMultilevel"/>
    <w:tmpl w:val="0158D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A4653D7"/>
    <w:multiLevelType w:val="hybridMultilevel"/>
    <w:tmpl w:val="5C4E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785C24"/>
    <w:multiLevelType w:val="hybridMultilevel"/>
    <w:tmpl w:val="491AF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BF3DF8"/>
    <w:multiLevelType w:val="hybridMultilevel"/>
    <w:tmpl w:val="16BE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715CFA"/>
    <w:multiLevelType w:val="hybridMultilevel"/>
    <w:tmpl w:val="41E432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D7B4934"/>
    <w:multiLevelType w:val="hybridMultilevel"/>
    <w:tmpl w:val="121894D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0" w15:restartNumberingAfterBreak="0">
    <w:nsid w:val="6F044D25"/>
    <w:multiLevelType w:val="hybridMultilevel"/>
    <w:tmpl w:val="94D8AFC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29623E5"/>
    <w:multiLevelType w:val="hybridMultilevel"/>
    <w:tmpl w:val="A070569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2" w15:restartNumberingAfterBreak="0">
    <w:nsid w:val="73391BF4"/>
    <w:multiLevelType w:val="hybridMultilevel"/>
    <w:tmpl w:val="110E8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3F54EE5"/>
    <w:multiLevelType w:val="hybridMultilevel"/>
    <w:tmpl w:val="C5609DC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4" w15:restartNumberingAfterBreak="0">
    <w:nsid w:val="740D7394"/>
    <w:multiLevelType w:val="hybridMultilevel"/>
    <w:tmpl w:val="98186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34"/>
  </w:num>
  <w:num w:numId="2">
    <w:abstractNumId w:val="85"/>
  </w:num>
  <w:num w:numId="3">
    <w:abstractNumId w:val="40"/>
  </w:num>
  <w:num w:numId="4">
    <w:abstractNumId w:val="26"/>
  </w:num>
  <w:num w:numId="5">
    <w:abstractNumId w:val="70"/>
  </w:num>
  <w:num w:numId="6">
    <w:abstractNumId w:val="69"/>
  </w:num>
  <w:num w:numId="7">
    <w:abstractNumId w:val="80"/>
  </w:num>
  <w:num w:numId="8">
    <w:abstractNumId w:val="83"/>
  </w:num>
  <w:num w:numId="9">
    <w:abstractNumId w:val="62"/>
  </w:num>
  <w:num w:numId="10">
    <w:abstractNumId w:val="58"/>
  </w:num>
  <w:num w:numId="11">
    <w:abstractNumId w:val="45"/>
  </w:num>
  <w:num w:numId="12">
    <w:abstractNumId w:val="53"/>
  </w:num>
  <w:num w:numId="13">
    <w:abstractNumId w:val="29"/>
  </w:num>
  <w:num w:numId="14">
    <w:abstractNumId w:val="9"/>
  </w:num>
  <w:num w:numId="15">
    <w:abstractNumId w:val="31"/>
  </w:num>
  <w:num w:numId="16">
    <w:abstractNumId w:val="73"/>
  </w:num>
  <w:num w:numId="17">
    <w:abstractNumId w:val="27"/>
  </w:num>
  <w:num w:numId="18">
    <w:abstractNumId w:val="52"/>
  </w:num>
  <w:num w:numId="19">
    <w:abstractNumId w:val="1"/>
  </w:num>
  <w:num w:numId="20">
    <w:abstractNumId w:val="50"/>
  </w:num>
  <w:num w:numId="21">
    <w:abstractNumId w:val="42"/>
  </w:num>
  <w:num w:numId="22">
    <w:abstractNumId w:val="20"/>
  </w:num>
  <w:num w:numId="23">
    <w:abstractNumId w:val="6"/>
  </w:num>
  <w:num w:numId="24">
    <w:abstractNumId w:val="49"/>
  </w:num>
  <w:num w:numId="25">
    <w:abstractNumId w:val="54"/>
  </w:num>
  <w:num w:numId="26">
    <w:abstractNumId w:val="8"/>
  </w:num>
  <w:num w:numId="27">
    <w:abstractNumId w:val="13"/>
  </w:num>
  <w:num w:numId="28">
    <w:abstractNumId w:val="41"/>
  </w:num>
  <w:num w:numId="29">
    <w:abstractNumId w:val="79"/>
  </w:num>
  <w:num w:numId="30">
    <w:abstractNumId w:val="47"/>
  </w:num>
  <w:num w:numId="31">
    <w:abstractNumId w:val="25"/>
  </w:num>
  <w:num w:numId="32">
    <w:abstractNumId w:val="75"/>
  </w:num>
  <w:num w:numId="33">
    <w:abstractNumId w:val="3"/>
  </w:num>
  <w:num w:numId="34">
    <w:abstractNumId w:val="33"/>
  </w:num>
  <w:num w:numId="35">
    <w:abstractNumId w:val="11"/>
  </w:num>
  <w:num w:numId="36">
    <w:abstractNumId w:val="2"/>
  </w:num>
  <w:num w:numId="37">
    <w:abstractNumId w:val="84"/>
  </w:num>
  <w:num w:numId="38">
    <w:abstractNumId w:val="17"/>
  </w:num>
  <w:num w:numId="39">
    <w:abstractNumId w:val="60"/>
  </w:num>
  <w:num w:numId="40">
    <w:abstractNumId w:val="15"/>
  </w:num>
  <w:num w:numId="41">
    <w:abstractNumId w:val="38"/>
  </w:num>
  <w:num w:numId="42">
    <w:abstractNumId w:val="19"/>
  </w:num>
  <w:num w:numId="43">
    <w:abstractNumId w:val="48"/>
  </w:num>
  <w:num w:numId="44">
    <w:abstractNumId w:val="24"/>
  </w:num>
  <w:num w:numId="45">
    <w:abstractNumId w:val="51"/>
  </w:num>
  <w:num w:numId="46">
    <w:abstractNumId w:val="76"/>
  </w:num>
  <w:num w:numId="47">
    <w:abstractNumId w:val="37"/>
  </w:num>
  <w:num w:numId="48">
    <w:abstractNumId w:val="10"/>
  </w:num>
  <w:num w:numId="49">
    <w:abstractNumId w:val="67"/>
  </w:num>
  <w:num w:numId="50">
    <w:abstractNumId w:val="56"/>
  </w:num>
  <w:num w:numId="51">
    <w:abstractNumId w:val="21"/>
  </w:num>
  <w:num w:numId="52">
    <w:abstractNumId w:val="57"/>
  </w:num>
  <w:num w:numId="53">
    <w:abstractNumId w:val="30"/>
  </w:num>
  <w:num w:numId="54">
    <w:abstractNumId w:val="43"/>
  </w:num>
  <w:num w:numId="55">
    <w:abstractNumId w:val="71"/>
  </w:num>
  <w:num w:numId="56">
    <w:abstractNumId w:val="61"/>
  </w:num>
  <w:num w:numId="57">
    <w:abstractNumId w:val="32"/>
  </w:num>
  <w:num w:numId="58">
    <w:abstractNumId w:val="7"/>
  </w:num>
  <w:num w:numId="59">
    <w:abstractNumId w:val="68"/>
  </w:num>
  <w:num w:numId="60">
    <w:abstractNumId w:val="22"/>
  </w:num>
  <w:num w:numId="61">
    <w:abstractNumId w:val="78"/>
  </w:num>
  <w:num w:numId="62">
    <w:abstractNumId w:val="77"/>
  </w:num>
  <w:num w:numId="63">
    <w:abstractNumId w:val="14"/>
  </w:num>
  <w:num w:numId="64">
    <w:abstractNumId w:val="4"/>
  </w:num>
  <w:num w:numId="65">
    <w:abstractNumId w:val="18"/>
  </w:num>
  <w:num w:numId="66">
    <w:abstractNumId w:val="12"/>
  </w:num>
  <w:num w:numId="67">
    <w:abstractNumId w:val="65"/>
  </w:num>
  <w:num w:numId="68">
    <w:abstractNumId w:val="81"/>
  </w:num>
  <w:num w:numId="69">
    <w:abstractNumId w:val="66"/>
  </w:num>
  <w:num w:numId="70">
    <w:abstractNumId w:val="55"/>
  </w:num>
  <w:num w:numId="71">
    <w:abstractNumId w:val="23"/>
  </w:num>
  <w:num w:numId="72">
    <w:abstractNumId w:val="64"/>
  </w:num>
  <w:num w:numId="73">
    <w:abstractNumId w:val="82"/>
  </w:num>
  <w:num w:numId="74">
    <w:abstractNumId w:val="16"/>
  </w:num>
  <w:num w:numId="75">
    <w:abstractNumId w:val="59"/>
  </w:num>
  <w:num w:numId="76">
    <w:abstractNumId w:val="39"/>
  </w:num>
  <w:num w:numId="77">
    <w:abstractNumId w:val="44"/>
  </w:num>
  <w:num w:numId="78">
    <w:abstractNumId w:val="33"/>
  </w:num>
  <w:num w:numId="79">
    <w:abstractNumId w:val="35"/>
  </w:num>
  <w:num w:numId="80">
    <w:abstractNumId w:val="17"/>
  </w:num>
  <w:num w:numId="81">
    <w:abstractNumId w:val="11"/>
  </w:num>
  <w:num w:numId="82">
    <w:abstractNumId w:val="84"/>
  </w:num>
  <w:num w:numId="83">
    <w:abstractNumId w:val="63"/>
  </w:num>
  <w:num w:numId="84">
    <w:abstractNumId w:val="5"/>
  </w:num>
  <w:num w:numId="85">
    <w:abstractNumId w:val="72"/>
  </w:num>
  <w:num w:numId="86">
    <w:abstractNumId w:val="74"/>
  </w:num>
  <w:num w:numId="87">
    <w:abstractNumId w:val="36"/>
  </w:num>
  <w:num w:numId="88">
    <w:abstractNumId w:val="28"/>
  </w:num>
  <w:num w:numId="89">
    <w:abstractNumId w:val="0"/>
  </w:num>
  <w:num w:numId="90">
    <w:abstractNumId w:val="4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77BC"/>
    <w:rsid w:val="00007CBF"/>
    <w:rsid w:val="00013206"/>
    <w:rsid w:val="0002114B"/>
    <w:rsid w:val="000223C5"/>
    <w:rsid w:val="00030317"/>
    <w:rsid w:val="000327EF"/>
    <w:rsid w:val="00035636"/>
    <w:rsid w:val="00043189"/>
    <w:rsid w:val="000440CB"/>
    <w:rsid w:val="000503F4"/>
    <w:rsid w:val="000554A1"/>
    <w:rsid w:val="00055950"/>
    <w:rsid w:val="000578C6"/>
    <w:rsid w:val="00057DB2"/>
    <w:rsid w:val="00062598"/>
    <w:rsid w:val="000629B8"/>
    <w:rsid w:val="000645AB"/>
    <w:rsid w:val="000727D7"/>
    <w:rsid w:val="000771D4"/>
    <w:rsid w:val="0008163E"/>
    <w:rsid w:val="00092F2C"/>
    <w:rsid w:val="000962BA"/>
    <w:rsid w:val="00097587"/>
    <w:rsid w:val="000976DB"/>
    <w:rsid w:val="000A20CE"/>
    <w:rsid w:val="000A52A2"/>
    <w:rsid w:val="000A65F6"/>
    <w:rsid w:val="000B04AB"/>
    <w:rsid w:val="000B057F"/>
    <w:rsid w:val="000B129E"/>
    <w:rsid w:val="000B29BD"/>
    <w:rsid w:val="000C3693"/>
    <w:rsid w:val="000C3C04"/>
    <w:rsid w:val="000C632D"/>
    <w:rsid w:val="000C76F3"/>
    <w:rsid w:val="000D0022"/>
    <w:rsid w:val="000D07B5"/>
    <w:rsid w:val="000D117E"/>
    <w:rsid w:val="000D1436"/>
    <w:rsid w:val="000D19B2"/>
    <w:rsid w:val="000D78D6"/>
    <w:rsid w:val="000E2FAF"/>
    <w:rsid w:val="000E49E5"/>
    <w:rsid w:val="000E70B2"/>
    <w:rsid w:val="000F018F"/>
    <w:rsid w:val="000F08F2"/>
    <w:rsid w:val="000F0908"/>
    <w:rsid w:val="000F2539"/>
    <w:rsid w:val="00102163"/>
    <w:rsid w:val="001027F5"/>
    <w:rsid w:val="001125D9"/>
    <w:rsid w:val="00113C4E"/>
    <w:rsid w:val="00117430"/>
    <w:rsid w:val="0012062A"/>
    <w:rsid w:val="001234F9"/>
    <w:rsid w:val="00127498"/>
    <w:rsid w:val="0012775E"/>
    <w:rsid w:val="001322F5"/>
    <w:rsid w:val="001369C0"/>
    <w:rsid w:val="001372D1"/>
    <w:rsid w:val="00143332"/>
    <w:rsid w:val="00147206"/>
    <w:rsid w:val="00151C54"/>
    <w:rsid w:val="00153032"/>
    <w:rsid w:val="00155AD8"/>
    <w:rsid w:val="00161CE2"/>
    <w:rsid w:val="001656F9"/>
    <w:rsid w:val="001669D6"/>
    <w:rsid w:val="001731CF"/>
    <w:rsid w:val="001746B7"/>
    <w:rsid w:val="00175BD8"/>
    <w:rsid w:val="00180154"/>
    <w:rsid w:val="00180DEF"/>
    <w:rsid w:val="001813AC"/>
    <w:rsid w:val="0018148A"/>
    <w:rsid w:val="0018228A"/>
    <w:rsid w:val="00184438"/>
    <w:rsid w:val="00184833"/>
    <w:rsid w:val="00187FF5"/>
    <w:rsid w:val="00191392"/>
    <w:rsid w:val="00192F5B"/>
    <w:rsid w:val="001A5CE3"/>
    <w:rsid w:val="001B6688"/>
    <w:rsid w:val="001C09FB"/>
    <w:rsid w:val="001C5FB8"/>
    <w:rsid w:val="001C7A94"/>
    <w:rsid w:val="001D006D"/>
    <w:rsid w:val="001D1347"/>
    <w:rsid w:val="001D1AB3"/>
    <w:rsid w:val="001D34F7"/>
    <w:rsid w:val="001D6BE2"/>
    <w:rsid w:val="001E1A14"/>
    <w:rsid w:val="001E2EB7"/>
    <w:rsid w:val="001E40FA"/>
    <w:rsid w:val="001E562C"/>
    <w:rsid w:val="001E6727"/>
    <w:rsid w:val="001E6A59"/>
    <w:rsid w:val="001F47AF"/>
    <w:rsid w:val="001F5A48"/>
    <w:rsid w:val="001F6A6C"/>
    <w:rsid w:val="00200219"/>
    <w:rsid w:val="00203AAB"/>
    <w:rsid w:val="00224D28"/>
    <w:rsid w:val="00224D29"/>
    <w:rsid w:val="00233D95"/>
    <w:rsid w:val="002364C1"/>
    <w:rsid w:val="00237BC7"/>
    <w:rsid w:val="002441C4"/>
    <w:rsid w:val="00244484"/>
    <w:rsid w:val="002451F6"/>
    <w:rsid w:val="00245226"/>
    <w:rsid w:val="002517F0"/>
    <w:rsid w:val="00253A58"/>
    <w:rsid w:val="00257AD9"/>
    <w:rsid w:val="0026116C"/>
    <w:rsid w:val="00261574"/>
    <w:rsid w:val="002658DB"/>
    <w:rsid w:val="00267C4E"/>
    <w:rsid w:val="002707F4"/>
    <w:rsid w:val="0027088F"/>
    <w:rsid w:val="00271C2E"/>
    <w:rsid w:val="002736AA"/>
    <w:rsid w:val="002737B5"/>
    <w:rsid w:val="00273C11"/>
    <w:rsid w:val="00290820"/>
    <w:rsid w:val="00293BF3"/>
    <w:rsid w:val="0029727D"/>
    <w:rsid w:val="002A062E"/>
    <w:rsid w:val="002A500B"/>
    <w:rsid w:val="002A592A"/>
    <w:rsid w:val="002B1DB3"/>
    <w:rsid w:val="002B2A6E"/>
    <w:rsid w:val="002B2B54"/>
    <w:rsid w:val="002B4516"/>
    <w:rsid w:val="002B5581"/>
    <w:rsid w:val="002B559C"/>
    <w:rsid w:val="002B5AD9"/>
    <w:rsid w:val="002B68C6"/>
    <w:rsid w:val="002C2DA7"/>
    <w:rsid w:val="002C6AA5"/>
    <w:rsid w:val="002D2972"/>
    <w:rsid w:val="002D3CE5"/>
    <w:rsid w:val="002D41BA"/>
    <w:rsid w:val="002D5623"/>
    <w:rsid w:val="002E045C"/>
    <w:rsid w:val="002F0EE7"/>
    <w:rsid w:val="002F2F4C"/>
    <w:rsid w:val="00300F71"/>
    <w:rsid w:val="0030109A"/>
    <w:rsid w:val="003015AF"/>
    <w:rsid w:val="00301C0B"/>
    <w:rsid w:val="003064B1"/>
    <w:rsid w:val="003176EE"/>
    <w:rsid w:val="003214E6"/>
    <w:rsid w:val="003228F6"/>
    <w:rsid w:val="003229AF"/>
    <w:rsid w:val="00323051"/>
    <w:rsid w:val="0032350D"/>
    <w:rsid w:val="00323925"/>
    <w:rsid w:val="00325527"/>
    <w:rsid w:val="00332AF1"/>
    <w:rsid w:val="00334924"/>
    <w:rsid w:val="00336D5E"/>
    <w:rsid w:val="00341101"/>
    <w:rsid w:val="00347CD4"/>
    <w:rsid w:val="00352003"/>
    <w:rsid w:val="003627CB"/>
    <w:rsid w:val="00362C7C"/>
    <w:rsid w:val="00365A70"/>
    <w:rsid w:val="00365FE0"/>
    <w:rsid w:val="00366CD1"/>
    <w:rsid w:val="00366E06"/>
    <w:rsid w:val="003710C0"/>
    <w:rsid w:val="00371BF5"/>
    <w:rsid w:val="00372EB2"/>
    <w:rsid w:val="00373631"/>
    <w:rsid w:val="003744DC"/>
    <w:rsid w:val="00380AD7"/>
    <w:rsid w:val="003841E3"/>
    <w:rsid w:val="003869BF"/>
    <w:rsid w:val="00390448"/>
    <w:rsid w:val="00395034"/>
    <w:rsid w:val="003A2479"/>
    <w:rsid w:val="003A27A9"/>
    <w:rsid w:val="003A6319"/>
    <w:rsid w:val="003C06B4"/>
    <w:rsid w:val="003C1871"/>
    <w:rsid w:val="003C36C5"/>
    <w:rsid w:val="003C4067"/>
    <w:rsid w:val="003C7F70"/>
    <w:rsid w:val="003D20F2"/>
    <w:rsid w:val="003D5516"/>
    <w:rsid w:val="003D6D6F"/>
    <w:rsid w:val="003E0906"/>
    <w:rsid w:val="003E5162"/>
    <w:rsid w:val="003E5CA0"/>
    <w:rsid w:val="003E5D34"/>
    <w:rsid w:val="00402F72"/>
    <w:rsid w:val="00404E71"/>
    <w:rsid w:val="0041558C"/>
    <w:rsid w:val="0041560A"/>
    <w:rsid w:val="00415E8D"/>
    <w:rsid w:val="00417598"/>
    <w:rsid w:val="004223EC"/>
    <w:rsid w:val="004230DF"/>
    <w:rsid w:val="00423956"/>
    <w:rsid w:val="004260C3"/>
    <w:rsid w:val="0043196B"/>
    <w:rsid w:val="004326DD"/>
    <w:rsid w:val="00436B50"/>
    <w:rsid w:val="00441BF4"/>
    <w:rsid w:val="00442785"/>
    <w:rsid w:val="00444F47"/>
    <w:rsid w:val="0045437B"/>
    <w:rsid w:val="004565E0"/>
    <w:rsid w:val="004607C8"/>
    <w:rsid w:val="00461012"/>
    <w:rsid w:val="00461420"/>
    <w:rsid w:val="00462666"/>
    <w:rsid w:val="00464639"/>
    <w:rsid w:val="0046736C"/>
    <w:rsid w:val="00470AE8"/>
    <w:rsid w:val="0048148D"/>
    <w:rsid w:val="00483CF0"/>
    <w:rsid w:val="00485804"/>
    <w:rsid w:val="00485C1E"/>
    <w:rsid w:val="004925E2"/>
    <w:rsid w:val="00492B88"/>
    <w:rsid w:val="004A3A20"/>
    <w:rsid w:val="004B0DD7"/>
    <w:rsid w:val="004C276E"/>
    <w:rsid w:val="004C5892"/>
    <w:rsid w:val="004D2114"/>
    <w:rsid w:val="004D257B"/>
    <w:rsid w:val="004E61A3"/>
    <w:rsid w:val="00501ED9"/>
    <w:rsid w:val="0050279C"/>
    <w:rsid w:val="00503153"/>
    <w:rsid w:val="00504D89"/>
    <w:rsid w:val="00517E03"/>
    <w:rsid w:val="00524522"/>
    <w:rsid w:val="00525198"/>
    <w:rsid w:val="005270BB"/>
    <w:rsid w:val="0053111F"/>
    <w:rsid w:val="0053324B"/>
    <w:rsid w:val="00535300"/>
    <w:rsid w:val="0053607C"/>
    <w:rsid w:val="00537841"/>
    <w:rsid w:val="005428DF"/>
    <w:rsid w:val="00543544"/>
    <w:rsid w:val="00544717"/>
    <w:rsid w:val="00545F31"/>
    <w:rsid w:val="00547846"/>
    <w:rsid w:val="00547E44"/>
    <w:rsid w:val="005505AB"/>
    <w:rsid w:val="005509A1"/>
    <w:rsid w:val="005519F1"/>
    <w:rsid w:val="00552E73"/>
    <w:rsid w:val="00553399"/>
    <w:rsid w:val="005609C0"/>
    <w:rsid w:val="0056137D"/>
    <w:rsid w:val="005664BC"/>
    <w:rsid w:val="00566907"/>
    <w:rsid w:val="00570832"/>
    <w:rsid w:val="00573EE4"/>
    <w:rsid w:val="00577F33"/>
    <w:rsid w:val="005817B3"/>
    <w:rsid w:val="00582B1E"/>
    <w:rsid w:val="00582E28"/>
    <w:rsid w:val="00590419"/>
    <w:rsid w:val="005A264A"/>
    <w:rsid w:val="005A6751"/>
    <w:rsid w:val="005B6B55"/>
    <w:rsid w:val="005B759C"/>
    <w:rsid w:val="005C1AC3"/>
    <w:rsid w:val="005C3AE0"/>
    <w:rsid w:val="005C4B92"/>
    <w:rsid w:val="005C7337"/>
    <w:rsid w:val="005D041C"/>
    <w:rsid w:val="005D1ABF"/>
    <w:rsid w:val="005D4753"/>
    <w:rsid w:val="005D53EF"/>
    <w:rsid w:val="005D6484"/>
    <w:rsid w:val="005D7A40"/>
    <w:rsid w:val="005E3CEB"/>
    <w:rsid w:val="005E3D4B"/>
    <w:rsid w:val="005E6643"/>
    <w:rsid w:val="005F0C09"/>
    <w:rsid w:val="005F31AE"/>
    <w:rsid w:val="005F66F2"/>
    <w:rsid w:val="006022C4"/>
    <w:rsid w:val="0060406D"/>
    <w:rsid w:val="00604C3B"/>
    <w:rsid w:val="00605A5C"/>
    <w:rsid w:val="006269E3"/>
    <w:rsid w:val="00630798"/>
    <w:rsid w:val="006327D8"/>
    <w:rsid w:val="00633472"/>
    <w:rsid w:val="00637C1F"/>
    <w:rsid w:val="006400BC"/>
    <w:rsid w:val="00642A3B"/>
    <w:rsid w:val="0064772B"/>
    <w:rsid w:val="006500CD"/>
    <w:rsid w:val="00650566"/>
    <w:rsid w:val="00650EC4"/>
    <w:rsid w:val="00652426"/>
    <w:rsid w:val="00653969"/>
    <w:rsid w:val="00653C86"/>
    <w:rsid w:val="006553D3"/>
    <w:rsid w:val="00662054"/>
    <w:rsid w:val="00667A33"/>
    <w:rsid w:val="00671A2C"/>
    <w:rsid w:val="0067681C"/>
    <w:rsid w:val="006852D2"/>
    <w:rsid w:val="00690055"/>
    <w:rsid w:val="0069106E"/>
    <w:rsid w:val="006A1F55"/>
    <w:rsid w:val="006A320D"/>
    <w:rsid w:val="006A4606"/>
    <w:rsid w:val="006A6145"/>
    <w:rsid w:val="006B794A"/>
    <w:rsid w:val="006C35E1"/>
    <w:rsid w:val="006D411B"/>
    <w:rsid w:val="006D4309"/>
    <w:rsid w:val="006E2ACA"/>
    <w:rsid w:val="006E6178"/>
    <w:rsid w:val="006F279D"/>
    <w:rsid w:val="006F5C02"/>
    <w:rsid w:val="006F70CD"/>
    <w:rsid w:val="00700F91"/>
    <w:rsid w:val="007069BE"/>
    <w:rsid w:val="007128EB"/>
    <w:rsid w:val="00717EEF"/>
    <w:rsid w:val="00720AEC"/>
    <w:rsid w:val="00725DC1"/>
    <w:rsid w:val="007330A1"/>
    <w:rsid w:val="00734523"/>
    <w:rsid w:val="00734BCB"/>
    <w:rsid w:val="007409DB"/>
    <w:rsid w:val="00743FD2"/>
    <w:rsid w:val="007459A7"/>
    <w:rsid w:val="00745BFD"/>
    <w:rsid w:val="00746206"/>
    <w:rsid w:val="007475CD"/>
    <w:rsid w:val="00750913"/>
    <w:rsid w:val="007530D1"/>
    <w:rsid w:val="00753ED5"/>
    <w:rsid w:val="00767639"/>
    <w:rsid w:val="00767D95"/>
    <w:rsid w:val="007728FD"/>
    <w:rsid w:val="00783CAF"/>
    <w:rsid w:val="00784976"/>
    <w:rsid w:val="00794F4C"/>
    <w:rsid w:val="00794F9C"/>
    <w:rsid w:val="007A4DE3"/>
    <w:rsid w:val="007A5810"/>
    <w:rsid w:val="007A7B30"/>
    <w:rsid w:val="007B1DD0"/>
    <w:rsid w:val="007B2D8C"/>
    <w:rsid w:val="007B3C0B"/>
    <w:rsid w:val="007B3C56"/>
    <w:rsid w:val="007C2794"/>
    <w:rsid w:val="007C38A5"/>
    <w:rsid w:val="007C45D8"/>
    <w:rsid w:val="007C7609"/>
    <w:rsid w:val="007D11D2"/>
    <w:rsid w:val="007D64B0"/>
    <w:rsid w:val="007E1D91"/>
    <w:rsid w:val="007E2363"/>
    <w:rsid w:val="007E5322"/>
    <w:rsid w:val="007F01F9"/>
    <w:rsid w:val="007F21BF"/>
    <w:rsid w:val="00801915"/>
    <w:rsid w:val="00801F99"/>
    <w:rsid w:val="00802321"/>
    <w:rsid w:val="00805504"/>
    <w:rsid w:val="00810189"/>
    <w:rsid w:val="00810698"/>
    <w:rsid w:val="00810F84"/>
    <w:rsid w:val="00813B12"/>
    <w:rsid w:val="00815CA8"/>
    <w:rsid w:val="00821539"/>
    <w:rsid w:val="008224BE"/>
    <w:rsid w:val="00822B2B"/>
    <w:rsid w:val="0082572E"/>
    <w:rsid w:val="008300B9"/>
    <w:rsid w:val="00833C44"/>
    <w:rsid w:val="00834227"/>
    <w:rsid w:val="00835C83"/>
    <w:rsid w:val="00835CCC"/>
    <w:rsid w:val="00841053"/>
    <w:rsid w:val="00843F39"/>
    <w:rsid w:val="0085100D"/>
    <w:rsid w:val="008610CD"/>
    <w:rsid w:val="0086404C"/>
    <w:rsid w:val="00870516"/>
    <w:rsid w:val="008763EC"/>
    <w:rsid w:val="00876BE9"/>
    <w:rsid w:val="00877C5B"/>
    <w:rsid w:val="00881117"/>
    <w:rsid w:val="0088376F"/>
    <w:rsid w:val="008867F7"/>
    <w:rsid w:val="00887806"/>
    <w:rsid w:val="00892CB7"/>
    <w:rsid w:val="00895C0F"/>
    <w:rsid w:val="00896EBE"/>
    <w:rsid w:val="0089780D"/>
    <w:rsid w:val="008A123F"/>
    <w:rsid w:val="008A4DDF"/>
    <w:rsid w:val="008B370D"/>
    <w:rsid w:val="008B3851"/>
    <w:rsid w:val="008B4D19"/>
    <w:rsid w:val="008B6D8B"/>
    <w:rsid w:val="008B73F3"/>
    <w:rsid w:val="008B766C"/>
    <w:rsid w:val="008C1C7B"/>
    <w:rsid w:val="008C3F1D"/>
    <w:rsid w:val="008C75F6"/>
    <w:rsid w:val="008C79B6"/>
    <w:rsid w:val="008D09C7"/>
    <w:rsid w:val="008D129F"/>
    <w:rsid w:val="008D29F0"/>
    <w:rsid w:val="008D3592"/>
    <w:rsid w:val="008D4378"/>
    <w:rsid w:val="008E4D90"/>
    <w:rsid w:val="008F5F02"/>
    <w:rsid w:val="008F7062"/>
    <w:rsid w:val="00903277"/>
    <w:rsid w:val="00906BCB"/>
    <w:rsid w:val="00906E77"/>
    <w:rsid w:val="00912DB3"/>
    <w:rsid w:val="0091388A"/>
    <w:rsid w:val="009152CA"/>
    <w:rsid w:val="00916DDF"/>
    <w:rsid w:val="00920236"/>
    <w:rsid w:val="00921B5A"/>
    <w:rsid w:val="00922C40"/>
    <w:rsid w:val="009327FC"/>
    <w:rsid w:val="00932C02"/>
    <w:rsid w:val="00933174"/>
    <w:rsid w:val="00942DE0"/>
    <w:rsid w:val="00946DA3"/>
    <w:rsid w:val="00951C09"/>
    <w:rsid w:val="00955F89"/>
    <w:rsid w:val="00961A5A"/>
    <w:rsid w:val="00961FB9"/>
    <w:rsid w:val="00964303"/>
    <w:rsid w:val="0097259A"/>
    <w:rsid w:val="00972BC5"/>
    <w:rsid w:val="00972D4A"/>
    <w:rsid w:val="00973468"/>
    <w:rsid w:val="00973BED"/>
    <w:rsid w:val="009755EF"/>
    <w:rsid w:val="00976396"/>
    <w:rsid w:val="00981C3A"/>
    <w:rsid w:val="00982D65"/>
    <w:rsid w:val="009908D6"/>
    <w:rsid w:val="00991580"/>
    <w:rsid w:val="00991581"/>
    <w:rsid w:val="00992814"/>
    <w:rsid w:val="0099401A"/>
    <w:rsid w:val="00995D93"/>
    <w:rsid w:val="009A11A2"/>
    <w:rsid w:val="009A2986"/>
    <w:rsid w:val="009A38F6"/>
    <w:rsid w:val="009B1CE1"/>
    <w:rsid w:val="009B2296"/>
    <w:rsid w:val="009B3BDE"/>
    <w:rsid w:val="009B3F04"/>
    <w:rsid w:val="009C17F0"/>
    <w:rsid w:val="009C6820"/>
    <w:rsid w:val="009D15DE"/>
    <w:rsid w:val="009E528E"/>
    <w:rsid w:val="009E61C5"/>
    <w:rsid w:val="009F117F"/>
    <w:rsid w:val="00A00537"/>
    <w:rsid w:val="00A11F99"/>
    <w:rsid w:val="00A2022F"/>
    <w:rsid w:val="00A217A7"/>
    <w:rsid w:val="00A23006"/>
    <w:rsid w:val="00A23658"/>
    <w:rsid w:val="00A30BC7"/>
    <w:rsid w:val="00A351C1"/>
    <w:rsid w:val="00A376A2"/>
    <w:rsid w:val="00A37FDF"/>
    <w:rsid w:val="00A426C7"/>
    <w:rsid w:val="00A441ED"/>
    <w:rsid w:val="00A44C78"/>
    <w:rsid w:val="00A52050"/>
    <w:rsid w:val="00A53B74"/>
    <w:rsid w:val="00A56CE0"/>
    <w:rsid w:val="00A56E09"/>
    <w:rsid w:val="00A629BA"/>
    <w:rsid w:val="00A65535"/>
    <w:rsid w:val="00A72B16"/>
    <w:rsid w:val="00A806A9"/>
    <w:rsid w:val="00A80AAF"/>
    <w:rsid w:val="00A82632"/>
    <w:rsid w:val="00A8447B"/>
    <w:rsid w:val="00A868E0"/>
    <w:rsid w:val="00A91723"/>
    <w:rsid w:val="00A92EDB"/>
    <w:rsid w:val="00A940D4"/>
    <w:rsid w:val="00AA153B"/>
    <w:rsid w:val="00AA599A"/>
    <w:rsid w:val="00AB541D"/>
    <w:rsid w:val="00AC47C8"/>
    <w:rsid w:val="00AD1275"/>
    <w:rsid w:val="00AD152C"/>
    <w:rsid w:val="00AD2088"/>
    <w:rsid w:val="00AD4432"/>
    <w:rsid w:val="00AE519B"/>
    <w:rsid w:val="00AF034D"/>
    <w:rsid w:val="00B030B7"/>
    <w:rsid w:val="00B065D9"/>
    <w:rsid w:val="00B159FC"/>
    <w:rsid w:val="00B20EBE"/>
    <w:rsid w:val="00B26C7F"/>
    <w:rsid w:val="00B33B56"/>
    <w:rsid w:val="00B33C04"/>
    <w:rsid w:val="00B37AB7"/>
    <w:rsid w:val="00B4009F"/>
    <w:rsid w:val="00B425C6"/>
    <w:rsid w:val="00B452D1"/>
    <w:rsid w:val="00B510BE"/>
    <w:rsid w:val="00B546CC"/>
    <w:rsid w:val="00B56389"/>
    <w:rsid w:val="00B56D24"/>
    <w:rsid w:val="00B57443"/>
    <w:rsid w:val="00B65C14"/>
    <w:rsid w:val="00B66DFF"/>
    <w:rsid w:val="00B714B4"/>
    <w:rsid w:val="00B71EBB"/>
    <w:rsid w:val="00B77453"/>
    <w:rsid w:val="00B77973"/>
    <w:rsid w:val="00B80A1E"/>
    <w:rsid w:val="00B83CD9"/>
    <w:rsid w:val="00B914DF"/>
    <w:rsid w:val="00B95FAE"/>
    <w:rsid w:val="00BA0AC1"/>
    <w:rsid w:val="00BA0B39"/>
    <w:rsid w:val="00BA1CE8"/>
    <w:rsid w:val="00BA413B"/>
    <w:rsid w:val="00BB3EB3"/>
    <w:rsid w:val="00BB4A60"/>
    <w:rsid w:val="00BB4AD3"/>
    <w:rsid w:val="00BB4CD3"/>
    <w:rsid w:val="00BB7041"/>
    <w:rsid w:val="00BB70E4"/>
    <w:rsid w:val="00BC12A9"/>
    <w:rsid w:val="00BC145C"/>
    <w:rsid w:val="00BC31CE"/>
    <w:rsid w:val="00BC3630"/>
    <w:rsid w:val="00BC6ABE"/>
    <w:rsid w:val="00BC6B2F"/>
    <w:rsid w:val="00BC6D1E"/>
    <w:rsid w:val="00BD34E3"/>
    <w:rsid w:val="00BD3594"/>
    <w:rsid w:val="00BE1842"/>
    <w:rsid w:val="00BE6861"/>
    <w:rsid w:val="00BF1181"/>
    <w:rsid w:val="00BF1BA6"/>
    <w:rsid w:val="00BF3086"/>
    <w:rsid w:val="00BF45AB"/>
    <w:rsid w:val="00C03873"/>
    <w:rsid w:val="00C047AC"/>
    <w:rsid w:val="00C04F95"/>
    <w:rsid w:val="00C06F49"/>
    <w:rsid w:val="00C07212"/>
    <w:rsid w:val="00C07768"/>
    <w:rsid w:val="00C142FA"/>
    <w:rsid w:val="00C154F5"/>
    <w:rsid w:val="00C15CA1"/>
    <w:rsid w:val="00C21613"/>
    <w:rsid w:val="00C23867"/>
    <w:rsid w:val="00C2747B"/>
    <w:rsid w:val="00C301D7"/>
    <w:rsid w:val="00C32367"/>
    <w:rsid w:val="00C32835"/>
    <w:rsid w:val="00C36CC7"/>
    <w:rsid w:val="00C37417"/>
    <w:rsid w:val="00C437CE"/>
    <w:rsid w:val="00C44C9A"/>
    <w:rsid w:val="00C463AB"/>
    <w:rsid w:val="00C463C2"/>
    <w:rsid w:val="00C477F5"/>
    <w:rsid w:val="00C514DD"/>
    <w:rsid w:val="00C52CC5"/>
    <w:rsid w:val="00C53BD6"/>
    <w:rsid w:val="00C53DD5"/>
    <w:rsid w:val="00C55BA8"/>
    <w:rsid w:val="00C57334"/>
    <w:rsid w:val="00C601D2"/>
    <w:rsid w:val="00C603EA"/>
    <w:rsid w:val="00C66405"/>
    <w:rsid w:val="00C75A99"/>
    <w:rsid w:val="00C75C3A"/>
    <w:rsid w:val="00C77010"/>
    <w:rsid w:val="00C81402"/>
    <w:rsid w:val="00C84BB1"/>
    <w:rsid w:val="00C876E8"/>
    <w:rsid w:val="00C90B80"/>
    <w:rsid w:val="00C94601"/>
    <w:rsid w:val="00C9474A"/>
    <w:rsid w:val="00C96B7C"/>
    <w:rsid w:val="00C96E98"/>
    <w:rsid w:val="00CA05CA"/>
    <w:rsid w:val="00CA1740"/>
    <w:rsid w:val="00CA30A4"/>
    <w:rsid w:val="00CB26E2"/>
    <w:rsid w:val="00CB5431"/>
    <w:rsid w:val="00CB5944"/>
    <w:rsid w:val="00CC3FF8"/>
    <w:rsid w:val="00CC401F"/>
    <w:rsid w:val="00CC6AD2"/>
    <w:rsid w:val="00CD13E0"/>
    <w:rsid w:val="00CD1757"/>
    <w:rsid w:val="00CD7150"/>
    <w:rsid w:val="00CE17E9"/>
    <w:rsid w:val="00CE72E2"/>
    <w:rsid w:val="00CE73AE"/>
    <w:rsid w:val="00CE7E37"/>
    <w:rsid w:val="00CF1E27"/>
    <w:rsid w:val="00CF2006"/>
    <w:rsid w:val="00CF7161"/>
    <w:rsid w:val="00D0550D"/>
    <w:rsid w:val="00D060CC"/>
    <w:rsid w:val="00D07635"/>
    <w:rsid w:val="00D076DD"/>
    <w:rsid w:val="00D11BEB"/>
    <w:rsid w:val="00D121A6"/>
    <w:rsid w:val="00D16930"/>
    <w:rsid w:val="00D2226A"/>
    <w:rsid w:val="00D24CD7"/>
    <w:rsid w:val="00D2685D"/>
    <w:rsid w:val="00D30AFB"/>
    <w:rsid w:val="00D40754"/>
    <w:rsid w:val="00D432EB"/>
    <w:rsid w:val="00D45E13"/>
    <w:rsid w:val="00D5103E"/>
    <w:rsid w:val="00D524C0"/>
    <w:rsid w:val="00D557BA"/>
    <w:rsid w:val="00D62EBD"/>
    <w:rsid w:val="00D7040A"/>
    <w:rsid w:val="00D70F10"/>
    <w:rsid w:val="00D75D35"/>
    <w:rsid w:val="00D80EF4"/>
    <w:rsid w:val="00D82FDA"/>
    <w:rsid w:val="00D92068"/>
    <w:rsid w:val="00D93E42"/>
    <w:rsid w:val="00D95F6C"/>
    <w:rsid w:val="00DA2671"/>
    <w:rsid w:val="00DB6AF5"/>
    <w:rsid w:val="00DB70B8"/>
    <w:rsid w:val="00DC0542"/>
    <w:rsid w:val="00DC4CF3"/>
    <w:rsid w:val="00DD23DD"/>
    <w:rsid w:val="00DD2C31"/>
    <w:rsid w:val="00DD3AE9"/>
    <w:rsid w:val="00DD4986"/>
    <w:rsid w:val="00DE2764"/>
    <w:rsid w:val="00DE5521"/>
    <w:rsid w:val="00DE56D6"/>
    <w:rsid w:val="00DE6B9D"/>
    <w:rsid w:val="00DF24C9"/>
    <w:rsid w:val="00DF3F6E"/>
    <w:rsid w:val="00DF4835"/>
    <w:rsid w:val="00E0042C"/>
    <w:rsid w:val="00E02B67"/>
    <w:rsid w:val="00E10FD9"/>
    <w:rsid w:val="00E128D5"/>
    <w:rsid w:val="00E13A88"/>
    <w:rsid w:val="00E15343"/>
    <w:rsid w:val="00E15B4E"/>
    <w:rsid w:val="00E17A7C"/>
    <w:rsid w:val="00E2464C"/>
    <w:rsid w:val="00E2507E"/>
    <w:rsid w:val="00E303E0"/>
    <w:rsid w:val="00E304B4"/>
    <w:rsid w:val="00E34976"/>
    <w:rsid w:val="00E34C28"/>
    <w:rsid w:val="00E43386"/>
    <w:rsid w:val="00E44506"/>
    <w:rsid w:val="00E54A9F"/>
    <w:rsid w:val="00E555F7"/>
    <w:rsid w:val="00E57CEC"/>
    <w:rsid w:val="00E57D7B"/>
    <w:rsid w:val="00E617DF"/>
    <w:rsid w:val="00E63BE8"/>
    <w:rsid w:val="00E646A8"/>
    <w:rsid w:val="00E70274"/>
    <w:rsid w:val="00E718B4"/>
    <w:rsid w:val="00E729C6"/>
    <w:rsid w:val="00E76AB5"/>
    <w:rsid w:val="00E7713C"/>
    <w:rsid w:val="00E85950"/>
    <w:rsid w:val="00E922D3"/>
    <w:rsid w:val="00E92C05"/>
    <w:rsid w:val="00E9571B"/>
    <w:rsid w:val="00EA60B1"/>
    <w:rsid w:val="00EA7474"/>
    <w:rsid w:val="00EA7F8F"/>
    <w:rsid w:val="00EB4056"/>
    <w:rsid w:val="00EC0C54"/>
    <w:rsid w:val="00EC4AD6"/>
    <w:rsid w:val="00EC7AA2"/>
    <w:rsid w:val="00ED2C08"/>
    <w:rsid w:val="00ED7C44"/>
    <w:rsid w:val="00EE0A3F"/>
    <w:rsid w:val="00EE4820"/>
    <w:rsid w:val="00EE68D4"/>
    <w:rsid w:val="00F010BE"/>
    <w:rsid w:val="00F11BB3"/>
    <w:rsid w:val="00F11D29"/>
    <w:rsid w:val="00F11F75"/>
    <w:rsid w:val="00F12365"/>
    <w:rsid w:val="00F164D2"/>
    <w:rsid w:val="00F22309"/>
    <w:rsid w:val="00F23575"/>
    <w:rsid w:val="00F24B95"/>
    <w:rsid w:val="00F3678A"/>
    <w:rsid w:val="00F45F22"/>
    <w:rsid w:val="00F5423C"/>
    <w:rsid w:val="00F56334"/>
    <w:rsid w:val="00F563FA"/>
    <w:rsid w:val="00F57C49"/>
    <w:rsid w:val="00F6246D"/>
    <w:rsid w:val="00F66CB3"/>
    <w:rsid w:val="00F70618"/>
    <w:rsid w:val="00F748B1"/>
    <w:rsid w:val="00F75F0E"/>
    <w:rsid w:val="00F926F7"/>
    <w:rsid w:val="00F94DA7"/>
    <w:rsid w:val="00F95723"/>
    <w:rsid w:val="00F964C5"/>
    <w:rsid w:val="00F974B1"/>
    <w:rsid w:val="00F97AB0"/>
    <w:rsid w:val="00FA26FF"/>
    <w:rsid w:val="00FA5BDC"/>
    <w:rsid w:val="00FA65D3"/>
    <w:rsid w:val="00FB10D2"/>
    <w:rsid w:val="00FB2812"/>
    <w:rsid w:val="00FB4424"/>
    <w:rsid w:val="00FB4B41"/>
    <w:rsid w:val="00FB7B8D"/>
    <w:rsid w:val="00FC074E"/>
    <w:rsid w:val="00FE4D40"/>
    <w:rsid w:val="00FE6001"/>
    <w:rsid w:val="00FF1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2E56B083"/>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613"/>
    <w:pPr>
      <w:spacing w:before="12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C21613"/>
    <w:pPr>
      <w:jc w:val="center"/>
      <w:outlineLvl w:val="0"/>
    </w:pPr>
    <w:rPr>
      <w:b/>
      <w:u w:val="single"/>
      <w:lang w:eastAsia="ja-JP"/>
    </w:rPr>
  </w:style>
  <w:style w:type="paragraph" w:styleId="Heading2">
    <w:name w:val="heading 2"/>
    <w:basedOn w:val="Normal"/>
    <w:next w:val="Normal"/>
    <w:link w:val="Heading2Char"/>
    <w:uiPriority w:val="9"/>
    <w:unhideWhenUsed/>
    <w:qFormat/>
    <w:rsid w:val="00C21613"/>
    <w:pPr>
      <w:jc w:val="center"/>
      <w:outlineLvl w:val="1"/>
    </w:pPr>
    <w:rPr>
      <w:u w:val="single"/>
      <w:lang w:eastAsia="ja-JP"/>
    </w:rPr>
  </w:style>
  <w:style w:type="paragraph" w:styleId="Heading3">
    <w:name w:val="heading 3"/>
    <w:aliases w:val="Division"/>
    <w:basedOn w:val="Heading4"/>
    <w:next w:val="Normal"/>
    <w:link w:val="Heading3Char"/>
    <w:uiPriority w:val="9"/>
    <w:unhideWhenUsed/>
    <w:qFormat/>
    <w:rsid w:val="0088376F"/>
    <w:pPr>
      <w:spacing w:before="360"/>
      <w:jc w:val="left"/>
      <w:outlineLvl w:val="2"/>
    </w:pPr>
    <w:rPr>
      <w:i w:val="0"/>
      <w:color w:val="000000" w:themeColor="text1"/>
      <w:szCs w:val="24"/>
      <w:u w:val="single"/>
    </w:rPr>
  </w:style>
  <w:style w:type="paragraph" w:styleId="Heading4">
    <w:name w:val="heading 4"/>
    <w:basedOn w:val="Normal"/>
    <w:next w:val="Normal"/>
    <w:link w:val="Heading4Char"/>
    <w:uiPriority w:val="9"/>
    <w:unhideWhenUsed/>
    <w:qFormat/>
    <w:rsid w:val="00C21613"/>
    <w:pPr>
      <w:jc w:val="center"/>
      <w:outlineLvl w:val="3"/>
    </w:pPr>
    <w:rPr>
      <w:i/>
      <w:lang w:eastAsia="ja-JP"/>
    </w:rPr>
  </w:style>
  <w:style w:type="paragraph" w:styleId="Heading5">
    <w:name w:val="heading 5"/>
    <w:basedOn w:val="Normal"/>
    <w:next w:val="Normal"/>
    <w:link w:val="Heading5Char"/>
    <w:uiPriority w:val="9"/>
    <w:unhideWhenUsed/>
    <w:qFormat/>
    <w:rsid w:val="00C21613"/>
    <w:pPr>
      <w:outlineLvl w:val="4"/>
    </w:pPr>
    <w:rPr>
      <w:b/>
      <w:lang w:eastAsia="ja-JP"/>
    </w:rPr>
  </w:style>
  <w:style w:type="paragraph" w:styleId="Heading6">
    <w:name w:val="heading 6"/>
    <w:basedOn w:val="Heading4"/>
    <w:next w:val="Normal"/>
    <w:link w:val="Heading6Char"/>
    <w:uiPriority w:val="9"/>
    <w:unhideWhenUsed/>
    <w:qFormat/>
    <w:rsid w:val="007D64B0"/>
    <w:pPr>
      <w:outlineLvl w:val="5"/>
    </w:pPr>
    <w:rPr>
      <w:b/>
      <w:i w:val="0"/>
    </w:rPr>
  </w:style>
  <w:style w:type="paragraph" w:styleId="Heading7">
    <w:name w:val="heading 7"/>
    <w:basedOn w:val="Normal"/>
    <w:next w:val="Normal"/>
    <w:link w:val="Heading7Char"/>
    <w:uiPriority w:val="9"/>
    <w:unhideWhenUsed/>
    <w:qFormat/>
    <w:rsid w:val="007D64B0"/>
    <w:pPr>
      <w:outlineLvl w:val="6"/>
    </w:pPr>
    <w:rPr>
      <w:b/>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color w:val="000000"/>
    </w:rPr>
  </w:style>
  <w:style w:type="paragraph" w:customStyle="1" w:styleId="HB-Table-dotpoint">
    <w:name w:val="HB - Table - dot point"/>
    <w:basedOn w:val="Normal"/>
    <w:rsid w:val="00FA26FF"/>
    <w:pPr>
      <w:numPr>
        <w:numId w:val="1"/>
      </w:numPr>
      <w:tabs>
        <w:tab w:val="clear" w:pos="720"/>
        <w:tab w:val="num" w:pos="567"/>
      </w:tabs>
      <w:ind w:left="567" w:hanging="425"/>
    </w:pPr>
    <w:rPr>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pPr>
    <w:rPr>
      <w:lang w:eastAsia="en-AU"/>
    </w:rPr>
  </w:style>
  <w:style w:type="paragraph" w:styleId="Title">
    <w:name w:val="Title"/>
    <w:basedOn w:val="Normal"/>
    <w:next w:val="Normal"/>
    <w:link w:val="TitleChar"/>
    <w:uiPriority w:val="10"/>
    <w:qFormat/>
    <w:rsid w:val="00B546CC"/>
    <w:pPr>
      <w:spacing w:after="0"/>
      <w:contextualSpacing/>
      <w:jc w:val="center"/>
    </w:pPr>
    <w:rPr>
      <w:rFonts w:eastAsiaTheme="majorEastAsia" w:cstheme="majorBidi"/>
      <w:b/>
      <w:color w:val="000000" w:themeColor="text1"/>
      <w:spacing w:val="-10"/>
      <w:szCs w:val="56"/>
      <w:u w:val="single"/>
    </w:rPr>
  </w:style>
  <w:style w:type="character" w:customStyle="1" w:styleId="TitleChar">
    <w:name w:val="Title Char"/>
    <w:basedOn w:val="DefaultParagraphFont"/>
    <w:link w:val="Title"/>
    <w:uiPriority w:val="10"/>
    <w:rsid w:val="00B546CC"/>
    <w:rPr>
      <w:rFonts w:ascii="Times New Roman" w:eastAsiaTheme="majorEastAsia" w:hAnsi="Times New Roman" w:cstheme="majorBidi"/>
      <w:b/>
      <w:color w:val="000000" w:themeColor="text1"/>
      <w:spacing w:val="-10"/>
      <w:sz w:val="24"/>
      <w:szCs w:val="56"/>
      <w:u w:val="single"/>
    </w:rPr>
  </w:style>
  <w:style w:type="character" w:customStyle="1" w:styleId="Heading1Char">
    <w:name w:val="Heading 1 Char"/>
    <w:basedOn w:val="DefaultParagraphFont"/>
    <w:link w:val="Heading1"/>
    <w:uiPriority w:val="9"/>
    <w:rsid w:val="00C21613"/>
    <w:rPr>
      <w:rFonts w:ascii="Times New Roman" w:eastAsia="Times New Roman" w:hAnsi="Times New Roman" w:cs="Times New Roman"/>
      <w:b/>
      <w:noProof/>
      <w:sz w:val="24"/>
      <w:u w:val="single"/>
      <w:lang w:eastAsia="ja-JP"/>
    </w:rPr>
  </w:style>
  <w:style w:type="character" w:customStyle="1" w:styleId="Heading2Char">
    <w:name w:val="Heading 2 Char"/>
    <w:basedOn w:val="DefaultParagraphFont"/>
    <w:link w:val="Heading2"/>
    <w:uiPriority w:val="9"/>
    <w:rsid w:val="00C21613"/>
    <w:rPr>
      <w:rFonts w:ascii="Times New Roman" w:eastAsia="Times New Roman" w:hAnsi="Times New Roman" w:cs="Times New Roman"/>
      <w:noProof/>
      <w:sz w:val="24"/>
      <w:u w:val="single"/>
      <w:lang w:eastAsia="ja-JP"/>
    </w:rPr>
  </w:style>
  <w:style w:type="character" w:customStyle="1" w:styleId="Heading3Char">
    <w:name w:val="Heading 3 Char"/>
    <w:aliases w:val="Division Char"/>
    <w:basedOn w:val="DefaultParagraphFont"/>
    <w:link w:val="Heading3"/>
    <w:uiPriority w:val="9"/>
    <w:rsid w:val="0088376F"/>
    <w:rPr>
      <w:rFonts w:ascii="Times New Roman" w:eastAsia="Times New Roman" w:hAnsi="Times New Roman" w:cs="Times New Roman"/>
      <w:noProof/>
      <w:color w:val="000000" w:themeColor="text1"/>
      <w:sz w:val="24"/>
      <w:szCs w:val="24"/>
      <w:u w:val="single"/>
      <w:lang w:eastAsia="ja-JP"/>
    </w:rPr>
  </w:style>
  <w:style w:type="character" w:customStyle="1" w:styleId="Heading4Char">
    <w:name w:val="Heading 4 Char"/>
    <w:basedOn w:val="DefaultParagraphFont"/>
    <w:link w:val="Heading4"/>
    <w:uiPriority w:val="9"/>
    <w:rsid w:val="00C21613"/>
    <w:rPr>
      <w:rFonts w:ascii="Times New Roman" w:eastAsia="Times New Roman" w:hAnsi="Times New Roman" w:cs="Times New Roman"/>
      <w:i/>
      <w:noProof/>
      <w:sz w:val="24"/>
      <w:lang w:eastAsia="ja-JP"/>
    </w:rPr>
  </w:style>
  <w:style w:type="character" w:customStyle="1" w:styleId="Heading5Char">
    <w:name w:val="Heading 5 Char"/>
    <w:basedOn w:val="DefaultParagraphFont"/>
    <w:link w:val="Heading5"/>
    <w:uiPriority w:val="9"/>
    <w:rsid w:val="00C21613"/>
    <w:rPr>
      <w:rFonts w:ascii="Times New Roman" w:eastAsia="Times New Roman" w:hAnsi="Times New Roman" w:cs="Times New Roman"/>
      <w:b/>
      <w:noProof/>
      <w:sz w:val="24"/>
      <w:lang w:eastAsia="ja-JP"/>
    </w:rPr>
  </w:style>
  <w:style w:type="character" w:customStyle="1" w:styleId="Heading6Char">
    <w:name w:val="Heading 6 Char"/>
    <w:basedOn w:val="DefaultParagraphFont"/>
    <w:link w:val="Heading6"/>
    <w:uiPriority w:val="9"/>
    <w:rsid w:val="007D64B0"/>
    <w:rPr>
      <w:rFonts w:ascii="Times New Roman" w:eastAsia="Times New Roman" w:hAnsi="Times New Roman" w:cs="Times New Roman"/>
      <w:b/>
      <w:noProof/>
      <w:sz w:val="24"/>
      <w:lang w:eastAsia="ja-JP"/>
    </w:rPr>
  </w:style>
  <w:style w:type="character" w:customStyle="1" w:styleId="Heading7Char">
    <w:name w:val="Heading 7 Char"/>
    <w:basedOn w:val="DefaultParagraphFont"/>
    <w:link w:val="Heading7"/>
    <w:uiPriority w:val="9"/>
    <w:rsid w:val="007D64B0"/>
    <w:rPr>
      <w:rFonts w:ascii="Times New Roman" w:eastAsia="Times New Roman" w:hAnsi="Times New Roman" w:cs="Times New Roman"/>
      <w:b/>
      <w:noProof/>
      <w:sz w:val="24"/>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ListNumber">
    <w:name w:val="List Number"/>
    <w:basedOn w:val="Normal"/>
    <w:autoRedefine/>
    <w:uiPriority w:val="99"/>
    <w:qFormat/>
    <w:rsid w:val="00C514DD"/>
    <w:pPr>
      <w:numPr>
        <w:numId w:val="5"/>
      </w:numPr>
      <w:spacing w:after="200"/>
    </w:pPr>
    <w:rPr>
      <w:rFonts w:ascii="Calibri" w:eastAsia="Calibri" w:hAnsi="Calibri"/>
      <w:szCs w:val="22"/>
    </w:rPr>
  </w:style>
  <w:style w:type="paragraph" w:styleId="ListNumber2">
    <w:name w:val="List Number 2"/>
    <w:basedOn w:val="Normal"/>
    <w:autoRedefine/>
    <w:uiPriority w:val="99"/>
    <w:rsid w:val="00C514DD"/>
    <w:pPr>
      <w:numPr>
        <w:ilvl w:val="1"/>
        <w:numId w:val="5"/>
      </w:numPr>
      <w:spacing w:after="200"/>
    </w:pPr>
    <w:rPr>
      <w:rFonts w:ascii="Calibri" w:eastAsia="Calibri" w:hAnsi="Calibri"/>
      <w:szCs w:val="22"/>
    </w:rPr>
  </w:style>
  <w:style w:type="paragraph" w:styleId="ListNumber3">
    <w:name w:val="List Number 3"/>
    <w:basedOn w:val="Normal"/>
    <w:uiPriority w:val="99"/>
    <w:rsid w:val="00C514DD"/>
    <w:pPr>
      <w:numPr>
        <w:ilvl w:val="2"/>
        <w:numId w:val="5"/>
      </w:numPr>
      <w:spacing w:after="200"/>
    </w:pPr>
    <w:rPr>
      <w:rFonts w:ascii="Calibri" w:eastAsia="Calibri" w:hAnsi="Calibri"/>
      <w:szCs w:val="22"/>
    </w:rPr>
  </w:style>
  <w:style w:type="paragraph" w:styleId="ListNumber4">
    <w:name w:val="List Number 4"/>
    <w:basedOn w:val="Normal"/>
    <w:uiPriority w:val="99"/>
    <w:rsid w:val="00C514DD"/>
    <w:pPr>
      <w:numPr>
        <w:ilvl w:val="3"/>
        <w:numId w:val="5"/>
      </w:numPr>
      <w:spacing w:after="200"/>
    </w:pPr>
    <w:rPr>
      <w:rFonts w:ascii="Calibri" w:eastAsia="Calibri" w:hAnsi="Calibri"/>
      <w:szCs w:val="22"/>
    </w:rPr>
  </w:style>
  <w:style w:type="paragraph" w:styleId="ListNumber5">
    <w:name w:val="List Number 5"/>
    <w:basedOn w:val="Normal"/>
    <w:uiPriority w:val="99"/>
    <w:rsid w:val="00C514DD"/>
    <w:pPr>
      <w:numPr>
        <w:ilvl w:val="4"/>
        <w:numId w:val="5"/>
      </w:numPr>
      <w:spacing w:after="200"/>
    </w:pPr>
    <w:rPr>
      <w:rFonts w:ascii="Calibri" w:eastAsia="Calibri" w:hAnsi="Calibri"/>
      <w:szCs w:val="22"/>
    </w:rPr>
  </w:style>
  <w:style w:type="paragraph" w:customStyle="1" w:styleId="Provision">
    <w:name w:val="Provision"/>
    <w:basedOn w:val="Heading5"/>
    <w:link w:val="ProvisionChar"/>
    <w:qFormat/>
    <w:rsid w:val="00C21613"/>
    <w:pPr>
      <w:spacing w:before="240"/>
    </w:pPr>
    <w:rPr>
      <w:rFonts w:eastAsia="Calibri"/>
      <w:b w:val="0"/>
      <w:i/>
      <w:lang w:eastAsia="en-AU"/>
    </w:rPr>
  </w:style>
  <w:style w:type="paragraph" w:customStyle="1" w:styleId="Part">
    <w:name w:val="Part"/>
    <w:basedOn w:val="Heading2"/>
    <w:link w:val="PartChar"/>
    <w:autoRedefine/>
    <w:qFormat/>
    <w:rsid w:val="00F164D2"/>
    <w:pPr>
      <w:tabs>
        <w:tab w:val="left" w:pos="426"/>
      </w:tabs>
      <w:spacing w:before="480"/>
      <w:jc w:val="left"/>
    </w:pPr>
    <w:rPr>
      <w:b/>
      <w:szCs w:val="24"/>
    </w:rPr>
  </w:style>
  <w:style w:type="paragraph" w:customStyle="1" w:styleId="base-text-paragraph">
    <w:name w:val="base-text-paragraph"/>
    <w:basedOn w:val="Normal"/>
    <w:rsid w:val="003229AF"/>
    <w:pPr>
      <w:spacing w:before="100" w:beforeAutospacing="1" w:after="100" w:afterAutospacing="1"/>
    </w:pPr>
    <w:rPr>
      <w:szCs w:val="24"/>
      <w:lang w:eastAsia="en-AU"/>
    </w:rPr>
  </w:style>
  <w:style w:type="paragraph" w:customStyle="1" w:styleId="Attachment">
    <w:name w:val="Attachment"/>
    <w:basedOn w:val="Normal-em"/>
    <w:qFormat/>
    <w:rsid w:val="00982D65"/>
    <w:pPr>
      <w:spacing w:after="0"/>
      <w:jc w:val="right"/>
    </w:pPr>
    <w:rPr>
      <w:b/>
      <w:szCs w:val="24"/>
      <w:u w:val="single"/>
    </w:rPr>
  </w:style>
  <w:style w:type="paragraph" w:customStyle="1" w:styleId="subsection">
    <w:name w:val="subsection"/>
    <w:aliases w:val="ss,Subsection"/>
    <w:basedOn w:val="Normal"/>
    <w:link w:val="subsectionChar"/>
    <w:rsid w:val="00325527"/>
    <w:pPr>
      <w:tabs>
        <w:tab w:val="right" w:pos="1021"/>
      </w:tabs>
      <w:spacing w:before="180" w:after="0"/>
      <w:ind w:left="1134" w:hanging="1134"/>
    </w:pPr>
    <w:rPr>
      <w:sz w:val="22"/>
      <w:lang w:eastAsia="en-AU"/>
    </w:rPr>
  </w:style>
  <w:style w:type="paragraph" w:customStyle="1" w:styleId="paragraph">
    <w:name w:val="paragraph"/>
    <w:aliases w:val="a"/>
    <w:basedOn w:val="Normal"/>
    <w:rsid w:val="00325527"/>
    <w:pPr>
      <w:tabs>
        <w:tab w:val="right" w:pos="1531"/>
      </w:tabs>
      <w:spacing w:before="40" w:after="0"/>
      <w:ind w:left="1644" w:hanging="1644"/>
    </w:pPr>
    <w:rPr>
      <w:sz w:val="22"/>
      <w:lang w:eastAsia="en-AU"/>
    </w:rPr>
  </w:style>
  <w:style w:type="paragraph" w:customStyle="1" w:styleId="subsection2">
    <w:name w:val="subsection2"/>
    <w:aliases w:val="ss2"/>
    <w:basedOn w:val="Normal"/>
    <w:next w:val="subsection"/>
    <w:rsid w:val="00325527"/>
    <w:pPr>
      <w:spacing w:before="40" w:after="0"/>
      <w:ind w:left="1134"/>
    </w:pPr>
    <w:rPr>
      <w:sz w:val="22"/>
      <w:lang w:eastAsia="en-AU"/>
    </w:rPr>
  </w:style>
  <w:style w:type="character" w:customStyle="1" w:styleId="subsectionChar">
    <w:name w:val="subsection Char"/>
    <w:aliases w:val="ss Char"/>
    <w:link w:val="subsection"/>
    <w:locked/>
    <w:rsid w:val="00325527"/>
    <w:rPr>
      <w:rFonts w:ascii="Times New Roman" w:eastAsia="Times New Roman" w:hAnsi="Times New Roman" w:cs="Times New Roman"/>
      <w:sz w:val="22"/>
      <w:lang w:eastAsia="en-AU"/>
    </w:rPr>
  </w:style>
  <w:style w:type="character" w:customStyle="1" w:styleId="PartChar">
    <w:name w:val="Part Char"/>
    <w:basedOn w:val="Heading2Char"/>
    <w:link w:val="Part"/>
    <w:rsid w:val="00F164D2"/>
    <w:rPr>
      <w:rFonts w:ascii="Times New Roman" w:eastAsia="Times New Roman" w:hAnsi="Times New Roman" w:cs="Times New Roman"/>
      <w:b/>
      <w:noProof/>
      <w:sz w:val="24"/>
      <w:szCs w:val="24"/>
      <w:u w:val="single"/>
      <w:lang w:eastAsia="ja-JP"/>
    </w:rPr>
  </w:style>
  <w:style w:type="character" w:customStyle="1" w:styleId="ProvisionChar">
    <w:name w:val="Provision Char"/>
    <w:basedOn w:val="Heading3Char"/>
    <w:link w:val="Provision"/>
    <w:rsid w:val="00C21613"/>
    <w:rPr>
      <w:rFonts w:ascii="Times New Roman" w:eastAsia="Calibri" w:hAnsi="Times New Roman" w:cs="Times New Roman"/>
      <w:i/>
      <w:noProof/>
      <w:color w:val="000000" w:themeColor="text1"/>
      <w:sz w:val="24"/>
      <w:szCs w:val="24"/>
      <w:u w:val="single"/>
      <w:lang w:eastAsia="en-AU"/>
    </w:rPr>
  </w:style>
  <w:style w:type="table" w:customStyle="1" w:styleId="TableGrid1">
    <w:name w:val="Table Grid1"/>
    <w:basedOn w:val="TableNormal"/>
    <w:next w:val="TableGrid"/>
    <w:uiPriority w:val="59"/>
    <w:rsid w:val="001E562C"/>
    <w:pPr>
      <w:spacing w:after="0" w:line="240" w:lineRule="auto"/>
    </w:pPr>
    <w:rPr>
      <w:rFonts w:ascii="Cambria" w:eastAsia="Calibri" w:hAnsi="Cambria"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67681C"/>
    <w:pPr>
      <w:spacing w:before="122" w:after="0"/>
      <w:ind w:left="1985" w:hanging="851"/>
    </w:pPr>
    <w:rPr>
      <w:sz w:val="18"/>
      <w:lang w:eastAsia="en-AU"/>
    </w:rPr>
  </w:style>
  <w:style w:type="character" w:customStyle="1" w:styleId="notetextChar">
    <w:name w:val="note(text) Char"/>
    <w:aliases w:val="n Char"/>
    <w:link w:val="notetext"/>
    <w:rsid w:val="0067681C"/>
    <w:rPr>
      <w:rFonts w:ascii="Times New Roman" w:eastAsia="Times New Roman" w:hAnsi="Times New Roman" w:cs="Times New Roman"/>
      <w:sz w:val="18"/>
      <w:lang w:eastAsia="en-AU"/>
    </w:rPr>
  </w:style>
  <w:style w:type="paragraph" w:customStyle="1" w:styleId="ActHead3">
    <w:name w:val="ActHead 3"/>
    <w:aliases w:val="d"/>
    <w:basedOn w:val="Normal"/>
    <w:next w:val="Normal"/>
    <w:qFormat/>
    <w:rsid w:val="0088376F"/>
    <w:pPr>
      <w:keepNext/>
      <w:keepLines/>
      <w:spacing w:before="240" w:after="0"/>
      <w:ind w:left="1134" w:hanging="1134"/>
      <w:outlineLvl w:val="2"/>
    </w:pPr>
    <w:rPr>
      <w:b/>
      <w:kern w:val="28"/>
      <w:sz w:val="28"/>
      <w:lang w:eastAsia="en-AU"/>
    </w:rPr>
  </w:style>
  <w:style w:type="character" w:customStyle="1" w:styleId="CharDivNo">
    <w:name w:val="CharDivNo"/>
    <w:basedOn w:val="DefaultParagraphFont"/>
    <w:qFormat/>
    <w:rsid w:val="0088376F"/>
  </w:style>
  <w:style w:type="paragraph" w:customStyle="1" w:styleId="ActHead5">
    <w:name w:val="ActHead 5"/>
    <w:aliases w:val="s"/>
    <w:basedOn w:val="Normal"/>
    <w:next w:val="subsection"/>
    <w:qFormat/>
    <w:rsid w:val="00C77010"/>
    <w:pPr>
      <w:keepNext/>
      <w:keepLines/>
      <w:spacing w:before="280" w:after="0"/>
      <w:ind w:left="1134" w:hanging="1134"/>
      <w:outlineLvl w:val="4"/>
    </w:pPr>
    <w:rPr>
      <w:b/>
      <w:kern w:val="28"/>
      <w:lang w:eastAsia="en-AU"/>
    </w:rPr>
  </w:style>
  <w:style w:type="character" w:customStyle="1" w:styleId="CharSectno">
    <w:name w:val="CharSectno"/>
    <w:basedOn w:val="DefaultParagraphFont"/>
    <w:qFormat/>
    <w:rsid w:val="00C77010"/>
  </w:style>
  <w:style w:type="character" w:styleId="FootnoteReference">
    <w:name w:val="footnote reference"/>
    <w:aliases w:val="4_G,a Footnote Reference,FZ,Appel note de bas de page,Footnotes refss,Footnote Ref,16 Point,Superscript 6 Point,Appel note de bas de p.,Footnote Refernece,Footnote number,ftref,Footnote text"/>
    <w:rsid w:val="00547E44"/>
    <w:rPr>
      <w:rFonts w:ascii="Times New Roman" w:hAnsi="Times New Roman"/>
      <w:sz w:val="18"/>
      <w:vertAlign w:val="superscript"/>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FA Fu"/>
    <w:basedOn w:val="Normal"/>
    <w:link w:val="FootnoteTextChar"/>
    <w:qFormat/>
    <w:rsid w:val="00547E44"/>
    <w:pPr>
      <w:tabs>
        <w:tab w:val="right" w:pos="1021"/>
      </w:tabs>
      <w:suppressAutoHyphens/>
      <w:spacing w:before="0" w:after="0" w:line="220" w:lineRule="exact"/>
      <w:ind w:left="1134" w:right="1134" w:hanging="1134"/>
    </w:pPr>
    <w:rPr>
      <w:sz w:val="18"/>
      <w:lang w:val="x-none"/>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FA Fu Char"/>
    <w:basedOn w:val="DefaultParagraphFont"/>
    <w:link w:val="FootnoteText"/>
    <w:rsid w:val="00547E44"/>
    <w:rPr>
      <w:rFonts w:ascii="Times New Roman" w:eastAsia="Times New Roman" w:hAnsi="Times New Roman" w:cs="Times New Roman"/>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4911">
      <w:bodyDiv w:val="1"/>
      <w:marLeft w:val="0"/>
      <w:marRight w:val="0"/>
      <w:marTop w:val="0"/>
      <w:marBottom w:val="0"/>
      <w:divBdr>
        <w:top w:val="none" w:sz="0" w:space="0" w:color="auto"/>
        <w:left w:val="none" w:sz="0" w:space="0" w:color="auto"/>
        <w:bottom w:val="none" w:sz="0" w:space="0" w:color="auto"/>
        <w:right w:val="none" w:sz="0" w:space="0" w:color="auto"/>
      </w:divBdr>
      <w:divsChild>
        <w:div w:id="778456576">
          <w:marLeft w:val="0"/>
          <w:marRight w:val="0"/>
          <w:marTop w:val="0"/>
          <w:marBottom w:val="0"/>
          <w:divBdr>
            <w:top w:val="none" w:sz="0" w:space="0" w:color="auto"/>
            <w:left w:val="none" w:sz="0" w:space="0" w:color="auto"/>
            <w:bottom w:val="none" w:sz="0" w:space="0" w:color="auto"/>
            <w:right w:val="none" w:sz="0" w:space="0" w:color="auto"/>
          </w:divBdr>
          <w:divsChild>
            <w:div w:id="1422987550">
              <w:marLeft w:val="0"/>
              <w:marRight w:val="0"/>
              <w:marTop w:val="0"/>
              <w:marBottom w:val="0"/>
              <w:divBdr>
                <w:top w:val="none" w:sz="0" w:space="0" w:color="auto"/>
                <w:left w:val="none" w:sz="0" w:space="0" w:color="auto"/>
                <w:bottom w:val="none" w:sz="0" w:space="0" w:color="auto"/>
                <w:right w:val="none" w:sz="0" w:space="0" w:color="auto"/>
              </w:divBdr>
              <w:divsChild>
                <w:div w:id="1851216187">
                  <w:marLeft w:val="0"/>
                  <w:marRight w:val="0"/>
                  <w:marTop w:val="0"/>
                  <w:marBottom w:val="0"/>
                  <w:divBdr>
                    <w:top w:val="none" w:sz="0" w:space="0" w:color="auto"/>
                    <w:left w:val="none" w:sz="0" w:space="0" w:color="auto"/>
                    <w:bottom w:val="none" w:sz="0" w:space="0" w:color="auto"/>
                    <w:right w:val="none" w:sz="0" w:space="0" w:color="auto"/>
                  </w:divBdr>
                  <w:divsChild>
                    <w:div w:id="794249804">
                      <w:marLeft w:val="0"/>
                      <w:marRight w:val="0"/>
                      <w:marTop w:val="0"/>
                      <w:marBottom w:val="0"/>
                      <w:divBdr>
                        <w:top w:val="none" w:sz="0" w:space="0" w:color="auto"/>
                        <w:left w:val="none" w:sz="0" w:space="0" w:color="auto"/>
                        <w:bottom w:val="none" w:sz="0" w:space="0" w:color="auto"/>
                        <w:right w:val="none" w:sz="0" w:space="0" w:color="auto"/>
                      </w:divBdr>
                      <w:divsChild>
                        <w:div w:id="1143931765">
                          <w:marLeft w:val="0"/>
                          <w:marRight w:val="0"/>
                          <w:marTop w:val="0"/>
                          <w:marBottom w:val="0"/>
                          <w:divBdr>
                            <w:top w:val="none" w:sz="0" w:space="0" w:color="auto"/>
                            <w:left w:val="none" w:sz="0" w:space="0" w:color="auto"/>
                            <w:bottom w:val="none" w:sz="0" w:space="0" w:color="auto"/>
                            <w:right w:val="none" w:sz="0" w:space="0" w:color="auto"/>
                          </w:divBdr>
                          <w:divsChild>
                            <w:div w:id="1538470840">
                              <w:marLeft w:val="0"/>
                              <w:marRight w:val="0"/>
                              <w:marTop w:val="0"/>
                              <w:marBottom w:val="0"/>
                              <w:divBdr>
                                <w:top w:val="none" w:sz="0" w:space="0" w:color="auto"/>
                                <w:left w:val="none" w:sz="0" w:space="0" w:color="auto"/>
                                <w:bottom w:val="none" w:sz="0" w:space="0" w:color="auto"/>
                                <w:right w:val="none" w:sz="0" w:space="0" w:color="auto"/>
                              </w:divBdr>
                              <w:divsChild>
                                <w:div w:id="1571619802">
                                  <w:marLeft w:val="0"/>
                                  <w:marRight w:val="0"/>
                                  <w:marTop w:val="0"/>
                                  <w:marBottom w:val="0"/>
                                  <w:divBdr>
                                    <w:top w:val="none" w:sz="0" w:space="0" w:color="auto"/>
                                    <w:left w:val="none" w:sz="0" w:space="0" w:color="auto"/>
                                    <w:bottom w:val="none" w:sz="0" w:space="0" w:color="auto"/>
                                    <w:right w:val="none" w:sz="0" w:space="0" w:color="auto"/>
                                  </w:divBdr>
                                  <w:divsChild>
                                    <w:div w:id="1934047739">
                                      <w:marLeft w:val="0"/>
                                      <w:marRight w:val="0"/>
                                      <w:marTop w:val="0"/>
                                      <w:marBottom w:val="0"/>
                                      <w:divBdr>
                                        <w:top w:val="none" w:sz="0" w:space="0" w:color="auto"/>
                                        <w:left w:val="none" w:sz="0" w:space="0" w:color="auto"/>
                                        <w:bottom w:val="none" w:sz="0" w:space="0" w:color="auto"/>
                                        <w:right w:val="none" w:sz="0" w:space="0" w:color="auto"/>
                                      </w:divBdr>
                                      <w:divsChild>
                                        <w:div w:id="489638483">
                                          <w:marLeft w:val="0"/>
                                          <w:marRight w:val="0"/>
                                          <w:marTop w:val="0"/>
                                          <w:marBottom w:val="0"/>
                                          <w:divBdr>
                                            <w:top w:val="none" w:sz="0" w:space="0" w:color="auto"/>
                                            <w:left w:val="none" w:sz="0" w:space="0" w:color="auto"/>
                                            <w:bottom w:val="none" w:sz="0" w:space="0" w:color="auto"/>
                                            <w:right w:val="none" w:sz="0" w:space="0" w:color="auto"/>
                                          </w:divBdr>
                                          <w:divsChild>
                                            <w:div w:id="508758941">
                                              <w:marLeft w:val="0"/>
                                              <w:marRight w:val="0"/>
                                              <w:marTop w:val="0"/>
                                              <w:marBottom w:val="0"/>
                                              <w:divBdr>
                                                <w:top w:val="none" w:sz="0" w:space="0" w:color="auto"/>
                                                <w:left w:val="none" w:sz="0" w:space="0" w:color="auto"/>
                                                <w:bottom w:val="none" w:sz="0" w:space="0" w:color="auto"/>
                                                <w:right w:val="none" w:sz="0" w:space="0" w:color="auto"/>
                                              </w:divBdr>
                                              <w:divsChild>
                                                <w:div w:id="1115754971">
                                                  <w:marLeft w:val="0"/>
                                                  <w:marRight w:val="0"/>
                                                  <w:marTop w:val="0"/>
                                                  <w:marBottom w:val="0"/>
                                                  <w:divBdr>
                                                    <w:top w:val="none" w:sz="0" w:space="0" w:color="auto"/>
                                                    <w:left w:val="none" w:sz="0" w:space="0" w:color="auto"/>
                                                    <w:bottom w:val="none" w:sz="0" w:space="0" w:color="auto"/>
                                                    <w:right w:val="none" w:sz="0" w:space="0" w:color="auto"/>
                                                  </w:divBdr>
                                                  <w:divsChild>
                                                    <w:div w:id="619840113">
                                                      <w:marLeft w:val="0"/>
                                                      <w:marRight w:val="0"/>
                                                      <w:marTop w:val="0"/>
                                                      <w:marBottom w:val="0"/>
                                                      <w:divBdr>
                                                        <w:top w:val="none" w:sz="0" w:space="0" w:color="auto"/>
                                                        <w:left w:val="none" w:sz="0" w:space="0" w:color="auto"/>
                                                        <w:bottom w:val="none" w:sz="0" w:space="0" w:color="auto"/>
                                                        <w:right w:val="none" w:sz="0" w:space="0" w:color="auto"/>
                                                      </w:divBdr>
                                                      <w:divsChild>
                                                        <w:div w:id="5417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485632">
      <w:bodyDiv w:val="1"/>
      <w:marLeft w:val="0"/>
      <w:marRight w:val="0"/>
      <w:marTop w:val="0"/>
      <w:marBottom w:val="0"/>
      <w:divBdr>
        <w:top w:val="none" w:sz="0" w:space="0" w:color="auto"/>
        <w:left w:val="none" w:sz="0" w:space="0" w:color="auto"/>
        <w:bottom w:val="none" w:sz="0" w:space="0" w:color="auto"/>
        <w:right w:val="none" w:sz="0" w:space="0" w:color="auto"/>
      </w:divBdr>
    </w:div>
    <w:div w:id="625544362">
      <w:bodyDiv w:val="1"/>
      <w:marLeft w:val="0"/>
      <w:marRight w:val="0"/>
      <w:marTop w:val="0"/>
      <w:marBottom w:val="0"/>
      <w:divBdr>
        <w:top w:val="none" w:sz="0" w:space="0" w:color="auto"/>
        <w:left w:val="none" w:sz="0" w:space="0" w:color="auto"/>
        <w:bottom w:val="none" w:sz="0" w:space="0" w:color="auto"/>
        <w:right w:val="none" w:sz="0" w:space="0" w:color="auto"/>
      </w:divBdr>
    </w:div>
    <w:div w:id="637148946">
      <w:bodyDiv w:val="1"/>
      <w:marLeft w:val="0"/>
      <w:marRight w:val="0"/>
      <w:marTop w:val="0"/>
      <w:marBottom w:val="0"/>
      <w:divBdr>
        <w:top w:val="none" w:sz="0" w:space="0" w:color="auto"/>
        <w:left w:val="none" w:sz="0" w:space="0" w:color="auto"/>
        <w:bottom w:val="none" w:sz="0" w:space="0" w:color="auto"/>
        <w:right w:val="none" w:sz="0" w:space="0" w:color="auto"/>
      </w:divBdr>
    </w:div>
    <w:div w:id="651176351">
      <w:bodyDiv w:val="1"/>
      <w:marLeft w:val="0"/>
      <w:marRight w:val="0"/>
      <w:marTop w:val="0"/>
      <w:marBottom w:val="0"/>
      <w:divBdr>
        <w:top w:val="none" w:sz="0" w:space="0" w:color="auto"/>
        <w:left w:val="none" w:sz="0" w:space="0" w:color="auto"/>
        <w:bottom w:val="none" w:sz="0" w:space="0" w:color="auto"/>
        <w:right w:val="none" w:sz="0" w:space="0" w:color="auto"/>
      </w:divBdr>
      <w:divsChild>
        <w:div w:id="1768846889">
          <w:marLeft w:val="0"/>
          <w:marRight w:val="0"/>
          <w:marTop w:val="0"/>
          <w:marBottom w:val="0"/>
          <w:divBdr>
            <w:top w:val="none" w:sz="0" w:space="0" w:color="auto"/>
            <w:left w:val="none" w:sz="0" w:space="0" w:color="auto"/>
            <w:bottom w:val="none" w:sz="0" w:space="0" w:color="auto"/>
            <w:right w:val="none" w:sz="0" w:space="0" w:color="auto"/>
          </w:divBdr>
          <w:divsChild>
            <w:div w:id="1707099664">
              <w:marLeft w:val="0"/>
              <w:marRight w:val="0"/>
              <w:marTop w:val="0"/>
              <w:marBottom w:val="0"/>
              <w:divBdr>
                <w:top w:val="none" w:sz="0" w:space="0" w:color="auto"/>
                <w:left w:val="none" w:sz="0" w:space="0" w:color="auto"/>
                <w:bottom w:val="none" w:sz="0" w:space="0" w:color="auto"/>
                <w:right w:val="none" w:sz="0" w:space="0" w:color="auto"/>
              </w:divBdr>
              <w:divsChild>
                <w:div w:id="259802083">
                  <w:marLeft w:val="0"/>
                  <w:marRight w:val="0"/>
                  <w:marTop w:val="0"/>
                  <w:marBottom w:val="0"/>
                  <w:divBdr>
                    <w:top w:val="none" w:sz="0" w:space="0" w:color="auto"/>
                    <w:left w:val="none" w:sz="0" w:space="0" w:color="auto"/>
                    <w:bottom w:val="none" w:sz="0" w:space="0" w:color="auto"/>
                    <w:right w:val="none" w:sz="0" w:space="0" w:color="auto"/>
                  </w:divBdr>
                  <w:divsChild>
                    <w:div w:id="1789818341">
                      <w:marLeft w:val="0"/>
                      <w:marRight w:val="0"/>
                      <w:marTop w:val="0"/>
                      <w:marBottom w:val="0"/>
                      <w:divBdr>
                        <w:top w:val="none" w:sz="0" w:space="0" w:color="auto"/>
                        <w:left w:val="none" w:sz="0" w:space="0" w:color="auto"/>
                        <w:bottom w:val="none" w:sz="0" w:space="0" w:color="auto"/>
                        <w:right w:val="none" w:sz="0" w:space="0" w:color="auto"/>
                      </w:divBdr>
                      <w:divsChild>
                        <w:div w:id="1482766369">
                          <w:marLeft w:val="0"/>
                          <w:marRight w:val="0"/>
                          <w:marTop w:val="0"/>
                          <w:marBottom w:val="0"/>
                          <w:divBdr>
                            <w:top w:val="none" w:sz="0" w:space="0" w:color="auto"/>
                            <w:left w:val="none" w:sz="0" w:space="0" w:color="auto"/>
                            <w:bottom w:val="none" w:sz="0" w:space="0" w:color="auto"/>
                            <w:right w:val="none" w:sz="0" w:space="0" w:color="auto"/>
                          </w:divBdr>
                          <w:divsChild>
                            <w:div w:id="1789739328">
                              <w:marLeft w:val="0"/>
                              <w:marRight w:val="0"/>
                              <w:marTop w:val="0"/>
                              <w:marBottom w:val="0"/>
                              <w:divBdr>
                                <w:top w:val="none" w:sz="0" w:space="0" w:color="auto"/>
                                <w:left w:val="none" w:sz="0" w:space="0" w:color="auto"/>
                                <w:bottom w:val="none" w:sz="0" w:space="0" w:color="auto"/>
                                <w:right w:val="none" w:sz="0" w:space="0" w:color="auto"/>
                              </w:divBdr>
                              <w:divsChild>
                                <w:div w:id="115031824">
                                  <w:marLeft w:val="0"/>
                                  <w:marRight w:val="0"/>
                                  <w:marTop w:val="0"/>
                                  <w:marBottom w:val="0"/>
                                  <w:divBdr>
                                    <w:top w:val="none" w:sz="0" w:space="0" w:color="auto"/>
                                    <w:left w:val="none" w:sz="0" w:space="0" w:color="auto"/>
                                    <w:bottom w:val="none" w:sz="0" w:space="0" w:color="auto"/>
                                    <w:right w:val="none" w:sz="0" w:space="0" w:color="auto"/>
                                  </w:divBdr>
                                  <w:divsChild>
                                    <w:div w:id="1863978242">
                                      <w:marLeft w:val="0"/>
                                      <w:marRight w:val="0"/>
                                      <w:marTop w:val="0"/>
                                      <w:marBottom w:val="0"/>
                                      <w:divBdr>
                                        <w:top w:val="none" w:sz="0" w:space="0" w:color="auto"/>
                                        <w:left w:val="none" w:sz="0" w:space="0" w:color="auto"/>
                                        <w:bottom w:val="none" w:sz="0" w:space="0" w:color="auto"/>
                                        <w:right w:val="none" w:sz="0" w:space="0" w:color="auto"/>
                                      </w:divBdr>
                                      <w:divsChild>
                                        <w:div w:id="1718581870">
                                          <w:marLeft w:val="0"/>
                                          <w:marRight w:val="0"/>
                                          <w:marTop w:val="0"/>
                                          <w:marBottom w:val="0"/>
                                          <w:divBdr>
                                            <w:top w:val="none" w:sz="0" w:space="0" w:color="auto"/>
                                            <w:left w:val="none" w:sz="0" w:space="0" w:color="auto"/>
                                            <w:bottom w:val="none" w:sz="0" w:space="0" w:color="auto"/>
                                            <w:right w:val="none" w:sz="0" w:space="0" w:color="auto"/>
                                          </w:divBdr>
                                          <w:divsChild>
                                            <w:div w:id="1625506059">
                                              <w:marLeft w:val="0"/>
                                              <w:marRight w:val="0"/>
                                              <w:marTop w:val="0"/>
                                              <w:marBottom w:val="0"/>
                                              <w:divBdr>
                                                <w:top w:val="none" w:sz="0" w:space="0" w:color="auto"/>
                                                <w:left w:val="none" w:sz="0" w:space="0" w:color="auto"/>
                                                <w:bottom w:val="none" w:sz="0" w:space="0" w:color="auto"/>
                                                <w:right w:val="none" w:sz="0" w:space="0" w:color="auto"/>
                                              </w:divBdr>
                                              <w:divsChild>
                                                <w:div w:id="25303211">
                                                  <w:marLeft w:val="0"/>
                                                  <w:marRight w:val="0"/>
                                                  <w:marTop w:val="0"/>
                                                  <w:marBottom w:val="0"/>
                                                  <w:divBdr>
                                                    <w:top w:val="none" w:sz="0" w:space="0" w:color="auto"/>
                                                    <w:left w:val="none" w:sz="0" w:space="0" w:color="auto"/>
                                                    <w:bottom w:val="none" w:sz="0" w:space="0" w:color="auto"/>
                                                    <w:right w:val="none" w:sz="0" w:space="0" w:color="auto"/>
                                                  </w:divBdr>
                                                  <w:divsChild>
                                                    <w:div w:id="1873374109">
                                                      <w:marLeft w:val="0"/>
                                                      <w:marRight w:val="0"/>
                                                      <w:marTop w:val="0"/>
                                                      <w:marBottom w:val="0"/>
                                                      <w:divBdr>
                                                        <w:top w:val="none" w:sz="0" w:space="0" w:color="auto"/>
                                                        <w:left w:val="none" w:sz="0" w:space="0" w:color="auto"/>
                                                        <w:bottom w:val="none" w:sz="0" w:space="0" w:color="auto"/>
                                                        <w:right w:val="none" w:sz="0" w:space="0" w:color="auto"/>
                                                      </w:divBdr>
                                                      <w:divsChild>
                                                        <w:div w:id="1409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015716">
      <w:bodyDiv w:val="1"/>
      <w:marLeft w:val="0"/>
      <w:marRight w:val="0"/>
      <w:marTop w:val="0"/>
      <w:marBottom w:val="0"/>
      <w:divBdr>
        <w:top w:val="none" w:sz="0" w:space="0" w:color="auto"/>
        <w:left w:val="none" w:sz="0" w:space="0" w:color="auto"/>
        <w:bottom w:val="none" w:sz="0" w:space="0" w:color="auto"/>
        <w:right w:val="none" w:sz="0" w:space="0" w:color="auto"/>
      </w:divBdr>
    </w:div>
    <w:div w:id="1147938778">
      <w:bodyDiv w:val="1"/>
      <w:marLeft w:val="0"/>
      <w:marRight w:val="0"/>
      <w:marTop w:val="0"/>
      <w:marBottom w:val="0"/>
      <w:divBdr>
        <w:top w:val="none" w:sz="0" w:space="0" w:color="auto"/>
        <w:left w:val="none" w:sz="0" w:space="0" w:color="auto"/>
        <w:bottom w:val="none" w:sz="0" w:space="0" w:color="auto"/>
        <w:right w:val="none" w:sz="0" w:space="0" w:color="auto"/>
      </w:divBdr>
    </w:div>
    <w:div w:id="1334650421">
      <w:bodyDiv w:val="1"/>
      <w:marLeft w:val="0"/>
      <w:marRight w:val="0"/>
      <w:marTop w:val="0"/>
      <w:marBottom w:val="0"/>
      <w:divBdr>
        <w:top w:val="none" w:sz="0" w:space="0" w:color="auto"/>
        <w:left w:val="none" w:sz="0" w:space="0" w:color="auto"/>
        <w:bottom w:val="none" w:sz="0" w:space="0" w:color="auto"/>
        <w:right w:val="none" w:sz="0" w:space="0" w:color="auto"/>
      </w:divBdr>
      <w:divsChild>
        <w:div w:id="38863767">
          <w:marLeft w:val="0"/>
          <w:marRight w:val="0"/>
          <w:marTop w:val="0"/>
          <w:marBottom w:val="0"/>
          <w:divBdr>
            <w:top w:val="none" w:sz="0" w:space="0" w:color="auto"/>
            <w:left w:val="none" w:sz="0" w:space="0" w:color="auto"/>
            <w:bottom w:val="none" w:sz="0" w:space="0" w:color="auto"/>
            <w:right w:val="none" w:sz="0" w:space="0" w:color="auto"/>
          </w:divBdr>
          <w:divsChild>
            <w:div w:id="409667811">
              <w:marLeft w:val="0"/>
              <w:marRight w:val="0"/>
              <w:marTop w:val="0"/>
              <w:marBottom w:val="0"/>
              <w:divBdr>
                <w:top w:val="none" w:sz="0" w:space="0" w:color="auto"/>
                <w:left w:val="none" w:sz="0" w:space="0" w:color="auto"/>
                <w:bottom w:val="none" w:sz="0" w:space="0" w:color="auto"/>
                <w:right w:val="none" w:sz="0" w:space="0" w:color="auto"/>
              </w:divBdr>
              <w:divsChild>
                <w:div w:id="1791823590">
                  <w:marLeft w:val="0"/>
                  <w:marRight w:val="0"/>
                  <w:marTop w:val="0"/>
                  <w:marBottom w:val="0"/>
                  <w:divBdr>
                    <w:top w:val="none" w:sz="0" w:space="0" w:color="auto"/>
                    <w:left w:val="none" w:sz="0" w:space="0" w:color="auto"/>
                    <w:bottom w:val="none" w:sz="0" w:space="0" w:color="auto"/>
                    <w:right w:val="none" w:sz="0" w:space="0" w:color="auto"/>
                  </w:divBdr>
                  <w:divsChild>
                    <w:div w:id="1302610648">
                      <w:marLeft w:val="0"/>
                      <w:marRight w:val="0"/>
                      <w:marTop w:val="0"/>
                      <w:marBottom w:val="0"/>
                      <w:divBdr>
                        <w:top w:val="none" w:sz="0" w:space="0" w:color="auto"/>
                        <w:left w:val="none" w:sz="0" w:space="0" w:color="auto"/>
                        <w:bottom w:val="none" w:sz="0" w:space="0" w:color="auto"/>
                        <w:right w:val="none" w:sz="0" w:space="0" w:color="auto"/>
                      </w:divBdr>
                      <w:divsChild>
                        <w:div w:id="1541286593">
                          <w:marLeft w:val="0"/>
                          <w:marRight w:val="0"/>
                          <w:marTop w:val="0"/>
                          <w:marBottom w:val="0"/>
                          <w:divBdr>
                            <w:top w:val="none" w:sz="0" w:space="0" w:color="auto"/>
                            <w:left w:val="none" w:sz="0" w:space="0" w:color="auto"/>
                            <w:bottom w:val="none" w:sz="0" w:space="0" w:color="auto"/>
                            <w:right w:val="none" w:sz="0" w:space="0" w:color="auto"/>
                          </w:divBdr>
                          <w:divsChild>
                            <w:div w:id="331184202">
                              <w:marLeft w:val="0"/>
                              <w:marRight w:val="0"/>
                              <w:marTop w:val="0"/>
                              <w:marBottom w:val="0"/>
                              <w:divBdr>
                                <w:top w:val="none" w:sz="0" w:space="0" w:color="auto"/>
                                <w:left w:val="none" w:sz="0" w:space="0" w:color="auto"/>
                                <w:bottom w:val="none" w:sz="0" w:space="0" w:color="auto"/>
                                <w:right w:val="none" w:sz="0" w:space="0" w:color="auto"/>
                              </w:divBdr>
                              <w:divsChild>
                                <w:div w:id="1828085106">
                                  <w:marLeft w:val="0"/>
                                  <w:marRight w:val="0"/>
                                  <w:marTop w:val="0"/>
                                  <w:marBottom w:val="0"/>
                                  <w:divBdr>
                                    <w:top w:val="none" w:sz="0" w:space="0" w:color="auto"/>
                                    <w:left w:val="none" w:sz="0" w:space="0" w:color="auto"/>
                                    <w:bottom w:val="none" w:sz="0" w:space="0" w:color="auto"/>
                                    <w:right w:val="none" w:sz="0" w:space="0" w:color="auto"/>
                                  </w:divBdr>
                                  <w:divsChild>
                                    <w:div w:id="1985888163">
                                      <w:marLeft w:val="0"/>
                                      <w:marRight w:val="0"/>
                                      <w:marTop w:val="0"/>
                                      <w:marBottom w:val="0"/>
                                      <w:divBdr>
                                        <w:top w:val="none" w:sz="0" w:space="0" w:color="auto"/>
                                        <w:left w:val="none" w:sz="0" w:space="0" w:color="auto"/>
                                        <w:bottom w:val="none" w:sz="0" w:space="0" w:color="auto"/>
                                        <w:right w:val="none" w:sz="0" w:space="0" w:color="auto"/>
                                      </w:divBdr>
                                      <w:divsChild>
                                        <w:div w:id="807547473">
                                          <w:marLeft w:val="0"/>
                                          <w:marRight w:val="0"/>
                                          <w:marTop w:val="0"/>
                                          <w:marBottom w:val="0"/>
                                          <w:divBdr>
                                            <w:top w:val="none" w:sz="0" w:space="0" w:color="auto"/>
                                            <w:left w:val="none" w:sz="0" w:space="0" w:color="auto"/>
                                            <w:bottom w:val="none" w:sz="0" w:space="0" w:color="auto"/>
                                            <w:right w:val="none" w:sz="0" w:space="0" w:color="auto"/>
                                          </w:divBdr>
                                          <w:divsChild>
                                            <w:div w:id="511838156">
                                              <w:marLeft w:val="0"/>
                                              <w:marRight w:val="0"/>
                                              <w:marTop w:val="0"/>
                                              <w:marBottom w:val="0"/>
                                              <w:divBdr>
                                                <w:top w:val="none" w:sz="0" w:space="0" w:color="auto"/>
                                                <w:left w:val="none" w:sz="0" w:space="0" w:color="auto"/>
                                                <w:bottom w:val="none" w:sz="0" w:space="0" w:color="auto"/>
                                                <w:right w:val="none" w:sz="0" w:space="0" w:color="auto"/>
                                              </w:divBdr>
                                              <w:divsChild>
                                                <w:div w:id="134565020">
                                                  <w:marLeft w:val="0"/>
                                                  <w:marRight w:val="0"/>
                                                  <w:marTop w:val="0"/>
                                                  <w:marBottom w:val="0"/>
                                                  <w:divBdr>
                                                    <w:top w:val="none" w:sz="0" w:space="0" w:color="auto"/>
                                                    <w:left w:val="none" w:sz="0" w:space="0" w:color="auto"/>
                                                    <w:bottom w:val="none" w:sz="0" w:space="0" w:color="auto"/>
                                                    <w:right w:val="none" w:sz="0" w:space="0" w:color="auto"/>
                                                  </w:divBdr>
                                                  <w:divsChild>
                                                    <w:div w:id="159588765">
                                                      <w:marLeft w:val="0"/>
                                                      <w:marRight w:val="0"/>
                                                      <w:marTop w:val="0"/>
                                                      <w:marBottom w:val="0"/>
                                                      <w:divBdr>
                                                        <w:top w:val="none" w:sz="0" w:space="0" w:color="auto"/>
                                                        <w:left w:val="none" w:sz="0" w:space="0" w:color="auto"/>
                                                        <w:bottom w:val="none" w:sz="0" w:space="0" w:color="auto"/>
                                                        <w:right w:val="none" w:sz="0" w:space="0" w:color="auto"/>
                                                      </w:divBdr>
                                                      <w:divsChild>
                                                        <w:div w:id="1795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770071">
      <w:bodyDiv w:val="1"/>
      <w:marLeft w:val="0"/>
      <w:marRight w:val="0"/>
      <w:marTop w:val="0"/>
      <w:marBottom w:val="0"/>
      <w:divBdr>
        <w:top w:val="none" w:sz="0" w:space="0" w:color="auto"/>
        <w:left w:val="none" w:sz="0" w:space="0" w:color="auto"/>
        <w:bottom w:val="none" w:sz="0" w:space="0" w:color="auto"/>
        <w:right w:val="none" w:sz="0" w:space="0" w:color="auto"/>
      </w:divBdr>
    </w:div>
    <w:div w:id="1601989878">
      <w:bodyDiv w:val="1"/>
      <w:marLeft w:val="0"/>
      <w:marRight w:val="0"/>
      <w:marTop w:val="0"/>
      <w:marBottom w:val="0"/>
      <w:divBdr>
        <w:top w:val="none" w:sz="0" w:space="0" w:color="auto"/>
        <w:left w:val="none" w:sz="0" w:space="0" w:color="auto"/>
        <w:bottom w:val="none" w:sz="0" w:space="0" w:color="auto"/>
        <w:right w:val="none" w:sz="0" w:space="0" w:color="auto"/>
      </w:divBdr>
    </w:div>
    <w:div w:id="1620912716">
      <w:bodyDiv w:val="1"/>
      <w:marLeft w:val="0"/>
      <w:marRight w:val="0"/>
      <w:marTop w:val="0"/>
      <w:marBottom w:val="0"/>
      <w:divBdr>
        <w:top w:val="none" w:sz="0" w:space="0" w:color="auto"/>
        <w:left w:val="none" w:sz="0" w:space="0" w:color="auto"/>
        <w:bottom w:val="none" w:sz="0" w:space="0" w:color="auto"/>
        <w:right w:val="none" w:sz="0" w:space="0" w:color="auto"/>
      </w:divBdr>
    </w:div>
    <w:div w:id="1671758108">
      <w:bodyDiv w:val="1"/>
      <w:marLeft w:val="0"/>
      <w:marRight w:val="0"/>
      <w:marTop w:val="0"/>
      <w:marBottom w:val="0"/>
      <w:divBdr>
        <w:top w:val="none" w:sz="0" w:space="0" w:color="auto"/>
        <w:left w:val="none" w:sz="0" w:space="0" w:color="auto"/>
        <w:bottom w:val="none" w:sz="0" w:space="0" w:color="auto"/>
        <w:right w:val="none" w:sz="0" w:space="0" w:color="auto"/>
      </w:divBdr>
      <w:divsChild>
        <w:div w:id="408504901">
          <w:marLeft w:val="0"/>
          <w:marRight w:val="0"/>
          <w:marTop w:val="0"/>
          <w:marBottom w:val="0"/>
          <w:divBdr>
            <w:top w:val="none" w:sz="0" w:space="0" w:color="auto"/>
            <w:left w:val="none" w:sz="0" w:space="0" w:color="auto"/>
            <w:bottom w:val="none" w:sz="0" w:space="0" w:color="auto"/>
            <w:right w:val="none" w:sz="0" w:space="0" w:color="auto"/>
          </w:divBdr>
          <w:divsChild>
            <w:div w:id="1441097602">
              <w:marLeft w:val="0"/>
              <w:marRight w:val="0"/>
              <w:marTop w:val="0"/>
              <w:marBottom w:val="0"/>
              <w:divBdr>
                <w:top w:val="none" w:sz="0" w:space="0" w:color="auto"/>
                <w:left w:val="none" w:sz="0" w:space="0" w:color="auto"/>
                <w:bottom w:val="none" w:sz="0" w:space="0" w:color="auto"/>
                <w:right w:val="none" w:sz="0" w:space="0" w:color="auto"/>
              </w:divBdr>
              <w:divsChild>
                <w:div w:id="1213999456">
                  <w:marLeft w:val="0"/>
                  <w:marRight w:val="0"/>
                  <w:marTop w:val="0"/>
                  <w:marBottom w:val="0"/>
                  <w:divBdr>
                    <w:top w:val="none" w:sz="0" w:space="0" w:color="auto"/>
                    <w:left w:val="none" w:sz="0" w:space="0" w:color="auto"/>
                    <w:bottom w:val="none" w:sz="0" w:space="0" w:color="auto"/>
                    <w:right w:val="none" w:sz="0" w:space="0" w:color="auto"/>
                  </w:divBdr>
                  <w:divsChild>
                    <w:div w:id="1125856028">
                      <w:marLeft w:val="0"/>
                      <w:marRight w:val="0"/>
                      <w:marTop w:val="0"/>
                      <w:marBottom w:val="0"/>
                      <w:divBdr>
                        <w:top w:val="none" w:sz="0" w:space="0" w:color="auto"/>
                        <w:left w:val="none" w:sz="0" w:space="0" w:color="auto"/>
                        <w:bottom w:val="none" w:sz="0" w:space="0" w:color="auto"/>
                        <w:right w:val="none" w:sz="0" w:space="0" w:color="auto"/>
                      </w:divBdr>
                      <w:divsChild>
                        <w:div w:id="1795708672">
                          <w:marLeft w:val="0"/>
                          <w:marRight w:val="0"/>
                          <w:marTop w:val="0"/>
                          <w:marBottom w:val="0"/>
                          <w:divBdr>
                            <w:top w:val="none" w:sz="0" w:space="0" w:color="auto"/>
                            <w:left w:val="none" w:sz="0" w:space="0" w:color="auto"/>
                            <w:bottom w:val="none" w:sz="0" w:space="0" w:color="auto"/>
                            <w:right w:val="none" w:sz="0" w:space="0" w:color="auto"/>
                          </w:divBdr>
                          <w:divsChild>
                            <w:div w:id="152451112">
                              <w:marLeft w:val="0"/>
                              <w:marRight w:val="0"/>
                              <w:marTop w:val="0"/>
                              <w:marBottom w:val="0"/>
                              <w:divBdr>
                                <w:top w:val="none" w:sz="0" w:space="0" w:color="auto"/>
                                <w:left w:val="none" w:sz="0" w:space="0" w:color="auto"/>
                                <w:bottom w:val="none" w:sz="0" w:space="0" w:color="auto"/>
                                <w:right w:val="none" w:sz="0" w:space="0" w:color="auto"/>
                              </w:divBdr>
                              <w:divsChild>
                                <w:div w:id="594704022">
                                  <w:marLeft w:val="0"/>
                                  <w:marRight w:val="0"/>
                                  <w:marTop w:val="0"/>
                                  <w:marBottom w:val="0"/>
                                  <w:divBdr>
                                    <w:top w:val="none" w:sz="0" w:space="0" w:color="auto"/>
                                    <w:left w:val="none" w:sz="0" w:space="0" w:color="auto"/>
                                    <w:bottom w:val="none" w:sz="0" w:space="0" w:color="auto"/>
                                    <w:right w:val="none" w:sz="0" w:space="0" w:color="auto"/>
                                  </w:divBdr>
                                  <w:divsChild>
                                    <w:div w:id="302737596">
                                      <w:marLeft w:val="0"/>
                                      <w:marRight w:val="0"/>
                                      <w:marTop w:val="0"/>
                                      <w:marBottom w:val="0"/>
                                      <w:divBdr>
                                        <w:top w:val="none" w:sz="0" w:space="0" w:color="auto"/>
                                        <w:left w:val="none" w:sz="0" w:space="0" w:color="auto"/>
                                        <w:bottom w:val="none" w:sz="0" w:space="0" w:color="auto"/>
                                        <w:right w:val="none" w:sz="0" w:space="0" w:color="auto"/>
                                      </w:divBdr>
                                      <w:divsChild>
                                        <w:div w:id="1047417038">
                                          <w:marLeft w:val="0"/>
                                          <w:marRight w:val="0"/>
                                          <w:marTop w:val="0"/>
                                          <w:marBottom w:val="0"/>
                                          <w:divBdr>
                                            <w:top w:val="none" w:sz="0" w:space="0" w:color="auto"/>
                                            <w:left w:val="none" w:sz="0" w:space="0" w:color="auto"/>
                                            <w:bottom w:val="none" w:sz="0" w:space="0" w:color="auto"/>
                                            <w:right w:val="none" w:sz="0" w:space="0" w:color="auto"/>
                                          </w:divBdr>
                                          <w:divsChild>
                                            <w:div w:id="464589463">
                                              <w:marLeft w:val="0"/>
                                              <w:marRight w:val="0"/>
                                              <w:marTop w:val="0"/>
                                              <w:marBottom w:val="0"/>
                                              <w:divBdr>
                                                <w:top w:val="none" w:sz="0" w:space="0" w:color="auto"/>
                                                <w:left w:val="none" w:sz="0" w:space="0" w:color="auto"/>
                                                <w:bottom w:val="none" w:sz="0" w:space="0" w:color="auto"/>
                                                <w:right w:val="none" w:sz="0" w:space="0" w:color="auto"/>
                                              </w:divBdr>
                                              <w:divsChild>
                                                <w:div w:id="312568260">
                                                  <w:marLeft w:val="0"/>
                                                  <w:marRight w:val="0"/>
                                                  <w:marTop w:val="0"/>
                                                  <w:marBottom w:val="0"/>
                                                  <w:divBdr>
                                                    <w:top w:val="none" w:sz="0" w:space="0" w:color="auto"/>
                                                    <w:left w:val="none" w:sz="0" w:space="0" w:color="auto"/>
                                                    <w:bottom w:val="none" w:sz="0" w:space="0" w:color="auto"/>
                                                    <w:right w:val="none" w:sz="0" w:space="0" w:color="auto"/>
                                                  </w:divBdr>
                                                  <w:divsChild>
                                                    <w:div w:id="1450273166">
                                                      <w:marLeft w:val="0"/>
                                                      <w:marRight w:val="0"/>
                                                      <w:marTop w:val="0"/>
                                                      <w:marBottom w:val="0"/>
                                                      <w:divBdr>
                                                        <w:top w:val="none" w:sz="0" w:space="0" w:color="auto"/>
                                                        <w:left w:val="none" w:sz="0" w:space="0" w:color="auto"/>
                                                        <w:bottom w:val="none" w:sz="0" w:space="0" w:color="auto"/>
                                                        <w:right w:val="none" w:sz="0" w:space="0" w:color="auto"/>
                                                      </w:divBdr>
                                                      <w:divsChild>
                                                        <w:div w:id="11854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749693">
      <w:bodyDiv w:val="1"/>
      <w:marLeft w:val="0"/>
      <w:marRight w:val="0"/>
      <w:marTop w:val="0"/>
      <w:marBottom w:val="0"/>
      <w:divBdr>
        <w:top w:val="none" w:sz="0" w:space="0" w:color="auto"/>
        <w:left w:val="none" w:sz="0" w:space="0" w:color="auto"/>
        <w:bottom w:val="none" w:sz="0" w:space="0" w:color="auto"/>
        <w:right w:val="none" w:sz="0" w:space="0" w:color="auto"/>
      </w:divBdr>
    </w:div>
    <w:div w:id="1710492016">
      <w:bodyDiv w:val="1"/>
      <w:marLeft w:val="0"/>
      <w:marRight w:val="0"/>
      <w:marTop w:val="0"/>
      <w:marBottom w:val="0"/>
      <w:divBdr>
        <w:top w:val="none" w:sz="0" w:space="0" w:color="auto"/>
        <w:left w:val="none" w:sz="0" w:space="0" w:color="auto"/>
        <w:bottom w:val="none" w:sz="0" w:space="0" w:color="auto"/>
        <w:right w:val="none" w:sz="0" w:space="0" w:color="auto"/>
      </w:divBdr>
    </w:div>
    <w:div w:id="1715621352">
      <w:bodyDiv w:val="1"/>
      <w:marLeft w:val="0"/>
      <w:marRight w:val="0"/>
      <w:marTop w:val="0"/>
      <w:marBottom w:val="0"/>
      <w:divBdr>
        <w:top w:val="none" w:sz="0" w:space="0" w:color="auto"/>
        <w:left w:val="none" w:sz="0" w:space="0" w:color="auto"/>
        <w:bottom w:val="none" w:sz="0" w:space="0" w:color="auto"/>
        <w:right w:val="none" w:sz="0" w:space="0" w:color="auto"/>
      </w:divBdr>
    </w:div>
    <w:div w:id="1732460697">
      <w:bodyDiv w:val="1"/>
      <w:marLeft w:val="0"/>
      <w:marRight w:val="0"/>
      <w:marTop w:val="0"/>
      <w:marBottom w:val="0"/>
      <w:divBdr>
        <w:top w:val="none" w:sz="0" w:space="0" w:color="auto"/>
        <w:left w:val="none" w:sz="0" w:space="0" w:color="auto"/>
        <w:bottom w:val="none" w:sz="0" w:space="0" w:color="auto"/>
        <w:right w:val="none" w:sz="0" w:space="0" w:color="auto"/>
      </w:divBdr>
      <w:divsChild>
        <w:div w:id="514227845">
          <w:marLeft w:val="0"/>
          <w:marRight w:val="0"/>
          <w:marTop w:val="0"/>
          <w:marBottom w:val="0"/>
          <w:divBdr>
            <w:top w:val="none" w:sz="0" w:space="0" w:color="auto"/>
            <w:left w:val="none" w:sz="0" w:space="0" w:color="auto"/>
            <w:bottom w:val="none" w:sz="0" w:space="0" w:color="auto"/>
            <w:right w:val="none" w:sz="0" w:space="0" w:color="auto"/>
          </w:divBdr>
          <w:divsChild>
            <w:div w:id="1439137541">
              <w:marLeft w:val="0"/>
              <w:marRight w:val="0"/>
              <w:marTop w:val="0"/>
              <w:marBottom w:val="0"/>
              <w:divBdr>
                <w:top w:val="none" w:sz="0" w:space="0" w:color="auto"/>
                <w:left w:val="none" w:sz="0" w:space="0" w:color="auto"/>
                <w:bottom w:val="none" w:sz="0" w:space="0" w:color="auto"/>
                <w:right w:val="none" w:sz="0" w:space="0" w:color="auto"/>
              </w:divBdr>
              <w:divsChild>
                <w:div w:id="406926372">
                  <w:marLeft w:val="0"/>
                  <w:marRight w:val="0"/>
                  <w:marTop w:val="0"/>
                  <w:marBottom w:val="0"/>
                  <w:divBdr>
                    <w:top w:val="none" w:sz="0" w:space="0" w:color="auto"/>
                    <w:left w:val="none" w:sz="0" w:space="0" w:color="auto"/>
                    <w:bottom w:val="none" w:sz="0" w:space="0" w:color="auto"/>
                    <w:right w:val="none" w:sz="0" w:space="0" w:color="auto"/>
                  </w:divBdr>
                  <w:divsChild>
                    <w:div w:id="787046958">
                      <w:marLeft w:val="0"/>
                      <w:marRight w:val="0"/>
                      <w:marTop w:val="0"/>
                      <w:marBottom w:val="0"/>
                      <w:divBdr>
                        <w:top w:val="none" w:sz="0" w:space="0" w:color="auto"/>
                        <w:left w:val="none" w:sz="0" w:space="0" w:color="auto"/>
                        <w:bottom w:val="none" w:sz="0" w:space="0" w:color="auto"/>
                        <w:right w:val="none" w:sz="0" w:space="0" w:color="auto"/>
                      </w:divBdr>
                      <w:divsChild>
                        <w:div w:id="1552881216">
                          <w:marLeft w:val="0"/>
                          <w:marRight w:val="0"/>
                          <w:marTop w:val="0"/>
                          <w:marBottom w:val="0"/>
                          <w:divBdr>
                            <w:top w:val="none" w:sz="0" w:space="0" w:color="auto"/>
                            <w:left w:val="none" w:sz="0" w:space="0" w:color="auto"/>
                            <w:bottom w:val="none" w:sz="0" w:space="0" w:color="auto"/>
                            <w:right w:val="none" w:sz="0" w:space="0" w:color="auto"/>
                          </w:divBdr>
                          <w:divsChild>
                            <w:div w:id="1664628255">
                              <w:marLeft w:val="0"/>
                              <w:marRight w:val="0"/>
                              <w:marTop w:val="0"/>
                              <w:marBottom w:val="0"/>
                              <w:divBdr>
                                <w:top w:val="none" w:sz="0" w:space="0" w:color="auto"/>
                                <w:left w:val="none" w:sz="0" w:space="0" w:color="auto"/>
                                <w:bottom w:val="none" w:sz="0" w:space="0" w:color="auto"/>
                                <w:right w:val="none" w:sz="0" w:space="0" w:color="auto"/>
                              </w:divBdr>
                              <w:divsChild>
                                <w:div w:id="133110091">
                                  <w:marLeft w:val="0"/>
                                  <w:marRight w:val="0"/>
                                  <w:marTop w:val="0"/>
                                  <w:marBottom w:val="0"/>
                                  <w:divBdr>
                                    <w:top w:val="none" w:sz="0" w:space="0" w:color="auto"/>
                                    <w:left w:val="none" w:sz="0" w:space="0" w:color="auto"/>
                                    <w:bottom w:val="none" w:sz="0" w:space="0" w:color="auto"/>
                                    <w:right w:val="none" w:sz="0" w:space="0" w:color="auto"/>
                                  </w:divBdr>
                                  <w:divsChild>
                                    <w:div w:id="658047406">
                                      <w:marLeft w:val="0"/>
                                      <w:marRight w:val="0"/>
                                      <w:marTop w:val="0"/>
                                      <w:marBottom w:val="0"/>
                                      <w:divBdr>
                                        <w:top w:val="none" w:sz="0" w:space="0" w:color="auto"/>
                                        <w:left w:val="none" w:sz="0" w:space="0" w:color="auto"/>
                                        <w:bottom w:val="none" w:sz="0" w:space="0" w:color="auto"/>
                                        <w:right w:val="none" w:sz="0" w:space="0" w:color="auto"/>
                                      </w:divBdr>
                                      <w:divsChild>
                                        <w:div w:id="1677882711">
                                          <w:marLeft w:val="0"/>
                                          <w:marRight w:val="0"/>
                                          <w:marTop w:val="0"/>
                                          <w:marBottom w:val="0"/>
                                          <w:divBdr>
                                            <w:top w:val="none" w:sz="0" w:space="0" w:color="auto"/>
                                            <w:left w:val="none" w:sz="0" w:space="0" w:color="auto"/>
                                            <w:bottom w:val="none" w:sz="0" w:space="0" w:color="auto"/>
                                            <w:right w:val="none" w:sz="0" w:space="0" w:color="auto"/>
                                          </w:divBdr>
                                          <w:divsChild>
                                            <w:div w:id="1765152932">
                                              <w:marLeft w:val="0"/>
                                              <w:marRight w:val="0"/>
                                              <w:marTop w:val="0"/>
                                              <w:marBottom w:val="0"/>
                                              <w:divBdr>
                                                <w:top w:val="none" w:sz="0" w:space="0" w:color="auto"/>
                                                <w:left w:val="none" w:sz="0" w:space="0" w:color="auto"/>
                                                <w:bottom w:val="none" w:sz="0" w:space="0" w:color="auto"/>
                                                <w:right w:val="none" w:sz="0" w:space="0" w:color="auto"/>
                                              </w:divBdr>
                                              <w:divsChild>
                                                <w:div w:id="949555988">
                                                  <w:marLeft w:val="0"/>
                                                  <w:marRight w:val="0"/>
                                                  <w:marTop w:val="0"/>
                                                  <w:marBottom w:val="0"/>
                                                  <w:divBdr>
                                                    <w:top w:val="none" w:sz="0" w:space="0" w:color="auto"/>
                                                    <w:left w:val="none" w:sz="0" w:space="0" w:color="auto"/>
                                                    <w:bottom w:val="none" w:sz="0" w:space="0" w:color="auto"/>
                                                    <w:right w:val="none" w:sz="0" w:space="0" w:color="auto"/>
                                                  </w:divBdr>
                                                  <w:divsChild>
                                                    <w:div w:id="345836579">
                                                      <w:marLeft w:val="0"/>
                                                      <w:marRight w:val="0"/>
                                                      <w:marTop w:val="0"/>
                                                      <w:marBottom w:val="0"/>
                                                      <w:divBdr>
                                                        <w:top w:val="none" w:sz="0" w:space="0" w:color="auto"/>
                                                        <w:left w:val="none" w:sz="0" w:space="0" w:color="auto"/>
                                                        <w:bottom w:val="none" w:sz="0" w:space="0" w:color="auto"/>
                                                        <w:right w:val="none" w:sz="0" w:space="0" w:color="auto"/>
                                                      </w:divBdr>
                                                      <w:divsChild>
                                                        <w:div w:id="965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224807">
      <w:bodyDiv w:val="1"/>
      <w:marLeft w:val="0"/>
      <w:marRight w:val="0"/>
      <w:marTop w:val="0"/>
      <w:marBottom w:val="0"/>
      <w:divBdr>
        <w:top w:val="none" w:sz="0" w:space="0" w:color="auto"/>
        <w:left w:val="none" w:sz="0" w:space="0" w:color="auto"/>
        <w:bottom w:val="none" w:sz="0" w:space="0" w:color="auto"/>
        <w:right w:val="none" w:sz="0" w:space="0" w:color="auto"/>
      </w:divBdr>
      <w:divsChild>
        <w:div w:id="15621903">
          <w:marLeft w:val="0"/>
          <w:marRight w:val="0"/>
          <w:marTop w:val="0"/>
          <w:marBottom w:val="0"/>
          <w:divBdr>
            <w:top w:val="none" w:sz="0" w:space="0" w:color="auto"/>
            <w:left w:val="none" w:sz="0" w:space="0" w:color="auto"/>
            <w:bottom w:val="none" w:sz="0" w:space="0" w:color="auto"/>
            <w:right w:val="none" w:sz="0" w:space="0" w:color="auto"/>
          </w:divBdr>
          <w:divsChild>
            <w:div w:id="470948979">
              <w:marLeft w:val="0"/>
              <w:marRight w:val="0"/>
              <w:marTop w:val="0"/>
              <w:marBottom w:val="0"/>
              <w:divBdr>
                <w:top w:val="none" w:sz="0" w:space="0" w:color="auto"/>
                <w:left w:val="none" w:sz="0" w:space="0" w:color="auto"/>
                <w:bottom w:val="none" w:sz="0" w:space="0" w:color="auto"/>
                <w:right w:val="none" w:sz="0" w:space="0" w:color="auto"/>
              </w:divBdr>
              <w:divsChild>
                <w:div w:id="1661887816">
                  <w:marLeft w:val="0"/>
                  <w:marRight w:val="0"/>
                  <w:marTop w:val="0"/>
                  <w:marBottom w:val="0"/>
                  <w:divBdr>
                    <w:top w:val="none" w:sz="0" w:space="0" w:color="auto"/>
                    <w:left w:val="none" w:sz="0" w:space="0" w:color="auto"/>
                    <w:bottom w:val="none" w:sz="0" w:space="0" w:color="auto"/>
                    <w:right w:val="none" w:sz="0" w:space="0" w:color="auto"/>
                  </w:divBdr>
                  <w:divsChild>
                    <w:div w:id="955940428">
                      <w:marLeft w:val="0"/>
                      <w:marRight w:val="0"/>
                      <w:marTop w:val="0"/>
                      <w:marBottom w:val="0"/>
                      <w:divBdr>
                        <w:top w:val="none" w:sz="0" w:space="0" w:color="auto"/>
                        <w:left w:val="none" w:sz="0" w:space="0" w:color="auto"/>
                        <w:bottom w:val="none" w:sz="0" w:space="0" w:color="auto"/>
                        <w:right w:val="none" w:sz="0" w:space="0" w:color="auto"/>
                      </w:divBdr>
                      <w:divsChild>
                        <w:div w:id="886142549">
                          <w:marLeft w:val="0"/>
                          <w:marRight w:val="0"/>
                          <w:marTop w:val="0"/>
                          <w:marBottom w:val="0"/>
                          <w:divBdr>
                            <w:top w:val="none" w:sz="0" w:space="0" w:color="auto"/>
                            <w:left w:val="none" w:sz="0" w:space="0" w:color="auto"/>
                            <w:bottom w:val="none" w:sz="0" w:space="0" w:color="auto"/>
                            <w:right w:val="none" w:sz="0" w:space="0" w:color="auto"/>
                          </w:divBdr>
                          <w:divsChild>
                            <w:div w:id="1014108112">
                              <w:marLeft w:val="0"/>
                              <w:marRight w:val="0"/>
                              <w:marTop w:val="0"/>
                              <w:marBottom w:val="0"/>
                              <w:divBdr>
                                <w:top w:val="none" w:sz="0" w:space="0" w:color="auto"/>
                                <w:left w:val="none" w:sz="0" w:space="0" w:color="auto"/>
                                <w:bottom w:val="none" w:sz="0" w:space="0" w:color="auto"/>
                                <w:right w:val="none" w:sz="0" w:space="0" w:color="auto"/>
                              </w:divBdr>
                              <w:divsChild>
                                <w:div w:id="1293907037">
                                  <w:marLeft w:val="0"/>
                                  <w:marRight w:val="0"/>
                                  <w:marTop w:val="0"/>
                                  <w:marBottom w:val="0"/>
                                  <w:divBdr>
                                    <w:top w:val="none" w:sz="0" w:space="0" w:color="auto"/>
                                    <w:left w:val="none" w:sz="0" w:space="0" w:color="auto"/>
                                    <w:bottom w:val="none" w:sz="0" w:space="0" w:color="auto"/>
                                    <w:right w:val="none" w:sz="0" w:space="0" w:color="auto"/>
                                  </w:divBdr>
                                  <w:divsChild>
                                    <w:div w:id="269894149">
                                      <w:marLeft w:val="0"/>
                                      <w:marRight w:val="0"/>
                                      <w:marTop w:val="0"/>
                                      <w:marBottom w:val="0"/>
                                      <w:divBdr>
                                        <w:top w:val="none" w:sz="0" w:space="0" w:color="auto"/>
                                        <w:left w:val="none" w:sz="0" w:space="0" w:color="auto"/>
                                        <w:bottom w:val="none" w:sz="0" w:space="0" w:color="auto"/>
                                        <w:right w:val="none" w:sz="0" w:space="0" w:color="auto"/>
                                      </w:divBdr>
                                      <w:divsChild>
                                        <w:div w:id="405148697">
                                          <w:marLeft w:val="0"/>
                                          <w:marRight w:val="0"/>
                                          <w:marTop w:val="0"/>
                                          <w:marBottom w:val="0"/>
                                          <w:divBdr>
                                            <w:top w:val="none" w:sz="0" w:space="0" w:color="auto"/>
                                            <w:left w:val="none" w:sz="0" w:space="0" w:color="auto"/>
                                            <w:bottom w:val="none" w:sz="0" w:space="0" w:color="auto"/>
                                            <w:right w:val="none" w:sz="0" w:space="0" w:color="auto"/>
                                          </w:divBdr>
                                          <w:divsChild>
                                            <w:div w:id="1931962619">
                                              <w:marLeft w:val="0"/>
                                              <w:marRight w:val="0"/>
                                              <w:marTop w:val="0"/>
                                              <w:marBottom w:val="0"/>
                                              <w:divBdr>
                                                <w:top w:val="none" w:sz="0" w:space="0" w:color="auto"/>
                                                <w:left w:val="none" w:sz="0" w:space="0" w:color="auto"/>
                                                <w:bottom w:val="none" w:sz="0" w:space="0" w:color="auto"/>
                                                <w:right w:val="none" w:sz="0" w:space="0" w:color="auto"/>
                                              </w:divBdr>
                                              <w:divsChild>
                                                <w:div w:id="247154139">
                                                  <w:marLeft w:val="0"/>
                                                  <w:marRight w:val="0"/>
                                                  <w:marTop w:val="0"/>
                                                  <w:marBottom w:val="0"/>
                                                  <w:divBdr>
                                                    <w:top w:val="none" w:sz="0" w:space="0" w:color="auto"/>
                                                    <w:left w:val="none" w:sz="0" w:space="0" w:color="auto"/>
                                                    <w:bottom w:val="none" w:sz="0" w:space="0" w:color="auto"/>
                                                    <w:right w:val="none" w:sz="0" w:space="0" w:color="auto"/>
                                                  </w:divBdr>
                                                  <w:divsChild>
                                                    <w:div w:id="1452244918">
                                                      <w:marLeft w:val="0"/>
                                                      <w:marRight w:val="0"/>
                                                      <w:marTop w:val="0"/>
                                                      <w:marBottom w:val="0"/>
                                                      <w:divBdr>
                                                        <w:top w:val="none" w:sz="0" w:space="0" w:color="auto"/>
                                                        <w:left w:val="none" w:sz="0" w:space="0" w:color="auto"/>
                                                        <w:bottom w:val="none" w:sz="0" w:space="0" w:color="auto"/>
                                                        <w:right w:val="none" w:sz="0" w:space="0" w:color="auto"/>
                                                      </w:divBdr>
                                                      <w:divsChild>
                                                        <w:div w:id="6401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119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8430-21B8-48AA-B2F5-BBEEFD52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24512</Words>
  <Characters>139719</Characters>
  <Application>Microsoft Office Word</Application>
  <DocSecurity>4</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Norman, Joshua</cp:lastModifiedBy>
  <cp:revision>2</cp:revision>
  <cp:lastPrinted>2018-02-14T04:22:00Z</cp:lastPrinted>
  <dcterms:created xsi:type="dcterms:W3CDTF">2018-03-15T04:46:00Z</dcterms:created>
  <dcterms:modified xsi:type="dcterms:W3CDTF">2018-03-15T04:46:00Z</dcterms:modified>
</cp:coreProperties>
</file>