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EF" w:rsidRDefault="00FD5DBE" w:rsidP="00FD5DBE">
      <w:pPr>
        <w:pStyle w:val="LDAmendHeading"/>
        <w:ind w:left="0" w:firstLine="0"/>
      </w:pPr>
      <w:bookmarkStart w:id="0" w:name="_GoBack"/>
      <w:bookmarkEnd w:id="0"/>
      <w:r>
        <w:t>Explanatory Statement</w:t>
      </w:r>
    </w:p>
    <w:p w:rsidR="00FD5DBE" w:rsidRDefault="005B52F3" w:rsidP="00FD5DBE">
      <w:pPr>
        <w:pStyle w:val="LDAmendHeading"/>
        <w:ind w:left="0" w:firstLine="0"/>
      </w:pPr>
      <w:r>
        <w:t>Marine Orde</w:t>
      </w:r>
      <w:r w:rsidR="00F555F3">
        <w:t xml:space="preserve">r </w:t>
      </w:r>
      <w:r w:rsidR="001B3CCE">
        <w:t xml:space="preserve">91 (Marine pollution prevention — oil) Amendment Order 2018 </w:t>
      </w:r>
      <w:r w:rsidR="00506142">
        <w:t xml:space="preserve">(Order </w:t>
      </w:r>
      <w:r w:rsidR="006E2A8C">
        <w:t>201</w:t>
      </w:r>
      <w:r w:rsidR="001B3CCE">
        <w:t>8</w:t>
      </w:r>
      <w:r w:rsidR="00BA6239" w:rsidRPr="00FD051D">
        <w:t>/</w:t>
      </w:r>
      <w:r w:rsidR="00FD051D" w:rsidRPr="00FD051D">
        <w:t>3</w:t>
      </w:r>
      <w:r w:rsidR="00BA6239" w:rsidRPr="00FD051D">
        <w:t>)</w:t>
      </w:r>
    </w:p>
    <w:p w:rsidR="009B015D" w:rsidRDefault="009B015D" w:rsidP="009B015D">
      <w:pPr>
        <w:pStyle w:val="LDAmendHeading"/>
        <w:ind w:left="0" w:firstLine="0"/>
      </w:pPr>
      <w:r>
        <w:t>Authority</w:t>
      </w:r>
    </w:p>
    <w:p w:rsidR="001B3CCE" w:rsidRDefault="001B3CCE" w:rsidP="001B3CCE">
      <w:pPr>
        <w:pStyle w:val="LDMinuteParagraph"/>
        <w:tabs>
          <w:tab w:val="clear" w:pos="360"/>
        </w:tabs>
      </w:pPr>
      <w:r>
        <w:t xml:space="preserve">This Order was made under both </w:t>
      </w:r>
      <w:r w:rsidRPr="009A05F5">
        <w:t xml:space="preserve">subsection 342(1) of the </w:t>
      </w:r>
      <w:r w:rsidRPr="00AD5028">
        <w:rPr>
          <w:i/>
        </w:rPr>
        <w:t xml:space="preserve">Navigation Act 2012 </w:t>
      </w:r>
      <w:r w:rsidRPr="009A05F5">
        <w:t xml:space="preserve">(the Navigation Act) and subsection 34(1) of the </w:t>
      </w:r>
      <w:r w:rsidRPr="00AD5028">
        <w:rPr>
          <w:i/>
        </w:rPr>
        <w:t>Protection of the Sea (Prevention of Pollution from Ships) Act 1983</w:t>
      </w:r>
      <w:r w:rsidRPr="009A05F5">
        <w:t xml:space="preserve"> (the Pollution Prevention Act). The Order amends </w:t>
      </w:r>
      <w:r w:rsidRPr="00AD5028">
        <w:rPr>
          <w:i/>
        </w:rPr>
        <w:t>Marine Order 9</w:t>
      </w:r>
      <w:r>
        <w:rPr>
          <w:i/>
        </w:rPr>
        <w:t>1</w:t>
      </w:r>
      <w:r w:rsidRPr="00AD5028">
        <w:rPr>
          <w:i/>
        </w:rPr>
        <w:t xml:space="preserve"> (Marine pollution prevention — </w:t>
      </w:r>
      <w:r>
        <w:rPr>
          <w:i/>
        </w:rPr>
        <w:t xml:space="preserve">oil) </w:t>
      </w:r>
      <w:r w:rsidRPr="00AD5028">
        <w:rPr>
          <w:i/>
        </w:rPr>
        <w:t>201</w:t>
      </w:r>
      <w:r>
        <w:rPr>
          <w:i/>
        </w:rPr>
        <w:t>4</w:t>
      </w:r>
      <w:r w:rsidRPr="009A05F5">
        <w:t xml:space="preserve"> that was also made under those provisions.</w:t>
      </w:r>
    </w:p>
    <w:p w:rsidR="009D4938" w:rsidRDefault="009D4938" w:rsidP="001B3CCE">
      <w:pPr>
        <w:pStyle w:val="LDMinuteParagraph"/>
        <w:tabs>
          <w:tab w:val="clear" w:pos="360"/>
        </w:tabs>
      </w:pPr>
      <w:r>
        <w:t>Section 130 of the Navigation Act provides that regulations may provide for pollution certificates. Section 314 of the Navigation Act provides that the regulations may prescribe various matters about certificates.</w:t>
      </w:r>
    </w:p>
    <w:p w:rsidR="001B3CCE" w:rsidRDefault="001B3CCE" w:rsidP="001B3CCE">
      <w:pPr>
        <w:pStyle w:val="LDMinuteParagraph"/>
        <w:tabs>
          <w:tab w:val="clear" w:pos="360"/>
        </w:tabs>
      </w:pPr>
      <w:r>
        <w:t xml:space="preserve">Subsection </w:t>
      </w:r>
      <w:r w:rsidR="009A3D84">
        <w:t>339</w:t>
      </w:r>
      <w:r w:rsidR="009B015D" w:rsidRPr="00C722FE">
        <w:t xml:space="preserve">(1) of the </w:t>
      </w:r>
      <w:r>
        <w:t xml:space="preserve">Navigation Act </w:t>
      </w:r>
      <w:r w:rsidR="009B015D" w:rsidRPr="00C722FE">
        <w:t>authorises the Governor-General to make regulations necessary or convenient for carrying out or giving effect to the Navigation Act.</w:t>
      </w:r>
    </w:p>
    <w:p w:rsidR="001B3CCE" w:rsidRDefault="001B3CCE" w:rsidP="001B3CCE">
      <w:pPr>
        <w:pStyle w:val="LDMinuteParagraph"/>
        <w:tabs>
          <w:tab w:val="clear" w:pos="360"/>
        </w:tabs>
      </w:pPr>
      <w:r>
        <w:t>Paragraph 340(1)(c) of the Navigation Act provides that the regulations may provide for giving effect to the International Convention for the Prevention of Pollution from Ships (MARPOL).</w:t>
      </w:r>
    </w:p>
    <w:p w:rsidR="001B3CCE" w:rsidRDefault="001B3CCE" w:rsidP="001B3CCE">
      <w:pPr>
        <w:pStyle w:val="LDMinuteParagraph"/>
        <w:tabs>
          <w:tab w:val="clear" w:pos="360"/>
        </w:tabs>
      </w:pPr>
      <w:r>
        <w:t>Subsection 33(1) of the Pollution Prevention Act authorises the Governor-General to make regulations necessary or convenient for carrying out or giving effect to the Pollution Prevention Act, particularly for giving effect to MARPOL.</w:t>
      </w:r>
    </w:p>
    <w:p w:rsidR="001B3CCE" w:rsidRPr="008834C8" w:rsidRDefault="001B3CCE" w:rsidP="001B3CCE">
      <w:pPr>
        <w:pStyle w:val="LDMinuteParagraph"/>
        <w:tabs>
          <w:tab w:val="clear" w:pos="360"/>
        </w:tabs>
        <w:rPr>
          <w:rStyle w:val="Emphasis"/>
          <w:i w:val="0"/>
          <w:iCs w:val="0"/>
        </w:rPr>
      </w:pPr>
      <w:r>
        <w:t>Subsection 34(1) of the Pollution Prevention Act allows AMSA to make orders for any matter in the Act for or in relation to which provision must or may be made by the regulations.</w:t>
      </w:r>
      <w:r w:rsidRPr="00311557" w:rsidDel="00DA7E5A">
        <w:t xml:space="preserve"> </w:t>
      </w:r>
    </w:p>
    <w:p w:rsidR="009B015D" w:rsidRDefault="001B3CCE" w:rsidP="001B3CCE">
      <w:pPr>
        <w:pStyle w:val="LDMinuteParagraph"/>
        <w:tabs>
          <w:tab w:val="clear" w:pos="360"/>
        </w:tabs>
      </w:pPr>
      <w:r>
        <w:t xml:space="preserve">Subsection </w:t>
      </w:r>
      <w:r w:rsidR="009A3D84">
        <w:t>342</w:t>
      </w:r>
      <w:r w:rsidR="009B015D" w:rsidRPr="00C722FE">
        <w:t xml:space="preserve">(1) of the Navigation Act allows the Australian Maritime Safety Authority (AMSA) to make orders </w:t>
      </w:r>
      <w:r w:rsidR="009B015D">
        <w:t>for</w:t>
      </w:r>
      <w:r w:rsidR="009B015D" w:rsidRPr="00C722FE">
        <w:t xml:space="preserve"> any matter in the Act for which provision m</w:t>
      </w:r>
      <w:r w:rsidR="00213489">
        <w:t>ust or m</w:t>
      </w:r>
      <w:r w:rsidR="009B015D" w:rsidRPr="00C722FE">
        <w:t>ay be made by regulations.</w:t>
      </w:r>
    </w:p>
    <w:p w:rsidR="00697B63" w:rsidRPr="00C722FE" w:rsidRDefault="001B3CCE" w:rsidP="001B3CCE">
      <w:pPr>
        <w:pStyle w:val="LDMinuteParagraph"/>
        <w:tabs>
          <w:tab w:val="clear" w:pos="360"/>
        </w:tabs>
      </w:pPr>
      <w:r>
        <w:t xml:space="preserve">Subsection </w:t>
      </w:r>
      <w:r w:rsidR="00697B63">
        <w:rPr>
          <w:shd w:val="clear" w:color="auto" w:fill="FFFFFF"/>
        </w:rPr>
        <w:t>33</w:t>
      </w:r>
      <w:r w:rsidR="00697B63" w:rsidRPr="001F4E38">
        <w:rPr>
          <w:shd w:val="clear" w:color="auto" w:fill="FFFFFF"/>
        </w:rPr>
        <w:t>(3) of the</w:t>
      </w:r>
      <w:r w:rsidR="00697B63" w:rsidRPr="001F4E38">
        <w:rPr>
          <w:rStyle w:val="apple-converted-space"/>
          <w:color w:val="000000"/>
          <w:sz w:val="25"/>
          <w:szCs w:val="25"/>
          <w:shd w:val="clear" w:color="auto" w:fill="FFFFFF"/>
        </w:rPr>
        <w:t> </w:t>
      </w:r>
      <w:r w:rsidR="00697B63">
        <w:rPr>
          <w:i/>
          <w:iCs/>
          <w:shd w:val="clear" w:color="auto" w:fill="FFFFFF"/>
        </w:rPr>
        <w:t>Acts Interpretation Act </w:t>
      </w:r>
      <w:r w:rsidR="00697B63" w:rsidRPr="001F4E38">
        <w:rPr>
          <w:i/>
          <w:iCs/>
          <w:shd w:val="clear" w:color="auto" w:fill="FFFFFF"/>
        </w:rPr>
        <w:t>1901</w:t>
      </w:r>
      <w:r w:rsidR="00697B63">
        <w:rPr>
          <w:iCs/>
          <w:shd w:val="clear" w:color="auto" w:fill="FFFFFF"/>
        </w:rPr>
        <w:t xml:space="preserve"> </w:t>
      </w:r>
      <w:r w:rsidR="00697B63">
        <w:rPr>
          <w:shd w:val="clear" w:color="auto" w:fill="FFFFFF"/>
        </w:rPr>
        <w:t>provides that</w:t>
      </w:r>
      <w:r w:rsidR="00697B63" w:rsidRPr="001F4E38">
        <w:rPr>
          <w:shd w:val="clear" w:color="auto" w:fill="FFFFFF"/>
        </w:rPr>
        <w:t xml:space="preserve"> </w:t>
      </w:r>
      <w:r w:rsidR="00697B63">
        <w:rPr>
          <w:shd w:val="clear" w:color="auto" w:fill="FFFFFF"/>
        </w:rPr>
        <w:t xml:space="preserve">a power in </w:t>
      </w:r>
      <w:r w:rsidR="00697B63" w:rsidRPr="001F4E38">
        <w:rPr>
          <w:shd w:val="clear" w:color="auto" w:fill="FFFFFF"/>
        </w:rPr>
        <w:t>an Act</w:t>
      </w:r>
      <w:r w:rsidR="00697B63">
        <w:rPr>
          <w:shd w:val="clear" w:color="auto" w:fill="FFFFFF"/>
        </w:rPr>
        <w:t xml:space="preserve"> </w:t>
      </w:r>
      <w:r w:rsidR="00697B63" w:rsidRPr="001F4E38">
        <w:rPr>
          <w:shd w:val="clear" w:color="auto" w:fill="FFFFFF"/>
        </w:rPr>
        <w:t>to make</w:t>
      </w:r>
      <w:r w:rsidR="00697B63">
        <w:rPr>
          <w:shd w:val="clear" w:color="auto" w:fill="FFFFFF"/>
        </w:rPr>
        <w:t xml:space="preserve"> a legislative</w:t>
      </w:r>
      <w:r w:rsidR="00697B63" w:rsidRPr="001F4E38">
        <w:rPr>
          <w:shd w:val="clear" w:color="auto" w:fill="FFFFFF"/>
        </w:rPr>
        <w:t xml:space="preserve"> instrument </w:t>
      </w:r>
      <w:r w:rsidR="00697B63">
        <w:rPr>
          <w:shd w:val="clear" w:color="auto" w:fill="FFFFFF"/>
        </w:rPr>
        <w:t>includes</w:t>
      </w:r>
      <w:r w:rsidR="00697B63" w:rsidRPr="001F4E38">
        <w:rPr>
          <w:shd w:val="clear" w:color="auto" w:fill="FFFFFF"/>
        </w:rPr>
        <w:t xml:space="preserve"> </w:t>
      </w:r>
      <w:r w:rsidR="00697B63">
        <w:rPr>
          <w:shd w:val="clear" w:color="auto" w:fill="FFFFFF"/>
        </w:rPr>
        <w:t xml:space="preserve">the </w:t>
      </w:r>
      <w:r w:rsidR="00697B63" w:rsidRPr="001F4E38">
        <w:rPr>
          <w:shd w:val="clear" w:color="auto" w:fill="FFFFFF"/>
        </w:rPr>
        <w:t>power to repe</w:t>
      </w:r>
      <w:r w:rsidR="00697B63">
        <w:rPr>
          <w:shd w:val="clear" w:color="auto" w:fill="FFFFFF"/>
        </w:rPr>
        <w:t>al or</w:t>
      </w:r>
      <w:r w:rsidR="00697B63" w:rsidRPr="001F4E38">
        <w:rPr>
          <w:shd w:val="clear" w:color="auto" w:fill="FFFFFF"/>
        </w:rPr>
        <w:t xml:space="preserve"> amend</w:t>
      </w:r>
      <w:r w:rsidR="00697B63">
        <w:rPr>
          <w:shd w:val="clear" w:color="auto" w:fill="FFFFFF"/>
        </w:rPr>
        <w:t xml:space="preserve"> the</w:t>
      </w:r>
      <w:r w:rsidR="00697B63" w:rsidRPr="001F4E38">
        <w:rPr>
          <w:shd w:val="clear" w:color="auto" w:fill="FFFFFF"/>
        </w:rPr>
        <w:t xml:space="preserve"> instrument</w:t>
      </w:r>
      <w:r w:rsidR="00697B63">
        <w:rPr>
          <w:shd w:val="clear" w:color="auto" w:fill="FFFFFF"/>
        </w:rPr>
        <w:t>, subject to any conditions that apply to the initial power</w:t>
      </w:r>
      <w:r w:rsidR="00697B63" w:rsidRPr="001F4E38">
        <w:rPr>
          <w:shd w:val="clear" w:color="auto" w:fill="FFFFFF"/>
        </w:rPr>
        <w:t>.</w:t>
      </w:r>
    </w:p>
    <w:p w:rsidR="009B015D" w:rsidRDefault="009B015D" w:rsidP="00E576E4">
      <w:pPr>
        <w:pStyle w:val="LDMinuteParagraph"/>
      </w:pPr>
      <w:r>
        <w:t xml:space="preserve">This Order </w:t>
      </w:r>
      <w:r w:rsidRPr="00C722FE">
        <w:t xml:space="preserve">is a legislative instrument for the </w:t>
      </w:r>
      <w:r w:rsidR="00194868">
        <w:rPr>
          <w:i/>
        </w:rPr>
        <w:t>Legislation</w:t>
      </w:r>
      <w:r w:rsidRPr="009B015D">
        <w:rPr>
          <w:i/>
        </w:rPr>
        <w:t xml:space="preserve"> Act 2003</w:t>
      </w:r>
      <w:r w:rsidRPr="00C722FE">
        <w:t>.</w:t>
      </w:r>
    </w:p>
    <w:p w:rsidR="00FB71D1" w:rsidRPr="00A841E5" w:rsidRDefault="009B015D" w:rsidP="009B015D">
      <w:pPr>
        <w:pStyle w:val="LDAmendHeading"/>
        <w:ind w:left="0" w:firstLine="0"/>
      </w:pPr>
      <w:r w:rsidRPr="00A841E5">
        <w:t>Purpose</w:t>
      </w:r>
    </w:p>
    <w:p w:rsidR="00A841E5" w:rsidRPr="00A841E5" w:rsidRDefault="009B015D" w:rsidP="00E576E4">
      <w:pPr>
        <w:pStyle w:val="LDMinuteParagraph"/>
      </w:pPr>
      <w:r w:rsidRPr="00A841E5">
        <w:t xml:space="preserve">This Order </w:t>
      </w:r>
      <w:r w:rsidR="009D4938" w:rsidRPr="00A841E5">
        <w:t xml:space="preserve">amends </w:t>
      </w:r>
      <w:r w:rsidR="009D4938" w:rsidRPr="00A841E5">
        <w:rPr>
          <w:i/>
        </w:rPr>
        <w:t>Marine Order 91 (Marine pollution prevention — oil) 2014</w:t>
      </w:r>
      <w:r w:rsidR="009D4938" w:rsidRPr="00A841E5">
        <w:t xml:space="preserve"> (Marine Order 91) to clarify the application of the Order in relation to different kinds of vessels</w:t>
      </w:r>
      <w:r w:rsidR="00E55912">
        <w:t>. T</w:t>
      </w:r>
      <w:r w:rsidR="001E2E04" w:rsidRPr="00A841E5">
        <w:t xml:space="preserve">he amendments made by the Order </w:t>
      </w:r>
      <w:r w:rsidR="00E55912">
        <w:t xml:space="preserve">also </w:t>
      </w:r>
      <w:r w:rsidR="002F0011">
        <w:t xml:space="preserve">ensure no </w:t>
      </w:r>
      <w:r w:rsidR="001E2E04" w:rsidRPr="00A841E5">
        <w:t xml:space="preserve">favourable treatment for foreign vessels to which MARPOL does not apply by specifying oil pollution </w:t>
      </w:r>
      <w:r w:rsidR="008D07CF">
        <w:t xml:space="preserve">documentation </w:t>
      </w:r>
      <w:r w:rsidR="001E2E04" w:rsidRPr="00A841E5">
        <w:t>requirements for all foreign vessels.</w:t>
      </w:r>
      <w:r w:rsidR="004B20B7" w:rsidRPr="00A841E5">
        <w:t xml:space="preserve"> </w:t>
      </w:r>
    </w:p>
    <w:p w:rsidR="009B015D" w:rsidRPr="00A841E5" w:rsidRDefault="00A841E5" w:rsidP="00E576E4">
      <w:pPr>
        <w:pStyle w:val="LDMinuteParagraph"/>
      </w:pPr>
      <w:r>
        <w:t xml:space="preserve">The Order amends Marine Order 91 to </w:t>
      </w:r>
      <w:r w:rsidR="004B20B7" w:rsidRPr="00A841E5">
        <w:t>prescrib</w:t>
      </w:r>
      <w:r w:rsidR="008D07CF">
        <w:t>e</w:t>
      </w:r>
      <w:r w:rsidR="004B20B7" w:rsidRPr="00A841E5">
        <w:t xml:space="preserve"> some matters for the Pollution Prevention Act to </w:t>
      </w:r>
      <w:r w:rsidRPr="00A841E5">
        <w:t xml:space="preserve">extend the operation of some </w:t>
      </w:r>
      <w:r w:rsidR="004B20B7" w:rsidRPr="00A841E5">
        <w:t xml:space="preserve">provisions of that Act </w:t>
      </w:r>
      <w:r w:rsidRPr="00A841E5">
        <w:t>to foreign ships in Australian ports and waters. Section 32 of the Act provides that regulations may be made for this purpose.</w:t>
      </w:r>
      <w:r>
        <w:t xml:space="preserve"> The Order also makes some other amendments to assist with the administration of Marine Order 91.</w:t>
      </w:r>
    </w:p>
    <w:p w:rsidR="009B015D" w:rsidRDefault="009B015D" w:rsidP="00BB6EA6">
      <w:pPr>
        <w:pStyle w:val="LDAmendHeading"/>
      </w:pPr>
      <w:r>
        <w:t>Overview</w:t>
      </w:r>
    </w:p>
    <w:p w:rsidR="001B5BF7" w:rsidRDefault="00A841E5" w:rsidP="00E576E4">
      <w:pPr>
        <w:pStyle w:val="LDMinuteParagraph"/>
      </w:pPr>
      <w:r>
        <w:t>This</w:t>
      </w:r>
      <w:r w:rsidR="001E2E04">
        <w:t xml:space="preserve"> Order amends Marine Order 91</w:t>
      </w:r>
      <w:r w:rsidR="002C3A4D">
        <w:t xml:space="preserve">. Marine Order 91 gives effect to Annex I of MARPOL which deals with prevention of marine pollution by oil from ships. </w:t>
      </w:r>
      <w:r w:rsidR="002C3A4D">
        <w:lastRenderedPageBreak/>
        <w:t xml:space="preserve">Marine Order 91 </w:t>
      </w:r>
      <w:r w:rsidR="001B5BF7">
        <w:t xml:space="preserve">also </w:t>
      </w:r>
      <w:r w:rsidR="002C3A4D">
        <w:t>prescribes matters for Part II (Prevention of pollution by oil) of the Pollution Prevention</w:t>
      </w:r>
      <w:r w:rsidR="001B5BF7">
        <w:t xml:space="preserve"> Act and </w:t>
      </w:r>
      <w:r w:rsidR="002C3A4D">
        <w:t>provides for matters for Chapter 4 (Prevention of pollution) of the Navigation Act.</w:t>
      </w:r>
    </w:p>
    <w:p w:rsidR="00F856DC" w:rsidRDefault="002C3A4D" w:rsidP="001D66C6">
      <w:pPr>
        <w:pStyle w:val="LDMinuteParagraph"/>
      </w:pPr>
      <w:r>
        <w:t xml:space="preserve">The </w:t>
      </w:r>
      <w:r w:rsidR="00A841E5">
        <w:t>amendments made by the</w:t>
      </w:r>
      <w:r>
        <w:t xml:space="preserve"> </w:t>
      </w:r>
      <w:r w:rsidR="001B5BF7">
        <w:t>Order clarify</w:t>
      </w:r>
      <w:r>
        <w:t xml:space="preserve"> how Marine Order 91 applies to different kinds of vessels. </w:t>
      </w:r>
      <w:r w:rsidR="001B5BF7">
        <w:t>In particular, it sets out requirements for foreign vessels to carry and comply with certificates or other documents dealing with the prevention of polluti</w:t>
      </w:r>
      <w:r w:rsidR="00970DF2">
        <w:t>on by oil issued by their flag S</w:t>
      </w:r>
      <w:r w:rsidR="001B5BF7">
        <w:t xml:space="preserve">tate, even if that country is not a party to MARPOL. </w:t>
      </w:r>
      <w:r w:rsidR="00D02BDE">
        <w:t>T</w:t>
      </w:r>
      <w:r w:rsidR="004B20B7">
        <w:t xml:space="preserve">he Order also </w:t>
      </w:r>
      <w:r>
        <w:t xml:space="preserve">prescribes some matters </w:t>
      </w:r>
      <w:r w:rsidR="00096CBB">
        <w:t xml:space="preserve">so that </w:t>
      </w:r>
      <w:r>
        <w:t xml:space="preserve">certain provisions of the Pollution Prevention Act </w:t>
      </w:r>
      <w:r w:rsidR="00096CBB">
        <w:t xml:space="preserve">apply to </w:t>
      </w:r>
      <w:r>
        <w:t>foreign ships</w:t>
      </w:r>
      <w:r w:rsidR="00096CBB">
        <w:t xml:space="preserve"> when in Australian ports and waters, for example, the requirement to keep oil record books</w:t>
      </w:r>
      <w:r w:rsidR="001E17EB">
        <w:t xml:space="preserve">. </w:t>
      </w:r>
      <w:r w:rsidR="00D02BDE">
        <w:t>This is allowed for by</w:t>
      </w:r>
      <w:r w:rsidR="00F856DC">
        <w:t xml:space="preserve"> </w:t>
      </w:r>
      <w:r w:rsidR="00F856DC" w:rsidRPr="00F856DC">
        <w:t>section</w:t>
      </w:r>
      <w:r w:rsidR="00F856DC">
        <w:t> </w:t>
      </w:r>
      <w:r w:rsidR="00F856DC" w:rsidRPr="00F856DC">
        <w:t>32</w:t>
      </w:r>
      <w:r w:rsidR="00F856DC">
        <w:t xml:space="preserve"> of </w:t>
      </w:r>
      <w:r w:rsidR="00D02BDE">
        <w:t xml:space="preserve">the Pollution Prevention Act. </w:t>
      </w:r>
    </w:p>
    <w:p w:rsidR="009B015D" w:rsidRPr="009B015D" w:rsidRDefault="004B20B7" w:rsidP="001D66C6">
      <w:pPr>
        <w:pStyle w:val="LDMinuteParagraph"/>
      </w:pPr>
      <w:r>
        <w:t>T</w:t>
      </w:r>
      <w:r w:rsidR="002C3A4D">
        <w:t xml:space="preserve">he </w:t>
      </w:r>
      <w:r w:rsidR="001B5BF7">
        <w:t xml:space="preserve">Order </w:t>
      </w:r>
      <w:r>
        <w:t xml:space="preserve">also amends the interpretation provision to aid administration of the Order and makes some </w:t>
      </w:r>
      <w:r w:rsidR="001B5BF7">
        <w:t xml:space="preserve">minor amendments to </w:t>
      </w:r>
      <w:r w:rsidR="002C3A4D">
        <w:t xml:space="preserve">how </w:t>
      </w:r>
      <w:r w:rsidR="00096CBB">
        <w:t xml:space="preserve">prescribed incidents (such as incidents involving the </w:t>
      </w:r>
      <w:r w:rsidR="002C3A4D">
        <w:t>discharge of oil</w:t>
      </w:r>
      <w:r w:rsidR="00096CBB">
        <w:t>)</w:t>
      </w:r>
      <w:r w:rsidR="002C3A4D">
        <w:t xml:space="preserve"> </w:t>
      </w:r>
      <w:r w:rsidR="00096CBB">
        <w:t>are</w:t>
      </w:r>
      <w:r w:rsidR="002C3A4D">
        <w:t xml:space="preserve"> to be notified</w:t>
      </w:r>
      <w:r>
        <w:t>.</w:t>
      </w:r>
    </w:p>
    <w:p w:rsidR="009B015D" w:rsidRDefault="009B015D" w:rsidP="00BB6EA6">
      <w:pPr>
        <w:pStyle w:val="LDAmendHeading"/>
      </w:pPr>
      <w:r>
        <w:t>Consultation</w:t>
      </w:r>
    </w:p>
    <w:p w:rsidR="00321E86" w:rsidRDefault="00321E86" w:rsidP="00E576E4">
      <w:pPr>
        <w:pStyle w:val="LDMinuteParagraph"/>
      </w:pPr>
      <w:r>
        <w:t xml:space="preserve">A copy of the draft of this Order was </w:t>
      </w:r>
      <w:r w:rsidR="006479F6">
        <w:t>placed on AMSA’s web site for public comment on 17 November 2017 for a period of four weeks</w:t>
      </w:r>
      <w:r w:rsidR="002F0011">
        <w:t xml:space="preserve"> ending on 15 December 2017</w:t>
      </w:r>
      <w:r w:rsidR="006479F6">
        <w:t>. The draft Order was also emailed to over 200 stakeholders, including ship operators, recognised organisations</w:t>
      </w:r>
      <w:r w:rsidR="00E55912">
        <w:t>,</w:t>
      </w:r>
      <w:r w:rsidR="006479F6">
        <w:t xml:space="preserve"> shipping and cargo industry </w:t>
      </w:r>
      <w:r w:rsidR="002F0011">
        <w:t xml:space="preserve">peak </w:t>
      </w:r>
      <w:r w:rsidR="006479F6">
        <w:t xml:space="preserve">bodies and </w:t>
      </w:r>
      <w:r w:rsidR="002F0011">
        <w:t xml:space="preserve">unions and </w:t>
      </w:r>
      <w:r w:rsidR="006479F6">
        <w:t>vari</w:t>
      </w:r>
      <w:r w:rsidR="001E17EB">
        <w:t>o</w:t>
      </w:r>
      <w:r w:rsidR="006479F6">
        <w:t xml:space="preserve">us government </w:t>
      </w:r>
      <w:r w:rsidR="002F0011">
        <w:t xml:space="preserve">departments and </w:t>
      </w:r>
      <w:r w:rsidR="006479F6">
        <w:t>agencies</w:t>
      </w:r>
      <w:r w:rsidR="00A247B1">
        <w:t>, together with an invitation to comment</w:t>
      </w:r>
      <w:r w:rsidR="006479F6">
        <w:t>. One submission was received and that comment considered when preparing the final Order.</w:t>
      </w:r>
    </w:p>
    <w:p w:rsidR="005B2444" w:rsidRPr="006479F6" w:rsidRDefault="005B2444" w:rsidP="005B2444">
      <w:pPr>
        <w:pStyle w:val="LDMinuteParagraph"/>
      </w:pPr>
      <w:r>
        <w:t xml:space="preserve">The Office of Best Practice Regulation (OBPR) was also consulted and considered that </w:t>
      </w:r>
      <w:r w:rsidR="00F44956">
        <w:t xml:space="preserve">changes made by </w:t>
      </w:r>
      <w:r>
        <w:t xml:space="preserve">the Order </w:t>
      </w:r>
      <w:r w:rsidR="00F44956">
        <w:t>have regulatory impacts</w:t>
      </w:r>
      <w:r w:rsidR="006479F6">
        <w:t xml:space="preserve"> of a </w:t>
      </w:r>
      <w:r>
        <w:t>minor or mac</w:t>
      </w:r>
      <w:r w:rsidR="006479F6">
        <w:t>hinery</w:t>
      </w:r>
      <w:r w:rsidR="00F44956">
        <w:t xml:space="preserve"> nature and no regulation</w:t>
      </w:r>
      <w:r>
        <w:t xml:space="preserve"> impact statement was required.  The OBPR reference number is </w:t>
      </w:r>
      <w:r w:rsidR="006479F6">
        <w:t xml:space="preserve">16724. </w:t>
      </w:r>
    </w:p>
    <w:p w:rsidR="009B015D" w:rsidRDefault="009B015D" w:rsidP="009B015D">
      <w:pPr>
        <w:pStyle w:val="LDAmendHeading"/>
      </w:pPr>
      <w:r>
        <w:t>Documents incorporated by reference</w:t>
      </w:r>
    </w:p>
    <w:p w:rsidR="00656080" w:rsidRDefault="00D02BDE" w:rsidP="00656080">
      <w:pPr>
        <w:pStyle w:val="LDMinuteParagraph"/>
      </w:pPr>
      <w:r>
        <w:t xml:space="preserve">Parts of the following documents are incorporated by reference into Marine Order 91 by the Order: </w:t>
      </w:r>
    </w:p>
    <w:p w:rsidR="00D02BDE" w:rsidRDefault="00D02BDE" w:rsidP="00D02BDE">
      <w:pPr>
        <w:pStyle w:val="LDMinuteParagraph"/>
        <w:numPr>
          <w:ilvl w:val="0"/>
          <w:numId w:val="3"/>
        </w:numPr>
      </w:pPr>
      <w:r>
        <w:rPr>
          <w:lang w:eastAsia="en-AU"/>
        </w:rPr>
        <w:t>Annex I of MARPOL</w:t>
      </w:r>
    </w:p>
    <w:p w:rsidR="00D02BDE" w:rsidRDefault="00D02BDE" w:rsidP="00D02BDE">
      <w:pPr>
        <w:pStyle w:val="LDMinuteParagraph"/>
        <w:numPr>
          <w:ilvl w:val="0"/>
          <w:numId w:val="3"/>
        </w:numPr>
      </w:pPr>
      <w:r>
        <w:rPr>
          <w:lang w:eastAsia="en-AU"/>
        </w:rPr>
        <w:t>the STCW Convention</w:t>
      </w:r>
    </w:p>
    <w:p w:rsidR="00D02BDE" w:rsidRDefault="00D02BDE" w:rsidP="00D02BDE">
      <w:pPr>
        <w:pStyle w:val="LDMinuteParagraph"/>
        <w:numPr>
          <w:ilvl w:val="0"/>
          <w:numId w:val="3"/>
        </w:numPr>
      </w:pPr>
      <w:proofErr w:type="gramStart"/>
      <w:r>
        <w:rPr>
          <w:lang w:eastAsia="en-AU"/>
        </w:rPr>
        <w:t>the</w:t>
      </w:r>
      <w:proofErr w:type="gramEnd"/>
      <w:r>
        <w:rPr>
          <w:lang w:eastAsia="en-AU"/>
        </w:rPr>
        <w:t xml:space="preserve"> STCW Code</w:t>
      </w:r>
      <w:r>
        <w:t xml:space="preserve">. </w:t>
      </w:r>
    </w:p>
    <w:p w:rsidR="00786E91" w:rsidRDefault="00786E91" w:rsidP="00786E91">
      <w:pPr>
        <w:pStyle w:val="LDMinuteParagraph"/>
      </w:pPr>
      <w:r>
        <w:rPr>
          <w:lang w:eastAsia="en-AU"/>
        </w:rPr>
        <w:t xml:space="preserve">MARPOL is incorporated as amended in in force for Australia from time to time (see definition of </w:t>
      </w:r>
      <w:r w:rsidRPr="00786E91">
        <w:rPr>
          <w:lang w:eastAsia="en-AU"/>
        </w:rPr>
        <w:t>MARPOL</w:t>
      </w:r>
      <w:r>
        <w:rPr>
          <w:lang w:eastAsia="en-AU"/>
        </w:rPr>
        <w:t xml:space="preserve"> in </w:t>
      </w:r>
      <w:r>
        <w:rPr>
          <w:i/>
          <w:lang w:eastAsia="en-AU"/>
        </w:rPr>
        <w:t xml:space="preserve">Marine Order 1 (Administration) </w:t>
      </w:r>
      <w:r w:rsidRPr="00786E91">
        <w:rPr>
          <w:i/>
          <w:lang w:eastAsia="en-AU"/>
        </w:rPr>
        <w:t>2013</w:t>
      </w:r>
      <w:r>
        <w:rPr>
          <w:lang w:eastAsia="en-AU"/>
        </w:rPr>
        <w:t xml:space="preserve"> and definition of </w:t>
      </w:r>
      <w:r>
        <w:rPr>
          <w:i/>
          <w:lang w:eastAsia="en-AU"/>
        </w:rPr>
        <w:t xml:space="preserve">the Convention </w:t>
      </w:r>
      <w:r w:rsidRPr="00786E91">
        <w:rPr>
          <w:lang w:eastAsia="en-AU"/>
        </w:rPr>
        <w:t>i</w:t>
      </w:r>
      <w:r>
        <w:rPr>
          <w:lang w:eastAsia="en-AU"/>
        </w:rPr>
        <w:t xml:space="preserve">n subsection 3(1) of the Pollution Prevention Act). </w:t>
      </w:r>
      <w:r w:rsidRPr="00726C27">
        <w:t xml:space="preserve">The STCW Convention and STCW Code are </w:t>
      </w:r>
      <w:r>
        <w:t xml:space="preserve">also </w:t>
      </w:r>
      <w:r w:rsidRPr="00726C27">
        <w:t xml:space="preserve">incorporated as </w:t>
      </w:r>
      <w:r>
        <w:t xml:space="preserve">amended and </w:t>
      </w:r>
      <w:r w:rsidRPr="00726C27">
        <w:t xml:space="preserve">in force </w:t>
      </w:r>
      <w:r>
        <w:t xml:space="preserve">for Australia </w:t>
      </w:r>
      <w:r w:rsidRPr="00726C27">
        <w:t xml:space="preserve">from time to time — see the Navigation Act definition of </w:t>
      </w:r>
      <w:r w:rsidRPr="00726C27">
        <w:rPr>
          <w:i/>
        </w:rPr>
        <w:t>STCW Convention</w:t>
      </w:r>
      <w:r w:rsidRPr="00726C27">
        <w:t xml:space="preserve"> and the </w:t>
      </w:r>
      <w:r w:rsidRPr="00726C27">
        <w:rPr>
          <w:i/>
        </w:rPr>
        <w:t xml:space="preserve">Marine Order 1 (Administration) 2013 </w:t>
      </w:r>
      <w:r w:rsidRPr="00726C27">
        <w:t xml:space="preserve">definition of </w:t>
      </w:r>
      <w:r w:rsidRPr="00726C27">
        <w:rPr>
          <w:i/>
        </w:rPr>
        <w:t>STCW Code</w:t>
      </w:r>
      <w:r w:rsidR="005E442D">
        <w:t xml:space="preserve">. </w:t>
      </w:r>
    </w:p>
    <w:p w:rsidR="00786E91" w:rsidRPr="00726C27" w:rsidRDefault="00786E91" w:rsidP="00786E91">
      <w:pPr>
        <w:pStyle w:val="LDMinuteParagraph"/>
      </w:pPr>
      <w:r>
        <w:t>MARPOL, t</w:t>
      </w:r>
      <w:r w:rsidRPr="00726C27">
        <w:t>he STCW Convention</w:t>
      </w:r>
      <w:r w:rsidR="005E442D">
        <w:t xml:space="preserve"> and</w:t>
      </w:r>
      <w:r>
        <w:t xml:space="preserve"> the </w:t>
      </w:r>
      <w:r w:rsidRPr="00726C27">
        <w:t xml:space="preserve">STCW Code are of treaty status and can be found, including any amendments in force, in the Australian Treaties Series accessible </w:t>
      </w:r>
      <w:r w:rsidR="005E442D">
        <w:t xml:space="preserve">for free </w:t>
      </w:r>
      <w:r w:rsidRPr="00726C27">
        <w:t xml:space="preserve">from the Australian Treaties Library on the </w:t>
      </w:r>
      <w:proofErr w:type="spellStart"/>
      <w:r w:rsidRPr="00726C27">
        <w:t>AustLII</w:t>
      </w:r>
      <w:proofErr w:type="spellEnd"/>
      <w:r w:rsidRPr="00726C27">
        <w:t xml:space="preserve"> website at </w:t>
      </w:r>
      <w:r w:rsidRPr="00726C27">
        <w:rPr>
          <w:u w:val="single"/>
        </w:rPr>
        <w:t>http://www.austlii.edu.au</w:t>
      </w:r>
      <w:r w:rsidRPr="00726C27">
        <w:t xml:space="preserve">.  Consolidated copies of the latest edition of </w:t>
      </w:r>
      <w:r w:rsidR="00C8025C" w:rsidRPr="004908D2">
        <w:t>MARPOL, and the STCW</w:t>
      </w:r>
      <w:r w:rsidR="00C8025C">
        <w:t xml:space="preserve"> Code</w:t>
      </w:r>
      <w:r w:rsidRPr="00726C27">
        <w:t xml:space="preserve"> together with the STCW Convention, are also available for purchase from the International Maritime Organization (IMO).</w:t>
      </w:r>
    </w:p>
    <w:p w:rsidR="00656080" w:rsidRPr="009B015D" w:rsidRDefault="00656080" w:rsidP="00656080">
      <w:pPr>
        <w:pStyle w:val="LDMinuteParagraph"/>
      </w:pPr>
      <w:r>
        <w:rPr>
          <w:lang w:eastAsia="en-AU"/>
        </w:rPr>
        <w:t xml:space="preserve">Information on obtaining copies of any International Maritime Organization (IMO) Resolution, IMO document or other document that is mentioned in this Order is available from the Marine Order link at </w:t>
      </w:r>
      <w:r w:rsidRPr="00E120E2">
        <w:rPr>
          <w:u w:val="single"/>
          <w:lang w:eastAsia="en-AU"/>
        </w:rPr>
        <w:t>http://www.amsa.gov.au</w:t>
      </w:r>
      <w:r>
        <w:rPr>
          <w:lang w:eastAsia="en-AU"/>
        </w:rPr>
        <w:t>.</w:t>
      </w:r>
    </w:p>
    <w:p w:rsidR="00656080" w:rsidRPr="009B015D" w:rsidRDefault="00656080" w:rsidP="00656080">
      <w:pPr>
        <w:pStyle w:val="LDMinuteParagraph"/>
      </w:pPr>
      <w:r>
        <w:rPr>
          <w:lang w:eastAsia="en-AU"/>
        </w:rPr>
        <w:lastRenderedPageBreak/>
        <w:t>IMO published material</w:t>
      </w:r>
      <w:r w:rsidRPr="00542ACC">
        <w:t xml:space="preserve"> may </w:t>
      </w:r>
      <w:r w:rsidRPr="00542ACC">
        <w:rPr>
          <w:lang w:eastAsia="en-AU"/>
        </w:rPr>
        <w:t>also be purchased from:</w:t>
      </w:r>
      <w:r w:rsidRPr="00E120E2">
        <w:t xml:space="preserve"> </w:t>
      </w:r>
    </w:p>
    <w:p w:rsidR="00656080" w:rsidRPr="00656080" w:rsidRDefault="00656080" w:rsidP="00656080">
      <w:pPr>
        <w:pStyle w:val="LDMinuteParagraph"/>
        <w:numPr>
          <w:ilvl w:val="0"/>
          <w:numId w:val="0"/>
        </w:numPr>
        <w:tabs>
          <w:tab w:val="num" w:pos="0"/>
        </w:tabs>
        <w:ind w:left="360"/>
        <w:rPr>
          <w:u w:val="single"/>
          <w:lang w:eastAsia="en-AU"/>
        </w:rPr>
      </w:pPr>
      <w:r w:rsidRPr="00542ACC">
        <w:rPr>
          <w:lang w:eastAsia="en-AU"/>
        </w:rPr>
        <w:t>International Maritime Organization</w:t>
      </w:r>
      <w:r w:rsidRPr="00542ACC">
        <w:rPr>
          <w:lang w:eastAsia="en-AU"/>
        </w:rPr>
        <w:br/>
        <w:t>4 Albert Embankment, London SE1 7SR</w:t>
      </w:r>
      <w:r w:rsidRPr="00542ACC">
        <w:rPr>
          <w:lang w:eastAsia="en-AU"/>
        </w:rPr>
        <w:br/>
        <w:t>Telephone +44(0)20 7735 7611</w:t>
      </w:r>
      <w:r w:rsidRPr="00542ACC">
        <w:rPr>
          <w:lang w:eastAsia="en-AU"/>
        </w:rPr>
        <w:br/>
        <w:t>Fa</w:t>
      </w:r>
      <w:r>
        <w:rPr>
          <w:lang w:eastAsia="en-AU"/>
        </w:rPr>
        <w:t>x</w:t>
      </w:r>
      <w:r w:rsidRPr="00542ACC">
        <w:rPr>
          <w:lang w:eastAsia="en-AU"/>
        </w:rPr>
        <w:t xml:space="preserve"> +44(0)20 7587 3210</w:t>
      </w:r>
      <w:r w:rsidRPr="00542ACC">
        <w:rPr>
          <w:lang w:eastAsia="en-AU"/>
        </w:rPr>
        <w:br/>
        <w:t xml:space="preserve">IMO website: </w:t>
      </w:r>
      <w:r w:rsidRPr="00E120E2">
        <w:rPr>
          <w:u w:val="single"/>
          <w:lang w:eastAsia="en-AU"/>
        </w:rPr>
        <w:t>http://www.imo.org</w:t>
      </w:r>
    </w:p>
    <w:p w:rsidR="00007792" w:rsidRDefault="00007792" w:rsidP="00007792">
      <w:pPr>
        <w:pStyle w:val="LDAmendHeading"/>
      </w:pPr>
      <w:r>
        <w:t>Commencement</w:t>
      </w:r>
    </w:p>
    <w:p w:rsidR="00007792" w:rsidRDefault="00007792" w:rsidP="00007792">
      <w:pPr>
        <w:pStyle w:val="LDMinuteParagraph"/>
      </w:pPr>
      <w:r>
        <w:t xml:space="preserve">This </w:t>
      </w:r>
      <w:r w:rsidRPr="004908D2">
        <w:t xml:space="preserve">Order commenced on </w:t>
      </w:r>
      <w:r w:rsidR="00970DF2" w:rsidRPr="004908D2">
        <w:t xml:space="preserve">1 April 2018. </w:t>
      </w:r>
    </w:p>
    <w:p w:rsidR="00007792" w:rsidRDefault="00007792" w:rsidP="00007792">
      <w:pPr>
        <w:pStyle w:val="LDAmendHeading"/>
      </w:pPr>
      <w:r>
        <w:t xml:space="preserve">Contents of this </w:t>
      </w:r>
      <w:r w:rsidR="007005C4">
        <w:t>instrument</w:t>
      </w:r>
    </w:p>
    <w:p w:rsidR="00007792" w:rsidRDefault="004E3842" w:rsidP="00007792">
      <w:pPr>
        <w:pStyle w:val="LDMinuteParagraph"/>
      </w:pPr>
      <w:r>
        <w:t xml:space="preserve">Section </w:t>
      </w:r>
      <w:r w:rsidR="00BA6239">
        <w:t xml:space="preserve">1 </w:t>
      </w:r>
      <w:r>
        <w:t>sets out the name of the Order.</w:t>
      </w:r>
    </w:p>
    <w:p w:rsidR="00007792" w:rsidRDefault="00430134" w:rsidP="00007792">
      <w:pPr>
        <w:pStyle w:val="LDMinuteParagraph"/>
      </w:pPr>
      <w:r>
        <w:t xml:space="preserve">Section </w:t>
      </w:r>
      <w:r w:rsidR="00007792">
        <w:t xml:space="preserve">2 </w:t>
      </w:r>
      <w:r>
        <w:t>provides for the commencement of the Order.</w:t>
      </w:r>
    </w:p>
    <w:p w:rsidR="00007792" w:rsidRDefault="00430134" w:rsidP="00007792">
      <w:pPr>
        <w:pStyle w:val="LDMinuteParagraph"/>
      </w:pPr>
      <w:r>
        <w:t>Section 3</w:t>
      </w:r>
      <w:r w:rsidR="006A46BE">
        <w:t xml:space="preserve"> provides that Marine Order 91 is amended in accordance with the schedule.</w:t>
      </w:r>
    </w:p>
    <w:p w:rsidR="006A46BE" w:rsidRDefault="006A46BE" w:rsidP="00007792">
      <w:pPr>
        <w:pStyle w:val="LDMinuteParagraph"/>
      </w:pPr>
      <w:r>
        <w:t xml:space="preserve">Item 1 of Schedule 1 omits definitions of terms that were defined in accordance with the STCW Convention and the STCW Code. </w:t>
      </w:r>
    </w:p>
    <w:p w:rsidR="006D38DD" w:rsidRDefault="006A46BE" w:rsidP="00007792">
      <w:pPr>
        <w:pStyle w:val="LDMinuteParagraph"/>
      </w:pPr>
      <w:r>
        <w:t xml:space="preserve">Item </w:t>
      </w:r>
      <w:r w:rsidR="006D38DD">
        <w:t xml:space="preserve">2 inserts a reference to the term </w:t>
      </w:r>
      <w:r w:rsidR="006D38DD">
        <w:rPr>
          <w:i/>
        </w:rPr>
        <w:t xml:space="preserve">Australian nationality </w:t>
      </w:r>
      <w:r w:rsidR="006D38DD">
        <w:t xml:space="preserve">into the note that lists terms used in the Order as defined in the Navigation Act. </w:t>
      </w:r>
    </w:p>
    <w:p w:rsidR="006D38DD" w:rsidRDefault="006D38DD" w:rsidP="00007792">
      <w:pPr>
        <w:pStyle w:val="LDMinuteParagraph"/>
      </w:pPr>
      <w:r>
        <w:t>Item 3 amends section 5 to enable subsection 5(2) to be inserted.</w:t>
      </w:r>
    </w:p>
    <w:p w:rsidR="00430134" w:rsidRDefault="006D38DD" w:rsidP="00007792">
      <w:pPr>
        <w:pStyle w:val="LDMinuteParagraph"/>
      </w:pPr>
      <w:r>
        <w:t>Item 4 inserts new subsection 5(2)</w:t>
      </w:r>
      <w:r w:rsidR="00232AE2">
        <w:t xml:space="preserve"> that provides interpretation assistance for </w:t>
      </w:r>
      <w:r w:rsidR="00083393">
        <w:t xml:space="preserve">some </w:t>
      </w:r>
      <w:r w:rsidR="00232AE2">
        <w:t xml:space="preserve">terms </w:t>
      </w:r>
      <w:r w:rsidR="00083393">
        <w:t xml:space="preserve">used but not defined for the Order. </w:t>
      </w:r>
    </w:p>
    <w:p w:rsidR="00083393" w:rsidRDefault="00083393" w:rsidP="00D63B87">
      <w:pPr>
        <w:pStyle w:val="LDMinuteParagraph"/>
      </w:pPr>
      <w:r>
        <w:t>Item 5 replaces the application provision for the Order with a new provision that clearly sets out the kinds of vessels to which the Order applies. Subsection (4) makes clear that, in addition to the kinds of vessels to which Annex I of MARPOL already applies, it is taken to apply to</w:t>
      </w:r>
      <w:r w:rsidR="00E55912">
        <w:t xml:space="preserve"> vessels owned and operated by the Commonwealth and used for the time being, on go</w:t>
      </w:r>
      <w:r w:rsidR="00970DF2">
        <w:t>vernment non-commercial service; for example, a vessel owned by the Commonwealth that is engaged in scientific research activity.</w:t>
      </w:r>
    </w:p>
    <w:p w:rsidR="00970DF2" w:rsidRDefault="00083393" w:rsidP="004F5C40">
      <w:pPr>
        <w:pStyle w:val="LDMinuteParagraph"/>
      </w:pPr>
      <w:r>
        <w:t xml:space="preserve">Item 6 </w:t>
      </w:r>
      <w:r w:rsidR="00970DF2">
        <w:t xml:space="preserve">updates the </w:t>
      </w:r>
      <w:r w:rsidR="00082178">
        <w:t xml:space="preserve">provisions of Annex I </w:t>
      </w:r>
      <w:r>
        <w:t xml:space="preserve">of MARPOL </w:t>
      </w:r>
      <w:r w:rsidR="00970DF2">
        <w:t xml:space="preserve">mentioned in section 7 that provide for </w:t>
      </w:r>
      <w:r>
        <w:t>the giving of waivers</w:t>
      </w:r>
      <w:r w:rsidR="00970DF2">
        <w:t xml:space="preserve"> by AMSA. </w:t>
      </w:r>
    </w:p>
    <w:p w:rsidR="00430134" w:rsidRDefault="00083393" w:rsidP="004F5C40">
      <w:pPr>
        <w:pStyle w:val="LDMinuteParagraph"/>
      </w:pPr>
      <w:r>
        <w:t>Item 7 amends paragraph 13(d) to refer to an issuin</w:t>
      </w:r>
      <w:r w:rsidR="00082178">
        <w:t xml:space="preserve">g body </w:t>
      </w:r>
      <w:r>
        <w:t>instead o</w:t>
      </w:r>
      <w:r w:rsidR="00082178">
        <w:t>f</w:t>
      </w:r>
      <w:r>
        <w:t xml:space="preserve"> </w:t>
      </w:r>
      <w:r w:rsidR="00082178">
        <w:t xml:space="preserve">only </w:t>
      </w:r>
      <w:r>
        <w:t xml:space="preserve">to AMSA. </w:t>
      </w:r>
      <w:r w:rsidR="00082178">
        <w:t>This is because a</w:t>
      </w:r>
      <w:r>
        <w:t xml:space="preserve">n issuing body may be either AMSA or a </w:t>
      </w:r>
      <w:r w:rsidR="00082178">
        <w:t>recognised organisation.</w:t>
      </w:r>
    </w:p>
    <w:p w:rsidR="00082178" w:rsidRDefault="00082178" w:rsidP="00007792">
      <w:pPr>
        <w:pStyle w:val="LDMinuteParagraph"/>
      </w:pPr>
      <w:r>
        <w:t>Item 8 replaces the reference to ‘the issuing body’ in section 18 with a reference to each issuing body that issued the IOPP certificate for the vessel. This wording more closely aligns with the wording in paragraph 137(1</w:t>
      </w:r>
      <w:proofErr w:type="gramStart"/>
      <w:r>
        <w:t>)(</w:t>
      </w:r>
      <w:proofErr w:type="gramEnd"/>
      <w:r>
        <w:t>c) of the Navigation Act.</w:t>
      </w:r>
    </w:p>
    <w:p w:rsidR="00430134" w:rsidRDefault="00082178" w:rsidP="00007792">
      <w:pPr>
        <w:pStyle w:val="LDMinuteParagraph"/>
      </w:pPr>
      <w:r>
        <w:t xml:space="preserve">Item 9 substitutes a new section 19. The new section ensures that foreign vessels to which MARPOL does not apply must still comply with any certificate or other document issued by the Administration of the country in which the vessel is registered. This is to ensure that foreign vessels registered in those countries receive </w:t>
      </w:r>
      <w:r w:rsidR="002F0011">
        <w:t xml:space="preserve">no </w:t>
      </w:r>
      <w:r>
        <w:t xml:space="preserve">favourable treatment </w:t>
      </w:r>
      <w:r w:rsidR="002F0011">
        <w:t xml:space="preserve">in relation to the need for written evidence of the prevention of oil pollution by the vessel compared to </w:t>
      </w:r>
      <w:r>
        <w:t>vessels registered in countries that have ratified MARPOL.</w:t>
      </w:r>
    </w:p>
    <w:p w:rsidR="00082178" w:rsidRDefault="00082178" w:rsidP="00007792">
      <w:pPr>
        <w:pStyle w:val="LDMinuteParagraph"/>
      </w:pPr>
      <w:r>
        <w:t xml:space="preserve">Items 10 and 11 make amendments to </w:t>
      </w:r>
      <w:r w:rsidR="00A710BB">
        <w:t xml:space="preserve">update </w:t>
      </w:r>
      <w:r>
        <w:t>the ways in which incidents involving oil or oil mixture or damage, failure or breakdown can be notified to reflect current practices.</w:t>
      </w:r>
    </w:p>
    <w:p w:rsidR="00F856DC" w:rsidRDefault="00A710BB" w:rsidP="00F856DC">
      <w:pPr>
        <w:pStyle w:val="LDMinuteParagraph"/>
      </w:pPr>
      <w:r>
        <w:lastRenderedPageBreak/>
        <w:t>Item 13 inserts a new subsect</w:t>
      </w:r>
      <w:r w:rsidR="00082178">
        <w:t>io</w:t>
      </w:r>
      <w:r>
        <w:t>n</w:t>
      </w:r>
      <w:r w:rsidR="00082178">
        <w:t xml:space="preserve"> 22A that </w:t>
      </w:r>
      <w:r>
        <w:t xml:space="preserve">extends the application of section 11A of the Pollution Prevention Act (that requires </w:t>
      </w:r>
      <w:r w:rsidR="00365AA3">
        <w:t>ship board oil poll</w:t>
      </w:r>
      <w:r>
        <w:t xml:space="preserve">ution emergency plans) to foreign ships that are in Australian ports, the territorial sea of Australia or the sea on the landward side of the territorial sea. </w:t>
      </w:r>
      <w:r w:rsidR="00365AA3">
        <w:t xml:space="preserve">Section 32(1A) of the Pollution Prevention Act provides that this provision may be </w:t>
      </w:r>
      <w:r>
        <w:t xml:space="preserve">extended, by the </w:t>
      </w:r>
      <w:r w:rsidRPr="00F856DC">
        <w:t xml:space="preserve">regulations, to cover foreign ships </w:t>
      </w:r>
      <w:r w:rsidR="00365AA3" w:rsidRPr="00F856DC">
        <w:t xml:space="preserve">in those areas </w:t>
      </w:r>
      <w:r w:rsidRPr="00F856DC">
        <w:t>as well as Australian ships</w:t>
      </w:r>
      <w:r w:rsidR="00365AA3" w:rsidRPr="00F856DC">
        <w:t>.</w:t>
      </w:r>
      <w:r w:rsidR="00F856DC" w:rsidRPr="00F856DC">
        <w:t xml:space="preserve"> Section 34 of the Act allows AMSA to make orders with respect to any matter in relation to which provision may be made by regulations.</w:t>
      </w:r>
    </w:p>
    <w:p w:rsidR="00A710BB" w:rsidRDefault="00A710BB" w:rsidP="00A710BB">
      <w:pPr>
        <w:pStyle w:val="LDMinuteParagraph"/>
      </w:pPr>
      <w:r>
        <w:t xml:space="preserve">Item 14 </w:t>
      </w:r>
      <w:r w:rsidR="00365AA3">
        <w:t xml:space="preserve">inserts new section 25A to </w:t>
      </w:r>
      <w:r>
        <w:t>prescrib</w:t>
      </w:r>
      <w:r w:rsidR="00365AA3">
        <w:t>e</w:t>
      </w:r>
      <w:r>
        <w:t xml:space="preserve"> the transfer of oil cargo from an oil tanker to an oil tanker of at least 150 GT as a prescribed operation</w:t>
      </w:r>
      <w:r w:rsidR="00365AA3">
        <w:t xml:space="preserve"> and extends the application of </w:t>
      </w:r>
      <w:r w:rsidR="00F856DC">
        <w:t>section</w:t>
      </w:r>
      <w:r w:rsidR="00365AA3">
        <w:t>s</w:t>
      </w:r>
      <w:r w:rsidR="00F856DC">
        <w:t xml:space="preserve"> </w:t>
      </w:r>
      <w:r w:rsidR="00365AA3">
        <w:t>11D and 11E of the Pollution Prevention Act to apply to foreign ships. Under subsection 32(1) of the Act, this provision of the Act may be extended to foreign ships by the regulations.</w:t>
      </w:r>
    </w:p>
    <w:p w:rsidR="00B14A60" w:rsidRDefault="00365AA3" w:rsidP="00B14A60">
      <w:pPr>
        <w:pStyle w:val="LDMinuteParagraph"/>
      </w:pPr>
      <w:r>
        <w:t xml:space="preserve">Item 15 </w:t>
      </w:r>
      <w:r w:rsidR="00B14A60">
        <w:t xml:space="preserve">inserts a new subsection 29A that extends the application of section 12 of the Pollution Prevention Act (that requires oil record books) to foreign ships that are in Australian ports, the territorial sea of Australia or the sea on the landward side of the territorial sea. Section </w:t>
      </w:r>
      <w:r w:rsidR="00C924FB">
        <w:t>32(1</w:t>
      </w:r>
      <w:r w:rsidR="00B14A60">
        <w:t>) of the Pollution Prevention Act provides that this provision may be extended</w:t>
      </w:r>
      <w:r w:rsidR="00F856DC">
        <w:t xml:space="preserve"> by the regulations</w:t>
      </w:r>
      <w:r w:rsidR="00B14A60">
        <w:t xml:space="preserve"> to cover foreign ships </w:t>
      </w:r>
      <w:r w:rsidR="00F856DC">
        <w:t>in those areas</w:t>
      </w:r>
      <w:r w:rsidR="00B14A60">
        <w:t>.</w:t>
      </w:r>
    </w:p>
    <w:p w:rsidR="00365AA3" w:rsidRDefault="00F856DC" w:rsidP="00A710BB">
      <w:pPr>
        <w:pStyle w:val="LDMinuteParagraph"/>
      </w:pPr>
      <w:r>
        <w:t>Item 16 is a minor technical amendment</w:t>
      </w:r>
    </w:p>
    <w:p w:rsidR="00990056" w:rsidRDefault="000A2964" w:rsidP="00007792">
      <w:pPr>
        <w:pStyle w:val="LDAmendHeading"/>
      </w:pPr>
      <w:r>
        <w:t>Statement of c</w:t>
      </w:r>
      <w:r w:rsidR="00990056">
        <w:t>ompatibility with human rights</w:t>
      </w:r>
    </w:p>
    <w:p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rsidR="00DD3F12" w:rsidRDefault="001B6287" w:rsidP="00DD3F12">
      <w:pPr>
        <w:pStyle w:val="LDMinuteParagraph"/>
      </w:pPr>
      <w:r>
        <w:t>This Order makes amendme</w:t>
      </w:r>
      <w:r w:rsidR="008D07CF">
        <w:t xml:space="preserve">nts </w:t>
      </w:r>
      <w:r>
        <w:t xml:space="preserve">to </w:t>
      </w:r>
      <w:r w:rsidRPr="001B6287">
        <w:rPr>
          <w:i/>
        </w:rPr>
        <w:t>Marine Order</w:t>
      </w:r>
      <w:r>
        <w:rPr>
          <w:i/>
        </w:rPr>
        <w:t> </w:t>
      </w:r>
      <w:r w:rsidRPr="001B6287">
        <w:rPr>
          <w:i/>
        </w:rPr>
        <w:t>91 (Marine pollution prevention — oil) 2014</w:t>
      </w:r>
      <w:r>
        <w:rPr>
          <w:i/>
        </w:rPr>
        <w:t xml:space="preserve"> </w:t>
      </w:r>
      <w:r>
        <w:t>(M</w:t>
      </w:r>
      <w:r w:rsidR="00DD3F12">
        <w:t xml:space="preserve">arine Order </w:t>
      </w:r>
      <w:r>
        <w:t>91)</w:t>
      </w:r>
      <w:r w:rsidR="00C8025C">
        <w:t xml:space="preserve"> that is made under both the</w:t>
      </w:r>
      <w:r>
        <w:t xml:space="preserve"> </w:t>
      </w:r>
      <w:r w:rsidRPr="001B6287">
        <w:rPr>
          <w:i/>
        </w:rPr>
        <w:t>Navigation Act 2012</w:t>
      </w:r>
      <w:r>
        <w:t xml:space="preserve"> and the </w:t>
      </w:r>
      <w:r w:rsidRPr="00AD5028">
        <w:rPr>
          <w:i/>
        </w:rPr>
        <w:t>Protection of the Sea (Prevention of Pollution from Ships) Act 1983</w:t>
      </w:r>
      <w:r>
        <w:t>.</w:t>
      </w:r>
      <w:r w:rsidR="008D07CF">
        <w:t xml:space="preserve"> </w:t>
      </w:r>
      <w:r w:rsidR="00DD3F12">
        <w:t xml:space="preserve">This Order is also made under both </w:t>
      </w:r>
      <w:r w:rsidR="00C8025C">
        <w:t xml:space="preserve">those </w:t>
      </w:r>
      <w:r w:rsidR="00DD3F12">
        <w:t>Acts.</w:t>
      </w:r>
    </w:p>
    <w:p w:rsidR="00DD3F12" w:rsidRDefault="008D07CF" w:rsidP="00DD3F12">
      <w:pPr>
        <w:pStyle w:val="LDMinuteParagraph"/>
      </w:pPr>
      <w:r>
        <w:t xml:space="preserve">Marine Order 91 gives effect to Annex I of </w:t>
      </w:r>
      <w:r w:rsidR="00DD3F12">
        <w:t>the International Convention for the Prevention of Pollution from Ships (</w:t>
      </w:r>
      <w:r>
        <w:t>MARPOL</w:t>
      </w:r>
      <w:r w:rsidR="00DD3F12">
        <w:t>)</w:t>
      </w:r>
      <w:r>
        <w:t xml:space="preserve"> which deals with prevention of marine pollution by oil from ships. Marine Order 91 also </w:t>
      </w:r>
      <w:r w:rsidR="00DD3F12">
        <w:t>prescribes matters for Part </w:t>
      </w:r>
      <w:r>
        <w:t>II (Prevention of pollution by oil)</w:t>
      </w:r>
      <w:r w:rsidR="00DD3F12">
        <w:t xml:space="preserve"> of the Pollution Prevention Act and provides for matters for Chapter 4 (Prevention of pollution) of the Navigation Act.</w:t>
      </w:r>
    </w:p>
    <w:p w:rsidR="00DD3F12" w:rsidRDefault="00DD3F12" w:rsidP="00DD3F12">
      <w:pPr>
        <w:pStyle w:val="LDMinuteParagraph"/>
      </w:pPr>
      <w:r w:rsidRPr="004908D2">
        <w:t xml:space="preserve">The Order amends Marine Order 91 to clarify how it applies to different kinds of vessels. </w:t>
      </w:r>
      <w:r w:rsidR="00C924FB" w:rsidRPr="004908D2">
        <w:t xml:space="preserve">The amendments also </w:t>
      </w:r>
      <w:r w:rsidRPr="004908D2">
        <w:t>require</w:t>
      </w:r>
      <w:r w:rsidR="00C924FB" w:rsidRPr="004908D2">
        <w:t xml:space="preserve"> </w:t>
      </w:r>
      <w:r w:rsidRPr="004908D2">
        <w:t xml:space="preserve">foreign vessels that are registered in </w:t>
      </w:r>
      <w:r w:rsidR="00C8025C" w:rsidRPr="004908D2">
        <w:t xml:space="preserve">a country that is not a party </w:t>
      </w:r>
      <w:r w:rsidRPr="004908D2">
        <w:t>to MARPOL to carry and comply with certificates or other documents dealing with the prevention of pollution by oil issued by the Administration of that country. This ensures that these vessels</w:t>
      </w:r>
      <w:r w:rsidR="002F0011">
        <w:t xml:space="preserve"> </w:t>
      </w:r>
      <w:r w:rsidRPr="004908D2">
        <w:t xml:space="preserve">receive </w:t>
      </w:r>
      <w:r w:rsidR="002F0011">
        <w:t xml:space="preserve">no </w:t>
      </w:r>
      <w:r w:rsidRPr="004908D2">
        <w:t xml:space="preserve">favourable treatment </w:t>
      </w:r>
      <w:r w:rsidR="00C924FB" w:rsidRPr="004908D2">
        <w:t xml:space="preserve">in this regard </w:t>
      </w:r>
      <w:r w:rsidR="002F0011">
        <w:t xml:space="preserve">compared to </w:t>
      </w:r>
      <w:r w:rsidRPr="004908D2">
        <w:t xml:space="preserve">vessels registered in </w:t>
      </w:r>
      <w:r w:rsidR="00C8025C" w:rsidRPr="004908D2">
        <w:t>a country that is a party</w:t>
      </w:r>
      <w:r w:rsidR="00C924FB">
        <w:t xml:space="preserve"> to MARPOL.</w:t>
      </w:r>
    </w:p>
    <w:p w:rsidR="00DD3F12" w:rsidRDefault="00DD3F12" w:rsidP="00DD3F12">
      <w:pPr>
        <w:pStyle w:val="LDMinuteParagraph"/>
      </w:pPr>
      <w:r>
        <w:t xml:space="preserve">The Order also prescribes some matters so that certain provisions of the Pollution Prevention Act that apply to Australian ships (for example, the requirement to have a ship board oil pollution emergency plan) also apply to foreign ships when in Australian ports and waters. This is allowed for by </w:t>
      </w:r>
      <w:r w:rsidRPr="00F856DC">
        <w:t>section</w:t>
      </w:r>
      <w:r>
        <w:t> </w:t>
      </w:r>
      <w:r w:rsidRPr="00F856DC">
        <w:t>32</w:t>
      </w:r>
      <w:r>
        <w:t xml:space="preserve"> of the Pollution Prevention Act. </w:t>
      </w:r>
    </w:p>
    <w:p w:rsidR="00DD3F12" w:rsidRPr="009B015D" w:rsidRDefault="00DD3F12" w:rsidP="00DD3F12">
      <w:pPr>
        <w:pStyle w:val="LDMinuteParagraph"/>
      </w:pPr>
      <w:r>
        <w:t>The Order also makes some other amendments to aid the administration of the Order.</w:t>
      </w:r>
    </w:p>
    <w:p w:rsidR="00215AA5" w:rsidRPr="00215AA5" w:rsidRDefault="00215AA5" w:rsidP="00C8025C">
      <w:pPr>
        <w:pStyle w:val="LDMinuteParagraph"/>
        <w:keepNext/>
        <w:numPr>
          <w:ilvl w:val="0"/>
          <w:numId w:val="0"/>
        </w:numPr>
        <w:ind w:left="142"/>
        <w:rPr>
          <w:rFonts w:ascii="Arial" w:hAnsi="Arial" w:cs="Arial"/>
        </w:rPr>
      </w:pPr>
      <w:r w:rsidRPr="00215AA5">
        <w:rPr>
          <w:rFonts w:ascii="Arial" w:hAnsi="Arial" w:cs="Arial"/>
        </w:rPr>
        <w:lastRenderedPageBreak/>
        <w:t>Human rights implications</w:t>
      </w:r>
    </w:p>
    <w:p w:rsidR="001B6287" w:rsidRPr="009A05F5" w:rsidRDefault="001B6287" w:rsidP="001B6287">
      <w:pPr>
        <w:pStyle w:val="LDMinuteParagraph"/>
        <w:rPr>
          <w:shd w:val="clear" w:color="auto" w:fill="FFFFFF"/>
        </w:rPr>
      </w:pPr>
      <w:r w:rsidRPr="009A05F5">
        <w:rPr>
          <w:shd w:val="clear" w:color="auto" w:fill="FFFFFF"/>
        </w:rPr>
        <w:t xml:space="preserve">This instrument does not engage any of the rights or freedoms recognised or declared in the international instruments listed in section 3 of the </w:t>
      </w:r>
      <w:r w:rsidRPr="009A05F5">
        <w:rPr>
          <w:i/>
          <w:shd w:val="clear" w:color="auto" w:fill="FFFFFF"/>
        </w:rPr>
        <w:t>Human Rights (Parliamentary Scrutiny) Act 2011</w:t>
      </w:r>
      <w:r>
        <w:rPr>
          <w:shd w:val="clear" w:color="auto" w:fill="FFFFFF"/>
        </w:rPr>
        <w:t>.</w:t>
      </w:r>
    </w:p>
    <w:p w:rsidR="001B6287" w:rsidRPr="00E22FB6" w:rsidRDefault="001B6287" w:rsidP="001B6287">
      <w:pPr>
        <w:pStyle w:val="LDMinuteParagraph"/>
        <w:numPr>
          <w:ilvl w:val="0"/>
          <w:numId w:val="0"/>
        </w:numPr>
        <w:tabs>
          <w:tab w:val="num" w:pos="142"/>
        </w:tabs>
        <w:ind w:left="142"/>
        <w:rPr>
          <w:rFonts w:ascii="Arial" w:hAnsi="Arial" w:cs="Arial"/>
        </w:rPr>
      </w:pPr>
      <w:r w:rsidRPr="00E22FB6">
        <w:rPr>
          <w:rFonts w:ascii="Arial" w:hAnsi="Arial" w:cs="Arial"/>
        </w:rPr>
        <w:t>Conclusion</w:t>
      </w:r>
    </w:p>
    <w:p w:rsidR="001B6287" w:rsidRDefault="001B6287" w:rsidP="001B6287">
      <w:pPr>
        <w:pStyle w:val="LDMinuteParagraph"/>
      </w:pPr>
      <w:r>
        <w:t xml:space="preserve">AMSA considers that this instrument is compatible with human rights. It does not affect any rights or freedoms to which the </w:t>
      </w:r>
      <w:r>
        <w:rPr>
          <w:i/>
        </w:rPr>
        <w:t>Human Rights (Parliamentary Scrutiny) Act 2011</w:t>
      </w:r>
      <w:r>
        <w:t xml:space="preserve"> applies.</w:t>
      </w:r>
    </w:p>
    <w:p w:rsidR="00007792" w:rsidRPr="009B015D" w:rsidRDefault="00007792" w:rsidP="00007792">
      <w:pPr>
        <w:pStyle w:val="LDAmendHeading"/>
      </w:pPr>
      <w:r>
        <w:t xml:space="preserve">Making the </w:t>
      </w:r>
      <w:r w:rsidR="007005C4">
        <w:t>instrument</w:t>
      </w:r>
    </w:p>
    <w:p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7"/>
      <w:headerReference w:type="default" r:id="rId8"/>
      <w:footerReference w:type="even" r:id="rId9"/>
      <w:footerReference w:type="default" r:id="rId10"/>
      <w:headerReference w:type="first" r:id="rId11"/>
      <w:footerReference w:type="first" r:id="rId12"/>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EDD" w:rsidRDefault="00182EDD">
      <w:r>
        <w:separator/>
      </w:r>
    </w:p>
  </w:endnote>
  <w:endnote w:type="continuationSeparator" w:id="0">
    <w:p w:rsidR="00182EDD" w:rsidRDefault="0018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1B6287">
      <w:rPr>
        <w:rFonts w:ascii="Arial" w:hAnsi="Arial" w:cs="Arial"/>
        <w:i/>
        <w:sz w:val="16"/>
        <w:szCs w:val="16"/>
      </w:rPr>
      <w:t>91 (Marine pollution prevention — oil) Amendment Order 2018</w:t>
    </w:r>
    <w:r w:rsidR="001B6287">
      <w:rPr>
        <w:rFonts w:ascii="Arial" w:hAnsi="Arial" w:cs="Arial"/>
        <w:i/>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7F0E27">
      <w:rPr>
        <w:rStyle w:val="PageNumber"/>
        <w:rFonts w:ascii="Arial" w:hAnsi="Arial" w:cs="Arial"/>
        <w:noProof/>
        <w:sz w:val="16"/>
        <w:szCs w:val="16"/>
      </w:rPr>
      <w:t>4</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AEC" w:rsidRDefault="00D43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EDD" w:rsidRDefault="00182EDD">
      <w:r>
        <w:separator/>
      </w:r>
    </w:p>
  </w:footnote>
  <w:footnote w:type="continuationSeparator" w:id="0">
    <w:p w:rsidR="00182EDD" w:rsidRDefault="00182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AEC" w:rsidRDefault="00D43A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AEC" w:rsidRDefault="00D43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53899"/>
    <w:multiLevelType w:val="hybridMultilevel"/>
    <w:tmpl w:val="01EAC04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DD"/>
    <w:rsid w:val="00007792"/>
    <w:rsid w:val="000479EC"/>
    <w:rsid w:val="0006314D"/>
    <w:rsid w:val="00082178"/>
    <w:rsid w:val="00083393"/>
    <w:rsid w:val="00083A6A"/>
    <w:rsid w:val="00096CBB"/>
    <w:rsid w:val="000A2964"/>
    <w:rsid w:val="000A412C"/>
    <w:rsid w:val="001710F5"/>
    <w:rsid w:val="00182EDD"/>
    <w:rsid w:val="00187967"/>
    <w:rsid w:val="00191B5D"/>
    <w:rsid w:val="00194868"/>
    <w:rsid w:val="001B3CCE"/>
    <w:rsid w:val="001B5BF7"/>
    <w:rsid w:val="001B6287"/>
    <w:rsid w:val="001D419C"/>
    <w:rsid w:val="001E17EB"/>
    <w:rsid w:val="001E2E04"/>
    <w:rsid w:val="001E60FD"/>
    <w:rsid w:val="001F02B3"/>
    <w:rsid w:val="001F5996"/>
    <w:rsid w:val="00213489"/>
    <w:rsid w:val="00215AA5"/>
    <w:rsid w:val="00232AE2"/>
    <w:rsid w:val="00255D36"/>
    <w:rsid w:val="00270686"/>
    <w:rsid w:val="002C3A4D"/>
    <w:rsid w:val="002D7C61"/>
    <w:rsid w:val="002F0011"/>
    <w:rsid w:val="003141EB"/>
    <w:rsid w:val="00317AE8"/>
    <w:rsid w:val="00321E86"/>
    <w:rsid w:val="0032325C"/>
    <w:rsid w:val="00346D0C"/>
    <w:rsid w:val="00365AA3"/>
    <w:rsid w:val="003B2EEF"/>
    <w:rsid w:val="003C0D84"/>
    <w:rsid w:val="00411185"/>
    <w:rsid w:val="00413F57"/>
    <w:rsid w:val="00430134"/>
    <w:rsid w:val="00432C95"/>
    <w:rsid w:val="004511D5"/>
    <w:rsid w:val="00481043"/>
    <w:rsid w:val="004908D2"/>
    <w:rsid w:val="004B1BEA"/>
    <w:rsid w:val="004B20B7"/>
    <w:rsid w:val="004E3842"/>
    <w:rsid w:val="00506142"/>
    <w:rsid w:val="0050758D"/>
    <w:rsid w:val="00524E04"/>
    <w:rsid w:val="00545B58"/>
    <w:rsid w:val="0059658F"/>
    <w:rsid w:val="005B2444"/>
    <w:rsid w:val="005B52F3"/>
    <w:rsid w:val="005E442D"/>
    <w:rsid w:val="005F256E"/>
    <w:rsid w:val="005F3B6C"/>
    <w:rsid w:val="006479F6"/>
    <w:rsid w:val="00656080"/>
    <w:rsid w:val="00697B63"/>
    <w:rsid w:val="006A46BE"/>
    <w:rsid w:val="006A6E0B"/>
    <w:rsid w:val="006C119E"/>
    <w:rsid w:val="006C6A4D"/>
    <w:rsid w:val="006D38DD"/>
    <w:rsid w:val="006E2A8C"/>
    <w:rsid w:val="007005C4"/>
    <w:rsid w:val="00760EAE"/>
    <w:rsid w:val="00786E91"/>
    <w:rsid w:val="007F0E27"/>
    <w:rsid w:val="00833AA2"/>
    <w:rsid w:val="0085034C"/>
    <w:rsid w:val="008726FD"/>
    <w:rsid w:val="008846F2"/>
    <w:rsid w:val="008A2210"/>
    <w:rsid w:val="008C6984"/>
    <w:rsid w:val="008D07CF"/>
    <w:rsid w:val="008E2884"/>
    <w:rsid w:val="009030D5"/>
    <w:rsid w:val="00917BD0"/>
    <w:rsid w:val="00970DF2"/>
    <w:rsid w:val="00974171"/>
    <w:rsid w:val="00990056"/>
    <w:rsid w:val="009930DC"/>
    <w:rsid w:val="009A3D84"/>
    <w:rsid w:val="009B015D"/>
    <w:rsid w:val="009B2616"/>
    <w:rsid w:val="009B53F7"/>
    <w:rsid w:val="009C3750"/>
    <w:rsid w:val="009D4938"/>
    <w:rsid w:val="009F7B4D"/>
    <w:rsid w:val="00A247B1"/>
    <w:rsid w:val="00A302C2"/>
    <w:rsid w:val="00A346B9"/>
    <w:rsid w:val="00A42FE5"/>
    <w:rsid w:val="00A53961"/>
    <w:rsid w:val="00A710BB"/>
    <w:rsid w:val="00A841E5"/>
    <w:rsid w:val="00AC3D81"/>
    <w:rsid w:val="00AD3979"/>
    <w:rsid w:val="00AF16BD"/>
    <w:rsid w:val="00B0758F"/>
    <w:rsid w:val="00B14A60"/>
    <w:rsid w:val="00B1667C"/>
    <w:rsid w:val="00B36E48"/>
    <w:rsid w:val="00B4479A"/>
    <w:rsid w:val="00B95EA6"/>
    <w:rsid w:val="00B97324"/>
    <w:rsid w:val="00BA6239"/>
    <w:rsid w:val="00BB6EA6"/>
    <w:rsid w:val="00BD1912"/>
    <w:rsid w:val="00C061DE"/>
    <w:rsid w:val="00C8025C"/>
    <w:rsid w:val="00C803C8"/>
    <w:rsid w:val="00C924FB"/>
    <w:rsid w:val="00D02BDE"/>
    <w:rsid w:val="00D37A0B"/>
    <w:rsid w:val="00D43AEC"/>
    <w:rsid w:val="00D60F7F"/>
    <w:rsid w:val="00DD3F12"/>
    <w:rsid w:val="00DE2E3D"/>
    <w:rsid w:val="00DE752E"/>
    <w:rsid w:val="00E118EB"/>
    <w:rsid w:val="00E14DCC"/>
    <w:rsid w:val="00E2679C"/>
    <w:rsid w:val="00E55912"/>
    <w:rsid w:val="00E576E4"/>
    <w:rsid w:val="00E85B1F"/>
    <w:rsid w:val="00E90ECA"/>
    <w:rsid w:val="00EE71A2"/>
    <w:rsid w:val="00F0537A"/>
    <w:rsid w:val="00F335A8"/>
    <w:rsid w:val="00F44956"/>
    <w:rsid w:val="00F54626"/>
    <w:rsid w:val="00F555F3"/>
    <w:rsid w:val="00F63BD0"/>
    <w:rsid w:val="00F660D0"/>
    <w:rsid w:val="00F856DC"/>
    <w:rsid w:val="00F8601E"/>
    <w:rsid w:val="00FA25D4"/>
    <w:rsid w:val="00FB71D1"/>
    <w:rsid w:val="00FC20F7"/>
    <w:rsid w:val="00FD051D"/>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Emphasis">
    <w:name w:val="Emphasis"/>
    <w:basedOn w:val="DefaultParagraphFont"/>
    <w:qFormat/>
    <w:rsid w:val="001B3C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2077</Words>
  <Characters>10455</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2018-03-13T00:35:00Z</dcterms:created>
  <dcterms:modified xsi:type="dcterms:W3CDTF">2018-03-13T00:35:00Z</dcterms:modified>
</cp:coreProperties>
</file>