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Default="008A0C22"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F33A28" w:rsidRDefault="00971F0C" w:rsidP="00F33A28">
      <w:pPr>
        <w:pStyle w:val="LDTitle"/>
        <w:rPr>
          <w:rStyle w:val="LDCitation"/>
        </w:rPr>
      </w:pPr>
      <w:r>
        <w:t xml:space="preserve">AMSA MO </w:t>
      </w:r>
      <w:r w:rsidR="00631841">
        <w:t>201</w:t>
      </w:r>
      <w:r w:rsidR="00BF2D80">
        <w:t>8</w:t>
      </w:r>
      <w:r w:rsidR="00BC7AA6">
        <w:t>/3</w:t>
      </w:r>
    </w:p>
    <w:p w:rsidR="00F54C84" w:rsidRPr="001409F1" w:rsidRDefault="00F54C84" w:rsidP="00F54C84">
      <w:pPr>
        <w:pStyle w:val="LDDescription"/>
      </w:pPr>
      <w:r>
        <w:t>Marine Order</w:t>
      </w:r>
      <w:r w:rsidR="00C129D7">
        <w:t xml:space="preserve"> </w:t>
      </w:r>
      <w:r w:rsidR="007A4009">
        <w:t>91 (Marine pollution prevention — oil) Amendment Order 201</w:t>
      </w:r>
      <w:r w:rsidR="00BF2D80">
        <w:t>8</w:t>
      </w:r>
    </w:p>
    <w:p w:rsidR="002320F6" w:rsidRPr="002320F6" w:rsidRDefault="002320F6" w:rsidP="00F33A28">
      <w:pPr>
        <w:pStyle w:val="LDBodytext"/>
      </w:pPr>
      <w:r>
        <w:t xml:space="preserve">I, </w:t>
      </w:r>
      <w:r w:rsidR="009E30FA">
        <w:t>Michael</w:t>
      </w:r>
      <w:r w:rsidR="00990D26">
        <w:t xml:space="preserve"> Kinley</w:t>
      </w:r>
      <w:r>
        <w:t xml:space="preserve">, </w:t>
      </w:r>
      <w:r w:rsidR="009D5332">
        <w:t>Chief Executive Officer</w:t>
      </w:r>
      <w:r w:rsidR="00971F0C">
        <w:t xml:space="preserve"> of the Australian Maritime Safety Authority, make this</w:t>
      </w:r>
      <w:r>
        <w:t xml:space="preserve"> Order under </w:t>
      </w:r>
      <w:r w:rsidR="00587B31">
        <w:t>subsection </w:t>
      </w:r>
      <w:r w:rsidR="00094FBA">
        <w:t>342</w:t>
      </w:r>
      <w:r w:rsidR="00971F0C">
        <w:t xml:space="preserve">(1) of </w:t>
      </w:r>
      <w:r w:rsidR="009D5332">
        <w:t xml:space="preserve">the </w:t>
      </w:r>
      <w:r w:rsidR="00094FBA">
        <w:rPr>
          <w:i/>
        </w:rPr>
        <w:t>Navigation Act 2012</w:t>
      </w:r>
      <w:r w:rsidR="007A4009">
        <w:rPr>
          <w:i/>
        </w:rPr>
        <w:t xml:space="preserve"> </w:t>
      </w:r>
      <w:r w:rsidR="007A4009">
        <w:t xml:space="preserve">and subsection 34(1) of the </w:t>
      </w:r>
      <w:r w:rsidR="007A4009">
        <w:rPr>
          <w:i/>
        </w:rPr>
        <w:t>Protection of the Sea</w:t>
      </w:r>
      <w:r w:rsidR="006E1CE6">
        <w:rPr>
          <w:i/>
        </w:rPr>
        <w:t xml:space="preserve"> (Prevention of Pollution from S</w:t>
      </w:r>
      <w:r w:rsidR="007A4009">
        <w:rPr>
          <w:i/>
        </w:rPr>
        <w:t>hips) Act 1983</w:t>
      </w:r>
      <w:r>
        <w:t>.</w:t>
      </w:r>
    </w:p>
    <w:p w:rsidR="00641705" w:rsidRPr="009D5332" w:rsidRDefault="00265043" w:rsidP="00641705">
      <w:pPr>
        <w:pStyle w:val="LDDate"/>
      </w:pPr>
      <w:r>
        <w:t xml:space="preserve">15 March </w:t>
      </w:r>
      <w:r w:rsidR="00641705">
        <w:t>201</w:t>
      </w:r>
      <w:r w:rsidR="00BF2D80">
        <w:t>8</w:t>
      </w:r>
    </w:p>
    <w:p w:rsidR="005F6E40" w:rsidRDefault="00265043" w:rsidP="00641705">
      <w:pPr>
        <w:pStyle w:val="LDSignatory"/>
      </w:pPr>
      <w:r>
        <w:rPr>
          <w:rStyle w:val="StyleLDSignatoryBoldChar"/>
        </w:rPr>
        <w:t>Michael Kinley</w:t>
      </w:r>
      <w:bookmarkStart w:id="0" w:name="_GoBack"/>
      <w:bookmarkEnd w:id="0"/>
      <w:r w:rsidR="00F33A28" w:rsidRPr="00C66588">
        <w:rPr>
          <w:rStyle w:val="StyleLDSignatoryBoldChar"/>
        </w:rPr>
        <w:br/>
      </w:r>
      <w:r w:rsidR="00F33A28" w:rsidRPr="00F33A28">
        <w:t>Chief Executive Officer</w:t>
      </w:r>
    </w:p>
    <w:p w:rsidR="00E156DE" w:rsidRPr="00E156DE" w:rsidRDefault="00E156DE" w:rsidP="00E156DE">
      <w:pPr>
        <w:pStyle w:val="LDBodytext"/>
      </w:pPr>
    </w:p>
    <w:p w:rsidR="00C01056" w:rsidRPr="00E156DE" w:rsidRDefault="00C01056" w:rsidP="00E156DE">
      <w:pPr>
        <w:pStyle w:val="SigningPageBreak"/>
        <w:sectPr w:rsidR="00C01056" w:rsidRPr="00E156DE" w:rsidSect="00E156DE">
          <w:headerReference w:type="even" r:id="rId9"/>
          <w:headerReference w:type="default" r:id="rId10"/>
          <w:footerReference w:type="even" r:id="rId11"/>
          <w:footerReference w:type="default" r:id="rId12"/>
          <w:footerReference w:type="first" r:id="rId13"/>
          <w:pgSz w:w="11907" w:h="16839" w:code="9"/>
          <w:pgMar w:top="1361" w:right="1701" w:bottom="1361" w:left="1701" w:header="567" w:footer="567" w:gutter="0"/>
          <w:cols w:space="708"/>
          <w:titlePg/>
          <w:docGrid w:linePitch="360"/>
        </w:sectPr>
      </w:pPr>
      <w:bookmarkStart w:id="1" w:name="_Toc298239777"/>
      <w:bookmarkStart w:id="2" w:name="_Toc298239791"/>
    </w:p>
    <w:p w:rsidR="004C6E70" w:rsidRPr="004C6E70" w:rsidRDefault="002320F6" w:rsidP="00CE5AD0">
      <w:pPr>
        <w:pStyle w:val="LDClauseHeading"/>
        <w:tabs>
          <w:tab w:val="left" w:pos="360"/>
        </w:tabs>
      </w:pPr>
      <w:r w:rsidRPr="00CE5AD0">
        <w:rPr>
          <w:rStyle w:val="CharSectNo"/>
        </w:rPr>
        <w:lastRenderedPageBreak/>
        <w:t>1</w:t>
      </w:r>
      <w:r>
        <w:tab/>
      </w:r>
      <w:r w:rsidR="00CE5AD0">
        <w:tab/>
      </w:r>
      <w:r>
        <w:t>Name of Order</w:t>
      </w:r>
      <w:bookmarkEnd w:id="1"/>
      <w:bookmarkEnd w:id="2"/>
    </w:p>
    <w:p w:rsidR="00CB4649" w:rsidRPr="00CB4649" w:rsidRDefault="002320F6" w:rsidP="00CB4649">
      <w:pPr>
        <w:pStyle w:val="LDClause"/>
      </w:pPr>
      <w:r>
        <w:tab/>
      </w:r>
      <w:r>
        <w:tab/>
        <w:t>Th</w:t>
      </w:r>
      <w:r w:rsidR="00F33A28">
        <w:t>is</w:t>
      </w:r>
      <w:r>
        <w:t xml:space="preserve"> Ord</w:t>
      </w:r>
      <w:r w:rsidR="0043276E">
        <w:t>er</w:t>
      </w:r>
      <w:r>
        <w:t xml:space="preserve"> </w:t>
      </w:r>
      <w:r w:rsidR="00F33A28">
        <w:t>is</w:t>
      </w:r>
      <w:r>
        <w:t xml:space="preserve"> </w:t>
      </w:r>
      <w:r w:rsidR="00EB35D0" w:rsidRPr="00EB35D0">
        <w:rPr>
          <w:i/>
        </w:rPr>
        <w:t>Marine Order 91 (Marine pollution prevention — oil) Amendment Order 2018</w:t>
      </w:r>
      <w:r>
        <w:t>.</w:t>
      </w:r>
    </w:p>
    <w:p w:rsidR="002320F6" w:rsidRDefault="002320F6" w:rsidP="00692F9E">
      <w:pPr>
        <w:pStyle w:val="LDClauseHeading"/>
      </w:pPr>
      <w:bookmarkStart w:id="3" w:name="_Toc298239778"/>
      <w:bookmarkStart w:id="4" w:name="_Toc298239792"/>
      <w:r w:rsidRPr="00CE5AD0">
        <w:rPr>
          <w:rStyle w:val="CharSectNo"/>
        </w:rPr>
        <w:t>2</w:t>
      </w:r>
      <w:r>
        <w:tab/>
        <w:t>Commencement</w:t>
      </w:r>
      <w:bookmarkEnd w:id="3"/>
      <w:bookmarkEnd w:id="4"/>
    </w:p>
    <w:p w:rsidR="002320F6" w:rsidRDefault="0043276E" w:rsidP="00692F9E">
      <w:pPr>
        <w:pStyle w:val="LDClause"/>
      </w:pPr>
      <w:r>
        <w:tab/>
      </w:r>
      <w:r>
        <w:tab/>
        <w:t>This</w:t>
      </w:r>
      <w:r w:rsidR="002320F6">
        <w:t xml:space="preserve"> Ord</w:t>
      </w:r>
      <w:r>
        <w:t>er</w:t>
      </w:r>
      <w:r w:rsidR="002320F6">
        <w:t xml:space="preserve"> commence</w:t>
      </w:r>
      <w:r>
        <w:t>s</w:t>
      </w:r>
      <w:r w:rsidR="002320F6">
        <w:t xml:space="preserve"> on</w:t>
      </w:r>
      <w:r w:rsidR="006B6EBF">
        <w:t xml:space="preserve"> </w:t>
      </w:r>
      <w:r w:rsidR="00D363DF">
        <w:t xml:space="preserve">1 April 2018. </w:t>
      </w:r>
    </w:p>
    <w:p w:rsidR="007B6407" w:rsidRDefault="002320F6" w:rsidP="007B6407">
      <w:pPr>
        <w:pStyle w:val="LDClauseHeading"/>
        <w:rPr>
          <w:i/>
        </w:rPr>
      </w:pPr>
      <w:bookmarkStart w:id="5" w:name="_Toc298239779"/>
      <w:bookmarkStart w:id="6" w:name="_Toc298239793"/>
      <w:r w:rsidRPr="00CE5AD0">
        <w:rPr>
          <w:rStyle w:val="CharSectNo"/>
        </w:rPr>
        <w:t>3</w:t>
      </w:r>
      <w:r>
        <w:tab/>
        <w:t xml:space="preserve">Amendment of </w:t>
      </w:r>
      <w:r w:rsidR="009D5332" w:rsidRPr="00670CD9">
        <w:rPr>
          <w:i/>
        </w:rPr>
        <w:t>Marine</w:t>
      </w:r>
      <w:r w:rsidRPr="00670CD9">
        <w:rPr>
          <w:i/>
        </w:rPr>
        <w:t xml:space="preserve"> Order</w:t>
      </w:r>
      <w:bookmarkEnd w:id="5"/>
      <w:bookmarkEnd w:id="6"/>
      <w:r w:rsidR="007A4009">
        <w:rPr>
          <w:i/>
        </w:rPr>
        <w:t xml:space="preserve"> 91 (Marine pollution prevention — oil) 2014</w:t>
      </w:r>
    </w:p>
    <w:p w:rsidR="00225AD4" w:rsidRPr="00225AD4" w:rsidRDefault="00225AD4" w:rsidP="00225AD4">
      <w:pPr>
        <w:pStyle w:val="LDClause"/>
      </w:pPr>
      <w:r>
        <w:tab/>
      </w:r>
      <w:r>
        <w:tab/>
        <w:t xml:space="preserve">Schedule 1 amends </w:t>
      </w:r>
      <w:r w:rsidRPr="00670CD9">
        <w:rPr>
          <w:i/>
        </w:rPr>
        <w:t>Marine Order</w:t>
      </w:r>
      <w:r>
        <w:rPr>
          <w:i/>
        </w:rPr>
        <w:t xml:space="preserve"> 91 (Marine pollution prevention — oil) </w:t>
      </w:r>
      <w:r w:rsidRPr="00225AD4">
        <w:rPr>
          <w:i/>
        </w:rPr>
        <w:t>2014</w:t>
      </w:r>
      <w:r>
        <w:t>.</w:t>
      </w:r>
    </w:p>
    <w:p w:rsidR="002320F6" w:rsidRPr="00DA7E93" w:rsidRDefault="002320F6" w:rsidP="007A4009">
      <w:pPr>
        <w:pStyle w:val="LDScheduleheading"/>
      </w:pPr>
      <w:bookmarkStart w:id="7" w:name="_Toc298239780"/>
      <w:bookmarkStart w:id="8" w:name="_Toc298239794"/>
      <w:r w:rsidRPr="00DA7E93">
        <w:t>Schedule 1</w:t>
      </w:r>
      <w:r w:rsidRPr="00DA7E93">
        <w:tab/>
        <w:t>Amendment</w:t>
      </w:r>
      <w:bookmarkEnd w:id="7"/>
      <w:bookmarkEnd w:id="8"/>
    </w:p>
    <w:p w:rsidR="001D17C6" w:rsidRPr="00393625" w:rsidRDefault="007A4009" w:rsidP="001D17C6">
      <w:pPr>
        <w:pStyle w:val="LDAmendHeading"/>
      </w:pPr>
      <w:r w:rsidRPr="00393625">
        <w:t>[</w:t>
      </w:r>
      <w:r w:rsidR="00EB35D0">
        <w:rPr>
          <w:noProof/>
        </w:rPr>
        <w:t>1</w:t>
      </w:r>
      <w:r w:rsidRPr="00393625">
        <w:t>]</w:t>
      </w:r>
      <w:r w:rsidRPr="00393625">
        <w:tab/>
        <w:t>Section 4, definition</w:t>
      </w:r>
      <w:r w:rsidR="001D17C6" w:rsidRPr="00393625">
        <w:t>s</w:t>
      </w:r>
      <w:r w:rsidRPr="00393625">
        <w:t xml:space="preserve"> of </w:t>
      </w:r>
      <w:r w:rsidRPr="00393625">
        <w:rPr>
          <w:i/>
        </w:rPr>
        <w:t>certificate of competency</w:t>
      </w:r>
      <w:r w:rsidR="001D17C6" w:rsidRPr="00393625">
        <w:rPr>
          <w:i/>
        </w:rPr>
        <w:t xml:space="preserve"> </w:t>
      </w:r>
      <w:r w:rsidR="001D17C6" w:rsidRPr="00393625">
        <w:t xml:space="preserve">and </w:t>
      </w:r>
      <w:r w:rsidR="001D17C6" w:rsidRPr="00393625">
        <w:rPr>
          <w:i/>
        </w:rPr>
        <w:t>management level</w:t>
      </w:r>
    </w:p>
    <w:p w:rsidR="007A4009" w:rsidRPr="00393625" w:rsidRDefault="001D17C6" w:rsidP="007A4009">
      <w:pPr>
        <w:pStyle w:val="LDAmendInstruction"/>
      </w:pPr>
      <w:proofErr w:type="gramStart"/>
      <w:r w:rsidRPr="00393625">
        <w:t>omit</w:t>
      </w:r>
      <w:proofErr w:type="gramEnd"/>
    </w:p>
    <w:p w:rsidR="003E641C" w:rsidRPr="00393625" w:rsidRDefault="003E641C" w:rsidP="003E641C">
      <w:pPr>
        <w:pStyle w:val="LDAmendHeading"/>
      </w:pPr>
      <w:r w:rsidRPr="00393625">
        <w:t>[</w:t>
      </w:r>
      <w:r w:rsidR="00EB35D0">
        <w:rPr>
          <w:noProof/>
        </w:rPr>
        <w:t>2</w:t>
      </w:r>
      <w:r w:rsidRPr="00393625">
        <w:t>]</w:t>
      </w:r>
      <w:r w:rsidRPr="00393625">
        <w:tab/>
        <w:t>Section 4, note 2</w:t>
      </w:r>
    </w:p>
    <w:p w:rsidR="003E641C" w:rsidRPr="00393625" w:rsidRDefault="0083504E" w:rsidP="003E641C">
      <w:pPr>
        <w:pStyle w:val="LDAmendText"/>
        <w:rPr>
          <w:i/>
        </w:rPr>
      </w:pPr>
      <w:proofErr w:type="gramStart"/>
      <w:r w:rsidRPr="00393625">
        <w:rPr>
          <w:i/>
        </w:rPr>
        <w:t>omit</w:t>
      </w:r>
      <w:proofErr w:type="gramEnd"/>
    </w:p>
    <w:p w:rsidR="003E641C" w:rsidRPr="00393625" w:rsidRDefault="003E641C" w:rsidP="0083504E">
      <w:pPr>
        <w:pStyle w:val="LDAmendInstruction"/>
        <w:ind w:left="1457"/>
        <w:rPr>
          <w:i w:val="0"/>
        </w:rPr>
      </w:pPr>
      <w:r w:rsidRPr="00393625">
        <w:rPr>
          <w:i w:val="0"/>
        </w:rPr>
        <w:t>AMSA</w:t>
      </w:r>
    </w:p>
    <w:p w:rsidR="003E641C" w:rsidRPr="00393625" w:rsidRDefault="003E641C" w:rsidP="003E641C">
      <w:pPr>
        <w:pStyle w:val="LDAmendText"/>
        <w:rPr>
          <w:i/>
        </w:rPr>
      </w:pPr>
      <w:proofErr w:type="gramStart"/>
      <w:r w:rsidRPr="00393625">
        <w:rPr>
          <w:i/>
        </w:rPr>
        <w:t>insert</w:t>
      </w:r>
      <w:proofErr w:type="gramEnd"/>
    </w:p>
    <w:p w:rsidR="003E641C" w:rsidRPr="003E641C" w:rsidRDefault="003E641C" w:rsidP="0083504E">
      <w:pPr>
        <w:pStyle w:val="LDAmendInstruction"/>
        <w:ind w:left="1457"/>
        <w:rPr>
          <w:i w:val="0"/>
        </w:rPr>
      </w:pPr>
      <w:r w:rsidRPr="00393625">
        <w:rPr>
          <w:i w:val="0"/>
        </w:rPr>
        <w:t>Australian nationality</w:t>
      </w:r>
    </w:p>
    <w:p w:rsidR="007A4009" w:rsidRPr="0039170F" w:rsidRDefault="007A4009" w:rsidP="007A4009">
      <w:pPr>
        <w:pStyle w:val="LDAmendHeading"/>
      </w:pPr>
      <w:r>
        <w:t>[</w:t>
      </w:r>
      <w:r w:rsidR="00EB35D0">
        <w:rPr>
          <w:noProof/>
        </w:rPr>
        <w:t>3</w:t>
      </w:r>
      <w:r>
        <w:t>]</w:t>
      </w:r>
      <w:r>
        <w:tab/>
        <w:t>Section 5</w:t>
      </w:r>
    </w:p>
    <w:p w:rsidR="007A4009" w:rsidRDefault="007A4009" w:rsidP="007A4009">
      <w:pPr>
        <w:pStyle w:val="LDAmendInstruction"/>
      </w:pPr>
      <w:proofErr w:type="gramStart"/>
      <w:r>
        <w:t>omit</w:t>
      </w:r>
      <w:proofErr w:type="gramEnd"/>
    </w:p>
    <w:p w:rsidR="007A4009" w:rsidRDefault="007A4009" w:rsidP="007A4009">
      <w:pPr>
        <w:pStyle w:val="LDClause"/>
      </w:pPr>
      <w:r>
        <w:tab/>
      </w:r>
      <w:r>
        <w:tab/>
        <w:t>For this Order:</w:t>
      </w:r>
    </w:p>
    <w:p w:rsidR="007A4009" w:rsidRDefault="007A4009" w:rsidP="007A4009">
      <w:pPr>
        <w:pStyle w:val="LDAmendInstruction"/>
      </w:pPr>
      <w:proofErr w:type="gramStart"/>
      <w:r>
        <w:t>insert</w:t>
      </w:r>
      <w:proofErr w:type="gramEnd"/>
    </w:p>
    <w:p w:rsidR="007A4009" w:rsidRPr="00F53314" w:rsidRDefault="007A4009" w:rsidP="007A4009">
      <w:pPr>
        <w:pStyle w:val="LDClause"/>
      </w:pPr>
      <w:r>
        <w:tab/>
      </w:r>
      <w:r w:rsidRPr="00F53314">
        <w:t>(1)</w:t>
      </w:r>
      <w:r w:rsidRPr="00F53314">
        <w:tab/>
      </w:r>
      <w:r>
        <w:t>For</w:t>
      </w:r>
      <w:r w:rsidRPr="00F53314">
        <w:t xml:space="preserve"> this Order:</w:t>
      </w:r>
    </w:p>
    <w:p w:rsidR="007A4009" w:rsidRPr="00B85C10" w:rsidRDefault="007A4009" w:rsidP="007A4009">
      <w:pPr>
        <w:pStyle w:val="LDAmendHeading"/>
      </w:pPr>
      <w:r w:rsidRPr="00B85C10">
        <w:t>[</w:t>
      </w:r>
      <w:r w:rsidR="00EB35D0">
        <w:rPr>
          <w:noProof/>
        </w:rPr>
        <w:t>4</w:t>
      </w:r>
      <w:r w:rsidRPr="00B85C10">
        <w:t>]</w:t>
      </w:r>
      <w:r w:rsidRPr="00B85C10">
        <w:tab/>
        <w:t>Section 5, after the note for paragraph (a)</w:t>
      </w:r>
    </w:p>
    <w:p w:rsidR="007A4009" w:rsidRPr="00B85C10" w:rsidRDefault="007A4009" w:rsidP="007A4009">
      <w:pPr>
        <w:pStyle w:val="LDAmendInstruction"/>
      </w:pPr>
      <w:proofErr w:type="gramStart"/>
      <w:r w:rsidRPr="00BA1A92">
        <w:t>i</w:t>
      </w:r>
      <w:r w:rsidRPr="00B85C10">
        <w:t>nsert</w:t>
      </w:r>
      <w:proofErr w:type="gramEnd"/>
    </w:p>
    <w:p w:rsidR="007A4009" w:rsidRPr="00CF3BA4" w:rsidRDefault="007A4009" w:rsidP="007A4009">
      <w:pPr>
        <w:pStyle w:val="LDClause"/>
        <w:keepNext/>
      </w:pPr>
      <w:r w:rsidRPr="00B85C10">
        <w:tab/>
        <w:t>(2)</w:t>
      </w:r>
      <w:r w:rsidRPr="00B85C10">
        <w:tab/>
        <w:t xml:space="preserve">In this Order, </w:t>
      </w:r>
      <w:r w:rsidRPr="00A85CE7">
        <w:t xml:space="preserve">a </w:t>
      </w:r>
      <w:r w:rsidRPr="00266722">
        <w:t xml:space="preserve">term that is used but is not defined for this </w:t>
      </w:r>
      <w:r w:rsidR="00DB0F10">
        <w:t xml:space="preserve">Order, and is defined in </w:t>
      </w:r>
      <w:r>
        <w:t>MARPOL</w:t>
      </w:r>
      <w:r w:rsidRPr="00010963">
        <w:t xml:space="preserve">, the STCW Convention or the STCW Code </w:t>
      </w:r>
      <w:r w:rsidR="00DB0F10">
        <w:t xml:space="preserve">has the meaning given by </w:t>
      </w:r>
      <w:r w:rsidRPr="00010963">
        <w:t>MARPOL, the STCW Convention or the STCW Code.</w:t>
      </w:r>
    </w:p>
    <w:p w:rsidR="007A4009" w:rsidRPr="00CF3BA4" w:rsidRDefault="007A4009" w:rsidP="007A4009">
      <w:pPr>
        <w:pStyle w:val="LDNote"/>
        <w:rPr>
          <w:i/>
          <w:iCs/>
        </w:rPr>
      </w:pPr>
      <w:r w:rsidRPr="00CF3BA4">
        <w:rPr>
          <w:i/>
          <w:iCs/>
        </w:rPr>
        <w:t>Examples</w:t>
      </w:r>
    </w:p>
    <w:p w:rsidR="007A4009" w:rsidRDefault="007A4009" w:rsidP="007A4009">
      <w:pPr>
        <w:pStyle w:val="LDNote"/>
      </w:pPr>
      <w:r>
        <w:rPr>
          <w:iCs/>
        </w:rPr>
        <w:t>1   D</w:t>
      </w:r>
      <w:r w:rsidRPr="00CF3BA4">
        <w:t xml:space="preserve">efinition of </w:t>
      </w:r>
      <w:r w:rsidRPr="00CF3BA4">
        <w:rPr>
          <w:b/>
          <w:i/>
        </w:rPr>
        <w:t>management level</w:t>
      </w:r>
      <w:r w:rsidRPr="00CF3BA4">
        <w:t xml:space="preserve"> in section A-I/1 of Chapter I of Part A of the STCW Code</w:t>
      </w:r>
      <w:r>
        <w:t>.</w:t>
      </w:r>
    </w:p>
    <w:p w:rsidR="007A4009" w:rsidRDefault="007A4009" w:rsidP="007A4009">
      <w:pPr>
        <w:pStyle w:val="LDNote"/>
        <w:ind w:left="964" w:hanging="227"/>
      </w:pPr>
      <w:r>
        <w:t xml:space="preserve">2   Definition of </w:t>
      </w:r>
      <w:r>
        <w:rPr>
          <w:b/>
          <w:i/>
        </w:rPr>
        <w:t>certificate of competency</w:t>
      </w:r>
      <w:r>
        <w:t xml:space="preserve"> in Regulation I/1 of the Annex to the STCW Convention.</w:t>
      </w:r>
    </w:p>
    <w:p w:rsidR="00AF6ABD" w:rsidRPr="00393625" w:rsidRDefault="00AF6ABD" w:rsidP="00AF6ABD">
      <w:pPr>
        <w:pStyle w:val="LDAmendHeading"/>
      </w:pPr>
      <w:r w:rsidRPr="00393625">
        <w:t>[</w:t>
      </w:r>
      <w:r w:rsidR="00EB35D0">
        <w:rPr>
          <w:noProof/>
        </w:rPr>
        <w:t>5</w:t>
      </w:r>
      <w:r w:rsidR="00037DD6" w:rsidRPr="00393625">
        <w:t>]</w:t>
      </w:r>
      <w:r w:rsidR="00037DD6" w:rsidRPr="00393625">
        <w:tab/>
        <w:t>S</w:t>
      </w:r>
      <w:r w:rsidR="005C2FA7" w:rsidRPr="00393625">
        <w:t>e</w:t>
      </w:r>
      <w:r w:rsidR="00037DD6" w:rsidRPr="00393625">
        <w:t>ction 6</w:t>
      </w:r>
    </w:p>
    <w:p w:rsidR="00AF6ABD" w:rsidRPr="00393625" w:rsidRDefault="00AF6ABD" w:rsidP="00AF6ABD">
      <w:pPr>
        <w:pStyle w:val="LDAmendInstruction"/>
      </w:pPr>
      <w:proofErr w:type="gramStart"/>
      <w:r w:rsidRPr="00393625">
        <w:t>substitute</w:t>
      </w:r>
      <w:proofErr w:type="gramEnd"/>
    </w:p>
    <w:p w:rsidR="00037DD6" w:rsidRDefault="00037DD6" w:rsidP="00037DD6">
      <w:pPr>
        <w:pStyle w:val="LDClauseHeading"/>
      </w:pPr>
      <w:r w:rsidRPr="00393625">
        <w:t>6</w:t>
      </w:r>
      <w:r w:rsidRPr="00393625">
        <w:tab/>
        <w:t>Application</w:t>
      </w:r>
    </w:p>
    <w:p w:rsidR="00F303C9" w:rsidRDefault="00D948FB" w:rsidP="00D948FB">
      <w:pPr>
        <w:pStyle w:val="LDClause"/>
        <w:numPr>
          <w:ilvl w:val="0"/>
          <w:numId w:val="26"/>
        </w:numPr>
        <w:tabs>
          <w:tab w:val="clear" w:pos="454"/>
          <w:tab w:val="clear" w:pos="737"/>
        </w:tabs>
      </w:pPr>
      <w:r w:rsidRPr="00DB3F6D">
        <w:t>This Order</w:t>
      </w:r>
      <w:r w:rsidR="00F303C9">
        <w:t xml:space="preserve"> </w:t>
      </w:r>
      <w:r w:rsidRPr="00DB3F6D">
        <w:t>applies to a vessel that is</w:t>
      </w:r>
      <w:r w:rsidR="00F303C9">
        <w:t>:</w:t>
      </w:r>
    </w:p>
    <w:p w:rsidR="00F303C9" w:rsidRDefault="00F303C9" w:rsidP="00F303C9">
      <w:pPr>
        <w:pStyle w:val="LDP1a"/>
      </w:pPr>
      <w:r>
        <w:t xml:space="preserve">(a) </w:t>
      </w:r>
      <w:r>
        <w:tab/>
      </w:r>
      <w:proofErr w:type="gramStart"/>
      <w:r>
        <w:t>a</w:t>
      </w:r>
      <w:proofErr w:type="gramEnd"/>
      <w:r>
        <w:t xml:space="preserve"> regulated </w:t>
      </w:r>
      <w:r w:rsidRPr="00F303C9">
        <w:t>Australian</w:t>
      </w:r>
      <w:r>
        <w:t xml:space="preserve"> vessel; or</w:t>
      </w:r>
    </w:p>
    <w:p w:rsidR="00F303C9" w:rsidRDefault="00F303C9" w:rsidP="005C6CA2">
      <w:pPr>
        <w:pStyle w:val="LDP1a"/>
      </w:pPr>
      <w:r>
        <w:lastRenderedPageBreak/>
        <w:t xml:space="preserve">(b) </w:t>
      </w:r>
      <w:r>
        <w:tab/>
      </w:r>
      <w:proofErr w:type="gramStart"/>
      <w:r>
        <w:t>a</w:t>
      </w:r>
      <w:proofErr w:type="gramEnd"/>
      <w:r>
        <w:t xml:space="preserve"> foreign vessel; or</w:t>
      </w:r>
    </w:p>
    <w:p w:rsidR="00F303C9" w:rsidRDefault="00F303C9" w:rsidP="005C6CA2">
      <w:pPr>
        <w:pStyle w:val="LDP1a"/>
      </w:pPr>
      <w:r>
        <w:t xml:space="preserve">(c) </w:t>
      </w:r>
      <w:r>
        <w:tab/>
      </w:r>
      <w:proofErr w:type="gramStart"/>
      <w:r w:rsidR="00D948FB" w:rsidRPr="00DB3F6D">
        <w:t>a</w:t>
      </w:r>
      <w:proofErr w:type="gramEnd"/>
      <w:r w:rsidR="00D948FB" w:rsidRPr="00DB3F6D">
        <w:t xml:space="preserve"> recreational vessel</w:t>
      </w:r>
      <w:r>
        <w:t>;</w:t>
      </w:r>
      <w:r w:rsidR="00D948FB" w:rsidRPr="00DB3F6D">
        <w:t xml:space="preserve"> or</w:t>
      </w:r>
    </w:p>
    <w:p w:rsidR="00D948FB" w:rsidRPr="00DB3F6D" w:rsidRDefault="00F303C9" w:rsidP="005C6CA2">
      <w:pPr>
        <w:pStyle w:val="LDP1a"/>
      </w:pPr>
      <w:r>
        <w:t xml:space="preserve">(d) </w:t>
      </w:r>
      <w:r>
        <w:tab/>
      </w:r>
      <w:proofErr w:type="gramStart"/>
      <w:r w:rsidR="00D948FB" w:rsidRPr="00DB3F6D">
        <w:t>a</w:t>
      </w:r>
      <w:proofErr w:type="gramEnd"/>
      <w:r w:rsidR="00D948FB" w:rsidRPr="00DB3F6D">
        <w:t xml:space="preserve"> domestic commercial vessel. </w:t>
      </w:r>
    </w:p>
    <w:p w:rsidR="00D948FB" w:rsidRPr="00DB3F6D" w:rsidRDefault="00D948FB" w:rsidP="00F303C9">
      <w:pPr>
        <w:pStyle w:val="LDClause"/>
        <w:numPr>
          <w:ilvl w:val="0"/>
          <w:numId w:val="26"/>
        </w:numPr>
        <w:tabs>
          <w:tab w:val="clear" w:pos="454"/>
          <w:tab w:val="clear" w:pos="737"/>
        </w:tabs>
      </w:pPr>
      <w:r w:rsidRPr="00DB3F6D">
        <w:t xml:space="preserve">However, </w:t>
      </w:r>
      <w:r w:rsidR="00F303C9" w:rsidRPr="00DB3F6D">
        <w:t xml:space="preserve">this Order does not apply to a vessel that is owned or operated by a country other than Australia and used, for the time being, on government non-commercial service. </w:t>
      </w:r>
    </w:p>
    <w:p w:rsidR="00F303C9" w:rsidRDefault="00D948FB" w:rsidP="00F303C9">
      <w:pPr>
        <w:pStyle w:val="LDClause"/>
        <w:numPr>
          <w:ilvl w:val="0"/>
          <w:numId w:val="26"/>
        </w:numPr>
        <w:tabs>
          <w:tab w:val="clear" w:pos="454"/>
          <w:tab w:val="clear" w:pos="737"/>
        </w:tabs>
      </w:pPr>
      <w:r w:rsidRPr="00DB3F6D">
        <w:t xml:space="preserve">Also, </w:t>
      </w:r>
      <w:r w:rsidR="00F303C9" w:rsidRPr="00DB3F6D">
        <w:t>Division 3 does not apply to a vessel that is</w:t>
      </w:r>
      <w:r w:rsidR="00F303C9">
        <w:t>:</w:t>
      </w:r>
    </w:p>
    <w:p w:rsidR="00F303C9" w:rsidRDefault="00F303C9" w:rsidP="00F303C9">
      <w:pPr>
        <w:pStyle w:val="LDP1a"/>
      </w:pPr>
      <w:r>
        <w:t>(</w:t>
      </w:r>
      <w:r w:rsidRPr="00F303C9">
        <w:t>a)</w:t>
      </w:r>
      <w:r w:rsidRPr="00F303C9">
        <w:tab/>
      </w:r>
      <w:proofErr w:type="gramStart"/>
      <w:r w:rsidRPr="00F303C9">
        <w:t>a</w:t>
      </w:r>
      <w:proofErr w:type="gramEnd"/>
      <w:r w:rsidRPr="00F303C9">
        <w:t xml:space="preserve"> foreign vessel; or</w:t>
      </w:r>
    </w:p>
    <w:p w:rsidR="00F303C9" w:rsidRPr="00DB3F6D" w:rsidRDefault="00F303C9" w:rsidP="00F303C9">
      <w:pPr>
        <w:pStyle w:val="LDP1a"/>
      </w:pPr>
      <w:r>
        <w:t xml:space="preserve">(b) </w:t>
      </w:r>
      <w:r w:rsidRPr="00DB3F6D">
        <w:t xml:space="preserve"> </w:t>
      </w:r>
      <w:r>
        <w:tab/>
      </w:r>
      <w:proofErr w:type="gramStart"/>
      <w:r w:rsidRPr="00DB3F6D">
        <w:t>a</w:t>
      </w:r>
      <w:proofErr w:type="gramEnd"/>
      <w:r w:rsidRPr="00DB3F6D">
        <w:t xml:space="preserve"> recreational vessel that does not have Australian nationality.</w:t>
      </w:r>
    </w:p>
    <w:p w:rsidR="001D215D" w:rsidRDefault="001D215D" w:rsidP="001D215D">
      <w:pPr>
        <w:pStyle w:val="LDClause"/>
      </w:pPr>
      <w:r w:rsidRPr="00DB3F6D">
        <w:tab/>
        <w:t>(4)</w:t>
      </w:r>
      <w:r w:rsidRPr="00DB3F6D">
        <w:tab/>
        <w:t>For this Order, Annex I is taken to apply to a vessel that is owned and operated by the Commonwealth and is used, for the time being, on government non-commercial service.</w:t>
      </w:r>
    </w:p>
    <w:p w:rsidR="00195974" w:rsidRPr="00DB3F6D" w:rsidRDefault="00195974" w:rsidP="00195974">
      <w:pPr>
        <w:pStyle w:val="LDNote"/>
      </w:pPr>
      <w:r w:rsidRPr="00DB3F6D">
        <w:rPr>
          <w:i/>
        </w:rPr>
        <w:t>Note</w:t>
      </w:r>
      <w:r w:rsidRPr="00DB3F6D">
        <w:t xml:space="preserve">   The application of this Order is subject to subsection 33(2) of the Pollution Prevention Act and section 12 of the Navigation Act. Those provisions have the effect that parts of this Order that give effect to parts of MARPOL do not apply to certain vessels in an area if a law of a State or the Northern Territory or the Marine Safety (Domestic Commercial Vessel) National Law gives effect to the same parts of MARPOL for vessels in the area. </w:t>
      </w:r>
    </w:p>
    <w:p w:rsidR="007A4009" w:rsidRPr="004C6E70" w:rsidRDefault="007A4009" w:rsidP="007A4009">
      <w:pPr>
        <w:pStyle w:val="LDAmendHeading"/>
        <w:tabs>
          <w:tab w:val="left" w:pos="720"/>
          <w:tab w:val="left" w:pos="1440"/>
          <w:tab w:val="left" w:pos="2160"/>
          <w:tab w:val="left" w:pos="3675"/>
        </w:tabs>
      </w:pPr>
      <w:r>
        <w:t>[</w:t>
      </w:r>
      <w:r w:rsidR="00EB35D0">
        <w:rPr>
          <w:noProof/>
        </w:rPr>
        <w:t>6</w:t>
      </w:r>
      <w:r>
        <w:t>]</w:t>
      </w:r>
      <w:r>
        <w:tab/>
        <w:t>Subsection 7(3)</w:t>
      </w:r>
    </w:p>
    <w:p w:rsidR="007A4009" w:rsidRDefault="007A4009" w:rsidP="007A4009">
      <w:pPr>
        <w:pStyle w:val="LDAmendInstruction"/>
      </w:pPr>
      <w:proofErr w:type="gramStart"/>
      <w:r>
        <w:t>omit</w:t>
      </w:r>
      <w:proofErr w:type="gramEnd"/>
    </w:p>
    <w:p w:rsidR="007A4009" w:rsidRDefault="007A4009" w:rsidP="007A4009">
      <w:pPr>
        <w:pStyle w:val="LDAmendText"/>
      </w:pPr>
      <w:r>
        <w:t>3</w:t>
      </w:r>
      <w:r w:rsidR="00C23ACB">
        <w:t xml:space="preserve">.4 </w:t>
      </w:r>
      <w:proofErr w:type="gramStart"/>
      <w:r w:rsidR="00C23ACB">
        <w:t>and</w:t>
      </w:r>
      <w:proofErr w:type="gramEnd"/>
      <w:r w:rsidR="00C23ACB">
        <w:t xml:space="preserve"> 3.5</w:t>
      </w:r>
    </w:p>
    <w:p w:rsidR="007A4009" w:rsidRDefault="007A4009" w:rsidP="007A4009">
      <w:pPr>
        <w:pStyle w:val="LDAmendInstruction"/>
      </w:pPr>
      <w:proofErr w:type="gramStart"/>
      <w:r>
        <w:t>insert</w:t>
      </w:r>
      <w:proofErr w:type="gramEnd"/>
    </w:p>
    <w:p w:rsidR="007A4009" w:rsidRDefault="00A36D18" w:rsidP="007A4009">
      <w:pPr>
        <w:pStyle w:val="LDAmendText"/>
      </w:pPr>
      <w:r>
        <w:t xml:space="preserve">3.4, 3.5, 3.6 or 14.5 </w:t>
      </w:r>
    </w:p>
    <w:p w:rsidR="007A4009" w:rsidRPr="004C6E70" w:rsidRDefault="007A4009" w:rsidP="007A4009">
      <w:pPr>
        <w:pStyle w:val="LDAmendHeading"/>
      </w:pPr>
      <w:r>
        <w:t>[</w:t>
      </w:r>
      <w:r w:rsidR="00EB35D0">
        <w:rPr>
          <w:noProof/>
        </w:rPr>
        <w:t>7</w:t>
      </w:r>
      <w:r>
        <w:t>]</w:t>
      </w:r>
      <w:r>
        <w:tab/>
        <w:t>Paragraph 13(d)</w:t>
      </w:r>
    </w:p>
    <w:p w:rsidR="007A4009" w:rsidRDefault="007A4009" w:rsidP="007A4009">
      <w:pPr>
        <w:pStyle w:val="LDAmendInstruction"/>
      </w:pPr>
      <w:proofErr w:type="gramStart"/>
      <w:r>
        <w:t>omit</w:t>
      </w:r>
      <w:proofErr w:type="gramEnd"/>
    </w:p>
    <w:p w:rsidR="007A4009" w:rsidRDefault="007A4009" w:rsidP="007A4009">
      <w:pPr>
        <w:pStyle w:val="LDAmendText"/>
      </w:pPr>
      <w:r>
        <w:t>AMSA</w:t>
      </w:r>
    </w:p>
    <w:p w:rsidR="007A4009" w:rsidRPr="009D3B75" w:rsidRDefault="007A4009" w:rsidP="007A4009">
      <w:pPr>
        <w:pStyle w:val="LDAmendInstruction"/>
      </w:pPr>
      <w:proofErr w:type="gramStart"/>
      <w:r>
        <w:t>insert</w:t>
      </w:r>
      <w:proofErr w:type="gramEnd"/>
    </w:p>
    <w:p w:rsidR="007A4009" w:rsidRDefault="007A4009" w:rsidP="007A4009">
      <w:pPr>
        <w:pStyle w:val="LDAmendText"/>
      </w:pPr>
      <w:proofErr w:type="gramStart"/>
      <w:r>
        <w:t>an</w:t>
      </w:r>
      <w:proofErr w:type="gramEnd"/>
      <w:r>
        <w:t xml:space="preserve"> issuing body</w:t>
      </w:r>
    </w:p>
    <w:p w:rsidR="007A4009" w:rsidRPr="00F73C6B" w:rsidRDefault="007A4009" w:rsidP="007A4009">
      <w:pPr>
        <w:pStyle w:val="LDAmendHeading"/>
      </w:pPr>
      <w:r w:rsidRPr="00F73C6B">
        <w:t>[</w:t>
      </w:r>
      <w:r w:rsidR="00EB35D0">
        <w:rPr>
          <w:noProof/>
        </w:rPr>
        <w:t>8</w:t>
      </w:r>
      <w:r>
        <w:t>]</w:t>
      </w:r>
      <w:r w:rsidRPr="00F73C6B">
        <w:tab/>
      </w:r>
      <w:r>
        <w:t>Section 18</w:t>
      </w:r>
    </w:p>
    <w:p w:rsidR="007A4009" w:rsidRDefault="007A4009" w:rsidP="007A4009">
      <w:pPr>
        <w:pStyle w:val="LDAmendInstruction"/>
      </w:pPr>
      <w:proofErr w:type="gramStart"/>
      <w:r>
        <w:t>omit</w:t>
      </w:r>
      <w:proofErr w:type="gramEnd"/>
    </w:p>
    <w:p w:rsidR="007A4009" w:rsidRDefault="007A4009" w:rsidP="007A4009">
      <w:pPr>
        <w:pStyle w:val="LDAmendText"/>
      </w:pPr>
      <w:proofErr w:type="gramStart"/>
      <w:r>
        <w:t>the</w:t>
      </w:r>
      <w:proofErr w:type="gramEnd"/>
      <w:r>
        <w:t xml:space="preserve"> issuing body</w:t>
      </w:r>
    </w:p>
    <w:p w:rsidR="007A4009" w:rsidRDefault="007A4009" w:rsidP="007A4009">
      <w:pPr>
        <w:pStyle w:val="LDAmendInstruction"/>
      </w:pPr>
      <w:proofErr w:type="gramStart"/>
      <w:r>
        <w:t>insert</w:t>
      </w:r>
      <w:proofErr w:type="gramEnd"/>
    </w:p>
    <w:p w:rsidR="007A4009" w:rsidRDefault="0023545F" w:rsidP="007A4009">
      <w:pPr>
        <w:pStyle w:val="LDAmendText"/>
      </w:pPr>
      <w:proofErr w:type="gramStart"/>
      <w:r w:rsidRPr="00DB3F6D">
        <w:t>each</w:t>
      </w:r>
      <w:proofErr w:type="gramEnd"/>
      <w:r w:rsidR="00156A5F" w:rsidRPr="00DB3F6D">
        <w:t xml:space="preserve"> issuing body that issued the IO</w:t>
      </w:r>
      <w:r w:rsidRPr="00DB3F6D">
        <w:t xml:space="preserve">PP certificate for </w:t>
      </w:r>
      <w:r w:rsidR="007A4009" w:rsidRPr="00DB3F6D">
        <w:t>the vessel</w:t>
      </w:r>
    </w:p>
    <w:p w:rsidR="00894E08" w:rsidRPr="00F2305A" w:rsidRDefault="00894E08" w:rsidP="00894E08">
      <w:pPr>
        <w:pStyle w:val="LDAmendHeading"/>
      </w:pPr>
      <w:r w:rsidRPr="00F2305A">
        <w:t>[</w:t>
      </w:r>
      <w:r w:rsidR="00EB35D0">
        <w:rPr>
          <w:noProof/>
        </w:rPr>
        <w:t>9</w:t>
      </w:r>
      <w:r w:rsidR="00393625" w:rsidRPr="00F2305A">
        <w:t>]</w:t>
      </w:r>
      <w:r w:rsidR="00393625" w:rsidRPr="00F2305A">
        <w:tab/>
        <w:t>Section 19</w:t>
      </w:r>
    </w:p>
    <w:p w:rsidR="00393625" w:rsidRPr="00F2305A" w:rsidRDefault="00393625" w:rsidP="00894E08">
      <w:pPr>
        <w:pStyle w:val="LDAmendInstruction"/>
      </w:pPr>
      <w:proofErr w:type="gramStart"/>
      <w:r w:rsidRPr="00F2305A">
        <w:t>substitute</w:t>
      </w:r>
      <w:proofErr w:type="gramEnd"/>
    </w:p>
    <w:p w:rsidR="00894E08" w:rsidRPr="00F2305A" w:rsidRDefault="00393625" w:rsidP="00393625">
      <w:pPr>
        <w:pStyle w:val="LDClauseHeading"/>
      </w:pPr>
      <w:r w:rsidRPr="00F2305A">
        <w:t>19</w:t>
      </w:r>
      <w:r w:rsidRPr="00F2305A">
        <w:tab/>
        <w:t>Requirements for foreign vessels</w:t>
      </w:r>
    </w:p>
    <w:p w:rsidR="00393625" w:rsidRPr="00F2305A" w:rsidRDefault="00393625" w:rsidP="00393625">
      <w:pPr>
        <w:pStyle w:val="LDClause"/>
      </w:pPr>
      <w:r w:rsidRPr="00F2305A">
        <w:tab/>
        <w:t>(1)</w:t>
      </w:r>
      <w:r w:rsidRPr="00F2305A">
        <w:tab/>
        <w:t>A foreign vessel to which regulation 7.1 of Annex I applies must have a certificate issued in accordance with that regulation.</w:t>
      </w:r>
    </w:p>
    <w:p w:rsidR="00393625" w:rsidRPr="00F2305A" w:rsidRDefault="00393625" w:rsidP="00393625">
      <w:pPr>
        <w:pStyle w:val="LDClause"/>
      </w:pPr>
      <w:r w:rsidRPr="00F2305A">
        <w:tab/>
        <w:t>(2)</w:t>
      </w:r>
      <w:r w:rsidRPr="00F2305A">
        <w:tab/>
        <w:t>A foreign vessel to which Annex I does not apply</w:t>
      </w:r>
      <w:r w:rsidR="00D713C8">
        <w:t xml:space="preserve"> but to which </w:t>
      </w:r>
      <w:r w:rsidR="00700826" w:rsidRPr="00F2305A">
        <w:t xml:space="preserve">Regulation 7.1 of Annex I would apply if the </w:t>
      </w:r>
      <w:r w:rsidR="00F2305A" w:rsidRPr="00F2305A">
        <w:t xml:space="preserve">country in which the vessel is registered </w:t>
      </w:r>
      <w:r w:rsidR="00700826" w:rsidRPr="00F2305A">
        <w:t>w</w:t>
      </w:r>
      <w:r w:rsidR="00DE1A1E">
        <w:t>ere</w:t>
      </w:r>
      <w:r w:rsidR="00D713C8">
        <w:t xml:space="preserve"> </w:t>
      </w:r>
      <w:r w:rsidR="00700826" w:rsidRPr="00F2305A">
        <w:t>a party to MARPOL must carry and comply with any certificate or other document that:</w:t>
      </w:r>
    </w:p>
    <w:p w:rsidR="00393625" w:rsidRPr="00F2305A" w:rsidRDefault="00700826" w:rsidP="00700826">
      <w:pPr>
        <w:pStyle w:val="LDP1a"/>
      </w:pPr>
      <w:r w:rsidRPr="00F2305A">
        <w:lastRenderedPageBreak/>
        <w:t>(a)</w:t>
      </w:r>
      <w:r w:rsidRPr="00F2305A">
        <w:tab/>
      </w:r>
      <w:proofErr w:type="gramStart"/>
      <w:r w:rsidR="00393625" w:rsidRPr="00F2305A">
        <w:t>is</w:t>
      </w:r>
      <w:proofErr w:type="gramEnd"/>
      <w:r w:rsidR="00393625" w:rsidRPr="00F2305A">
        <w:t xml:space="preserve"> issued </w:t>
      </w:r>
      <w:r w:rsidRPr="00F2305A">
        <w:t xml:space="preserve">for the vessel </w:t>
      </w:r>
      <w:r w:rsidR="00393625" w:rsidRPr="00F2305A">
        <w:t>by or for the administration of the country in which it is registered; and</w:t>
      </w:r>
    </w:p>
    <w:p w:rsidR="00393625" w:rsidRDefault="00700826" w:rsidP="00700826">
      <w:pPr>
        <w:pStyle w:val="LDP1a"/>
      </w:pPr>
      <w:r w:rsidRPr="00F2305A">
        <w:t>(b)</w:t>
      </w:r>
      <w:r w:rsidRPr="00F2305A">
        <w:tab/>
      </w:r>
      <w:proofErr w:type="gramStart"/>
      <w:r w:rsidR="00393625" w:rsidRPr="00F2305A">
        <w:t>deals</w:t>
      </w:r>
      <w:proofErr w:type="gramEnd"/>
      <w:r w:rsidR="00393625" w:rsidRPr="00F2305A">
        <w:t xml:space="preserve"> with</w:t>
      </w:r>
      <w:r w:rsidRPr="00F2305A">
        <w:t xml:space="preserve"> </w:t>
      </w:r>
      <w:r w:rsidR="00080311" w:rsidRPr="00F2305A">
        <w:t>the prevention of oil pollution by the vessel.</w:t>
      </w:r>
      <w:r>
        <w:t xml:space="preserve"> </w:t>
      </w:r>
    </w:p>
    <w:p w:rsidR="007A4009" w:rsidRPr="002637AB" w:rsidRDefault="007A4009" w:rsidP="007A4009">
      <w:pPr>
        <w:pStyle w:val="LDAmendHeading"/>
      </w:pPr>
      <w:r w:rsidRPr="002637AB">
        <w:t>[</w:t>
      </w:r>
      <w:r w:rsidR="00EB35D0">
        <w:rPr>
          <w:noProof/>
        </w:rPr>
        <w:t>10</w:t>
      </w:r>
      <w:r w:rsidRPr="002637AB">
        <w:t>]</w:t>
      </w:r>
      <w:r w:rsidRPr="002637AB">
        <w:tab/>
        <w:t>Paragraph 21(1</w:t>
      </w:r>
      <w:proofErr w:type="gramStart"/>
      <w:r w:rsidRPr="002637AB">
        <w:t>)(</w:t>
      </w:r>
      <w:proofErr w:type="gramEnd"/>
      <w:r w:rsidRPr="002637AB">
        <w:t>b)</w:t>
      </w:r>
    </w:p>
    <w:p w:rsidR="007A4009" w:rsidRPr="002637AB" w:rsidRDefault="007A4009" w:rsidP="007A4009">
      <w:pPr>
        <w:pStyle w:val="LDAmendInstruction"/>
      </w:pPr>
      <w:proofErr w:type="gramStart"/>
      <w:r w:rsidRPr="002637AB">
        <w:t>omit</w:t>
      </w:r>
      <w:proofErr w:type="gramEnd"/>
    </w:p>
    <w:p w:rsidR="007A4009" w:rsidRPr="002637AB" w:rsidRDefault="007A4009" w:rsidP="007A4009">
      <w:pPr>
        <w:pStyle w:val="LDAmendHeading"/>
      </w:pPr>
      <w:r w:rsidRPr="002637AB">
        <w:t>[</w:t>
      </w:r>
      <w:r w:rsidR="00EB35D0">
        <w:rPr>
          <w:noProof/>
        </w:rPr>
        <w:t>11</w:t>
      </w:r>
      <w:r w:rsidR="0083504E">
        <w:rPr>
          <w:noProof/>
        </w:rPr>
        <w:t>]</w:t>
      </w:r>
      <w:r w:rsidRPr="002637AB">
        <w:tab/>
        <w:t>Paragraph 21(1</w:t>
      </w:r>
      <w:proofErr w:type="gramStart"/>
      <w:r w:rsidRPr="002637AB">
        <w:t>)(</w:t>
      </w:r>
      <w:proofErr w:type="gramEnd"/>
      <w:r w:rsidRPr="002637AB">
        <w:t>d)</w:t>
      </w:r>
    </w:p>
    <w:p w:rsidR="007A4009" w:rsidRPr="002637AB" w:rsidRDefault="007A4009" w:rsidP="007A4009">
      <w:pPr>
        <w:pStyle w:val="LDAmendInstruction"/>
      </w:pPr>
      <w:proofErr w:type="gramStart"/>
      <w:r w:rsidRPr="002637AB">
        <w:t>substitute</w:t>
      </w:r>
      <w:proofErr w:type="gramEnd"/>
    </w:p>
    <w:p w:rsidR="007A4009" w:rsidRPr="002637AB" w:rsidRDefault="007A4009" w:rsidP="007A4009">
      <w:pPr>
        <w:pStyle w:val="LDP1a"/>
      </w:pPr>
      <w:r w:rsidRPr="002637AB">
        <w:t>(d)</w:t>
      </w:r>
      <w:r w:rsidRPr="002637AB">
        <w:tab/>
        <w:t>HF DSC MMSI 005030001.</w:t>
      </w:r>
    </w:p>
    <w:p w:rsidR="007A4009" w:rsidRPr="002637AB" w:rsidRDefault="007A4009" w:rsidP="007A4009">
      <w:pPr>
        <w:pStyle w:val="LDAmendHeading"/>
      </w:pPr>
      <w:r w:rsidRPr="002637AB">
        <w:t>[</w:t>
      </w:r>
      <w:r w:rsidR="00EB35D0">
        <w:rPr>
          <w:noProof/>
        </w:rPr>
        <w:t>12</w:t>
      </w:r>
      <w:r w:rsidRPr="002637AB">
        <w:t>]</w:t>
      </w:r>
      <w:r w:rsidRPr="002637AB">
        <w:tab/>
        <w:t>Paragraph 21(1</w:t>
      </w:r>
      <w:proofErr w:type="gramStart"/>
      <w:r w:rsidRPr="002637AB">
        <w:t>)(</w:t>
      </w:r>
      <w:proofErr w:type="gramEnd"/>
      <w:r w:rsidRPr="002637AB">
        <w:t>e)</w:t>
      </w:r>
    </w:p>
    <w:p w:rsidR="007A4009" w:rsidRPr="00DB3F6D" w:rsidRDefault="007A4009" w:rsidP="007A4009">
      <w:pPr>
        <w:pStyle w:val="LDAmendInstruction"/>
      </w:pPr>
      <w:proofErr w:type="gramStart"/>
      <w:r w:rsidRPr="00DB3F6D">
        <w:t>omit</w:t>
      </w:r>
      <w:proofErr w:type="gramEnd"/>
    </w:p>
    <w:p w:rsidR="007F4D09" w:rsidRPr="00DB3F6D" w:rsidRDefault="007F4D09" w:rsidP="007F4D09">
      <w:pPr>
        <w:pStyle w:val="LDAmendHeading"/>
        <w:ind w:left="0" w:firstLine="0"/>
      </w:pPr>
      <w:r w:rsidRPr="00DB3F6D">
        <w:t>[</w:t>
      </w:r>
      <w:r w:rsidR="00EB35D0">
        <w:rPr>
          <w:noProof/>
        </w:rPr>
        <w:t>13</w:t>
      </w:r>
      <w:r w:rsidRPr="00DB3F6D">
        <w:t>]</w:t>
      </w:r>
      <w:r w:rsidRPr="00DB3F6D">
        <w:tab/>
        <w:t>After heading to Division 6</w:t>
      </w:r>
    </w:p>
    <w:p w:rsidR="007F4D09" w:rsidRPr="00DB3F6D" w:rsidRDefault="007F4D09" w:rsidP="00BD767D">
      <w:pPr>
        <w:pStyle w:val="LDAmendInstruction"/>
      </w:pPr>
      <w:proofErr w:type="gramStart"/>
      <w:r w:rsidRPr="00DB3F6D">
        <w:t>insert</w:t>
      </w:r>
      <w:proofErr w:type="gramEnd"/>
    </w:p>
    <w:p w:rsidR="00D63AB9" w:rsidRPr="00DB3F6D" w:rsidRDefault="007F4D09" w:rsidP="00BD767D">
      <w:pPr>
        <w:pStyle w:val="LDClauseHeading"/>
      </w:pPr>
      <w:r w:rsidRPr="00DB3F6D">
        <w:t>22A</w:t>
      </w:r>
      <w:r w:rsidRPr="00DB3F6D">
        <w:tab/>
      </w:r>
      <w:r w:rsidR="00D63AB9" w:rsidRPr="00DB3F6D">
        <w:t>Ship board oil pollution emergency plan — foreign ships</w:t>
      </w:r>
    </w:p>
    <w:p w:rsidR="007F4D09" w:rsidRPr="00DB3F6D" w:rsidRDefault="007F4D09" w:rsidP="00BD767D">
      <w:pPr>
        <w:pStyle w:val="LDAmendText"/>
        <w:ind w:left="720"/>
      </w:pPr>
      <w:r w:rsidRPr="00DB3F6D">
        <w:t xml:space="preserve">For subsection 32(1A) of the Pollution Prevention Act, </w:t>
      </w:r>
      <w:r w:rsidR="00760112" w:rsidRPr="00DB3F6D">
        <w:t>section</w:t>
      </w:r>
      <w:r w:rsidRPr="00DB3F6D">
        <w:t xml:space="preserve"> 11A </w:t>
      </w:r>
      <w:r w:rsidR="00D63AB9" w:rsidRPr="00DB3F6D">
        <w:t xml:space="preserve">of the Act </w:t>
      </w:r>
      <w:r w:rsidR="00760112" w:rsidRPr="00DB3F6D">
        <w:t>applies</w:t>
      </w:r>
      <w:r w:rsidRPr="00DB3F6D">
        <w:t xml:space="preserve"> to a foreign ship, as if it were an Australian ship, when it is in:</w:t>
      </w:r>
    </w:p>
    <w:p w:rsidR="007F4D09" w:rsidRPr="00DB3F6D" w:rsidRDefault="007F4D09" w:rsidP="00BD767D">
      <w:pPr>
        <w:pStyle w:val="LDP1a"/>
      </w:pPr>
      <w:r w:rsidRPr="00DB3F6D">
        <w:t xml:space="preserve">(a) </w:t>
      </w:r>
      <w:r w:rsidR="00BD767D" w:rsidRPr="00DB3F6D">
        <w:tab/>
      </w:r>
      <w:proofErr w:type="gramStart"/>
      <w:r w:rsidRPr="00DB3F6D">
        <w:t>a</w:t>
      </w:r>
      <w:proofErr w:type="gramEnd"/>
      <w:r w:rsidRPr="00DB3F6D">
        <w:t xml:space="preserve"> port in Australia; or</w:t>
      </w:r>
    </w:p>
    <w:p w:rsidR="007F4D09" w:rsidRPr="00DB3F6D" w:rsidRDefault="007F4D09" w:rsidP="00BD767D">
      <w:pPr>
        <w:pStyle w:val="LDP1a"/>
      </w:pPr>
      <w:r w:rsidRPr="00DB3F6D">
        <w:t xml:space="preserve">(b) </w:t>
      </w:r>
      <w:r w:rsidR="00BD767D" w:rsidRPr="00DB3F6D">
        <w:tab/>
      </w:r>
      <w:proofErr w:type="gramStart"/>
      <w:r w:rsidRPr="00DB3F6D">
        <w:t>the</w:t>
      </w:r>
      <w:proofErr w:type="gramEnd"/>
      <w:r w:rsidRPr="00DB3F6D">
        <w:t xml:space="preserve"> territorial sea of Australia; or</w:t>
      </w:r>
    </w:p>
    <w:p w:rsidR="007F4D09" w:rsidRPr="00DB3F6D" w:rsidRDefault="007F4D09" w:rsidP="00BD767D">
      <w:pPr>
        <w:pStyle w:val="LDP1a"/>
      </w:pPr>
      <w:r w:rsidRPr="00DB3F6D">
        <w:t xml:space="preserve">(c) </w:t>
      </w:r>
      <w:r w:rsidR="00BD767D" w:rsidRPr="00DB3F6D">
        <w:tab/>
      </w:r>
      <w:proofErr w:type="gramStart"/>
      <w:r w:rsidRPr="00DB3F6D">
        <w:t>the</w:t>
      </w:r>
      <w:proofErr w:type="gramEnd"/>
      <w:r w:rsidRPr="00DB3F6D">
        <w:t xml:space="preserve"> sea </w:t>
      </w:r>
      <w:r w:rsidR="00760112" w:rsidRPr="00DB3F6D">
        <w:t xml:space="preserve">on the landward side of the territorial sea of Australia. </w:t>
      </w:r>
    </w:p>
    <w:p w:rsidR="001C7AEF" w:rsidRPr="00DB3F6D" w:rsidRDefault="001C7AEF" w:rsidP="001C7AEF">
      <w:pPr>
        <w:pStyle w:val="LDAmendHeading"/>
        <w:ind w:left="0" w:firstLine="0"/>
      </w:pPr>
      <w:r w:rsidRPr="00DB3F6D">
        <w:t>[</w:t>
      </w:r>
      <w:r w:rsidR="00EB35D0">
        <w:rPr>
          <w:noProof/>
        </w:rPr>
        <w:t>14</w:t>
      </w:r>
      <w:r w:rsidRPr="00DB3F6D">
        <w:t>]</w:t>
      </w:r>
      <w:r w:rsidRPr="00DB3F6D">
        <w:tab/>
        <w:t>After section</w:t>
      </w:r>
      <w:r w:rsidR="0058255E" w:rsidRPr="00DB3F6D">
        <w:t xml:space="preserve"> 25</w:t>
      </w:r>
    </w:p>
    <w:p w:rsidR="001C7AEF" w:rsidRPr="00DB3F6D" w:rsidRDefault="001C7AEF" w:rsidP="00112BC2">
      <w:pPr>
        <w:pStyle w:val="LDAmendInstruction"/>
      </w:pPr>
      <w:proofErr w:type="gramStart"/>
      <w:r w:rsidRPr="00DB3F6D">
        <w:t>insert</w:t>
      </w:r>
      <w:proofErr w:type="gramEnd"/>
    </w:p>
    <w:p w:rsidR="001C7AEF" w:rsidRPr="00DB3F6D" w:rsidRDefault="0058255E" w:rsidP="00112BC2">
      <w:pPr>
        <w:pStyle w:val="LDClauseHeading"/>
      </w:pPr>
      <w:r w:rsidRPr="00DB3F6D">
        <w:t>25</w:t>
      </w:r>
      <w:r w:rsidR="001C7AEF" w:rsidRPr="00DB3F6D">
        <w:t>A</w:t>
      </w:r>
      <w:r w:rsidR="001C7AEF" w:rsidRPr="00DB3F6D">
        <w:tab/>
        <w:t>Transfer of oil cargo involving a foreign ship — prescribed operation</w:t>
      </w:r>
    </w:p>
    <w:p w:rsidR="003C09DB" w:rsidRPr="00DB3F6D" w:rsidRDefault="001C7AEF" w:rsidP="00112BC2">
      <w:pPr>
        <w:pStyle w:val="LDAmendText"/>
        <w:ind w:left="720"/>
      </w:pPr>
      <w:r w:rsidRPr="00DB3F6D">
        <w:t>For subsection 32(1)</w:t>
      </w:r>
      <w:r w:rsidR="00112BC2" w:rsidRPr="00DB3F6D">
        <w:t xml:space="preserve"> of the Pollution Prevention Act</w:t>
      </w:r>
      <w:r w:rsidR="003C09DB" w:rsidRPr="00DB3F6D">
        <w:t>:</w:t>
      </w:r>
    </w:p>
    <w:p w:rsidR="003C09DB" w:rsidRPr="00DB3F6D" w:rsidRDefault="003C09DB" w:rsidP="003C09DB">
      <w:pPr>
        <w:pStyle w:val="LDP1a"/>
      </w:pPr>
      <w:r w:rsidRPr="00DB3F6D">
        <w:t>(a)</w:t>
      </w:r>
      <w:r w:rsidRPr="00DB3F6D">
        <w:tab/>
      </w:r>
      <w:proofErr w:type="gramStart"/>
      <w:r w:rsidR="001C7AEF" w:rsidRPr="00DB3F6D">
        <w:t>the</w:t>
      </w:r>
      <w:proofErr w:type="gramEnd"/>
      <w:r w:rsidR="001C7AEF" w:rsidRPr="00DB3F6D">
        <w:t xml:space="preserve"> transfer of oil cargo with anoth</w:t>
      </w:r>
      <w:r w:rsidR="00D63AB9" w:rsidRPr="00DB3F6D">
        <w:t>e</w:t>
      </w:r>
      <w:r w:rsidR="001C7AEF" w:rsidRPr="00DB3F6D">
        <w:t>r oil tanker that has a gross tonnage of 150 or more is a prescribed operation</w:t>
      </w:r>
      <w:r w:rsidRPr="00DB3F6D">
        <w:t>;</w:t>
      </w:r>
      <w:r w:rsidR="00D63AB9" w:rsidRPr="00DB3F6D">
        <w:t xml:space="preserve"> and</w:t>
      </w:r>
    </w:p>
    <w:p w:rsidR="001C7AEF" w:rsidRPr="00DB3F6D" w:rsidRDefault="003C09DB" w:rsidP="003C09DB">
      <w:pPr>
        <w:pStyle w:val="LDP1a"/>
      </w:pPr>
      <w:r w:rsidRPr="00DB3F6D">
        <w:t>(b)</w:t>
      </w:r>
      <w:r w:rsidRPr="00DB3F6D">
        <w:tab/>
      </w:r>
      <w:proofErr w:type="gramStart"/>
      <w:r w:rsidR="00D63AB9" w:rsidRPr="00DB3F6D">
        <w:t>section</w:t>
      </w:r>
      <w:r w:rsidR="0058255E" w:rsidRPr="00DB3F6D">
        <w:t>s</w:t>
      </w:r>
      <w:proofErr w:type="gramEnd"/>
      <w:r w:rsidR="00D63AB9" w:rsidRPr="00DB3F6D">
        <w:t xml:space="preserve"> 11D </w:t>
      </w:r>
      <w:r w:rsidR="0058255E" w:rsidRPr="00DB3F6D">
        <w:t xml:space="preserve">and 11E </w:t>
      </w:r>
      <w:r w:rsidR="00112BC2" w:rsidRPr="00DB3F6D">
        <w:t xml:space="preserve">of the Act </w:t>
      </w:r>
      <w:r w:rsidR="0058255E" w:rsidRPr="00DB3F6D">
        <w:t>apply</w:t>
      </w:r>
      <w:r w:rsidR="00D63AB9" w:rsidRPr="00DB3F6D">
        <w:t xml:space="preserve"> to a foreign ship, as if it were an Australian ship, when it is in: </w:t>
      </w:r>
    </w:p>
    <w:p w:rsidR="00D63AB9" w:rsidRPr="00DB3F6D" w:rsidRDefault="003C09DB" w:rsidP="003C09DB">
      <w:pPr>
        <w:pStyle w:val="LDP2i"/>
      </w:pPr>
      <w:r w:rsidRPr="00DB3F6D">
        <w:tab/>
        <w:t>(</w:t>
      </w:r>
      <w:proofErr w:type="spellStart"/>
      <w:r w:rsidRPr="00DB3F6D">
        <w:t>i</w:t>
      </w:r>
      <w:proofErr w:type="spellEnd"/>
      <w:r w:rsidR="00D63AB9" w:rsidRPr="00DB3F6D">
        <w:t>)</w:t>
      </w:r>
      <w:r w:rsidR="00D63AB9" w:rsidRPr="00DB3F6D">
        <w:tab/>
      </w:r>
      <w:proofErr w:type="gramStart"/>
      <w:r w:rsidR="00D63AB9" w:rsidRPr="00DB3F6D">
        <w:t>a</w:t>
      </w:r>
      <w:proofErr w:type="gramEnd"/>
      <w:r w:rsidR="00D63AB9" w:rsidRPr="00DB3F6D">
        <w:t xml:space="preserve"> port in Australia; or</w:t>
      </w:r>
    </w:p>
    <w:p w:rsidR="00D63AB9" w:rsidRPr="00DB3F6D" w:rsidRDefault="003C09DB" w:rsidP="003C09DB">
      <w:pPr>
        <w:pStyle w:val="LDP2i"/>
      </w:pPr>
      <w:r w:rsidRPr="00DB3F6D">
        <w:tab/>
        <w:t>(ii</w:t>
      </w:r>
      <w:r w:rsidR="00D63AB9" w:rsidRPr="00DB3F6D">
        <w:t>)</w:t>
      </w:r>
      <w:r w:rsidR="00D63AB9" w:rsidRPr="00DB3F6D">
        <w:tab/>
      </w:r>
      <w:proofErr w:type="gramStart"/>
      <w:r w:rsidR="00D63AB9" w:rsidRPr="00DB3F6D">
        <w:t>the</w:t>
      </w:r>
      <w:proofErr w:type="gramEnd"/>
      <w:r w:rsidR="00D63AB9" w:rsidRPr="00DB3F6D">
        <w:t xml:space="preserve"> territorial sea of Australia; or</w:t>
      </w:r>
    </w:p>
    <w:p w:rsidR="00EB5E26" w:rsidRPr="00DB3F6D" w:rsidRDefault="003C09DB" w:rsidP="003C09DB">
      <w:pPr>
        <w:pStyle w:val="LDP2i"/>
      </w:pPr>
      <w:r w:rsidRPr="00DB3F6D">
        <w:tab/>
        <w:t>(iii</w:t>
      </w:r>
      <w:r w:rsidR="00D63AB9" w:rsidRPr="00DB3F6D">
        <w:t>)</w:t>
      </w:r>
      <w:r w:rsidR="00D63AB9" w:rsidRPr="00DB3F6D">
        <w:tab/>
      </w:r>
      <w:proofErr w:type="gramStart"/>
      <w:r w:rsidR="00D63AB9" w:rsidRPr="00DB3F6D">
        <w:t>the</w:t>
      </w:r>
      <w:proofErr w:type="gramEnd"/>
      <w:r w:rsidR="00D63AB9" w:rsidRPr="00DB3F6D">
        <w:t xml:space="preserve"> sea on the landward side of the territorial sea of Australia </w:t>
      </w:r>
      <w:r w:rsidR="00112BC2" w:rsidRPr="00DB3F6D">
        <w:t xml:space="preserve">while </w:t>
      </w:r>
      <w:r w:rsidR="00D63AB9" w:rsidRPr="00DB3F6D">
        <w:t>on its way to o</w:t>
      </w:r>
      <w:r w:rsidR="0058255E" w:rsidRPr="00DB3F6D">
        <w:t>r f</w:t>
      </w:r>
      <w:r w:rsidR="00D63AB9" w:rsidRPr="00DB3F6D">
        <w:t>r</w:t>
      </w:r>
      <w:r w:rsidR="0058255E" w:rsidRPr="00DB3F6D">
        <w:t>o</w:t>
      </w:r>
      <w:r w:rsidR="00D63AB9" w:rsidRPr="00DB3F6D">
        <w:t>m a port in Australia.</w:t>
      </w:r>
      <w:r w:rsidR="00EB5E26" w:rsidRPr="00DB3F6D">
        <w:t xml:space="preserve"> </w:t>
      </w:r>
    </w:p>
    <w:p w:rsidR="00DB3F6D" w:rsidRPr="000757DA" w:rsidRDefault="0058255E" w:rsidP="00DB3F6D">
      <w:pPr>
        <w:pStyle w:val="LDNote"/>
      </w:pPr>
      <w:r w:rsidRPr="00DB3F6D">
        <w:rPr>
          <w:i/>
        </w:rPr>
        <w:t>Note   </w:t>
      </w:r>
      <w:r w:rsidR="00DB3F6D" w:rsidRPr="00DB3F6D">
        <w:t xml:space="preserve"> Sections 11B, 11C and 11F of the Pollution Prevention Act also apply to foreign ships — </w:t>
      </w:r>
      <w:r w:rsidR="00DB3F6D" w:rsidRPr="000757DA">
        <w:t xml:space="preserve">see sections 11B, 11C and 11F. </w:t>
      </w:r>
    </w:p>
    <w:p w:rsidR="007F2225" w:rsidRPr="000757DA" w:rsidRDefault="007F2225" w:rsidP="007F2225">
      <w:pPr>
        <w:pStyle w:val="LDAmendHeading"/>
        <w:ind w:left="0" w:firstLine="0"/>
      </w:pPr>
      <w:r w:rsidRPr="000757DA">
        <w:t>[</w:t>
      </w:r>
      <w:r w:rsidR="00EB35D0">
        <w:rPr>
          <w:noProof/>
        </w:rPr>
        <w:t>15</w:t>
      </w:r>
      <w:r w:rsidR="002E7B7D">
        <w:t>]</w:t>
      </w:r>
      <w:r w:rsidR="002E7B7D">
        <w:tab/>
        <w:t>After section 29</w:t>
      </w:r>
    </w:p>
    <w:p w:rsidR="007F2225" w:rsidRPr="000757DA" w:rsidRDefault="007F2225" w:rsidP="00AC3205">
      <w:pPr>
        <w:pStyle w:val="LDAmendInstruction"/>
      </w:pPr>
      <w:proofErr w:type="gramStart"/>
      <w:r w:rsidRPr="000757DA">
        <w:t>insert</w:t>
      </w:r>
      <w:proofErr w:type="gramEnd"/>
    </w:p>
    <w:p w:rsidR="007F2225" w:rsidRPr="000757DA" w:rsidRDefault="007F2225" w:rsidP="00AC3205">
      <w:pPr>
        <w:pStyle w:val="LDClauseHeading"/>
      </w:pPr>
      <w:r w:rsidRPr="000757DA">
        <w:t>29A</w:t>
      </w:r>
      <w:r w:rsidRPr="000757DA">
        <w:tab/>
        <w:t>Oil record book — foreign ships</w:t>
      </w:r>
    </w:p>
    <w:p w:rsidR="007F2225" w:rsidRPr="000757DA" w:rsidRDefault="00980A0A" w:rsidP="00AC3205">
      <w:pPr>
        <w:pStyle w:val="LDAmendText"/>
        <w:ind w:left="720"/>
      </w:pPr>
      <w:r>
        <w:t>For subsection 32(1</w:t>
      </w:r>
      <w:r w:rsidR="007F2225" w:rsidRPr="000757DA">
        <w:t>) of the Pollution Prevention Act, section 12 of the Act applies to a foreign ship, as if it were an Australian ship, when it is in:</w:t>
      </w:r>
    </w:p>
    <w:p w:rsidR="007F2225" w:rsidRPr="000757DA" w:rsidRDefault="007F2225" w:rsidP="00AC3205">
      <w:pPr>
        <w:pStyle w:val="LDP1a"/>
      </w:pPr>
      <w:r w:rsidRPr="000757DA">
        <w:lastRenderedPageBreak/>
        <w:t xml:space="preserve">(a) </w:t>
      </w:r>
      <w:r w:rsidR="00BD767D" w:rsidRPr="000757DA">
        <w:tab/>
      </w:r>
      <w:proofErr w:type="gramStart"/>
      <w:r w:rsidRPr="000757DA">
        <w:t>a</w:t>
      </w:r>
      <w:proofErr w:type="gramEnd"/>
      <w:r w:rsidRPr="000757DA">
        <w:t xml:space="preserve"> port in Australia; or</w:t>
      </w:r>
    </w:p>
    <w:p w:rsidR="007F2225" w:rsidRPr="000757DA" w:rsidRDefault="007F2225" w:rsidP="00AC3205">
      <w:pPr>
        <w:pStyle w:val="LDP1a"/>
      </w:pPr>
      <w:r w:rsidRPr="000757DA">
        <w:t xml:space="preserve">(b) </w:t>
      </w:r>
      <w:r w:rsidR="00BD767D" w:rsidRPr="000757DA">
        <w:tab/>
      </w:r>
      <w:proofErr w:type="gramStart"/>
      <w:r w:rsidRPr="000757DA">
        <w:t>the</w:t>
      </w:r>
      <w:proofErr w:type="gramEnd"/>
      <w:r w:rsidRPr="000757DA">
        <w:t xml:space="preserve"> territorial sea of Australia; or</w:t>
      </w:r>
    </w:p>
    <w:p w:rsidR="007F2225" w:rsidRPr="000757DA" w:rsidRDefault="007F2225" w:rsidP="000757DA">
      <w:pPr>
        <w:pStyle w:val="LDP1a"/>
        <w:keepNext/>
      </w:pPr>
      <w:r w:rsidRPr="000757DA">
        <w:t xml:space="preserve">(c) </w:t>
      </w:r>
      <w:r w:rsidR="00BD767D" w:rsidRPr="000757DA">
        <w:tab/>
      </w:r>
      <w:proofErr w:type="gramStart"/>
      <w:r w:rsidRPr="000757DA">
        <w:t>the</w:t>
      </w:r>
      <w:proofErr w:type="gramEnd"/>
      <w:r w:rsidRPr="000757DA">
        <w:t xml:space="preserve"> sea on the landward side of the territorial sea of Australia. </w:t>
      </w:r>
    </w:p>
    <w:p w:rsidR="00D63AB9" w:rsidRPr="007F2225" w:rsidRDefault="007F2225" w:rsidP="00BD767D">
      <w:pPr>
        <w:pStyle w:val="LDNote"/>
      </w:pPr>
      <w:r w:rsidRPr="000757DA">
        <w:rPr>
          <w:i/>
        </w:rPr>
        <w:t>Note   </w:t>
      </w:r>
      <w:r w:rsidR="005E35C7" w:rsidRPr="000757DA">
        <w:t>S</w:t>
      </w:r>
      <w:r w:rsidRPr="000757DA">
        <w:t xml:space="preserve">ection 13 </w:t>
      </w:r>
      <w:r w:rsidR="005E35C7" w:rsidRPr="000757DA">
        <w:t xml:space="preserve">(False entries in oil record book) </w:t>
      </w:r>
      <w:r w:rsidR="0024109B" w:rsidRPr="000757DA">
        <w:t xml:space="preserve">of the Pollution Prevention Act </w:t>
      </w:r>
      <w:r w:rsidR="005E35C7" w:rsidRPr="000757DA">
        <w:t xml:space="preserve">also applies to </w:t>
      </w:r>
      <w:r w:rsidR="0024109B" w:rsidRPr="000757DA">
        <w:t xml:space="preserve">foreign ships </w:t>
      </w:r>
      <w:r w:rsidR="00BD767D" w:rsidRPr="000757DA">
        <w:t xml:space="preserve">because </w:t>
      </w:r>
      <w:r w:rsidR="005813F2" w:rsidRPr="000757DA">
        <w:t>that section</w:t>
      </w:r>
      <w:r w:rsidR="007028EC" w:rsidRPr="000757DA">
        <w:t xml:space="preserve"> </w:t>
      </w:r>
      <w:r w:rsidR="005813F2" w:rsidRPr="000757DA">
        <w:t xml:space="preserve">applies to </w:t>
      </w:r>
      <w:r w:rsidR="00BD767D" w:rsidRPr="000757DA">
        <w:t>ship</w:t>
      </w:r>
      <w:r w:rsidR="0024109B" w:rsidRPr="000757DA">
        <w:t>s</w:t>
      </w:r>
      <w:r w:rsidR="00BD767D" w:rsidRPr="000757DA">
        <w:t xml:space="preserve"> to which section 12 applies. </w:t>
      </w:r>
    </w:p>
    <w:p w:rsidR="007A4009" w:rsidRPr="004C6E70" w:rsidRDefault="007A4009" w:rsidP="007A4009">
      <w:pPr>
        <w:pStyle w:val="LDAmendHeading"/>
        <w:ind w:left="0" w:firstLine="0"/>
      </w:pPr>
      <w:r>
        <w:t>[</w:t>
      </w:r>
      <w:r w:rsidR="00EB35D0">
        <w:rPr>
          <w:noProof/>
        </w:rPr>
        <w:t>16</w:t>
      </w:r>
      <w:r>
        <w:t>]</w:t>
      </w:r>
      <w:r>
        <w:tab/>
        <w:t>Subsection 37(1)</w:t>
      </w:r>
    </w:p>
    <w:p w:rsidR="007A4009" w:rsidRDefault="007A4009" w:rsidP="007A4009">
      <w:pPr>
        <w:pStyle w:val="LDAmendInstruction"/>
      </w:pPr>
      <w:proofErr w:type="gramStart"/>
      <w:r>
        <w:t>after</w:t>
      </w:r>
      <w:proofErr w:type="gramEnd"/>
    </w:p>
    <w:p w:rsidR="007A4009" w:rsidRDefault="007A4009" w:rsidP="007A4009">
      <w:pPr>
        <w:pStyle w:val="LDAmendText"/>
      </w:pPr>
      <w:proofErr w:type="gramStart"/>
      <w:r>
        <w:t>if</w:t>
      </w:r>
      <w:proofErr w:type="gramEnd"/>
    </w:p>
    <w:p w:rsidR="007A4009" w:rsidRPr="009D3B75" w:rsidRDefault="007A4009" w:rsidP="007A4009">
      <w:pPr>
        <w:pStyle w:val="LDAmendInstruction"/>
      </w:pPr>
      <w:proofErr w:type="gramStart"/>
      <w:r>
        <w:t>insert</w:t>
      </w:r>
      <w:proofErr w:type="gramEnd"/>
    </w:p>
    <w:p w:rsidR="007A4009" w:rsidRDefault="007A4009" w:rsidP="007A4009">
      <w:pPr>
        <w:pStyle w:val="LDAmendText"/>
      </w:pPr>
      <w:proofErr w:type="gramStart"/>
      <w:r>
        <w:t>it</w:t>
      </w:r>
      <w:proofErr w:type="gramEnd"/>
      <w:r>
        <w:t xml:space="preserve"> is</w:t>
      </w:r>
    </w:p>
    <w:p w:rsidR="005B6923" w:rsidRDefault="005B6923" w:rsidP="007A4009">
      <w:pPr>
        <w:pStyle w:val="LDAmendHeading"/>
      </w:pPr>
    </w:p>
    <w:p w:rsidR="00877BC4" w:rsidRDefault="00877BC4" w:rsidP="00877BC4">
      <w:pPr>
        <w:pStyle w:val="SchedSectionBreak"/>
        <w:sectPr w:rsidR="00877BC4" w:rsidSect="00800009">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rsidR="00F22B15" w:rsidRDefault="00F22B15" w:rsidP="00F22B15">
      <w:pPr>
        <w:keepNext/>
        <w:pBdr>
          <w:top w:val="single" w:sz="4" w:space="3" w:color="auto"/>
        </w:pBdr>
        <w:spacing w:before="480"/>
        <w:rPr>
          <w:rFonts w:ascii="Arial" w:hAnsi="Arial"/>
          <w:b/>
        </w:rPr>
      </w:pPr>
      <w:r>
        <w:rPr>
          <w:rFonts w:ascii="Arial" w:hAnsi="Arial"/>
          <w:b/>
        </w:rPr>
        <w:t>Note</w:t>
      </w:r>
    </w:p>
    <w:p w:rsidR="006F6039" w:rsidRDefault="00F22B15" w:rsidP="00F22B15">
      <w:pPr>
        <w:rPr>
          <w:color w:val="000000"/>
        </w:rPr>
      </w:pPr>
      <w:r>
        <w:rPr>
          <w:color w:val="000000"/>
        </w:rPr>
        <w:t>1.</w:t>
      </w:r>
      <w:r>
        <w:rPr>
          <w:color w:val="000000"/>
        </w:rPr>
        <w:tab/>
        <w:t xml:space="preserve">All legislative instruments and compilations </w:t>
      </w:r>
      <w:r w:rsidR="002D01E3">
        <w:rPr>
          <w:color w:val="000000"/>
        </w:rPr>
        <w:t xml:space="preserve">of legislative instruments </w:t>
      </w:r>
      <w:r>
        <w:rPr>
          <w:color w:val="000000"/>
        </w:rPr>
        <w:t>are registered on the Federal Register</w:t>
      </w:r>
      <w:r w:rsidR="002D01E3">
        <w:rPr>
          <w:color w:val="000000"/>
        </w:rPr>
        <w:t xml:space="preserve"> of Legislation</w:t>
      </w:r>
      <w:r>
        <w:rPr>
          <w:color w:val="000000"/>
        </w:rPr>
        <w:t xml:space="preserve"> under the </w:t>
      </w:r>
      <w:r w:rsidR="002D01E3">
        <w:rPr>
          <w:i/>
          <w:color w:val="000000"/>
        </w:rPr>
        <w:t xml:space="preserve">Legislation </w:t>
      </w:r>
      <w:r>
        <w:rPr>
          <w:i/>
          <w:color w:val="000000"/>
        </w:rPr>
        <w:t xml:space="preserve">Act 2003. </w:t>
      </w:r>
      <w:r>
        <w:rPr>
          <w:color w:val="000000"/>
        </w:rPr>
        <w:t xml:space="preserve">See </w:t>
      </w:r>
      <w:r w:rsidRPr="009145DA">
        <w:rPr>
          <w:color w:val="000000"/>
          <w:u w:val="single"/>
        </w:rPr>
        <w:t>http</w:t>
      </w:r>
      <w:r w:rsidR="00070827">
        <w:rPr>
          <w:color w:val="000000"/>
          <w:u w:val="single"/>
        </w:rPr>
        <w:t>s</w:t>
      </w:r>
      <w:r w:rsidRPr="009145DA">
        <w:rPr>
          <w:color w:val="000000"/>
          <w:u w:val="single"/>
        </w:rPr>
        <w:t>://w</w:t>
      </w:r>
      <w:r w:rsidRPr="00DA0A32">
        <w:rPr>
          <w:color w:val="000000"/>
          <w:u w:val="single"/>
        </w:rPr>
        <w:t>ww.</w:t>
      </w:r>
      <w:r w:rsidR="002D01E3">
        <w:rPr>
          <w:color w:val="000000"/>
          <w:u w:val="single"/>
        </w:rPr>
        <w:t>legislation</w:t>
      </w:r>
      <w:r w:rsidRPr="00DA0A32">
        <w:rPr>
          <w:color w:val="000000"/>
          <w:u w:val="single"/>
        </w:rPr>
        <w:t>.gov.au</w:t>
      </w:r>
      <w:r>
        <w:rPr>
          <w:color w:val="000000"/>
        </w:rPr>
        <w:t>.</w:t>
      </w:r>
    </w:p>
    <w:p w:rsidR="00877BC4" w:rsidRDefault="00877BC4" w:rsidP="00877BC4">
      <w:pPr>
        <w:pStyle w:val="NotesSectionBreak"/>
        <w:sectPr w:rsidR="00877BC4" w:rsidSect="00CB4A00">
          <w:headerReference w:type="even" r:id="rId18"/>
          <w:headerReference w:type="default" r:id="rId19"/>
          <w:headerReference w:type="first" r:id="rId20"/>
          <w:footerReference w:type="first" r:id="rId21"/>
          <w:type w:val="continuous"/>
          <w:pgSz w:w="11907" w:h="16839" w:code="9"/>
          <w:pgMar w:top="1361" w:right="1701" w:bottom="1361" w:left="1701" w:header="567" w:footer="567" w:gutter="0"/>
          <w:cols w:space="708"/>
          <w:docGrid w:linePitch="360"/>
        </w:sectPr>
      </w:pPr>
    </w:p>
    <w:p w:rsidR="004C3987" w:rsidRDefault="004C3987" w:rsidP="00B61908"/>
    <w:sectPr w:rsidR="004C3987" w:rsidSect="00F445EF">
      <w:headerReference w:type="even" r:id="rId22"/>
      <w:headerReference w:type="default" r:id="rId23"/>
      <w:footerReference w:type="even" r:id="rId24"/>
      <w:footerReference w:type="default" r:id="rId25"/>
      <w:footerReference w:type="first" r:id="rId26"/>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29" w:rsidRDefault="00F24B29">
      <w:r>
        <w:separator/>
      </w:r>
    </w:p>
  </w:endnote>
  <w:endnote w:type="continuationSeparator" w:id="0">
    <w:p w:rsidR="00F24B29" w:rsidRDefault="00F2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675"/>
      <w:gridCol w:w="7547"/>
      <w:gridCol w:w="428"/>
    </w:tblGrid>
    <w:tr w:rsidR="00C17FF5" w:rsidTr="00AA5B05">
      <w:tc>
        <w:tcPr>
          <w:tcW w:w="675" w:type="dxa"/>
          <w:shd w:val="clear" w:color="auto" w:fill="auto"/>
        </w:tcPr>
        <w:p w:rsidR="00C17FF5" w:rsidRPr="007F6065" w:rsidRDefault="00C17FF5" w:rsidP="00DD301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265043">
            <w:rPr>
              <w:rStyle w:val="PageNumber"/>
              <w:noProof/>
            </w:rPr>
            <w:t>4</w:t>
          </w:r>
          <w:r w:rsidRPr="007F6065">
            <w:rPr>
              <w:rStyle w:val="PageNumber"/>
            </w:rPr>
            <w:fldChar w:fldCharType="end"/>
          </w:r>
        </w:p>
      </w:tc>
      <w:tc>
        <w:tcPr>
          <w:tcW w:w="7547" w:type="dxa"/>
          <w:shd w:val="clear" w:color="auto" w:fill="auto"/>
        </w:tcPr>
        <w:p w:rsidR="00C17FF5" w:rsidRPr="00EF2F9D" w:rsidRDefault="00EB35D0" w:rsidP="00DD3019">
          <w:pPr>
            <w:pStyle w:val="FooterCitation"/>
          </w:pPr>
          <w:r>
            <w:t>Marine Order 91 (Marine pollution prevention — oil) Amendment Order 2018</w:t>
          </w:r>
        </w:p>
      </w:tc>
      <w:tc>
        <w:tcPr>
          <w:tcW w:w="428" w:type="dxa"/>
          <w:shd w:val="clear" w:color="auto" w:fill="auto"/>
        </w:tcPr>
        <w:p w:rsidR="00C17FF5" w:rsidRPr="007F6065" w:rsidRDefault="00C17FF5" w:rsidP="00DD3019">
          <w:pPr>
            <w:pStyle w:val="Footer"/>
            <w:spacing w:before="20"/>
            <w:jc w:val="right"/>
          </w:pPr>
        </w:p>
      </w:tc>
    </w:tr>
  </w:tbl>
  <w:p w:rsidR="00C01056" w:rsidRPr="00C17FF5" w:rsidRDefault="00BC7AA6" w:rsidP="00C17FF5">
    <w:pPr>
      <w:pStyle w:val="Footer"/>
    </w:pPr>
    <w:r>
      <w:rPr>
        <w:noProof/>
        <w:sz w:val="16"/>
        <w:szCs w:val="16"/>
      </w:rPr>
      <w:t>MO91 amend-180227</w:t>
    </w:r>
    <w:r w:rsidR="00A53357">
      <w:rPr>
        <w:noProof/>
        <w:sz w:val="16"/>
        <w:szCs w:val="16"/>
      </w:rPr>
      <w:t>Z</w:t>
    </w:r>
    <w:r>
      <w:rPr>
        <w:noProof/>
        <w:sz w:val="16"/>
        <w:szCs w:val="16"/>
      </w:rPr>
      <w:t>Z.docx</w:t>
    </w:r>
    <w:r w:rsidR="00C17FF5" w:rsidRPr="00CA5F5B">
      <w:rPr>
        <w:sz w:val="16"/>
        <w:szCs w:val="16"/>
      </w:rPr>
      <w:t xml:space="preserve"> </w:t>
    </w:r>
    <w:r w:rsidR="00C17FF5">
      <w:rPr>
        <w:noProof/>
        <w:lang w:eastAsia="en-AU"/>
      </w:rPr>
      <mc:AlternateContent>
        <mc:Choice Requires="wps">
          <w:drawing>
            <wp:anchor distT="0" distB="0" distL="114300" distR="114300" simplePos="0" relativeHeight="251656192" behindDoc="0" locked="0" layoutInCell="1" allowOverlap="1" wp14:anchorId="36B2198E" wp14:editId="698B2171">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198E" id="_x0000_t202" coordsize="21600,21600" o:spt="202" path="m,l,21600r21600,l21600,xe">
              <v:stroke joinstyle="miter"/>
              <v:path gradientshapeok="t" o:connecttype="rect"/>
            </v:shapetype>
            <v:shape id="Text Box 20"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54144" behindDoc="0" locked="0" layoutInCell="1" allowOverlap="1" wp14:anchorId="198EE97C" wp14:editId="1A9FF01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E97C" id="Text Box 19"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C17FF5" w:rsidRDefault="00C17FF5" w:rsidP="00C17FF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F5" w:rsidRPr="00DC116F" w:rsidRDefault="00C17FF5"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263"/>
      <w:gridCol w:w="712"/>
    </w:tblGrid>
    <w:tr w:rsidR="00C17FF5" w:rsidTr="00AA5B05">
      <w:tc>
        <w:tcPr>
          <w:tcW w:w="675" w:type="dxa"/>
          <w:shd w:val="clear" w:color="auto" w:fill="auto"/>
        </w:tcPr>
        <w:p w:rsidR="00C17FF5" w:rsidRPr="007F6065" w:rsidRDefault="00C17FF5" w:rsidP="00DD3019">
          <w:pPr>
            <w:pStyle w:val="Footer"/>
            <w:spacing w:before="20"/>
            <w:rPr>
              <w:rStyle w:val="PageNumber"/>
            </w:rPr>
          </w:pPr>
        </w:p>
      </w:tc>
      <w:tc>
        <w:tcPr>
          <w:tcW w:w="7263" w:type="dxa"/>
          <w:shd w:val="clear" w:color="auto" w:fill="auto"/>
        </w:tcPr>
        <w:p w:rsidR="00C17FF5" w:rsidRPr="00EF2F9D" w:rsidRDefault="00EB35D0" w:rsidP="00DD3019">
          <w:pPr>
            <w:pStyle w:val="FooterCitation"/>
          </w:pPr>
          <w:r>
            <w:t>Marine Order 91 (Marine pollution prevention — oil) Amendment Order 2018</w:t>
          </w:r>
        </w:p>
      </w:tc>
      <w:tc>
        <w:tcPr>
          <w:tcW w:w="712" w:type="dxa"/>
          <w:shd w:val="clear" w:color="auto" w:fill="auto"/>
        </w:tcPr>
        <w:p w:rsidR="00C17FF5" w:rsidRPr="007F6065" w:rsidRDefault="00C17FF5" w:rsidP="00DD3019">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265043">
            <w:rPr>
              <w:rStyle w:val="PageNumber"/>
              <w:noProof/>
            </w:rPr>
            <w:t>5</w:t>
          </w:r>
          <w:r w:rsidRPr="007F6065">
            <w:rPr>
              <w:rStyle w:val="PageNumber"/>
            </w:rPr>
            <w:fldChar w:fldCharType="end"/>
          </w:r>
        </w:p>
      </w:tc>
    </w:tr>
  </w:tbl>
  <w:p w:rsidR="00C01056" w:rsidRPr="00C17FF5" w:rsidRDefault="00BC7AA6" w:rsidP="00C17FF5">
    <w:pPr>
      <w:pStyle w:val="Footer"/>
    </w:pPr>
    <w:r>
      <w:rPr>
        <w:noProof/>
        <w:sz w:val="16"/>
        <w:szCs w:val="16"/>
      </w:rPr>
      <w:t>MO91 amend-180227</w:t>
    </w:r>
    <w:r w:rsidR="00A53357">
      <w:rPr>
        <w:noProof/>
        <w:sz w:val="16"/>
        <w:szCs w:val="16"/>
      </w:rPr>
      <w:t>Z</w:t>
    </w:r>
    <w:r>
      <w:rPr>
        <w:noProof/>
        <w:sz w:val="16"/>
        <w:szCs w:val="16"/>
      </w:rPr>
      <w:t>Z.docx</w:t>
    </w:r>
    <w:r w:rsidR="00C17FF5" w:rsidRPr="00CA5F5B">
      <w:rPr>
        <w:sz w:val="16"/>
        <w:szCs w:val="16"/>
      </w:rPr>
      <w:t xml:space="preserve"> </w:t>
    </w:r>
    <w:r w:rsidR="00C17FF5">
      <w:rPr>
        <w:noProof/>
        <w:lang w:eastAsia="en-AU"/>
      </w:rPr>
      <mc:AlternateContent>
        <mc:Choice Requires="wps">
          <w:drawing>
            <wp:anchor distT="0" distB="0" distL="114300" distR="114300" simplePos="0" relativeHeight="251660288" behindDoc="0" locked="0" layoutInCell="1" allowOverlap="1" wp14:anchorId="4AD86757" wp14:editId="6B0164B2">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6757"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58240" behindDoc="0" locked="0" layoutInCell="1" allowOverlap="1" wp14:anchorId="2F80F6AD" wp14:editId="018427FD">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F6AD"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C17FF5" w:rsidRDefault="00C17FF5" w:rsidP="00C17F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56" w:rsidRPr="00CA5F5B" w:rsidRDefault="00BC7AA6">
    <w:pPr>
      <w:rPr>
        <w:sz w:val="16"/>
        <w:szCs w:val="16"/>
      </w:rPr>
    </w:pPr>
    <w:r>
      <w:rPr>
        <w:noProof/>
        <w:sz w:val="16"/>
        <w:szCs w:val="16"/>
      </w:rPr>
      <w:t>MO91 amend-180227</w:t>
    </w:r>
    <w:r w:rsidR="00A53357">
      <w:rPr>
        <w:noProof/>
        <w:sz w:val="16"/>
        <w:szCs w:val="16"/>
      </w:rPr>
      <w:t>Z</w:t>
    </w:r>
    <w:r>
      <w:rPr>
        <w:noProof/>
        <w:sz w:val="16"/>
        <w:szCs w:val="16"/>
      </w:rPr>
      <w:t>Z.docx</w:t>
    </w:r>
    <w:r w:rsidR="00C01056" w:rsidRPr="00CA5F5B">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Pr="00556EB9" w:rsidRDefault="00894C1E" w:rsidP="00CB4A00">
    <w:pPr>
      <w:pStyle w:val="FooterCitation"/>
    </w:pPr>
    <w:fldSimple w:instr=" filename \p \*charformat ">
      <w:r>
        <w:rPr>
          <w:noProof/>
        </w:rPr>
        <w:t>R:\8118 Maritime Regulation\Legislative Drafting\drafts-Nav Act\MO91 2018 amend\MO91 amend\MO91 amend-180227Z.docx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Pr="00556EB9" w:rsidRDefault="00894C1E" w:rsidP="00CB4A00">
    <w:pPr>
      <w:pStyle w:val="FooterCitation"/>
    </w:pPr>
    <w:fldSimple w:instr=" filename \p \*charformat ">
      <w:r>
        <w:rPr>
          <w:noProof/>
        </w:rPr>
        <w:t>R:\8118 Maritime Regulation\Legislative Drafting\drafts-Nav Act\MO91 2018 amend\MO91 amend\MO91 amend-180227Z.docx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Pr="003D7214" w:rsidRDefault="009F5C6B"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9F5C6B" w:rsidRPr="004F5D6D" w:rsidRDefault="00EB35D0" w:rsidP="00BD545A">
          <w:pPr>
            <w:spacing w:before="20" w:line="240" w:lineRule="exact"/>
          </w:pPr>
          <w:r>
            <w:fldChar w:fldCharType="begin"/>
          </w:r>
          <w:r>
            <w:instrText xml:space="preserve"> REF  Citation </w:instrText>
          </w:r>
          <w:r>
            <w:fldChar w:fldCharType="separate"/>
          </w:r>
          <w:r w:rsidR="00894C1E">
            <w:rPr>
              <w:b/>
              <w:bCs/>
              <w:lang w:val="en-US"/>
            </w:rPr>
            <w:t>Error! Reference source not found.</w:t>
          </w:r>
          <w:r>
            <w:fldChar w:fldCharType="end"/>
          </w:r>
        </w:p>
      </w:tc>
      <w:tc>
        <w:tcPr>
          <w:tcW w:w="1134" w:type="dxa"/>
        </w:tcPr>
        <w:p w:rsidR="009F5C6B" w:rsidRPr="00451BF5" w:rsidRDefault="009F5C6B" w:rsidP="00BD545A">
          <w:pPr>
            <w:spacing w:line="240" w:lineRule="exact"/>
            <w:jc w:val="right"/>
          </w:pPr>
        </w:p>
      </w:tc>
    </w:tr>
  </w:tbl>
  <w:p w:rsidR="009F5C6B" w:rsidRDefault="009F5C6B" w:rsidP="00BD545A">
    <w:pPr>
      <w:ind w:right="360" w:firstLine="360"/>
    </w:pPr>
    <w:r>
      <w:t>DRAFT ONLY</w:t>
    </w:r>
  </w:p>
  <w:p w:rsidR="009F5C6B" w:rsidRDefault="00894C1E" w:rsidP="00BD545A">
    <w:fldSimple w:instr=" FILENAME   \* MERGEFORMAT ">
      <w:r>
        <w:rPr>
          <w:noProof/>
        </w:rPr>
        <w:t>MO91 amend-180227Z.docx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9B4FD2">
      <w:rPr>
        <w:noProof/>
      </w:rPr>
      <w:t>16/03/2018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9B4FD2">
      <w:rPr>
        <w:noProof/>
      </w:rPr>
      <w:t>2:54 PM</w:t>
    </w:r>
    <w:r w:rsidR="009F5C6B">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Default="009F5C6B" w:rsidP="00BD545A">
          <w:pPr>
            <w:spacing w:line="240" w:lineRule="exact"/>
          </w:pPr>
        </w:p>
      </w:tc>
      <w:tc>
        <w:tcPr>
          <w:tcW w:w="6095" w:type="dxa"/>
        </w:tcPr>
        <w:p w:rsidR="009F5C6B" w:rsidRPr="004F5D6D" w:rsidRDefault="00EB35D0" w:rsidP="00BD545A">
          <w:r>
            <w:fldChar w:fldCharType="begin"/>
          </w:r>
          <w:r>
            <w:instrText xml:space="preserve"> REF  Citation </w:instrText>
          </w:r>
          <w:r>
            <w:fldChar w:fldCharType="separate"/>
          </w:r>
          <w:r w:rsidR="00894C1E">
            <w:rPr>
              <w:b/>
              <w:bCs/>
              <w:lang w:val="en-US"/>
            </w:rPr>
            <w:t>Error! Reference source not found.</w:t>
          </w:r>
          <w:r>
            <w:fldChar w:fldCharType="end"/>
          </w:r>
        </w:p>
      </w:tc>
      <w:tc>
        <w:tcPr>
          <w:tcW w:w="1134" w:type="dxa"/>
        </w:tcPr>
        <w:p w:rsidR="009F5C6B" w:rsidRPr="003D7214" w:rsidRDefault="009F5C6B"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9F5C6B" w:rsidRDefault="009F5C6B" w:rsidP="00BD545A">
    <w:r>
      <w:t>DRAFT ONLY</w:t>
    </w:r>
  </w:p>
  <w:p w:rsidR="009F5C6B" w:rsidRDefault="00894C1E" w:rsidP="00BD545A">
    <w:fldSimple w:instr=" FILENAME   \* MERGEFORMAT ">
      <w:r>
        <w:rPr>
          <w:noProof/>
        </w:rPr>
        <w:t>MO91 amend-180227Z.docx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9B4FD2">
      <w:rPr>
        <w:noProof/>
      </w:rPr>
      <w:t>16/03/2018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9B4FD2">
      <w:rPr>
        <w:noProof/>
      </w:rPr>
      <w:t>2:54 PM</w:t>
    </w:r>
    <w:r w:rsidR="009F5C6B">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
      <w:t>DRAFT ONLY</w:t>
    </w:r>
  </w:p>
  <w:p w:rsidR="009F5C6B" w:rsidRPr="00974D8C" w:rsidRDefault="00894C1E">
    <w:fldSimple w:instr=" FILENAME   \* MERGEFORMAT ">
      <w:r>
        <w:rPr>
          <w:noProof/>
        </w:rPr>
        <w:t>MO91 amend-180227Z.docx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9B4FD2">
      <w:rPr>
        <w:noProof/>
      </w:rPr>
      <w:t>16/03/2018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9B4FD2">
      <w:rPr>
        <w:noProof/>
      </w:rPr>
      <w:t>2:54 PM</w:t>
    </w:r>
    <w:r w:rsidR="009F5C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29" w:rsidRDefault="00F24B29">
      <w:r>
        <w:separator/>
      </w:r>
    </w:p>
  </w:footnote>
  <w:footnote w:type="continuationSeparator" w:id="0">
    <w:p w:rsidR="00F24B29" w:rsidRDefault="00F2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C01056">
      <w:tc>
        <w:tcPr>
          <w:tcW w:w="1494" w:type="dxa"/>
        </w:tcPr>
        <w:p w:rsidR="00C01056" w:rsidRDefault="00C01056" w:rsidP="00BD545A"/>
      </w:tc>
      <w:tc>
        <w:tcPr>
          <w:tcW w:w="6891" w:type="dxa"/>
        </w:tcPr>
        <w:p w:rsidR="00C01056" w:rsidRDefault="00C01056" w:rsidP="00BD545A"/>
      </w:tc>
    </w:tr>
    <w:tr w:rsidR="00C01056">
      <w:tc>
        <w:tcPr>
          <w:tcW w:w="1494" w:type="dxa"/>
        </w:tcPr>
        <w:p w:rsidR="00C01056" w:rsidRDefault="00C01056" w:rsidP="00BD545A"/>
      </w:tc>
      <w:tc>
        <w:tcPr>
          <w:tcW w:w="689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9F5C6B">
      <w:tc>
        <w:tcPr>
          <w:tcW w:w="6914" w:type="dxa"/>
        </w:tcPr>
        <w:p w:rsidR="009F5C6B" w:rsidRDefault="009F5C6B" w:rsidP="00BD545A"/>
      </w:tc>
      <w:tc>
        <w:tcPr>
          <w:tcW w:w="1471" w:type="dxa"/>
        </w:tcPr>
        <w:p w:rsidR="009F5C6B" w:rsidRDefault="009F5C6B" w:rsidP="00BD545A"/>
      </w:tc>
    </w:tr>
    <w:tr w:rsidR="009F5C6B">
      <w:tc>
        <w:tcPr>
          <w:tcW w:w="6914" w:type="dxa"/>
        </w:tcPr>
        <w:p w:rsidR="009F5C6B" w:rsidRDefault="009F5C6B" w:rsidP="00BD545A"/>
      </w:tc>
      <w:tc>
        <w:tcPr>
          <w:tcW w:w="147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C01056">
      <w:tc>
        <w:tcPr>
          <w:tcW w:w="6914" w:type="dxa"/>
        </w:tcPr>
        <w:p w:rsidR="00C01056" w:rsidRDefault="00C01056" w:rsidP="00BD545A"/>
      </w:tc>
      <w:tc>
        <w:tcPr>
          <w:tcW w:w="1471" w:type="dxa"/>
        </w:tcPr>
        <w:p w:rsidR="00C01056" w:rsidRDefault="00C01056" w:rsidP="00BD545A"/>
      </w:tc>
    </w:tr>
    <w:tr w:rsidR="00C01056">
      <w:tc>
        <w:tcPr>
          <w:tcW w:w="6914" w:type="dxa"/>
        </w:tcPr>
        <w:p w:rsidR="00C01056" w:rsidRDefault="00C01056" w:rsidP="00BD545A"/>
      </w:tc>
      <w:tc>
        <w:tcPr>
          <w:tcW w:w="147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08"/>
      <w:gridCol w:w="6997"/>
    </w:tblGrid>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877BC4" w:rsidTr="00CB4A00">
      <w:tc>
        <w:tcPr>
          <w:tcW w:w="1531" w:type="dxa"/>
        </w:tcPr>
        <w:p w:rsidR="00877BC4" w:rsidRDefault="00877BC4"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77BC4" w:rsidTr="00CB4A00">
      <w:tc>
        <w:tcPr>
          <w:tcW w:w="8650" w:type="dxa"/>
          <w:gridSpan w:val="2"/>
          <w:tcBorders>
            <w:bottom w:val="single" w:sz="4" w:space="0" w:color="auto"/>
          </w:tcBorders>
          <w:shd w:val="clear" w:color="auto" w:fill="auto"/>
        </w:tcPr>
        <w:p w:rsidR="00877BC4" w:rsidRDefault="00877BC4" w:rsidP="00CB4A00">
          <w:pPr>
            <w:pStyle w:val="HeaderBoldEven"/>
          </w:pPr>
        </w:p>
      </w:tc>
    </w:tr>
  </w:tbl>
  <w:p w:rsidR="00877BC4" w:rsidRDefault="00877BC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847"/>
      <w:gridCol w:w="1658"/>
    </w:tblGrid>
    <w:tr w:rsidR="00877BC4" w:rsidTr="00CB4A00">
      <w:tc>
        <w:tcPr>
          <w:tcW w:w="6948" w:type="dxa"/>
        </w:tcPr>
        <w:p w:rsidR="00877BC4" w:rsidRDefault="00877BC4"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877BC4" w:rsidTr="00CB4A00">
      <w:tc>
        <w:tcPr>
          <w:tcW w:w="6948" w:type="dxa"/>
        </w:tcPr>
        <w:p w:rsidR="00877BC4" w:rsidRDefault="00877BC4"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877BC4" w:rsidRDefault="00877BC4"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265043">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77BC4" w:rsidTr="00CB4A00">
      <w:tc>
        <w:tcPr>
          <w:tcW w:w="8628" w:type="dxa"/>
          <w:gridSpan w:val="2"/>
          <w:tcBorders>
            <w:bottom w:val="single" w:sz="4" w:space="0" w:color="auto"/>
          </w:tcBorders>
          <w:shd w:val="clear" w:color="auto" w:fill="auto"/>
        </w:tcPr>
        <w:p w:rsidR="00877BC4" w:rsidRDefault="00877BC4" w:rsidP="00CB4A00">
          <w:pPr>
            <w:pStyle w:val="HeaderBoldOdd"/>
          </w:pPr>
        </w:p>
      </w:tc>
    </w:tr>
  </w:tbl>
  <w:p w:rsidR="00877BC4" w:rsidRDefault="00877B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Default="00877B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877BC4" w:rsidTr="00641705">
      <w:tc>
        <w:tcPr>
          <w:tcW w:w="8628" w:type="dxa"/>
        </w:tcPr>
        <w:p w:rsidR="00877BC4" w:rsidRDefault="00877BC4">
          <w:pPr>
            <w:pStyle w:val="HeaderLiteEven"/>
          </w:pPr>
          <w:r>
            <w:t>Note</w:t>
          </w:r>
        </w:p>
      </w:tc>
    </w:tr>
    <w:tr w:rsidR="00877BC4" w:rsidTr="00641705">
      <w:tc>
        <w:tcPr>
          <w:tcW w:w="8628" w:type="dxa"/>
        </w:tcPr>
        <w:p w:rsidR="00877BC4" w:rsidRDefault="00877BC4">
          <w:pPr>
            <w:pStyle w:val="HeaderLiteEven"/>
          </w:pPr>
        </w:p>
      </w:tc>
    </w:tr>
    <w:tr w:rsidR="00877BC4" w:rsidTr="00641705">
      <w:tc>
        <w:tcPr>
          <w:tcW w:w="8628" w:type="dxa"/>
          <w:tcBorders>
            <w:bottom w:val="single" w:sz="4" w:space="0" w:color="auto"/>
          </w:tcBorders>
          <w:shd w:val="clear" w:color="auto" w:fill="auto"/>
        </w:tcPr>
        <w:p w:rsidR="00877BC4" w:rsidRDefault="00877BC4">
          <w:pPr>
            <w:pStyle w:val="HeaderBoldEven"/>
          </w:pPr>
        </w:p>
      </w:tc>
    </w:tr>
  </w:tbl>
  <w:p w:rsidR="00877BC4" w:rsidRDefault="00877BC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877BC4">
      <w:tc>
        <w:tcPr>
          <w:tcW w:w="7167" w:type="dxa"/>
        </w:tcPr>
        <w:p w:rsidR="00877BC4" w:rsidRDefault="00877BC4">
          <w:pPr>
            <w:pStyle w:val="HeaderLiteOdd"/>
          </w:pPr>
          <w:r>
            <w:t>Note</w:t>
          </w:r>
        </w:p>
      </w:tc>
    </w:tr>
    <w:tr w:rsidR="00877BC4">
      <w:tc>
        <w:tcPr>
          <w:tcW w:w="7167" w:type="dxa"/>
        </w:tcPr>
        <w:p w:rsidR="00877BC4" w:rsidRDefault="00877BC4">
          <w:pPr>
            <w:pStyle w:val="HeaderLiteOdd"/>
          </w:pPr>
        </w:p>
      </w:tc>
    </w:tr>
    <w:tr w:rsidR="00877BC4">
      <w:tc>
        <w:tcPr>
          <w:tcW w:w="7167" w:type="dxa"/>
          <w:tcBorders>
            <w:bottom w:val="single" w:sz="4" w:space="0" w:color="auto"/>
          </w:tcBorders>
          <w:shd w:val="clear" w:color="auto" w:fill="auto"/>
        </w:tcPr>
        <w:p w:rsidR="00877BC4" w:rsidRDefault="00877BC4">
          <w:pPr>
            <w:pStyle w:val="HeaderBoldOdd"/>
          </w:pPr>
        </w:p>
      </w:tc>
    </w:tr>
  </w:tbl>
  <w:p w:rsidR="00877BC4" w:rsidRDefault="00877B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Default="00877B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9F5C6B">
      <w:tc>
        <w:tcPr>
          <w:tcW w:w="1494" w:type="dxa"/>
        </w:tcPr>
        <w:p w:rsidR="009F5C6B" w:rsidRDefault="009F5C6B" w:rsidP="00BD545A"/>
      </w:tc>
      <w:tc>
        <w:tcPr>
          <w:tcW w:w="6891" w:type="dxa"/>
        </w:tcPr>
        <w:p w:rsidR="009F5C6B" w:rsidRDefault="009F5C6B" w:rsidP="00BD545A"/>
      </w:tc>
    </w:tr>
    <w:tr w:rsidR="009F5C6B">
      <w:tc>
        <w:tcPr>
          <w:tcW w:w="1494" w:type="dxa"/>
        </w:tcPr>
        <w:p w:rsidR="009F5C6B" w:rsidRDefault="009F5C6B" w:rsidP="00BD545A"/>
      </w:tc>
      <w:tc>
        <w:tcPr>
          <w:tcW w:w="689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DFE6146"/>
    <w:multiLevelType w:val="hybridMultilevel"/>
    <w:tmpl w:val="BCE05D30"/>
    <w:lvl w:ilvl="0" w:tplc="795C3ECE">
      <w:start w:val="1"/>
      <w:numFmt w:val="decimal"/>
      <w:lvlText w:val="(%1)"/>
      <w:lvlJc w:val="left"/>
      <w:pPr>
        <w:ind w:left="766" w:hanging="570"/>
      </w:pPr>
    </w:lvl>
    <w:lvl w:ilvl="1" w:tplc="0C090019">
      <w:start w:val="1"/>
      <w:numFmt w:val="lowerLetter"/>
      <w:lvlText w:val="%2."/>
      <w:lvlJc w:val="left"/>
      <w:pPr>
        <w:ind w:left="1276" w:hanging="360"/>
      </w:pPr>
    </w:lvl>
    <w:lvl w:ilvl="2" w:tplc="0C09001B">
      <w:start w:val="1"/>
      <w:numFmt w:val="lowerRoman"/>
      <w:lvlText w:val="%3."/>
      <w:lvlJc w:val="right"/>
      <w:pPr>
        <w:ind w:left="1996" w:hanging="180"/>
      </w:pPr>
    </w:lvl>
    <w:lvl w:ilvl="3" w:tplc="0C09000F">
      <w:start w:val="1"/>
      <w:numFmt w:val="decimal"/>
      <w:lvlText w:val="%4."/>
      <w:lvlJc w:val="left"/>
      <w:pPr>
        <w:ind w:left="2716" w:hanging="360"/>
      </w:pPr>
    </w:lvl>
    <w:lvl w:ilvl="4" w:tplc="0C090019">
      <w:start w:val="1"/>
      <w:numFmt w:val="lowerLetter"/>
      <w:lvlText w:val="%5."/>
      <w:lvlJc w:val="left"/>
      <w:pPr>
        <w:ind w:left="3436" w:hanging="360"/>
      </w:pPr>
    </w:lvl>
    <w:lvl w:ilvl="5" w:tplc="0C09001B">
      <w:start w:val="1"/>
      <w:numFmt w:val="lowerRoman"/>
      <w:lvlText w:val="%6."/>
      <w:lvlJc w:val="right"/>
      <w:pPr>
        <w:ind w:left="4156" w:hanging="180"/>
      </w:pPr>
    </w:lvl>
    <w:lvl w:ilvl="6" w:tplc="0C09000F">
      <w:start w:val="1"/>
      <w:numFmt w:val="decimal"/>
      <w:lvlText w:val="%7."/>
      <w:lvlJc w:val="left"/>
      <w:pPr>
        <w:ind w:left="4876" w:hanging="360"/>
      </w:pPr>
    </w:lvl>
    <w:lvl w:ilvl="7" w:tplc="0C090019">
      <w:start w:val="1"/>
      <w:numFmt w:val="lowerLetter"/>
      <w:lvlText w:val="%8."/>
      <w:lvlJc w:val="left"/>
      <w:pPr>
        <w:ind w:left="5596" w:hanging="360"/>
      </w:pPr>
    </w:lvl>
    <w:lvl w:ilvl="8" w:tplc="0C09001B">
      <w:start w:val="1"/>
      <w:numFmt w:val="lowerRoman"/>
      <w:lvlText w:val="%9."/>
      <w:lvlJc w:val="right"/>
      <w:pPr>
        <w:ind w:left="6316" w:hanging="180"/>
      </w:pPr>
    </w:lvl>
  </w:abstractNum>
  <w:abstractNum w:abstractNumId="12" w15:restartNumberingAfterBreak="0">
    <w:nsid w:val="7D7F33D9"/>
    <w:multiLevelType w:val="hybridMultilevel"/>
    <w:tmpl w:val="2948229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F24B29"/>
    <w:rsid w:val="000038A0"/>
    <w:rsid w:val="00012F8A"/>
    <w:rsid w:val="0001662A"/>
    <w:rsid w:val="00020108"/>
    <w:rsid w:val="0002198E"/>
    <w:rsid w:val="00032F2C"/>
    <w:rsid w:val="000351E9"/>
    <w:rsid w:val="00037DD6"/>
    <w:rsid w:val="00040090"/>
    <w:rsid w:val="000403D5"/>
    <w:rsid w:val="000427E4"/>
    <w:rsid w:val="0004456C"/>
    <w:rsid w:val="00045BA4"/>
    <w:rsid w:val="00045F1B"/>
    <w:rsid w:val="000521B7"/>
    <w:rsid w:val="0005339D"/>
    <w:rsid w:val="00060076"/>
    <w:rsid w:val="000646EC"/>
    <w:rsid w:val="00065118"/>
    <w:rsid w:val="00065296"/>
    <w:rsid w:val="00070827"/>
    <w:rsid w:val="000715D1"/>
    <w:rsid w:val="000757DA"/>
    <w:rsid w:val="00080311"/>
    <w:rsid w:val="00082916"/>
    <w:rsid w:val="00083189"/>
    <w:rsid w:val="00084E4F"/>
    <w:rsid w:val="0008560A"/>
    <w:rsid w:val="00091146"/>
    <w:rsid w:val="00094FBA"/>
    <w:rsid w:val="00095849"/>
    <w:rsid w:val="000A0788"/>
    <w:rsid w:val="000A0CCA"/>
    <w:rsid w:val="000A1742"/>
    <w:rsid w:val="000A620C"/>
    <w:rsid w:val="000A7869"/>
    <w:rsid w:val="000B4121"/>
    <w:rsid w:val="000B4194"/>
    <w:rsid w:val="000B51B3"/>
    <w:rsid w:val="000B7FB3"/>
    <w:rsid w:val="000D1916"/>
    <w:rsid w:val="000D5714"/>
    <w:rsid w:val="000E0097"/>
    <w:rsid w:val="000E16EC"/>
    <w:rsid w:val="000E27E3"/>
    <w:rsid w:val="000E48BD"/>
    <w:rsid w:val="000E7494"/>
    <w:rsid w:val="000F2967"/>
    <w:rsid w:val="000F4FAC"/>
    <w:rsid w:val="000F64D6"/>
    <w:rsid w:val="00103F01"/>
    <w:rsid w:val="00105BB8"/>
    <w:rsid w:val="00107668"/>
    <w:rsid w:val="00111D90"/>
    <w:rsid w:val="00112BC2"/>
    <w:rsid w:val="00116989"/>
    <w:rsid w:val="0012088E"/>
    <w:rsid w:val="00125657"/>
    <w:rsid w:val="001312D8"/>
    <w:rsid w:val="001328CE"/>
    <w:rsid w:val="00134DDC"/>
    <w:rsid w:val="00140090"/>
    <w:rsid w:val="001409F1"/>
    <w:rsid w:val="0014186A"/>
    <w:rsid w:val="00141CBA"/>
    <w:rsid w:val="00144DE3"/>
    <w:rsid w:val="00153195"/>
    <w:rsid w:val="00156A5F"/>
    <w:rsid w:val="00162609"/>
    <w:rsid w:val="00164935"/>
    <w:rsid w:val="00165D61"/>
    <w:rsid w:val="0017685B"/>
    <w:rsid w:val="001809EF"/>
    <w:rsid w:val="00185F83"/>
    <w:rsid w:val="00186360"/>
    <w:rsid w:val="00187D63"/>
    <w:rsid w:val="00190054"/>
    <w:rsid w:val="00191FA5"/>
    <w:rsid w:val="00192C10"/>
    <w:rsid w:val="00192F88"/>
    <w:rsid w:val="00193F32"/>
    <w:rsid w:val="0019487C"/>
    <w:rsid w:val="00195974"/>
    <w:rsid w:val="001A0341"/>
    <w:rsid w:val="001A0621"/>
    <w:rsid w:val="001A4DD7"/>
    <w:rsid w:val="001A6C59"/>
    <w:rsid w:val="001B195B"/>
    <w:rsid w:val="001C22F5"/>
    <w:rsid w:val="001C25FE"/>
    <w:rsid w:val="001C5D25"/>
    <w:rsid w:val="001C7118"/>
    <w:rsid w:val="001C769F"/>
    <w:rsid w:val="001C7AEF"/>
    <w:rsid w:val="001D17C6"/>
    <w:rsid w:val="001D215D"/>
    <w:rsid w:val="001D282E"/>
    <w:rsid w:val="001D6D71"/>
    <w:rsid w:val="001E092D"/>
    <w:rsid w:val="001E1749"/>
    <w:rsid w:val="001E447D"/>
    <w:rsid w:val="001F108C"/>
    <w:rsid w:val="001F41C5"/>
    <w:rsid w:val="001F4F41"/>
    <w:rsid w:val="002015B2"/>
    <w:rsid w:val="00201994"/>
    <w:rsid w:val="00203232"/>
    <w:rsid w:val="00210652"/>
    <w:rsid w:val="00214C3B"/>
    <w:rsid w:val="00215AEB"/>
    <w:rsid w:val="00221073"/>
    <w:rsid w:val="00222202"/>
    <w:rsid w:val="00222FD0"/>
    <w:rsid w:val="002252C7"/>
    <w:rsid w:val="00225AD4"/>
    <w:rsid w:val="0022734F"/>
    <w:rsid w:val="002320F6"/>
    <w:rsid w:val="00233C57"/>
    <w:rsid w:val="0023489C"/>
    <w:rsid w:val="00234E9A"/>
    <w:rsid w:val="0023545F"/>
    <w:rsid w:val="00240469"/>
    <w:rsid w:val="0024109B"/>
    <w:rsid w:val="0024222C"/>
    <w:rsid w:val="00243601"/>
    <w:rsid w:val="00244C01"/>
    <w:rsid w:val="00246042"/>
    <w:rsid w:val="00252F17"/>
    <w:rsid w:val="00253DDD"/>
    <w:rsid w:val="00254D0C"/>
    <w:rsid w:val="002555EA"/>
    <w:rsid w:val="00260876"/>
    <w:rsid w:val="00260912"/>
    <w:rsid w:val="00265043"/>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01E3"/>
    <w:rsid w:val="002D417A"/>
    <w:rsid w:val="002D4558"/>
    <w:rsid w:val="002D635B"/>
    <w:rsid w:val="002D71AC"/>
    <w:rsid w:val="002D7932"/>
    <w:rsid w:val="002E2552"/>
    <w:rsid w:val="002E5749"/>
    <w:rsid w:val="002E7B7D"/>
    <w:rsid w:val="002F2BE6"/>
    <w:rsid w:val="002F353D"/>
    <w:rsid w:val="002F78D5"/>
    <w:rsid w:val="00301592"/>
    <w:rsid w:val="003048BD"/>
    <w:rsid w:val="00306194"/>
    <w:rsid w:val="003072E7"/>
    <w:rsid w:val="003151F5"/>
    <w:rsid w:val="003226E7"/>
    <w:rsid w:val="003231FF"/>
    <w:rsid w:val="00327199"/>
    <w:rsid w:val="00333426"/>
    <w:rsid w:val="0033573E"/>
    <w:rsid w:val="00336724"/>
    <w:rsid w:val="003404B4"/>
    <w:rsid w:val="00343B24"/>
    <w:rsid w:val="00345434"/>
    <w:rsid w:val="003469E3"/>
    <w:rsid w:val="0035001E"/>
    <w:rsid w:val="00353F3B"/>
    <w:rsid w:val="00355B87"/>
    <w:rsid w:val="00357657"/>
    <w:rsid w:val="00367E3F"/>
    <w:rsid w:val="00370DD7"/>
    <w:rsid w:val="0037255F"/>
    <w:rsid w:val="00373F70"/>
    <w:rsid w:val="0038199B"/>
    <w:rsid w:val="00386F67"/>
    <w:rsid w:val="00387F34"/>
    <w:rsid w:val="00392557"/>
    <w:rsid w:val="00393625"/>
    <w:rsid w:val="0039396B"/>
    <w:rsid w:val="003A5AF1"/>
    <w:rsid w:val="003A77F7"/>
    <w:rsid w:val="003B0D29"/>
    <w:rsid w:val="003B7E2B"/>
    <w:rsid w:val="003C09DB"/>
    <w:rsid w:val="003C1D25"/>
    <w:rsid w:val="003C7A1C"/>
    <w:rsid w:val="003D1079"/>
    <w:rsid w:val="003D14A5"/>
    <w:rsid w:val="003D1FD3"/>
    <w:rsid w:val="003D5FC8"/>
    <w:rsid w:val="003D659C"/>
    <w:rsid w:val="003D6F03"/>
    <w:rsid w:val="003E641C"/>
    <w:rsid w:val="003E6D06"/>
    <w:rsid w:val="003F64F2"/>
    <w:rsid w:val="003F6833"/>
    <w:rsid w:val="004005D4"/>
    <w:rsid w:val="004032A0"/>
    <w:rsid w:val="00403F78"/>
    <w:rsid w:val="004179EE"/>
    <w:rsid w:val="00421964"/>
    <w:rsid w:val="00422522"/>
    <w:rsid w:val="00423343"/>
    <w:rsid w:val="004255DD"/>
    <w:rsid w:val="004311E3"/>
    <w:rsid w:val="0043276E"/>
    <w:rsid w:val="00433B06"/>
    <w:rsid w:val="004361A5"/>
    <w:rsid w:val="00440B24"/>
    <w:rsid w:val="00442AA3"/>
    <w:rsid w:val="00443890"/>
    <w:rsid w:val="0044430D"/>
    <w:rsid w:val="004447F9"/>
    <w:rsid w:val="00444F77"/>
    <w:rsid w:val="004459DE"/>
    <w:rsid w:val="00446D89"/>
    <w:rsid w:val="00450DE1"/>
    <w:rsid w:val="00452307"/>
    <w:rsid w:val="004533FC"/>
    <w:rsid w:val="004624D8"/>
    <w:rsid w:val="004627A7"/>
    <w:rsid w:val="00464092"/>
    <w:rsid w:val="004640EA"/>
    <w:rsid w:val="00464AD1"/>
    <w:rsid w:val="00465D6A"/>
    <w:rsid w:val="00466DBA"/>
    <w:rsid w:val="004839A4"/>
    <w:rsid w:val="004879CB"/>
    <w:rsid w:val="0049172E"/>
    <w:rsid w:val="004A20E2"/>
    <w:rsid w:val="004A7713"/>
    <w:rsid w:val="004A7AA7"/>
    <w:rsid w:val="004B1AC1"/>
    <w:rsid w:val="004B6C4F"/>
    <w:rsid w:val="004C3987"/>
    <w:rsid w:val="004C6E70"/>
    <w:rsid w:val="004D2382"/>
    <w:rsid w:val="004D32C2"/>
    <w:rsid w:val="004D5EAB"/>
    <w:rsid w:val="004D6045"/>
    <w:rsid w:val="004E0619"/>
    <w:rsid w:val="004E1C75"/>
    <w:rsid w:val="004E2FEB"/>
    <w:rsid w:val="004E7590"/>
    <w:rsid w:val="004F5D6D"/>
    <w:rsid w:val="00501E0C"/>
    <w:rsid w:val="005056C8"/>
    <w:rsid w:val="0051137B"/>
    <w:rsid w:val="00511776"/>
    <w:rsid w:val="00511924"/>
    <w:rsid w:val="00512974"/>
    <w:rsid w:val="0051511D"/>
    <w:rsid w:val="0051578E"/>
    <w:rsid w:val="0052220C"/>
    <w:rsid w:val="005234C7"/>
    <w:rsid w:val="005238E0"/>
    <w:rsid w:val="0052617E"/>
    <w:rsid w:val="005277E8"/>
    <w:rsid w:val="00534935"/>
    <w:rsid w:val="00536B7F"/>
    <w:rsid w:val="00536D4B"/>
    <w:rsid w:val="00541007"/>
    <w:rsid w:val="0054351E"/>
    <w:rsid w:val="00550962"/>
    <w:rsid w:val="005516CA"/>
    <w:rsid w:val="00562069"/>
    <w:rsid w:val="00567144"/>
    <w:rsid w:val="005672DE"/>
    <w:rsid w:val="005749F6"/>
    <w:rsid w:val="00576569"/>
    <w:rsid w:val="00577E10"/>
    <w:rsid w:val="00580301"/>
    <w:rsid w:val="005813F2"/>
    <w:rsid w:val="0058255E"/>
    <w:rsid w:val="005859FB"/>
    <w:rsid w:val="00587B31"/>
    <w:rsid w:val="005924C4"/>
    <w:rsid w:val="005943B6"/>
    <w:rsid w:val="00595F36"/>
    <w:rsid w:val="005A3DFD"/>
    <w:rsid w:val="005A4031"/>
    <w:rsid w:val="005A773D"/>
    <w:rsid w:val="005B3143"/>
    <w:rsid w:val="005B31CE"/>
    <w:rsid w:val="005B5BAF"/>
    <w:rsid w:val="005B6923"/>
    <w:rsid w:val="005B7B02"/>
    <w:rsid w:val="005C2FA7"/>
    <w:rsid w:val="005C4A85"/>
    <w:rsid w:val="005C6CA2"/>
    <w:rsid w:val="005D0D39"/>
    <w:rsid w:val="005D16E9"/>
    <w:rsid w:val="005D2F97"/>
    <w:rsid w:val="005D4DE2"/>
    <w:rsid w:val="005D692B"/>
    <w:rsid w:val="005E35C7"/>
    <w:rsid w:val="005E43E5"/>
    <w:rsid w:val="005E563D"/>
    <w:rsid w:val="005F0DDB"/>
    <w:rsid w:val="005F47D8"/>
    <w:rsid w:val="005F52A1"/>
    <w:rsid w:val="005F6E40"/>
    <w:rsid w:val="00602748"/>
    <w:rsid w:val="006047C5"/>
    <w:rsid w:val="006156C1"/>
    <w:rsid w:val="00621915"/>
    <w:rsid w:val="00624074"/>
    <w:rsid w:val="0062414A"/>
    <w:rsid w:val="0062769F"/>
    <w:rsid w:val="00631841"/>
    <w:rsid w:val="006356F7"/>
    <w:rsid w:val="006375A7"/>
    <w:rsid w:val="00637631"/>
    <w:rsid w:val="00641664"/>
    <w:rsid w:val="00641705"/>
    <w:rsid w:val="0065001E"/>
    <w:rsid w:val="006533B7"/>
    <w:rsid w:val="00665E85"/>
    <w:rsid w:val="006706A9"/>
    <w:rsid w:val="00670CD9"/>
    <w:rsid w:val="00674B00"/>
    <w:rsid w:val="0067501E"/>
    <w:rsid w:val="0067578A"/>
    <w:rsid w:val="00684CF2"/>
    <w:rsid w:val="006921DC"/>
    <w:rsid w:val="00692F9E"/>
    <w:rsid w:val="00696707"/>
    <w:rsid w:val="006A1ABA"/>
    <w:rsid w:val="006A76F7"/>
    <w:rsid w:val="006B6EBF"/>
    <w:rsid w:val="006C2616"/>
    <w:rsid w:val="006C5742"/>
    <w:rsid w:val="006D018E"/>
    <w:rsid w:val="006D3078"/>
    <w:rsid w:val="006D4034"/>
    <w:rsid w:val="006E1CE6"/>
    <w:rsid w:val="006E2530"/>
    <w:rsid w:val="006E548F"/>
    <w:rsid w:val="006E7E7A"/>
    <w:rsid w:val="006F0BD8"/>
    <w:rsid w:val="006F6039"/>
    <w:rsid w:val="006F73F0"/>
    <w:rsid w:val="00700826"/>
    <w:rsid w:val="007028EC"/>
    <w:rsid w:val="00702998"/>
    <w:rsid w:val="007047C3"/>
    <w:rsid w:val="0071055A"/>
    <w:rsid w:val="0071414A"/>
    <w:rsid w:val="0071514F"/>
    <w:rsid w:val="00716F1E"/>
    <w:rsid w:val="00717F9C"/>
    <w:rsid w:val="00727685"/>
    <w:rsid w:val="00730AF8"/>
    <w:rsid w:val="00735D7F"/>
    <w:rsid w:val="007375F7"/>
    <w:rsid w:val="00737A90"/>
    <w:rsid w:val="00740322"/>
    <w:rsid w:val="00740916"/>
    <w:rsid w:val="00742FC6"/>
    <w:rsid w:val="007431FF"/>
    <w:rsid w:val="00747A47"/>
    <w:rsid w:val="00756001"/>
    <w:rsid w:val="00756F9E"/>
    <w:rsid w:val="00760112"/>
    <w:rsid w:val="00770AF1"/>
    <w:rsid w:val="00771E75"/>
    <w:rsid w:val="00772ADE"/>
    <w:rsid w:val="007758CE"/>
    <w:rsid w:val="00776962"/>
    <w:rsid w:val="007806DC"/>
    <w:rsid w:val="00781A35"/>
    <w:rsid w:val="00782614"/>
    <w:rsid w:val="0078300B"/>
    <w:rsid w:val="007833A9"/>
    <w:rsid w:val="007844E1"/>
    <w:rsid w:val="007851E9"/>
    <w:rsid w:val="007910D2"/>
    <w:rsid w:val="00791AA4"/>
    <w:rsid w:val="00794754"/>
    <w:rsid w:val="007A3064"/>
    <w:rsid w:val="007A4009"/>
    <w:rsid w:val="007B066F"/>
    <w:rsid w:val="007B0709"/>
    <w:rsid w:val="007B6407"/>
    <w:rsid w:val="007C7959"/>
    <w:rsid w:val="007D1A1E"/>
    <w:rsid w:val="007D2760"/>
    <w:rsid w:val="007E231D"/>
    <w:rsid w:val="007E3AA5"/>
    <w:rsid w:val="007F2225"/>
    <w:rsid w:val="007F488D"/>
    <w:rsid w:val="007F4D09"/>
    <w:rsid w:val="007F75DF"/>
    <w:rsid w:val="00800009"/>
    <w:rsid w:val="008002E8"/>
    <w:rsid w:val="008006D5"/>
    <w:rsid w:val="00802830"/>
    <w:rsid w:val="00811B2B"/>
    <w:rsid w:val="00813D44"/>
    <w:rsid w:val="0081463D"/>
    <w:rsid w:val="008149B7"/>
    <w:rsid w:val="00814AC7"/>
    <w:rsid w:val="00825250"/>
    <w:rsid w:val="008279EB"/>
    <w:rsid w:val="008322B6"/>
    <w:rsid w:val="008349F1"/>
    <w:rsid w:val="0083504E"/>
    <w:rsid w:val="00836024"/>
    <w:rsid w:val="00836392"/>
    <w:rsid w:val="008416EA"/>
    <w:rsid w:val="00844132"/>
    <w:rsid w:val="00847850"/>
    <w:rsid w:val="008546A9"/>
    <w:rsid w:val="00854857"/>
    <w:rsid w:val="00856EB5"/>
    <w:rsid w:val="00860063"/>
    <w:rsid w:val="00863597"/>
    <w:rsid w:val="008636FD"/>
    <w:rsid w:val="0086648B"/>
    <w:rsid w:val="00866F2D"/>
    <w:rsid w:val="008673F2"/>
    <w:rsid w:val="00867E7D"/>
    <w:rsid w:val="00872EB7"/>
    <w:rsid w:val="008731F9"/>
    <w:rsid w:val="00873699"/>
    <w:rsid w:val="00873E3C"/>
    <w:rsid w:val="008750E2"/>
    <w:rsid w:val="00876486"/>
    <w:rsid w:val="00877BC4"/>
    <w:rsid w:val="00881B6A"/>
    <w:rsid w:val="00886003"/>
    <w:rsid w:val="008866E8"/>
    <w:rsid w:val="0088671C"/>
    <w:rsid w:val="00886C7C"/>
    <w:rsid w:val="00894C1E"/>
    <w:rsid w:val="00894E08"/>
    <w:rsid w:val="008A0C22"/>
    <w:rsid w:val="008A2CE6"/>
    <w:rsid w:val="008A4808"/>
    <w:rsid w:val="008A52C5"/>
    <w:rsid w:val="008A645B"/>
    <w:rsid w:val="008A656F"/>
    <w:rsid w:val="008A6DFE"/>
    <w:rsid w:val="008B0EFE"/>
    <w:rsid w:val="008B167C"/>
    <w:rsid w:val="008B183C"/>
    <w:rsid w:val="008B1E93"/>
    <w:rsid w:val="008B5978"/>
    <w:rsid w:val="008B5981"/>
    <w:rsid w:val="008B6C52"/>
    <w:rsid w:val="008C3068"/>
    <w:rsid w:val="008C43C2"/>
    <w:rsid w:val="008C48D9"/>
    <w:rsid w:val="008D4B65"/>
    <w:rsid w:val="008D5B3D"/>
    <w:rsid w:val="008E2235"/>
    <w:rsid w:val="008E3423"/>
    <w:rsid w:val="008E63C4"/>
    <w:rsid w:val="008E7C80"/>
    <w:rsid w:val="008F16BC"/>
    <w:rsid w:val="008F1DAB"/>
    <w:rsid w:val="008F3C01"/>
    <w:rsid w:val="008F4378"/>
    <w:rsid w:val="008F5748"/>
    <w:rsid w:val="009007F1"/>
    <w:rsid w:val="009078CC"/>
    <w:rsid w:val="00911F61"/>
    <w:rsid w:val="00911F7B"/>
    <w:rsid w:val="00913281"/>
    <w:rsid w:val="00913EA5"/>
    <w:rsid w:val="009146C1"/>
    <w:rsid w:val="00914E4E"/>
    <w:rsid w:val="00915D96"/>
    <w:rsid w:val="00927849"/>
    <w:rsid w:val="00930919"/>
    <w:rsid w:val="00937ED5"/>
    <w:rsid w:val="00943CEA"/>
    <w:rsid w:val="00945A5E"/>
    <w:rsid w:val="00946C37"/>
    <w:rsid w:val="00950B8F"/>
    <w:rsid w:val="009612A7"/>
    <w:rsid w:val="009625BB"/>
    <w:rsid w:val="00963ADB"/>
    <w:rsid w:val="00967444"/>
    <w:rsid w:val="00971F0C"/>
    <w:rsid w:val="00976374"/>
    <w:rsid w:val="00980A0A"/>
    <w:rsid w:val="00983A1F"/>
    <w:rsid w:val="00987485"/>
    <w:rsid w:val="00990D26"/>
    <w:rsid w:val="0099167B"/>
    <w:rsid w:val="00993442"/>
    <w:rsid w:val="0099445F"/>
    <w:rsid w:val="009A0CC8"/>
    <w:rsid w:val="009A1989"/>
    <w:rsid w:val="009A207B"/>
    <w:rsid w:val="009A5A0D"/>
    <w:rsid w:val="009A679E"/>
    <w:rsid w:val="009A6D1B"/>
    <w:rsid w:val="009B303B"/>
    <w:rsid w:val="009B3BDA"/>
    <w:rsid w:val="009B4FD2"/>
    <w:rsid w:val="009B76D8"/>
    <w:rsid w:val="009B785F"/>
    <w:rsid w:val="009C0398"/>
    <w:rsid w:val="009C5167"/>
    <w:rsid w:val="009D2607"/>
    <w:rsid w:val="009D5332"/>
    <w:rsid w:val="009D6B2A"/>
    <w:rsid w:val="009D7BDF"/>
    <w:rsid w:val="009E1C06"/>
    <w:rsid w:val="009E28DB"/>
    <w:rsid w:val="009E2D2F"/>
    <w:rsid w:val="009E30FA"/>
    <w:rsid w:val="009F0DF4"/>
    <w:rsid w:val="009F3C84"/>
    <w:rsid w:val="009F3F7B"/>
    <w:rsid w:val="009F5B9B"/>
    <w:rsid w:val="009F5C6B"/>
    <w:rsid w:val="00A00C88"/>
    <w:rsid w:val="00A01386"/>
    <w:rsid w:val="00A046F7"/>
    <w:rsid w:val="00A10B39"/>
    <w:rsid w:val="00A13F63"/>
    <w:rsid w:val="00A15843"/>
    <w:rsid w:val="00A15B2B"/>
    <w:rsid w:val="00A21D2D"/>
    <w:rsid w:val="00A223AA"/>
    <w:rsid w:val="00A24F06"/>
    <w:rsid w:val="00A266F5"/>
    <w:rsid w:val="00A30ABA"/>
    <w:rsid w:val="00A314B9"/>
    <w:rsid w:val="00A31BC2"/>
    <w:rsid w:val="00A33D5D"/>
    <w:rsid w:val="00A3629A"/>
    <w:rsid w:val="00A36D18"/>
    <w:rsid w:val="00A41885"/>
    <w:rsid w:val="00A41B45"/>
    <w:rsid w:val="00A52515"/>
    <w:rsid w:val="00A53357"/>
    <w:rsid w:val="00A540A7"/>
    <w:rsid w:val="00A54B37"/>
    <w:rsid w:val="00A609DD"/>
    <w:rsid w:val="00A60B57"/>
    <w:rsid w:val="00A61815"/>
    <w:rsid w:val="00A644DE"/>
    <w:rsid w:val="00A65157"/>
    <w:rsid w:val="00A6740F"/>
    <w:rsid w:val="00A74CEC"/>
    <w:rsid w:val="00A90C9D"/>
    <w:rsid w:val="00A921BD"/>
    <w:rsid w:val="00A95A88"/>
    <w:rsid w:val="00AA1597"/>
    <w:rsid w:val="00AA1B63"/>
    <w:rsid w:val="00AA269B"/>
    <w:rsid w:val="00AA3188"/>
    <w:rsid w:val="00AA420D"/>
    <w:rsid w:val="00AA5A5D"/>
    <w:rsid w:val="00AA5B05"/>
    <w:rsid w:val="00AA7D08"/>
    <w:rsid w:val="00AB2C8C"/>
    <w:rsid w:val="00AB37CE"/>
    <w:rsid w:val="00AB444A"/>
    <w:rsid w:val="00AB7B7A"/>
    <w:rsid w:val="00AC3205"/>
    <w:rsid w:val="00AC405E"/>
    <w:rsid w:val="00AD3174"/>
    <w:rsid w:val="00AE732F"/>
    <w:rsid w:val="00AF074C"/>
    <w:rsid w:val="00AF6ABD"/>
    <w:rsid w:val="00AF716F"/>
    <w:rsid w:val="00B0373E"/>
    <w:rsid w:val="00B03AF0"/>
    <w:rsid w:val="00B05373"/>
    <w:rsid w:val="00B067E6"/>
    <w:rsid w:val="00B10A9A"/>
    <w:rsid w:val="00B11A88"/>
    <w:rsid w:val="00B12260"/>
    <w:rsid w:val="00B13CDE"/>
    <w:rsid w:val="00B13F00"/>
    <w:rsid w:val="00B1436B"/>
    <w:rsid w:val="00B14827"/>
    <w:rsid w:val="00B156E1"/>
    <w:rsid w:val="00B25433"/>
    <w:rsid w:val="00B25F73"/>
    <w:rsid w:val="00B2626C"/>
    <w:rsid w:val="00B36324"/>
    <w:rsid w:val="00B3694C"/>
    <w:rsid w:val="00B3728B"/>
    <w:rsid w:val="00B408B6"/>
    <w:rsid w:val="00B40F4D"/>
    <w:rsid w:val="00B41FFD"/>
    <w:rsid w:val="00B531ED"/>
    <w:rsid w:val="00B53574"/>
    <w:rsid w:val="00B60027"/>
    <w:rsid w:val="00B607AF"/>
    <w:rsid w:val="00B61908"/>
    <w:rsid w:val="00B63898"/>
    <w:rsid w:val="00B63AE9"/>
    <w:rsid w:val="00B662B0"/>
    <w:rsid w:val="00B670FF"/>
    <w:rsid w:val="00B70B80"/>
    <w:rsid w:val="00B727F3"/>
    <w:rsid w:val="00B769C4"/>
    <w:rsid w:val="00B76BE0"/>
    <w:rsid w:val="00B80913"/>
    <w:rsid w:val="00B8139C"/>
    <w:rsid w:val="00B85A19"/>
    <w:rsid w:val="00B91A8D"/>
    <w:rsid w:val="00B95BB4"/>
    <w:rsid w:val="00BA34AD"/>
    <w:rsid w:val="00BA4B2A"/>
    <w:rsid w:val="00BB5CE9"/>
    <w:rsid w:val="00BB69FF"/>
    <w:rsid w:val="00BC1F63"/>
    <w:rsid w:val="00BC639D"/>
    <w:rsid w:val="00BC7AA6"/>
    <w:rsid w:val="00BD545A"/>
    <w:rsid w:val="00BD767D"/>
    <w:rsid w:val="00BE4C6E"/>
    <w:rsid w:val="00BE6D7D"/>
    <w:rsid w:val="00BF1C2D"/>
    <w:rsid w:val="00BF2735"/>
    <w:rsid w:val="00BF2D80"/>
    <w:rsid w:val="00BF30CA"/>
    <w:rsid w:val="00BF738E"/>
    <w:rsid w:val="00C01056"/>
    <w:rsid w:val="00C02C73"/>
    <w:rsid w:val="00C036DE"/>
    <w:rsid w:val="00C0402F"/>
    <w:rsid w:val="00C07AE0"/>
    <w:rsid w:val="00C11110"/>
    <w:rsid w:val="00C129D7"/>
    <w:rsid w:val="00C138C4"/>
    <w:rsid w:val="00C14CE5"/>
    <w:rsid w:val="00C17FF5"/>
    <w:rsid w:val="00C23ACB"/>
    <w:rsid w:val="00C247B2"/>
    <w:rsid w:val="00C24D41"/>
    <w:rsid w:val="00C30025"/>
    <w:rsid w:val="00C3254A"/>
    <w:rsid w:val="00C329A2"/>
    <w:rsid w:val="00C33CCB"/>
    <w:rsid w:val="00C35EC8"/>
    <w:rsid w:val="00C37937"/>
    <w:rsid w:val="00C4065A"/>
    <w:rsid w:val="00C412B4"/>
    <w:rsid w:val="00C42FF3"/>
    <w:rsid w:val="00C447FD"/>
    <w:rsid w:val="00C44BA2"/>
    <w:rsid w:val="00C464FB"/>
    <w:rsid w:val="00C479EC"/>
    <w:rsid w:val="00C5024F"/>
    <w:rsid w:val="00C51630"/>
    <w:rsid w:val="00C52F4B"/>
    <w:rsid w:val="00C53754"/>
    <w:rsid w:val="00C6035E"/>
    <w:rsid w:val="00C60BD3"/>
    <w:rsid w:val="00C639B5"/>
    <w:rsid w:val="00C6452B"/>
    <w:rsid w:val="00C651A6"/>
    <w:rsid w:val="00C65363"/>
    <w:rsid w:val="00C66588"/>
    <w:rsid w:val="00C725F3"/>
    <w:rsid w:val="00C72C99"/>
    <w:rsid w:val="00C822F8"/>
    <w:rsid w:val="00C8251B"/>
    <w:rsid w:val="00C83482"/>
    <w:rsid w:val="00C83A6F"/>
    <w:rsid w:val="00C83CEC"/>
    <w:rsid w:val="00C90C5D"/>
    <w:rsid w:val="00C92461"/>
    <w:rsid w:val="00C92897"/>
    <w:rsid w:val="00C92D6F"/>
    <w:rsid w:val="00C93DEA"/>
    <w:rsid w:val="00C97351"/>
    <w:rsid w:val="00C97D8E"/>
    <w:rsid w:val="00CA2A23"/>
    <w:rsid w:val="00CA4DDD"/>
    <w:rsid w:val="00CA752C"/>
    <w:rsid w:val="00CB009F"/>
    <w:rsid w:val="00CB221F"/>
    <w:rsid w:val="00CB4649"/>
    <w:rsid w:val="00CB4A00"/>
    <w:rsid w:val="00CB767D"/>
    <w:rsid w:val="00CB7E62"/>
    <w:rsid w:val="00CC183F"/>
    <w:rsid w:val="00CC3524"/>
    <w:rsid w:val="00CC5CA4"/>
    <w:rsid w:val="00CD2696"/>
    <w:rsid w:val="00CD3C04"/>
    <w:rsid w:val="00CD3C3C"/>
    <w:rsid w:val="00CD7C7F"/>
    <w:rsid w:val="00CE5AD0"/>
    <w:rsid w:val="00CE662A"/>
    <w:rsid w:val="00CF73A6"/>
    <w:rsid w:val="00D05575"/>
    <w:rsid w:val="00D118BD"/>
    <w:rsid w:val="00D13C76"/>
    <w:rsid w:val="00D15738"/>
    <w:rsid w:val="00D2157E"/>
    <w:rsid w:val="00D22AE7"/>
    <w:rsid w:val="00D24F42"/>
    <w:rsid w:val="00D2550B"/>
    <w:rsid w:val="00D271FF"/>
    <w:rsid w:val="00D31BFF"/>
    <w:rsid w:val="00D3367E"/>
    <w:rsid w:val="00D33956"/>
    <w:rsid w:val="00D34D58"/>
    <w:rsid w:val="00D34F1B"/>
    <w:rsid w:val="00D363DF"/>
    <w:rsid w:val="00D41229"/>
    <w:rsid w:val="00D4367A"/>
    <w:rsid w:val="00D57D13"/>
    <w:rsid w:val="00D6243F"/>
    <w:rsid w:val="00D63AB9"/>
    <w:rsid w:val="00D6403A"/>
    <w:rsid w:val="00D64C45"/>
    <w:rsid w:val="00D70518"/>
    <w:rsid w:val="00D713C8"/>
    <w:rsid w:val="00D774C6"/>
    <w:rsid w:val="00D7795F"/>
    <w:rsid w:val="00D80163"/>
    <w:rsid w:val="00D820C5"/>
    <w:rsid w:val="00D84CCB"/>
    <w:rsid w:val="00D84E18"/>
    <w:rsid w:val="00D86C8D"/>
    <w:rsid w:val="00D905E4"/>
    <w:rsid w:val="00D948FB"/>
    <w:rsid w:val="00D95125"/>
    <w:rsid w:val="00D96493"/>
    <w:rsid w:val="00DA7E93"/>
    <w:rsid w:val="00DB0F10"/>
    <w:rsid w:val="00DB2470"/>
    <w:rsid w:val="00DB3F6D"/>
    <w:rsid w:val="00DC7FB4"/>
    <w:rsid w:val="00DE12C9"/>
    <w:rsid w:val="00DE1A1E"/>
    <w:rsid w:val="00DE5043"/>
    <w:rsid w:val="00DE7476"/>
    <w:rsid w:val="00DF2AEA"/>
    <w:rsid w:val="00DF44BE"/>
    <w:rsid w:val="00DF45D4"/>
    <w:rsid w:val="00DF51DA"/>
    <w:rsid w:val="00DF64FD"/>
    <w:rsid w:val="00E01802"/>
    <w:rsid w:val="00E05AF6"/>
    <w:rsid w:val="00E10958"/>
    <w:rsid w:val="00E116C0"/>
    <w:rsid w:val="00E127AC"/>
    <w:rsid w:val="00E14318"/>
    <w:rsid w:val="00E14409"/>
    <w:rsid w:val="00E156DE"/>
    <w:rsid w:val="00E23C5C"/>
    <w:rsid w:val="00E24EF9"/>
    <w:rsid w:val="00E24FB9"/>
    <w:rsid w:val="00E24FC1"/>
    <w:rsid w:val="00E26CD1"/>
    <w:rsid w:val="00E26F82"/>
    <w:rsid w:val="00E34EA2"/>
    <w:rsid w:val="00E35189"/>
    <w:rsid w:val="00E424C0"/>
    <w:rsid w:val="00E43157"/>
    <w:rsid w:val="00E44149"/>
    <w:rsid w:val="00E44D80"/>
    <w:rsid w:val="00E44ECA"/>
    <w:rsid w:val="00E459C3"/>
    <w:rsid w:val="00E53281"/>
    <w:rsid w:val="00E53A61"/>
    <w:rsid w:val="00E57384"/>
    <w:rsid w:val="00E5755C"/>
    <w:rsid w:val="00E64A34"/>
    <w:rsid w:val="00E6578A"/>
    <w:rsid w:val="00E67745"/>
    <w:rsid w:val="00E678BB"/>
    <w:rsid w:val="00E726B2"/>
    <w:rsid w:val="00E7293B"/>
    <w:rsid w:val="00E73201"/>
    <w:rsid w:val="00E74109"/>
    <w:rsid w:val="00E750F1"/>
    <w:rsid w:val="00E75957"/>
    <w:rsid w:val="00E75FD4"/>
    <w:rsid w:val="00E810D8"/>
    <w:rsid w:val="00E814E3"/>
    <w:rsid w:val="00E83542"/>
    <w:rsid w:val="00E848FA"/>
    <w:rsid w:val="00E9141E"/>
    <w:rsid w:val="00E9172F"/>
    <w:rsid w:val="00EA0DE3"/>
    <w:rsid w:val="00EA0E4D"/>
    <w:rsid w:val="00EB155A"/>
    <w:rsid w:val="00EB1E0E"/>
    <w:rsid w:val="00EB35D0"/>
    <w:rsid w:val="00EB3EB2"/>
    <w:rsid w:val="00EB5E26"/>
    <w:rsid w:val="00EB66DC"/>
    <w:rsid w:val="00EB77D8"/>
    <w:rsid w:val="00EB7CEA"/>
    <w:rsid w:val="00EC100A"/>
    <w:rsid w:val="00EC6F84"/>
    <w:rsid w:val="00ED1C66"/>
    <w:rsid w:val="00ED1FB9"/>
    <w:rsid w:val="00EE081F"/>
    <w:rsid w:val="00EE4BF8"/>
    <w:rsid w:val="00EE739D"/>
    <w:rsid w:val="00EF15F7"/>
    <w:rsid w:val="00EF1D34"/>
    <w:rsid w:val="00EF1EE8"/>
    <w:rsid w:val="00EF63BE"/>
    <w:rsid w:val="00EF69B2"/>
    <w:rsid w:val="00EF69CB"/>
    <w:rsid w:val="00F02711"/>
    <w:rsid w:val="00F02993"/>
    <w:rsid w:val="00F040DA"/>
    <w:rsid w:val="00F10EE3"/>
    <w:rsid w:val="00F10F95"/>
    <w:rsid w:val="00F11A57"/>
    <w:rsid w:val="00F13014"/>
    <w:rsid w:val="00F172D2"/>
    <w:rsid w:val="00F22B15"/>
    <w:rsid w:val="00F2305A"/>
    <w:rsid w:val="00F242C4"/>
    <w:rsid w:val="00F24B29"/>
    <w:rsid w:val="00F303C9"/>
    <w:rsid w:val="00F336D9"/>
    <w:rsid w:val="00F33A28"/>
    <w:rsid w:val="00F3585C"/>
    <w:rsid w:val="00F37E63"/>
    <w:rsid w:val="00F41F12"/>
    <w:rsid w:val="00F4222D"/>
    <w:rsid w:val="00F445EF"/>
    <w:rsid w:val="00F511C0"/>
    <w:rsid w:val="00F54C84"/>
    <w:rsid w:val="00F60F7C"/>
    <w:rsid w:val="00F719EC"/>
    <w:rsid w:val="00F7591B"/>
    <w:rsid w:val="00F76ECD"/>
    <w:rsid w:val="00F86BD5"/>
    <w:rsid w:val="00F92D2D"/>
    <w:rsid w:val="00F94BAB"/>
    <w:rsid w:val="00F9606B"/>
    <w:rsid w:val="00F96711"/>
    <w:rsid w:val="00F97D20"/>
    <w:rsid w:val="00FA3CFD"/>
    <w:rsid w:val="00FB1906"/>
    <w:rsid w:val="00FB3062"/>
    <w:rsid w:val="00FC61FD"/>
    <w:rsid w:val="00FD119D"/>
    <w:rsid w:val="00FD1BCC"/>
    <w:rsid w:val="00FD3801"/>
    <w:rsid w:val="00FD5433"/>
    <w:rsid w:val="00FD6632"/>
    <w:rsid w:val="00FE262A"/>
    <w:rsid w:val="00FE36CF"/>
    <w:rsid w:val="00FE3A0D"/>
    <w:rsid w:val="00FE4D57"/>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ldclauseheading0">
    <w:name w:val="ldclauseheading"/>
    <w:basedOn w:val="Normal"/>
    <w:rsid w:val="0039362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393625"/>
  </w:style>
  <w:style w:type="paragraph" w:customStyle="1" w:styleId="ldclause0">
    <w:name w:val="ldclause"/>
    <w:basedOn w:val="Normal"/>
    <w:rsid w:val="0039362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9362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39362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0">
    <w:name w:val="ldnote"/>
    <w:basedOn w:val="Normal"/>
    <w:rsid w:val="0039362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0344">
      <w:bodyDiv w:val="1"/>
      <w:marLeft w:val="0"/>
      <w:marRight w:val="0"/>
      <w:marTop w:val="0"/>
      <w:marBottom w:val="0"/>
      <w:divBdr>
        <w:top w:val="none" w:sz="0" w:space="0" w:color="auto"/>
        <w:left w:val="none" w:sz="0" w:space="0" w:color="auto"/>
        <w:bottom w:val="none" w:sz="0" w:space="0" w:color="auto"/>
        <w:right w:val="none" w:sz="0" w:space="0" w:color="auto"/>
      </w:divBdr>
      <w:divsChild>
        <w:div w:id="1094782244">
          <w:marLeft w:val="0"/>
          <w:marRight w:val="0"/>
          <w:marTop w:val="0"/>
          <w:marBottom w:val="0"/>
          <w:divBdr>
            <w:top w:val="none" w:sz="0" w:space="0" w:color="auto"/>
            <w:left w:val="none" w:sz="0" w:space="0" w:color="auto"/>
            <w:bottom w:val="none" w:sz="0" w:space="0" w:color="auto"/>
            <w:right w:val="none" w:sz="0" w:space="0" w:color="auto"/>
          </w:divBdr>
          <w:divsChild>
            <w:div w:id="8140252">
              <w:marLeft w:val="0"/>
              <w:marRight w:val="0"/>
              <w:marTop w:val="0"/>
              <w:marBottom w:val="0"/>
              <w:divBdr>
                <w:top w:val="none" w:sz="0" w:space="0" w:color="auto"/>
                <w:left w:val="none" w:sz="0" w:space="0" w:color="auto"/>
                <w:bottom w:val="none" w:sz="0" w:space="0" w:color="auto"/>
                <w:right w:val="none" w:sz="0" w:space="0" w:color="auto"/>
              </w:divBdr>
              <w:divsChild>
                <w:div w:id="404692891">
                  <w:marLeft w:val="0"/>
                  <w:marRight w:val="0"/>
                  <w:marTop w:val="0"/>
                  <w:marBottom w:val="0"/>
                  <w:divBdr>
                    <w:top w:val="none" w:sz="0" w:space="0" w:color="auto"/>
                    <w:left w:val="none" w:sz="0" w:space="0" w:color="auto"/>
                    <w:bottom w:val="none" w:sz="0" w:space="0" w:color="auto"/>
                    <w:right w:val="none" w:sz="0" w:space="0" w:color="auto"/>
                  </w:divBdr>
                  <w:divsChild>
                    <w:div w:id="1282690788">
                      <w:marLeft w:val="0"/>
                      <w:marRight w:val="0"/>
                      <w:marTop w:val="0"/>
                      <w:marBottom w:val="0"/>
                      <w:divBdr>
                        <w:top w:val="none" w:sz="0" w:space="0" w:color="auto"/>
                        <w:left w:val="none" w:sz="0" w:space="0" w:color="auto"/>
                        <w:bottom w:val="none" w:sz="0" w:space="0" w:color="auto"/>
                        <w:right w:val="none" w:sz="0" w:space="0" w:color="auto"/>
                      </w:divBdr>
                      <w:divsChild>
                        <w:div w:id="1600865477">
                          <w:marLeft w:val="0"/>
                          <w:marRight w:val="0"/>
                          <w:marTop w:val="0"/>
                          <w:marBottom w:val="0"/>
                          <w:divBdr>
                            <w:top w:val="none" w:sz="0" w:space="0" w:color="auto"/>
                            <w:left w:val="none" w:sz="0" w:space="0" w:color="auto"/>
                            <w:bottom w:val="none" w:sz="0" w:space="0" w:color="auto"/>
                            <w:right w:val="none" w:sz="0" w:space="0" w:color="auto"/>
                          </w:divBdr>
                          <w:divsChild>
                            <w:div w:id="1750227750">
                              <w:marLeft w:val="0"/>
                              <w:marRight w:val="0"/>
                              <w:marTop w:val="0"/>
                              <w:marBottom w:val="0"/>
                              <w:divBdr>
                                <w:top w:val="none" w:sz="0" w:space="0" w:color="auto"/>
                                <w:left w:val="none" w:sz="0" w:space="0" w:color="auto"/>
                                <w:bottom w:val="none" w:sz="0" w:space="0" w:color="auto"/>
                                <w:right w:val="none" w:sz="0" w:space="0" w:color="auto"/>
                              </w:divBdr>
                              <w:divsChild>
                                <w:div w:id="1496993029">
                                  <w:marLeft w:val="0"/>
                                  <w:marRight w:val="0"/>
                                  <w:marTop w:val="0"/>
                                  <w:marBottom w:val="0"/>
                                  <w:divBdr>
                                    <w:top w:val="none" w:sz="0" w:space="0" w:color="auto"/>
                                    <w:left w:val="none" w:sz="0" w:space="0" w:color="auto"/>
                                    <w:bottom w:val="none" w:sz="0" w:space="0" w:color="auto"/>
                                    <w:right w:val="none" w:sz="0" w:space="0" w:color="auto"/>
                                  </w:divBdr>
                                  <w:divsChild>
                                    <w:div w:id="907691379">
                                      <w:marLeft w:val="0"/>
                                      <w:marRight w:val="0"/>
                                      <w:marTop w:val="0"/>
                                      <w:marBottom w:val="0"/>
                                      <w:divBdr>
                                        <w:top w:val="none" w:sz="0" w:space="0" w:color="auto"/>
                                        <w:left w:val="none" w:sz="0" w:space="0" w:color="auto"/>
                                        <w:bottom w:val="none" w:sz="0" w:space="0" w:color="auto"/>
                                        <w:right w:val="none" w:sz="0" w:space="0" w:color="auto"/>
                                      </w:divBdr>
                                      <w:divsChild>
                                        <w:div w:id="1299804930">
                                          <w:marLeft w:val="0"/>
                                          <w:marRight w:val="0"/>
                                          <w:marTop w:val="0"/>
                                          <w:marBottom w:val="0"/>
                                          <w:divBdr>
                                            <w:top w:val="none" w:sz="0" w:space="0" w:color="auto"/>
                                            <w:left w:val="none" w:sz="0" w:space="0" w:color="auto"/>
                                            <w:bottom w:val="none" w:sz="0" w:space="0" w:color="auto"/>
                                            <w:right w:val="none" w:sz="0" w:space="0" w:color="auto"/>
                                          </w:divBdr>
                                          <w:divsChild>
                                            <w:div w:id="126094846">
                                              <w:marLeft w:val="0"/>
                                              <w:marRight w:val="0"/>
                                              <w:marTop w:val="0"/>
                                              <w:marBottom w:val="0"/>
                                              <w:divBdr>
                                                <w:top w:val="none" w:sz="0" w:space="0" w:color="auto"/>
                                                <w:left w:val="none" w:sz="0" w:space="0" w:color="auto"/>
                                                <w:bottom w:val="none" w:sz="0" w:space="0" w:color="auto"/>
                                                <w:right w:val="none" w:sz="0" w:space="0" w:color="auto"/>
                                              </w:divBdr>
                                              <w:divsChild>
                                                <w:div w:id="31542471">
                                                  <w:marLeft w:val="0"/>
                                                  <w:marRight w:val="0"/>
                                                  <w:marTop w:val="0"/>
                                                  <w:marBottom w:val="0"/>
                                                  <w:divBdr>
                                                    <w:top w:val="none" w:sz="0" w:space="0" w:color="auto"/>
                                                    <w:left w:val="none" w:sz="0" w:space="0" w:color="auto"/>
                                                    <w:bottom w:val="none" w:sz="0" w:space="0" w:color="auto"/>
                                                    <w:right w:val="none" w:sz="0" w:space="0" w:color="auto"/>
                                                  </w:divBdr>
                                                  <w:divsChild>
                                                    <w:div w:id="151533408">
                                                      <w:marLeft w:val="0"/>
                                                      <w:marRight w:val="0"/>
                                                      <w:marTop w:val="0"/>
                                                      <w:marBottom w:val="0"/>
                                                      <w:divBdr>
                                                        <w:top w:val="none" w:sz="0" w:space="0" w:color="auto"/>
                                                        <w:left w:val="none" w:sz="0" w:space="0" w:color="auto"/>
                                                        <w:bottom w:val="none" w:sz="0" w:space="0" w:color="auto"/>
                                                        <w:right w:val="none" w:sz="0" w:space="0" w:color="auto"/>
                                                      </w:divBdr>
                                                      <w:divsChild>
                                                        <w:div w:id="411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939528">
      <w:bodyDiv w:val="1"/>
      <w:marLeft w:val="0"/>
      <w:marRight w:val="0"/>
      <w:marTop w:val="0"/>
      <w:marBottom w:val="0"/>
      <w:divBdr>
        <w:top w:val="none" w:sz="0" w:space="0" w:color="auto"/>
        <w:left w:val="none" w:sz="0" w:space="0" w:color="auto"/>
        <w:bottom w:val="none" w:sz="0" w:space="0" w:color="auto"/>
        <w:right w:val="none" w:sz="0" w:space="0" w:color="auto"/>
      </w:divBdr>
      <w:divsChild>
        <w:div w:id="1194464800">
          <w:marLeft w:val="0"/>
          <w:marRight w:val="0"/>
          <w:marTop w:val="0"/>
          <w:marBottom w:val="0"/>
          <w:divBdr>
            <w:top w:val="none" w:sz="0" w:space="0" w:color="auto"/>
            <w:left w:val="none" w:sz="0" w:space="0" w:color="auto"/>
            <w:bottom w:val="none" w:sz="0" w:space="0" w:color="auto"/>
            <w:right w:val="none" w:sz="0" w:space="0" w:color="auto"/>
          </w:divBdr>
          <w:divsChild>
            <w:div w:id="1618024788">
              <w:marLeft w:val="0"/>
              <w:marRight w:val="0"/>
              <w:marTop w:val="0"/>
              <w:marBottom w:val="0"/>
              <w:divBdr>
                <w:top w:val="none" w:sz="0" w:space="0" w:color="auto"/>
                <w:left w:val="none" w:sz="0" w:space="0" w:color="auto"/>
                <w:bottom w:val="none" w:sz="0" w:space="0" w:color="auto"/>
                <w:right w:val="none" w:sz="0" w:space="0" w:color="auto"/>
              </w:divBdr>
              <w:divsChild>
                <w:div w:id="1542815008">
                  <w:marLeft w:val="0"/>
                  <w:marRight w:val="0"/>
                  <w:marTop w:val="0"/>
                  <w:marBottom w:val="0"/>
                  <w:divBdr>
                    <w:top w:val="none" w:sz="0" w:space="0" w:color="auto"/>
                    <w:left w:val="none" w:sz="0" w:space="0" w:color="auto"/>
                    <w:bottom w:val="none" w:sz="0" w:space="0" w:color="auto"/>
                    <w:right w:val="none" w:sz="0" w:space="0" w:color="auto"/>
                  </w:divBdr>
                  <w:divsChild>
                    <w:div w:id="847328118">
                      <w:marLeft w:val="0"/>
                      <w:marRight w:val="0"/>
                      <w:marTop w:val="0"/>
                      <w:marBottom w:val="0"/>
                      <w:divBdr>
                        <w:top w:val="none" w:sz="0" w:space="0" w:color="auto"/>
                        <w:left w:val="none" w:sz="0" w:space="0" w:color="auto"/>
                        <w:bottom w:val="none" w:sz="0" w:space="0" w:color="auto"/>
                        <w:right w:val="none" w:sz="0" w:space="0" w:color="auto"/>
                      </w:divBdr>
                      <w:divsChild>
                        <w:div w:id="1286085382">
                          <w:marLeft w:val="0"/>
                          <w:marRight w:val="0"/>
                          <w:marTop w:val="0"/>
                          <w:marBottom w:val="0"/>
                          <w:divBdr>
                            <w:top w:val="none" w:sz="0" w:space="0" w:color="auto"/>
                            <w:left w:val="none" w:sz="0" w:space="0" w:color="auto"/>
                            <w:bottom w:val="none" w:sz="0" w:space="0" w:color="auto"/>
                            <w:right w:val="none" w:sz="0" w:space="0" w:color="auto"/>
                          </w:divBdr>
                          <w:divsChild>
                            <w:div w:id="1602683462">
                              <w:marLeft w:val="0"/>
                              <w:marRight w:val="0"/>
                              <w:marTop w:val="0"/>
                              <w:marBottom w:val="0"/>
                              <w:divBdr>
                                <w:top w:val="none" w:sz="0" w:space="0" w:color="auto"/>
                                <w:left w:val="none" w:sz="0" w:space="0" w:color="auto"/>
                                <w:bottom w:val="none" w:sz="0" w:space="0" w:color="auto"/>
                                <w:right w:val="none" w:sz="0" w:space="0" w:color="auto"/>
                              </w:divBdr>
                              <w:divsChild>
                                <w:div w:id="1379476064">
                                  <w:marLeft w:val="0"/>
                                  <w:marRight w:val="0"/>
                                  <w:marTop w:val="0"/>
                                  <w:marBottom w:val="0"/>
                                  <w:divBdr>
                                    <w:top w:val="none" w:sz="0" w:space="0" w:color="auto"/>
                                    <w:left w:val="none" w:sz="0" w:space="0" w:color="auto"/>
                                    <w:bottom w:val="none" w:sz="0" w:space="0" w:color="auto"/>
                                    <w:right w:val="none" w:sz="0" w:space="0" w:color="auto"/>
                                  </w:divBdr>
                                  <w:divsChild>
                                    <w:div w:id="123354081">
                                      <w:marLeft w:val="0"/>
                                      <w:marRight w:val="0"/>
                                      <w:marTop w:val="0"/>
                                      <w:marBottom w:val="0"/>
                                      <w:divBdr>
                                        <w:top w:val="none" w:sz="0" w:space="0" w:color="auto"/>
                                        <w:left w:val="none" w:sz="0" w:space="0" w:color="auto"/>
                                        <w:bottom w:val="none" w:sz="0" w:space="0" w:color="auto"/>
                                        <w:right w:val="none" w:sz="0" w:space="0" w:color="auto"/>
                                      </w:divBdr>
                                      <w:divsChild>
                                        <w:div w:id="1304846306">
                                          <w:marLeft w:val="0"/>
                                          <w:marRight w:val="0"/>
                                          <w:marTop w:val="0"/>
                                          <w:marBottom w:val="0"/>
                                          <w:divBdr>
                                            <w:top w:val="none" w:sz="0" w:space="0" w:color="auto"/>
                                            <w:left w:val="none" w:sz="0" w:space="0" w:color="auto"/>
                                            <w:bottom w:val="none" w:sz="0" w:space="0" w:color="auto"/>
                                            <w:right w:val="none" w:sz="0" w:space="0" w:color="auto"/>
                                          </w:divBdr>
                                          <w:divsChild>
                                            <w:div w:id="1133713024">
                                              <w:marLeft w:val="0"/>
                                              <w:marRight w:val="0"/>
                                              <w:marTop w:val="0"/>
                                              <w:marBottom w:val="0"/>
                                              <w:divBdr>
                                                <w:top w:val="none" w:sz="0" w:space="0" w:color="auto"/>
                                                <w:left w:val="none" w:sz="0" w:space="0" w:color="auto"/>
                                                <w:bottom w:val="none" w:sz="0" w:space="0" w:color="auto"/>
                                                <w:right w:val="none" w:sz="0" w:space="0" w:color="auto"/>
                                              </w:divBdr>
                                              <w:divsChild>
                                                <w:div w:id="1036613152">
                                                  <w:marLeft w:val="0"/>
                                                  <w:marRight w:val="0"/>
                                                  <w:marTop w:val="0"/>
                                                  <w:marBottom w:val="0"/>
                                                  <w:divBdr>
                                                    <w:top w:val="none" w:sz="0" w:space="0" w:color="auto"/>
                                                    <w:left w:val="none" w:sz="0" w:space="0" w:color="auto"/>
                                                    <w:bottom w:val="none" w:sz="0" w:space="0" w:color="auto"/>
                                                    <w:right w:val="none" w:sz="0" w:space="0" w:color="auto"/>
                                                  </w:divBdr>
                                                  <w:divsChild>
                                                    <w:div w:id="1538666344">
                                                      <w:marLeft w:val="0"/>
                                                      <w:marRight w:val="0"/>
                                                      <w:marTop w:val="0"/>
                                                      <w:marBottom w:val="0"/>
                                                      <w:divBdr>
                                                        <w:top w:val="none" w:sz="0" w:space="0" w:color="auto"/>
                                                        <w:left w:val="none" w:sz="0" w:space="0" w:color="auto"/>
                                                        <w:bottom w:val="none" w:sz="0" w:space="0" w:color="auto"/>
                                                        <w:right w:val="none" w:sz="0" w:space="0" w:color="auto"/>
                                                      </w:divBdr>
                                                      <w:divsChild>
                                                        <w:div w:id="12840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642E-4DDA-4F5E-8162-AA8C29CC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2018-03-16T03:55:00Z</dcterms:created>
  <dcterms:modified xsi:type="dcterms:W3CDTF">2018-03-16T03:58:00Z</dcterms:modified>
</cp:coreProperties>
</file>